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48AC" w14:textId="0401B77C" w:rsidR="00C059DD" w:rsidRPr="00644AF5" w:rsidRDefault="00C059DD" w:rsidP="004B2C9D">
      <w:pPr>
        <w:tabs>
          <w:tab w:val="left" w:pos="9090"/>
        </w:tabs>
        <w:ind w:left="0" w:firstLine="0"/>
        <w:contextualSpacing/>
        <w:rPr>
          <w:rFonts w:ascii="Calibri" w:hAnsi="Calibri" w:cs="Calibri"/>
          <w:b/>
          <w:bCs/>
          <w:color w:val="000000" w:themeColor="text1"/>
        </w:rPr>
      </w:pPr>
    </w:p>
    <w:p w14:paraId="13359756" w14:textId="5DB4B901" w:rsidR="004A47C3" w:rsidRDefault="004A47C3" w:rsidP="000377CA">
      <w:pPr>
        <w:shd w:val="clear" w:color="auto" w:fill="FFFFFF" w:themeFill="background1"/>
        <w:ind w:left="0" w:firstLine="0"/>
        <w:contextualSpacing/>
        <w:rPr>
          <w:rFonts w:ascii="Calibri" w:hAnsi="Calibri" w:cs="Calibri"/>
          <w:b/>
          <w:bCs/>
          <w:color w:val="000000" w:themeColor="text1"/>
        </w:rPr>
      </w:pPr>
      <w:r>
        <w:rPr>
          <w:rFonts w:ascii="Calibri" w:hAnsi="Calibri" w:cs="Calibri"/>
          <w:b/>
          <w:bCs/>
          <w:color w:val="000000" w:themeColor="text1"/>
        </w:rPr>
        <w:t>TITLE:</w:t>
      </w:r>
    </w:p>
    <w:p w14:paraId="1A20060E" w14:textId="595B00AB" w:rsidR="00C059DD" w:rsidRPr="00644AF5" w:rsidRDefault="00C059DD" w:rsidP="000377CA">
      <w:pPr>
        <w:shd w:val="clear" w:color="auto" w:fill="FFFFFF" w:themeFill="background1"/>
        <w:ind w:left="0" w:firstLine="0"/>
        <w:contextualSpacing/>
        <w:rPr>
          <w:rFonts w:ascii="Calibri" w:hAnsi="Calibri" w:cs="Calibri"/>
          <w:b/>
          <w:bCs/>
          <w:color w:val="000000" w:themeColor="text1"/>
        </w:rPr>
      </w:pPr>
      <w:r w:rsidRPr="00644AF5">
        <w:rPr>
          <w:rFonts w:ascii="Calibri" w:hAnsi="Calibri" w:cs="Calibri"/>
          <w:b/>
          <w:bCs/>
          <w:color w:val="000000" w:themeColor="text1"/>
        </w:rPr>
        <w:t xml:space="preserve">An optimized protocol for </w:t>
      </w:r>
      <w:r w:rsidR="003F290F" w:rsidRPr="00644AF5">
        <w:rPr>
          <w:rFonts w:ascii="Calibri" w:hAnsi="Calibri" w:cs="Calibri"/>
          <w:b/>
          <w:bCs/>
          <w:i/>
          <w:iCs/>
          <w:color w:val="000000" w:themeColor="text1"/>
        </w:rPr>
        <w:t>Candida albicans</w:t>
      </w:r>
      <w:r w:rsidR="003F290F" w:rsidRPr="00644AF5">
        <w:rPr>
          <w:rFonts w:ascii="Calibri" w:hAnsi="Calibri" w:cs="Calibri"/>
          <w:b/>
          <w:bCs/>
          <w:color w:val="000000" w:themeColor="text1"/>
        </w:rPr>
        <w:t> </w:t>
      </w:r>
      <w:r w:rsidRPr="00644AF5">
        <w:rPr>
          <w:rFonts w:ascii="Calibri" w:hAnsi="Calibri" w:cs="Calibri"/>
          <w:b/>
          <w:bCs/>
          <w:color w:val="000000" w:themeColor="text1"/>
        </w:rPr>
        <w:t>infecti</w:t>
      </w:r>
      <w:r w:rsidR="003F290F" w:rsidRPr="00644AF5">
        <w:rPr>
          <w:rFonts w:ascii="Calibri" w:hAnsi="Calibri" w:cs="Calibri"/>
          <w:b/>
          <w:bCs/>
          <w:color w:val="000000" w:themeColor="text1"/>
        </w:rPr>
        <w:t>o</w:t>
      </w:r>
      <w:r w:rsidRPr="00644AF5">
        <w:rPr>
          <w:rFonts w:ascii="Calibri" w:hAnsi="Calibri" w:cs="Calibri"/>
          <w:b/>
          <w:bCs/>
          <w:color w:val="000000" w:themeColor="text1"/>
        </w:rPr>
        <w:t>n </w:t>
      </w:r>
      <w:r w:rsidR="003F290F" w:rsidRPr="00644AF5">
        <w:rPr>
          <w:rFonts w:ascii="Calibri" w:hAnsi="Calibri" w:cs="Calibri"/>
          <w:b/>
          <w:bCs/>
          <w:color w:val="000000" w:themeColor="text1"/>
        </w:rPr>
        <w:t xml:space="preserve">in </w:t>
      </w:r>
      <w:r w:rsidRPr="00644AF5">
        <w:rPr>
          <w:rFonts w:ascii="Calibri" w:hAnsi="Calibri" w:cs="Calibri"/>
          <w:b/>
          <w:bCs/>
          <w:i/>
          <w:iCs/>
          <w:color w:val="000000" w:themeColor="text1"/>
        </w:rPr>
        <w:t>Schmidtea mediterranea</w:t>
      </w:r>
      <w:r w:rsidRPr="00644AF5">
        <w:rPr>
          <w:rFonts w:ascii="Calibri" w:hAnsi="Calibri" w:cs="Calibri"/>
          <w:b/>
          <w:bCs/>
          <w:color w:val="000000" w:themeColor="text1"/>
        </w:rPr>
        <w:t xml:space="preserve"> to </w:t>
      </w:r>
      <w:r w:rsidR="003F290F" w:rsidRPr="00644AF5">
        <w:rPr>
          <w:rFonts w:ascii="Calibri" w:hAnsi="Calibri" w:cs="Calibri"/>
          <w:b/>
          <w:bCs/>
          <w:color w:val="000000" w:themeColor="text1"/>
        </w:rPr>
        <w:t>study</w:t>
      </w:r>
      <w:r w:rsidRPr="00644AF5">
        <w:rPr>
          <w:rFonts w:ascii="Calibri" w:hAnsi="Calibri" w:cs="Calibri"/>
          <w:b/>
          <w:bCs/>
          <w:color w:val="000000" w:themeColor="text1"/>
        </w:rPr>
        <w:t xml:space="preserve"> fungal pathogenesis and host defense </w:t>
      </w:r>
    </w:p>
    <w:p w14:paraId="77C33E62" w14:textId="77777777" w:rsidR="0024603F" w:rsidRPr="00644AF5" w:rsidRDefault="0024603F" w:rsidP="000377CA">
      <w:pPr>
        <w:ind w:left="0" w:firstLine="0"/>
        <w:contextualSpacing/>
        <w:rPr>
          <w:rFonts w:ascii="Calibri" w:hAnsi="Calibri" w:cs="Calibri"/>
          <w:b/>
          <w:color w:val="000000" w:themeColor="text1"/>
        </w:rPr>
      </w:pPr>
    </w:p>
    <w:p w14:paraId="2CD8481E" w14:textId="48873D4D" w:rsidR="006E4797" w:rsidRPr="00644AF5" w:rsidRDefault="62C27525" w:rsidP="000377CA">
      <w:pPr>
        <w:ind w:left="0" w:firstLine="0"/>
        <w:contextualSpacing/>
        <w:rPr>
          <w:rFonts w:ascii="Calibri" w:hAnsi="Calibri" w:cs="Calibri"/>
          <w:color w:val="000000" w:themeColor="text1"/>
        </w:rPr>
      </w:pPr>
      <w:r w:rsidRPr="00644AF5">
        <w:rPr>
          <w:rFonts w:ascii="Calibri" w:hAnsi="Calibri" w:cs="Calibri"/>
          <w:b/>
          <w:bCs/>
          <w:color w:val="000000" w:themeColor="text1"/>
        </w:rPr>
        <w:t xml:space="preserve">AUTHORS AND AFFILIATIONS: </w:t>
      </w:r>
    </w:p>
    <w:p w14:paraId="43D674FF" w14:textId="408BF153" w:rsidR="00F020E9" w:rsidRPr="00644AF5" w:rsidRDefault="5E0B5D42" w:rsidP="000377CA">
      <w:pPr>
        <w:pBdr>
          <w:top w:val="nil"/>
          <w:left w:val="nil"/>
          <w:bottom w:val="nil"/>
          <w:right w:val="nil"/>
          <w:between w:val="nil"/>
        </w:pBdr>
        <w:ind w:left="0" w:firstLine="0"/>
        <w:contextualSpacing/>
        <w:rPr>
          <w:rFonts w:ascii="Calibri" w:hAnsi="Calibri" w:cs="Calibri"/>
          <w:color w:val="000000" w:themeColor="text1"/>
          <w:vertAlign w:val="superscript"/>
        </w:rPr>
      </w:pPr>
      <w:r w:rsidRPr="00644AF5">
        <w:rPr>
          <w:rFonts w:ascii="Calibri" w:hAnsi="Calibri" w:cs="Calibri"/>
          <w:color w:val="000000" w:themeColor="text1"/>
        </w:rPr>
        <w:t>Nora M. Shamoon</w:t>
      </w:r>
      <w:r w:rsidRPr="00644AF5">
        <w:rPr>
          <w:rFonts w:ascii="Calibri" w:hAnsi="Calibri" w:cs="Calibri"/>
          <w:color w:val="000000" w:themeColor="text1"/>
          <w:vertAlign w:val="superscript"/>
        </w:rPr>
        <w:t>1,2,3,</w:t>
      </w:r>
      <w:r w:rsidR="00FB12B2" w:rsidRPr="00644AF5">
        <w:rPr>
          <w:rFonts w:ascii="Calibri" w:hAnsi="Calibri" w:cs="Calibri"/>
          <w:color w:val="000000" w:themeColor="text1"/>
          <w:vertAlign w:val="superscript"/>
        </w:rPr>
        <w:t>4, §</w:t>
      </w:r>
      <w:r w:rsidRPr="00644AF5">
        <w:rPr>
          <w:rFonts w:ascii="Calibri" w:hAnsi="Calibri" w:cs="Calibri"/>
          <w:color w:val="000000" w:themeColor="text1"/>
        </w:rPr>
        <w:t>, Beryl N. Arinda</w:t>
      </w:r>
      <w:r w:rsidRPr="00644AF5">
        <w:rPr>
          <w:rFonts w:ascii="Calibri" w:hAnsi="Calibri" w:cs="Calibri"/>
          <w:color w:val="000000" w:themeColor="text1"/>
          <w:vertAlign w:val="superscript"/>
        </w:rPr>
        <w:t>1,</w:t>
      </w:r>
      <w:r w:rsidR="00FB12B2" w:rsidRPr="00644AF5">
        <w:rPr>
          <w:rFonts w:ascii="Calibri" w:hAnsi="Calibri" w:cs="Calibri"/>
          <w:color w:val="000000" w:themeColor="text1"/>
          <w:vertAlign w:val="superscript"/>
        </w:rPr>
        <w:t>2, §</w:t>
      </w:r>
      <w:r w:rsidRPr="00644AF5">
        <w:rPr>
          <w:rFonts w:ascii="Calibri" w:hAnsi="Calibri" w:cs="Calibri"/>
          <w:color w:val="000000" w:themeColor="text1"/>
        </w:rPr>
        <w:t>, Simriya Sandhu</w:t>
      </w:r>
      <w:r w:rsidRPr="00644AF5">
        <w:rPr>
          <w:rFonts w:ascii="Calibri" w:hAnsi="Calibri" w:cs="Calibri"/>
          <w:color w:val="000000" w:themeColor="text1"/>
          <w:vertAlign w:val="superscript"/>
        </w:rPr>
        <w:t>1</w:t>
      </w:r>
      <w:r w:rsidRPr="00644AF5">
        <w:rPr>
          <w:rFonts w:ascii="Calibri" w:hAnsi="Calibri" w:cs="Calibri"/>
          <w:color w:val="000000" w:themeColor="text1"/>
        </w:rPr>
        <w:t>,</w:t>
      </w:r>
      <w:r w:rsidR="003F4DEA" w:rsidRPr="00644AF5">
        <w:rPr>
          <w:rFonts w:ascii="Calibri" w:hAnsi="Calibri" w:cs="Calibri"/>
          <w:color w:val="000000" w:themeColor="text1"/>
        </w:rPr>
        <w:t xml:space="preserve"> Deepika Gunasekaran</w:t>
      </w:r>
      <w:r w:rsidR="003F4DEA" w:rsidRPr="00644AF5">
        <w:rPr>
          <w:rFonts w:ascii="Calibri" w:hAnsi="Calibri" w:cs="Calibri"/>
          <w:color w:val="000000" w:themeColor="text1"/>
          <w:vertAlign w:val="superscript"/>
        </w:rPr>
        <w:t>1</w:t>
      </w:r>
      <w:r w:rsidR="003F4DEA" w:rsidRPr="00644AF5">
        <w:rPr>
          <w:rFonts w:ascii="Calibri" w:hAnsi="Calibri" w:cs="Calibri"/>
          <w:color w:val="000000" w:themeColor="text1"/>
        </w:rPr>
        <w:t>,</w:t>
      </w:r>
      <w:r w:rsidRPr="00644AF5">
        <w:rPr>
          <w:rFonts w:ascii="Calibri" w:hAnsi="Calibri" w:cs="Calibri"/>
          <w:color w:val="000000" w:themeColor="text1"/>
        </w:rPr>
        <w:t xml:space="preserve"> Néstor J. Oviedo</w:t>
      </w:r>
      <w:r w:rsidRPr="00644AF5">
        <w:rPr>
          <w:rFonts w:ascii="Calibri" w:hAnsi="Calibri" w:cs="Calibri"/>
          <w:color w:val="000000" w:themeColor="text1"/>
          <w:vertAlign w:val="superscript"/>
        </w:rPr>
        <w:t>1,3*</w:t>
      </w:r>
      <w:r w:rsidR="00722A05" w:rsidRPr="00644AF5">
        <w:rPr>
          <w:rFonts w:ascii="Calibri" w:hAnsi="Calibri" w:cs="Calibri"/>
          <w:color w:val="000000" w:themeColor="text1"/>
        </w:rPr>
        <w:t xml:space="preserve">, </w:t>
      </w:r>
      <w:r w:rsidRPr="00644AF5">
        <w:rPr>
          <w:rFonts w:ascii="Calibri" w:hAnsi="Calibri" w:cs="Calibri"/>
          <w:color w:val="000000" w:themeColor="text1"/>
        </w:rPr>
        <w:t xml:space="preserve">and Clarissa J. </w:t>
      </w:r>
      <w:r w:rsidR="00644AF5" w:rsidRPr="00644AF5">
        <w:rPr>
          <w:rFonts w:ascii="Calibri" w:hAnsi="Calibri" w:cs="Calibri"/>
          <w:color w:val="000000" w:themeColor="text1"/>
        </w:rPr>
        <w:t>Nobile</w:t>
      </w:r>
      <w:r w:rsidRPr="00644AF5">
        <w:rPr>
          <w:rFonts w:ascii="Calibri" w:hAnsi="Calibri" w:cs="Calibri"/>
          <w:color w:val="000000" w:themeColor="text1"/>
          <w:vertAlign w:val="superscript"/>
        </w:rPr>
        <w:t>1,3,4*</w:t>
      </w:r>
      <w:r w:rsidRPr="00644AF5">
        <w:rPr>
          <w:rFonts w:ascii="Calibri" w:hAnsi="Calibri" w:cs="Calibri"/>
          <w:color w:val="000000" w:themeColor="text1"/>
        </w:rPr>
        <w:t xml:space="preserve"> </w:t>
      </w:r>
    </w:p>
    <w:p w14:paraId="7B847990" w14:textId="77777777" w:rsidR="009F1CC4" w:rsidRPr="00644AF5" w:rsidRDefault="009F1CC4" w:rsidP="000377CA">
      <w:pPr>
        <w:pBdr>
          <w:top w:val="nil"/>
          <w:left w:val="nil"/>
          <w:bottom w:val="nil"/>
          <w:right w:val="nil"/>
          <w:between w:val="nil"/>
        </w:pBdr>
        <w:ind w:left="0" w:firstLine="0"/>
        <w:contextualSpacing/>
        <w:rPr>
          <w:rFonts w:ascii="Calibri" w:hAnsi="Calibri" w:cs="Calibri"/>
          <w:color w:val="000000" w:themeColor="text1"/>
        </w:rPr>
      </w:pPr>
    </w:p>
    <w:p w14:paraId="5B80A32D" w14:textId="402FA422" w:rsidR="009F1CC4" w:rsidRPr="00644AF5" w:rsidRDefault="51DB04E4"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vertAlign w:val="superscript"/>
        </w:rPr>
        <w:t>1</w:t>
      </w:r>
      <w:r w:rsidRPr="00644AF5">
        <w:rPr>
          <w:rFonts w:ascii="Calibri" w:hAnsi="Calibri" w:cs="Calibri"/>
          <w:color w:val="000000" w:themeColor="text1"/>
        </w:rPr>
        <w:t>Department of Molecular and Cell Biology, University of California</w:t>
      </w:r>
      <w:r w:rsidR="009A1C81" w:rsidRPr="00644AF5">
        <w:rPr>
          <w:rFonts w:ascii="Calibri" w:hAnsi="Calibri" w:cs="Calibri"/>
          <w:color w:val="000000" w:themeColor="text1"/>
        </w:rPr>
        <w:t xml:space="preserve">, </w:t>
      </w:r>
      <w:r w:rsidRPr="00644AF5">
        <w:rPr>
          <w:rFonts w:ascii="Calibri" w:hAnsi="Calibri" w:cs="Calibri"/>
          <w:color w:val="000000" w:themeColor="text1"/>
        </w:rPr>
        <w:t xml:space="preserve">Merced, Merced, CA 95343, USA </w:t>
      </w:r>
    </w:p>
    <w:p w14:paraId="1B5D3818" w14:textId="702F1B7F" w:rsidR="009F1CC4" w:rsidRPr="00644AF5" w:rsidRDefault="51DB04E4"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vertAlign w:val="superscript"/>
        </w:rPr>
        <w:t>2</w:t>
      </w:r>
      <w:r w:rsidRPr="00644AF5">
        <w:rPr>
          <w:rFonts w:ascii="Calibri" w:hAnsi="Calibri" w:cs="Calibri"/>
          <w:color w:val="000000" w:themeColor="text1"/>
        </w:rPr>
        <w:t>Quantitative and Systems Biology Graduate Program, University of California, Merced, CA 95343, USA</w:t>
      </w:r>
    </w:p>
    <w:p w14:paraId="78C18830" w14:textId="5090F55E" w:rsidR="003C6865" w:rsidRPr="00644AF5" w:rsidRDefault="00981E3B"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vertAlign w:val="superscript"/>
        </w:rPr>
        <w:t>3</w:t>
      </w:r>
      <w:r w:rsidR="51DB04E4" w:rsidRPr="00644AF5">
        <w:rPr>
          <w:rFonts w:ascii="Calibri" w:hAnsi="Calibri" w:cs="Calibri"/>
          <w:color w:val="000000" w:themeColor="text1"/>
        </w:rPr>
        <w:t>Health Sciences Research Institute, University of California, Merced, CA 95343, USA</w:t>
      </w:r>
    </w:p>
    <w:p w14:paraId="7C0A9B70" w14:textId="333581D3" w:rsidR="00722A05" w:rsidRPr="00644AF5" w:rsidRDefault="003E43E7"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vertAlign w:val="superscript"/>
        </w:rPr>
        <w:t>4</w:t>
      </w:r>
      <w:r w:rsidR="003C6865" w:rsidRPr="00644AF5">
        <w:rPr>
          <w:rFonts w:ascii="Calibri" w:hAnsi="Calibri" w:cs="Calibri"/>
          <w:color w:val="000000" w:themeColor="text1"/>
        </w:rPr>
        <w:t>Center for Cellular and Biomolecular Machines, University of California, Merced, CA 95343, USA</w:t>
      </w:r>
    </w:p>
    <w:p w14:paraId="7ACD75B7" w14:textId="77777777" w:rsidR="00722A05" w:rsidRPr="00644AF5" w:rsidRDefault="00722A05" w:rsidP="000377CA">
      <w:pPr>
        <w:pBdr>
          <w:top w:val="nil"/>
          <w:left w:val="nil"/>
          <w:bottom w:val="nil"/>
          <w:right w:val="nil"/>
          <w:between w:val="nil"/>
        </w:pBdr>
        <w:ind w:left="0" w:firstLine="0"/>
        <w:contextualSpacing/>
        <w:rPr>
          <w:rFonts w:ascii="Calibri" w:hAnsi="Calibri" w:cs="Calibri"/>
          <w:color w:val="000000" w:themeColor="text1"/>
        </w:rPr>
      </w:pPr>
    </w:p>
    <w:p w14:paraId="74F03B68" w14:textId="1937B44D" w:rsidR="00F020E9" w:rsidRPr="00644AF5" w:rsidRDefault="00644AF5"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rPr>
        <w:t>Email address of the co-authors:</w:t>
      </w:r>
    </w:p>
    <w:p w14:paraId="429654CD" w14:textId="407325BD" w:rsidR="00D74AB7" w:rsidRPr="00644AF5" w:rsidRDefault="00981E3B"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rPr>
        <w:t>Nora M. Shamoon</w:t>
      </w:r>
      <w:r w:rsidR="00644AF5" w:rsidRPr="00644AF5">
        <w:rPr>
          <w:rFonts w:ascii="Calibri" w:hAnsi="Calibri" w:cs="Calibri"/>
          <w:color w:val="000000" w:themeColor="text1"/>
        </w:rPr>
        <w:tab/>
      </w:r>
      <w:r w:rsidR="00644AF5" w:rsidRPr="00644AF5">
        <w:rPr>
          <w:rFonts w:ascii="Calibri" w:hAnsi="Calibri" w:cs="Calibri"/>
          <w:color w:val="000000" w:themeColor="text1"/>
        </w:rPr>
        <w:tab/>
      </w:r>
      <w:r w:rsidRPr="00644AF5">
        <w:rPr>
          <w:rFonts w:ascii="Calibri" w:hAnsi="Calibri" w:cs="Calibri"/>
          <w:color w:val="000000" w:themeColor="text1"/>
        </w:rPr>
        <w:t>nshamoon@ucmerced.edu</w:t>
      </w:r>
    </w:p>
    <w:p w14:paraId="1C400DEC" w14:textId="050516E0" w:rsidR="00D74AB7" w:rsidRPr="00644AF5" w:rsidRDefault="5E0B5D42"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rPr>
        <w:t>Beryl N. Arinda</w:t>
      </w:r>
      <w:r w:rsidR="00644AF5" w:rsidRPr="00644AF5">
        <w:rPr>
          <w:rFonts w:ascii="Calibri" w:hAnsi="Calibri" w:cs="Calibri"/>
          <w:color w:val="000000" w:themeColor="text1"/>
        </w:rPr>
        <w:tab/>
      </w:r>
      <w:r w:rsidR="00644AF5" w:rsidRPr="00644AF5">
        <w:rPr>
          <w:rFonts w:ascii="Calibri" w:hAnsi="Calibri" w:cs="Calibri"/>
          <w:color w:val="000000" w:themeColor="text1"/>
        </w:rPr>
        <w:tab/>
      </w:r>
      <w:r w:rsidRPr="00644AF5">
        <w:rPr>
          <w:rFonts w:ascii="Calibri" w:hAnsi="Calibri" w:cs="Calibri"/>
          <w:color w:val="000000" w:themeColor="text1"/>
        </w:rPr>
        <w:t>barinda@ucmerced.edu</w:t>
      </w:r>
    </w:p>
    <w:p w14:paraId="30E05095" w14:textId="64674094" w:rsidR="00810A19" w:rsidRPr="00644AF5" w:rsidRDefault="5E0B5D42"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rPr>
        <w:t>Simriya Sandhu</w:t>
      </w:r>
      <w:r w:rsidR="00644AF5" w:rsidRPr="00644AF5">
        <w:rPr>
          <w:rFonts w:ascii="Calibri" w:hAnsi="Calibri" w:cs="Calibri"/>
          <w:color w:val="000000" w:themeColor="text1"/>
        </w:rPr>
        <w:tab/>
      </w:r>
      <w:r w:rsidR="00644AF5" w:rsidRPr="00644AF5">
        <w:rPr>
          <w:rFonts w:ascii="Calibri" w:hAnsi="Calibri" w:cs="Calibri"/>
          <w:color w:val="000000" w:themeColor="text1"/>
        </w:rPr>
        <w:tab/>
      </w:r>
      <w:r w:rsidR="00781EFB" w:rsidRPr="00644AF5">
        <w:rPr>
          <w:rFonts w:ascii="Calibri" w:hAnsi="Calibri" w:cs="Calibri"/>
          <w:color w:val="000000" w:themeColor="text1"/>
        </w:rPr>
        <w:t>ssandhu52@ucmerced.edu</w:t>
      </w:r>
    </w:p>
    <w:p w14:paraId="099BB667" w14:textId="3A8F2F51" w:rsidR="00781EFB" w:rsidRPr="00644AF5" w:rsidRDefault="00781EFB"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rPr>
        <w:t>Deepika Gunasekaran</w:t>
      </w:r>
      <w:r w:rsidR="00644AF5" w:rsidRPr="00644AF5">
        <w:rPr>
          <w:rFonts w:ascii="Calibri" w:hAnsi="Calibri" w:cs="Calibri"/>
          <w:color w:val="000000" w:themeColor="text1"/>
        </w:rPr>
        <w:tab/>
      </w:r>
      <w:r w:rsidR="00644AF5" w:rsidRPr="00644AF5">
        <w:rPr>
          <w:rFonts w:ascii="Calibri" w:hAnsi="Calibri" w:cs="Calibri"/>
          <w:color w:val="000000" w:themeColor="text1"/>
        </w:rPr>
        <w:tab/>
      </w:r>
      <w:r w:rsidR="00F969F9" w:rsidRPr="00644AF5">
        <w:rPr>
          <w:rFonts w:ascii="Calibri" w:hAnsi="Calibri" w:cs="Calibri"/>
          <w:color w:val="000000" w:themeColor="text1"/>
        </w:rPr>
        <w:t>dgunasekaran@ucmerced.edu</w:t>
      </w:r>
    </w:p>
    <w:p w14:paraId="1E4B977A" w14:textId="77777777" w:rsidR="00644AF5" w:rsidRPr="00644AF5" w:rsidRDefault="00644AF5" w:rsidP="000377CA">
      <w:pPr>
        <w:pBdr>
          <w:top w:val="nil"/>
          <w:left w:val="nil"/>
          <w:bottom w:val="nil"/>
          <w:right w:val="nil"/>
          <w:between w:val="nil"/>
        </w:pBdr>
        <w:ind w:left="0" w:firstLine="0"/>
        <w:contextualSpacing/>
        <w:rPr>
          <w:rFonts w:ascii="Calibri" w:hAnsi="Calibri" w:cs="Calibri"/>
          <w:color w:val="000000" w:themeColor="text1"/>
        </w:rPr>
      </w:pPr>
    </w:p>
    <w:p w14:paraId="408FE534" w14:textId="4604D87E" w:rsidR="00D74AB7" w:rsidRPr="00644AF5" w:rsidRDefault="00644AF5"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rPr>
        <w:t xml:space="preserve">*Email address of the corresponding authors: </w:t>
      </w:r>
    </w:p>
    <w:p w14:paraId="5267BA84" w14:textId="16DDE024" w:rsidR="00644AF5" w:rsidRPr="00644AF5" w:rsidRDefault="00644AF5"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rPr>
        <w:t>Néstor J. Oviedo</w:t>
      </w:r>
      <w:r w:rsidRPr="00644AF5">
        <w:rPr>
          <w:rFonts w:ascii="Calibri" w:hAnsi="Calibri" w:cs="Calibri"/>
          <w:color w:val="000000" w:themeColor="text1"/>
        </w:rPr>
        <w:tab/>
      </w:r>
      <w:r w:rsidRPr="00644AF5">
        <w:rPr>
          <w:rFonts w:ascii="Calibri" w:hAnsi="Calibri" w:cs="Calibri"/>
          <w:color w:val="000000" w:themeColor="text1"/>
        </w:rPr>
        <w:tab/>
        <w:t>noviedo2@ucmerced.edu</w:t>
      </w:r>
    </w:p>
    <w:p w14:paraId="706B4D91" w14:textId="70DC8189" w:rsidR="00644AF5" w:rsidRPr="00644AF5" w:rsidRDefault="00644AF5"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rPr>
        <w:t>Clarissa J. Nobile</w:t>
      </w:r>
      <w:r w:rsidRPr="00644AF5">
        <w:rPr>
          <w:rFonts w:ascii="Calibri" w:hAnsi="Calibri" w:cs="Calibri"/>
          <w:color w:val="000000" w:themeColor="text1"/>
        </w:rPr>
        <w:tab/>
      </w:r>
      <w:r w:rsidRPr="00644AF5">
        <w:rPr>
          <w:rFonts w:ascii="Calibri" w:hAnsi="Calibri" w:cs="Calibri"/>
          <w:color w:val="000000" w:themeColor="text1"/>
        </w:rPr>
        <w:tab/>
        <w:t>cnobile@ucmerced.edu</w:t>
      </w:r>
    </w:p>
    <w:p w14:paraId="7A86C708" w14:textId="77777777" w:rsidR="00644AF5" w:rsidRPr="00644AF5" w:rsidRDefault="00644AF5" w:rsidP="000377CA">
      <w:pPr>
        <w:pBdr>
          <w:top w:val="nil"/>
          <w:left w:val="nil"/>
          <w:bottom w:val="nil"/>
          <w:right w:val="nil"/>
          <w:between w:val="nil"/>
        </w:pBdr>
        <w:ind w:left="0" w:firstLine="0"/>
        <w:contextualSpacing/>
        <w:rPr>
          <w:rFonts w:ascii="Calibri" w:hAnsi="Calibri" w:cs="Calibri"/>
          <w:color w:val="000000" w:themeColor="text1"/>
        </w:rPr>
      </w:pPr>
    </w:p>
    <w:p w14:paraId="717D7CC8" w14:textId="5C9C2AC4" w:rsidR="00644AF5" w:rsidRPr="00644AF5" w:rsidRDefault="00644AF5" w:rsidP="000377CA">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color w:val="000000" w:themeColor="text1"/>
          <w:vertAlign w:val="superscript"/>
        </w:rPr>
        <w:t>§</w:t>
      </w:r>
      <w:r w:rsidRPr="00644AF5">
        <w:rPr>
          <w:rFonts w:ascii="Calibri" w:hAnsi="Calibri" w:cs="Calibri"/>
          <w:color w:val="000000" w:themeColor="text1"/>
        </w:rPr>
        <w:t>These authors contributed equally</w:t>
      </w:r>
    </w:p>
    <w:p w14:paraId="48665794" w14:textId="77777777" w:rsidR="00644AF5" w:rsidRPr="00644AF5" w:rsidRDefault="00644AF5" w:rsidP="000377CA">
      <w:pPr>
        <w:pBdr>
          <w:top w:val="nil"/>
          <w:left w:val="nil"/>
          <w:bottom w:val="nil"/>
          <w:right w:val="nil"/>
          <w:between w:val="nil"/>
        </w:pBdr>
        <w:ind w:left="0" w:firstLine="0"/>
        <w:contextualSpacing/>
        <w:rPr>
          <w:rFonts w:ascii="Calibri" w:hAnsi="Calibri" w:cs="Calibri"/>
          <w:color w:val="000000" w:themeColor="text1"/>
        </w:rPr>
      </w:pPr>
    </w:p>
    <w:p w14:paraId="09F33C29" w14:textId="77777777" w:rsidR="00A32121" w:rsidRPr="00644AF5" w:rsidRDefault="02549213" w:rsidP="000377CA">
      <w:pPr>
        <w:tabs>
          <w:tab w:val="left" w:pos="940"/>
        </w:tabs>
        <w:ind w:left="0" w:firstLine="0"/>
        <w:contextualSpacing/>
        <w:rPr>
          <w:rFonts w:ascii="Calibri" w:hAnsi="Calibri" w:cs="Calibri"/>
          <w:b/>
          <w:bCs/>
          <w:color w:val="000000" w:themeColor="text1"/>
        </w:rPr>
      </w:pPr>
      <w:r w:rsidRPr="00644AF5">
        <w:rPr>
          <w:rFonts w:ascii="Calibri" w:hAnsi="Calibri" w:cs="Calibri"/>
          <w:b/>
          <w:bCs/>
          <w:color w:val="000000" w:themeColor="text1"/>
        </w:rPr>
        <w:t xml:space="preserve">KEYWORDS: </w:t>
      </w:r>
    </w:p>
    <w:p w14:paraId="3BAD518C" w14:textId="44D04499" w:rsidR="006C3ABB" w:rsidRPr="00644AF5" w:rsidRDefault="006C3ABB" w:rsidP="000377CA">
      <w:pPr>
        <w:ind w:left="0" w:firstLine="0"/>
        <w:contextualSpacing/>
        <w:rPr>
          <w:rFonts w:ascii="Calibri" w:hAnsi="Calibri" w:cs="Calibri"/>
          <w:color w:val="000000" w:themeColor="text1"/>
        </w:rPr>
      </w:pPr>
      <w:r w:rsidRPr="00644AF5">
        <w:rPr>
          <w:rFonts w:ascii="Calibri" w:hAnsi="Calibri" w:cs="Calibri"/>
          <w:i/>
          <w:iCs/>
          <w:color w:val="000000" w:themeColor="text1"/>
        </w:rPr>
        <w:t>Candida albicans</w:t>
      </w:r>
      <w:r w:rsidRPr="00644AF5">
        <w:rPr>
          <w:rFonts w:ascii="Calibri" w:hAnsi="Calibri" w:cs="Calibri"/>
          <w:color w:val="000000" w:themeColor="text1"/>
        </w:rPr>
        <w:t xml:space="preserve">, planarian, </w:t>
      </w:r>
      <w:r w:rsidR="00ED54BE" w:rsidRPr="00644AF5">
        <w:rPr>
          <w:rFonts w:ascii="Calibri" w:hAnsi="Calibri" w:cs="Calibri"/>
          <w:i/>
          <w:iCs/>
          <w:color w:val="000000" w:themeColor="text1"/>
        </w:rPr>
        <w:t>Schmidtea mediterranea</w:t>
      </w:r>
      <w:r w:rsidR="00ED54BE" w:rsidRPr="00644AF5">
        <w:rPr>
          <w:rFonts w:ascii="Calibri" w:hAnsi="Calibri" w:cs="Calibri"/>
          <w:color w:val="000000" w:themeColor="text1"/>
        </w:rPr>
        <w:t xml:space="preserve">, </w:t>
      </w:r>
      <w:r w:rsidRPr="00644AF5">
        <w:rPr>
          <w:rFonts w:ascii="Calibri" w:hAnsi="Calibri" w:cs="Calibri"/>
          <w:color w:val="000000" w:themeColor="text1"/>
        </w:rPr>
        <w:t>fungal pathogenesis, host</w:t>
      </w:r>
      <w:r w:rsidR="0024443D" w:rsidRPr="00644AF5">
        <w:rPr>
          <w:rFonts w:ascii="Calibri" w:hAnsi="Calibri" w:cs="Calibri"/>
          <w:color w:val="000000" w:themeColor="text1"/>
        </w:rPr>
        <w:t>-</w:t>
      </w:r>
      <w:r w:rsidRPr="00644AF5">
        <w:rPr>
          <w:rFonts w:ascii="Calibri" w:hAnsi="Calibri" w:cs="Calibri"/>
          <w:color w:val="000000" w:themeColor="text1"/>
        </w:rPr>
        <w:t xml:space="preserve">pathogen interactions, infection model, innate immunity, regeneration, virulence, </w:t>
      </w:r>
      <w:r w:rsidR="00235E7E" w:rsidRPr="00644AF5">
        <w:rPr>
          <w:rFonts w:ascii="Calibri" w:hAnsi="Calibri" w:cs="Calibri"/>
          <w:color w:val="000000" w:themeColor="text1"/>
        </w:rPr>
        <w:t>host</w:t>
      </w:r>
      <w:r w:rsidR="00ED54BE" w:rsidRPr="00644AF5">
        <w:rPr>
          <w:rFonts w:ascii="Calibri" w:hAnsi="Calibri" w:cs="Calibri"/>
          <w:color w:val="000000" w:themeColor="text1"/>
        </w:rPr>
        <w:t xml:space="preserve"> defense</w:t>
      </w:r>
    </w:p>
    <w:p w14:paraId="339E5791" w14:textId="0B57443B" w:rsidR="1FB1A114" w:rsidRPr="00644AF5" w:rsidRDefault="1FB1A114" w:rsidP="000377CA">
      <w:pPr>
        <w:ind w:left="0" w:firstLine="0"/>
        <w:contextualSpacing/>
        <w:rPr>
          <w:rFonts w:ascii="Calibri" w:hAnsi="Calibri" w:cs="Calibri"/>
          <w:color w:val="000000" w:themeColor="text1"/>
        </w:rPr>
      </w:pPr>
    </w:p>
    <w:p w14:paraId="60F3B8D4" w14:textId="06E2598D" w:rsidR="006E4797" w:rsidRPr="00644AF5" w:rsidRDefault="752E91AA" w:rsidP="000377CA">
      <w:pPr>
        <w:ind w:left="0" w:firstLine="0"/>
        <w:contextualSpacing/>
        <w:rPr>
          <w:rFonts w:ascii="Calibri" w:hAnsi="Calibri" w:cs="Calibri"/>
          <w:color w:val="000000" w:themeColor="text1"/>
        </w:rPr>
      </w:pPr>
      <w:r w:rsidRPr="00644AF5">
        <w:rPr>
          <w:rFonts w:ascii="Calibri" w:hAnsi="Calibri" w:cs="Calibri"/>
          <w:b/>
          <w:bCs/>
          <w:color w:val="000000" w:themeColor="text1"/>
        </w:rPr>
        <w:t>SUMMARY:</w:t>
      </w:r>
      <w:r w:rsidRPr="00644AF5">
        <w:rPr>
          <w:rFonts w:ascii="Calibri" w:hAnsi="Calibri" w:cs="Calibri"/>
          <w:color w:val="000000" w:themeColor="text1"/>
        </w:rPr>
        <w:t xml:space="preserve"> </w:t>
      </w:r>
    </w:p>
    <w:p w14:paraId="6A8DD7C7" w14:textId="3890115D" w:rsidR="006C6A61" w:rsidRPr="00644AF5" w:rsidRDefault="00497D81" w:rsidP="000377CA">
      <w:pPr>
        <w:ind w:left="0" w:firstLine="0"/>
        <w:jc w:val="both"/>
        <w:rPr>
          <w:rFonts w:ascii="Calibri" w:hAnsi="Calibri" w:cs="Calibri"/>
          <w:color w:val="000000" w:themeColor="text1"/>
        </w:rPr>
      </w:pPr>
      <w:r>
        <w:rPr>
          <w:rFonts w:ascii="Calibri" w:hAnsi="Calibri" w:cs="Calibri"/>
          <w:color w:val="000000" w:themeColor="text1"/>
        </w:rPr>
        <w:t>This protocol provides an optimized, detailed guide</w:t>
      </w:r>
      <w:r w:rsidR="007805BB" w:rsidRPr="00644AF5">
        <w:rPr>
          <w:rFonts w:ascii="Calibri" w:hAnsi="Calibri" w:cs="Calibri"/>
          <w:color w:val="000000" w:themeColor="text1"/>
        </w:rPr>
        <w:t xml:space="preserve"> for </w:t>
      </w:r>
      <w:r w:rsidR="00664CCB" w:rsidRPr="00644AF5">
        <w:rPr>
          <w:rFonts w:ascii="Calibri" w:hAnsi="Calibri" w:cs="Calibri"/>
          <w:color w:val="000000" w:themeColor="text1"/>
        </w:rPr>
        <w:t xml:space="preserve">using the </w:t>
      </w:r>
      <w:r w:rsidR="00F969F9" w:rsidRPr="00644AF5">
        <w:rPr>
          <w:rFonts w:ascii="Calibri" w:hAnsi="Calibri" w:cs="Calibri"/>
          <w:color w:val="000000" w:themeColor="text1"/>
        </w:rPr>
        <w:t>planarian</w:t>
      </w:r>
      <w:r w:rsidR="00664CCB" w:rsidRPr="00644AF5">
        <w:rPr>
          <w:rFonts w:ascii="Calibri" w:hAnsi="Calibri" w:cs="Calibri"/>
          <w:color w:val="000000" w:themeColor="text1"/>
        </w:rPr>
        <w:t xml:space="preserve"> </w:t>
      </w:r>
      <w:r w:rsidR="00664CCB" w:rsidRPr="00644AF5">
        <w:rPr>
          <w:rStyle w:val="Emphasis"/>
          <w:rFonts w:ascii="Calibri" w:hAnsi="Calibri" w:cs="Calibri"/>
          <w:color w:val="000000" w:themeColor="text1"/>
        </w:rPr>
        <w:t>Schmidtea mediterranea</w:t>
      </w:r>
      <w:r w:rsidR="00F969F9" w:rsidRPr="00644AF5">
        <w:rPr>
          <w:rFonts w:ascii="Calibri" w:hAnsi="Calibri" w:cs="Calibri"/>
          <w:color w:val="000000" w:themeColor="text1"/>
        </w:rPr>
        <w:t xml:space="preserve"> </w:t>
      </w:r>
      <w:r w:rsidR="00664CCB" w:rsidRPr="00644AF5">
        <w:rPr>
          <w:rFonts w:ascii="Calibri" w:hAnsi="Calibri" w:cs="Calibri"/>
          <w:color w:val="000000" w:themeColor="text1"/>
        </w:rPr>
        <w:t xml:space="preserve">as a </w:t>
      </w:r>
      <w:r w:rsidR="00F969F9" w:rsidRPr="00644AF5">
        <w:rPr>
          <w:rFonts w:ascii="Calibri" w:hAnsi="Calibri" w:cs="Calibri"/>
          <w:color w:val="000000" w:themeColor="text1"/>
        </w:rPr>
        <w:t>model system to</w:t>
      </w:r>
      <w:r w:rsidR="60EAF82E" w:rsidRPr="00644AF5">
        <w:rPr>
          <w:rFonts w:ascii="Calibri" w:hAnsi="Calibri" w:cs="Calibri"/>
          <w:color w:val="000000" w:themeColor="text1"/>
        </w:rPr>
        <w:t xml:space="preserve"> study</w:t>
      </w:r>
      <w:r w:rsidR="00F969F9" w:rsidRPr="00644AF5">
        <w:rPr>
          <w:rFonts w:ascii="Calibri" w:hAnsi="Calibri" w:cs="Calibri"/>
          <w:color w:val="000000" w:themeColor="text1"/>
        </w:rPr>
        <w:t xml:space="preserve"> host-pathogen interactions during fungal infection. </w:t>
      </w:r>
      <w:r w:rsidR="00664CCB" w:rsidRPr="00644AF5">
        <w:rPr>
          <w:rFonts w:ascii="Calibri" w:hAnsi="Calibri" w:cs="Calibri"/>
          <w:color w:val="000000" w:themeColor="text1"/>
        </w:rPr>
        <w:t>Th</w:t>
      </w:r>
      <w:r>
        <w:rPr>
          <w:rFonts w:ascii="Calibri" w:hAnsi="Calibri" w:cs="Calibri"/>
          <w:color w:val="000000" w:themeColor="text1"/>
        </w:rPr>
        <w:t>e</w:t>
      </w:r>
      <w:r w:rsidR="00664CCB" w:rsidRPr="00644AF5">
        <w:rPr>
          <w:rFonts w:ascii="Calibri" w:hAnsi="Calibri" w:cs="Calibri"/>
          <w:color w:val="000000" w:themeColor="text1"/>
        </w:rPr>
        <w:t xml:space="preserve"> method builds on </w:t>
      </w:r>
      <w:r>
        <w:rPr>
          <w:rFonts w:ascii="Calibri" w:hAnsi="Calibri" w:cs="Calibri"/>
          <w:color w:val="000000" w:themeColor="text1"/>
        </w:rPr>
        <w:t>the</w:t>
      </w:r>
      <w:r w:rsidR="00664CCB" w:rsidRPr="00644AF5">
        <w:rPr>
          <w:rFonts w:ascii="Calibri" w:hAnsi="Calibri" w:cs="Calibri"/>
          <w:color w:val="000000" w:themeColor="text1"/>
        </w:rPr>
        <w:t xml:space="preserve"> </w:t>
      </w:r>
      <w:r w:rsidR="0089046D" w:rsidRPr="00644AF5">
        <w:rPr>
          <w:rFonts w:ascii="Calibri" w:hAnsi="Calibri" w:cs="Calibri"/>
          <w:color w:val="000000" w:themeColor="text1"/>
        </w:rPr>
        <w:t>previous</w:t>
      </w:r>
      <w:r w:rsidR="00664CCB" w:rsidRPr="00644AF5">
        <w:rPr>
          <w:rFonts w:ascii="Calibri" w:hAnsi="Calibri" w:cs="Calibri"/>
          <w:color w:val="000000" w:themeColor="text1"/>
        </w:rPr>
        <w:t xml:space="preserve"> procedure for infecting planarians with the human fungal pathogen </w:t>
      </w:r>
      <w:r w:rsidR="00664CCB" w:rsidRPr="00644AF5">
        <w:rPr>
          <w:rFonts w:ascii="Calibri" w:hAnsi="Calibri" w:cs="Calibri"/>
          <w:i/>
          <w:iCs/>
          <w:color w:val="000000" w:themeColor="text1"/>
        </w:rPr>
        <w:t>Candida albicans</w:t>
      </w:r>
      <w:r w:rsidR="00664CCB" w:rsidRPr="00644AF5">
        <w:rPr>
          <w:rFonts w:ascii="Calibri" w:hAnsi="Calibri" w:cs="Calibri"/>
          <w:color w:val="000000" w:themeColor="text1"/>
        </w:rPr>
        <w:t xml:space="preserve">, providing detailed guidance to enhance reproducibility and experimental consistency. </w:t>
      </w:r>
    </w:p>
    <w:p w14:paraId="4A31954F" w14:textId="77777777" w:rsidR="00D83041" w:rsidRPr="00644AF5" w:rsidRDefault="00D83041" w:rsidP="000377CA">
      <w:pPr>
        <w:ind w:left="0" w:firstLine="0"/>
        <w:rPr>
          <w:rFonts w:ascii="Calibri" w:hAnsi="Calibri" w:cs="Calibri"/>
          <w:color w:val="000000" w:themeColor="text1"/>
        </w:rPr>
      </w:pPr>
    </w:p>
    <w:p w14:paraId="0CFDB6DB" w14:textId="77777777" w:rsidR="00D90C96" w:rsidRPr="00644AF5" w:rsidRDefault="00D90C96" w:rsidP="000377CA">
      <w:pPr>
        <w:ind w:left="0" w:firstLine="0"/>
        <w:rPr>
          <w:rFonts w:ascii="Calibri" w:hAnsi="Calibri" w:cs="Calibri"/>
          <w:color w:val="000000" w:themeColor="text1"/>
        </w:rPr>
        <w:sectPr w:rsidR="00D90C96" w:rsidRPr="00644AF5" w:rsidSect="004A47C3">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pPr>
    </w:p>
    <w:p w14:paraId="5CEFD433" w14:textId="77777777" w:rsidR="005D3EAE" w:rsidRPr="00644AF5" w:rsidRDefault="005D3EAE" w:rsidP="000377CA">
      <w:pPr>
        <w:pStyle w:val="NormalWeb"/>
        <w:ind w:left="0" w:firstLine="0"/>
        <w:contextualSpacing/>
        <w:rPr>
          <w:rFonts w:ascii="Calibri" w:hAnsi="Calibri" w:cs="Calibri"/>
          <w:b/>
          <w:bCs/>
          <w:color w:val="000000" w:themeColor="text1"/>
        </w:rPr>
      </w:pPr>
      <w:r w:rsidRPr="00644AF5">
        <w:rPr>
          <w:rFonts w:ascii="Calibri" w:hAnsi="Calibri" w:cs="Calibri"/>
          <w:b/>
          <w:bCs/>
          <w:color w:val="000000" w:themeColor="text1"/>
        </w:rPr>
        <w:t>ABSTRACT:</w:t>
      </w:r>
    </w:p>
    <w:p w14:paraId="60F67452" w14:textId="44AA5602" w:rsidR="00030162" w:rsidRPr="00644AF5" w:rsidRDefault="237BA660" w:rsidP="000377CA">
      <w:pPr>
        <w:pStyle w:val="NormalWeb"/>
        <w:ind w:left="0" w:firstLine="0"/>
        <w:contextualSpacing/>
        <w:jc w:val="both"/>
        <w:rPr>
          <w:rFonts w:ascii="Calibri" w:hAnsi="Calibri" w:cs="Calibri"/>
          <w:color w:val="000000" w:themeColor="text1"/>
        </w:rPr>
      </w:pPr>
      <w:r w:rsidRPr="00644AF5">
        <w:rPr>
          <w:rFonts w:ascii="Calibri" w:hAnsi="Calibri" w:cs="Calibri"/>
          <w:i/>
          <w:iCs/>
          <w:color w:val="000000" w:themeColor="text1"/>
        </w:rPr>
        <w:t>Candida albicans</w:t>
      </w:r>
      <w:r w:rsidRPr="00644AF5">
        <w:rPr>
          <w:rFonts w:ascii="Calibri" w:hAnsi="Calibri" w:cs="Calibri"/>
          <w:color w:val="000000" w:themeColor="text1"/>
        </w:rPr>
        <w:t xml:space="preserve"> is a </w:t>
      </w:r>
      <w:r w:rsidR="00AF71D0" w:rsidRPr="00644AF5">
        <w:rPr>
          <w:rFonts w:ascii="Calibri" w:hAnsi="Calibri" w:cs="Calibri"/>
          <w:color w:val="000000" w:themeColor="text1"/>
        </w:rPr>
        <w:t xml:space="preserve">common </w:t>
      </w:r>
      <w:r w:rsidRPr="00644AF5">
        <w:rPr>
          <w:rFonts w:ascii="Calibri" w:hAnsi="Calibri" w:cs="Calibri"/>
          <w:color w:val="000000" w:themeColor="text1"/>
        </w:rPr>
        <w:t>opportunistic fungal pathogen</w:t>
      </w:r>
      <w:r w:rsidR="00C33FF2" w:rsidRPr="00644AF5">
        <w:rPr>
          <w:rFonts w:ascii="Calibri" w:hAnsi="Calibri" w:cs="Calibri"/>
          <w:color w:val="000000" w:themeColor="text1"/>
        </w:rPr>
        <w:t xml:space="preserve"> that</w:t>
      </w:r>
      <w:r w:rsidRPr="00644AF5">
        <w:rPr>
          <w:rFonts w:ascii="Calibri" w:hAnsi="Calibri" w:cs="Calibri"/>
          <w:color w:val="000000" w:themeColor="text1"/>
        </w:rPr>
        <w:t xml:space="preserve"> asymptomatically coloniz</w:t>
      </w:r>
      <w:r w:rsidR="00C33FF2" w:rsidRPr="00644AF5">
        <w:rPr>
          <w:rFonts w:ascii="Calibri" w:hAnsi="Calibri" w:cs="Calibri"/>
          <w:color w:val="000000" w:themeColor="text1"/>
        </w:rPr>
        <w:t xml:space="preserve">es </w:t>
      </w:r>
      <w:r w:rsidR="00AF71D0" w:rsidRPr="00644AF5">
        <w:rPr>
          <w:rFonts w:ascii="Calibri" w:hAnsi="Calibri" w:cs="Calibri"/>
          <w:color w:val="000000" w:themeColor="text1"/>
        </w:rPr>
        <w:t>most humans</w:t>
      </w:r>
      <w:r w:rsidRPr="00644AF5">
        <w:rPr>
          <w:rFonts w:ascii="Calibri" w:hAnsi="Calibri" w:cs="Calibri"/>
          <w:color w:val="000000" w:themeColor="text1"/>
        </w:rPr>
        <w:t xml:space="preserve">. </w:t>
      </w:r>
      <w:r w:rsidR="00FF5FA8" w:rsidRPr="00644AF5">
        <w:rPr>
          <w:rFonts w:ascii="Calibri" w:hAnsi="Calibri" w:cs="Calibri"/>
          <w:color w:val="000000" w:themeColor="text1"/>
        </w:rPr>
        <w:t>Although</w:t>
      </w:r>
      <w:r w:rsidR="00AF71D0" w:rsidRPr="00644AF5">
        <w:rPr>
          <w:rFonts w:ascii="Calibri" w:hAnsi="Calibri" w:cs="Calibri"/>
          <w:color w:val="000000" w:themeColor="text1"/>
        </w:rPr>
        <w:t xml:space="preserve"> </w:t>
      </w:r>
      <w:r w:rsidRPr="00644AF5">
        <w:rPr>
          <w:rFonts w:ascii="Calibri" w:hAnsi="Calibri" w:cs="Calibri"/>
          <w:color w:val="000000" w:themeColor="text1"/>
        </w:rPr>
        <w:t xml:space="preserve">typically a </w:t>
      </w:r>
      <w:r w:rsidR="00AF71D0" w:rsidRPr="00644AF5">
        <w:rPr>
          <w:rFonts w:ascii="Calibri" w:hAnsi="Calibri" w:cs="Calibri"/>
          <w:color w:val="000000" w:themeColor="text1"/>
        </w:rPr>
        <w:t xml:space="preserve">benign </w:t>
      </w:r>
      <w:r w:rsidR="00C33FF2" w:rsidRPr="00644AF5">
        <w:rPr>
          <w:rFonts w:ascii="Calibri" w:hAnsi="Calibri" w:cs="Calibri"/>
          <w:color w:val="000000" w:themeColor="text1"/>
        </w:rPr>
        <w:t>commensal</w:t>
      </w:r>
      <w:r w:rsidRPr="00644AF5">
        <w:rPr>
          <w:rFonts w:ascii="Calibri" w:hAnsi="Calibri" w:cs="Calibri"/>
          <w:color w:val="000000" w:themeColor="text1"/>
        </w:rPr>
        <w:t xml:space="preserve">, </w:t>
      </w:r>
      <w:r w:rsidR="00C33FF2" w:rsidRPr="00644AF5">
        <w:rPr>
          <w:rFonts w:ascii="Calibri" w:hAnsi="Calibri" w:cs="Calibri"/>
          <w:color w:val="000000" w:themeColor="text1"/>
        </w:rPr>
        <w:t xml:space="preserve">dysbiosis caused by </w:t>
      </w:r>
      <w:r w:rsidRPr="00644AF5">
        <w:rPr>
          <w:rFonts w:ascii="Calibri" w:hAnsi="Calibri" w:cs="Calibri"/>
          <w:color w:val="000000" w:themeColor="text1"/>
        </w:rPr>
        <w:t xml:space="preserve">antibiotic use, </w:t>
      </w:r>
      <w:r w:rsidR="00075097" w:rsidRPr="00644AF5">
        <w:rPr>
          <w:rFonts w:ascii="Calibri" w:hAnsi="Calibri" w:cs="Calibri"/>
          <w:color w:val="000000" w:themeColor="text1"/>
        </w:rPr>
        <w:t>immune d</w:t>
      </w:r>
      <w:r w:rsidR="00C33FF2" w:rsidRPr="00644AF5">
        <w:rPr>
          <w:rFonts w:ascii="Calibri" w:hAnsi="Calibri" w:cs="Calibri"/>
          <w:color w:val="000000" w:themeColor="text1"/>
        </w:rPr>
        <w:t>y</w:t>
      </w:r>
      <w:r w:rsidR="00075097" w:rsidRPr="00644AF5">
        <w:rPr>
          <w:rFonts w:ascii="Calibri" w:hAnsi="Calibri" w:cs="Calibri"/>
          <w:color w:val="000000" w:themeColor="text1"/>
        </w:rPr>
        <w:t xml:space="preserve">sfunction, </w:t>
      </w:r>
      <w:r w:rsidRPr="00644AF5">
        <w:rPr>
          <w:rFonts w:ascii="Calibri" w:hAnsi="Calibri" w:cs="Calibri"/>
          <w:color w:val="000000" w:themeColor="text1"/>
        </w:rPr>
        <w:t xml:space="preserve">or </w:t>
      </w:r>
      <w:r w:rsidR="00AF71D0" w:rsidRPr="00644AF5">
        <w:rPr>
          <w:rFonts w:ascii="Calibri" w:hAnsi="Calibri" w:cs="Calibri"/>
          <w:color w:val="000000" w:themeColor="text1"/>
        </w:rPr>
        <w:t xml:space="preserve">epithelial </w:t>
      </w:r>
      <w:r w:rsidRPr="00644AF5">
        <w:rPr>
          <w:rFonts w:ascii="Calibri" w:hAnsi="Calibri" w:cs="Calibri"/>
          <w:color w:val="000000" w:themeColor="text1"/>
        </w:rPr>
        <w:t xml:space="preserve">barrier disruption </w:t>
      </w:r>
      <w:r w:rsidR="00E537AF" w:rsidRPr="00644AF5">
        <w:rPr>
          <w:rFonts w:ascii="Calibri" w:hAnsi="Calibri" w:cs="Calibri"/>
          <w:color w:val="000000" w:themeColor="text1"/>
        </w:rPr>
        <w:t xml:space="preserve">can </w:t>
      </w:r>
      <w:r w:rsidR="008B10FC" w:rsidRPr="00644AF5">
        <w:rPr>
          <w:rFonts w:ascii="Calibri" w:hAnsi="Calibri" w:cs="Calibri"/>
          <w:color w:val="000000" w:themeColor="text1"/>
        </w:rPr>
        <w:t>trigger</w:t>
      </w:r>
      <w:r w:rsidR="00B20B5E" w:rsidRPr="00644AF5">
        <w:rPr>
          <w:rFonts w:ascii="Calibri" w:hAnsi="Calibri" w:cs="Calibri"/>
          <w:color w:val="000000" w:themeColor="text1"/>
        </w:rPr>
        <w:t xml:space="preserve"> fungal</w:t>
      </w:r>
      <w:r w:rsidR="008B10FC" w:rsidRPr="00644AF5">
        <w:rPr>
          <w:rFonts w:ascii="Calibri" w:hAnsi="Calibri" w:cs="Calibri"/>
          <w:color w:val="000000" w:themeColor="text1"/>
        </w:rPr>
        <w:t xml:space="preserve"> </w:t>
      </w:r>
      <w:r w:rsidR="00E537AF" w:rsidRPr="00644AF5">
        <w:rPr>
          <w:rFonts w:ascii="Calibri" w:hAnsi="Calibri" w:cs="Calibri"/>
          <w:color w:val="000000" w:themeColor="text1"/>
        </w:rPr>
        <w:t>overgrowth</w:t>
      </w:r>
      <w:r w:rsidR="00AF71D0" w:rsidRPr="00644AF5">
        <w:rPr>
          <w:rFonts w:ascii="Calibri" w:hAnsi="Calibri" w:cs="Calibri"/>
          <w:color w:val="000000" w:themeColor="text1"/>
        </w:rPr>
        <w:t xml:space="preserve"> and infection</w:t>
      </w:r>
      <w:r w:rsidR="00E537AF" w:rsidRPr="00644AF5">
        <w:rPr>
          <w:rFonts w:ascii="Calibri" w:hAnsi="Calibri" w:cs="Calibri"/>
          <w:color w:val="000000" w:themeColor="text1"/>
        </w:rPr>
        <w:t xml:space="preserve">, </w:t>
      </w:r>
      <w:r w:rsidRPr="00644AF5">
        <w:rPr>
          <w:rFonts w:ascii="Calibri" w:hAnsi="Calibri" w:cs="Calibri"/>
          <w:color w:val="000000" w:themeColor="text1"/>
        </w:rPr>
        <w:lastRenderedPageBreak/>
        <w:t xml:space="preserve">ranging from superficial </w:t>
      </w:r>
      <w:r w:rsidR="00C33FF2" w:rsidRPr="00644AF5">
        <w:rPr>
          <w:rFonts w:ascii="Calibri" w:hAnsi="Calibri" w:cs="Calibri"/>
          <w:color w:val="000000" w:themeColor="text1"/>
        </w:rPr>
        <w:t xml:space="preserve">mucosal </w:t>
      </w:r>
      <w:r w:rsidR="00E537AF" w:rsidRPr="00644AF5">
        <w:rPr>
          <w:rFonts w:ascii="Calibri" w:hAnsi="Calibri" w:cs="Calibri"/>
          <w:color w:val="000000" w:themeColor="text1"/>
        </w:rPr>
        <w:t>disease</w:t>
      </w:r>
      <w:r w:rsidR="00C33FF2" w:rsidRPr="00644AF5">
        <w:rPr>
          <w:rFonts w:ascii="Calibri" w:hAnsi="Calibri" w:cs="Calibri"/>
          <w:color w:val="000000" w:themeColor="text1"/>
        </w:rPr>
        <w:t xml:space="preserve"> </w:t>
      </w:r>
      <w:r w:rsidRPr="00644AF5">
        <w:rPr>
          <w:rFonts w:ascii="Calibri" w:hAnsi="Calibri" w:cs="Calibri"/>
          <w:color w:val="000000" w:themeColor="text1"/>
        </w:rPr>
        <w:t xml:space="preserve">to life-threatening systemic </w:t>
      </w:r>
      <w:r w:rsidR="00AF71D0" w:rsidRPr="00644AF5">
        <w:rPr>
          <w:rFonts w:ascii="Calibri" w:hAnsi="Calibri" w:cs="Calibri"/>
          <w:color w:val="000000" w:themeColor="text1"/>
        </w:rPr>
        <w:t>candidiasis</w:t>
      </w:r>
      <w:r w:rsidRPr="00644AF5">
        <w:rPr>
          <w:rFonts w:ascii="Calibri" w:hAnsi="Calibri" w:cs="Calibri"/>
          <w:color w:val="000000" w:themeColor="text1"/>
        </w:rPr>
        <w:t>.</w:t>
      </w:r>
      <w:r w:rsidR="00C33FF2" w:rsidRPr="00644AF5">
        <w:rPr>
          <w:rFonts w:ascii="Calibri" w:hAnsi="Calibri" w:cs="Calibri"/>
          <w:color w:val="000000" w:themeColor="text1"/>
        </w:rPr>
        <w:t xml:space="preserve"> </w:t>
      </w:r>
      <w:r w:rsidR="00E537AF" w:rsidRPr="00644AF5">
        <w:rPr>
          <w:rFonts w:ascii="Calibri" w:hAnsi="Calibri" w:cs="Calibri"/>
          <w:color w:val="000000" w:themeColor="text1"/>
        </w:rPr>
        <w:t>New</w:t>
      </w:r>
      <w:r w:rsidR="00DB6859" w:rsidRPr="00644AF5">
        <w:rPr>
          <w:rFonts w:ascii="Calibri" w:hAnsi="Calibri" w:cs="Calibri"/>
          <w:color w:val="000000" w:themeColor="text1"/>
        </w:rPr>
        <w:t xml:space="preserve"> preclinical</w:t>
      </w:r>
      <w:r w:rsidR="00E537AF" w:rsidRPr="00644AF5">
        <w:rPr>
          <w:rFonts w:ascii="Calibri" w:hAnsi="Calibri" w:cs="Calibri"/>
          <w:color w:val="000000" w:themeColor="text1"/>
        </w:rPr>
        <w:t xml:space="preserve"> infection </w:t>
      </w:r>
      <w:r w:rsidR="00C33FF2" w:rsidRPr="00644AF5">
        <w:rPr>
          <w:rFonts w:ascii="Calibri" w:hAnsi="Calibri" w:cs="Calibri"/>
          <w:color w:val="000000" w:themeColor="text1"/>
        </w:rPr>
        <w:t>models</w:t>
      </w:r>
      <w:r w:rsidR="00E537AF" w:rsidRPr="00644AF5">
        <w:rPr>
          <w:rFonts w:ascii="Calibri" w:hAnsi="Calibri" w:cs="Calibri"/>
          <w:color w:val="000000" w:themeColor="text1"/>
        </w:rPr>
        <w:t xml:space="preserve"> are needed to dissect </w:t>
      </w:r>
      <w:r w:rsidR="00C33FF2" w:rsidRPr="00644AF5">
        <w:rPr>
          <w:rFonts w:ascii="Calibri" w:hAnsi="Calibri" w:cs="Calibri"/>
          <w:i/>
          <w:iCs/>
          <w:color w:val="000000" w:themeColor="text1"/>
        </w:rPr>
        <w:t>C. albicans</w:t>
      </w:r>
      <w:r w:rsidR="00C33FF2" w:rsidRPr="00644AF5">
        <w:rPr>
          <w:rFonts w:ascii="Calibri" w:hAnsi="Calibri" w:cs="Calibri"/>
          <w:color w:val="000000" w:themeColor="text1"/>
        </w:rPr>
        <w:t xml:space="preserve"> </w:t>
      </w:r>
      <w:r w:rsidR="00E537AF" w:rsidRPr="00644AF5">
        <w:rPr>
          <w:rFonts w:ascii="Calibri" w:hAnsi="Calibri" w:cs="Calibri"/>
          <w:color w:val="000000" w:themeColor="text1"/>
        </w:rPr>
        <w:t xml:space="preserve">pathogenesis </w:t>
      </w:r>
      <w:r w:rsidR="00E537AF" w:rsidRPr="00644AF5">
        <w:rPr>
          <w:rFonts w:ascii="Calibri" w:hAnsi="Calibri" w:cs="Calibri"/>
          <w:i/>
          <w:iCs/>
          <w:color w:val="000000" w:themeColor="text1"/>
        </w:rPr>
        <w:t>in vivo</w:t>
      </w:r>
      <w:r w:rsidR="00E537AF" w:rsidRPr="00644AF5">
        <w:rPr>
          <w:rFonts w:ascii="Calibri" w:hAnsi="Calibri" w:cs="Calibri"/>
          <w:color w:val="000000" w:themeColor="text1"/>
        </w:rPr>
        <w:t xml:space="preserve"> across distinct </w:t>
      </w:r>
      <w:r w:rsidR="00497D81">
        <w:rPr>
          <w:rFonts w:ascii="Calibri" w:hAnsi="Calibri" w:cs="Calibri"/>
          <w:color w:val="000000" w:themeColor="text1"/>
        </w:rPr>
        <w:t>infection stages</w:t>
      </w:r>
      <w:r w:rsidR="00B20B5E" w:rsidRPr="00644AF5">
        <w:rPr>
          <w:rFonts w:ascii="Calibri" w:hAnsi="Calibri" w:cs="Calibri"/>
          <w:color w:val="000000" w:themeColor="text1"/>
        </w:rPr>
        <w:t xml:space="preserve"> and with different measurable host outcomes</w:t>
      </w:r>
      <w:r w:rsidR="00E537AF" w:rsidRPr="00644AF5">
        <w:rPr>
          <w:rFonts w:ascii="Calibri" w:hAnsi="Calibri" w:cs="Calibri"/>
          <w:color w:val="000000" w:themeColor="text1"/>
        </w:rPr>
        <w:t xml:space="preserve">. </w:t>
      </w:r>
      <w:r w:rsidR="00497D81">
        <w:rPr>
          <w:rFonts w:ascii="Calibri" w:hAnsi="Calibri" w:cs="Calibri"/>
          <w:color w:val="000000" w:themeColor="text1"/>
        </w:rPr>
        <w:t>The</w:t>
      </w:r>
      <w:r w:rsidR="00E537AF" w:rsidRPr="00644AF5">
        <w:rPr>
          <w:rFonts w:ascii="Calibri" w:hAnsi="Calibri" w:cs="Calibri"/>
          <w:color w:val="000000" w:themeColor="text1"/>
        </w:rPr>
        <w:t xml:space="preserve"> </w:t>
      </w:r>
      <w:r w:rsidR="00497D81">
        <w:rPr>
          <w:rFonts w:ascii="Calibri" w:hAnsi="Calibri" w:cs="Calibri"/>
          <w:color w:val="000000" w:themeColor="text1"/>
        </w:rPr>
        <w:t xml:space="preserve">planarian </w:t>
      </w:r>
      <w:r w:rsidR="00497D81" w:rsidRPr="00497D81">
        <w:rPr>
          <w:rFonts w:ascii="Calibri" w:hAnsi="Calibri" w:cs="Calibri"/>
          <w:i/>
          <w:iCs/>
          <w:color w:val="000000" w:themeColor="text1"/>
        </w:rPr>
        <w:t>Schmidtea mediterranea</w:t>
      </w:r>
      <w:r w:rsidR="00497D81">
        <w:rPr>
          <w:rFonts w:ascii="Calibri" w:hAnsi="Calibri" w:cs="Calibri"/>
          <w:color w:val="000000" w:themeColor="text1"/>
        </w:rPr>
        <w:t xml:space="preserve"> (</w:t>
      </w:r>
      <w:r w:rsidR="00497D81" w:rsidRPr="00644AF5">
        <w:rPr>
          <w:rFonts w:ascii="Calibri" w:hAnsi="Calibri" w:cs="Calibri"/>
          <w:i/>
          <w:iCs/>
          <w:color w:val="000000" w:themeColor="text1"/>
        </w:rPr>
        <w:t>S. mediterranea</w:t>
      </w:r>
      <w:r w:rsidR="00497D81">
        <w:rPr>
          <w:rFonts w:ascii="Calibri" w:hAnsi="Calibri" w:cs="Calibri"/>
          <w:i/>
          <w:iCs/>
          <w:color w:val="000000" w:themeColor="text1"/>
        </w:rPr>
        <w:t xml:space="preserve">) </w:t>
      </w:r>
      <w:r w:rsidR="00497D81">
        <w:rPr>
          <w:rFonts w:ascii="Calibri" w:hAnsi="Calibri" w:cs="Calibri"/>
          <w:color w:val="000000" w:themeColor="text1"/>
        </w:rPr>
        <w:t xml:space="preserve">was previously established </w:t>
      </w:r>
      <w:r w:rsidR="00C33FF2" w:rsidRPr="00644AF5">
        <w:rPr>
          <w:rFonts w:ascii="Calibri" w:hAnsi="Calibri" w:cs="Calibri"/>
          <w:color w:val="000000" w:themeColor="text1"/>
        </w:rPr>
        <w:t>as a</w:t>
      </w:r>
      <w:r w:rsidR="005A53B7" w:rsidRPr="00644AF5">
        <w:rPr>
          <w:rFonts w:ascii="Calibri" w:hAnsi="Calibri" w:cs="Calibri"/>
          <w:color w:val="000000" w:themeColor="text1"/>
        </w:rPr>
        <w:t>n</w:t>
      </w:r>
      <w:r w:rsidR="004B2E6E" w:rsidRPr="00644AF5">
        <w:rPr>
          <w:rFonts w:ascii="Calibri" w:hAnsi="Calibri" w:cs="Calibri"/>
          <w:color w:val="000000" w:themeColor="text1"/>
        </w:rPr>
        <w:t xml:space="preserve"> invertebrate</w:t>
      </w:r>
      <w:r w:rsidR="00AF71D0" w:rsidRPr="00644AF5">
        <w:rPr>
          <w:rFonts w:ascii="Calibri" w:hAnsi="Calibri" w:cs="Calibri"/>
          <w:color w:val="000000" w:themeColor="text1"/>
        </w:rPr>
        <w:t xml:space="preserve"> host</w:t>
      </w:r>
      <w:r w:rsidR="00E537AF" w:rsidRPr="00644AF5">
        <w:rPr>
          <w:rFonts w:ascii="Calibri" w:hAnsi="Calibri" w:cs="Calibri"/>
          <w:color w:val="000000" w:themeColor="text1"/>
        </w:rPr>
        <w:t xml:space="preserve"> for</w:t>
      </w:r>
      <w:r w:rsidR="00C33FF2" w:rsidRPr="00644AF5">
        <w:rPr>
          <w:rFonts w:ascii="Calibri" w:hAnsi="Calibri" w:cs="Calibri"/>
          <w:color w:val="000000" w:themeColor="text1"/>
        </w:rPr>
        <w:t xml:space="preserve"> study</w:t>
      </w:r>
      <w:r w:rsidR="00E537AF" w:rsidRPr="00644AF5">
        <w:rPr>
          <w:rFonts w:ascii="Calibri" w:hAnsi="Calibri" w:cs="Calibri"/>
          <w:color w:val="000000" w:themeColor="text1"/>
        </w:rPr>
        <w:t>ing</w:t>
      </w:r>
      <w:r w:rsidR="00C33FF2" w:rsidRPr="00644AF5">
        <w:rPr>
          <w:rFonts w:ascii="Calibri" w:hAnsi="Calibri" w:cs="Calibri"/>
          <w:color w:val="000000" w:themeColor="text1"/>
        </w:rPr>
        <w:t xml:space="preserve"> host-pathogen </w:t>
      </w:r>
      <w:r w:rsidR="00E537AF" w:rsidRPr="00644AF5">
        <w:rPr>
          <w:rFonts w:ascii="Calibri" w:hAnsi="Calibri" w:cs="Calibri"/>
          <w:color w:val="000000" w:themeColor="text1"/>
        </w:rPr>
        <w:t xml:space="preserve">interactions during </w:t>
      </w:r>
      <w:r w:rsidR="00C33FF2" w:rsidRPr="00644AF5">
        <w:rPr>
          <w:rFonts w:ascii="Calibri" w:hAnsi="Calibri" w:cs="Calibri"/>
          <w:i/>
          <w:iCs/>
          <w:color w:val="000000" w:themeColor="text1"/>
        </w:rPr>
        <w:t>C. albicans</w:t>
      </w:r>
      <w:r w:rsidR="00E537AF" w:rsidRPr="00644AF5">
        <w:rPr>
          <w:rFonts w:ascii="Calibri" w:hAnsi="Calibri" w:cs="Calibri"/>
          <w:i/>
          <w:iCs/>
          <w:color w:val="000000" w:themeColor="text1"/>
        </w:rPr>
        <w:t xml:space="preserve"> </w:t>
      </w:r>
      <w:r w:rsidR="00E537AF" w:rsidRPr="00644AF5">
        <w:rPr>
          <w:rFonts w:ascii="Calibri" w:hAnsi="Calibri" w:cs="Calibri"/>
          <w:color w:val="000000" w:themeColor="text1"/>
        </w:rPr>
        <w:t>infection</w:t>
      </w:r>
      <w:r w:rsidR="00C33FF2" w:rsidRPr="00644AF5">
        <w:rPr>
          <w:rFonts w:ascii="Calibri" w:hAnsi="Calibri" w:cs="Calibri"/>
          <w:color w:val="000000" w:themeColor="text1"/>
        </w:rPr>
        <w:t xml:space="preserve">. </w:t>
      </w:r>
      <w:r w:rsidR="00C33FF2" w:rsidRPr="00644AF5">
        <w:rPr>
          <w:rFonts w:ascii="Calibri" w:hAnsi="Calibri" w:cs="Calibri"/>
          <w:i/>
          <w:iCs/>
          <w:color w:val="000000" w:themeColor="text1"/>
        </w:rPr>
        <w:t xml:space="preserve">S. mediterranea </w:t>
      </w:r>
      <w:r w:rsidR="00AF71D0" w:rsidRPr="00644AF5">
        <w:rPr>
          <w:rFonts w:ascii="Calibri" w:hAnsi="Calibri" w:cs="Calibri"/>
          <w:color w:val="000000" w:themeColor="text1"/>
        </w:rPr>
        <w:t>relies entirely on conserved innate immune mechanisms</w:t>
      </w:r>
      <w:r w:rsidR="005A53B7" w:rsidRPr="00644AF5">
        <w:rPr>
          <w:rFonts w:ascii="Calibri" w:hAnsi="Calibri" w:cs="Calibri"/>
          <w:color w:val="000000" w:themeColor="text1"/>
        </w:rPr>
        <w:t xml:space="preserve"> capable of overcoming infection with pathogenic microorganisms, including bacteria and fungi. Planarians’</w:t>
      </w:r>
      <w:r w:rsidR="00AF71D0" w:rsidRPr="00644AF5">
        <w:rPr>
          <w:rFonts w:ascii="Calibri" w:hAnsi="Calibri" w:cs="Calibri"/>
          <w:color w:val="000000" w:themeColor="text1"/>
        </w:rPr>
        <w:t xml:space="preserve"> </w:t>
      </w:r>
      <w:r w:rsidR="009D42E8" w:rsidRPr="00644AF5">
        <w:rPr>
          <w:rFonts w:ascii="Calibri" w:hAnsi="Calibri" w:cs="Calibri"/>
          <w:color w:val="000000" w:themeColor="text1"/>
        </w:rPr>
        <w:t>remarkable</w:t>
      </w:r>
      <w:r w:rsidR="00AF71D0" w:rsidRPr="00644AF5">
        <w:rPr>
          <w:rFonts w:ascii="Calibri" w:hAnsi="Calibri" w:cs="Calibri"/>
          <w:color w:val="000000" w:themeColor="text1"/>
        </w:rPr>
        <w:t xml:space="preserve"> regenerative capacity</w:t>
      </w:r>
      <w:r w:rsidR="005A53B7" w:rsidRPr="00644AF5">
        <w:rPr>
          <w:rFonts w:ascii="Calibri" w:hAnsi="Calibri" w:cs="Calibri"/>
          <w:color w:val="000000" w:themeColor="text1"/>
        </w:rPr>
        <w:t xml:space="preserve"> and accessible stem cell populations make </w:t>
      </w:r>
      <w:r w:rsidR="006C5198" w:rsidRPr="00644AF5">
        <w:rPr>
          <w:rFonts w:ascii="Calibri" w:hAnsi="Calibri" w:cs="Calibri"/>
          <w:color w:val="000000" w:themeColor="text1"/>
        </w:rPr>
        <w:t xml:space="preserve">this organism a tractable model to analyze </w:t>
      </w:r>
      <w:r w:rsidR="00AF71D0" w:rsidRPr="00644AF5">
        <w:rPr>
          <w:rFonts w:ascii="Calibri" w:hAnsi="Calibri" w:cs="Calibri"/>
          <w:color w:val="000000" w:themeColor="text1"/>
        </w:rPr>
        <w:t xml:space="preserve">early immune responses, tissue repair, and pathogen clearance </w:t>
      </w:r>
      <w:r w:rsidR="00AF71D0" w:rsidRPr="00644AF5">
        <w:rPr>
          <w:rFonts w:ascii="Calibri" w:hAnsi="Calibri" w:cs="Calibri"/>
          <w:i/>
          <w:iCs/>
          <w:color w:val="000000" w:themeColor="text1"/>
        </w:rPr>
        <w:t>in vivo</w:t>
      </w:r>
      <w:r w:rsidR="00AF71D0" w:rsidRPr="00644AF5">
        <w:rPr>
          <w:rFonts w:ascii="Calibri" w:hAnsi="Calibri" w:cs="Calibri"/>
          <w:color w:val="000000" w:themeColor="text1"/>
        </w:rPr>
        <w:t xml:space="preserve">. This model supports simultaneous analysis of fungal virulence and host transcriptional responses, providing </w:t>
      </w:r>
      <w:r w:rsidR="008B10FC" w:rsidRPr="00644AF5">
        <w:rPr>
          <w:rFonts w:ascii="Calibri" w:hAnsi="Calibri" w:cs="Calibri"/>
          <w:color w:val="000000" w:themeColor="text1"/>
        </w:rPr>
        <w:t>valuable</w:t>
      </w:r>
      <w:r w:rsidR="00AF71D0" w:rsidRPr="00644AF5">
        <w:rPr>
          <w:rFonts w:ascii="Calibri" w:hAnsi="Calibri" w:cs="Calibri"/>
          <w:color w:val="000000" w:themeColor="text1"/>
        </w:rPr>
        <w:t xml:space="preserve"> insight</w:t>
      </w:r>
      <w:r w:rsidR="00603103" w:rsidRPr="00644AF5">
        <w:rPr>
          <w:rFonts w:ascii="Calibri" w:hAnsi="Calibri" w:cs="Calibri"/>
          <w:color w:val="000000" w:themeColor="text1"/>
        </w:rPr>
        <w:t>s</w:t>
      </w:r>
      <w:r w:rsidR="00AF71D0" w:rsidRPr="00644AF5">
        <w:rPr>
          <w:rFonts w:ascii="Calibri" w:hAnsi="Calibri" w:cs="Calibri"/>
          <w:color w:val="000000" w:themeColor="text1"/>
        </w:rPr>
        <w:t xml:space="preserve"> into infection dynamics. Here, an updated protocol with detailed </w:t>
      </w:r>
      <w:r w:rsidR="0089046D" w:rsidRPr="00644AF5">
        <w:rPr>
          <w:rFonts w:ascii="Calibri" w:hAnsi="Calibri" w:cs="Calibri"/>
          <w:color w:val="000000" w:themeColor="text1"/>
        </w:rPr>
        <w:t>modifications</w:t>
      </w:r>
      <w:r w:rsidR="00AF71D0" w:rsidRPr="00644AF5">
        <w:rPr>
          <w:rFonts w:ascii="Calibri" w:hAnsi="Calibri" w:cs="Calibri"/>
          <w:color w:val="000000" w:themeColor="text1"/>
        </w:rPr>
        <w:t xml:space="preserve">, standardized procedures, and optimized steps for infecting </w:t>
      </w:r>
      <w:r w:rsidR="00AF71D0" w:rsidRPr="00644AF5">
        <w:rPr>
          <w:rFonts w:ascii="Calibri" w:hAnsi="Calibri" w:cs="Calibri"/>
          <w:i/>
          <w:iCs/>
          <w:color w:val="000000" w:themeColor="text1"/>
        </w:rPr>
        <w:t>S. mediterranea</w:t>
      </w:r>
      <w:r w:rsidR="00AF71D0" w:rsidRPr="00644AF5">
        <w:rPr>
          <w:rFonts w:ascii="Calibri" w:hAnsi="Calibri" w:cs="Calibri"/>
          <w:color w:val="000000" w:themeColor="text1"/>
        </w:rPr>
        <w:t xml:space="preserve"> with </w:t>
      </w:r>
      <w:r w:rsidR="00AF71D0" w:rsidRPr="00644AF5">
        <w:rPr>
          <w:rFonts w:ascii="Calibri" w:hAnsi="Calibri" w:cs="Calibri"/>
          <w:i/>
          <w:iCs/>
          <w:color w:val="000000" w:themeColor="text1"/>
        </w:rPr>
        <w:t>C. albicans</w:t>
      </w:r>
      <w:r w:rsidR="00497D81">
        <w:rPr>
          <w:rFonts w:ascii="Calibri" w:hAnsi="Calibri" w:cs="Calibri"/>
          <w:color w:val="000000" w:themeColor="text1"/>
        </w:rPr>
        <w:t xml:space="preserve"> has been presented, designed to enhance reproducibility and enable systematic studies of fungal pathogenesis and host defense</w:t>
      </w:r>
      <w:r w:rsidR="00AF71D0" w:rsidRPr="00644AF5">
        <w:rPr>
          <w:rFonts w:ascii="Calibri" w:hAnsi="Calibri" w:cs="Calibri"/>
          <w:color w:val="000000" w:themeColor="text1"/>
        </w:rPr>
        <w:t>.</w:t>
      </w:r>
      <w:r w:rsidR="009F25A0" w:rsidRPr="00644AF5">
        <w:rPr>
          <w:rFonts w:ascii="Calibri" w:hAnsi="Calibri" w:cs="Calibri"/>
          <w:color w:val="000000" w:themeColor="text1"/>
        </w:rPr>
        <w:t xml:space="preserve"> </w:t>
      </w:r>
    </w:p>
    <w:p w14:paraId="662760B5" w14:textId="44BFAEA6" w:rsidR="76F3CA7D" w:rsidRPr="00644AF5" w:rsidRDefault="76F3CA7D" w:rsidP="000377CA">
      <w:pPr>
        <w:pStyle w:val="NormalWeb"/>
        <w:ind w:left="0" w:firstLine="0"/>
        <w:contextualSpacing/>
        <w:jc w:val="both"/>
        <w:rPr>
          <w:rFonts w:ascii="Calibri" w:hAnsi="Calibri" w:cs="Calibri"/>
          <w:color w:val="000000" w:themeColor="text1"/>
        </w:rPr>
      </w:pPr>
    </w:p>
    <w:p w14:paraId="54C3C900" w14:textId="41FB4E45" w:rsidR="00095E69" w:rsidRPr="00644AF5" w:rsidRDefault="00551D82" w:rsidP="000377CA">
      <w:pPr>
        <w:pStyle w:val="NormalWeb"/>
        <w:ind w:left="0" w:firstLine="0"/>
        <w:contextualSpacing/>
        <w:rPr>
          <w:rFonts w:ascii="Calibri" w:hAnsi="Calibri" w:cs="Calibri"/>
          <w:color w:val="000000" w:themeColor="text1"/>
        </w:rPr>
      </w:pPr>
      <w:r w:rsidRPr="00644AF5">
        <w:rPr>
          <w:rFonts w:ascii="Calibri" w:hAnsi="Calibri" w:cs="Calibri"/>
          <w:b/>
          <w:color w:val="000000" w:themeColor="text1"/>
        </w:rPr>
        <w:t>INTRODUCTION:</w:t>
      </w:r>
      <w:r w:rsidRPr="00644AF5">
        <w:rPr>
          <w:rFonts w:ascii="Calibri" w:hAnsi="Calibri" w:cs="Calibri"/>
          <w:color w:val="000000" w:themeColor="text1"/>
        </w:rPr>
        <w:t xml:space="preserve"> </w:t>
      </w:r>
    </w:p>
    <w:p w14:paraId="00345C1D" w14:textId="0891B555" w:rsidR="00FB428D" w:rsidRPr="00644AF5" w:rsidRDefault="237BA660" w:rsidP="000377CA">
      <w:pPr>
        <w:pStyle w:val="NormalWeb"/>
        <w:ind w:left="0" w:firstLine="0"/>
        <w:contextualSpacing/>
        <w:jc w:val="both"/>
        <w:rPr>
          <w:rFonts w:ascii="Calibri" w:hAnsi="Calibri" w:cs="Calibri"/>
          <w:color w:val="000000" w:themeColor="text1"/>
        </w:rPr>
      </w:pPr>
      <w:r w:rsidRPr="00644AF5">
        <w:rPr>
          <w:rStyle w:val="Emphasis"/>
          <w:rFonts w:ascii="Calibri" w:hAnsi="Calibri" w:cs="Calibri"/>
          <w:color w:val="000000" w:themeColor="text1"/>
        </w:rPr>
        <w:t>Candida albicans</w:t>
      </w:r>
      <w:r w:rsidRPr="00644AF5">
        <w:rPr>
          <w:rFonts w:ascii="Calibri" w:hAnsi="Calibri" w:cs="Calibri"/>
          <w:color w:val="000000" w:themeColor="text1"/>
        </w:rPr>
        <w:t xml:space="preserve"> is a </w:t>
      </w:r>
      <w:r w:rsidR="006C5198" w:rsidRPr="00644AF5">
        <w:rPr>
          <w:rFonts w:ascii="Calibri" w:hAnsi="Calibri" w:cs="Calibri"/>
          <w:color w:val="000000" w:themeColor="text1"/>
        </w:rPr>
        <w:t xml:space="preserve">common </w:t>
      </w:r>
      <w:r w:rsidR="00510BED" w:rsidRPr="00644AF5">
        <w:rPr>
          <w:rFonts w:ascii="Calibri" w:hAnsi="Calibri" w:cs="Calibri"/>
          <w:color w:val="000000" w:themeColor="text1"/>
        </w:rPr>
        <w:t xml:space="preserve">opportunistic </w:t>
      </w:r>
      <w:r w:rsidRPr="00644AF5">
        <w:rPr>
          <w:rFonts w:ascii="Calibri" w:hAnsi="Calibri" w:cs="Calibri"/>
          <w:color w:val="000000" w:themeColor="text1"/>
        </w:rPr>
        <w:t>fungal pathogen</w:t>
      </w:r>
      <w:r w:rsidR="00510BED" w:rsidRPr="00644AF5">
        <w:rPr>
          <w:rFonts w:ascii="Calibri" w:hAnsi="Calibri" w:cs="Calibri"/>
          <w:color w:val="000000" w:themeColor="text1"/>
        </w:rPr>
        <w:t xml:space="preserve"> that </w:t>
      </w:r>
      <w:r w:rsidRPr="00644AF5">
        <w:rPr>
          <w:rFonts w:ascii="Calibri" w:hAnsi="Calibri" w:cs="Calibri"/>
          <w:color w:val="000000" w:themeColor="text1"/>
        </w:rPr>
        <w:t>asymptomatically coloniz</w:t>
      </w:r>
      <w:r w:rsidR="00510BED" w:rsidRPr="00644AF5">
        <w:rPr>
          <w:rFonts w:ascii="Calibri" w:hAnsi="Calibri" w:cs="Calibri"/>
          <w:color w:val="000000" w:themeColor="text1"/>
        </w:rPr>
        <w:t>es</w:t>
      </w:r>
      <w:r w:rsidRPr="00644AF5">
        <w:rPr>
          <w:rFonts w:ascii="Calibri" w:hAnsi="Calibri" w:cs="Calibri"/>
          <w:color w:val="000000" w:themeColor="text1"/>
        </w:rPr>
        <w:t xml:space="preserve"> </w:t>
      </w:r>
      <w:r w:rsidR="00FD77CE" w:rsidRPr="00644AF5">
        <w:rPr>
          <w:rFonts w:ascii="Calibri" w:hAnsi="Calibri" w:cs="Calibri"/>
          <w:color w:val="000000" w:themeColor="text1"/>
        </w:rPr>
        <w:t>50-</w:t>
      </w:r>
      <w:r w:rsidR="00510BED" w:rsidRPr="00644AF5">
        <w:rPr>
          <w:rFonts w:ascii="Calibri" w:hAnsi="Calibri" w:cs="Calibri"/>
          <w:color w:val="000000" w:themeColor="text1"/>
        </w:rPr>
        <w:t xml:space="preserve">70% </w:t>
      </w:r>
      <w:r w:rsidR="00394430" w:rsidRPr="00644AF5">
        <w:rPr>
          <w:rFonts w:ascii="Calibri" w:hAnsi="Calibri" w:cs="Calibri"/>
          <w:color w:val="000000" w:themeColor="text1"/>
        </w:rPr>
        <w:t>of</w:t>
      </w:r>
      <w:r w:rsidRPr="00644AF5">
        <w:rPr>
          <w:rFonts w:ascii="Calibri" w:hAnsi="Calibri" w:cs="Calibri"/>
          <w:color w:val="000000" w:themeColor="text1"/>
        </w:rPr>
        <w:t xml:space="preserve"> </w:t>
      </w:r>
      <w:r w:rsidR="00510BED" w:rsidRPr="00644AF5">
        <w:rPr>
          <w:rFonts w:ascii="Calibri" w:hAnsi="Calibri" w:cs="Calibri"/>
          <w:color w:val="000000" w:themeColor="text1"/>
        </w:rPr>
        <w:t>human</w:t>
      </w:r>
      <w:r w:rsidR="00D92E27" w:rsidRPr="00644AF5">
        <w:rPr>
          <w:rFonts w:ascii="Calibri" w:hAnsi="Calibri" w:cs="Calibri"/>
          <w:color w:val="000000" w:themeColor="text1"/>
        </w:rPr>
        <w:t>s</w:t>
      </w:r>
      <w:r w:rsidR="00993C82"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{"citationID":"itOFcUUW","properties":{"formattedCitation":"\\super 1\\uc0\\u8211{}3\\nosupersub{}","plainCitation":"1–3","noteIndex":0},"citationItems":[{"id":245,"uris":["http://zotero.org/users/11181870/items/65NEBLKY"],"itemData":{"id":245,"type":"article-journal","container-title":"Gut Microbes","DOI":"10.1080/19490976.2023.2287618","ISSN":"1949-0976, 1949-0984","issue":"2","journalAbbreviation":"Gut Microbes","language":"en","page":"2287618","source":"DOI.org (Crossref)","title":"Unveiling &lt;i&gt;Candida albicans&lt;/i&gt; intestinal carriage in healthy volunteers: the role of micro- and mycobiota, diet, host genetics and immune response","title-short":"Unveiling &lt;i&gt;Candida albicans&lt;/i&gt; intestinal carriage in healthy volunteers","URL":"https://www.tandfonline.com/doi/full/10.1080/19490976.2023.2287618","volume":"15","author":[{"family":"Delavy","given":"Margot"},{"family":"Sertour","given":"Natacha"},{"family":"Patin","given":"Etienne"},{"family":"Le Chatelier","given":"Emmanuelle"},{"family":"Cole","given":"Nathaniel"},{"family":"Dubois","given":"Florian"},{"family":"Xie","given":"Zixuan"},{"family":"Saint-André","given":"Violaine"},{"family":"Manichanh","given":"Chaysavanh"},{"family":"Walker","given":"Alan W."},{"family":"Quintana-Murci","given":"Lluis"},{"family":"Duffy","given":"Darragh"},{"family":"Enfert","given":"Christophe","non-dropping-particle":"d’"},{"family":"Bougnoux","given":"Marie-Elisabeth"},{"family":"Consortium","given":"Milieu Intérieur"}],"accessed":{"date-parts":[["2025",11,19]]},"issued":{"date-parts":[["2023",12,18]]}}},{"id":244,"uris":["http://zotero.org/users/11181870/items/UXA4MXKK"],"itemData":{"id":244,"type":"article-journal","abstract":"ABSTRACT\n            \n              \n              \n                While\n                Candida albicans\n                is a common, commensal yeast colonizing 50%–60% of humans, it has the potential to expand in the gastrointestinal tract and enter the blood stream resulting in invasive candidiasis. Invasive candidiasis carries a mortality approaching 50%, especially in the most vulnerable, immunocompromised population. Antibacterial use causes an increase in\n                C. albicans\n                gastrointestinal colonization, indicating that the colonic microbiota plays a major role in preventing an uncontrolled expansion, a phenomenon known as colonization resistance. Antibacterials, medications, diet, and co-morbid conditions can all alter the microbiome, creating an altered environment known as dysbiosis. Our understanding of the microbiome continues to advance, and there is increasing evidence that the interactions that the microbiome has on the host are vital in maintaining colonization resistance to pathogens including\n                C. albicans\n                . This review will focus on colonization resistance to\n                C. albicans\n                within the gastrointestinal tract. The scope includes the benefits and consequences of\n                C. albicans\n                colonization, interkingdom interactions of the microbiome on\n                C. albicans\n                , microbiome-host interactions and how these modulate\n                C. albicans\n                colonization, and the impact of medications and diet on colonization resistance.","container-title":"Infection and Immunity","DOI":"10.1128/iai.00610-24","ISSN":"0019-9567, 1098-5522","issue":"9","journalAbbreviation":"Infect Immun","language":"en","page":"e00610-24","source":"DOI.org (Crossref)","title":"&lt;i&gt;Candida albicans&lt;/i&gt; gastrointestinal colonization resistance: a host-microbiome balancing act","title-short":"&lt;i&gt;Candida albicans&lt;/i&gt; gastrointestinal colonization resistance","URL":"https://journals.asm.org/doi/10.1128/iai.00610-24","volume":"93","author":[{"family":"Bays","given":"Derek J."},{"family":"Savage","given":"Hannah P."}],"editor":[{"family":"Ottemann","given":"Karen M."}],"accessed":{"date-parts":[["2025",11,19]]},"issued":{"date-parts":[["2025",9,9]]}}},{"id":247,"uris":["http://zotero.org/users/11181870/items/WAXUABKG"],"itemData":{"id":247,"type":"article-journal","container-title":"Microbiome","DOI":"10.1186/s40168-017-0373-4","ISSN":"2049-2618","issue":"1","journalAbbreviation":"Microbiome","language":"en","page":"153","source":"DOI.org (Crossref)","title":"The gut mycobiome of the Human Microbiome Project healthy cohort","URL":"https://microbiomejournal.biomedcentral.com/articles/10.1186/s40168-017-0373-4","volume":"5","author":[{"family":"Nash","given":"Andrea K."},{"family":"Auchtung","given":"Thomas A."},{"family":"Wong","given":"Matthew C."},{"family":"Smith","given":"Daniel P."},{"family":"Gesell","given":"Jonathan R."},{"family":"Ross","given":"Matthew C."},{"family":"Stewart","given":"Christopher J."},{"family":"Metcalf","given":"Ginger A."},{"family":"Muzny","given":"Donna M."},{"family":"Gibbs","given":"Richard A."},{"family":"Ajami","given":"Nadim J."},{"family":"Petrosino","given":"Joseph F."}],"accessed":{"date-parts":[["2025",11,19]]},"issued":{"date-parts":[["2017",12]]}}}],"schema":"https://github.com/citation-style-language/schema/raw/master/csl-citation.json"} </w:instrText>
      </w:r>
      <w:r w:rsidR="00993C82"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1–3</w:t>
      </w:r>
      <w:r w:rsidR="00993C82" w:rsidRPr="00644AF5">
        <w:rPr>
          <w:rFonts w:ascii="Calibri" w:hAnsi="Calibri" w:cs="Calibri"/>
          <w:color w:val="000000" w:themeColor="text1"/>
        </w:rPr>
        <w:fldChar w:fldCharType="end"/>
      </w:r>
      <w:r w:rsidRPr="00644AF5">
        <w:rPr>
          <w:rFonts w:ascii="Calibri" w:hAnsi="Calibri" w:cs="Calibri"/>
          <w:color w:val="000000" w:themeColor="text1"/>
        </w:rPr>
        <w:t xml:space="preserve">. </w:t>
      </w:r>
      <w:r w:rsidR="006C5198" w:rsidRPr="00644AF5">
        <w:rPr>
          <w:rFonts w:ascii="Calibri" w:hAnsi="Calibri" w:cs="Calibri"/>
          <w:color w:val="000000" w:themeColor="text1"/>
        </w:rPr>
        <w:t xml:space="preserve">Typically, </w:t>
      </w:r>
      <w:r w:rsidRPr="00644AF5">
        <w:rPr>
          <w:rFonts w:ascii="Calibri" w:hAnsi="Calibri" w:cs="Calibri"/>
          <w:color w:val="000000" w:themeColor="text1"/>
        </w:rPr>
        <w:t xml:space="preserve">a </w:t>
      </w:r>
      <w:r w:rsidR="006C5198" w:rsidRPr="00644AF5">
        <w:rPr>
          <w:rFonts w:ascii="Calibri" w:hAnsi="Calibri" w:cs="Calibri"/>
          <w:color w:val="000000" w:themeColor="text1"/>
        </w:rPr>
        <w:t xml:space="preserve">harmless </w:t>
      </w:r>
      <w:r w:rsidRPr="00644AF5">
        <w:rPr>
          <w:rFonts w:ascii="Calibri" w:hAnsi="Calibri" w:cs="Calibri"/>
          <w:color w:val="000000" w:themeColor="text1"/>
        </w:rPr>
        <w:t xml:space="preserve">commensal, </w:t>
      </w:r>
      <w:r w:rsidRPr="00644AF5">
        <w:rPr>
          <w:rStyle w:val="Emphasis"/>
          <w:rFonts w:ascii="Calibri" w:hAnsi="Calibri" w:cs="Calibri"/>
          <w:color w:val="000000" w:themeColor="text1"/>
        </w:rPr>
        <w:t>C. albicans</w:t>
      </w:r>
      <w:r w:rsidRPr="00644AF5">
        <w:rPr>
          <w:rFonts w:ascii="Calibri" w:hAnsi="Calibri" w:cs="Calibri"/>
          <w:color w:val="000000" w:themeColor="text1"/>
        </w:rPr>
        <w:t xml:space="preserve"> can overgrow</w:t>
      </w:r>
      <w:r w:rsidR="00510BED" w:rsidRPr="00644AF5">
        <w:rPr>
          <w:rFonts w:ascii="Calibri" w:hAnsi="Calibri" w:cs="Calibri"/>
          <w:color w:val="000000" w:themeColor="text1"/>
        </w:rPr>
        <w:t xml:space="preserve"> </w:t>
      </w:r>
      <w:r w:rsidR="00E3351F" w:rsidRPr="00644AF5">
        <w:rPr>
          <w:rFonts w:ascii="Calibri" w:hAnsi="Calibri" w:cs="Calibri"/>
          <w:color w:val="000000" w:themeColor="text1"/>
        </w:rPr>
        <w:t xml:space="preserve">under </w:t>
      </w:r>
      <w:r w:rsidR="00510BED" w:rsidRPr="00644AF5">
        <w:rPr>
          <w:rFonts w:ascii="Calibri" w:hAnsi="Calibri" w:cs="Calibri"/>
          <w:color w:val="000000" w:themeColor="text1"/>
        </w:rPr>
        <w:t xml:space="preserve">conditions such as </w:t>
      </w:r>
      <w:r w:rsidRPr="00644AF5">
        <w:rPr>
          <w:rFonts w:ascii="Calibri" w:hAnsi="Calibri" w:cs="Calibri"/>
          <w:color w:val="000000" w:themeColor="text1"/>
        </w:rPr>
        <w:t xml:space="preserve">microbiota imbalance, antibiotic </w:t>
      </w:r>
      <w:r w:rsidR="006C5198" w:rsidRPr="00644AF5">
        <w:rPr>
          <w:rFonts w:ascii="Calibri" w:hAnsi="Calibri" w:cs="Calibri"/>
          <w:color w:val="000000" w:themeColor="text1"/>
        </w:rPr>
        <w:t>use</w:t>
      </w:r>
      <w:r w:rsidRPr="00644AF5">
        <w:rPr>
          <w:rFonts w:ascii="Calibri" w:hAnsi="Calibri" w:cs="Calibri"/>
          <w:color w:val="000000" w:themeColor="text1"/>
        </w:rPr>
        <w:t xml:space="preserve">, </w:t>
      </w:r>
      <w:r w:rsidR="00E704C3" w:rsidRPr="00644AF5">
        <w:rPr>
          <w:rFonts w:ascii="Calibri" w:hAnsi="Calibri" w:cs="Calibri"/>
          <w:color w:val="000000" w:themeColor="text1"/>
        </w:rPr>
        <w:t xml:space="preserve">immunosuppression, </w:t>
      </w:r>
      <w:r w:rsidR="00D92E27" w:rsidRPr="00644AF5">
        <w:rPr>
          <w:rFonts w:ascii="Calibri" w:hAnsi="Calibri" w:cs="Calibri"/>
          <w:color w:val="000000" w:themeColor="text1"/>
        </w:rPr>
        <w:t xml:space="preserve">epithelial </w:t>
      </w:r>
      <w:r w:rsidR="00510BED" w:rsidRPr="00644AF5">
        <w:rPr>
          <w:rFonts w:ascii="Calibri" w:hAnsi="Calibri" w:cs="Calibri"/>
          <w:color w:val="000000" w:themeColor="text1"/>
        </w:rPr>
        <w:t>barrier disruption, or the presence of</w:t>
      </w:r>
      <w:r w:rsidR="00510BED" w:rsidRPr="00644AF5" w:rsidDel="00510BED">
        <w:rPr>
          <w:rFonts w:ascii="Calibri" w:hAnsi="Calibri" w:cs="Calibri"/>
          <w:color w:val="000000" w:themeColor="text1"/>
        </w:rPr>
        <w:t xml:space="preserve"> </w:t>
      </w:r>
      <w:r w:rsidR="00510BED" w:rsidRPr="00644AF5">
        <w:rPr>
          <w:rFonts w:ascii="Calibri" w:hAnsi="Calibri" w:cs="Calibri"/>
          <w:color w:val="000000" w:themeColor="text1"/>
        </w:rPr>
        <w:t>medical</w:t>
      </w:r>
      <w:r w:rsidR="001613DA" w:rsidRPr="00644AF5">
        <w:rPr>
          <w:rFonts w:ascii="Calibri" w:hAnsi="Calibri" w:cs="Calibri"/>
          <w:color w:val="000000" w:themeColor="text1"/>
        </w:rPr>
        <w:t xml:space="preserve"> devices</w:t>
      </w:r>
      <w:r w:rsidR="006C5198" w:rsidRPr="00644AF5">
        <w:rPr>
          <w:rFonts w:ascii="Calibri" w:hAnsi="Calibri" w:cs="Calibri"/>
          <w:color w:val="000000" w:themeColor="text1"/>
        </w:rPr>
        <w:t xml:space="preserve">, </w:t>
      </w:r>
      <w:r w:rsidR="00510BED" w:rsidRPr="00644AF5">
        <w:rPr>
          <w:rFonts w:ascii="Calibri" w:hAnsi="Calibri" w:cs="Calibri"/>
          <w:color w:val="000000" w:themeColor="text1"/>
        </w:rPr>
        <w:t>lead</w:t>
      </w:r>
      <w:r w:rsidR="00E3351F" w:rsidRPr="00644AF5">
        <w:rPr>
          <w:rFonts w:ascii="Calibri" w:hAnsi="Calibri" w:cs="Calibri"/>
          <w:color w:val="000000" w:themeColor="text1"/>
        </w:rPr>
        <w:t>ing</w:t>
      </w:r>
      <w:r w:rsidR="00510BED" w:rsidRPr="00644AF5">
        <w:rPr>
          <w:rFonts w:ascii="Calibri" w:hAnsi="Calibri" w:cs="Calibri"/>
          <w:color w:val="000000" w:themeColor="text1"/>
        </w:rPr>
        <w:t xml:space="preserve"> to </w:t>
      </w:r>
      <w:r w:rsidR="00337DFD" w:rsidRPr="00644AF5">
        <w:rPr>
          <w:rFonts w:ascii="Calibri" w:hAnsi="Calibri" w:cs="Calibri"/>
          <w:color w:val="000000" w:themeColor="text1"/>
        </w:rPr>
        <w:t>diseases that</w:t>
      </w:r>
      <w:r w:rsidRPr="00644AF5">
        <w:rPr>
          <w:rFonts w:ascii="Calibri" w:hAnsi="Calibri" w:cs="Calibri"/>
          <w:color w:val="000000" w:themeColor="text1"/>
        </w:rPr>
        <w:t xml:space="preserve"> rang</w:t>
      </w:r>
      <w:r w:rsidR="00337DFD" w:rsidRPr="00644AF5">
        <w:rPr>
          <w:rFonts w:ascii="Calibri" w:hAnsi="Calibri" w:cs="Calibri"/>
          <w:color w:val="000000" w:themeColor="text1"/>
        </w:rPr>
        <w:t>e</w:t>
      </w:r>
      <w:r w:rsidR="006C5198" w:rsidRPr="00644AF5">
        <w:rPr>
          <w:rFonts w:ascii="Calibri" w:hAnsi="Calibri" w:cs="Calibri"/>
          <w:color w:val="000000" w:themeColor="text1"/>
        </w:rPr>
        <w:t xml:space="preserve"> </w:t>
      </w:r>
      <w:r w:rsidRPr="00644AF5">
        <w:rPr>
          <w:rFonts w:ascii="Calibri" w:hAnsi="Calibri" w:cs="Calibri"/>
          <w:color w:val="000000" w:themeColor="text1"/>
        </w:rPr>
        <w:t xml:space="preserve">from superficial </w:t>
      </w:r>
      <w:r w:rsidR="00510BED" w:rsidRPr="00644AF5">
        <w:rPr>
          <w:rFonts w:ascii="Calibri" w:hAnsi="Calibri" w:cs="Calibri"/>
          <w:color w:val="000000" w:themeColor="text1"/>
        </w:rPr>
        <w:t xml:space="preserve">mucosal </w:t>
      </w:r>
      <w:r w:rsidR="00337DFD" w:rsidRPr="00644AF5">
        <w:rPr>
          <w:rFonts w:ascii="Calibri" w:hAnsi="Calibri" w:cs="Calibri"/>
          <w:color w:val="000000" w:themeColor="text1"/>
        </w:rPr>
        <w:t>infections</w:t>
      </w:r>
      <w:r w:rsidR="00510BED" w:rsidRPr="00644AF5">
        <w:rPr>
          <w:rFonts w:ascii="Calibri" w:hAnsi="Calibri" w:cs="Calibri"/>
          <w:color w:val="000000" w:themeColor="text1"/>
        </w:rPr>
        <w:t xml:space="preserve"> </w:t>
      </w:r>
      <w:r w:rsidRPr="00644AF5">
        <w:rPr>
          <w:rFonts w:ascii="Calibri" w:hAnsi="Calibri" w:cs="Calibri"/>
          <w:color w:val="000000" w:themeColor="text1"/>
        </w:rPr>
        <w:t xml:space="preserve">to </w:t>
      </w:r>
      <w:r w:rsidR="00337DFD" w:rsidRPr="00644AF5">
        <w:rPr>
          <w:rFonts w:ascii="Calibri" w:hAnsi="Calibri" w:cs="Calibri"/>
          <w:color w:val="000000" w:themeColor="text1"/>
        </w:rPr>
        <w:t>life-threatening</w:t>
      </w:r>
      <w:r w:rsidR="006C5198" w:rsidRPr="00644AF5">
        <w:rPr>
          <w:rFonts w:ascii="Calibri" w:hAnsi="Calibri" w:cs="Calibri"/>
          <w:color w:val="000000" w:themeColor="text1"/>
        </w:rPr>
        <w:t xml:space="preserve"> </w:t>
      </w:r>
      <w:r w:rsidR="00337DFD" w:rsidRPr="00644AF5">
        <w:rPr>
          <w:rFonts w:ascii="Calibri" w:hAnsi="Calibri" w:cs="Calibri"/>
          <w:color w:val="000000" w:themeColor="text1"/>
        </w:rPr>
        <w:t xml:space="preserve">systemic </w:t>
      </w:r>
      <w:r w:rsidR="00D92E27" w:rsidRPr="00644AF5">
        <w:rPr>
          <w:rFonts w:ascii="Calibri" w:hAnsi="Calibri" w:cs="Calibri"/>
          <w:color w:val="000000" w:themeColor="text1"/>
        </w:rPr>
        <w:t>candidiasis</w:t>
      </w:r>
      <w:r w:rsidR="00116D7C" w:rsidRPr="00644AF5">
        <w:rPr>
          <w:rFonts w:ascii="Calibri" w:hAnsi="Calibri" w:cs="Calibri"/>
          <w:color w:val="000000" w:themeColor="text1"/>
        </w:rPr>
        <w:fldChar w:fldCharType="begin"/>
      </w:r>
      <w:r w:rsidR="008F64F7">
        <w:rPr>
          <w:rFonts w:ascii="Calibri" w:hAnsi="Calibri" w:cs="Calibri"/>
          <w:color w:val="000000" w:themeColor="text1"/>
        </w:rPr>
        <w:instrText xml:space="preserve"> ADDIN ZOTERO_ITEM CSL_CITATION {"citationID":"tZW1o7P7","properties":{"formattedCitation":"\\super 4, 5\\nosupersub{}","plainCitation":"4, 5","dontUpdate":true,"noteIndex":0},"citationItems":[{"id":250,"uris":["http://zotero.org/users/11181870/items/QUAX9B22"],"itemData":{"id":250,"type":"article-journal","abstract":"Abstract\n            \n              Purpose of Review\n              \n                Candida albicans\n                is a common constituent of the normal human microbiota of the oro-gastrointestinal and vaginal tract. The immune system and the microbiota work together to maintain stable colonization and prevent excessive fungal growth and disease. Disruption of the delicate balance between\n                C. albicans\n                and the host can result in superficial and disseminated infections, as observed in individuals with a compromised immune system or dysbiosis. Invasive candidiasis accounts for a million deaths every year.\n                C. albicans\n                -intrinsic factors promoting stable commensalism in the human host are poorly established. Understanding the processes that regulate microbial homeostasis is important for evaluating novel intervention strategies that aim at targeting fungal virulence but at the same time prevent eradication of commensal organisms, which ultimately benefit the host.\n              \n            \n            \n              Recent Findings\n              \n                C. albicans\n                commensalism is generally associated with a lack of filamentation, epithelial invasion and host cell damage. Fungal isolates recovered from healthy individuals are however not completely avirulent. In contrast, they exhibit varying degrees of virulence attributes and retain the capacity to cause disease, thereby challenging the notion that avirulence is a hallmark of superior commensal fitness. Recent advances in the field provide insights in how virulence traits, which are primarily known for inducing disease in the host, such as hyphae formation and candidalysin production, play an unexpected active part in establishing\n                C. albicans\n                gut commensalism. Overt filamentation and tissue damage is in turn prevented by adaptive antifungal immunity, which is induced in response to fungal virulence.\n              \n            \n            \n              Summary\n              This review discusses the emerging paradigm shift in our understanding of how fungal virulence determinants are not per se inconsistent with commensalism but are actually a prerequisite for colonization and for triggering a host-protective homeostatic immunity through mutual adaptation with the host.","container-title":"Current Clinical Microbiology Reports","DOI":"10.1007/s40588-024-00235-8","ISSN":"2196-5471","issue":"4","journalAbbreviation":"Curr Clin Micro Rpt","language":"en","page":"231-240","source":"DOI.org (Crossref)","title":"Candida albicans Virulence Traits in Commensalism and Disease","URL":"https://link.springer.com/10.1007/s40588-024-00235-8","volume":"11","author":[{"family":"Fróis-Martins","given":"Ricardo"},{"family":"Lagler","given":"Julia"},{"family":"LeibundGut-Landmann","given":"Salomé"}],"accessed":{"date-parts":[["2025",11,19]]},"issued":{"date-parts":[["2024",10,1]]}}},{"id":249,"uris":["http://zotero.org/users/11181870/items/ZWM4TQAJ"],"itemData":{"id":249,"type":"article-journal","container-title":"Current Opinion in Microbiology","DOI":"10.1016/j.mib.2020.05.006","ISSN":"13695274","journalAbbreviation":"Current Opinion in Microbiology","language":"en","page":"7-15","source":"DOI.org (Crossref)","title":"The gut, the bad and the harmless: Candida albicans as a commensal and opportunistic pathogen in the intestine","title-short":"The gut, the bad and the harmless","URL":"https://linkinghub.elsevier.com/retrieve/pii/S1369527420300667","volume":"56","author":[{"family":"Kumamoto","given":"Carol A"},{"family":"Gresnigt","given":"Mark S"},{"family":"Hube","given":"Bernhard"}],"accessed":{"date-parts":[["2025",11,19]]},"issued":{"date-parts":[["2020",8]]}}}],"schema":"https://github.com/citation-style-language/schema/raw/master/csl-citation.json"} </w:instrText>
      </w:r>
      <w:r w:rsidR="00116D7C"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4,5</w:t>
      </w:r>
      <w:r w:rsidR="00116D7C" w:rsidRPr="00644AF5">
        <w:rPr>
          <w:rFonts w:ascii="Calibri" w:hAnsi="Calibri" w:cs="Calibri"/>
          <w:color w:val="000000" w:themeColor="text1"/>
        </w:rPr>
        <w:fldChar w:fldCharType="end"/>
      </w:r>
      <w:r w:rsidRPr="00644AF5">
        <w:rPr>
          <w:rFonts w:ascii="Calibri" w:hAnsi="Calibri" w:cs="Calibri"/>
          <w:color w:val="000000" w:themeColor="text1"/>
        </w:rPr>
        <w:t xml:space="preserve">. </w:t>
      </w:r>
      <w:r w:rsidR="00510BED" w:rsidRPr="00644AF5">
        <w:rPr>
          <w:rFonts w:ascii="Calibri" w:hAnsi="Calibri" w:cs="Calibri"/>
          <w:color w:val="000000" w:themeColor="text1"/>
        </w:rPr>
        <w:t xml:space="preserve">In immunocompromised </w:t>
      </w:r>
      <w:r w:rsidR="00AE2320" w:rsidRPr="00644AF5">
        <w:rPr>
          <w:rFonts w:ascii="Calibri" w:hAnsi="Calibri" w:cs="Calibri"/>
          <w:color w:val="000000" w:themeColor="text1"/>
        </w:rPr>
        <w:t xml:space="preserve">individuals </w:t>
      </w:r>
      <w:r w:rsidR="00510BED" w:rsidRPr="00644AF5">
        <w:rPr>
          <w:rFonts w:ascii="Calibri" w:hAnsi="Calibri" w:cs="Calibri"/>
          <w:color w:val="000000" w:themeColor="text1"/>
        </w:rPr>
        <w:t xml:space="preserve">– including </w:t>
      </w:r>
      <w:r w:rsidR="00E92C91" w:rsidRPr="00644AF5">
        <w:rPr>
          <w:rFonts w:ascii="Calibri" w:hAnsi="Calibri" w:cs="Calibri"/>
          <w:color w:val="000000" w:themeColor="text1"/>
        </w:rPr>
        <w:t xml:space="preserve">those </w:t>
      </w:r>
      <w:r w:rsidR="00510BED" w:rsidRPr="00644AF5">
        <w:rPr>
          <w:rFonts w:ascii="Calibri" w:hAnsi="Calibri" w:cs="Calibri"/>
          <w:color w:val="000000" w:themeColor="text1"/>
        </w:rPr>
        <w:t xml:space="preserve">with HIV/AIDS, </w:t>
      </w:r>
      <w:r w:rsidR="00C059DD" w:rsidRPr="00644AF5">
        <w:rPr>
          <w:rFonts w:ascii="Calibri" w:hAnsi="Calibri" w:cs="Calibri"/>
          <w:color w:val="000000" w:themeColor="text1"/>
        </w:rPr>
        <w:t xml:space="preserve">patients </w:t>
      </w:r>
      <w:r w:rsidR="00AE2320" w:rsidRPr="00644AF5">
        <w:rPr>
          <w:rFonts w:ascii="Calibri" w:hAnsi="Calibri" w:cs="Calibri"/>
          <w:color w:val="000000" w:themeColor="text1"/>
        </w:rPr>
        <w:t xml:space="preserve">undergoing </w:t>
      </w:r>
      <w:r w:rsidR="00510BED" w:rsidRPr="00644AF5">
        <w:rPr>
          <w:rFonts w:ascii="Calibri" w:hAnsi="Calibri" w:cs="Calibri"/>
          <w:color w:val="000000" w:themeColor="text1"/>
        </w:rPr>
        <w:t>chemotherapy or immunosuppressive therap</w:t>
      </w:r>
      <w:r w:rsidR="0089046D" w:rsidRPr="00644AF5">
        <w:rPr>
          <w:rFonts w:ascii="Calibri" w:hAnsi="Calibri" w:cs="Calibri"/>
          <w:color w:val="000000" w:themeColor="text1"/>
        </w:rPr>
        <w:t>ies</w:t>
      </w:r>
      <w:r w:rsidR="00510BED" w:rsidRPr="00644AF5">
        <w:rPr>
          <w:rFonts w:ascii="Calibri" w:hAnsi="Calibri" w:cs="Calibri"/>
          <w:color w:val="000000" w:themeColor="text1"/>
        </w:rPr>
        <w:t xml:space="preserve">, </w:t>
      </w:r>
      <w:r w:rsidR="00C059DD" w:rsidRPr="00644AF5">
        <w:rPr>
          <w:rFonts w:ascii="Calibri" w:hAnsi="Calibri" w:cs="Calibri"/>
          <w:color w:val="000000" w:themeColor="text1"/>
        </w:rPr>
        <w:t>individuals</w:t>
      </w:r>
      <w:r w:rsidR="00E9074F" w:rsidRPr="00644AF5">
        <w:rPr>
          <w:rFonts w:ascii="Calibri" w:hAnsi="Calibri" w:cs="Calibri"/>
          <w:color w:val="000000" w:themeColor="text1"/>
        </w:rPr>
        <w:t xml:space="preserve"> with chronic illnesses</w:t>
      </w:r>
      <w:r w:rsidR="00C059DD" w:rsidRPr="00644AF5">
        <w:rPr>
          <w:rFonts w:ascii="Calibri" w:hAnsi="Calibri" w:cs="Calibri"/>
          <w:color w:val="000000" w:themeColor="text1"/>
        </w:rPr>
        <w:t>,</w:t>
      </w:r>
      <w:r w:rsidR="00E9074F" w:rsidRPr="00644AF5">
        <w:rPr>
          <w:rFonts w:ascii="Calibri" w:hAnsi="Calibri" w:cs="Calibri"/>
          <w:color w:val="000000" w:themeColor="text1"/>
        </w:rPr>
        <w:t xml:space="preserve"> </w:t>
      </w:r>
      <w:r w:rsidR="00AE2320" w:rsidRPr="00644AF5">
        <w:rPr>
          <w:rFonts w:ascii="Calibri" w:hAnsi="Calibri" w:cs="Calibri"/>
          <w:color w:val="000000" w:themeColor="text1"/>
        </w:rPr>
        <w:t xml:space="preserve">or </w:t>
      </w:r>
      <w:r w:rsidR="00510BED" w:rsidRPr="00644AF5">
        <w:rPr>
          <w:rFonts w:ascii="Calibri" w:hAnsi="Calibri" w:cs="Calibri"/>
          <w:color w:val="000000" w:themeColor="text1"/>
        </w:rPr>
        <w:t>those in intensive care units – m</w:t>
      </w:r>
      <w:r w:rsidRPr="00644AF5">
        <w:rPr>
          <w:rFonts w:ascii="Calibri" w:hAnsi="Calibri" w:cs="Calibri"/>
          <w:color w:val="000000" w:themeColor="text1"/>
        </w:rPr>
        <w:t xml:space="preserve">ortality rates </w:t>
      </w:r>
      <w:r w:rsidR="001613DA" w:rsidRPr="00644AF5">
        <w:rPr>
          <w:rFonts w:ascii="Calibri" w:hAnsi="Calibri" w:cs="Calibri"/>
          <w:color w:val="000000" w:themeColor="text1"/>
        </w:rPr>
        <w:t xml:space="preserve">can </w:t>
      </w:r>
      <w:r w:rsidR="00510BED" w:rsidRPr="00644AF5">
        <w:rPr>
          <w:rFonts w:ascii="Calibri" w:hAnsi="Calibri" w:cs="Calibri"/>
          <w:color w:val="000000" w:themeColor="text1"/>
        </w:rPr>
        <w:t xml:space="preserve">exceed </w:t>
      </w:r>
      <w:r w:rsidRPr="00644AF5">
        <w:rPr>
          <w:rFonts w:ascii="Calibri" w:hAnsi="Calibri" w:cs="Calibri"/>
          <w:color w:val="000000" w:themeColor="text1"/>
        </w:rPr>
        <w:t xml:space="preserve">70%, </w:t>
      </w:r>
      <w:r w:rsidR="00337DFD" w:rsidRPr="00644AF5">
        <w:rPr>
          <w:rFonts w:ascii="Calibri" w:hAnsi="Calibri" w:cs="Calibri"/>
          <w:color w:val="000000" w:themeColor="text1"/>
        </w:rPr>
        <w:t>underscoring</w:t>
      </w:r>
      <w:r w:rsidR="00E92C91" w:rsidRPr="00644AF5">
        <w:rPr>
          <w:rFonts w:ascii="Calibri" w:hAnsi="Calibri" w:cs="Calibri"/>
          <w:color w:val="000000" w:themeColor="text1"/>
        </w:rPr>
        <w:t xml:space="preserve"> </w:t>
      </w:r>
      <w:r w:rsidR="00510BED" w:rsidRPr="00644AF5">
        <w:rPr>
          <w:rFonts w:ascii="Calibri" w:hAnsi="Calibri" w:cs="Calibri"/>
          <w:color w:val="000000" w:themeColor="text1"/>
        </w:rPr>
        <w:t xml:space="preserve">the </w:t>
      </w:r>
      <w:r w:rsidR="00337DFD" w:rsidRPr="00644AF5">
        <w:rPr>
          <w:rFonts w:ascii="Calibri" w:hAnsi="Calibri" w:cs="Calibri"/>
          <w:color w:val="000000" w:themeColor="text1"/>
        </w:rPr>
        <w:t>significant</w:t>
      </w:r>
      <w:r w:rsidR="00AE2320" w:rsidRPr="00644AF5">
        <w:rPr>
          <w:rFonts w:ascii="Calibri" w:hAnsi="Calibri" w:cs="Calibri"/>
          <w:color w:val="000000" w:themeColor="text1"/>
        </w:rPr>
        <w:t xml:space="preserve"> </w:t>
      </w:r>
      <w:r w:rsidRPr="00644AF5">
        <w:rPr>
          <w:rFonts w:ascii="Calibri" w:hAnsi="Calibri" w:cs="Calibri"/>
          <w:color w:val="000000" w:themeColor="text1"/>
        </w:rPr>
        <w:t>public health</w:t>
      </w:r>
      <w:r w:rsidR="00E92C91" w:rsidRPr="00644AF5">
        <w:rPr>
          <w:rFonts w:ascii="Calibri" w:hAnsi="Calibri" w:cs="Calibri"/>
          <w:color w:val="000000" w:themeColor="text1"/>
        </w:rPr>
        <w:t xml:space="preserve"> </w:t>
      </w:r>
      <w:r w:rsidR="00337DFD" w:rsidRPr="00644AF5">
        <w:rPr>
          <w:rFonts w:ascii="Calibri" w:hAnsi="Calibri" w:cs="Calibri"/>
          <w:color w:val="000000" w:themeColor="text1"/>
        </w:rPr>
        <w:t xml:space="preserve">burden </w:t>
      </w:r>
      <w:r w:rsidR="00510BED" w:rsidRPr="00644AF5">
        <w:rPr>
          <w:rFonts w:ascii="Calibri" w:hAnsi="Calibri" w:cs="Calibri"/>
          <w:color w:val="000000" w:themeColor="text1"/>
        </w:rPr>
        <w:t>of invasive candidiasis</w:t>
      </w:r>
      <w:r w:rsidR="60EAF82E"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{"citationID":"7CW7yFSj","properties":{"formattedCitation":"\\super 6\\uc0\\u8211{}8\\nosupersub{}","plainCitation":"6–8","noteIndex":0},"citationItems":[{"id":124,"uris":["http://zotero.org/users/11181870/items/Y7KPRUWR"],"itemData":{"id":124,"type":"article-journal","container-title":"Nature Reviews Microbiology","DOI":"10.1038/s41579-022-00720-1","ISSN":"1740-1526, 1740-1534","issue":"9","journalAbbreviation":"Nat Rev Microbiol","language":"en","page":"557-571","source":"DOI.org (Crossref)","title":"Tackling the emerging threat of antifungal resistance to human health","URL":"https://www.nature.com/articles/s41579-022-00720-1","volume":"20","author":[{"family":"Fisher","given":"Matthew C."},{"family":"Alastruey-Izquierdo","given":"Ana"},{"family":"Berman","given":"Judith"},{"family":"Bicanic","given":"Tihana"},{"family":"Bignell","given":"Elaine M."},{"family":"Bowyer","given":"Paul"},{"family":"Bromley","given":"Michael"},{"family":"Brüggemann","given":"Roger"},{"family":"Garber","given":"Gary"},{"family":"Cornely","given":"Oliver A."},{"family":"Gurr","given":"Sarah. J."},{"family":"Harrison","given":"Thomas S."},{"family":"Kuijper","given":"Ed"},{"family":"Rhodes","given":"Johanna"},{"family":"Sheppard","given":"Donald C."},{"family":"Warris","given":"Adilia"},{"family":"White","given":"P. Lewis"},{"family":"Xu","given":"Jianping"},{"family":"Zwaan","given":"Bas"},{"family":"Verweij","given":"Paul E."}],"accessed":{"date-parts":[["2025",1,5]]},"issued":{"date-parts":[["2022",9]]}}},{"id":126,"uris":["http://zotero.org/users/11181870/items/4UD4QJU3"],"itemData":{"id":126,"type":"article-journal","abstract":"Abstract\n            \n              Prior to the SARS-CoV-2 pandemic, antibiotic resistance was listed as the major global health care priority. Some analyses, including the O’Neill report, have predicted that deaths due to drug-resistant bacterial infections may eclipse the total number of cancer deaths by 2050. Although fungal infections remain in the shadow of public awareness, total attributable annual deaths are similar to, or exceeds, global mortalities due to malaria, tuberculosis or HIV. The impact of fungal infections has been exacerbated by the steady rise of antifungal drug resistant strains and species which reflects the widespread use of antifungals for prophylaxis and therapy, and in the case of azole resistance in\n              Aspergillus\n              , has been linked to the widespread agricultural use of antifungals. This review, based on a workshop hosted by the Medical Research Council and the University of Exeter, illuminates the problem of antifungal resistance and suggests how this growing threat might be mitigated.","container-title":"Nature Communications","DOI":"10.1038/s41467-022-32249-5","ISSN":"2041-1723","issue":"1","journalAbbreviation":"Nat Commun","language":"en","page":"5352","source":"DOI.org (Crossref)","title":"The importance of antimicrobial resistance in medical mycology","URL":"https://www.nature.com/articles/s41467-022-32249-5","volume":"13","author":[{"family":"Gow","given":"Neil A. R."},{"family":"Johnson","given":"Carolyn"},{"family":"Berman","given":"Judith"},{"family":"Coste","given":"Alix T."},{"family":"Cuomo","given":"Christina A."},{"family":"Perlin","given":"David S."},{"family":"Bicanic","given":"Tihana"},{"family":"Harrison","given":"Thomas S."},{"family":"Wiederhold","given":"Nathan"},{"family":"Bromley","given":"Mike"},{"family":"Chiller","given":"Tom"},{"family":"Edgar","given":"Keegan"}],"accessed":{"date-parts":[["2025",1,5]]},"issued":{"date-parts":[["2022",9,12]]}}},{"id":123,"uris":["http://zotero.org/users/11181870/items/ACLCLUXL"],"itemData":{"id":123,"type":"article-journal","container-title":"Nature Reviews Microbiology","DOI":"10.1038/s41579-023-00960-9","ISSN":"1740-1526, 1740-1534","issue":"12","journalAbbreviation":"Nat Rev Microbiol","language":"en","page":"818-832","source":"DOI.org (Crossref)","title":"The rapid emergence of antifungal-resistant human-pathogenic fungi","URL":"https://www.nature.com/articles/s41579-023-00960-9","volume":"21","author":[{"family":"Lockhart","given":"Shawn R."},{"family":"Chowdhary","given":"Anuradha"},{"family":"Gold","given":"Jeremy A. W."}],"accessed":{"date-parts":[["2025",1,5]]},"issued":{"date-parts":[["2023",12]]}}}],"schema":"https://github.com/citation-style-language/schema/raw/master/csl-citation.json"} </w:instrText>
      </w:r>
      <w:r w:rsidR="60EAF82E"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6–8</w:t>
      </w:r>
      <w:r w:rsidR="60EAF82E" w:rsidRPr="00644AF5">
        <w:rPr>
          <w:rFonts w:ascii="Calibri" w:hAnsi="Calibri" w:cs="Calibri"/>
          <w:color w:val="000000" w:themeColor="text1"/>
        </w:rPr>
        <w:fldChar w:fldCharType="end"/>
      </w:r>
      <w:r w:rsidRPr="00644AF5">
        <w:rPr>
          <w:rFonts w:ascii="Calibri" w:hAnsi="Calibri" w:cs="Calibri"/>
          <w:color w:val="000000" w:themeColor="text1"/>
        </w:rPr>
        <w:t xml:space="preserve">. </w:t>
      </w:r>
      <w:r w:rsidR="00510BED" w:rsidRPr="00644AF5">
        <w:rPr>
          <w:rFonts w:ascii="Calibri" w:hAnsi="Calibri" w:cs="Calibri"/>
          <w:color w:val="000000" w:themeColor="text1"/>
        </w:rPr>
        <w:t>Globally,</w:t>
      </w:r>
      <w:r w:rsidR="00AE2320" w:rsidRPr="00644AF5">
        <w:rPr>
          <w:rFonts w:ascii="Calibri" w:hAnsi="Calibri" w:cs="Calibri"/>
          <w:color w:val="000000" w:themeColor="text1"/>
        </w:rPr>
        <w:t xml:space="preserve"> invasive fungal infections affect</w:t>
      </w:r>
      <w:r w:rsidR="00510BED" w:rsidRPr="00644AF5">
        <w:rPr>
          <w:rFonts w:ascii="Calibri" w:hAnsi="Calibri" w:cs="Calibri"/>
          <w:color w:val="000000" w:themeColor="text1"/>
        </w:rPr>
        <w:t xml:space="preserve"> more</w:t>
      </w:r>
      <w:r w:rsidRPr="00644AF5">
        <w:rPr>
          <w:rFonts w:ascii="Calibri" w:hAnsi="Calibri" w:cs="Calibri"/>
          <w:color w:val="000000" w:themeColor="text1"/>
        </w:rPr>
        <w:t xml:space="preserve"> than 6.5 million people </w:t>
      </w:r>
      <w:r w:rsidR="00AE2320" w:rsidRPr="00644AF5">
        <w:rPr>
          <w:rFonts w:ascii="Calibri" w:hAnsi="Calibri" w:cs="Calibri"/>
          <w:color w:val="000000" w:themeColor="text1"/>
        </w:rPr>
        <w:t xml:space="preserve">annually, with direct healthcare costs </w:t>
      </w:r>
      <w:r w:rsidR="00337DFD" w:rsidRPr="00644AF5">
        <w:rPr>
          <w:rFonts w:ascii="Calibri" w:hAnsi="Calibri" w:cs="Calibri"/>
          <w:color w:val="000000" w:themeColor="text1"/>
        </w:rPr>
        <w:t xml:space="preserve">in the United States alone </w:t>
      </w:r>
      <w:r w:rsidR="002A6898" w:rsidRPr="00644AF5">
        <w:rPr>
          <w:rFonts w:ascii="Calibri" w:hAnsi="Calibri" w:cs="Calibri"/>
          <w:color w:val="000000" w:themeColor="text1"/>
        </w:rPr>
        <w:t>exceed</w:t>
      </w:r>
      <w:r w:rsidR="00510BED" w:rsidRPr="00644AF5">
        <w:rPr>
          <w:rFonts w:ascii="Calibri" w:hAnsi="Calibri" w:cs="Calibri"/>
          <w:color w:val="000000" w:themeColor="text1"/>
        </w:rPr>
        <w:t>ing</w:t>
      </w:r>
      <w:r w:rsidR="002A6898" w:rsidRPr="00644AF5">
        <w:rPr>
          <w:rFonts w:ascii="Calibri" w:hAnsi="Calibri" w:cs="Calibri"/>
          <w:color w:val="000000" w:themeColor="text1"/>
        </w:rPr>
        <w:t xml:space="preserve"> $</w:t>
      </w:r>
      <w:r w:rsidR="00356FB0" w:rsidRPr="00644AF5">
        <w:rPr>
          <w:rFonts w:ascii="Calibri" w:hAnsi="Calibri" w:cs="Calibri"/>
          <w:color w:val="000000" w:themeColor="text1"/>
        </w:rPr>
        <w:t>8</w:t>
      </w:r>
      <w:r w:rsidR="002A6898" w:rsidRPr="00644AF5">
        <w:rPr>
          <w:rFonts w:ascii="Calibri" w:hAnsi="Calibri" w:cs="Calibri"/>
          <w:color w:val="000000" w:themeColor="text1"/>
        </w:rPr>
        <w:t xml:space="preserve"> billion </w:t>
      </w:r>
      <w:r w:rsidR="002562A5" w:rsidRPr="00644AF5">
        <w:rPr>
          <w:rFonts w:ascii="Calibri" w:hAnsi="Calibri" w:cs="Calibri"/>
          <w:color w:val="000000" w:themeColor="text1"/>
        </w:rPr>
        <w:t xml:space="preserve">per year </w:t>
      </w:r>
      <w:r w:rsidR="00080B03" w:rsidRPr="00644AF5">
        <w:rPr>
          <w:rFonts w:ascii="Calibri" w:hAnsi="Calibri" w:cs="Calibri"/>
          <w:color w:val="000000" w:themeColor="text1"/>
        </w:rPr>
        <w:t xml:space="preserve">for </w:t>
      </w:r>
      <w:r w:rsidR="00080B03" w:rsidRPr="00644AF5">
        <w:rPr>
          <w:rFonts w:ascii="Calibri" w:hAnsi="Calibri" w:cs="Calibri"/>
          <w:i/>
          <w:iCs/>
          <w:color w:val="000000" w:themeColor="text1"/>
        </w:rPr>
        <w:t>Candida</w:t>
      </w:r>
      <w:r w:rsidR="00080B03" w:rsidRPr="00644AF5">
        <w:rPr>
          <w:rFonts w:ascii="Calibri" w:hAnsi="Calibri" w:cs="Calibri"/>
          <w:color w:val="000000" w:themeColor="text1"/>
        </w:rPr>
        <w:t>-related infections</w:t>
      </w:r>
      <w:r w:rsidR="60EAF82E" w:rsidRPr="00644AF5">
        <w:rPr>
          <w:rFonts w:ascii="Calibri" w:hAnsi="Calibri" w:cs="Calibri"/>
          <w:color w:val="000000" w:themeColor="text1"/>
        </w:rPr>
        <w:fldChar w:fldCharType="begin"/>
      </w:r>
      <w:r w:rsidR="008F64F7">
        <w:rPr>
          <w:rFonts w:ascii="Calibri" w:hAnsi="Calibri" w:cs="Calibri"/>
          <w:color w:val="000000" w:themeColor="text1"/>
        </w:rPr>
        <w:instrText xml:space="preserve"> ADDIN ZOTERO_ITEM CSL_CITATION {"citationID":"D0cAXfQ0","properties":{"formattedCitation":"\\super 9, 10\\nosupersub{}","plainCitation":"9, 10","dontUpdate":true,"noteIndex":0},"citationItems":[{"id":181,"uris":["http://zotero.org/users/11181870/items/8FYXFJK7"],"itemData":{"id":181,"type":"article-journal","container-title":"The Lancet Infectious Diseases","DOI":"10.1016/S1473-3099(23)00692-8","ISSN":"14733099","issue":"7","journalAbbreviation":"The Lancet Infectious Diseases","language":"en","page":"e428-e438","source":"DOI.org (Crossref)","title":"Global incidence and mortality of severe fungal disease","URL":"https://linkinghub.elsevier.com/retrieve/pii/S1473309923006928","volume":"24","author":[{"family":"Denning","given":"David W"}],"accessed":{"date-parts":[["2025",8,25]]},"issued":{"date-parts":[["2024",7]]}}},{"id":214,"uris":["http://zotero.org/users/11181870/items/28RP6FI3"],"itemData":{"id":214,"type":"article-journal","container-title":"Clinical Infectious Diseases","DOI":"10.1093/cid/ciy776","ISSN":"1058-4838, 1537-6591","issue":"11","language":"en","page":"1791-1797","source":"DOI.org (Crossref)","title":"Estimation of Direct Healthcare Costs of Fungal Diseases in the United States","URL":"https://academic.oup.com/cid/article/68/11/1791/5094714","volume":"68","author":[{"family":"Benedict","given":"Kaitlin"},{"family":"Jackson","given":"Brendan R"},{"family":"Chiller","given":"Tom"},{"family":"Beer","given":"Karlyn D"}],"accessed":{"date-parts":[["2025",9,10]]},"issued":{"date-parts":[["2019",5,17]]}}}],"schema":"https://github.com/citation-style-language/schema/raw/master/csl-citation.json"} </w:instrText>
      </w:r>
      <w:r w:rsidR="60EAF82E"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9,10</w:t>
      </w:r>
      <w:r w:rsidR="60EAF82E" w:rsidRPr="00644AF5">
        <w:rPr>
          <w:rFonts w:ascii="Calibri" w:hAnsi="Calibri" w:cs="Calibri"/>
          <w:color w:val="000000" w:themeColor="text1"/>
        </w:rPr>
        <w:fldChar w:fldCharType="end"/>
      </w:r>
      <w:r w:rsidRPr="00644AF5">
        <w:rPr>
          <w:rFonts w:ascii="Calibri" w:hAnsi="Calibri" w:cs="Calibri"/>
          <w:color w:val="000000" w:themeColor="text1"/>
        </w:rPr>
        <w:t xml:space="preserve">. </w:t>
      </w:r>
      <w:r w:rsidR="00337DFD" w:rsidRPr="00644AF5">
        <w:rPr>
          <w:rFonts w:ascii="Calibri" w:hAnsi="Calibri" w:cs="Calibri"/>
          <w:color w:val="000000" w:themeColor="text1"/>
        </w:rPr>
        <w:t xml:space="preserve">Despite available antifungal treatments, morbidity and mortality rates associated with </w:t>
      </w:r>
      <w:r w:rsidR="00337DFD" w:rsidRPr="00644AF5">
        <w:rPr>
          <w:rFonts w:ascii="Calibri" w:hAnsi="Calibri" w:cs="Calibri"/>
          <w:i/>
          <w:iCs/>
          <w:color w:val="000000" w:themeColor="text1"/>
        </w:rPr>
        <w:t>C. albicans</w:t>
      </w:r>
      <w:r w:rsidR="00337DFD" w:rsidRPr="00644AF5">
        <w:rPr>
          <w:rFonts w:ascii="Calibri" w:hAnsi="Calibri" w:cs="Calibri"/>
          <w:color w:val="000000" w:themeColor="text1"/>
        </w:rPr>
        <w:t xml:space="preserve"> infections have remained largely unchanged for decades, highlighting the urgent need to better understand host-pathogen interactions in fungal disease.</w:t>
      </w:r>
    </w:p>
    <w:p w14:paraId="217EE32A" w14:textId="77777777" w:rsidR="00FB428D" w:rsidRPr="00644AF5" w:rsidRDefault="00FB428D" w:rsidP="000377CA">
      <w:pPr>
        <w:pStyle w:val="NormalWeb"/>
        <w:ind w:left="0" w:firstLine="0"/>
        <w:contextualSpacing/>
        <w:jc w:val="both"/>
        <w:rPr>
          <w:rFonts w:ascii="Calibri" w:hAnsi="Calibri" w:cs="Calibri"/>
          <w:color w:val="000000" w:themeColor="text1"/>
        </w:rPr>
      </w:pPr>
    </w:p>
    <w:p w14:paraId="744AA977" w14:textId="37168B34" w:rsidR="004F7366" w:rsidRPr="00644AF5" w:rsidRDefault="004F7366" w:rsidP="000377CA">
      <w:pPr>
        <w:pStyle w:val="NormalWeb"/>
        <w:ind w:left="0" w:firstLine="0"/>
        <w:contextualSpacing/>
        <w:jc w:val="both"/>
        <w:rPr>
          <w:rFonts w:ascii="Calibri" w:hAnsi="Calibri" w:cs="Calibri"/>
          <w:color w:val="000000" w:themeColor="text1"/>
        </w:rPr>
      </w:pPr>
      <w:r w:rsidRPr="00644AF5">
        <w:rPr>
          <w:rStyle w:val="Emphasis"/>
          <w:rFonts w:ascii="Calibri" w:hAnsi="Calibri" w:cs="Calibri"/>
          <w:color w:val="000000" w:themeColor="text1"/>
        </w:rPr>
        <w:t>C. albicans</w:t>
      </w:r>
      <w:r w:rsidRPr="00644AF5">
        <w:rPr>
          <w:rFonts w:ascii="Calibri" w:hAnsi="Calibri" w:cs="Calibri"/>
          <w:color w:val="000000" w:themeColor="text1"/>
        </w:rPr>
        <w:t xml:space="preserve"> </w:t>
      </w:r>
      <w:r w:rsidR="00337DFD" w:rsidRPr="00644AF5">
        <w:rPr>
          <w:rFonts w:ascii="Calibri" w:hAnsi="Calibri" w:cs="Calibri"/>
          <w:color w:val="000000" w:themeColor="text1"/>
        </w:rPr>
        <w:t>employs</w:t>
      </w:r>
      <w:r w:rsidR="00D95E02" w:rsidRPr="00644AF5">
        <w:rPr>
          <w:rFonts w:ascii="Calibri" w:hAnsi="Calibri" w:cs="Calibri"/>
          <w:color w:val="000000" w:themeColor="text1"/>
        </w:rPr>
        <w:t xml:space="preserve"> </w:t>
      </w:r>
      <w:r w:rsidR="00416F2C" w:rsidRPr="00644AF5">
        <w:rPr>
          <w:rFonts w:ascii="Calibri" w:hAnsi="Calibri" w:cs="Calibri"/>
          <w:color w:val="000000" w:themeColor="text1"/>
        </w:rPr>
        <w:t xml:space="preserve">a </w:t>
      </w:r>
      <w:r w:rsidR="00E26C59" w:rsidRPr="00644AF5">
        <w:rPr>
          <w:rFonts w:ascii="Calibri" w:hAnsi="Calibri" w:cs="Calibri"/>
          <w:color w:val="000000" w:themeColor="text1"/>
        </w:rPr>
        <w:t xml:space="preserve">diverse </w:t>
      </w:r>
      <w:r w:rsidR="00C20946" w:rsidRPr="00644AF5">
        <w:rPr>
          <w:rFonts w:ascii="Calibri" w:hAnsi="Calibri" w:cs="Calibri"/>
          <w:color w:val="000000" w:themeColor="text1"/>
        </w:rPr>
        <w:t xml:space="preserve">repertoire of virulence </w:t>
      </w:r>
      <w:r w:rsidR="00E26C59" w:rsidRPr="00644AF5">
        <w:rPr>
          <w:rFonts w:ascii="Calibri" w:hAnsi="Calibri" w:cs="Calibri"/>
          <w:color w:val="000000" w:themeColor="text1"/>
        </w:rPr>
        <w:t xml:space="preserve">factors </w:t>
      </w:r>
      <w:r w:rsidR="00D95E02" w:rsidRPr="00644AF5">
        <w:rPr>
          <w:rFonts w:ascii="Calibri" w:hAnsi="Calibri" w:cs="Calibri"/>
          <w:color w:val="000000" w:themeColor="text1"/>
        </w:rPr>
        <w:t xml:space="preserve">that </w:t>
      </w:r>
      <w:r w:rsidR="00337DFD" w:rsidRPr="00644AF5">
        <w:rPr>
          <w:rFonts w:ascii="Calibri" w:hAnsi="Calibri" w:cs="Calibri"/>
          <w:color w:val="000000" w:themeColor="text1"/>
        </w:rPr>
        <w:t>support</w:t>
      </w:r>
      <w:r w:rsidR="00E26C59" w:rsidRPr="00644AF5">
        <w:rPr>
          <w:rFonts w:ascii="Calibri" w:hAnsi="Calibri" w:cs="Calibri"/>
          <w:color w:val="000000" w:themeColor="text1"/>
        </w:rPr>
        <w:t xml:space="preserve"> </w:t>
      </w:r>
      <w:r w:rsidR="00D95E02" w:rsidRPr="00644AF5">
        <w:rPr>
          <w:rFonts w:ascii="Calibri" w:hAnsi="Calibri" w:cs="Calibri"/>
          <w:color w:val="000000" w:themeColor="text1"/>
        </w:rPr>
        <w:t>colonization</w:t>
      </w:r>
      <w:r w:rsidR="00E26C59" w:rsidRPr="00644AF5">
        <w:rPr>
          <w:rFonts w:ascii="Calibri" w:hAnsi="Calibri" w:cs="Calibri"/>
          <w:color w:val="000000" w:themeColor="text1"/>
        </w:rPr>
        <w:t>,</w:t>
      </w:r>
      <w:r w:rsidR="00D95E02" w:rsidRPr="00644AF5">
        <w:rPr>
          <w:rFonts w:ascii="Calibri" w:hAnsi="Calibri" w:cs="Calibri"/>
          <w:color w:val="000000" w:themeColor="text1"/>
        </w:rPr>
        <w:t xml:space="preserve"> persistence</w:t>
      </w:r>
      <w:r w:rsidR="00E26C59" w:rsidRPr="00644AF5">
        <w:rPr>
          <w:rFonts w:ascii="Calibri" w:hAnsi="Calibri" w:cs="Calibri"/>
          <w:color w:val="000000" w:themeColor="text1"/>
        </w:rPr>
        <w:t xml:space="preserve">, and pathogenesis across a range of </w:t>
      </w:r>
      <w:r w:rsidR="00D95E02" w:rsidRPr="00644AF5">
        <w:rPr>
          <w:rFonts w:ascii="Calibri" w:hAnsi="Calibri" w:cs="Calibri"/>
          <w:color w:val="000000" w:themeColor="text1"/>
        </w:rPr>
        <w:t xml:space="preserve">host </w:t>
      </w:r>
      <w:r w:rsidR="009A609F" w:rsidRPr="00644AF5">
        <w:rPr>
          <w:rFonts w:ascii="Calibri" w:hAnsi="Calibri" w:cs="Calibri"/>
          <w:color w:val="000000" w:themeColor="text1"/>
        </w:rPr>
        <w:t>environments</w:t>
      </w:r>
      <w:r w:rsidR="00D95E02" w:rsidRPr="00644AF5">
        <w:rPr>
          <w:rFonts w:ascii="Calibri" w:hAnsi="Calibri" w:cs="Calibri"/>
          <w:color w:val="000000" w:themeColor="text1"/>
        </w:rPr>
        <w:t xml:space="preserve">. These </w:t>
      </w:r>
      <w:r w:rsidR="00C20946" w:rsidRPr="00644AF5">
        <w:rPr>
          <w:rFonts w:ascii="Calibri" w:hAnsi="Calibri" w:cs="Calibri"/>
          <w:color w:val="000000" w:themeColor="text1"/>
        </w:rPr>
        <w:t>includ</w:t>
      </w:r>
      <w:r w:rsidR="00D95E02" w:rsidRPr="00644AF5">
        <w:rPr>
          <w:rFonts w:ascii="Calibri" w:hAnsi="Calibri" w:cs="Calibri"/>
          <w:color w:val="000000" w:themeColor="text1"/>
        </w:rPr>
        <w:t xml:space="preserve">e adhesion to host tissues, </w:t>
      </w:r>
      <w:r w:rsidR="00C20946" w:rsidRPr="00644AF5">
        <w:rPr>
          <w:rFonts w:ascii="Calibri" w:hAnsi="Calibri" w:cs="Calibri"/>
          <w:color w:val="000000" w:themeColor="text1"/>
        </w:rPr>
        <w:t>immune evasion, cell-wall remodeling, secret</w:t>
      </w:r>
      <w:r w:rsidR="00D95E02" w:rsidRPr="00644AF5">
        <w:rPr>
          <w:rFonts w:ascii="Calibri" w:hAnsi="Calibri" w:cs="Calibri"/>
          <w:color w:val="000000" w:themeColor="text1"/>
        </w:rPr>
        <w:t xml:space="preserve">ion of hydrolytic enzymes, </w:t>
      </w:r>
      <w:r w:rsidR="0024443D" w:rsidRPr="00644AF5">
        <w:rPr>
          <w:rFonts w:ascii="Calibri" w:hAnsi="Calibri" w:cs="Calibri"/>
          <w:color w:val="000000" w:themeColor="text1"/>
        </w:rPr>
        <w:t>morphologi</w:t>
      </w:r>
      <w:r w:rsidR="00E26C59" w:rsidRPr="00644AF5">
        <w:rPr>
          <w:rFonts w:ascii="Calibri" w:hAnsi="Calibri" w:cs="Calibri"/>
          <w:color w:val="000000" w:themeColor="text1"/>
        </w:rPr>
        <w:t>cal plasticity</w:t>
      </w:r>
      <w:r w:rsidR="0024443D" w:rsidRPr="00644AF5">
        <w:rPr>
          <w:rFonts w:ascii="Calibri" w:hAnsi="Calibri" w:cs="Calibri"/>
          <w:color w:val="000000" w:themeColor="text1"/>
        </w:rPr>
        <w:t>, and biofilm formation</w:t>
      </w:r>
      <w:r w:rsidR="00D307A1"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{"citationID":"AhJqEN1p","properties":{"formattedCitation":"\\super 11\\uc0\\u8211{}16\\nosupersub{}","plainCitation":"11–16","noteIndex":0},"citationItems":[{"id":59,"uris":["http://zotero.org/users/11181870/items/7HW37N6V"],"itemData":{"id":59,"type":"article-journal","container-title":"Microbes and Infection","DOI":"10.1016/j.micinf.2016.01.002","ISSN":"12864579","issue":"5","journalAbbreviation":"Microbes and Infection","language":"en","page":"310-321","source":"DOI.org (Crossref)","title":"Candida albicans biofilms: development, regulation, and molecular mechanisms","title-short":"Candida albicans biofilms","URL":"https://linkinghub.elsevier.com/retrieve/pii/S1286457916000095","volume":"18","author":[{"family":"Gulati","given":"Megha"},{"family":"Nobile","given":"Clarissa J."}],"accessed":{"date-parts":[["2024",10,6]]},"issued":{"date-parts":[["2016",5]]}}},{"id":134,"uris":["http://zotero.org/users/11181870/items/8H9U7VBV"],"itemData":{"id":134,"type":"article-journal","abstract":"In humans, microbial cells (including bacteria, archaea, and fungi) greatly outnumber host cells. Candida albicans is the most prevalent fungal species of the human microbiota; this species asymptomatically colonizes many areas of the body, particularly the gastrointestinal and genitourinary tracts of healthy individuals. Alterations in host immunity, stress, resident microbiota, and other factors can lead to C. albicans overgrowth, causing a wide range of infections, from superficial mucosal to hematogenously disseminated candidiasis. To date, most studies of C. albicans have been carried out in suspension cultures; however, the medical impact of C. albicans (like that of many other microorganisms) depends on its ability to thrive as a biofilm, a closely packed community of cells. Biofilms are notorious for forming on implanted medical devices, including catheters, pacemakers, dentures, and prosthetic joints, which provide a surface and sanctuary for biofilm growth. C. albicans biofilms are intrinsically resistant to conventional antifungal therapeutics, the host immune system, and other environmental perturbations, making biofilm-based infections a significant clinical challenge. Here, we review our current knowledge of biofilms formed by C. albicans and closely related fungal species.","container-title":"Annual Review of Microbiology","DOI":"10.1146/annurev-micro-091014-104330","ISSN":"0066-4227, 1545-3251","issue":"1","journalAbbreviation":"Annu. Rev. Microbiol.","language":"en","page":"71-92","source":"DOI.org (Crossref)","title":"&lt;i&gt;Candida albicans&lt;/i&gt; Biofilms and Human Disease","URL":"https://www.annualreviews.org/doi/10.1146/annurev-micro-091014-104330","volume":"69","author":[{"family":"Nobile","given":"Clarissa J."},{"family":"Johnson","given":"Alexander D."}],"accessed":{"date-parts":[["2025",3,31]]},"issued":{"date-parts":[["2015",10,15]]}}},{"id":220,"uris":["http://zotero.org/users/11181870/items/M4VQRKXL"],"itemData":{"id":220,"type":"article-journal","container-title":"Journal of Microbiology","DOI":"10.1007/s12275-016-5514-0","ISSN":"1225-8873, 1976-3794","issue":"3","journalAbbreviation":"J Microbiol.","language":"en","page":"149-169","source":"DOI.org (Crossref)","title":"Interaction of Candida albicans with host cells: virulence factors, host defense, escape strategies, and the microbiota","title-short":"Interaction of Candida albicans with host cells","URL":"http://link.springer.com/10.1007/s12275-016-5514-0","volume":"54","author":[{"family":"Höfs","given":"Sarah"},{"family":"Mogavero","given":"Selene"},{"family":"Hube","given":"Bernhard"}],"accessed":{"date-parts":[["2025",9,25]]},"issued":{"date-parts":[["2016",3]]}}},{"id":230,"uris":["http://zotero.org/users/11181870/items/47TJ9UIL"],"itemData":{"id":230,"type":"article-journal","abstract":"Candida albicans is a common commensal fungus that colonizes the oropharyngeal cavity, gastrointestinal and vaginal tract, and healthy individuals’ skin. In 50% of the population, C. albicans is part of the normal flora of the microbiota. The various clinical manifestations of Candida species range from localized, superficial mucocutaneous disorders to invasive diseases that involve multiple organ systems and are life-threatening. From systemic and local to hereditary and environmental, diverse factors lead to disturbances in Candida’s normal homeostasis, resulting in a transition from normal flora to pathogenic and opportunistic infections. The transition in the pathophysiology of the onset and progression of infection is also influenced by Candida’s virulence traits that lead to the development of candidiasis. Oral candidiasis has a wide range of clinical manifestations, divided into primary and secondary candidiasis. The main supply of C. albicans in the body is located in the gastrointestinal tract, and the development of infections occurs due to dysbiosis of the residential microbiota, immune dysfunction, and damage to the muco-intestinal barrier. The presence of C. albicans in the blood is associated with candidemia–invasive Candida infections. The commensal relationship exists as long as there is a balance between the host immune system and the virulence factors of C. albicans. This paper presents the virulence traits of Candida albicans and clinical manifestations of specific candidiasis.","container-title":"Journal of Fungi","DOI":"10.3390/jof7020079","ISSN":"2309-608X","issue":"2","journalAbbreviation":"JoF","language":"en","page":"79","source":"DOI.org (Crossref)","title":"Candida albicans—The Virulence Factors and Clinical Manifestations of Infection","URL":"https://www.mdpi.com/2309-608X/7/2/79","volume":"7","author":[{"family":"Talapko","given":"Jasminka"},{"family":"Juzbašić","given":"Martina"},{"family":"Matijević","given":"Tatjana"},{"family":"Pustijanac","given":"Emina"},{"family":"Bekić","given":"Sanja"},{"family":"Kotris","given":"Ivan"},{"family":"Škrlec","given":"Ivana"}],"accessed":{"date-parts":[["2025",11,9]]},"issued":{"date-parts":[["2021",1,22]]}}},{"id":233,"uris":["http://zotero.org/users/11181870/items/K2NTJHNU"],"itemData":{"id":233,"type":"article-journal","container-title":"Virulence","DOI":"10.1080/21505594.2021.2019950","ISSN":"2150-5594, 2150-5608","issue":"1","journalAbbreviation":"Virulence","language":"en","page":"89-121","source":"DOI.org (Crossref)","title":"Pathogenesis and virulence of &lt;i&gt;Candida albicans&lt;/i&gt;","URL":"https://www.tandfonline.com/doi/full/10.1080/21505594.2021.2019950","volume":"13","author":[{"family":"Lopes","given":"José Pedro"},{"family":"Lionakis","given":"Michail S."}],"accessed":{"date-parts":[["2025",11,9]]},"issued":{"date-parts":[["2022",12,31]]}}},{"id":234,"uris":["http://zotero.org/users/11181870/items/KIDDL34W"],"itemData":{"id":234,"type":"article-journal","abstract":"Invasive fungal infections constitute a substantial global health burden, with invasive candidiasis representing approximately 70% of reported cases worldwide. The emergence of antifungal resistance among Candida species has further exacerbated this challenge to healthcare systems. Recent epidemiological studies have documented a concerning shift towards non-albicans Candida species, exhibiting reduced antifungal susceptibility, in invasive candidiasis cases. The complement system serves as a crucial first-line defence mechanism against Candida infections. These fungal pathogens can activate the complement cascade through three conventional pathways—classical, lectin, and alternative—in addition to activation through the coagulation system. While these pathways are initiated by distinct molecular triggers, they converge at C3 convertase formation, ultimately generating biologically active products and the membrane attack complex. Candida species have evolved sophisticated mechanisms to evade complement-mediated host defence, including the masking of cell wall components, proteolytic cleavage and inhibition of complement proteins, recruitment of complement regulators, and acquisition of host proteins. This review examines the intricate interplay between Candida species and the host complement system, with emphasis on complement evasion strategies. Furthermore, we highlight the importance of exploring the crosstalk between antifungal resistance and immune evasion strategies employed by Candida species. Understanding these interactions may facilitate the development of novel therapeutic approaches and strategies to overcome treatment failures in Candida species infections.","container-title":"Microorganisms","DOI":"10.3390/microorganisms13020272","ISSN":"2076-2607","issue":"2","journalAbbreviation":"Microorganisms","language":"en","page":"272","source":"DOI.org (Crossref)","title":"Candidiasis: Insights into Virulence Factors, Complement Evasion and Antifungal Drug Resistance","title-short":"Candidiasis","URL":"https://www.mdpi.com/2076-2607/13/2/272","volume":"13","author":[{"family":"Gaffar","given":"Nidaa Riaz"},{"family":"Valand","given":"Nisha"},{"family":"Venkatraman Girija","given":"Umakhanth"}],"accessed":{"date-parts":[["2025",11,9]]},"issued":{"date-parts":[["2025",1,25]]}}}],"schema":"https://github.com/citation-style-language/schema/raw/master/csl-citation.json"} </w:instrText>
      </w:r>
      <w:r w:rsidR="00D307A1"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11–16</w:t>
      </w:r>
      <w:r w:rsidR="00D307A1" w:rsidRPr="00644AF5">
        <w:rPr>
          <w:rFonts w:ascii="Calibri" w:hAnsi="Calibri" w:cs="Calibri"/>
          <w:color w:val="000000" w:themeColor="text1"/>
        </w:rPr>
        <w:fldChar w:fldCharType="end"/>
      </w:r>
      <w:r w:rsidRPr="00644AF5">
        <w:rPr>
          <w:rFonts w:ascii="Calibri" w:hAnsi="Calibri" w:cs="Calibri"/>
          <w:color w:val="000000" w:themeColor="text1"/>
        </w:rPr>
        <w:t xml:space="preserve">. </w:t>
      </w:r>
      <w:r w:rsidR="00D95E02" w:rsidRPr="00644AF5">
        <w:rPr>
          <w:rFonts w:ascii="Calibri" w:hAnsi="Calibri" w:cs="Calibri"/>
          <w:color w:val="000000" w:themeColor="text1"/>
        </w:rPr>
        <w:t xml:space="preserve">Collectively, these </w:t>
      </w:r>
      <w:r w:rsidR="00C20946" w:rsidRPr="00644AF5">
        <w:rPr>
          <w:rFonts w:ascii="Calibri" w:hAnsi="Calibri" w:cs="Calibri"/>
          <w:color w:val="000000" w:themeColor="text1"/>
        </w:rPr>
        <w:t>traits</w:t>
      </w:r>
      <w:r w:rsidR="00176C6D" w:rsidRPr="00644AF5">
        <w:rPr>
          <w:rFonts w:ascii="Calibri" w:hAnsi="Calibri" w:cs="Calibri"/>
          <w:color w:val="000000" w:themeColor="text1"/>
        </w:rPr>
        <w:t xml:space="preserve"> </w:t>
      </w:r>
      <w:r w:rsidR="00E26C59" w:rsidRPr="00644AF5">
        <w:rPr>
          <w:rFonts w:ascii="Calibri" w:hAnsi="Calibri" w:cs="Calibri"/>
          <w:color w:val="000000" w:themeColor="text1"/>
        </w:rPr>
        <w:t xml:space="preserve">allow </w:t>
      </w:r>
      <w:r w:rsidR="00D95E02" w:rsidRPr="00644AF5">
        <w:rPr>
          <w:rFonts w:ascii="Calibri" w:hAnsi="Calibri" w:cs="Calibri"/>
          <w:i/>
          <w:iCs/>
          <w:color w:val="000000" w:themeColor="text1"/>
        </w:rPr>
        <w:t xml:space="preserve">C. albicans </w:t>
      </w:r>
      <w:r w:rsidR="00D95E02" w:rsidRPr="00644AF5">
        <w:rPr>
          <w:rFonts w:ascii="Calibri" w:hAnsi="Calibri" w:cs="Calibri"/>
          <w:color w:val="000000" w:themeColor="text1"/>
        </w:rPr>
        <w:t xml:space="preserve">to adapt to </w:t>
      </w:r>
      <w:r w:rsidR="00E92C91" w:rsidRPr="00644AF5">
        <w:rPr>
          <w:rFonts w:ascii="Calibri" w:hAnsi="Calibri" w:cs="Calibri"/>
          <w:color w:val="000000" w:themeColor="text1"/>
        </w:rPr>
        <w:t xml:space="preserve">diverse </w:t>
      </w:r>
      <w:r w:rsidRPr="00644AF5">
        <w:rPr>
          <w:rFonts w:ascii="Calibri" w:hAnsi="Calibri" w:cs="Calibri"/>
          <w:color w:val="000000" w:themeColor="text1"/>
        </w:rPr>
        <w:t xml:space="preserve">host niches, </w:t>
      </w:r>
      <w:r w:rsidR="00D95E02" w:rsidRPr="00644AF5">
        <w:rPr>
          <w:rFonts w:ascii="Calibri" w:hAnsi="Calibri" w:cs="Calibri"/>
          <w:color w:val="000000" w:themeColor="text1"/>
        </w:rPr>
        <w:t xml:space="preserve">modulate immune responses, and </w:t>
      </w:r>
      <w:r w:rsidR="00E26C59" w:rsidRPr="00644AF5">
        <w:rPr>
          <w:rFonts w:ascii="Calibri" w:hAnsi="Calibri" w:cs="Calibri"/>
          <w:color w:val="000000" w:themeColor="text1"/>
        </w:rPr>
        <w:t xml:space="preserve">resist antifungal </w:t>
      </w:r>
      <w:r w:rsidR="00337DFD" w:rsidRPr="00644AF5">
        <w:rPr>
          <w:rFonts w:ascii="Calibri" w:hAnsi="Calibri" w:cs="Calibri"/>
          <w:color w:val="000000" w:themeColor="text1"/>
        </w:rPr>
        <w:t>therapies</w:t>
      </w:r>
      <w:r w:rsidR="00D307A1"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{"citationID":"ZQawK3sU","properties":{"formattedCitation":"\\super 16\\uc0\\u8211{}21\\nosupersub{}","plainCitation":"16–21","noteIndex":0},"citationItems":[{"id":234,"uris":["http://zotero.org/users/11181870/items/KIDDL34W"],"itemData":{"id":234,"type":"article-journal","abstract":"Invasive fungal infections constitute a substantial global health burden, with invasive candidiasis representing approximately 70% of reported cases worldwide. The emergence of antifungal resistance among Candida species has further exacerbated this challenge to healthcare systems. Recent epidemiological studies have documented a concerning shift towards non-albicans Candida species, exhibiting reduced antifungal susceptibility, in invasive candidiasis cases. The complement system serves as a crucial first-line defence mechanism against Candida infections. These fungal pathogens can activate the complement cascade through three conventional pathways—classical, lectin, and alternative—in addition to activation through the coagulation system. While these pathways are initiated by distinct molecular triggers, they converge at C3 convertase formation, ultimately generating biologically active products and the membrane attack complex. Candida species have evolved sophisticated mechanisms to evade complement-mediated host defence, including the masking of cell wall components, proteolytic cleavage and inhibition of complement proteins, recruitment of complement regulators, and acquisition of host proteins. This review examines the intricate interplay between Candida species and the host complement system, with emphasis on complement evasion strategies. Furthermore, we highlight the importance of exploring the crosstalk between antifungal resistance and immune evasion strategies employed by Candida species. Understanding these interactions may facilitate the development of novel therapeutic approaches and strategies to overcome treatment failures in Candida species infections.","container-title":"Microorganisms","DOI":"10.3390/microorganisms13020272","ISSN":"2076-2607","issue":"2","journalAbbreviation":"Microorganisms","language":"en","page":"272","source":"DOI.org (Crossref)","title":"Candidiasis: Insights into Virulence Factors, Complement Evasion and Antifungal Drug Resistance","title-short":"Candidiasis","URL":"https://www.mdpi.com/2076-2607/13/2/272","volume":"13","author":[{"family":"Gaffar","given":"Nidaa Riaz"},{"family":"Valand","given":"Nisha"},{"family":"Venkatraman Girija","given":"Umakhanth"}],"accessed":{"date-parts":[["2025",11,9]]},"issued":{"date-parts":[["2025",1,25]]}}},{"id":17,"uris":["http://zotero.org/users/11181870/items/RH36V635"],"itemData":{"id":17,"type":"article-journal","container-title":"PLoS Biology","DOI":"10.1371/journal.pbio.1001525","ISSN":"1545-7885","issue":"3","journalAbbreviation":"PLoS Biol","language":"en","page":"e1001525","source":"DOI.org (Crossref)","title":"White-Opaque Switching in Natural MTLa/α Isolates of Candida albicans: Evolutionary Implications for Roles in Host Adaptation, Pathogenesis, and Sex","title-short":"White-Opaque Switching in Natural MTLa/α Isolates of Candida albicans","URL":"https://dx.plos.org/10.1371/journal.pbio.1001525","volume":"11","author":[{"family":"Xie","given":"Jing"},{"family":"Tao","given":"Li"},{"family":"Nobile","given":"Clarissa J."},{"family":"Tong","given":"Yaojun"},{"family":"Guan","given":"Guobo"},{"family":"Sun","given":"Yuan"},{"family":"Cao","given":"Chengjun"},{"family":"Hernday","given":"Aaron D."},{"family":"Johnson","given":"Alexander D."},{"family":"Zhang","given":"Lixin"},{"family":"Bai","given":"Feng-Yan"},{"family":"Huang","given":"Guanghua"}],"editor":[{"family":"Heitman","given":"Joseph"}],"accessed":{"date-parts":[["2024",10,6]]},"issued":{"date-parts":[["2013",3,26]]}}},{"id":236,"uris":["http://zotero.org/users/11181870/items/X8Y6S62T"],"itemData":{"id":236,"type":"article-journal","abstract":"Candida albicans represents the most frequent isolated yeast from bloodstream infections. Despite the remarkable progress in diagnostic and therapeutic approaches, these infections continue to be a critical challenge in intensive care units worldwide. The economic cost of bloodstream fungal infections and its associated mortality, especially in debilitated patients, remains unacceptably high. Candida albicans is a highly adaptable microorganism, being able to develop resistance following prolonged exposure to antifungals. Formation of biofilms, which diminish the accessibility of the antifungal, selection of spontaneous mutations that increase expression or decreased susceptibility of the target, altered chromosome abnormalities, overexpression of multidrug efflux pumps and the ability to escape host immune defenses are some of the factors that can contribute to antifungal tolerance and resistance. The knowledge of the antifungal resistance mechanisms can allow the design of alternative therapeutically options in order to modulate or revert the resistance. We have focused this review on the main factors that are involved in antifungal resistance and tolerance in patients with C. albicans bloodstream infections.","container-title":"Microorganisms","DOI":"10.3390/microorganisms8020154","ISSN":"2076-2607","issue":"2","journalAbbreviation":"Microorganisms","language":"en","page":"154","source":"DOI.org (Crossref)","title":"&lt;i&gt;Candida albicans&lt;/i&gt; Antifungal Resistance and Tolerance in Bloodstream Infections: The Triad Yeast-Host-Antifungal","title-short":"Candida albicans Antifungal Resistance and Tolerance in Bloodstream Infections","URL":"https://www.mdpi.com/2076-2607/8/2/154","volume":"8","author":[{"family":"Costa-de-Oliveira","given":"Sofia"},{"family":"Rodrigues","given":"Acácio G."}],"accessed":{"date-parts":[["2025",11,9]]},"issued":{"date-parts":[["2020",1,22]]}}},{"id":238,"uris":["http://zotero.org/users/11181870/items/Y73I4T26"],"itemData":{"id":238,"type":"article-journal","container-title":"Frontiers in Microbiology","DOI":"10.3389/fmicb.2016.02173","ISSN":"1664-302X","journalAbbreviation":"Front. Microbiol.","source":"DOI.org (Crossref)","title":"Azole Antifungal Resistance in &lt;i&gt;Candida albicans&lt;/i&gt; and Emerging Non-albicans Candida Species","URL":"http://journal.frontiersin.org/article/10.3389/fmicb.2016.02173/full","volume":"7","author":[{"family":"Whaley","given":"Sarah G."},{"family":"Berkow","given":"Elizabeth L."},{"family":"Rybak","given":"Jeffrey M."},{"family":"Nishimoto","given":"Andrew T."},{"family":"Barker","given":"Katherine S."},{"family":"Rogers","given":"P. David"}],"accessed":{"date-parts":[["2025",11,9]]},"issued":{"date-parts":[["2017",1,12]]}}},{"id":240,"uris":["http://zotero.org/users/11181870/items/SQ5A94KK"],"itemData":{"id":240,"type":"article-journal","container-title":"Microbiology","DOI":"10.1099/00221287-145-10-2701","ISSN":"1350-0872, 1465-2080","issue":"10","language":"en","page":"2701-2713","source":"DOI.org (Crossref)","title":"Contribution of mutations in the cytochrome P450 14α-demethylase (Erg11p, Cyp51p) to azole resistance in Candida albicans","URL":"https://www.microbiologyresearch.org/content/journal/micro/10.1099/00221287-145-10-2701","volume":"145","author":[{"family":"Marichal","given":"Patrick"},{"family":"Koymans","given":"Luc"},{"family":"Willemsens","given":"Staf"},{"family":"Bellens","given":"Danny"},{"family":"Verhasselt","given":"Peter"},{"family":"Luyten","given":"Walter"},{"family":"Borgers","given":"Marcel"},{"family":"Ramaekers","given":"Frans C. S."},{"family":"Odds","given":"Frank C."},{"family":"Vanden Bossche","given":"Hugo"}],"accessed":{"date-parts":[["2025",11,9]]},"issued":{"date-parts":[["1999",10,1]]}}},{"id":242,"uris":["http://zotero.org/users/11181870/items/M2GBICVL"],"itemData":{"id":242,"type":"article-journal","abstract":"Abstract\n            \n              Fungal pathogens are a severe public health problem. The leading causative agents of systemic fungal infections include species from the\n              Candida\n              ,\n              Cryptococcus\n              , and\n              Aspergillus\n              genera. As opportunistic pathogens, these fungi are generally harmless in healthy hosts; however, they can cause significant morbidity and mortality in immunocompromised patients. Despite the profound impact of pathogenic fungi on global human health, the current antifungal armamentarium is limited to only three major classes of drugs, all of which face complications, including host toxicity, unfavourable pharmacokinetics, or limited spectrum of activity. Further exacerbating this issue is the growing prevalence of antifungal-resistant infections and the emergence of multidrug-resistant pathogens. In this review, we discuss the diverse strategies employed by leading fungal pathogens to evolve antifungal resistance, including drug target alterations, enhanced drug efflux, and induction of cellular stress response pathways. Such mechanisms of resistance occur through diverse genetic alterations, including point mutations, aneuploidy formation, and epigenetic changes given the significant plasticity observed in many fungal genomes. Additionally, we highlight recent literature surrounding the mechanisms governing resistance in emerging multidrug-resistant pathogens including\n              Candida auris\n              and\n              Candida glabrata\n              . Advancing our knowledge of the molecular mechanisms by which fungi adapt to the challenge of antifungal exposure is imperative for designing therapeutic strategies to tackle the emerging threat of antifungal resistance.","container-title":"npj Antimicrobials and Resistance","DOI":"10.1038/s44259-023-00007-2","ISSN":"2731-8745","issue":"1","journalAbbreviation":"npj Antimicrob Resist","language":"en","page":"5","source":"DOI.org (Crossref)","title":"Molecular mechanisms governing antifungal drug resistance","URL":"https://www.nature.com/articles/s44259-023-00007-2","volume":"1","author":[{"family":"Lee","given":"Yunjin"},{"family":"Robbins","given":"Nicole"},{"family":"Cowen","given":"Leah E."}],"accessed":{"date-parts":[["2025",11,9]]},"issued":{"date-parts":[["2023",7,17]]}}}],"schema":"https://github.com/citation-style-language/schema/raw/master/csl-citation.json"} </w:instrText>
      </w:r>
      <w:r w:rsidR="00D307A1"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16–21</w:t>
      </w:r>
      <w:r w:rsidR="00D307A1" w:rsidRPr="00644AF5">
        <w:rPr>
          <w:rFonts w:ascii="Calibri" w:hAnsi="Calibri" w:cs="Calibri"/>
          <w:color w:val="000000" w:themeColor="text1"/>
        </w:rPr>
        <w:fldChar w:fldCharType="end"/>
      </w:r>
      <w:r w:rsidRPr="00644AF5">
        <w:rPr>
          <w:rFonts w:ascii="Calibri" w:hAnsi="Calibri" w:cs="Calibri"/>
          <w:color w:val="000000" w:themeColor="text1"/>
        </w:rPr>
        <w:t xml:space="preserve">. </w:t>
      </w:r>
      <w:r w:rsidR="00337DFD" w:rsidRPr="00644AF5">
        <w:rPr>
          <w:rFonts w:ascii="Calibri" w:hAnsi="Calibri" w:cs="Calibri"/>
          <w:color w:val="000000" w:themeColor="text1"/>
        </w:rPr>
        <w:t xml:space="preserve">Elucidating </w:t>
      </w:r>
      <w:r w:rsidRPr="00644AF5">
        <w:rPr>
          <w:rFonts w:ascii="Calibri" w:hAnsi="Calibri" w:cs="Calibri"/>
          <w:color w:val="000000" w:themeColor="text1"/>
        </w:rPr>
        <w:t xml:space="preserve">how these </w:t>
      </w:r>
      <w:r w:rsidR="00C20946" w:rsidRPr="00644AF5">
        <w:rPr>
          <w:rFonts w:ascii="Calibri" w:hAnsi="Calibri" w:cs="Calibri"/>
          <w:color w:val="000000" w:themeColor="text1"/>
        </w:rPr>
        <w:t>processes</w:t>
      </w:r>
      <w:r w:rsidRPr="00644AF5">
        <w:rPr>
          <w:rFonts w:ascii="Calibri" w:hAnsi="Calibri" w:cs="Calibri"/>
          <w:color w:val="000000" w:themeColor="text1"/>
        </w:rPr>
        <w:t xml:space="preserve"> </w:t>
      </w:r>
      <w:r w:rsidR="003217D7" w:rsidRPr="00644AF5">
        <w:rPr>
          <w:rFonts w:ascii="Calibri" w:hAnsi="Calibri" w:cs="Calibri"/>
          <w:color w:val="000000" w:themeColor="text1"/>
        </w:rPr>
        <w:t>shape</w:t>
      </w:r>
      <w:r w:rsidR="00E26C59" w:rsidRPr="00644AF5">
        <w:rPr>
          <w:rFonts w:ascii="Calibri" w:hAnsi="Calibri" w:cs="Calibri"/>
          <w:color w:val="000000" w:themeColor="text1"/>
        </w:rPr>
        <w:t xml:space="preserve"> </w:t>
      </w:r>
      <w:r w:rsidRPr="00644AF5">
        <w:rPr>
          <w:rFonts w:ascii="Calibri" w:hAnsi="Calibri" w:cs="Calibri"/>
          <w:color w:val="000000" w:themeColor="text1"/>
        </w:rPr>
        <w:t xml:space="preserve">infection </w:t>
      </w:r>
      <w:r w:rsidR="00C20946" w:rsidRPr="00644AF5">
        <w:rPr>
          <w:rFonts w:ascii="Calibri" w:hAnsi="Calibri" w:cs="Calibri"/>
          <w:color w:val="000000" w:themeColor="text1"/>
        </w:rPr>
        <w:t>outcomes</w:t>
      </w:r>
      <w:r w:rsidR="00337DFD" w:rsidRPr="00644AF5">
        <w:rPr>
          <w:rFonts w:ascii="Calibri" w:hAnsi="Calibri" w:cs="Calibri"/>
          <w:color w:val="000000" w:themeColor="text1"/>
        </w:rPr>
        <w:t xml:space="preserve"> – </w:t>
      </w:r>
      <w:r w:rsidR="00E92C91" w:rsidRPr="00644AF5">
        <w:rPr>
          <w:rFonts w:ascii="Calibri" w:hAnsi="Calibri" w:cs="Calibri"/>
          <w:color w:val="000000" w:themeColor="text1"/>
        </w:rPr>
        <w:t>including</w:t>
      </w:r>
      <w:r w:rsidR="0096310E" w:rsidRPr="00644AF5">
        <w:rPr>
          <w:rFonts w:ascii="Calibri" w:hAnsi="Calibri" w:cs="Calibri"/>
          <w:color w:val="000000" w:themeColor="text1"/>
        </w:rPr>
        <w:t xml:space="preserve"> </w:t>
      </w:r>
      <w:r w:rsidRPr="00644AF5">
        <w:rPr>
          <w:rFonts w:ascii="Calibri" w:hAnsi="Calibri" w:cs="Calibri"/>
          <w:color w:val="000000" w:themeColor="text1"/>
        </w:rPr>
        <w:t xml:space="preserve">host </w:t>
      </w:r>
      <w:r w:rsidR="00C20946" w:rsidRPr="00644AF5">
        <w:rPr>
          <w:rFonts w:ascii="Calibri" w:hAnsi="Calibri" w:cs="Calibri"/>
          <w:color w:val="000000" w:themeColor="text1"/>
        </w:rPr>
        <w:t>morbidity</w:t>
      </w:r>
      <w:r w:rsidR="00AF286B" w:rsidRPr="00644AF5">
        <w:rPr>
          <w:rFonts w:ascii="Calibri" w:hAnsi="Calibri" w:cs="Calibri"/>
          <w:color w:val="000000" w:themeColor="text1"/>
        </w:rPr>
        <w:t xml:space="preserve">, </w:t>
      </w:r>
      <w:r w:rsidR="00FB428D" w:rsidRPr="00644AF5">
        <w:rPr>
          <w:rFonts w:ascii="Calibri" w:hAnsi="Calibri" w:cs="Calibri"/>
          <w:color w:val="000000" w:themeColor="text1"/>
        </w:rPr>
        <w:t>mortality</w:t>
      </w:r>
      <w:r w:rsidR="00AF286B" w:rsidRPr="00644AF5">
        <w:rPr>
          <w:rFonts w:ascii="Calibri" w:hAnsi="Calibri" w:cs="Calibri"/>
          <w:color w:val="000000" w:themeColor="text1"/>
        </w:rPr>
        <w:t xml:space="preserve">, and </w:t>
      </w:r>
      <w:r w:rsidR="00E26C59" w:rsidRPr="00644AF5">
        <w:rPr>
          <w:rFonts w:ascii="Calibri" w:hAnsi="Calibri" w:cs="Calibri"/>
          <w:color w:val="000000" w:themeColor="text1"/>
        </w:rPr>
        <w:t xml:space="preserve">pathogen </w:t>
      </w:r>
      <w:r w:rsidR="00AF286B" w:rsidRPr="00644AF5">
        <w:rPr>
          <w:rFonts w:ascii="Calibri" w:hAnsi="Calibri" w:cs="Calibri"/>
          <w:color w:val="000000" w:themeColor="text1"/>
        </w:rPr>
        <w:t>clearance</w:t>
      </w:r>
      <w:r w:rsidR="00337DFD" w:rsidRPr="00644AF5">
        <w:rPr>
          <w:rFonts w:ascii="Calibri" w:hAnsi="Calibri" w:cs="Calibri"/>
          <w:color w:val="000000" w:themeColor="text1"/>
        </w:rPr>
        <w:t xml:space="preserve"> –</w:t>
      </w:r>
      <w:r w:rsidR="00FB428D" w:rsidRPr="00644AF5">
        <w:rPr>
          <w:rFonts w:ascii="Calibri" w:hAnsi="Calibri" w:cs="Calibri"/>
          <w:color w:val="000000" w:themeColor="text1"/>
        </w:rPr>
        <w:t xml:space="preserve"> </w:t>
      </w:r>
      <w:r w:rsidR="00E26C59" w:rsidRPr="00644AF5">
        <w:rPr>
          <w:rFonts w:ascii="Calibri" w:hAnsi="Calibri" w:cs="Calibri"/>
          <w:color w:val="000000" w:themeColor="text1"/>
        </w:rPr>
        <w:t xml:space="preserve">is essential </w:t>
      </w:r>
      <w:r w:rsidRPr="00644AF5">
        <w:rPr>
          <w:rFonts w:ascii="Calibri" w:hAnsi="Calibri" w:cs="Calibri"/>
          <w:color w:val="000000" w:themeColor="text1"/>
        </w:rPr>
        <w:t>for</w:t>
      </w:r>
      <w:r w:rsidR="00D95E02" w:rsidRPr="00644AF5">
        <w:rPr>
          <w:rFonts w:ascii="Calibri" w:hAnsi="Calibri" w:cs="Calibri"/>
          <w:color w:val="000000" w:themeColor="text1"/>
        </w:rPr>
        <w:t xml:space="preserve"> develop</w:t>
      </w:r>
      <w:r w:rsidR="00E26C59" w:rsidRPr="00644AF5">
        <w:rPr>
          <w:rFonts w:ascii="Calibri" w:hAnsi="Calibri" w:cs="Calibri"/>
          <w:color w:val="000000" w:themeColor="text1"/>
        </w:rPr>
        <w:t>ing</w:t>
      </w:r>
      <w:r w:rsidR="00D95E02" w:rsidRPr="00644AF5">
        <w:rPr>
          <w:rFonts w:ascii="Calibri" w:hAnsi="Calibri" w:cs="Calibri"/>
          <w:color w:val="000000" w:themeColor="text1"/>
        </w:rPr>
        <w:t xml:space="preserve"> </w:t>
      </w:r>
      <w:r w:rsidR="00E26C59" w:rsidRPr="00644AF5">
        <w:rPr>
          <w:rFonts w:ascii="Calibri" w:hAnsi="Calibri" w:cs="Calibri"/>
          <w:color w:val="000000" w:themeColor="text1"/>
        </w:rPr>
        <w:t>more</w:t>
      </w:r>
      <w:r w:rsidR="00D95E02" w:rsidRPr="00644AF5">
        <w:rPr>
          <w:rFonts w:ascii="Calibri" w:hAnsi="Calibri" w:cs="Calibri"/>
          <w:color w:val="000000" w:themeColor="text1"/>
        </w:rPr>
        <w:t xml:space="preserve"> </w:t>
      </w:r>
      <w:r w:rsidR="00CC54F1" w:rsidRPr="00644AF5">
        <w:rPr>
          <w:rFonts w:ascii="Calibri" w:hAnsi="Calibri" w:cs="Calibri"/>
          <w:color w:val="000000" w:themeColor="text1"/>
        </w:rPr>
        <w:t xml:space="preserve">effective </w:t>
      </w:r>
      <w:r w:rsidR="00337DFD" w:rsidRPr="00644AF5">
        <w:rPr>
          <w:rFonts w:ascii="Calibri" w:hAnsi="Calibri" w:cs="Calibri"/>
          <w:color w:val="000000" w:themeColor="text1"/>
        </w:rPr>
        <w:t>preventive and</w:t>
      </w:r>
      <w:r w:rsidR="00D95E02" w:rsidRPr="00644AF5">
        <w:rPr>
          <w:rFonts w:ascii="Calibri" w:hAnsi="Calibri" w:cs="Calibri"/>
          <w:color w:val="000000" w:themeColor="text1"/>
        </w:rPr>
        <w:t xml:space="preserve"> </w:t>
      </w:r>
      <w:r w:rsidRPr="00644AF5">
        <w:rPr>
          <w:rFonts w:ascii="Calibri" w:hAnsi="Calibri" w:cs="Calibri"/>
          <w:color w:val="000000" w:themeColor="text1"/>
        </w:rPr>
        <w:t>therap</w:t>
      </w:r>
      <w:r w:rsidR="00337DFD" w:rsidRPr="00644AF5">
        <w:rPr>
          <w:rFonts w:ascii="Calibri" w:hAnsi="Calibri" w:cs="Calibri"/>
          <w:color w:val="000000" w:themeColor="text1"/>
        </w:rPr>
        <w:t>eutic</w:t>
      </w:r>
      <w:r w:rsidR="00D95E02" w:rsidRPr="00644AF5">
        <w:rPr>
          <w:rFonts w:ascii="Calibri" w:hAnsi="Calibri" w:cs="Calibri"/>
          <w:color w:val="000000" w:themeColor="text1"/>
        </w:rPr>
        <w:t xml:space="preserve"> </w:t>
      </w:r>
      <w:r w:rsidRPr="00644AF5">
        <w:rPr>
          <w:rFonts w:ascii="Calibri" w:hAnsi="Calibri" w:cs="Calibri"/>
          <w:color w:val="000000" w:themeColor="text1"/>
        </w:rPr>
        <w:t>strategies.</w:t>
      </w:r>
    </w:p>
    <w:p w14:paraId="50F48D3D" w14:textId="77777777" w:rsidR="00FB428D" w:rsidRPr="00644AF5" w:rsidRDefault="00FB428D" w:rsidP="000377CA">
      <w:pPr>
        <w:pStyle w:val="NormalWeb"/>
        <w:ind w:left="0" w:firstLine="0"/>
        <w:contextualSpacing/>
        <w:jc w:val="both"/>
        <w:rPr>
          <w:rFonts w:ascii="Calibri" w:hAnsi="Calibri" w:cs="Calibri"/>
          <w:color w:val="000000" w:themeColor="text1"/>
        </w:rPr>
      </w:pPr>
    </w:p>
    <w:p w14:paraId="12FFC07B" w14:textId="36294BB0" w:rsidR="00730635" w:rsidRPr="00644AF5" w:rsidRDefault="004F7366" w:rsidP="000377CA">
      <w:pPr>
        <w:pStyle w:val="NormalWeb"/>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To investigate </w:t>
      </w:r>
      <w:r w:rsidR="003217D7" w:rsidRPr="00644AF5">
        <w:rPr>
          <w:rFonts w:ascii="Calibri" w:hAnsi="Calibri" w:cs="Calibri"/>
          <w:color w:val="000000" w:themeColor="text1"/>
        </w:rPr>
        <w:t xml:space="preserve">these </w:t>
      </w:r>
      <w:r w:rsidR="00190DD4" w:rsidRPr="00644AF5">
        <w:rPr>
          <w:rFonts w:ascii="Calibri" w:hAnsi="Calibri" w:cs="Calibri"/>
          <w:color w:val="000000" w:themeColor="text1"/>
        </w:rPr>
        <w:t xml:space="preserve">host-pathogen </w:t>
      </w:r>
      <w:r w:rsidR="0057622A" w:rsidRPr="00644AF5">
        <w:rPr>
          <w:rFonts w:ascii="Calibri" w:hAnsi="Calibri" w:cs="Calibri"/>
          <w:color w:val="000000" w:themeColor="text1"/>
        </w:rPr>
        <w:t>dynamics</w:t>
      </w:r>
      <w:r w:rsidRPr="00644AF5">
        <w:rPr>
          <w:rFonts w:ascii="Calibri" w:hAnsi="Calibri" w:cs="Calibri"/>
          <w:color w:val="000000" w:themeColor="text1"/>
        </w:rPr>
        <w:t xml:space="preserve">, we </w:t>
      </w:r>
      <w:r w:rsidR="008A045C" w:rsidRPr="00644AF5">
        <w:rPr>
          <w:rFonts w:ascii="Calibri" w:hAnsi="Calibri" w:cs="Calibri"/>
          <w:color w:val="000000" w:themeColor="text1"/>
        </w:rPr>
        <w:t>established</w:t>
      </w:r>
      <w:r w:rsidR="00190DD4" w:rsidRPr="00644AF5">
        <w:rPr>
          <w:rFonts w:ascii="Calibri" w:hAnsi="Calibri" w:cs="Calibri"/>
          <w:color w:val="000000" w:themeColor="text1"/>
        </w:rPr>
        <w:t xml:space="preserve"> a model system using </w:t>
      </w:r>
      <w:r w:rsidRPr="00644AF5">
        <w:rPr>
          <w:rFonts w:ascii="Calibri" w:hAnsi="Calibri" w:cs="Calibri"/>
          <w:color w:val="000000" w:themeColor="text1"/>
        </w:rPr>
        <w:t xml:space="preserve">the planarian </w:t>
      </w:r>
      <w:r w:rsidRPr="00644AF5">
        <w:rPr>
          <w:rStyle w:val="Emphasis"/>
          <w:rFonts w:ascii="Calibri" w:hAnsi="Calibri" w:cs="Calibri"/>
          <w:color w:val="000000" w:themeColor="text1"/>
        </w:rPr>
        <w:t>Schmidtea mediterranea</w:t>
      </w:r>
      <w:r w:rsidRPr="00644AF5">
        <w:rPr>
          <w:rFonts w:ascii="Calibri" w:hAnsi="Calibri" w:cs="Calibri"/>
          <w:color w:val="000000" w:themeColor="text1"/>
        </w:rPr>
        <w:t xml:space="preserve"> as a host</w:t>
      </w:r>
      <w:r w:rsidR="000C5B21"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{"citationID":"raySPAoV","properties":{"formattedCitation":"\\super 22\\uc0\\u8211{}24\\nosupersub{}","plainCitation":"22–24","noteIndex":0},"citationItems":[{"id":6,"uris":["http://zotero.org/users/11181870/items/PTDFTGE8"],"itemData":{"id":6,"type":"article-journal","container-title":"Developmental &amp; Comparative Immunology","DOI":"10.1016/j.dci.2018.12.005","ISSN":"0145305X","journalAbbreviation":"Developmental &amp; Comparative Immunology","language":"en","page":"18-27","source":"DOI.org (Crossref)","title":"The planarian Schmidtea mediterranea is a new model to study host-pathogen interactions during fungal infections","URL":"https://linkinghub.elsevier.com/retrieve/pii/S0145305X18304828","volume":"93","author":[{"family":"Maciel","given":"Eli Isael"},{"family":"Jiang","given":"Cen"},{"family":"Barghouth","given":"Paul G."},{"family":"Nobile","given":"Clarissa J."},{"family":"Oviedo","given":"Néstor J."}],"accessed":{"date-parts":[["2024",10,6]]},"issued":{"date-parts":[["2019",4]]}}},{"id":10,"uris":["http://zotero.org/users/11181870/items/KNI267Q3"],"itemData":{"id":10,"type":"article-journal","abstract":"Candida albicans\n              is one of the most common fungal pathogens of humans. Prior work introduced the planarian\n              Schmidtea mediterranea\n              as a new model system to study the host response to fungal infection at the organismal level. In the current study, we analyzed host–pathogen changes that occurred\n              in situ\n              during early infection with\n              C. albicans\n              . We found that the transcription factor Bcr1 and its downstream adhesin Als3 are required for\n              C. albicans\n              to adhere to and colonize the planarian epithelial surface, and that adherence of\n              C. albicans\n              triggers a multi-system host response that is mediated by the Dectin signaling pathway. This infection response is characterized by two peaks of stem cell divisions and transcriptional changes in differentiated tissues including the nervous and the excretory systems. This response bears some resemblance to a wound-like response to physical injury; however, it takes place without visible tissue damage and it engages a distinct set of progenitor cells. Overall, we identified two\n              C. albicans\n              proteins that mediate epithelial infection of planarians and a comprehensive host response facilitated by diverse tissues to effectively clear the infection.","container-title":"Frontiers in Microbiology","DOI":"10.3389/fmicb.2020.629526","ISSN":"1664-302X","journalAbbreviation":"Front. Microbiol.","page":"629526","source":"DOI.org (Crossref)","title":"Epithelial Infection With Candida albicans Elicits a Multi-System Response in Planarians","URL":"https://www.frontiersin.org/articles/10.3389/fmicb.2020.629526/full","volume":"11","author":[{"family":"Maciel","given":"Eli Isael"},{"family":"Valle Arevalo","given":"Ashley"},{"family":"Ziman","given":"Benjamin"},{"family":"Nobile","given":"Clarissa J."},{"family":"Oviedo","given":"Néstor J."}],"accessed":{"date-parts":[["2024",10,6]]},"issued":{"date-parts":[["2021",1,14]]}}},{"id":128,"uris":["http://zotero.org/users/11181870/items/M37JYDSL"],"itemData":{"id":128,"type":"chapter","container-title":"Schmidtea Mediterranea","DOI":"10.1007/978-1-0716-3275-8_14","ISBN":"978-1-0716-3274-1","language":"en","note":"collection-title: Methods in Molecular Biology","page":"231-244","publisher":"Springer US","publisher-place":"New York, NY","source":"DOI.org (Crossref)","title":"A Planarian Model System to Study Host-Pathogen Interactions","URL":"https://link.springer.com/10.1007/978-1-0716-3275-8_14","volume":"2680","editor":[{"family":"Gentile","given":"Luca"}],"author":[{"family":"Maciel","given":"Eli Isael"},{"family":"Valle Arevalo","given":"Ashley"},{"family":"Nobile","given":"Clarissa J."},{"family":"Oviedo","given":"Néstor J."}],"accessed":{"date-parts":[["2025",3,31]]},"issued":{"date-parts":[["2023"]]}}}],"schema":"https://github.com/citation-style-language/schema/raw/master/csl-citation.json"} </w:instrText>
      </w:r>
      <w:r w:rsidR="000C5B21"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22–24</w:t>
      </w:r>
      <w:r w:rsidR="000C5B21" w:rsidRPr="00644AF5">
        <w:rPr>
          <w:rFonts w:ascii="Calibri" w:hAnsi="Calibri" w:cs="Calibri"/>
          <w:color w:val="000000" w:themeColor="text1"/>
        </w:rPr>
        <w:fldChar w:fldCharType="end"/>
      </w:r>
      <w:r w:rsidRPr="00644AF5">
        <w:rPr>
          <w:rFonts w:ascii="Calibri" w:hAnsi="Calibri" w:cs="Calibri"/>
          <w:color w:val="000000" w:themeColor="text1"/>
        </w:rPr>
        <w:t xml:space="preserve">. </w:t>
      </w:r>
      <w:r w:rsidR="005A35C5">
        <w:rPr>
          <w:rFonts w:ascii="Calibri" w:hAnsi="Calibri" w:cs="Calibri"/>
          <w:color w:val="000000" w:themeColor="text1"/>
        </w:rPr>
        <w:t>T</w:t>
      </w:r>
      <w:r w:rsidRPr="00644AF5">
        <w:rPr>
          <w:rFonts w:ascii="Calibri" w:hAnsi="Calibri" w:cs="Calibri"/>
          <w:color w:val="000000" w:themeColor="text1"/>
        </w:rPr>
        <w:t xml:space="preserve">his </w:t>
      </w:r>
      <w:r w:rsidR="009D363C" w:rsidRPr="00644AF5">
        <w:rPr>
          <w:rFonts w:ascii="Calibri" w:hAnsi="Calibri" w:cs="Calibri"/>
          <w:color w:val="000000" w:themeColor="text1"/>
        </w:rPr>
        <w:t>model</w:t>
      </w:r>
      <w:r w:rsidRPr="00644AF5">
        <w:rPr>
          <w:rFonts w:ascii="Calibri" w:hAnsi="Calibri" w:cs="Calibri"/>
          <w:color w:val="000000" w:themeColor="text1"/>
        </w:rPr>
        <w:t xml:space="preserve"> </w:t>
      </w:r>
      <w:r w:rsidR="005A35C5">
        <w:rPr>
          <w:rFonts w:ascii="Calibri" w:hAnsi="Calibri" w:cs="Calibri"/>
          <w:color w:val="000000" w:themeColor="text1"/>
        </w:rPr>
        <w:t xml:space="preserve">serves </w:t>
      </w:r>
      <w:r w:rsidRPr="00644AF5">
        <w:rPr>
          <w:rFonts w:ascii="Calibri" w:hAnsi="Calibri" w:cs="Calibri"/>
          <w:color w:val="000000" w:themeColor="text1"/>
        </w:rPr>
        <w:t>as a</w:t>
      </w:r>
      <w:r w:rsidR="003217D7" w:rsidRPr="00644AF5">
        <w:rPr>
          <w:rFonts w:ascii="Calibri" w:hAnsi="Calibri" w:cs="Calibri"/>
          <w:color w:val="000000" w:themeColor="text1"/>
        </w:rPr>
        <w:t xml:space="preserve"> versatile </w:t>
      </w:r>
      <w:r w:rsidR="008A045C" w:rsidRPr="00644AF5">
        <w:rPr>
          <w:rFonts w:ascii="Calibri" w:hAnsi="Calibri" w:cs="Calibri"/>
          <w:color w:val="000000" w:themeColor="text1"/>
        </w:rPr>
        <w:t>platform for</w:t>
      </w:r>
      <w:r w:rsidRPr="00644AF5">
        <w:rPr>
          <w:rFonts w:ascii="Calibri" w:hAnsi="Calibri" w:cs="Calibri"/>
          <w:color w:val="000000" w:themeColor="text1"/>
        </w:rPr>
        <w:t xml:space="preserve"> study</w:t>
      </w:r>
      <w:r w:rsidR="008A045C" w:rsidRPr="00644AF5">
        <w:rPr>
          <w:rFonts w:ascii="Calibri" w:hAnsi="Calibri" w:cs="Calibri"/>
          <w:color w:val="000000" w:themeColor="text1"/>
        </w:rPr>
        <w:t>ing</w:t>
      </w:r>
      <w:r w:rsidRPr="00644AF5">
        <w:rPr>
          <w:rFonts w:ascii="Calibri" w:hAnsi="Calibri" w:cs="Calibri"/>
          <w:color w:val="000000" w:themeColor="text1"/>
        </w:rPr>
        <w:t xml:space="preserve"> the multisystem </w:t>
      </w:r>
      <w:r w:rsidR="00B02E29" w:rsidRPr="00644AF5">
        <w:rPr>
          <w:rFonts w:ascii="Calibri" w:hAnsi="Calibri" w:cs="Calibri"/>
          <w:color w:val="000000" w:themeColor="text1"/>
        </w:rPr>
        <w:t xml:space="preserve">host </w:t>
      </w:r>
      <w:r w:rsidRPr="00644AF5">
        <w:rPr>
          <w:rFonts w:ascii="Calibri" w:hAnsi="Calibri" w:cs="Calibri"/>
          <w:color w:val="000000" w:themeColor="text1"/>
        </w:rPr>
        <w:t>response to fungal infection</w:t>
      </w:r>
      <w:r w:rsidR="00064361" w:rsidRPr="00644AF5">
        <w:rPr>
          <w:rFonts w:ascii="Calibri" w:hAnsi="Calibri" w:cs="Calibri"/>
          <w:color w:val="000000" w:themeColor="text1"/>
        </w:rPr>
        <w:t>,</w:t>
      </w:r>
      <w:r w:rsidR="008A045C" w:rsidRPr="00644AF5">
        <w:rPr>
          <w:rFonts w:ascii="Calibri" w:hAnsi="Calibri" w:cs="Calibri"/>
          <w:color w:val="000000" w:themeColor="text1"/>
        </w:rPr>
        <w:t xml:space="preserve"> </w:t>
      </w:r>
      <w:r w:rsidR="00E3351F" w:rsidRPr="00644AF5">
        <w:rPr>
          <w:rFonts w:ascii="Calibri" w:hAnsi="Calibri" w:cs="Calibri"/>
          <w:color w:val="000000" w:themeColor="text1"/>
        </w:rPr>
        <w:t xml:space="preserve">leveraging a soaking-based infection method that enables synchronous exposure of animals to </w:t>
      </w:r>
      <w:r w:rsidR="00E3351F" w:rsidRPr="00644AF5">
        <w:rPr>
          <w:rFonts w:ascii="Calibri" w:hAnsi="Calibri" w:cs="Calibri"/>
          <w:i/>
          <w:iCs/>
          <w:color w:val="000000" w:themeColor="text1"/>
        </w:rPr>
        <w:t>C. albicans</w:t>
      </w:r>
      <w:r w:rsidR="00E3351F" w:rsidRPr="00644AF5">
        <w:rPr>
          <w:rFonts w:ascii="Calibri" w:hAnsi="Calibri" w:cs="Calibri"/>
          <w:color w:val="000000" w:themeColor="text1"/>
        </w:rPr>
        <w:t xml:space="preserve">. </w:t>
      </w:r>
      <w:r w:rsidR="005A35C5">
        <w:rPr>
          <w:rFonts w:ascii="Calibri" w:hAnsi="Calibri" w:cs="Calibri"/>
          <w:color w:val="000000" w:themeColor="text1"/>
        </w:rPr>
        <w:t>The following section</w:t>
      </w:r>
      <w:r w:rsidR="00E3351F" w:rsidRPr="00644AF5">
        <w:rPr>
          <w:rFonts w:ascii="Calibri" w:hAnsi="Calibri" w:cs="Calibri"/>
          <w:color w:val="000000" w:themeColor="text1"/>
        </w:rPr>
        <w:t xml:space="preserve"> </w:t>
      </w:r>
      <w:r w:rsidR="005A35C5">
        <w:rPr>
          <w:rFonts w:ascii="Calibri" w:hAnsi="Calibri" w:cs="Calibri"/>
          <w:color w:val="000000" w:themeColor="text1"/>
        </w:rPr>
        <w:t>presents</w:t>
      </w:r>
      <w:r w:rsidR="00E3351F" w:rsidRPr="00644AF5">
        <w:rPr>
          <w:rFonts w:ascii="Calibri" w:hAnsi="Calibri" w:cs="Calibri"/>
          <w:color w:val="000000" w:themeColor="text1"/>
        </w:rPr>
        <w:t xml:space="preserve"> updated step-by-step procedures that refine this protocol, </w:t>
      </w:r>
      <w:r w:rsidR="00337DFD" w:rsidRPr="00644AF5">
        <w:rPr>
          <w:rFonts w:ascii="Calibri" w:hAnsi="Calibri" w:cs="Calibri"/>
          <w:color w:val="000000" w:themeColor="text1"/>
        </w:rPr>
        <w:t>improv</w:t>
      </w:r>
      <w:r w:rsidR="00E3351F" w:rsidRPr="00644AF5">
        <w:rPr>
          <w:rFonts w:ascii="Calibri" w:hAnsi="Calibri" w:cs="Calibri"/>
          <w:color w:val="000000" w:themeColor="text1"/>
        </w:rPr>
        <w:t xml:space="preserve">e reproducibility, and </w:t>
      </w:r>
      <w:r w:rsidR="00337DFD" w:rsidRPr="00644AF5">
        <w:rPr>
          <w:rFonts w:ascii="Calibri" w:hAnsi="Calibri" w:cs="Calibri"/>
          <w:color w:val="000000" w:themeColor="text1"/>
        </w:rPr>
        <w:t>facilitate</w:t>
      </w:r>
      <w:r w:rsidR="00E3351F" w:rsidRPr="00644AF5">
        <w:rPr>
          <w:rFonts w:ascii="Calibri" w:hAnsi="Calibri" w:cs="Calibri"/>
          <w:color w:val="000000" w:themeColor="text1"/>
        </w:rPr>
        <w:t xml:space="preserve"> consistent </w:t>
      </w:r>
      <w:r w:rsidR="00337DFD" w:rsidRPr="00644AF5">
        <w:rPr>
          <w:rFonts w:ascii="Calibri" w:hAnsi="Calibri" w:cs="Calibri"/>
          <w:color w:val="000000" w:themeColor="text1"/>
        </w:rPr>
        <w:t>implementa</w:t>
      </w:r>
      <w:r w:rsidR="00E3351F" w:rsidRPr="00644AF5">
        <w:rPr>
          <w:rFonts w:ascii="Calibri" w:hAnsi="Calibri" w:cs="Calibri"/>
          <w:color w:val="000000" w:themeColor="text1"/>
        </w:rPr>
        <w:t>tion across laboratories.</w:t>
      </w:r>
    </w:p>
    <w:p w14:paraId="62374A10" w14:textId="77777777" w:rsidR="00BE19CD" w:rsidRPr="00644AF5" w:rsidRDefault="00BE19CD" w:rsidP="000377CA">
      <w:pPr>
        <w:pStyle w:val="NormalWeb"/>
        <w:ind w:left="0" w:firstLine="0"/>
        <w:contextualSpacing/>
        <w:jc w:val="both"/>
        <w:rPr>
          <w:rFonts w:ascii="Calibri" w:hAnsi="Calibri" w:cs="Calibri"/>
          <w:color w:val="000000" w:themeColor="text1"/>
        </w:rPr>
      </w:pPr>
    </w:p>
    <w:p w14:paraId="39127A7F" w14:textId="71681DA2" w:rsidR="000F6AAC" w:rsidRPr="00644AF5" w:rsidRDefault="004F7366" w:rsidP="000377CA">
      <w:pPr>
        <w:pStyle w:val="NormalWeb"/>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Planarians are free-living invertebrates with </w:t>
      </w:r>
      <w:r w:rsidR="00E26C59" w:rsidRPr="00644AF5">
        <w:rPr>
          <w:rFonts w:ascii="Calibri" w:hAnsi="Calibri" w:cs="Calibri"/>
          <w:color w:val="000000" w:themeColor="text1"/>
        </w:rPr>
        <w:t xml:space="preserve">exceptional </w:t>
      </w:r>
      <w:r w:rsidRPr="00644AF5">
        <w:rPr>
          <w:rFonts w:ascii="Calibri" w:hAnsi="Calibri" w:cs="Calibri"/>
          <w:color w:val="000000" w:themeColor="text1"/>
        </w:rPr>
        <w:t xml:space="preserve">regenerative capacity, </w:t>
      </w:r>
      <w:r w:rsidR="00337DFD" w:rsidRPr="00644AF5">
        <w:rPr>
          <w:rFonts w:ascii="Calibri" w:hAnsi="Calibri" w:cs="Calibri"/>
          <w:color w:val="000000" w:themeColor="text1"/>
        </w:rPr>
        <w:t>capable of rapidly replacing tissues lost to injury or infection</w:t>
      </w:r>
      <w:r w:rsidR="00B44B97"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{"citationID":"If7DAohl","properties":{"formattedCitation":"\\super 25\\nosupersub{}","plainCitation":"25","noteIndex":0},"citationItems":[{"id":186,"uris":["http://zotero.org/users/11181870/items/6NBG5MEJ"],"itemData":{"id":186,"type":"article-journal","container-title":"Cell","DOI":"10.1016/j.cell.2006.01.012","ISSN":"0092-8674","issue":"2","page":"241-245","publisher":"Elsevier","title":"Planarian Regeneration: Its End Is Its Beginning","URL":"https://doi.org/10.1016/j.cell.2006.01.012","volume":"124","author":[{"family":"Sánchez Alvarado","given":"Alejandro"}],"accessed":{"date-parts":[["2025",8,25]]},"issued":{"date-parts":[["2006",1,27]]}}}],"schema":"https://github.com/citation-style-language/schema/raw/master/csl-citation.json"} </w:instrText>
      </w:r>
      <w:r w:rsidR="00B44B97"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25</w:t>
      </w:r>
      <w:r w:rsidR="00B44B97" w:rsidRPr="00644AF5">
        <w:rPr>
          <w:rFonts w:ascii="Calibri" w:hAnsi="Calibri" w:cs="Calibri"/>
          <w:color w:val="000000" w:themeColor="text1"/>
        </w:rPr>
        <w:fldChar w:fldCharType="end"/>
      </w:r>
      <w:r w:rsidRPr="00644AF5">
        <w:rPr>
          <w:rFonts w:ascii="Calibri" w:hAnsi="Calibri" w:cs="Calibri"/>
          <w:color w:val="000000" w:themeColor="text1"/>
        </w:rPr>
        <w:t xml:space="preserve">. They </w:t>
      </w:r>
      <w:r w:rsidR="00D0037B" w:rsidRPr="00644AF5">
        <w:rPr>
          <w:rFonts w:ascii="Calibri" w:hAnsi="Calibri" w:cs="Calibri"/>
          <w:color w:val="000000" w:themeColor="text1"/>
        </w:rPr>
        <w:t xml:space="preserve">lack an adaptive immune system and </w:t>
      </w:r>
      <w:r w:rsidR="008A045C" w:rsidRPr="00644AF5">
        <w:rPr>
          <w:rFonts w:ascii="Calibri" w:hAnsi="Calibri" w:cs="Calibri"/>
          <w:color w:val="000000" w:themeColor="text1"/>
        </w:rPr>
        <w:t xml:space="preserve">rely </w:t>
      </w:r>
      <w:r w:rsidR="00D0037B" w:rsidRPr="00644AF5">
        <w:rPr>
          <w:rFonts w:ascii="Calibri" w:hAnsi="Calibri" w:cs="Calibri"/>
          <w:color w:val="000000" w:themeColor="text1"/>
        </w:rPr>
        <w:t xml:space="preserve">entirely </w:t>
      </w:r>
      <w:r w:rsidR="008A045C" w:rsidRPr="00644AF5">
        <w:rPr>
          <w:rFonts w:ascii="Calibri" w:hAnsi="Calibri" w:cs="Calibri"/>
          <w:color w:val="000000" w:themeColor="text1"/>
        </w:rPr>
        <w:t xml:space="preserve">on </w:t>
      </w:r>
      <w:r w:rsidRPr="00644AF5">
        <w:rPr>
          <w:rFonts w:ascii="Calibri" w:hAnsi="Calibri" w:cs="Calibri"/>
          <w:color w:val="000000" w:themeColor="text1"/>
        </w:rPr>
        <w:t xml:space="preserve">conserved innate </w:t>
      </w:r>
      <w:r w:rsidR="00A15884" w:rsidRPr="00644AF5">
        <w:rPr>
          <w:rFonts w:ascii="Calibri" w:hAnsi="Calibri" w:cs="Calibri"/>
          <w:color w:val="000000" w:themeColor="text1"/>
        </w:rPr>
        <w:t>defenses</w:t>
      </w:r>
      <w:r w:rsidRPr="00644AF5">
        <w:rPr>
          <w:rFonts w:ascii="Calibri" w:hAnsi="Calibri" w:cs="Calibri"/>
          <w:color w:val="000000" w:themeColor="text1"/>
        </w:rPr>
        <w:t xml:space="preserve"> </w:t>
      </w:r>
      <w:r w:rsidR="008A045C" w:rsidRPr="00644AF5">
        <w:rPr>
          <w:rFonts w:ascii="Calibri" w:hAnsi="Calibri" w:cs="Calibri"/>
          <w:color w:val="000000" w:themeColor="text1"/>
        </w:rPr>
        <w:t xml:space="preserve">– </w:t>
      </w:r>
      <w:r w:rsidRPr="00644AF5">
        <w:rPr>
          <w:rFonts w:ascii="Calibri" w:hAnsi="Calibri" w:cs="Calibri"/>
          <w:color w:val="000000" w:themeColor="text1"/>
        </w:rPr>
        <w:t>including pattern recognition receptors, antimicrobial peptides,</w:t>
      </w:r>
      <w:r w:rsidR="004D4CFB" w:rsidRPr="00644AF5">
        <w:rPr>
          <w:rFonts w:ascii="Calibri" w:hAnsi="Calibri" w:cs="Calibri"/>
          <w:color w:val="000000" w:themeColor="text1"/>
        </w:rPr>
        <w:t xml:space="preserve"> mucus</w:t>
      </w:r>
      <w:r w:rsidR="00B532C2" w:rsidRPr="00644AF5">
        <w:rPr>
          <w:rFonts w:ascii="Calibri" w:hAnsi="Calibri" w:cs="Calibri"/>
          <w:color w:val="000000" w:themeColor="text1"/>
        </w:rPr>
        <w:t xml:space="preserve"> </w:t>
      </w:r>
      <w:r w:rsidR="004D4CFB" w:rsidRPr="00644AF5">
        <w:rPr>
          <w:rFonts w:ascii="Calibri" w:hAnsi="Calibri" w:cs="Calibri"/>
          <w:color w:val="000000" w:themeColor="text1"/>
        </w:rPr>
        <w:t>secretion,</w:t>
      </w:r>
      <w:r w:rsidRPr="00644AF5">
        <w:rPr>
          <w:rFonts w:ascii="Calibri" w:hAnsi="Calibri" w:cs="Calibri"/>
          <w:color w:val="000000" w:themeColor="text1"/>
        </w:rPr>
        <w:t xml:space="preserve"> and phagocytic cells</w:t>
      </w:r>
      <w:r w:rsidR="008A045C" w:rsidRPr="00644AF5">
        <w:rPr>
          <w:rFonts w:ascii="Calibri" w:hAnsi="Calibri" w:cs="Calibri"/>
          <w:color w:val="000000" w:themeColor="text1"/>
        </w:rPr>
        <w:t xml:space="preserve"> – to </w:t>
      </w:r>
      <w:r w:rsidR="00A15884" w:rsidRPr="00644AF5">
        <w:rPr>
          <w:rFonts w:ascii="Calibri" w:hAnsi="Calibri" w:cs="Calibri"/>
          <w:color w:val="000000" w:themeColor="text1"/>
        </w:rPr>
        <w:t xml:space="preserve">clear </w:t>
      </w:r>
      <w:r w:rsidRPr="00644AF5">
        <w:rPr>
          <w:rFonts w:ascii="Calibri" w:hAnsi="Calibri" w:cs="Calibri"/>
          <w:color w:val="000000" w:themeColor="text1"/>
        </w:rPr>
        <w:t>bacteria</w:t>
      </w:r>
      <w:r w:rsidR="008A045C" w:rsidRPr="00644AF5">
        <w:rPr>
          <w:rFonts w:ascii="Calibri" w:hAnsi="Calibri" w:cs="Calibri"/>
          <w:color w:val="000000" w:themeColor="text1"/>
        </w:rPr>
        <w:t>l</w:t>
      </w:r>
      <w:r w:rsidRPr="00644AF5">
        <w:rPr>
          <w:rFonts w:ascii="Calibri" w:hAnsi="Calibri" w:cs="Calibri"/>
          <w:color w:val="000000" w:themeColor="text1"/>
        </w:rPr>
        <w:t xml:space="preserve"> and fung</w:t>
      </w:r>
      <w:r w:rsidR="008A045C" w:rsidRPr="00644AF5">
        <w:rPr>
          <w:rFonts w:ascii="Calibri" w:hAnsi="Calibri" w:cs="Calibri"/>
          <w:color w:val="000000" w:themeColor="text1"/>
        </w:rPr>
        <w:t xml:space="preserve">al </w:t>
      </w:r>
      <w:r w:rsidR="00337DFD" w:rsidRPr="00644AF5">
        <w:rPr>
          <w:rFonts w:ascii="Calibri" w:hAnsi="Calibri" w:cs="Calibri"/>
          <w:color w:val="000000" w:themeColor="text1"/>
        </w:rPr>
        <w:t>pathogens</w:t>
      </w:r>
      <w:r w:rsidRPr="00644AF5">
        <w:rPr>
          <w:rFonts w:ascii="Calibri" w:hAnsi="Calibri" w:cs="Calibri"/>
          <w:color w:val="000000" w:themeColor="text1"/>
        </w:rPr>
        <w:t xml:space="preserve"> within days</w:t>
      </w:r>
      <w:r w:rsidR="00AF15AE"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{"citationID":"KsrpIR6R","properties":{"formattedCitation":"\\super 26\\uc0\\u8211{}29\\nosupersub{}","plainCitation":"26–29","noteIndex":0},"citationItems":[{"id":61,"uris":["http://zotero.org/users/11181870/items/GL6DZNCU"],"itemData":{"id":61,"type":"chapter","container-title":"Planarian Regeneration","DOI":"10.1007/978-1-4939-7802-1_1","ISBN":"978-1-4939-7800-7","note":"collection-title: Methods in Molecular Biology","page":"1-56","publisher":"Springer New York","publisher-place":"New York, NY","source":"DOI.org (Crossref)","title":"Planarian Diversity and Phylogeny","URL":"http://link.springer.com/10.1007/978-1-4939-7802-1_1","volume":"1774","editor":[{"family":"Rink","given":"Jochen C."}],"author":[{"family":"Sluys","given":"Ronald"},{"family":"Riutort","given":"Marta"}],"accessed":{"date-parts":[["2024",10,9]]},"issued":{"date-parts":[["2018"]]}}},{"id":19,"uris":["http://zotero.org/users/11181870/items/MHQ2TDBC"],"itemData":{"id":19,"type":"article-journal","abstract":"Summary\n            Innate immunity is a semi‐specific and widely distributed form of immunity, which represents the first line of defence against pathogens. This type of immunity is critical to maintain homeostasis and prevent microbe invasion, eliminating a great variety of pathogens and contributing with the activation of the adaptive immune response. The components of innate immunity include physical and chemical barriers, humoral and cell‐mediated components, which are present in all jawed vertebrates. The understanding of innate defence mechanisms in non‐mammalian vertebrates is the key to comprehend the general picture of vertebrate innate immunity and its evolutionary history. This is also essential for the identification of new molecules with applications in immunopharmacology and immunotherapy. In this review, we describe and discuss the main elements of vertebrate innate immunity, presenting core findings in this field and identifying areas that need further investigation.","container-title":"Immunology","DOI":"10.1111/imm.12597","ISSN":"0019-2805, 1365-2567","issue":"2","journalAbbreviation":"Immunology","language":"en","page":"125-139","source":"DOI.org (Crossref)","title":"Innate immunity in vertebrates: an overview","title-short":"Innate immunity in vertebrates","URL":"https://onlinelibrary.wiley.com/doi/10.1111/imm.12597","volume":"148","author":[{"family":"Riera Romo","given":"Mario"},{"family":"Pérez‐Martínez","given":"Dayana"},{"family":"Castillo Ferrer","given":"Camila"}],"accessed":{"date-parts":[["2024",10,6]]},"issued":{"date-parts":[["2016",6]]}}},{"id":65,"uris":["http://zotero.org/users/11181870/items/S8JETD6Q"],"itemData":{"id":65,"type":"article-journal","container-title":"Seminars in Immunology","DOI":"10.1016/j.smim.2014.06.005","ISSN":"10445323","issue":"4","journalAbbreviation":"Seminars in Immunology","language":"en","page":"295-302","source":"DOI.org (Crossref)","title":"Innate immune system and tissue regeneration in planarians: An area ripe for exploration","title-short":"Innate immune system and tissue regeneration in planarians","URL":"https://linkinghub.elsevier.com/retrieve/pii/S1044532314000621","volume":"26","author":[{"family":"Peiris","given":"T. Harshani"},{"family":"Hoyer","given":"Katrina K."},{"family":"Oviedo","given":"Néstor J."}],"accessed":{"date-parts":[["2024",10,9]]},"issued":{"date-parts":[["2014",8]]}}},{"id":69,"uris":["http://zotero.org/users/11181870/items/AMKX7YND"],"itemData":{"id":69,"type":"article-journal","abstract":"An organism responds to the invading pathogens such as bacteria, viruses, protozoans, and fungi by engaging innate and adaptive immune system, which functions by activating various signal transduction pathways. As invertebrate organisms (such as sponges, worms, cnidarians, molluscs, crustaceans, insects, and echinoderms) are devoid of an adaptive immune system, and their defense mechanisms solely rely on innate immune system components. Investigating the immune response in such organisms helps to elucidate the immune mechanisms that vertebrates have inherited or evolved from invertebrates. Planarians are non-parasitic invertebrates from the phylum Platyhelminthes and are being investigated for several decades for understanding the whole-body regeneration process. However, recent findings have emerged planarians as a useful model for studying innate immunity as they are resistant to a broad spectrum of bacteria. This review intends to highlight the research findings on various antimicrobial resistance genes, signaling pathways involved in innate immune recognition, immune-related memory and immune cells in planarian flatworms.","container-title":"Frontiers in Cellular and Infection Microbiology","DOI":"10.3389/fcimb.2021.619081","ISSN":"2235-2988","journalAbbreviation":"Front. Cell. Infect. Microbiol.","page":"619081","source":"DOI.org (Crossref)","title":"Planarians (Platyhelminthes)—An Emerging Model Organism for Investigating Innate Immune Mechanisms","URL":"https://www.frontiersin.org/articles/10.3389/fcimb.2021.619081/full","volume":"11","author":[{"family":"Kangale","given":"Luis Johnson"},{"family":"Raoult","given":"Didier"},{"family":"Fournier","given":"Pierre-Edouard"},{"family":"Abnave","given":"Prasad"},{"family":"Ghigo","given":"Eric"}],"accessed":{"date-parts":[["2024",10,9]]},"issued":{"date-parts":[["2021",3,1]]}}}],"schema":"https://github.com/citation-style-language/schema/raw/master/csl-citation.json"} </w:instrText>
      </w:r>
      <w:r w:rsidR="00AF15AE"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26–29</w:t>
      </w:r>
      <w:r w:rsidR="00AF15AE" w:rsidRPr="00644AF5">
        <w:rPr>
          <w:rFonts w:ascii="Calibri" w:hAnsi="Calibri" w:cs="Calibri"/>
          <w:color w:val="000000" w:themeColor="text1"/>
        </w:rPr>
        <w:fldChar w:fldCharType="end"/>
      </w:r>
      <w:r w:rsidRPr="00644AF5">
        <w:rPr>
          <w:rFonts w:ascii="Calibri" w:hAnsi="Calibri" w:cs="Calibri"/>
          <w:color w:val="000000" w:themeColor="text1"/>
        </w:rPr>
        <w:t xml:space="preserve">. </w:t>
      </w:r>
      <w:r w:rsidR="00337DFD" w:rsidRPr="00644AF5">
        <w:rPr>
          <w:rFonts w:ascii="Calibri" w:hAnsi="Calibri" w:cs="Calibri"/>
          <w:color w:val="000000" w:themeColor="text1"/>
        </w:rPr>
        <w:t>Because innate immunity represents the first line of defense across eukaryotes and remains understudied outside mammalian systems</w:t>
      </w:r>
      <w:r w:rsidR="00337DFD"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{"citationID":"l4aQ73Fv","properties":{"formattedCitation":"\\super 27\\nosupersub{}","plainCitation":"27","noteIndex":0},"citationItems":[{"id":19,"uris":["http://zotero.org/users/11181870/items/MHQ2TDBC"],"itemData":{"id":19,"type":"article-journal","abstract":"Summary\n            Innate immunity is a semi‐specific and widely distributed form of immunity, which represents the first line of defence against pathogens. This type of immunity is critical to maintain homeostasis and prevent microbe invasion, eliminating a great variety of pathogens and contributing with the activation of the adaptive immune response. The components of innate immunity include physical and chemical barriers, humoral and cell‐mediated components, which are present in all jawed vertebrates. The understanding of innate defence mechanisms in non‐mammalian vertebrates is the key to comprehend the general picture of vertebrate innate immunity and its evolutionary history. This is also essential for the identification of new molecules with applications in immunopharmacology and immunotherapy. In this review, we describe and discuss the main elements of vertebrate innate immunity, presenting core findings in this field and identifying areas that need further investigation.","container-title":"Immunology","DOI":"10.1111/imm.12597","ISSN":"0019-2805, 1365-2567","issue":"2","journalAbbreviation":"Immunology","language":"en","page":"125-139","source":"DOI.org (Crossref)","title":"Innate immunity in vertebrates: an overview","title-short":"Innate immunity in vertebrates","URL":"https://onlinelibrary.wiley.com/doi/10.1111/imm.12597","volume":"148","author":[{"family":"Riera Romo","given":"Mario"},{"family":"Pérez‐Martínez","given":"Dayana"},{"family":"Castillo Ferrer","given":"Camila"}],"accessed":{"date-parts":[["2024",10,6]]},"issued":{"date-parts":[["2016",6]]}}}],"schema":"https://github.com/citation-style-language/schema/raw/master/csl-citation.json"} </w:instrText>
      </w:r>
      <w:r w:rsidR="00337DFD"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27</w:t>
      </w:r>
      <w:r w:rsidR="00337DFD" w:rsidRPr="00644AF5">
        <w:rPr>
          <w:rFonts w:ascii="Calibri" w:hAnsi="Calibri" w:cs="Calibri"/>
          <w:color w:val="000000" w:themeColor="text1"/>
        </w:rPr>
        <w:fldChar w:fldCharType="end"/>
      </w:r>
      <w:r w:rsidR="00337DFD" w:rsidRPr="00644AF5">
        <w:rPr>
          <w:rFonts w:ascii="Calibri" w:hAnsi="Calibri" w:cs="Calibri"/>
          <w:color w:val="000000" w:themeColor="text1"/>
        </w:rPr>
        <w:t xml:space="preserve">, planarians offer an opportunity to examine these processes </w:t>
      </w:r>
      <w:r w:rsidR="00337DFD" w:rsidRPr="00644AF5">
        <w:rPr>
          <w:rFonts w:ascii="Calibri" w:hAnsi="Calibri" w:cs="Calibri"/>
          <w:i/>
          <w:iCs/>
          <w:color w:val="000000" w:themeColor="text1"/>
        </w:rPr>
        <w:t>in vivo</w:t>
      </w:r>
      <w:r w:rsidR="00337DFD" w:rsidRPr="00644AF5">
        <w:rPr>
          <w:rFonts w:ascii="Calibri" w:hAnsi="Calibri" w:cs="Calibri"/>
          <w:color w:val="000000" w:themeColor="text1"/>
        </w:rPr>
        <w:t xml:space="preserve"> with cellular and molecular resolution. </w:t>
      </w:r>
      <w:r w:rsidR="00B9029C" w:rsidRPr="00644AF5">
        <w:rPr>
          <w:rFonts w:ascii="Calibri" w:hAnsi="Calibri" w:cs="Calibri"/>
          <w:color w:val="000000" w:themeColor="text1"/>
        </w:rPr>
        <w:t xml:space="preserve">Their regenerative </w:t>
      </w:r>
      <w:r w:rsidR="00A15884" w:rsidRPr="00644AF5">
        <w:rPr>
          <w:rFonts w:ascii="Calibri" w:hAnsi="Calibri" w:cs="Calibri"/>
          <w:color w:val="000000" w:themeColor="text1"/>
        </w:rPr>
        <w:t xml:space="preserve">ability </w:t>
      </w:r>
      <w:r w:rsidR="00B9029C" w:rsidRPr="00644AF5">
        <w:rPr>
          <w:rFonts w:ascii="Calibri" w:hAnsi="Calibri" w:cs="Calibri"/>
          <w:color w:val="000000" w:themeColor="text1"/>
        </w:rPr>
        <w:t>is driven by adult pluripotent</w:t>
      </w:r>
      <w:r w:rsidR="004D4CFB" w:rsidRPr="00644AF5">
        <w:rPr>
          <w:rFonts w:ascii="Calibri" w:hAnsi="Calibri" w:cs="Calibri"/>
          <w:color w:val="000000" w:themeColor="text1"/>
        </w:rPr>
        <w:t xml:space="preserve"> stem cells, </w:t>
      </w:r>
      <w:r w:rsidR="00F71153" w:rsidRPr="00644AF5">
        <w:rPr>
          <w:rFonts w:ascii="Calibri" w:hAnsi="Calibri" w:cs="Calibri"/>
          <w:color w:val="000000" w:themeColor="text1"/>
        </w:rPr>
        <w:t>known as</w:t>
      </w:r>
      <w:r w:rsidR="004D4CFB" w:rsidRPr="00644AF5">
        <w:rPr>
          <w:rFonts w:ascii="Calibri" w:hAnsi="Calibri" w:cs="Calibri"/>
          <w:color w:val="000000" w:themeColor="text1"/>
        </w:rPr>
        <w:t xml:space="preserve"> neoblast</w:t>
      </w:r>
      <w:r w:rsidR="006569E7" w:rsidRPr="00644AF5">
        <w:rPr>
          <w:rFonts w:ascii="Calibri" w:hAnsi="Calibri" w:cs="Calibri"/>
          <w:color w:val="000000" w:themeColor="text1"/>
        </w:rPr>
        <w:t>s</w:t>
      </w:r>
      <w:r w:rsidR="00B9029C" w:rsidRPr="00644AF5">
        <w:rPr>
          <w:rFonts w:ascii="Calibri" w:hAnsi="Calibri" w:cs="Calibri"/>
          <w:color w:val="000000" w:themeColor="text1"/>
        </w:rPr>
        <w:t>,</w:t>
      </w:r>
      <w:r w:rsidR="004D4CFB" w:rsidRPr="00644AF5">
        <w:rPr>
          <w:rFonts w:ascii="Calibri" w:hAnsi="Calibri" w:cs="Calibri"/>
          <w:color w:val="000000" w:themeColor="text1"/>
        </w:rPr>
        <w:t xml:space="preserve"> </w:t>
      </w:r>
      <w:r w:rsidR="006569E7" w:rsidRPr="00644AF5">
        <w:rPr>
          <w:rFonts w:ascii="Calibri" w:hAnsi="Calibri" w:cs="Calibri"/>
          <w:color w:val="000000" w:themeColor="text1"/>
        </w:rPr>
        <w:t xml:space="preserve">which </w:t>
      </w:r>
      <w:r w:rsidR="00E26C59" w:rsidRPr="00644AF5">
        <w:rPr>
          <w:rFonts w:ascii="Calibri" w:hAnsi="Calibri" w:cs="Calibri"/>
          <w:color w:val="000000" w:themeColor="text1"/>
        </w:rPr>
        <w:t>co</w:t>
      </w:r>
      <w:r w:rsidR="00F71153" w:rsidRPr="00644AF5">
        <w:rPr>
          <w:rFonts w:ascii="Calibri" w:hAnsi="Calibri" w:cs="Calibri"/>
          <w:color w:val="000000" w:themeColor="text1"/>
        </w:rPr>
        <w:t xml:space="preserve">nstitute </w:t>
      </w:r>
      <w:r w:rsidR="006569E7" w:rsidRPr="00644AF5">
        <w:rPr>
          <w:rFonts w:ascii="Calibri" w:hAnsi="Calibri" w:cs="Calibri"/>
          <w:color w:val="000000" w:themeColor="text1"/>
        </w:rPr>
        <w:t xml:space="preserve">approximately 30% of </w:t>
      </w:r>
      <w:r w:rsidR="009825E0" w:rsidRPr="00644AF5">
        <w:rPr>
          <w:rFonts w:ascii="Calibri" w:hAnsi="Calibri" w:cs="Calibri"/>
          <w:color w:val="000000" w:themeColor="text1"/>
        </w:rPr>
        <w:t>adult</w:t>
      </w:r>
      <w:r w:rsidR="006569E7" w:rsidRPr="00644AF5">
        <w:rPr>
          <w:rFonts w:ascii="Calibri" w:hAnsi="Calibri" w:cs="Calibri"/>
          <w:color w:val="000000" w:themeColor="text1"/>
        </w:rPr>
        <w:t xml:space="preserve"> cells and </w:t>
      </w:r>
      <w:r w:rsidR="00B9029C" w:rsidRPr="00644AF5">
        <w:rPr>
          <w:rFonts w:ascii="Calibri" w:hAnsi="Calibri" w:cs="Calibri"/>
          <w:color w:val="000000" w:themeColor="text1"/>
        </w:rPr>
        <w:t xml:space="preserve">contribute to </w:t>
      </w:r>
      <w:r w:rsidR="006569E7" w:rsidRPr="00644AF5">
        <w:rPr>
          <w:rFonts w:ascii="Calibri" w:hAnsi="Calibri" w:cs="Calibri"/>
          <w:color w:val="000000" w:themeColor="text1"/>
        </w:rPr>
        <w:t>recovery</w:t>
      </w:r>
      <w:r w:rsidR="00F71153" w:rsidRPr="00644AF5">
        <w:rPr>
          <w:rFonts w:ascii="Calibri" w:hAnsi="Calibri" w:cs="Calibri"/>
          <w:color w:val="000000" w:themeColor="text1"/>
        </w:rPr>
        <w:t xml:space="preserve"> after infection</w:t>
      </w:r>
      <w:r w:rsidR="004D2171" w:rsidRPr="00644AF5">
        <w:rPr>
          <w:rFonts w:ascii="Calibri" w:hAnsi="Calibri" w:cs="Calibri"/>
          <w:color w:val="000000" w:themeColor="text1"/>
        </w:rPr>
        <w:fldChar w:fldCharType="begin"/>
      </w:r>
      <w:r w:rsidR="008F64F7">
        <w:rPr>
          <w:rFonts w:ascii="Calibri" w:hAnsi="Calibri" w:cs="Calibri"/>
          <w:color w:val="000000" w:themeColor="text1"/>
        </w:rPr>
        <w:instrText xml:space="preserve"> ADDIN ZOTERO_ITEM CSL_CITATION {"citationID":"j0fXCdbm","properties":{"formattedCitation":"\\super 23, 30\\nosupersub{}","plainCitation":"23, 30","dontUpdate":true,"noteIndex":0},"citationItems":[{"id":212,"uris":["http://zotero.org/users/11181870/items/TGLVG5VL"],"itemData":{"id":212,"type":"article-journal","container-title":"International Journal of Stem Cells","DOI":"10.15283/ijsc.2015.8.2.128","ISSN":"2005-3606, 2005-5447","issue":"2","journalAbbreviation":"IJSC","language":"en","page":"128-133","source":"DOI.org (Crossref)","title":"Planarians: an In Vivo Model for Regenerative Medicine","title-short":"Planarians","URL":"http://www.ijstemcell.com/journal/view.html?doi=10.15283/ijsc.2015.8.2.128","volume":"8","author":[{"family":"Karami","given":"Ali"},{"family":"Tebyanian","given":"Hamid"},{"family":"Goodarzi","given":"Vahabodin"},{"family":"Shiri","given":"Sajad"}],"accessed":{"date-parts":[["2025",9,8]]},"issued":{"date-parts":[["2015",11,30]]}}},{"id":10,"uris":["http://zotero.org/users/11181870/items/KNI267Q3"],"itemData":{"id":10,"type":"article-journal","abstract":"Candida albicans\n              is one of the most common fungal pathogens of humans. Prior work introduced the planarian\n              Schmidtea mediterranea\n              as a new model system to study the host response to fungal infection at the organismal level. In the current study, we analyzed host–pathogen changes that occurred\n              in situ\n              during early infection with\n              C. albicans\n              . We found that the transcription factor Bcr1 and its downstream adhesin Als3 are required for\n              C. albicans\n              to adhere to and colonize the planarian epithelial surface, and that adherence of\n              C. albicans\n              triggers a multi-system host response that is mediated by the Dectin signaling pathway. This infection response is characterized by two peaks of stem cell divisions and transcriptional changes in differentiated tissues including the nervous and the excretory systems. This response bears some resemblance to a wound-like response to physical injury; however, it takes place without visible tissue damage and it engages a distinct set of progenitor cells. Overall, we identified two\n              C. albicans\n              proteins that mediate epithelial infection of planarians and a comprehensive host response facilitated by diverse tissues to effectively clear the infection.","container-title":"Frontiers in Microbiology","DOI":"10.3389/fmicb.2020.629526","ISSN":"1664-302X","journalAbbreviation":"Front. Microbiol.","page":"629526","source":"DOI.org (Crossref)","title":"Epithelial Infection With Candida albicans Elicits a Multi-System Response in Planarians","URL":"https://www.frontiersin.org/articles/10.3389/fmicb.2020.629526/full","volume":"11","author":[{"family":"Maciel","given":"Eli Isael"},{"family":"Valle Arevalo","given":"Ashley"},{"family":"Ziman","given":"Benjamin"},{"family":"Nobile","given":"Clarissa J."},{"family":"Oviedo","given":"Néstor J."}],"accessed":{"date-parts":[["2024",10,6]]},"issued":{"date-parts":[["2021",1,14]]}}}],"schema":"https://github.com/citation-style-language/schema/raw/master/csl-citation.json"} </w:instrText>
      </w:r>
      <w:r w:rsidR="004D2171"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23,30</w:t>
      </w:r>
      <w:r w:rsidR="004D2171" w:rsidRPr="00644AF5">
        <w:rPr>
          <w:rFonts w:ascii="Calibri" w:hAnsi="Calibri" w:cs="Calibri"/>
          <w:color w:val="000000" w:themeColor="text1"/>
        </w:rPr>
        <w:fldChar w:fldCharType="end"/>
      </w:r>
      <w:r w:rsidR="004D4CFB" w:rsidRPr="00644AF5">
        <w:rPr>
          <w:rFonts w:ascii="Calibri" w:hAnsi="Calibri" w:cs="Calibri"/>
          <w:color w:val="000000" w:themeColor="text1"/>
        </w:rPr>
        <w:t xml:space="preserve">. </w:t>
      </w:r>
      <w:r w:rsidRPr="00644AF5">
        <w:rPr>
          <w:rFonts w:ascii="Calibri" w:hAnsi="Calibri" w:cs="Calibri"/>
          <w:color w:val="000000" w:themeColor="text1"/>
        </w:rPr>
        <w:t>The</w:t>
      </w:r>
      <w:r w:rsidR="00B9029C" w:rsidRPr="00644AF5">
        <w:rPr>
          <w:rFonts w:ascii="Calibri" w:hAnsi="Calibri" w:cs="Calibri"/>
          <w:color w:val="000000" w:themeColor="text1"/>
        </w:rPr>
        <w:t xml:space="preserve">se features make </w:t>
      </w:r>
      <w:r w:rsidR="00B9029C" w:rsidRPr="00644AF5">
        <w:rPr>
          <w:rFonts w:ascii="Calibri" w:hAnsi="Calibri" w:cs="Calibri"/>
          <w:i/>
          <w:iCs/>
          <w:color w:val="000000" w:themeColor="text1"/>
        </w:rPr>
        <w:t xml:space="preserve">S. mediterranea </w:t>
      </w:r>
      <w:r w:rsidR="00B9029C" w:rsidRPr="00644AF5">
        <w:rPr>
          <w:rFonts w:ascii="Calibri" w:hAnsi="Calibri" w:cs="Calibri"/>
          <w:color w:val="000000" w:themeColor="text1"/>
        </w:rPr>
        <w:t xml:space="preserve">a powerful model for </w:t>
      </w:r>
      <w:r w:rsidR="00E26C59" w:rsidRPr="00644AF5">
        <w:rPr>
          <w:rFonts w:ascii="Calibri" w:hAnsi="Calibri" w:cs="Calibri"/>
          <w:color w:val="000000" w:themeColor="text1"/>
        </w:rPr>
        <w:t xml:space="preserve">dissecting </w:t>
      </w:r>
      <w:r w:rsidR="00B9029C" w:rsidRPr="00644AF5">
        <w:rPr>
          <w:rFonts w:ascii="Calibri" w:hAnsi="Calibri" w:cs="Calibri"/>
          <w:color w:val="000000" w:themeColor="text1"/>
        </w:rPr>
        <w:t xml:space="preserve">pathogen virulence and host defense at genetic, </w:t>
      </w:r>
      <w:r w:rsidRPr="00644AF5">
        <w:rPr>
          <w:rFonts w:ascii="Calibri" w:hAnsi="Calibri" w:cs="Calibri"/>
          <w:color w:val="000000" w:themeColor="text1"/>
        </w:rPr>
        <w:t xml:space="preserve">cellular, tissue, and organismal </w:t>
      </w:r>
      <w:r w:rsidR="002F71E2" w:rsidRPr="00644AF5">
        <w:rPr>
          <w:rFonts w:ascii="Calibri" w:hAnsi="Calibri" w:cs="Calibri"/>
          <w:color w:val="000000" w:themeColor="text1"/>
        </w:rPr>
        <w:t>scale</w:t>
      </w:r>
      <w:r w:rsidRPr="00644AF5">
        <w:rPr>
          <w:rFonts w:ascii="Calibri" w:hAnsi="Calibri" w:cs="Calibri"/>
          <w:color w:val="000000" w:themeColor="text1"/>
        </w:rPr>
        <w:t>s</w:t>
      </w:r>
      <w:r w:rsidR="00E26C59" w:rsidRPr="00644AF5">
        <w:rPr>
          <w:rFonts w:ascii="Calibri" w:hAnsi="Calibri" w:cs="Calibri"/>
          <w:color w:val="000000" w:themeColor="text1"/>
        </w:rPr>
        <w:t xml:space="preserve">, </w:t>
      </w:r>
      <w:r w:rsidR="00BE19CD" w:rsidRPr="00644AF5">
        <w:rPr>
          <w:rFonts w:ascii="Calibri" w:hAnsi="Calibri" w:cs="Calibri"/>
          <w:color w:val="000000" w:themeColor="text1"/>
        </w:rPr>
        <w:t>enabl</w:t>
      </w:r>
      <w:r w:rsidR="003217D7" w:rsidRPr="00644AF5">
        <w:rPr>
          <w:rFonts w:ascii="Calibri" w:hAnsi="Calibri" w:cs="Calibri"/>
          <w:color w:val="000000" w:themeColor="text1"/>
        </w:rPr>
        <w:t xml:space="preserve">ing </w:t>
      </w:r>
      <w:r w:rsidR="002F71E2" w:rsidRPr="00644AF5">
        <w:rPr>
          <w:rFonts w:ascii="Calibri" w:hAnsi="Calibri" w:cs="Calibri"/>
          <w:color w:val="000000" w:themeColor="text1"/>
        </w:rPr>
        <w:t>us to</w:t>
      </w:r>
      <w:r w:rsidR="003217D7" w:rsidRPr="00644AF5">
        <w:rPr>
          <w:rFonts w:ascii="Calibri" w:hAnsi="Calibri" w:cs="Calibri"/>
          <w:color w:val="000000" w:themeColor="text1"/>
        </w:rPr>
        <w:t xml:space="preserve"> a</w:t>
      </w:r>
      <w:r w:rsidR="00BE19CD" w:rsidRPr="00644AF5">
        <w:rPr>
          <w:rFonts w:ascii="Calibri" w:hAnsi="Calibri" w:cs="Calibri"/>
          <w:color w:val="000000" w:themeColor="text1"/>
        </w:rPr>
        <w:t>ddress</w:t>
      </w:r>
      <w:r w:rsidR="003217D7" w:rsidRPr="00644AF5">
        <w:rPr>
          <w:rFonts w:ascii="Calibri" w:hAnsi="Calibri" w:cs="Calibri"/>
          <w:color w:val="000000" w:themeColor="text1"/>
        </w:rPr>
        <w:t xml:space="preserve"> questions</w:t>
      </w:r>
      <w:r w:rsidR="00BE19CD" w:rsidRPr="00644AF5">
        <w:rPr>
          <w:rFonts w:ascii="Calibri" w:hAnsi="Calibri" w:cs="Calibri"/>
          <w:color w:val="000000" w:themeColor="text1"/>
        </w:rPr>
        <w:t xml:space="preserve"> that are</w:t>
      </w:r>
      <w:r w:rsidR="003217D7" w:rsidRPr="00644AF5">
        <w:rPr>
          <w:rFonts w:ascii="Calibri" w:hAnsi="Calibri" w:cs="Calibri"/>
          <w:color w:val="000000" w:themeColor="text1"/>
        </w:rPr>
        <w:t xml:space="preserve"> often </w:t>
      </w:r>
      <w:r w:rsidR="00A15884" w:rsidRPr="00644AF5">
        <w:rPr>
          <w:rFonts w:ascii="Calibri" w:hAnsi="Calibri" w:cs="Calibri"/>
          <w:color w:val="000000" w:themeColor="text1"/>
        </w:rPr>
        <w:t xml:space="preserve">difficult </w:t>
      </w:r>
      <w:r w:rsidR="00B9029C" w:rsidRPr="00644AF5">
        <w:rPr>
          <w:rFonts w:ascii="Calibri" w:hAnsi="Calibri" w:cs="Calibri"/>
          <w:color w:val="000000" w:themeColor="text1"/>
        </w:rPr>
        <w:t xml:space="preserve">to </w:t>
      </w:r>
      <w:r w:rsidR="004622DF" w:rsidRPr="00644AF5">
        <w:rPr>
          <w:rFonts w:ascii="Calibri" w:hAnsi="Calibri" w:cs="Calibri"/>
          <w:color w:val="000000" w:themeColor="text1"/>
        </w:rPr>
        <w:t xml:space="preserve">study </w:t>
      </w:r>
      <w:r w:rsidR="00850201" w:rsidRPr="00644AF5">
        <w:rPr>
          <w:rFonts w:ascii="Calibri" w:hAnsi="Calibri" w:cs="Calibri"/>
          <w:color w:val="000000" w:themeColor="text1"/>
        </w:rPr>
        <w:t xml:space="preserve">using </w:t>
      </w:r>
      <w:r w:rsidR="00B9029C" w:rsidRPr="00644AF5">
        <w:rPr>
          <w:rFonts w:ascii="Calibri" w:hAnsi="Calibri" w:cs="Calibri"/>
          <w:color w:val="000000" w:themeColor="text1"/>
        </w:rPr>
        <w:t xml:space="preserve">traditional mammalian systems. </w:t>
      </w:r>
    </w:p>
    <w:p w14:paraId="55C3A73D" w14:textId="77777777" w:rsidR="000F6AAC" w:rsidRPr="00644AF5" w:rsidRDefault="000F6AAC" w:rsidP="000377CA">
      <w:pPr>
        <w:pStyle w:val="NormalWeb"/>
        <w:ind w:left="0" w:firstLine="0"/>
        <w:contextualSpacing/>
        <w:jc w:val="both"/>
        <w:rPr>
          <w:rFonts w:ascii="Calibri" w:hAnsi="Calibri" w:cs="Calibri"/>
          <w:color w:val="000000" w:themeColor="text1"/>
        </w:rPr>
      </w:pPr>
    </w:p>
    <w:p w14:paraId="6F54247A" w14:textId="1D396847" w:rsidR="004F7366" w:rsidRPr="00644AF5" w:rsidRDefault="00064361" w:rsidP="000377CA">
      <w:pPr>
        <w:pStyle w:val="NormalWeb"/>
        <w:ind w:left="0" w:firstLine="0"/>
        <w:contextualSpacing/>
        <w:jc w:val="both"/>
        <w:rPr>
          <w:rFonts w:ascii="Calibri" w:hAnsi="Calibri" w:cs="Calibri"/>
          <w:color w:val="000000" w:themeColor="text1"/>
        </w:rPr>
      </w:pPr>
      <w:r w:rsidRPr="00644AF5">
        <w:rPr>
          <w:rFonts w:ascii="Calibri" w:hAnsi="Calibri" w:cs="Calibri"/>
          <w:color w:val="000000" w:themeColor="text1"/>
        </w:rPr>
        <w:t>In addition</w:t>
      </w:r>
      <w:r w:rsidR="00B9029C" w:rsidRPr="00644AF5">
        <w:rPr>
          <w:rFonts w:ascii="Calibri" w:hAnsi="Calibri" w:cs="Calibri"/>
          <w:color w:val="000000" w:themeColor="text1"/>
        </w:rPr>
        <w:t xml:space="preserve">, </w:t>
      </w:r>
      <w:r w:rsidR="002F71E2" w:rsidRPr="00644AF5">
        <w:rPr>
          <w:rFonts w:ascii="Calibri" w:hAnsi="Calibri" w:cs="Calibri"/>
          <w:color w:val="000000" w:themeColor="text1"/>
        </w:rPr>
        <w:t>planarians’</w:t>
      </w:r>
      <w:r w:rsidR="00B9029C" w:rsidRPr="00644AF5">
        <w:rPr>
          <w:rFonts w:ascii="Calibri" w:hAnsi="Calibri" w:cs="Calibri"/>
          <w:color w:val="000000" w:themeColor="text1"/>
        </w:rPr>
        <w:t xml:space="preserve"> </w:t>
      </w:r>
      <w:r w:rsidR="004F7366" w:rsidRPr="00644AF5">
        <w:rPr>
          <w:rFonts w:ascii="Calibri" w:hAnsi="Calibri" w:cs="Calibri"/>
          <w:color w:val="000000" w:themeColor="text1"/>
        </w:rPr>
        <w:t>small size</w:t>
      </w:r>
      <w:r w:rsidR="00293A6A" w:rsidRPr="00644AF5">
        <w:rPr>
          <w:rFonts w:ascii="Calibri" w:hAnsi="Calibri" w:cs="Calibri"/>
          <w:color w:val="000000" w:themeColor="text1"/>
        </w:rPr>
        <w:t xml:space="preserve"> (</w:t>
      </w:r>
      <w:r w:rsidR="00E26C59" w:rsidRPr="00644AF5">
        <w:rPr>
          <w:rFonts w:ascii="Calibri" w:hAnsi="Calibri" w:cs="Calibri"/>
          <w:color w:val="000000" w:themeColor="text1"/>
        </w:rPr>
        <w:t>typically</w:t>
      </w:r>
      <w:r w:rsidR="00293A6A" w:rsidRPr="00644AF5">
        <w:rPr>
          <w:rFonts w:ascii="Calibri" w:hAnsi="Calibri" w:cs="Calibri"/>
          <w:color w:val="000000" w:themeColor="text1"/>
        </w:rPr>
        <w:t xml:space="preserve"> a few millimeters</w:t>
      </w:r>
      <w:r w:rsidR="00E26C59" w:rsidRPr="00644AF5">
        <w:rPr>
          <w:rFonts w:ascii="Calibri" w:hAnsi="Calibri" w:cs="Calibri"/>
          <w:color w:val="000000" w:themeColor="text1"/>
        </w:rPr>
        <w:t xml:space="preserve"> in length</w:t>
      </w:r>
      <w:r w:rsidR="00293A6A" w:rsidRPr="00644AF5">
        <w:rPr>
          <w:rFonts w:ascii="Calibri" w:hAnsi="Calibri" w:cs="Calibri"/>
          <w:color w:val="000000" w:themeColor="text1"/>
        </w:rPr>
        <w:t>)</w:t>
      </w:r>
      <w:r w:rsidR="004F7366" w:rsidRPr="00644AF5">
        <w:rPr>
          <w:rFonts w:ascii="Calibri" w:hAnsi="Calibri" w:cs="Calibri"/>
          <w:color w:val="000000" w:themeColor="text1"/>
        </w:rPr>
        <w:t>, low cost, and ease of maintenance</w:t>
      </w:r>
      <w:r w:rsidR="003B4E0E"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{"citationID":"k26dW3xH","properties":{"formattedCitation":"\\super 31\\nosupersub{}","plainCitation":"31","noteIndex":0},"citationItems":[{"id":42,"uris":["http://zotero.org/users/11181870/items/KU7XTURU"],"itemData":{"id":42,"type":"article-journal","abstract":"INTRODUCTION\n            \n              To provide sufficient material for experimentation, a laboratory needs to expand and maintain a colony of planarians. It is crucial to keep a stable, healthy population of animals in a consistent environment to avoid inter-animal variability and modifier effects that can mask true phenotypes from experimental perturbation. In this protocol, we describe basic procedures for establishing and maintaining healthy colonies of\n              Dugesia japonica\n              ,\n              Schmidtea mediterranea\n              , and\n              Girardia tigrina\n              (commonly found in the wild and commercially available in the United States). Although the recommendations are based on our optimization of conditions for\n              G. tigrina\n              , many of the procedures (such as food preparation and feeding strategy) can be applied to other species. For best results, the culture water must be carefully monitored and adjusted for each species.","container-title":"Cold Spring Harbor Protocols","DOI":"10.1101/pdb.prot5053","ISSN":"1940-3402, 1559-6095, 1559-6095","issue":"10","journalAbbreviation":"Cold Spring Harb Protoc","language":"en","page":"pdb.prot5053","source":"DOI.org (Crossref)","title":"Establishing and Maintaining a Colony of Planarians","URL":"http://www.cshprotocols.org/lookup/doi/10.1101/pdb.prot5053","volume":"2008","author":[{"family":"Oviedo","given":"Néstor J."},{"family":"Nicolas","given":"Cindy L."},{"family":"Adams","given":"Dany S."},{"family":"Levin","given":"Michael"}],"accessed":{"date-parts":[["2024",10,6]]},"issued":{"date-parts":[["2008",10]]}}}],"schema":"https://github.com/citation-style-language/schema/raw/master/csl-citation.json"} </w:instrText>
      </w:r>
      <w:r w:rsidR="003B4E0E"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31</w:t>
      </w:r>
      <w:r w:rsidR="003B4E0E" w:rsidRPr="00644AF5">
        <w:rPr>
          <w:rFonts w:ascii="Calibri" w:hAnsi="Calibri" w:cs="Calibri"/>
          <w:color w:val="000000" w:themeColor="text1"/>
        </w:rPr>
        <w:fldChar w:fldCharType="end"/>
      </w:r>
      <w:r w:rsidR="004F7366" w:rsidRPr="00644AF5">
        <w:rPr>
          <w:rFonts w:ascii="Calibri" w:hAnsi="Calibri" w:cs="Calibri"/>
          <w:color w:val="000000" w:themeColor="text1"/>
        </w:rPr>
        <w:t xml:space="preserve"> </w:t>
      </w:r>
      <w:r w:rsidR="002F71E2" w:rsidRPr="00644AF5">
        <w:rPr>
          <w:rFonts w:ascii="Calibri" w:hAnsi="Calibri" w:cs="Calibri"/>
          <w:color w:val="000000" w:themeColor="text1"/>
        </w:rPr>
        <w:t>support</w:t>
      </w:r>
      <w:r w:rsidR="00A15884" w:rsidRPr="00644AF5">
        <w:rPr>
          <w:rFonts w:ascii="Calibri" w:hAnsi="Calibri" w:cs="Calibri"/>
          <w:color w:val="000000" w:themeColor="text1"/>
        </w:rPr>
        <w:t xml:space="preserve"> </w:t>
      </w:r>
      <w:r w:rsidR="004F7366" w:rsidRPr="00644AF5">
        <w:rPr>
          <w:rFonts w:ascii="Calibri" w:hAnsi="Calibri" w:cs="Calibri"/>
          <w:color w:val="000000" w:themeColor="text1"/>
        </w:rPr>
        <w:t xml:space="preserve">large-scale experiments while avoiding the </w:t>
      </w:r>
      <w:r w:rsidR="00E26C59" w:rsidRPr="00644AF5">
        <w:rPr>
          <w:rFonts w:ascii="Calibri" w:hAnsi="Calibri" w:cs="Calibri"/>
          <w:color w:val="000000" w:themeColor="text1"/>
        </w:rPr>
        <w:t>financial</w:t>
      </w:r>
      <w:r w:rsidR="0096310E" w:rsidRPr="00644AF5">
        <w:rPr>
          <w:rFonts w:ascii="Calibri" w:hAnsi="Calibri" w:cs="Calibri"/>
          <w:color w:val="000000" w:themeColor="text1"/>
        </w:rPr>
        <w:t xml:space="preserve">, </w:t>
      </w:r>
      <w:r w:rsidR="004F7366" w:rsidRPr="00644AF5">
        <w:rPr>
          <w:rFonts w:ascii="Calibri" w:hAnsi="Calibri" w:cs="Calibri"/>
          <w:color w:val="000000" w:themeColor="text1"/>
        </w:rPr>
        <w:t>ethical</w:t>
      </w:r>
      <w:r w:rsidR="009B7708" w:rsidRPr="00644AF5">
        <w:rPr>
          <w:rFonts w:ascii="Calibri" w:hAnsi="Calibri" w:cs="Calibri"/>
          <w:color w:val="000000" w:themeColor="text1"/>
        </w:rPr>
        <w:t>,</w:t>
      </w:r>
      <w:r w:rsidR="00293A6A" w:rsidRPr="00644AF5">
        <w:rPr>
          <w:rFonts w:ascii="Calibri" w:hAnsi="Calibri" w:cs="Calibri"/>
          <w:color w:val="000000" w:themeColor="text1"/>
        </w:rPr>
        <w:t xml:space="preserve"> </w:t>
      </w:r>
      <w:r w:rsidR="00E26C59" w:rsidRPr="00644AF5">
        <w:rPr>
          <w:rFonts w:ascii="Calibri" w:hAnsi="Calibri" w:cs="Calibri"/>
          <w:color w:val="000000" w:themeColor="text1"/>
        </w:rPr>
        <w:t xml:space="preserve">and </w:t>
      </w:r>
      <w:r w:rsidR="00293A6A" w:rsidRPr="00644AF5">
        <w:rPr>
          <w:rFonts w:ascii="Calibri" w:hAnsi="Calibri" w:cs="Calibri"/>
          <w:color w:val="000000" w:themeColor="text1"/>
        </w:rPr>
        <w:t>regulatory</w:t>
      </w:r>
      <w:r w:rsidR="004F7366" w:rsidRPr="00644AF5">
        <w:rPr>
          <w:rFonts w:ascii="Calibri" w:hAnsi="Calibri" w:cs="Calibri"/>
          <w:color w:val="000000" w:themeColor="text1"/>
        </w:rPr>
        <w:t xml:space="preserve"> </w:t>
      </w:r>
      <w:r w:rsidR="00E26C59" w:rsidRPr="00644AF5">
        <w:rPr>
          <w:rFonts w:ascii="Calibri" w:hAnsi="Calibri" w:cs="Calibri"/>
          <w:color w:val="000000" w:themeColor="text1"/>
        </w:rPr>
        <w:t>constraint</w:t>
      </w:r>
      <w:r w:rsidR="00B9029C" w:rsidRPr="00644AF5">
        <w:rPr>
          <w:rFonts w:ascii="Calibri" w:hAnsi="Calibri" w:cs="Calibri"/>
          <w:color w:val="000000" w:themeColor="text1"/>
        </w:rPr>
        <w:t xml:space="preserve">s </w:t>
      </w:r>
      <w:r w:rsidR="00293A6A" w:rsidRPr="00644AF5">
        <w:rPr>
          <w:rFonts w:ascii="Calibri" w:hAnsi="Calibri" w:cs="Calibri"/>
          <w:color w:val="000000" w:themeColor="text1"/>
        </w:rPr>
        <w:t>in</w:t>
      </w:r>
      <w:r w:rsidR="00E26C59" w:rsidRPr="00644AF5">
        <w:rPr>
          <w:rFonts w:ascii="Calibri" w:hAnsi="Calibri" w:cs="Calibri"/>
          <w:color w:val="000000" w:themeColor="text1"/>
        </w:rPr>
        <w:t>herent</w:t>
      </w:r>
      <w:r w:rsidR="00293A6A" w:rsidRPr="00644AF5">
        <w:rPr>
          <w:rFonts w:ascii="Calibri" w:hAnsi="Calibri" w:cs="Calibri"/>
          <w:color w:val="000000" w:themeColor="text1"/>
        </w:rPr>
        <w:t xml:space="preserve"> to </w:t>
      </w:r>
      <w:r w:rsidR="004F7366" w:rsidRPr="00644AF5">
        <w:rPr>
          <w:rFonts w:ascii="Calibri" w:hAnsi="Calibri" w:cs="Calibri"/>
          <w:color w:val="000000" w:themeColor="text1"/>
        </w:rPr>
        <w:t>vertebrate models.</w:t>
      </w:r>
      <w:r w:rsidR="00A41894" w:rsidRPr="00644AF5">
        <w:rPr>
          <w:rFonts w:ascii="Calibri" w:hAnsi="Calibri" w:cs="Calibri"/>
          <w:color w:val="000000" w:themeColor="text1"/>
        </w:rPr>
        <w:t xml:space="preserve"> L</w:t>
      </w:r>
      <w:r w:rsidR="00540D16" w:rsidRPr="00644AF5">
        <w:rPr>
          <w:rFonts w:ascii="Calibri" w:hAnsi="Calibri" w:cs="Calibri"/>
          <w:color w:val="000000" w:themeColor="text1"/>
        </w:rPr>
        <w:t xml:space="preserve">ike </w:t>
      </w:r>
      <w:r w:rsidR="00540D16" w:rsidRPr="00644AF5">
        <w:rPr>
          <w:rFonts w:ascii="Calibri" w:hAnsi="Calibri" w:cs="Calibri"/>
          <w:i/>
          <w:iCs/>
          <w:color w:val="000000" w:themeColor="text1"/>
        </w:rPr>
        <w:t>C. albicans</w:t>
      </w:r>
      <w:r w:rsidR="00540D16" w:rsidRPr="00644AF5">
        <w:rPr>
          <w:rFonts w:ascii="Calibri" w:hAnsi="Calibri" w:cs="Calibri"/>
          <w:color w:val="000000" w:themeColor="text1"/>
        </w:rPr>
        <w:t xml:space="preserve">, </w:t>
      </w:r>
      <w:r w:rsidR="008F2A8A" w:rsidRPr="00644AF5">
        <w:rPr>
          <w:rFonts w:ascii="Calibri" w:hAnsi="Calibri" w:cs="Calibri"/>
          <w:i/>
          <w:iCs/>
          <w:color w:val="000000" w:themeColor="text1"/>
        </w:rPr>
        <w:t xml:space="preserve">S. mediterranea </w:t>
      </w:r>
      <w:r w:rsidR="008F2A8A" w:rsidRPr="00644AF5">
        <w:rPr>
          <w:rFonts w:ascii="Calibri" w:hAnsi="Calibri" w:cs="Calibri"/>
          <w:color w:val="000000" w:themeColor="text1"/>
        </w:rPr>
        <w:t xml:space="preserve">is genomically tractable, with a fully sequenced </w:t>
      </w:r>
      <w:r w:rsidR="000C5B21" w:rsidRPr="00644AF5">
        <w:rPr>
          <w:rFonts w:ascii="Calibri" w:hAnsi="Calibri" w:cs="Calibri"/>
          <w:color w:val="000000" w:themeColor="text1"/>
        </w:rPr>
        <w:t xml:space="preserve">and </w:t>
      </w:r>
      <w:r w:rsidR="008F2A8A" w:rsidRPr="00644AF5">
        <w:rPr>
          <w:rFonts w:ascii="Calibri" w:hAnsi="Calibri" w:cs="Calibri"/>
          <w:color w:val="000000" w:themeColor="text1"/>
        </w:rPr>
        <w:t>annotated genome</w:t>
      </w:r>
      <w:r w:rsidR="00DB2A92" w:rsidRPr="00644AF5">
        <w:rPr>
          <w:rFonts w:ascii="Calibri" w:hAnsi="Calibri" w:cs="Calibri"/>
          <w:color w:val="000000" w:themeColor="text1"/>
        </w:rPr>
        <w:t>,</w:t>
      </w:r>
      <w:r w:rsidR="00A34663" w:rsidRPr="00644AF5">
        <w:rPr>
          <w:rFonts w:ascii="Calibri" w:hAnsi="Calibri" w:cs="Calibri"/>
          <w:color w:val="000000" w:themeColor="text1"/>
        </w:rPr>
        <w:t xml:space="preserve"> and</w:t>
      </w:r>
      <w:r w:rsidR="00DB2A92" w:rsidRPr="00644AF5">
        <w:rPr>
          <w:rFonts w:ascii="Calibri" w:hAnsi="Calibri" w:cs="Calibri"/>
          <w:color w:val="000000" w:themeColor="text1"/>
        </w:rPr>
        <w:t xml:space="preserve"> </w:t>
      </w:r>
      <w:r w:rsidR="002F71E2" w:rsidRPr="00644AF5">
        <w:rPr>
          <w:rFonts w:ascii="Calibri" w:hAnsi="Calibri" w:cs="Calibri"/>
          <w:color w:val="000000" w:themeColor="text1"/>
        </w:rPr>
        <w:t xml:space="preserve">it </w:t>
      </w:r>
      <w:r w:rsidR="00DB2A92" w:rsidRPr="00644AF5">
        <w:rPr>
          <w:rFonts w:ascii="Calibri" w:hAnsi="Calibri" w:cs="Calibri"/>
          <w:color w:val="000000" w:themeColor="text1"/>
        </w:rPr>
        <w:t xml:space="preserve">supports advanced molecular and cellular techniques – including </w:t>
      </w:r>
      <w:r w:rsidR="008F2A8A" w:rsidRPr="00644AF5">
        <w:rPr>
          <w:rFonts w:ascii="Calibri" w:hAnsi="Calibri" w:cs="Calibri"/>
          <w:color w:val="000000" w:themeColor="text1"/>
        </w:rPr>
        <w:t xml:space="preserve">transcriptional profiling, </w:t>
      </w:r>
      <w:r w:rsidR="00FD1BB4" w:rsidRPr="00644AF5">
        <w:rPr>
          <w:rFonts w:ascii="Calibri" w:hAnsi="Calibri" w:cs="Calibri"/>
          <w:color w:val="000000" w:themeColor="text1"/>
        </w:rPr>
        <w:t xml:space="preserve">high-resolution </w:t>
      </w:r>
      <w:r w:rsidR="0006390E" w:rsidRPr="00644AF5">
        <w:rPr>
          <w:rFonts w:ascii="Calibri" w:hAnsi="Calibri" w:cs="Calibri"/>
          <w:color w:val="000000" w:themeColor="text1"/>
        </w:rPr>
        <w:t xml:space="preserve">immunohistochemistry </w:t>
      </w:r>
      <w:r w:rsidR="00FD1BB4" w:rsidRPr="00644AF5">
        <w:rPr>
          <w:rFonts w:ascii="Calibri" w:hAnsi="Calibri" w:cs="Calibri"/>
          <w:color w:val="000000" w:themeColor="text1"/>
        </w:rPr>
        <w:t>and histolog</w:t>
      </w:r>
      <w:r w:rsidR="00571EE2" w:rsidRPr="00644AF5">
        <w:rPr>
          <w:rFonts w:ascii="Calibri" w:hAnsi="Calibri" w:cs="Calibri"/>
          <w:color w:val="000000" w:themeColor="text1"/>
        </w:rPr>
        <w:t xml:space="preserve">y, </w:t>
      </w:r>
      <w:r w:rsidR="00293A6A" w:rsidRPr="00644AF5">
        <w:rPr>
          <w:rFonts w:ascii="Calibri" w:hAnsi="Calibri" w:cs="Calibri"/>
          <w:color w:val="000000" w:themeColor="text1"/>
        </w:rPr>
        <w:t xml:space="preserve">and </w:t>
      </w:r>
      <w:r w:rsidR="00BE0C50" w:rsidRPr="00644AF5">
        <w:rPr>
          <w:rFonts w:ascii="Calibri" w:hAnsi="Calibri" w:cs="Calibri"/>
          <w:color w:val="000000" w:themeColor="text1"/>
        </w:rPr>
        <w:t xml:space="preserve">robust </w:t>
      </w:r>
      <w:r w:rsidR="00293A6A" w:rsidRPr="00644AF5">
        <w:rPr>
          <w:rFonts w:ascii="Calibri" w:hAnsi="Calibri" w:cs="Calibri"/>
          <w:color w:val="000000" w:themeColor="text1"/>
        </w:rPr>
        <w:t>RNA interference (RNAi)</w:t>
      </w:r>
      <w:r w:rsidR="0089046D"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{"citationID":"CDiJq39U","properties":{"formattedCitation":"\\super 32\\uc0\\u8211{}38\\nosupersub{}","plainCitation":"32–38","noteIndex":0},"citationItems":[{"id":218,"uris":["http://zotero.org/users/11181870/items/KYG7PD5M"],"itemData":{"id":218,"type":"article-journal","abstract":"Abstract\n            \n              The planarian\n              Schmidtea mediterranea\n              is being studied as a model species for regeneration, but the assembly of planarian genomes remains challenging. Here, we report a high-quality haplotype-phased, chromosome-scale genome assembly of the sexual S2 strain of\n              S. mediterranea\n              and high-quality chromosome-scale assemblies of its three close relatives,\n              S. polychroa\n              ,\n              S. nova\n              , and\n              S. lugubris\n              . Using hybrid gene annotations and optimized ATAC-seq and ChIP-seq protocols for regulatory element annotation, we provide valuable genome resources for the planarian research community and a first comparative perspective on planarian genome evolution. Our analyses reveal substantial divergence in protein-coding sequences and regulatory regions but considerable conservation within promoter and enhancer annotations. We also find frequent retrotransposon-associated chromosomal inversions and interchromosomal translocations within the genus\n              Schmidtea\n              and, remarkably, independent and nearly complete losses of ancestral metazoan synteny in\n              Schmidtea\n              and two other flatworm groups. Overall, our results suggest that platyhelminth genomes can evolve without syntenic constraints.","container-title":"Nature Communications","DOI":"10.1038/s41467-024-52380-9","ISSN":"2041-1723","issue":"1","journalAbbreviation":"Nat Commun","language":"en","page":"8215","source":"DOI.org (Crossref)","title":"A comparative analysis of planarian genomes reveals regulatory conservation in the face of rapid structural divergence","URL":"https://www.nature.com/articles/s41467-024-52380-9","volume":"15","author":[{"family":"Ivanković","given":"Mario"},{"family":"Brand","given":"Jeremias N."},{"family":"Pandolfini","given":"Luca"},{"family":"Brown","given":"Thomas"},{"family":"Pippel","given":"Martin"},{"family":"Rozanski","given":"Andrei"},{"family":"Schubert","given":"Til"},{"family":"Grohme","given":"Markus A."},{"family":"Winkler","given":"Sylke"},{"family":"Robledillo","given":"Laura"},{"family":"Zhang","given":"Meng"},{"family":"Codino","given":"Azzurra"},{"family":"Gustincich","given":"Stefano"},{"family":"Vila-Farré","given":"Miquel"},{"family":"Zhang","given":"Shu"},{"family":"Papantonis","given":"Argyris"},{"family":"Marques","given":"André"},{"family":"Rink","given":"Jochen C."}],"accessed":{"date-parts":[["2025",9,18]]},"issued":{"date-parts":[["2024",9,19]]}}},{"id":221,"uris":["http://zotero.org/users/11181870/items/A4XFNU25"],"itemData":{"id":221,"type":"article-journal","abstract":"Mapping the planarian transcriptome\n            \n              A cell type's transcriptome defines the active genes that control its biology. Two groups used single-cell RNA sequencing to define the transcriptomes for essentially all cell types of a complete animal, the regenerative planarian\n              Schmidtea mediterranea.\n              Because pluripotent stem cells constantly differentiate to rejuvenate any part of the body of this species, all developmental lineages are active in adult animals. Fincher\n              et al.\n              determined the transcriptomes for most, if not all, planarian cell types, including some that were previously unknown. They also identified transition states and genes governing positional information. Plass\n              et al.\n              used single-cell transcriptomics and computational algorithms to reconstruct a lineage tree capturing the developmental progressions from stem to differentiated cells. They could then predict gene programs that are specifically turned on and off along the tree, and they used this approach to study how the cell types behaved during regeneration. These whole-animal transcriptome “atlases” are a powerful way to study metazoan biology.\n            \n            \n              Science\n              , this issue p.\n              eaaq1736\n              , p.\n              eaaq1723\n            \n          , \n            Single-cell RNA sequencing identifies the transcriptomes for most to all cell types of a flatworm.\n          , \n            \n              INTRODUCTION\n              The complete sequence of animal genomes has had a transformative impact on biological research. Whereas the genome sequence of an organism contains the information for its development and physiology, the transcriptomes (the sets of actively transcribed genes) of the cell types in an organism define how the genome is used for the unique functions of its cells. Cell number and complexity have historically made the identification of all cell types, much less their transcriptomes, an extreme challenge for most multicellular organisms. Recent advances in single-cell RNA sequencing (SCS) have greatly enhanced the ability to determine cell type transcriptomes, with SCS of thousands of cells readily achievable.\n            \n            \n              RATIONALE\n              \n                We reasoned that it might be possible, given these advances, to determine the transcriptomes of essentially every cell type of a complete organism possessing an unknown number of cell types. The planarian\n                Schmidtea mediterranea\n                , famous for its regeneration ability, is an attractive case study for such an undertaking. Planarians possess a complex anatomy with diverse differentiated cell types, including many found across animals. Furthermore, planarians contain a proliferating cell population called neoblasts that includes pluripotent stem cells. Neoblasts mediate regeneration and constitutive tissue turnover. Consequently, lineage precursors for essentially all differentiated cells types are also present in adults. Finally, planarians constitutively express positional information guiding tissue turnover. Therefore, comprehensive SCS at a single time point (the adult) could allow transcriptome determination for all differentiated cell types and for lineage precursors, and could identify patterning information that guides new cell production and organization. Capturing this information in most organisms would require sampling adults and many transient embryonic stages.\n              \n            \n            \n              RESULTS\n              \n                We used the SCS method Drop-seq to determine the transcriptomes for 66,783 individual cells from adult planarians. We locally saturated cell type coverage by iteratively sequencing distinct body regions and assessing the frequency of known rare cell types in the data. Clustering the cells by shared gene expression grouped cells into broad tissue classes. Subclustering of each broad tissue type in isolation enabled separation of cells into the cell populations constituting each tissue. These analyses enabled the identification of a previously unidentified tissue group and the classification of poorly characterized tissues into their constituent cell types, including numerous previously unknown cell types. Transcriptomes were identified for many rare cell types, including those that exist as rarely as ~10 cells in an animal that has 10\n                5\n                to 10\n                6\n                cells, which suggests that near-to-complete cellular saturation was reached. In addition, transcriptomes for known and novel lineage precursors, from pluripotent stem cell to differentiated cell types, were generated. Precursor transcriptomes identified transcription factors required for maintenance of associated differentiated cells during homeostatic cell turnover. Finally, the data were used to identify genes regionally expressed in muscle, which is the site of planarian patterning gene expression.\n              \n            \n            \n              CONCLUSION\n              We successfully used SCS to generate transcriptomes for most to all cells of a complete organism. This resource provides a wealth of data regarding the cellular site of expression of thousands of conserved genes and the transcriptomes for cell types widely used in animals. These data will inform studies of these genes and cell types broadly, and will provide a resource for the fields of planarian biology and comparative evolutionary biology. This work also provides a template for the generation of cell type transcriptome atlases, which can be applied to a large array of organisms.\n              \n                \n                  An atlas of planarian cell type transcriptomes.\n                  High-throughput single-cell RNA sequencing of adult planarians reveals a cell type transcriptome atlas that includes rare cell types and many novel cell populations, cellular transition states, and patterning information, as demonstrated by two regionally expressed genes in muscle.\n                \n                \n              \n            \n          , \n            \n              The transcriptome of a cell dictates its unique cell type biology. We used single-cell RNA sequencing to determine the transcriptomes for essentially every cell type of a complete animal: the regenerative planarian\n              Schmidtea mediterranea.\n              Planarians contain a diverse array of cell types, possess lineage progenitors for differentiated cells (including pluripotent stem cells), and constitutively express positional information, making them ideal for this undertaking. We generated data for 66,783 cells, defining transcriptomes for known and many previously unknown planarian cell types and for putative transition states between stem and differentiated cells. We also uncovered regionally expressed genes in muscle, which harbors positional information. Identifying the transcriptomes for potentially all cell types for many organisms should be readily attainable and represents a powerful approach to metazoan biology.","container-title":"Science","DOI":"10.1126/science.aaq1736","ISSN":"0036-8075, 1095-9203","issue":"6391","journalAbbreviation":"Science","language":"en","page":"eaaq1736","source":"DOI.org (Crossref)","title":"Cell type transcriptome atlas for the planarian &lt;i&gt;Schmidtea mediterranea&lt;/i&gt;","URL":"https://www.science.org/doi/10.1126/science.aaq1736","volume":"360","author":[{"family":"Fincher","given":"Christopher T."},{"family":"Wurtzel","given":"Omri"},{"family":"De Hoog","given":"Thom"},{"family":"Kravarik","given":"Kellie M."},{"family":"Reddien","given":"Peter W."}],"accessed":{"date-parts":[["2025",9,25]]},"issued":{"date-parts":[["2018",5,25]]}}},{"id":217,"uris":["http://zotero.org/users/11181870/items/CT76UT64"],"itemData":{"id":217,"type":"chapter","container-title":"Planarian Regeneration","DOI":"10.1007/978-1-4939-7802-1_18","ISBN":"978-1-4939-7800-7","note":"collection-title: Methods in Molecular Biology","page":"455-466","publisher":"Springer New York","publisher-place":"New York, NY","source":"DOI.org (Crossref)","title":"RNA Interference in Planarians: Feeding and Injection of Synthetic dsRNA","title-short":"RNA Interference in Planarians","URL":"http://link.springer.com/10.1007/978-1-4939-7802-1_18","volume":"1774","editor":[{"family":"Rink","given":"Jochen C."}],"author":[{"family":"Shibata","given":"Norito"},{"family":"Agata","given":"Kiyokazu"}],"accessed":{"date-parts":[["2025",9,10]]},"issued":{"date-parts":[["2018"]]}}},{"id":223,"uris":["http://zotero.org/users/11181870/items/UGCBUCBX"],"itemData":{"id":223,"type":"article-journal","abstract":"Background\n              The ability to assess gene function is essential for understanding biological processes. Currently, RNA interference (RNAi) is the only technique available to assess gene function in planarians, in which it has been induced by means of injection of double‐stranded RNA (dsRNA), soaking, or ingestion of bacteria expressing dsRNA.\n            \n            \n              Results\n              We describe a simple and robust RNAi protocol, involving in vitro synthesis of dsRNA that is fed to the planarians. Advantages of this protocol include the ability to produce dsRNA from any vector without subcloning, resolution of ambiguities in quantity and quality of input dsRNA, as well as time and ease of application. We have evaluated the logistics of inducing RNAi in planarians using this methodology in careful detail, from the ingestion and processing of dsRNA in the intestine, to timing and efficacy of knockdown in neoblasts, germline, and soma. We also present systematic comparisons of effects of amount, frequency, and mode of dsRNA delivery.\n            \n            \n              Conclusions\n              \n                This method gives robust and reproducible results and is amenable to high‐throughput studies. Overall, this RNAi methodology provides a significant advance by combining the strengths of current protocols available for dsRNA delivery in planarians and has the potential to benefit RNAi methods in other systems.\n                Developmental Dynamics 242:718–730, 2013\n                . © 2013 Wiley Periodicals, Inc.\n              \n            \n          , \n            Key Findings\n            \n              \n                \n                  In vitro‐synthesized dsRNA is fed to planarians to induce robust RNAi.\n                \n                \n                  Presentation of an improved protocol for RNAi in planarians amenable to high‐throughput studies.\n                \n                \n                  Analysis of dsRNA processing dynamics and spatiotemporal RNAi activity.\n                \n                \n                  Systematic comparisons of effects of variations in amount, frequency and mode of dsRNA delivery on RNAi efficiency.","container-title":"Developmental Dynamics","DOI":"10.1002/dvdy.23950","ISSN":"1058-8388, 1097-0177","issue":"6","journalAbbreviation":"Developmental Dynamics","language":"en","license":"http://onlinelibrary.wiley.com/termsAndConditions#vor","page":"718-730","source":"DOI.org (Crossref)","title":"RNA interference by feeding in vitro–synthesized double‐stranded RNA to planarians: Methodology and dynamics","title-short":"RNA interference by feeding in vitro–synthesized double‐stranded RNA to planarians","URL":"https://anatomypubs.onlinelibrary.wiley.com/doi/10.1002/dvdy.23950","volume":"242","author":[{"family":"Rouhana","given":"Labib"},{"family":"Weiss","given":"Jennifer A."},{"family":"Forsthoefel","given":"David J."},{"family":"Lee","given":"Hayoung"},{"family":"King","given":"Ryan S."},{"family":"Inoue","given":"Takeshi"},{"family":"Shibata","given":"Norito"},{"family":"Agata","given":"Kiyokazu"},{"family":"Newmark","given":"Phillip A."}],"accessed":{"date-parts":[["2025",11,8]]},"issued":{"date-parts":[["2013",6]]}}},{"id":225,"uris":["http://zotero.org/users/11181870/items/CL27XPR2"],"itemData":{"id":225,"type":"chapter","container-title":"Planarian Regeneration","DOI":"10.1007/978-1-4939-7802-1_9","ISBN":"978-1-4939-7800-7","note":"collection-title: Methods in Molecular Biology","page":"285-351","publisher":"Springer New York","publisher-place":"New York, NY","source":"DOI.org (Crossref)","title":"Basic Histological Techniques for Planarians","URL":"http://link.springer.com/10.1007/978-1-4939-7802-1_9","volume":"1774","editor":[{"family":"Rink","given":"Jochen C."}],"author":[{"family":"Winsor","given":"Leigh"},{"family":"Sluys","given":"Ronald"}],"accessed":{"date-parts":[["2025",11,8]]},"issued":{"date-parts":[["2018"]]}}},{"id":226,"uris":["http://zotero.org/users/11181870/items/KGLVPBBJ"],"itemData":{"id":226,"type":"article-journal","abstract":"The intricate coordination of the neural network in planarian growth and regeneration has remained largely unrevealed, partly due to the challenges of imaging the CNS in three dimensions (3D) with high resolution and within a reasonable timeframe. To address this gap in systematic imaging of the CNS in planarians, we adopted high-resolution, nanoscale imaging by combining tissue expansion and tiling light-sheet microscopy, achieving up to fourfold linear expansion. Using an automatic 3D cell segmentation pipeline, we quantitatively profiled neurons and muscle fibers at the single-cell level in over 400 wild-type planarians during homeostasis and regeneration. We validated previous observations of neuronal cell number changes and muscle fiber distribution. We found that the increase in neuron cell number tends to lag behind the rapid expansion of somatic cells during the later phase of homeostasis. By imaging the planarian with up to 120 nm resolution, we also observed distinct muscle distribution patterns at the anterior and posterior poles. Furthermore, we investigated the effects of\n              β-catenin-1\n              RNAi on muscle fiber distribution at the posterior pole, consistent with changes in anterior-posterior polarity. The glial cells were observed to be close in contact with dorsal-ventral muscle fibers. Finally, we observed disruptions in neural-muscular networks in\n              inr-1\n              RNAi planarians. These findings provide insights into the detailed structure and potential functions of the neural-muscular system in planarians and highlight the accessibility of our imaging tool in unraveling the biological functions underlying their diverse phenotypes and behaviors.","container-title":"eLife","DOI":"10.7554/eLife.101103.3","ISSN":"2050-084X","language":"en","page":"RP101103","source":"DOI.org (Crossref)","title":"3D reconstruction of neuronal allometry and neuromuscular projections in asexual planarians using expansion tiling light sheet microscopy","URL":"https://elifesciences.org/articles/101103","volume":"13","author":[{"family":"Lu","given":"Jing"},{"family":"Xu","given":"Hao"},{"family":"Wang","given":"Dongyue"},{"family":"Chen","given":"Yanlu"},{"family":"Inoue","given":"Takeshi"},{"family":"Gao","given":"Liang"},{"family":"Lei","given":"Kai"}],"accessed":{"date-parts":[["2025",11,8]]},"issued":{"date-parts":[["2025",3,28]]}}},{"id":228,"uris":["http://zotero.org/users/11181870/items/JGFCR8QU"],"itemData":{"id":228,"type":"article-journal","abstract":"The maintenance of organs and their regeneration in case of injury are crucial to the survival of all animals. High rates of tissue turnover and nearly unlimited regenerative capabilities make planarian flatworms an ideal system with which to investigate these important processes, yet little is known about the cell biology and anatomy of their organs. Here we focus on the planarian excretory system, which consists of internal protonephridial tubules. We find that these assemble into complex branching patterns with a stereotyped succession of cell types along their length. Organ regeneration is likely to originate from a precursor structure arising in the blastema, which undergoes extensive branching morphogenesis. In an RNAi screen of signaling molecules, we identified an EGF receptor (Smed-EGFR-5) as a crucial regulator of branching morphogenesis and maintenance. Overall, our characterization of the planarian protonephridial system establishes a new paradigm for regenerative organogenesis and provides a platform for exploring its functional and evolutionary homologies with vertebrate excretory systems.","container-title":"Development","DOI":"10.1242/dev.066852","ISSN":"1477-9129, 0950-1991","issue":"17","language":"en","page":"3769-3780","source":"DOI.org (Crossref)","title":"The maintenance and regeneration of the planarian excretory system are regulated by EGFR signaling","URL":"https://journals.biologists.com/dev/article/138/17/3769/44647/The-maintenance-and-regeneration-of-the-planarian","volume":"138","author":[{"family":"Rink","given":"Jochen C."},{"family":"Vu","given":"Hanh Thi-Kim"},{"family":"Alvarado","given":"Alejandro Sánchez"}],"accessed":{"date-parts":[["2025",11,8]]},"issued":{"date-parts":[["2011",9,1]]}}}],"schema":"https://github.com/citation-style-language/schema/raw/master/csl-citation.json"} </w:instrText>
      </w:r>
      <w:r w:rsidR="0089046D"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32–38</w:t>
      </w:r>
      <w:r w:rsidR="0089046D" w:rsidRPr="00644AF5">
        <w:rPr>
          <w:rFonts w:ascii="Calibri" w:hAnsi="Calibri" w:cs="Calibri"/>
          <w:color w:val="000000" w:themeColor="text1"/>
        </w:rPr>
        <w:fldChar w:fldCharType="end"/>
      </w:r>
      <w:r w:rsidR="00571EE2" w:rsidRPr="00644AF5">
        <w:rPr>
          <w:rFonts w:ascii="Calibri" w:hAnsi="Calibri" w:cs="Calibri"/>
          <w:color w:val="000000" w:themeColor="text1"/>
        </w:rPr>
        <w:t>. Th</w:t>
      </w:r>
      <w:r w:rsidR="00DB2A92" w:rsidRPr="00644AF5">
        <w:rPr>
          <w:rFonts w:ascii="Calibri" w:hAnsi="Calibri" w:cs="Calibri"/>
          <w:color w:val="000000" w:themeColor="text1"/>
        </w:rPr>
        <w:t xml:space="preserve">ese </w:t>
      </w:r>
      <w:r w:rsidR="002F71E2" w:rsidRPr="00644AF5">
        <w:rPr>
          <w:rFonts w:ascii="Calibri" w:hAnsi="Calibri" w:cs="Calibri"/>
          <w:color w:val="000000" w:themeColor="text1"/>
        </w:rPr>
        <w:t>tools enable</w:t>
      </w:r>
      <w:r w:rsidR="00571EE2" w:rsidRPr="00644AF5">
        <w:rPr>
          <w:rFonts w:ascii="Calibri" w:hAnsi="Calibri" w:cs="Calibri"/>
          <w:color w:val="000000" w:themeColor="text1"/>
        </w:rPr>
        <w:t xml:space="preserve"> </w:t>
      </w:r>
      <w:r w:rsidR="008F2A8A" w:rsidRPr="00644AF5">
        <w:rPr>
          <w:rFonts w:ascii="Calibri" w:hAnsi="Calibri" w:cs="Calibri"/>
          <w:color w:val="000000" w:themeColor="text1"/>
        </w:rPr>
        <w:t xml:space="preserve">parallel </w:t>
      </w:r>
      <w:r w:rsidRPr="00644AF5">
        <w:rPr>
          <w:rFonts w:ascii="Calibri" w:hAnsi="Calibri" w:cs="Calibri"/>
          <w:color w:val="000000" w:themeColor="text1"/>
        </w:rPr>
        <w:t xml:space="preserve">analysis </w:t>
      </w:r>
      <w:r w:rsidR="008F2A8A" w:rsidRPr="00644AF5">
        <w:rPr>
          <w:rFonts w:ascii="Calibri" w:hAnsi="Calibri" w:cs="Calibri"/>
          <w:color w:val="000000" w:themeColor="text1"/>
        </w:rPr>
        <w:t xml:space="preserve">of host and pathogen responses during infection. </w:t>
      </w:r>
    </w:p>
    <w:p w14:paraId="580494C4" w14:textId="77777777" w:rsidR="00FB428D" w:rsidRPr="00644AF5" w:rsidRDefault="00FB428D" w:rsidP="000377CA">
      <w:pPr>
        <w:pStyle w:val="NormalWeb"/>
        <w:ind w:left="0" w:firstLine="0"/>
        <w:contextualSpacing/>
        <w:jc w:val="both"/>
        <w:rPr>
          <w:rFonts w:ascii="Calibri" w:hAnsi="Calibri" w:cs="Calibri"/>
          <w:color w:val="000000" w:themeColor="text1"/>
        </w:rPr>
      </w:pPr>
    </w:p>
    <w:p w14:paraId="1DDD2091" w14:textId="4F68855A" w:rsidR="000F6AAC" w:rsidRPr="00644AF5" w:rsidRDefault="00CB2375" w:rsidP="000377CA">
      <w:pPr>
        <w:pStyle w:val="NormalWeb"/>
        <w:ind w:left="0" w:firstLine="0"/>
        <w:contextualSpacing/>
        <w:jc w:val="both"/>
        <w:rPr>
          <w:rStyle w:val="Emphasis"/>
          <w:rFonts w:ascii="Calibri" w:hAnsi="Calibri" w:cs="Calibri"/>
          <w:i w:val="0"/>
          <w:iCs w:val="0"/>
          <w:color w:val="000000" w:themeColor="text1"/>
        </w:rPr>
      </w:pPr>
      <w:r w:rsidRPr="00644AF5">
        <w:rPr>
          <w:rFonts w:ascii="Calibri" w:hAnsi="Calibri" w:cs="Calibri"/>
          <w:color w:val="000000" w:themeColor="text1"/>
        </w:rPr>
        <w:t>Several alternative</w:t>
      </w:r>
      <w:r w:rsidR="001131FD" w:rsidRPr="00644AF5">
        <w:rPr>
          <w:rFonts w:ascii="Calibri" w:hAnsi="Calibri" w:cs="Calibri"/>
          <w:color w:val="000000" w:themeColor="text1"/>
        </w:rPr>
        <w:t xml:space="preserve"> </w:t>
      </w:r>
      <w:r w:rsidR="00705E48" w:rsidRPr="00644AF5">
        <w:rPr>
          <w:rFonts w:ascii="Calibri" w:hAnsi="Calibri" w:cs="Calibri"/>
          <w:color w:val="000000" w:themeColor="text1"/>
        </w:rPr>
        <w:t>preclinical</w:t>
      </w:r>
      <w:r w:rsidR="00A23B24" w:rsidRPr="00644AF5">
        <w:rPr>
          <w:rFonts w:ascii="Calibri" w:hAnsi="Calibri" w:cs="Calibri"/>
          <w:color w:val="000000" w:themeColor="text1"/>
        </w:rPr>
        <w:t xml:space="preserve"> </w:t>
      </w:r>
      <w:r w:rsidR="004F7366" w:rsidRPr="00644AF5">
        <w:rPr>
          <w:rFonts w:ascii="Calibri" w:hAnsi="Calibri" w:cs="Calibri"/>
          <w:color w:val="000000" w:themeColor="text1"/>
        </w:rPr>
        <w:t>models</w:t>
      </w:r>
      <w:r w:rsidRPr="00644AF5">
        <w:rPr>
          <w:rFonts w:ascii="Calibri" w:hAnsi="Calibri" w:cs="Calibri"/>
          <w:color w:val="000000" w:themeColor="text1"/>
        </w:rPr>
        <w:t xml:space="preserve"> have been used</w:t>
      </w:r>
      <w:r w:rsidR="001131FD" w:rsidRPr="00644AF5">
        <w:rPr>
          <w:rFonts w:ascii="Calibri" w:hAnsi="Calibri" w:cs="Calibri"/>
          <w:color w:val="000000" w:themeColor="text1"/>
        </w:rPr>
        <w:t xml:space="preserve"> to study fungal infection</w:t>
      </w:r>
      <w:r w:rsidR="00850201" w:rsidRPr="00644AF5">
        <w:rPr>
          <w:rFonts w:ascii="Calibri" w:hAnsi="Calibri" w:cs="Calibri"/>
          <w:color w:val="000000" w:themeColor="text1"/>
        </w:rPr>
        <w:t>s</w:t>
      </w:r>
      <w:r w:rsidRPr="00644AF5">
        <w:rPr>
          <w:rFonts w:ascii="Calibri" w:hAnsi="Calibri" w:cs="Calibri"/>
          <w:color w:val="000000" w:themeColor="text1"/>
        </w:rPr>
        <w:t>. Invertebrate hosts</w:t>
      </w:r>
      <w:r w:rsidR="00A23B24" w:rsidRPr="00644AF5">
        <w:rPr>
          <w:rFonts w:ascii="Calibri" w:hAnsi="Calibri" w:cs="Calibri"/>
          <w:color w:val="000000" w:themeColor="text1"/>
        </w:rPr>
        <w:t xml:space="preserve"> such as </w:t>
      </w:r>
      <w:r w:rsidR="004F7366" w:rsidRPr="00644AF5">
        <w:rPr>
          <w:rStyle w:val="Emphasis"/>
          <w:rFonts w:ascii="Calibri" w:hAnsi="Calibri" w:cs="Calibri"/>
          <w:color w:val="000000" w:themeColor="text1"/>
        </w:rPr>
        <w:t>Galleria mellonella</w:t>
      </w:r>
      <w:r w:rsidR="00E571A2" w:rsidRPr="00644AF5">
        <w:rPr>
          <w:rStyle w:val="Emphasis"/>
          <w:rFonts w:ascii="Calibri" w:hAnsi="Calibri" w:cs="Calibri"/>
          <w:color w:val="000000" w:themeColor="text1"/>
        </w:rPr>
        <w:t xml:space="preserve"> </w:t>
      </w:r>
      <w:r w:rsidR="00E571A2" w:rsidRPr="00644AF5">
        <w:rPr>
          <w:rStyle w:val="Emphasis"/>
          <w:rFonts w:ascii="Calibri" w:hAnsi="Calibri" w:cs="Calibri"/>
          <w:i w:val="0"/>
          <w:iCs w:val="0"/>
          <w:color w:val="000000" w:themeColor="text1"/>
        </w:rPr>
        <w:t>(wax moth)</w:t>
      </w:r>
      <w:r w:rsidR="004F7366" w:rsidRPr="00644AF5">
        <w:rPr>
          <w:rFonts w:ascii="Calibri" w:hAnsi="Calibri" w:cs="Calibri"/>
          <w:color w:val="000000" w:themeColor="text1"/>
        </w:rPr>
        <w:t xml:space="preserve">, </w:t>
      </w:r>
      <w:r w:rsidR="004F7366" w:rsidRPr="00644AF5">
        <w:rPr>
          <w:rStyle w:val="Emphasis"/>
          <w:rFonts w:ascii="Calibri" w:hAnsi="Calibri" w:cs="Calibri"/>
          <w:color w:val="000000" w:themeColor="text1"/>
        </w:rPr>
        <w:t>Caenorhabditis elegans</w:t>
      </w:r>
      <w:r w:rsidR="00E571A2" w:rsidRPr="00644AF5">
        <w:rPr>
          <w:rStyle w:val="Emphasis"/>
          <w:rFonts w:ascii="Calibri" w:hAnsi="Calibri" w:cs="Calibri"/>
          <w:color w:val="000000" w:themeColor="text1"/>
        </w:rPr>
        <w:t xml:space="preserve"> </w:t>
      </w:r>
      <w:r w:rsidR="00E571A2" w:rsidRPr="00644AF5">
        <w:rPr>
          <w:rStyle w:val="Emphasis"/>
          <w:rFonts w:ascii="Calibri" w:hAnsi="Calibri" w:cs="Calibri"/>
          <w:i w:val="0"/>
          <w:iCs w:val="0"/>
          <w:color w:val="000000" w:themeColor="text1"/>
        </w:rPr>
        <w:t>(roundworm)</w:t>
      </w:r>
      <w:r w:rsidR="004F7366" w:rsidRPr="00644AF5">
        <w:rPr>
          <w:rFonts w:ascii="Calibri" w:hAnsi="Calibri" w:cs="Calibri"/>
          <w:color w:val="000000" w:themeColor="text1"/>
        </w:rPr>
        <w:t>,</w:t>
      </w:r>
      <w:r w:rsidRPr="00644AF5">
        <w:rPr>
          <w:rFonts w:ascii="Calibri" w:hAnsi="Calibri" w:cs="Calibri"/>
          <w:color w:val="000000" w:themeColor="text1"/>
        </w:rPr>
        <w:t xml:space="preserve"> and</w:t>
      </w:r>
      <w:r w:rsidR="004F7366" w:rsidRPr="00644AF5">
        <w:rPr>
          <w:rFonts w:ascii="Calibri" w:hAnsi="Calibri" w:cs="Calibri"/>
          <w:color w:val="000000" w:themeColor="text1"/>
        </w:rPr>
        <w:t xml:space="preserve"> </w:t>
      </w:r>
      <w:r w:rsidR="004F7366" w:rsidRPr="00644AF5">
        <w:rPr>
          <w:rStyle w:val="Emphasis"/>
          <w:rFonts w:ascii="Calibri" w:hAnsi="Calibri" w:cs="Calibri"/>
          <w:color w:val="000000" w:themeColor="text1"/>
        </w:rPr>
        <w:t>Drosophila melanogaster</w:t>
      </w:r>
      <w:r w:rsidR="00E571A2" w:rsidRPr="00644AF5">
        <w:rPr>
          <w:rStyle w:val="Emphasis"/>
          <w:rFonts w:ascii="Calibri" w:hAnsi="Calibri" w:cs="Calibri"/>
          <w:color w:val="000000" w:themeColor="text1"/>
        </w:rPr>
        <w:t xml:space="preserve"> </w:t>
      </w:r>
      <w:r w:rsidR="00E571A2" w:rsidRPr="00644AF5">
        <w:rPr>
          <w:rStyle w:val="Emphasis"/>
          <w:rFonts w:ascii="Calibri" w:hAnsi="Calibri" w:cs="Calibri"/>
          <w:i w:val="0"/>
          <w:iCs w:val="0"/>
          <w:color w:val="000000" w:themeColor="text1"/>
        </w:rPr>
        <w:t>(fruit fly)</w:t>
      </w:r>
      <w:r w:rsidR="004F7366" w:rsidRPr="00644AF5">
        <w:rPr>
          <w:rFonts w:ascii="Calibri" w:hAnsi="Calibri" w:cs="Calibri"/>
          <w:color w:val="000000" w:themeColor="text1"/>
        </w:rPr>
        <w:t xml:space="preserve">, </w:t>
      </w:r>
      <w:r w:rsidR="00967EA2">
        <w:rPr>
          <w:rFonts w:ascii="Calibri" w:hAnsi="Calibri" w:cs="Calibri"/>
          <w:color w:val="000000" w:themeColor="text1"/>
        </w:rPr>
        <w:t xml:space="preserve">as well as the vertebrate </w:t>
      </w:r>
      <w:r w:rsidR="00967EA2" w:rsidRPr="00967EA2">
        <w:rPr>
          <w:rFonts w:ascii="Calibri" w:hAnsi="Calibri" w:cs="Calibri"/>
          <w:i/>
          <w:iCs/>
          <w:color w:val="000000" w:themeColor="text1"/>
        </w:rPr>
        <w:t>Danio rerio</w:t>
      </w:r>
      <w:r w:rsidR="00967EA2">
        <w:rPr>
          <w:rFonts w:ascii="Calibri" w:hAnsi="Calibri" w:cs="Calibri"/>
          <w:color w:val="000000" w:themeColor="text1"/>
        </w:rPr>
        <w:t xml:space="preserve"> (zebrafish), each provides distinct experimental advantages but also has</w:t>
      </w:r>
      <w:r w:rsidR="00E86B86" w:rsidRPr="00644AF5">
        <w:rPr>
          <w:rStyle w:val="Emphasis"/>
          <w:rFonts w:ascii="Calibri" w:hAnsi="Calibri" w:cs="Calibri"/>
          <w:i w:val="0"/>
          <w:iCs w:val="0"/>
          <w:color w:val="000000" w:themeColor="text1"/>
        </w:rPr>
        <w:t xml:space="preserve"> notable</w:t>
      </w:r>
      <w:r w:rsidRPr="00644AF5">
        <w:rPr>
          <w:rStyle w:val="Emphasis"/>
          <w:rFonts w:ascii="Calibri" w:hAnsi="Calibri" w:cs="Calibri"/>
          <w:i w:val="0"/>
          <w:iCs w:val="0"/>
          <w:color w:val="000000" w:themeColor="text1"/>
        </w:rPr>
        <w:t xml:space="preserve"> </w:t>
      </w:r>
      <w:r w:rsidR="00D0037B" w:rsidRPr="00644AF5">
        <w:rPr>
          <w:rStyle w:val="Emphasis"/>
          <w:rFonts w:ascii="Calibri" w:hAnsi="Calibri" w:cs="Calibri"/>
          <w:i w:val="0"/>
          <w:iCs w:val="0"/>
          <w:color w:val="000000" w:themeColor="text1"/>
        </w:rPr>
        <w:t xml:space="preserve">limitations. These </w:t>
      </w:r>
      <w:r w:rsidR="000F6AAC" w:rsidRPr="00644AF5">
        <w:rPr>
          <w:rStyle w:val="Emphasis"/>
          <w:rFonts w:ascii="Calibri" w:hAnsi="Calibri" w:cs="Calibri"/>
          <w:i w:val="0"/>
          <w:iCs w:val="0"/>
          <w:color w:val="000000" w:themeColor="text1"/>
        </w:rPr>
        <w:t xml:space="preserve">systems </w:t>
      </w:r>
      <w:r w:rsidR="00E86B86" w:rsidRPr="00644AF5">
        <w:rPr>
          <w:rStyle w:val="Emphasis"/>
          <w:rFonts w:ascii="Calibri" w:hAnsi="Calibri" w:cs="Calibri"/>
          <w:i w:val="0"/>
          <w:iCs w:val="0"/>
          <w:color w:val="000000" w:themeColor="text1"/>
        </w:rPr>
        <w:t>often rely</w:t>
      </w:r>
      <w:r w:rsidR="00850201" w:rsidRPr="00644AF5">
        <w:rPr>
          <w:rStyle w:val="Emphasis"/>
          <w:rFonts w:ascii="Calibri" w:hAnsi="Calibri" w:cs="Calibri"/>
          <w:i w:val="0"/>
          <w:iCs w:val="0"/>
          <w:color w:val="000000" w:themeColor="text1"/>
        </w:rPr>
        <w:t xml:space="preserve"> </w:t>
      </w:r>
      <w:r w:rsidR="00EA29D1" w:rsidRPr="00644AF5">
        <w:rPr>
          <w:rStyle w:val="Emphasis"/>
          <w:rFonts w:ascii="Calibri" w:hAnsi="Calibri" w:cs="Calibri"/>
          <w:i w:val="0"/>
          <w:iCs w:val="0"/>
          <w:color w:val="000000" w:themeColor="text1"/>
        </w:rPr>
        <w:t xml:space="preserve">on </w:t>
      </w:r>
      <w:r w:rsidR="00D0037B" w:rsidRPr="00644AF5">
        <w:rPr>
          <w:rStyle w:val="Emphasis"/>
          <w:rFonts w:ascii="Calibri" w:hAnsi="Calibri" w:cs="Calibri"/>
          <w:i w:val="0"/>
          <w:iCs w:val="0"/>
          <w:color w:val="000000" w:themeColor="text1"/>
        </w:rPr>
        <w:t xml:space="preserve">survival </w:t>
      </w:r>
      <w:r w:rsidR="000F6AAC" w:rsidRPr="00644AF5">
        <w:rPr>
          <w:rStyle w:val="Emphasis"/>
          <w:rFonts w:ascii="Calibri" w:hAnsi="Calibri" w:cs="Calibri"/>
          <w:i w:val="0"/>
          <w:iCs w:val="0"/>
          <w:color w:val="000000" w:themeColor="text1"/>
        </w:rPr>
        <w:t xml:space="preserve">as the primary </w:t>
      </w:r>
      <w:r w:rsidR="00D0037B" w:rsidRPr="00644AF5">
        <w:rPr>
          <w:rStyle w:val="Emphasis"/>
          <w:rFonts w:ascii="Calibri" w:hAnsi="Calibri" w:cs="Calibri"/>
          <w:i w:val="0"/>
          <w:iCs w:val="0"/>
          <w:color w:val="000000" w:themeColor="text1"/>
        </w:rPr>
        <w:t>endpoint</w:t>
      </w:r>
      <w:r w:rsidR="00E86B86" w:rsidRPr="00644AF5">
        <w:rPr>
          <w:rStyle w:val="Emphasis"/>
          <w:rFonts w:ascii="Calibri" w:hAnsi="Calibri" w:cs="Calibri"/>
          <w:i w:val="0"/>
          <w:iCs w:val="0"/>
          <w:color w:val="000000" w:themeColor="text1"/>
        </w:rPr>
        <w:t xml:space="preserve"> because </w:t>
      </w:r>
      <w:r w:rsidR="00D0037B" w:rsidRPr="00644AF5">
        <w:rPr>
          <w:rStyle w:val="Emphasis"/>
          <w:rFonts w:ascii="Calibri" w:hAnsi="Calibri" w:cs="Calibri"/>
          <w:i w:val="0"/>
          <w:iCs w:val="0"/>
          <w:color w:val="000000" w:themeColor="text1"/>
        </w:rPr>
        <w:t>infec</w:t>
      </w:r>
      <w:r w:rsidR="00A23B24" w:rsidRPr="00644AF5">
        <w:rPr>
          <w:rStyle w:val="Emphasis"/>
          <w:rFonts w:ascii="Calibri" w:hAnsi="Calibri" w:cs="Calibri"/>
          <w:i w:val="0"/>
          <w:iCs w:val="0"/>
          <w:color w:val="000000" w:themeColor="text1"/>
        </w:rPr>
        <w:t>t</w:t>
      </w:r>
      <w:r w:rsidR="00D0037B" w:rsidRPr="00644AF5">
        <w:rPr>
          <w:rStyle w:val="Emphasis"/>
          <w:rFonts w:ascii="Calibri" w:hAnsi="Calibri" w:cs="Calibri"/>
          <w:i w:val="0"/>
          <w:iCs w:val="0"/>
          <w:color w:val="000000" w:themeColor="text1"/>
        </w:rPr>
        <w:t>ion</w:t>
      </w:r>
      <w:r w:rsidRPr="00644AF5">
        <w:rPr>
          <w:rStyle w:val="Emphasis"/>
          <w:rFonts w:ascii="Calibri" w:hAnsi="Calibri" w:cs="Calibri"/>
          <w:i w:val="0"/>
          <w:iCs w:val="0"/>
          <w:color w:val="000000" w:themeColor="text1"/>
        </w:rPr>
        <w:t xml:space="preserve">s </w:t>
      </w:r>
      <w:r w:rsidR="000F6AAC" w:rsidRPr="00644AF5">
        <w:rPr>
          <w:rStyle w:val="Emphasis"/>
          <w:rFonts w:ascii="Calibri" w:hAnsi="Calibri" w:cs="Calibri"/>
          <w:i w:val="0"/>
          <w:iCs w:val="0"/>
          <w:color w:val="000000" w:themeColor="text1"/>
        </w:rPr>
        <w:t>rapidly</w:t>
      </w:r>
      <w:r w:rsidRPr="00644AF5">
        <w:rPr>
          <w:rStyle w:val="Emphasis"/>
          <w:rFonts w:ascii="Calibri" w:hAnsi="Calibri" w:cs="Calibri"/>
          <w:i w:val="0"/>
          <w:iCs w:val="0"/>
          <w:color w:val="000000" w:themeColor="text1"/>
        </w:rPr>
        <w:t xml:space="preserve"> </w:t>
      </w:r>
      <w:r w:rsidR="00E86B86" w:rsidRPr="00644AF5">
        <w:rPr>
          <w:rStyle w:val="Emphasis"/>
          <w:rFonts w:ascii="Calibri" w:hAnsi="Calibri" w:cs="Calibri"/>
          <w:i w:val="0"/>
          <w:iCs w:val="0"/>
          <w:color w:val="000000" w:themeColor="text1"/>
        </w:rPr>
        <w:t xml:space="preserve">induce </w:t>
      </w:r>
      <w:r w:rsidRPr="00644AF5">
        <w:rPr>
          <w:rStyle w:val="Emphasis"/>
          <w:rFonts w:ascii="Calibri" w:hAnsi="Calibri" w:cs="Calibri"/>
          <w:i w:val="0"/>
          <w:iCs w:val="0"/>
          <w:color w:val="000000" w:themeColor="text1"/>
        </w:rPr>
        <w:t>host death</w:t>
      </w:r>
      <w:r w:rsidR="00D0037B" w:rsidRPr="00644AF5">
        <w:rPr>
          <w:rStyle w:val="Emphasis"/>
          <w:rFonts w:ascii="Calibri" w:hAnsi="Calibri" w:cs="Calibri"/>
          <w:i w:val="0"/>
          <w:iCs w:val="0"/>
          <w:color w:val="000000" w:themeColor="text1"/>
        </w:rPr>
        <w:t xml:space="preserve">, </w:t>
      </w:r>
      <w:r w:rsidR="00850201" w:rsidRPr="00644AF5">
        <w:rPr>
          <w:rStyle w:val="Emphasis"/>
          <w:rFonts w:ascii="Calibri" w:hAnsi="Calibri" w:cs="Calibri"/>
          <w:i w:val="0"/>
          <w:iCs w:val="0"/>
          <w:color w:val="000000" w:themeColor="text1"/>
        </w:rPr>
        <w:t>prevent</w:t>
      </w:r>
      <w:r w:rsidR="00E86B86" w:rsidRPr="00644AF5">
        <w:rPr>
          <w:rStyle w:val="Emphasis"/>
          <w:rFonts w:ascii="Calibri" w:hAnsi="Calibri" w:cs="Calibri"/>
          <w:i w:val="0"/>
          <w:iCs w:val="0"/>
          <w:color w:val="000000" w:themeColor="text1"/>
        </w:rPr>
        <w:t xml:space="preserve">ing detailed assessment of </w:t>
      </w:r>
      <w:r w:rsidR="00D0037B" w:rsidRPr="00644AF5">
        <w:rPr>
          <w:rStyle w:val="Emphasis"/>
          <w:rFonts w:ascii="Calibri" w:hAnsi="Calibri" w:cs="Calibri"/>
          <w:i w:val="0"/>
          <w:iCs w:val="0"/>
          <w:color w:val="000000" w:themeColor="text1"/>
        </w:rPr>
        <w:t>morbidity</w:t>
      </w:r>
      <w:r w:rsidR="00E86B86" w:rsidRPr="00644AF5">
        <w:rPr>
          <w:rStyle w:val="Emphasis"/>
          <w:rFonts w:ascii="Calibri" w:hAnsi="Calibri" w:cs="Calibri"/>
          <w:i w:val="0"/>
          <w:iCs w:val="0"/>
          <w:color w:val="000000" w:themeColor="text1"/>
        </w:rPr>
        <w:t>,</w:t>
      </w:r>
      <w:r w:rsidR="00D0037B" w:rsidRPr="00644AF5">
        <w:rPr>
          <w:rStyle w:val="Emphasis"/>
          <w:rFonts w:ascii="Calibri" w:hAnsi="Calibri" w:cs="Calibri"/>
          <w:i w:val="0"/>
          <w:iCs w:val="0"/>
          <w:color w:val="000000" w:themeColor="text1"/>
        </w:rPr>
        <w:t xml:space="preserve"> recovery</w:t>
      </w:r>
      <w:r w:rsidR="00E86B86" w:rsidRPr="00644AF5">
        <w:rPr>
          <w:rStyle w:val="Emphasis"/>
          <w:rFonts w:ascii="Calibri" w:hAnsi="Calibri" w:cs="Calibri"/>
          <w:i w:val="0"/>
          <w:iCs w:val="0"/>
          <w:color w:val="000000" w:themeColor="text1"/>
        </w:rPr>
        <w:t>, and multisystem responses</w:t>
      </w:r>
      <w:r w:rsidR="00D0037B" w:rsidRPr="00644AF5">
        <w:rPr>
          <w:rStyle w:val="Emphasis"/>
          <w:rFonts w:ascii="Calibri" w:hAnsi="Calibri" w:cs="Calibri"/>
          <w:i w:val="0"/>
          <w:iCs w:val="0"/>
          <w:color w:val="000000" w:themeColor="text1"/>
        </w:rPr>
        <w:t xml:space="preserve"> – </w:t>
      </w:r>
      <w:r w:rsidR="00E86B86" w:rsidRPr="00644AF5">
        <w:rPr>
          <w:rStyle w:val="Emphasis"/>
          <w:rFonts w:ascii="Calibri" w:hAnsi="Calibri" w:cs="Calibri"/>
          <w:i w:val="0"/>
          <w:iCs w:val="0"/>
          <w:color w:val="000000" w:themeColor="text1"/>
        </w:rPr>
        <w:t>features th</w:t>
      </w:r>
      <w:r w:rsidR="00850201" w:rsidRPr="00644AF5">
        <w:rPr>
          <w:rStyle w:val="Emphasis"/>
          <w:rFonts w:ascii="Calibri" w:hAnsi="Calibri" w:cs="Calibri"/>
          <w:i w:val="0"/>
          <w:iCs w:val="0"/>
          <w:color w:val="000000" w:themeColor="text1"/>
        </w:rPr>
        <w:t xml:space="preserve">at </w:t>
      </w:r>
      <w:r w:rsidR="00D0037B" w:rsidRPr="00644AF5">
        <w:rPr>
          <w:rStyle w:val="Emphasis"/>
          <w:rFonts w:ascii="Calibri" w:hAnsi="Calibri" w:cs="Calibri"/>
          <w:i w:val="0"/>
          <w:iCs w:val="0"/>
          <w:color w:val="000000" w:themeColor="text1"/>
        </w:rPr>
        <w:t>the planarian</w:t>
      </w:r>
      <w:r w:rsidRPr="00644AF5">
        <w:rPr>
          <w:rStyle w:val="Emphasis"/>
          <w:rFonts w:ascii="Calibri" w:hAnsi="Calibri" w:cs="Calibri"/>
          <w:i w:val="0"/>
          <w:iCs w:val="0"/>
          <w:color w:val="000000" w:themeColor="text1"/>
        </w:rPr>
        <w:t xml:space="preserve"> </w:t>
      </w:r>
      <w:r w:rsidR="000F6AAC" w:rsidRPr="00644AF5">
        <w:rPr>
          <w:rStyle w:val="Emphasis"/>
          <w:rFonts w:ascii="Calibri" w:hAnsi="Calibri" w:cs="Calibri"/>
          <w:i w:val="0"/>
          <w:iCs w:val="0"/>
          <w:color w:val="000000" w:themeColor="text1"/>
        </w:rPr>
        <w:t>model</w:t>
      </w:r>
      <w:r w:rsidR="00E86B86" w:rsidRPr="00644AF5">
        <w:rPr>
          <w:rStyle w:val="Emphasis"/>
          <w:rFonts w:ascii="Calibri" w:hAnsi="Calibri" w:cs="Calibri"/>
          <w:i w:val="0"/>
          <w:iCs w:val="0"/>
          <w:color w:val="000000" w:themeColor="text1"/>
        </w:rPr>
        <w:t xml:space="preserve"> readily captures</w:t>
      </w:r>
      <w:r w:rsidR="00D0037B" w:rsidRPr="00644AF5">
        <w:rPr>
          <w:rStyle w:val="Emphasis"/>
          <w:rFonts w:ascii="Calibri" w:hAnsi="Calibri" w:cs="Calibri"/>
          <w:i w:val="0"/>
          <w:iCs w:val="0"/>
          <w:color w:val="000000" w:themeColor="text1"/>
        </w:rPr>
        <w:t xml:space="preserve">. </w:t>
      </w:r>
    </w:p>
    <w:p w14:paraId="16EE65F5" w14:textId="77777777" w:rsidR="000F6AAC" w:rsidRPr="00644AF5" w:rsidRDefault="000F6AAC" w:rsidP="000377CA">
      <w:pPr>
        <w:pStyle w:val="NormalWeb"/>
        <w:ind w:left="0" w:firstLine="0"/>
        <w:contextualSpacing/>
        <w:jc w:val="both"/>
        <w:rPr>
          <w:rStyle w:val="Emphasis"/>
          <w:rFonts w:ascii="Calibri" w:hAnsi="Calibri" w:cs="Calibri"/>
          <w:i w:val="0"/>
          <w:iCs w:val="0"/>
          <w:color w:val="000000" w:themeColor="text1"/>
        </w:rPr>
      </w:pPr>
    </w:p>
    <w:p w14:paraId="10E91F88" w14:textId="55B22DE6" w:rsidR="00FB428D" w:rsidRPr="00644AF5" w:rsidRDefault="00CB2375" w:rsidP="000377CA">
      <w:pPr>
        <w:pStyle w:val="NormalWeb"/>
        <w:ind w:left="0" w:firstLine="0"/>
        <w:contextualSpacing/>
        <w:jc w:val="both"/>
        <w:rPr>
          <w:rFonts w:ascii="Calibri" w:hAnsi="Calibri" w:cs="Calibri"/>
          <w:color w:val="000000" w:themeColor="text1"/>
        </w:rPr>
      </w:pPr>
      <w:r w:rsidRPr="00644AF5">
        <w:rPr>
          <w:rStyle w:val="Emphasis"/>
          <w:rFonts w:ascii="Calibri" w:hAnsi="Calibri" w:cs="Calibri"/>
          <w:i w:val="0"/>
          <w:iCs w:val="0"/>
          <w:color w:val="000000" w:themeColor="text1"/>
        </w:rPr>
        <w:t>M</w:t>
      </w:r>
      <w:r w:rsidR="003D03F5" w:rsidRPr="00644AF5">
        <w:rPr>
          <w:rFonts w:ascii="Calibri" w:hAnsi="Calibri" w:cs="Calibri"/>
          <w:color w:val="000000" w:themeColor="text1"/>
        </w:rPr>
        <w:t>ammalian models</w:t>
      </w:r>
      <w:r w:rsidR="004F7366" w:rsidRPr="00644AF5">
        <w:rPr>
          <w:rFonts w:ascii="Calibri" w:hAnsi="Calibri" w:cs="Calibri"/>
          <w:color w:val="000000" w:themeColor="text1"/>
        </w:rPr>
        <w:t xml:space="preserve"> </w:t>
      </w:r>
      <w:r w:rsidRPr="00644AF5">
        <w:rPr>
          <w:rFonts w:ascii="Calibri" w:hAnsi="Calibri" w:cs="Calibri"/>
          <w:color w:val="000000" w:themeColor="text1"/>
        </w:rPr>
        <w:t xml:space="preserve">such as </w:t>
      </w:r>
      <w:r w:rsidR="008A65E6" w:rsidRPr="00644AF5">
        <w:rPr>
          <w:rStyle w:val="Emphasis"/>
          <w:rFonts w:ascii="Calibri" w:hAnsi="Calibri" w:cs="Calibri"/>
          <w:color w:val="000000" w:themeColor="text1"/>
        </w:rPr>
        <w:t>Mus musculus</w:t>
      </w:r>
      <w:r w:rsidR="008A65E6" w:rsidRPr="00644AF5">
        <w:rPr>
          <w:rFonts w:ascii="Calibri" w:hAnsi="Calibri" w:cs="Calibri"/>
          <w:color w:val="000000" w:themeColor="text1"/>
        </w:rPr>
        <w:t xml:space="preserve"> (mouse), </w:t>
      </w:r>
      <w:r w:rsidR="000E6F34" w:rsidRPr="00644AF5">
        <w:rPr>
          <w:rStyle w:val="Emphasis"/>
          <w:rFonts w:ascii="Calibri" w:hAnsi="Calibri" w:cs="Calibri"/>
          <w:color w:val="000000" w:themeColor="text1"/>
        </w:rPr>
        <w:t>Rattus norvegicus</w:t>
      </w:r>
      <w:r w:rsidR="000E6F34" w:rsidRPr="00644AF5">
        <w:rPr>
          <w:rFonts w:ascii="Calibri" w:hAnsi="Calibri" w:cs="Calibri"/>
          <w:color w:val="000000" w:themeColor="text1"/>
        </w:rPr>
        <w:t xml:space="preserve"> (rat), </w:t>
      </w:r>
      <w:r w:rsidR="000E6F34" w:rsidRPr="00644AF5">
        <w:rPr>
          <w:rFonts w:ascii="Calibri" w:hAnsi="Calibri" w:cs="Calibri"/>
          <w:i/>
          <w:iCs/>
          <w:color w:val="000000" w:themeColor="text1"/>
        </w:rPr>
        <w:t>Oryctolagus cuniculus</w:t>
      </w:r>
      <w:r w:rsidR="000E6F34" w:rsidRPr="00644AF5">
        <w:rPr>
          <w:rFonts w:ascii="Calibri" w:hAnsi="Calibri" w:cs="Calibri"/>
          <w:color w:val="000000" w:themeColor="text1"/>
        </w:rPr>
        <w:t xml:space="preserve"> (rabbit), and </w:t>
      </w:r>
      <w:r w:rsidR="000E6F34" w:rsidRPr="00644AF5">
        <w:rPr>
          <w:rFonts w:ascii="Calibri" w:hAnsi="Calibri" w:cs="Calibri"/>
          <w:i/>
          <w:iCs/>
          <w:color w:val="000000" w:themeColor="text1"/>
        </w:rPr>
        <w:t>Cavia porcellus</w:t>
      </w:r>
      <w:r w:rsidR="000E6F34" w:rsidRPr="00644AF5">
        <w:rPr>
          <w:rFonts w:ascii="Calibri" w:hAnsi="Calibri" w:cs="Calibri"/>
          <w:color w:val="000000" w:themeColor="text1"/>
        </w:rPr>
        <w:t xml:space="preserve"> (guinea pig)</w:t>
      </w:r>
      <w:r w:rsidR="00D0037B" w:rsidRPr="00644AF5">
        <w:rPr>
          <w:rFonts w:ascii="Calibri" w:hAnsi="Calibri" w:cs="Calibri"/>
          <w:color w:val="000000" w:themeColor="text1"/>
        </w:rPr>
        <w:t xml:space="preserve"> more closely </w:t>
      </w:r>
      <w:r w:rsidR="006920F7" w:rsidRPr="00644AF5">
        <w:rPr>
          <w:rFonts w:ascii="Calibri" w:hAnsi="Calibri" w:cs="Calibri"/>
          <w:color w:val="000000" w:themeColor="text1"/>
        </w:rPr>
        <w:t>re</w:t>
      </w:r>
      <w:r w:rsidR="008A65E6" w:rsidRPr="00644AF5">
        <w:rPr>
          <w:rFonts w:ascii="Calibri" w:hAnsi="Calibri" w:cs="Calibri"/>
          <w:color w:val="000000" w:themeColor="text1"/>
        </w:rPr>
        <w:t>capitulate</w:t>
      </w:r>
      <w:r w:rsidR="006920F7" w:rsidRPr="00644AF5">
        <w:rPr>
          <w:rFonts w:ascii="Calibri" w:hAnsi="Calibri" w:cs="Calibri"/>
          <w:color w:val="000000" w:themeColor="text1"/>
        </w:rPr>
        <w:t xml:space="preserve"> </w:t>
      </w:r>
      <w:r w:rsidR="00D0037B" w:rsidRPr="00644AF5">
        <w:rPr>
          <w:rFonts w:ascii="Calibri" w:hAnsi="Calibri" w:cs="Calibri"/>
          <w:color w:val="000000" w:themeColor="text1"/>
        </w:rPr>
        <w:t xml:space="preserve">human </w:t>
      </w:r>
      <w:r w:rsidR="000F6AAC" w:rsidRPr="00644AF5">
        <w:rPr>
          <w:rFonts w:ascii="Calibri" w:hAnsi="Calibri" w:cs="Calibri"/>
          <w:color w:val="000000" w:themeColor="text1"/>
        </w:rPr>
        <w:t xml:space="preserve">physiology </w:t>
      </w:r>
      <w:r w:rsidR="00D0037B" w:rsidRPr="00644AF5">
        <w:rPr>
          <w:rFonts w:ascii="Calibri" w:hAnsi="Calibri" w:cs="Calibri"/>
          <w:color w:val="000000" w:themeColor="text1"/>
        </w:rPr>
        <w:t xml:space="preserve">but </w:t>
      </w:r>
      <w:r w:rsidR="000F6AAC" w:rsidRPr="00644AF5">
        <w:rPr>
          <w:rFonts w:ascii="Calibri" w:hAnsi="Calibri" w:cs="Calibri"/>
          <w:color w:val="000000" w:themeColor="text1"/>
        </w:rPr>
        <w:t xml:space="preserve">are </w:t>
      </w:r>
      <w:r w:rsidR="008A65E6" w:rsidRPr="00644AF5">
        <w:rPr>
          <w:rFonts w:ascii="Calibri" w:hAnsi="Calibri" w:cs="Calibri"/>
          <w:color w:val="000000" w:themeColor="text1"/>
        </w:rPr>
        <w:t xml:space="preserve">limited </w:t>
      </w:r>
      <w:r w:rsidR="000F6AAC" w:rsidRPr="00644AF5">
        <w:rPr>
          <w:rFonts w:ascii="Calibri" w:hAnsi="Calibri" w:cs="Calibri"/>
          <w:color w:val="000000" w:themeColor="text1"/>
        </w:rPr>
        <w:t>by</w:t>
      </w:r>
      <w:r w:rsidRPr="00644AF5">
        <w:rPr>
          <w:rFonts w:ascii="Calibri" w:hAnsi="Calibri" w:cs="Calibri"/>
          <w:color w:val="000000" w:themeColor="text1"/>
        </w:rPr>
        <w:t xml:space="preserve"> </w:t>
      </w:r>
      <w:r w:rsidR="008A65E6" w:rsidRPr="00644AF5">
        <w:rPr>
          <w:rFonts w:ascii="Calibri" w:hAnsi="Calibri" w:cs="Calibri"/>
          <w:color w:val="000000" w:themeColor="text1"/>
        </w:rPr>
        <w:t xml:space="preserve">high costs, </w:t>
      </w:r>
      <w:r w:rsidR="00D0037B" w:rsidRPr="00644AF5">
        <w:rPr>
          <w:rFonts w:ascii="Calibri" w:hAnsi="Calibri" w:cs="Calibri"/>
          <w:color w:val="000000" w:themeColor="text1"/>
        </w:rPr>
        <w:t xml:space="preserve">small </w:t>
      </w:r>
      <w:r w:rsidR="008A65E6" w:rsidRPr="00644AF5">
        <w:rPr>
          <w:rFonts w:ascii="Calibri" w:hAnsi="Calibri" w:cs="Calibri"/>
          <w:color w:val="000000" w:themeColor="text1"/>
        </w:rPr>
        <w:t>cohort</w:t>
      </w:r>
      <w:r w:rsidR="00D0037B" w:rsidRPr="00644AF5">
        <w:rPr>
          <w:rFonts w:ascii="Calibri" w:hAnsi="Calibri" w:cs="Calibri"/>
          <w:color w:val="000000" w:themeColor="text1"/>
        </w:rPr>
        <w:t xml:space="preserve"> sizes, ethical and regulatory </w:t>
      </w:r>
      <w:r w:rsidR="008A65E6" w:rsidRPr="00644AF5">
        <w:rPr>
          <w:rFonts w:ascii="Calibri" w:hAnsi="Calibri" w:cs="Calibri"/>
          <w:color w:val="000000" w:themeColor="text1"/>
        </w:rPr>
        <w:t>requirements</w:t>
      </w:r>
      <w:r w:rsidR="00D0037B" w:rsidRPr="00644AF5">
        <w:rPr>
          <w:rFonts w:ascii="Calibri" w:hAnsi="Calibri" w:cs="Calibri"/>
          <w:color w:val="000000" w:themeColor="text1"/>
        </w:rPr>
        <w:t xml:space="preserve">, </w:t>
      </w:r>
      <w:r w:rsidR="000F6AAC" w:rsidRPr="00644AF5">
        <w:rPr>
          <w:rFonts w:ascii="Calibri" w:hAnsi="Calibri" w:cs="Calibri"/>
          <w:color w:val="000000" w:themeColor="text1"/>
        </w:rPr>
        <w:t>and</w:t>
      </w:r>
      <w:r w:rsidR="00EA29D1" w:rsidRPr="00644AF5">
        <w:rPr>
          <w:rFonts w:ascii="Calibri" w:hAnsi="Calibri" w:cs="Calibri"/>
          <w:color w:val="000000" w:themeColor="text1"/>
        </w:rPr>
        <w:t xml:space="preserve"> </w:t>
      </w:r>
      <w:r w:rsidR="00D0037B" w:rsidRPr="00644AF5">
        <w:rPr>
          <w:rFonts w:ascii="Calibri" w:hAnsi="Calibri" w:cs="Calibri"/>
          <w:color w:val="000000" w:themeColor="text1"/>
        </w:rPr>
        <w:t xml:space="preserve">the </w:t>
      </w:r>
      <w:r w:rsidR="008A65E6" w:rsidRPr="00644AF5">
        <w:rPr>
          <w:rFonts w:ascii="Calibri" w:hAnsi="Calibri" w:cs="Calibri"/>
          <w:color w:val="000000" w:themeColor="text1"/>
        </w:rPr>
        <w:t>challenge</w:t>
      </w:r>
      <w:r w:rsidR="000F6AAC" w:rsidRPr="00644AF5">
        <w:rPr>
          <w:rFonts w:ascii="Calibri" w:hAnsi="Calibri" w:cs="Calibri"/>
          <w:color w:val="000000" w:themeColor="text1"/>
        </w:rPr>
        <w:t xml:space="preserve"> </w:t>
      </w:r>
      <w:r w:rsidR="00D0037B" w:rsidRPr="00644AF5">
        <w:rPr>
          <w:rFonts w:ascii="Calibri" w:hAnsi="Calibri" w:cs="Calibri"/>
          <w:color w:val="000000" w:themeColor="text1"/>
        </w:rPr>
        <w:t xml:space="preserve">of </w:t>
      </w:r>
      <w:r w:rsidR="000F6AAC" w:rsidRPr="00644AF5">
        <w:rPr>
          <w:rFonts w:ascii="Calibri" w:hAnsi="Calibri" w:cs="Calibri"/>
          <w:color w:val="000000" w:themeColor="text1"/>
        </w:rPr>
        <w:t xml:space="preserve">distinguishing </w:t>
      </w:r>
      <w:r w:rsidR="00D0037B" w:rsidRPr="00644AF5">
        <w:rPr>
          <w:rFonts w:ascii="Calibri" w:hAnsi="Calibri" w:cs="Calibri"/>
          <w:color w:val="000000" w:themeColor="text1"/>
        </w:rPr>
        <w:t xml:space="preserve">innate from adaptive immune responses. Moreover, </w:t>
      </w:r>
      <w:r w:rsidR="00C31B1E" w:rsidRPr="00644AF5">
        <w:rPr>
          <w:rFonts w:ascii="Calibri" w:hAnsi="Calibri" w:cs="Calibri"/>
          <w:color w:val="000000" w:themeColor="text1"/>
        </w:rPr>
        <w:t>decades</w:t>
      </w:r>
      <w:r w:rsidR="00D0037B" w:rsidRPr="00644AF5">
        <w:rPr>
          <w:rFonts w:ascii="Calibri" w:hAnsi="Calibri" w:cs="Calibri"/>
          <w:color w:val="000000" w:themeColor="text1"/>
        </w:rPr>
        <w:t xml:space="preserve"> of fungal pathogenesis </w:t>
      </w:r>
      <w:r w:rsidR="008A65E6" w:rsidRPr="00644AF5">
        <w:rPr>
          <w:rFonts w:ascii="Calibri" w:hAnsi="Calibri" w:cs="Calibri"/>
          <w:color w:val="000000" w:themeColor="text1"/>
        </w:rPr>
        <w:t>research</w:t>
      </w:r>
      <w:r w:rsidR="00D0037B" w:rsidRPr="00644AF5">
        <w:rPr>
          <w:rFonts w:ascii="Calibri" w:hAnsi="Calibri" w:cs="Calibri"/>
          <w:color w:val="000000" w:themeColor="text1"/>
        </w:rPr>
        <w:t xml:space="preserve"> in mice have focused </w:t>
      </w:r>
      <w:r w:rsidR="000F6AAC" w:rsidRPr="00644AF5">
        <w:rPr>
          <w:rFonts w:ascii="Calibri" w:hAnsi="Calibri" w:cs="Calibri"/>
          <w:color w:val="000000" w:themeColor="text1"/>
        </w:rPr>
        <w:t>pr</w:t>
      </w:r>
      <w:r w:rsidR="008A65E6" w:rsidRPr="00644AF5">
        <w:rPr>
          <w:rFonts w:ascii="Calibri" w:hAnsi="Calibri" w:cs="Calibri"/>
          <w:color w:val="000000" w:themeColor="text1"/>
        </w:rPr>
        <w:t>edominantly</w:t>
      </w:r>
      <w:r w:rsidR="000F6AAC" w:rsidRPr="00644AF5">
        <w:rPr>
          <w:rFonts w:ascii="Calibri" w:hAnsi="Calibri" w:cs="Calibri"/>
          <w:color w:val="000000" w:themeColor="text1"/>
        </w:rPr>
        <w:t xml:space="preserve"> </w:t>
      </w:r>
      <w:r w:rsidR="00D0037B" w:rsidRPr="00644AF5">
        <w:rPr>
          <w:rFonts w:ascii="Calibri" w:hAnsi="Calibri" w:cs="Calibri"/>
          <w:color w:val="000000" w:themeColor="text1"/>
        </w:rPr>
        <w:t>on late-stage systemic infection</w:t>
      </w:r>
      <w:r w:rsidR="008922AE"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{"citationID":"OUZCVPEq","properties":{"formattedCitation":"\\super 39\\uc0\\u8211{}43\\nosupersub{}","plainCitation":"39–43","noteIndex":0},"citationItems":[{"id":106,"uris":["http://zotero.org/users/11181870/items/XCH7T3WU"],"itemData":{"id":106,"type":"chapter","container-title":"Sepsis","DOI":"10.1007/978-1-0716-1488-4_7","ISBN":"978-1-0716-1487-7","language":"en","note":"collection-title: Methods in Molecular Biology","page":"63-74","publisher":"Springer US","publisher-place":"New York, NY","source":"DOI.org (Crossref)","title":"A Mouse Model of Candidiasis","URL":"https://link.springer.com/10.1007/978-1-0716-1488-4_7","volume":"2321","editor":[{"family":"Walker","given":"Wendy E."}],"author":[{"family":"Fajardo","given":"Pilar"},{"family":"Cuenda","given":"Ana"},{"family":"Sanz-Ezquerro","given":"Juan José"}],"accessed":{"date-parts":[["2024",11,7]]},"issued":{"date-parts":[["2021"]]}}},{"id":194,"uris":["http://zotero.org/users/11181870/items/HM8KA58Y"],"itemData":{"id":194,"type":"article-journal","abstract":"Patients with candidemia often experience endophthalmitis, a blinding infectious eye disease. However, the pathogenesis of\n              Candida\n              endophthalmitis is not well understood.\n            \n          , \n            ABSTRACT\n            \n              Candida albicans\n              is the leading cause of endogenous fungal endophthalmitis; however, its pathobiology studies are limited. Moreover, the contribution of host factors in the pathogenesis of\n              Candida\n              endophthalmitis remains unclear. In the present study, we developed a murine model of\n              C. albicans\n              endogenous endophthalmitis and investigated the molecular pathobiology of ocular candidiasis and blood-retinal barrier permeability. Our data show that intravenous injection of\n              C. albicans\n              in immunocompetent C57BL/6 mice led to endogenous endophthalmitis without causing mortality, and\n              C. albicans\n              was detected in the eyes at 3 days postinfection and persisted for up to 10 days. The intraocular presence of\n              C. albicans\n              coincided with a decrease in retinal function and increased expression of inflammatory mediators (tumor necrosis factor alpha [TNF-α], interleukin 1β [IL-1β], MIP2, and KC) and antimicrobial peptides (human β-defensins [hBDs] and LL37) in mouse retinal tissue.\n              C. albicans\n              infection disrupted the blood-retinal barrier (BRB) by decreasing the expression of tight junction (ZO-1) and adherens junction (E-cadherin, N/R-cadherin) proteins.\n              In vitro\n              studies using human retinal pigment epithelial (ARPE-19) cells showed time-dependent activation of eIF2α, extracellular signal-related kinase (ERK), and NF-κB signaling and decreased activity of AMP-activated protein kinase (AMPK) leading to the induction of an inflammatory response upon\n              C. albicans\n              infection. Moreover,\n              C. albicans\n              -infected cells exhibited increased cellular permeability coinciding with a reduction in cellular junction proteins. Overall, our study provides new insight into the molecular pathogenesis of\n              C. albicans\n              endogenous endophthalmitis. Furthermore, the experimental models developed in the study can be used to identify newer therapeutic targets or test the efficacy of drugs to treat and prevent fungal endophthalmitis.\n            \n            \n              IMPORTANCE\n              Patients with candidemia often experience endophthalmitis, a blinding infectious eye disease. However, the pathogenesis of\n              Candida\n              endophthalmitis is not well understood. Here, using\n              in vivo\n              and\n              in vitro\n              experimental models, we describe events leading to the invasion of\n              Candida\n              into the eye. We show that\n              Candida\n              from the systemic circulation disrupts the protective blood-retinal barrier and causes endogenous endophthalmitis. Our study highlights an important role of retinal pigment epithelial cells in evoking innate inflammatory and antimicrobial responses toward\n              C. albicans\n              infection. This study allows a better understanding of the pathobiology of fungal endophthalmitis, which can lead to the discovery of novel therapeutic targets to treat ocular fungal infections.","container-title":"Microbiology Spectrum","DOI":"10.1128/spectrum.01658-22","ISSN":"2165-0497","issue":"4","journalAbbreviation":"Microbiol Spectr","language":"en","page":"e01658-22","source":"DOI.org (Crossref)","title":"Systemic Candida albicans Infection in Mice Causes Endogenous Endophthalmitis via Breaching the Outer Blood-Retinal Barrier","URL":"https://journals.asm.org/doi/10.1128/spectrum.01658-22","volume":"10","author":[{"family":"Singh","given":"Sneha"},{"family":"Singh","given":"Sukhvinder"},{"family":"Kumar","given":"Ashok"}],"editor":[{"family":"Krysan","given":"Damian J."}],"accessed":{"date-parts":[["2025",8,25]]},"issued":{"date-parts":[["2022",8,31]]}}},{"id":196,"uris":["http://zotero.org/users/11181870/items/TMC3CCHV"],"itemData":{"id":196,"type":"article-journal","container-title":"The Journal of Infectious Diseases","DOI":"10.1086/430952","ISSN":"0022-1899, 1537-6613","issue":"2","journalAbbreviation":"J INFECT DIS","language":"en","page":"336-343","source":"DOI.org (Crossref)","title":"Mice with Disseminated Candidiasis Die of Progressive Sepsis","URL":"https://academic.oup.com/jid/article-lookup/doi/10.1086/430952","volume":"192","author":[{"family":"Spellberg","given":"Brad"},{"family":"Ibrahim","given":"Ashraf S."},{"family":"Edwards Jr.","given":"John E."},{"family":"Filler","given":"Scott G."}],"accessed":{"date-parts":[["2025",8,25]]},"issued":{"date-parts":[["2005",7,15]]}}},{"id":197,"uris":["http://zotero.org/users/11181870/items/CVCKVFFV"],"itemData":{"id":197,"type":"chapter","container-title":"Antifungal Agents","ISBN":"978-1-59259-943-1","language":"en","note":"DOI: 10.1385/1-59259-943-5:111\nDOI: 10.1385/1-59259-943-5:111","page":"111-128","publisher":"Humana Press","publisher-place":"New Jersey","source":"DOI.org (Crossref)","title":"Use of an Animal Model of Disseminated Candidiasis in the Evaluation of Antifungal Therapy","URL":"http://link.springer.com/10.1385/1-59259-943-5:111","volume":"118","container-author":[{"family":"Ernst","given":"Erika J."},{"family":"Rogers","given":"P. David"}],"author":[{"family":"Andes","given":"David"}],"accessed":{"date-parts":[["2025",8,25]]},"issued":{"date-parts":[["2005",6,1]]}}},{"id":198,"uris":["http://zotero.org/users/11181870/items/VMCUPHJB"],"itemData":{"id":198,"type":"article-journal","abstract":"ABSTRACT\n            \n              We examined the relationship between host survival and renal and splenic immune responses in a murine model of hematogenously disseminated candidiasis. Male BALB/c mice were infected via tail vein injection with wild-type\n              C. albicans\n              or with an isogenic, Δ\n              efg1/\n              Δ\n              efg1\n              hypha-deficient mutant. Host survival, organ fungal burden, intracellular cytokine content of splenic and kidney lymphocytes, and whole-organ cytokine profiles were determined. Wild-type\n              C. albicans\n              induced type 2 splenocyte responses with both nonfatal and fatal inocula. In the kidney, conversely, wild-type inocula causing no or low mortality induced type 1 responses and 100% fatal inocula induced type 2 or interleukin-10 (IL-10)-dominant responses. Hypha-deficient mutant\n              C. albicans\n              caused no or low mortality while inducing type 1 responses in both the spleen and kidney. To our knowledge, this is the first demonstration that host survival during systemic infection correlates with the type of immune response engendered in a nonlymphoid, parenchymal organ and not with the response in the spleen. Furthermore, the results provide in vivo confirmation that hyphal formation by\n              C. albicans\n              induces type 2 or IL-10-dominant host responses in tissues.","container-title":"Infection and Immunity","DOI":"10.1128/IAI.71.10.5756-5764.2003","ISSN":"0019-9567, 1098-5522","issue":"10","journalAbbreviation":"Infect Immun","language":"en","page":"5756-5764","source":"DOI.org (Crossref)","title":"Parenchymal Organ, and Not Splenic, Immunity Correlates with Host Survival during Disseminated Candidiasis","URL":"https://journals.asm.org/doi/10.1128/IAI.71.10.5756-5764.2003","volume":"71","author":[{"family":"Spellberg","given":"Brad"},{"family":"Johnston","given":"Douglas"},{"family":"Phan","given":"Quynh Trang"},{"family":"Edwards","given":"John E."},{"family":"French","given":"Samuel W."},{"family":"Ibrahim","given":"Ashraf S."},{"family":"Filler","given":"Scott G."}],"accessed":{"date-parts":[["2025",8,25]]},"issued":{"date-parts":[["2003",10]]}}}],"schema":"https://github.com/citation-style-language/schema/raw/master/csl-citation.json"} </w:instrText>
      </w:r>
      <w:r w:rsidR="008922AE"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39–43</w:t>
      </w:r>
      <w:r w:rsidR="008922AE" w:rsidRPr="00644AF5">
        <w:rPr>
          <w:rFonts w:ascii="Calibri" w:hAnsi="Calibri" w:cs="Calibri"/>
          <w:color w:val="000000" w:themeColor="text1"/>
        </w:rPr>
        <w:fldChar w:fldCharType="end"/>
      </w:r>
      <w:r w:rsidR="00D0037B" w:rsidRPr="00644AF5">
        <w:rPr>
          <w:rFonts w:ascii="Calibri" w:hAnsi="Calibri" w:cs="Calibri"/>
          <w:color w:val="000000" w:themeColor="text1"/>
        </w:rPr>
        <w:t xml:space="preserve">, </w:t>
      </w:r>
      <w:r w:rsidRPr="00644AF5">
        <w:rPr>
          <w:rFonts w:ascii="Calibri" w:hAnsi="Calibri" w:cs="Calibri"/>
          <w:color w:val="000000" w:themeColor="text1"/>
        </w:rPr>
        <w:t xml:space="preserve">often </w:t>
      </w:r>
      <w:r w:rsidR="00D0037B" w:rsidRPr="00644AF5">
        <w:rPr>
          <w:rFonts w:ascii="Calibri" w:hAnsi="Calibri" w:cs="Calibri"/>
          <w:color w:val="000000" w:themeColor="text1"/>
        </w:rPr>
        <w:t xml:space="preserve">overlooking </w:t>
      </w:r>
      <w:r w:rsidR="000F6AAC" w:rsidRPr="00644AF5">
        <w:rPr>
          <w:rFonts w:ascii="Calibri" w:hAnsi="Calibri" w:cs="Calibri"/>
          <w:color w:val="000000" w:themeColor="text1"/>
        </w:rPr>
        <w:t xml:space="preserve">early events such as </w:t>
      </w:r>
      <w:r w:rsidR="00D0037B" w:rsidRPr="00644AF5">
        <w:rPr>
          <w:rFonts w:ascii="Calibri" w:hAnsi="Calibri" w:cs="Calibri"/>
          <w:color w:val="000000" w:themeColor="text1"/>
        </w:rPr>
        <w:t xml:space="preserve">epithelial barrier disruption and mucosal </w:t>
      </w:r>
      <w:r w:rsidR="00C31B1E" w:rsidRPr="00644AF5">
        <w:rPr>
          <w:rFonts w:ascii="Calibri" w:hAnsi="Calibri" w:cs="Calibri"/>
          <w:color w:val="000000" w:themeColor="text1"/>
        </w:rPr>
        <w:t>overgrowth</w:t>
      </w:r>
      <w:r w:rsidRPr="00644AF5">
        <w:rPr>
          <w:rFonts w:ascii="Calibri" w:hAnsi="Calibri" w:cs="Calibri"/>
          <w:color w:val="000000" w:themeColor="text1"/>
        </w:rPr>
        <w:t xml:space="preserve"> – the </w:t>
      </w:r>
      <w:r w:rsidR="008A65E6" w:rsidRPr="00644AF5">
        <w:rPr>
          <w:rFonts w:ascii="Calibri" w:hAnsi="Calibri" w:cs="Calibri"/>
          <w:color w:val="000000" w:themeColor="text1"/>
        </w:rPr>
        <w:t xml:space="preserve">most common </w:t>
      </w:r>
      <w:r w:rsidR="00C31B1E" w:rsidRPr="00644AF5">
        <w:rPr>
          <w:rFonts w:ascii="Calibri" w:hAnsi="Calibri" w:cs="Calibri"/>
          <w:color w:val="000000" w:themeColor="text1"/>
        </w:rPr>
        <w:t>routes of fungal disease</w:t>
      </w:r>
      <w:r w:rsidR="000552DD" w:rsidRPr="00644AF5">
        <w:rPr>
          <w:rFonts w:ascii="Calibri" w:hAnsi="Calibri" w:cs="Calibri"/>
          <w:color w:val="000000" w:themeColor="text1"/>
        </w:rPr>
        <w:t xml:space="preserve"> initiation</w:t>
      </w:r>
      <w:r w:rsidR="00443CEB" w:rsidRPr="00644AF5">
        <w:rPr>
          <w:rFonts w:ascii="Calibri" w:hAnsi="Calibri" w:cs="Calibri"/>
          <w:color w:val="000000" w:themeColor="text1"/>
        </w:rPr>
        <w:t xml:space="preserve"> in humans</w:t>
      </w:r>
      <w:r w:rsidR="00A22175"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{"citationID":"FYAOzxBt","properties":{"formattedCitation":"\\super 44\\uc0\\u8211{}46\\nosupersub{}","plainCitation":"44–46","noteIndex":0},"citationItems":[{"id":202,"uris":["http://zotero.org/users/11181870/items/R6WM64CT"],"itemData":{"id":202,"type":"post-weblog","title":"Clinical Overview of Invasive Candidiasis","URL":"https://www.cdc.gov/candidiasis/hcp/clinical-overview/index.html","author":[{"literal":"Health Care Providers"}],"accessed":{"date-parts":[["2025",8,25]]},"issued":{"date-parts":[["2024",4,24]]}}},{"id":203,"uris":["http://zotero.org/users/11181870/items/Z9L3WK3J"],"itemData":{"id":203,"type":"chapter","page":"Chapter 74","publisher":"University of Texas Medical Branch at Galveston","title":"Medical Microbiology. 4th edition","URL":"https://www.ncbi.nlm.nih.gov/books/NBK8103/","author":[{"literal":"Kobayashi, GS"}],"accessed":{"date-parts":[["2025",8,25]]},"issued":{"date-parts":[["1996"]]}}},{"id":204,"uris":["http://zotero.org/users/11181870/items/5YTNXP6Q"],"itemData":{"id":204,"type":"article-journal","container-title":"Nature Reviews Disease Primers","DOI":"10.1038/nrdp.2018.26","ISSN":"2056-676X","issue":"1","journalAbbreviation":"Nat Rev Dis Primers","language":"en","page":"18026","source":"DOI.org (Crossref)","title":"Invasive candidiasis","URL":"https://www.nature.com/articles/nrdp201826","volume":"4","author":[{"family":"Pappas","given":"Peter G."},{"family":"Lionakis","given":"Michail S."},{"family":"Arendrup","given":"Maiken Cavling"},{"family":"Ostrosky-Zeichner","given":"Luis"},{"family":"Kullberg","given":"Bart Jan"}],"accessed":{"date-parts":[["2025",8,25]]},"issued":{"date-parts":[["2018",5,11]]}}}],"schema":"https://github.com/citation-style-language/schema/raw/master/csl-citation.json"} </w:instrText>
      </w:r>
      <w:r w:rsidR="00A22175"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44–46</w:t>
      </w:r>
      <w:r w:rsidR="00A22175" w:rsidRPr="00644AF5">
        <w:rPr>
          <w:rFonts w:ascii="Calibri" w:hAnsi="Calibri" w:cs="Calibri"/>
          <w:color w:val="000000" w:themeColor="text1"/>
        </w:rPr>
        <w:fldChar w:fldCharType="end"/>
      </w:r>
      <w:r w:rsidR="00C31B1E" w:rsidRPr="00644AF5">
        <w:rPr>
          <w:rFonts w:ascii="Calibri" w:hAnsi="Calibri" w:cs="Calibri"/>
          <w:color w:val="000000" w:themeColor="text1"/>
        </w:rPr>
        <w:t>.</w:t>
      </w:r>
    </w:p>
    <w:p w14:paraId="1A480467" w14:textId="77777777" w:rsidR="00E923D0" w:rsidRPr="00644AF5" w:rsidRDefault="00E923D0" w:rsidP="000377CA">
      <w:pPr>
        <w:pStyle w:val="NormalWeb"/>
        <w:ind w:left="0" w:firstLine="0"/>
        <w:contextualSpacing/>
        <w:jc w:val="both"/>
        <w:rPr>
          <w:rFonts w:ascii="Calibri" w:hAnsi="Calibri" w:cs="Calibri"/>
          <w:color w:val="000000" w:themeColor="text1"/>
        </w:rPr>
      </w:pPr>
    </w:p>
    <w:p w14:paraId="4B53F31C" w14:textId="21F53167" w:rsidR="00F77133" w:rsidRPr="00644AF5" w:rsidRDefault="0076211A" w:rsidP="000377CA">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Studying host-pathogen interactions is therefore essential for understanding the biological processes that underlie fungal virulence, host defense, and disease progression. Invasive fungal infections represent an escalating global threat, with multiple species now exhibiting resistance to all major antifungal drug classes. More than </w:t>
      </w:r>
      <w:r w:rsidR="00967EA2">
        <w:rPr>
          <w:rFonts w:ascii="Calibri" w:hAnsi="Calibri" w:cs="Calibri"/>
          <w:color w:val="000000" w:themeColor="text1"/>
        </w:rPr>
        <w:t>1</w:t>
      </w:r>
      <w:r w:rsidRPr="00644AF5">
        <w:rPr>
          <w:rFonts w:ascii="Calibri" w:hAnsi="Calibri" w:cs="Calibri"/>
          <w:color w:val="000000" w:themeColor="text1"/>
        </w:rPr>
        <w:t xml:space="preserve"> billion people are estimated to be affected by fungal infections, and factors such as climate change, widespread antimicrobial use, and increasing number of immunocompromised individuals are accelerating the emergence of </w:t>
      </w:r>
      <w:r w:rsidRPr="00644AF5">
        <w:rPr>
          <w:rFonts w:ascii="Calibri" w:hAnsi="Calibri" w:cs="Calibri"/>
          <w:color w:val="000000" w:themeColor="text1"/>
        </w:rPr>
        <w:lastRenderedPageBreak/>
        <w:t>antifungal-resistant pathogens</w:t>
      </w:r>
      <w:r w:rsidR="00F77133" w:rsidRPr="00644AF5">
        <w:rPr>
          <w:rFonts w:ascii="Calibri" w:hAnsi="Calibri" w:cs="Calibri"/>
          <w:color w:val="000000" w:themeColor="text1"/>
        </w:rPr>
        <w:fldChar w:fldCharType="begin"/>
      </w:r>
      <w:r w:rsidR="008F6CCF" w:rsidRPr="00644AF5">
        <w:rPr>
          <w:rFonts w:ascii="Calibri" w:hAnsi="Calibri" w:cs="Calibri"/>
          <w:color w:val="000000" w:themeColor="text1"/>
        </w:rPr>
        <w:instrText xml:space="preserve"> ADDIN ZOTERO_ITEM CSL_CITATION {"citationID":"dMQYtDzd","properties":{"formattedCitation":"\\super 47\\uc0\\u8211{}50\\nosupersub{}","plainCitation":"47–50","noteIndex":0},"citationItems":[{"id":207,"uris":["http://zotero.org/users/11181870/items/WAWS5Q4H"],"itemData":{"id":207,"type":"article-journal","container-title":"Nature Microbiology","DOI":"10.1038/s41564-025-02055-y","ISSN":"2058-5276","issue":"8","journalAbbreviation":"Nat Microbiol","language":"en","page":"1804-1815","source":"DOI.org (Crossref)","title":"Evolution of antifungal resistance in the environment","URL":"https://www.nature.com/articles/s41564-025-02055-y","volume":"10","author":[{"family":"Van Rhijn","given":"Norman"},{"family":"Rhodes","given":"Johanna"}],"accessed":{"date-parts":[["2025",8,25]]},"issued":{"date-parts":[["2025",7,29]]}}},{"id":208,"uris":["http://zotero.org/users/11181870/items/2KLKUZPC"],"itemData":{"id":208,"type":"article-journal","container-title":"Nature Reviews Microbiology","DOI":"10.1038/s41579-024-01062-w","ISSN":"1740-1526, 1740-1534","issue":"11","journalAbbreviation":"Nat Rev Microbiol","language":"en","page":"687-704","source":"DOI.org (Crossref)","title":"The pathobiology of human fungal infections","URL":"https://www.nature.com/articles/s41579-024-01062-w","volume":"22","author":[{"family":"Brown","given":"Gordon D."},{"family":"Ballou","given":"Elizabeth R."},{"family":"Bates","given":"Steven"},{"family":"Bignell","given":"Elaine M."},{"family":"Borman","given":"Andrew M."},{"family":"Brand","given":"Alexandra C."},{"family":"Brown","given":"Alistair J. P."},{"family":"Coelho","given":"Carolina"},{"family":"Cook","given":"Peter C."},{"family":"Farrer","given":"Rhys A."},{"family":"Govender","given":"Nelesh P."},{"family":"Gow","given":"Neil A. R."},{"family":"Hope","given":"William"},{"family":"Hoving","given":"J. Claire"},{"family":"Dangarembizi","given":"Rachael"},{"family":"Harrison","given":"Thomas S."},{"family":"Johnson","given":"Elizabeth M."},{"family":"Mukaremera","given":"Liliane"},{"family":"Ramsdale","given":"Mark"},{"family":"Thornton","given":"Christopher R."},{"family":"Usher","given":"Jane"},{"family":"Warris","given":"Adilia"},{"family":"Wilson","given":"Duncan"}],"accessed":{"date-parts":[["2025",8,25]]},"issued":{"date-parts":[["2024",11]]}}},{"id":209,"uris":["http://zotero.org/users/11181870/items/ZBYXYUVZ"],"itemData":{"id":209,"type":"article-journal","abstract":"Antifungal resistance is a growing concern as it poses a significant threat to public health. Fungal infections are a significant cause of morbidity and mortality, especially in immunocompromised individuals. The limited number of antifungal agents and the emergence of resistance have led to a critical need to understand the mechanisms of antifungal drug resistance. This review provides an overview of the importance of antifungal resistance, the classes of antifungal agents, and their mode of action. It highlights the molecular mechanisms of antifungal drug resistance, including alterations in drug modification, activation, and availability. In addition, the review discusses the response to drugs via the regulation of multidrug efflux systems and antifungal drug–target interactions. We emphasize the importance of understanding the molecular mechanisms of antifungal drug resistance to develop effective strategies to combat the emergence of resistance and highlight the need for continued research to identify new targets for antifungal drug development and explore alternative therapeutic options to overcome resistance. Overall, an understanding of antifungal drug resistance and its mechanisms will be indispensable for the field of antifungal drug development and clinical management of fungal infections.","container-title":"Journal of Fungi","DOI":"10.3390/jof9050565","ISSN":"2309-608X","issue":"5","journalAbbreviation":"JoF","language":"en","license":"https://creativecommons.org/licenses/by/4.0/","page":"565","source":"DOI.org (Crossref)","title":"Fungal Drug Response and Antimicrobial Resistance","URL":"https://www.mdpi.com/2309-608X/9/5/565","volume":"9","author":[{"family":"Osset-Trénor","given":"Paloma"},{"family":"Pascual-Ahuir","given":"Amparo"},{"family":"Proft","given":"Markus"}],"accessed":{"date-parts":[["2025",8,25]]},"issued":{"date-parts":[["2023",5,12]]}}},{"id":211,"uris":["http://zotero.org/users/11181870/items/LWGWP5WS"],"itemData":{"id":211,"type":"article-journal","container-title":"Trends in Microbiology","DOI":"10.1016/j.tim.2024.08.003","ISSN":"0966842X","issue":"1","journalAbbreviation":"Trends in Microbiology","language":"en","page":"112-129","source":"DOI.org (Crossref)","title":"Environmental microbiome, human fungal pathogens, and antimicrobial resistance","URL":"https://linkinghub.elsevier.com/retrieve/pii/S0966842X24002154","volume":"33","author":[{"family":"Yan","given":"Zhen-Zhen"},{"family":"Hu","given":"Hang-Wei"},{"family":"Xiong","given":"Chao"},{"family":"Peleg","given":"Anton Y."},{"family":"Chen","given":"Qing-Lin"},{"family":"Sáez-Sandino","given":"Tadeo"},{"family":"Maestre","given":"Fernando"},{"family":"Delgado-Baquerizo","given":"Manuel"},{"family":"Singh","given":"Brajesh K."}],"accessed":{"date-parts":[["2025",8,25]]},"issued":{"date-parts":[["2025",1]]}}}],"schema":"https://github.com/citation-style-language/schema/raw/master/csl-citation.json"} </w:instrText>
      </w:r>
      <w:r w:rsidR="00F77133" w:rsidRPr="00644AF5">
        <w:rPr>
          <w:rFonts w:ascii="Calibri" w:hAnsi="Calibri" w:cs="Calibri"/>
          <w:color w:val="000000" w:themeColor="text1"/>
        </w:rPr>
        <w:fldChar w:fldCharType="separate"/>
      </w:r>
      <w:r w:rsidR="00C67BE2" w:rsidRPr="00644AF5">
        <w:rPr>
          <w:rFonts w:ascii="Calibri" w:eastAsia="Calibri" w:hAnsi="Calibri" w:cs="Calibri"/>
          <w:color w:val="000000" w:themeColor="text1"/>
          <w:vertAlign w:val="superscript"/>
        </w:rPr>
        <w:t>47–50</w:t>
      </w:r>
      <w:r w:rsidR="00F77133" w:rsidRPr="00644AF5">
        <w:rPr>
          <w:rFonts w:ascii="Calibri" w:hAnsi="Calibri" w:cs="Calibri"/>
          <w:color w:val="000000" w:themeColor="text1"/>
        </w:rPr>
        <w:fldChar w:fldCharType="end"/>
      </w:r>
      <w:r w:rsidR="00F77133" w:rsidRPr="00644AF5">
        <w:rPr>
          <w:rFonts w:ascii="Calibri" w:hAnsi="Calibri" w:cs="Calibri"/>
          <w:color w:val="000000" w:themeColor="text1"/>
        </w:rPr>
        <w:t xml:space="preserve">. </w:t>
      </w:r>
      <w:r w:rsidRPr="00644AF5">
        <w:rPr>
          <w:rFonts w:ascii="Calibri" w:hAnsi="Calibri" w:cs="Calibri"/>
          <w:color w:val="000000" w:themeColor="text1"/>
        </w:rPr>
        <w:t xml:space="preserve">Understanding how pathogenic fungi colonize and </w:t>
      </w:r>
      <w:r w:rsidR="00967EA2">
        <w:rPr>
          <w:rFonts w:ascii="Calibri" w:hAnsi="Calibri" w:cs="Calibri"/>
          <w:color w:val="000000" w:themeColor="text1"/>
        </w:rPr>
        <w:t>interact with their hosts is critical for developing new preventive</w:t>
      </w:r>
      <w:r w:rsidRPr="00644AF5">
        <w:rPr>
          <w:rFonts w:ascii="Calibri" w:hAnsi="Calibri" w:cs="Calibri"/>
          <w:color w:val="000000" w:themeColor="text1"/>
        </w:rPr>
        <w:t xml:space="preserve"> and therapeutic strategies.</w:t>
      </w:r>
    </w:p>
    <w:p w14:paraId="37F99F3C" w14:textId="77777777" w:rsidR="001E423D" w:rsidRPr="00644AF5" w:rsidRDefault="001E423D" w:rsidP="000377CA">
      <w:pPr>
        <w:ind w:left="0" w:firstLine="0"/>
        <w:contextualSpacing/>
        <w:jc w:val="both"/>
        <w:rPr>
          <w:rFonts w:ascii="Calibri" w:hAnsi="Calibri" w:cs="Calibri"/>
          <w:color w:val="000000" w:themeColor="text1"/>
        </w:rPr>
      </w:pPr>
    </w:p>
    <w:p w14:paraId="613AFD04" w14:textId="735A64AC" w:rsidR="00386F66" w:rsidRPr="00644AF5" w:rsidRDefault="00967EA2" w:rsidP="000377CA">
      <w:pPr>
        <w:pStyle w:val="NormalWeb"/>
        <w:ind w:left="0" w:firstLine="0"/>
        <w:contextualSpacing/>
        <w:jc w:val="both"/>
        <w:rPr>
          <w:rFonts w:ascii="Calibri" w:hAnsi="Calibri" w:cs="Calibri"/>
          <w:color w:val="000000" w:themeColor="text1"/>
        </w:rPr>
      </w:pPr>
      <w:r w:rsidRPr="00967EA2">
        <w:rPr>
          <w:rFonts w:ascii="Calibri" w:hAnsi="Calibri" w:cs="Calibri"/>
          <w:color w:val="000000" w:themeColor="text1"/>
        </w:rPr>
        <w:t>The following describes</w:t>
      </w:r>
      <w:r w:rsidR="00B850DD" w:rsidRPr="00644AF5">
        <w:rPr>
          <w:rFonts w:ascii="Calibri" w:hAnsi="Calibri" w:cs="Calibri"/>
          <w:color w:val="000000" w:themeColor="text1"/>
        </w:rPr>
        <w:t xml:space="preserve"> a</w:t>
      </w:r>
      <w:r w:rsidR="00152E37" w:rsidRPr="00644AF5">
        <w:rPr>
          <w:rFonts w:ascii="Calibri" w:hAnsi="Calibri" w:cs="Calibri"/>
          <w:color w:val="000000" w:themeColor="text1"/>
        </w:rPr>
        <w:t xml:space="preserve"> revised </w:t>
      </w:r>
      <w:r w:rsidR="000F6AAC" w:rsidRPr="00644AF5">
        <w:rPr>
          <w:rFonts w:ascii="Calibri" w:hAnsi="Calibri" w:cs="Calibri"/>
          <w:color w:val="000000" w:themeColor="text1"/>
        </w:rPr>
        <w:t xml:space="preserve">and standardized </w:t>
      </w:r>
      <w:r w:rsidR="00152E37" w:rsidRPr="00644AF5">
        <w:rPr>
          <w:rFonts w:ascii="Calibri" w:hAnsi="Calibri" w:cs="Calibri"/>
          <w:color w:val="000000" w:themeColor="text1"/>
        </w:rPr>
        <w:t xml:space="preserve">systemic </w:t>
      </w:r>
      <w:r w:rsidR="000F6AAC" w:rsidRPr="00644AF5">
        <w:rPr>
          <w:rFonts w:ascii="Calibri" w:hAnsi="Calibri" w:cs="Calibri"/>
          <w:color w:val="000000" w:themeColor="text1"/>
        </w:rPr>
        <w:t xml:space="preserve">infection </w:t>
      </w:r>
      <w:r w:rsidR="00B850DD" w:rsidRPr="00644AF5">
        <w:rPr>
          <w:rFonts w:ascii="Calibri" w:hAnsi="Calibri" w:cs="Calibri"/>
          <w:color w:val="000000" w:themeColor="text1"/>
        </w:rPr>
        <w:t xml:space="preserve">protocol </w:t>
      </w:r>
      <w:r w:rsidR="000F6AAC" w:rsidRPr="00644AF5">
        <w:rPr>
          <w:rFonts w:ascii="Calibri" w:hAnsi="Calibri" w:cs="Calibri"/>
          <w:color w:val="000000" w:themeColor="text1"/>
        </w:rPr>
        <w:t>for</w:t>
      </w:r>
      <w:r w:rsidR="00B850DD" w:rsidRPr="00644AF5">
        <w:rPr>
          <w:rFonts w:ascii="Calibri" w:hAnsi="Calibri" w:cs="Calibri"/>
          <w:color w:val="000000" w:themeColor="text1"/>
        </w:rPr>
        <w:t xml:space="preserve"> </w:t>
      </w:r>
      <w:r w:rsidR="00B850DD" w:rsidRPr="00644AF5">
        <w:rPr>
          <w:rStyle w:val="Emphasis"/>
          <w:rFonts w:ascii="Calibri" w:hAnsi="Calibri" w:cs="Calibri"/>
          <w:color w:val="000000" w:themeColor="text1"/>
        </w:rPr>
        <w:t>S. mediterranea</w:t>
      </w:r>
      <w:r w:rsidR="000F6AAC" w:rsidRPr="00644AF5">
        <w:rPr>
          <w:rFonts w:ascii="Calibri" w:hAnsi="Calibri" w:cs="Calibri"/>
          <w:color w:val="000000" w:themeColor="text1"/>
        </w:rPr>
        <w:t>-</w:t>
      </w:r>
      <w:r w:rsidR="00B850DD" w:rsidRPr="00644AF5">
        <w:rPr>
          <w:rFonts w:ascii="Calibri" w:hAnsi="Calibri" w:cs="Calibri"/>
          <w:i/>
          <w:iCs/>
          <w:color w:val="000000" w:themeColor="text1"/>
        </w:rPr>
        <w:t>C. albicans</w:t>
      </w:r>
      <w:r w:rsidR="000F6AAC" w:rsidRPr="00644AF5">
        <w:rPr>
          <w:rFonts w:ascii="Calibri" w:hAnsi="Calibri" w:cs="Calibri"/>
          <w:i/>
          <w:iCs/>
          <w:color w:val="000000" w:themeColor="text1"/>
        </w:rPr>
        <w:t xml:space="preserve"> </w:t>
      </w:r>
      <w:r w:rsidR="000F6AAC" w:rsidRPr="00644AF5">
        <w:rPr>
          <w:rFonts w:ascii="Calibri" w:hAnsi="Calibri" w:cs="Calibri"/>
          <w:color w:val="000000" w:themeColor="text1"/>
        </w:rPr>
        <w:t>interactions</w:t>
      </w:r>
      <w:r w:rsidR="00B850DD" w:rsidRPr="00644AF5">
        <w:rPr>
          <w:rFonts w:ascii="Calibri" w:hAnsi="Calibri" w:cs="Calibri"/>
          <w:color w:val="000000" w:themeColor="text1"/>
        </w:rPr>
        <w:t xml:space="preserve">, designed to </w:t>
      </w:r>
      <w:r w:rsidR="000F6AAC" w:rsidRPr="00644AF5">
        <w:rPr>
          <w:rFonts w:ascii="Calibri" w:hAnsi="Calibri" w:cs="Calibri"/>
          <w:color w:val="000000" w:themeColor="text1"/>
        </w:rPr>
        <w:t xml:space="preserve">promote reproducibility and </w:t>
      </w:r>
      <w:r w:rsidR="00BE6883" w:rsidRPr="00644AF5">
        <w:rPr>
          <w:rFonts w:ascii="Calibri" w:hAnsi="Calibri" w:cs="Calibri"/>
          <w:color w:val="000000" w:themeColor="text1"/>
        </w:rPr>
        <w:t>to enable</w:t>
      </w:r>
      <w:r w:rsidR="002C3F6C" w:rsidRPr="00644AF5">
        <w:rPr>
          <w:rFonts w:ascii="Calibri" w:hAnsi="Calibri" w:cs="Calibri"/>
          <w:color w:val="000000" w:themeColor="text1"/>
        </w:rPr>
        <w:t xml:space="preserve"> </w:t>
      </w:r>
      <w:r w:rsidR="00B850DD" w:rsidRPr="00644AF5">
        <w:rPr>
          <w:rFonts w:ascii="Calibri" w:hAnsi="Calibri" w:cs="Calibri"/>
          <w:color w:val="000000" w:themeColor="text1"/>
        </w:rPr>
        <w:t xml:space="preserve">systematic </w:t>
      </w:r>
      <w:r w:rsidR="00AE724A" w:rsidRPr="00644AF5">
        <w:rPr>
          <w:rFonts w:ascii="Calibri" w:hAnsi="Calibri" w:cs="Calibri"/>
          <w:color w:val="000000" w:themeColor="text1"/>
        </w:rPr>
        <w:t xml:space="preserve">investigation </w:t>
      </w:r>
      <w:r w:rsidR="00B850DD" w:rsidRPr="00644AF5">
        <w:rPr>
          <w:rFonts w:ascii="Calibri" w:hAnsi="Calibri" w:cs="Calibri"/>
          <w:color w:val="000000" w:themeColor="text1"/>
        </w:rPr>
        <w:t xml:space="preserve">of fungal pathogenesis and host defense mechanisms. </w:t>
      </w:r>
      <w:r w:rsidR="00222623">
        <w:rPr>
          <w:rFonts w:ascii="Calibri" w:hAnsi="Calibri" w:cs="Calibri"/>
          <w:color w:val="000000" w:themeColor="text1"/>
        </w:rPr>
        <w:t>The original protocol was followed in prior publications</w:t>
      </w:r>
      <w:r w:rsidR="00222623" w:rsidRPr="00644AF5">
        <w:rPr>
          <w:rFonts w:ascii="Calibri" w:hAnsi="Calibri" w:cs="Calibri"/>
          <w:color w:val="000000" w:themeColor="text1"/>
        </w:rPr>
        <w:fldChar w:fldCharType="begin"/>
      </w:r>
      <w:r w:rsidR="008F64F7">
        <w:rPr>
          <w:rFonts w:ascii="Calibri" w:hAnsi="Calibri" w:cs="Calibri"/>
          <w:color w:val="000000" w:themeColor="text1"/>
        </w:rPr>
        <w:instrText xml:space="preserve"> ADDIN ZOTERO_ITEM CSL_CITATION {"citationID":"BQbW0Lfx","properties":{"formattedCitation":"\\super 22\\uc0\\u8211{}24\\nosupersub{}","plainCitation":"22–24","noteIndex":0},"citationItems":[{"id":6,"uris":["http://zotero.org/users/11181870/items/PTDFTGE8"],"itemData":{"id":6,"type":"article-journal","container-title":"Developmental &amp; Comparative Immunology","DOI":"10.1016/j.dci.2018.12.005","ISSN":"0145305X","journalAbbreviation":"Developmental &amp; Comparative Immunology","language":"en","page":"18-27","source":"DOI.org (Crossref)","title":"The planarian Schmidtea mediterranea is a new model to study host-pathogen interactions during fungal infections","URL":"https://linkinghub.elsevier.com/retrieve/pii/S0145305X18304828","volume":"93","author":[{"family":"Maciel","given":"Eli Isael"},{"family":"Jiang","given":"Cen"},{"family":"Barghouth","given":"Paul G."},{"family":"Nobile","given":"Clarissa J."},{"family":"Oviedo","given":"Néstor J."}],"accessed":{"date-parts":[["2024",10,6]]},"issued":{"date-parts":[["2019",4]]}}},{"id":10,"uris":["http://zotero.org/users/11181870/items/KNI267Q3"],"itemData":{"id":10,"type":"article-journal","abstract":"Candida albicans\n              is one of the most common fungal pathogens of humans. Prior work introduced the planarian\n              Schmidtea mediterranea\n              as a new model system to study the host response to fungal infection at the organismal level. In the current study, we analyzed host–pathogen changes that occurred\n              in situ\n              during early infection with\n              C. albicans\n              . We found that the transcription factor Bcr1 and its downstream adhesin Als3 are required for\n              C. albicans\n              to adhere to and colonize the planarian epithelial surface, and that adherence of\n              C. albicans\n              triggers a multi-system host response that is mediated by the Dectin signaling pathway. This infection response is characterized by two peaks of stem cell divisions and transcriptional changes in differentiated tissues including the nervous and the excretory systems. This response bears some resemblance to a wound-like response to physical injury; however, it takes place without visible tissue damage and it engages a distinct set of progenitor cells. Overall, we identified two\n              C. albicans\n              proteins that mediate epithelial infection of planarians and a comprehensive host response facilitated by diverse tissues to effectively clear the infection.","container-title":"Frontiers in Microbiology","DOI":"10.3389/fmicb.2020.629526","ISSN":"1664-302X","journalAbbreviation":"Front. Microbiol.","page":"629526","source":"DOI.org (Crossref)","title":"Epithelial Infection With Candida albicans Elicits a Multi-System Response in Planarians","URL":"https://www.frontiersin.org/articles/10.3389/fmicb.2020.629526/full","volume":"11","author":[{"family":"Maciel","given":"Eli Isael"},{"family":"Valle Arevalo","given":"Ashley"},{"family":"Ziman","given":"Benjamin"},{"family":"Nobile","given":"Clarissa J."},{"family":"Oviedo","given":"Néstor J."}],"accessed":{"date-parts":[["2024",10,6]]},"issued":{"date-parts":[["2021",1,14]]}}},{"id":128,"uris":["http://zotero.org/users/11181870/items/M37JYDSL"],"itemData":{"id":128,"type":"chapter","container-title":"Schmidtea Mediterranea","DOI":"10.1007/978-1-0716-3275-8_14","ISBN":"978-1-0716-3274-1","language":"en","note":"collection-title: Methods in Molecular Biology","page":"231-244","publisher":"Springer US","publisher-place":"New York, NY","source":"DOI.org (Crossref)","title":"A Planarian Model System to Study Host-Pathogen Interactions","URL":"https://link.springer.com/10.1007/978-1-0716-3275-8_14","volume":"2680","editor":[{"family":"Gentile","given":"Luca"}],"author":[{"family":"Maciel","given":"Eli Isael"},{"family":"Valle Arevalo","given":"Ashley"},{"family":"Nobile","given":"Clarissa J."},{"family":"Oviedo","given":"Néstor J."}],"accessed":{"date-parts":[["2025",3,31]]},"issued":{"date-parts":[["2023"]]}}}],"schema":"https://github.com/citation-style-language/schema/raw/master/csl-citation.json"} </w:instrText>
      </w:r>
      <w:r w:rsidR="00222623" w:rsidRPr="00644AF5">
        <w:rPr>
          <w:rFonts w:ascii="Calibri" w:hAnsi="Calibri" w:cs="Calibri"/>
          <w:color w:val="000000" w:themeColor="text1"/>
        </w:rPr>
        <w:fldChar w:fldCharType="separate"/>
      </w:r>
      <w:r w:rsidR="00222623" w:rsidRPr="00644AF5">
        <w:rPr>
          <w:rFonts w:ascii="Calibri" w:eastAsia="Calibri" w:hAnsi="Calibri" w:cs="Calibri"/>
          <w:color w:val="000000" w:themeColor="text1"/>
          <w:vertAlign w:val="superscript"/>
        </w:rPr>
        <w:t>22–24</w:t>
      </w:r>
      <w:r w:rsidR="00222623" w:rsidRPr="00644AF5">
        <w:rPr>
          <w:rFonts w:ascii="Calibri" w:hAnsi="Calibri" w:cs="Calibri"/>
          <w:color w:val="000000" w:themeColor="text1"/>
        </w:rPr>
        <w:fldChar w:fldCharType="end"/>
      </w:r>
      <w:r w:rsidR="00222623">
        <w:rPr>
          <w:rFonts w:ascii="Calibri" w:hAnsi="Calibri" w:cs="Calibri"/>
          <w:color w:val="000000" w:themeColor="text1"/>
        </w:rPr>
        <w:t xml:space="preserve">. </w:t>
      </w:r>
      <w:r w:rsidR="00386F66" w:rsidRPr="00644AF5">
        <w:rPr>
          <w:rFonts w:ascii="Calibri" w:hAnsi="Calibri" w:cs="Calibri"/>
          <w:b/>
          <w:bCs/>
          <w:color w:val="000000" w:themeColor="text1"/>
        </w:rPr>
        <w:t>Table 1</w:t>
      </w:r>
      <w:r w:rsidR="00386F66" w:rsidRPr="00644AF5">
        <w:rPr>
          <w:rFonts w:ascii="Calibri" w:hAnsi="Calibri" w:cs="Calibri"/>
          <w:color w:val="000000" w:themeColor="text1"/>
        </w:rPr>
        <w:t xml:space="preserve"> summarizes the </w:t>
      </w:r>
      <w:r w:rsidR="002C3F6C" w:rsidRPr="00644AF5">
        <w:rPr>
          <w:rFonts w:ascii="Calibri" w:hAnsi="Calibri" w:cs="Calibri"/>
          <w:color w:val="000000" w:themeColor="text1"/>
        </w:rPr>
        <w:t>key</w:t>
      </w:r>
      <w:r w:rsidR="00386F66" w:rsidRPr="00644AF5">
        <w:rPr>
          <w:rFonts w:ascii="Calibri" w:hAnsi="Calibri" w:cs="Calibri"/>
          <w:color w:val="000000" w:themeColor="text1"/>
        </w:rPr>
        <w:t xml:space="preserve"> updates </w:t>
      </w:r>
      <w:r w:rsidR="002C3F6C" w:rsidRPr="00644AF5">
        <w:rPr>
          <w:rFonts w:ascii="Calibri" w:hAnsi="Calibri" w:cs="Calibri"/>
          <w:color w:val="000000" w:themeColor="text1"/>
        </w:rPr>
        <w:t>inc</w:t>
      </w:r>
      <w:r w:rsidR="00A02EEF" w:rsidRPr="00644AF5">
        <w:rPr>
          <w:rFonts w:ascii="Calibri" w:hAnsi="Calibri" w:cs="Calibri"/>
          <w:color w:val="000000" w:themeColor="text1"/>
        </w:rPr>
        <w:t>orporate</w:t>
      </w:r>
      <w:r w:rsidR="002C3F6C" w:rsidRPr="00644AF5">
        <w:rPr>
          <w:rFonts w:ascii="Calibri" w:hAnsi="Calibri" w:cs="Calibri"/>
          <w:color w:val="000000" w:themeColor="text1"/>
        </w:rPr>
        <w:t xml:space="preserve">d </w:t>
      </w:r>
      <w:r w:rsidR="00386F66" w:rsidRPr="00644AF5">
        <w:rPr>
          <w:rFonts w:ascii="Calibri" w:hAnsi="Calibri" w:cs="Calibri"/>
          <w:color w:val="000000" w:themeColor="text1"/>
        </w:rPr>
        <w:t>in</w:t>
      </w:r>
      <w:r w:rsidR="00A02EEF" w:rsidRPr="00644AF5">
        <w:rPr>
          <w:rFonts w:ascii="Calibri" w:hAnsi="Calibri" w:cs="Calibri"/>
          <w:color w:val="000000" w:themeColor="text1"/>
        </w:rPr>
        <w:t>to</w:t>
      </w:r>
      <w:r w:rsidR="00386F66" w:rsidRPr="00644AF5">
        <w:rPr>
          <w:rFonts w:ascii="Calibri" w:hAnsi="Calibri" w:cs="Calibri"/>
          <w:color w:val="000000" w:themeColor="text1"/>
        </w:rPr>
        <w:t xml:space="preserve"> this revised</w:t>
      </w:r>
      <w:r w:rsidR="00222623">
        <w:rPr>
          <w:rFonts w:ascii="Calibri" w:hAnsi="Calibri" w:cs="Calibri"/>
          <w:color w:val="000000" w:themeColor="text1"/>
        </w:rPr>
        <w:t xml:space="preserve"> version</w:t>
      </w:r>
      <w:r w:rsidR="00CC7755">
        <w:rPr>
          <w:rFonts w:ascii="Calibri" w:hAnsi="Calibri" w:cs="Calibri"/>
          <w:color w:val="000000" w:themeColor="text1"/>
        </w:rPr>
        <w:t>, includ</w:t>
      </w:r>
      <w:r w:rsidR="00222623">
        <w:rPr>
          <w:rFonts w:ascii="Calibri" w:hAnsi="Calibri" w:cs="Calibri"/>
          <w:color w:val="000000" w:themeColor="text1"/>
        </w:rPr>
        <w:t xml:space="preserve">ing improvements to </w:t>
      </w:r>
      <w:r w:rsidR="00CC7755">
        <w:rPr>
          <w:rFonts w:ascii="Calibri" w:hAnsi="Calibri" w:cs="Calibri"/>
          <w:color w:val="000000" w:themeColor="text1"/>
        </w:rPr>
        <w:t xml:space="preserve">fungal inoculation </w:t>
      </w:r>
      <w:r w:rsidR="00222623">
        <w:rPr>
          <w:rFonts w:ascii="Calibri" w:hAnsi="Calibri" w:cs="Calibri"/>
          <w:color w:val="000000" w:themeColor="text1"/>
        </w:rPr>
        <w:t>procedures</w:t>
      </w:r>
      <w:r w:rsidR="00CC7755">
        <w:rPr>
          <w:rFonts w:ascii="Calibri" w:hAnsi="Calibri" w:cs="Calibri"/>
          <w:color w:val="000000" w:themeColor="text1"/>
        </w:rPr>
        <w:t xml:space="preserve">, </w:t>
      </w:r>
      <w:r w:rsidR="00222623">
        <w:rPr>
          <w:rFonts w:ascii="Calibri" w:hAnsi="Calibri" w:cs="Calibri"/>
          <w:color w:val="000000" w:themeColor="text1"/>
        </w:rPr>
        <w:t xml:space="preserve">reduced </w:t>
      </w:r>
      <w:r w:rsidR="00CC7755">
        <w:rPr>
          <w:rFonts w:ascii="Calibri" w:hAnsi="Calibri" w:cs="Calibri"/>
          <w:color w:val="000000" w:themeColor="text1"/>
        </w:rPr>
        <w:t xml:space="preserve">well volumes, </w:t>
      </w:r>
      <w:r w:rsidR="00222623">
        <w:rPr>
          <w:rFonts w:ascii="Calibri" w:hAnsi="Calibri" w:cs="Calibri"/>
          <w:color w:val="000000" w:themeColor="text1"/>
        </w:rPr>
        <w:t xml:space="preserve">defined </w:t>
      </w:r>
      <w:r w:rsidR="00CC7755">
        <w:rPr>
          <w:rFonts w:ascii="Calibri" w:hAnsi="Calibri" w:cs="Calibri"/>
          <w:color w:val="000000" w:themeColor="text1"/>
        </w:rPr>
        <w:t xml:space="preserve">animal inclusion criteria, </w:t>
      </w:r>
      <w:r w:rsidR="00222623">
        <w:rPr>
          <w:rFonts w:ascii="Calibri" w:hAnsi="Calibri" w:cs="Calibri"/>
          <w:color w:val="000000" w:themeColor="text1"/>
        </w:rPr>
        <w:t xml:space="preserve">determination of </w:t>
      </w:r>
      <w:r w:rsidR="00CC7755">
        <w:rPr>
          <w:rFonts w:ascii="Calibri" w:hAnsi="Calibri" w:cs="Calibri"/>
          <w:color w:val="000000" w:themeColor="text1"/>
        </w:rPr>
        <w:t>infectious and lethal dose</w:t>
      </w:r>
      <w:r w:rsidR="00222623">
        <w:rPr>
          <w:rFonts w:ascii="Calibri" w:hAnsi="Calibri" w:cs="Calibri"/>
          <w:color w:val="000000" w:themeColor="text1"/>
        </w:rPr>
        <w:t>s</w:t>
      </w:r>
      <w:r w:rsidR="00CC7755">
        <w:rPr>
          <w:rFonts w:ascii="Calibri" w:hAnsi="Calibri" w:cs="Calibri"/>
          <w:color w:val="000000" w:themeColor="text1"/>
        </w:rPr>
        <w:t xml:space="preserve">, and </w:t>
      </w:r>
      <w:r w:rsidR="00222623">
        <w:rPr>
          <w:rFonts w:ascii="Calibri" w:hAnsi="Calibri" w:cs="Calibri"/>
          <w:color w:val="000000" w:themeColor="text1"/>
        </w:rPr>
        <w:t xml:space="preserve">updated </w:t>
      </w:r>
      <w:r w:rsidR="00CC7755">
        <w:rPr>
          <w:rFonts w:ascii="Calibri" w:hAnsi="Calibri" w:cs="Calibri"/>
          <w:color w:val="000000" w:themeColor="text1"/>
        </w:rPr>
        <w:t>animal husbandry recommendations</w:t>
      </w:r>
      <w:r w:rsidR="00386F66" w:rsidRPr="00644AF5">
        <w:rPr>
          <w:rFonts w:ascii="Calibri" w:hAnsi="Calibri" w:cs="Calibri"/>
          <w:color w:val="000000" w:themeColor="text1"/>
        </w:rPr>
        <w:t>.</w:t>
      </w:r>
      <w:r>
        <w:rPr>
          <w:rFonts w:ascii="Calibri" w:hAnsi="Calibri" w:cs="Calibri"/>
          <w:color w:val="000000" w:themeColor="text1"/>
        </w:rPr>
        <w:t xml:space="preserve"> </w:t>
      </w:r>
      <w:r w:rsidRPr="00967EA2">
        <w:rPr>
          <w:rFonts w:ascii="Calibri" w:hAnsi="Calibri" w:cs="Calibri"/>
          <w:color w:val="000000" w:themeColor="text1"/>
        </w:rPr>
        <w:t xml:space="preserve">This workflow provides detailed guidance for culturing </w:t>
      </w:r>
      <w:r w:rsidRPr="00967EA2">
        <w:rPr>
          <w:rFonts w:ascii="Calibri" w:hAnsi="Calibri" w:cs="Calibri"/>
          <w:i/>
          <w:iCs/>
          <w:color w:val="000000" w:themeColor="text1"/>
        </w:rPr>
        <w:t>C. albicans</w:t>
      </w:r>
      <w:r w:rsidRPr="00967EA2">
        <w:rPr>
          <w:rFonts w:ascii="Calibri" w:hAnsi="Calibri" w:cs="Calibri"/>
          <w:color w:val="000000" w:themeColor="text1"/>
        </w:rPr>
        <w:t>, infecting planarians</w:t>
      </w:r>
      <w:r w:rsidR="00222623">
        <w:rPr>
          <w:rFonts w:ascii="Calibri" w:hAnsi="Calibri" w:cs="Calibri"/>
          <w:color w:val="000000" w:themeColor="text1"/>
        </w:rPr>
        <w:t xml:space="preserve"> through</w:t>
      </w:r>
      <w:r w:rsidRPr="00967EA2">
        <w:rPr>
          <w:rFonts w:ascii="Calibri" w:hAnsi="Calibri" w:cs="Calibri"/>
          <w:color w:val="000000" w:themeColor="text1"/>
        </w:rPr>
        <w:t xml:space="preserve"> soaking exposure, and assessing fungal virulence and host responses using qualitative and quantitative readouts under symptomatic and lethal-dose conditions</w:t>
      </w:r>
      <w:r w:rsidR="00C56836">
        <w:rPr>
          <w:rFonts w:ascii="Calibri" w:hAnsi="Calibri" w:cs="Calibri"/>
          <w:color w:val="000000" w:themeColor="text1"/>
        </w:rPr>
        <w:t xml:space="preserve"> </w:t>
      </w:r>
      <w:r w:rsidR="000377CA">
        <w:rPr>
          <w:rFonts w:ascii="Calibri" w:hAnsi="Calibri" w:cs="Calibri"/>
          <w:color w:val="000000" w:themeColor="text1"/>
        </w:rPr>
        <w:t>(</w:t>
      </w:r>
      <w:r w:rsidR="000377CA" w:rsidRPr="000377CA">
        <w:rPr>
          <w:rFonts w:ascii="Calibri" w:hAnsi="Calibri" w:cs="Calibri"/>
          <w:b/>
          <w:bCs/>
          <w:color w:val="000000" w:themeColor="text1"/>
        </w:rPr>
        <w:t>Figure 1</w:t>
      </w:r>
      <w:r w:rsidR="000377CA">
        <w:rPr>
          <w:rFonts w:ascii="Calibri" w:hAnsi="Calibri" w:cs="Calibri"/>
          <w:color w:val="000000" w:themeColor="text1"/>
        </w:rPr>
        <w:t>)</w:t>
      </w:r>
      <w:r w:rsidRPr="00967EA2">
        <w:rPr>
          <w:rFonts w:ascii="Calibri" w:hAnsi="Calibri" w:cs="Calibri"/>
          <w:color w:val="000000" w:themeColor="text1"/>
        </w:rPr>
        <w:t>.</w:t>
      </w:r>
      <w:r w:rsidR="008136BB">
        <w:rPr>
          <w:rFonts w:ascii="Calibri" w:hAnsi="Calibri" w:cs="Calibri"/>
          <w:color w:val="000000" w:themeColor="text1"/>
        </w:rPr>
        <w:t xml:space="preserve"> </w:t>
      </w:r>
      <w:r w:rsidR="008136BB" w:rsidRPr="008136BB">
        <w:rPr>
          <w:rFonts w:ascii="Calibri" w:hAnsi="Calibri" w:cs="Calibri"/>
          <w:color w:val="000000" w:themeColor="text1"/>
        </w:rPr>
        <w:t xml:space="preserve">The optimized procedures presented here incorporate variables empirically identified as key determinants of infection dynamics and host outcomes, </w:t>
      </w:r>
      <w:r w:rsidR="00222623">
        <w:rPr>
          <w:rFonts w:ascii="Calibri" w:hAnsi="Calibri" w:cs="Calibri"/>
          <w:color w:val="000000" w:themeColor="text1"/>
        </w:rPr>
        <w:t xml:space="preserve">thereby </w:t>
      </w:r>
      <w:r w:rsidR="008136BB" w:rsidRPr="008136BB">
        <w:rPr>
          <w:rFonts w:ascii="Calibri" w:hAnsi="Calibri" w:cs="Calibri"/>
          <w:color w:val="000000" w:themeColor="text1"/>
        </w:rPr>
        <w:t>improving reproducibility and enabling systematic assessment of host–pathogen interactions.</w:t>
      </w:r>
    </w:p>
    <w:p w14:paraId="0841DDF6" w14:textId="77777777" w:rsidR="009F25A0" w:rsidRPr="00644AF5" w:rsidRDefault="009F25A0" w:rsidP="000377CA">
      <w:pPr>
        <w:ind w:left="0" w:firstLine="0"/>
        <w:jc w:val="both"/>
        <w:rPr>
          <w:rFonts w:ascii="Calibri" w:hAnsi="Calibri" w:cs="Calibri"/>
          <w:color w:val="000000" w:themeColor="text1"/>
        </w:rPr>
      </w:pPr>
    </w:p>
    <w:p w14:paraId="53C6EC41" w14:textId="407A7802" w:rsidR="005239AC" w:rsidRPr="00644AF5" w:rsidRDefault="196BB11C" w:rsidP="000377CA">
      <w:pPr>
        <w:ind w:left="0" w:firstLine="0"/>
        <w:contextualSpacing/>
        <w:rPr>
          <w:rFonts w:ascii="Calibri" w:hAnsi="Calibri" w:cs="Calibri"/>
          <w:color w:val="000000" w:themeColor="text1"/>
        </w:rPr>
      </w:pPr>
      <w:r w:rsidRPr="00644AF5">
        <w:rPr>
          <w:rFonts w:ascii="Calibri" w:hAnsi="Calibri" w:cs="Calibri"/>
          <w:b/>
          <w:bCs/>
          <w:color w:val="000000" w:themeColor="text1"/>
        </w:rPr>
        <w:t>PROTOCOL:</w:t>
      </w:r>
    </w:p>
    <w:p w14:paraId="022DB908" w14:textId="77C9D498" w:rsidR="008A4A18" w:rsidRPr="00644AF5" w:rsidRDefault="00A56236" w:rsidP="000377CA">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This protocol </w:t>
      </w:r>
      <w:r w:rsidR="005B2384" w:rsidRPr="00644AF5">
        <w:rPr>
          <w:rFonts w:ascii="Calibri" w:hAnsi="Calibri" w:cs="Calibri"/>
          <w:color w:val="000000" w:themeColor="text1"/>
        </w:rPr>
        <w:t xml:space="preserve">builds on </w:t>
      </w:r>
      <w:r w:rsidRPr="00644AF5">
        <w:rPr>
          <w:rFonts w:ascii="Calibri" w:hAnsi="Calibri" w:cs="Calibri"/>
          <w:color w:val="000000" w:themeColor="text1"/>
        </w:rPr>
        <w:t>our previous methods</w:t>
      </w:r>
      <w:r w:rsidR="00222623" w:rsidRPr="00644AF5">
        <w:rPr>
          <w:rFonts w:ascii="Calibri" w:hAnsi="Calibri" w:cs="Calibri"/>
          <w:color w:val="000000" w:themeColor="text1"/>
        </w:rPr>
        <w:fldChar w:fldCharType="begin"/>
      </w:r>
      <w:r w:rsidR="008F64F7">
        <w:rPr>
          <w:rFonts w:ascii="Calibri" w:hAnsi="Calibri" w:cs="Calibri"/>
          <w:color w:val="000000" w:themeColor="text1"/>
        </w:rPr>
        <w:instrText xml:space="preserve"> ADDIN ZOTERO_ITEM CSL_CITATION {"citationID":"6rIH6zXw","properties":{"formattedCitation":"\\super 22\\uc0\\u8211{}24\\nosupersub{}","plainCitation":"22–24","noteIndex":0},"citationItems":[{"id":6,"uris":["http://zotero.org/users/11181870/items/PTDFTGE8"],"itemData":{"id":6,"type":"article-journal","container-title":"Developmental &amp; Comparative Immunology","DOI":"10.1016/j.dci.2018.12.005","ISSN":"0145305X","journalAbbreviation":"Developmental &amp; Comparative Immunology","language":"en","page":"18-27","source":"DOI.org (Crossref)","title":"The planarian Schmidtea mediterranea is a new model to study host-pathogen interactions during fungal infections","URL":"https://linkinghub.elsevier.com/retrieve/pii/S0145305X18304828","volume":"93","author":[{"family":"Maciel","given":"Eli Isael"},{"family":"Jiang","given":"Cen"},{"family":"Barghouth","given":"Paul G."},{"family":"Nobile","given":"Clarissa J."},{"family":"Oviedo","given":"Néstor J."}],"accessed":{"date-parts":[["2024",10,6]]},"issued":{"date-parts":[["2019",4]]}}},{"id":10,"uris":["http://zotero.org/users/11181870/items/KNI267Q3"],"itemData":{"id":10,"type":"article-journal","abstract":"Candida albicans\n              is one of the most common fungal pathogens of humans. Prior work introduced the planarian\n              Schmidtea mediterranea\n              as a new model system to study the host response to fungal infection at the organismal level. In the current study, we analyzed host–pathogen changes that occurred\n              in situ\n              during early infection with\n              C. albicans\n              . We found that the transcription factor Bcr1 and its downstream adhesin Als3 are required for\n              C. albicans\n              to adhere to and colonize the planarian epithelial surface, and that adherence of\n              C. albicans\n              triggers a multi-system host response that is mediated by the Dectin signaling pathway. This infection response is characterized by two peaks of stem cell divisions and transcriptional changes in differentiated tissues including the nervous and the excretory systems. This response bears some resemblance to a wound-like response to physical injury; however, it takes place without visible tissue damage and it engages a distinct set of progenitor cells. Overall, we identified two\n              C. albicans\n              proteins that mediate epithelial infection of planarians and a comprehensive host response facilitated by diverse tissues to effectively clear the infection.","container-title":"Frontiers in Microbiology","DOI":"10.3389/fmicb.2020.629526","ISSN":"1664-302X","journalAbbreviation":"Front. Microbiol.","page":"629526","source":"DOI.org (Crossref)","title":"Epithelial Infection With Candida albicans Elicits a Multi-System Response in Planarians","URL":"https://www.frontiersin.org/articles/10.3389/fmicb.2020.629526/full","volume":"11","author":[{"family":"Maciel","given":"Eli Isael"},{"family":"Valle Arevalo","given":"Ashley"},{"family":"Ziman","given":"Benjamin"},{"family":"Nobile","given":"Clarissa J."},{"family":"Oviedo","given":"Néstor J."}],"accessed":{"date-parts":[["2024",10,6]]},"issued":{"date-parts":[["2021",1,14]]}}},{"id":128,"uris":["http://zotero.org/users/11181870/items/M37JYDSL"],"itemData":{"id":128,"type":"chapter","container-title":"Schmidtea Mediterranea","DOI":"10.1007/978-1-0716-3275-8_14","ISBN":"978-1-0716-3274-1","language":"en","note":"collection-title: Methods in Molecular Biology","page":"231-244","publisher":"Springer US","publisher-place":"New York, NY","source":"DOI.org (Crossref)","title":"A Planarian Model System to Study Host-Pathogen Interactions","URL":"https://link.springer.com/10.1007/978-1-0716-3275-8_14","volume":"2680","editor":[{"family":"Gentile","given":"Luca"}],"author":[{"family":"Maciel","given":"Eli Isael"},{"family":"Valle Arevalo","given":"Ashley"},{"family":"Nobile","given":"Clarissa J."},{"family":"Oviedo","given":"Néstor J."}],"accessed":{"date-parts":[["2025",3,31]]},"issued":{"date-parts":[["2023"]]}}}],"schema":"https://github.com/citation-style-language/schema/raw/master/csl-citation.json"} </w:instrText>
      </w:r>
      <w:r w:rsidR="00222623" w:rsidRPr="00644AF5">
        <w:rPr>
          <w:rFonts w:ascii="Calibri" w:hAnsi="Calibri" w:cs="Calibri"/>
          <w:color w:val="000000" w:themeColor="text1"/>
        </w:rPr>
        <w:fldChar w:fldCharType="separate"/>
      </w:r>
      <w:r w:rsidR="00222623" w:rsidRPr="00644AF5">
        <w:rPr>
          <w:rFonts w:ascii="Calibri" w:eastAsia="Calibri" w:hAnsi="Calibri" w:cs="Calibri"/>
          <w:color w:val="000000" w:themeColor="text1"/>
          <w:vertAlign w:val="superscript"/>
        </w:rPr>
        <w:t>22–24</w:t>
      </w:r>
      <w:r w:rsidR="00222623" w:rsidRPr="00644AF5">
        <w:rPr>
          <w:rFonts w:ascii="Calibri" w:hAnsi="Calibri" w:cs="Calibri"/>
          <w:color w:val="000000" w:themeColor="text1"/>
        </w:rPr>
        <w:fldChar w:fldCharType="end"/>
      </w:r>
      <w:r w:rsidRPr="00644AF5">
        <w:rPr>
          <w:rFonts w:ascii="Calibri" w:hAnsi="Calibri" w:cs="Calibri"/>
          <w:color w:val="000000" w:themeColor="text1"/>
        </w:rPr>
        <w:t xml:space="preserve"> and </w:t>
      </w:r>
      <w:r w:rsidR="00AF716E" w:rsidRPr="00644AF5">
        <w:rPr>
          <w:rFonts w:ascii="Calibri" w:hAnsi="Calibri" w:cs="Calibri"/>
          <w:color w:val="000000" w:themeColor="text1"/>
        </w:rPr>
        <w:t>establishes</w:t>
      </w:r>
      <w:r w:rsidRPr="00644AF5">
        <w:rPr>
          <w:rFonts w:ascii="Calibri" w:hAnsi="Calibri" w:cs="Calibri"/>
          <w:color w:val="000000" w:themeColor="text1"/>
        </w:rPr>
        <w:t xml:space="preserve"> clear, standardized </w:t>
      </w:r>
      <w:r w:rsidR="00C16F55" w:rsidRPr="00644AF5">
        <w:rPr>
          <w:rFonts w:ascii="Calibri" w:hAnsi="Calibri" w:cs="Calibri"/>
          <w:color w:val="000000" w:themeColor="text1"/>
        </w:rPr>
        <w:t>procedures</w:t>
      </w:r>
      <w:r w:rsidRPr="00644AF5">
        <w:rPr>
          <w:rFonts w:ascii="Calibri" w:hAnsi="Calibri" w:cs="Calibri"/>
          <w:color w:val="000000" w:themeColor="text1"/>
        </w:rPr>
        <w:t xml:space="preserve"> to </w:t>
      </w:r>
      <w:r w:rsidR="005B2384" w:rsidRPr="00644AF5">
        <w:rPr>
          <w:rFonts w:ascii="Calibri" w:hAnsi="Calibri" w:cs="Calibri"/>
          <w:color w:val="000000" w:themeColor="text1"/>
        </w:rPr>
        <w:t xml:space="preserve">enhance </w:t>
      </w:r>
      <w:r w:rsidRPr="00644AF5">
        <w:rPr>
          <w:rFonts w:ascii="Calibri" w:hAnsi="Calibri" w:cs="Calibri"/>
          <w:color w:val="000000" w:themeColor="text1"/>
        </w:rPr>
        <w:t>reproducibility and enable systematic investigation of fungal pathogenesis and host response</w:t>
      </w:r>
      <w:r w:rsidR="005B2384" w:rsidRPr="00644AF5">
        <w:rPr>
          <w:rFonts w:ascii="Calibri" w:hAnsi="Calibri" w:cs="Calibri"/>
          <w:color w:val="000000" w:themeColor="text1"/>
        </w:rPr>
        <w:t xml:space="preserve">s </w:t>
      </w:r>
      <w:r w:rsidRPr="00644AF5">
        <w:rPr>
          <w:rFonts w:ascii="Calibri" w:hAnsi="Calibri" w:cs="Calibri"/>
          <w:color w:val="000000" w:themeColor="text1"/>
        </w:rPr>
        <w:t xml:space="preserve">in </w:t>
      </w:r>
      <w:r w:rsidRPr="00644AF5">
        <w:rPr>
          <w:rFonts w:ascii="Calibri" w:hAnsi="Calibri" w:cs="Calibri"/>
          <w:i/>
          <w:iCs/>
          <w:color w:val="000000" w:themeColor="text1"/>
        </w:rPr>
        <w:t>S. mediterranea</w:t>
      </w:r>
      <w:r w:rsidRPr="00644AF5">
        <w:rPr>
          <w:rFonts w:ascii="Calibri" w:hAnsi="Calibri" w:cs="Calibri"/>
          <w:color w:val="000000" w:themeColor="text1"/>
        </w:rPr>
        <w:t xml:space="preserve">. </w:t>
      </w:r>
      <w:r w:rsidR="00C16F55" w:rsidRPr="00644AF5">
        <w:rPr>
          <w:rFonts w:ascii="Calibri" w:hAnsi="Calibri" w:cs="Calibri"/>
          <w:color w:val="000000" w:themeColor="text1"/>
        </w:rPr>
        <w:t>The key</w:t>
      </w:r>
      <w:r w:rsidR="00FF58E4">
        <w:rPr>
          <w:rFonts w:ascii="Calibri" w:hAnsi="Calibri" w:cs="Calibri"/>
          <w:color w:val="000000" w:themeColor="text1"/>
        </w:rPr>
        <w:t xml:space="preserve"> protocol</w:t>
      </w:r>
      <w:r w:rsidR="00C16F55" w:rsidRPr="00644AF5">
        <w:rPr>
          <w:rFonts w:ascii="Calibri" w:hAnsi="Calibri" w:cs="Calibri"/>
          <w:color w:val="000000" w:themeColor="text1"/>
        </w:rPr>
        <w:t xml:space="preserve"> refinements </w:t>
      </w:r>
      <w:r w:rsidR="005B2384" w:rsidRPr="00644AF5">
        <w:rPr>
          <w:rFonts w:ascii="Calibri" w:hAnsi="Calibri" w:cs="Calibri"/>
          <w:color w:val="000000" w:themeColor="text1"/>
        </w:rPr>
        <w:t xml:space="preserve">include </w:t>
      </w:r>
      <w:r w:rsidR="00DB252A" w:rsidRPr="00644AF5">
        <w:rPr>
          <w:rFonts w:ascii="Calibri" w:hAnsi="Calibri" w:cs="Calibri"/>
          <w:color w:val="000000" w:themeColor="text1"/>
        </w:rPr>
        <w:t xml:space="preserve">prespecified </w:t>
      </w:r>
      <w:r w:rsidR="00C16F55" w:rsidRPr="00644AF5">
        <w:rPr>
          <w:rFonts w:ascii="Calibri" w:hAnsi="Calibri" w:cs="Calibri"/>
          <w:color w:val="000000" w:themeColor="text1"/>
        </w:rPr>
        <w:t xml:space="preserve">animal inclusion </w:t>
      </w:r>
      <w:r w:rsidR="0026491E" w:rsidRPr="00644AF5">
        <w:rPr>
          <w:rFonts w:ascii="Calibri" w:hAnsi="Calibri" w:cs="Calibri"/>
          <w:color w:val="000000" w:themeColor="text1"/>
        </w:rPr>
        <w:t xml:space="preserve">and exclusion </w:t>
      </w:r>
      <w:r w:rsidR="00C16F55" w:rsidRPr="00644AF5">
        <w:rPr>
          <w:rFonts w:ascii="Calibri" w:hAnsi="Calibri" w:cs="Calibri"/>
          <w:color w:val="000000" w:themeColor="text1"/>
        </w:rPr>
        <w:t xml:space="preserve">criteria, standardized microbial </w:t>
      </w:r>
      <w:r w:rsidR="005B2384" w:rsidRPr="00644AF5">
        <w:rPr>
          <w:rFonts w:ascii="Calibri" w:hAnsi="Calibri" w:cs="Calibri"/>
          <w:color w:val="000000" w:themeColor="text1"/>
        </w:rPr>
        <w:t>preparation</w:t>
      </w:r>
      <w:r w:rsidR="00C16F55" w:rsidRPr="00644AF5">
        <w:rPr>
          <w:rFonts w:ascii="Calibri" w:hAnsi="Calibri" w:cs="Calibri"/>
          <w:color w:val="000000" w:themeColor="text1"/>
        </w:rPr>
        <w:t>, and comprehensive</w:t>
      </w:r>
      <w:r w:rsidR="005B2384" w:rsidRPr="00644AF5">
        <w:rPr>
          <w:rFonts w:ascii="Calibri" w:hAnsi="Calibri" w:cs="Calibri"/>
          <w:color w:val="000000" w:themeColor="text1"/>
        </w:rPr>
        <w:t xml:space="preserve"> </w:t>
      </w:r>
      <w:r w:rsidR="00386F66" w:rsidRPr="00644AF5">
        <w:rPr>
          <w:rFonts w:ascii="Calibri" w:hAnsi="Calibri" w:cs="Calibri"/>
          <w:color w:val="000000" w:themeColor="text1"/>
        </w:rPr>
        <w:t>a</w:t>
      </w:r>
      <w:r w:rsidR="00C16F55" w:rsidRPr="00644AF5">
        <w:rPr>
          <w:rFonts w:ascii="Calibri" w:hAnsi="Calibri" w:cs="Calibri"/>
          <w:color w:val="000000" w:themeColor="text1"/>
        </w:rPr>
        <w:t>ssessment of host endpoints.</w:t>
      </w:r>
      <w:r w:rsidR="00B567EA" w:rsidRPr="00644AF5">
        <w:rPr>
          <w:rFonts w:ascii="Calibri" w:hAnsi="Calibri" w:cs="Calibri"/>
          <w:color w:val="000000" w:themeColor="text1"/>
        </w:rPr>
        <w:t xml:space="preserve"> All </w:t>
      </w:r>
      <w:r w:rsidR="00FF58E4">
        <w:rPr>
          <w:rFonts w:ascii="Calibri" w:hAnsi="Calibri" w:cs="Calibri"/>
          <w:color w:val="000000" w:themeColor="text1"/>
        </w:rPr>
        <w:t xml:space="preserve">protocol </w:t>
      </w:r>
      <w:r w:rsidR="00B567EA" w:rsidRPr="00644AF5">
        <w:rPr>
          <w:rFonts w:ascii="Calibri" w:hAnsi="Calibri" w:cs="Calibri"/>
          <w:color w:val="000000" w:themeColor="text1"/>
        </w:rPr>
        <w:t xml:space="preserve">refinements are summarized in </w:t>
      </w:r>
      <w:r w:rsidR="00B567EA" w:rsidRPr="00644AF5">
        <w:rPr>
          <w:rFonts w:ascii="Calibri" w:hAnsi="Calibri" w:cs="Calibri"/>
          <w:b/>
          <w:bCs/>
          <w:color w:val="000000" w:themeColor="text1"/>
        </w:rPr>
        <w:t>Table 1</w:t>
      </w:r>
      <w:r w:rsidR="00B567EA" w:rsidRPr="00644AF5">
        <w:rPr>
          <w:rFonts w:ascii="Calibri" w:hAnsi="Calibri" w:cs="Calibri"/>
          <w:color w:val="000000" w:themeColor="text1"/>
        </w:rPr>
        <w:t xml:space="preserve">. </w:t>
      </w:r>
      <w:r w:rsidR="007E356D">
        <w:rPr>
          <w:rFonts w:ascii="Calibri" w:hAnsi="Calibri" w:cs="Calibri"/>
          <w:color w:val="000000" w:themeColor="text1"/>
        </w:rPr>
        <w:t xml:space="preserve"> </w:t>
      </w:r>
      <w:r w:rsidR="00D719A4" w:rsidRPr="00644AF5">
        <w:rPr>
          <w:rFonts w:ascii="Calibri" w:hAnsi="Calibri" w:cs="Calibri"/>
          <w:color w:val="000000" w:themeColor="text1"/>
        </w:rPr>
        <w:t>All reagents, critical equipment, and media</w:t>
      </w:r>
      <w:r w:rsidR="005C6F40">
        <w:rPr>
          <w:rFonts w:ascii="Calibri" w:hAnsi="Calibri" w:cs="Calibri"/>
          <w:color w:val="000000" w:themeColor="text1"/>
        </w:rPr>
        <w:t>, buffers, and immunostaining</w:t>
      </w:r>
      <w:r w:rsidR="00D719A4" w:rsidRPr="00644AF5">
        <w:rPr>
          <w:rFonts w:ascii="Calibri" w:hAnsi="Calibri" w:cs="Calibri"/>
          <w:color w:val="000000" w:themeColor="text1"/>
        </w:rPr>
        <w:t xml:space="preserve"> recipes are listed in the </w:t>
      </w:r>
      <w:r w:rsidR="00D719A4" w:rsidRPr="00644AF5">
        <w:rPr>
          <w:rFonts w:ascii="Calibri" w:hAnsi="Calibri" w:cs="Calibri"/>
          <w:b/>
          <w:bCs/>
          <w:color w:val="000000" w:themeColor="text1"/>
        </w:rPr>
        <w:t xml:space="preserve">Table of </w:t>
      </w:r>
      <w:r w:rsidR="00BE1300" w:rsidRPr="00644AF5">
        <w:rPr>
          <w:rFonts w:ascii="Calibri" w:hAnsi="Calibri" w:cs="Calibri"/>
          <w:b/>
          <w:bCs/>
          <w:color w:val="000000" w:themeColor="text1"/>
        </w:rPr>
        <w:t>Materials</w:t>
      </w:r>
      <w:r w:rsidR="005C6F40">
        <w:rPr>
          <w:rFonts w:ascii="Calibri" w:hAnsi="Calibri" w:cs="Calibri"/>
          <w:b/>
          <w:bCs/>
          <w:color w:val="000000" w:themeColor="text1"/>
        </w:rPr>
        <w:t xml:space="preserve"> and </w:t>
      </w:r>
      <w:r w:rsidR="0045640F">
        <w:rPr>
          <w:rFonts w:ascii="Calibri" w:hAnsi="Calibri" w:cs="Calibri"/>
          <w:b/>
          <w:bCs/>
          <w:color w:val="000000" w:themeColor="text1"/>
        </w:rPr>
        <w:t>Table 2</w:t>
      </w:r>
      <w:r w:rsidR="005D488B" w:rsidRPr="00644AF5">
        <w:rPr>
          <w:rFonts w:ascii="Calibri" w:hAnsi="Calibri" w:cs="Calibri"/>
          <w:color w:val="000000" w:themeColor="text1"/>
        </w:rPr>
        <w:t>.</w:t>
      </w:r>
    </w:p>
    <w:p w14:paraId="29D73C5D" w14:textId="77777777" w:rsidR="005D488B" w:rsidRPr="00644AF5" w:rsidRDefault="005D488B" w:rsidP="000377CA">
      <w:pPr>
        <w:ind w:left="0" w:firstLine="0"/>
        <w:contextualSpacing/>
        <w:rPr>
          <w:rFonts w:ascii="Calibri" w:hAnsi="Calibri" w:cs="Calibri"/>
          <w:color w:val="000000" w:themeColor="text1"/>
        </w:rPr>
      </w:pPr>
    </w:p>
    <w:p w14:paraId="6C19E1EB" w14:textId="77777777" w:rsidR="00E90B9A" w:rsidRDefault="74FBD7E8" w:rsidP="000377CA">
      <w:pPr>
        <w:ind w:left="0" w:firstLine="0"/>
        <w:contextualSpacing/>
        <w:rPr>
          <w:rFonts w:ascii="Calibri" w:hAnsi="Calibri" w:cs="Calibri"/>
          <w:color w:val="000000" w:themeColor="text1"/>
        </w:rPr>
      </w:pPr>
      <w:r w:rsidRPr="00644AF5">
        <w:rPr>
          <w:rFonts w:ascii="Calibri" w:hAnsi="Calibri" w:cs="Calibri"/>
          <w:b/>
          <w:bCs/>
          <w:color w:val="000000" w:themeColor="text1"/>
        </w:rPr>
        <w:t>NOTE:</w:t>
      </w:r>
      <w:r w:rsidRPr="00644AF5">
        <w:rPr>
          <w:rFonts w:ascii="Calibri" w:hAnsi="Calibri" w:cs="Calibri"/>
          <w:color w:val="000000" w:themeColor="text1"/>
        </w:rPr>
        <w:t xml:space="preserve"> </w:t>
      </w:r>
      <w:r w:rsidR="00AF716E" w:rsidRPr="00644AF5">
        <w:rPr>
          <w:rFonts w:ascii="Calibri" w:hAnsi="Calibri" w:cs="Calibri"/>
          <w:color w:val="000000" w:themeColor="text1"/>
        </w:rPr>
        <w:t xml:space="preserve">All </w:t>
      </w:r>
      <w:r w:rsidR="00D719A4" w:rsidRPr="00644AF5">
        <w:rPr>
          <w:rFonts w:ascii="Calibri" w:hAnsi="Calibri" w:cs="Calibri"/>
          <w:color w:val="000000" w:themeColor="text1"/>
        </w:rPr>
        <w:t>procedures</w:t>
      </w:r>
      <w:r w:rsidR="00AF716E" w:rsidRPr="00644AF5">
        <w:rPr>
          <w:rFonts w:ascii="Calibri" w:hAnsi="Calibri" w:cs="Calibri"/>
          <w:color w:val="000000" w:themeColor="text1"/>
        </w:rPr>
        <w:t xml:space="preserve"> </w:t>
      </w:r>
      <w:r w:rsidR="005B2384" w:rsidRPr="00644AF5">
        <w:rPr>
          <w:rFonts w:ascii="Calibri" w:hAnsi="Calibri" w:cs="Calibri"/>
          <w:color w:val="000000" w:themeColor="text1"/>
        </w:rPr>
        <w:t xml:space="preserve">must </w:t>
      </w:r>
      <w:r w:rsidR="00AF716E" w:rsidRPr="00644AF5">
        <w:rPr>
          <w:rFonts w:ascii="Calibri" w:hAnsi="Calibri" w:cs="Calibri"/>
          <w:color w:val="000000" w:themeColor="text1"/>
        </w:rPr>
        <w:t>be performed</w:t>
      </w:r>
      <w:r w:rsidR="00D719A4" w:rsidRPr="00644AF5">
        <w:rPr>
          <w:rFonts w:ascii="Calibri" w:hAnsi="Calibri" w:cs="Calibri"/>
          <w:color w:val="000000" w:themeColor="text1"/>
        </w:rPr>
        <w:t xml:space="preserve"> using </w:t>
      </w:r>
      <w:r w:rsidR="005B2384" w:rsidRPr="00644AF5">
        <w:rPr>
          <w:rFonts w:ascii="Calibri" w:hAnsi="Calibri" w:cs="Calibri"/>
          <w:color w:val="000000" w:themeColor="text1"/>
        </w:rPr>
        <w:t xml:space="preserve">appropriate sterile </w:t>
      </w:r>
      <w:r w:rsidR="00AF716E" w:rsidRPr="00644AF5">
        <w:rPr>
          <w:rFonts w:ascii="Calibri" w:hAnsi="Calibri" w:cs="Calibri"/>
          <w:color w:val="000000" w:themeColor="text1"/>
        </w:rPr>
        <w:t xml:space="preserve">and </w:t>
      </w:r>
      <w:r w:rsidR="00D719A4" w:rsidRPr="00644AF5">
        <w:rPr>
          <w:rFonts w:ascii="Calibri" w:hAnsi="Calibri" w:cs="Calibri"/>
          <w:color w:val="000000" w:themeColor="text1"/>
        </w:rPr>
        <w:t>aseptic</w:t>
      </w:r>
      <w:r w:rsidR="004F4C6F" w:rsidRPr="00644AF5">
        <w:rPr>
          <w:rFonts w:ascii="Calibri" w:hAnsi="Calibri" w:cs="Calibri"/>
          <w:color w:val="000000" w:themeColor="text1"/>
        </w:rPr>
        <w:t xml:space="preserve"> biosafety level 2</w:t>
      </w:r>
      <w:r w:rsidR="00D719A4" w:rsidRPr="00644AF5">
        <w:rPr>
          <w:rFonts w:ascii="Calibri" w:hAnsi="Calibri" w:cs="Calibri"/>
          <w:color w:val="000000" w:themeColor="text1"/>
        </w:rPr>
        <w:t xml:space="preserve"> technique</w:t>
      </w:r>
      <w:r w:rsidR="005B2384" w:rsidRPr="00644AF5">
        <w:rPr>
          <w:rFonts w:ascii="Calibri" w:hAnsi="Calibri" w:cs="Calibri"/>
          <w:color w:val="000000" w:themeColor="text1"/>
        </w:rPr>
        <w:t>s</w:t>
      </w:r>
      <w:r w:rsidR="00D719A4" w:rsidRPr="00644AF5">
        <w:rPr>
          <w:rFonts w:ascii="Calibri" w:hAnsi="Calibri" w:cs="Calibri"/>
          <w:color w:val="000000" w:themeColor="text1"/>
        </w:rPr>
        <w:t xml:space="preserve">. </w:t>
      </w:r>
      <w:r w:rsidR="00AF716E" w:rsidRPr="00644AF5">
        <w:rPr>
          <w:rFonts w:ascii="Calibri" w:hAnsi="Calibri" w:cs="Calibri"/>
          <w:color w:val="000000" w:themeColor="text1"/>
        </w:rPr>
        <w:t xml:space="preserve">Standard </w:t>
      </w:r>
      <w:r w:rsidR="00D719A4" w:rsidRPr="00644AF5">
        <w:rPr>
          <w:rFonts w:ascii="Calibri" w:hAnsi="Calibri" w:cs="Calibri"/>
          <w:color w:val="000000" w:themeColor="text1"/>
        </w:rPr>
        <w:t xml:space="preserve">laboratory </w:t>
      </w:r>
      <w:r w:rsidR="00A414A0" w:rsidRPr="00644AF5">
        <w:rPr>
          <w:rFonts w:ascii="Calibri" w:hAnsi="Calibri" w:cs="Calibri"/>
          <w:color w:val="000000" w:themeColor="text1"/>
        </w:rPr>
        <w:t>personal protective equipment (</w:t>
      </w:r>
      <w:r w:rsidR="00D719A4" w:rsidRPr="00644AF5">
        <w:rPr>
          <w:rFonts w:ascii="Calibri" w:hAnsi="Calibri" w:cs="Calibri"/>
          <w:color w:val="000000" w:themeColor="text1"/>
        </w:rPr>
        <w:t>PPE</w:t>
      </w:r>
      <w:r w:rsidR="00A414A0" w:rsidRPr="00644AF5">
        <w:rPr>
          <w:rFonts w:ascii="Calibri" w:hAnsi="Calibri" w:cs="Calibri"/>
          <w:color w:val="000000" w:themeColor="text1"/>
        </w:rPr>
        <w:t>)</w:t>
      </w:r>
      <w:r w:rsidR="00D719A4" w:rsidRPr="00644AF5">
        <w:rPr>
          <w:rFonts w:ascii="Calibri" w:hAnsi="Calibri" w:cs="Calibri"/>
          <w:color w:val="000000" w:themeColor="text1"/>
        </w:rPr>
        <w:t xml:space="preserve"> </w:t>
      </w:r>
      <w:r w:rsidR="005B2384" w:rsidRPr="00644AF5">
        <w:rPr>
          <w:rFonts w:ascii="Calibri" w:hAnsi="Calibri" w:cs="Calibri"/>
          <w:color w:val="000000" w:themeColor="text1"/>
        </w:rPr>
        <w:t xml:space="preserve">– including </w:t>
      </w:r>
      <w:r w:rsidR="00D719A4" w:rsidRPr="00644AF5">
        <w:rPr>
          <w:rFonts w:ascii="Calibri" w:hAnsi="Calibri" w:cs="Calibri"/>
          <w:color w:val="000000" w:themeColor="text1"/>
        </w:rPr>
        <w:t xml:space="preserve">gloves, lab coat, </w:t>
      </w:r>
      <w:r w:rsidR="000377CA">
        <w:rPr>
          <w:rFonts w:ascii="Calibri" w:hAnsi="Calibri" w:cs="Calibri"/>
          <w:color w:val="000000" w:themeColor="text1"/>
        </w:rPr>
        <w:t xml:space="preserve">and closed-toe shoes – </w:t>
      </w:r>
      <w:r w:rsidR="00AF716E" w:rsidRPr="00644AF5">
        <w:rPr>
          <w:rFonts w:ascii="Calibri" w:hAnsi="Calibri" w:cs="Calibri"/>
          <w:color w:val="000000" w:themeColor="text1"/>
        </w:rPr>
        <w:t xml:space="preserve">should be </w:t>
      </w:r>
      <w:proofErr w:type="gramStart"/>
      <w:r w:rsidR="00AF716E" w:rsidRPr="00644AF5">
        <w:rPr>
          <w:rFonts w:ascii="Calibri" w:hAnsi="Calibri" w:cs="Calibri"/>
          <w:color w:val="000000" w:themeColor="text1"/>
        </w:rPr>
        <w:t xml:space="preserve">worn </w:t>
      </w:r>
      <w:r w:rsidR="005B2384" w:rsidRPr="00644AF5">
        <w:rPr>
          <w:rFonts w:ascii="Calibri" w:hAnsi="Calibri" w:cs="Calibri"/>
          <w:color w:val="000000" w:themeColor="text1"/>
        </w:rPr>
        <w:t>at all times</w:t>
      </w:r>
      <w:proofErr w:type="gramEnd"/>
      <w:r w:rsidR="00D719A4" w:rsidRPr="00644AF5">
        <w:rPr>
          <w:rFonts w:ascii="Calibri" w:hAnsi="Calibri" w:cs="Calibri"/>
          <w:color w:val="000000" w:themeColor="text1"/>
        </w:rPr>
        <w:t>.</w:t>
      </w:r>
      <w:r w:rsidR="00D1452E" w:rsidRPr="00644AF5">
        <w:rPr>
          <w:rFonts w:ascii="Calibri" w:hAnsi="Calibri" w:cs="Calibri"/>
          <w:color w:val="000000" w:themeColor="text1"/>
        </w:rPr>
        <w:t xml:space="preserve"> </w:t>
      </w:r>
    </w:p>
    <w:p w14:paraId="4AFBA281" w14:textId="77777777" w:rsidR="00E90B9A" w:rsidRDefault="00E90B9A" w:rsidP="000377CA">
      <w:pPr>
        <w:ind w:left="0" w:firstLine="0"/>
        <w:contextualSpacing/>
        <w:rPr>
          <w:rFonts w:ascii="Calibri" w:hAnsi="Calibri" w:cs="Calibri"/>
          <w:color w:val="000000" w:themeColor="text1"/>
        </w:rPr>
      </w:pPr>
    </w:p>
    <w:p w14:paraId="5208296E" w14:textId="14EDBAA4" w:rsidR="00AA6233" w:rsidRDefault="00AA6233" w:rsidP="00AA6233">
      <w:pPr>
        <w:ind w:left="0" w:firstLine="0"/>
        <w:contextualSpacing/>
        <w:rPr>
          <w:rFonts w:ascii="Calibri" w:hAnsi="Calibri" w:cs="Calibri"/>
          <w:color w:val="000000" w:themeColor="text1"/>
        </w:rPr>
      </w:pPr>
      <w:r w:rsidRPr="00644AF5">
        <w:rPr>
          <w:rFonts w:ascii="Calibri" w:hAnsi="Calibri" w:cs="Calibri"/>
          <w:b/>
          <w:bCs/>
          <w:color w:val="000000" w:themeColor="text1"/>
        </w:rPr>
        <w:t>NOTE:</w:t>
      </w:r>
      <w:r>
        <w:rPr>
          <w:rFonts w:ascii="Calibri" w:hAnsi="Calibri" w:cs="Calibri"/>
          <w:b/>
          <w:bCs/>
          <w:color w:val="000000" w:themeColor="text1"/>
        </w:rPr>
        <w:t xml:space="preserve"> </w:t>
      </w:r>
      <w:r w:rsidRPr="00E90B9A">
        <w:rPr>
          <w:rFonts w:ascii="Calibri" w:hAnsi="Calibri" w:cs="Calibri"/>
          <w:color w:val="000000" w:themeColor="text1"/>
        </w:rPr>
        <w:t>All procedures involving</w:t>
      </w:r>
      <w:r>
        <w:rPr>
          <w:rFonts w:ascii="Calibri" w:hAnsi="Calibri" w:cs="Calibri"/>
          <w:color w:val="000000" w:themeColor="text1"/>
        </w:rPr>
        <w:t xml:space="preserve"> the invertebrate animal model </w:t>
      </w:r>
      <w:r>
        <w:rPr>
          <w:rFonts w:ascii="Calibri" w:hAnsi="Calibri" w:cs="Calibri"/>
          <w:i/>
          <w:iCs/>
          <w:color w:val="000000" w:themeColor="text1"/>
        </w:rPr>
        <w:t xml:space="preserve">S. mediterranea </w:t>
      </w:r>
      <w:r>
        <w:rPr>
          <w:rFonts w:ascii="Calibri" w:hAnsi="Calibri" w:cs="Calibri"/>
          <w:color w:val="000000" w:themeColor="text1"/>
        </w:rPr>
        <w:t>should be</w:t>
      </w:r>
      <w:r w:rsidRPr="00E90B9A">
        <w:rPr>
          <w:rFonts w:ascii="Calibri" w:hAnsi="Calibri" w:cs="Calibri"/>
          <w:color w:val="000000" w:themeColor="text1"/>
        </w:rPr>
        <w:t xml:space="preserve"> conducted to ensure the highest standards of </w:t>
      </w:r>
      <w:r w:rsidR="00AA4A09">
        <w:rPr>
          <w:rFonts w:ascii="Calibri" w:hAnsi="Calibri" w:cs="Calibri"/>
          <w:color w:val="000000" w:themeColor="text1"/>
        </w:rPr>
        <w:t xml:space="preserve">animal </w:t>
      </w:r>
      <w:r w:rsidRPr="00E90B9A">
        <w:rPr>
          <w:rFonts w:ascii="Calibri" w:hAnsi="Calibri" w:cs="Calibri"/>
          <w:color w:val="000000" w:themeColor="text1"/>
        </w:rPr>
        <w:t xml:space="preserve">welfare. </w:t>
      </w:r>
      <w:r w:rsidR="00AA4A09">
        <w:rPr>
          <w:rFonts w:ascii="Calibri" w:hAnsi="Calibri" w:cs="Calibri"/>
          <w:i/>
          <w:iCs/>
          <w:color w:val="000000" w:themeColor="text1"/>
        </w:rPr>
        <w:t>S. mediterranea</w:t>
      </w:r>
      <w:r w:rsidR="00AA4A09" w:rsidRPr="00E90B9A" w:rsidDel="00AA4A09">
        <w:rPr>
          <w:rFonts w:ascii="Calibri" w:hAnsi="Calibri" w:cs="Calibri"/>
          <w:color w:val="000000" w:themeColor="text1"/>
        </w:rPr>
        <w:t xml:space="preserve"> </w:t>
      </w:r>
      <w:r>
        <w:rPr>
          <w:rFonts w:ascii="Calibri" w:hAnsi="Calibri" w:cs="Calibri"/>
          <w:color w:val="000000" w:themeColor="text1"/>
        </w:rPr>
        <w:t>should be</w:t>
      </w:r>
      <w:r w:rsidRPr="00E90B9A">
        <w:rPr>
          <w:rFonts w:ascii="Calibri" w:hAnsi="Calibri" w:cs="Calibri"/>
          <w:color w:val="000000" w:themeColor="text1"/>
        </w:rPr>
        <w:t xml:space="preserve"> housed in optimized conditions simulating natural habitats. Experiments </w:t>
      </w:r>
      <w:r>
        <w:rPr>
          <w:rFonts w:ascii="Calibri" w:hAnsi="Calibri" w:cs="Calibri"/>
          <w:color w:val="000000" w:themeColor="text1"/>
        </w:rPr>
        <w:t>should be</w:t>
      </w:r>
      <w:r w:rsidRPr="00E90B9A">
        <w:rPr>
          <w:rFonts w:ascii="Calibri" w:hAnsi="Calibri" w:cs="Calibri"/>
          <w:color w:val="000000" w:themeColor="text1"/>
        </w:rPr>
        <w:t xml:space="preserve"> designed to minimize potential pain or distress</w:t>
      </w:r>
      <w:r>
        <w:rPr>
          <w:rFonts w:ascii="Calibri" w:hAnsi="Calibri" w:cs="Calibri"/>
          <w:color w:val="000000" w:themeColor="text1"/>
        </w:rPr>
        <w:t xml:space="preserve"> </w:t>
      </w:r>
      <w:r w:rsidRPr="00E90B9A">
        <w:rPr>
          <w:rFonts w:ascii="Calibri" w:hAnsi="Calibri" w:cs="Calibri"/>
          <w:color w:val="000000" w:themeColor="text1"/>
        </w:rPr>
        <w:t>to ensure ethical treatment throughout the study.</w:t>
      </w:r>
    </w:p>
    <w:p w14:paraId="4AB6A40A" w14:textId="77777777" w:rsidR="007E356D" w:rsidRPr="00644AF5" w:rsidRDefault="007E356D" w:rsidP="000377CA">
      <w:pPr>
        <w:ind w:left="0" w:firstLine="0"/>
        <w:contextualSpacing/>
        <w:rPr>
          <w:rFonts w:ascii="Calibri" w:hAnsi="Calibri" w:cs="Calibri"/>
          <w:color w:val="000000" w:themeColor="text1"/>
        </w:rPr>
      </w:pPr>
    </w:p>
    <w:p w14:paraId="6DBB81C3" w14:textId="0BDCF8E6" w:rsidR="00803CAF" w:rsidRPr="00644AF5" w:rsidRDefault="74FBD7E8" w:rsidP="000377CA">
      <w:pPr>
        <w:pStyle w:val="ListParagraph"/>
        <w:numPr>
          <w:ilvl w:val="0"/>
          <w:numId w:val="4"/>
        </w:numPr>
        <w:ind w:left="0" w:firstLine="0"/>
        <w:jc w:val="left"/>
        <w:rPr>
          <w:b/>
          <w:bCs/>
          <w:color w:val="000000" w:themeColor="text1"/>
        </w:rPr>
      </w:pPr>
      <w:r w:rsidRPr="00644AF5">
        <w:rPr>
          <w:b/>
          <w:bCs/>
          <w:color w:val="000000" w:themeColor="text1"/>
        </w:rPr>
        <w:t xml:space="preserve">Fungal </w:t>
      </w:r>
      <w:r w:rsidR="008136BB">
        <w:rPr>
          <w:b/>
          <w:bCs/>
          <w:color w:val="000000" w:themeColor="text1"/>
        </w:rPr>
        <w:t>c</w:t>
      </w:r>
      <w:r w:rsidRPr="00644AF5">
        <w:rPr>
          <w:b/>
          <w:bCs/>
          <w:color w:val="000000" w:themeColor="text1"/>
        </w:rPr>
        <w:t>ulturing</w:t>
      </w:r>
    </w:p>
    <w:p w14:paraId="3EB19D85" w14:textId="2DE44E4B" w:rsidR="00C45892" w:rsidRPr="00644AF5" w:rsidRDefault="00C45892" w:rsidP="000377CA">
      <w:pPr>
        <w:pStyle w:val="ListParagraph"/>
        <w:ind w:left="0" w:firstLine="0"/>
        <w:jc w:val="left"/>
        <w:rPr>
          <w:b/>
          <w:bCs/>
          <w:color w:val="000000" w:themeColor="text1"/>
        </w:rPr>
      </w:pPr>
    </w:p>
    <w:p w14:paraId="0B9F5459" w14:textId="554D4EA6" w:rsidR="00F468FC" w:rsidRPr="008136BB" w:rsidRDefault="00CD38BE" w:rsidP="000377CA">
      <w:pPr>
        <w:pStyle w:val="NormalWeb"/>
        <w:numPr>
          <w:ilvl w:val="1"/>
          <w:numId w:val="4"/>
        </w:numPr>
        <w:ind w:left="0" w:firstLine="0"/>
        <w:contextualSpacing/>
        <w:rPr>
          <w:rStyle w:val="Strong"/>
          <w:rFonts w:ascii="Calibri" w:hAnsi="Calibri" w:cs="Calibri"/>
          <w:b w:val="0"/>
          <w:bCs w:val="0"/>
          <w:color w:val="000000" w:themeColor="text1"/>
        </w:rPr>
      </w:pPr>
      <w:r w:rsidRPr="008136BB">
        <w:rPr>
          <w:rStyle w:val="Strong"/>
          <w:rFonts w:ascii="Calibri" w:hAnsi="Calibri" w:cs="Calibri"/>
          <w:b w:val="0"/>
          <w:bCs w:val="0"/>
          <w:i/>
          <w:iCs/>
          <w:color w:val="000000" w:themeColor="text1"/>
        </w:rPr>
        <w:t>C. albicans</w:t>
      </w:r>
      <w:r w:rsidRPr="008136BB">
        <w:rPr>
          <w:rStyle w:val="Strong"/>
          <w:rFonts w:ascii="Calibri" w:hAnsi="Calibri" w:cs="Calibri"/>
          <w:b w:val="0"/>
          <w:bCs w:val="0"/>
          <w:color w:val="000000" w:themeColor="text1"/>
        </w:rPr>
        <w:t xml:space="preserve"> </w:t>
      </w:r>
      <w:r w:rsidR="008136BB" w:rsidRPr="008136BB">
        <w:rPr>
          <w:rStyle w:val="Strong"/>
          <w:rFonts w:ascii="Calibri" w:hAnsi="Calibri" w:cs="Calibri"/>
          <w:b w:val="0"/>
          <w:bCs w:val="0"/>
          <w:color w:val="000000" w:themeColor="text1"/>
        </w:rPr>
        <w:t>s</w:t>
      </w:r>
      <w:r w:rsidR="00F468FC" w:rsidRPr="008136BB">
        <w:rPr>
          <w:rStyle w:val="Strong"/>
          <w:rFonts w:ascii="Calibri" w:hAnsi="Calibri" w:cs="Calibri"/>
          <w:b w:val="0"/>
          <w:bCs w:val="0"/>
          <w:color w:val="000000" w:themeColor="text1"/>
        </w:rPr>
        <w:t>train</w:t>
      </w:r>
      <w:r w:rsidRPr="008136BB">
        <w:rPr>
          <w:rStyle w:val="Strong"/>
          <w:rFonts w:ascii="Calibri" w:hAnsi="Calibri" w:cs="Calibri"/>
          <w:b w:val="0"/>
          <w:bCs w:val="0"/>
          <w:color w:val="000000" w:themeColor="text1"/>
        </w:rPr>
        <w:t xml:space="preserve"> </w:t>
      </w:r>
      <w:r w:rsidR="008136BB" w:rsidRPr="008136BB">
        <w:rPr>
          <w:rStyle w:val="Strong"/>
          <w:rFonts w:ascii="Calibri" w:hAnsi="Calibri" w:cs="Calibri"/>
          <w:b w:val="0"/>
          <w:bCs w:val="0"/>
          <w:color w:val="000000" w:themeColor="text1"/>
        </w:rPr>
        <w:t>i</w:t>
      </w:r>
      <w:r w:rsidRPr="008136BB">
        <w:rPr>
          <w:rStyle w:val="Strong"/>
          <w:rFonts w:ascii="Calibri" w:hAnsi="Calibri" w:cs="Calibri"/>
          <w:b w:val="0"/>
          <w:bCs w:val="0"/>
          <w:color w:val="000000" w:themeColor="text1"/>
        </w:rPr>
        <w:t>nformation</w:t>
      </w:r>
    </w:p>
    <w:p w14:paraId="36E2BC41" w14:textId="77777777" w:rsidR="00803CAF" w:rsidRPr="00644AF5" w:rsidRDefault="00803CAF" w:rsidP="000377CA">
      <w:pPr>
        <w:pStyle w:val="NormalWeb"/>
        <w:ind w:left="0" w:firstLine="0"/>
        <w:contextualSpacing/>
        <w:rPr>
          <w:rFonts w:ascii="Calibri" w:hAnsi="Calibri" w:cs="Calibri"/>
          <w:color w:val="000000" w:themeColor="text1"/>
        </w:rPr>
      </w:pPr>
    </w:p>
    <w:p w14:paraId="3C7FA174" w14:textId="5D657328" w:rsidR="00803CAF" w:rsidRPr="00644AF5" w:rsidRDefault="00AA4A09" w:rsidP="000377CA">
      <w:pPr>
        <w:pStyle w:val="NormalWeb"/>
        <w:numPr>
          <w:ilvl w:val="2"/>
          <w:numId w:val="4"/>
        </w:numPr>
        <w:ind w:left="0" w:firstLine="0"/>
        <w:contextualSpacing/>
        <w:rPr>
          <w:rFonts w:ascii="Calibri" w:hAnsi="Calibri" w:cs="Calibri"/>
          <w:color w:val="000000" w:themeColor="text1"/>
        </w:rPr>
      </w:pPr>
      <w:r w:rsidRPr="00AA4A09">
        <w:rPr>
          <w:rStyle w:val="Emphasis"/>
          <w:rFonts w:ascii="Calibri" w:hAnsi="Calibri" w:cs="Calibri"/>
          <w:i w:val="0"/>
          <w:iCs w:val="0"/>
          <w:color w:val="000000" w:themeColor="text1"/>
        </w:rPr>
        <w:t xml:space="preserve">The standard </w:t>
      </w:r>
      <w:r w:rsidR="00F468FC" w:rsidRPr="00AA4A09">
        <w:rPr>
          <w:rStyle w:val="Emphasis"/>
          <w:rFonts w:ascii="Calibri" w:hAnsi="Calibri" w:cs="Calibri"/>
          <w:color w:val="000000" w:themeColor="text1"/>
        </w:rPr>
        <w:t>C. albicans</w:t>
      </w:r>
      <w:r w:rsidR="00F468FC" w:rsidRPr="00AA4A09">
        <w:rPr>
          <w:rFonts w:ascii="Calibri" w:hAnsi="Calibri" w:cs="Calibri"/>
          <w:color w:val="000000" w:themeColor="text1"/>
        </w:rPr>
        <w:t xml:space="preserve"> </w:t>
      </w:r>
      <w:r w:rsidRPr="00AA4A09">
        <w:rPr>
          <w:rFonts w:ascii="Calibri" w:hAnsi="Calibri" w:cs="Calibri"/>
          <w:color w:val="000000" w:themeColor="text1"/>
        </w:rPr>
        <w:t xml:space="preserve">lab </w:t>
      </w:r>
      <w:r w:rsidR="005B2384" w:rsidRPr="00AA4A09">
        <w:rPr>
          <w:rFonts w:ascii="Calibri" w:hAnsi="Calibri" w:cs="Calibri"/>
          <w:color w:val="000000" w:themeColor="text1"/>
        </w:rPr>
        <w:t xml:space="preserve">strain </w:t>
      </w:r>
      <w:r w:rsidR="00F468FC" w:rsidRPr="00AA4A09">
        <w:rPr>
          <w:rFonts w:ascii="Calibri" w:hAnsi="Calibri" w:cs="Calibri"/>
          <w:color w:val="000000" w:themeColor="text1"/>
        </w:rPr>
        <w:t>SN250</w:t>
      </w:r>
      <w:r w:rsidR="00AF5B14">
        <w:rPr>
          <w:rFonts w:ascii="Calibri" w:hAnsi="Calibri" w:cs="Calibri"/>
          <w:color w:val="000000" w:themeColor="text1"/>
        </w:rPr>
        <w:fldChar w:fldCharType="begin"/>
      </w:r>
      <w:r w:rsidR="00AF5B14">
        <w:rPr>
          <w:rFonts w:ascii="Calibri" w:hAnsi="Calibri" w:cs="Calibri"/>
          <w:color w:val="000000" w:themeColor="text1"/>
        </w:rPr>
        <w:instrText xml:space="preserve"> ADDIN ZOTERO_ITEM CSL_CITATION {"citationID":"burRtchI","properties":{"formattedCitation":"\\super 51\\nosupersub{}","plainCitation":"51","noteIndex":0},"citationItems":[{"id":253,"uris":["http://zotero.org/users/11181870/items/ZBPDAZP6"],"itemData":{"id":253,"type":"article-journal","container-title":"PLoS Genetics","DOI":"10.1371/journal.pgen.1000783","ISSN":"1553-7404","issue":"12","journalAbbreviation":"PLoS Genet","language":"en","page":"e1000783","source":"DOI.org (Crossref)","title":"A Phenotypic Profile of the Candida albicans Regulatory Network","URL":"https://dx.plos.org/10.1371/journal.pgen.1000783","volume":"5","author":[{"family":"Homann","given":"Oliver R."},{"family":"Dea","given":"Jeanselle"},{"family":"Noble","given":"Suzanne M."},{"family":"Johnson","given":"Alexander D."}],"editor":[{"family":"Copenhaver","given":"Gregory P."}],"accessed":{"date-parts":[["2026",3,11]]},"issued":{"date-parts":[["2009",12,24]]}}}],"schema":"https://github.com/citation-style-language/schema/raw/master/csl-citation.json"} </w:instrText>
      </w:r>
      <w:r w:rsidR="00AF5B14">
        <w:rPr>
          <w:rFonts w:ascii="Calibri" w:hAnsi="Calibri" w:cs="Calibri"/>
          <w:color w:val="000000" w:themeColor="text1"/>
        </w:rPr>
        <w:fldChar w:fldCharType="separate"/>
      </w:r>
      <w:r w:rsidR="00AF5B14" w:rsidRPr="00AF5B14">
        <w:rPr>
          <w:rFonts w:ascii="Calibri" w:eastAsia="Calibri" w:hAnsi="Calibri" w:cs="Calibri"/>
          <w:color w:val="000000"/>
          <w:vertAlign w:val="superscript"/>
        </w:rPr>
        <w:t>51</w:t>
      </w:r>
      <w:r w:rsidR="00AF5B14">
        <w:rPr>
          <w:rFonts w:ascii="Calibri" w:hAnsi="Calibri" w:cs="Calibri"/>
          <w:color w:val="000000" w:themeColor="text1"/>
        </w:rPr>
        <w:fldChar w:fldCharType="end"/>
      </w:r>
      <w:r w:rsidR="00F468FC" w:rsidRPr="00AA4A09">
        <w:rPr>
          <w:rFonts w:ascii="Calibri" w:hAnsi="Calibri" w:cs="Calibri"/>
          <w:color w:val="000000" w:themeColor="text1"/>
        </w:rPr>
        <w:t xml:space="preserve"> was used as </w:t>
      </w:r>
      <w:r w:rsidR="005B2384" w:rsidRPr="00AA4A09">
        <w:rPr>
          <w:rFonts w:ascii="Calibri" w:hAnsi="Calibri" w:cs="Calibri"/>
          <w:color w:val="000000" w:themeColor="text1"/>
        </w:rPr>
        <w:t>the</w:t>
      </w:r>
      <w:r w:rsidR="00F468FC" w:rsidRPr="00AA4A09">
        <w:rPr>
          <w:rFonts w:ascii="Calibri" w:hAnsi="Calibri" w:cs="Calibri"/>
          <w:color w:val="000000" w:themeColor="text1"/>
        </w:rPr>
        <w:t xml:space="preserve"> </w:t>
      </w:r>
      <w:r w:rsidR="008136BB" w:rsidRPr="00AA4A09">
        <w:rPr>
          <w:rFonts w:ascii="Calibri" w:hAnsi="Calibri" w:cs="Calibri"/>
          <w:color w:val="000000" w:themeColor="text1"/>
        </w:rPr>
        <w:t>wildtype</w:t>
      </w:r>
      <w:r w:rsidR="00F468FC" w:rsidRPr="00AA4A09">
        <w:rPr>
          <w:rFonts w:ascii="Calibri" w:hAnsi="Calibri" w:cs="Calibri"/>
          <w:color w:val="000000" w:themeColor="text1"/>
        </w:rPr>
        <w:t xml:space="preserve"> strain for all experiments</w:t>
      </w:r>
      <w:r w:rsidRPr="00AA4A09">
        <w:rPr>
          <w:rFonts w:ascii="Calibri" w:hAnsi="Calibri" w:cs="Calibri"/>
          <w:color w:val="000000" w:themeColor="text1"/>
        </w:rPr>
        <w:t>, and is publicly available at the Fungal Genetics Stock Center (http://www.fgsc.net/)</w:t>
      </w:r>
      <w:r w:rsidR="00F468FC" w:rsidRPr="00AA4A09">
        <w:rPr>
          <w:rFonts w:ascii="Calibri" w:hAnsi="Calibri" w:cs="Calibri"/>
          <w:color w:val="000000" w:themeColor="text1"/>
        </w:rPr>
        <w:t>.</w:t>
      </w:r>
      <w:r w:rsidR="00776325" w:rsidRPr="00AA4A09">
        <w:rPr>
          <w:rFonts w:ascii="Calibri" w:hAnsi="Calibri" w:cs="Calibri"/>
          <w:color w:val="000000" w:themeColor="text1"/>
        </w:rPr>
        <w:t xml:space="preserve"> </w:t>
      </w:r>
      <w:r w:rsidR="00F468FC" w:rsidRPr="00644AF5">
        <w:rPr>
          <w:rFonts w:ascii="Calibri" w:hAnsi="Calibri" w:cs="Calibri"/>
          <w:color w:val="000000" w:themeColor="text1"/>
        </w:rPr>
        <w:t xml:space="preserve">SN250 is derived from </w:t>
      </w:r>
      <w:r w:rsidR="005B2384" w:rsidRPr="00644AF5">
        <w:rPr>
          <w:rFonts w:ascii="Calibri" w:hAnsi="Calibri" w:cs="Calibri"/>
          <w:color w:val="000000" w:themeColor="text1"/>
        </w:rPr>
        <w:t xml:space="preserve">the </w:t>
      </w:r>
      <w:r w:rsidR="00F468FC" w:rsidRPr="00644AF5">
        <w:rPr>
          <w:rFonts w:ascii="Calibri" w:hAnsi="Calibri" w:cs="Calibri"/>
          <w:color w:val="000000" w:themeColor="text1"/>
        </w:rPr>
        <w:t>clinical isolate SC5314, originally collected from a blood culture of a patient with disseminated candidiasis</w:t>
      </w:r>
      <w:r w:rsidR="00A306A5" w:rsidRPr="00644AF5">
        <w:rPr>
          <w:rFonts w:ascii="Calibri" w:hAnsi="Calibri" w:cs="Calibri"/>
          <w:color w:val="000000" w:themeColor="text1"/>
        </w:rPr>
        <w:fldChar w:fldCharType="begin"/>
      </w:r>
      <w:r w:rsidR="00AF5B14">
        <w:rPr>
          <w:rFonts w:ascii="Calibri" w:hAnsi="Calibri" w:cs="Calibri"/>
          <w:color w:val="000000" w:themeColor="text1"/>
        </w:rPr>
        <w:instrText xml:space="preserve"> ADDIN ZOTERO_ITEM CSL_CITATION {"citationID":"qGb2jTPy","properties":{"formattedCitation":"\\super 52\\nosupersub{}","plainCitation":"52","noteIndex":0},"citationItems":[{"id":229,"uris":["http://zotero.org/users/11181870/items/QVNQCLMK"],"itemData":{"id":229,"type":"article-journal","container-title":"Nature Genetics","DOI":"10.1038/ng.605","ISSN":"1061-4036, 1546-1718","issue":"7","journalAbbreviation":"Nat Genet","language":"en","license":"http://www.springer.com/tdm","page":"590-598","source":"DOI.org (Crossref)","title":"Systematic screens of a Candida albicans homozygous deletion library decouple morphogenetic switching and pathogenicity","URL":"https://www.nature.com/articles/ng.605","volume":"42","author":[{"family":"Noble","given":"Suzanne M"},{"family":"French","given":"Sarah"},{"family":"Kohn","given":"Lisa A"},{"family":"Chen","given":"Victoria"},{"family":"Johnson","given":"Alexander D"}],"accessed":{"date-parts":[["2025",11,8]]},"issued":{"date-parts":[["2010",7]]}}}],"schema":"https://github.com/citation-style-language/schema/raw/master/csl-citation.json"} </w:instrText>
      </w:r>
      <w:r w:rsidR="00A306A5" w:rsidRPr="00644AF5">
        <w:rPr>
          <w:rFonts w:ascii="Calibri" w:hAnsi="Calibri" w:cs="Calibri"/>
          <w:color w:val="000000" w:themeColor="text1"/>
        </w:rPr>
        <w:fldChar w:fldCharType="separate"/>
      </w:r>
      <w:r w:rsidR="00AF5B14" w:rsidRPr="00AF5B14">
        <w:rPr>
          <w:rFonts w:ascii="Calibri" w:eastAsia="Calibri" w:hAnsi="Calibri" w:cs="Calibri"/>
          <w:color w:val="000000"/>
          <w:vertAlign w:val="superscript"/>
        </w:rPr>
        <w:t>52</w:t>
      </w:r>
      <w:r w:rsidR="00A306A5" w:rsidRPr="00644AF5">
        <w:rPr>
          <w:rFonts w:ascii="Calibri" w:hAnsi="Calibri" w:cs="Calibri"/>
          <w:color w:val="000000" w:themeColor="text1"/>
        </w:rPr>
        <w:fldChar w:fldCharType="end"/>
      </w:r>
      <w:r w:rsidR="0036505B" w:rsidRPr="00644AF5">
        <w:rPr>
          <w:rFonts w:ascii="Calibri" w:hAnsi="Calibri" w:cs="Calibri"/>
          <w:color w:val="000000" w:themeColor="text1"/>
        </w:rPr>
        <w:t>.</w:t>
      </w:r>
      <w:r w:rsidR="00776325" w:rsidRPr="00644AF5">
        <w:rPr>
          <w:rFonts w:ascii="Calibri" w:hAnsi="Calibri" w:cs="Calibri"/>
          <w:color w:val="000000" w:themeColor="text1"/>
        </w:rPr>
        <w:t xml:space="preserve"> </w:t>
      </w:r>
    </w:p>
    <w:p w14:paraId="16CFB165" w14:textId="77777777" w:rsidR="00E14C82" w:rsidRPr="00644AF5" w:rsidRDefault="00E14C82" w:rsidP="000377CA">
      <w:pPr>
        <w:pStyle w:val="NormalWeb"/>
        <w:ind w:left="0" w:firstLine="0"/>
        <w:contextualSpacing/>
        <w:rPr>
          <w:rFonts w:ascii="Calibri" w:hAnsi="Calibri" w:cs="Calibri"/>
          <w:color w:val="000000" w:themeColor="text1"/>
        </w:rPr>
      </w:pPr>
    </w:p>
    <w:p w14:paraId="69F5673B" w14:textId="2F52255A" w:rsidR="00F468FC" w:rsidRPr="00644AF5" w:rsidRDefault="006E5684"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i/>
          <w:iCs/>
          <w:color w:val="000000" w:themeColor="text1"/>
        </w:rPr>
        <w:lastRenderedPageBreak/>
        <w:t xml:space="preserve">C. albicans </w:t>
      </w:r>
      <w:r w:rsidR="00F468FC" w:rsidRPr="00644AF5">
        <w:rPr>
          <w:rFonts w:ascii="Calibri" w:hAnsi="Calibri" w:cs="Calibri"/>
          <w:color w:val="000000" w:themeColor="text1"/>
        </w:rPr>
        <w:t xml:space="preserve">strains are </w:t>
      </w:r>
      <w:r w:rsidR="005B2384" w:rsidRPr="00644AF5">
        <w:rPr>
          <w:rFonts w:ascii="Calibri" w:hAnsi="Calibri" w:cs="Calibri"/>
          <w:color w:val="000000" w:themeColor="text1"/>
        </w:rPr>
        <w:t xml:space="preserve">maintained as 25% glycerol stocks </w:t>
      </w:r>
      <w:r w:rsidR="00F468FC" w:rsidRPr="00644AF5">
        <w:rPr>
          <w:rFonts w:ascii="Calibri" w:hAnsi="Calibri" w:cs="Calibri"/>
          <w:color w:val="000000" w:themeColor="text1"/>
        </w:rPr>
        <w:t>at −80°C.</w:t>
      </w:r>
    </w:p>
    <w:p w14:paraId="300B59BE" w14:textId="77777777" w:rsidR="00803CAF" w:rsidRPr="00644AF5" w:rsidRDefault="00803CAF" w:rsidP="000377CA">
      <w:pPr>
        <w:pStyle w:val="NormalWeb"/>
        <w:ind w:left="0" w:firstLine="0"/>
        <w:contextualSpacing/>
        <w:rPr>
          <w:rFonts w:ascii="Calibri" w:hAnsi="Calibri" w:cs="Calibri"/>
          <w:color w:val="000000" w:themeColor="text1"/>
        </w:rPr>
      </w:pPr>
    </w:p>
    <w:p w14:paraId="0686402B" w14:textId="50D37914" w:rsidR="00F468FC" w:rsidRPr="008136BB" w:rsidRDefault="00F468FC" w:rsidP="000377CA">
      <w:pPr>
        <w:pStyle w:val="Heading3"/>
        <w:numPr>
          <w:ilvl w:val="1"/>
          <w:numId w:val="4"/>
        </w:numPr>
        <w:spacing w:before="0"/>
        <w:ind w:left="0" w:firstLine="0"/>
        <w:contextualSpacing/>
        <w:jc w:val="left"/>
        <w:rPr>
          <w:rFonts w:ascii="Calibri" w:hAnsi="Calibri" w:cs="Calibri"/>
          <w:b w:val="0"/>
          <w:bCs/>
          <w:color w:val="000000" w:themeColor="text1"/>
        </w:rPr>
      </w:pPr>
      <w:r w:rsidRPr="008136BB">
        <w:rPr>
          <w:rFonts w:ascii="Calibri" w:hAnsi="Calibri" w:cs="Calibri"/>
          <w:b w:val="0"/>
          <w:bCs/>
          <w:color w:val="000000" w:themeColor="text1"/>
        </w:rPr>
        <w:t>Cultur</w:t>
      </w:r>
      <w:r w:rsidR="00D028CF" w:rsidRPr="008136BB">
        <w:rPr>
          <w:rFonts w:ascii="Calibri" w:hAnsi="Calibri" w:cs="Calibri"/>
          <w:b w:val="0"/>
          <w:bCs/>
          <w:color w:val="000000" w:themeColor="text1"/>
        </w:rPr>
        <w:t>ing</w:t>
      </w:r>
      <w:r w:rsidRPr="008136BB">
        <w:rPr>
          <w:rFonts w:ascii="Calibri" w:hAnsi="Calibri" w:cs="Calibri"/>
          <w:b w:val="0"/>
          <w:bCs/>
          <w:color w:val="000000" w:themeColor="text1"/>
        </w:rPr>
        <w:t xml:space="preserve"> </w:t>
      </w:r>
      <w:r w:rsidRPr="008136BB">
        <w:rPr>
          <w:rStyle w:val="Emphasis"/>
          <w:rFonts w:ascii="Calibri" w:hAnsi="Calibri" w:cs="Calibri"/>
          <w:b w:val="0"/>
          <w:bCs/>
          <w:color w:val="000000" w:themeColor="text1"/>
        </w:rPr>
        <w:t>C</w:t>
      </w:r>
      <w:r w:rsidR="00A25DE0" w:rsidRPr="008136BB">
        <w:rPr>
          <w:rStyle w:val="Emphasis"/>
          <w:rFonts w:ascii="Calibri" w:hAnsi="Calibri" w:cs="Calibri"/>
          <w:b w:val="0"/>
          <w:bCs/>
          <w:color w:val="000000" w:themeColor="text1"/>
        </w:rPr>
        <w:t>.</w:t>
      </w:r>
      <w:r w:rsidRPr="008136BB">
        <w:rPr>
          <w:rStyle w:val="Emphasis"/>
          <w:rFonts w:ascii="Calibri" w:hAnsi="Calibri" w:cs="Calibri"/>
          <w:b w:val="0"/>
          <w:bCs/>
          <w:color w:val="000000" w:themeColor="text1"/>
        </w:rPr>
        <w:t xml:space="preserve"> albicans</w:t>
      </w:r>
      <w:r w:rsidRPr="008136BB">
        <w:rPr>
          <w:rFonts w:ascii="Calibri" w:hAnsi="Calibri" w:cs="Calibri"/>
          <w:b w:val="0"/>
          <w:bCs/>
          <w:color w:val="000000" w:themeColor="text1"/>
        </w:rPr>
        <w:t xml:space="preserve"> </w:t>
      </w:r>
      <w:r w:rsidR="008136BB" w:rsidRPr="008136BB">
        <w:rPr>
          <w:rFonts w:ascii="Calibri" w:hAnsi="Calibri" w:cs="Calibri"/>
          <w:b w:val="0"/>
          <w:bCs/>
          <w:color w:val="000000" w:themeColor="text1"/>
        </w:rPr>
        <w:t>strains for infection</w:t>
      </w:r>
    </w:p>
    <w:p w14:paraId="55BEAE78" w14:textId="77777777" w:rsidR="00803CAF" w:rsidRPr="008136BB" w:rsidRDefault="00803CAF" w:rsidP="000377CA">
      <w:pPr>
        <w:ind w:firstLine="0"/>
        <w:contextualSpacing/>
        <w:rPr>
          <w:rFonts w:ascii="Calibri" w:hAnsi="Calibri" w:cs="Calibri"/>
          <w:bCs/>
          <w:color w:val="000000" w:themeColor="text1"/>
        </w:rPr>
      </w:pPr>
    </w:p>
    <w:p w14:paraId="67585D27" w14:textId="70FCD450" w:rsidR="00F468FC" w:rsidRPr="008136BB" w:rsidRDefault="008136BB" w:rsidP="000377CA">
      <w:pPr>
        <w:pStyle w:val="NormalWeb"/>
        <w:ind w:left="0" w:firstLine="0"/>
        <w:contextualSpacing/>
        <w:rPr>
          <w:rStyle w:val="Strong"/>
          <w:rFonts w:ascii="Calibri" w:hAnsi="Calibri" w:cs="Calibri"/>
          <w:b w:val="0"/>
          <w:color w:val="000000" w:themeColor="text1"/>
        </w:rPr>
      </w:pPr>
      <w:r w:rsidRPr="008136BB">
        <w:rPr>
          <w:rStyle w:val="Strong"/>
          <w:rFonts w:ascii="Calibri" w:hAnsi="Calibri" w:cs="Calibri"/>
          <w:b w:val="0"/>
          <w:color w:val="000000" w:themeColor="text1"/>
        </w:rPr>
        <w:t xml:space="preserve">1.2.1 </w:t>
      </w:r>
      <w:r w:rsidR="00F468FC" w:rsidRPr="008136BB">
        <w:rPr>
          <w:rStyle w:val="Strong"/>
          <w:rFonts w:ascii="Calibri" w:hAnsi="Calibri" w:cs="Calibri"/>
          <w:b w:val="0"/>
          <w:color w:val="000000" w:themeColor="text1"/>
        </w:rPr>
        <w:t xml:space="preserve">Streaking </w:t>
      </w:r>
      <w:r w:rsidRPr="008136BB">
        <w:rPr>
          <w:rStyle w:val="Strong"/>
          <w:rFonts w:ascii="Calibri" w:hAnsi="Calibri" w:cs="Calibri"/>
          <w:b w:val="0"/>
          <w:color w:val="000000" w:themeColor="text1"/>
        </w:rPr>
        <w:t>from cryogenic stock</w:t>
      </w:r>
    </w:p>
    <w:p w14:paraId="76CFAA87" w14:textId="77777777" w:rsidR="00803CAF" w:rsidRPr="00644AF5" w:rsidRDefault="00803CAF" w:rsidP="000377CA">
      <w:pPr>
        <w:pStyle w:val="NormalWeb"/>
        <w:ind w:left="0" w:firstLine="0"/>
        <w:contextualSpacing/>
        <w:rPr>
          <w:rFonts w:ascii="Calibri" w:hAnsi="Calibri" w:cs="Calibri"/>
          <w:color w:val="000000" w:themeColor="text1"/>
        </w:rPr>
      </w:pPr>
    </w:p>
    <w:p w14:paraId="43FA8F76" w14:textId="305122B2" w:rsidR="00F468FC" w:rsidRPr="00644AF5" w:rsidRDefault="008136BB"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1.2.1.1 </w:t>
      </w:r>
      <w:r w:rsidR="005B2384" w:rsidRPr="00644AF5">
        <w:rPr>
          <w:rFonts w:ascii="Calibri" w:hAnsi="Calibri" w:cs="Calibri"/>
          <w:color w:val="000000" w:themeColor="text1"/>
        </w:rPr>
        <w:t xml:space="preserve">Using a sterile applicator, streak the desired strain from −80°C stock onto </w:t>
      </w:r>
      <w:r w:rsidR="00D87F57" w:rsidRPr="00644AF5">
        <w:rPr>
          <w:rFonts w:ascii="Calibri" w:hAnsi="Calibri" w:cs="Calibri"/>
          <w:color w:val="000000" w:themeColor="text1"/>
        </w:rPr>
        <w:t>yeast peptone extract (</w:t>
      </w:r>
      <w:r w:rsidR="005B2384" w:rsidRPr="00644AF5">
        <w:rPr>
          <w:rFonts w:ascii="Calibri" w:hAnsi="Calibri" w:cs="Calibri"/>
          <w:color w:val="000000" w:themeColor="text1"/>
        </w:rPr>
        <w:t>YPD</w:t>
      </w:r>
      <w:r w:rsidR="00D87F57" w:rsidRPr="00644AF5">
        <w:rPr>
          <w:rFonts w:ascii="Calibri" w:hAnsi="Calibri" w:cs="Calibri"/>
          <w:color w:val="000000" w:themeColor="text1"/>
        </w:rPr>
        <w:t>)</w:t>
      </w:r>
      <w:r w:rsidR="005B2384" w:rsidRPr="00644AF5">
        <w:rPr>
          <w:rFonts w:ascii="Calibri" w:hAnsi="Calibri" w:cs="Calibri"/>
          <w:color w:val="000000" w:themeColor="text1"/>
        </w:rPr>
        <w:t xml:space="preserve"> (1% yeast extract, 2% peptone, 2% glucose; pH 6.8) agar plates</w:t>
      </w:r>
      <w:r w:rsidR="00F468FC" w:rsidRPr="00644AF5">
        <w:rPr>
          <w:rFonts w:ascii="Calibri" w:hAnsi="Calibri" w:cs="Calibri"/>
          <w:color w:val="000000" w:themeColor="text1"/>
        </w:rPr>
        <w:t>.</w:t>
      </w:r>
    </w:p>
    <w:p w14:paraId="7DCAD435" w14:textId="77777777" w:rsidR="00803CAF" w:rsidRPr="00644AF5" w:rsidRDefault="00803CAF" w:rsidP="000377CA">
      <w:pPr>
        <w:pStyle w:val="NormalWeb"/>
        <w:ind w:left="0" w:firstLine="0"/>
        <w:contextualSpacing/>
        <w:rPr>
          <w:rFonts w:ascii="Calibri" w:hAnsi="Calibri" w:cs="Calibri"/>
          <w:color w:val="000000" w:themeColor="text1"/>
        </w:rPr>
      </w:pPr>
    </w:p>
    <w:p w14:paraId="7E5E8A17" w14:textId="42BDDAA0" w:rsidR="00F468FC" w:rsidRPr="00644AF5" w:rsidRDefault="008136BB"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1.2.1.2 </w:t>
      </w:r>
      <w:r w:rsidR="00F468FC" w:rsidRPr="00644AF5">
        <w:rPr>
          <w:rFonts w:ascii="Calibri" w:hAnsi="Calibri" w:cs="Calibri"/>
          <w:color w:val="000000" w:themeColor="text1"/>
        </w:rPr>
        <w:t>Incubate statically at 30°C for 72 h.</w:t>
      </w:r>
    </w:p>
    <w:p w14:paraId="346C7E25" w14:textId="77777777" w:rsidR="005B2384" w:rsidRPr="00644AF5" w:rsidRDefault="005B2384" w:rsidP="000377CA">
      <w:pPr>
        <w:pStyle w:val="NormalWeb"/>
        <w:ind w:left="0" w:firstLine="0"/>
        <w:contextualSpacing/>
        <w:rPr>
          <w:rStyle w:val="Strong"/>
          <w:rFonts w:ascii="Calibri" w:hAnsi="Calibri" w:cs="Calibri"/>
          <w:color w:val="000000" w:themeColor="text1"/>
        </w:rPr>
      </w:pPr>
    </w:p>
    <w:p w14:paraId="0BE48799" w14:textId="33EA4AF0" w:rsidR="00F468FC" w:rsidRPr="002A30EA" w:rsidRDefault="005B2384" w:rsidP="000377CA">
      <w:pPr>
        <w:pStyle w:val="NormalWeb"/>
        <w:numPr>
          <w:ilvl w:val="1"/>
          <w:numId w:val="4"/>
        </w:numPr>
        <w:ind w:left="0" w:firstLine="0"/>
        <w:contextualSpacing/>
        <w:rPr>
          <w:rStyle w:val="Strong"/>
          <w:rFonts w:ascii="Calibri" w:hAnsi="Calibri" w:cs="Calibri"/>
          <w:b w:val="0"/>
          <w:bCs w:val="0"/>
          <w:color w:val="000000" w:themeColor="text1"/>
        </w:rPr>
      </w:pPr>
      <w:r w:rsidRPr="002A30EA">
        <w:rPr>
          <w:rStyle w:val="Strong"/>
          <w:rFonts w:ascii="Calibri" w:hAnsi="Calibri" w:cs="Calibri"/>
          <w:b w:val="0"/>
          <w:bCs w:val="0"/>
          <w:color w:val="000000" w:themeColor="text1"/>
        </w:rPr>
        <w:t>Preparing</w:t>
      </w:r>
      <w:r w:rsidR="00F468FC" w:rsidRPr="002A30EA">
        <w:rPr>
          <w:rStyle w:val="Strong"/>
          <w:rFonts w:ascii="Calibri" w:hAnsi="Calibri" w:cs="Calibri"/>
          <w:b w:val="0"/>
          <w:bCs w:val="0"/>
          <w:color w:val="000000" w:themeColor="text1"/>
        </w:rPr>
        <w:t xml:space="preserve"> </w:t>
      </w:r>
      <w:r w:rsidR="008136BB" w:rsidRPr="002A30EA">
        <w:rPr>
          <w:rStyle w:val="Strong"/>
          <w:rFonts w:ascii="Calibri" w:hAnsi="Calibri" w:cs="Calibri"/>
          <w:b w:val="0"/>
          <w:bCs w:val="0"/>
          <w:color w:val="000000" w:themeColor="text1"/>
        </w:rPr>
        <w:t>overnight cultures</w:t>
      </w:r>
    </w:p>
    <w:p w14:paraId="457CBBA3" w14:textId="77777777" w:rsidR="00803CAF" w:rsidRPr="00644AF5" w:rsidRDefault="00803CAF" w:rsidP="000377CA">
      <w:pPr>
        <w:pStyle w:val="NormalWeb"/>
        <w:ind w:left="0" w:firstLine="0"/>
        <w:contextualSpacing/>
        <w:rPr>
          <w:rFonts w:ascii="Calibri" w:hAnsi="Calibri" w:cs="Calibri"/>
          <w:color w:val="000000" w:themeColor="text1"/>
        </w:rPr>
      </w:pPr>
    </w:p>
    <w:p w14:paraId="0827DD7A" w14:textId="0161BA82" w:rsidR="00333337" w:rsidRPr="00644AF5" w:rsidRDefault="00F468FC"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 xml:space="preserve">Inoculate a single colony into 4 mL liquid YPD in sterile borosilicate </w:t>
      </w:r>
      <w:r w:rsidR="00BF0EFF">
        <w:rPr>
          <w:rFonts w:ascii="Calibri" w:hAnsi="Calibri" w:cs="Calibri"/>
          <w:color w:val="000000" w:themeColor="text1"/>
        </w:rPr>
        <w:t xml:space="preserve">glass culture </w:t>
      </w:r>
      <w:r w:rsidRPr="00644AF5">
        <w:rPr>
          <w:rFonts w:ascii="Calibri" w:hAnsi="Calibri" w:cs="Calibri"/>
          <w:color w:val="000000" w:themeColor="text1"/>
        </w:rPr>
        <w:t>tubes</w:t>
      </w:r>
      <w:r w:rsidR="007678C1" w:rsidRPr="00644AF5">
        <w:rPr>
          <w:rFonts w:ascii="Calibri" w:hAnsi="Calibri" w:cs="Calibri"/>
          <w:color w:val="000000" w:themeColor="text1"/>
        </w:rPr>
        <w:t xml:space="preserve"> </w:t>
      </w:r>
      <w:r w:rsidRPr="00644AF5">
        <w:rPr>
          <w:rFonts w:ascii="Calibri" w:hAnsi="Calibri" w:cs="Calibri"/>
          <w:color w:val="000000" w:themeColor="text1"/>
        </w:rPr>
        <w:t>(18</w:t>
      </w:r>
      <w:r w:rsidR="002A30EA">
        <w:rPr>
          <w:rFonts w:ascii="Calibri" w:hAnsi="Calibri" w:cs="Calibri"/>
          <w:color w:val="000000" w:themeColor="text1"/>
        </w:rPr>
        <w:t xml:space="preserve"> mm × </w:t>
      </w:r>
      <w:r w:rsidRPr="00644AF5">
        <w:rPr>
          <w:rFonts w:ascii="Calibri" w:hAnsi="Calibri" w:cs="Calibri"/>
          <w:color w:val="000000" w:themeColor="text1"/>
        </w:rPr>
        <w:t>150 mm) using a sterile applicator</w:t>
      </w:r>
      <w:r w:rsidR="00F074B5">
        <w:rPr>
          <w:rFonts w:ascii="Calibri" w:hAnsi="Calibri" w:cs="Calibri"/>
          <w:color w:val="000000" w:themeColor="text1"/>
        </w:rPr>
        <w:t xml:space="preserve"> stick</w:t>
      </w:r>
      <w:r w:rsidRPr="00644AF5">
        <w:rPr>
          <w:rFonts w:ascii="Calibri" w:hAnsi="Calibri" w:cs="Calibri"/>
          <w:color w:val="000000" w:themeColor="text1"/>
        </w:rPr>
        <w:t>.</w:t>
      </w:r>
      <w:r w:rsidR="00CD38BE" w:rsidRPr="00644AF5">
        <w:rPr>
          <w:rFonts w:ascii="Calibri" w:hAnsi="Calibri" w:cs="Calibri"/>
          <w:color w:val="000000" w:themeColor="text1"/>
        </w:rPr>
        <w:t xml:space="preserve"> </w:t>
      </w:r>
    </w:p>
    <w:p w14:paraId="75DF79C9" w14:textId="77777777" w:rsidR="00803CAF" w:rsidRPr="00644AF5" w:rsidRDefault="00803CAF" w:rsidP="000377CA">
      <w:pPr>
        <w:pStyle w:val="NormalWeb"/>
        <w:ind w:left="0" w:firstLine="0"/>
        <w:contextualSpacing/>
        <w:rPr>
          <w:rFonts w:ascii="Calibri" w:hAnsi="Calibri" w:cs="Calibri"/>
          <w:color w:val="000000" w:themeColor="text1"/>
        </w:rPr>
      </w:pPr>
    </w:p>
    <w:p w14:paraId="5932B9FE" w14:textId="74A7D806" w:rsidR="00F468FC" w:rsidRPr="00644AF5" w:rsidRDefault="00CD38BE"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 xml:space="preserve">Include a negative control tube </w:t>
      </w:r>
      <w:r w:rsidR="00333337" w:rsidRPr="00644AF5">
        <w:rPr>
          <w:rFonts w:ascii="Calibri" w:hAnsi="Calibri" w:cs="Calibri"/>
          <w:color w:val="000000" w:themeColor="text1"/>
        </w:rPr>
        <w:t xml:space="preserve">containing </w:t>
      </w:r>
      <w:r w:rsidRPr="00644AF5">
        <w:rPr>
          <w:rFonts w:ascii="Calibri" w:hAnsi="Calibri" w:cs="Calibri"/>
          <w:color w:val="000000" w:themeColor="text1"/>
        </w:rPr>
        <w:t>uninoculated YPD under identical conditions.</w:t>
      </w:r>
    </w:p>
    <w:p w14:paraId="1412308C" w14:textId="77777777" w:rsidR="00803CAF" w:rsidRPr="00644AF5" w:rsidRDefault="00803CAF" w:rsidP="000377CA">
      <w:pPr>
        <w:pStyle w:val="NormalWeb"/>
        <w:ind w:left="0" w:firstLine="0"/>
        <w:contextualSpacing/>
        <w:rPr>
          <w:rFonts w:ascii="Calibri" w:hAnsi="Calibri" w:cs="Calibri"/>
          <w:color w:val="000000" w:themeColor="text1"/>
        </w:rPr>
      </w:pPr>
    </w:p>
    <w:p w14:paraId="0F749721" w14:textId="56A61722" w:rsidR="00803CAF" w:rsidRDefault="00333337" w:rsidP="000377CA">
      <w:pPr>
        <w:pStyle w:val="NormalWeb"/>
        <w:numPr>
          <w:ilvl w:val="2"/>
          <w:numId w:val="4"/>
        </w:numPr>
        <w:ind w:left="0" w:firstLine="0"/>
        <w:contextualSpacing/>
        <w:rPr>
          <w:rFonts w:ascii="Calibri" w:hAnsi="Calibri" w:cs="Calibri"/>
          <w:color w:val="000000" w:themeColor="text1"/>
        </w:rPr>
      </w:pPr>
      <w:r w:rsidRPr="002A30EA">
        <w:rPr>
          <w:rFonts w:ascii="Calibri" w:hAnsi="Calibri" w:cs="Calibri"/>
          <w:color w:val="000000" w:themeColor="text1"/>
        </w:rPr>
        <w:t>L</w:t>
      </w:r>
      <w:r w:rsidR="00F468FC" w:rsidRPr="002A30EA">
        <w:rPr>
          <w:rFonts w:ascii="Calibri" w:hAnsi="Calibri" w:cs="Calibri"/>
          <w:color w:val="000000" w:themeColor="text1"/>
        </w:rPr>
        <w:t>oosely</w:t>
      </w:r>
      <w:r w:rsidRPr="002A30EA">
        <w:rPr>
          <w:rFonts w:ascii="Calibri" w:hAnsi="Calibri" w:cs="Calibri"/>
          <w:color w:val="000000" w:themeColor="text1"/>
        </w:rPr>
        <w:t xml:space="preserve"> cap the tubes to allow</w:t>
      </w:r>
      <w:r w:rsidR="00F468FC" w:rsidRPr="002A30EA">
        <w:rPr>
          <w:rFonts w:ascii="Calibri" w:hAnsi="Calibri" w:cs="Calibri"/>
          <w:color w:val="000000" w:themeColor="text1"/>
        </w:rPr>
        <w:t xml:space="preserve"> aeration and incubate </w:t>
      </w:r>
      <w:r w:rsidRPr="002A30EA">
        <w:rPr>
          <w:rFonts w:ascii="Calibri" w:hAnsi="Calibri" w:cs="Calibri"/>
          <w:color w:val="000000" w:themeColor="text1"/>
        </w:rPr>
        <w:t>overnight (</w:t>
      </w:r>
      <w:r w:rsidR="00F468FC" w:rsidRPr="002A30EA">
        <w:rPr>
          <w:rFonts w:ascii="Calibri" w:hAnsi="Calibri" w:cs="Calibri"/>
          <w:color w:val="000000" w:themeColor="text1"/>
        </w:rPr>
        <w:t>16 h</w:t>
      </w:r>
      <w:r w:rsidRPr="002A30EA">
        <w:rPr>
          <w:rFonts w:ascii="Calibri" w:hAnsi="Calibri" w:cs="Calibri"/>
          <w:color w:val="000000" w:themeColor="text1"/>
        </w:rPr>
        <w:t>)</w:t>
      </w:r>
      <w:r w:rsidR="00F468FC" w:rsidRPr="002A30EA">
        <w:rPr>
          <w:rFonts w:ascii="Calibri" w:hAnsi="Calibri" w:cs="Calibri"/>
          <w:color w:val="000000" w:themeColor="text1"/>
        </w:rPr>
        <w:t xml:space="preserve"> at 30</w:t>
      </w:r>
      <w:r w:rsidR="002A30EA" w:rsidRPr="002A30EA">
        <w:rPr>
          <w:rFonts w:ascii="Calibri" w:hAnsi="Calibri" w:cs="Calibri"/>
          <w:color w:val="000000" w:themeColor="text1"/>
        </w:rPr>
        <w:t xml:space="preserve"> </w:t>
      </w:r>
      <w:r w:rsidR="00F468FC" w:rsidRPr="002A30EA">
        <w:rPr>
          <w:rFonts w:ascii="Calibri" w:hAnsi="Calibri" w:cs="Calibri"/>
          <w:color w:val="000000" w:themeColor="text1"/>
        </w:rPr>
        <w:t xml:space="preserve">°C </w:t>
      </w:r>
      <w:r w:rsidR="002A30EA" w:rsidRPr="002A30EA">
        <w:rPr>
          <w:rFonts w:ascii="Calibri" w:hAnsi="Calibri" w:cs="Calibri"/>
          <w:color w:val="000000" w:themeColor="text1"/>
        </w:rPr>
        <w:t>with shaking at 220 rpm (orbital)</w:t>
      </w:r>
      <w:r w:rsidR="001911A1">
        <w:rPr>
          <w:rFonts w:ascii="Calibri" w:hAnsi="Calibri" w:cs="Calibri"/>
          <w:color w:val="000000" w:themeColor="text1"/>
        </w:rPr>
        <w:t xml:space="preserve"> in a shaking incubator</w:t>
      </w:r>
      <w:r w:rsidR="002A30EA" w:rsidRPr="002A30EA">
        <w:rPr>
          <w:rFonts w:ascii="Calibri" w:hAnsi="Calibri" w:cs="Calibri"/>
          <w:color w:val="000000" w:themeColor="text1"/>
        </w:rPr>
        <w:t>.</w:t>
      </w:r>
    </w:p>
    <w:p w14:paraId="05874272" w14:textId="77777777" w:rsidR="002A30EA" w:rsidRPr="002A30EA" w:rsidRDefault="002A30EA" w:rsidP="000377CA">
      <w:pPr>
        <w:pStyle w:val="NormalWeb"/>
        <w:ind w:left="0" w:firstLine="0"/>
        <w:contextualSpacing/>
        <w:rPr>
          <w:rFonts w:ascii="Calibri" w:hAnsi="Calibri" w:cs="Calibri"/>
          <w:color w:val="000000" w:themeColor="text1"/>
        </w:rPr>
      </w:pPr>
    </w:p>
    <w:p w14:paraId="6D0840AA" w14:textId="057A7E9A" w:rsidR="000579DB" w:rsidRPr="00644AF5" w:rsidRDefault="001D3790" w:rsidP="000377CA">
      <w:pPr>
        <w:pStyle w:val="NormalWeb"/>
        <w:ind w:left="0" w:firstLine="0"/>
        <w:contextualSpacing/>
        <w:rPr>
          <w:rFonts w:ascii="Calibri" w:hAnsi="Calibri" w:cs="Calibri"/>
          <w:color w:val="000000" w:themeColor="text1"/>
        </w:rPr>
      </w:pPr>
      <w:r w:rsidRPr="00644AF5">
        <w:rPr>
          <w:rFonts w:ascii="Calibri" w:hAnsi="Calibri" w:cs="Calibri"/>
          <w:color w:val="000000" w:themeColor="text1"/>
        </w:rPr>
        <w:t xml:space="preserve">NOTE: </w:t>
      </w:r>
      <w:r w:rsidR="00CD38BE" w:rsidRPr="00644AF5">
        <w:rPr>
          <w:rFonts w:ascii="Calibri" w:hAnsi="Calibri" w:cs="Calibri"/>
          <w:color w:val="000000" w:themeColor="text1"/>
        </w:rPr>
        <w:t>I</w:t>
      </w:r>
      <w:r w:rsidR="00F468FC" w:rsidRPr="00644AF5">
        <w:rPr>
          <w:rFonts w:ascii="Calibri" w:hAnsi="Calibri" w:cs="Calibri"/>
          <w:color w:val="000000" w:themeColor="text1"/>
        </w:rPr>
        <w:t xml:space="preserve">f </w:t>
      </w:r>
      <w:r w:rsidR="00654AEE" w:rsidRPr="00644AF5">
        <w:rPr>
          <w:rFonts w:ascii="Calibri" w:hAnsi="Calibri" w:cs="Calibri"/>
          <w:color w:val="000000" w:themeColor="text1"/>
        </w:rPr>
        <w:t xml:space="preserve">microbial </w:t>
      </w:r>
      <w:r w:rsidR="00F468FC" w:rsidRPr="00644AF5">
        <w:rPr>
          <w:rFonts w:ascii="Calibri" w:hAnsi="Calibri" w:cs="Calibri"/>
          <w:color w:val="000000" w:themeColor="text1"/>
        </w:rPr>
        <w:t xml:space="preserve">growth </w:t>
      </w:r>
      <w:r w:rsidR="00CD38BE" w:rsidRPr="00644AF5">
        <w:rPr>
          <w:rFonts w:ascii="Calibri" w:hAnsi="Calibri" w:cs="Calibri"/>
          <w:color w:val="000000" w:themeColor="text1"/>
        </w:rPr>
        <w:t xml:space="preserve">occurs </w:t>
      </w:r>
      <w:r w:rsidR="00F468FC" w:rsidRPr="00644AF5">
        <w:rPr>
          <w:rFonts w:ascii="Calibri" w:hAnsi="Calibri" w:cs="Calibri"/>
          <w:color w:val="000000" w:themeColor="text1"/>
        </w:rPr>
        <w:t>in the negative control</w:t>
      </w:r>
      <w:r w:rsidR="00CD38BE" w:rsidRPr="00644AF5">
        <w:rPr>
          <w:rFonts w:ascii="Calibri" w:hAnsi="Calibri" w:cs="Calibri"/>
          <w:color w:val="000000" w:themeColor="text1"/>
        </w:rPr>
        <w:t>, abort the experiment and restart</w:t>
      </w:r>
      <w:r w:rsidR="000579DB" w:rsidRPr="00644AF5">
        <w:rPr>
          <w:rFonts w:ascii="Calibri" w:hAnsi="Calibri" w:cs="Calibri"/>
          <w:color w:val="000000" w:themeColor="text1"/>
        </w:rPr>
        <w:t xml:space="preserve"> with new media and sterile technique</w:t>
      </w:r>
      <w:r w:rsidR="00F468FC" w:rsidRPr="00644AF5">
        <w:rPr>
          <w:rFonts w:ascii="Calibri" w:hAnsi="Calibri" w:cs="Calibri"/>
          <w:color w:val="000000" w:themeColor="text1"/>
        </w:rPr>
        <w:t>.</w:t>
      </w:r>
    </w:p>
    <w:p w14:paraId="4049C3C6" w14:textId="77777777" w:rsidR="00D028CF" w:rsidRPr="00644AF5" w:rsidRDefault="00D028CF" w:rsidP="000377CA">
      <w:pPr>
        <w:pStyle w:val="NormalWeb"/>
        <w:ind w:left="0" w:firstLine="0"/>
        <w:contextualSpacing/>
        <w:rPr>
          <w:rStyle w:val="Strong"/>
          <w:rFonts w:ascii="Calibri" w:hAnsi="Calibri" w:cs="Calibri"/>
          <w:color w:val="000000" w:themeColor="text1"/>
        </w:rPr>
      </w:pPr>
    </w:p>
    <w:p w14:paraId="1465959C" w14:textId="40A02657" w:rsidR="00F468FC" w:rsidRPr="002A30EA" w:rsidRDefault="002A30EA" w:rsidP="000377CA">
      <w:pPr>
        <w:pStyle w:val="NormalWeb"/>
        <w:numPr>
          <w:ilvl w:val="1"/>
          <w:numId w:val="4"/>
        </w:numPr>
        <w:ind w:left="0" w:firstLine="0"/>
        <w:contextualSpacing/>
        <w:rPr>
          <w:rStyle w:val="Strong"/>
          <w:rFonts w:ascii="Calibri" w:hAnsi="Calibri" w:cs="Calibri"/>
          <w:b w:val="0"/>
          <w:bCs w:val="0"/>
          <w:color w:val="000000" w:themeColor="text1"/>
        </w:rPr>
      </w:pPr>
      <w:r>
        <w:rPr>
          <w:rStyle w:val="Strong"/>
          <w:rFonts w:ascii="Calibri" w:hAnsi="Calibri" w:cs="Calibri"/>
          <w:b w:val="0"/>
          <w:bCs w:val="0"/>
          <w:color w:val="000000" w:themeColor="text1"/>
        </w:rPr>
        <w:t>H</w:t>
      </w:r>
      <w:r w:rsidRPr="002A30EA">
        <w:rPr>
          <w:rStyle w:val="Strong"/>
          <w:rFonts w:ascii="Calibri" w:hAnsi="Calibri" w:cs="Calibri"/>
          <w:b w:val="0"/>
          <w:bCs w:val="0"/>
          <w:color w:val="000000" w:themeColor="text1"/>
        </w:rPr>
        <w:t>arvesting and washing cells</w:t>
      </w:r>
    </w:p>
    <w:p w14:paraId="119562A5" w14:textId="77777777" w:rsidR="00803CAF" w:rsidRPr="00644AF5" w:rsidRDefault="00803CAF" w:rsidP="000377CA">
      <w:pPr>
        <w:pStyle w:val="NormalWeb"/>
        <w:ind w:left="0" w:firstLine="0"/>
        <w:contextualSpacing/>
        <w:rPr>
          <w:rFonts w:ascii="Calibri" w:hAnsi="Calibri" w:cs="Calibri"/>
          <w:color w:val="000000" w:themeColor="text1"/>
        </w:rPr>
      </w:pPr>
    </w:p>
    <w:p w14:paraId="43215D73" w14:textId="399C9E47" w:rsidR="000D6374" w:rsidRPr="00644AF5" w:rsidRDefault="000D6374"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 xml:space="preserve">Using aseptic technique, transfer cultures to labeled 15 mL centrifuge tubes. </w:t>
      </w:r>
    </w:p>
    <w:p w14:paraId="4D2A448C" w14:textId="77777777" w:rsidR="00912F59" w:rsidRPr="00644AF5" w:rsidRDefault="00912F59" w:rsidP="000377CA">
      <w:pPr>
        <w:pStyle w:val="NormalWeb"/>
        <w:ind w:left="0" w:firstLine="0"/>
        <w:contextualSpacing/>
        <w:rPr>
          <w:rFonts w:ascii="Calibri" w:hAnsi="Calibri" w:cs="Calibri"/>
          <w:color w:val="000000" w:themeColor="text1"/>
        </w:rPr>
      </w:pPr>
    </w:p>
    <w:p w14:paraId="18294A94" w14:textId="2A8CB74D" w:rsidR="00F468FC" w:rsidRPr="00644AF5" w:rsidRDefault="00F468FC"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 xml:space="preserve">Centrifuge cultures for 5 min </w:t>
      </w:r>
      <w:r w:rsidR="00C57AEF" w:rsidRPr="00644AF5">
        <w:rPr>
          <w:rFonts w:ascii="Calibri" w:hAnsi="Calibri" w:cs="Calibri"/>
          <w:color w:val="000000" w:themeColor="text1"/>
        </w:rPr>
        <w:t>at ~</w:t>
      </w:r>
      <w:r w:rsidR="003655A9" w:rsidRPr="00644AF5">
        <w:rPr>
          <w:rFonts w:ascii="Calibri" w:hAnsi="Calibri" w:cs="Calibri"/>
          <w:color w:val="000000" w:themeColor="text1"/>
        </w:rPr>
        <w:t xml:space="preserve">3,000 </w:t>
      </w:r>
      <w:r w:rsidR="003655A9" w:rsidRPr="00644AF5">
        <w:rPr>
          <w:rFonts w:ascii="Calibri" w:hAnsi="Calibri" w:cs="Calibri"/>
          <w:i/>
          <w:iCs/>
          <w:color w:val="000000" w:themeColor="text1"/>
        </w:rPr>
        <w:t xml:space="preserve">× </w:t>
      </w:r>
      <w:r w:rsidR="00221873" w:rsidRPr="00644AF5">
        <w:rPr>
          <w:rFonts w:ascii="Calibri" w:hAnsi="Calibri" w:cs="Calibri"/>
          <w:i/>
          <w:iCs/>
          <w:color w:val="000000" w:themeColor="text1"/>
        </w:rPr>
        <w:t>g</w:t>
      </w:r>
      <w:r w:rsidR="000579DB" w:rsidRPr="00644AF5">
        <w:rPr>
          <w:rFonts w:ascii="Calibri" w:hAnsi="Calibri" w:cs="Calibri"/>
          <w:color w:val="000000" w:themeColor="text1"/>
        </w:rPr>
        <w:t xml:space="preserve"> to pellet the cells</w:t>
      </w:r>
      <w:r w:rsidRPr="00644AF5">
        <w:rPr>
          <w:rFonts w:ascii="Calibri" w:hAnsi="Calibri" w:cs="Calibri"/>
          <w:color w:val="000000" w:themeColor="text1"/>
        </w:rPr>
        <w:t>.</w:t>
      </w:r>
    </w:p>
    <w:p w14:paraId="2B8FF878" w14:textId="77777777" w:rsidR="00E30711" w:rsidRPr="00644AF5" w:rsidRDefault="00E30711" w:rsidP="000377CA">
      <w:pPr>
        <w:pStyle w:val="NormalWeb"/>
        <w:ind w:left="0" w:firstLine="0"/>
        <w:contextualSpacing/>
        <w:rPr>
          <w:rFonts w:ascii="Calibri" w:hAnsi="Calibri" w:cs="Calibri"/>
          <w:color w:val="000000" w:themeColor="text1"/>
        </w:rPr>
      </w:pPr>
    </w:p>
    <w:p w14:paraId="031EDF7E" w14:textId="71DF02BA" w:rsidR="00F468FC" w:rsidRPr="00644AF5" w:rsidRDefault="00F468FC"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 xml:space="preserve">Carefully </w:t>
      </w:r>
      <w:r w:rsidR="000579DB" w:rsidRPr="00644AF5">
        <w:rPr>
          <w:rFonts w:ascii="Calibri" w:hAnsi="Calibri" w:cs="Calibri"/>
          <w:color w:val="000000" w:themeColor="text1"/>
        </w:rPr>
        <w:t>remove the YPD supernatant without disturbing the pellet</w:t>
      </w:r>
      <w:r w:rsidRPr="00644AF5">
        <w:rPr>
          <w:rFonts w:ascii="Calibri" w:hAnsi="Calibri" w:cs="Calibri"/>
          <w:color w:val="000000" w:themeColor="text1"/>
        </w:rPr>
        <w:t>.</w:t>
      </w:r>
    </w:p>
    <w:p w14:paraId="5589D562" w14:textId="77777777" w:rsidR="00912F59" w:rsidRPr="00644AF5" w:rsidRDefault="00912F59" w:rsidP="000377CA">
      <w:pPr>
        <w:pStyle w:val="NormalWeb"/>
        <w:ind w:left="0" w:firstLine="0"/>
        <w:contextualSpacing/>
        <w:rPr>
          <w:rFonts w:ascii="Calibri" w:hAnsi="Calibri" w:cs="Calibri"/>
          <w:color w:val="000000" w:themeColor="text1"/>
        </w:rPr>
      </w:pPr>
    </w:p>
    <w:p w14:paraId="5270A270" w14:textId="17FFB819" w:rsidR="00F468FC" w:rsidRPr="00644AF5" w:rsidRDefault="00F468FC"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 xml:space="preserve">Resuspend the pellet in planarian water </w:t>
      </w:r>
      <w:r w:rsidR="002A30EA">
        <w:rPr>
          <w:rFonts w:ascii="Calibri" w:hAnsi="Calibri" w:cs="Calibri"/>
          <w:color w:val="000000" w:themeColor="text1"/>
        </w:rPr>
        <w:t>(</w:t>
      </w:r>
      <w:r w:rsidR="00073214">
        <w:rPr>
          <w:rFonts w:ascii="Calibri" w:hAnsi="Calibri" w:cs="Calibri"/>
          <w:color w:val="000000" w:themeColor="text1"/>
        </w:rPr>
        <w:t>r</w:t>
      </w:r>
      <w:r w:rsidR="002A30EA">
        <w:rPr>
          <w:rFonts w:ascii="Calibri" w:hAnsi="Calibri" w:cs="Calibri"/>
          <w:color w:val="000000" w:themeColor="text1"/>
        </w:rPr>
        <w:t xml:space="preserve">efer to </w:t>
      </w:r>
      <w:r w:rsidR="002A30EA" w:rsidRPr="004B2C9D">
        <w:rPr>
          <w:rFonts w:ascii="Calibri" w:hAnsi="Calibri" w:cs="Calibri"/>
          <w:b/>
          <w:bCs/>
          <w:color w:val="000000" w:themeColor="text1"/>
        </w:rPr>
        <w:t>Table 2</w:t>
      </w:r>
      <w:r w:rsidR="002A30EA">
        <w:rPr>
          <w:rFonts w:ascii="Calibri" w:hAnsi="Calibri" w:cs="Calibri"/>
          <w:color w:val="000000" w:themeColor="text1"/>
        </w:rPr>
        <w:t xml:space="preserve"> for composition) </w:t>
      </w:r>
      <w:r w:rsidRPr="00644AF5">
        <w:rPr>
          <w:rFonts w:ascii="Calibri" w:hAnsi="Calibri" w:cs="Calibri"/>
          <w:color w:val="000000" w:themeColor="text1"/>
        </w:rPr>
        <w:t xml:space="preserve">in a volume equal to </w:t>
      </w:r>
      <w:r w:rsidR="000579DB" w:rsidRPr="00644AF5">
        <w:rPr>
          <w:rFonts w:ascii="Calibri" w:hAnsi="Calibri" w:cs="Calibri"/>
          <w:color w:val="000000" w:themeColor="text1"/>
        </w:rPr>
        <w:t xml:space="preserve">that of </w:t>
      </w:r>
      <w:r w:rsidRPr="00644AF5">
        <w:rPr>
          <w:rFonts w:ascii="Calibri" w:hAnsi="Calibri" w:cs="Calibri"/>
          <w:color w:val="000000" w:themeColor="text1"/>
        </w:rPr>
        <w:t>the YPD used.</w:t>
      </w:r>
    </w:p>
    <w:p w14:paraId="174A1735" w14:textId="77777777" w:rsidR="00912F59" w:rsidRPr="00644AF5" w:rsidRDefault="00912F59" w:rsidP="000377CA">
      <w:pPr>
        <w:pStyle w:val="NormalWeb"/>
        <w:ind w:left="0" w:firstLine="0"/>
        <w:contextualSpacing/>
        <w:rPr>
          <w:rFonts w:ascii="Calibri" w:hAnsi="Calibri" w:cs="Calibri"/>
          <w:color w:val="000000" w:themeColor="text1"/>
        </w:rPr>
      </w:pPr>
    </w:p>
    <w:p w14:paraId="1DCBAF42" w14:textId="7E0AF5F0" w:rsidR="00F468FC" w:rsidRPr="00644AF5" w:rsidRDefault="000579DB"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Mix thoroughly</w:t>
      </w:r>
      <w:r w:rsidR="00F468FC" w:rsidRPr="00644AF5">
        <w:rPr>
          <w:rFonts w:ascii="Calibri" w:hAnsi="Calibri" w:cs="Calibri"/>
          <w:color w:val="000000" w:themeColor="text1"/>
        </w:rPr>
        <w:t xml:space="preserve"> by vortexing.</w:t>
      </w:r>
    </w:p>
    <w:p w14:paraId="23AF4A01" w14:textId="77777777" w:rsidR="00912F59" w:rsidRPr="00644AF5" w:rsidRDefault="00912F59" w:rsidP="000377CA">
      <w:pPr>
        <w:pStyle w:val="NormalWeb"/>
        <w:ind w:left="0" w:firstLine="0"/>
        <w:contextualSpacing/>
        <w:rPr>
          <w:rFonts w:ascii="Calibri" w:hAnsi="Calibri" w:cs="Calibri"/>
          <w:color w:val="000000" w:themeColor="text1"/>
        </w:rPr>
      </w:pPr>
    </w:p>
    <w:p w14:paraId="2A0F48BA" w14:textId="48466681" w:rsidR="00F468FC" w:rsidRPr="00644AF5" w:rsidRDefault="00F468FC"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 xml:space="preserve">Repeat </w:t>
      </w:r>
      <w:proofErr w:type="gramStart"/>
      <w:r w:rsidR="00A1511E" w:rsidRPr="00644AF5">
        <w:rPr>
          <w:rFonts w:ascii="Calibri" w:hAnsi="Calibri" w:cs="Calibri"/>
          <w:color w:val="000000" w:themeColor="text1"/>
        </w:rPr>
        <w:t xml:space="preserve">steps  </w:t>
      </w:r>
      <w:r w:rsidR="002D19E4">
        <w:rPr>
          <w:rFonts w:ascii="Calibri" w:hAnsi="Calibri" w:cs="Calibri"/>
          <w:color w:val="000000" w:themeColor="text1"/>
        </w:rPr>
        <w:t>1.4.2</w:t>
      </w:r>
      <w:proofErr w:type="gramEnd"/>
      <w:r w:rsidR="002D19E4">
        <w:rPr>
          <w:rFonts w:ascii="Calibri" w:hAnsi="Calibri" w:cs="Calibri"/>
          <w:color w:val="000000" w:themeColor="text1"/>
        </w:rPr>
        <w:t>-1.4.4</w:t>
      </w:r>
      <w:r w:rsidR="00A14D83" w:rsidRPr="00644AF5">
        <w:rPr>
          <w:rFonts w:ascii="Calibri" w:hAnsi="Calibri" w:cs="Calibri"/>
          <w:color w:val="000000" w:themeColor="text1"/>
        </w:rPr>
        <w:t xml:space="preserve"> </w:t>
      </w:r>
      <w:r w:rsidRPr="00644AF5">
        <w:rPr>
          <w:rFonts w:ascii="Calibri" w:hAnsi="Calibri" w:cs="Calibri"/>
          <w:color w:val="000000" w:themeColor="text1"/>
        </w:rPr>
        <w:t>tw</w:t>
      </w:r>
      <w:r w:rsidR="00A53F39" w:rsidRPr="00644AF5">
        <w:rPr>
          <w:rFonts w:ascii="Calibri" w:hAnsi="Calibri" w:cs="Calibri"/>
          <w:color w:val="000000" w:themeColor="text1"/>
        </w:rPr>
        <w:t>ice more</w:t>
      </w:r>
      <w:r w:rsidR="000579DB" w:rsidRPr="00644AF5">
        <w:rPr>
          <w:rFonts w:ascii="Calibri" w:hAnsi="Calibri" w:cs="Calibri"/>
          <w:color w:val="000000" w:themeColor="text1"/>
        </w:rPr>
        <w:t xml:space="preserve"> to remove </w:t>
      </w:r>
      <w:r w:rsidR="00A53F39" w:rsidRPr="00644AF5">
        <w:rPr>
          <w:rFonts w:ascii="Calibri" w:hAnsi="Calibri" w:cs="Calibri"/>
          <w:color w:val="000000" w:themeColor="text1"/>
        </w:rPr>
        <w:t xml:space="preserve">the </w:t>
      </w:r>
      <w:r w:rsidR="000579DB" w:rsidRPr="00644AF5">
        <w:rPr>
          <w:rFonts w:ascii="Calibri" w:hAnsi="Calibri" w:cs="Calibri"/>
          <w:color w:val="000000" w:themeColor="text1"/>
        </w:rPr>
        <w:t>growth media</w:t>
      </w:r>
      <w:r w:rsidR="00A53F39" w:rsidRPr="00644AF5">
        <w:rPr>
          <w:rFonts w:ascii="Calibri" w:hAnsi="Calibri" w:cs="Calibri"/>
          <w:color w:val="000000" w:themeColor="text1"/>
        </w:rPr>
        <w:t xml:space="preserve"> entirely</w:t>
      </w:r>
      <w:r w:rsidRPr="00644AF5">
        <w:rPr>
          <w:rFonts w:ascii="Calibri" w:hAnsi="Calibri" w:cs="Calibri"/>
          <w:color w:val="000000" w:themeColor="text1"/>
        </w:rPr>
        <w:t>.</w:t>
      </w:r>
    </w:p>
    <w:p w14:paraId="70B8821E" w14:textId="77777777" w:rsidR="00912F59" w:rsidRPr="00644AF5" w:rsidRDefault="00912F59" w:rsidP="000377CA">
      <w:pPr>
        <w:pStyle w:val="NormalWeb"/>
        <w:ind w:left="0" w:firstLine="0"/>
        <w:contextualSpacing/>
        <w:rPr>
          <w:rFonts w:ascii="Calibri" w:hAnsi="Calibri" w:cs="Calibri"/>
          <w:color w:val="000000" w:themeColor="text1"/>
        </w:rPr>
      </w:pPr>
    </w:p>
    <w:p w14:paraId="2765C191" w14:textId="1AD7A1FE" w:rsidR="00F468FC" w:rsidRPr="00644AF5" w:rsidRDefault="00F468FC"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 xml:space="preserve">After the </w:t>
      </w:r>
      <w:r w:rsidR="003D76F2" w:rsidRPr="00644AF5">
        <w:rPr>
          <w:rFonts w:ascii="Calibri" w:hAnsi="Calibri" w:cs="Calibri"/>
          <w:color w:val="000000" w:themeColor="text1"/>
        </w:rPr>
        <w:t>final</w:t>
      </w:r>
      <w:r w:rsidRPr="00644AF5">
        <w:rPr>
          <w:rFonts w:ascii="Calibri" w:hAnsi="Calibri" w:cs="Calibri"/>
          <w:color w:val="000000" w:themeColor="text1"/>
        </w:rPr>
        <w:t xml:space="preserve"> wash, resuspend </w:t>
      </w:r>
      <w:r w:rsidR="00A374C3" w:rsidRPr="00644AF5">
        <w:rPr>
          <w:rFonts w:ascii="Calibri" w:hAnsi="Calibri" w:cs="Calibri"/>
          <w:color w:val="000000" w:themeColor="text1"/>
        </w:rPr>
        <w:t xml:space="preserve">the </w:t>
      </w:r>
      <w:r w:rsidRPr="00644AF5">
        <w:rPr>
          <w:rFonts w:ascii="Calibri" w:hAnsi="Calibri" w:cs="Calibri"/>
          <w:color w:val="000000" w:themeColor="text1"/>
        </w:rPr>
        <w:t>cell</w:t>
      </w:r>
      <w:r w:rsidR="00A374C3" w:rsidRPr="00644AF5">
        <w:rPr>
          <w:rFonts w:ascii="Calibri" w:hAnsi="Calibri" w:cs="Calibri"/>
          <w:color w:val="000000" w:themeColor="text1"/>
        </w:rPr>
        <w:t xml:space="preserve"> pellet</w:t>
      </w:r>
      <w:r w:rsidRPr="00644AF5">
        <w:rPr>
          <w:rFonts w:ascii="Calibri" w:hAnsi="Calibri" w:cs="Calibri"/>
          <w:color w:val="000000" w:themeColor="text1"/>
        </w:rPr>
        <w:t xml:space="preserve"> in fresh planarian water</w:t>
      </w:r>
      <w:r w:rsidR="00441886" w:rsidRPr="00644AF5">
        <w:rPr>
          <w:rFonts w:ascii="Calibri" w:hAnsi="Calibri" w:cs="Calibri"/>
          <w:color w:val="000000" w:themeColor="text1"/>
        </w:rPr>
        <w:t xml:space="preserve"> by vortexing</w:t>
      </w:r>
      <w:r w:rsidRPr="00644AF5">
        <w:rPr>
          <w:rFonts w:ascii="Calibri" w:hAnsi="Calibri" w:cs="Calibri"/>
          <w:color w:val="000000" w:themeColor="text1"/>
        </w:rPr>
        <w:t>.</w:t>
      </w:r>
    </w:p>
    <w:p w14:paraId="7D3F2C41" w14:textId="77777777" w:rsidR="0050471E" w:rsidRPr="00644AF5" w:rsidRDefault="0050471E" w:rsidP="000377CA">
      <w:pPr>
        <w:pStyle w:val="NormalWeb"/>
        <w:ind w:left="0" w:firstLine="0"/>
        <w:contextualSpacing/>
        <w:rPr>
          <w:rFonts w:ascii="Calibri" w:hAnsi="Calibri" w:cs="Calibri"/>
          <w:color w:val="000000" w:themeColor="text1"/>
        </w:rPr>
      </w:pPr>
    </w:p>
    <w:p w14:paraId="26A0C4F9" w14:textId="713F7365" w:rsidR="0006443E" w:rsidRPr="004A6EF9" w:rsidRDefault="00F468FC" w:rsidP="000377CA">
      <w:pPr>
        <w:pStyle w:val="Heading3"/>
        <w:numPr>
          <w:ilvl w:val="1"/>
          <w:numId w:val="4"/>
        </w:numPr>
        <w:spacing w:before="0"/>
        <w:ind w:left="0" w:firstLine="0"/>
        <w:contextualSpacing/>
        <w:jc w:val="left"/>
        <w:rPr>
          <w:rFonts w:ascii="Calibri" w:hAnsi="Calibri" w:cs="Calibri"/>
          <w:b w:val="0"/>
          <w:bCs/>
          <w:color w:val="000000" w:themeColor="text1"/>
        </w:rPr>
      </w:pPr>
      <w:r w:rsidRPr="004A6EF9">
        <w:rPr>
          <w:rFonts w:ascii="Calibri" w:hAnsi="Calibri" w:cs="Calibri"/>
          <w:b w:val="0"/>
          <w:bCs/>
          <w:color w:val="000000" w:themeColor="text1"/>
        </w:rPr>
        <w:t>Quantify</w:t>
      </w:r>
      <w:r w:rsidR="00EE33FC" w:rsidRPr="004A6EF9">
        <w:rPr>
          <w:rFonts w:ascii="Calibri" w:hAnsi="Calibri" w:cs="Calibri"/>
          <w:b w:val="0"/>
          <w:bCs/>
          <w:color w:val="000000" w:themeColor="text1"/>
        </w:rPr>
        <w:t>ing</w:t>
      </w:r>
      <w:r w:rsidRPr="004A6EF9">
        <w:rPr>
          <w:rFonts w:ascii="Calibri" w:hAnsi="Calibri" w:cs="Calibri"/>
          <w:b w:val="0"/>
          <w:bCs/>
          <w:color w:val="000000" w:themeColor="text1"/>
        </w:rPr>
        <w:t xml:space="preserve"> </w:t>
      </w:r>
      <w:r w:rsidR="001D3790" w:rsidRPr="004A6EF9">
        <w:rPr>
          <w:rFonts w:ascii="Calibri" w:hAnsi="Calibri" w:cs="Calibri"/>
          <w:b w:val="0"/>
          <w:bCs/>
          <w:i/>
          <w:iCs/>
          <w:color w:val="000000" w:themeColor="text1"/>
        </w:rPr>
        <w:t>C. albicans</w:t>
      </w:r>
      <w:r w:rsidR="001D3790" w:rsidRPr="004A6EF9">
        <w:rPr>
          <w:rFonts w:ascii="Calibri" w:hAnsi="Calibri" w:cs="Calibri"/>
          <w:b w:val="0"/>
          <w:bCs/>
          <w:color w:val="000000" w:themeColor="text1"/>
        </w:rPr>
        <w:t xml:space="preserve"> </w:t>
      </w:r>
      <w:r w:rsidR="002A30EA" w:rsidRPr="004A6EF9">
        <w:rPr>
          <w:rFonts w:ascii="Calibri" w:hAnsi="Calibri" w:cs="Calibri"/>
          <w:b w:val="0"/>
          <w:bCs/>
          <w:color w:val="000000" w:themeColor="text1"/>
        </w:rPr>
        <w:t>cell concentration</w:t>
      </w:r>
    </w:p>
    <w:p w14:paraId="7E6962DE" w14:textId="77777777" w:rsidR="00912F59" w:rsidRPr="004A6EF9" w:rsidRDefault="00912F59" w:rsidP="000377CA">
      <w:pPr>
        <w:rPr>
          <w:rFonts w:ascii="Calibri" w:hAnsi="Calibri" w:cs="Calibri"/>
          <w:bCs/>
          <w:color w:val="000000" w:themeColor="text1"/>
        </w:rPr>
      </w:pPr>
    </w:p>
    <w:p w14:paraId="23AE41C9" w14:textId="58764CE7" w:rsidR="00F468FC" w:rsidRPr="004A6EF9" w:rsidRDefault="00F468FC" w:rsidP="000377CA">
      <w:pPr>
        <w:pStyle w:val="NormalWeb"/>
        <w:numPr>
          <w:ilvl w:val="2"/>
          <w:numId w:val="4"/>
        </w:numPr>
        <w:ind w:left="0" w:firstLine="0"/>
        <w:contextualSpacing/>
        <w:rPr>
          <w:rStyle w:val="Strong"/>
          <w:rFonts w:ascii="Calibri" w:hAnsi="Calibri" w:cs="Calibri"/>
          <w:b w:val="0"/>
          <w:color w:val="000000" w:themeColor="text1"/>
        </w:rPr>
      </w:pPr>
      <w:r w:rsidRPr="004A6EF9">
        <w:rPr>
          <w:rStyle w:val="Strong"/>
          <w:rFonts w:ascii="Calibri" w:hAnsi="Calibri" w:cs="Calibri"/>
          <w:b w:val="0"/>
          <w:color w:val="000000" w:themeColor="text1"/>
        </w:rPr>
        <w:t xml:space="preserve">Dilution for OD </w:t>
      </w:r>
      <w:r w:rsidR="002A30EA" w:rsidRPr="004A6EF9">
        <w:rPr>
          <w:rStyle w:val="Strong"/>
          <w:rFonts w:ascii="Calibri" w:hAnsi="Calibri" w:cs="Calibri"/>
          <w:b w:val="0"/>
          <w:color w:val="000000" w:themeColor="text1"/>
        </w:rPr>
        <w:t>measurement</w:t>
      </w:r>
    </w:p>
    <w:p w14:paraId="532E06FE" w14:textId="77777777" w:rsidR="00912F59" w:rsidRPr="00644AF5" w:rsidRDefault="00912F59" w:rsidP="000377CA">
      <w:pPr>
        <w:pStyle w:val="NormalWeb"/>
        <w:ind w:left="0" w:firstLine="0"/>
        <w:contextualSpacing/>
        <w:rPr>
          <w:rFonts w:ascii="Calibri" w:hAnsi="Calibri" w:cs="Calibri"/>
          <w:color w:val="000000" w:themeColor="text1"/>
        </w:rPr>
      </w:pPr>
    </w:p>
    <w:p w14:paraId="6F1E8479" w14:textId="596D67B8" w:rsidR="00F468FC" w:rsidRPr="00644AF5" w:rsidRDefault="002A30EA"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1.5.1.1 </w:t>
      </w:r>
      <w:r w:rsidR="00F468FC" w:rsidRPr="00644AF5">
        <w:rPr>
          <w:rFonts w:ascii="Calibri" w:hAnsi="Calibri" w:cs="Calibri"/>
          <w:color w:val="000000" w:themeColor="text1"/>
        </w:rPr>
        <w:t xml:space="preserve">Prepare three sterile 1.7 mL </w:t>
      </w:r>
      <w:r w:rsidR="00F074B5">
        <w:rPr>
          <w:rFonts w:ascii="Calibri" w:hAnsi="Calibri" w:cs="Calibri"/>
          <w:color w:val="000000" w:themeColor="text1"/>
        </w:rPr>
        <w:t xml:space="preserve">microcentrifuge </w:t>
      </w:r>
      <w:r w:rsidR="00F468FC" w:rsidRPr="00644AF5">
        <w:rPr>
          <w:rFonts w:ascii="Calibri" w:hAnsi="Calibri" w:cs="Calibri"/>
          <w:color w:val="000000" w:themeColor="text1"/>
        </w:rPr>
        <w:t>tubes with a 1:20 dilution (50 µL culture + 950 µL planarian water)</w:t>
      </w:r>
      <w:r w:rsidR="001D3790" w:rsidRPr="00644AF5">
        <w:rPr>
          <w:rFonts w:ascii="Calibri" w:hAnsi="Calibri" w:cs="Calibri"/>
          <w:color w:val="000000" w:themeColor="text1"/>
        </w:rPr>
        <w:t xml:space="preserve"> or </w:t>
      </w:r>
      <w:r w:rsidR="00A374C3" w:rsidRPr="00644AF5">
        <w:rPr>
          <w:rFonts w:ascii="Calibri" w:hAnsi="Calibri" w:cs="Calibri"/>
          <w:color w:val="000000" w:themeColor="text1"/>
        </w:rPr>
        <w:t xml:space="preserve">an alternative </w:t>
      </w:r>
      <w:r w:rsidR="001D3790" w:rsidRPr="00644AF5">
        <w:rPr>
          <w:rFonts w:ascii="Calibri" w:hAnsi="Calibri" w:cs="Calibri"/>
          <w:color w:val="000000" w:themeColor="text1"/>
        </w:rPr>
        <w:t>chosen dilution factor</w:t>
      </w:r>
      <w:r w:rsidR="00F468FC" w:rsidRPr="00644AF5">
        <w:rPr>
          <w:rFonts w:ascii="Calibri" w:hAnsi="Calibri" w:cs="Calibri"/>
          <w:color w:val="000000" w:themeColor="text1"/>
        </w:rPr>
        <w:t>. Mix thoroughly.</w:t>
      </w:r>
    </w:p>
    <w:p w14:paraId="0630511C" w14:textId="77777777" w:rsidR="00912F59" w:rsidRPr="00644AF5" w:rsidRDefault="00912F59" w:rsidP="000377CA">
      <w:pPr>
        <w:pStyle w:val="NormalWeb"/>
        <w:ind w:left="0" w:firstLine="0"/>
        <w:contextualSpacing/>
        <w:rPr>
          <w:rFonts w:ascii="Calibri" w:hAnsi="Calibri" w:cs="Calibri"/>
          <w:color w:val="000000" w:themeColor="text1"/>
        </w:rPr>
      </w:pPr>
    </w:p>
    <w:p w14:paraId="00CD089A" w14:textId="22CB50F5" w:rsidR="00F468FC" w:rsidRPr="00644AF5" w:rsidRDefault="002A30EA"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1.5.1.2 </w:t>
      </w:r>
      <w:r w:rsidR="00F468FC" w:rsidRPr="00644AF5">
        <w:rPr>
          <w:rFonts w:ascii="Calibri" w:hAnsi="Calibri" w:cs="Calibri"/>
          <w:color w:val="000000" w:themeColor="text1"/>
        </w:rPr>
        <w:t>Prepare a blank tube containing 1000 µL planarian water.</w:t>
      </w:r>
    </w:p>
    <w:p w14:paraId="691FAE9F" w14:textId="77777777" w:rsidR="00912F59" w:rsidRPr="00644AF5" w:rsidRDefault="00912F59" w:rsidP="000377CA">
      <w:pPr>
        <w:pStyle w:val="NormalWeb"/>
        <w:ind w:left="0" w:firstLine="0"/>
        <w:contextualSpacing/>
        <w:rPr>
          <w:rFonts w:ascii="Calibri" w:hAnsi="Calibri" w:cs="Calibri"/>
          <w:color w:val="000000" w:themeColor="text1"/>
        </w:rPr>
      </w:pPr>
    </w:p>
    <w:p w14:paraId="54CFABF9" w14:textId="53778F18" w:rsidR="00F468FC" w:rsidRPr="004A6EF9" w:rsidRDefault="00F468FC" w:rsidP="000377CA">
      <w:pPr>
        <w:pStyle w:val="NormalWeb"/>
        <w:numPr>
          <w:ilvl w:val="2"/>
          <w:numId w:val="4"/>
        </w:numPr>
        <w:ind w:left="0" w:firstLine="0"/>
        <w:contextualSpacing/>
        <w:rPr>
          <w:rStyle w:val="Strong"/>
          <w:rFonts w:ascii="Calibri" w:hAnsi="Calibri" w:cs="Calibri"/>
          <w:b w:val="0"/>
          <w:bCs w:val="0"/>
          <w:color w:val="000000" w:themeColor="text1"/>
        </w:rPr>
      </w:pPr>
      <w:r w:rsidRPr="004A6EF9">
        <w:rPr>
          <w:rStyle w:val="Strong"/>
          <w:rFonts w:ascii="Calibri" w:hAnsi="Calibri" w:cs="Calibri"/>
          <w:b w:val="0"/>
          <w:bCs w:val="0"/>
          <w:color w:val="000000" w:themeColor="text1"/>
        </w:rPr>
        <w:t>Spectrophotometry</w:t>
      </w:r>
    </w:p>
    <w:p w14:paraId="36313528" w14:textId="77777777" w:rsidR="00912F59" w:rsidRPr="00644AF5" w:rsidRDefault="00912F59" w:rsidP="000377CA">
      <w:pPr>
        <w:pStyle w:val="NormalWeb"/>
        <w:ind w:left="0" w:firstLine="0"/>
        <w:contextualSpacing/>
        <w:rPr>
          <w:rFonts w:ascii="Calibri" w:hAnsi="Calibri" w:cs="Calibri"/>
          <w:color w:val="000000" w:themeColor="text1"/>
        </w:rPr>
      </w:pPr>
    </w:p>
    <w:p w14:paraId="5CA4E8D7" w14:textId="2B9C608F" w:rsidR="00843A10" w:rsidRPr="00644AF5" w:rsidRDefault="002A30EA"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1.5.2.1 </w:t>
      </w:r>
      <w:r w:rsidR="00843A10" w:rsidRPr="00644AF5">
        <w:rPr>
          <w:rFonts w:ascii="Calibri" w:hAnsi="Calibri" w:cs="Calibri"/>
          <w:color w:val="000000" w:themeColor="text1"/>
        </w:rPr>
        <w:t xml:space="preserve">Set </w:t>
      </w:r>
      <w:r w:rsidR="00A374C3" w:rsidRPr="00644AF5">
        <w:rPr>
          <w:rFonts w:ascii="Calibri" w:hAnsi="Calibri" w:cs="Calibri"/>
          <w:color w:val="000000" w:themeColor="text1"/>
        </w:rPr>
        <w:t xml:space="preserve">the spectrophotometer </w:t>
      </w:r>
      <w:r w:rsidR="00843A10" w:rsidRPr="00644AF5">
        <w:rPr>
          <w:rFonts w:ascii="Calibri" w:hAnsi="Calibri" w:cs="Calibri"/>
          <w:color w:val="000000" w:themeColor="text1"/>
        </w:rPr>
        <w:t>to measure</w:t>
      </w:r>
      <w:r w:rsidR="00A374C3" w:rsidRPr="00644AF5">
        <w:rPr>
          <w:rFonts w:ascii="Calibri" w:hAnsi="Calibri" w:cs="Calibri"/>
          <w:color w:val="000000" w:themeColor="text1"/>
        </w:rPr>
        <w:t xml:space="preserve"> optical density at 600 nm (</w:t>
      </w:r>
      <w:r w:rsidR="00843A10" w:rsidRPr="00644AF5">
        <w:rPr>
          <w:rFonts w:ascii="Calibri" w:hAnsi="Calibri" w:cs="Calibri"/>
          <w:color w:val="000000" w:themeColor="text1"/>
        </w:rPr>
        <w:t>OD₆₀₀</w:t>
      </w:r>
      <w:r w:rsidR="00A374C3" w:rsidRPr="00644AF5">
        <w:rPr>
          <w:rFonts w:ascii="Calibri" w:hAnsi="Calibri" w:cs="Calibri"/>
          <w:color w:val="000000" w:themeColor="text1"/>
        </w:rPr>
        <w:t>).</w:t>
      </w:r>
    </w:p>
    <w:p w14:paraId="1F4ADAF3" w14:textId="77777777" w:rsidR="00912F59" w:rsidRPr="00644AF5" w:rsidRDefault="00912F59" w:rsidP="000377CA">
      <w:pPr>
        <w:pStyle w:val="NormalWeb"/>
        <w:ind w:left="0" w:firstLine="0"/>
        <w:contextualSpacing/>
        <w:rPr>
          <w:rFonts w:ascii="Calibri" w:hAnsi="Calibri" w:cs="Calibri"/>
          <w:color w:val="000000" w:themeColor="text1"/>
        </w:rPr>
      </w:pPr>
    </w:p>
    <w:p w14:paraId="3E0559DB" w14:textId="6F801061" w:rsidR="00F468FC" w:rsidRPr="00644AF5" w:rsidRDefault="002A30EA"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1.5.2.2 </w:t>
      </w:r>
      <w:r w:rsidR="00F468FC" w:rsidRPr="00644AF5">
        <w:rPr>
          <w:rFonts w:ascii="Calibri" w:hAnsi="Calibri" w:cs="Calibri"/>
          <w:color w:val="000000" w:themeColor="text1"/>
        </w:rPr>
        <w:t xml:space="preserve">Blank the spectrophotometer </w:t>
      </w:r>
      <w:r w:rsidR="00A374C3" w:rsidRPr="00644AF5">
        <w:rPr>
          <w:rFonts w:ascii="Calibri" w:hAnsi="Calibri" w:cs="Calibri"/>
          <w:color w:val="000000" w:themeColor="text1"/>
        </w:rPr>
        <w:t xml:space="preserve">with </w:t>
      </w:r>
      <w:r w:rsidR="00F468FC" w:rsidRPr="00644AF5">
        <w:rPr>
          <w:rFonts w:ascii="Calibri" w:hAnsi="Calibri" w:cs="Calibri"/>
          <w:color w:val="000000" w:themeColor="text1"/>
        </w:rPr>
        <w:t>planarian water.</w:t>
      </w:r>
    </w:p>
    <w:p w14:paraId="19521DA0" w14:textId="77777777" w:rsidR="00912F59" w:rsidRPr="00644AF5" w:rsidRDefault="00912F59" w:rsidP="000377CA">
      <w:pPr>
        <w:pStyle w:val="NormalWeb"/>
        <w:ind w:left="0" w:firstLine="0"/>
        <w:contextualSpacing/>
        <w:rPr>
          <w:rFonts w:ascii="Calibri" w:hAnsi="Calibri" w:cs="Calibri"/>
          <w:color w:val="000000" w:themeColor="text1"/>
        </w:rPr>
      </w:pPr>
    </w:p>
    <w:p w14:paraId="6E550929" w14:textId="3891E9E1" w:rsidR="00F468FC" w:rsidRPr="00644AF5" w:rsidRDefault="002A30EA"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1.5.2.3 </w:t>
      </w:r>
      <w:r w:rsidR="00A374C3" w:rsidRPr="00644AF5">
        <w:rPr>
          <w:rFonts w:ascii="Calibri" w:hAnsi="Calibri" w:cs="Calibri"/>
          <w:color w:val="000000" w:themeColor="text1"/>
        </w:rPr>
        <w:t>M</w:t>
      </w:r>
      <w:r w:rsidR="00F468FC" w:rsidRPr="00644AF5">
        <w:rPr>
          <w:rFonts w:ascii="Calibri" w:hAnsi="Calibri" w:cs="Calibri"/>
          <w:color w:val="000000" w:themeColor="text1"/>
        </w:rPr>
        <w:t xml:space="preserve">easure OD₆₀₀ for each diluted </w:t>
      </w:r>
      <w:r w:rsidR="00A374C3" w:rsidRPr="00644AF5">
        <w:rPr>
          <w:rFonts w:ascii="Calibri" w:hAnsi="Calibri" w:cs="Calibri"/>
          <w:color w:val="000000" w:themeColor="text1"/>
        </w:rPr>
        <w:t>sample and r</w:t>
      </w:r>
      <w:r w:rsidR="00F468FC" w:rsidRPr="00644AF5">
        <w:rPr>
          <w:rFonts w:ascii="Calibri" w:hAnsi="Calibri" w:cs="Calibri"/>
          <w:color w:val="000000" w:themeColor="text1"/>
        </w:rPr>
        <w:t>ecord values.</w:t>
      </w:r>
    </w:p>
    <w:p w14:paraId="0BCC582C" w14:textId="77777777" w:rsidR="00912F59" w:rsidRPr="00644AF5" w:rsidRDefault="00912F59" w:rsidP="000377CA">
      <w:pPr>
        <w:pStyle w:val="NormalWeb"/>
        <w:ind w:left="0" w:firstLine="0"/>
        <w:contextualSpacing/>
        <w:rPr>
          <w:rFonts w:ascii="Calibri" w:hAnsi="Calibri" w:cs="Calibri"/>
          <w:color w:val="000000" w:themeColor="text1"/>
        </w:rPr>
      </w:pPr>
    </w:p>
    <w:p w14:paraId="6825903D" w14:textId="5D7D4D66" w:rsidR="00F468FC" w:rsidRPr="00644AF5" w:rsidRDefault="002A30EA" w:rsidP="000377CA">
      <w:pPr>
        <w:pStyle w:val="NormalWeb"/>
        <w:ind w:left="0" w:firstLine="0"/>
        <w:contextualSpacing/>
        <w:rPr>
          <w:rStyle w:val="Strong"/>
          <w:rFonts w:ascii="Calibri" w:hAnsi="Calibri" w:cs="Calibri"/>
          <w:b w:val="0"/>
          <w:bCs w:val="0"/>
          <w:color w:val="000000" w:themeColor="text1"/>
        </w:rPr>
      </w:pPr>
      <w:r>
        <w:rPr>
          <w:rFonts w:ascii="Calibri" w:hAnsi="Calibri" w:cs="Calibri"/>
          <w:color w:val="000000" w:themeColor="text1"/>
        </w:rPr>
        <w:t xml:space="preserve">1.5.2.4 </w:t>
      </w:r>
      <w:r w:rsidR="00F468FC" w:rsidRPr="00644AF5">
        <w:rPr>
          <w:rFonts w:ascii="Calibri" w:hAnsi="Calibri" w:cs="Calibri"/>
          <w:color w:val="000000" w:themeColor="text1"/>
        </w:rPr>
        <w:t xml:space="preserve">Average the three </w:t>
      </w:r>
      <w:r w:rsidR="00A374C3" w:rsidRPr="00644AF5">
        <w:rPr>
          <w:rFonts w:ascii="Calibri" w:hAnsi="Calibri" w:cs="Calibri"/>
          <w:color w:val="000000" w:themeColor="text1"/>
        </w:rPr>
        <w:t>readings and multiply by the dilution factor to determine the OD₆₀₀ of the stock culture.</w:t>
      </w:r>
      <w:r>
        <w:rPr>
          <w:rFonts w:ascii="Calibri" w:hAnsi="Calibri" w:cs="Calibri"/>
          <w:color w:val="000000" w:themeColor="text1"/>
        </w:rPr>
        <w:t xml:space="preserve"> </w:t>
      </w:r>
      <w:r w:rsidR="00F468FC" w:rsidRPr="00644AF5">
        <w:rPr>
          <w:rStyle w:val="Strong"/>
          <w:rFonts w:ascii="Calibri" w:hAnsi="Calibri" w:cs="Calibri"/>
          <w:b w:val="0"/>
          <w:bCs w:val="0"/>
          <w:color w:val="000000" w:themeColor="text1"/>
        </w:rPr>
        <w:t xml:space="preserve">Convert </w:t>
      </w:r>
      <w:r w:rsidR="00A374C3" w:rsidRPr="00644AF5">
        <w:rPr>
          <w:rFonts w:ascii="Calibri" w:hAnsi="Calibri" w:cs="Calibri"/>
          <w:color w:val="000000" w:themeColor="text1"/>
        </w:rPr>
        <w:t xml:space="preserve">OD₆₀₀ </w:t>
      </w:r>
      <w:r w:rsidR="00F468FC" w:rsidRPr="00644AF5">
        <w:rPr>
          <w:rStyle w:val="Strong"/>
          <w:rFonts w:ascii="Calibri" w:hAnsi="Calibri" w:cs="Calibri"/>
          <w:b w:val="0"/>
          <w:bCs w:val="0"/>
          <w:color w:val="000000" w:themeColor="text1"/>
        </w:rPr>
        <w:t xml:space="preserve">to </w:t>
      </w:r>
      <w:r w:rsidR="001D3790" w:rsidRPr="00644AF5">
        <w:rPr>
          <w:rStyle w:val="Strong"/>
          <w:rFonts w:ascii="Calibri" w:hAnsi="Calibri" w:cs="Calibri"/>
          <w:b w:val="0"/>
          <w:bCs w:val="0"/>
          <w:color w:val="000000" w:themeColor="text1"/>
        </w:rPr>
        <w:t>c</w:t>
      </w:r>
      <w:r w:rsidR="00F468FC" w:rsidRPr="00644AF5">
        <w:rPr>
          <w:rStyle w:val="Strong"/>
          <w:rFonts w:ascii="Calibri" w:hAnsi="Calibri" w:cs="Calibri"/>
          <w:b w:val="0"/>
          <w:bCs w:val="0"/>
          <w:color w:val="000000" w:themeColor="text1"/>
        </w:rPr>
        <w:t xml:space="preserve">ell </w:t>
      </w:r>
      <w:r w:rsidR="001D3790" w:rsidRPr="00644AF5">
        <w:rPr>
          <w:rStyle w:val="Strong"/>
          <w:rFonts w:ascii="Calibri" w:hAnsi="Calibri" w:cs="Calibri"/>
          <w:b w:val="0"/>
          <w:bCs w:val="0"/>
          <w:color w:val="000000" w:themeColor="text1"/>
        </w:rPr>
        <w:t>c</w:t>
      </w:r>
      <w:r w:rsidR="00F468FC" w:rsidRPr="00644AF5">
        <w:rPr>
          <w:rStyle w:val="Strong"/>
          <w:rFonts w:ascii="Calibri" w:hAnsi="Calibri" w:cs="Calibri"/>
          <w:b w:val="0"/>
          <w:bCs w:val="0"/>
          <w:color w:val="000000" w:themeColor="text1"/>
        </w:rPr>
        <w:t>oncentration</w:t>
      </w:r>
    </w:p>
    <w:p w14:paraId="7F3EB47C" w14:textId="77777777" w:rsidR="00912F59" w:rsidRPr="00644AF5" w:rsidRDefault="00912F59" w:rsidP="000377CA">
      <w:pPr>
        <w:pStyle w:val="NormalWeb"/>
        <w:ind w:left="0" w:firstLine="0"/>
        <w:contextualSpacing/>
        <w:rPr>
          <w:rFonts w:ascii="Calibri" w:hAnsi="Calibri" w:cs="Calibri"/>
          <w:color w:val="000000" w:themeColor="text1"/>
        </w:rPr>
      </w:pPr>
    </w:p>
    <w:p w14:paraId="041B7531" w14:textId="3E8A0046" w:rsidR="00F468FC" w:rsidRPr="00644AF5" w:rsidRDefault="001D3790" w:rsidP="000377CA">
      <w:pPr>
        <w:pStyle w:val="NormalWeb"/>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NOTE: </w:t>
      </w:r>
      <w:r w:rsidR="00A374C3" w:rsidRPr="00644AF5">
        <w:rPr>
          <w:rFonts w:ascii="Calibri" w:hAnsi="Calibri" w:cs="Calibri"/>
          <w:color w:val="000000" w:themeColor="text1"/>
        </w:rPr>
        <w:t>The optical density conversion factor should be determined empirically for each spectrophotometer.</w:t>
      </w:r>
      <w:r w:rsidRPr="00644AF5">
        <w:rPr>
          <w:rFonts w:ascii="Calibri" w:hAnsi="Calibri" w:cs="Calibri"/>
          <w:color w:val="000000" w:themeColor="text1"/>
        </w:rPr>
        <w:t xml:space="preserve"> </w:t>
      </w:r>
      <w:r w:rsidR="007756F1" w:rsidRPr="007756F1">
        <w:rPr>
          <w:rFonts w:ascii="Calibri" w:hAnsi="Calibri" w:cs="Calibri"/>
          <w:color w:val="000000" w:themeColor="text1"/>
        </w:rPr>
        <w:t>Based on the specific instrumentation used, an OD</w:t>
      </w:r>
      <w:r w:rsidR="007756F1">
        <w:rPr>
          <w:rFonts w:ascii="Calibri" w:hAnsi="Calibri" w:cs="Calibri"/>
          <w:color w:val="000000" w:themeColor="text1"/>
          <w:vertAlign w:val="subscript"/>
        </w:rPr>
        <w:t xml:space="preserve">600 </w:t>
      </w:r>
      <w:r w:rsidR="007756F1" w:rsidRPr="007756F1">
        <w:rPr>
          <w:rFonts w:ascii="Calibri" w:hAnsi="Calibri" w:cs="Calibri"/>
          <w:color w:val="000000" w:themeColor="text1"/>
        </w:rPr>
        <w:t xml:space="preserve">of 1 corresponds to approximately 2 </w:t>
      </w:r>
      <w:r w:rsidR="007756F1">
        <w:rPr>
          <w:rFonts w:ascii="Calibri" w:hAnsi="Calibri" w:cs="Calibri"/>
          <w:color w:val="000000" w:themeColor="text1"/>
        </w:rPr>
        <w:t>×</w:t>
      </w:r>
      <w:r w:rsidR="007756F1" w:rsidRPr="007756F1">
        <w:rPr>
          <w:rFonts w:ascii="Calibri" w:hAnsi="Calibri" w:cs="Calibri"/>
          <w:color w:val="000000" w:themeColor="text1"/>
        </w:rPr>
        <w:t>10</w:t>
      </w:r>
      <w:r w:rsidR="007756F1" w:rsidRPr="007756F1">
        <w:rPr>
          <w:rFonts w:ascii="Calibri" w:hAnsi="Calibri" w:cs="Calibri"/>
          <w:color w:val="000000" w:themeColor="text1"/>
          <w:vertAlign w:val="superscript"/>
        </w:rPr>
        <w:t>7</w:t>
      </w:r>
      <w:r w:rsidR="007756F1" w:rsidRPr="007756F1">
        <w:rPr>
          <w:rFonts w:ascii="Calibri" w:hAnsi="Calibri" w:cs="Calibri"/>
          <w:color w:val="000000" w:themeColor="text1"/>
        </w:rPr>
        <w:t xml:space="preserve"> </w:t>
      </w:r>
      <w:r w:rsidR="007756F1" w:rsidRPr="007756F1">
        <w:rPr>
          <w:rFonts w:ascii="Calibri" w:hAnsi="Calibri" w:cs="Calibri"/>
          <w:i/>
          <w:iCs/>
          <w:color w:val="000000" w:themeColor="text1"/>
        </w:rPr>
        <w:t>C. albicans</w:t>
      </w:r>
      <w:r w:rsidR="007756F1" w:rsidRPr="007756F1">
        <w:rPr>
          <w:rFonts w:ascii="Calibri" w:hAnsi="Calibri" w:cs="Calibri"/>
          <w:color w:val="000000" w:themeColor="text1"/>
        </w:rPr>
        <w:t xml:space="preserve"> cells/mL</w:t>
      </w:r>
      <w:r w:rsidR="007756F1">
        <w:rPr>
          <w:rFonts w:ascii="Calibri" w:hAnsi="Calibri" w:cs="Calibri"/>
          <w:color w:val="000000" w:themeColor="text1"/>
          <w:vertAlign w:val="superscript"/>
        </w:rPr>
        <w:t>52</w:t>
      </w:r>
      <w:r w:rsidR="00F468FC" w:rsidRPr="00644AF5">
        <w:rPr>
          <w:rFonts w:ascii="Calibri" w:hAnsi="Calibri" w:cs="Calibri"/>
          <w:color w:val="000000" w:themeColor="text1"/>
        </w:rPr>
        <w:t>.</w:t>
      </w:r>
      <w:r w:rsidR="00843A10" w:rsidRPr="00644AF5">
        <w:rPr>
          <w:rFonts w:ascii="Calibri" w:hAnsi="Calibri" w:cs="Calibri"/>
          <w:color w:val="000000" w:themeColor="text1"/>
        </w:rPr>
        <w:t xml:space="preserve"> </w:t>
      </w:r>
    </w:p>
    <w:p w14:paraId="3C73CA94" w14:textId="77777777" w:rsidR="00332CE4" w:rsidRPr="00644AF5" w:rsidRDefault="00332CE4" w:rsidP="000377CA">
      <w:pPr>
        <w:pStyle w:val="NormalWeb"/>
        <w:ind w:left="0" w:firstLine="0"/>
        <w:contextualSpacing/>
        <w:rPr>
          <w:rFonts w:ascii="Calibri" w:hAnsi="Calibri" w:cs="Calibri"/>
          <w:color w:val="000000" w:themeColor="text1"/>
        </w:rPr>
      </w:pPr>
    </w:p>
    <w:p w14:paraId="338DC3D5" w14:textId="48D35DD8" w:rsidR="00912F59" w:rsidRPr="000377CA" w:rsidRDefault="007756F1" w:rsidP="000377CA">
      <w:pPr>
        <w:pStyle w:val="NormalWeb"/>
        <w:numPr>
          <w:ilvl w:val="1"/>
          <w:numId w:val="4"/>
        </w:numPr>
        <w:ind w:left="0" w:firstLine="0"/>
        <w:contextualSpacing/>
        <w:rPr>
          <w:rStyle w:val="Strong"/>
          <w:rFonts w:ascii="Calibri" w:hAnsi="Calibri" w:cs="Calibri"/>
          <w:b w:val="0"/>
          <w:bCs w:val="0"/>
          <w:color w:val="000000" w:themeColor="text1"/>
        </w:rPr>
      </w:pPr>
      <w:r w:rsidRPr="000377CA">
        <w:rPr>
          <w:rStyle w:val="Strong"/>
          <w:rFonts w:ascii="Calibri" w:hAnsi="Calibri" w:cs="Calibri"/>
          <w:b w:val="0"/>
          <w:bCs w:val="0"/>
          <w:color w:val="000000" w:themeColor="text1"/>
        </w:rPr>
        <w:t>Determining experimental inoculum concentrations</w:t>
      </w:r>
    </w:p>
    <w:p w14:paraId="2EBB77B3" w14:textId="77777777" w:rsidR="007756F1" w:rsidRPr="000377CA" w:rsidRDefault="007756F1" w:rsidP="000377CA">
      <w:pPr>
        <w:pStyle w:val="NormalWeb"/>
        <w:ind w:left="0" w:firstLine="0"/>
        <w:contextualSpacing/>
        <w:rPr>
          <w:rFonts w:ascii="Calibri" w:hAnsi="Calibri" w:cs="Calibri"/>
          <w:color w:val="000000" w:themeColor="text1"/>
        </w:rPr>
      </w:pPr>
    </w:p>
    <w:p w14:paraId="52B3E68A" w14:textId="773FEF03" w:rsidR="00F468FC" w:rsidRPr="00644AF5" w:rsidRDefault="001D3790" w:rsidP="000377CA">
      <w:pPr>
        <w:pStyle w:val="NormalWeb"/>
        <w:numPr>
          <w:ilvl w:val="2"/>
          <w:numId w:val="4"/>
        </w:numPr>
        <w:ind w:left="0" w:firstLine="0"/>
        <w:contextualSpacing/>
        <w:rPr>
          <w:rFonts w:ascii="Calibri" w:hAnsi="Calibri" w:cs="Calibri"/>
          <w:color w:val="000000" w:themeColor="text1"/>
        </w:rPr>
      </w:pPr>
      <w:r w:rsidRPr="00644AF5">
        <w:rPr>
          <w:rFonts w:ascii="Calibri" w:hAnsi="Calibri" w:cs="Calibri"/>
          <w:color w:val="000000" w:themeColor="text1"/>
        </w:rPr>
        <w:t>P</w:t>
      </w:r>
      <w:r w:rsidR="00F468FC" w:rsidRPr="00644AF5">
        <w:rPr>
          <w:rFonts w:ascii="Calibri" w:hAnsi="Calibri" w:cs="Calibri"/>
          <w:color w:val="000000" w:themeColor="text1"/>
        </w:rPr>
        <w:t xml:space="preserve">repare the desired </w:t>
      </w:r>
      <w:r w:rsidR="00EE33FC" w:rsidRPr="00644AF5">
        <w:rPr>
          <w:rFonts w:ascii="Calibri" w:hAnsi="Calibri" w:cs="Calibri"/>
          <w:color w:val="000000" w:themeColor="text1"/>
        </w:rPr>
        <w:t>inoculum concentration for each experimental condition</w:t>
      </w:r>
      <w:r w:rsidR="00F468FC" w:rsidRPr="00644AF5">
        <w:rPr>
          <w:rFonts w:ascii="Calibri" w:hAnsi="Calibri" w:cs="Calibri"/>
          <w:color w:val="000000" w:themeColor="text1"/>
        </w:rPr>
        <w:t>.</w:t>
      </w:r>
    </w:p>
    <w:p w14:paraId="50E8A003" w14:textId="77777777" w:rsidR="00912F59" w:rsidRPr="00644AF5" w:rsidRDefault="00912F59" w:rsidP="000377CA">
      <w:pPr>
        <w:pStyle w:val="NormalWeb"/>
        <w:ind w:left="0" w:firstLine="0"/>
        <w:contextualSpacing/>
        <w:rPr>
          <w:rFonts w:ascii="Calibri" w:hAnsi="Calibri" w:cs="Calibri"/>
          <w:color w:val="000000" w:themeColor="text1"/>
        </w:rPr>
      </w:pPr>
    </w:p>
    <w:p w14:paraId="23B5824D" w14:textId="5CCB79D2" w:rsidR="007A61AE" w:rsidRPr="00644AF5" w:rsidRDefault="00152121" w:rsidP="000377CA">
      <w:pPr>
        <w:pStyle w:val="NormalWeb"/>
        <w:ind w:left="0" w:firstLine="0"/>
        <w:contextualSpacing/>
        <w:rPr>
          <w:rFonts w:ascii="Calibri" w:hAnsi="Calibri" w:cs="Calibri"/>
          <w:color w:val="000000" w:themeColor="text1"/>
        </w:rPr>
      </w:pPr>
      <w:r w:rsidRPr="00644AF5">
        <w:rPr>
          <w:rStyle w:val="Strong"/>
          <w:rFonts w:ascii="Calibri" w:hAnsi="Calibri" w:cs="Calibri"/>
          <w:b w:val="0"/>
          <w:bCs w:val="0"/>
          <w:color w:val="000000" w:themeColor="text1"/>
        </w:rPr>
        <w:t xml:space="preserve">NOTE: </w:t>
      </w:r>
      <w:r w:rsidR="007A61AE" w:rsidRPr="00644AF5">
        <w:rPr>
          <w:rFonts w:ascii="Calibri" w:hAnsi="Calibri" w:cs="Calibri"/>
          <w:color w:val="000000" w:themeColor="text1"/>
        </w:rPr>
        <w:t>Perform a</w:t>
      </w:r>
      <w:r w:rsidR="00EE33FC" w:rsidRPr="00644AF5">
        <w:rPr>
          <w:rFonts w:ascii="Calibri" w:hAnsi="Calibri" w:cs="Calibri"/>
          <w:color w:val="000000" w:themeColor="text1"/>
        </w:rPr>
        <w:t xml:space="preserve">t least </w:t>
      </w:r>
      <w:r w:rsidR="007A61AE" w:rsidRPr="00644AF5">
        <w:rPr>
          <w:rFonts w:ascii="Calibri" w:hAnsi="Calibri" w:cs="Calibri"/>
          <w:color w:val="000000" w:themeColor="text1"/>
        </w:rPr>
        <w:t>three biological replicates to</w:t>
      </w:r>
      <w:r w:rsidR="00843A10" w:rsidRPr="00644AF5">
        <w:rPr>
          <w:rFonts w:ascii="Calibri" w:hAnsi="Calibri" w:cs="Calibri"/>
          <w:color w:val="000000" w:themeColor="text1"/>
        </w:rPr>
        <w:t xml:space="preserve"> </w:t>
      </w:r>
      <w:r w:rsidR="007A61AE" w:rsidRPr="00644AF5">
        <w:rPr>
          <w:rFonts w:ascii="Calibri" w:hAnsi="Calibri" w:cs="Calibri"/>
          <w:color w:val="000000" w:themeColor="text1"/>
        </w:rPr>
        <w:t>determine the effective dose for the planarian colony</w:t>
      </w:r>
      <w:r w:rsidR="00EE33FC" w:rsidRPr="00644AF5">
        <w:rPr>
          <w:rFonts w:ascii="Calibri" w:hAnsi="Calibri" w:cs="Calibri"/>
          <w:color w:val="000000" w:themeColor="text1"/>
        </w:rPr>
        <w:t>, particularly for</w:t>
      </w:r>
      <w:r w:rsidR="00843A10" w:rsidRPr="00644AF5">
        <w:rPr>
          <w:rFonts w:ascii="Calibri" w:hAnsi="Calibri" w:cs="Calibri"/>
          <w:color w:val="000000" w:themeColor="text1"/>
        </w:rPr>
        <w:t xml:space="preserve"> </w:t>
      </w:r>
      <w:r w:rsidR="004A1022">
        <w:rPr>
          <w:rFonts w:ascii="Calibri" w:hAnsi="Calibri" w:cs="Calibri"/>
          <w:color w:val="000000" w:themeColor="text1"/>
        </w:rPr>
        <w:t>infectious</w:t>
      </w:r>
      <w:r w:rsidR="004A1022" w:rsidRPr="00644AF5">
        <w:rPr>
          <w:rFonts w:ascii="Calibri" w:hAnsi="Calibri" w:cs="Calibri"/>
          <w:color w:val="000000" w:themeColor="text1"/>
        </w:rPr>
        <w:t xml:space="preserve"> </w:t>
      </w:r>
      <w:r w:rsidR="00EE33FC" w:rsidRPr="00644AF5">
        <w:rPr>
          <w:rFonts w:ascii="Calibri" w:hAnsi="Calibri" w:cs="Calibri"/>
          <w:color w:val="000000" w:themeColor="text1"/>
        </w:rPr>
        <w:t>or lethal endpoints</w:t>
      </w:r>
      <w:r w:rsidR="002D19E4">
        <w:rPr>
          <w:rFonts w:ascii="Calibri" w:hAnsi="Calibri" w:cs="Calibri"/>
          <w:color w:val="000000" w:themeColor="text1"/>
        </w:rPr>
        <w:t xml:space="preserve"> </w:t>
      </w:r>
      <w:r w:rsidR="00B94159">
        <w:rPr>
          <w:rFonts w:ascii="Calibri" w:hAnsi="Calibri" w:cs="Calibri"/>
          <w:color w:val="000000" w:themeColor="text1"/>
        </w:rPr>
        <w:t>(</w:t>
      </w:r>
      <w:r w:rsidR="004A1022">
        <w:rPr>
          <w:rFonts w:ascii="Calibri" w:hAnsi="Calibri" w:cs="Calibri"/>
          <w:color w:val="000000" w:themeColor="text1"/>
        </w:rPr>
        <w:t>s</w:t>
      </w:r>
      <w:r w:rsidR="002D19E4">
        <w:rPr>
          <w:rFonts w:ascii="Calibri" w:hAnsi="Calibri" w:cs="Calibri"/>
          <w:color w:val="000000" w:themeColor="text1"/>
        </w:rPr>
        <w:t xml:space="preserve">ee </w:t>
      </w:r>
      <w:r w:rsidR="002D19E4" w:rsidRPr="004B2C9D">
        <w:rPr>
          <w:rFonts w:ascii="Calibri" w:hAnsi="Calibri" w:cs="Calibri"/>
          <w:b/>
          <w:bCs/>
          <w:color w:val="000000" w:themeColor="text1"/>
        </w:rPr>
        <w:t>Supplementa</w:t>
      </w:r>
      <w:r w:rsidR="00B94159">
        <w:rPr>
          <w:rFonts w:ascii="Calibri" w:hAnsi="Calibri" w:cs="Calibri"/>
          <w:b/>
          <w:bCs/>
          <w:color w:val="000000" w:themeColor="text1"/>
        </w:rPr>
        <w:t>ry</w:t>
      </w:r>
      <w:r w:rsidR="002D19E4" w:rsidRPr="004B2C9D">
        <w:rPr>
          <w:rFonts w:ascii="Calibri" w:hAnsi="Calibri" w:cs="Calibri"/>
          <w:b/>
          <w:bCs/>
          <w:color w:val="000000" w:themeColor="text1"/>
        </w:rPr>
        <w:t xml:space="preserve"> File </w:t>
      </w:r>
      <w:r w:rsidR="00B94159">
        <w:rPr>
          <w:rFonts w:ascii="Calibri" w:hAnsi="Calibri" w:cs="Calibri"/>
          <w:b/>
          <w:bCs/>
          <w:color w:val="000000" w:themeColor="text1"/>
        </w:rPr>
        <w:t>1</w:t>
      </w:r>
      <w:r w:rsidR="002D19E4">
        <w:rPr>
          <w:rFonts w:ascii="Calibri" w:hAnsi="Calibri" w:cs="Calibri"/>
          <w:color w:val="000000" w:themeColor="text1"/>
        </w:rPr>
        <w:t xml:space="preserve"> for sample calculation</w:t>
      </w:r>
      <w:r w:rsidR="00B94159">
        <w:rPr>
          <w:rFonts w:ascii="Calibri" w:hAnsi="Calibri" w:cs="Calibri"/>
          <w:color w:val="000000" w:themeColor="text1"/>
        </w:rPr>
        <w:t>)</w:t>
      </w:r>
      <w:r w:rsidR="007A61AE" w:rsidRPr="00644AF5">
        <w:rPr>
          <w:rFonts w:ascii="Calibri" w:hAnsi="Calibri" w:cs="Calibri"/>
          <w:color w:val="000000" w:themeColor="text1"/>
        </w:rPr>
        <w:t xml:space="preserve">. </w:t>
      </w:r>
    </w:p>
    <w:p w14:paraId="253F9EBE" w14:textId="77777777" w:rsidR="00912F59" w:rsidRPr="00644AF5" w:rsidRDefault="00912F59" w:rsidP="000377CA">
      <w:pPr>
        <w:pStyle w:val="NormalWeb"/>
        <w:ind w:left="0" w:firstLine="0"/>
        <w:contextualSpacing/>
        <w:rPr>
          <w:rFonts w:ascii="Calibri" w:hAnsi="Calibri" w:cs="Calibri"/>
          <w:color w:val="000000" w:themeColor="text1"/>
        </w:rPr>
      </w:pPr>
    </w:p>
    <w:p w14:paraId="0358CC1D" w14:textId="77777777" w:rsidR="008505ED" w:rsidRPr="00644AF5" w:rsidRDefault="008505ED" w:rsidP="000377CA">
      <w:pPr>
        <w:pStyle w:val="NormalWeb"/>
        <w:ind w:left="0" w:firstLine="0"/>
        <w:contextualSpacing/>
        <w:rPr>
          <w:rFonts w:ascii="Calibri" w:hAnsi="Calibri" w:cs="Calibri"/>
          <w:color w:val="000000" w:themeColor="text1"/>
        </w:rPr>
      </w:pPr>
    </w:p>
    <w:p w14:paraId="438BFC25" w14:textId="521505CF" w:rsidR="0050350B" w:rsidRPr="00644AF5" w:rsidRDefault="00626019" w:rsidP="000377CA">
      <w:pPr>
        <w:pStyle w:val="Heading3"/>
        <w:spacing w:before="0"/>
        <w:ind w:left="0" w:firstLine="0"/>
        <w:contextualSpacing/>
        <w:jc w:val="left"/>
        <w:rPr>
          <w:rFonts w:ascii="Calibri" w:hAnsi="Calibri" w:cs="Calibri"/>
          <w:color w:val="000000" w:themeColor="text1"/>
        </w:rPr>
      </w:pPr>
      <w:r>
        <w:rPr>
          <w:rFonts w:ascii="Calibri" w:hAnsi="Calibri" w:cs="Calibri"/>
          <w:color w:val="000000" w:themeColor="text1"/>
        </w:rPr>
        <w:t xml:space="preserve">2. </w:t>
      </w:r>
      <w:r w:rsidR="0050350B" w:rsidRPr="00644AF5">
        <w:rPr>
          <w:rFonts w:ascii="Calibri" w:hAnsi="Calibri" w:cs="Calibri"/>
          <w:color w:val="000000" w:themeColor="text1"/>
        </w:rPr>
        <w:t xml:space="preserve">Planarian </w:t>
      </w:r>
      <w:r w:rsidR="00CA5804" w:rsidRPr="00644AF5">
        <w:rPr>
          <w:rFonts w:ascii="Calibri" w:hAnsi="Calibri" w:cs="Calibri"/>
          <w:color w:val="000000" w:themeColor="text1"/>
        </w:rPr>
        <w:t>colony preparation</w:t>
      </w:r>
    </w:p>
    <w:p w14:paraId="5CCE047F" w14:textId="77777777" w:rsidR="00912F59" w:rsidRPr="00644AF5" w:rsidRDefault="00912F59" w:rsidP="000377CA">
      <w:pPr>
        <w:ind w:left="0" w:firstLine="0"/>
        <w:rPr>
          <w:rFonts w:ascii="Calibri" w:hAnsi="Calibri" w:cs="Calibri"/>
          <w:color w:val="000000" w:themeColor="text1"/>
        </w:rPr>
      </w:pPr>
    </w:p>
    <w:p w14:paraId="11C3E0DE" w14:textId="46A9904A" w:rsidR="00332CE4" w:rsidRPr="00626019" w:rsidRDefault="00626019"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2.1 </w:t>
      </w:r>
      <w:r w:rsidR="00332CE4" w:rsidRPr="00626019">
        <w:rPr>
          <w:rFonts w:ascii="Calibri" w:hAnsi="Calibri" w:cs="Calibri"/>
          <w:color w:val="000000" w:themeColor="text1"/>
        </w:rPr>
        <w:t xml:space="preserve">Planarian </w:t>
      </w:r>
      <w:r w:rsidR="00CA5804" w:rsidRPr="00626019">
        <w:rPr>
          <w:rFonts w:ascii="Calibri" w:hAnsi="Calibri" w:cs="Calibri"/>
          <w:color w:val="000000" w:themeColor="text1"/>
        </w:rPr>
        <w:t>species and maintenance</w:t>
      </w:r>
    </w:p>
    <w:p w14:paraId="18DC17F4" w14:textId="77777777" w:rsidR="00912F59" w:rsidRPr="00644AF5" w:rsidRDefault="00912F59" w:rsidP="000377CA">
      <w:pPr>
        <w:pStyle w:val="NormalWeb"/>
        <w:ind w:left="0" w:firstLine="0"/>
        <w:contextualSpacing/>
        <w:rPr>
          <w:rFonts w:ascii="Calibri" w:hAnsi="Calibri" w:cs="Calibri"/>
          <w:b/>
          <w:bCs/>
          <w:color w:val="000000" w:themeColor="text1"/>
        </w:rPr>
      </w:pPr>
    </w:p>
    <w:p w14:paraId="05F6F6F5" w14:textId="77777777" w:rsidR="00626019" w:rsidRPr="00626019" w:rsidRDefault="00626019" w:rsidP="000377CA">
      <w:pPr>
        <w:pStyle w:val="NormalWeb"/>
        <w:ind w:left="0" w:firstLine="0"/>
        <w:contextualSpacing/>
        <w:rPr>
          <w:rFonts w:ascii="Calibri" w:hAnsi="Calibri" w:cs="Calibri"/>
          <w:color w:val="000000" w:themeColor="text1"/>
        </w:rPr>
      </w:pPr>
      <w:r w:rsidRPr="00626019">
        <w:rPr>
          <w:rFonts w:ascii="Calibri" w:hAnsi="Calibri" w:cs="Calibri"/>
          <w:color w:val="000000" w:themeColor="text1"/>
        </w:rPr>
        <w:t xml:space="preserve">2.1.1 Use the CIW4 asexual clonal line of the planarian </w:t>
      </w:r>
      <w:r w:rsidRPr="00626019">
        <w:rPr>
          <w:rFonts w:ascii="Calibri" w:hAnsi="Calibri" w:cs="Calibri"/>
          <w:i/>
          <w:iCs/>
          <w:color w:val="000000" w:themeColor="text1"/>
        </w:rPr>
        <w:t>Schmidtea mediterranea</w:t>
      </w:r>
      <w:r w:rsidRPr="00626019">
        <w:rPr>
          <w:rFonts w:ascii="Calibri" w:hAnsi="Calibri" w:cs="Calibri"/>
          <w:color w:val="000000" w:themeColor="text1"/>
        </w:rPr>
        <w:t xml:space="preserve"> for all experiments.</w:t>
      </w:r>
    </w:p>
    <w:p w14:paraId="6E6CBD2A" w14:textId="77777777" w:rsidR="00626019" w:rsidRPr="00626019" w:rsidRDefault="00626019" w:rsidP="000377CA">
      <w:pPr>
        <w:pStyle w:val="NormalWeb"/>
        <w:ind w:left="0" w:firstLine="0"/>
        <w:contextualSpacing/>
        <w:rPr>
          <w:rFonts w:ascii="Calibri" w:hAnsi="Calibri" w:cs="Calibri"/>
          <w:color w:val="000000" w:themeColor="text1"/>
        </w:rPr>
      </w:pPr>
    </w:p>
    <w:p w14:paraId="5CA1DBE2" w14:textId="19C141DE" w:rsidR="00626019" w:rsidRPr="00626019" w:rsidRDefault="00626019" w:rsidP="000377CA">
      <w:pPr>
        <w:pStyle w:val="NormalWeb"/>
        <w:ind w:left="0" w:firstLine="0"/>
        <w:contextualSpacing/>
        <w:rPr>
          <w:rFonts w:ascii="Calibri" w:hAnsi="Calibri" w:cs="Calibri"/>
          <w:color w:val="000000" w:themeColor="text1"/>
        </w:rPr>
      </w:pPr>
      <w:r w:rsidRPr="00626019">
        <w:rPr>
          <w:rFonts w:ascii="Calibri" w:hAnsi="Calibri" w:cs="Calibri"/>
          <w:color w:val="000000" w:themeColor="text1"/>
        </w:rPr>
        <w:t xml:space="preserve">2.1.2 Maintain planarian colonies in clear food-grade plastic containers containing 1,500–2,000 mL of 1× </w:t>
      </w:r>
      <w:r>
        <w:rPr>
          <w:rFonts w:ascii="Calibri" w:hAnsi="Calibri" w:cs="Calibri"/>
          <w:color w:val="000000" w:themeColor="text1"/>
        </w:rPr>
        <w:t>Planarian water</w:t>
      </w:r>
      <w:r w:rsidRPr="00626019">
        <w:rPr>
          <w:rFonts w:ascii="Calibri" w:hAnsi="Calibri" w:cs="Calibri"/>
          <w:color w:val="000000" w:themeColor="text1"/>
        </w:rPr>
        <w:t>.</w:t>
      </w:r>
    </w:p>
    <w:p w14:paraId="487D4F08" w14:textId="77777777" w:rsidR="00626019" w:rsidRPr="00626019" w:rsidRDefault="00626019" w:rsidP="000377CA">
      <w:pPr>
        <w:pStyle w:val="NormalWeb"/>
        <w:ind w:left="0" w:firstLine="0"/>
        <w:contextualSpacing/>
        <w:rPr>
          <w:rFonts w:ascii="Calibri" w:hAnsi="Calibri" w:cs="Calibri"/>
          <w:color w:val="000000" w:themeColor="text1"/>
        </w:rPr>
      </w:pPr>
    </w:p>
    <w:p w14:paraId="0A4DCF42" w14:textId="77777777" w:rsidR="00626019" w:rsidRPr="00626019" w:rsidRDefault="00626019" w:rsidP="000377CA">
      <w:pPr>
        <w:pStyle w:val="NormalWeb"/>
        <w:ind w:left="0" w:firstLine="0"/>
        <w:contextualSpacing/>
        <w:rPr>
          <w:rFonts w:ascii="Calibri" w:hAnsi="Calibri" w:cs="Calibri"/>
          <w:color w:val="000000" w:themeColor="text1"/>
        </w:rPr>
      </w:pPr>
      <w:r w:rsidRPr="00626019">
        <w:rPr>
          <w:rFonts w:ascii="Calibri" w:hAnsi="Calibri" w:cs="Calibri"/>
          <w:color w:val="000000" w:themeColor="text1"/>
        </w:rPr>
        <w:t>2.1.3 Keep containers in darkness at 20 °C with lids loosely closed to allow gas exchange.</w:t>
      </w:r>
    </w:p>
    <w:p w14:paraId="6614D949" w14:textId="77777777" w:rsidR="00626019" w:rsidRPr="00626019" w:rsidRDefault="00626019" w:rsidP="000377CA">
      <w:pPr>
        <w:pStyle w:val="NormalWeb"/>
        <w:ind w:left="0" w:firstLine="0"/>
        <w:contextualSpacing/>
        <w:rPr>
          <w:rFonts w:ascii="Calibri" w:hAnsi="Calibri" w:cs="Calibri"/>
          <w:color w:val="000000" w:themeColor="text1"/>
        </w:rPr>
      </w:pPr>
    </w:p>
    <w:p w14:paraId="50B2A16D" w14:textId="77777777" w:rsidR="00626019" w:rsidRDefault="00626019" w:rsidP="000377CA">
      <w:pPr>
        <w:pStyle w:val="NormalWeb"/>
        <w:ind w:left="0" w:firstLine="0"/>
        <w:contextualSpacing/>
        <w:rPr>
          <w:rFonts w:ascii="Calibri" w:hAnsi="Calibri" w:cs="Calibri"/>
          <w:color w:val="000000" w:themeColor="text1"/>
        </w:rPr>
      </w:pPr>
      <w:r w:rsidRPr="00626019">
        <w:rPr>
          <w:rFonts w:ascii="Calibri" w:hAnsi="Calibri" w:cs="Calibri"/>
          <w:color w:val="000000" w:themeColor="text1"/>
        </w:rPr>
        <w:t>2.1.4 Do not treat planarians with antibiotics.</w:t>
      </w:r>
    </w:p>
    <w:p w14:paraId="2FE36064" w14:textId="77777777" w:rsidR="00626019" w:rsidRDefault="00626019" w:rsidP="000377CA">
      <w:pPr>
        <w:pStyle w:val="NormalWeb"/>
        <w:ind w:left="0" w:firstLine="0"/>
        <w:contextualSpacing/>
        <w:rPr>
          <w:rFonts w:ascii="Calibri" w:hAnsi="Calibri" w:cs="Calibri"/>
          <w:color w:val="000000" w:themeColor="text1"/>
        </w:rPr>
      </w:pPr>
    </w:p>
    <w:p w14:paraId="7561E4A9" w14:textId="7D909CFC" w:rsidR="00626019" w:rsidRDefault="00626019" w:rsidP="000377CA">
      <w:pPr>
        <w:pStyle w:val="NormalWeb"/>
        <w:ind w:left="0" w:firstLine="0"/>
        <w:contextualSpacing/>
        <w:rPr>
          <w:rFonts w:ascii="Calibri" w:hAnsi="Calibri" w:cs="Calibri"/>
        </w:rPr>
      </w:pPr>
      <w:r w:rsidRPr="00626019">
        <w:rPr>
          <w:rFonts w:ascii="Calibri" w:hAnsi="Calibri" w:cs="Calibri"/>
        </w:rPr>
        <w:lastRenderedPageBreak/>
        <w:t>2.2 Colony maintenance and feeding</w:t>
      </w:r>
    </w:p>
    <w:p w14:paraId="2A9BCBE3" w14:textId="77777777" w:rsidR="000377CA" w:rsidRPr="00626019" w:rsidRDefault="000377CA" w:rsidP="000377CA">
      <w:pPr>
        <w:pStyle w:val="NormalWeb"/>
        <w:ind w:left="0" w:firstLine="0"/>
        <w:contextualSpacing/>
        <w:rPr>
          <w:rFonts w:ascii="Calibri" w:hAnsi="Calibri" w:cs="Calibri"/>
          <w:color w:val="000000" w:themeColor="text1"/>
        </w:rPr>
      </w:pPr>
    </w:p>
    <w:p w14:paraId="478E2B1E" w14:textId="77777777" w:rsidR="00626019" w:rsidRDefault="00626019" w:rsidP="000377CA">
      <w:pPr>
        <w:pStyle w:val="NormalWeb"/>
        <w:ind w:left="0" w:firstLine="0"/>
        <w:rPr>
          <w:rFonts w:ascii="Calibri" w:hAnsi="Calibri" w:cs="Calibri"/>
        </w:rPr>
      </w:pPr>
      <w:r w:rsidRPr="00626019">
        <w:rPr>
          <w:rFonts w:ascii="Calibri" w:hAnsi="Calibri" w:cs="Calibri"/>
        </w:rPr>
        <w:t xml:space="preserve">2.2.1 Feed colonies </w:t>
      </w:r>
      <w:r w:rsidRPr="007E356D">
        <w:rPr>
          <w:rStyle w:val="Strong"/>
          <w:rFonts w:ascii="Calibri" w:hAnsi="Calibri" w:cs="Calibri"/>
          <w:b w:val="0"/>
          <w:bCs w:val="0"/>
        </w:rPr>
        <w:t>fresh strained beef liver purée once per week</w:t>
      </w:r>
      <w:r w:rsidRPr="007E356D">
        <w:rPr>
          <w:rFonts w:ascii="Calibri" w:hAnsi="Calibri" w:cs="Calibri"/>
        </w:rPr>
        <w:t>.</w:t>
      </w:r>
    </w:p>
    <w:p w14:paraId="148F1C54" w14:textId="77777777" w:rsidR="000377CA" w:rsidRPr="007E356D" w:rsidRDefault="000377CA" w:rsidP="000377CA">
      <w:pPr>
        <w:pStyle w:val="NormalWeb"/>
        <w:ind w:left="0" w:firstLine="0"/>
        <w:rPr>
          <w:rFonts w:ascii="Calibri" w:hAnsi="Calibri" w:cs="Calibri"/>
        </w:rPr>
      </w:pPr>
    </w:p>
    <w:p w14:paraId="34190454" w14:textId="77777777" w:rsidR="00626019" w:rsidRDefault="00626019" w:rsidP="000377CA">
      <w:pPr>
        <w:pStyle w:val="NormalWeb"/>
        <w:ind w:left="0" w:firstLine="0"/>
        <w:rPr>
          <w:rFonts w:ascii="Calibri" w:hAnsi="Calibri" w:cs="Calibri"/>
        </w:rPr>
      </w:pPr>
      <w:r w:rsidRPr="007E356D">
        <w:rPr>
          <w:rFonts w:ascii="Calibri" w:hAnsi="Calibri" w:cs="Calibri"/>
        </w:rPr>
        <w:t xml:space="preserve">2.2.2 Clean containers </w:t>
      </w:r>
      <w:r w:rsidRPr="007E356D">
        <w:rPr>
          <w:rStyle w:val="Strong"/>
          <w:rFonts w:ascii="Calibri" w:hAnsi="Calibri" w:cs="Calibri"/>
          <w:b w:val="0"/>
          <w:bCs w:val="0"/>
        </w:rPr>
        <w:t>twice per week</w:t>
      </w:r>
      <w:r w:rsidRPr="007E356D">
        <w:rPr>
          <w:rFonts w:ascii="Calibri" w:hAnsi="Calibri" w:cs="Calibri"/>
        </w:rPr>
        <w:t>.</w:t>
      </w:r>
    </w:p>
    <w:p w14:paraId="09CA59BF" w14:textId="77777777" w:rsidR="000377CA" w:rsidRPr="007E356D" w:rsidRDefault="000377CA" w:rsidP="000377CA">
      <w:pPr>
        <w:pStyle w:val="NormalWeb"/>
        <w:ind w:left="0" w:firstLine="0"/>
        <w:rPr>
          <w:rFonts w:ascii="Calibri" w:hAnsi="Calibri" w:cs="Calibri"/>
        </w:rPr>
      </w:pPr>
    </w:p>
    <w:p w14:paraId="4826B999" w14:textId="6988B136" w:rsidR="007A0D25" w:rsidRDefault="00626019" w:rsidP="000377CA">
      <w:pPr>
        <w:pStyle w:val="NormalWeb"/>
        <w:ind w:left="0" w:firstLine="0"/>
        <w:rPr>
          <w:rFonts w:ascii="Calibri" w:hAnsi="Calibri" w:cs="Calibri"/>
        </w:rPr>
      </w:pPr>
      <w:r w:rsidRPr="007E356D">
        <w:rPr>
          <w:rFonts w:ascii="Calibri" w:hAnsi="Calibri" w:cs="Calibri"/>
        </w:rPr>
        <w:t xml:space="preserve">2.2.3 Maintain planarian density at </w:t>
      </w:r>
      <w:r w:rsidRPr="007E356D">
        <w:rPr>
          <w:rStyle w:val="Strong"/>
          <w:rFonts w:ascii="Calibri" w:hAnsi="Calibri" w:cs="Calibri"/>
          <w:b w:val="0"/>
          <w:bCs w:val="0"/>
        </w:rPr>
        <w:t>200–400 animals per container</w:t>
      </w:r>
      <w:r w:rsidRPr="007E356D">
        <w:rPr>
          <w:rFonts w:ascii="Calibri" w:hAnsi="Calibri" w:cs="Calibri"/>
        </w:rPr>
        <w:t>.</w:t>
      </w:r>
      <w:r>
        <w:rPr>
          <w:rFonts w:ascii="Calibri" w:hAnsi="Calibri" w:cs="Calibri"/>
        </w:rPr>
        <w:t xml:space="preserve"> Previous works demonstrate </w:t>
      </w:r>
      <w:r w:rsidRPr="00626019">
        <w:rPr>
          <w:rFonts w:ascii="Calibri" w:hAnsi="Calibri" w:cs="Calibri"/>
        </w:rPr>
        <w:t>detailed procedures on colony preparation and long-term maintenance</w:t>
      </w:r>
      <w:r>
        <w:rPr>
          <w:rFonts w:ascii="Calibri" w:hAnsi="Calibri" w:cs="Calibri"/>
          <w:vertAlign w:val="superscript"/>
        </w:rPr>
        <w:t>31</w:t>
      </w:r>
      <w:r>
        <w:rPr>
          <w:rFonts w:ascii="Calibri" w:hAnsi="Calibri" w:cs="Calibri"/>
        </w:rPr>
        <w:t>.</w:t>
      </w:r>
    </w:p>
    <w:p w14:paraId="52E09252" w14:textId="77777777" w:rsidR="000377CA" w:rsidRPr="00626019" w:rsidRDefault="000377CA" w:rsidP="000377CA">
      <w:pPr>
        <w:pStyle w:val="NormalWeb"/>
        <w:ind w:left="0" w:firstLine="0"/>
        <w:rPr>
          <w:rFonts w:ascii="Calibri" w:hAnsi="Calibri" w:cs="Calibri"/>
        </w:rPr>
      </w:pPr>
    </w:p>
    <w:p w14:paraId="0F00BDB8" w14:textId="6BA7878D" w:rsidR="00B439B4" w:rsidRPr="00626019" w:rsidRDefault="00626019" w:rsidP="000377CA">
      <w:pPr>
        <w:pStyle w:val="NormalWeb"/>
        <w:ind w:left="0" w:firstLine="0"/>
        <w:contextualSpacing/>
        <w:rPr>
          <w:rFonts w:ascii="Calibri" w:hAnsi="Calibri" w:cs="Calibri"/>
          <w:color w:val="000000" w:themeColor="text1"/>
        </w:rPr>
      </w:pPr>
      <w:r>
        <w:rPr>
          <w:rFonts w:ascii="Calibri" w:hAnsi="Calibri" w:cs="Calibri"/>
          <w:color w:val="000000" w:themeColor="text1"/>
        </w:rPr>
        <w:t xml:space="preserve">2.3 </w:t>
      </w:r>
      <w:r w:rsidR="00B439B4" w:rsidRPr="00626019">
        <w:rPr>
          <w:rFonts w:ascii="Calibri" w:hAnsi="Calibri" w:cs="Calibri"/>
          <w:color w:val="000000" w:themeColor="text1"/>
        </w:rPr>
        <w:t xml:space="preserve">Pre-experiment </w:t>
      </w:r>
      <w:r>
        <w:rPr>
          <w:rFonts w:ascii="Calibri" w:hAnsi="Calibri" w:cs="Calibri"/>
          <w:color w:val="000000" w:themeColor="text1"/>
        </w:rPr>
        <w:t>c</w:t>
      </w:r>
      <w:r w:rsidR="00B439B4" w:rsidRPr="00626019">
        <w:rPr>
          <w:rFonts w:ascii="Calibri" w:hAnsi="Calibri" w:cs="Calibri"/>
          <w:color w:val="000000" w:themeColor="text1"/>
        </w:rPr>
        <w:t>onditioning</w:t>
      </w:r>
    </w:p>
    <w:p w14:paraId="1301A005" w14:textId="77777777" w:rsidR="00084C66" w:rsidRPr="00644AF5" w:rsidRDefault="00084C66" w:rsidP="000377CA">
      <w:pPr>
        <w:pStyle w:val="NormalWeb"/>
        <w:ind w:left="0" w:firstLine="0"/>
        <w:contextualSpacing/>
        <w:rPr>
          <w:rFonts w:ascii="Calibri" w:hAnsi="Calibri" w:cs="Calibri"/>
          <w:b/>
          <w:bCs/>
          <w:color w:val="000000" w:themeColor="text1"/>
        </w:rPr>
      </w:pPr>
    </w:p>
    <w:p w14:paraId="0D3B6579" w14:textId="2E2517C9" w:rsidR="00626019" w:rsidRPr="00626019" w:rsidRDefault="00626019" w:rsidP="000377CA">
      <w:pPr>
        <w:pStyle w:val="NormalWeb"/>
        <w:ind w:left="0" w:firstLine="0"/>
        <w:contextualSpacing/>
        <w:rPr>
          <w:rFonts w:ascii="Calibri" w:hAnsi="Calibri" w:cs="Calibri"/>
          <w:b/>
          <w:bCs/>
          <w:color w:val="000000" w:themeColor="text1"/>
        </w:rPr>
      </w:pPr>
      <w:r>
        <w:rPr>
          <w:rFonts w:ascii="Calibri" w:hAnsi="Calibri" w:cs="Calibri"/>
          <w:color w:val="000000" w:themeColor="text1"/>
        </w:rPr>
        <w:t xml:space="preserve">2.3.1 </w:t>
      </w:r>
      <w:r w:rsidR="00B439B4" w:rsidRPr="00626019">
        <w:rPr>
          <w:rFonts w:ascii="Calibri" w:hAnsi="Calibri" w:cs="Calibri"/>
          <w:color w:val="000000" w:themeColor="text1"/>
        </w:rPr>
        <w:t>Prior to experimental infection, s</w:t>
      </w:r>
      <w:r w:rsidR="0050350B" w:rsidRPr="00626019">
        <w:rPr>
          <w:rFonts w:ascii="Calibri" w:hAnsi="Calibri" w:cs="Calibri"/>
          <w:color w:val="000000" w:themeColor="text1"/>
        </w:rPr>
        <w:t>tarve</w:t>
      </w:r>
      <w:r w:rsidR="00115229" w:rsidRPr="00626019">
        <w:rPr>
          <w:rFonts w:ascii="Calibri" w:hAnsi="Calibri" w:cs="Calibri"/>
          <w:color w:val="000000" w:themeColor="text1"/>
        </w:rPr>
        <w:t xml:space="preserve"> planarians</w:t>
      </w:r>
      <w:r w:rsidR="0050350B" w:rsidRPr="00626019">
        <w:rPr>
          <w:rFonts w:ascii="Calibri" w:hAnsi="Calibri" w:cs="Calibri"/>
          <w:color w:val="000000" w:themeColor="text1"/>
        </w:rPr>
        <w:t xml:space="preserve"> for 7–12 days to </w:t>
      </w:r>
      <w:r w:rsidR="00B439B4" w:rsidRPr="00626019">
        <w:rPr>
          <w:rFonts w:ascii="Calibri" w:hAnsi="Calibri" w:cs="Calibri"/>
          <w:color w:val="000000" w:themeColor="text1"/>
        </w:rPr>
        <w:t xml:space="preserve">standardize </w:t>
      </w:r>
      <w:r w:rsidR="0050350B" w:rsidRPr="00626019">
        <w:rPr>
          <w:rFonts w:ascii="Calibri" w:hAnsi="Calibri" w:cs="Calibri"/>
          <w:color w:val="000000" w:themeColor="text1"/>
        </w:rPr>
        <w:t>metabolic</w:t>
      </w:r>
      <w:r w:rsidR="00F4692A" w:rsidRPr="00626019">
        <w:rPr>
          <w:rFonts w:ascii="Calibri" w:hAnsi="Calibri" w:cs="Calibri"/>
          <w:color w:val="000000" w:themeColor="text1"/>
        </w:rPr>
        <w:t xml:space="preserve"> and size</w:t>
      </w:r>
      <w:r w:rsidR="0050350B" w:rsidRPr="00626019">
        <w:rPr>
          <w:rFonts w:ascii="Calibri" w:hAnsi="Calibri" w:cs="Calibri"/>
          <w:color w:val="000000" w:themeColor="text1"/>
        </w:rPr>
        <w:t xml:space="preserve"> </w:t>
      </w:r>
      <w:r w:rsidR="00B439B4" w:rsidRPr="00626019">
        <w:rPr>
          <w:rFonts w:ascii="Calibri" w:hAnsi="Calibri" w:cs="Calibri"/>
          <w:color w:val="000000" w:themeColor="text1"/>
        </w:rPr>
        <w:t>conditions</w:t>
      </w:r>
      <w:r w:rsidR="0050350B" w:rsidRPr="00626019">
        <w:rPr>
          <w:rFonts w:ascii="Calibri" w:hAnsi="Calibri" w:cs="Calibri"/>
          <w:color w:val="000000" w:themeColor="text1"/>
        </w:rPr>
        <w:t xml:space="preserve">. </w:t>
      </w:r>
    </w:p>
    <w:p w14:paraId="69717CF6" w14:textId="77777777" w:rsidR="00626019" w:rsidRPr="00626019" w:rsidRDefault="00626019" w:rsidP="000377CA">
      <w:pPr>
        <w:pStyle w:val="NormalWeb"/>
        <w:ind w:left="0" w:firstLine="0"/>
        <w:contextualSpacing/>
        <w:rPr>
          <w:rFonts w:ascii="Calibri" w:hAnsi="Calibri" w:cs="Calibri"/>
          <w:b/>
          <w:bCs/>
          <w:color w:val="000000" w:themeColor="text1"/>
        </w:rPr>
      </w:pPr>
    </w:p>
    <w:p w14:paraId="27A20193" w14:textId="5D3D56BC" w:rsidR="00B439B4" w:rsidRPr="00626019" w:rsidRDefault="00626019" w:rsidP="000377CA">
      <w:pPr>
        <w:pStyle w:val="NormalWeb"/>
        <w:ind w:left="0" w:firstLine="0"/>
        <w:contextualSpacing/>
        <w:rPr>
          <w:rStyle w:val="Strong"/>
          <w:rFonts w:ascii="Calibri" w:hAnsi="Calibri" w:cs="Calibri"/>
          <w:color w:val="000000" w:themeColor="text1"/>
        </w:rPr>
      </w:pPr>
      <w:r>
        <w:rPr>
          <w:rFonts w:ascii="Calibri" w:hAnsi="Calibri" w:cs="Calibri"/>
          <w:color w:val="000000" w:themeColor="text1"/>
        </w:rPr>
        <w:t xml:space="preserve">2.3.2 </w:t>
      </w:r>
      <w:r w:rsidR="00B439B4" w:rsidRPr="00626019">
        <w:rPr>
          <w:rFonts w:ascii="Calibri" w:hAnsi="Calibri" w:cs="Calibri"/>
          <w:color w:val="000000" w:themeColor="text1"/>
        </w:rPr>
        <w:t>Use g</w:t>
      </w:r>
      <w:r w:rsidR="0050350B" w:rsidRPr="00626019">
        <w:rPr>
          <w:rFonts w:ascii="Calibri" w:hAnsi="Calibri" w:cs="Calibri"/>
          <w:color w:val="000000" w:themeColor="text1"/>
        </w:rPr>
        <w:t>roups of 5–10 animals per well</w:t>
      </w:r>
      <w:r w:rsidR="00115229" w:rsidRPr="00626019">
        <w:rPr>
          <w:rFonts w:ascii="Calibri" w:hAnsi="Calibri" w:cs="Calibri"/>
          <w:color w:val="000000" w:themeColor="text1"/>
        </w:rPr>
        <w:t xml:space="preserve"> </w:t>
      </w:r>
      <w:r w:rsidR="00B439B4" w:rsidRPr="00626019">
        <w:rPr>
          <w:rFonts w:ascii="Calibri" w:hAnsi="Calibri" w:cs="Calibri"/>
          <w:color w:val="000000" w:themeColor="text1"/>
        </w:rPr>
        <w:t>for each</w:t>
      </w:r>
      <w:r w:rsidR="00115229" w:rsidRPr="00626019">
        <w:rPr>
          <w:rFonts w:ascii="Calibri" w:hAnsi="Calibri" w:cs="Calibri"/>
          <w:color w:val="000000" w:themeColor="text1"/>
        </w:rPr>
        <w:t xml:space="preserve"> </w:t>
      </w:r>
      <w:r w:rsidR="00086374" w:rsidRPr="00626019">
        <w:rPr>
          <w:rFonts w:ascii="Calibri" w:hAnsi="Calibri" w:cs="Calibri"/>
          <w:color w:val="000000" w:themeColor="text1"/>
        </w:rPr>
        <w:t>experimental condition</w:t>
      </w:r>
      <w:r w:rsidR="0050350B" w:rsidRPr="00626019">
        <w:rPr>
          <w:rFonts w:ascii="Calibri" w:hAnsi="Calibri" w:cs="Calibri"/>
          <w:color w:val="000000" w:themeColor="text1"/>
        </w:rPr>
        <w:t>.</w:t>
      </w:r>
      <w:r w:rsidR="003E2BED" w:rsidRPr="00626019">
        <w:rPr>
          <w:rFonts w:ascii="Calibri" w:hAnsi="Calibri" w:cs="Calibri"/>
          <w:color w:val="000000" w:themeColor="text1"/>
        </w:rPr>
        <w:t xml:space="preserve"> Ensure </w:t>
      </w:r>
      <w:r w:rsidR="00B439B4" w:rsidRPr="00626019">
        <w:rPr>
          <w:rFonts w:ascii="Calibri" w:hAnsi="Calibri" w:cs="Calibri"/>
          <w:color w:val="000000" w:themeColor="text1"/>
        </w:rPr>
        <w:t>equal number</w:t>
      </w:r>
      <w:r w:rsidR="003E2BED" w:rsidRPr="00626019">
        <w:rPr>
          <w:rFonts w:ascii="Calibri" w:hAnsi="Calibri" w:cs="Calibri"/>
          <w:color w:val="000000" w:themeColor="text1"/>
        </w:rPr>
        <w:t>s</w:t>
      </w:r>
      <w:r w:rsidR="00E10589" w:rsidRPr="00626019">
        <w:rPr>
          <w:rFonts w:ascii="Calibri" w:hAnsi="Calibri" w:cs="Calibri"/>
          <w:color w:val="000000" w:themeColor="text1"/>
        </w:rPr>
        <w:t xml:space="preserve"> of animals</w:t>
      </w:r>
      <w:r w:rsidR="003E2BED" w:rsidRPr="00626019">
        <w:rPr>
          <w:rFonts w:ascii="Calibri" w:hAnsi="Calibri" w:cs="Calibri"/>
          <w:color w:val="000000" w:themeColor="text1"/>
        </w:rPr>
        <w:t xml:space="preserve"> </w:t>
      </w:r>
      <w:r w:rsidR="00B439B4" w:rsidRPr="00626019">
        <w:rPr>
          <w:rFonts w:ascii="Calibri" w:hAnsi="Calibri" w:cs="Calibri"/>
          <w:color w:val="000000" w:themeColor="text1"/>
        </w:rPr>
        <w:t xml:space="preserve">across all conditions, including </w:t>
      </w:r>
      <w:r w:rsidR="003E2BED" w:rsidRPr="00626019">
        <w:rPr>
          <w:rFonts w:ascii="Calibri" w:hAnsi="Calibri" w:cs="Calibri"/>
          <w:color w:val="000000" w:themeColor="text1"/>
        </w:rPr>
        <w:t>positive and negative control</w:t>
      </w:r>
      <w:r w:rsidR="00990AE1" w:rsidRPr="00626019">
        <w:rPr>
          <w:rFonts w:ascii="Calibri" w:hAnsi="Calibri" w:cs="Calibri"/>
          <w:color w:val="000000" w:themeColor="text1"/>
        </w:rPr>
        <w:t>s</w:t>
      </w:r>
      <w:r w:rsidR="003E2BED" w:rsidRPr="00626019">
        <w:rPr>
          <w:rFonts w:ascii="Calibri" w:hAnsi="Calibri" w:cs="Calibri"/>
          <w:color w:val="000000" w:themeColor="text1"/>
        </w:rPr>
        <w:t>.</w:t>
      </w:r>
    </w:p>
    <w:p w14:paraId="648AE4E6" w14:textId="77777777" w:rsidR="00B439B4" w:rsidRPr="00644AF5" w:rsidRDefault="00B439B4" w:rsidP="000377CA">
      <w:pPr>
        <w:pStyle w:val="NormalWeb"/>
        <w:ind w:left="0" w:firstLine="0"/>
        <w:contextualSpacing/>
        <w:rPr>
          <w:rFonts w:ascii="Calibri" w:hAnsi="Calibri" w:cs="Calibri"/>
          <w:color w:val="000000" w:themeColor="text1"/>
        </w:rPr>
      </w:pPr>
    </w:p>
    <w:p w14:paraId="46BAAB22" w14:textId="77777777" w:rsidR="007E356D" w:rsidRPr="00182210" w:rsidRDefault="007E356D" w:rsidP="000377CA">
      <w:pPr>
        <w:pStyle w:val="NormalWeb"/>
        <w:ind w:left="0" w:firstLine="0"/>
        <w:contextualSpacing/>
        <w:rPr>
          <w:rStyle w:val="Strong"/>
          <w:rFonts w:ascii="Calibri" w:hAnsi="Calibri" w:cs="Calibri"/>
          <w:b w:val="0"/>
          <w:bCs w:val="0"/>
          <w:color w:val="000000" w:themeColor="text1"/>
          <w:highlight w:val="yellow"/>
        </w:rPr>
      </w:pPr>
      <w:r w:rsidRPr="00182210">
        <w:rPr>
          <w:rStyle w:val="Strong"/>
          <w:rFonts w:ascii="Calibri" w:hAnsi="Calibri" w:cs="Calibri"/>
          <w:b w:val="0"/>
          <w:bCs w:val="0"/>
          <w:color w:val="000000" w:themeColor="text1"/>
          <w:highlight w:val="yellow"/>
        </w:rPr>
        <w:t>2.4 Animal size selection</w:t>
      </w:r>
    </w:p>
    <w:p w14:paraId="024418EA" w14:textId="77777777" w:rsidR="007E356D" w:rsidRPr="00182210" w:rsidRDefault="007E356D" w:rsidP="000377CA">
      <w:pPr>
        <w:pStyle w:val="NormalWeb"/>
        <w:ind w:left="0" w:firstLine="0"/>
        <w:contextualSpacing/>
        <w:rPr>
          <w:rStyle w:val="Strong"/>
          <w:rFonts w:ascii="Calibri" w:hAnsi="Calibri" w:cs="Calibri"/>
          <w:b w:val="0"/>
          <w:bCs w:val="0"/>
          <w:color w:val="000000" w:themeColor="text1"/>
          <w:highlight w:val="yellow"/>
        </w:rPr>
      </w:pPr>
    </w:p>
    <w:p w14:paraId="097C6928" w14:textId="77777777" w:rsidR="007E356D" w:rsidRPr="00182210" w:rsidRDefault="007E356D" w:rsidP="000377CA">
      <w:pPr>
        <w:pStyle w:val="NormalWeb"/>
        <w:ind w:left="0" w:firstLine="0"/>
        <w:contextualSpacing/>
        <w:rPr>
          <w:rStyle w:val="Strong"/>
          <w:rFonts w:ascii="Calibri" w:hAnsi="Calibri" w:cs="Calibri"/>
          <w:b w:val="0"/>
          <w:bCs w:val="0"/>
          <w:color w:val="000000" w:themeColor="text1"/>
          <w:highlight w:val="yellow"/>
        </w:rPr>
      </w:pPr>
      <w:r w:rsidRPr="00182210">
        <w:rPr>
          <w:rStyle w:val="Strong"/>
          <w:rFonts w:ascii="Calibri" w:hAnsi="Calibri" w:cs="Calibri"/>
          <w:b w:val="0"/>
          <w:bCs w:val="0"/>
          <w:color w:val="000000" w:themeColor="text1"/>
          <w:highlight w:val="yellow"/>
        </w:rPr>
        <w:t>2.4.1 Select planarians approximately 5 mm in length, corresponding to ~5 × 10⁵ host cells per animal⁵³.</w:t>
      </w:r>
    </w:p>
    <w:p w14:paraId="04DAD417" w14:textId="77777777" w:rsidR="007E356D" w:rsidRPr="00182210" w:rsidRDefault="007E356D" w:rsidP="000377CA">
      <w:pPr>
        <w:pStyle w:val="NormalWeb"/>
        <w:ind w:left="0" w:firstLine="0"/>
        <w:contextualSpacing/>
        <w:rPr>
          <w:rStyle w:val="Strong"/>
          <w:rFonts w:ascii="Calibri" w:hAnsi="Calibri" w:cs="Calibri"/>
          <w:b w:val="0"/>
          <w:bCs w:val="0"/>
          <w:color w:val="000000" w:themeColor="text1"/>
          <w:highlight w:val="yellow"/>
        </w:rPr>
      </w:pPr>
    </w:p>
    <w:p w14:paraId="5A07356F" w14:textId="77777777" w:rsidR="007E356D" w:rsidRPr="00182210" w:rsidRDefault="007E356D" w:rsidP="000377CA">
      <w:pPr>
        <w:pStyle w:val="NormalWeb"/>
        <w:ind w:left="0" w:firstLine="0"/>
        <w:contextualSpacing/>
        <w:rPr>
          <w:rStyle w:val="Strong"/>
          <w:rFonts w:ascii="Calibri" w:hAnsi="Calibri" w:cs="Calibri"/>
          <w:b w:val="0"/>
          <w:bCs w:val="0"/>
          <w:color w:val="000000" w:themeColor="text1"/>
          <w:highlight w:val="yellow"/>
        </w:rPr>
      </w:pPr>
      <w:r w:rsidRPr="00182210">
        <w:rPr>
          <w:rStyle w:val="Strong"/>
          <w:rFonts w:ascii="Calibri" w:hAnsi="Calibri" w:cs="Calibri"/>
          <w:b w:val="0"/>
          <w:bCs w:val="0"/>
          <w:color w:val="000000" w:themeColor="text1"/>
          <w:highlight w:val="yellow"/>
        </w:rPr>
        <w:t>2.4.2 Avoid using planarians smaller than 5 mm, as animals of this size may include individuals with blastemas or incomplete development that can produce inconsistent results.</w:t>
      </w:r>
    </w:p>
    <w:p w14:paraId="6199D205" w14:textId="77777777" w:rsidR="007E356D" w:rsidRPr="00182210" w:rsidRDefault="007E356D" w:rsidP="000377CA">
      <w:pPr>
        <w:pStyle w:val="NormalWeb"/>
        <w:ind w:left="0" w:firstLine="0"/>
        <w:contextualSpacing/>
        <w:rPr>
          <w:rStyle w:val="Strong"/>
          <w:rFonts w:ascii="Calibri" w:hAnsi="Calibri" w:cs="Calibri"/>
          <w:b w:val="0"/>
          <w:bCs w:val="0"/>
          <w:color w:val="000000" w:themeColor="text1"/>
          <w:highlight w:val="yellow"/>
        </w:rPr>
      </w:pPr>
    </w:p>
    <w:p w14:paraId="651AF5F0" w14:textId="77777777" w:rsidR="007E356D" w:rsidRPr="007E356D" w:rsidRDefault="007E356D" w:rsidP="000377CA">
      <w:pPr>
        <w:pStyle w:val="NormalWeb"/>
        <w:ind w:left="0" w:firstLine="0"/>
        <w:contextualSpacing/>
        <w:rPr>
          <w:rStyle w:val="Strong"/>
          <w:rFonts w:ascii="Calibri" w:hAnsi="Calibri" w:cs="Calibri"/>
          <w:b w:val="0"/>
          <w:bCs w:val="0"/>
          <w:color w:val="000000" w:themeColor="text1"/>
        </w:rPr>
      </w:pPr>
      <w:r w:rsidRPr="00182210">
        <w:rPr>
          <w:rStyle w:val="Strong"/>
          <w:rFonts w:ascii="Calibri" w:hAnsi="Calibri" w:cs="Calibri"/>
          <w:b w:val="0"/>
          <w:bCs w:val="0"/>
          <w:color w:val="000000" w:themeColor="text1"/>
          <w:highlight w:val="yellow"/>
        </w:rPr>
        <w:t>2.4.3 Avoid using planarians larger than 5 mm, as larger animals are less suitable for fluorescence immunostaining.</w:t>
      </w:r>
    </w:p>
    <w:p w14:paraId="5659D626" w14:textId="77777777" w:rsidR="007E356D" w:rsidRPr="007E356D" w:rsidRDefault="007E356D" w:rsidP="000377CA">
      <w:pPr>
        <w:pStyle w:val="NormalWeb"/>
        <w:ind w:left="0" w:firstLine="0"/>
        <w:contextualSpacing/>
        <w:rPr>
          <w:rStyle w:val="Strong"/>
          <w:rFonts w:ascii="Calibri" w:hAnsi="Calibri" w:cs="Calibri"/>
          <w:b w:val="0"/>
          <w:bCs w:val="0"/>
          <w:color w:val="000000" w:themeColor="text1"/>
        </w:rPr>
      </w:pPr>
    </w:p>
    <w:p w14:paraId="4F79411A" w14:textId="77777777" w:rsidR="007E356D" w:rsidRPr="00AD26CF" w:rsidRDefault="007E356D" w:rsidP="000377CA">
      <w:pPr>
        <w:pStyle w:val="NormalWeb"/>
        <w:ind w:left="0" w:firstLine="0"/>
        <w:contextualSpacing/>
        <w:rPr>
          <w:rStyle w:val="Strong"/>
          <w:rFonts w:ascii="Calibri" w:hAnsi="Calibri" w:cs="Calibri"/>
          <w:b w:val="0"/>
          <w:bCs w:val="0"/>
          <w:color w:val="000000" w:themeColor="text1"/>
          <w:highlight w:val="yellow"/>
        </w:rPr>
      </w:pPr>
      <w:r w:rsidRPr="00AD26CF">
        <w:rPr>
          <w:rStyle w:val="Strong"/>
          <w:rFonts w:ascii="Calibri" w:hAnsi="Calibri" w:cs="Calibri"/>
          <w:b w:val="0"/>
          <w:bCs w:val="0"/>
          <w:color w:val="000000" w:themeColor="text1"/>
          <w:highlight w:val="yellow"/>
        </w:rPr>
        <w:t>2.4.4 Use planarians approximately 5 mm in length when establishing infectious dose (ID₅₀) and lethal dose (LD₅₀) conditions.</w:t>
      </w:r>
    </w:p>
    <w:p w14:paraId="79C35F5A" w14:textId="77777777" w:rsidR="007E356D" w:rsidRPr="00AD26CF" w:rsidRDefault="007E356D" w:rsidP="000377CA">
      <w:pPr>
        <w:pStyle w:val="NormalWeb"/>
        <w:ind w:left="0" w:firstLine="0"/>
        <w:contextualSpacing/>
        <w:rPr>
          <w:rStyle w:val="Strong"/>
          <w:rFonts w:ascii="Calibri" w:hAnsi="Calibri" w:cs="Calibri"/>
          <w:b w:val="0"/>
          <w:bCs w:val="0"/>
          <w:color w:val="000000" w:themeColor="text1"/>
          <w:highlight w:val="yellow"/>
        </w:rPr>
      </w:pPr>
    </w:p>
    <w:p w14:paraId="10FB7DA5" w14:textId="68E30039" w:rsidR="007E356D" w:rsidRPr="00AD26CF" w:rsidRDefault="007E356D" w:rsidP="000377CA">
      <w:pPr>
        <w:pStyle w:val="NormalWeb"/>
        <w:ind w:left="0" w:firstLine="0"/>
        <w:contextualSpacing/>
        <w:rPr>
          <w:rStyle w:val="Strong"/>
          <w:rFonts w:ascii="Calibri" w:hAnsi="Calibri" w:cs="Calibri"/>
          <w:b w:val="0"/>
          <w:bCs w:val="0"/>
          <w:color w:val="000000" w:themeColor="text1"/>
          <w:highlight w:val="yellow"/>
        </w:rPr>
      </w:pPr>
      <w:r w:rsidRPr="00AD26CF">
        <w:rPr>
          <w:rStyle w:val="Strong"/>
          <w:rFonts w:ascii="Calibri" w:hAnsi="Calibri" w:cs="Calibri"/>
          <w:color w:val="000000" w:themeColor="text1"/>
          <w:highlight w:val="yellow"/>
        </w:rPr>
        <w:t>NOTE</w:t>
      </w:r>
      <w:r w:rsidRPr="00AD26CF">
        <w:rPr>
          <w:rStyle w:val="Strong"/>
          <w:rFonts w:ascii="Calibri" w:hAnsi="Calibri" w:cs="Calibri"/>
          <w:b w:val="0"/>
          <w:bCs w:val="0"/>
          <w:color w:val="000000" w:themeColor="text1"/>
          <w:highlight w:val="yellow"/>
        </w:rPr>
        <w:t>: To facilitate consistent size selection, print a 5 mm × 5 mm reference grid and place it inside a plastic binder sleeve beneath the transparent planarian container. Ensure planarians are fully extended before measuring length.</w:t>
      </w:r>
    </w:p>
    <w:p w14:paraId="436804B0" w14:textId="77777777" w:rsidR="007E356D" w:rsidRPr="00AD26CF" w:rsidRDefault="007E356D" w:rsidP="000377CA">
      <w:pPr>
        <w:pStyle w:val="NormalWeb"/>
        <w:ind w:left="0" w:firstLine="0"/>
        <w:contextualSpacing/>
        <w:rPr>
          <w:rStyle w:val="Strong"/>
          <w:rFonts w:ascii="Calibri" w:hAnsi="Calibri" w:cs="Calibri"/>
          <w:b w:val="0"/>
          <w:bCs w:val="0"/>
          <w:color w:val="000000" w:themeColor="text1"/>
          <w:highlight w:val="yellow"/>
        </w:rPr>
      </w:pPr>
    </w:p>
    <w:p w14:paraId="0D4AA5B0" w14:textId="77777777" w:rsidR="007E356D" w:rsidRPr="00AD26CF" w:rsidRDefault="007E356D" w:rsidP="000377CA">
      <w:pPr>
        <w:ind w:left="0" w:firstLine="0"/>
        <w:contextualSpacing/>
        <w:rPr>
          <w:rFonts w:ascii="Calibri" w:hAnsi="Calibri" w:cs="Calibri"/>
          <w:color w:val="000000" w:themeColor="text1"/>
          <w:highlight w:val="yellow"/>
        </w:rPr>
      </w:pPr>
      <w:r w:rsidRPr="00AD26CF">
        <w:rPr>
          <w:rFonts w:ascii="Calibri" w:hAnsi="Calibri" w:cs="Calibri"/>
          <w:color w:val="000000" w:themeColor="text1"/>
          <w:highlight w:val="yellow"/>
        </w:rPr>
        <w:t>2.5 Health and inclusion criteria</w:t>
      </w:r>
    </w:p>
    <w:p w14:paraId="495596BE" w14:textId="77777777" w:rsidR="007E356D" w:rsidRPr="00AD26CF" w:rsidRDefault="007E356D" w:rsidP="000377CA">
      <w:pPr>
        <w:ind w:left="0" w:firstLine="0"/>
        <w:contextualSpacing/>
        <w:rPr>
          <w:rFonts w:ascii="Calibri" w:hAnsi="Calibri" w:cs="Calibri"/>
          <w:color w:val="000000" w:themeColor="text1"/>
          <w:highlight w:val="yellow"/>
        </w:rPr>
      </w:pPr>
    </w:p>
    <w:p w14:paraId="03C30218" w14:textId="77777777" w:rsidR="007E356D" w:rsidRPr="00AD26CF" w:rsidRDefault="007E356D" w:rsidP="000377CA">
      <w:pPr>
        <w:ind w:left="0" w:firstLine="0"/>
        <w:contextualSpacing/>
        <w:rPr>
          <w:rFonts w:ascii="Calibri" w:hAnsi="Calibri" w:cs="Calibri"/>
          <w:color w:val="000000" w:themeColor="text1"/>
          <w:highlight w:val="yellow"/>
        </w:rPr>
      </w:pPr>
      <w:r w:rsidRPr="00AD26CF">
        <w:rPr>
          <w:rFonts w:ascii="Calibri" w:hAnsi="Calibri" w:cs="Calibri"/>
          <w:color w:val="000000" w:themeColor="text1"/>
          <w:highlight w:val="yellow"/>
        </w:rPr>
        <w:t>2.5.1 CRITICAL STEP: Examine all planarians under a stereomicroscope prior to use.</w:t>
      </w:r>
    </w:p>
    <w:p w14:paraId="12084317" w14:textId="77777777" w:rsidR="007E356D" w:rsidRPr="00AD26CF" w:rsidRDefault="007E356D" w:rsidP="000377CA">
      <w:pPr>
        <w:ind w:left="0" w:firstLine="0"/>
        <w:contextualSpacing/>
        <w:rPr>
          <w:rFonts w:ascii="Calibri" w:hAnsi="Calibri" w:cs="Calibri"/>
          <w:color w:val="000000" w:themeColor="text1"/>
          <w:highlight w:val="yellow"/>
        </w:rPr>
      </w:pPr>
    </w:p>
    <w:p w14:paraId="6B340C30" w14:textId="495169A1" w:rsidR="007E356D" w:rsidRDefault="007E356D" w:rsidP="000377CA">
      <w:pPr>
        <w:ind w:left="0" w:firstLine="0"/>
        <w:contextualSpacing/>
        <w:rPr>
          <w:rFonts w:ascii="Calibri" w:hAnsi="Calibri" w:cs="Calibri"/>
          <w:color w:val="000000" w:themeColor="text1"/>
        </w:rPr>
      </w:pPr>
      <w:r w:rsidRPr="00AD26CF">
        <w:rPr>
          <w:rFonts w:ascii="Calibri" w:hAnsi="Calibri" w:cs="Calibri"/>
          <w:color w:val="000000" w:themeColor="text1"/>
          <w:highlight w:val="yellow"/>
        </w:rPr>
        <w:t>2.5.2 Exclude animals with visible damage or injury, including the following conditions</w:t>
      </w:r>
      <w:r w:rsidR="000377CA" w:rsidRPr="00AD26CF">
        <w:rPr>
          <w:rFonts w:ascii="Calibri" w:hAnsi="Calibri" w:cs="Calibri"/>
          <w:color w:val="000000" w:themeColor="text1"/>
          <w:highlight w:val="yellow"/>
        </w:rPr>
        <w:t>:</w:t>
      </w:r>
    </w:p>
    <w:p w14:paraId="6408EC94" w14:textId="77777777" w:rsidR="007E356D" w:rsidRPr="007E356D" w:rsidRDefault="007E356D" w:rsidP="000377CA">
      <w:pPr>
        <w:ind w:left="0" w:firstLine="0"/>
        <w:contextualSpacing/>
        <w:rPr>
          <w:rFonts w:ascii="Calibri" w:hAnsi="Calibri" w:cs="Calibri"/>
          <w:color w:val="000000" w:themeColor="text1"/>
        </w:rPr>
      </w:pPr>
    </w:p>
    <w:p w14:paraId="46C4737D" w14:textId="77777777" w:rsidR="007E356D" w:rsidRPr="004C38D3" w:rsidRDefault="007E356D" w:rsidP="000377CA">
      <w:pPr>
        <w:ind w:left="0" w:firstLine="0"/>
        <w:contextualSpacing/>
        <w:rPr>
          <w:rFonts w:ascii="Calibri" w:hAnsi="Calibri" w:cs="Calibri"/>
          <w:i/>
          <w:iCs/>
          <w:color w:val="000000" w:themeColor="text1"/>
          <w:highlight w:val="yellow"/>
        </w:rPr>
      </w:pPr>
      <w:r w:rsidRPr="004C38D3">
        <w:rPr>
          <w:rFonts w:ascii="Calibri" w:hAnsi="Calibri" w:cs="Calibri"/>
          <w:color w:val="000000" w:themeColor="text1"/>
          <w:highlight w:val="yellow"/>
        </w:rPr>
        <w:t>2.5.2.1 Presence of blastemas (tissue lacking pigmentation) or incomplete pigmentation development.</w:t>
      </w:r>
    </w:p>
    <w:p w14:paraId="6AA2F4D4" w14:textId="77777777" w:rsidR="007E356D" w:rsidRPr="004C38D3" w:rsidRDefault="007E356D" w:rsidP="000377CA">
      <w:pPr>
        <w:ind w:left="0" w:firstLine="0"/>
        <w:contextualSpacing/>
        <w:rPr>
          <w:rFonts w:ascii="Calibri" w:hAnsi="Calibri" w:cs="Calibri"/>
          <w:color w:val="000000" w:themeColor="text1"/>
          <w:highlight w:val="yellow"/>
        </w:rPr>
      </w:pPr>
    </w:p>
    <w:p w14:paraId="798F6B88" w14:textId="77777777" w:rsidR="007E356D" w:rsidRPr="004A1022" w:rsidRDefault="007E356D" w:rsidP="000377CA">
      <w:pPr>
        <w:ind w:left="0" w:firstLine="0"/>
        <w:contextualSpacing/>
        <w:rPr>
          <w:rFonts w:ascii="Calibri" w:hAnsi="Calibri" w:cs="Calibri"/>
          <w:color w:val="000000" w:themeColor="text1"/>
        </w:rPr>
      </w:pPr>
      <w:r w:rsidRPr="004C38D3">
        <w:rPr>
          <w:rFonts w:ascii="Calibri" w:hAnsi="Calibri" w:cs="Calibri"/>
          <w:color w:val="000000" w:themeColor="text1"/>
          <w:highlight w:val="yellow"/>
        </w:rPr>
        <w:lastRenderedPageBreak/>
        <w:t>2.5.2.2 Abnormal pigmentation, such as significantly darker regions.</w:t>
      </w:r>
    </w:p>
    <w:p w14:paraId="06584DD1" w14:textId="77777777" w:rsidR="007E356D" w:rsidRPr="004A1022" w:rsidRDefault="007E356D" w:rsidP="000377CA">
      <w:pPr>
        <w:ind w:left="0" w:firstLine="0"/>
        <w:contextualSpacing/>
        <w:rPr>
          <w:rFonts w:ascii="Calibri" w:hAnsi="Calibri" w:cs="Calibri"/>
          <w:color w:val="000000" w:themeColor="text1"/>
        </w:rPr>
      </w:pPr>
    </w:p>
    <w:p w14:paraId="0E1D3A8B"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2.5.2.3 </w:t>
      </w:r>
      <w:r w:rsidRPr="004B2C9D">
        <w:rPr>
          <w:rFonts w:ascii="Calibri" w:hAnsi="Calibri" w:cs="Calibri"/>
          <w:color w:val="000000" w:themeColor="text1"/>
        </w:rPr>
        <w:t>Missing or damaged tissue.</w:t>
      </w:r>
    </w:p>
    <w:p w14:paraId="338A6414" w14:textId="77777777" w:rsidR="007E356D" w:rsidRPr="004A1022" w:rsidRDefault="007E356D" w:rsidP="000377CA">
      <w:pPr>
        <w:ind w:left="0" w:firstLine="0"/>
        <w:contextualSpacing/>
        <w:rPr>
          <w:rFonts w:ascii="Calibri" w:hAnsi="Calibri" w:cs="Calibri"/>
          <w:color w:val="000000" w:themeColor="text1"/>
        </w:rPr>
      </w:pPr>
    </w:p>
    <w:p w14:paraId="125B9CF9"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2.5.2.4 </w:t>
      </w:r>
      <w:r w:rsidRPr="004B2C9D">
        <w:rPr>
          <w:rFonts w:ascii="Calibri" w:hAnsi="Calibri" w:cs="Calibri"/>
          <w:color w:val="000000" w:themeColor="text1"/>
        </w:rPr>
        <w:t>Lesions or scars.</w:t>
      </w:r>
    </w:p>
    <w:p w14:paraId="202C7EA7" w14:textId="77777777" w:rsidR="007E356D" w:rsidRPr="004A1022" w:rsidRDefault="007E356D" w:rsidP="000377CA">
      <w:pPr>
        <w:ind w:left="0" w:firstLine="0"/>
        <w:contextualSpacing/>
        <w:rPr>
          <w:rFonts w:ascii="Calibri" w:hAnsi="Calibri" w:cs="Calibri"/>
          <w:color w:val="000000" w:themeColor="text1"/>
        </w:rPr>
      </w:pPr>
    </w:p>
    <w:p w14:paraId="5FA1B1F4"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2.5.2.5 </w:t>
      </w:r>
      <w:r w:rsidRPr="004B2C9D">
        <w:rPr>
          <w:rFonts w:ascii="Calibri" w:hAnsi="Calibri" w:cs="Calibri"/>
          <w:color w:val="000000" w:themeColor="text1"/>
        </w:rPr>
        <w:t>Open wounds.</w:t>
      </w:r>
    </w:p>
    <w:p w14:paraId="427FC183" w14:textId="77777777" w:rsidR="007E356D" w:rsidRPr="004A1022" w:rsidRDefault="007E356D" w:rsidP="000377CA">
      <w:pPr>
        <w:ind w:left="0" w:firstLine="0"/>
        <w:contextualSpacing/>
        <w:rPr>
          <w:rFonts w:ascii="Calibri" w:hAnsi="Calibri" w:cs="Calibri"/>
          <w:color w:val="000000" w:themeColor="text1"/>
        </w:rPr>
      </w:pPr>
    </w:p>
    <w:p w14:paraId="5934D201"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2.5.2.6 </w:t>
      </w:r>
      <w:r w:rsidRPr="004B2C9D">
        <w:rPr>
          <w:rFonts w:ascii="Calibri" w:hAnsi="Calibri" w:cs="Calibri"/>
          <w:color w:val="000000" w:themeColor="text1"/>
        </w:rPr>
        <w:t>Abnormal body shape or deformity.</w:t>
      </w:r>
    </w:p>
    <w:p w14:paraId="11598A0F" w14:textId="77777777" w:rsidR="007E356D" w:rsidRPr="004A1022" w:rsidRDefault="007E356D" w:rsidP="000377CA">
      <w:pPr>
        <w:ind w:left="0" w:firstLine="0"/>
        <w:contextualSpacing/>
        <w:rPr>
          <w:rFonts w:ascii="Calibri" w:hAnsi="Calibri" w:cs="Calibri"/>
          <w:color w:val="000000" w:themeColor="text1"/>
        </w:rPr>
      </w:pPr>
    </w:p>
    <w:p w14:paraId="5A694D93"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2.5.2.7 </w:t>
      </w:r>
      <w:r w:rsidRPr="004B2C9D">
        <w:rPr>
          <w:rFonts w:ascii="Calibri" w:hAnsi="Calibri" w:cs="Calibri"/>
          <w:color w:val="000000" w:themeColor="text1"/>
        </w:rPr>
        <w:t>Any chronic or non-healing condition.</w:t>
      </w:r>
    </w:p>
    <w:p w14:paraId="105CF1DF" w14:textId="77777777" w:rsidR="007E356D" w:rsidRPr="004A1022" w:rsidRDefault="007E356D" w:rsidP="000377CA">
      <w:pPr>
        <w:ind w:left="0" w:firstLine="0"/>
        <w:contextualSpacing/>
        <w:rPr>
          <w:rFonts w:ascii="Calibri" w:hAnsi="Calibri" w:cs="Calibri"/>
          <w:color w:val="000000" w:themeColor="text1"/>
        </w:rPr>
      </w:pPr>
    </w:p>
    <w:p w14:paraId="14D1D8BF" w14:textId="77777777" w:rsidR="007E356D" w:rsidRPr="004A1022"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2.5.3 Exclude animals with developmental abnormalities.</w:t>
      </w:r>
    </w:p>
    <w:p w14:paraId="35E18ED7" w14:textId="77777777" w:rsidR="007E356D" w:rsidRPr="004A1022" w:rsidRDefault="007E356D" w:rsidP="000377CA">
      <w:pPr>
        <w:ind w:left="0" w:firstLine="0"/>
        <w:contextualSpacing/>
        <w:rPr>
          <w:rFonts w:ascii="Calibri" w:hAnsi="Calibri" w:cs="Calibri"/>
          <w:color w:val="000000" w:themeColor="text1"/>
        </w:rPr>
      </w:pPr>
    </w:p>
    <w:p w14:paraId="5174D0C8"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2.5.3.1 </w:t>
      </w:r>
      <w:r w:rsidRPr="004B2C9D">
        <w:rPr>
          <w:rFonts w:ascii="Calibri" w:hAnsi="Calibri" w:cs="Calibri"/>
          <w:color w:val="000000" w:themeColor="text1"/>
        </w:rPr>
        <w:t>Bifurcated or duplicated head or tail regions.</w:t>
      </w:r>
    </w:p>
    <w:p w14:paraId="34C0A503" w14:textId="77777777" w:rsidR="007E356D" w:rsidRPr="004A1022" w:rsidRDefault="007E356D" w:rsidP="000377CA">
      <w:pPr>
        <w:ind w:left="0" w:firstLine="0"/>
        <w:contextualSpacing/>
        <w:rPr>
          <w:rFonts w:ascii="Calibri" w:hAnsi="Calibri" w:cs="Calibri"/>
          <w:color w:val="000000" w:themeColor="text1"/>
        </w:rPr>
      </w:pPr>
    </w:p>
    <w:p w14:paraId="097A67BE"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2.5.3.2 </w:t>
      </w:r>
      <w:r w:rsidRPr="004B2C9D">
        <w:rPr>
          <w:rFonts w:ascii="Calibri" w:hAnsi="Calibri" w:cs="Calibri"/>
          <w:color w:val="000000" w:themeColor="text1"/>
        </w:rPr>
        <w:t>Misshapen or asymmetric body morphology.</w:t>
      </w:r>
    </w:p>
    <w:p w14:paraId="310E252D" w14:textId="77777777" w:rsidR="007E356D" w:rsidRPr="004A1022" w:rsidRDefault="007E356D" w:rsidP="000377CA">
      <w:pPr>
        <w:ind w:left="0" w:firstLine="0"/>
        <w:contextualSpacing/>
        <w:rPr>
          <w:rFonts w:ascii="Calibri" w:hAnsi="Calibri" w:cs="Calibri"/>
          <w:color w:val="000000" w:themeColor="text1"/>
        </w:rPr>
      </w:pPr>
    </w:p>
    <w:p w14:paraId="37EAAAC2" w14:textId="77777777" w:rsidR="007E356D" w:rsidRPr="004B2C9D" w:rsidRDefault="007E356D" w:rsidP="000377CA">
      <w:pPr>
        <w:ind w:left="0" w:firstLine="0"/>
        <w:contextualSpacing/>
        <w:rPr>
          <w:rFonts w:ascii="Calibri" w:hAnsi="Calibri" w:cs="Calibri"/>
          <w:color w:val="000000" w:themeColor="text1"/>
        </w:rPr>
      </w:pPr>
      <w:r w:rsidRPr="004C38D3">
        <w:rPr>
          <w:rFonts w:ascii="Calibri" w:hAnsi="Calibri" w:cs="Calibri"/>
          <w:color w:val="000000" w:themeColor="text1"/>
          <w:highlight w:val="yellow"/>
        </w:rPr>
        <w:t>2.5.3.3 Incorrect number of photoreceptors (only one bilateral pair is acceptable).</w:t>
      </w:r>
    </w:p>
    <w:p w14:paraId="2034F2D5" w14:textId="77777777" w:rsidR="007E356D" w:rsidRPr="004A1022" w:rsidRDefault="007E356D" w:rsidP="000377CA">
      <w:pPr>
        <w:ind w:left="0" w:firstLine="0"/>
        <w:contextualSpacing/>
        <w:rPr>
          <w:rFonts w:ascii="Calibri" w:hAnsi="Calibri" w:cs="Calibri"/>
          <w:color w:val="000000" w:themeColor="text1"/>
        </w:rPr>
      </w:pPr>
    </w:p>
    <w:p w14:paraId="40A599EF"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2.5.3.4 </w:t>
      </w:r>
      <w:r w:rsidRPr="004B2C9D">
        <w:rPr>
          <w:rFonts w:ascii="Calibri" w:hAnsi="Calibri" w:cs="Calibri"/>
          <w:color w:val="000000" w:themeColor="text1"/>
        </w:rPr>
        <w:t>Abnormally positioned pharynx.</w:t>
      </w:r>
    </w:p>
    <w:p w14:paraId="7564B3BF" w14:textId="77777777" w:rsidR="007E356D" w:rsidRPr="004A1022" w:rsidRDefault="007E356D" w:rsidP="000377CA">
      <w:pPr>
        <w:ind w:left="0" w:firstLine="0"/>
        <w:contextualSpacing/>
        <w:rPr>
          <w:rFonts w:ascii="Calibri" w:hAnsi="Calibri" w:cs="Calibri"/>
          <w:color w:val="000000" w:themeColor="text1"/>
        </w:rPr>
      </w:pPr>
    </w:p>
    <w:p w14:paraId="2C0F4E47" w14:textId="77777777" w:rsidR="007E356D" w:rsidRPr="004B2C9D" w:rsidRDefault="007E356D" w:rsidP="000377CA">
      <w:pPr>
        <w:ind w:left="0" w:firstLine="0"/>
        <w:contextualSpacing/>
        <w:rPr>
          <w:rFonts w:ascii="Calibri" w:hAnsi="Calibri" w:cs="Calibri"/>
          <w:color w:val="000000" w:themeColor="text1"/>
        </w:rPr>
      </w:pPr>
      <w:r w:rsidRPr="004A1022">
        <w:rPr>
          <w:rFonts w:ascii="Calibri" w:hAnsi="Calibri" w:cs="Calibri"/>
          <w:color w:val="000000" w:themeColor="text1"/>
        </w:rPr>
        <w:t xml:space="preserve">2.5.3.5 </w:t>
      </w:r>
      <w:r w:rsidRPr="004B2C9D">
        <w:rPr>
          <w:rFonts w:ascii="Calibri" w:hAnsi="Calibri" w:cs="Calibri"/>
          <w:color w:val="000000" w:themeColor="text1"/>
        </w:rPr>
        <w:t>Defective ciliation resulting in impaired motility or irregular gliding behavior.</w:t>
      </w:r>
    </w:p>
    <w:p w14:paraId="3FD10189" w14:textId="77777777" w:rsidR="007E356D" w:rsidRPr="007E356D" w:rsidRDefault="007E356D" w:rsidP="000377CA">
      <w:pPr>
        <w:ind w:left="0" w:firstLine="0"/>
        <w:contextualSpacing/>
        <w:rPr>
          <w:rFonts w:ascii="Calibri" w:hAnsi="Calibri" w:cs="Calibri"/>
          <w:color w:val="000000" w:themeColor="text1"/>
        </w:rPr>
      </w:pPr>
    </w:p>
    <w:p w14:paraId="623AB536" w14:textId="77777777" w:rsidR="007E356D" w:rsidRPr="007E356D" w:rsidRDefault="007E356D" w:rsidP="000377CA">
      <w:pPr>
        <w:ind w:left="0" w:firstLine="0"/>
        <w:contextualSpacing/>
        <w:rPr>
          <w:rFonts w:ascii="Calibri" w:hAnsi="Calibri" w:cs="Calibri"/>
          <w:color w:val="000000" w:themeColor="text1"/>
        </w:rPr>
      </w:pPr>
      <w:r w:rsidRPr="007E356D">
        <w:rPr>
          <w:rFonts w:ascii="Calibri" w:hAnsi="Calibri" w:cs="Calibri"/>
          <w:color w:val="000000" w:themeColor="text1"/>
        </w:rPr>
        <w:t>2.5.4 Include only animals that are approximately 5 mm in length, fully developed, and free of visible injuries or abnormalities.</w:t>
      </w:r>
    </w:p>
    <w:p w14:paraId="0146B409" w14:textId="535A086D" w:rsidR="007E356D" w:rsidRPr="007E356D" w:rsidRDefault="007E356D" w:rsidP="000377CA">
      <w:pPr>
        <w:ind w:left="0" w:firstLine="0"/>
        <w:contextualSpacing/>
        <w:rPr>
          <w:rFonts w:ascii="Calibri" w:hAnsi="Calibri" w:cs="Calibri"/>
          <w:color w:val="000000" w:themeColor="text1"/>
        </w:rPr>
      </w:pPr>
    </w:p>
    <w:p w14:paraId="10756177" w14:textId="77777777" w:rsidR="007E356D" w:rsidRPr="00AD26CF" w:rsidRDefault="007E356D" w:rsidP="000377CA">
      <w:pPr>
        <w:ind w:left="0" w:firstLine="0"/>
        <w:contextualSpacing/>
        <w:rPr>
          <w:rFonts w:ascii="Calibri" w:hAnsi="Calibri" w:cs="Calibri"/>
          <w:color w:val="000000" w:themeColor="text1"/>
          <w:highlight w:val="yellow"/>
        </w:rPr>
      </w:pPr>
      <w:r w:rsidRPr="00AD26CF">
        <w:rPr>
          <w:rFonts w:ascii="Calibri" w:hAnsi="Calibri" w:cs="Calibri"/>
          <w:color w:val="000000" w:themeColor="text1"/>
          <w:highlight w:val="yellow"/>
        </w:rPr>
        <w:t>2.6 Plate preparation</w:t>
      </w:r>
    </w:p>
    <w:p w14:paraId="5810CD58" w14:textId="77777777" w:rsidR="007E356D" w:rsidRPr="00AD26CF" w:rsidRDefault="007E356D" w:rsidP="000377CA">
      <w:pPr>
        <w:ind w:left="0" w:firstLine="0"/>
        <w:contextualSpacing/>
        <w:rPr>
          <w:rFonts w:ascii="Calibri" w:hAnsi="Calibri" w:cs="Calibri"/>
          <w:color w:val="000000" w:themeColor="text1"/>
          <w:highlight w:val="yellow"/>
        </w:rPr>
      </w:pPr>
    </w:p>
    <w:p w14:paraId="0228BB72" w14:textId="77777777" w:rsidR="007E356D" w:rsidRPr="00AD26CF" w:rsidRDefault="007E356D" w:rsidP="000377CA">
      <w:pPr>
        <w:ind w:left="0" w:firstLine="0"/>
        <w:contextualSpacing/>
        <w:rPr>
          <w:rFonts w:ascii="Calibri" w:hAnsi="Calibri" w:cs="Calibri"/>
          <w:color w:val="000000" w:themeColor="text1"/>
          <w:highlight w:val="yellow"/>
        </w:rPr>
      </w:pPr>
      <w:r w:rsidRPr="00AD26CF">
        <w:rPr>
          <w:rFonts w:ascii="Calibri" w:hAnsi="Calibri" w:cs="Calibri"/>
          <w:color w:val="000000" w:themeColor="text1"/>
          <w:highlight w:val="yellow"/>
        </w:rPr>
        <w:t>2.6.1 Transfer healthy planarians meeting all inclusion criteria into 2 mL of fresh planarian water per well in a non–tissue culture-treated 6-well polystyrene plate.</w:t>
      </w:r>
    </w:p>
    <w:p w14:paraId="5463CDCB" w14:textId="77777777" w:rsidR="007E356D" w:rsidRPr="00AD26CF" w:rsidRDefault="007E356D" w:rsidP="000377CA">
      <w:pPr>
        <w:ind w:left="0" w:firstLine="0"/>
        <w:contextualSpacing/>
        <w:rPr>
          <w:rFonts w:ascii="Calibri" w:hAnsi="Calibri" w:cs="Calibri"/>
          <w:color w:val="000000" w:themeColor="text1"/>
          <w:highlight w:val="yellow"/>
        </w:rPr>
      </w:pPr>
    </w:p>
    <w:p w14:paraId="6FABBFA4" w14:textId="4A6186B5" w:rsidR="007E356D" w:rsidRDefault="007E356D" w:rsidP="000377CA">
      <w:pPr>
        <w:ind w:left="0" w:firstLine="0"/>
        <w:contextualSpacing/>
        <w:rPr>
          <w:rFonts w:ascii="Calibri" w:hAnsi="Calibri" w:cs="Calibri"/>
          <w:color w:val="000000" w:themeColor="text1"/>
        </w:rPr>
      </w:pPr>
      <w:r w:rsidRPr="00AD26CF">
        <w:rPr>
          <w:rFonts w:ascii="Calibri" w:hAnsi="Calibri" w:cs="Calibri"/>
          <w:b/>
          <w:bCs/>
          <w:color w:val="000000" w:themeColor="text1"/>
          <w:highlight w:val="yellow"/>
        </w:rPr>
        <w:t>NOTE</w:t>
      </w:r>
      <w:r w:rsidRPr="00AD26CF">
        <w:rPr>
          <w:rFonts w:ascii="Calibri" w:hAnsi="Calibri" w:cs="Calibri"/>
          <w:color w:val="000000" w:themeColor="text1"/>
          <w:highlight w:val="yellow"/>
        </w:rPr>
        <w:t>: Transfer animals one day prior to infection to allow acclimation to the new environment and population density.</w:t>
      </w:r>
    </w:p>
    <w:p w14:paraId="6E72EADA" w14:textId="77777777" w:rsidR="007E356D" w:rsidRPr="007E356D" w:rsidRDefault="007E356D" w:rsidP="000377CA">
      <w:pPr>
        <w:ind w:left="0" w:firstLine="0"/>
        <w:contextualSpacing/>
        <w:rPr>
          <w:rFonts w:ascii="Calibri" w:hAnsi="Calibri" w:cs="Calibri"/>
          <w:color w:val="000000" w:themeColor="text1"/>
        </w:rPr>
      </w:pPr>
    </w:p>
    <w:p w14:paraId="2AE3FA1E" w14:textId="77777777" w:rsidR="007E356D" w:rsidRPr="004C38D3" w:rsidRDefault="007E356D" w:rsidP="000377CA">
      <w:pPr>
        <w:ind w:left="0" w:firstLine="0"/>
        <w:contextualSpacing/>
        <w:rPr>
          <w:rFonts w:ascii="Calibri" w:hAnsi="Calibri" w:cs="Calibri"/>
          <w:color w:val="000000" w:themeColor="text1"/>
          <w:highlight w:val="yellow"/>
        </w:rPr>
      </w:pPr>
      <w:r w:rsidRPr="004C38D3">
        <w:rPr>
          <w:rFonts w:ascii="Calibri" w:hAnsi="Calibri" w:cs="Calibri"/>
          <w:color w:val="000000" w:themeColor="text1"/>
          <w:highlight w:val="yellow"/>
        </w:rPr>
        <w:t>2.6.3 Assign wells for the following experimental conditions.</w:t>
      </w:r>
    </w:p>
    <w:p w14:paraId="216FA1A0" w14:textId="77777777" w:rsidR="007E356D" w:rsidRPr="004C38D3" w:rsidRDefault="007E356D" w:rsidP="000377CA">
      <w:pPr>
        <w:ind w:left="0" w:firstLine="0"/>
        <w:contextualSpacing/>
        <w:rPr>
          <w:rFonts w:ascii="Calibri" w:hAnsi="Calibri" w:cs="Calibri"/>
          <w:color w:val="000000" w:themeColor="text1"/>
          <w:highlight w:val="yellow"/>
        </w:rPr>
      </w:pPr>
    </w:p>
    <w:p w14:paraId="06FF29B1" w14:textId="77777777" w:rsidR="007E356D" w:rsidRPr="004C38D3" w:rsidRDefault="007E356D" w:rsidP="000377CA">
      <w:pPr>
        <w:ind w:left="0" w:firstLine="0"/>
        <w:contextualSpacing/>
        <w:rPr>
          <w:rFonts w:ascii="Calibri" w:hAnsi="Calibri" w:cs="Calibri"/>
          <w:color w:val="000000" w:themeColor="text1"/>
          <w:highlight w:val="yellow"/>
        </w:rPr>
      </w:pPr>
      <w:r w:rsidRPr="004C38D3">
        <w:rPr>
          <w:rFonts w:ascii="Calibri" w:hAnsi="Calibri" w:cs="Calibri"/>
          <w:color w:val="000000" w:themeColor="text1"/>
          <w:highlight w:val="yellow"/>
        </w:rPr>
        <w:t>2.6.3.1 Negative controls: uninfected or mock-treated animals.</w:t>
      </w:r>
    </w:p>
    <w:p w14:paraId="28B8978D" w14:textId="77777777" w:rsidR="007E356D" w:rsidRPr="004C38D3" w:rsidRDefault="007E356D" w:rsidP="000377CA">
      <w:pPr>
        <w:ind w:left="0" w:firstLine="0"/>
        <w:contextualSpacing/>
        <w:rPr>
          <w:rFonts w:ascii="Calibri" w:hAnsi="Calibri" w:cs="Calibri"/>
          <w:color w:val="000000" w:themeColor="text1"/>
          <w:highlight w:val="yellow"/>
        </w:rPr>
      </w:pPr>
    </w:p>
    <w:p w14:paraId="05EF2825" w14:textId="75274F30" w:rsidR="007E356D" w:rsidRDefault="007E356D" w:rsidP="000377CA">
      <w:pPr>
        <w:ind w:left="0" w:firstLine="0"/>
        <w:contextualSpacing/>
        <w:rPr>
          <w:rFonts w:ascii="Calibri" w:hAnsi="Calibri" w:cs="Calibri"/>
          <w:color w:val="000000" w:themeColor="text1"/>
        </w:rPr>
      </w:pPr>
      <w:r w:rsidRPr="004C38D3">
        <w:rPr>
          <w:rFonts w:ascii="Calibri" w:hAnsi="Calibri" w:cs="Calibri"/>
          <w:color w:val="000000" w:themeColor="text1"/>
          <w:highlight w:val="yellow"/>
        </w:rPr>
        <w:t xml:space="preserve">2.6.3.2 Positive controls: animals infected with wildtype </w:t>
      </w:r>
      <w:r w:rsidRPr="004C38D3">
        <w:rPr>
          <w:rFonts w:ascii="Calibri" w:hAnsi="Calibri" w:cs="Calibri"/>
          <w:i/>
          <w:iCs/>
          <w:color w:val="000000" w:themeColor="text1"/>
          <w:highlight w:val="yellow"/>
        </w:rPr>
        <w:t>C. albicans</w:t>
      </w:r>
      <w:r w:rsidRPr="004C38D3">
        <w:rPr>
          <w:rFonts w:ascii="Calibri" w:hAnsi="Calibri" w:cs="Calibri"/>
          <w:color w:val="000000" w:themeColor="text1"/>
          <w:highlight w:val="yellow"/>
        </w:rPr>
        <w:t>.</w:t>
      </w:r>
    </w:p>
    <w:p w14:paraId="72B3718B" w14:textId="77777777" w:rsidR="007E356D" w:rsidRPr="007E356D" w:rsidRDefault="007E356D" w:rsidP="000377CA">
      <w:pPr>
        <w:ind w:left="0" w:firstLine="0"/>
        <w:contextualSpacing/>
        <w:rPr>
          <w:rFonts w:ascii="Calibri" w:hAnsi="Calibri" w:cs="Calibri"/>
          <w:color w:val="000000" w:themeColor="text1"/>
        </w:rPr>
      </w:pPr>
    </w:p>
    <w:p w14:paraId="22443B8F" w14:textId="367166A0" w:rsidR="00C364E0" w:rsidRDefault="007E356D" w:rsidP="000377CA">
      <w:pPr>
        <w:ind w:left="0" w:firstLine="0"/>
        <w:contextualSpacing/>
        <w:rPr>
          <w:rFonts w:ascii="Calibri" w:hAnsi="Calibri" w:cs="Calibri"/>
          <w:color w:val="000000" w:themeColor="text1"/>
        </w:rPr>
      </w:pPr>
      <w:r w:rsidRPr="00AD26CF">
        <w:rPr>
          <w:rFonts w:ascii="Calibri" w:hAnsi="Calibri" w:cs="Calibri"/>
          <w:color w:val="000000" w:themeColor="text1"/>
          <w:highlight w:val="yellow"/>
        </w:rPr>
        <w:t>2.6.4 Remove and replace all water with 2 mL of fresh planarian water to ensure uniformity across wells.</w:t>
      </w:r>
    </w:p>
    <w:p w14:paraId="6ABB6AF3" w14:textId="77777777" w:rsidR="000377CA" w:rsidRPr="007E356D" w:rsidRDefault="000377CA" w:rsidP="000377CA">
      <w:pPr>
        <w:ind w:left="0" w:firstLine="0"/>
        <w:contextualSpacing/>
        <w:rPr>
          <w:rFonts w:ascii="Calibri" w:hAnsi="Calibri" w:cs="Calibri"/>
          <w:color w:val="000000" w:themeColor="text1"/>
        </w:rPr>
      </w:pPr>
    </w:p>
    <w:p w14:paraId="671EA25F" w14:textId="289AB9C6" w:rsidR="000377CA" w:rsidRDefault="000377CA" w:rsidP="000377CA">
      <w:pPr>
        <w:pStyle w:val="Heading3"/>
        <w:spacing w:before="0"/>
        <w:ind w:left="0" w:firstLine="0"/>
        <w:rPr>
          <w:rStyle w:val="Strong"/>
          <w:rFonts w:ascii="Calibri" w:hAnsi="Calibri" w:cs="Calibri"/>
          <w:b/>
          <w:bCs w:val="0"/>
          <w:color w:val="auto"/>
        </w:rPr>
      </w:pPr>
      <w:r w:rsidRPr="000377CA">
        <w:rPr>
          <w:rStyle w:val="Strong"/>
          <w:rFonts w:ascii="Calibri" w:hAnsi="Calibri" w:cs="Calibri"/>
          <w:b/>
          <w:bCs w:val="0"/>
          <w:color w:val="auto"/>
        </w:rPr>
        <w:lastRenderedPageBreak/>
        <w:t xml:space="preserve">3. Infection Setup </w:t>
      </w:r>
    </w:p>
    <w:p w14:paraId="16ADC570" w14:textId="77777777" w:rsidR="000377CA" w:rsidRPr="000377CA" w:rsidRDefault="000377CA" w:rsidP="000377CA"/>
    <w:p w14:paraId="25BF5753" w14:textId="4B6A472C" w:rsidR="000377CA" w:rsidRPr="000377CA" w:rsidRDefault="000377CA" w:rsidP="000377CA">
      <w:pPr>
        <w:pStyle w:val="Heading4"/>
        <w:spacing w:before="0" w:after="0"/>
        <w:ind w:left="0" w:firstLine="0"/>
        <w:rPr>
          <w:rStyle w:val="Strong"/>
          <w:bCs w:val="0"/>
        </w:rPr>
      </w:pPr>
      <w:r w:rsidRPr="000377CA">
        <w:rPr>
          <w:rStyle w:val="Strong"/>
          <w:bCs w:val="0"/>
        </w:rPr>
        <w:t>3.1 Prepare inoculation</w:t>
      </w:r>
      <w:r w:rsidR="004A1022">
        <w:rPr>
          <w:rStyle w:val="Strong"/>
          <w:bCs w:val="0"/>
        </w:rPr>
        <w:t xml:space="preserve"> </w:t>
      </w:r>
      <w:r w:rsidR="004A1022" w:rsidRPr="004A1022">
        <w:rPr>
          <w:b w:val="0"/>
        </w:rPr>
        <w:t>(</w:t>
      </w:r>
      <w:r w:rsidR="004A1022">
        <w:rPr>
          <w:b w:val="0"/>
        </w:rPr>
        <w:t>s</w:t>
      </w:r>
      <w:r w:rsidR="004A1022" w:rsidRPr="004A1022">
        <w:rPr>
          <w:b w:val="0"/>
        </w:rPr>
        <w:t xml:space="preserve">ee </w:t>
      </w:r>
      <w:r w:rsidR="004A1022" w:rsidRPr="004B2C9D">
        <w:t xml:space="preserve">Supplementary File 1 </w:t>
      </w:r>
      <w:r w:rsidR="004A1022" w:rsidRPr="004A1022">
        <w:rPr>
          <w:b w:val="0"/>
        </w:rPr>
        <w:t>for sample calculation)</w:t>
      </w:r>
    </w:p>
    <w:p w14:paraId="2C90F7E8" w14:textId="77777777" w:rsidR="000377CA" w:rsidRPr="000377CA" w:rsidRDefault="000377CA" w:rsidP="000377CA"/>
    <w:p w14:paraId="3885D269" w14:textId="77777777" w:rsidR="000377CA" w:rsidRPr="00D850C1" w:rsidRDefault="000377CA" w:rsidP="000377CA">
      <w:pPr>
        <w:pStyle w:val="NormalWeb"/>
        <w:ind w:left="0" w:firstLine="0"/>
        <w:jc w:val="both"/>
        <w:rPr>
          <w:rFonts w:ascii="Calibri" w:hAnsi="Calibri" w:cs="Calibri"/>
          <w:highlight w:val="yellow"/>
        </w:rPr>
      </w:pPr>
      <w:r w:rsidRPr="00D850C1">
        <w:rPr>
          <w:rFonts w:ascii="Calibri" w:hAnsi="Calibri" w:cs="Calibri"/>
          <w:highlight w:val="yellow"/>
        </w:rPr>
        <w:t>3.1.1 Using aseptic technique, gently remove all water from the 6-well plate by tilting the plate toward the user.</w:t>
      </w:r>
    </w:p>
    <w:p w14:paraId="530B1FCB" w14:textId="77777777" w:rsidR="000377CA" w:rsidRPr="00D850C1" w:rsidRDefault="000377CA" w:rsidP="000377CA">
      <w:pPr>
        <w:pStyle w:val="NormalWeb"/>
        <w:ind w:left="0" w:firstLine="0"/>
        <w:jc w:val="both"/>
        <w:rPr>
          <w:rFonts w:ascii="Calibri" w:hAnsi="Calibri" w:cs="Calibri"/>
          <w:highlight w:val="yellow"/>
        </w:rPr>
      </w:pPr>
    </w:p>
    <w:p w14:paraId="00E5D606" w14:textId="77777777" w:rsidR="000377CA" w:rsidRPr="00D850C1" w:rsidRDefault="000377CA" w:rsidP="000377CA">
      <w:pPr>
        <w:pStyle w:val="NormalWeb"/>
        <w:ind w:left="0" w:firstLine="0"/>
        <w:jc w:val="both"/>
        <w:rPr>
          <w:rFonts w:ascii="Calibri" w:hAnsi="Calibri" w:cs="Calibri"/>
          <w:highlight w:val="yellow"/>
        </w:rPr>
      </w:pPr>
      <w:r w:rsidRPr="00D850C1">
        <w:rPr>
          <w:rFonts w:ascii="Calibri" w:hAnsi="Calibri" w:cs="Calibri"/>
          <w:highlight w:val="yellow"/>
        </w:rPr>
        <w:t>3.1.2 Add the calculated volume of planarian water to each well.</w:t>
      </w:r>
    </w:p>
    <w:p w14:paraId="303A9DC7" w14:textId="77777777" w:rsidR="000377CA" w:rsidRPr="00D850C1" w:rsidRDefault="000377CA" w:rsidP="000377CA">
      <w:pPr>
        <w:pStyle w:val="NormalWeb"/>
        <w:ind w:left="0" w:firstLine="0"/>
        <w:jc w:val="both"/>
        <w:rPr>
          <w:rFonts w:ascii="Calibri" w:hAnsi="Calibri" w:cs="Calibri"/>
          <w:highlight w:val="yellow"/>
        </w:rPr>
      </w:pPr>
    </w:p>
    <w:p w14:paraId="0C50496C" w14:textId="77777777" w:rsidR="000377CA" w:rsidRPr="00D850C1" w:rsidRDefault="000377CA" w:rsidP="000377CA">
      <w:pPr>
        <w:pStyle w:val="NormalWeb"/>
        <w:ind w:left="0" w:firstLine="0"/>
        <w:jc w:val="both"/>
        <w:rPr>
          <w:rFonts w:ascii="Calibri" w:hAnsi="Calibri" w:cs="Calibri"/>
          <w:highlight w:val="yellow"/>
        </w:rPr>
      </w:pPr>
      <w:r w:rsidRPr="00D850C1">
        <w:rPr>
          <w:rStyle w:val="Strong"/>
          <w:rFonts w:ascii="Calibri" w:hAnsi="Calibri" w:cs="Calibri"/>
          <w:highlight w:val="yellow"/>
        </w:rPr>
        <w:t>NOTE</w:t>
      </w:r>
      <w:r w:rsidRPr="00D850C1">
        <w:rPr>
          <w:rStyle w:val="Strong"/>
          <w:rFonts w:ascii="Calibri" w:hAnsi="Calibri" w:cs="Calibri"/>
          <w:b w:val="0"/>
          <w:bCs w:val="0"/>
          <w:highlight w:val="yellow"/>
        </w:rPr>
        <w:t>:</w:t>
      </w:r>
      <w:r w:rsidRPr="00D850C1">
        <w:rPr>
          <w:rFonts w:ascii="Calibri" w:hAnsi="Calibri" w:cs="Calibri"/>
          <w:highlight w:val="yellow"/>
        </w:rPr>
        <w:t xml:space="preserve"> Proceed one well at a time to prevent animals from drying out.</w:t>
      </w:r>
    </w:p>
    <w:p w14:paraId="7C6E0D67" w14:textId="77777777" w:rsidR="000377CA" w:rsidRPr="00D850C1" w:rsidRDefault="000377CA" w:rsidP="000377CA">
      <w:pPr>
        <w:pStyle w:val="NormalWeb"/>
        <w:ind w:left="0" w:firstLine="0"/>
        <w:jc w:val="both"/>
        <w:rPr>
          <w:rFonts w:ascii="Calibri" w:hAnsi="Calibri" w:cs="Calibri"/>
          <w:highlight w:val="yellow"/>
        </w:rPr>
      </w:pPr>
    </w:p>
    <w:p w14:paraId="7F1D7246" w14:textId="77777777" w:rsidR="000377CA" w:rsidRPr="000377CA" w:rsidRDefault="000377CA" w:rsidP="000377CA">
      <w:pPr>
        <w:pStyle w:val="NormalWeb"/>
        <w:ind w:left="0" w:firstLine="0"/>
        <w:jc w:val="both"/>
        <w:rPr>
          <w:rFonts w:ascii="Calibri" w:hAnsi="Calibri" w:cs="Calibri"/>
        </w:rPr>
      </w:pPr>
      <w:r w:rsidRPr="00D850C1">
        <w:rPr>
          <w:rFonts w:ascii="Calibri" w:hAnsi="Calibri" w:cs="Calibri"/>
          <w:highlight w:val="yellow"/>
        </w:rPr>
        <w:t xml:space="preserve">3.1.3 Add the calculated volume of </w:t>
      </w:r>
      <w:r w:rsidRPr="00D850C1">
        <w:rPr>
          <w:rStyle w:val="Emphasis"/>
          <w:rFonts w:ascii="Calibri" w:hAnsi="Calibri" w:cs="Calibri"/>
          <w:highlight w:val="yellow"/>
        </w:rPr>
        <w:t>C. albicans</w:t>
      </w:r>
      <w:r w:rsidRPr="00D850C1">
        <w:rPr>
          <w:rFonts w:ascii="Calibri" w:hAnsi="Calibri" w:cs="Calibri"/>
          <w:highlight w:val="yellow"/>
        </w:rPr>
        <w:t xml:space="preserve"> culture to each well.</w:t>
      </w:r>
    </w:p>
    <w:p w14:paraId="120581C6" w14:textId="77777777" w:rsidR="000377CA" w:rsidRPr="000377CA" w:rsidRDefault="000377CA" w:rsidP="000377CA">
      <w:pPr>
        <w:pStyle w:val="NormalWeb"/>
        <w:ind w:left="0" w:firstLine="0"/>
        <w:jc w:val="both"/>
        <w:rPr>
          <w:rFonts w:ascii="Calibri" w:hAnsi="Calibri" w:cs="Calibri"/>
        </w:rPr>
      </w:pPr>
    </w:p>
    <w:p w14:paraId="27B5DC0F" w14:textId="77777777" w:rsidR="000377CA" w:rsidRPr="000377CA" w:rsidRDefault="000377CA" w:rsidP="000377CA">
      <w:pPr>
        <w:pStyle w:val="NormalWeb"/>
        <w:ind w:left="0" w:firstLine="0"/>
        <w:jc w:val="both"/>
        <w:rPr>
          <w:rFonts w:ascii="Calibri" w:hAnsi="Calibri" w:cs="Calibri"/>
        </w:rPr>
      </w:pPr>
      <w:r w:rsidRPr="004C38D3">
        <w:rPr>
          <w:rStyle w:val="Strong"/>
          <w:rFonts w:ascii="Calibri" w:hAnsi="Calibri" w:cs="Calibri"/>
          <w:highlight w:val="yellow"/>
        </w:rPr>
        <w:t>NOTE</w:t>
      </w:r>
      <w:r w:rsidRPr="004C38D3">
        <w:rPr>
          <w:rStyle w:val="Strong"/>
          <w:rFonts w:ascii="Calibri" w:hAnsi="Calibri" w:cs="Calibri"/>
          <w:b w:val="0"/>
          <w:bCs w:val="0"/>
          <w:highlight w:val="yellow"/>
        </w:rPr>
        <w:t>:</w:t>
      </w:r>
      <w:r w:rsidRPr="004C38D3">
        <w:rPr>
          <w:rFonts w:ascii="Calibri" w:hAnsi="Calibri" w:cs="Calibri"/>
          <w:highlight w:val="yellow"/>
        </w:rPr>
        <w:t xml:space="preserve"> Avoid exposing animals to air for prolonged periods, as drying can cause stress and alter infection outcomes.</w:t>
      </w:r>
    </w:p>
    <w:p w14:paraId="06C7E79F" w14:textId="23D9D82A" w:rsidR="000377CA" w:rsidRPr="000377CA" w:rsidRDefault="000377CA" w:rsidP="000377CA">
      <w:pPr>
        <w:ind w:left="0" w:firstLine="0"/>
        <w:jc w:val="both"/>
        <w:rPr>
          <w:rFonts w:ascii="Calibri" w:hAnsi="Calibri" w:cs="Calibri"/>
        </w:rPr>
      </w:pPr>
    </w:p>
    <w:p w14:paraId="559014EA" w14:textId="4F99B55E" w:rsidR="00BD3761" w:rsidRDefault="000377CA" w:rsidP="00BD3761">
      <w:pPr>
        <w:pStyle w:val="Heading4"/>
        <w:spacing w:before="0" w:after="0"/>
        <w:ind w:left="0" w:firstLine="0"/>
        <w:rPr>
          <w:rStyle w:val="Strong"/>
        </w:rPr>
      </w:pPr>
      <w:r w:rsidRPr="000377CA">
        <w:rPr>
          <w:rStyle w:val="Strong"/>
        </w:rPr>
        <w:t>3.2 Experimental plate incubation conditions</w:t>
      </w:r>
    </w:p>
    <w:p w14:paraId="47E32A41" w14:textId="77777777" w:rsidR="00BD3761" w:rsidRPr="00BD3761" w:rsidRDefault="00BD3761" w:rsidP="00BD3761"/>
    <w:p w14:paraId="24128946" w14:textId="77777777" w:rsidR="000377CA" w:rsidRPr="00D850C1" w:rsidRDefault="000377CA" w:rsidP="003E4898">
      <w:pPr>
        <w:pStyle w:val="NormalWeb"/>
        <w:ind w:left="0" w:firstLine="0"/>
        <w:contextualSpacing/>
        <w:jc w:val="both"/>
        <w:rPr>
          <w:rFonts w:ascii="Calibri" w:hAnsi="Calibri" w:cs="Calibri"/>
          <w:bCs/>
          <w:highlight w:val="yellow"/>
        </w:rPr>
      </w:pPr>
      <w:r w:rsidRPr="00D850C1">
        <w:rPr>
          <w:rFonts w:ascii="Calibri" w:hAnsi="Calibri" w:cs="Calibri"/>
          <w:bCs/>
          <w:highlight w:val="yellow"/>
        </w:rPr>
        <w:t>3.2.1 Place the inoculated 6-well plate in a dark, static location at room temperature.</w:t>
      </w:r>
    </w:p>
    <w:p w14:paraId="0C7B2698" w14:textId="77777777" w:rsidR="00BD3761" w:rsidRPr="00D850C1" w:rsidRDefault="00BD3761" w:rsidP="003E4898">
      <w:pPr>
        <w:pStyle w:val="NormalWeb"/>
        <w:ind w:left="0" w:firstLine="0"/>
        <w:contextualSpacing/>
        <w:jc w:val="both"/>
        <w:rPr>
          <w:rFonts w:ascii="Calibri" w:hAnsi="Calibri" w:cs="Calibri"/>
          <w:bCs/>
          <w:highlight w:val="yellow"/>
        </w:rPr>
      </w:pPr>
    </w:p>
    <w:p w14:paraId="762915BF" w14:textId="77777777" w:rsidR="000377CA" w:rsidRPr="00D850C1" w:rsidRDefault="000377CA" w:rsidP="003E4898">
      <w:pPr>
        <w:pStyle w:val="NormalWeb"/>
        <w:ind w:left="0" w:firstLine="0"/>
        <w:contextualSpacing/>
        <w:jc w:val="both"/>
        <w:rPr>
          <w:rFonts w:ascii="Calibri" w:hAnsi="Calibri" w:cs="Calibri"/>
          <w:bCs/>
          <w:highlight w:val="yellow"/>
        </w:rPr>
      </w:pPr>
      <w:r w:rsidRPr="00D850C1">
        <w:rPr>
          <w:rFonts w:ascii="Calibri" w:hAnsi="Calibri" w:cs="Calibri"/>
          <w:bCs/>
          <w:highlight w:val="yellow"/>
        </w:rPr>
        <w:t>3.2.2 Maintain experimental plates in a separate area from uninfected planarian colonies to prevent cross-contamination.</w:t>
      </w:r>
    </w:p>
    <w:p w14:paraId="4FD00E46" w14:textId="77777777" w:rsidR="00BD3761" w:rsidRPr="00D850C1" w:rsidRDefault="00BD3761" w:rsidP="004B2C9D">
      <w:pPr>
        <w:pStyle w:val="NormalWeb"/>
        <w:ind w:left="0" w:firstLine="0"/>
        <w:contextualSpacing/>
        <w:jc w:val="both"/>
        <w:rPr>
          <w:rFonts w:ascii="Calibri" w:hAnsi="Calibri" w:cs="Calibri"/>
          <w:bCs/>
          <w:highlight w:val="yellow"/>
        </w:rPr>
      </w:pPr>
    </w:p>
    <w:p w14:paraId="21343FFE" w14:textId="77777777" w:rsidR="000377CA" w:rsidRDefault="000377CA" w:rsidP="00BD3761">
      <w:pPr>
        <w:pStyle w:val="NormalWeb"/>
        <w:ind w:left="0" w:firstLine="0"/>
        <w:jc w:val="both"/>
        <w:rPr>
          <w:rFonts w:ascii="Calibri" w:hAnsi="Calibri" w:cs="Calibri"/>
          <w:bCs/>
        </w:rPr>
      </w:pPr>
      <w:r w:rsidRPr="00D850C1">
        <w:rPr>
          <w:rFonts w:ascii="Calibri" w:hAnsi="Calibri" w:cs="Calibri"/>
          <w:bCs/>
          <w:highlight w:val="yellow"/>
        </w:rPr>
        <w:t xml:space="preserve">3.2.3 Record the date and time of inoculation (designated as </w:t>
      </w:r>
      <w:r w:rsidRPr="00D850C1">
        <w:rPr>
          <w:rStyle w:val="Strong"/>
          <w:rFonts w:ascii="Calibri" w:hAnsi="Calibri" w:cs="Calibri"/>
          <w:b w:val="0"/>
          <w:highlight w:val="yellow"/>
        </w:rPr>
        <w:t>time 0 h</w:t>
      </w:r>
      <w:r w:rsidRPr="00D850C1">
        <w:rPr>
          <w:rFonts w:ascii="Calibri" w:hAnsi="Calibri" w:cs="Calibri"/>
          <w:bCs/>
          <w:highlight w:val="yellow"/>
        </w:rPr>
        <w:t>).</w:t>
      </w:r>
    </w:p>
    <w:p w14:paraId="2FC8AA01" w14:textId="77777777" w:rsidR="00BD3761" w:rsidRPr="000377CA" w:rsidRDefault="00BD3761" w:rsidP="00BD3761">
      <w:pPr>
        <w:pStyle w:val="NormalWeb"/>
        <w:ind w:left="0" w:firstLine="0"/>
        <w:jc w:val="both"/>
        <w:rPr>
          <w:rFonts w:ascii="Calibri" w:hAnsi="Calibri" w:cs="Calibri"/>
          <w:bCs/>
        </w:rPr>
      </w:pPr>
    </w:p>
    <w:p w14:paraId="6C87B3A2" w14:textId="77777777" w:rsidR="000377CA" w:rsidRDefault="000377CA" w:rsidP="00BD3761">
      <w:pPr>
        <w:pStyle w:val="NormalWeb"/>
        <w:ind w:left="0" w:firstLine="0"/>
        <w:jc w:val="both"/>
        <w:rPr>
          <w:rFonts w:ascii="Calibri" w:hAnsi="Calibri" w:cs="Calibri"/>
          <w:bCs/>
        </w:rPr>
      </w:pPr>
      <w:r w:rsidRPr="000377CA">
        <w:rPr>
          <w:rStyle w:val="Strong"/>
          <w:rFonts w:ascii="Calibri" w:hAnsi="Calibri" w:cs="Calibri"/>
          <w:b w:val="0"/>
        </w:rPr>
        <w:t>NOTE:</w:t>
      </w:r>
      <w:r w:rsidRPr="000377CA">
        <w:rPr>
          <w:rFonts w:ascii="Calibri" w:hAnsi="Calibri" w:cs="Calibri"/>
          <w:bCs/>
        </w:rPr>
        <w:t xml:space="preserve"> Avoid high-traffic or vibration-prone areas (e.g., drawers, instrument surfaces, or busy benchtops), as movement can stress animals and confound results.</w:t>
      </w:r>
    </w:p>
    <w:p w14:paraId="1AE0A574" w14:textId="77777777" w:rsidR="00BD3761" w:rsidRPr="000377CA" w:rsidRDefault="00BD3761" w:rsidP="00BD3761">
      <w:pPr>
        <w:pStyle w:val="NormalWeb"/>
        <w:ind w:left="0" w:firstLine="0"/>
        <w:jc w:val="both"/>
        <w:rPr>
          <w:rFonts w:ascii="Calibri" w:hAnsi="Calibri" w:cs="Calibri"/>
          <w:bCs/>
        </w:rPr>
      </w:pPr>
    </w:p>
    <w:p w14:paraId="2D034F2E" w14:textId="77777777" w:rsidR="000377CA" w:rsidRPr="000377CA" w:rsidRDefault="000377CA" w:rsidP="00BD3761">
      <w:pPr>
        <w:pStyle w:val="NormalWeb"/>
        <w:ind w:left="0" w:firstLine="0"/>
        <w:jc w:val="both"/>
        <w:rPr>
          <w:rFonts w:ascii="Calibri" w:hAnsi="Calibri" w:cs="Calibri"/>
          <w:bCs/>
        </w:rPr>
      </w:pPr>
      <w:r w:rsidRPr="004C38D3">
        <w:rPr>
          <w:rFonts w:ascii="Calibri" w:hAnsi="Calibri" w:cs="Calibri"/>
          <w:bCs/>
          <w:highlight w:val="yellow"/>
        </w:rPr>
        <w:t xml:space="preserve">3.2.4 Incubate planarians with </w:t>
      </w:r>
      <w:r w:rsidRPr="004C38D3">
        <w:rPr>
          <w:rStyle w:val="Emphasis"/>
          <w:rFonts w:ascii="Calibri" w:hAnsi="Calibri" w:cs="Calibri"/>
          <w:bCs/>
          <w:highlight w:val="yellow"/>
        </w:rPr>
        <w:t>C. albicans</w:t>
      </w:r>
      <w:r w:rsidRPr="004C38D3">
        <w:rPr>
          <w:rFonts w:ascii="Calibri" w:hAnsi="Calibri" w:cs="Calibri"/>
          <w:bCs/>
          <w:highlight w:val="yellow"/>
        </w:rPr>
        <w:t xml:space="preserve"> for up to </w:t>
      </w:r>
      <w:r w:rsidRPr="004C38D3">
        <w:rPr>
          <w:rStyle w:val="Strong"/>
          <w:rFonts w:ascii="Calibri" w:hAnsi="Calibri" w:cs="Calibri"/>
          <w:b w:val="0"/>
          <w:highlight w:val="yellow"/>
        </w:rPr>
        <w:t>72 h</w:t>
      </w:r>
      <w:r w:rsidRPr="004C38D3">
        <w:rPr>
          <w:rFonts w:ascii="Calibri" w:hAnsi="Calibri" w:cs="Calibri"/>
          <w:bCs/>
          <w:highlight w:val="yellow"/>
        </w:rPr>
        <w:t>, depending on the desired endpoint.</w:t>
      </w:r>
    </w:p>
    <w:p w14:paraId="73015EF7" w14:textId="7E8960B0" w:rsidR="000377CA" w:rsidRPr="000377CA" w:rsidRDefault="000377CA" w:rsidP="000377CA">
      <w:pPr>
        <w:ind w:left="0" w:firstLine="0"/>
        <w:jc w:val="both"/>
        <w:rPr>
          <w:rFonts w:ascii="Calibri" w:hAnsi="Calibri" w:cs="Calibri"/>
          <w:bCs/>
        </w:rPr>
      </w:pPr>
    </w:p>
    <w:p w14:paraId="16A51FF8" w14:textId="77777777" w:rsidR="000377CA" w:rsidRPr="00D850C1" w:rsidRDefault="000377CA" w:rsidP="000377CA">
      <w:pPr>
        <w:pStyle w:val="Heading4"/>
        <w:spacing w:before="0" w:after="0"/>
        <w:ind w:left="0" w:firstLine="0"/>
        <w:rPr>
          <w:rStyle w:val="Strong"/>
          <w:highlight w:val="yellow"/>
        </w:rPr>
      </w:pPr>
      <w:r w:rsidRPr="00D850C1">
        <w:rPr>
          <w:rStyle w:val="Strong"/>
          <w:highlight w:val="yellow"/>
        </w:rPr>
        <w:t>3.3 Resuspension of fungal cells</w:t>
      </w:r>
    </w:p>
    <w:p w14:paraId="57F73174" w14:textId="77777777" w:rsidR="00BD3761" w:rsidRPr="00D850C1" w:rsidRDefault="00BD3761" w:rsidP="00BD3761">
      <w:pPr>
        <w:rPr>
          <w:highlight w:val="yellow"/>
        </w:rPr>
      </w:pPr>
    </w:p>
    <w:p w14:paraId="57C838D8" w14:textId="4431E80C" w:rsidR="000377CA" w:rsidRDefault="000377CA" w:rsidP="000377CA">
      <w:pPr>
        <w:pStyle w:val="NormalWeb"/>
        <w:ind w:left="0" w:firstLine="0"/>
        <w:jc w:val="both"/>
        <w:rPr>
          <w:rFonts w:ascii="Calibri" w:hAnsi="Calibri" w:cs="Calibri"/>
          <w:bCs/>
        </w:rPr>
      </w:pPr>
      <w:r w:rsidRPr="00D850C1">
        <w:rPr>
          <w:rFonts w:ascii="Calibri" w:hAnsi="Calibri" w:cs="Calibri"/>
          <w:bCs/>
          <w:highlight w:val="yellow"/>
        </w:rPr>
        <w:t xml:space="preserve">3.3.1 At each </w:t>
      </w:r>
      <w:r w:rsidR="00BD3761" w:rsidRPr="00D850C1">
        <w:rPr>
          <w:rFonts w:ascii="Calibri" w:hAnsi="Calibri" w:cs="Calibri"/>
          <w:bCs/>
          <w:highlight w:val="yellow"/>
        </w:rPr>
        <w:t>time point</w:t>
      </w:r>
      <w:r w:rsidRPr="00D850C1">
        <w:rPr>
          <w:rFonts w:ascii="Calibri" w:hAnsi="Calibri" w:cs="Calibri"/>
          <w:bCs/>
          <w:highlight w:val="yellow"/>
        </w:rPr>
        <w:t xml:space="preserve">, gently resuspend settled </w:t>
      </w:r>
      <w:r w:rsidRPr="00D850C1">
        <w:rPr>
          <w:rStyle w:val="Emphasis"/>
          <w:rFonts w:ascii="Calibri" w:hAnsi="Calibri" w:cs="Calibri"/>
          <w:bCs/>
          <w:highlight w:val="yellow"/>
        </w:rPr>
        <w:t>C. albicans</w:t>
      </w:r>
      <w:r w:rsidRPr="00D850C1">
        <w:rPr>
          <w:rFonts w:ascii="Calibri" w:hAnsi="Calibri" w:cs="Calibri"/>
          <w:bCs/>
          <w:highlight w:val="yellow"/>
        </w:rPr>
        <w:t xml:space="preserve"> cells without disturbing the planarians.</w:t>
      </w:r>
    </w:p>
    <w:p w14:paraId="0687626B" w14:textId="77777777" w:rsidR="00BD3761" w:rsidRPr="000377CA" w:rsidRDefault="00BD3761" w:rsidP="000377CA">
      <w:pPr>
        <w:pStyle w:val="NormalWeb"/>
        <w:ind w:left="0" w:firstLine="0"/>
        <w:jc w:val="both"/>
        <w:rPr>
          <w:rFonts w:ascii="Calibri" w:hAnsi="Calibri" w:cs="Calibri"/>
          <w:bCs/>
        </w:rPr>
      </w:pPr>
    </w:p>
    <w:p w14:paraId="3739A8CF" w14:textId="77777777" w:rsidR="000377CA" w:rsidRDefault="000377CA" w:rsidP="000377CA">
      <w:pPr>
        <w:pStyle w:val="NormalWeb"/>
        <w:ind w:left="0" w:firstLine="0"/>
        <w:jc w:val="both"/>
        <w:rPr>
          <w:rFonts w:ascii="Calibri" w:hAnsi="Calibri" w:cs="Calibri"/>
          <w:bCs/>
        </w:rPr>
      </w:pPr>
      <w:r w:rsidRPr="000377CA">
        <w:rPr>
          <w:rStyle w:val="Strong"/>
          <w:rFonts w:ascii="Calibri" w:hAnsi="Calibri" w:cs="Calibri"/>
          <w:b w:val="0"/>
        </w:rPr>
        <w:t>NOTE:</w:t>
      </w:r>
      <w:r w:rsidRPr="000377CA">
        <w:rPr>
          <w:rFonts w:ascii="Calibri" w:hAnsi="Calibri" w:cs="Calibri"/>
          <w:bCs/>
        </w:rPr>
        <w:t xml:space="preserve"> Time (hours [h] or days [d] post-infection) refers to the elapsed time since the initial exposure (time 0).</w:t>
      </w:r>
    </w:p>
    <w:p w14:paraId="5BBBFC2A" w14:textId="77777777" w:rsidR="00BD3761" w:rsidRPr="000377CA" w:rsidRDefault="00BD3761" w:rsidP="000377CA">
      <w:pPr>
        <w:pStyle w:val="NormalWeb"/>
        <w:ind w:left="0" w:firstLine="0"/>
        <w:jc w:val="both"/>
        <w:rPr>
          <w:rFonts w:ascii="Calibri" w:hAnsi="Calibri" w:cs="Calibri"/>
          <w:bCs/>
        </w:rPr>
      </w:pPr>
    </w:p>
    <w:p w14:paraId="3A0DEE15" w14:textId="77777777" w:rsidR="000377CA" w:rsidRPr="00596F15" w:rsidRDefault="000377CA" w:rsidP="000377CA">
      <w:pPr>
        <w:pStyle w:val="Heading5"/>
        <w:spacing w:before="0" w:after="0"/>
        <w:ind w:left="0" w:firstLine="0"/>
        <w:rPr>
          <w:rStyle w:val="Strong"/>
          <w:sz w:val="24"/>
          <w:szCs w:val="24"/>
          <w:highlight w:val="yellow"/>
        </w:rPr>
      </w:pPr>
      <w:r w:rsidRPr="00596F15">
        <w:rPr>
          <w:rStyle w:val="Strong"/>
          <w:sz w:val="24"/>
          <w:szCs w:val="24"/>
          <w:highlight w:val="yellow"/>
        </w:rPr>
        <w:t>3.3.2 At 24 h post-infection (hpi)</w:t>
      </w:r>
    </w:p>
    <w:p w14:paraId="6377524F" w14:textId="77777777" w:rsidR="00BD3761" w:rsidRPr="00596F15" w:rsidRDefault="00BD3761" w:rsidP="00BD3761">
      <w:pPr>
        <w:rPr>
          <w:highlight w:val="yellow"/>
        </w:rPr>
      </w:pPr>
    </w:p>
    <w:p w14:paraId="43737026" w14:textId="77777777" w:rsidR="000377CA" w:rsidRPr="00596F15" w:rsidRDefault="000377CA" w:rsidP="000377CA">
      <w:pPr>
        <w:pStyle w:val="NormalWeb"/>
        <w:ind w:left="0" w:firstLine="0"/>
        <w:jc w:val="both"/>
        <w:rPr>
          <w:rFonts w:ascii="Calibri" w:hAnsi="Calibri" w:cs="Calibri"/>
          <w:bCs/>
          <w:highlight w:val="yellow"/>
        </w:rPr>
      </w:pPr>
      <w:r w:rsidRPr="00596F15">
        <w:rPr>
          <w:rFonts w:ascii="Calibri" w:hAnsi="Calibri" w:cs="Calibri"/>
          <w:bCs/>
          <w:highlight w:val="yellow"/>
        </w:rPr>
        <w:t>3.3.2.1 Using a sterile 3 mL transfer pipette, tilt the plate slightly toward the user.</w:t>
      </w:r>
    </w:p>
    <w:p w14:paraId="7E79F523" w14:textId="77777777" w:rsidR="00BD3761" w:rsidRPr="00596F15" w:rsidRDefault="00BD3761" w:rsidP="000377CA">
      <w:pPr>
        <w:pStyle w:val="NormalWeb"/>
        <w:ind w:left="0" w:firstLine="0"/>
        <w:jc w:val="both"/>
        <w:rPr>
          <w:rFonts w:ascii="Calibri" w:hAnsi="Calibri" w:cs="Calibri"/>
          <w:bCs/>
          <w:highlight w:val="yellow"/>
        </w:rPr>
      </w:pPr>
    </w:p>
    <w:p w14:paraId="3EA23773" w14:textId="0018BD5E" w:rsidR="000377CA" w:rsidRPr="00596F15" w:rsidRDefault="000377CA" w:rsidP="000377CA">
      <w:pPr>
        <w:pStyle w:val="NormalWeb"/>
        <w:ind w:left="0" w:firstLine="0"/>
        <w:jc w:val="both"/>
        <w:rPr>
          <w:rFonts w:ascii="Calibri" w:hAnsi="Calibri" w:cs="Calibri"/>
          <w:bCs/>
          <w:highlight w:val="yellow"/>
        </w:rPr>
      </w:pPr>
      <w:r w:rsidRPr="00596F15">
        <w:rPr>
          <w:rFonts w:ascii="Calibri" w:hAnsi="Calibri" w:cs="Calibri"/>
          <w:bCs/>
          <w:highlight w:val="yellow"/>
        </w:rPr>
        <w:t xml:space="preserve">3.3.2.2 Aspirate the </w:t>
      </w:r>
      <w:r w:rsidR="00BF0EFF" w:rsidRPr="00596F15">
        <w:rPr>
          <w:rFonts w:ascii="Calibri" w:hAnsi="Calibri" w:cs="Calibri"/>
          <w:bCs/>
          <w:highlight w:val="yellow"/>
        </w:rPr>
        <w:t xml:space="preserve">planarian water </w:t>
      </w:r>
      <w:r w:rsidRPr="00596F15">
        <w:rPr>
          <w:rFonts w:ascii="Calibri" w:hAnsi="Calibri" w:cs="Calibri"/>
          <w:bCs/>
          <w:highlight w:val="yellow"/>
        </w:rPr>
        <w:t>and gently dispense it into an area of the well free of animals to mix the settled fungal layer.</w:t>
      </w:r>
    </w:p>
    <w:p w14:paraId="3DCABB88" w14:textId="77777777" w:rsidR="00BD3761" w:rsidRPr="00596F15" w:rsidRDefault="00BD3761" w:rsidP="000377CA">
      <w:pPr>
        <w:pStyle w:val="NormalWeb"/>
        <w:ind w:left="0" w:firstLine="0"/>
        <w:jc w:val="both"/>
        <w:rPr>
          <w:rFonts w:ascii="Calibri" w:hAnsi="Calibri" w:cs="Calibri"/>
          <w:bCs/>
          <w:highlight w:val="yellow"/>
        </w:rPr>
      </w:pPr>
    </w:p>
    <w:p w14:paraId="703601DA" w14:textId="24AEF2E6" w:rsidR="000377CA" w:rsidRPr="00596F15" w:rsidRDefault="000377CA" w:rsidP="000377CA">
      <w:pPr>
        <w:pStyle w:val="NormalWeb"/>
        <w:ind w:left="0" w:firstLine="0"/>
        <w:jc w:val="both"/>
        <w:rPr>
          <w:rFonts w:ascii="Calibri" w:hAnsi="Calibri" w:cs="Calibri"/>
          <w:bCs/>
          <w:highlight w:val="yellow"/>
        </w:rPr>
      </w:pPr>
      <w:r w:rsidRPr="00596F15">
        <w:rPr>
          <w:rFonts w:ascii="Calibri" w:hAnsi="Calibri" w:cs="Calibri"/>
          <w:bCs/>
          <w:highlight w:val="yellow"/>
        </w:rPr>
        <w:t xml:space="preserve">3.3.2.3 Repeat this step </w:t>
      </w:r>
      <w:r w:rsidRPr="00596F15">
        <w:rPr>
          <w:rStyle w:val="Strong"/>
          <w:rFonts w:ascii="Calibri" w:hAnsi="Calibri" w:cs="Calibri"/>
          <w:b w:val="0"/>
          <w:highlight w:val="yellow"/>
        </w:rPr>
        <w:t>5–10 times per well</w:t>
      </w:r>
      <w:r w:rsidR="00E168E9" w:rsidRPr="00596F15">
        <w:rPr>
          <w:rStyle w:val="Strong"/>
          <w:rFonts w:ascii="Calibri" w:hAnsi="Calibri" w:cs="Calibri"/>
          <w:b w:val="0"/>
          <w:highlight w:val="yellow"/>
        </w:rPr>
        <w:t xml:space="preserve"> to break up the settled fungal layer</w:t>
      </w:r>
      <w:r w:rsidRPr="00596F15">
        <w:rPr>
          <w:rFonts w:ascii="Calibri" w:hAnsi="Calibri" w:cs="Calibri"/>
          <w:bCs/>
          <w:highlight w:val="yellow"/>
        </w:rPr>
        <w:t>, avoiding direct contact with planarians.</w:t>
      </w:r>
    </w:p>
    <w:p w14:paraId="10FF34EC" w14:textId="77777777" w:rsidR="00BD3761" w:rsidRPr="00596F15" w:rsidRDefault="00BD3761" w:rsidP="000377CA">
      <w:pPr>
        <w:pStyle w:val="NormalWeb"/>
        <w:ind w:left="0" w:firstLine="0"/>
        <w:jc w:val="both"/>
        <w:rPr>
          <w:rFonts w:ascii="Calibri" w:hAnsi="Calibri" w:cs="Calibri"/>
          <w:bCs/>
          <w:highlight w:val="yellow"/>
        </w:rPr>
      </w:pPr>
    </w:p>
    <w:p w14:paraId="62F2088C" w14:textId="1F548406" w:rsidR="000377CA" w:rsidRPr="00596F15" w:rsidRDefault="000377CA" w:rsidP="000377CA">
      <w:pPr>
        <w:pStyle w:val="NormalWeb"/>
        <w:ind w:left="0" w:firstLine="0"/>
        <w:jc w:val="both"/>
        <w:rPr>
          <w:rFonts w:ascii="Calibri" w:hAnsi="Calibri" w:cs="Calibri"/>
          <w:bCs/>
          <w:highlight w:val="yellow"/>
        </w:rPr>
      </w:pPr>
      <w:r w:rsidRPr="00596F15">
        <w:rPr>
          <w:rFonts w:ascii="Calibri" w:hAnsi="Calibri" w:cs="Calibri"/>
          <w:bCs/>
          <w:highlight w:val="yellow"/>
        </w:rPr>
        <w:t>3.3.2.4 Observe fungal settlement against a dark background for best visibility</w:t>
      </w:r>
      <w:r w:rsidR="00A17BE8" w:rsidRPr="00596F15">
        <w:rPr>
          <w:rFonts w:ascii="Calibri" w:hAnsi="Calibri" w:cs="Calibri"/>
          <w:bCs/>
          <w:highlight w:val="yellow"/>
        </w:rPr>
        <w:t xml:space="preserve"> before and after </w:t>
      </w:r>
      <w:r w:rsidR="003A510C" w:rsidRPr="00596F15">
        <w:rPr>
          <w:rFonts w:ascii="Calibri" w:hAnsi="Calibri" w:cs="Calibri"/>
          <w:bCs/>
          <w:highlight w:val="yellow"/>
        </w:rPr>
        <w:t xml:space="preserve">the </w:t>
      </w:r>
      <w:r w:rsidR="00A17BE8" w:rsidRPr="00596F15">
        <w:rPr>
          <w:rFonts w:ascii="Calibri" w:hAnsi="Calibri" w:cs="Calibri"/>
          <w:bCs/>
          <w:highlight w:val="yellow"/>
        </w:rPr>
        <w:t>resuspending steps</w:t>
      </w:r>
      <w:r w:rsidRPr="00596F15">
        <w:rPr>
          <w:rFonts w:ascii="Calibri" w:hAnsi="Calibri" w:cs="Calibri"/>
          <w:bCs/>
          <w:highlight w:val="yellow"/>
        </w:rPr>
        <w:t>.</w:t>
      </w:r>
    </w:p>
    <w:p w14:paraId="51081B18" w14:textId="77777777" w:rsidR="00BD3761" w:rsidRPr="00596F15" w:rsidRDefault="00BD3761" w:rsidP="000377CA">
      <w:pPr>
        <w:pStyle w:val="NormalWeb"/>
        <w:ind w:left="0" w:firstLine="0"/>
        <w:jc w:val="both"/>
        <w:rPr>
          <w:rFonts w:ascii="Calibri" w:hAnsi="Calibri" w:cs="Calibri"/>
          <w:bCs/>
          <w:highlight w:val="yellow"/>
        </w:rPr>
      </w:pPr>
    </w:p>
    <w:p w14:paraId="7A3EC28A" w14:textId="77777777" w:rsidR="000377CA" w:rsidRDefault="000377CA" w:rsidP="000377CA">
      <w:pPr>
        <w:pStyle w:val="NormalWeb"/>
        <w:ind w:left="0" w:firstLine="0"/>
        <w:jc w:val="both"/>
        <w:rPr>
          <w:rFonts w:ascii="Calibri" w:hAnsi="Calibri" w:cs="Calibri"/>
          <w:bCs/>
        </w:rPr>
      </w:pPr>
      <w:r w:rsidRPr="00596F15">
        <w:rPr>
          <w:rFonts w:ascii="Calibri" w:hAnsi="Calibri" w:cs="Calibri"/>
          <w:bCs/>
          <w:highlight w:val="yellow"/>
        </w:rPr>
        <w:t>3.3.2.5 Resuspend uninfected control wells under identical conditions.</w:t>
      </w:r>
    </w:p>
    <w:p w14:paraId="4850BB80" w14:textId="77777777" w:rsidR="00BD3761" w:rsidRPr="000377CA" w:rsidRDefault="00BD3761" w:rsidP="000377CA">
      <w:pPr>
        <w:pStyle w:val="NormalWeb"/>
        <w:ind w:left="0" w:firstLine="0"/>
        <w:jc w:val="both"/>
        <w:rPr>
          <w:rFonts w:ascii="Calibri" w:hAnsi="Calibri" w:cs="Calibri"/>
          <w:bCs/>
        </w:rPr>
      </w:pPr>
    </w:p>
    <w:p w14:paraId="54BA269C" w14:textId="77777777" w:rsidR="000377CA" w:rsidRDefault="000377CA" w:rsidP="000377CA">
      <w:pPr>
        <w:pStyle w:val="Heading5"/>
        <w:spacing w:before="0" w:after="0"/>
        <w:ind w:left="0" w:firstLine="0"/>
        <w:rPr>
          <w:rStyle w:val="Strong"/>
          <w:sz w:val="24"/>
          <w:szCs w:val="24"/>
        </w:rPr>
      </w:pPr>
      <w:r w:rsidRPr="000377CA">
        <w:rPr>
          <w:rStyle w:val="Strong"/>
          <w:sz w:val="24"/>
          <w:szCs w:val="24"/>
        </w:rPr>
        <w:t>3.3.3 At 48 h post-infection (hpi)</w:t>
      </w:r>
    </w:p>
    <w:p w14:paraId="253D162C" w14:textId="77777777" w:rsidR="00BD3761" w:rsidRPr="00BD3761" w:rsidRDefault="00BD3761" w:rsidP="00BD3761"/>
    <w:p w14:paraId="04681FE4" w14:textId="77777777" w:rsidR="000377CA" w:rsidRDefault="000377CA" w:rsidP="000377CA">
      <w:pPr>
        <w:pStyle w:val="NormalWeb"/>
        <w:ind w:left="0" w:firstLine="0"/>
        <w:jc w:val="both"/>
        <w:rPr>
          <w:rFonts w:ascii="Calibri" w:hAnsi="Calibri" w:cs="Calibri"/>
          <w:bCs/>
        </w:rPr>
      </w:pPr>
      <w:r w:rsidRPr="000377CA">
        <w:rPr>
          <w:rFonts w:ascii="Calibri" w:hAnsi="Calibri" w:cs="Calibri"/>
          <w:bCs/>
        </w:rPr>
        <w:t>3.3.3.1 Repeat the resuspension procedure described above.</w:t>
      </w:r>
    </w:p>
    <w:p w14:paraId="5630CF3F" w14:textId="77777777" w:rsidR="00BD3761" w:rsidRPr="000377CA" w:rsidRDefault="00BD3761" w:rsidP="000377CA">
      <w:pPr>
        <w:pStyle w:val="NormalWeb"/>
        <w:ind w:left="0" w:firstLine="0"/>
        <w:jc w:val="both"/>
        <w:rPr>
          <w:rFonts w:ascii="Calibri" w:hAnsi="Calibri" w:cs="Calibri"/>
          <w:bCs/>
        </w:rPr>
      </w:pPr>
    </w:p>
    <w:p w14:paraId="299C32EA" w14:textId="29D88562" w:rsidR="000377CA" w:rsidRPr="000377CA" w:rsidRDefault="000377CA" w:rsidP="000377CA">
      <w:pPr>
        <w:pStyle w:val="NormalWeb"/>
        <w:ind w:left="0" w:firstLine="0"/>
        <w:jc w:val="both"/>
        <w:rPr>
          <w:rFonts w:ascii="Calibri" w:hAnsi="Calibri" w:cs="Calibri"/>
          <w:bCs/>
        </w:rPr>
      </w:pPr>
      <w:r w:rsidRPr="000377CA">
        <w:rPr>
          <w:rFonts w:ascii="Calibri" w:hAnsi="Calibri" w:cs="Calibri"/>
          <w:bCs/>
        </w:rPr>
        <w:t xml:space="preserve">3.3.3.2 Perform all resuspension steps within </w:t>
      </w:r>
      <w:r w:rsidRPr="000377CA">
        <w:rPr>
          <w:rStyle w:val="Strong"/>
          <w:rFonts w:ascii="Calibri" w:hAnsi="Calibri" w:cs="Calibri"/>
          <w:b w:val="0"/>
        </w:rPr>
        <w:t>±</w:t>
      </w:r>
      <w:r w:rsidR="00BD3761">
        <w:rPr>
          <w:rStyle w:val="Strong"/>
          <w:rFonts w:ascii="Calibri" w:hAnsi="Calibri" w:cs="Calibri"/>
          <w:b w:val="0"/>
        </w:rPr>
        <w:t xml:space="preserve"> </w:t>
      </w:r>
      <w:r w:rsidRPr="000377CA">
        <w:rPr>
          <w:rStyle w:val="Strong"/>
          <w:rFonts w:ascii="Calibri" w:hAnsi="Calibri" w:cs="Calibri"/>
          <w:b w:val="0"/>
        </w:rPr>
        <w:t>1 h</w:t>
      </w:r>
      <w:r w:rsidRPr="000377CA">
        <w:rPr>
          <w:rFonts w:ascii="Calibri" w:hAnsi="Calibri" w:cs="Calibri"/>
          <w:bCs/>
        </w:rPr>
        <w:t xml:space="preserve"> of the designated timepoint.</w:t>
      </w:r>
    </w:p>
    <w:p w14:paraId="685A009D" w14:textId="58BA750F" w:rsidR="000377CA" w:rsidRPr="000377CA" w:rsidRDefault="000377CA" w:rsidP="000377CA">
      <w:pPr>
        <w:ind w:left="0" w:firstLine="0"/>
        <w:jc w:val="both"/>
        <w:rPr>
          <w:rFonts w:ascii="Calibri" w:hAnsi="Calibri" w:cs="Calibri"/>
          <w:bCs/>
        </w:rPr>
      </w:pPr>
    </w:p>
    <w:p w14:paraId="5FD67D6C" w14:textId="77777777" w:rsidR="000377CA" w:rsidRPr="00596F15" w:rsidRDefault="000377CA" w:rsidP="000377CA">
      <w:pPr>
        <w:pStyle w:val="Heading4"/>
        <w:spacing w:before="0" w:after="0"/>
        <w:ind w:left="0" w:firstLine="0"/>
        <w:rPr>
          <w:rStyle w:val="Strong"/>
          <w:highlight w:val="yellow"/>
        </w:rPr>
      </w:pPr>
      <w:r w:rsidRPr="00596F15">
        <w:rPr>
          <w:rStyle w:val="Strong"/>
          <w:highlight w:val="yellow"/>
        </w:rPr>
        <w:t>3.4 End of exposure (72 hpi)</w:t>
      </w:r>
    </w:p>
    <w:p w14:paraId="0D6F0C08" w14:textId="77777777" w:rsidR="00BD3761" w:rsidRPr="00596F15" w:rsidRDefault="00BD3761" w:rsidP="00BD3761">
      <w:pPr>
        <w:rPr>
          <w:highlight w:val="yellow"/>
        </w:rPr>
      </w:pPr>
    </w:p>
    <w:p w14:paraId="429671C6" w14:textId="77777777" w:rsidR="000377CA" w:rsidRPr="00596F15" w:rsidRDefault="000377CA" w:rsidP="000377CA">
      <w:pPr>
        <w:pStyle w:val="NormalWeb"/>
        <w:ind w:left="0" w:firstLine="0"/>
        <w:jc w:val="both"/>
        <w:rPr>
          <w:rFonts w:ascii="Calibri" w:hAnsi="Calibri" w:cs="Calibri"/>
          <w:bCs/>
          <w:highlight w:val="yellow"/>
        </w:rPr>
      </w:pPr>
      <w:r w:rsidRPr="00596F15">
        <w:rPr>
          <w:rFonts w:ascii="Calibri" w:hAnsi="Calibri" w:cs="Calibri"/>
          <w:bCs/>
          <w:highlight w:val="yellow"/>
        </w:rPr>
        <w:t xml:space="preserve">3.4.1 At 72 h post-infection, gently transfer planarians to a new 6-well plate containing </w:t>
      </w:r>
      <w:r w:rsidRPr="00596F15">
        <w:rPr>
          <w:rStyle w:val="Strong"/>
          <w:rFonts w:ascii="Calibri" w:hAnsi="Calibri" w:cs="Calibri"/>
          <w:b w:val="0"/>
          <w:highlight w:val="yellow"/>
        </w:rPr>
        <w:t>2 mL of fresh planarian water per well</w:t>
      </w:r>
      <w:r w:rsidRPr="00596F15">
        <w:rPr>
          <w:rFonts w:ascii="Calibri" w:hAnsi="Calibri" w:cs="Calibri"/>
          <w:bCs/>
          <w:highlight w:val="yellow"/>
        </w:rPr>
        <w:t>.</w:t>
      </w:r>
    </w:p>
    <w:p w14:paraId="35863FCA" w14:textId="77777777" w:rsidR="00BD3761" w:rsidRPr="00596F15" w:rsidRDefault="00BD3761" w:rsidP="000377CA">
      <w:pPr>
        <w:pStyle w:val="NormalWeb"/>
        <w:ind w:left="0" w:firstLine="0"/>
        <w:jc w:val="both"/>
        <w:rPr>
          <w:rFonts w:ascii="Calibri" w:hAnsi="Calibri" w:cs="Calibri"/>
          <w:bCs/>
          <w:highlight w:val="yellow"/>
        </w:rPr>
      </w:pPr>
    </w:p>
    <w:p w14:paraId="20979518" w14:textId="50258249" w:rsidR="000377CA" w:rsidRPr="00596F15" w:rsidRDefault="000377CA" w:rsidP="000377CA">
      <w:pPr>
        <w:pStyle w:val="NormalWeb"/>
        <w:ind w:left="0" w:firstLine="0"/>
        <w:jc w:val="both"/>
        <w:rPr>
          <w:rFonts w:ascii="Calibri" w:hAnsi="Calibri" w:cs="Calibri"/>
          <w:bCs/>
          <w:highlight w:val="yellow"/>
        </w:rPr>
      </w:pPr>
      <w:r w:rsidRPr="00596F15">
        <w:rPr>
          <w:rFonts w:ascii="Calibri" w:hAnsi="Calibri" w:cs="Calibri"/>
          <w:bCs/>
          <w:highlight w:val="yellow"/>
        </w:rPr>
        <w:t xml:space="preserve">3.4.2 Minimize transfer of fungal culture by using the smallest possible volume of </w:t>
      </w:r>
      <w:r w:rsidR="00BF0EFF" w:rsidRPr="00596F15">
        <w:rPr>
          <w:rFonts w:ascii="Calibri" w:hAnsi="Calibri" w:cs="Calibri"/>
          <w:bCs/>
          <w:highlight w:val="yellow"/>
        </w:rPr>
        <w:t>liquid</w:t>
      </w:r>
      <w:r w:rsidRPr="00596F15">
        <w:rPr>
          <w:rFonts w:ascii="Calibri" w:hAnsi="Calibri" w:cs="Calibri"/>
          <w:bCs/>
          <w:highlight w:val="yellow"/>
        </w:rPr>
        <w:t>.</w:t>
      </w:r>
    </w:p>
    <w:p w14:paraId="4BBB6893" w14:textId="77777777" w:rsidR="00BD3761" w:rsidRPr="00596F15" w:rsidRDefault="00BD3761" w:rsidP="000377CA">
      <w:pPr>
        <w:pStyle w:val="NormalWeb"/>
        <w:ind w:left="0" w:firstLine="0"/>
        <w:jc w:val="both"/>
        <w:rPr>
          <w:rFonts w:ascii="Calibri" w:hAnsi="Calibri" w:cs="Calibri"/>
          <w:bCs/>
          <w:highlight w:val="yellow"/>
        </w:rPr>
      </w:pPr>
    </w:p>
    <w:p w14:paraId="723F7D3A" w14:textId="4CA29714" w:rsidR="000377CA" w:rsidRPr="00596F15" w:rsidRDefault="000377CA" w:rsidP="000377CA">
      <w:pPr>
        <w:pStyle w:val="NormalWeb"/>
        <w:ind w:left="0" w:firstLine="0"/>
        <w:jc w:val="both"/>
        <w:rPr>
          <w:rFonts w:ascii="Calibri" w:hAnsi="Calibri" w:cs="Calibri"/>
          <w:bCs/>
          <w:highlight w:val="yellow"/>
        </w:rPr>
      </w:pPr>
      <w:r w:rsidRPr="00596F15">
        <w:rPr>
          <w:rFonts w:ascii="Calibri" w:hAnsi="Calibri" w:cs="Calibri"/>
          <w:bCs/>
          <w:highlight w:val="yellow"/>
        </w:rPr>
        <w:t xml:space="preserve">3.4.3 Once animals are transferred, remove all water and replace </w:t>
      </w:r>
      <w:r w:rsidR="00BD3761" w:rsidRPr="00596F15">
        <w:rPr>
          <w:rFonts w:ascii="Calibri" w:hAnsi="Calibri" w:cs="Calibri"/>
          <w:bCs/>
          <w:highlight w:val="yellow"/>
        </w:rPr>
        <w:t xml:space="preserve">it </w:t>
      </w:r>
      <w:r w:rsidRPr="00596F15">
        <w:rPr>
          <w:rFonts w:ascii="Calibri" w:hAnsi="Calibri" w:cs="Calibri"/>
          <w:bCs/>
          <w:highlight w:val="yellow"/>
        </w:rPr>
        <w:t xml:space="preserve">with </w:t>
      </w:r>
      <w:r w:rsidRPr="00596F15">
        <w:rPr>
          <w:rStyle w:val="Strong"/>
          <w:rFonts w:ascii="Calibri" w:hAnsi="Calibri" w:cs="Calibri"/>
          <w:b w:val="0"/>
          <w:highlight w:val="yellow"/>
        </w:rPr>
        <w:t>fresh planarian water</w:t>
      </w:r>
      <w:r w:rsidRPr="00596F15">
        <w:rPr>
          <w:rFonts w:ascii="Calibri" w:hAnsi="Calibri" w:cs="Calibri"/>
          <w:bCs/>
          <w:highlight w:val="yellow"/>
        </w:rPr>
        <w:t>.</w:t>
      </w:r>
    </w:p>
    <w:p w14:paraId="1B6867E5" w14:textId="77777777" w:rsidR="00BD3761" w:rsidRPr="00596F15" w:rsidRDefault="00BD3761" w:rsidP="000377CA">
      <w:pPr>
        <w:pStyle w:val="NormalWeb"/>
        <w:ind w:left="0" w:firstLine="0"/>
        <w:jc w:val="both"/>
        <w:rPr>
          <w:rFonts w:ascii="Calibri" w:hAnsi="Calibri" w:cs="Calibri"/>
          <w:bCs/>
          <w:highlight w:val="yellow"/>
        </w:rPr>
      </w:pPr>
    </w:p>
    <w:p w14:paraId="08B40D2A" w14:textId="77777777" w:rsidR="000377CA" w:rsidRPr="007068F8" w:rsidRDefault="000377CA" w:rsidP="00715B12">
      <w:pPr>
        <w:pStyle w:val="NormalWeb"/>
        <w:ind w:left="0" w:firstLine="0"/>
        <w:jc w:val="both"/>
        <w:rPr>
          <w:rFonts w:ascii="Calibri" w:hAnsi="Calibri" w:cs="Calibri"/>
          <w:bCs/>
        </w:rPr>
      </w:pPr>
      <w:r w:rsidRPr="00596F15">
        <w:rPr>
          <w:rStyle w:val="Strong"/>
          <w:rFonts w:ascii="Calibri" w:hAnsi="Calibri" w:cs="Calibri"/>
          <w:b w:val="0"/>
          <w:highlight w:val="yellow"/>
        </w:rPr>
        <w:t>NOTE:</w:t>
      </w:r>
      <w:r w:rsidRPr="00596F15">
        <w:rPr>
          <w:rFonts w:ascii="Calibri" w:hAnsi="Calibri" w:cs="Calibri"/>
          <w:bCs/>
          <w:highlight w:val="yellow"/>
        </w:rPr>
        <w:t xml:space="preserve"> Handle animals and any tissue fragments gently to avoid mechanical injury or additional stress.</w:t>
      </w:r>
    </w:p>
    <w:p w14:paraId="2CB85F9E" w14:textId="77777777" w:rsidR="007068F8" w:rsidRDefault="007068F8" w:rsidP="007068F8">
      <w:pPr>
        <w:pStyle w:val="Heading1"/>
        <w:ind w:left="0" w:firstLine="0"/>
        <w:rPr>
          <w:sz w:val="24"/>
          <w:szCs w:val="24"/>
        </w:rPr>
      </w:pPr>
      <w:r w:rsidRPr="007068F8">
        <w:rPr>
          <w:sz w:val="24"/>
          <w:szCs w:val="24"/>
        </w:rPr>
        <w:t>4. Host Endpoint Assessment</w:t>
      </w:r>
    </w:p>
    <w:p w14:paraId="0DB8FD8C" w14:textId="77777777" w:rsidR="00715B12" w:rsidRPr="00715B12" w:rsidRDefault="00715B12" w:rsidP="00715B12"/>
    <w:p w14:paraId="383900DF" w14:textId="77777777" w:rsidR="007068F8" w:rsidRPr="004107DF" w:rsidRDefault="007068F8" w:rsidP="007068F8">
      <w:pPr>
        <w:pStyle w:val="Heading2"/>
        <w:ind w:left="0" w:firstLine="0"/>
        <w:rPr>
          <w:b w:val="0"/>
          <w:bCs/>
          <w:highlight w:val="yellow"/>
        </w:rPr>
      </w:pPr>
      <w:r w:rsidRPr="004107DF">
        <w:rPr>
          <w:b w:val="0"/>
          <w:bCs/>
          <w:highlight w:val="yellow"/>
        </w:rPr>
        <w:t>4.1 Recording host outcomes</w:t>
      </w:r>
    </w:p>
    <w:p w14:paraId="2F241E60" w14:textId="77777777" w:rsidR="00715B12" w:rsidRPr="004107DF" w:rsidRDefault="00715B12" w:rsidP="00715B12">
      <w:pPr>
        <w:rPr>
          <w:highlight w:val="yellow"/>
        </w:rPr>
      </w:pPr>
    </w:p>
    <w:p w14:paraId="7DE347FF" w14:textId="4A03FAC5" w:rsidR="007068F8" w:rsidRPr="004107DF" w:rsidRDefault="007068F8" w:rsidP="007068F8">
      <w:pPr>
        <w:pStyle w:val="NormalWeb"/>
        <w:ind w:left="0" w:firstLine="0"/>
        <w:rPr>
          <w:rFonts w:ascii="Calibri" w:hAnsi="Calibri" w:cs="Calibri"/>
          <w:bCs/>
          <w:highlight w:val="yellow"/>
        </w:rPr>
      </w:pPr>
      <w:r w:rsidRPr="004107DF">
        <w:rPr>
          <w:rStyle w:val="Strong"/>
          <w:rFonts w:ascii="Calibri" w:hAnsi="Calibri" w:cs="Calibri"/>
          <w:b w:val="0"/>
          <w:highlight w:val="yellow"/>
        </w:rPr>
        <w:t>4.1.1</w:t>
      </w:r>
      <w:r w:rsidRPr="004107DF">
        <w:rPr>
          <w:rFonts w:ascii="Calibri" w:hAnsi="Calibri" w:cs="Calibri"/>
          <w:bCs/>
          <w:highlight w:val="yellow"/>
        </w:rPr>
        <w:t xml:space="preserve"> Begin assessing host outcomes at </w:t>
      </w:r>
      <w:r w:rsidR="00F40EB5" w:rsidRPr="004107DF">
        <w:rPr>
          <w:rStyle w:val="Strong"/>
          <w:rFonts w:ascii="Calibri" w:hAnsi="Calibri" w:cs="Calibri"/>
          <w:b w:val="0"/>
          <w:highlight w:val="yellow"/>
        </w:rPr>
        <w:t>1-day</w:t>
      </w:r>
      <w:r w:rsidRPr="004107DF">
        <w:rPr>
          <w:rStyle w:val="Strong"/>
          <w:rFonts w:ascii="Calibri" w:hAnsi="Calibri" w:cs="Calibri"/>
          <w:b w:val="0"/>
          <w:highlight w:val="yellow"/>
        </w:rPr>
        <w:t xml:space="preserve"> post-infection (dpi)</w:t>
      </w:r>
      <w:r w:rsidRPr="004107DF">
        <w:rPr>
          <w:rFonts w:ascii="Calibri" w:hAnsi="Calibri" w:cs="Calibri"/>
          <w:bCs/>
          <w:highlight w:val="yellow"/>
        </w:rPr>
        <w:t xml:space="preserve"> and continue daily until the desired experimental endpoint.</w:t>
      </w:r>
    </w:p>
    <w:p w14:paraId="1125C214" w14:textId="77777777" w:rsidR="00715B12" w:rsidRPr="004107DF" w:rsidRDefault="00715B12" w:rsidP="007068F8">
      <w:pPr>
        <w:pStyle w:val="NormalWeb"/>
        <w:ind w:left="0" w:firstLine="0"/>
        <w:rPr>
          <w:rFonts w:ascii="Calibri" w:hAnsi="Calibri" w:cs="Calibri"/>
          <w:bCs/>
          <w:highlight w:val="yellow"/>
        </w:rPr>
      </w:pPr>
    </w:p>
    <w:p w14:paraId="134DEB70" w14:textId="77777777" w:rsidR="007068F8" w:rsidRPr="004107DF" w:rsidRDefault="007068F8" w:rsidP="007068F8">
      <w:pPr>
        <w:pStyle w:val="NormalWeb"/>
        <w:ind w:left="0" w:firstLine="0"/>
        <w:rPr>
          <w:rFonts w:ascii="Calibri" w:hAnsi="Calibri" w:cs="Calibri"/>
          <w:bCs/>
          <w:highlight w:val="yellow"/>
        </w:rPr>
      </w:pPr>
      <w:r w:rsidRPr="004107DF">
        <w:rPr>
          <w:rStyle w:val="Strong"/>
          <w:rFonts w:ascii="Calibri" w:hAnsi="Calibri" w:cs="Calibri"/>
          <w:b w:val="0"/>
          <w:highlight w:val="yellow"/>
        </w:rPr>
        <w:t>4.1.2</w:t>
      </w:r>
      <w:r w:rsidRPr="004107DF">
        <w:rPr>
          <w:rFonts w:ascii="Calibri" w:hAnsi="Calibri" w:cs="Calibri"/>
          <w:bCs/>
          <w:highlight w:val="yellow"/>
        </w:rPr>
        <w:t xml:space="preserve"> Quantify host damage using the standardized </w:t>
      </w:r>
      <w:r w:rsidRPr="004107DF">
        <w:rPr>
          <w:rStyle w:val="Strong"/>
          <w:rFonts w:ascii="Calibri" w:hAnsi="Calibri" w:cs="Calibri"/>
          <w:b w:val="0"/>
          <w:highlight w:val="yellow"/>
        </w:rPr>
        <w:t>0–3 scoring system</w:t>
      </w:r>
      <w:r w:rsidRPr="004107DF">
        <w:rPr>
          <w:rFonts w:ascii="Calibri" w:hAnsi="Calibri" w:cs="Calibri"/>
          <w:bCs/>
          <w:highlight w:val="yellow"/>
        </w:rPr>
        <w:t xml:space="preserve"> (</w:t>
      </w:r>
      <w:r w:rsidRPr="004107DF">
        <w:rPr>
          <w:rFonts w:ascii="Calibri" w:hAnsi="Calibri" w:cs="Calibri"/>
          <w:b/>
          <w:highlight w:val="yellow"/>
        </w:rPr>
        <w:t>Figure 2</w:t>
      </w:r>
      <w:r w:rsidRPr="004107DF">
        <w:rPr>
          <w:rFonts w:ascii="Calibri" w:hAnsi="Calibri" w:cs="Calibri"/>
          <w:bCs/>
          <w:highlight w:val="yellow"/>
        </w:rPr>
        <w:t>).</w:t>
      </w:r>
    </w:p>
    <w:p w14:paraId="7448A6E6" w14:textId="77777777" w:rsidR="00715B12" w:rsidRPr="004107DF" w:rsidRDefault="00715B12" w:rsidP="007068F8">
      <w:pPr>
        <w:pStyle w:val="NormalWeb"/>
        <w:ind w:left="0" w:firstLine="0"/>
        <w:rPr>
          <w:rFonts w:ascii="Calibri" w:hAnsi="Calibri" w:cs="Calibri"/>
          <w:bCs/>
          <w:highlight w:val="yellow"/>
        </w:rPr>
      </w:pPr>
    </w:p>
    <w:p w14:paraId="2F4DED72" w14:textId="12F2113F" w:rsidR="007068F8" w:rsidRPr="004107DF" w:rsidRDefault="007068F8" w:rsidP="007068F8">
      <w:pPr>
        <w:pStyle w:val="NormalWeb"/>
        <w:ind w:left="0" w:firstLine="0"/>
        <w:rPr>
          <w:rFonts w:ascii="Calibri" w:hAnsi="Calibri" w:cs="Calibri"/>
          <w:bCs/>
          <w:highlight w:val="yellow"/>
        </w:rPr>
      </w:pPr>
      <w:r w:rsidRPr="004107DF">
        <w:rPr>
          <w:rFonts w:ascii="Calibri" w:hAnsi="Calibri" w:cs="Calibri"/>
          <w:bCs/>
          <w:highlight w:val="yellow"/>
        </w:rPr>
        <w:t xml:space="preserve">Score </w:t>
      </w:r>
      <w:r w:rsidRPr="004107DF">
        <w:rPr>
          <w:rStyle w:val="Strong"/>
          <w:rFonts w:ascii="Calibri" w:hAnsi="Calibri" w:cs="Calibri"/>
          <w:b w:val="0"/>
          <w:highlight w:val="yellow"/>
        </w:rPr>
        <w:t>0</w:t>
      </w:r>
      <w:r w:rsidRPr="004107DF">
        <w:rPr>
          <w:rFonts w:ascii="Calibri" w:hAnsi="Calibri" w:cs="Calibri"/>
          <w:bCs/>
          <w:highlight w:val="yellow"/>
        </w:rPr>
        <w:t>: No change from uninfected controls (healthy, asymptomatic).</w:t>
      </w:r>
    </w:p>
    <w:p w14:paraId="1F526C32" w14:textId="77777777" w:rsidR="00715B12" w:rsidRPr="004107DF" w:rsidRDefault="00715B12" w:rsidP="007068F8">
      <w:pPr>
        <w:pStyle w:val="NormalWeb"/>
        <w:ind w:left="0" w:firstLine="0"/>
        <w:rPr>
          <w:rStyle w:val="Strong"/>
          <w:rFonts w:ascii="Calibri" w:hAnsi="Calibri" w:cs="Calibri"/>
          <w:b w:val="0"/>
          <w:highlight w:val="yellow"/>
        </w:rPr>
      </w:pPr>
    </w:p>
    <w:p w14:paraId="5B9B0C5F" w14:textId="09E7DE93" w:rsidR="007068F8" w:rsidRPr="004107DF" w:rsidRDefault="007068F8" w:rsidP="007068F8">
      <w:pPr>
        <w:pStyle w:val="NormalWeb"/>
        <w:ind w:left="0" w:firstLine="0"/>
        <w:rPr>
          <w:rFonts w:ascii="Calibri" w:hAnsi="Calibri" w:cs="Calibri"/>
          <w:bCs/>
          <w:highlight w:val="yellow"/>
        </w:rPr>
      </w:pPr>
      <w:r w:rsidRPr="004107DF">
        <w:rPr>
          <w:rFonts w:ascii="Calibri" w:hAnsi="Calibri" w:cs="Calibri"/>
          <w:bCs/>
          <w:highlight w:val="yellow"/>
        </w:rPr>
        <w:t xml:space="preserve">Score </w:t>
      </w:r>
      <w:r w:rsidRPr="004107DF">
        <w:rPr>
          <w:rStyle w:val="Strong"/>
          <w:rFonts w:ascii="Calibri" w:hAnsi="Calibri" w:cs="Calibri"/>
          <w:b w:val="0"/>
          <w:highlight w:val="yellow"/>
        </w:rPr>
        <w:t>1</w:t>
      </w:r>
      <w:r w:rsidRPr="004107DF">
        <w:rPr>
          <w:rFonts w:ascii="Calibri" w:hAnsi="Calibri" w:cs="Calibri"/>
          <w:bCs/>
          <w:highlight w:val="yellow"/>
        </w:rPr>
        <w:t>: Mild symptom(s).</w:t>
      </w:r>
    </w:p>
    <w:p w14:paraId="520C374C" w14:textId="77777777" w:rsidR="00715B12" w:rsidRPr="004107DF" w:rsidRDefault="00715B12" w:rsidP="007068F8">
      <w:pPr>
        <w:pStyle w:val="NormalWeb"/>
        <w:ind w:left="0" w:firstLine="0"/>
        <w:rPr>
          <w:rFonts w:ascii="Calibri" w:hAnsi="Calibri" w:cs="Calibri"/>
          <w:bCs/>
          <w:highlight w:val="yellow"/>
        </w:rPr>
      </w:pPr>
    </w:p>
    <w:p w14:paraId="6636902C" w14:textId="5C4CB46E" w:rsidR="007068F8" w:rsidRPr="004107DF" w:rsidRDefault="007068F8" w:rsidP="007068F8">
      <w:pPr>
        <w:pStyle w:val="NormalWeb"/>
        <w:ind w:left="0" w:firstLine="0"/>
        <w:rPr>
          <w:rFonts w:ascii="Calibri" w:hAnsi="Calibri" w:cs="Calibri"/>
          <w:bCs/>
          <w:highlight w:val="yellow"/>
        </w:rPr>
      </w:pPr>
      <w:r w:rsidRPr="004107DF">
        <w:rPr>
          <w:rFonts w:ascii="Calibri" w:hAnsi="Calibri" w:cs="Calibri"/>
          <w:bCs/>
          <w:highlight w:val="yellow"/>
        </w:rPr>
        <w:t xml:space="preserve">Score </w:t>
      </w:r>
      <w:r w:rsidRPr="004107DF">
        <w:rPr>
          <w:rStyle w:val="Strong"/>
          <w:rFonts w:ascii="Calibri" w:hAnsi="Calibri" w:cs="Calibri"/>
          <w:b w:val="0"/>
          <w:highlight w:val="yellow"/>
        </w:rPr>
        <w:t>2</w:t>
      </w:r>
      <w:r w:rsidRPr="004107DF">
        <w:rPr>
          <w:rFonts w:ascii="Calibri" w:hAnsi="Calibri" w:cs="Calibri"/>
          <w:bCs/>
          <w:highlight w:val="yellow"/>
        </w:rPr>
        <w:t>: Severe symptom(s).</w:t>
      </w:r>
    </w:p>
    <w:p w14:paraId="5CD6427B" w14:textId="77777777" w:rsidR="00715B12" w:rsidRPr="004107DF" w:rsidRDefault="00715B12" w:rsidP="007068F8">
      <w:pPr>
        <w:pStyle w:val="NormalWeb"/>
        <w:ind w:left="0" w:firstLine="0"/>
        <w:rPr>
          <w:rFonts w:ascii="Calibri" w:hAnsi="Calibri" w:cs="Calibri"/>
          <w:bCs/>
          <w:highlight w:val="yellow"/>
        </w:rPr>
      </w:pPr>
    </w:p>
    <w:p w14:paraId="5645C4E5" w14:textId="205E4DAA" w:rsidR="007068F8" w:rsidRPr="004B2C9D" w:rsidRDefault="007068F8" w:rsidP="007068F8">
      <w:pPr>
        <w:pStyle w:val="NormalWeb"/>
        <w:ind w:left="0" w:firstLine="0"/>
        <w:rPr>
          <w:rFonts w:ascii="Calibri" w:hAnsi="Calibri" w:cs="Calibri"/>
          <w:bCs/>
        </w:rPr>
      </w:pPr>
      <w:r w:rsidRPr="004107DF">
        <w:rPr>
          <w:rFonts w:ascii="Calibri" w:hAnsi="Calibri" w:cs="Calibri"/>
          <w:bCs/>
          <w:highlight w:val="yellow"/>
        </w:rPr>
        <w:t xml:space="preserve">Score </w:t>
      </w:r>
      <w:r w:rsidRPr="004107DF">
        <w:rPr>
          <w:rStyle w:val="Strong"/>
          <w:rFonts w:ascii="Calibri" w:hAnsi="Calibri" w:cs="Calibri"/>
          <w:b w:val="0"/>
          <w:highlight w:val="yellow"/>
        </w:rPr>
        <w:t>3</w:t>
      </w:r>
      <w:r w:rsidRPr="004107DF">
        <w:rPr>
          <w:rFonts w:ascii="Calibri" w:hAnsi="Calibri" w:cs="Calibri"/>
          <w:bCs/>
          <w:highlight w:val="yellow"/>
        </w:rPr>
        <w:t>: Death.</w:t>
      </w:r>
    </w:p>
    <w:p w14:paraId="4D9F6805" w14:textId="07050CDF" w:rsidR="007068F8" w:rsidRPr="00715B12" w:rsidRDefault="007068F8" w:rsidP="007068F8">
      <w:pPr>
        <w:ind w:left="0" w:firstLine="0"/>
        <w:rPr>
          <w:rFonts w:ascii="Calibri" w:hAnsi="Calibri" w:cs="Calibri"/>
          <w:bCs/>
        </w:rPr>
      </w:pPr>
    </w:p>
    <w:p w14:paraId="7766780E" w14:textId="77777777" w:rsidR="007068F8" w:rsidRPr="00715B12" w:rsidRDefault="007068F8" w:rsidP="007068F8">
      <w:pPr>
        <w:pStyle w:val="Heading2"/>
        <w:ind w:left="0" w:firstLine="0"/>
        <w:rPr>
          <w:b w:val="0"/>
          <w:bCs/>
        </w:rPr>
      </w:pPr>
      <w:r w:rsidRPr="00715B12">
        <w:rPr>
          <w:b w:val="0"/>
          <w:bCs/>
        </w:rPr>
        <w:lastRenderedPageBreak/>
        <w:t>4.2 Criteria for host symptom evaluation</w:t>
      </w:r>
    </w:p>
    <w:p w14:paraId="3118B509" w14:textId="77777777" w:rsidR="007068F8" w:rsidRDefault="007068F8" w:rsidP="007068F8">
      <w:pPr>
        <w:pStyle w:val="Heading3"/>
        <w:ind w:left="0" w:firstLine="0"/>
        <w:rPr>
          <w:rFonts w:ascii="Calibri" w:hAnsi="Calibri" w:cs="Calibri"/>
          <w:b w:val="0"/>
          <w:bCs/>
          <w:color w:val="auto"/>
        </w:rPr>
      </w:pPr>
      <w:r w:rsidRPr="00715B12">
        <w:rPr>
          <w:rFonts w:ascii="Calibri" w:hAnsi="Calibri" w:cs="Calibri"/>
          <w:b w:val="0"/>
          <w:bCs/>
          <w:color w:val="auto"/>
        </w:rPr>
        <w:t xml:space="preserve">4.2.1 </w:t>
      </w:r>
      <w:proofErr w:type="gramStart"/>
      <w:r w:rsidRPr="00715B12">
        <w:rPr>
          <w:rFonts w:ascii="Calibri" w:hAnsi="Calibri" w:cs="Calibri"/>
          <w:b w:val="0"/>
          <w:bCs/>
          <w:color w:val="auto"/>
        </w:rPr>
        <w:t>Score</w:t>
      </w:r>
      <w:proofErr w:type="gramEnd"/>
      <w:r w:rsidRPr="00715B12">
        <w:rPr>
          <w:rFonts w:ascii="Calibri" w:hAnsi="Calibri" w:cs="Calibri"/>
          <w:b w:val="0"/>
          <w:bCs/>
          <w:color w:val="auto"/>
        </w:rPr>
        <w:t xml:space="preserve"> 0 (Asymptomatic)</w:t>
      </w:r>
    </w:p>
    <w:p w14:paraId="374B2FCE" w14:textId="77777777" w:rsidR="00715B12" w:rsidRPr="00715B12" w:rsidRDefault="00715B12" w:rsidP="00715B12"/>
    <w:p w14:paraId="5F14F061" w14:textId="7D390E86" w:rsidR="007068F8" w:rsidRPr="00715B12" w:rsidRDefault="007068F8" w:rsidP="00715B12">
      <w:pPr>
        <w:pStyle w:val="NormalWeb"/>
        <w:ind w:left="0" w:firstLine="0"/>
        <w:rPr>
          <w:rFonts w:ascii="Calibri" w:hAnsi="Calibri" w:cs="Calibri"/>
          <w:bCs/>
        </w:rPr>
      </w:pPr>
      <w:r w:rsidRPr="00715B12">
        <w:rPr>
          <w:rStyle w:val="Strong"/>
          <w:rFonts w:ascii="Calibri" w:hAnsi="Calibri" w:cs="Calibri"/>
          <w:b w:val="0"/>
        </w:rPr>
        <w:t>4.2.1.1</w:t>
      </w:r>
      <w:r w:rsidRPr="00715B12">
        <w:rPr>
          <w:rFonts w:ascii="Calibri" w:hAnsi="Calibri" w:cs="Calibri"/>
          <w:bCs/>
        </w:rPr>
        <w:t xml:space="preserve"> Identify animals that display normal morphology, pigmentation, behavior, and responsiveness with no observable changes relative to uninfected controls.</w:t>
      </w:r>
    </w:p>
    <w:p w14:paraId="41569613" w14:textId="77777777" w:rsidR="007068F8" w:rsidRDefault="007068F8" w:rsidP="007068F8">
      <w:pPr>
        <w:pStyle w:val="Heading3"/>
        <w:ind w:left="0" w:firstLine="0"/>
        <w:rPr>
          <w:rFonts w:ascii="Calibri" w:hAnsi="Calibri" w:cs="Calibri"/>
          <w:b w:val="0"/>
          <w:bCs/>
          <w:color w:val="auto"/>
        </w:rPr>
      </w:pPr>
      <w:r w:rsidRPr="00715B12">
        <w:rPr>
          <w:rFonts w:ascii="Calibri" w:hAnsi="Calibri" w:cs="Calibri"/>
          <w:b w:val="0"/>
          <w:bCs/>
          <w:color w:val="auto"/>
        </w:rPr>
        <w:t xml:space="preserve">4.2.2 </w:t>
      </w:r>
      <w:proofErr w:type="gramStart"/>
      <w:r w:rsidRPr="00715B12">
        <w:rPr>
          <w:rFonts w:ascii="Calibri" w:hAnsi="Calibri" w:cs="Calibri"/>
          <w:b w:val="0"/>
          <w:bCs/>
          <w:color w:val="auto"/>
        </w:rPr>
        <w:t>Score</w:t>
      </w:r>
      <w:proofErr w:type="gramEnd"/>
      <w:r w:rsidRPr="00715B12">
        <w:rPr>
          <w:rFonts w:ascii="Calibri" w:hAnsi="Calibri" w:cs="Calibri"/>
          <w:b w:val="0"/>
          <w:bCs/>
          <w:color w:val="auto"/>
        </w:rPr>
        <w:t xml:space="preserve"> 1 (Mild)</w:t>
      </w:r>
    </w:p>
    <w:p w14:paraId="40F1D61B" w14:textId="77777777" w:rsidR="00715B12" w:rsidRPr="00715B12" w:rsidRDefault="00715B12" w:rsidP="00715B12"/>
    <w:p w14:paraId="31C832C4"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4.2.2.1</w:t>
      </w:r>
      <w:r w:rsidRPr="00715B12">
        <w:rPr>
          <w:rFonts w:ascii="Calibri" w:hAnsi="Calibri" w:cs="Calibri"/>
          <w:bCs/>
        </w:rPr>
        <w:t xml:space="preserve"> Assign a mild score when at least one of the following symptoms is observed relative to asymptomatic controls.</w:t>
      </w:r>
    </w:p>
    <w:p w14:paraId="4D71C7D2" w14:textId="77777777" w:rsidR="00715B12" w:rsidRPr="00715B12" w:rsidRDefault="00715B12" w:rsidP="007068F8">
      <w:pPr>
        <w:pStyle w:val="NormalWeb"/>
        <w:ind w:left="0" w:firstLine="0"/>
        <w:rPr>
          <w:rFonts w:ascii="Calibri" w:hAnsi="Calibri" w:cs="Calibri"/>
          <w:bCs/>
        </w:rPr>
      </w:pPr>
    </w:p>
    <w:p w14:paraId="68505734"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4.2.2.2</w:t>
      </w:r>
      <w:r w:rsidRPr="00715B12">
        <w:rPr>
          <w:rFonts w:ascii="Calibri" w:hAnsi="Calibri" w:cs="Calibri"/>
          <w:bCs/>
        </w:rPr>
        <w:t xml:space="preserve"> Reduced movement speed or abnormal gliding behavior.</w:t>
      </w:r>
    </w:p>
    <w:p w14:paraId="1EDF392D" w14:textId="77777777" w:rsidR="00715B12" w:rsidRPr="00715B12" w:rsidRDefault="00715B12" w:rsidP="007068F8">
      <w:pPr>
        <w:pStyle w:val="NormalWeb"/>
        <w:ind w:left="0" w:firstLine="0"/>
        <w:rPr>
          <w:rFonts w:ascii="Calibri" w:hAnsi="Calibri" w:cs="Calibri"/>
          <w:bCs/>
        </w:rPr>
      </w:pPr>
    </w:p>
    <w:p w14:paraId="6D2E4319"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4.2.2.3</w:t>
      </w:r>
      <w:r w:rsidRPr="00715B12">
        <w:rPr>
          <w:rFonts w:ascii="Calibri" w:hAnsi="Calibri" w:cs="Calibri"/>
          <w:bCs/>
        </w:rPr>
        <w:t xml:space="preserve"> Partial or complete loss of phototactic response.</w:t>
      </w:r>
    </w:p>
    <w:p w14:paraId="70AD9B5B" w14:textId="77777777" w:rsidR="00715B12" w:rsidRPr="00715B12" w:rsidRDefault="00715B12" w:rsidP="007068F8">
      <w:pPr>
        <w:pStyle w:val="NormalWeb"/>
        <w:ind w:left="0" w:firstLine="0"/>
        <w:rPr>
          <w:rFonts w:ascii="Calibri" w:hAnsi="Calibri" w:cs="Calibri"/>
          <w:bCs/>
        </w:rPr>
      </w:pPr>
    </w:p>
    <w:p w14:paraId="22D114CA"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4.2.2.4</w:t>
      </w:r>
      <w:r w:rsidRPr="00715B12">
        <w:rPr>
          <w:rFonts w:ascii="Calibri" w:hAnsi="Calibri" w:cs="Calibri"/>
          <w:bCs/>
        </w:rPr>
        <w:t xml:space="preserve"> Sustained or repetitive body contractions.</w:t>
      </w:r>
    </w:p>
    <w:p w14:paraId="7A7302CE" w14:textId="77777777" w:rsidR="00715B12" w:rsidRPr="00715B12" w:rsidRDefault="00715B12" w:rsidP="007068F8">
      <w:pPr>
        <w:pStyle w:val="NormalWeb"/>
        <w:ind w:left="0" w:firstLine="0"/>
        <w:rPr>
          <w:rFonts w:ascii="Calibri" w:hAnsi="Calibri" w:cs="Calibri"/>
          <w:bCs/>
        </w:rPr>
      </w:pPr>
    </w:p>
    <w:p w14:paraId="4A1742DA"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4.2.2.5</w:t>
      </w:r>
      <w:r w:rsidRPr="00715B12">
        <w:rPr>
          <w:rFonts w:ascii="Calibri" w:hAnsi="Calibri" w:cs="Calibri"/>
          <w:bCs/>
        </w:rPr>
        <w:t xml:space="preserve"> Abnormal or non-uniform pigmentation (lighter or darker regions).</w:t>
      </w:r>
    </w:p>
    <w:p w14:paraId="4FB9E9EA" w14:textId="77777777" w:rsidR="00715B12" w:rsidRPr="00715B12" w:rsidRDefault="00715B12" w:rsidP="007068F8">
      <w:pPr>
        <w:pStyle w:val="NormalWeb"/>
        <w:ind w:left="0" w:firstLine="0"/>
        <w:rPr>
          <w:rFonts w:ascii="Calibri" w:hAnsi="Calibri" w:cs="Calibri"/>
          <w:bCs/>
        </w:rPr>
      </w:pPr>
    </w:p>
    <w:p w14:paraId="5426D8DC" w14:textId="2E505C50" w:rsidR="007068F8" w:rsidRPr="00715B12" w:rsidRDefault="007068F8" w:rsidP="00715B12">
      <w:pPr>
        <w:pStyle w:val="NormalWeb"/>
        <w:ind w:left="0" w:firstLine="0"/>
        <w:rPr>
          <w:rFonts w:ascii="Calibri" w:hAnsi="Calibri" w:cs="Calibri"/>
          <w:bCs/>
        </w:rPr>
      </w:pPr>
      <w:r w:rsidRPr="00715B12">
        <w:rPr>
          <w:rStyle w:val="Strong"/>
          <w:rFonts w:ascii="Calibri" w:hAnsi="Calibri" w:cs="Calibri"/>
          <w:b w:val="0"/>
        </w:rPr>
        <w:t>4.2.2.6</w:t>
      </w:r>
      <w:r w:rsidRPr="00715B12">
        <w:rPr>
          <w:rFonts w:ascii="Calibri" w:hAnsi="Calibri" w:cs="Calibri"/>
          <w:bCs/>
        </w:rPr>
        <w:t xml:space="preserve"> Regression of head or tail tissue.</w:t>
      </w:r>
    </w:p>
    <w:p w14:paraId="715A5C31" w14:textId="77777777" w:rsidR="007068F8" w:rsidRDefault="007068F8" w:rsidP="007068F8">
      <w:pPr>
        <w:pStyle w:val="Heading3"/>
        <w:ind w:left="0" w:firstLine="0"/>
        <w:rPr>
          <w:rFonts w:ascii="Calibri" w:hAnsi="Calibri" w:cs="Calibri"/>
          <w:b w:val="0"/>
          <w:bCs/>
          <w:color w:val="auto"/>
        </w:rPr>
      </w:pPr>
      <w:r w:rsidRPr="00715B12">
        <w:rPr>
          <w:rFonts w:ascii="Calibri" w:hAnsi="Calibri" w:cs="Calibri"/>
          <w:b w:val="0"/>
          <w:bCs/>
          <w:color w:val="auto"/>
        </w:rPr>
        <w:t xml:space="preserve">4.2.3 </w:t>
      </w:r>
      <w:proofErr w:type="gramStart"/>
      <w:r w:rsidRPr="00715B12">
        <w:rPr>
          <w:rFonts w:ascii="Calibri" w:hAnsi="Calibri" w:cs="Calibri"/>
          <w:b w:val="0"/>
          <w:bCs/>
          <w:color w:val="auto"/>
        </w:rPr>
        <w:t>Score</w:t>
      </w:r>
      <w:proofErr w:type="gramEnd"/>
      <w:r w:rsidRPr="00715B12">
        <w:rPr>
          <w:rFonts w:ascii="Calibri" w:hAnsi="Calibri" w:cs="Calibri"/>
          <w:b w:val="0"/>
          <w:bCs/>
          <w:color w:val="auto"/>
        </w:rPr>
        <w:t xml:space="preserve"> 2 (Severe)</w:t>
      </w:r>
    </w:p>
    <w:p w14:paraId="57E3B0FB" w14:textId="77777777" w:rsidR="00715B12" w:rsidRPr="00715B12" w:rsidRDefault="00715B12" w:rsidP="00715B12"/>
    <w:p w14:paraId="328FAFB3"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4.2.3.1</w:t>
      </w:r>
      <w:r w:rsidRPr="00715B12">
        <w:rPr>
          <w:rFonts w:ascii="Calibri" w:hAnsi="Calibri" w:cs="Calibri"/>
          <w:bCs/>
        </w:rPr>
        <w:t xml:space="preserve"> Assign a severe score when one or more of the following symptoms are present while animals remain alive.</w:t>
      </w:r>
    </w:p>
    <w:p w14:paraId="433865D6" w14:textId="77777777" w:rsidR="00715B12" w:rsidRPr="00715B12" w:rsidRDefault="00715B12" w:rsidP="007068F8">
      <w:pPr>
        <w:pStyle w:val="NormalWeb"/>
        <w:ind w:left="0" w:firstLine="0"/>
        <w:rPr>
          <w:rFonts w:ascii="Calibri" w:hAnsi="Calibri" w:cs="Calibri"/>
          <w:bCs/>
        </w:rPr>
      </w:pPr>
    </w:p>
    <w:p w14:paraId="4D542F15"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4.2.3.2</w:t>
      </w:r>
      <w:r w:rsidRPr="00715B12">
        <w:rPr>
          <w:rFonts w:ascii="Calibri" w:hAnsi="Calibri" w:cs="Calibri"/>
          <w:bCs/>
        </w:rPr>
        <w:t xml:space="preserve"> Eye film or loss of one or both eyes.</w:t>
      </w:r>
    </w:p>
    <w:p w14:paraId="6713DAC0" w14:textId="77777777" w:rsidR="00715B12" w:rsidRPr="00715B12" w:rsidRDefault="00715B12" w:rsidP="007068F8">
      <w:pPr>
        <w:pStyle w:val="NormalWeb"/>
        <w:ind w:left="0" w:firstLine="0"/>
        <w:rPr>
          <w:rFonts w:ascii="Calibri" w:hAnsi="Calibri" w:cs="Calibri"/>
          <w:bCs/>
        </w:rPr>
      </w:pPr>
    </w:p>
    <w:p w14:paraId="319F164A"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4.2.3.3</w:t>
      </w:r>
      <w:r w:rsidRPr="00715B12">
        <w:rPr>
          <w:rFonts w:ascii="Calibri" w:hAnsi="Calibri" w:cs="Calibri"/>
          <w:bCs/>
        </w:rPr>
        <w:t xml:space="preserve"> Complete head loss or notable anterior tissue damage.</w:t>
      </w:r>
    </w:p>
    <w:p w14:paraId="57D66574" w14:textId="77777777" w:rsidR="00715B12" w:rsidRPr="00715B12" w:rsidRDefault="00715B12" w:rsidP="007068F8">
      <w:pPr>
        <w:pStyle w:val="NormalWeb"/>
        <w:ind w:left="0" w:firstLine="0"/>
        <w:rPr>
          <w:rFonts w:ascii="Calibri" w:hAnsi="Calibri" w:cs="Calibri"/>
          <w:bCs/>
        </w:rPr>
      </w:pPr>
    </w:p>
    <w:p w14:paraId="3F26F0AC"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4.2.3.4</w:t>
      </w:r>
      <w:r w:rsidRPr="00715B12">
        <w:rPr>
          <w:rFonts w:ascii="Calibri" w:hAnsi="Calibri" w:cs="Calibri"/>
          <w:bCs/>
        </w:rPr>
        <w:t xml:space="preserve"> Major tissue loss in the pre-pharyngeal region.</w:t>
      </w:r>
    </w:p>
    <w:p w14:paraId="32C1F5BC" w14:textId="77777777" w:rsidR="00715B12" w:rsidRPr="00715B12" w:rsidRDefault="00715B12" w:rsidP="007068F8">
      <w:pPr>
        <w:pStyle w:val="NormalWeb"/>
        <w:ind w:left="0" w:firstLine="0"/>
        <w:rPr>
          <w:rFonts w:ascii="Calibri" w:hAnsi="Calibri" w:cs="Calibri"/>
          <w:bCs/>
        </w:rPr>
      </w:pPr>
    </w:p>
    <w:p w14:paraId="53EBBD84"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4.2.3.5</w:t>
      </w:r>
      <w:r w:rsidRPr="00715B12">
        <w:rPr>
          <w:rFonts w:ascii="Calibri" w:hAnsi="Calibri" w:cs="Calibri"/>
          <w:bCs/>
        </w:rPr>
        <w:t xml:space="preserve"> Fragmentation into multiple body regions (cephalic, pharyngeal, or posterior segments).</w:t>
      </w:r>
    </w:p>
    <w:p w14:paraId="0E9A3100" w14:textId="77777777" w:rsidR="00715B12" w:rsidRPr="00715B12" w:rsidRDefault="00715B12" w:rsidP="007068F8">
      <w:pPr>
        <w:pStyle w:val="NormalWeb"/>
        <w:ind w:left="0" w:firstLine="0"/>
        <w:rPr>
          <w:rFonts w:ascii="Calibri" w:hAnsi="Calibri" w:cs="Calibri"/>
          <w:bCs/>
        </w:rPr>
      </w:pPr>
    </w:p>
    <w:p w14:paraId="15D2524A"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4.2.3.6</w:t>
      </w:r>
      <w:r w:rsidRPr="00715B12">
        <w:rPr>
          <w:rFonts w:ascii="Calibri" w:hAnsi="Calibri" w:cs="Calibri"/>
          <w:bCs/>
        </w:rPr>
        <w:t xml:space="preserve"> Open wounds with or without mucus secretion or internal leakage.</w:t>
      </w:r>
    </w:p>
    <w:p w14:paraId="038C659D" w14:textId="77777777" w:rsidR="00715B12" w:rsidRPr="00715B12" w:rsidRDefault="00715B12" w:rsidP="007068F8">
      <w:pPr>
        <w:pStyle w:val="NormalWeb"/>
        <w:ind w:left="0" w:firstLine="0"/>
        <w:rPr>
          <w:rFonts w:ascii="Calibri" w:hAnsi="Calibri" w:cs="Calibri"/>
          <w:bCs/>
        </w:rPr>
      </w:pPr>
    </w:p>
    <w:p w14:paraId="40AB927C"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4.2.3.7</w:t>
      </w:r>
      <w:r w:rsidRPr="00715B12">
        <w:rPr>
          <w:rFonts w:ascii="Calibri" w:hAnsi="Calibri" w:cs="Calibri"/>
          <w:bCs/>
        </w:rPr>
        <w:t xml:space="preserve"> Partial tissue lysis resulting in loss of structural integrity.</w:t>
      </w:r>
    </w:p>
    <w:p w14:paraId="52E41B73" w14:textId="77777777" w:rsidR="00715B12" w:rsidRPr="00715B12" w:rsidRDefault="00715B12" w:rsidP="007068F8">
      <w:pPr>
        <w:pStyle w:val="NormalWeb"/>
        <w:ind w:left="0" w:firstLine="0"/>
        <w:rPr>
          <w:rFonts w:ascii="Calibri" w:hAnsi="Calibri" w:cs="Calibri"/>
          <w:bCs/>
        </w:rPr>
      </w:pPr>
    </w:p>
    <w:p w14:paraId="00D79DD9" w14:textId="18F1A8BB" w:rsidR="007068F8" w:rsidRPr="00715B12" w:rsidRDefault="007068F8" w:rsidP="00715B12">
      <w:pPr>
        <w:pStyle w:val="NormalWeb"/>
        <w:ind w:left="0" w:firstLine="0"/>
        <w:rPr>
          <w:rFonts w:ascii="Calibri" w:hAnsi="Calibri" w:cs="Calibri"/>
          <w:bCs/>
        </w:rPr>
      </w:pPr>
      <w:r w:rsidRPr="00715B12">
        <w:rPr>
          <w:rStyle w:val="Strong"/>
          <w:rFonts w:ascii="Calibri" w:hAnsi="Calibri" w:cs="Calibri"/>
          <w:b w:val="0"/>
        </w:rPr>
        <w:t>4.2.3.8</w:t>
      </w:r>
      <w:r w:rsidRPr="00715B12">
        <w:rPr>
          <w:rFonts w:ascii="Calibri" w:hAnsi="Calibri" w:cs="Calibri"/>
          <w:bCs/>
        </w:rPr>
        <w:t xml:space="preserve"> “C-shaped” body posture, paralysis, or severe motility impairment.</w:t>
      </w:r>
    </w:p>
    <w:p w14:paraId="6ACF2C53" w14:textId="77777777" w:rsidR="007068F8" w:rsidRDefault="007068F8" w:rsidP="007068F8">
      <w:pPr>
        <w:pStyle w:val="Heading3"/>
        <w:ind w:left="0" w:firstLine="0"/>
        <w:rPr>
          <w:rFonts w:ascii="Calibri" w:hAnsi="Calibri" w:cs="Calibri"/>
          <w:b w:val="0"/>
          <w:bCs/>
          <w:color w:val="auto"/>
        </w:rPr>
      </w:pPr>
      <w:r w:rsidRPr="00715B12">
        <w:rPr>
          <w:rFonts w:ascii="Calibri" w:hAnsi="Calibri" w:cs="Calibri"/>
          <w:b w:val="0"/>
          <w:bCs/>
          <w:color w:val="auto"/>
        </w:rPr>
        <w:t xml:space="preserve">4.2.4 </w:t>
      </w:r>
      <w:proofErr w:type="gramStart"/>
      <w:r w:rsidRPr="00715B12">
        <w:rPr>
          <w:rFonts w:ascii="Calibri" w:hAnsi="Calibri" w:cs="Calibri"/>
          <w:b w:val="0"/>
          <w:bCs/>
          <w:color w:val="auto"/>
        </w:rPr>
        <w:t>Score</w:t>
      </w:r>
      <w:proofErr w:type="gramEnd"/>
      <w:r w:rsidRPr="00715B12">
        <w:rPr>
          <w:rFonts w:ascii="Calibri" w:hAnsi="Calibri" w:cs="Calibri"/>
          <w:b w:val="0"/>
          <w:bCs/>
          <w:color w:val="auto"/>
        </w:rPr>
        <w:t xml:space="preserve"> 3 (Death)</w:t>
      </w:r>
    </w:p>
    <w:p w14:paraId="3990319A" w14:textId="77777777" w:rsidR="00715B12" w:rsidRPr="00715B12" w:rsidRDefault="00715B12" w:rsidP="00715B12"/>
    <w:p w14:paraId="28E46996" w14:textId="2FAA52EF"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4.2.4.1</w:t>
      </w:r>
      <w:r w:rsidRPr="00715B12">
        <w:rPr>
          <w:rFonts w:ascii="Calibri" w:hAnsi="Calibri" w:cs="Calibri"/>
          <w:bCs/>
        </w:rPr>
        <w:t xml:space="preserve"> Identify death based on one or more of the following criteria</w:t>
      </w:r>
      <w:r w:rsidR="00715B12">
        <w:rPr>
          <w:rFonts w:ascii="Calibri" w:hAnsi="Calibri" w:cs="Calibri"/>
          <w:bCs/>
        </w:rPr>
        <w:t>.</w:t>
      </w:r>
    </w:p>
    <w:p w14:paraId="001F4C69" w14:textId="77777777" w:rsidR="00715B12" w:rsidRPr="00715B12" w:rsidRDefault="00715B12" w:rsidP="007068F8">
      <w:pPr>
        <w:pStyle w:val="NormalWeb"/>
        <w:ind w:left="0" w:firstLine="0"/>
        <w:rPr>
          <w:rFonts w:ascii="Calibri" w:hAnsi="Calibri" w:cs="Calibri"/>
          <w:bCs/>
        </w:rPr>
      </w:pPr>
    </w:p>
    <w:p w14:paraId="5DB3610E" w14:textId="141DBB22" w:rsidR="007068F8" w:rsidRDefault="007068F8" w:rsidP="007068F8">
      <w:pPr>
        <w:pStyle w:val="NormalWeb"/>
        <w:ind w:left="0" w:firstLine="0"/>
        <w:rPr>
          <w:rFonts w:ascii="Calibri" w:hAnsi="Calibri" w:cs="Calibri"/>
          <w:bCs/>
        </w:rPr>
      </w:pPr>
      <w:r w:rsidRPr="00715B12">
        <w:rPr>
          <w:rStyle w:val="Strong"/>
          <w:rFonts w:ascii="Calibri" w:hAnsi="Calibri" w:cs="Calibri"/>
          <w:b w:val="0"/>
        </w:rPr>
        <w:lastRenderedPageBreak/>
        <w:t>4.2.4.</w:t>
      </w:r>
      <w:r w:rsidR="00715B12">
        <w:rPr>
          <w:rStyle w:val="Strong"/>
          <w:rFonts w:ascii="Calibri" w:hAnsi="Calibri" w:cs="Calibri"/>
          <w:b w:val="0"/>
        </w:rPr>
        <w:t>1.1</w:t>
      </w:r>
      <w:r w:rsidRPr="00715B12">
        <w:rPr>
          <w:rFonts w:ascii="Calibri" w:hAnsi="Calibri" w:cs="Calibri"/>
          <w:bCs/>
        </w:rPr>
        <w:t xml:space="preserve"> Complete tissue or whole-animal lysis.</w:t>
      </w:r>
    </w:p>
    <w:p w14:paraId="1268B8E0" w14:textId="77777777" w:rsidR="00715B12" w:rsidRPr="00715B12" w:rsidRDefault="00715B12" w:rsidP="007068F8">
      <w:pPr>
        <w:pStyle w:val="NormalWeb"/>
        <w:ind w:left="0" w:firstLine="0"/>
        <w:rPr>
          <w:rFonts w:ascii="Calibri" w:hAnsi="Calibri" w:cs="Calibri"/>
          <w:bCs/>
        </w:rPr>
      </w:pPr>
    </w:p>
    <w:p w14:paraId="459F2D74" w14:textId="5DFFC1CB"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4.2.4.</w:t>
      </w:r>
      <w:r w:rsidR="00715B12">
        <w:rPr>
          <w:rStyle w:val="Strong"/>
          <w:rFonts w:ascii="Calibri" w:hAnsi="Calibri" w:cs="Calibri"/>
          <w:b w:val="0"/>
        </w:rPr>
        <w:t>1.2</w:t>
      </w:r>
      <w:r w:rsidRPr="00715B12">
        <w:rPr>
          <w:rFonts w:ascii="Calibri" w:hAnsi="Calibri" w:cs="Calibri"/>
          <w:bCs/>
        </w:rPr>
        <w:t xml:space="preserve"> Total loss of response to stimuli.</w:t>
      </w:r>
    </w:p>
    <w:p w14:paraId="5C0BDE1F" w14:textId="77777777" w:rsidR="00715B12" w:rsidRPr="00715B12" w:rsidRDefault="00715B12" w:rsidP="007068F8">
      <w:pPr>
        <w:pStyle w:val="NormalWeb"/>
        <w:ind w:left="0" w:firstLine="0"/>
        <w:rPr>
          <w:rFonts w:ascii="Calibri" w:hAnsi="Calibri" w:cs="Calibri"/>
          <w:bCs/>
        </w:rPr>
      </w:pPr>
    </w:p>
    <w:p w14:paraId="069F8D0B" w14:textId="14641F22" w:rsidR="007068F8" w:rsidRDefault="007068F8" w:rsidP="007068F8">
      <w:pPr>
        <w:pStyle w:val="NormalWeb"/>
        <w:ind w:left="0" w:firstLine="0"/>
        <w:rPr>
          <w:rFonts w:ascii="Calibri" w:hAnsi="Calibri" w:cs="Calibri"/>
          <w:bCs/>
        </w:rPr>
      </w:pPr>
      <w:r w:rsidRPr="00715B12">
        <w:rPr>
          <w:rStyle w:val="Strong"/>
          <w:rFonts w:ascii="Calibri" w:hAnsi="Calibri" w:cs="Calibri"/>
          <w:b w:val="0"/>
        </w:rPr>
        <w:t>4.2.4.</w:t>
      </w:r>
      <w:r w:rsidR="00715B12">
        <w:rPr>
          <w:rStyle w:val="Strong"/>
          <w:rFonts w:ascii="Calibri" w:hAnsi="Calibri" w:cs="Calibri"/>
          <w:b w:val="0"/>
        </w:rPr>
        <w:t>1.3</w:t>
      </w:r>
      <w:r w:rsidRPr="00715B12">
        <w:rPr>
          <w:rFonts w:ascii="Calibri" w:hAnsi="Calibri" w:cs="Calibri"/>
          <w:bCs/>
        </w:rPr>
        <w:t xml:space="preserve"> Failure to recover or regenerate.</w:t>
      </w:r>
    </w:p>
    <w:p w14:paraId="3BB0052E" w14:textId="77777777" w:rsidR="00715B12" w:rsidRPr="00715B12" w:rsidRDefault="00715B12" w:rsidP="007068F8">
      <w:pPr>
        <w:pStyle w:val="NormalWeb"/>
        <w:ind w:left="0" w:firstLine="0"/>
        <w:rPr>
          <w:rFonts w:ascii="Calibri" w:hAnsi="Calibri" w:cs="Calibri"/>
          <w:bCs/>
        </w:rPr>
      </w:pPr>
    </w:p>
    <w:p w14:paraId="3F3AFC8A" w14:textId="4BE0C482" w:rsidR="007068F8" w:rsidRPr="00715B12" w:rsidRDefault="007068F8" w:rsidP="00715B12">
      <w:pPr>
        <w:pStyle w:val="NormalWeb"/>
        <w:ind w:left="0" w:firstLine="0"/>
        <w:rPr>
          <w:rFonts w:ascii="Calibri" w:hAnsi="Calibri" w:cs="Calibri"/>
          <w:bCs/>
        </w:rPr>
      </w:pPr>
      <w:r w:rsidRPr="004B2C9D">
        <w:rPr>
          <w:rStyle w:val="Strong"/>
          <w:rFonts w:ascii="Calibri" w:hAnsi="Calibri" w:cs="Calibri"/>
          <w:bCs w:val="0"/>
        </w:rPr>
        <w:t>NOTE</w:t>
      </w:r>
      <w:r w:rsidRPr="00715B12">
        <w:rPr>
          <w:rStyle w:val="Strong"/>
          <w:rFonts w:ascii="Calibri" w:hAnsi="Calibri" w:cs="Calibri"/>
          <w:b w:val="0"/>
        </w:rPr>
        <w:t>:</w:t>
      </w:r>
      <w:r w:rsidRPr="00715B12">
        <w:rPr>
          <w:rFonts w:ascii="Calibri" w:hAnsi="Calibri" w:cs="Calibri"/>
          <w:bCs/>
        </w:rPr>
        <w:t xml:space="preserve"> </w:t>
      </w:r>
      <w:r w:rsidRPr="00715B12">
        <w:rPr>
          <w:rFonts w:ascii="Calibri" w:hAnsi="Calibri" w:cs="Calibri"/>
          <w:b/>
        </w:rPr>
        <w:t>Figure 2</w:t>
      </w:r>
      <w:r w:rsidRPr="00715B12">
        <w:rPr>
          <w:rFonts w:ascii="Calibri" w:hAnsi="Calibri" w:cs="Calibri"/>
          <w:bCs/>
        </w:rPr>
        <w:t xml:space="preserve"> provides representative images and defining features for each score to ensure consistent host phenotype classification.</w:t>
      </w:r>
    </w:p>
    <w:p w14:paraId="54F70702" w14:textId="77777777" w:rsidR="007068F8" w:rsidRPr="00B946B4" w:rsidRDefault="007068F8" w:rsidP="007068F8">
      <w:pPr>
        <w:pStyle w:val="Heading1"/>
        <w:ind w:left="0" w:firstLine="0"/>
        <w:rPr>
          <w:sz w:val="24"/>
          <w:szCs w:val="24"/>
        </w:rPr>
      </w:pPr>
      <w:r w:rsidRPr="00B946B4">
        <w:rPr>
          <w:sz w:val="24"/>
          <w:szCs w:val="24"/>
        </w:rPr>
        <w:t>5. Determining Host Survival After Fungal Exposure</w:t>
      </w:r>
    </w:p>
    <w:p w14:paraId="6CEDDB1E" w14:textId="77777777" w:rsidR="00715B12" w:rsidRPr="00715B12" w:rsidRDefault="00715B12" w:rsidP="00715B12"/>
    <w:p w14:paraId="23D4BF81" w14:textId="77777777" w:rsidR="007068F8" w:rsidRPr="004107DF" w:rsidRDefault="007068F8" w:rsidP="007068F8">
      <w:pPr>
        <w:pStyle w:val="NormalWeb"/>
        <w:ind w:left="0" w:firstLine="0"/>
        <w:rPr>
          <w:rFonts w:ascii="Calibri" w:hAnsi="Calibri" w:cs="Calibri"/>
          <w:bCs/>
          <w:highlight w:val="yellow"/>
        </w:rPr>
      </w:pPr>
      <w:r w:rsidRPr="004107DF">
        <w:rPr>
          <w:rStyle w:val="Strong"/>
          <w:rFonts w:ascii="Calibri" w:hAnsi="Calibri" w:cs="Calibri"/>
          <w:b w:val="0"/>
          <w:highlight w:val="yellow"/>
        </w:rPr>
        <w:t>5.1</w:t>
      </w:r>
      <w:r w:rsidRPr="004107DF">
        <w:rPr>
          <w:rFonts w:ascii="Calibri" w:hAnsi="Calibri" w:cs="Calibri"/>
          <w:bCs/>
          <w:highlight w:val="yellow"/>
        </w:rPr>
        <w:t xml:space="preserve"> At </w:t>
      </w:r>
      <w:r w:rsidRPr="004107DF">
        <w:rPr>
          <w:rStyle w:val="Strong"/>
          <w:rFonts w:ascii="Calibri" w:hAnsi="Calibri" w:cs="Calibri"/>
          <w:b w:val="0"/>
          <w:highlight w:val="yellow"/>
        </w:rPr>
        <w:t>3 dpi</w:t>
      </w:r>
      <w:r w:rsidRPr="004107DF">
        <w:rPr>
          <w:rFonts w:ascii="Calibri" w:hAnsi="Calibri" w:cs="Calibri"/>
          <w:bCs/>
          <w:highlight w:val="yellow"/>
        </w:rPr>
        <w:t xml:space="preserve">, gently transfer planarians to a new 6-well plate containing </w:t>
      </w:r>
      <w:r w:rsidRPr="004107DF">
        <w:rPr>
          <w:rStyle w:val="Strong"/>
          <w:rFonts w:ascii="Calibri" w:hAnsi="Calibri" w:cs="Calibri"/>
          <w:b w:val="0"/>
          <w:highlight w:val="yellow"/>
        </w:rPr>
        <w:t>2 mL of fresh planarian water per well</w:t>
      </w:r>
      <w:r w:rsidRPr="004107DF">
        <w:rPr>
          <w:rFonts w:ascii="Calibri" w:hAnsi="Calibri" w:cs="Calibri"/>
          <w:bCs/>
          <w:highlight w:val="yellow"/>
        </w:rPr>
        <w:t>, avoiding transfer of residual fungal culture.</w:t>
      </w:r>
    </w:p>
    <w:p w14:paraId="0BD30951" w14:textId="77777777" w:rsidR="00715B12" w:rsidRPr="004107DF" w:rsidRDefault="00715B12" w:rsidP="007068F8">
      <w:pPr>
        <w:pStyle w:val="NormalWeb"/>
        <w:ind w:left="0" w:firstLine="0"/>
        <w:rPr>
          <w:rFonts w:ascii="Calibri" w:hAnsi="Calibri" w:cs="Calibri"/>
          <w:bCs/>
          <w:highlight w:val="yellow"/>
        </w:rPr>
      </w:pPr>
    </w:p>
    <w:p w14:paraId="33C3814B" w14:textId="2C6E5B5D" w:rsidR="007068F8" w:rsidRPr="004107DF" w:rsidRDefault="007068F8" w:rsidP="007068F8">
      <w:pPr>
        <w:pStyle w:val="NormalWeb"/>
        <w:ind w:left="0" w:firstLine="0"/>
        <w:rPr>
          <w:rFonts w:ascii="Calibri" w:hAnsi="Calibri" w:cs="Calibri"/>
          <w:bCs/>
          <w:highlight w:val="yellow"/>
        </w:rPr>
      </w:pPr>
      <w:r w:rsidRPr="004107DF">
        <w:rPr>
          <w:rStyle w:val="Strong"/>
          <w:rFonts w:ascii="Calibri" w:hAnsi="Calibri" w:cs="Calibri"/>
          <w:b w:val="0"/>
          <w:highlight w:val="yellow"/>
        </w:rPr>
        <w:t>5.2</w:t>
      </w:r>
      <w:r w:rsidRPr="004107DF">
        <w:rPr>
          <w:rFonts w:ascii="Calibri" w:hAnsi="Calibri" w:cs="Calibri"/>
          <w:bCs/>
          <w:highlight w:val="yellow"/>
        </w:rPr>
        <w:t xml:space="preserve"> Observe animals using light microscopy (≥</w:t>
      </w:r>
      <w:r w:rsidR="00715B12" w:rsidRPr="004107DF">
        <w:rPr>
          <w:rFonts w:ascii="Calibri" w:hAnsi="Calibri" w:cs="Calibri"/>
          <w:bCs/>
          <w:highlight w:val="yellow"/>
        </w:rPr>
        <w:t xml:space="preserve"> </w:t>
      </w:r>
      <w:r w:rsidRPr="004107DF">
        <w:rPr>
          <w:rFonts w:ascii="Calibri" w:hAnsi="Calibri" w:cs="Calibri"/>
          <w:bCs/>
          <w:highlight w:val="yellow"/>
        </w:rPr>
        <w:t>10</w:t>
      </w:r>
      <w:r w:rsidR="00715B12" w:rsidRPr="004107DF">
        <w:rPr>
          <w:rFonts w:ascii="Calibri" w:hAnsi="Calibri" w:cs="Calibri"/>
          <w:bCs/>
          <w:highlight w:val="yellow"/>
        </w:rPr>
        <w:t>x</w:t>
      </w:r>
      <w:r w:rsidRPr="004107DF">
        <w:rPr>
          <w:rFonts w:ascii="Calibri" w:hAnsi="Calibri" w:cs="Calibri"/>
          <w:bCs/>
          <w:highlight w:val="yellow"/>
        </w:rPr>
        <w:t xml:space="preserve"> objective).</w:t>
      </w:r>
    </w:p>
    <w:p w14:paraId="758ACB62" w14:textId="77777777" w:rsidR="00715B12" w:rsidRPr="004107DF" w:rsidRDefault="00715B12" w:rsidP="007068F8">
      <w:pPr>
        <w:pStyle w:val="NormalWeb"/>
        <w:ind w:left="0" w:firstLine="0"/>
        <w:rPr>
          <w:rFonts w:ascii="Calibri" w:hAnsi="Calibri" w:cs="Calibri"/>
          <w:bCs/>
          <w:highlight w:val="yellow"/>
        </w:rPr>
      </w:pPr>
    </w:p>
    <w:p w14:paraId="6E43F462" w14:textId="15B82D4A" w:rsidR="007068F8" w:rsidRPr="00715B12" w:rsidRDefault="007068F8" w:rsidP="007068F8">
      <w:pPr>
        <w:pStyle w:val="NormalWeb"/>
        <w:ind w:left="0" w:firstLine="0"/>
        <w:rPr>
          <w:rFonts w:ascii="Calibri" w:hAnsi="Calibri" w:cs="Calibri"/>
          <w:bCs/>
        </w:rPr>
      </w:pPr>
      <w:r w:rsidRPr="004107DF">
        <w:rPr>
          <w:rStyle w:val="Strong"/>
          <w:rFonts w:ascii="Calibri" w:hAnsi="Calibri" w:cs="Calibri"/>
          <w:b w:val="0"/>
          <w:highlight w:val="yellow"/>
        </w:rPr>
        <w:t>5.3</w:t>
      </w:r>
      <w:r w:rsidRPr="004107DF">
        <w:rPr>
          <w:rFonts w:ascii="Calibri" w:hAnsi="Calibri" w:cs="Calibri"/>
          <w:bCs/>
          <w:highlight w:val="yellow"/>
        </w:rPr>
        <w:t xml:space="preserve"> Record host outcomes using the standardized scoring sheet (</w:t>
      </w:r>
      <w:r w:rsidRPr="004107DF">
        <w:rPr>
          <w:rFonts w:ascii="Calibri" w:hAnsi="Calibri" w:cs="Calibri"/>
          <w:b/>
          <w:highlight w:val="yellow"/>
        </w:rPr>
        <w:t>Supplementa</w:t>
      </w:r>
      <w:r w:rsidR="004A1022" w:rsidRPr="004107DF">
        <w:rPr>
          <w:rFonts w:ascii="Calibri" w:hAnsi="Calibri" w:cs="Calibri"/>
          <w:b/>
          <w:highlight w:val="yellow"/>
        </w:rPr>
        <w:t>ry</w:t>
      </w:r>
      <w:r w:rsidRPr="004107DF">
        <w:rPr>
          <w:rFonts w:ascii="Calibri" w:hAnsi="Calibri" w:cs="Calibri"/>
          <w:b/>
          <w:highlight w:val="yellow"/>
        </w:rPr>
        <w:t xml:space="preserve"> File 2</w:t>
      </w:r>
      <w:r w:rsidRPr="004107DF">
        <w:rPr>
          <w:rFonts w:ascii="Calibri" w:hAnsi="Calibri" w:cs="Calibri"/>
          <w:bCs/>
          <w:highlight w:val="yellow"/>
        </w:rPr>
        <w:t>).</w:t>
      </w:r>
    </w:p>
    <w:p w14:paraId="40034126" w14:textId="5CD9EA73" w:rsidR="007068F8" w:rsidRPr="00715B12" w:rsidRDefault="007068F8" w:rsidP="007068F8">
      <w:pPr>
        <w:ind w:left="0" w:firstLine="0"/>
        <w:rPr>
          <w:rFonts w:ascii="Calibri" w:hAnsi="Calibri" w:cs="Calibri"/>
          <w:bCs/>
        </w:rPr>
      </w:pPr>
    </w:p>
    <w:p w14:paraId="57E717DC" w14:textId="77777777" w:rsidR="007068F8" w:rsidRDefault="007068F8" w:rsidP="007068F8">
      <w:pPr>
        <w:pStyle w:val="Heading2"/>
        <w:ind w:left="0" w:firstLine="0"/>
        <w:rPr>
          <w:b w:val="0"/>
          <w:bCs/>
        </w:rPr>
      </w:pPr>
      <w:r w:rsidRPr="00715B12">
        <w:rPr>
          <w:b w:val="0"/>
          <w:bCs/>
        </w:rPr>
        <w:t>5.4 Determining live animals</w:t>
      </w:r>
    </w:p>
    <w:p w14:paraId="03ED1F56" w14:textId="77777777" w:rsidR="00715B12" w:rsidRPr="00715B12" w:rsidRDefault="00715B12" w:rsidP="00715B12"/>
    <w:p w14:paraId="578B3095"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5.4.1</w:t>
      </w:r>
      <w:r w:rsidRPr="00715B12">
        <w:rPr>
          <w:rFonts w:ascii="Calibri" w:hAnsi="Calibri" w:cs="Calibri"/>
          <w:bCs/>
        </w:rPr>
        <w:t xml:space="preserve"> Identify living animals based on one or more of the following criteria.</w:t>
      </w:r>
    </w:p>
    <w:p w14:paraId="251237A9" w14:textId="77777777" w:rsidR="00715B12" w:rsidRPr="00715B12" w:rsidRDefault="00715B12" w:rsidP="007068F8">
      <w:pPr>
        <w:pStyle w:val="NormalWeb"/>
        <w:ind w:left="0" w:firstLine="0"/>
        <w:rPr>
          <w:rFonts w:ascii="Calibri" w:hAnsi="Calibri" w:cs="Calibri"/>
          <w:bCs/>
        </w:rPr>
      </w:pPr>
    </w:p>
    <w:p w14:paraId="11D39FEB"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5.4.1.1</w:t>
      </w:r>
      <w:r w:rsidRPr="00715B12">
        <w:rPr>
          <w:rFonts w:ascii="Calibri" w:hAnsi="Calibri" w:cs="Calibri"/>
          <w:bCs/>
        </w:rPr>
        <w:t xml:space="preserve"> Negative phototaxis.</w:t>
      </w:r>
    </w:p>
    <w:p w14:paraId="33DC10FE" w14:textId="77777777" w:rsidR="00715B12" w:rsidRPr="00715B12" w:rsidRDefault="00715B12" w:rsidP="007068F8">
      <w:pPr>
        <w:pStyle w:val="NormalWeb"/>
        <w:ind w:left="0" w:firstLine="0"/>
        <w:rPr>
          <w:rFonts w:ascii="Calibri" w:hAnsi="Calibri" w:cs="Calibri"/>
          <w:bCs/>
        </w:rPr>
      </w:pPr>
    </w:p>
    <w:p w14:paraId="7EAAC166"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5.4.1.2</w:t>
      </w:r>
      <w:r w:rsidRPr="00715B12">
        <w:rPr>
          <w:rFonts w:ascii="Calibri" w:hAnsi="Calibri" w:cs="Calibri"/>
          <w:bCs/>
        </w:rPr>
        <w:t xml:space="preserve"> Response to gentle transfer pipette perturbation.</w:t>
      </w:r>
    </w:p>
    <w:p w14:paraId="17768D1E" w14:textId="77777777" w:rsidR="00715B12" w:rsidRPr="00715B12" w:rsidRDefault="00715B12" w:rsidP="007068F8">
      <w:pPr>
        <w:pStyle w:val="NormalWeb"/>
        <w:ind w:left="0" w:firstLine="0"/>
        <w:rPr>
          <w:rFonts w:ascii="Calibri" w:hAnsi="Calibri" w:cs="Calibri"/>
          <w:bCs/>
        </w:rPr>
      </w:pPr>
    </w:p>
    <w:p w14:paraId="77CA6DBF"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5.4.1.3</w:t>
      </w:r>
      <w:r w:rsidRPr="00715B12">
        <w:rPr>
          <w:rFonts w:ascii="Calibri" w:hAnsi="Calibri" w:cs="Calibri"/>
          <w:bCs/>
        </w:rPr>
        <w:t xml:space="preserve"> Intact body structure.</w:t>
      </w:r>
    </w:p>
    <w:p w14:paraId="599ABD6A" w14:textId="77777777" w:rsidR="00715B12" w:rsidRPr="00715B12" w:rsidRDefault="00715B12" w:rsidP="007068F8">
      <w:pPr>
        <w:pStyle w:val="NormalWeb"/>
        <w:ind w:left="0" w:firstLine="0"/>
        <w:rPr>
          <w:rFonts w:ascii="Calibri" w:hAnsi="Calibri" w:cs="Calibri"/>
          <w:bCs/>
        </w:rPr>
      </w:pPr>
    </w:p>
    <w:p w14:paraId="2BE136CB" w14:textId="77777777" w:rsidR="007068F8" w:rsidRPr="00715B12" w:rsidRDefault="007068F8" w:rsidP="007068F8">
      <w:pPr>
        <w:pStyle w:val="NormalWeb"/>
        <w:ind w:left="0" w:firstLine="0"/>
        <w:rPr>
          <w:rFonts w:ascii="Calibri" w:hAnsi="Calibri" w:cs="Calibri"/>
          <w:bCs/>
        </w:rPr>
      </w:pPr>
      <w:r w:rsidRPr="00715B12">
        <w:rPr>
          <w:rStyle w:val="Strong"/>
          <w:rFonts w:ascii="Calibri" w:hAnsi="Calibri" w:cs="Calibri"/>
          <w:b w:val="0"/>
        </w:rPr>
        <w:t>5.4.1.4</w:t>
      </w:r>
      <w:r w:rsidRPr="00715B12">
        <w:rPr>
          <w:rFonts w:ascii="Calibri" w:hAnsi="Calibri" w:cs="Calibri"/>
          <w:bCs/>
        </w:rPr>
        <w:t xml:space="preserve"> Stable attachment to the plate.</w:t>
      </w:r>
    </w:p>
    <w:p w14:paraId="79FFCDB4" w14:textId="0089F278" w:rsidR="007068F8" w:rsidRPr="00715B12" w:rsidRDefault="007068F8" w:rsidP="007068F8">
      <w:pPr>
        <w:ind w:left="0" w:firstLine="0"/>
        <w:rPr>
          <w:rFonts w:ascii="Calibri" w:hAnsi="Calibri" w:cs="Calibri"/>
          <w:bCs/>
        </w:rPr>
      </w:pPr>
    </w:p>
    <w:p w14:paraId="658368ED" w14:textId="77777777" w:rsidR="007068F8" w:rsidRDefault="007068F8" w:rsidP="007068F8">
      <w:pPr>
        <w:pStyle w:val="Heading2"/>
        <w:ind w:left="0" w:firstLine="0"/>
        <w:rPr>
          <w:b w:val="0"/>
          <w:bCs/>
        </w:rPr>
      </w:pPr>
      <w:r w:rsidRPr="00715B12">
        <w:rPr>
          <w:b w:val="0"/>
          <w:bCs/>
        </w:rPr>
        <w:t>5.5 Determining dead animals</w:t>
      </w:r>
    </w:p>
    <w:p w14:paraId="184C3FF5" w14:textId="77777777" w:rsidR="00715B12" w:rsidRPr="00715B12" w:rsidRDefault="00715B12" w:rsidP="00715B12"/>
    <w:p w14:paraId="7D5D33B8"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5.5.1</w:t>
      </w:r>
      <w:r w:rsidRPr="00715B12">
        <w:rPr>
          <w:rFonts w:ascii="Calibri" w:hAnsi="Calibri" w:cs="Calibri"/>
          <w:bCs/>
        </w:rPr>
        <w:t xml:space="preserve"> Identify dead animals based on one or more of the following criteria.</w:t>
      </w:r>
    </w:p>
    <w:p w14:paraId="4BFF40E5" w14:textId="77777777" w:rsidR="00715B12" w:rsidRPr="00715B12" w:rsidRDefault="00715B12" w:rsidP="007068F8">
      <w:pPr>
        <w:pStyle w:val="NormalWeb"/>
        <w:ind w:left="0" w:firstLine="0"/>
        <w:rPr>
          <w:rFonts w:ascii="Calibri" w:hAnsi="Calibri" w:cs="Calibri"/>
          <w:bCs/>
        </w:rPr>
      </w:pPr>
    </w:p>
    <w:p w14:paraId="7B96220F"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5.5.1.1</w:t>
      </w:r>
      <w:r w:rsidRPr="00715B12">
        <w:rPr>
          <w:rFonts w:ascii="Calibri" w:hAnsi="Calibri" w:cs="Calibri"/>
          <w:bCs/>
        </w:rPr>
        <w:t xml:space="preserve"> Complete lysis or disintegration (residual debris only).</w:t>
      </w:r>
    </w:p>
    <w:p w14:paraId="23AD19FD" w14:textId="77777777" w:rsidR="00715B12" w:rsidRPr="00715B12" w:rsidRDefault="00715B12" w:rsidP="007068F8">
      <w:pPr>
        <w:pStyle w:val="NormalWeb"/>
        <w:ind w:left="0" w:firstLine="0"/>
        <w:rPr>
          <w:rFonts w:ascii="Calibri" w:hAnsi="Calibri" w:cs="Calibri"/>
          <w:bCs/>
        </w:rPr>
      </w:pPr>
    </w:p>
    <w:p w14:paraId="49A5A258"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5.5.1.2</w:t>
      </w:r>
      <w:r w:rsidRPr="00715B12">
        <w:rPr>
          <w:rFonts w:ascii="Calibri" w:hAnsi="Calibri" w:cs="Calibri"/>
          <w:bCs/>
        </w:rPr>
        <w:t xml:space="preserve"> Transparent or eviscerated body.</w:t>
      </w:r>
    </w:p>
    <w:p w14:paraId="53BA7D29" w14:textId="77777777" w:rsidR="00715B12" w:rsidRPr="00715B12" w:rsidRDefault="00715B12" w:rsidP="007068F8">
      <w:pPr>
        <w:pStyle w:val="NormalWeb"/>
        <w:ind w:left="0" w:firstLine="0"/>
        <w:rPr>
          <w:rFonts w:ascii="Calibri" w:hAnsi="Calibri" w:cs="Calibri"/>
          <w:bCs/>
        </w:rPr>
      </w:pPr>
    </w:p>
    <w:p w14:paraId="7251DE69"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5.5.1.3</w:t>
      </w:r>
      <w:r w:rsidRPr="00715B12">
        <w:rPr>
          <w:rFonts w:ascii="Calibri" w:hAnsi="Calibri" w:cs="Calibri"/>
          <w:bCs/>
        </w:rPr>
        <w:t xml:space="preserve"> Absence of movement or response to stimuli.</w:t>
      </w:r>
    </w:p>
    <w:p w14:paraId="43259E4C" w14:textId="77777777" w:rsidR="00715B12" w:rsidRPr="00715B12" w:rsidRDefault="00715B12" w:rsidP="007068F8">
      <w:pPr>
        <w:pStyle w:val="NormalWeb"/>
        <w:ind w:left="0" w:firstLine="0"/>
        <w:rPr>
          <w:rFonts w:ascii="Calibri" w:hAnsi="Calibri" w:cs="Calibri"/>
          <w:bCs/>
        </w:rPr>
      </w:pPr>
    </w:p>
    <w:p w14:paraId="4E20226D" w14:textId="21AA8A87" w:rsidR="00715B12" w:rsidRPr="00715B12" w:rsidRDefault="007068F8" w:rsidP="007068F8">
      <w:pPr>
        <w:pStyle w:val="NormalWeb"/>
        <w:ind w:left="0" w:firstLine="0"/>
        <w:rPr>
          <w:rFonts w:ascii="Calibri" w:hAnsi="Calibri" w:cs="Calibri"/>
          <w:bCs/>
        </w:rPr>
      </w:pPr>
      <w:r w:rsidRPr="00715B12">
        <w:rPr>
          <w:rStyle w:val="Strong"/>
          <w:rFonts w:ascii="Calibri" w:hAnsi="Calibri" w:cs="Calibri"/>
          <w:b w:val="0"/>
        </w:rPr>
        <w:t>5.5.1.4</w:t>
      </w:r>
      <w:r w:rsidRPr="00715B12">
        <w:rPr>
          <w:rFonts w:ascii="Calibri" w:hAnsi="Calibri" w:cs="Calibri"/>
          <w:bCs/>
        </w:rPr>
        <w:t xml:space="preserve"> Failure to regenerate (absence of blastema formation).</w:t>
      </w:r>
    </w:p>
    <w:p w14:paraId="0BF3756D" w14:textId="0CBEBC2C" w:rsidR="007068F8" w:rsidRPr="00715B12" w:rsidRDefault="007068F8" w:rsidP="007068F8">
      <w:pPr>
        <w:ind w:left="0" w:firstLine="0"/>
        <w:rPr>
          <w:rFonts w:ascii="Calibri" w:hAnsi="Calibri" w:cs="Calibri"/>
          <w:bCs/>
        </w:rPr>
      </w:pPr>
    </w:p>
    <w:p w14:paraId="15EC97CA" w14:textId="77777777" w:rsidR="007068F8" w:rsidRDefault="007068F8" w:rsidP="007068F8">
      <w:pPr>
        <w:pStyle w:val="Heading2"/>
        <w:ind w:left="0" w:firstLine="0"/>
        <w:rPr>
          <w:b w:val="0"/>
          <w:bCs/>
        </w:rPr>
      </w:pPr>
      <w:r w:rsidRPr="00715B12">
        <w:rPr>
          <w:b w:val="0"/>
          <w:bCs/>
        </w:rPr>
        <w:t>5.6 Removal of dead animals</w:t>
      </w:r>
    </w:p>
    <w:p w14:paraId="4CAADA25" w14:textId="77777777" w:rsidR="00715B12" w:rsidRPr="00715B12" w:rsidRDefault="00715B12" w:rsidP="00715B12"/>
    <w:p w14:paraId="3087D4E9"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lastRenderedPageBreak/>
        <w:t>5.6.1</w:t>
      </w:r>
      <w:r w:rsidRPr="00715B12">
        <w:rPr>
          <w:rFonts w:ascii="Calibri" w:hAnsi="Calibri" w:cs="Calibri"/>
          <w:bCs/>
        </w:rPr>
        <w:t xml:space="preserve"> Remove dead animals and debris only after confirming non-viability under microscopy.</w:t>
      </w:r>
    </w:p>
    <w:p w14:paraId="178D2C4F" w14:textId="77777777" w:rsidR="00715B12" w:rsidRPr="00715B12" w:rsidRDefault="00715B12" w:rsidP="007068F8">
      <w:pPr>
        <w:pStyle w:val="NormalWeb"/>
        <w:ind w:left="0" w:firstLine="0"/>
        <w:rPr>
          <w:rFonts w:ascii="Calibri" w:hAnsi="Calibri" w:cs="Calibri"/>
          <w:bCs/>
        </w:rPr>
      </w:pPr>
    </w:p>
    <w:p w14:paraId="65FFAEC8"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5.6.2 CRITICAL STEP:</w:t>
      </w:r>
      <w:r w:rsidRPr="00715B12">
        <w:rPr>
          <w:rFonts w:ascii="Calibri" w:hAnsi="Calibri" w:cs="Calibri"/>
          <w:bCs/>
        </w:rPr>
        <w:t xml:space="preserve"> Remove dead animals immediately to prevent cross-contamination or altered survival measurements.</w:t>
      </w:r>
    </w:p>
    <w:p w14:paraId="16EEC283" w14:textId="77777777" w:rsidR="00715B12" w:rsidRPr="00715B12" w:rsidRDefault="00715B12" w:rsidP="007068F8">
      <w:pPr>
        <w:pStyle w:val="NormalWeb"/>
        <w:ind w:left="0" w:firstLine="0"/>
        <w:rPr>
          <w:rFonts w:ascii="Calibri" w:hAnsi="Calibri" w:cs="Calibri"/>
          <w:bCs/>
        </w:rPr>
      </w:pPr>
    </w:p>
    <w:p w14:paraId="1CE11B14" w14:textId="77777777" w:rsidR="007068F8" w:rsidRDefault="007068F8" w:rsidP="007068F8">
      <w:pPr>
        <w:pStyle w:val="NormalWeb"/>
        <w:ind w:left="0" w:firstLine="0"/>
        <w:rPr>
          <w:rFonts w:ascii="Calibri" w:hAnsi="Calibri" w:cs="Calibri"/>
          <w:bCs/>
        </w:rPr>
      </w:pPr>
      <w:r w:rsidRPr="00715B12">
        <w:rPr>
          <w:rStyle w:val="Strong"/>
          <w:rFonts w:ascii="Calibri" w:hAnsi="Calibri" w:cs="Calibri"/>
          <w:b w:val="0"/>
        </w:rPr>
        <w:t>5.6.3</w:t>
      </w:r>
      <w:r w:rsidRPr="00715B12">
        <w:rPr>
          <w:rFonts w:ascii="Calibri" w:hAnsi="Calibri" w:cs="Calibri"/>
          <w:bCs/>
        </w:rPr>
        <w:t xml:space="preserve"> If debris or fungal carryover remains, transfer surviving animals again to a fresh plate containing clean planarian water to prevent </w:t>
      </w:r>
      <w:r w:rsidRPr="00715B12">
        <w:rPr>
          <w:rStyle w:val="Emphasis"/>
          <w:rFonts w:ascii="Calibri" w:hAnsi="Calibri" w:cs="Calibri"/>
          <w:bCs/>
        </w:rPr>
        <w:t>C. albicans</w:t>
      </w:r>
      <w:r w:rsidRPr="00715B12">
        <w:rPr>
          <w:rFonts w:ascii="Calibri" w:hAnsi="Calibri" w:cs="Calibri"/>
          <w:bCs/>
        </w:rPr>
        <w:t xml:space="preserve"> reseeding or biofilm formation.</w:t>
      </w:r>
    </w:p>
    <w:p w14:paraId="15E7711F" w14:textId="77777777" w:rsidR="00715B12" w:rsidRPr="00715B12" w:rsidRDefault="00715B12" w:rsidP="007068F8">
      <w:pPr>
        <w:pStyle w:val="NormalWeb"/>
        <w:ind w:left="0" w:firstLine="0"/>
        <w:rPr>
          <w:rFonts w:ascii="Calibri" w:hAnsi="Calibri" w:cs="Calibri"/>
          <w:bCs/>
        </w:rPr>
      </w:pPr>
    </w:p>
    <w:p w14:paraId="46553E11" w14:textId="77777777" w:rsidR="004A6EF9" w:rsidRDefault="007068F8" w:rsidP="004A6EF9">
      <w:pPr>
        <w:pStyle w:val="NormalWeb"/>
        <w:ind w:left="0" w:firstLine="0"/>
        <w:rPr>
          <w:rFonts w:ascii="Calibri" w:hAnsi="Calibri" w:cs="Calibri"/>
          <w:bCs/>
        </w:rPr>
      </w:pPr>
      <w:r w:rsidRPr="00715B12">
        <w:rPr>
          <w:rStyle w:val="Strong"/>
          <w:rFonts w:ascii="Calibri" w:hAnsi="Calibri" w:cs="Calibri"/>
          <w:b w:val="0"/>
        </w:rPr>
        <w:t>NOTE:</w:t>
      </w:r>
      <w:r w:rsidRPr="00715B12">
        <w:rPr>
          <w:rFonts w:ascii="Calibri" w:hAnsi="Calibri" w:cs="Calibri"/>
          <w:bCs/>
        </w:rPr>
        <w:t xml:space="preserve"> Place 6-well plates over a dark background during visual inspection to improve contrast and facilitate phenotype assessment.</w:t>
      </w:r>
    </w:p>
    <w:p w14:paraId="7603BCFD" w14:textId="77777777" w:rsidR="004A6EF9" w:rsidRDefault="004A6EF9" w:rsidP="004A6EF9">
      <w:pPr>
        <w:pStyle w:val="NormalWeb"/>
        <w:ind w:left="0" w:firstLine="0"/>
        <w:rPr>
          <w:rFonts w:ascii="Calibri" w:hAnsi="Calibri" w:cs="Calibri"/>
          <w:bCs/>
        </w:rPr>
      </w:pPr>
    </w:p>
    <w:p w14:paraId="0E02B36A" w14:textId="6CA7A8BF" w:rsidR="004A6EF9" w:rsidRPr="004A6EF9" w:rsidRDefault="004A6EF9" w:rsidP="004A6EF9">
      <w:pPr>
        <w:pStyle w:val="NormalWeb"/>
        <w:ind w:left="0" w:firstLine="0"/>
        <w:jc w:val="both"/>
        <w:rPr>
          <w:rFonts w:ascii="Calibri" w:eastAsia="Cambria" w:hAnsi="Calibri" w:cs="Calibri"/>
          <w:b/>
          <w:bCs/>
          <w:color w:val="000000" w:themeColor="text1"/>
        </w:rPr>
      </w:pPr>
      <w:r w:rsidRPr="004A6EF9">
        <w:rPr>
          <w:rFonts w:ascii="Calibri" w:eastAsia="Cambria" w:hAnsi="Calibri" w:cs="Calibri"/>
          <w:b/>
          <w:bCs/>
          <w:color w:val="000000" w:themeColor="text1"/>
        </w:rPr>
        <w:t xml:space="preserve">6. Fungal </w:t>
      </w:r>
      <w:r w:rsidR="00B946B4">
        <w:rPr>
          <w:rFonts w:ascii="Calibri" w:eastAsia="Cambria" w:hAnsi="Calibri" w:cs="Calibri"/>
          <w:b/>
          <w:bCs/>
          <w:color w:val="000000" w:themeColor="text1"/>
        </w:rPr>
        <w:t>b</w:t>
      </w:r>
      <w:r w:rsidRPr="004A6EF9">
        <w:rPr>
          <w:rFonts w:ascii="Calibri" w:eastAsia="Cambria" w:hAnsi="Calibri" w:cs="Calibri"/>
          <w:b/>
          <w:bCs/>
          <w:color w:val="000000" w:themeColor="text1"/>
        </w:rPr>
        <w:t xml:space="preserve">urden </w:t>
      </w:r>
      <w:r w:rsidR="00B946B4">
        <w:rPr>
          <w:rFonts w:ascii="Calibri" w:eastAsia="Cambria" w:hAnsi="Calibri" w:cs="Calibri"/>
          <w:b/>
          <w:bCs/>
          <w:color w:val="000000" w:themeColor="text1"/>
        </w:rPr>
        <w:t>a</w:t>
      </w:r>
      <w:r w:rsidRPr="004A6EF9">
        <w:rPr>
          <w:rFonts w:ascii="Calibri" w:eastAsia="Cambria" w:hAnsi="Calibri" w:cs="Calibri"/>
          <w:b/>
          <w:bCs/>
          <w:color w:val="000000" w:themeColor="text1"/>
        </w:rPr>
        <w:t>ssessment</w:t>
      </w:r>
    </w:p>
    <w:p w14:paraId="49F9C515" w14:textId="77777777" w:rsidR="004A6EF9" w:rsidRPr="004A6EF9" w:rsidRDefault="004A6EF9" w:rsidP="004A6EF9">
      <w:pPr>
        <w:pStyle w:val="NormalWeb"/>
        <w:ind w:left="0" w:firstLine="0"/>
        <w:jc w:val="both"/>
        <w:rPr>
          <w:rFonts w:ascii="Calibri" w:eastAsia="Cambria" w:hAnsi="Calibri" w:cs="Calibri"/>
          <w:b/>
          <w:bCs/>
          <w:color w:val="000000" w:themeColor="text1"/>
        </w:rPr>
      </w:pPr>
    </w:p>
    <w:p w14:paraId="08EF886A" w14:textId="77777777" w:rsidR="004A6EF9" w:rsidRPr="004A6EF9" w:rsidRDefault="004A6EF9" w:rsidP="004A6EF9">
      <w:pPr>
        <w:pStyle w:val="NormalWeb"/>
        <w:ind w:left="0" w:firstLine="0"/>
        <w:jc w:val="both"/>
        <w:rPr>
          <w:rFonts w:ascii="Calibri" w:eastAsia="Cambria" w:hAnsi="Calibri" w:cs="Calibri"/>
          <w:color w:val="000000" w:themeColor="text1"/>
        </w:rPr>
      </w:pPr>
      <w:r w:rsidRPr="004A6EF9">
        <w:rPr>
          <w:rFonts w:ascii="Calibri" w:eastAsia="Cambria" w:hAnsi="Calibri" w:cs="Calibri"/>
          <w:color w:val="000000" w:themeColor="text1"/>
        </w:rPr>
        <w:t>6.1 Colony forming unit (CFU) quantification</w:t>
      </w:r>
    </w:p>
    <w:p w14:paraId="3AC06CD2" w14:textId="77777777" w:rsidR="004A6EF9" w:rsidRPr="004A6EF9" w:rsidRDefault="004A6EF9" w:rsidP="004A6EF9">
      <w:pPr>
        <w:pStyle w:val="NormalWeb"/>
        <w:ind w:left="0" w:firstLine="0"/>
        <w:jc w:val="both"/>
        <w:rPr>
          <w:rFonts w:ascii="Calibri" w:eastAsia="Cambria" w:hAnsi="Calibri" w:cs="Calibri"/>
          <w:color w:val="000000" w:themeColor="text1"/>
        </w:rPr>
      </w:pPr>
    </w:p>
    <w:p w14:paraId="656910ED" w14:textId="4B477977" w:rsidR="004A6EF9" w:rsidRDefault="004A6EF9" w:rsidP="004A6EF9">
      <w:pPr>
        <w:pStyle w:val="NormalWeb"/>
        <w:ind w:left="0" w:firstLine="0"/>
        <w:jc w:val="both"/>
        <w:rPr>
          <w:rFonts w:ascii="Calibri" w:eastAsia="Cambria" w:hAnsi="Calibri" w:cs="Calibri"/>
          <w:color w:val="000000" w:themeColor="text1"/>
        </w:rPr>
      </w:pPr>
      <w:r w:rsidRPr="004A6EF9">
        <w:rPr>
          <w:rFonts w:ascii="Calibri" w:eastAsia="Cambria" w:hAnsi="Calibri" w:cs="Calibri"/>
          <w:color w:val="000000" w:themeColor="text1"/>
        </w:rPr>
        <w:t>6.1.1 At the desired infection timepoints, collect planarians (5–10 animals per condition per day). Include matched uninfected/mock controls and wildtype infected controls</w:t>
      </w:r>
      <w:r>
        <w:rPr>
          <w:rFonts w:ascii="Calibri" w:eastAsia="Cambria" w:hAnsi="Calibri" w:cs="Calibri"/>
          <w:color w:val="000000" w:themeColor="text1"/>
        </w:rPr>
        <w:t>.</w:t>
      </w:r>
    </w:p>
    <w:p w14:paraId="6AA1818B" w14:textId="77777777" w:rsidR="004A6EF9" w:rsidRDefault="004A6EF9" w:rsidP="004A6EF9">
      <w:pPr>
        <w:pStyle w:val="NormalWeb"/>
        <w:ind w:left="0" w:firstLine="0"/>
        <w:jc w:val="both"/>
        <w:rPr>
          <w:rFonts w:ascii="Calibri" w:eastAsia="Cambria" w:hAnsi="Calibri" w:cs="Calibri"/>
          <w:color w:val="000000" w:themeColor="text1"/>
        </w:rPr>
      </w:pPr>
    </w:p>
    <w:p w14:paraId="0AE2DA2A" w14:textId="77777777" w:rsidR="004A6EF9" w:rsidRDefault="004A6EF9" w:rsidP="004A6EF9">
      <w:pPr>
        <w:pStyle w:val="NormalWeb"/>
        <w:ind w:left="0" w:firstLine="0"/>
        <w:jc w:val="both"/>
        <w:rPr>
          <w:rFonts w:ascii="Calibri" w:eastAsia="Cambria" w:hAnsi="Calibri" w:cs="Calibri"/>
          <w:color w:val="000000" w:themeColor="text1"/>
        </w:rPr>
      </w:pPr>
      <w:r w:rsidRPr="004A6EF9">
        <w:rPr>
          <w:rFonts w:ascii="Calibri" w:eastAsia="Cambria" w:hAnsi="Calibri" w:cs="Calibri"/>
          <w:color w:val="000000" w:themeColor="text1"/>
        </w:rPr>
        <w:t xml:space="preserve">6.1.2 Gently rinse wells two times with 2 mL of fresh planarian water to remove background </w:t>
      </w:r>
      <w:r w:rsidRPr="004A6EF9">
        <w:rPr>
          <w:rFonts w:ascii="Calibri" w:eastAsia="Cambria" w:hAnsi="Calibri" w:cs="Calibri"/>
          <w:i/>
          <w:iCs/>
          <w:color w:val="000000" w:themeColor="text1"/>
        </w:rPr>
        <w:t>C. albicans</w:t>
      </w:r>
      <w:r w:rsidRPr="004A6EF9">
        <w:rPr>
          <w:rFonts w:ascii="Calibri" w:eastAsia="Cambria" w:hAnsi="Calibri" w:cs="Calibri"/>
          <w:color w:val="000000" w:themeColor="text1"/>
        </w:rPr>
        <w:t xml:space="preserve"> cells.</w:t>
      </w:r>
    </w:p>
    <w:p w14:paraId="5E501706" w14:textId="77777777" w:rsidR="004A6EF9" w:rsidRDefault="004A6EF9" w:rsidP="004A6EF9">
      <w:pPr>
        <w:pStyle w:val="NormalWeb"/>
        <w:ind w:left="0" w:firstLine="0"/>
        <w:jc w:val="both"/>
        <w:rPr>
          <w:rFonts w:ascii="Calibri" w:eastAsia="Cambria" w:hAnsi="Calibri" w:cs="Calibri"/>
          <w:color w:val="000000" w:themeColor="text1"/>
        </w:rPr>
      </w:pPr>
    </w:p>
    <w:p w14:paraId="2D11EDCD" w14:textId="4E8F4DFE" w:rsidR="004A6EF9" w:rsidRPr="004A6EF9" w:rsidRDefault="004A6EF9" w:rsidP="004A6EF9">
      <w:pPr>
        <w:pStyle w:val="NormalWeb"/>
        <w:ind w:left="0" w:firstLine="0"/>
        <w:jc w:val="both"/>
        <w:rPr>
          <w:rFonts w:ascii="Calibri" w:eastAsia="Cambria" w:hAnsi="Calibri" w:cs="Calibri"/>
          <w:bCs/>
          <w:color w:val="000000" w:themeColor="text1"/>
        </w:rPr>
      </w:pPr>
      <w:r w:rsidRPr="004A6EF9">
        <w:rPr>
          <w:rFonts w:ascii="Calibri" w:eastAsia="Cambria" w:hAnsi="Calibri" w:cs="Calibri"/>
          <w:color w:val="000000" w:themeColor="text1"/>
        </w:rPr>
        <w:t xml:space="preserve">6.1.3 Transfer planarians into </w:t>
      </w:r>
      <w:r w:rsidR="009C3665">
        <w:rPr>
          <w:rFonts w:ascii="Calibri" w:eastAsia="Cambria" w:hAnsi="Calibri" w:cs="Calibri"/>
          <w:color w:val="000000" w:themeColor="text1"/>
        </w:rPr>
        <w:t xml:space="preserve">sterile </w:t>
      </w:r>
      <w:r w:rsidR="00AA1A36">
        <w:rPr>
          <w:rFonts w:ascii="Calibri" w:eastAsia="Cambria" w:hAnsi="Calibri" w:cs="Calibri"/>
          <w:color w:val="000000" w:themeColor="text1"/>
        </w:rPr>
        <w:t xml:space="preserve">and </w:t>
      </w:r>
      <w:r w:rsidRPr="004A6EF9">
        <w:rPr>
          <w:rFonts w:ascii="Calibri" w:eastAsia="Cambria" w:hAnsi="Calibri" w:cs="Calibri"/>
          <w:color w:val="000000" w:themeColor="text1"/>
        </w:rPr>
        <w:t>labeled 1.7 mL or 5</w:t>
      </w:r>
      <w:r w:rsidR="009C3665">
        <w:rPr>
          <w:rFonts w:ascii="Calibri" w:eastAsia="Cambria" w:hAnsi="Calibri" w:cs="Calibri"/>
          <w:color w:val="000000" w:themeColor="text1"/>
        </w:rPr>
        <w:t>.0</w:t>
      </w:r>
      <w:r w:rsidRPr="004A6EF9">
        <w:rPr>
          <w:rFonts w:ascii="Calibri" w:eastAsia="Cambria" w:hAnsi="Calibri" w:cs="Calibri"/>
          <w:color w:val="000000" w:themeColor="text1"/>
        </w:rPr>
        <w:t xml:space="preserve"> mL microcentrifuge tubes and remove all residual water.</w:t>
      </w:r>
    </w:p>
    <w:p w14:paraId="64D385BF" w14:textId="77777777" w:rsidR="004A6EF9" w:rsidRPr="004A6EF9" w:rsidRDefault="004A6EF9" w:rsidP="004A6EF9">
      <w:pPr>
        <w:pStyle w:val="NormalWeb"/>
        <w:ind w:left="0" w:firstLine="0"/>
        <w:jc w:val="both"/>
        <w:rPr>
          <w:rFonts w:ascii="Calibri" w:eastAsia="Cambria" w:hAnsi="Calibri" w:cs="Calibri"/>
          <w:bCs/>
          <w:color w:val="000000" w:themeColor="text1"/>
        </w:rPr>
      </w:pPr>
    </w:p>
    <w:p w14:paraId="05C7AF55" w14:textId="77777777" w:rsidR="004A6EF9" w:rsidRPr="004A6EF9" w:rsidRDefault="004A6EF9" w:rsidP="004A6EF9">
      <w:pPr>
        <w:pStyle w:val="NormalWeb"/>
        <w:ind w:left="0" w:firstLine="0"/>
        <w:jc w:val="both"/>
        <w:rPr>
          <w:rFonts w:ascii="Calibri" w:eastAsia="Cambria" w:hAnsi="Calibri" w:cs="Calibri"/>
          <w:bCs/>
          <w:color w:val="000000" w:themeColor="text1"/>
        </w:rPr>
      </w:pPr>
      <w:r w:rsidRPr="004A6EF9">
        <w:rPr>
          <w:rFonts w:ascii="Calibri" w:eastAsia="Cambria" w:hAnsi="Calibri" w:cs="Calibri"/>
          <w:bCs/>
          <w:color w:val="000000" w:themeColor="text1"/>
        </w:rPr>
        <w:t>6.1.4 Add 300 µL of fresh planarian water to each tube.</w:t>
      </w:r>
    </w:p>
    <w:p w14:paraId="00EC48D5" w14:textId="77777777" w:rsidR="004A6EF9" w:rsidRPr="004A6EF9" w:rsidRDefault="004A6EF9" w:rsidP="004A6EF9">
      <w:pPr>
        <w:pStyle w:val="NormalWeb"/>
        <w:ind w:left="0" w:firstLine="0"/>
        <w:jc w:val="both"/>
        <w:rPr>
          <w:rFonts w:ascii="Calibri" w:eastAsia="Cambria" w:hAnsi="Calibri" w:cs="Calibri"/>
          <w:bCs/>
          <w:color w:val="000000" w:themeColor="text1"/>
        </w:rPr>
      </w:pPr>
    </w:p>
    <w:p w14:paraId="0FD3FD2A" w14:textId="77777777" w:rsidR="004A6EF9" w:rsidRPr="004A6EF9" w:rsidRDefault="004A6EF9" w:rsidP="004A6EF9">
      <w:pPr>
        <w:pStyle w:val="NormalWeb"/>
        <w:ind w:left="0" w:firstLine="0"/>
        <w:jc w:val="both"/>
        <w:rPr>
          <w:rFonts w:ascii="Calibri" w:eastAsia="Cambria" w:hAnsi="Calibri" w:cs="Calibri"/>
          <w:bCs/>
          <w:color w:val="000000" w:themeColor="text1"/>
        </w:rPr>
      </w:pPr>
      <w:r w:rsidRPr="004A6EF9">
        <w:rPr>
          <w:rFonts w:ascii="Calibri" w:eastAsia="Cambria" w:hAnsi="Calibri" w:cs="Calibri"/>
          <w:bCs/>
          <w:color w:val="000000" w:themeColor="text1"/>
        </w:rPr>
        <w:t>6.1.5 Homogenize animals using a sterile pestle until no large fragments remain (approximately 30–45 s).</w:t>
      </w:r>
    </w:p>
    <w:p w14:paraId="62947029" w14:textId="77777777" w:rsidR="004A6EF9" w:rsidRPr="004A6EF9" w:rsidRDefault="004A6EF9" w:rsidP="004A6EF9">
      <w:pPr>
        <w:pStyle w:val="NormalWeb"/>
        <w:ind w:left="0" w:firstLine="0"/>
        <w:jc w:val="both"/>
        <w:rPr>
          <w:rFonts w:ascii="Calibri" w:eastAsia="Cambria" w:hAnsi="Calibri" w:cs="Calibri"/>
          <w:bCs/>
          <w:color w:val="000000" w:themeColor="text1"/>
        </w:rPr>
      </w:pPr>
    </w:p>
    <w:p w14:paraId="1780A346" w14:textId="77777777" w:rsidR="004A6EF9" w:rsidRPr="004A6EF9" w:rsidRDefault="004A6EF9" w:rsidP="004A6EF9">
      <w:pPr>
        <w:pStyle w:val="NormalWeb"/>
        <w:ind w:left="0" w:firstLine="0"/>
        <w:jc w:val="both"/>
        <w:rPr>
          <w:rFonts w:ascii="Calibri" w:eastAsia="Cambria" w:hAnsi="Calibri" w:cs="Calibri"/>
          <w:bCs/>
          <w:color w:val="000000" w:themeColor="text1"/>
        </w:rPr>
      </w:pPr>
      <w:r w:rsidRPr="004A6EF9">
        <w:rPr>
          <w:rFonts w:ascii="Calibri" w:eastAsia="Cambria" w:hAnsi="Calibri" w:cs="Calibri"/>
          <w:bCs/>
          <w:color w:val="000000" w:themeColor="text1"/>
        </w:rPr>
        <w:t>6.1.6 Perform serial dilutions of the homogenate (e.g., 1:10, 1:100, 1:1000).</w:t>
      </w:r>
    </w:p>
    <w:p w14:paraId="20FEAEB8" w14:textId="77777777" w:rsidR="004A6EF9" w:rsidRPr="004A6EF9" w:rsidRDefault="004A6EF9" w:rsidP="004A6EF9">
      <w:pPr>
        <w:pStyle w:val="NormalWeb"/>
        <w:ind w:left="0" w:firstLine="0"/>
        <w:jc w:val="both"/>
        <w:rPr>
          <w:rFonts w:ascii="Calibri" w:eastAsia="Cambria" w:hAnsi="Calibri" w:cs="Calibri"/>
          <w:bCs/>
          <w:color w:val="000000" w:themeColor="text1"/>
        </w:rPr>
      </w:pPr>
    </w:p>
    <w:p w14:paraId="3A22B11B" w14:textId="77777777" w:rsidR="004A6EF9" w:rsidRPr="004A6EF9" w:rsidRDefault="004A6EF9" w:rsidP="004A6EF9">
      <w:pPr>
        <w:pStyle w:val="NormalWeb"/>
        <w:ind w:left="0" w:firstLine="0"/>
        <w:jc w:val="both"/>
        <w:rPr>
          <w:rFonts w:ascii="Calibri" w:eastAsia="Cambria" w:hAnsi="Calibri" w:cs="Calibri"/>
          <w:bCs/>
          <w:color w:val="000000" w:themeColor="text1"/>
        </w:rPr>
      </w:pPr>
      <w:r w:rsidRPr="004A6EF9">
        <w:rPr>
          <w:rFonts w:ascii="Calibri" w:eastAsia="Cambria" w:hAnsi="Calibri" w:cs="Calibri"/>
          <w:bCs/>
          <w:color w:val="000000" w:themeColor="text1"/>
        </w:rPr>
        <w:t>6.1.7 Plate 100–200 µL of each dilution onto YPD agar plates supplemented with 50 µg/mL each of ampicillin, rifampicin, streptomycin, and neomycin. Spread evenly using sterile glass beads or a sterile cell spreader.</w:t>
      </w:r>
    </w:p>
    <w:p w14:paraId="127E4CD7" w14:textId="77777777" w:rsidR="004A6EF9" w:rsidRPr="004A6EF9" w:rsidRDefault="004A6EF9" w:rsidP="004A6EF9">
      <w:pPr>
        <w:pStyle w:val="NormalWeb"/>
        <w:ind w:left="0" w:firstLine="0"/>
        <w:jc w:val="both"/>
        <w:rPr>
          <w:rFonts w:ascii="Calibri" w:eastAsia="Cambria" w:hAnsi="Calibri" w:cs="Calibri"/>
          <w:bCs/>
          <w:color w:val="000000" w:themeColor="text1"/>
        </w:rPr>
      </w:pPr>
    </w:p>
    <w:p w14:paraId="13E7CE46" w14:textId="77777777" w:rsidR="004A6EF9" w:rsidRPr="004A6EF9" w:rsidRDefault="004A6EF9" w:rsidP="004A6EF9">
      <w:pPr>
        <w:pStyle w:val="NormalWeb"/>
        <w:ind w:left="0" w:firstLine="0"/>
        <w:jc w:val="both"/>
        <w:rPr>
          <w:rFonts w:ascii="Calibri" w:eastAsia="Cambria" w:hAnsi="Calibri" w:cs="Calibri"/>
          <w:bCs/>
          <w:color w:val="000000" w:themeColor="text1"/>
        </w:rPr>
      </w:pPr>
      <w:r w:rsidRPr="004A6EF9">
        <w:rPr>
          <w:rFonts w:ascii="Calibri" w:eastAsia="Cambria" w:hAnsi="Calibri" w:cs="Calibri"/>
          <w:bCs/>
          <w:color w:val="000000" w:themeColor="text1"/>
        </w:rPr>
        <w:t>6.1.8 Allow plates to remain upright on the benchtop for 5–10 min after plating to permit absorption of liquid into the agar.</w:t>
      </w:r>
    </w:p>
    <w:p w14:paraId="60F98168" w14:textId="77777777" w:rsidR="004A6EF9" w:rsidRPr="004A6EF9" w:rsidRDefault="004A6EF9" w:rsidP="004A6EF9">
      <w:pPr>
        <w:pStyle w:val="NormalWeb"/>
        <w:ind w:left="0" w:firstLine="0"/>
        <w:jc w:val="both"/>
        <w:rPr>
          <w:rFonts w:ascii="Calibri" w:eastAsia="Cambria" w:hAnsi="Calibri" w:cs="Calibri"/>
          <w:bCs/>
          <w:color w:val="000000" w:themeColor="text1"/>
        </w:rPr>
      </w:pPr>
    </w:p>
    <w:p w14:paraId="1072D92F" w14:textId="40ADA757" w:rsidR="004A6EF9" w:rsidRPr="004A6EF9" w:rsidRDefault="004A6EF9" w:rsidP="004A6EF9">
      <w:pPr>
        <w:pStyle w:val="NormalWeb"/>
        <w:ind w:left="0" w:firstLine="0"/>
        <w:jc w:val="both"/>
        <w:rPr>
          <w:rFonts w:ascii="Calibri" w:eastAsia="Cambria" w:hAnsi="Calibri" w:cs="Calibri"/>
          <w:bCs/>
          <w:color w:val="000000" w:themeColor="text1"/>
        </w:rPr>
      </w:pPr>
      <w:r w:rsidRPr="004A6EF9">
        <w:rPr>
          <w:rFonts w:ascii="Calibri" w:eastAsia="Cambria" w:hAnsi="Calibri" w:cs="Calibri"/>
          <w:bCs/>
          <w:color w:val="000000" w:themeColor="text1"/>
        </w:rPr>
        <w:t>6.1.9 Prepare triplicate plates for each dilution and condition.</w:t>
      </w:r>
    </w:p>
    <w:p w14:paraId="428BFAD8" w14:textId="77777777" w:rsidR="004A6EF9" w:rsidRPr="004A6EF9" w:rsidRDefault="004A6EF9" w:rsidP="004A6EF9">
      <w:pPr>
        <w:pStyle w:val="NormalWeb"/>
        <w:ind w:left="0" w:firstLine="0"/>
        <w:jc w:val="both"/>
        <w:rPr>
          <w:rFonts w:ascii="Calibri" w:eastAsia="Cambria" w:hAnsi="Calibri" w:cs="Calibri"/>
          <w:bCs/>
          <w:color w:val="000000" w:themeColor="text1"/>
        </w:rPr>
      </w:pPr>
    </w:p>
    <w:p w14:paraId="08E44013" w14:textId="77777777" w:rsidR="004A6EF9" w:rsidRPr="004A6EF9" w:rsidRDefault="004A6EF9" w:rsidP="004A6EF9">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6.1.10 Incubate plates at 30 °C for 48 h.</w:t>
      </w:r>
    </w:p>
    <w:p w14:paraId="5B27D990" w14:textId="77777777" w:rsidR="004A6EF9" w:rsidRPr="004A6EF9" w:rsidRDefault="004A6EF9" w:rsidP="004A6EF9">
      <w:pPr>
        <w:rPr>
          <w:bCs/>
        </w:rPr>
      </w:pPr>
    </w:p>
    <w:p w14:paraId="377AC20A" w14:textId="77777777" w:rsidR="004A6EF9" w:rsidRPr="004A6EF9" w:rsidRDefault="004A6EF9" w:rsidP="004A6EF9">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6.1.11 Count CFUs and multiply by the dilution factor.</w:t>
      </w:r>
    </w:p>
    <w:p w14:paraId="66EC5AE4" w14:textId="77777777" w:rsidR="004A6EF9" w:rsidRPr="004A6EF9" w:rsidRDefault="004A6EF9" w:rsidP="004A6EF9">
      <w:pPr>
        <w:rPr>
          <w:bCs/>
        </w:rPr>
      </w:pPr>
    </w:p>
    <w:p w14:paraId="3782A109" w14:textId="0CB2377C" w:rsidR="0090602D" w:rsidRPr="0090602D" w:rsidRDefault="004A6EF9" w:rsidP="0090602D">
      <w:pPr>
        <w:pStyle w:val="Heading3"/>
        <w:ind w:left="0" w:firstLine="0"/>
        <w:contextualSpacing/>
        <w:rPr>
          <w:rFonts w:ascii="Calibri" w:hAnsi="Calibri" w:cs="Calibri"/>
          <w:bCs/>
          <w:color w:val="000000" w:themeColor="text1"/>
        </w:rPr>
      </w:pPr>
      <w:r w:rsidRPr="004A6EF9">
        <w:rPr>
          <w:rFonts w:ascii="Calibri" w:hAnsi="Calibri" w:cs="Calibri"/>
          <w:b w:val="0"/>
          <w:bCs/>
          <w:color w:val="000000" w:themeColor="text1"/>
        </w:rPr>
        <w:lastRenderedPageBreak/>
        <w:t>6.1.12 Normalize CFU values to the number of planarians to calculate average CFUs per planarian per condition.</w:t>
      </w:r>
      <w:r w:rsidR="0090602D">
        <w:rPr>
          <w:rFonts w:ascii="Calibri" w:hAnsi="Calibri" w:cs="Calibri"/>
          <w:b w:val="0"/>
          <w:bCs/>
          <w:color w:val="000000" w:themeColor="text1"/>
        </w:rPr>
        <w:t xml:space="preserve"> For example, </w:t>
      </w:r>
      <w:r w:rsidR="0090602D">
        <w:rPr>
          <w:rFonts w:ascii="Calibri" w:hAnsi="Calibri" w:cs="Calibri"/>
          <w:b w:val="0"/>
          <w:color w:val="000000" w:themeColor="text1"/>
        </w:rPr>
        <w:t>i</w:t>
      </w:r>
      <w:r w:rsidR="0090602D" w:rsidRPr="004B2C9D">
        <w:rPr>
          <w:rFonts w:ascii="Calibri" w:hAnsi="Calibri" w:cs="Calibri"/>
          <w:b w:val="0"/>
          <w:color w:val="000000" w:themeColor="text1"/>
        </w:rPr>
        <w:t>f 100 colonies are observed at a 10× dilution from a homogenate of 5 animals, the calculated value is 200 CFUs per animal.</w:t>
      </w:r>
    </w:p>
    <w:p w14:paraId="7B72C8C1" w14:textId="2968B521" w:rsidR="004A6EF9" w:rsidRDefault="004A6EF9" w:rsidP="004A6EF9">
      <w:pPr>
        <w:pStyle w:val="Heading3"/>
        <w:spacing w:before="0"/>
        <w:ind w:left="0" w:firstLine="0"/>
        <w:contextualSpacing/>
        <w:rPr>
          <w:rFonts w:ascii="Calibri" w:hAnsi="Calibri" w:cs="Calibri"/>
          <w:b w:val="0"/>
          <w:bCs/>
          <w:color w:val="000000" w:themeColor="text1"/>
        </w:rPr>
      </w:pPr>
    </w:p>
    <w:p w14:paraId="6FF34B5A" w14:textId="2A8006D3" w:rsidR="004A6EF9" w:rsidRDefault="004A6EF9" w:rsidP="004A6EF9">
      <w:pPr>
        <w:pStyle w:val="Heading3"/>
        <w:spacing w:before="0"/>
        <w:ind w:left="0" w:firstLine="0"/>
        <w:contextualSpacing/>
        <w:rPr>
          <w:rFonts w:ascii="Calibri" w:hAnsi="Calibri" w:cs="Calibri"/>
          <w:bCs/>
          <w:color w:val="000000" w:themeColor="text1"/>
        </w:rPr>
      </w:pPr>
      <w:r>
        <w:rPr>
          <w:rFonts w:ascii="Calibri" w:hAnsi="Calibri" w:cs="Calibri"/>
          <w:bCs/>
          <w:color w:val="000000" w:themeColor="text1"/>
        </w:rPr>
        <w:t>7</w:t>
      </w:r>
      <w:r w:rsidRPr="004A6EF9">
        <w:rPr>
          <w:rFonts w:ascii="Calibri" w:hAnsi="Calibri" w:cs="Calibri"/>
          <w:bCs/>
          <w:color w:val="000000" w:themeColor="text1"/>
        </w:rPr>
        <w:t>. Immunofluorescence anti-</w:t>
      </w:r>
      <w:r w:rsidRPr="00E90B9A">
        <w:rPr>
          <w:rFonts w:ascii="Calibri" w:hAnsi="Calibri" w:cs="Calibri"/>
          <w:bCs/>
          <w:i/>
          <w:iCs/>
          <w:color w:val="000000" w:themeColor="text1"/>
        </w:rPr>
        <w:t>Candida</w:t>
      </w:r>
      <w:r w:rsidRPr="004A6EF9">
        <w:rPr>
          <w:rFonts w:ascii="Calibri" w:hAnsi="Calibri" w:cs="Calibri"/>
          <w:bCs/>
          <w:color w:val="000000" w:themeColor="text1"/>
        </w:rPr>
        <w:t xml:space="preserve"> staining</w:t>
      </w:r>
    </w:p>
    <w:p w14:paraId="326C16B8" w14:textId="77777777" w:rsidR="004A6EF9" w:rsidRPr="004A6EF9" w:rsidRDefault="004A6EF9" w:rsidP="004A6EF9">
      <w:pPr>
        <w:ind w:left="0" w:firstLine="0"/>
      </w:pPr>
    </w:p>
    <w:p w14:paraId="0DAD826A" w14:textId="77777777" w:rsidR="005200AB" w:rsidRDefault="005200AB" w:rsidP="005200AB">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7.1 General staining considerations</w:t>
      </w:r>
    </w:p>
    <w:p w14:paraId="392484F6" w14:textId="77777777" w:rsidR="005200AB" w:rsidRDefault="005200AB" w:rsidP="005200AB"/>
    <w:p w14:paraId="3B190962" w14:textId="0111E08B" w:rsid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color w:val="000000" w:themeColor="text1"/>
        </w:rPr>
        <w:t>7.1.</w:t>
      </w:r>
      <w:r w:rsidRPr="005200AB">
        <w:rPr>
          <w:rFonts w:ascii="Calibri" w:hAnsi="Calibri" w:cs="Calibri"/>
          <w:b w:val="0"/>
          <w:color w:val="000000" w:themeColor="text1"/>
        </w:rPr>
        <w:t xml:space="preserve">1 </w:t>
      </w:r>
      <w:r w:rsidRPr="004A6EF9">
        <w:rPr>
          <w:rFonts w:ascii="Calibri" w:hAnsi="Calibri" w:cs="Calibri"/>
          <w:b w:val="0"/>
          <w:color w:val="000000" w:themeColor="text1"/>
        </w:rPr>
        <w:t>Perform all steps with gentle orbital rocking (100–140 rpm) at room temperature unless otherwise specified.</w:t>
      </w:r>
      <w:r w:rsidRPr="004A6EF9">
        <w:rPr>
          <w:rFonts w:ascii="Calibri" w:hAnsi="Calibri" w:cs="Calibri"/>
          <w:color w:val="000000" w:themeColor="text1"/>
        </w:rPr>
        <w:t xml:space="preserve"> </w:t>
      </w:r>
      <w:r w:rsidRPr="004A6EF9">
        <w:rPr>
          <w:rFonts w:ascii="Calibri" w:hAnsi="Calibri" w:cs="Calibri"/>
          <w:b w:val="0"/>
          <w:bCs/>
          <w:color w:val="000000" w:themeColor="text1"/>
        </w:rPr>
        <w:t>See Supplemental File 1 for antibody details and reagent sources.</w:t>
      </w:r>
    </w:p>
    <w:p w14:paraId="74A373F7" w14:textId="77777777" w:rsidR="005200AB" w:rsidRDefault="005200AB" w:rsidP="005200AB"/>
    <w:p w14:paraId="598CD1F0" w14:textId="1B0E242D" w:rsidR="005200AB" w:rsidRDefault="005200AB" w:rsidP="005200AB">
      <w:pPr>
        <w:ind w:left="0" w:firstLine="0"/>
        <w:jc w:val="both"/>
        <w:rPr>
          <w:rFonts w:ascii="Calibri" w:hAnsi="Calibri" w:cs="Calibri"/>
        </w:rPr>
      </w:pPr>
      <w:r w:rsidRPr="005200AB">
        <w:rPr>
          <w:rFonts w:ascii="Calibri" w:hAnsi="Calibri" w:cs="Calibri"/>
        </w:rPr>
        <w:t>CAUTION: Formaldehyde, sodium dodecyl sulfate (SDS), and hydrogen peroxide are hazardous chemicals and must be handled according to institutional safety regulations. Formaldehyde is toxic and classified as a carcinogen; SDS is an irritant; and hydrogen peroxide is a strong oxidizer that may cause burns. Wear appropriate personal protective equipment (lab coat, nitrile gloves, closed-toe shoes, and safety goggles). Perform procedures involving volatile reagents in a certified chemical fume hood and dispose of waste according to institutional Environmental Health and Safety guidelines.</w:t>
      </w:r>
    </w:p>
    <w:p w14:paraId="3F6C8214" w14:textId="77777777" w:rsidR="005200AB" w:rsidRPr="004A6EF9" w:rsidRDefault="005200AB" w:rsidP="005200AB">
      <w:pPr>
        <w:ind w:left="0" w:firstLine="0"/>
        <w:jc w:val="both"/>
        <w:rPr>
          <w:rFonts w:ascii="Calibri" w:hAnsi="Calibri" w:cs="Calibri"/>
        </w:rPr>
      </w:pPr>
    </w:p>
    <w:p w14:paraId="0A5EC646" w14:textId="77777777" w:rsidR="005200AB" w:rsidRPr="005200AB" w:rsidRDefault="005200AB" w:rsidP="005200AB">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7.2 Sample collection</w:t>
      </w:r>
    </w:p>
    <w:p w14:paraId="3D799891" w14:textId="77777777" w:rsidR="005200AB" w:rsidRPr="004A6EF9" w:rsidRDefault="005200AB" w:rsidP="005200AB"/>
    <w:p w14:paraId="70E915FC" w14:textId="2C073750" w:rsidR="005200AB" w:rsidRPr="005200AB" w:rsidRDefault="005200AB" w:rsidP="005200AB">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 xml:space="preserve">7.2.1 Collect animals from each experimental condition and </w:t>
      </w:r>
      <w:r>
        <w:rPr>
          <w:rFonts w:ascii="Calibri" w:hAnsi="Calibri" w:cs="Calibri"/>
          <w:b w:val="0"/>
          <w:color w:val="000000" w:themeColor="text1"/>
        </w:rPr>
        <w:t>timepoint</w:t>
      </w:r>
      <w:r w:rsidRPr="004A6EF9">
        <w:rPr>
          <w:rFonts w:ascii="Calibri" w:hAnsi="Calibri" w:cs="Calibri"/>
          <w:b w:val="0"/>
          <w:color w:val="000000" w:themeColor="text1"/>
        </w:rPr>
        <w:t>.</w:t>
      </w:r>
    </w:p>
    <w:p w14:paraId="752E49EB" w14:textId="77777777" w:rsidR="005200AB" w:rsidRPr="004A6EF9" w:rsidRDefault="005200AB" w:rsidP="005200AB"/>
    <w:p w14:paraId="754774FA" w14:textId="02DD8118" w:rsidR="005200AB" w:rsidRPr="005200AB" w:rsidRDefault="005200AB" w:rsidP="005200AB">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7.2.2 Transfer animals into labeled 20 mL scintillation vials containing 2 mL of planarian water.</w:t>
      </w:r>
    </w:p>
    <w:p w14:paraId="07813A19" w14:textId="77777777" w:rsidR="005200AB" w:rsidRPr="004A6EF9" w:rsidRDefault="005200AB" w:rsidP="005200AB"/>
    <w:p w14:paraId="6D0BE01D" w14:textId="2BE1B26F" w:rsidR="005200AB" w:rsidRPr="005200AB" w:rsidRDefault="005200AB" w:rsidP="005200AB">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 xml:space="preserve">7.2.3 Remove </w:t>
      </w:r>
      <w:proofErr w:type="gramStart"/>
      <w:r w:rsidRPr="004A6EF9">
        <w:rPr>
          <w:rFonts w:ascii="Calibri" w:hAnsi="Calibri" w:cs="Calibri"/>
          <w:b w:val="0"/>
          <w:color w:val="000000" w:themeColor="text1"/>
        </w:rPr>
        <w:t xml:space="preserve">the </w:t>
      </w:r>
      <w:r w:rsidR="00BF0EFF">
        <w:rPr>
          <w:rFonts w:ascii="Calibri" w:hAnsi="Calibri" w:cs="Calibri"/>
          <w:b w:val="0"/>
          <w:color w:val="000000" w:themeColor="text1"/>
        </w:rPr>
        <w:t>all</w:t>
      </w:r>
      <w:proofErr w:type="gramEnd"/>
      <w:r w:rsidR="00BF0EFF">
        <w:rPr>
          <w:rFonts w:ascii="Calibri" w:hAnsi="Calibri" w:cs="Calibri"/>
          <w:b w:val="0"/>
          <w:color w:val="000000" w:themeColor="text1"/>
        </w:rPr>
        <w:t xml:space="preserve"> liquid</w:t>
      </w:r>
      <w:r w:rsidRPr="004A6EF9">
        <w:rPr>
          <w:rFonts w:ascii="Calibri" w:hAnsi="Calibri" w:cs="Calibri"/>
          <w:b w:val="0"/>
          <w:color w:val="000000" w:themeColor="text1"/>
        </w:rPr>
        <w:t>, rinse once with 2 mL of fresh planarian water, then remove the rinse solution.</w:t>
      </w:r>
    </w:p>
    <w:p w14:paraId="7BA1ADDF" w14:textId="53FC44E8" w:rsidR="005200AB" w:rsidRPr="004A6EF9" w:rsidRDefault="005200AB" w:rsidP="005200AB">
      <w:pPr>
        <w:pStyle w:val="Heading3"/>
        <w:ind w:left="0" w:firstLine="0"/>
        <w:contextualSpacing/>
        <w:rPr>
          <w:rFonts w:ascii="Calibri" w:hAnsi="Calibri" w:cs="Calibri"/>
          <w:b w:val="0"/>
          <w:bCs/>
          <w:color w:val="000000" w:themeColor="text1"/>
        </w:rPr>
      </w:pPr>
    </w:p>
    <w:p w14:paraId="04982F3D"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7.3 Fixation and permeabilization</w:t>
      </w:r>
    </w:p>
    <w:p w14:paraId="073398DB" w14:textId="77777777" w:rsidR="005200AB" w:rsidRPr="004A6EF9" w:rsidRDefault="005200AB" w:rsidP="005200AB">
      <w:pPr>
        <w:rPr>
          <w:bCs/>
        </w:rPr>
      </w:pPr>
    </w:p>
    <w:p w14:paraId="5D58E7F0"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7.3.1 Sacrifice animals in 7.5% N-acetylcysteine (NAC) in 1× PBS for 3 min.</w:t>
      </w:r>
    </w:p>
    <w:p w14:paraId="28342FF7" w14:textId="77777777" w:rsidR="005200AB" w:rsidRPr="004A6EF9" w:rsidRDefault="005200AB" w:rsidP="005200AB">
      <w:pPr>
        <w:rPr>
          <w:bCs/>
        </w:rPr>
      </w:pPr>
    </w:p>
    <w:p w14:paraId="36C6C58B"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 xml:space="preserve">7.3.2 Remove the solution and fix animals in 4% formaldehyde in 0.3% </w:t>
      </w:r>
      <w:proofErr w:type="spellStart"/>
      <w:r w:rsidRPr="004A6EF9">
        <w:rPr>
          <w:rFonts w:ascii="Calibri" w:hAnsi="Calibri" w:cs="Calibri"/>
          <w:b w:val="0"/>
          <w:bCs/>
          <w:color w:val="000000" w:themeColor="text1"/>
        </w:rPr>
        <w:t>PBSTx</w:t>
      </w:r>
      <w:proofErr w:type="spellEnd"/>
      <w:r w:rsidRPr="004A6EF9">
        <w:rPr>
          <w:rFonts w:ascii="Calibri" w:hAnsi="Calibri" w:cs="Calibri"/>
          <w:b w:val="0"/>
          <w:bCs/>
          <w:color w:val="000000" w:themeColor="text1"/>
        </w:rPr>
        <w:t xml:space="preserve"> for 15 min.</w:t>
      </w:r>
    </w:p>
    <w:p w14:paraId="17E713C3" w14:textId="77777777" w:rsidR="005200AB" w:rsidRPr="004A6EF9" w:rsidRDefault="005200AB" w:rsidP="005200AB">
      <w:pPr>
        <w:rPr>
          <w:bCs/>
        </w:rPr>
      </w:pPr>
    </w:p>
    <w:p w14:paraId="029539CB"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7.3.3 Rinse samples two times with 1× PBS.</w:t>
      </w:r>
    </w:p>
    <w:p w14:paraId="2A7B0CBC" w14:textId="77777777" w:rsidR="005200AB" w:rsidRPr="004A6EF9" w:rsidRDefault="005200AB" w:rsidP="005200AB">
      <w:pPr>
        <w:rPr>
          <w:bCs/>
        </w:rPr>
      </w:pPr>
    </w:p>
    <w:p w14:paraId="31D6E17C"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7.3.4 Permeabilize samples in 1% SDS for 15 min.</w:t>
      </w:r>
    </w:p>
    <w:p w14:paraId="188805A0" w14:textId="77777777" w:rsidR="005200AB" w:rsidRPr="004A6EF9" w:rsidRDefault="005200AB" w:rsidP="005200AB">
      <w:pPr>
        <w:rPr>
          <w:bCs/>
        </w:rPr>
      </w:pPr>
    </w:p>
    <w:p w14:paraId="1B95297E" w14:textId="77777777" w:rsidR="005200AB" w:rsidRPr="004A6EF9"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7.3.5 Rinse samples three times with 1× PBS.</w:t>
      </w:r>
    </w:p>
    <w:p w14:paraId="44659047" w14:textId="741AB383" w:rsidR="005200AB" w:rsidRPr="004A6EF9" w:rsidRDefault="005200AB" w:rsidP="005200AB">
      <w:pPr>
        <w:pStyle w:val="Heading3"/>
        <w:ind w:left="0" w:firstLine="0"/>
        <w:contextualSpacing/>
        <w:rPr>
          <w:rFonts w:ascii="Calibri" w:hAnsi="Calibri" w:cs="Calibri"/>
          <w:b w:val="0"/>
          <w:bCs/>
          <w:color w:val="000000" w:themeColor="text1"/>
        </w:rPr>
      </w:pPr>
    </w:p>
    <w:p w14:paraId="075CD4E7"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7.4 Bleaching</w:t>
      </w:r>
    </w:p>
    <w:p w14:paraId="250EDBA6" w14:textId="77777777" w:rsidR="005200AB" w:rsidRPr="004A6EF9" w:rsidRDefault="005200AB" w:rsidP="005200AB">
      <w:pPr>
        <w:rPr>
          <w:bCs/>
        </w:rPr>
      </w:pPr>
    </w:p>
    <w:p w14:paraId="0F6064FB"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7.4.1 Bleach samples in 6% hydrogen peroxide in 1× PBS under a bright LED light for 4–12 h.</w:t>
      </w:r>
    </w:p>
    <w:p w14:paraId="59F059B6" w14:textId="77777777" w:rsidR="005200AB" w:rsidRPr="004A6EF9" w:rsidRDefault="005200AB" w:rsidP="005200AB">
      <w:pPr>
        <w:rPr>
          <w:bCs/>
        </w:rPr>
      </w:pPr>
    </w:p>
    <w:p w14:paraId="000EBA78" w14:textId="3B7AB03F" w:rsidR="005200AB" w:rsidRPr="004A6EF9"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lastRenderedPageBreak/>
        <w:t>NOTE: If bleaching cannot proceed immediately, store fixed samples in 1× PBS at 4 °C for up to 1 week or dehydrate samples in 100% methanol for long-term storage.</w:t>
      </w:r>
    </w:p>
    <w:p w14:paraId="5014336F" w14:textId="4394BE70" w:rsidR="005200AB" w:rsidRPr="004A6EF9" w:rsidRDefault="005200AB" w:rsidP="005200AB">
      <w:pPr>
        <w:pStyle w:val="Heading3"/>
        <w:ind w:left="0" w:firstLine="0"/>
        <w:contextualSpacing/>
        <w:rPr>
          <w:rFonts w:ascii="Calibri" w:hAnsi="Calibri" w:cs="Calibri"/>
          <w:b w:val="0"/>
          <w:bCs/>
          <w:color w:val="000000" w:themeColor="text1"/>
        </w:rPr>
      </w:pPr>
    </w:p>
    <w:p w14:paraId="3205F8C0"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7.5 Blocking and antibody incubation</w:t>
      </w:r>
    </w:p>
    <w:p w14:paraId="21B6DA9D" w14:textId="77777777" w:rsidR="005200AB" w:rsidRPr="004A6EF9" w:rsidRDefault="005200AB" w:rsidP="005200AB">
      <w:pPr>
        <w:rPr>
          <w:bCs/>
        </w:rPr>
      </w:pPr>
    </w:p>
    <w:p w14:paraId="2A24B38B"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7.5.1 Transfer animals to 24-well plates containing 1× PBS.</w:t>
      </w:r>
    </w:p>
    <w:p w14:paraId="0A66A03E" w14:textId="77777777" w:rsidR="005200AB" w:rsidRPr="004A6EF9" w:rsidRDefault="005200AB" w:rsidP="005200AB">
      <w:pPr>
        <w:rPr>
          <w:bCs/>
        </w:rPr>
      </w:pPr>
    </w:p>
    <w:p w14:paraId="5D08B482"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7.5.2 Block nonspecific binding in 2.5% PBS-TB (PBS containing Triton X-100 and bovine serum albumin) for 4 h at room temperature or 8 h at 4 °C.</w:t>
      </w:r>
    </w:p>
    <w:p w14:paraId="2D29FC1E" w14:textId="77777777" w:rsidR="005200AB" w:rsidRPr="004A6EF9" w:rsidRDefault="005200AB" w:rsidP="005200AB">
      <w:pPr>
        <w:rPr>
          <w:bCs/>
        </w:rPr>
      </w:pPr>
    </w:p>
    <w:p w14:paraId="3201D756"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7.5.3 Incubate samples with primary anti-</w:t>
      </w:r>
      <w:r w:rsidRPr="004A6EF9">
        <w:rPr>
          <w:rFonts w:ascii="Calibri" w:hAnsi="Calibri" w:cs="Calibri"/>
          <w:b w:val="0"/>
          <w:bCs/>
          <w:i/>
          <w:iCs/>
          <w:color w:val="000000" w:themeColor="text1"/>
        </w:rPr>
        <w:t>Candida</w:t>
      </w:r>
      <w:r w:rsidRPr="004A6EF9">
        <w:rPr>
          <w:rFonts w:ascii="Calibri" w:hAnsi="Calibri" w:cs="Calibri"/>
          <w:b w:val="0"/>
          <w:bCs/>
          <w:color w:val="000000" w:themeColor="text1"/>
        </w:rPr>
        <w:t xml:space="preserve"> antibody (1:500 in PBS-TB) for 4 h at room temperature or 8 h at 4 °C.</w:t>
      </w:r>
    </w:p>
    <w:p w14:paraId="67B0448A" w14:textId="77777777" w:rsidR="005200AB" w:rsidRPr="004A6EF9" w:rsidRDefault="005200AB" w:rsidP="005200AB">
      <w:pPr>
        <w:rPr>
          <w:bCs/>
        </w:rPr>
      </w:pPr>
    </w:p>
    <w:p w14:paraId="0BAEDE9A"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 xml:space="preserve">7.5.4 Remove primary antibody and wash samples eight times every 20 min with 0.3% </w:t>
      </w:r>
      <w:proofErr w:type="spellStart"/>
      <w:r w:rsidRPr="004A6EF9">
        <w:rPr>
          <w:rFonts w:ascii="Calibri" w:hAnsi="Calibri" w:cs="Calibri"/>
          <w:b w:val="0"/>
          <w:bCs/>
          <w:color w:val="000000" w:themeColor="text1"/>
        </w:rPr>
        <w:t>PBSTx</w:t>
      </w:r>
      <w:proofErr w:type="spellEnd"/>
      <w:r w:rsidRPr="004A6EF9">
        <w:rPr>
          <w:rFonts w:ascii="Calibri" w:hAnsi="Calibri" w:cs="Calibri"/>
          <w:b w:val="0"/>
          <w:bCs/>
          <w:color w:val="000000" w:themeColor="text1"/>
        </w:rPr>
        <w:t xml:space="preserve"> (total ~2.5 h).</w:t>
      </w:r>
    </w:p>
    <w:p w14:paraId="54E7BD7A" w14:textId="77777777" w:rsidR="005200AB" w:rsidRPr="004A6EF9" w:rsidRDefault="005200AB" w:rsidP="005200AB">
      <w:pPr>
        <w:rPr>
          <w:bCs/>
        </w:rPr>
      </w:pPr>
    </w:p>
    <w:p w14:paraId="4E9E840D"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7.5.5 Incubate samples with Alexa-568-conjugated anti-rabbit secondary antibody (1:800 in PBS-TB) for 4 h at room temperature or 8 h at 4 °C.</w:t>
      </w:r>
    </w:p>
    <w:p w14:paraId="068FF6F5" w14:textId="77777777" w:rsidR="005200AB" w:rsidRPr="004A6EF9" w:rsidRDefault="005200AB" w:rsidP="005200AB">
      <w:pPr>
        <w:rPr>
          <w:bCs/>
        </w:rPr>
      </w:pPr>
    </w:p>
    <w:p w14:paraId="323CB2DA" w14:textId="763F9C90"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NOTE: Protect samples from light to prevent photobleaching. Antibody solutions may be reused.</w:t>
      </w:r>
    </w:p>
    <w:p w14:paraId="2BB71262" w14:textId="77777777" w:rsidR="005200AB" w:rsidRPr="004A6EF9" w:rsidRDefault="005200AB" w:rsidP="005200AB">
      <w:pPr>
        <w:rPr>
          <w:bCs/>
        </w:rPr>
      </w:pPr>
    </w:p>
    <w:p w14:paraId="5DA61DA6" w14:textId="6BCF6EC2"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7.5.</w:t>
      </w:r>
      <w:r>
        <w:rPr>
          <w:rFonts w:ascii="Calibri" w:hAnsi="Calibri" w:cs="Calibri"/>
          <w:b w:val="0"/>
          <w:bCs/>
          <w:color w:val="000000" w:themeColor="text1"/>
        </w:rPr>
        <w:t>6</w:t>
      </w:r>
      <w:r w:rsidRPr="004A6EF9">
        <w:rPr>
          <w:rFonts w:ascii="Calibri" w:hAnsi="Calibri" w:cs="Calibri"/>
          <w:b w:val="0"/>
          <w:bCs/>
          <w:color w:val="000000" w:themeColor="text1"/>
        </w:rPr>
        <w:t xml:space="preserve"> Remove secondary antibody and wash samples eight times every 20 min with 0.3% </w:t>
      </w:r>
      <w:proofErr w:type="spellStart"/>
      <w:r w:rsidRPr="004A6EF9">
        <w:rPr>
          <w:rFonts w:ascii="Calibri" w:hAnsi="Calibri" w:cs="Calibri"/>
          <w:b w:val="0"/>
          <w:bCs/>
          <w:color w:val="000000" w:themeColor="text1"/>
        </w:rPr>
        <w:t>PBSTx</w:t>
      </w:r>
      <w:proofErr w:type="spellEnd"/>
      <w:r w:rsidRPr="004A6EF9">
        <w:rPr>
          <w:rFonts w:ascii="Calibri" w:hAnsi="Calibri" w:cs="Calibri"/>
          <w:b w:val="0"/>
          <w:bCs/>
          <w:color w:val="000000" w:themeColor="text1"/>
        </w:rPr>
        <w:t>.</w:t>
      </w:r>
    </w:p>
    <w:p w14:paraId="48CC5BF2" w14:textId="5EAA7887" w:rsidR="005200AB" w:rsidRPr="004A6EF9" w:rsidRDefault="005200AB" w:rsidP="005200AB">
      <w:pPr>
        <w:pStyle w:val="Heading3"/>
        <w:ind w:left="0" w:firstLine="0"/>
        <w:contextualSpacing/>
        <w:rPr>
          <w:rFonts w:ascii="Calibri" w:hAnsi="Calibri" w:cs="Calibri"/>
          <w:b w:val="0"/>
          <w:bCs/>
          <w:color w:val="000000" w:themeColor="text1"/>
        </w:rPr>
      </w:pPr>
    </w:p>
    <w:p w14:paraId="62F0294E"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7.6 Optional slide mounting</w:t>
      </w:r>
    </w:p>
    <w:p w14:paraId="777BD490" w14:textId="77777777" w:rsidR="005200AB" w:rsidRPr="004A6EF9" w:rsidRDefault="005200AB" w:rsidP="005200AB">
      <w:pPr>
        <w:rPr>
          <w:bCs/>
        </w:rPr>
      </w:pPr>
    </w:p>
    <w:p w14:paraId="326D7FBC"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7.6.1 Place animals onto a microscope slide with all animals oriented anterior side up.</w:t>
      </w:r>
    </w:p>
    <w:p w14:paraId="2278773A" w14:textId="77777777" w:rsidR="005200AB" w:rsidRPr="004A6EF9" w:rsidRDefault="005200AB" w:rsidP="005200AB">
      <w:pPr>
        <w:rPr>
          <w:bCs/>
        </w:rPr>
      </w:pPr>
    </w:p>
    <w:p w14:paraId="2DCA2671"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7.6.2 Remove excess water using a transfer pipette.</w:t>
      </w:r>
    </w:p>
    <w:p w14:paraId="3FCFEF7E" w14:textId="77777777" w:rsidR="005200AB" w:rsidRPr="004A6EF9" w:rsidRDefault="005200AB" w:rsidP="005200AB">
      <w:pPr>
        <w:rPr>
          <w:bCs/>
        </w:rPr>
      </w:pPr>
    </w:p>
    <w:p w14:paraId="3F317A0B"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7.6.3 Carefully absorb remaining liquid from the edges using the edge of a paper towel.</w:t>
      </w:r>
    </w:p>
    <w:p w14:paraId="494D2BF8" w14:textId="77777777" w:rsidR="005200AB" w:rsidRPr="004A6EF9" w:rsidRDefault="005200AB" w:rsidP="005200AB">
      <w:pPr>
        <w:rPr>
          <w:bCs/>
        </w:rPr>
      </w:pPr>
    </w:p>
    <w:p w14:paraId="6823CC4A" w14:textId="0A10AB9E"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 xml:space="preserve">7.6.4 Add 150–175 µL of </w:t>
      </w:r>
      <w:proofErr w:type="spellStart"/>
      <w:r w:rsidRPr="004A6EF9">
        <w:rPr>
          <w:rFonts w:ascii="Calibri" w:hAnsi="Calibri" w:cs="Calibri"/>
          <w:b w:val="0"/>
          <w:bCs/>
          <w:color w:val="000000" w:themeColor="text1"/>
        </w:rPr>
        <w:t>Gelvetol</w:t>
      </w:r>
      <w:proofErr w:type="spellEnd"/>
      <w:r w:rsidRPr="004A6EF9">
        <w:rPr>
          <w:rFonts w:ascii="Calibri" w:hAnsi="Calibri" w:cs="Calibri"/>
          <w:b w:val="0"/>
          <w:bCs/>
          <w:color w:val="000000" w:themeColor="text1"/>
        </w:rPr>
        <w:t xml:space="preserve"> mounting </w:t>
      </w:r>
      <w:r w:rsidR="00315CE2">
        <w:rPr>
          <w:rFonts w:ascii="Calibri" w:hAnsi="Calibri" w:cs="Calibri"/>
          <w:b w:val="0"/>
          <w:bCs/>
          <w:color w:val="000000" w:themeColor="text1"/>
        </w:rPr>
        <w:t>medium</w:t>
      </w:r>
      <w:r w:rsidR="00315CE2" w:rsidRPr="004A6EF9">
        <w:rPr>
          <w:rFonts w:ascii="Calibri" w:hAnsi="Calibri" w:cs="Calibri"/>
          <w:b w:val="0"/>
          <w:bCs/>
          <w:color w:val="000000" w:themeColor="text1"/>
        </w:rPr>
        <w:t xml:space="preserve"> </w:t>
      </w:r>
      <w:r w:rsidR="0090602D">
        <w:rPr>
          <w:rFonts w:ascii="Calibri" w:hAnsi="Calibri" w:cs="Calibri"/>
          <w:b w:val="0"/>
          <w:bCs/>
          <w:color w:val="000000" w:themeColor="text1"/>
        </w:rPr>
        <w:t xml:space="preserve">(refer to </w:t>
      </w:r>
      <w:r w:rsidR="0090602D" w:rsidRPr="00C41DEE">
        <w:rPr>
          <w:rFonts w:ascii="Calibri" w:hAnsi="Calibri" w:cs="Calibri"/>
          <w:color w:val="000000" w:themeColor="text1"/>
        </w:rPr>
        <w:t>Table 2</w:t>
      </w:r>
      <w:r w:rsidR="0090602D">
        <w:rPr>
          <w:rFonts w:ascii="Calibri" w:hAnsi="Calibri" w:cs="Calibri"/>
          <w:b w:val="0"/>
          <w:bCs/>
          <w:color w:val="000000" w:themeColor="text1"/>
        </w:rPr>
        <w:t xml:space="preserve"> for composition) </w:t>
      </w:r>
      <w:r w:rsidRPr="004A6EF9">
        <w:rPr>
          <w:rFonts w:ascii="Calibri" w:hAnsi="Calibri" w:cs="Calibri"/>
          <w:b w:val="0"/>
          <w:bCs/>
          <w:color w:val="000000" w:themeColor="text1"/>
        </w:rPr>
        <w:t>dropwise until animals are fully covered.</w:t>
      </w:r>
    </w:p>
    <w:p w14:paraId="49B952C9" w14:textId="77777777" w:rsidR="005200AB" w:rsidRPr="004A6EF9" w:rsidRDefault="005200AB" w:rsidP="005200AB">
      <w:pPr>
        <w:rPr>
          <w:bCs/>
        </w:rPr>
      </w:pPr>
    </w:p>
    <w:p w14:paraId="406119FC"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7.6.5 Carefully place a coverslip over the sample, avoiding air bubbles.</w:t>
      </w:r>
    </w:p>
    <w:p w14:paraId="209F0FD4" w14:textId="77777777" w:rsidR="005200AB" w:rsidRPr="004A6EF9" w:rsidRDefault="005200AB" w:rsidP="005200AB">
      <w:pPr>
        <w:rPr>
          <w:bCs/>
        </w:rPr>
      </w:pPr>
    </w:p>
    <w:p w14:paraId="682EAFFC"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 xml:space="preserve">7.6.6 Allow </w:t>
      </w:r>
      <w:proofErr w:type="spellStart"/>
      <w:r w:rsidRPr="004A6EF9">
        <w:rPr>
          <w:rFonts w:ascii="Calibri" w:hAnsi="Calibri" w:cs="Calibri"/>
          <w:b w:val="0"/>
          <w:bCs/>
          <w:color w:val="000000" w:themeColor="text1"/>
        </w:rPr>
        <w:t>Gelvetol</w:t>
      </w:r>
      <w:proofErr w:type="spellEnd"/>
      <w:r w:rsidRPr="004A6EF9">
        <w:rPr>
          <w:rFonts w:ascii="Calibri" w:hAnsi="Calibri" w:cs="Calibri"/>
          <w:b w:val="0"/>
          <w:bCs/>
          <w:color w:val="000000" w:themeColor="text1"/>
        </w:rPr>
        <w:t xml:space="preserve"> to solidify for at least 2 h before imaging.</w:t>
      </w:r>
    </w:p>
    <w:p w14:paraId="06D521B8" w14:textId="77777777" w:rsidR="005200AB" w:rsidRPr="004A6EF9" w:rsidRDefault="005200AB" w:rsidP="005200AB">
      <w:pPr>
        <w:rPr>
          <w:bCs/>
        </w:rPr>
      </w:pPr>
    </w:p>
    <w:p w14:paraId="622255C6"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7.6.7 Store slides in a cool, dark location for long-term preservation.</w:t>
      </w:r>
    </w:p>
    <w:p w14:paraId="5A41771A" w14:textId="272B43DE" w:rsidR="005200AB" w:rsidRPr="004A6EF9" w:rsidRDefault="005200AB" w:rsidP="005200AB">
      <w:pPr>
        <w:pStyle w:val="Heading3"/>
        <w:ind w:left="0" w:firstLine="0"/>
        <w:contextualSpacing/>
        <w:rPr>
          <w:rFonts w:ascii="Calibri" w:hAnsi="Calibri" w:cs="Calibri"/>
          <w:b w:val="0"/>
          <w:bCs/>
          <w:color w:val="000000" w:themeColor="text1"/>
        </w:rPr>
      </w:pPr>
    </w:p>
    <w:p w14:paraId="1C83090C"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7.7 Imaging</w:t>
      </w:r>
    </w:p>
    <w:p w14:paraId="7520DA50" w14:textId="77777777" w:rsidR="005200AB" w:rsidRPr="004A6EF9" w:rsidRDefault="005200AB" w:rsidP="005200AB">
      <w:pPr>
        <w:rPr>
          <w:bCs/>
        </w:rPr>
      </w:pPr>
    </w:p>
    <w:p w14:paraId="69FEDAB6" w14:textId="77777777" w:rsidR="005200AB" w:rsidRPr="005200AB"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t>7.7.1 Image samples using yellow-green excitation (~578 nm) and observe orange-red emission (~603 nm).</w:t>
      </w:r>
    </w:p>
    <w:p w14:paraId="54BF3309" w14:textId="77777777" w:rsidR="005200AB" w:rsidRPr="004A6EF9" w:rsidRDefault="005200AB" w:rsidP="005200AB">
      <w:pPr>
        <w:rPr>
          <w:bCs/>
        </w:rPr>
      </w:pPr>
    </w:p>
    <w:p w14:paraId="711971A6" w14:textId="7789A5BA" w:rsidR="005200AB" w:rsidRPr="004A6EF9" w:rsidRDefault="005200AB" w:rsidP="005200AB">
      <w:pPr>
        <w:pStyle w:val="Heading3"/>
        <w:spacing w:before="0"/>
        <w:ind w:left="0" w:firstLine="0"/>
        <w:contextualSpacing/>
        <w:rPr>
          <w:rFonts w:ascii="Calibri" w:hAnsi="Calibri" w:cs="Calibri"/>
          <w:b w:val="0"/>
          <w:bCs/>
          <w:color w:val="000000" w:themeColor="text1"/>
        </w:rPr>
      </w:pPr>
      <w:r w:rsidRPr="004A6EF9">
        <w:rPr>
          <w:rFonts w:ascii="Calibri" w:hAnsi="Calibri" w:cs="Calibri"/>
          <w:b w:val="0"/>
          <w:bCs/>
          <w:color w:val="000000" w:themeColor="text1"/>
        </w:rPr>
        <w:lastRenderedPageBreak/>
        <w:t>7.7.2 Use a 2</w:t>
      </w:r>
      <w:r>
        <w:rPr>
          <w:rFonts w:ascii="Calibri" w:hAnsi="Calibri" w:cs="Calibri"/>
          <w:b w:val="0"/>
          <w:bCs/>
          <w:color w:val="000000" w:themeColor="text1"/>
        </w:rPr>
        <w:t>x</w:t>
      </w:r>
      <w:r w:rsidRPr="004A6EF9">
        <w:rPr>
          <w:rFonts w:ascii="Calibri" w:hAnsi="Calibri" w:cs="Calibri"/>
          <w:b w:val="0"/>
          <w:bCs/>
          <w:color w:val="000000" w:themeColor="text1"/>
        </w:rPr>
        <w:t xml:space="preserve"> objective lens to visualize whole-animal staining patterns.</w:t>
      </w:r>
    </w:p>
    <w:p w14:paraId="61A835FD" w14:textId="020AA832" w:rsidR="004A6EF9" w:rsidRPr="004A6EF9" w:rsidRDefault="004A6EF9" w:rsidP="004A6EF9">
      <w:pPr>
        <w:pStyle w:val="Heading3"/>
        <w:ind w:left="0" w:firstLine="0"/>
        <w:contextualSpacing/>
        <w:rPr>
          <w:rFonts w:ascii="Calibri" w:hAnsi="Calibri" w:cs="Calibri"/>
          <w:color w:val="000000" w:themeColor="text1"/>
        </w:rPr>
      </w:pPr>
    </w:p>
    <w:p w14:paraId="0D2C2486" w14:textId="77777777" w:rsidR="004A6EF9" w:rsidRDefault="004A6EF9" w:rsidP="004A6EF9">
      <w:pPr>
        <w:pStyle w:val="Heading3"/>
        <w:spacing w:before="0"/>
        <w:ind w:left="0" w:firstLine="0"/>
        <w:contextualSpacing/>
        <w:rPr>
          <w:rFonts w:ascii="Calibri" w:hAnsi="Calibri" w:cs="Calibri"/>
          <w:bCs/>
          <w:color w:val="000000" w:themeColor="text1"/>
        </w:rPr>
      </w:pPr>
      <w:r w:rsidRPr="004A6EF9">
        <w:rPr>
          <w:rFonts w:ascii="Calibri" w:hAnsi="Calibri" w:cs="Calibri"/>
          <w:bCs/>
          <w:color w:val="000000" w:themeColor="text1"/>
        </w:rPr>
        <w:t>8. Troubleshooting</w:t>
      </w:r>
    </w:p>
    <w:p w14:paraId="00688167" w14:textId="77777777" w:rsidR="005200AB" w:rsidRPr="004A6EF9" w:rsidRDefault="005200AB" w:rsidP="005200AB"/>
    <w:p w14:paraId="7181D496" w14:textId="00DCE8FF" w:rsidR="004A6EF9" w:rsidRPr="005200AB" w:rsidRDefault="004A6EF9" w:rsidP="004A6EF9">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8.1 If infection outcomes are inconsistent, perform a dose-titration curve using wildtype SN250 or another baseline strain in increments of 5–10 × 10⁷ cells/mL.</w:t>
      </w:r>
    </w:p>
    <w:p w14:paraId="2F08F9EB" w14:textId="77777777" w:rsidR="005200AB" w:rsidRPr="004A6EF9" w:rsidRDefault="005200AB" w:rsidP="005200AB"/>
    <w:p w14:paraId="1CC56944" w14:textId="77777777" w:rsidR="004A6EF9" w:rsidRPr="005200AB" w:rsidRDefault="004A6EF9" w:rsidP="004A6EF9">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8.2 Perform at least three biological replicates containing 5–10 animals per group.</w:t>
      </w:r>
    </w:p>
    <w:p w14:paraId="46C722C9" w14:textId="77777777" w:rsidR="005200AB" w:rsidRPr="004A6EF9" w:rsidRDefault="005200AB" w:rsidP="005200AB"/>
    <w:p w14:paraId="5C642966" w14:textId="77777777" w:rsidR="004A6EF9" w:rsidRPr="005200AB" w:rsidRDefault="004A6EF9" w:rsidP="004A6EF9">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8.3 Include negative and positive control groups to identify potential issues such as cross-contamination, aseptic technique failure, strain viability problems, or poor baseline animal health.</w:t>
      </w:r>
    </w:p>
    <w:p w14:paraId="02D2A8F0" w14:textId="77777777" w:rsidR="005200AB" w:rsidRPr="004A6EF9" w:rsidRDefault="005200AB" w:rsidP="005200AB"/>
    <w:p w14:paraId="099503C7" w14:textId="77777777" w:rsidR="004A6EF9" w:rsidRPr="005200AB" w:rsidRDefault="004A6EF9" w:rsidP="004A6EF9">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8.4 After completing the dose-titration experiment, pool replicates to determine median survival per group.</w:t>
      </w:r>
    </w:p>
    <w:p w14:paraId="76E9C73C" w14:textId="77777777" w:rsidR="005200AB" w:rsidRPr="004A6EF9" w:rsidRDefault="005200AB" w:rsidP="005200AB"/>
    <w:p w14:paraId="34BE94FA" w14:textId="77777777" w:rsidR="004A6EF9" w:rsidRPr="005200AB" w:rsidRDefault="004A6EF9" w:rsidP="004A6EF9">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8.5 Analyze survival differences using Mantel–Cox log-rank pairwise analysis.</w:t>
      </w:r>
    </w:p>
    <w:p w14:paraId="20E7C3FC" w14:textId="77777777" w:rsidR="005200AB" w:rsidRPr="004A6EF9" w:rsidRDefault="005200AB" w:rsidP="005200AB"/>
    <w:p w14:paraId="0E6610B1" w14:textId="77777777" w:rsidR="004A6EF9" w:rsidRPr="005200AB" w:rsidRDefault="004A6EF9" w:rsidP="004A6EF9">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8.6 Use Kaplan–Meier survival analysis to evaluate time-to-death differences between strains or treatments.</w:t>
      </w:r>
    </w:p>
    <w:p w14:paraId="1A29C266" w14:textId="77777777" w:rsidR="005200AB" w:rsidRPr="004A6EF9" w:rsidRDefault="005200AB" w:rsidP="005200AB"/>
    <w:p w14:paraId="7C9B0FEB" w14:textId="77777777" w:rsidR="004A6EF9" w:rsidRPr="005200AB" w:rsidRDefault="004A6EF9" w:rsidP="004A6EF9">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8.7 For sublethal or infectious dose conditions, analyze symptomatic host outcomes (e.g., mild or severe phenotypes or fungal colonization) instead of survival.</w:t>
      </w:r>
    </w:p>
    <w:p w14:paraId="5A2D56C8" w14:textId="77777777" w:rsidR="005200AB" w:rsidRPr="004A6EF9" w:rsidRDefault="005200AB" w:rsidP="005200AB"/>
    <w:p w14:paraId="63BE9E5C" w14:textId="77777777" w:rsidR="004A6EF9" w:rsidRPr="004A6EF9" w:rsidRDefault="004A6EF9" w:rsidP="004A6EF9">
      <w:pPr>
        <w:pStyle w:val="Heading3"/>
        <w:spacing w:before="0"/>
        <w:ind w:left="0" w:firstLine="0"/>
        <w:contextualSpacing/>
        <w:rPr>
          <w:rFonts w:ascii="Calibri" w:hAnsi="Calibri" w:cs="Calibri"/>
          <w:b w:val="0"/>
          <w:color w:val="000000" w:themeColor="text1"/>
        </w:rPr>
      </w:pPr>
      <w:r w:rsidRPr="004A6EF9">
        <w:rPr>
          <w:rFonts w:ascii="Calibri" w:hAnsi="Calibri" w:cs="Calibri"/>
          <w:b w:val="0"/>
          <w:color w:val="000000" w:themeColor="text1"/>
        </w:rPr>
        <w:t>8.8 Compare host responses across dose groups to determine the appropriate infectious or lethal dose range for subsequent experiments.</w:t>
      </w:r>
    </w:p>
    <w:p w14:paraId="499F1F5D" w14:textId="0B1A6630" w:rsidR="004A6EF9" w:rsidRPr="00644AF5" w:rsidRDefault="004A6EF9" w:rsidP="004A6EF9">
      <w:pPr>
        <w:pStyle w:val="Heading3"/>
        <w:spacing w:before="0"/>
        <w:ind w:left="0" w:firstLine="0"/>
        <w:contextualSpacing/>
        <w:rPr>
          <w:rFonts w:ascii="Calibri" w:hAnsi="Calibri" w:cs="Calibri"/>
          <w:b w:val="0"/>
          <w:bCs/>
          <w:color w:val="000000" w:themeColor="text1"/>
        </w:rPr>
      </w:pPr>
    </w:p>
    <w:p w14:paraId="788315FD" w14:textId="77777777" w:rsidR="004A6EF9" w:rsidRPr="00644AF5" w:rsidRDefault="004A6EF9" w:rsidP="004A6EF9">
      <w:pPr>
        <w:pBdr>
          <w:top w:val="nil"/>
          <w:left w:val="nil"/>
          <w:bottom w:val="nil"/>
          <w:right w:val="nil"/>
          <w:between w:val="nil"/>
        </w:pBdr>
        <w:ind w:left="0" w:firstLine="0"/>
        <w:contextualSpacing/>
        <w:rPr>
          <w:rFonts w:ascii="Calibri" w:hAnsi="Calibri" w:cs="Calibri"/>
          <w:b/>
          <w:bCs/>
          <w:color w:val="000000" w:themeColor="text1"/>
        </w:rPr>
      </w:pPr>
      <w:r w:rsidRPr="00644AF5">
        <w:rPr>
          <w:rFonts w:ascii="Calibri" w:hAnsi="Calibri" w:cs="Calibri"/>
          <w:b/>
          <w:bCs/>
          <w:color w:val="000000" w:themeColor="text1"/>
        </w:rPr>
        <w:t xml:space="preserve">REPRESENTATIVE RESULTS:  </w:t>
      </w:r>
    </w:p>
    <w:p w14:paraId="57EF77A1" w14:textId="3968C90F" w:rsidR="004A6EF9" w:rsidRPr="00644AF5" w:rsidRDefault="00B946B4" w:rsidP="00B946B4">
      <w:pPr>
        <w:ind w:left="0" w:firstLine="0"/>
        <w:contextualSpacing/>
        <w:jc w:val="both"/>
        <w:rPr>
          <w:rFonts w:ascii="Calibri" w:hAnsi="Calibri" w:cs="Calibri"/>
          <w:color w:val="000000" w:themeColor="text1"/>
        </w:rPr>
      </w:pPr>
      <w:r w:rsidRPr="00B946B4">
        <w:rPr>
          <w:rFonts w:ascii="Calibri" w:hAnsi="Calibri" w:cs="Calibri"/>
          <w:color w:val="000000" w:themeColor="text1"/>
        </w:rPr>
        <w:t xml:space="preserve">An updated protocol for infecting planarians with </w:t>
      </w:r>
      <w:r w:rsidRPr="00B946B4">
        <w:rPr>
          <w:rFonts w:ascii="Calibri" w:hAnsi="Calibri" w:cs="Calibri"/>
          <w:i/>
          <w:iCs/>
          <w:color w:val="000000" w:themeColor="text1"/>
        </w:rPr>
        <w:t>C. albicans</w:t>
      </w:r>
      <w:r w:rsidRPr="00B946B4">
        <w:rPr>
          <w:rFonts w:ascii="Calibri" w:hAnsi="Calibri" w:cs="Calibri"/>
          <w:color w:val="000000" w:themeColor="text1"/>
        </w:rPr>
        <w:t xml:space="preserve"> (</w:t>
      </w:r>
      <w:r w:rsidRPr="00B946B4">
        <w:rPr>
          <w:rFonts w:ascii="Calibri" w:hAnsi="Calibri" w:cs="Calibri"/>
          <w:b/>
          <w:bCs/>
          <w:color w:val="000000" w:themeColor="text1"/>
        </w:rPr>
        <w:t>Figure 1</w:t>
      </w:r>
      <w:r w:rsidRPr="00B946B4">
        <w:rPr>
          <w:rFonts w:ascii="Calibri" w:hAnsi="Calibri" w:cs="Calibri"/>
          <w:color w:val="000000" w:themeColor="text1"/>
        </w:rPr>
        <w:t>) and systematically quantifying host outcomes (</w:t>
      </w:r>
      <w:r w:rsidRPr="00B946B4">
        <w:rPr>
          <w:rFonts w:ascii="Calibri" w:hAnsi="Calibri" w:cs="Calibri"/>
          <w:b/>
          <w:bCs/>
          <w:color w:val="000000" w:themeColor="text1"/>
        </w:rPr>
        <w:t>Figure 2</w:t>
      </w:r>
      <w:r w:rsidRPr="00B946B4">
        <w:rPr>
          <w:rFonts w:ascii="Calibri" w:hAnsi="Calibri" w:cs="Calibri"/>
          <w:color w:val="000000" w:themeColor="text1"/>
        </w:rPr>
        <w:t>) is presented.</w:t>
      </w:r>
      <w:r w:rsidR="004A6EF9" w:rsidRPr="00644AF5">
        <w:rPr>
          <w:rFonts w:ascii="Calibri" w:hAnsi="Calibri" w:cs="Calibri"/>
          <w:color w:val="000000" w:themeColor="text1"/>
        </w:rPr>
        <w:t xml:space="preserve"> This refined workflow supports robust assessment of multiple infection parameters, including morbidity (symptomatic disease severity), survival (lethality), fungal burden (CFUs), and spatial-temporal dynamics of pathogen colonization (fluorescence immunostaining). Unlike most invertebrate infection models</w:t>
      </w:r>
      <w:r>
        <w:rPr>
          <w:rFonts w:ascii="Calibri" w:hAnsi="Calibri" w:cs="Calibri"/>
          <w:color w:val="000000" w:themeColor="text1"/>
        </w:rPr>
        <w:t>, which primarily provide binary live/dead readouts, this planarian model captures a broader</w:t>
      </w:r>
      <w:r w:rsidR="004A6EF9" w:rsidRPr="00644AF5">
        <w:rPr>
          <w:rFonts w:ascii="Calibri" w:hAnsi="Calibri" w:cs="Calibri"/>
          <w:color w:val="000000" w:themeColor="text1"/>
        </w:rPr>
        <w:t xml:space="preserve"> spectrum of infection outcomes and host responses. Planarians can be used for a variety of microbial challenge endpoints</w:t>
      </w:r>
      <w:r>
        <w:rPr>
          <w:rFonts w:ascii="Calibri" w:hAnsi="Calibri" w:cs="Calibri"/>
          <w:color w:val="000000" w:themeColor="text1"/>
        </w:rPr>
        <w:t>, such as sublethal infection leading to symptomatic disease progression</w:t>
      </w:r>
      <w:r w:rsidR="004A6EF9" w:rsidRPr="00644AF5">
        <w:rPr>
          <w:rFonts w:ascii="Calibri" w:hAnsi="Calibri" w:cs="Calibri"/>
          <w:color w:val="000000" w:themeColor="text1"/>
        </w:rPr>
        <w:t xml:space="preserve"> and subsequent recovery. They can also be used for survival studies, including lethal dose inoculation. Together</w:t>
      </w:r>
      <w:r>
        <w:rPr>
          <w:rFonts w:ascii="Calibri" w:hAnsi="Calibri" w:cs="Calibri"/>
          <w:color w:val="000000" w:themeColor="text1"/>
        </w:rPr>
        <w:t>,</w:t>
      </w:r>
      <w:r w:rsidR="004A6EF9" w:rsidRPr="00644AF5">
        <w:rPr>
          <w:rFonts w:ascii="Calibri" w:hAnsi="Calibri" w:cs="Calibri"/>
          <w:color w:val="000000" w:themeColor="text1"/>
        </w:rPr>
        <w:t xml:space="preserve"> these capabilities highlight </w:t>
      </w:r>
      <w:r>
        <w:rPr>
          <w:rFonts w:ascii="Calibri" w:hAnsi="Calibri" w:cs="Calibri"/>
          <w:color w:val="000000" w:themeColor="text1"/>
        </w:rPr>
        <w:t xml:space="preserve">planarians' versatility </w:t>
      </w:r>
      <w:r w:rsidR="004A6EF9" w:rsidRPr="00644AF5">
        <w:rPr>
          <w:rFonts w:ascii="Calibri" w:hAnsi="Calibri" w:cs="Calibri"/>
          <w:color w:val="000000" w:themeColor="text1"/>
        </w:rPr>
        <w:t>as a flexible platform for investigating host–pathogen interactions across a range of disease outcomes.</w:t>
      </w:r>
    </w:p>
    <w:p w14:paraId="18CD4AE9" w14:textId="77777777" w:rsidR="004A6EF9" w:rsidRPr="00644AF5" w:rsidRDefault="004A6EF9" w:rsidP="00B946B4">
      <w:pPr>
        <w:ind w:left="0" w:firstLine="0"/>
        <w:contextualSpacing/>
        <w:jc w:val="both"/>
        <w:rPr>
          <w:rFonts w:ascii="Calibri" w:hAnsi="Calibri" w:cs="Calibri"/>
          <w:color w:val="000000" w:themeColor="text1"/>
        </w:rPr>
      </w:pPr>
    </w:p>
    <w:p w14:paraId="16BF83F2" w14:textId="5070A971" w:rsidR="004A6EF9" w:rsidRPr="00B946B4" w:rsidRDefault="004A6EF9" w:rsidP="00B946B4">
      <w:pPr>
        <w:ind w:left="0" w:firstLine="0"/>
        <w:contextualSpacing/>
        <w:jc w:val="both"/>
        <w:rPr>
          <w:rFonts w:ascii="Calibri" w:hAnsi="Calibri" w:cs="Calibri"/>
          <w:b/>
          <w:bCs/>
          <w:color w:val="000000" w:themeColor="text1"/>
        </w:rPr>
      </w:pPr>
      <w:r w:rsidRPr="00B946B4">
        <w:rPr>
          <w:rStyle w:val="Strong"/>
          <w:rFonts w:ascii="Calibri" w:hAnsi="Calibri" w:cs="Calibri"/>
          <w:b w:val="0"/>
          <w:bCs w:val="0"/>
          <w:color w:val="000000" w:themeColor="text1"/>
        </w:rPr>
        <w:t>[</w:t>
      </w:r>
      <w:r w:rsidR="00B946B4" w:rsidRPr="00B946B4">
        <w:rPr>
          <w:rStyle w:val="Strong"/>
          <w:rFonts w:ascii="Calibri" w:hAnsi="Calibri" w:cs="Calibri"/>
          <w:b w:val="0"/>
          <w:bCs w:val="0"/>
          <w:color w:val="000000" w:themeColor="text1"/>
        </w:rPr>
        <w:t>Place</w:t>
      </w:r>
      <w:r w:rsidRPr="00B946B4">
        <w:rPr>
          <w:rStyle w:val="Strong"/>
          <w:rFonts w:ascii="Calibri" w:hAnsi="Calibri" w:cs="Calibri"/>
          <w:b w:val="0"/>
          <w:bCs w:val="0"/>
          <w:color w:val="000000" w:themeColor="text1"/>
        </w:rPr>
        <w:t xml:space="preserve"> </w:t>
      </w:r>
      <w:r w:rsidRPr="00B946B4">
        <w:rPr>
          <w:rStyle w:val="Strong"/>
          <w:rFonts w:ascii="Calibri" w:hAnsi="Calibri" w:cs="Calibri"/>
          <w:color w:val="000000" w:themeColor="text1"/>
        </w:rPr>
        <w:t>Figure 1</w:t>
      </w:r>
      <w:r w:rsidRPr="00B946B4">
        <w:rPr>
          <w:rStyle w:val="Strong"/>
          <w:rFonts w:ascii="Calibri" w:hAnsi="Calibri" w:cs="Calibri"/>
          <w:b w:val="0"/>
          <w:bCs w:val="0"/>
          <w:color w:val="000000" w:themeColor="text1"/>
        </w:rPr>
        <w:t xml:space="preserve"> here]</w:t>
      </w:r>
    </w:p>
    <w:p w14:paraId="4C359056" w14:textId="77777777" w:rsidR="004A6EF9" w:rsidRPr="00644AF5" w:rsidRDefault="004A6EF9" w:rsidP="00B946B4">
      <w:pPr>
        <w:ind w:left="0" w:firstLine="0"/>
        <w:contextualSpacing/>
        <w:jc w:val="both"/>
        <w:rPr>
          <w:rFonts w:ascii="Calibri" w:hAnsi="Calibri" w:cs="Calibri"/>
          <w:color w:val="000000" w:themeColor="text1"/>
        </w:rPr>
      </w:pPr>
    </w:p>
    <w:p w14:paraId="3DEF20A3" w14:textId="248D8B87" w:rsidR="004A6EF9" w:rsidRPr="00644AF5" w:rsidRDefault="004A6EF9" w:rsidP="00B946B4">
      <w:pPr>
        <w:ind w:left="0" w:firstLine="0"/>
        <w:contextualSpacing/>
        <w:jc w:val="both"/>
        <w:rPr>
          <w:rFonts w:ascii="Calibri" w:hAnsi="Calibri" w:cs="Calibri"/>
          <w:color w:val="000000" w:themeColor="text1"/>
        </w:rPr>
      </w:pPr>
      <w:r w:rsidRPr="00644AF5">
        <w:rPr>
          <w:rFonts w:ascii="Calibri" w:hAnsi="Calibri" w:cs="Calibri"/>
          <w:color w:val="000000" w:themeColor="text1"/>
        </w:rPr>
        <w:t>Following fungal infection, hosts are classified into one of four outcome categories – asymptomatic, mild disease, severe disease, or death – based on standardized criteria (</w:t>
      </w:r>
      <w:r w:rsidRPr="00644AF5">
        <w:rPr>
          <w:rFonts w:ascii="Calibri" w:hAnsi="Calibri" w:cs="Calibri"/>
          <w:b/>
          <w:bCs/>
          <w:color w:val="000000" w:themeColor="text1"/>
        </w:rPr>
        <w:t xml:space="preserve">Figure </w:t>
      </w:r>
      <w:r w:rsidRPr="00644AF5">
        <w:rPr>
          <w:rFonts w:ascii="Calibri" w:hAnsi="Calibri" w:cs="Calibri"/>
          <w:b/>
          <w:bCs/>
          <w:color w:val="000000" w:themeColor="text1"/>
        </w:rPr>
        <w:lastRenderedPageBreak/>
        <w:t>2A</w:t>
      </w:r>
      <w:r w:rsidRPr="00644AF5">
        <w:rPr>
          <w:rFonts w:ascii="Calibri" w:hAnsi="Calibri" w:cs="Calibri"/>
          <w:color w:val="000000" w:themeColor="text1"/>
        </w:rPr>
        <w:t>). Updated representative phenotypes within each category, including distinct behavioral aberrations after infection (</w:t>
      </w:r>
      <w:r w:rsidRPr="00644AF5">
        <w:rPr>
          <w:rFonts w:ascii="Calibri" w:hAnsi="Calibri" w:cs="Calibri"/>
          <w:b/>
          <w:bCs/>
          <w:color w:val="000000" w:themeColor="text1"/>
        </w:rPr>
        <w:t>Figure 2B</w:t>
      </w:r>
      <w:r w:rsidRPr="00644AF5">
        <w:rPr>
          <w:rFonts w:ascii="Calibri" w:hAnsi="Calibri" w:cs="Calibri"/>
          <w:color w:val="000000" w:themeColor="text1"/>
        </w:rPr>
        <w:t xml:space="preserve">), </w:t>
      </w:r>
      <w:r w:rsidR="00B946B4">
        <w:rPr>
          <w:rFonts w:ascii="Calibri" w:hAnsi="Calibri" w:cs="Calibri"/>
          <w:color w:val="000000" w:themeColor="text1"/>
        </w:rPr>
        <w:t>provide</w:t>
      </w:r>
      <w:r w:rsidRPr="00644AF5">
        <w:rPr>
          <w:rFonts w:ascii="Calibri" w:hAnsi="Calibri" w:cs="Calibri"/>
          <w:color w:val="000000" w:themeColor="text1"/>
        </w:rPr>
        <w:t xml:space="preserve"> reproducible and easily recognizable benchmarks for disease progression. This classification framework balances </w:t>
      </w:r>
      <w:r w:rsidR="00B946B4">
        <w:rPr>
          <w:rFonts w:ascii="Calibri" w:hAnsi="Calibri" w:cs="Calibri"/>
          <w:color w:val="000000" w:themeColor="text1"/>
        </w:rPr>
        <w:t>broad phenotypic capture with consistent,</w:t>
      </w:r>
      <w:r w:rsidRPr="00644AF5">
        <w:rPr>
          <w:rFonts w:ascii="Calibri" w:hAnsi="Calibri" w:cs="Calibri"/>
          <w:color w:val="000000" w:themeColor="text1"/>
        </w:rPr>
        <w:t xml:space="preserve"> quantifiable endpoints.</w:t>
      </w:r>
    </w:p>
    <w:p w14:paraId="19C3EE8D" w14:textId="77777777" w:rsidR="004A6EF9" w:rsidRPr="00644AF5" w:rsidRDefault="004A6EF9" w:rsidP="00B946B4">
      <w:pPr>
        <w:ind w:left="0" w:firstLine="0"/>
        <w:contextualSpacing/>
        <w:jc w:val="both"/>
        <w:rPr>
          <w:rFonts w:ascii="Calibri" w:hAnsi="Calibri" w:cs="Calibri"/>
          <w:color w:val="000000" w:themeColor="text1"/>
        </w:rPr>
      </w:pPr>
    </w:p>
    <w:p w14:paraId="0CA348D4" w14:textId="249118EA" w:rsidR="004A6EF9" w:rsidRPr="00B946B4" w:rsidRDefault="004A6EF9" w:rsidP="00B946B4">
      <w:pPr>
        <w:ind w:left="0" w:firstLine="0"/>
        <w:contextualSpacing/>
        <w:jc w:val="both"/>
        <w:rPr>
          <w:rFonts w:ascii="Calibri" w:hAnsi="Calibri" w:cs="Calibri"/>
          <w:b/>
          <w:bCs/>
          <w:color w:val="000000" w:themeColor="text1"/>
        </w:rPr>
      </w:pPr>
      <w:r w:rsidRPr="00B946B4">
        <w:rPr>
          <w:rStyle w:val="Strong"/>
          <w:rFonts w:ascii="Calibri" w:hAnsi="Calibri" w:cs="Calibri"/>
          <w:b w:val="0"/>
          <w:bCs w:val="0"/>
          <w:color w:val="000000" w:themeColor="text1"/>
        </w:rPr>
        <w:t>[</w:t>
      </w:r>
      <w:r w:rsidR="00B946B4">
        <w:rPr>
          <w:rStyle w:val="Strong"/>
          <w:rFonts w:ascii="Calibri" w:hAnsi="Calibri" w:cs="Calibri"/>
          <w:b w:val="0"/>
          <w:bCs w:val="0"/>
          <w:color w:val="000000" w:themeColor="text1"/>
        </w:rPr>
        <w:t>Place</w:t>
      </w:r>
      <w:r w:rsidRPr="00B946B4">
        <w:rPr>
          <w:rStyle w:val="Strong"/>
          <w:rFonts w:ascii="Calibri" w:hAnsi="Calibri" w:cs="Calibri"/>
          <w:b w:val="0"/>
          <w:bCs w:val="0"/>
          <w:color w:val="000000" w:themeColor="text1"/>
        </w:rPr>
        <w:t xml:space="preserve"> </w:t>
      </w:r>
      <w:r w:rsidRPr="00B946B4">
        <w:rPr>
          <w:rStyle w:val="Strong"/>
          <w:rFonts w:ascii="Calibri" w:hAnsi="Calibri" w:cs="Calibri"/>
          <w:color w:val="000000" w:themeColor="text1"/>
        </w:rPr>
        <w:t>Figure 2</w:t>
      </w:r>
      <w:r w:rsidRPr="00B946B4">
        <w:rPr>
          <w:rStyle w:val="Strong"/>
          <w:rFonts w:ascii="Calibri" w:hAnsi="Calibri" w:cs="Calibri"/>
          <w:b w:val="0"/>
          <w:bCs w:val="0"/>
          <w:color w:val="000000" w:themeColor="text1"/>
        </w:rPr>
        <w:t xml:space="preserve"> here]</w:t>
      </w:r>
    </w:p>
    <w:p w14:paraId="6F2DA9EE" w14:textId="77777777" w:rsidR="004A6EF9" w:rsidRPr="00644AF5" w:rsidRDefault="004A6EF9" w:rsidP="00B946B4">
      <w:pPr>
        <w:ind w:left="0" w:firstLine="0"/>
        <w:contextualSpacing/>
        <w:jc w:val="both"/>
        <w:rPr>
          <w:rFonts w:ascii="Calibri" w:hAnsi="Calibri" w:cs="Calibri"/>
          <w:color w:val="000000" w:themeColor="text1"/>
        </w:rPr>
      </w:pPr>
    </w:p>
    <w:p w14:paraId="45DD0326" w14:textId="293E7209" w:rsidR="004A6EF9" w:rsidRPr="00644AF5" w:rsidRDefault="004A6EF9" w:rsidP="00B946B4">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Complementary assays – global fungal burden, morbidity/mortality scoring, and spatial-temporal imaging – collectively validate infection status and disease severity in a dose-dependent manner. As shown in </w:t>
      </w:r>
      <w:r w:rsidRPr="00644AF5">
        <w:rPr>
          <w:rFonts w:ascii="Calibri" w:hAnsi="Calibri" w:cs="Calibri"/>
          <w:b/>
          <w:bCs/>
          <w:color w:val="000000" w:themeColor="text1"/>
        </w:rPr>
        <w:t>Figure 3</w:t>
      </w:r>
      <w:r w:rsidRPr="00644AF5">
        <w:rPr>
          <w:rFonts w:ascii="Calibri" w:hAnsi="Calibri" w:cs="Calibri"/>
          <w:color w:val="000000" w:themeColor="text1"/>
        </w:rPr>
        <w:t>, fungal epithelial colonization is markedly reduced by 4 dpi, and by 7 dpi, nearly all surface-associated fungi are cleared under ID</w:t>
      </w:r>
      <w:r w:rsidRPr="00644AF5">
        <w:rPr>
          <w:rFonts w:ascii="Calibri" w:hAnsi="Calibri" w:cs="Calibri"/>
          <w:color w:val="000000" w:themeColor="text1"/>
          <w:vertAlign w:val="subscript"/>
        </w:rPr>
        <w:t>50</w:t>
      </w:r>
      <w:r w:rsidRPr="00644AF5">
        <w:rPr>
          <w:rFonts w:ascii="Calibri" w:hAnsi="Calibri" w:cs="Calibri"/>
          <w:color w:val="000000" w:themeColor="text1"/>
        </w:rPr>
        <w:t xml:space="preserve"> conditions. These observations demonstrate the rapid and effective innate immune response mounted by </w:t>
      </w:r>
      <w:r w:rsidRPr="00644AF5">
        <w:rPr>
          <w:rFonts w:ascii="Calibri" w:hAnsi="Calibri" w:cs="Calibri"/>
          <w:i/>
          <w:iCs/>
          <w:color w:val="000000" w:themeColor="text1"/>
        </w:rPr>
        <w:t>S. mediterranea</w:t>
      </w:r>
      <w:r w:rsidR="00B946B4">
        <w:rPr>
          <w:rFonts w:ascii="Calibri" w:hAnsi="Calibri" w:cs="Calibri"/>
          <w:i/>
          <w:iCs/>
          <w:color w:val="000000" w:themeColor="text1"/>
        </w:rPr>
        <w:t>,</w:t>
      </w:r>
      <w:r w:rsidRPr="00644AF5">
        <w:rPr>
          <w:rFonts w:ascii="Calibri" w:hAnsi="Calibri" w:cs="Calibri"/>
          <w:color w:val="000000" w:themeColor="text1"/>
        </w:rPr>
        <w:t xml:space="preserve"> as previously reported</w:t>
      </w:r>
      <w:r w:rsidRPr="00644AF5">
        <w:rPr>
          <w:rFonts w:ascii="Calibri" w:hAnsi="Calibri" w:cs="Calibri"/>
          <w:color w:val="000000" w:themeColor="text1"/>
        </w:rPr>
        <w:fldChar w:fldCharType="begin"/>
      </w:r>
      <w:r w:rsidRPr="00644AF5">
        <w:rPr>
          <w:rFonts w:ascii="Calibri" w:hAnsi="Calibri" w:cs="Calibri"/>
          <w:color w:val="000000" w:themeColor="text1"/>
        </w:rPr>
        <w:instrText xml:space="preserve"> ADDIN ZOTERO_ITEM CSL_CITATION {"citationID":"7Q2Lc59l","properties":{"formattedCitation":"\\super 22\\nosupersub{}","plainCitation":"22","noteIndex":0},"citationItems":[{"id":6,"uris":["http://zotero.org/users/11181870/items/PTDFTGE8"],"itemData":{"id":6,"type":"article-journal","container-title":"Developmental &amp; Comparative Immunology","DOI":"10.1016/j.dci.2018.12.005","ISSN":"0145305X","journalAbbreviation":"Developmental &amp; Comparative Immunology","language":"en","page":"18-27","source":"DOI.org (Crossref)","title":"The planarian Schmidtea mediterranea is a new model to study host-pathogen interactions during fungal infections","URL":"https://linkinghub.elsevier.com/retrieve/pii/S0145305X18304828","volume":"93","author":[{"family":"Maciel","given":"Eli Isael"},{"family":"Jiang","given":"Cen"},{"family":"Barghouth","given":"Paul G."},{"family":"Nobile","given":"Clarissa J."},{"family":"Oviedo","given":"Néstor J."}],"accessed":{"date-parts":[["2024",10,6]]},"issued":{"date-parts":[["2019",4]]}}}],"schema":"https://github.com/citation-style-language/schema/raw/master/csl-citation.json"} </w:instrText>
      </w:r>
      <w:r w:rsidRPr="00644AF5">
        <w:rPr>
          <w:rFonts w:ascii="Calibri" w:hAnsi="Calibri" w:cs="Calibri"/>
          <w:color w:val="000000" w:themeColor="text1"/>
        </w:rPr>
        <w:fldChar w:fldCharType="separate"/>
      </w:r>
      <w:r w:rsidRPr="00644AF5">
        <w:rPr>
          <w:rFonts w:ascii="Calibri" w:eastAsia="Calibri" w:hAnsi="Calibri" w:cs="Calibri"/>
          <w:color w:val="000000" w:themeColor="text1"/>
          <w:vertAlign w:val="superscript"/>
        </w:rPr>
        <w:t>22</w:t>
      </w:r>
      <w:r w:rsidRPr="00644AF5">
        <w:rPr>
          <w:rFonts w:ascii="Calibri" w:hAnsi="Calibri" w:cs="Calibri"/>
          <w:color w:val="000000" w:themeColor="text1"/>
        </w:rPr>
        <w:fldChar w:fldCharType="end"/>
      </w:r>
      <w:r w:rsidRPr="00644AF5">
        <w:rPr>
          <w:rFonts w:ascii="Calibri" w:hAnsi="Calibri" w:cs="Calibri"/>
          <w:color w:val="000000" w:themeColor="text1"/>
        </w:rPr>
        <w:t xml:space="preserve">. </w:t>
      </w:r>
    </w:p>
    <w:p w14:paraId="4ACEB407" w14:textId="77777777" w:rsidR="004A6EF9" w:rsidRPr="00644AF5" w:rsidRDefault="004A6EF9" w:rsidP="00B946B4">
      <w:pPr>
        <w:ind w:left="0" w:firstLine="0"/>
        <w:contextualSpacing/>
        <w:jc w:val="both"/>
        <w:rPr>
          <w:rFonts w:ascii="Calibri" w:hAnsi="Calibri" w:cs="Calibri"/>
          <w:color w:val="000000" w:themeColor="text1"/>
        </w:rPr>
      </w:pPr>
    </w:p>
    <w:p w14:paraId="76DD479B" w14:textId="2E2457F3" w:rsidR="004A6EF9" w:rsidRPr="00B946B4" w:rsidRDefault="00B946B4" w:rsidP="00B946B4">
      <w:pPr>
        <w:ind w:left="0" w:firstLine="0"/>
        <w:contextualSpacing/>
        <w:jc w:val="both"/>
        <w:rPr>
          <w:rFonts w:ascii="Calibri" w:hAnsi="Calibri" w:cs="Calibri"/>
          <w:b/>
          <w:bCs/>
          <w:color w:val="000000" w:themeColor="text1"/>
        </w:rPr>
      </w:pPr>
      <w:r w:rsidRPr="00B946B4">
        <w:rPr>
          <w:rStyle w:val="Strong"/>
          <w:rFonts w:ascii="Calibri" w:hAnsi="Calibri" w:cs="Calibri"/>
          <w:b w:val="0"/>
          <w:bCs w:val="0"/>
          <w:color w:val="000000" w:themeColor="text1"/>
        </w:rPr>
        <w:t xml:space="preserve">[Place </w:t>
      </w:r>
      <w:r w:rsidR="004A6EF9" w:rsidRPr="00B946B4">
        <w:rPr>
          <w:rStyle w:val="Strong"/>
          <w:rFonts w:ascii="Calibri" w:hAnsi="Calibri" w:cs="Calibri"/>
          <w:color w:val="000000" w:themeColor="text1"/>
        </w:rPr>
        <w:t>Figure 3</w:t>
      </w:r>
      <w:r w:rsidR="004A6EF9" w:rsidRPr="00B946B4">
        <w:rPr>
          <w:rStyle w:val="Strong"/>
          <w:rFonts w:ascii="Calibri" w:hAnsi="Calibri" w:cs="Calibri"/>
          <w:b w:val="0"/>
          <w:bCs w:val="0"/>
          <w:color w:val="000000" w:themeColor="text1"/>
        </w:rPr>
        <w:t xml:space="preserve"> here]</w:t>
      </w:r>
    </w:p>
    <w:p w14:paraId="22110810" w14:textId="77777777" w:rsidR="004A6EF9" w:rsidRPr="00644AF5" w:rsidRDefault="004A6EF9" w:rsidP="00B946B4">
      <w:pPr>
        <w:ind w:left="0" w:firstLine="0"/>
        <w:contextualSpacing/>
        <w:jc w:val="both"/>
        <w:rPr>
          <w:rFonts w:ascii="Calibri" w:hAnsi="Calibri" w:cs="Calibri"/>
          <w:color w:val="000000" w:themeColor="text1"/>
        </w:rPr>
      </w:pPr>
    </w:p>
    <w:p w14:paraId="026EFFF2" w14:textId="4B6C3D31" w:rsidR="004A6EF9" w:rsidRPr="00644AF5" w:rsidRDefault="004A6EF9" w:rsidP="00B946B4">
      <w:pPr>
        <w:ind w:left="0" w:firstLine="0"/>
        <w:contextualSpacing/>
        <w:jc w:val="both"/>
        <w:rPr>
          <w:rFonts w:ascii="Calibri" w:hAnsi="Calibri" w:cs="Calibri"/>
          <w:i/>
          <w:iCs/>
          <w:color w:val="000000" w:themeColor="text1"/>
        </w:rPr>
      </w:pPr>
      <w:r w:rsidRPr="00644AF5">
        <w:rPr>
          <w:rFonts w:ascii="Calibri" w:hAnsi="Calibri" w:cs="Calibri"/>
          <w:color w:val="000000" w:themeColor="text1"/>
        </w:rPr>
        <w:t xml:space="preserve">In </w:t>
      </w:r>
      <w:r w:rsidRPr="00644AF5">
        <w:rPr>
          <w:rFonts w:ascii="Calibri" w:hAnsi="Calibri" w:cs="Calibri"/>
          <w:b/>
          <w:bCs/>
          <w:color w:val="000000" w:themeColor="text1"/>
        </w:rPr>
        <w:t>Figure 4</w:t>
      </w:r>
      <w:r w:rsidRPr="00644AF5">
        <w:rPr>
          <w:rFonts w:ascii="Calibri" w:hAnsi="Calibri" w:cs="Calibri"/>
          <w:color w:val="000000" w:themeColor="text1"/>
        </w:rPr>
        <w:t>, post-infection outcomes are quantified across exposure doses. Uninfected controls remain entirely asymptomatic. At a dose of approximately 7.0×10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w:t>
      </w:r>
      <w:r w:rsidRPr="00644AF5">
        <w:rPr>
          <w:rFonts w:ascii="Calibri" w:hAnsi="Calibri" w:cs="Calibri"/>
          <w:i/>
          <w:iCs/>
          <w:color w:val="000000" w:themeColor="text1"/>
        </w:rPr>
        <w:t xml:space="preserve">C. albicans </w:t>
      </w:r>
      <w:r w:rsidRPr="00644AF5">
        <w:rPr>
          <w:rFonts w:ascii="Calibri" w:hAnsi="Calibri" w:cs="Calibri"/>
          <w:color w:val="000000" w:themeColor="text1"/>
        </w:rPr>
        <w:t>cells/mL (ID</w:t>
      </w:r>
      <w:r w:rsidRPr="00644AF5">
        <w:rPr>
          <w:rFonts w:ascii="Calibri" w:hAnsi="Calibri" w:cs="Calibri"/>
          <w:color w:val="000000" w:themeColor="text1"/>
          <w:vertAlign w:val="subscript"/>
        </w:rPr>
        <w:t>50</w:t>
      </w:r>
      <w:r w:rsidRPr="00644AF5">
        <w:rPr>
          <w:rFonts w:ascii="Calibri" w:hAnsi="Calibri" w:cs="Calibri"/>
          <w:color w:val="000000" w:themeColor="text1"/>
        </w:rPr>
        <w:t xml:space="preserve"> dose), approximately 30% of infected animals show no symptoms, 50% present with one or more symptoms, and 20% are dead. At a dose of approximately 8.0×10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w:t>
      </w:r>
      <w:r w:rsidRPr="00644AF5">
        <w:rPr>
          <w:rFonts w:ascii="Calibri" w:hAnsi="Calibri" w:cs="Calibri"/>
          <w:i/>
          <w:iCs/>
          <w:color w:val="000000" w:themeColor="text1"/>
        </w:rPr>
        <w:t>C. albicans</w:t>
      </w:r>
      <w:r w:rsidRPr="00644AF5">
        <w:rPr>
          <w:rFonts w:ascii="Calibri" w:hAnsi="Calibri" w:cs="Calibri"/>
          <w:color w:val="000000" w:themeColor="text1"/>
        </w:rPr>
        <w:t xml:space="preserve"> cells/mL (LD</w:t>
      </w:r>
      <w:r w:rsidRPr="00644AF5">
        <w:rPr>
          <w:rFonts w:ascii="Calibri" w:hAnsi="Calibri" w:cs="Calibri"/>
          <w:color w:val="000000" w:themeColor="text1"/>
          <w:vertAlign w:val="subscript"/>
        </w:rPr>
        <w:t>50</w:t>
      </w:r>
      <w:r w:rsidRPr="00644AF5">
        <w:rPr>
          <w:rFonts w:ascii="Calibri" w:hAnsi="Calibri" w:cs="Calibri"/>
          <w:color w:val="000000" w:themeColor="text1"/>
        </w:rPr>
        <w:t xml:space="preserve"> dose), 30% are asymptomatic, 20% are symptomatic, and 50% are dead. The difference in host outcomes between doses is statistically significant by pooled analysis</w:t>
      </w:r>
      <w:r w:rsidR="00B946B4">
        <w:rPr>
          <w:rFonts w:ascii="Calibri" w:hAnsi="Calibri" w:cs="Calibri"/>
          <w:color w:val="000000" w:themeColor="text1"/>
        </w:rPr>
        <w:t>,</w:t>
      </w:r>
      <w:r w:rsidRPr="00644AF5">
        <w:rPr>
          <w:rFonts w:ascii="Calibri" w:hAnsi="Calibri" w:cs="Calibri"/>
          <w:color w:val="000000" w:themeColor="text1"/>
        </w:rPr>
        <w:t xml:space="preserve"> isometric log-ratio (ILR)-transformed MANOVA.</w:t>
      </w:r>
    </w:p>
    <w:p w14:paraId="775D87E1" w14:textId="77777777" w:rsidR="004A6EF9" w:rsidRPr="00644AF5" w:rsidRDefault="004A6EF9" w:rsidP="00B946B4">
      <w:pPr>
        <w:ind w:left="0" w:firstLine="0"/>
        <w:contextualSpacing/>
        <w:jc w:val="both"/>
        <w:rPr>
          <w:rFonts w:ascii="Calibri" w:hAnsi="Calibri" w:cs="Calibri"/>
          <w:color w:val="000000" w:themeColor="text1"/>
        </w:rPr>
      </w:pPr>
    </w:p>
    <w:p w14:paraId="5A32BFF2" w14:textId="42EFB6D7" w:rsidR="004A6EF9" w:rsidRPr="00644AF5" w:rsidRDefault="004A6EF9" w:rsidP="00B946B4">
      <w:pPr>
        <w:ind w:left="0" w:firstLine="0"/>
        <w:contextualSpacing/>
        <w:jc w:val="both"/>
        <w:rPr>
          <w:rStyle w:val="Strong"/>
          <w:rFonts w:ascii="Calibri" w:hAnsi="Calibri" w:cs="Calibri"/>
          <w:color w:val="000000" w:themeColor="text1"/>
        </w:rPr>
      </w:pPr>
      <w:r w:rsidRPr="00B946B4">
        <w:rPr>
          <w:rStyle w:val="Strong"/>
          <w:rFonts w:ascii="Calibri" w:hAnsi="Calibri" w:cs="Calibri"/>
          <w:b w:val="0"/>
          <w:bCs w:val="0"/>
          <w:color w:val="000000" w:themeColor="text1"/>
        </w:rPr>
        <w:t>[</w:t>
      </w:r>
      <w:r w:rsidR="00B946B4">
        <w:rPr>
          <w:rStyle w:val="Strong"/>
          <w:rFonts w:ascii="Calibri" w:hAnsi="Calibri" w:cs="Calibri"/>
          <w:b w:val="0"/>
          <w:bCs w:val="0"/>
          <w:color w:val="000000" w:themeColor="text1"/>
        </w:rPr>
        <w:t>Place</w:t>
      </w:r>
      <w:r w:rsidRPr="00644AF5">
        <w:rPr>
          <w:rStyle w:val="Strong"/>
          <w:rFonts w:ascii="Calibri" w:hAnsi="Calibri" w:cs="Calibri"/>
          <w:color w:val="000000" w:themeColor="text1"/>
        </w:rPr>
        <w:t xml:space="preserve"> Figure 4 </w:t>
      </w:r>
      <w:r w:rsidRPr="00B946B4">
        <w:rPr>
          <w:rStyle w:val="Strong"/>
          <w:rFonts w:ascii="Calibri" w:hAnsi="Calibri" w:cs="Calibri"/>
          <w:b w:val="0"/>
          <w:bCs w:val="0"/>
          <w:color w:val="000000" w:themeColor="text1"/>
        </w:rPr>
        <w:t>here]</w:t>
      </w:r>
    </w:p>
    <w:p w14:paraId="67FA8566" w14:textId="77777777" w:rsidR="004A6EF9" w:rsidRPr="00644AF5" w:rsidRDefault="004A6EF9" w:rsidP="00B946B4">
      <w:pPr>
        <w:ind w:left="0" w:firstLine="0"/>
        <w:contextualSpacing/>
        <w:jc w:val="both"/>
        <w:rPr>
          <w:rFonts w:ascii="Calibri" w:hAnsi="Calibri" w:cs="Calibri"/>
          <w:color w:val="000000" w:themeColor="text1"/>
        </w:rPr>
      </w:pPr>
    </w:p>
    <w:p w14:paraId="10DC75C5" w14:textId="77777777" w:rsidR="004A6EF9" w:rsidRPr="00644AF5" w:rsidRDefault="004A6EF9" w:rsidP="00B946B4">
      <w:pPr>
        <w:ind w:left="0" w:firstLine="0"/>
        <w:contextualSpacing/>
        <w:jc w:val="both"/>
        <w:rPr>
          <w:rFonts w:ascii="Calibri" w:hAnsi="Calibri" w:cs="Calibri"/>
          <w:color w:val="000000" w:themeColor="text1"/>
        </w:rPr>
      </w:pPr>
      <w:r w:rsidRPr="00644AF5">
        <w:rPr>
          <w:rFonts w:ascii="Calibri" w:hAnsi="Calibri" w:cs="Calibri"/>
          <w:b/>
          <w:bCs/>
          <w:color w:val="000000" w:themeColor="text1"/>
        </w:rPr>
        <w:t xml:space="preserve">Figure 5 </w:t>
      </w:r>
      <w:r w:rsidRPr="00644AF5">
        <w:rPr>
          <w:rFonts w:ascii="Calibri" w:hAnsi="Calibri" w:cs="Calibri"/>
          <w:color w:val="000000" w:themeColor="text1"/>
        </w:rPr>
        <w:t xml:space="preserve">illustrates dose-dependent survival across increasing </w:t>
      </w:r>
      <w:r w:rsidRPr="00644AF5">
        <w:rPr>
          <w:rFonts w:ascii="Calibri" w:hAnsi="Calibri" w:cs="Calibri"/>
          <w:i/>
          <w:iCs/>
          <w:color w:val="000000" w:themeColor="text1"/>
        </w:rPr>
        <w:t xml:space="preserve">C. albicans </w:t>
      </w:r>
      <w:r w:rsidRPr="00644AF5">
        <w:rPr>
          <w:rFonts w:ascii="Calibri" w:hAnsi="Calibri" w:cs="Calibri"/>
          <w:color w:val="000000" w:themeColor="text1"/>
        </w:rPr>
        <w:t>concentrations ranging from 7.0-8.5×10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cells/mL. Aggregated analysis demonstrated median survival declines from 90% at the 7.0×10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cells/mL to 50% at 8.0×10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cells/mL, and &lt;25% at 8.5×10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cells/mL. Differences in median survival were significant in most comparisons (Kruskal-Wallis and Dunns comparisons with Bonferroni correction).</w:t>
      </w:r>
    </w:p>
    <w:p w14:paraId="749EC6A1" w14:textId="77777777" w:rsidR="004A6EF9" w:rsidRPr="00644AF5" w:rsidRDefault="004A6EF9" w:rsidP="00B946B4">
      <w:pPr>
        <w:ind w:left="0" w:firstLine="0"/>
        <w:contextualSpacing/>
        <w:jc w:val="both"/>
        <w:rPr>
          <w:rFonts w:ascii="Calibri" w:hAnsi="Calibri" w:cs="Calibri"/>
          <w:color w:val="000000" w:themeColor="text1"/>
        </w:rPr>
      </w:pPr>
    </w:p>
    <w:p w14:paraId="0A36F3F2" w14:textId="2003210E" w:rsidR="004A6EF9" w:rsidRPr="00B946B4" w:rsidRDefault="004A6EF9" w:rsidP="00B946B4">
      <w:pPr>
        <w:ind w:left="0" w:firstLine="0"/>
        <w:contextualSpacing/>
        <w:jc w:val="both"/>
        <w:rPr>
          <w:rStyle w:val="Strong"/>
          <w:rFonts w:ascii="Calibri" w:hAnsi="Calibri" w:cs="Calibri"/>
          <w:b w:val="0"/>
          <w:bCs w:val="0"/>
          <w:color w:val="000000" w:themeColor="text1"/>
        </w:rPr>
      </w:pPr>
      <w:r w:rsidRPr="00B946B4">
        <w:rPr>
          <w:rStyle w:val="Strong"/>
          <w:rFonts w:ascii="Calibri" w:hAnsi="Calibri" w:cs="Calibri"/>
          <w:b w:val="0"/>
          <w:bCs w:val="0"/>
          <w:color w:val="000000" w:themeColor="text1"/>
        </w:rPr>
        <w:t>[</w:t>
      </w:r>
      <w:r w:rsidR="00B946B4" w:rsidRPr="00B946B4">
        <w:rPr>
          <w:rStyle w:val="Strong"/>
          <w:rFonts w:ascii="Calibri" w:hAnsi="Calibri" w:cs="Calibri"/>
          <w:b w:val="0"/>
          <w:bCs w:val="0"/>
          <w:color w:val="000000" w:themeColor="text1"/>
        </w:rPr>
        <w:t>Place</w:t>
      </w:r>
      <w:r w:rsidRPr="00B946B4">
        <w:rPr>
          <w:rStyle w:val="Strong"/>
          <w:rFonts w:ascii="Calibri" w:hAnsi="Calibri" w:cs="Calibri"/>
          <w:b w:val="0"/>
          <w:bCs w:val="0"/>
          <w:color w:val="000000" w:themeColor="text1"/>
        </w:rPr>
        <w:t xml:space="preserve"> </w:t>
      </w:r>
      <w:r w:rsidRPr="00B946B4">
        <w:rPr>
          <w:rStyle w:val="Strong"/>
          <w:rFonts w:ascii="Calibri" w:hAnsi="Calibri" w:cs="Calibri"/>
          <w:color w:val="000000" w:themeColor="text1"/>
        </w:rPr>
        <w:t>Figure 5</w:t>
      </w:r>
      <w:r w:rsidRPr="00B946B4">
        <w:rPr>
          <w:rStyle w:val="Strong"/>
          <w:rFonts w:ascii="Calibri" w:hAnsi="Calibri" w:cs="Calibri"/>
          <w:b w:val="0"/>
          <w:bCs w:val="0"/>
          <w:color w:val="000000" w:themeColor="text1"/>
        </w:rPr>
        <w:t xml:space="preserve"> here]</w:t>
      </w:r>
    </w:p>
    <w:p w14:paraId="79393C4A" w14:textId="77777777" w:rsidR="004A6EF9" w:rsidRPr="00644AF5" w:rsidRDefault="004A6EF9" w:rsidP="00B946B4">
      <w:pPr>
        <w:ind w:left="0" w:firstLine="0"/>
        <w:contextualSpacing/>
        <w:jc w:val="both"/>
        <w:rPr>
          <w:rStyle w:val="Strong"/>
          <w:rFonts w:ascii="Calibri" w:hAnsi="Calibri" w:cs="Calibri"/>
          <w:color w:val="000000" w:themeColor="text1"/>
        </w:rPr>
      </w:pPr>
    </w:p>
    <w:p w14:paraId="23CAD7A0" w14:textId="1E4AE098" w:rsidR="004A6EF9" w:rsidRPr="00644AF5" w:rsidRDefault="004A6EF9" w:rsidP="00B946B4">
      <w:pPr>
        <w:ind w:left="0" w:firstLine="0"/>
        <w:contextualSpacing/>
        <w:jc w:val="both"/>
        <w:rPr>
          <w:rFonts w:ascii="Calibri" w:hAnsi="Calibri" w:cs="Calibri"/>
          <w:color w:val="000000" w:themeColor="text1"/>
        </w:rPr>
      </w:pPr>
      <w:r w:rsidRPr="00644AF5">
        <w:rPr>
          <w:rFonts w:ascii="Calibri" w:hAnsi="Calibri" w:cs="Calibri"/>
          <w:color w:val="000000" w:themeColor="text1"/>
        </w:rPr>
        <w:t>Kaplan-Meier survival analysis</w:t>
      </w:r>
      <w:r w:rsidRPr="00644AF5">
        <w:rPr>
          <w:rFonts w:ascii="Calibri" w:hAnsi="Calibri" w:cs="Calibri"/>
          <w:b/>
          <w:bCs/>
          <w:color w:val="000000" w:themeColor="text1"/>
        </w:rPr>
        <w:t xml:space="preserve"> </w:t>
      </w:r>
      <w:r w:rsidRPr="00644AF5">
        <w:rPr>
          <w:rFonts w:ascii="Calibri" w:hAnsi="Calibri" w:cs="Calibri"/>
          <w:color w:val="000000" w:themeColor="text1"/>
        </w:rPr>
        <w:t>(</w:t>
      </w:r>
      <w:r w:rsidRPr="00644AF5">
        <w:rPr>
          <w:rFonts w:ascii="Calibri" w:hAnsi="Calibri" w:cs="Calibri"/>
          <w:b/>
          <w:bCs/>
          <w:color w:val="000000" w:themeColor="text1"/>
        </w:rPr>
        <w:t>Figure 6</w:t>
      </w:r>
      <w:r w:rsidRPr="00644AF5">
        <w:rPr>
          <w:rFonts w:ascii="Calibri" w:hAnsi="Calibri" w:cs="Calibri"/>
          <w:color w:val="000000" w:themeColor="text1"/>
        </w:rPr>
        <w:t>)</w:t>
      </w:r>
      <w:r w:rsidRPr="00644AF5">
        <w:rPr>
          <w:rFonts w:ascii="Calibri" w:hAnsi="Calibri" w:cs="Calibri"/>
          <w:b/>
          <w:bCs/>
          <w:color w:val="000000" w:themeColor="text1"/>
        </w:rPr>
        <w:t xml:space="preserve"> </w:t>
      </w:r>
      <w:r w:rsidRPr="00644AF5">
        <w:rPr>
          <w:rFonts w:ascii="Calibri" w:hAnsi="Calibri" w:cs="Calibri"/>
          <w:color w:val="000000" w:themeColor="text1"/>
        </w:rPr>
        <w:t xml:space="preserve">further confirms an overall survival of 45% for planarians infected with the wildtype </w:t>
      </w:r>
      <w:r w:rsidRPr="00644AF5">
        <w:rPr>
          <w:rFonts w:ascii="Calibri" w:hAnsi="Calibri" w:cs="Calibri"/>
          <w:i/>
          <w:iCs/>
          <w:color w:val="000000" w:themeColor="text1"/>
        </w:rPr>
        <w:t xml:space="preserve">C. albicans </w:t>
      </w:r>
      <w:r w:rsidRPr="00644AF5">
        <w:rPr>
          <w:rFonts w:ascii="Calibri" w:hAnsi="Calibri" w:cs="Calibri"/>
          <w:color w:val="000000" w:themeColor="text1"/>
        </w:rPr>
        <w:t>approximate</w:t>
      </w:r>
      <w:r w:rsidRPr="00644AF5">
        <w:rPr>
          <w:rFonts w:ascii="Calibri" w:hAnsi="Calibri" w:cs="Calibri"/>
          <w:i/>
          <w:iCs/>
          <w:color w:val="000000" w:themeColor="text1"/>
        </w:rPr>
        <w:t xml:space="preserve"> </w:t>
      </w:r>
      <w:r w:rsidRPr="00644AF5">
        <w:rPr>
          <w:rFonts w:ascii="Calibri" w:hAnsi="Calibri" w:cs="Calibri"/>
          <w:color w:val="000000" w:themeColor="text1"/>
        </w:rPr>
        <w:t>LD</w:t>
      </w:r>
      <w:r w:rsidRPr="00644AF5">
        <w:rPr>
          <w:rFonts w:ascii="Calibri" w:hAnsi="Calibri" w:cs="Calibri"/>
          <w:color w:val="000000" w:themeColor="text1"/>
          <w:vertAlign w:val="subscript"/>
        </w:rPr>
        <w:t>50</w:t>
      </w:r>
      <w:r w:rsidRPr="00644AF5">
        <w:rPr>
          <w:rFonts w:ascii="Calibri" w:hAnsi="Calibri" w:cs="Calibri"/>
          <w:color w:val="000000" w:themeColor="text1"/>
        </w:rPr>
        <w:t xml:space="preserve"> dose (8.0×10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cells/mL), compared to an overall 100% survival in uninfected mock controls (95% confidence interval, 30-70%). The survival curves differ significantly and represent the host survival under LD</w:t>
      </w:r>
      <w:r w:rsidRPr="00644AF5">
        <w:rPr>
          <w:rFonts w:ascii="Calibri" w:hAnsi="Calibri" w:cs="Calibri"/>
          <w:color w:val="000000" w:themeColor="text1"/>
          <w:vertAlign w:val="subscript"/>
        </w:rPr>
        <w:t>50</w:t>
      </w:r>
      <w:r w:rsidRPr="00644AF5">
        <w:rPr>
          <w:rFonts w:ascii="Calibri" w:hAnsi="Calibri" w:cs="Calibri"/>
          <w:color w:val="000000" w:themeColor="text1"/>
        </w:rPr>
        <w:t xml:space="preserve"> conditions. </w:t>
      </w:r>
    </w:p>
    <w:p w14:paraId="37BEC89A" w14:textId="77777777" w:rsidR="004A6EF9" w:rsidRPr="00644AF5" w:rsidRDefault="004A6EF9" w:rsidP="00B946B4">
      <w:pPr>
        <w:ind w:left="0" w:firstLine="0"/>
        <w:contextualSpacing/>
        <w:jc w:val="both"/>
        <w:rPr>
          <w:rFonts w:ascii="Calibri" w:hAnsi="Calibri" w:cs="Calibri"/>
          <w:color w:val="000000" w:themeColor="text1"/>
        </w:rPr>
      </w:pPr>
    </w:p>
    <w:p w14:paraId="2D228D9E" w14:textId="58F617A0" w:rsidR="004A6EF9" w:rsidRPr="00B946B4" w:rsidRDefault="004A6EF9" w:rsidP="00B946B4">
      <w:pPr>
        <w:ind w:left="0" w:firstLine="0"/>
        <w:contextualSpacing/>
        <w:jc w:val="both"/>
        <w:rPr>
          <w:rFonts w:ascii="Calibri" w:hAnsi="Calibri" w:cs="Calibri"/>
          <w:b/>
          <w:bCs/>
          <w:color w:val="000000" w:themeColor="text1"/>
        </w:rPr>
      </w:pPr>
      <w:r w:rsidRPr="00B946B4">
        <w:rPr>
          <w:rStyle w:val="Strong"/>
          <w:rFonts w:ascii="Calibri" w:hAnsi="Calibri" w:cs="Calibri"/>
          <w:b w:val="0"/>
          <w:bCs w:val="0"/>
          <w:color w:val="000000" w:themeColor="text1"/>
        </w:rPr>
        <w:t>[</w:t>
      </w:r>
      <w:r w:rsidR="00B946B4" w:rsidRPr="00B946B4">
        <w:rPr>
          <w:rStyle w:val="Strong"/>
          <w:rFonts w:ascii="Calibri" w:hAnsi="Calibri" w:cs="Calibri"/>
          <w:b w:val="0"/>
          <w:bCs w:val="0"/>
          <w:color w:val="000000" w:themeColor="text1"/>
        </w:rPr>
        <w:t>Place</w:t>
      </w:r>
      <w:r w:rsidRPr="00B946B4">
        <w:rPr>
          <w:rStyle w:val="Strong"/>
          <w:rFonts w:ascii="Calibri" w:hAnsi="Calibri" w:cs="Calibri"/>
          <w:b w:val="0"/>
          <w:bCs w:val="0"/>
          <w:color w:val="000000" w:themeColor="text1"/>
        </w:rPr>
        <w:t xml:space="preserve"> </w:t>
      </w:r>
      <w:r w:rsidRPr="00B946B4">
        <w:rPr>
          <w:rStyle w:val="Strong"/>
          <w:rFonts w:ascii="Calibri" w:hAnsi="Calibri" w:cs="Calibri"/>
          <w:color w:val="000000" w:themeColor="text1"/>
        </w:rPr>
        <w:t>Figure 6</w:t>
      </w:r>
      <w:r w:rsidRPr="00B946B4">
        <w:rPr>
          <w:rStyle w:val="Strong"/>
          <w:rFonts w:ascii="Calibri" w:hAnsi="Calibri" w:cs="Calibri"/>
          <w:b w:val="0"/>
          <w:bCs w:val="0"/>
          <w:color w:val="000000" w:themeColor="text1"/>
        </w:rPr>
        <w:t xml:space="preserve"> here]</w:t>
      </w:r>
    </w:p>
    <w:p w14:paraId="219FBFCA" w14:textId="77777777" w:rsidR="004A6EF9" w:rsidRPr="00644AF5" w:rsidRDefault="004A6EF9" w:rsidP="00B946B4">
      <w:pPr>
        <w:ind w:left="0" w:firstLine="0"/>
        <w:contextualSpacing/>
        <w:jc w:val="both"/>
        <w:rPr>
          <w:rFonts w:ascii="Calibri" w:hAnsi="Calibri" w:cs="Calibri"/>
          <w:color w:val="000000" w:themeColor="text1"/>
        </w:rPr>
      </w:pPr>
    </w:p>
    <w:p w14:paraId="088D769D" w14:textId="77777777" w:rsidR="004A6EF9" w:rsidRPr="00644AF5" w:rsidRDefault="004A6EF9" w:rsidP="00B946B4">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Together, these results establish reproducible, quantifiable endpoints for analyzing </w:t>
      </w:r>
      <w:r w:rsidRPr="00644AF5">
        <w:rPr>
          <w:rFonts w:ascii="Calibri" w:hAnsi="Calibri" w:cs="Calibri"/>
          <w:i/>
          <w:iCs/>
          <w:color w:val="000000" w:themeColor="text1"/>
        </w:rPr>
        <w:t>C. albicans</w:t>
      </w:r>
      <w:r w:rsidRPr="00644AF5">
        <w:rPr>
          <w:rFonts w:ascii="Calibri" w:hAnsi="Calibri" w:cs="Calibri"/>
          <w:color w:val="000000" w:themeColor="text1"/>
        </w:rPr>
        <w:t xml:space="preserve"> fungal pathogenesis and host defense in the </w:t>
      </w:r>
      <w:r w:rsidRPr="00644AF5">
        <w:rPr>
          <w:rFonts w:ascii="Calibri" w:hAnsi="Calibri" w:cs="Calibri"/>
          <w:i/>
          <w:iCs/>
          <w:color w:val="000000" w:themeColor="text1"/>
        </w:rPr>
        <w:t>S. mediterranea</w:t>
      </w:r>
      <w:r w:rsidRPr="00644AF5">
        <w:rPr>
          <w:rFonts w:ascii="Calibri" w:hAnsi="Calibri" w:cs="Calibri"/>
          <w:color w:val="000000" w:themeColor="text1"/>
        </w:rPr>
        <w:t xml:space="preserve"> model.  </w:t>
      </w:r>
    </w:p>
    <w:p w14:paraId="360C0A6D" w14:textId="77777777" w:rsidR="004A6EF9" w:rsidRPr="00644AF5" w:rsidRDefault="004A6EF9" w:rsidP="004A6EF9">
      <w:pPr>
        <w:ind w:left="0" w:firstLine="0"/>
        <w:contextualSpacing/>
        <w:rPr>
          <w:rFonts w:ascii="Calibri" w:hAnsi="Calibri" w:cs="Calibri"/>
          <w:b/>
          <w:bCs/>
          <w:color w:val="000000" w:themeColor="text1"/>
        </w:rPr>
      </w:pPr>
    </w:p>
    <w:p w14:paraId="06F8C394" w14:textId="6AC259A2" w:rsidR="004A6EF9" w:rsidRPr="00644AF5" w:rsidRDefault="004A6EF9" w:rsidP="004A6EF9">
      <w:pPr>
        <w:pStyle w:val="NormalWeb"/>
        <w:ind w:left="0" w:firstLine="0"/>
        <w:contextualSpacing/>
        <w:rPr>
          <w:rStyle w:val="Strong"/>
          <w:rFonts w:ascii="Calibri" w:hAnsi="Calibri" w:cs="Calibri"/>
          <w:b w:val="0"/>
          <w:bCs w:val="0"/>
          <w:color w:val="000000" w:themeColor="text1"/>
        </w:rPr>
      </w:pPr>
      <w:r w:rsidRPr="00644AF5">
        <w:rPr>
          <w:rFonts w:ascii="Calibri" w:hAnsi="Calibri" w:cs="Calibri"/>
          <w:b/>
          <w:color w:val="000000" w:themeColor="text1"/>
        </w:rPr>
        <w:lastRenderedPageBreak/>
        <w:t xml:space="preserve">FIGURE </w:t>
      </w:r>
      <w:r w:rsidR="00B946B4">
        <w:rPr>
          <w:rFonts w:ascii="Calibri" w:hAnsi="Calibri" w:cs="Calibri"/>
          <w:b/>
          <w:color w:val="000000" w:themeColor="text1"/>
        </w:rPr>
        <w:t xml:space="preserve">AND TABLE </w:t>
      </w:r>
      <w:r w:rsidRPr="00644AF5">
        <w:rPr>
          <w:rFonts w:ascii="Calibri" w:hAnsi="Calibri" w:cs="Calibri"/>
          <w:b/>
          <w:color w:val="000000" w:themeColor="text1"/>
        </w:rPr>
        <w:t>LEGENDS:</w:t>
      </w:r>
      <w:r w:rsidRPr="00644AF5">
        <w:rPr>
          <w:rFonts w:ascii="Calibri" w:hAnsi="Calibri" w:cs="Calibri"/>
          <w:color w:val="000000" w:themeColor="text1"/>
        </w:rPr>
        <w:t xml:space="preserve"> </w:t>
      </w:r>
    </w:p>
    <w:p w14:paraId="1073BF4A" w14:textId="77777777" w:rsidR="004A6EF9" w:rsidRPr="00644AF5" w:rsidRDefault="004A6EF9" w:rsidP="00B946B4">
      <w:pPr>
        <w:ind w:left="0" w:firstLine="0"/>
        <w:contextualSpacing/>
        <w:jc w:val="both"/>
        <w:rPr>
          <w:rFonts w:ascii="Calibri" w:hAnsi="Calibri" w:cs="Calibri"/>
          <w:color w:val="000000" w:themeColor="text1"/>
        </w:rPr>
      </w:pPr>
      <w:r w:rsidRPr="00644AF5">
        <w:rPr>
          <w:rStyle w:val="Strong"/>
          <w:rFonts w:ascii="Calibri" w:hAnsi="Calibri" w:cs="Calibri"/>
          <w:color w:val="000000" w:themeColor="text1"/>
        </w:rPr>
        <w:t>Figure 1: Experimental design for planarian fungal infection.</w:t>
      </w:r>
      <w:r w:rsidRPr="00644AF5">
        <w:rPr>
          <w:rFonts w:ascii="Calibri" w:hAnsi="Calibri" w:cs="Calibri"/>
          <w:color w:val="000000" w:themeColor="text1"/>
        </w:rPr>
        <w:t xml:space="preserve"> </w:t>
      </w:r>
      <w:r w:rsidRPr="00644AF5">
        <w:rPr>
          <w:rStyle w:val="Emphasis"/>
          <w:rFonts w:ascii="Calibri" w:hAnsi="Calibri" w:cs="Calibri"/>
          <w:color w:val="000000" w:themeColor="text1"/>
        </w:rPr>
        <w:t>C. albicans</w:t>
      </w:r>
      <w:r w:rsidRPr="00644AF5">
        <w:rPr>
          <w:rFonts w:ascii="Calibri" w:hAnsi="Calibri" w:cs="Calibri"/>
          <w:color w:val="000000" w:themeColor="text1"/>
        </w:rPr>
        <w:t xml:space="preserve"> strains are cultured on YPD agar for three days, followed by a 16-h incubation in liquid YPD with shaking. Cells are harvested, washed in planarian water, quantified spectrophotometrically, and added directly to wells containing 5-10 planarians in planarian water for continuous exposure of up to 72 h. Host–pathogen outcomes are recorded every 24 h from 1-7 days post-infection (dpi). After the exposure period, animals are gently washed daily. Figure created with </w:t>
      </w:r>
      <w:proofErr w:type="spellStart"/>
      <w:r w:rsidRPr="00644AF5">
        <w:rPr>
          <w:rFonts w:ascii="Calibri" w:hAnsi="Calibri" w:cs="Calibri"/>
          <w:color w:val="000000" w:themeColor="text1"/>
        </w:rPr>
        <w:t>BioRender</w:t>
      </w:r>
      <w:proofErr w:type="spellEnd"/>
      <w:r w:rsidRPr="00644AF5">
        <w:rPr>
          <w:rFonts w:ascii="Calibri" w:hAnsi="Calibri" w:cs="Calibri"/>
          <w:color w:val="000000" w:themeColor="text1"/>
        </w:rPr>
        <w:t>.</w:t>
      </w:r>
    </w:p>
    <w:p w14:paraId="437E280A" w14:textId="77777777" w:rsidR="004A6EF9" w:rsidRPr="00644AF5" w:rsidRDefault="004A6EF9" w:rsidP="00B946B4">
      <w:pPr>
        <w:ind w:left="0" w:firstLine="0"/>
        <w:contextualSpacing/>
        <w:jc w:val="both"/>
        <w:rPr>
          <w:rFonts w:ascii="Calibri" w:hAnsi="Calibri" w:cs="Calibri"/>
          <w:b/>
          <w:bCs/>
          <w:color w:val="000000" w:themeColor="text1"/>
        </w:rPr>
      </w:pPr>
      <w:r w:rsidRPr="00644AF5">
        <w:rPr>
          <w:rFonts w:ascii="Calibri" w:hAnsi="Calibri" w:cs="Calibri"/>
          <w:noProof/>
          <w:color w:val="000000" w:themeColor="text1"/>
        </w:rPr>
        <mc:AlternateContent>
          <mc:Choice Requires="wps">
            <w:drawing>
              <wp:anchor distT="0" distB="0" distL="114300" distR="114300" simplePos="0" relativeHeight="251659264" behindDoc="0" locked="0" layoutInCell="1" allowOverlap="1" wp14:anchorId="34D52CAC" wp14:editId="711F847E">
                <wp:simplePos x="0" y="0"/>
                <wp:positionH relativeFrom="column">
                  <wp:posOffset>126132</wp:posOffset>
                </wp:positionH>
                <wp:positionV relativeFrom="paragraph">
                  <wp:posOffset>298450</wp:posOffset>
                </wp:positionV>
                <wp:extent cx="248856" cy="231494"/>
                <wp:effectExtent l="0" t="0" r="0" b="0"/>
                <wp:wrapNone/>
                <wp:docPr id="146634744" name="Text Box 3"/>
                <wp:cNvGraphicFramePr/>
                <a:graphic xmlns:a="http://schemas.openxmlformats.org/drawingml/2006/main">
                  <a:graphicData uri="http://schemas.microsoft.com/office/word/2010/wordprocessingShape">
                    <wps:wsp>
                      <wps:cNvSpPr txBox="1"/>
                      <wps:spPr>
                        <a:xfrm>
                          <a:off x="0" y="0"/>
                          <a:ext cx="248856" cy="231494"/>
                        </a:xfrm>
                        <a:prstGeom prst="rect">
                          <a:avLst/>
                        </a:prstGeom>
                        <a:noFill/>
                        <a:ln w="6350">
                          <a:noFill/>
                        </a:ln>
                      </wps:spPr>
                      <wps:txbx>
                        <w:txbxContent>
                          <w:p w14:paraId="36B7DA88" w14:textId="77777777" w:rsidR="004A6EF9" w:rsidRPr="00CC6254" w:rsidRDefault="004A6EF9" w:rsidP="004A6EF9">
                            <w:pPr>
                              <w:ind w:left="0"/>
                              <w:jc w:val="right"/>
                              <w:rPr>
                                <w:color w:val="FFFFFF" w:themeColor="background1"/>
                                <w:sz w:val="14"/>
                                <w:szCs w:val="14"/>
                              </w:rPr>
                            </w:pPr>
                            <w:r w:rsidRPr="00CC6254">
                              <w:rPr>
                                <w:color w:val="FFFFFF" w:themeColor="background1"/>
                                <w:sz w:val="14"/>
                                <w:szCs w:val="1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D52CAC" id="_x0000_t202" coordsize="21600,21600" o:spt="202" path="m,l,21600r21600,l21600,xe">
                <v:stroke joinstyle="miter"/>
                <v:path gradientshapeok="t" o:connecttype="rect"/>
              </v:shapetype>
              <v:shape id="Text Box 3" o:spid="_x0000_s1026" type="#_x0000_t202" style="position:absolute;left:0;text-align:left;margin-left:9.95pt;margin-top:23.5pt;width:19.6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" filled="f" stroked="f" strokeweight=".5pt">
                <v:textbox>
                  <w:txbxContent>
                    <w:p w14:paraId="36B7DA88" w14:textId="77777777" w:rsidR="004A6EF9" w:rsidRPr="00CC6254" w:rsidRDefault="004A6EF9" w:rsidP="004A6EF9">
                      <w:pPr>
                        <w:ind w:left="0"/>
                        <w:jc w:val="right"/>
                        <w:rPr>
                          <w:color w:val="FFFFFF" w:themeColor="background1"/>
                          <w:sz w:val="14"/>
                          <w:szCs w:val="14"/>
                        </w:rPr>
                      </w:pPr>
                      <w:r w:rsidRPr="00CC6254">
                        <w:rPr>
                          <w:color w:val="FFFFFF" w:themeColor="background1"/>
                          <w:sz w:val="14"/>
                          <w:szCs w:val="14"/>
                        </w:rPr>
                        <w:t>A</w:t>
                      </w:r>
                    </w:p>
                  </w:txbxContent>
                </v:textbox>
              </v:shape>
            </w:pict>
          </mc:Fallback>
        </mc:AlternateContent>
      </w:r>
    </w:p>
    <w:p w14:paraId="59D2DD46" w14:textId="77777777" w:rsidR="004A6EF9" w:rsidRPr="00644AF5" w:rsidRDefault="004A6EF9" w:rsidP="00B946B4">
      <w:pPr>
        <w:ind w:left="0" w:firstLine="0"/>
        <w:contextualSpacing/>
        <w:jc w:val="both"/>
        <w:rPr>
          <w:rStyle w:val="Strong"/>
          <w:rFonts w:ascii="Calibri" w:hAnsi="Calibri" w:cs="Calibri"/>
          <w:b w:val="0"/>
          <w:bCs w:val="0"/>
          <w:color w:val="000000" w:themeColor="text1"/>
        </w:rPr>
      </w:pPr>
      <w:r w:rsidRPr="00644AF5">
        <w:rPr>
          <w:rFonts w:ascii="Calibri" w:hAnsi="Calibri" w:cs="Calibri"/>
          <w:b/>
          <w:bCs/>
          <w:color w:val="000000" w:themeColor="text1"/>
        </w:rPr>
        <w:t xml:space="preserve">Figure 2: Standardized scoring of planarian host health during </w:t>
      </w:r>
      <w:r w:rsidRPr="00644AF5">
        <w:rPr>
          <w:rFonts w:ascii="Calibri" w:hAnsi="Calibri" w:cs="Calibri"/>
          <w:b/>
          <w:bCs/>
          <w:i/>
          <w:iCs/>
          <w:color w:val="000000" w:themeColor="text1"/>
        </w:rPr>
        <w:t xml:space="preserve">C. albicans </w:t>
      </w:r>
      <w:r w:rsidRPr="00644AF5">
        <w:rPr>
          <w:rFonts w:ascii="Calibri" w:hAnsi="Calibri" w:cs="Calibri"/>
          <w:b/>
          <w:bCs/>
          <w:color w:val="000000" w:themeColor="text1"/>
        </w:rPr>
        <w:t>infection.</w:t>
      </w:r>
      <w:r w:rsidRPr="00644AF5">
        <w:rPr>
          <w:rFonts w:ascii="Calibri" w:hAnsi="Calibri" w:cs="Calibri"/>
          <w:color w:val="000000" w:themeColor="text1"/>
        </w:rPr>
        <w:t xml:space="preserve"> (</w:t>
      </w:r>
      <w:r w:rsidRPr="00B946B4">
        <w:rPr>
          <w:rFonts w:ascii="Calibri" w:hAnsi="Calibri" w:cs="Calibri"/>
          <w:b/>
          <w:bCs/>
          <w:color w:val="000000" w:themeColor="text1"/>
        </w:rPr>
        <w:t>A</w:t>
      </w:r>
      <w:r w:rsidRPr="00644AF5">
        <w:rPr>
          <w:rFonts w:ascii="Calibri" w:hAnsi="Calibri" w:cs="Calibri"/>
          <w:color w:val="000000" w:themeColor="text1"/>
        </w:rPr>
        <w:t>) Flowchart outlining the systematic scoring of planarian host outcomes on a 0-3 scale. (</w:t>
      </w:r>
      <w:r w:rsidRPr="00B946B4">
        <w:rPr>
          <w:rFonts w:ascii="Calibri" w:hAnsi="Calibri" w:cs="Calibri"/>
          <w:b/>
          <w:bCs/>
          <w:color w:val="000000" w:themeColor="text1"/>
        </w:rPr>
        <w:t>B</w:t>
      </w:r>
      <w:r w:rsidRPr="00644AF5">
        <w:rPr>
          <w:rFonts w:ascii="Calibri" w:hAnsi="Calibri" w:cs="Calibri"/>
          <w:color w:val="000000" w:themeColor="text1"/>
        </w:rPr>
        <w:t>) Representative host phenotypes at 4 dpi in uninfected planarians or planarians infected with 7.0×10</w:t>
      </w:r>
      <w:r w:rsidRPr="00644AF5">
        <w:rPr>
          <w:rFonts w:ascii="Calibri" w:hAnsi="Calibri" w:cs="Calibri"/>
          <w:color w:val="000000" w:themeColor="text1"/>
          <w:vertAlign w:val="superscript"/>
        </w:rPr>
        <w:t xml:space="preserve">7 </w:t>
      </w:r>
      <w:r w:rsidRPr="00644AF5">
        <w:rPr>
          <w:rFonts w:ascii="Calibri" w:hAnsi="Calibri" w:cs="Calibri"/>
          <w:color w:val="000000" w:themeColor="text1"/>
        </w:rPr>
        <w:t xml:space="preserve">cells/mL of wildtype </w:t>
      </w:r>
      <w:r w:rsidRPr="00644AF5">
        <w:rPr>
          <w:rStyle w:val="Emphasis"/>
          <w:rFonts w:ascii="Calibri" w:hAnsi="Calibri" w:cs="Calibri"/>
          <w:color w:val="000000" w:themeColor="text1"/>
        </w:rPr>
        <w:t xml:space="preserve">C. albicans </w:t>
      </w:r>
      <w:r w:rsidRPr="00644AF5">
        <w:rPr>
          <w:rFonts w:ascii="Calibri" w:hAnsi="Calibri" w:cs="Calibri"/>
          <w:color w:val="000000" w:themeColor="text1"/>
        </w:rPr>
        <w:t xml:space="preserve">illustrating each score in the standardized health index: 0 = asymptomatic; 1 = mild symptoms; 2 = severe symptoms; 3 = host death. </w:t>
      </w:r>
      <w:r w:rsidRPr="00644AF5">
        <w:rPr>
          <w:rStyle w:val="Emphasis"/>
          <w:rFonts w:ascii="Calibri" w:hAnsi="Calibri" w:cs="Calibri"/>
          <w:i w:val="0"/>
          <w:iCs w:val="0"/>
          <w:color w:val="000000" w:themeColor="text1"/>
        </w:rPr>
        <w:t>Scale bar, 200 µm. A 1x objective was used.</w:t>
      </w:r>
    </w:p>
    <w:p w14:paraId="097FB7E0" w14:textId="77777777" w:rsidR="004A6EF9" w:rsidRPr="00644AF5" w:rsidRDefault="004A6EF9" w:rsidP="00B946B4">
      <w:pPr>
        <w:ind w:left="0" w:firstLine="0"/>
        <w:contextualSpacing/>
        <w:jc w:val="both"/>
        <w:rPr>
          <w:rStyle w:val="Strong"/>
          <w:rFonts w:ascii="Calibri" w:hAnsi="Calibri" w:cs="Calibri"/>
          <w:color w:val="000000" w:themeColor="text1"/>
        </w:rPr>
      </w:pPr>
    </w:p>
    <w:p w14:paraId="03BDC001" w14:textId="77777777" w:rsidR="004A6EF9" w:rsidRPr="00644AF5" w:rsidRDefault="004A6EF9" w:rsidP="00B946B4">
      <w:pPr>
        <w:ind w:left="0" w:firstLine="0"/>
        <w:contextualSpacing/>
        <w:jc w:val="both"/>
        <w:rPr>
          <w:rFonts w:ascii="Calibri" w:hAnsi="Calibri" w:cs="Calibri"/>
          <w:color w:val="000000" w:themeColor="text1"/>
        </w:rPr>
      </w:pPr>
      <w:r w:rsidRPr="00644AF5">
        <w:rPr>
          <w:rStyle w:val="Strong"/>
          <w:rFonts w:ascii="Calibri" w:hAnsi="Calibri" w:cs="Calibri"/>
          <w:color w:val="000000" w:themeColor="text1"/>
        </w:rPr>
        <w:t xml:space="preserve">Figure 3: Immunofluorescent detection of </w:t>
      </w:r>
      <w:r w:rsidRPr="00644AF5">
        <w:rPr>
          <w:rStyle w:val="Emphasis"/>
          <w:rFonts w:ascii="Calibri" w:hAnsi="Calibri" w:cs="Calibri"/>
          <w:b/>
          <w:bCs/>
          <w:color w:val="000000" w:themeColor="text1"/>
        </w:rPr>
        <w:t>C. albicans</w:t>
      </w:r>
      <w:r w:rsidRPr="00644AF5">
        <w:rPr>
          <w:rStyle w:val="Strong"/>
          <w:rFonts w:ascii="Calibri" w:hAnsi="Calibri" w:cs="Calibri"/>
          <w:color w:val="000000" w:themeColor="text1"/>
        </w:rPr>
        <w:t xml:space="preserve"> colonization on planarian epithelial surfaces.</w:t>
      </w:r>
      <w:r w:rsidRPr="00644AF5">
        <w:rPr>
          <w:rFonts w:ascii="Calibri" w:hAnsi="Calibri" w:cs="Calibri"/>
          <w:color w:val="000000" w:themeColor="text1"/>
        </w:rPr>
        <w:t xml:space="preserve"> Planarians were infected with 7.0×10</w:t>
      </w:r>
      <w:r w:rsidRPr="00644AF5">
        <w:rPr>
          <w:rFonts w:ascii="Calibri" w:hAnsi="Calibri" w:cs="Calibri"/>
          <w:color w:val="000000" w:themeColor="text1"/>
          <w:vertAlign w:val="superscript"/>
        </w:rPr>
        <w:t xml:space="preserve">7 </w:t>
      </w:r>
      <w:r w:rsidRPr="00644AF5">
        <w:rPr>
          <w:rFonts w:ascii="Calibri" w:hAnsi="Calibri" w:cs="Calibri"/>
          <w:color w:val="000000" w:themeColor="text1"/>
        </w:rPr>
        <w:t xml:space="preserve">cells/mL of wildtype </w:t>
      </w:r>
      <w:r w:rsidRPr="00644AF5">
        <w:rPr>
          <w:rStyle w:val="Emphasis"/>
          <w:rFonts w:ascii="Calibri" w:hAnsi="Calibri" w:cs="Calibri"/>
          <w:color w:val="000000" w:themeColor="text1"/>
        </w:rPr>
        <w:t xml:space="preserve">C. albicans </w:t>
      </w:r>
      <w:r w:rsidRPr="00644AF5">
        <w:rPr>
          <w:rStyle w:val="Emphasis"/>
          <w:rFonts w:ascii="Calibri" w:hAnsi="Calibri" w:cs="Calibri"/>
          <w:i w:val="0"/>
          <w:iCs w:val="0"/>
          <w:color w:val="000000" w:themeColor="text1"/>
        </w:rPr>
        <w:t xml:space="preserve">and collected at 1, 4, and 7 dpi. Fungal </w:t>
      </w:r>
      <w:r w:rsidRPr="00644AF5">
        <w:rPr>
          <w:rFonts w:ascii="Calibri" w:hAnsi="Calibri" w:cs="Calibri"/>
          <w:color w:val="000000" w:themeColor="text1"/>
        </w:rPr>
        <w:t>cells were detected using an anti-</w:t>
      </w:r>
      <w:r w:rsidRPr="00644AF5">
        <w:rPr>
          <w:rStyle w:val="Emphasis"/>
          <w:rFonts w:ascii="Calibri" w:hAnsi="Calibri" w:cs="Calibri"/>
          <w:color w:val="000000" w:themeColor="text1"/>
        </w:rPr>
        <w:t>Candida</w:t>
      </w:r>
      <w:r w:rsidRPr="00644AF5">
        <w:rPr>
          <w:rFonts w:ascii="Calibri" w:hAnsi="Calibri" w:cs="Calibri"/>
          <w:color w:val="000000" w:themeColor="text1"/>
        </w:rPr>
        <w:t xml:space="preserve"> primary antibody and Alexa Fluor 568-conjugated secondary antibody. Fluorescence labeling denotes attached </w:t>
      </w:r>
      <w:r w:rsidRPr="00644AF5">
        <w:rPr>
          <w:rFonts w:ascii="Calibri" w:hAnsi="Calibri" w:cs="Calibri"/>
          <w:i/>
          <w:iCs/>
          <w:color w:val="000000" w:themeColor="text1"/>
        </w:rPr>
        <w:t xml:space="preserve">C. albicans </w:t>
      </w:r>
      <w:r w:rsidRPr="00644AF5">
        <w:rPr>
          <w:rFonts w:ascii="Calibri" w:hAnsi="Calibri" w:cs="Calibri"/>
          <w:color w:val="000000" w:themeColor="text1"/>
        </w:rPr>
        <w:t xml:space="preserve">cells on planarian epithelial surfaces. </w:t>
      </w:r>
      <w:r w:rsidRPr="00644AF5">
        <w:rPr>
          <w:rStyle w:val="Emphasis"/>
          <w:rFonts w:ascii="Calibri" w:hAnsi="Calibri" w:cs="Calibri"/>
          <w:i w:val="0"/>
          <w:iCs w:val="0"/>
          <w:color w:val="000000" w:themeColor="text1"/>
        </w:rPr>
        <w:t>Scale bar, 200 µm. A 2x objective was used.</w:t>
      </w:r>
    </w:p>
    <w:p w14:paraId="217B9F9C" w14:textId="77777777" w:rsidR="004A6EF9" w:rsidRPr="00644AF5" w:rsidRDefault="004A6EF9" w:rsidP="00B946B4">
      <w:pPr>
        <w:pBdr>
          <w:top w:val="nil"/>
          <w:left w:val="nil"/>
          <w:bottom w:val="nil"/>
          <w:right w:val="nil"/>
          <w:between w:val="nil"/>
        </w:pBdr>
        <w:ind w:left="0" w:firstLine="0"/>
        <w:contextualSpacing/>
        <w:jc w:val="both"/>
        <w:rPr>
          <w:rFonts w:ascii="Calibri" w:hAnsi="Calibri" w:cs="Calibri"/>
          <w:b/>
          <w:bCs/>
          <w:color w:val="000000" w:themeColor="text1"/>
        </w:rPr>
      </w:pPr>
    </w:p>
    <w:p w14:paraId="1EA6F4D2" w14:textId="286D80E0" w:rsidR="004A6EF9" w:rsidRPr="00644AF5" w:rsidRDefault="004A6EF9" w:rsidP="00B946B4">
      <w:pPr>
        <w:ind w:left="0" w:firstLine="0"/>
        <w:contextualSpacing/>
        <w:jc w:val="both"/>
        <w:rPr>
          <w:rFonts w:ascii="Calibri" w:hAnsi="Calibri" w:cs="Calibri"/>
          <w:color w:val="000000" w:themeColor="text1"/>
        </w:rPr>
      </w:pPr>
      <w:r w:rsidRPr="00644AF5">
        <w:rPr>
          <w:rStyle w:val="Strong"/>
          <w:rFonts w:ascii="Calibri" w:hAnsi="Calibri" w:cs="Calibri"/>
          <w:color w:val="000000" w:themeColor="text1"/>
        </w:rPr>
        <w:t xml:space="preserve">Figure 4: Categorical host outcomes following infection with wildtype </w:t>
      </w:r>
      <w:r w:rsidRPr="00644AF5">
        <w:rPr>
          <w:rStyle w:val="Strong"/>
          <w:rFonts w:ascii="Calibri" w:hAnsi="Calibri" w:cs="Calibri"/>
          <w:i/>
          <w:iCs/>
          <w:color w:val="000000" w:themeColor="text1"/>
        </w:rPr>
        <w:t xml:space="preserve">C. albicans </w:t>
      </w:r>
      <w:r w:rsidRPr="00644AF5">
        <w:rPr>
          <w:rStyle w:val="Strong"/>
          <w:rFonts w:ascii="Calibri" w:hAnsi="Calibri" w:cs="Calibri"/>
          <w:color w:val="000000" w:themeColor="text1"/>
        </w:rPr>
        <w:t>at infectious and lethal doses</w:t>
      </w:r>
      <w:r w:rsidRPr="00644AF5">
        <w:rPr>
          <w:rStyle w:val="Strong"/>
          <w:rFonts w:ascii="Calibri" w:hAnsi="Calibri" w:cs="Calibri"/>
          <w:i/>
          <w:iCs/>
          <w:color w:val="000000" w:themeColor="text1"/>
        </w:rPr>
        <w:t>.</w:t>
      </w:r>
      <w:r w:rsidRPr="00644AF5">
        <w:rPr>
          <w:rFonts w:ascii="Calibri" w:hAnsi="Calibri" w:cs="Calibri"/>
          <w:color w:val="000000" w:themeColor="text1"/>
        </w:rPr>
        <w:t xml:space="preserve"> Host outcomes were assessed at 4 dpi following exposure to 7.0×10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cells/mL (ID</w:t>
      </w:r>
      <w:r w:rsidRPr="00644AF5">
        <w:rPr>
          <w:rFonts w:ascii="Calibri" w:hAnsi="Calibri" w:cs="Calibri"/>
          <w:color w:val="000000" w:themeColor="text1"/>
          <w:vertAlign w:val="subscript"/>
        </w:rPr>
        <w:t>50</w:t>
      </w:r>
      <w:r w:rsidRPr="00644AF5">
        <w:rPr>
          <w:rFonts w:ascii="Calibri" w:hAnsi="Calibri" w:cs="Calibri"/>
          <w:color w:val="000000" w:themeColor="text1"/>
        </w:rPr>
        <w:t>) or 8.0×10</w:t>
      </w:r>
      <w:r w:rsidRPr="00644AF5">
        <w:rPr>
          <w:rFonts w:ascii="Calibri" w:hAnsi="Calibri" w:cs="Calibri"/>
          <w:color w:val="000000" w:themeColor="text1"/>
          <w:vertAlign w:val="superscript"/>
        </w:rPr>
        <w:t>7</w:t>
      </w:r>
      <w:r w:rsidRPr="00644AF5">
        <w:rPr>
          <w:rFonts w:ascii="Calibri" w:hAnsi="Calibri" w:cs="Calibri"/>
          <w:color w:val="000000" w:themeColor="text1"/>
        </w:rPr>
        <w:t xml:space="preserve"> cells/mL (LD</w:t>
      </w:r>
      <w:r w:rsidRPr="00644AF5">
        <w:rPr>
          <w:rFonts w:ascii="Calibri" w:hAnsi="Calibri" w:cs="Calibri"/>
          <w:color w:val="000000" w:themeColor="text1"/>
          <w:vertAlign w:val="subscript"/>
        </w:rPr>
        <w:t>50</w:t>
      </w:r>
      <w:r w:rsidRPr="00644AF5">
        <w:rPr>
          <w:rFonts w:ascii="Calibri" w:hAnsi="Calibri" w:cs="Calibri"/>
          <w:color w:val="000000" w:themeColor="text1"/>
        </w:rPr>
        <w:t xml:space="preserve">) of wild-type </w:t>
      </w:r>
      <w:r w:rsidRPr="00644AF5">
        <w:rPr>
          <w:rFonts w:ascii="Calibri" w:hAnsi="Calibri" w:cs="Calibri"/>
          <w:i/>
          <w:iCs/>
          <w:color w:val="000000" w:themeColor="text1"/>
        </w:rPr>
        <w:t>C. albicans</w:t>
      </w:r>
      <w:r w:rsidRPr="00644AF5">
        <w:rPr>
          <w:rFonts w:ascii="Calibri" w:hAnsi="Calibri" w:cs="Calibri"/>
          <w:color w:val="000000" w:themeColor="text1"/>
        </w:rPr>
        <w:t>. Mock-infected controls exhibited no symptoms or deaths. Infected animals were categorized into 3 groups: asymptomatic (infected but phenotypically indistinguishable from uninfected animals), symptomatic (exhibiting one or more pathological symptoms) or dead. At least nine biological replicates (5-10 animals per replicate) were pooled and analyzed. Statistical differences in overall host health between ID</w:t>
      </w:r>
      <w:r w:rsidRPr="00644AF5">
        <w:rPr>
          <w:rFonts w:ascii="Calibri" w:hAnsi="Calibri" w:cs="Calibri"/>
          <w:color w:val="000000" w:themeColor="text1"/>
          <w:vertAlign w:val="subscript"/>
        </w:rPr>
        <w:t xml:space="preserve">50 </w:t>
      </w:r>
      <w:r w:rsidRPr="00644AF5">
        <w:rPr>
          <w:rFonts w:ascii="Calibri" w:hAnsi="Calibri" w:cs="Calibri"/>
          <w:color w:val="000000" w:themeColor="text1"/>
        </w:rPr>
        <w:t>and LD</w:t>
      </w:r>
      <w:r w:rsidRPr="00644AF5">
        <w:rPr>
          <w:rFonts w:ascii="Calibri" w:hAnsi="Calibri" w:cs="Calibri"/>
          <w:color w:val="000000" w:themeColor="text1"/>
          <w:vertAlign w:val="subscript"/>
        </w:rPr>
        <w:t xml:space="preserve">50 </w:t>
      </w:r>
      <w:r w:rsidRPr="00644AF5">
        <w:rPr>
          <w:rFonts w:ascii="Calibri" w:hAnsi="Calibri" w:cs="Calibri"/>
          <w:color w:val="000000" w:themeColor="text1"/>
        </w:rPr>
        <w:t xml:space="preserve">doses were determined using isometric log-ratio (ILR) transformation with MANOVA; </w:t>
      </w:r>
      <w:bookmarkStart w:id="1" w:name="_Hlk214552739"/>
      <w:r w:rsidRPr="00644AF5">
        <w:rPr>
          <w:rFonts w:ascii="Calibri" w:hAnsi="Calibri" w:cs="Calibri"/>
          <w:color w:val="000000" w:themeColor="text1"/>
        </w:rPr>
        <w:t>*</w:t>
      </w:r>
      <w:bookmarkEnd w:id="1"/>
      <w:r w:rsidRPr="00644AF5">
        <w:rPr>
          <w:rFonts w:ascii="Calibri" w:hAnsi="Calibri" w:cs="Calibri"/>
          <w:color w:val="000000" w:themeColor="text1"/>
        </w:rPr>
        <w:t xml:space="preserve"> </w:t>
      </w:r>
      <w:r w:rsidRPr="00644AF5">
        <w:rPr>
          <w:rFonts w:ascii="Calibri" w:hAnsi="Calibri" w:cs="Calibri"/>
          <w:i/>
          <w:iCs/>
          <w:color w:val="000000" w:themeColor="text1"/>
        </w:rPr>
        <w:t xml:space="preserve">p </w:t>
      </w:r>
      <w:r w:rsidRPr="00644AF5">
        <w:rPr>
          <w:rFonts w:ascii="Calibri" w:hAnsi="Calibri" w:cs="Calibri"/>
          <w:color w:val="000000" w:themeColor="text1"/>
        </w:rPr>
        <w:t xml:space="preserve">= 0.04. Statistical analyses were performed </w:t>
      </w:r>
      <w:r w:rsidR="00DE7F57">
        <w:rPr>
          <w:rFonts w:ascii="Calibri" w:hAnsi="Calibri" w:cs="Calibri"/>
          <w:color w:val="000000" w:themeColor="text1"/>
        </w:rPr>
        <w:t>using standard statistical software, and results were visualized using graphing and data visualization tools</w:t>
      </w:r>
      <w:r w:rsidRPr="00644AF5">
        <w:rPr>
          <w:rFonts w:ascii="Calibri" w:hAnsi="Calibri" w:cs="Calibri"/>
          <w:color w:val="000000" w:themeColor="text1"/>
        </w:rPr>
        <w:t>.</w:t>
      </w:r>
    </w:p>
    <w:p w14:paraId="060AEB44" w14:textId="77777777" w:rsidR="004A6EF9" w:rsidRPr="00644AF5" w:rsidRDefault="004A6EF9" w:rsidP="00B946B4">
      <w:pPr>
        <w:keepLines/>
        <w:pBdr>
          <w:top w:val="nil"/>
          <w:left w:val="nil"/>
          <w:bottom w:val="nil"/>
          <w:right w:val="nil"/>
          <w:between w:val="nil"/>
        </w:pBdr>
        <w:adjustRightInd w:val="0"/>
        <w:ind w:left="0" w:firstLine="0"/>
        <w:contextualSpacing/>
        <w:jc w:val="both"/>
        <w:rPr>
          <w:rFonts w:ascii="Calibri" w:hAnsi="Calibri" w:cs="Calibri"/>
          <w:b/>
          <w:bCs/>
          <w:color w:val="000000" w:themeColor="text1"/>
        </w:rPr>
      </w:pPr>
    </w:p>
    <w:p w14:paraId="6BF05469" w14:textId="1E4E3999" w:rsidR="004A6EF9" w:rsidRPr="00644AF5" w:rsidRDefault="004A6EF9" w:rsidP="00B946B4">
      <w:pPr>
        <w:keepLines/>
        <w:pBdr>
          <w:top w:val="nil"/>
          <w:left w:val="nil"/>
          <w:bottom w:val="nil"/>
          <w:right w:val="nil"/>
          <w:between w:val="nil"/>
        </w:pBdr>
        <w:adjustRightInd w:val="0"/>
        <w:ind w:left="0" w:firstLine="0"/>
        <w:contextualSpacing/>
        <w:jc w:val="both"/>
        <w:rPr>
          <w:rFonts w:ascii="Calibri" w:hAnsi="Calibri" w:cs="Calibri"/>
          <w:color w:val="000000" w:themeColor="text1"/>
        </w:rPr>
      </w:pPr>
      <w:r w:rsidRPr="00644AF5">
        <w:rPr>
          <w:rFonts w:ascii="Calibri" w:hAnsi="Calibri" w:cs="Calibri"/>
          <w:b/>
          <w:bCs/>
          <w:color w:val="000000" w:themeColor="text1"/>
        </w:rPr>
        <w:t xml:space="preserve">Figure 5: Host median survival decreases in a dose-dependent manner following infection with wildtype </w:t>
      </w:r>
      <w:r w:rsidRPr="00644AF5">
        <w:rPr>
          <w:rFonts w:ascii="Calibri" w:hAnsi="Calibri" w:cs="Calibri"/>
          <w:b/>
          <w:bCs/>
          <w:i/>
          <w:iCs/>
          <w:color w:val="000000" w:themeColor="text1"/>
        </w:rPr>
        <w:t>C. albicans</w:t>
      </w:r>
      <w:r w:rsidRPr="00644AF5">
        <w:rPr>
          <w:rFonts w:ascii="Calibri" w:hAnsi="Calibri" w:cs="Calibri"/>
          <w:b/>
          <w:bCs/>
          <w:color w:val="000000" w:themeColor="text1"/>
        </w:rPr>
        <w:t xml:space="preserve">. </w:t>
      </w:r>
      <w:r w:rsidRPr="00644AF5">
        <w:rPr>
          <w:rFonts w:ascii="Calibri" w:hAnsi="Calibri" w:cs="Calibri"/>
          <w:color w:val="000000" w:themeColor="text1"/>
        </w:rPr>
        <w:t>Median host survival was assessed across infection doses: 7.0×10⁷ cells/mL, 8.0×10⁷ cells/mL, and 8.5×10⁷ cells/mL of wildtype</w:t>
      </w:r>
      <w:r w:rsidRPr="00644AF5">
        <w:rPr>
          <w:rFonts w:ascii="Calibri" w:hAnsi="Calibri" w:cs="Calibri"/>
          <w:i/>
          <w:iCs/>
          <w:color w:val="000000" w:themeColor="text1"/>
        </w:rPr>
        <w:t xml:space="preserve"> C. albicans</w:t>
      </w:r>
      <w:r w:rsidRPr="00644AF5">
        <w:rPr>
          <w:rFonts w:ascii="Calibri" w:hAnsi="Calibri" w:cs="Calibri"/>
          <w:color w:val="000000" w:themeColor="text1"/>
        </w:rPr>
        <w:t>. The doses represent sublethal infectious dose, a 50% lethal dose and &gt;50% lethal dose. Uninfected controls exhibited 100% survival. Each data point represents the aggregate survival of five planarians (for the 8.0×10⁷ cells/mL dose) or ten planarians (for the 7.0×10⁷ cells/mL and 8.5×10⁷ cells/mL doses)</w:t>
      </w:r>
      <w:r w:rsidRPr="00644AF5">
        <w:rPr>
          <w:rFonts w:ascii="Calibri" w:hAnsi="Calibri" w:cs="Calibri"/>
          <w:i/>
          <w:iCs/>
          <w:color w:val="000000" w:themeColor="text1"/>
        </w:rPr>
        <w:t xml:space="preserve">. </w:t>
      </w:r>
      <w:r w:rsidRPr="00644AF5">
        <w:rPr>
          <w:rFonts w:ascii="Calibri" w:hAnsi="Calibri" w:cs="Calibri"/>
          <w:color w:val="000000" w:themeColor="text1"/>
        </w:rPr>
        <w:t>Nine replicates were performed and data was pooled across at least 45 animals per group.</w:t>
      </w:r>
      <w:r w:rsidRPr="00644AF5">
        <w:rPr>
          <w:rFonts w:ascii="Calibri" w:hAnsi="Calibri" w:cs="Calibri"/>
          <w:i/>
          <w:iCs/>
          <w:color w:val="000000" w:themeColor="text1"/>
        </w:rPr>
        <w:t xml:space="preserve"> </w:t>
      </w:r>
      <w:r w:rsidRPr="00644AF5">
        <w:rPr>
          <w:rFonts w:ascii="Calibri" w:hAnsi="Calibri" w:cs="Calibri"/>
          <w:color w:val="000000" w:themeColor="text1"/>
        </w:rPr>
        <w:t xml:space="preserve">The median survival and interquartile range is represented for each condition. Asterisks indicate levels of statistical significance; ns = no significance; * </w:t>
      </w:r>
      <w:r w:rsidRPr="00644AF5">
        <w:rPr>
          <w:rStyle w:val="Emphasis"/>
          <w:rFonts w:ascii="Calibri" w:hAnsi="Calibri" w:cs="Calibri"/>
          <w:color w:val="000000" w:themeColor="text1"/>
        </w:rPr>
        <w:t>p</w:t>
      </w:r>
      <w:r w:rsidRPr="00644AF5">
        <w:rPr>
          <w:rFonts w:ascii="Calibri" w:hAnsi="Calibri" w:cs="Calibri"/>
          <w:color w:val="000000" w:themeColor="text1"/>
        </w:rPr>
        <w:t xml:space="preserve"> &lt; 0.05; ** </w:t>
      </w:r>
      <w:r w:rsidRPr="00644AF5">
        <w:rPr>
          <w:rStyle w:val="Emphasis"/>
          <w:rFonts w:ascii="Calibri" w:hAnsi="Calibri" w:cs="Calibri"/>
          <w:color w:val="000000" w:themeColor="text1"/>
        </w:rPr>
        <w:t>p</w:t>
      </w:r>
      <w:r w:rsidRPr="00644AF5">
        <w:rPr>
          <w:rFonts w:ascii="Calibri" w:hAnsi="Calibri" w:cs="Calibri"/>
          <w:color w:val="000000" w:themeColor="text1"/>
        </w:rPr>
        <w:t xml:space="preserve"> &lt; 0.01; *** </w:t>
      </w:r>
      <w:r w:rsidRPr="00644AF5">
        <w:rPr>
          <w:rStyle w:val="Emphasis"/>
          <w:rFonts w:ascii="Calibri" w:hAnsi="Calibri" w:cs="Calibri"/>
          <w:color w:val="000000" w:themeColor="text1"/>
        </w:rPr>
        <w:t>p</w:t>
      </w:r>
      <w:r w:rsidRPr="00644AF5">
        <w:rPr>
          <w:rFonts w:ascii="Calibri" w:hAnsi="Calibri" w:cs="Calibri"/>
          <w:color w:val="000000" w:themeColor="text1"/>
        </w:rPr>
        <w:t xml:space="preserve"> &lt; 0.001; **** </w:t>
      </w:r>
      <w:r w:rsidRPr="00644AF5">
        <w:rPr>
          <w:rStyle w:val="Emphasis"/>
          <w:rFonts w:ascii="Calibri" w:hAnsi="Calibri" w:cs="Calibri"/>
          <w:color w:val="000000" w:themeColor="text1"/>
        </w:rPr>
        <w:t>p</w:t>
      </w:r>
      <w:r w:rsidRPr="00644AF5">
        <w:rPr>
          <w:rFonts w:ascii="Calibri" w:hAnsi="Calibri" w:cs="Calibri"/>
          <w:color w:val="000000" w:themeColor="text1"/>
        </w:rPr>
        <w:t xml:space="preserve"> &lt; 0.0001, determined using Kruskal-Wallis and Dunn’s post hoc tests with Bonferroni correction. </w:t>
      </w:r>
      <w:r w:rsidR="00DE7F57" w:rsidRPr="00DE7F57">
        <w:rPr>
          <w:rFonts w:ascii="Calibri" w:hAnsi="Calibri" w:cs="Calibri"/>
          <w:color w:val="000000" w:themeColor="text1"/>
        </w:rPr>
        <w:t>Statistical analyses were performed using standard statistical software, and results were visualized using graphing and data visualization tools.</w:t>
      </w:r>
    </w:p>
    <w:p w14:paraId="7DE32FA2" w14:textId="77777777" w:rsidR="004A6EF9" w:rsidRPr="00644AF5" w:rsidRDefault="004A6EF9" w:rsidP="00B946B4">
      <w:pPr>
        <w:keepLines/>
        <w:pBdr>
          <w:top w:val="nil"/>
          <w:left w:val="nil"/>
          <w:bottom w:val="nil"/>
          <w:right w:val="nil"/>
          <w:between w:val="nil"/>
        </w:pBdr>
        <w:adjustRightInd w:val="0"/>
        <w:ind w:left="0" w:firstLine="0"/>
        <w:contextualSpacing/>
        <w:jc w:val="both"/>
        <w:rPr>
          <w:rFonts w:ascii="Calibri" w:hAnsi="Calibri" w:cs="Calibri"/>
          <w:color w:val="000000" w:themeColor="text1"/>
        </w:rPr>
      </w:pPr>
    </w:p>
    <w:p w14:paraId="0FA764D9" w14:textId="3A04686A" w:rsidR="004A6EF9" w:rsidRPr="00644AF5" w:rsidRDefault="004A6EF9" w:rsidP="00B946B4">
      <w:pPr>
        <w:keepLines/>
        <w:pBdr>
          <w:top w:val="nil"/>
          <w:left w:val="nil"/>
          <w:bottom w:val="nil"/>
          <w:right w:val="nil"/>
          <w:between w:val="nil"/>
        </w:pBdr>
        <w:adjustRightInd w:val="0"/>
        <w:ind w:left="0" w:firstLine="0"/>
        <w:contextualSpacing/>
        <w:jc w:val="both"/>
        <w:rPr>
          <w:rFonts w:ascii="Calibri" w:hAnsi="Calibri" w:cs="Calibri"/>
          <w:color w:val="000000" w:themeColor="text1"/>
        </w:rPr>
      </w:pPr>
      <w:r w:rsidRPr="00644AF5">
        <w:rPr>
          <w:rFonts w:ascii="Calibri" w:hAnsi="Calibri" w:cs="Calibri"/>
          <w:b/>
          <w:bCs/>
          <w:color w:val="000000" w:themeColor="text1"/>
        </w:rPr>
        <w:t xml:space="preserve">Figure 6: Kaplan-Meier survival analysis of planarians infected with a lethal dose of wildtype </w:t>
      </w:r>
      <w:r w:rsidRPr="00644AF5">
        <w:rPr>
          <w:rFonts w:ascii="Calibri" w:hAnsi="Calibri" w:cs="Calibri"/>
          <w:b/>
          <w:bCs/>
          <w:i/>
          <w:iCs/>
          <w:color w:val="000000" w:themeColor="text1"/>
        </w:rPr>
        <w:t>C. albicans</w:t>
      </w:r>
      <w:r w:rsidRPr="00644AF5">
        <w:rPr>
          <w:rFonts w:ascii="Calibri" w:hAnsi="Calibri" w:cs="Calibri"/>
          <w:b/>
          <w:bCs/>
          <w:color w:val="000000" w:themeColor="text1"/>
        </w:rPr>
        <w:t xml:space="preserve">. </w:t>
      </w:r>
      <w:r w:rsidRPr="00644AF5">
        <w:rPr>
          <w:rFonts w:ascii="Calibri" w:hAnsi="Calibri" w:cs="Calibri"/>
          <w:color w:val="000000" w:themeColor="text1"/>
        </w:rPr>
        <w:t xml:space="preserve">Kaplan-Meier survival curves compare mock infected planarians with those infected with wildtype </w:t>
      </w:r>
      <w:r w:rsidRPr="00644AF5">
        <w:rPr>
          <w:rFonts w:ascii="Calibri" w:hAnsi="Calibri" w:cs="Calibri"/>
          <w:i/>
          <w:iCs/>
          <w:color w:val="000000" w:themeColor="text1"/>
        </w:rPr>
        <w:t xml:space="preserve">C. albicans </w:t>
      </w:r>
      <w:r w:rsidRPr="00644AF5">
        <w:rPr>
          <w:rFonts w:ascii="Calibri" w:hAnsi="Calibri" w:cs="Calibri"/>
          <w:color w:val="000000" w:themeColor="text1"/>
        </w:rPr>
        <w:t>(8.0×10⁷ cells/mL; LD</w:t>
      </w:r>
      <w:r w:rsidRPr="00644AF5">
        <w:rPr>
          <w:rFonts w:ascii="Calibri" w:hAnsi="Calibri" w:cs="Calibri"/>
          <w:color w:val="000000" w:themeColor="text1"/>
          <w:vertAlign w:val="subscript"/>
        </w:rPr>
        <w:t xml:space="preserve">50 </w:t>
      </w:r>
      <w:r w:rsidRPr="00644AF5">
        <w:rPr>
          <w:rFonts w:ascii="Calibri" w:hAnsi="Calibri" w:cs="Calibri"/>
          <w:color w:val="000000" w:themeColor="text1"/>
        </w:rPr>
        <w:t xml:space="preserve">dose). Overall survival was 100% for uninfected controls and 45.5% for infected animals (95% confidence interval, 30 to 70%). Survival was significantly lower in infected animals compared to controls, determined using Mantel–Cox log-rank test. **** </w:t>
      </w:r>
      <w:r w:rsidRPr="00644AF5">
        <w:rPr>
          <w:rStyle w:val="Emphasis"/>
          <w:rFonts w:ascii="Calibri" w:hAnsi="Calibri" w:cs="Calibri"/>
          <w:color w:val="000000" w:themeColor="text1"/>
        </w:rPr>
        <w:t>p</w:t>
      </w:r>
      <w:r w:rsidRPr="00644AF5">
        <w:rPr>
          <w:rFonts w:ascii="Calibri" w:hAnsi="Calibri" w:cs="Calibri"/>
          <w:color w:val="000000" w:themeColor="text1"/>
        </w:rPr>
        <w:t xml:space="preserve"> &lt; 0.0001. A total of 45 animals per group were pooled and analyzed across nine replicates, of which five were biological replicates (5 animals per replicate). All planarians were maintained under identical conditions and monitored for a total of 7 days. Infected animals were exposed for the standard 3-day period. Statistical analyses and visualization of results were performed using</w:t>
      </w:r>
      <w:r w:rsidR="00DE7F57" w:rsidRPr="00DE7F57">
        <w:rPr>
          <w:rFonts w:ascii="Calibri" w:hAnsi="Calibri" w:cs="Calibri"/>
          <w:color w:val="000000" w:themeColor="text1"/>
        </w:rPr>
        <w:t xml:space="preserve"> graphing and data visualization tools</w:t>
      </w:r>
      <w:r w:rsidRPr="00644AF5">
        <w:rPr>
          <w:rFonts w:ascii="Calibri" w:hAnsi="Calibri" w:cs="Calibri"/>
          <w:color w:val="000000" w:themeColor="text1"/>
        </w:rPr>
        <w:t>.</w:t>
      </w:r>
    </w:p>
    <w:p w14:paraId="2BC707FE" w14:textId="334A664C" w:rsidR="004A6EF9" w:rsidRPr="00644AF5" w:rsidRDefault="004A6EF9" w:rsidP="00B946B4">
      <w:pPr>
        <w:ind w:left="0" w:firstLine="0"/>
        <w:contextualSpacing/>
        <w:jc w:val="both"/>
        <w:rPr>
          <w:rFonts w:ascii="Calibri" w:hAnsi="Calibri" w:cs="Calibri"/>
          <w:b/>
          <w:bCs/>
          <w:color w:val="000000" w:themeColor="text1"/>
        </w:rPr>
      </w:pPr>
    </w:p>
    <w:p w14:paraId="6B1DFF20" w14:textId="33359A5D" w:rsidR="00B946B4" w:rsidRPr="00644AF5" w:rsidRDefault="004A6EF9" w:rsidP="00B946B4">
      <w:pPr>
        <w:ind w:left="0" w:firstLine="0"/>
        <w:contextualSpacing/>
        <w:jc w:val="both"/>
        <w:rPr>
          <w:rFonts w:ascii="Calibri" w:hAnsi="Calibri" w:cs="Calibri"/>
          <w:color w:val="000000" w:themeColor="text1"/>
        </w:rPr>
      </w:pPr>
      <w:r w:rsidRPr="00644AF5">
        <w:rPr>
          <w:rFonts w:ascii="Calibri" w:hAnsi="Calibri" w:cs="Calibri"/>
          <w:b/>
          <w:bCs/>
          <w:color w:val="000000" w:themeColor="text1"/>
        </w:rPr>
        <w:t xml:space="preserve">Table 1: Key revisions to the </w:t>
      </w:r>
      <w:r w:rsidRPr="00644AF5">
        <w:rPr>
          <w:rFonts w:ascii="Calibri" w:hAnsi="Calibri" w:cs="Calibri"/>
          <w:b/>
          <w:bCs/>
          <w:i/>
          <w:iCs/>
          <w:color w:val="000000" w:themeColor="text1"/>
        </w:rPr>
        <w:t>S. mediterranea-C. albicans</w:t>
      </w:r>
      <w:r w:rsidRPr="00644AF5">
        <w:rPr>
          <w:rFonts w:ascii="Calibri" w:hAnsi="Calibri" w:cs="Calibri"/>
          <w:b/>
          <w:bCs/>
          <w:color w:val="000000" w:themeColor="text1"/>
        </w:rPr>
        <w:t xml:space="preserve"> infection protocol. </w:t>
      </w:r>
      <w:r w:rsidRPr="00644AF5">
        <w:rPr>
          <w:rFonts w:ascii="Calibri" w:hAnsi="Calibri" w:cs="Calibri"/>
          <w:color w:val="000000" w:themeColor="text1"/>
        </w:rPr>
        <w:t>A summary of the major updated system features in this optimized infection protocol.</w:t>
      </w:r>
    </w:p>
    <w:p w14:paraId="13B5EB78" w14:textId="77777777" w:rsidR="004A6EF9" w:rsidRDefault="004A6EF9" w:rsidP="004A6EF9">
      <w:pPr>
        <w:ind w:left="0" w:firstLine="0"/>
        <w:contextualSpacing/>
        <w:rPr>
          <w:rFonts w:ascii="Calibri" w:hAnsi="Calibri" w:cs="Calibri"/>
          <w:color w:val="000000" w:themeColor="text1"/>
        </w:rPr>
      </w:pPr>
    </w:p>
    <w:p w14:paraId="15C22C58" w14:textId="47CC655A" w:rsidR="0090602D" w:rsidRPr="00644AF5" w:rsidRDefault="0090602D" w:rsidP="0090602D">
      <w:pPr>
        <w:ind w:left="0" w:firstLine="0"/>
        <w:contextualSpacing/>
        <w:jc w:val="both"/>
        <w:rPr>
          <w:rFonts w:ascii="Calibri" w:hAnsi="Calibri" w:cs="Calibri"/>
          <w:color w:val="000000" w:themeColor="text1"/>
        </w:rPr>
      </w:pPr>
      <w:r w:rsidRPr="00644AF5">
        <w:rPr>
          <w:rFonts w:ascii="Calibri" w:hAnsi="Calibri" w:cs="Calibri"/>
          <w:b/>
          <w:bCs/>
          <w:color w:val="000000" w:themeColor="text1"/>
        </w:rPr>
        <w:t xml:space="preserve">Table </w:t>
      </w:r>
      <w:r>
        <w:rPr>
          <w:rFonts w:ascii="Calibri" w:hAnsi="Calibri" w:cs="Calibri"/>
          <w:b/>
          <w:bCs/>
          <w:color w:val="000000" w:themeColor="text1"/>
        </w:rPr>
        <w:t>2</w:t>
      </w:r>
      <w:r w:rsidRPr="00644AF5">
        <w:rPr>
          <w:rFonts w:ascii="Calibri" w:hAnsi="Calibri" w:cs="Calibri"/>
          <w:b/>
          <w:bCs/>
          <w:color w:val="000000" w:themeColor="text1"/>
        </w:rPr>
        <w:t xml:space="preserve">: </w:t>
      </w:r>
      <w:r>
        <w:rPr>
          <w:rFonts w:ascii="Calibri" w:hAnsi="Calibri" w:cs="Calibri"/>
          <w:b/>
          <w:bCs/>
          <w:color w:val="000000" w:themeColor="text1"/>
        </w:rPr>
        <w:t>Media, buffers, and immunostaining recipes</w:t>
      </w:r>
      <w:r w:rsidRPr="00644AF5">
        <w:rPr>
          <w:rFonts w:ascii="Calibri" w:hAnsi="Calibri" w:cs="Calibri"/>
          <w:b/>
          <w:bCs/>
          <w:color w:val="000000" w:themeColor="text1"/>
        </w:rPr>
        <w:t xml:space="preserve">. </w:t>
      </w:r>
    </w:p>
    <w:p w14:paraId="2C5F44F5" w14:textId="77777777" w:rsidR="0090602D" w:rsidRPr="00644AF5" w:rsidRDefault="0090602D" w:rsidP="004A6EF9">
      <w:pPr>
        <w:ind w:left="0" w:firstLine="0"/>
        <w:contextualSpacing/>
        <w:rPr>
          <w:rFonts w:ascii="Calibri" w:hAnsi="Calibri" w:cs="Calibri"/>
          <w:color w:val="000000" w:themeColor="text1"/>
        </w:rPr>
      </w:pPr>
    </w:p>
    <w:p w14:paraId="451715DD" w14:textId="77777777" w:rsidR="004A6EF9" w:rsidRPr="00644AF5" w:rsidRDefault="004A6EF9" w:rsidP="004A6EF9">
      <w:pPr>
        <w:ind w:left="0" w:firstLine="0"/>
        <w:contextualSpacing/>
        <w:rPr>
          <w:rFonts w:ascii="Calibri" w:hAnsi="Calibri" w:cs="Calibri"/>
          <w:b/>
          <w:bCs/>
          <w:color w:val="000000" w:themeColor="text1"/>
        </w:rPr>
      </w:pPr>
      <w:r w:rsidRPr="00644AF5">
        <w:rPr>
          <w:rFonts w:ascii="Calibri" w:hAnsi="Calibri" w:cs="Calibri"/>
          <w:b/>
          <w:bCs/>
          <w:color w:val="000000" w:themeColor="text1"/>
        </w:rPr>
        <w:t xml:space="preserve">DISCUSSION: </w:t>
      </w:r>
    </w:p>
    <w:p w14:paraId="0E9A19C1" w14:textId="48A24BE7" w:rsidR="00046021" w:rsidRDefault="00046021" w:rsidP="00046021">
      <w:pPr>
        <w:ind w:left="0" w:firstLine="0"/>
        <w:contextualSpacing/>
        <w:jc w:val="both"/>
        <w:rPr>
          <w:rFonts w:ascii="Calibri" w:hAnsi="Calibri" w:cs="Calibri"/>
          <w:color w:val="000000" w:themeColor="text1"/>
        </w:rPr>
      </w:pPr>
      <w:r w:rsidRPr="00046021">
        <w:rPr>
          <w:rFonts w:ascii="Calibri" w:hAnsi="Calibri" w:cs="Calibri"/>
          <w:color w:val="000000" w:themeColor="text1"/>
        </w:rPr>
        <w:t xml:space="preserve">Varying the infectious dose of wildtype C. albicans produces reproducible, dose-dependent differences in morbidity in </w:t>
      </w:r>
      <w:r w:rsidRPr="00046021">
        <w:rPr>
          <w:rFonts w:ascii="Calibri" w:hAnsi="Calibri" w:cs="Calibri"/>
          <w:i/>
          <w:iCs/>
          <w:color w:val="000000" w:themeColor="text1"/>
        </w:rPr>
        <w:t>S. mediterranea</w:t>
      </w:r>
      <w:r w:rsidRPr="00046021">
        <w:rPr>
          <w:rFonts w:ascii="Calibri" w:hAnsi="Calibri" w:cs="Calibri"/>
          <w:color w:val="000000" w:themeColor="text1"/>
        </w:rPr>
        <w:t xml:space="preserve">, underscoring the model’s sensitivity for quantitative assessment of fungal virulence. This protocol outlines strategies for establishing baseline infectious and lethal doses within laboratory-maintained planarian colonies and presents criteria for confirming successful systemic infection via soaking, integrating </w:t>
      </w:r>
      <w:r>
        <w:rPr>
          <w:rFonts w:ascii="Calibri" w:hAnsi="Calibri" w:cs="Calibri"/>
          <w:color w:val="000000" w:themeColor="text1"/>
        </w:rPr>
        <w:t xml:space="preserve">host health scoring with fungal burden measurements </w:t>
      </w:r>
      <w:r w:rsidRPr="00046021">
        <w:rPr>
          <w:rFonts w:ascii="Calibri" w:hAnsi="Calibri" w:cs="Calibri"/>
          <w:color w:val="000000" w:themeColor="text1"/>
        </w:rPr>
        <w:t>using CFU quantification and immunostaining.</w:t>
      </w:r>
    </w:p>
    <w:p w14:paraId="780B6E15" w14:textId="77777777" w:rsidR="00046021" w:rsidRDefault="00046021" w:rsidP="00046021">
      <w:pPr>
        <w:ind w:left="0" w:firstLine="0"/>
        <w:contextualSpacing/>
        <w:jc w:val="both"/>
        <w:rPr>
          <w:rFonts w:ascii="Calibri" w:hAnsi="Calibri" w:cs="Calibri"/>
          <w:color w:val="000000" w:themeColor="text1"/>
        </w:rPr>
      </w:pPr>
    </w:p>
    <w:p w14:paraId="7A752709" w14:textId="633B612A" w:rsidR="004A6EF9" w:rsidRPr="00644AF5" w:rsidRDefault="004A6EF9" w:rsidP="00046021">
      <w:pPr>
        <w:ind w:left="0" w:firstLine="0"/>
        <w:contextualSpacing/>
        <w:jc w:val="both"/>
        <w:rPr>
          <w:rFonts w:ascii="Calibri" w:hAnsi="Calibri" w:cs="Calibri"/>
          <w:color w:val="000000" w:themeColor="text1"/>
        </w:rPr>
      </w:pPr>
      <w:r w:rsidRPr="00644AF5">
        <w:rPr>
          <w:rFonts w:ascii="Calibri" w:hAnsi="Calibri" w:cs="Calibri"/>
          <w:color w:val="000000" w:themeColor="text1"/>
        </w:rPr>
        <w:t>Through systematic optimization, we identified several experimental parameters that are essential for achieving consistent infection dynamics and reproducible host outcomes. Beyond inoculum concentration, factors such as planarian size, population density, and surface area-to-volume ratio markedly influence the progression and severity of infection. The refinements introduced here – including standardized inclusion criteria, controlled infection conditions, and detailed endpoint scoring – substantially improve reproducibility and enable meaningful comparisons across experiments and laboratories.</w:t>
      </w:r>
    </w:p>
    <w:p w14:paraId="7B6787C4" w14:textId="77777777" w:rsidR="004A6EF9" w:rsidRPr="00644AF5" w:rsidRDefault="004A6EF9" w:rsidP="00046021">
      <w:pPr>
        <w:ind w:left="0" w:firstLine="0"/>
        <w:contextualSpacing/>
        <w:jc w:val="both"/>
        <w:rPr>
          <w:rFonts w:ascii="Calibri" w:hAnsi="Calibri" w:cs="Calibri"/>
          <w:color w:val="000000" w:themeColor="text1"/>
        </w:rPr>
      </w:pPr>
    </w:p>
    <w:p w14:paraId="4DD06203" w14:textId="77777777" w:rsidR="004A6EF9" w:rsidRPr="00644AF5" w:rsidRDefault="004A6EF9" w:rsidP="00046021">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Planarians offer a rare combination of experimental accessibility and biological complexity, allowing </w:t>
      </w:r>
      <w:r w:rsidRPr="00644AF5">
        <w:rPr>
          <w:rFonts w:ascii="Calibri" w:hAnsi="Calibri" w:cs="Calibri"/>
          <w:i/>
          <w:iCs/>
          <w:color w:val="000000" w:themeColor="text1"/>
        </w:rPr>
        <w:t>in vivo</w:t>
      </w:r>
      <w:r w:rsidRPr="00644AF5">
        <w:rPr>
          <w:rFonts w:ascii="Calibri" w:hAnsi="Calibri" w:cs="Calibri"/>
          <w:color w:val="000000" w:themeColor="text1"/>
        </w:rPr>
        <w:t xml:space="preserve"> investigation of host-pathogen interactions in a multicellular organism. Their size facilitates rapid macroscopic assessment of disease phenotypes, including motility defects, morphological changes, and survival, while whole-mount immunostaining provides cellular-resolution visualization of host responses throughout the body. Unlike cell culture systems, the planarian model allows real-time analysis of fungal engagement with multiple tissues in an intact organism. Moreover, this protocol supports multisystemic analyses, enabling the study of coordinated responses across epithelial, neural, and immune compartments. These advantages – combined with low cost, minimal ethical constraints, and compatibility with high-throughput screens – establish planarians as a powerful and practical alternative host for studying fungal pathogenesis.</w:t>
      </w:r>
    </w:p>
    <w:p w14:paraId="4E4CF803" w14:textId="77777777" w:rsidR="004A6EF9" w:rsidRPr="00644AF5" w:rsidRDefault="004A6EF9" w:rsidP="00046021">
      <w:pPr>
        <w:ind w:left="0" w:firstLine="0"/>
        <w:contextualSpacing/>
        <w:jc w:val="both"/>
        <w:rPr>
          <w:rFonts w:ascii="Calibri" w:hAnsi="Calibri" w:cs="Calibri"/>
          <w:color w:val="000000" w:themeColor="text1"/>
        </w:rPr>
      </w:pPr>
    </w:p>
    <w:p w14:paraId="79D36CA5" w14:textId="5F7EA786" w:rsidR="004A6EF9" w:rsidRPr="00644AF5" w:rsidRDefault="004A6EF9" w:rsidP="00046021">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The planarian model also has inherent limitations. The absence of an adaptive immune system precludes analysis of T-cell- and B-cell-mediated processes and prevents investigation of adaptive immunological memory. Physiological differences from mammalian hosts – including body temperature, tissue architecture, and organ organization – limit the degree to which certain aspects of mammalian disease progression can be recapitulated. Additionally, planarians’ robust regenerative capacity, while highly valuable for studying tissue repair, can complicate </w:t>
      </w:r>
      <w:r w:rsidR="00046021">
        <w:rPr>
          <w:rFonts w:ascii="Calibri" w:hAnsi="Calibri" w:cs="Calibri"/>
          <w:color w:val="000000" w:themeColor="text1"/>
        </w:rPr>
        <w:t xml:space="preserve">the </w:t>
      </w:r>
      <w:r w:rsidRPr="00644AF5">
        <w:rPr>
          <w:rFonts w:ascii="Calibri" w:hAnsi="Calibri" w:cs="Calibri"/>
          <w:color w:val="000000" w:themeColor="text1"/>
        </w:rPr>
        <w:t>interpretation of infection phenotypes, as accelerated wound healing may obscure the full extent of pathogen-induced damage.</w:t>
      </w:r>
    </w:p>
    <w:p w14:paraId="3EFBE2D0" w14:textId="77777777" w:rsidR="004A6EF9" w:rsidRPr="00644AF5" w:rsidRDefault="004A6EF9" w:rsidP="00046021">
      <w:pPr>
        <w:ind w:left="0" w:firstLine="0"/>
        <w:contextualSpacing/>
        <w:jc w:val="both"/>
        <w:rPr>
          <w:rFonts w:ascii="Calibri" w:hAnsi="Calibri" w:cs="Calibri"/>
          <w:color w:val="000000" w:themeColor="text1"/>
        </w:rPr>
      </w:pPr>
    </w:p>
    <w:p w14:paraId="60391C8D" w14:textId="39487895" w:rsidR="004A6EF9" w:rsidRPr="00644AF5" w:rsidRDefault="004A6EF9" w:rsidP="00046021">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A major strength of the soaking infection protocol is that it enables simultaneous assessment of pathogen behavior and host responses beginning at the earliest stages of colonization and mimics the most common route of human fungal pathogenesis – epithelial overgrowth and barrier disruption. Soaking also facilitates simple and rapid onset and termination of the fungal challenge period, as media containing </w:t>
      </w:r>
      <w:r w:rsidRPr="00644AF5">
        <w:rPr>
          <w:rFonts w:ascii="Calibri" w:hAnsi="Calibri" w:cs="Calibri"/>
          <w:i/>
          <w:iCs/>
          <w:color w:val="000000" w:themeColor="text1"/>
        </w:rPr>
        <w:t>C. albicans</w:t>
      </w:r>
      <w:r w:rsidRPr="00644AF5">
        <w:rPr>
          <w:rFonts w:ascii="Calibri" w:hAnsi="Calibri" w:cs="Calibri"/>
          <w:color w:val="000000" w:themeColor="text1"/>
        </w:rPr>
        <w:t xml:space="preserve"> can be simply added and removed from the wells.  On the pathogen side, the system supports quantitative evaluation of colonization, tissue penetration, and lethality across diverse doses, strains, and conditions. On the host side, planarians permit accessible biochemical, cellular, and genetic analyses to examine epithelial barrier integrity, wound healing, stress responses, and innate immune activation. The platform is also readily scalable, cost-effective, and fully compatible with RNAi-mediated gene perturbation, enabling systematic interrogation of host pathways involved in defense, regeneration, and tissue homeostasis</w:t>
      </w:r>
      <w:r w:rsidRPr="00644AF5">
        <w:rPr>
          <w:rFonts w:ascii="Calibri" w:hAnsi="Calibri" w:cs="Calibri"/>
          <w:color w:val="000000" w:themeColor="text1"/>
        </w:rPr>
        <w:fldChar w:fldCharType="begin"/>
      </w:r>
      <w:r w:rsidR="00AF5B14">
        <w:rPr>
          <w:rFonts w:ascii="Calibri" w:hAnsi="Calibri" w:cs="Calibri"/>
          <w:color w:val="000000" w:themeColor="text1"/>
        </w:rPr>
        <w:instrText xml:space="preserve"> ADDIN ZOTERO_ITEM CSL_CITATION {"citationID":"yjRutUjg","properties":{"formattedCitation":"\\super 34, 35, 53\\nosupersub{}","plainCitation":"34, 35, 53","noteIndex":0},"citationItems":[{"id":217,"uris":["http://zotero.org/users/11181870/items/CT76UT64"],"itemData":{"id":217,"type":"chapter","container-title":"Planarian Regeneration","DOI":"10.1007/978-1-4939-7802-1_18","ISBN":"978-1-4939-7800-7","note":"collection-title: Methods in Molecular Biology","page":"455-466","publisher":"Springer New York","publisher-place":"New York, NY","source":"DOI.org (Crossref)","title":"RNA Interference in Planarians: Feeding and Injection of Synthetic dsRNA","title-short":"RNA Interference in Planarians","URL":"http://link.springer.com/10.1007/978-1-4939-7802-1_18","volume":"1774","editor":[{"family":"Rink","given":"Jochen C."}],"author":[{"family":"Shibata","given":"Norito"},{"family":"Agata","given":"Kiyokazu"}],"accessed":{"date-parts":[["2025",9,10]]},"issued":{"date-parts":[["2018"]]}}},{"id":216,"uris":["http://zotero.org/users/11181870/items/EUN6S8HU"],"itemData":{"id":216,"type":"chapter","abstract":"Abstract\n            Over the past several decades, planarians have emerged as a powerful model system with which to study the cellular and molecular basis of whole-body regeneration. The best studied planarians belong to freshwater flatworm species that maintain their remarkable regenerative capacity partly through the deployment of a population of adult pluripotent stem cells. Assessment of gene function in planarian regeneration has primarily been achieved through RNA interference (RNAi), either through the feeding or injection of double-stranded RNA (dsRNA). RNAi treatment of planarians has several advantages, including ease of use, which allows for medium-throughput screens of hundreds of genes over the course of a single project. Here, I present methods for dsRNA synthesis and RNAi feeding, as well as strategies for follow-up assessment of both structural and functional regeneration of organ systems of planarians, with a special emphasis on neural regeneration.","container-title":"Whole-Body Regeneration","DOI":"10.1007/978-1-0716-2172-1_27","ISBN":"978-1-0716-2171-4","language":"en","note":"collection-title: Methods in Molecular Biology","page":"509-527","publisher":"Springer US","publisher-place":"New York, NY","source":"DOI.org (Crossref)","title":"RNAi Screening to Assess Tissue Regeneration in Planarians","URL":"https://link.springer.com/10.1007/978-1-0716-2172-1_27","volume":"2450","editor":[{"family":"Blanchoud","given":"Simon"},{"family":"Galliot","given":"Brigitte"}],"author":[{"family":"Roberts-Galbraith","given":"Rachel H."}],"accessed":{"date-parts":[["2025",9,10]]},"issued":{"date-parts":[["2022"]]}}},{"id":223,"uris":["http://zotero.org/users/11181870/items/UGCBUCBX"],"itemData":{"id":223,"type":"article-journal","abstract":"Background\n              The ability to assess gene function is essential for understanding biological processes. Currently, RNA interference (RNAi) is the only technique available to assess gene function in planarians, in which it has been induced by means of injection of double‐stranded RNA (dsRNA), soaking, or ingestion of bacteria expressing dsRNA.\n            \n            \n              Results\n              We describe a simple and robust RNAi protocol, involving in vitro synthesis of dsRNA that is fed to the planarians. Advantages of this protocol include the ability to produce dsRNA from any vector without subcloning, resolution of ambiguities in quantity and quality of input dsRNA, as well as time and ease of application. We have evaluated the logistics of inducing RNAi in planarians using this methodology in careful detail, from the ingestion and processing of dsRNA in the intestine, to timing and efficacy of knockdown in neoblasts, germline, and soma. We also present systematic comparisons of effects of amount, frequency, and mode of dsRNA delivery.\n            \n            \n              Conclusions\n              \n                This method gives robust and reproducible results and is amenable to high‐throughput studies. Overall, this RNAi methodology provides a significant advance by combining the strengths of current protocols available for dsRNA delivery in planarians and has the potential to benefit RNAi methods in other systems.\n                Developmental Dynamics 242:718–730, 2013\n                . © 2013 Wiley Periodicals, Inc.\n              \n            \n          , \n            Key Findings\n            \n              \n                \n                  In vitro‐synthesized dsRNA is fed to planarians to induce robust RNAi.\n                \n                \n                  Presentation of an improved protocol for RNAi in planarians amenable to high‐throughput studies.\n                \n                \n                  Analysis of dsRNA processing dynamics and spatiotemporal RNAi activity.\n                \n                \n                  Systematic comparisons of effects of variations in amount, frequency and mode of dsRNA delivery on RNAi efficiency.","container-title":"Developmental Dynamics","DOI":"10.1002/dvdy.23950","ISSN":"1058-8388, 1097-0177","issue":"6","journalAbbreviation":"Developmental Dynamics","language":"en","license":"http://onlinelibrary.wiley.com/termsAndConditions#vor","page":"718-730","source":"DOI.org (Crossref)","title":"RNA interference by feeding in vitro–synthesized double‐stranded RNA to planarians: Methodology and dynamics","title-short":"RNA interference by feeding in vitro–synthesized double‐stranded RNA to planarians","URL":"https://anatomypubs.onlinelibrary.wiley.com/doi/10.1002/dvdy.23950","volume":"242","author":[{"family":"Rouhana","given":"Labib"},{"family":"Weiss","given":"Jennifer A."},{"family":"Forsthoefel","given":"David J."},{"family":"Lee","given":"Hayoung"},{"family":"King","given":"Ryan S."},{"family":"Inoue","given":"Takeshi"},{"family":"Shibata","given":"Norito"},{"family":"Agata","given":"Kiyokazu"},{"family":"Newmark","given":"Phillip A."}],"accessed":{"date-parts":[["2025",11,8]]},"issued":{"date-parts":[["2013",6]]}}}],"schema":"https://github.com/citation-style-language/schema/raw/master/csl-citation.json"} </w:instrText>
      </w:r>
      <w:r w:rsidRPr="00644AF5">
        <w:rPr>
          <w:rFonts w:ascii="Calibri" w:hAnsi="Calibri" w:cs="Calibri"/>
          <w:color w:val="000000" w:themeColor="text1"/>
        </w:rPr>
        <w:fldChar w:fldCharType="separate"/>
      </w:r>
      <w:r w:rsidR="00AF5B14" w:rsidRPr="00AF5B14">
        <w:rPr>
          <w:rFonts w:ascii="Calibri" w:eastAsia="Calibri" w:hAnsi="Calibri" w:cs="Calibri"/>
          <w:color w:val="000000"/>
          <w:vertAlign w:val="superscript"/>
        </w:rPr>
        <w:t>34, 35, 53</w:t>
      </w:r>
      <w:r w:rsidRPr="00644AF5">
        <w:rPr>
          <w:rFonts w:ascii="Calibri" w:hAnsi="Calibri" w:cs="Calibri"/>
          <w:color w:val="000000" w:themeColor="text1"/>
        </w:rPr>
        <w:fldChar w:fldCharType="end"/>
      </w:r>
      <w:r w:rsidRPr="00644AF5">
        <w:rPr>
          <w:rFonts w:ascii="Calibri" w:hAnsi="Calibri" w:cs="Calibri"/>
          <w:color w:val="000000" w:themeColor="text1"/>
        </w:rPr>
        <w:t>. </w:t>
      </w:r>
    </w:p>
    <w:p w14:paraId="0A094902" w14:textId="77777777" w:rsidR="004A6EF9" w:rsidRPr="00644AF5" w:rsidRDefault="004A6EF9" w:rsidP="00046021">
      <w:pPr>
        <w:ind w:left="0" w:firstLine="0"/>
        <w:contextualSpacing/>
        <w:jc w:val="both"/>
        <w:rPr>
          <w:rFonts w:ascii="Calibri" w:hAnsi="Calibri" w:cs="Calibri"/>
          <w:color w:val="000000" w:themeColor="text1"/>
        </w:rPr>
      </w:pPr>
    </w:p>
    <w:p w14:paraId="214287E7" w14:textId="7370DA33" w:rsidR="004A6EF9" w:rsidRPr="00644AF5" w:rsidRDefault="004A6EF9" w:rsidP="00046021">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Overall, this protocol enables a broad range of applications, including high-throughput screening </w:t>
      </w:r>
      <w:r w:rsidR="00046021">
        <w:rPr>
          <w:rFonts w:ascii="Calibri" w:hAnsi="Calibri" w:cs="Calibri"/>
          <w:color w:val="000000" w:themeColor="text1"/>
        </w:rPr>
        <w:t>for pathogen virulence, testing mutant strain libraries, evaluating</w:t>
      </w:r>
      <w:r w:rsidRPr="00644AF5">
        <w:rPr>
          <w:rFonts w:ascii="Calibri" w:hAnsi="Calibri" w:cs="Calibri"/>
          <w:color w:val="000000" w:themeColor="text1"/>
        </w:rPr>
        <w:t xml:space="preserve"> antimicrobial activity, comparative studies across microbial species, and comprehensive assessment of morbidity and mortality in a live host. It also supports detailed analysis of conserved innate immune pathways and regenerative mechanisms. Time-resolved monitoring of infection and recovery allows fine-scale examination of how tissues resist, respond to, and repair following fungal challenge. Compared with other animal models of infectious disease, planarians occupy a complementary and valuable niche – ethically favorable, experimentally versatile, and biologically informative. As such, this platform serves as an effective bridge between reductionistic </w:t>
      </w:r>
      <w:r w:rsidRPr="00644AF5">
        <w:rPr>
          <w:rFonts w:ascii="Calibri" w:hAnsi="Calibri" w:cs="Calibri"/>
          <w:i/>
          <w:iCs/>
          <w:color w:val="000000" w:themeColor="text1"/>
        </w:rPr>
        <w:t>in vitro</w:t>
      </w:r>
      <w:r w:rsidRPr="00644AF5">
        <w:rPr>
          <w:rFonts w:ascii="Calibri" w:hAnsi="Calibri" w:cs="Calibri"/>
          <w:color w:val="000000" w:themeColor="text1"/>
        </w:rPr>
        <w:t xml:space="preserve"> systems and more complex vertebrate models, facilitating </w:t>
      </w:r>
      <w:r w:rsidR="00046021">
        <w:rPr>
          <w:rFonts w:ascii="Calibri" w:hAnsi="Calibri" w:cs="Calibri"/>
          <w:color w:val="000000" w:themeColor="text1"/>
        </w:rPr>
        <w:t xml:space="preserve">the </w:t>
      </w:r>
      <w:r w:rsidRPr="00644AF5">
        <w:rPr>
          <w:rFonts w:ascii="Calibri" w:hAnsi="Calibri" w:cs="Calibri"/>
          <w:color w:val="000000" w:themeColor="text1"/>
        </w:rPr>
        <w:t>discovery of both fungal pathogenic strategies and host protective mechanisms.</w:t>
      </w:r>
    </w:p>
    <w:p w14:paraId="106468E9" w14:textId="77777777" w:rsidR="004A6EF9" w:rsidRPr="00644AF5" w:rsidRDefault="004A6EF9" w:rsidP="004A6EF9">
      <w:pPr>
        <w:ind w:left="0" w:firstLine="0"/>
        <w:contextualSpacing/>
        <w:rPr>
          <w:rFonts w:ascii="Calibri" w:hAnsi="Calibri" w:cs="Calibri"/>
          <w:b/>
          <w:bCs/>
          <w:color w:val="000000" w:themeColor="text1"/>
        </w:rPr>
      </w:pPr>
    </w:p>
    <w:p w14:paraId="77196AC3" w14:textId="77777777" w:rsidR="004A6EF9" w:rsidRPr="00644AF5" w:rsidRDefault="004A6EF9" w:rsidP="004A6EF9">
      <w:pPr>
        <w:ind w:left="0" w:firstLine="0"/>
        <w:contextualSpacing/>
        <w:rPr>
          <w:rFonts w:ascii="Calibri" w:hAnsi="Calibri" w:cs="Calibri"/>
          <w:color w:val="000000" w:themeColor="text1"/>
        </w:rPr>
      </w:pPr>
      <w:r w:rsidRPr="00644AF5">
        <w:rPr>
          <w:rFonts w:ascii="Calibri" w:hAnsi="Calibri" w:cs="Calibri"/>
          <w:b/>
          <w:bCs/>
          <w:color w:val="000000" w:themeColor="text1"/>
        </w:rPr>
        <w:t>ACKNOWLEDGMENTS:</w:t>
      </w:r>
    </w:p>
    <w:p w14:paraId="2521BCEB" w14:textId="77777777" w:rsidR="004A6EF9" w:rsidRPr="00644AF5" w:rsidRDefault="004A6EF9" w:rsidP="00046021">
      <w:pPr>
        <w:ind w:left="0" w:firstLine="0"/>
        <w:contextualSpacing/>
        <w:jc w:val="both"/>
        <w:rPr>
          <w:rFonts w:ascii="Calibri" w:hAnsi="Calibri" w:cs="Calibri"/>
          <w:color w:val="000000" w:themeColor="text1"/>
        </w:rPr>
      </w:pPr>
      <w:r w:rsidRPr="00644AF5">
        <w:rPr>
          <w:rFonts w:ascii="Calibri" w:hAnsi="Calibri" w:cs="Calibri"/>
          <w:color w:val="000000" w:themeColor="text1"/>
        </w:rPr>
        <w:t xml:space="preserve">We thank all members of the Nobile, Oviedo, and Hernday labs for insightful discussions about the </w:t>
      </w:r>
      <w:r w:rsidRPr="00644AF5">
        <w:rPr>
          <w:rFonts w:ascii="Calibri" w:hAnsi="Calibri" w:cs="Calibri"/>
          <w:i/>
          <w:iCs/>
          <w:color w:val="000000" w:themeColor="text1"/>
        </w:rPr>
        <w:t>S. mediterranea</w:t>
      </w:r>
      <w:r w:rsidRPr="00644AF5">
        <w:rPr>
          <w:rFonts w:ascii="Calibri" w:hAnsi="Calibri" w:cs="Calibri"/>
          <w:color w:val="000000" w:themeColor="text1"/>
        </w:rPr>
        <w:t>-</w:t>
      </w:r>
      <w:r w:rsidRPr="00644AF5">
        <w:rPr>
          <w:rFonts w:ascii="Calibri" w:hAnsi="Calibri" w:cs="Calibri"/>
          <w:i/>
          <w:iCs/>
          <w:color w:val="000000" w:themeColor="text1"/>
        </w:rPr>
        <w:t xml:space="preserve">C. albicans </w:t>
      </w:r>
      <w:r w:rsidRPr="00644AF5">
        <w:rPr>
          <w:rFonts w:ascii="Calibri" w:hAnsi="Calibri" w:cs="Calibri"/>
          <w:color w:val="000000" w:themeColor="text1"/>
        </w:rPr>
        <w:t xml:space="preserve">infection model. We are grateful to Edelweiss Pfister for lab management and planarian maintenance. This work was supported by the National Institutes of Health (NIH) National Institute of General Medical Sciences (NIGMS) awards R35GM156045 and R35GM124594 to C.J.N., and R35GM158501 and R01GM132753 to N.J.O. This work was also supported by the Kamangar family in the form of an endowed chair to C.J.N. N.M.S. was supported by the Center for Cellular and Biomolecular Machines (CCBM) National Science Foundation (NSF) Center of Research Excellence in Science and Technology (CREST) fellowships </w:t>
      </w:r>
      <w:r w:rsidRPr="00644AF5">
        <w:rPr>
          <w:rFonts w:ascii="Calibri" w:hAnsi="Calibri" w:cs="Calibri"/>
          <w:color w:val="000000" w:themeColor="text1"/>
        </w:rPr>
        <w:lastRenderedPageBreak/>
        <w:t>under awards NSF-HRD-1547848 and NSF-EES-2112675. The content is the sole responsibility of the authors and does not represent the views of the funders. The funders had no role in the design of the study, in the collection, analysis, or interpretation of data, in the writing of the manuscript, or in the decision to publish the results. N.M.S. acknowledges the use of ChatGPT for assistance with editing the manuscript (checking spelling, grammar, formatting, and sentence structure).</w:t>
      </w:r>
    </w:p>
    <w:p w14:paraId="1A594370" w14:textId="77777777" w:rsidR="004A6EF9" w:rsidRPr="00644AF5" w:rsidRDefault="004A6EF9" w:rsidP="004A6EF9">
      <w:pPr>
        <w:ind w:left="0" w:firstLine="0"/>
        <w:contextualSpacing/>
        <w:rPr>
          <w:rFonts w:ascii="Calibri" w:hAnsi="Calibri" w:cs="Calibri"/>
          <w:b/>
          <w:color w:val="000000" w:themeColor="text1"/>
        </w:rPr>
      </w:pPr>
    </w:p>
    <w:p w14:paraId="6D7CDEC6" w14:textId="77777777" w:rsidR="004A6EF9" w:rsidRPr="00644AF5" w:rsidRDefault="004A6EF9" w:rsidP="004A6EF9">
      <w:pPr>
        <w:pBdr>
          <w:top w:val="nil"/>
          <w:left w:val="nil"/>
          <w:bottom w:val="nil"/>
          <w:right w:val="nil"/>
          <w:between w:val="nil"/>
        </w:pBdr>
        <w:ind w:left="0" w:firstLine="0"/>
        <w:contextualSpacing/>
        <w:rPr>
          <w:rFonts w:ascii="Calibri" w:hAnsi="Calibri" w:cs="Calibri"/>
          <w:color w:val="000000" w:themeColor="text1"/>
        </w:rPr>
      </w:pPr>
      <w:r w:rsidRPr="00644AF5">
        <w:rPr>
          <w:rFonts w:ascii="Calibri" w:hAnsi="Calibri" w:cs="Calibri"/>
          <w:b/>
          <w:color w:val="000000" w:themeColor="text1"/>
        </w:rPr>
        <w:t>DISCLOSURES:</w:t>
      </w:r>
    </w:p>
    <w:p w14:paraId="18293BE0" w14:textId="77777777" w:rsidR="00046021" w:rsidRDefault="00046021" w:rsidP="004A6EF9">
      <w:pPr>
        <w:pStyle w:val="NormalWeb"/>
        <w:ind w:left="0" w:firstLine="0"/>
        <w:contextualSpacing/>
        <w:rPr>
          <w:rFonts w:ascii="Calibri" w:hAnsi="Calibri" w:cs="Calibri"/>
          <w:color w:val="000000" w:themeColor="text1"/>
        </w:rPr>
      </w:pPr>
      <w:r w:rsidRPr="00046021">
        <w:rPr>
          <w:rFonts w:ascii="Calibri" w:hAnsi="Calibri" w:cs="Calibri"/>
          <w:color w:val="000000" w:themeColor="text1"/>
        </w:rPr>
        <w:t>C.J.N. is a co-founder of BioSynesis, Inc., a company developing diagnostics and therapeutics for biofilm infections. All other authors declare no competing interests.</w:t>
      </w:r>
    </w:p>
    <w:p w14:paraId="12EA88B7" w14:textId="77777777" w:rsidR="00046021" w:rsidRDefault="00046021" w:rsidP="004A6EF9">
      <w:pPr>
        <w:pStyle w:val="NormalWeb"/>
        <w:ind w:left="0" w:firstLine="0"/>
        <w:contextualSpacing/>
        <w:rPr>
          <w:rFonts w:ascii="Calibri" w:hAnsi="Calibri" w:cs="Calibri"/>
          <w:color w:val="000000" w:themeColor="text1"/>
        </w:rPr>
      </w:pPr>
    </w:p>
    <w:p w14:paraId="016B9AB9" w14:textId="14128465" w:rsidR="004A6EF9" w:rsidRPr="00644AF5" w:rsidRDefault="004A6EF9" w:rsidP="004A6EF9">
      <w:pPr>
        <w:pStyle w:val="NormalWeb"/>
        <w:ind w:left="0" w:firstLine="0"/>
        <w:contextualSpacing/>
        <w:rPr>
          <w:rFonts w:ascii="Calibri" w:hAnsi="Calibri" w:cs="Calibri"/>
          <w:b/>
          <w:bCs/>
          <w:color w:val="000000" w:themeColor="text1"/>
        </w:rPr>
      </w:pPr>
      <w:r w:rsidRPr="00644AF5">
        <w:rPr>
          <w:rFonts w:ascii="Calibri" w:hAnsi="Calibri" w:cs="Calibri"/>
          <w:b/>
          <w:bCs/>
          <w:color w:val="000000" w:themeColor="text1"/>
        </w:rPr>
        <w:t>REFERENCES:</w:t>
      </w:r>
      <w:r w:rsidR="00046021">
        <w:rPr>
          <w:rFonts w:ascii="Calibri" w:hAnsi="Calibri" w:cs="Calibri"/>
          <w:b/>
          <w:bCs/>
          <w:color w:val="000000" w:themeColor="text1"/>
        </w:rPr>
        <w:t xml:space="preserve"> </w:t>
      </w:r>
    </w:p>
    <w:p w14:paraId="0520B7C8" w14:textId="77777777" w:rsidR="00AF5B14" w:rsidRPr="00AF5B14" w:rsidRDefault="004A6EF9" w:rsidP="00AF5B14">
      <w:pPr>
        <w:pStyle w:val="Bibliography"/>
        <w:rPr>
          <w:rFonts w:eastAsia="Calibri"/>
        </w:rPr>
      </w:pPr>
      <w:r w:rsidRPr="00644AF5">
        <w:rPr>
          <w:rFonts w:ascii="Calibri" w:hAnsi="Calibri" w:cs="Calibri"/>
          <w:color w:val="000000" w:themeColor="text1"/>
        </w:rPr>
        <w:fldChar w:fldCharType="begin"/>
      </w:r>
      <w:r w:rsidR="00AF5B14">
        <w:rPr>
          <w:rFonts w:ascii="Calibri" w:hAnsi="Calibri" w:cs="Calibri"/>
          <w:color w:val="000000" w:themeColor="text1"/>
        </w:rPr>
        <w:instrText xml:space="preserve"> ADDIN ZOTERO_BIBL {"uncited":[],"omitted":[],"custom":[]} CSL_BIBLIOGRAPHY </w:instrText>
      </w:r>
      <w:r w:rsidRPr="00644AF5">
        <w:rPr>
          <w:rFonts w:ascii="Calibri" w:hAnsi="Calibri" w:cs="Calibri"/>
          <w:color w:val="000000" w:themeColor="text1"/>
        </w:rPr>
        <w:fldChar w:fldCharType="separate"/>
      </w:r>
      <w:r w:rsidR="00AF5B14" w:rsidRPr="00AF5B14">
        <w:rPr>
          <w:rFonts w:eastAsia="Calibri"/>
        </w:rPr>
        <w:t>1.</w:t>
      </w:r>
      <w:r w:rsidR="00AF5B14" w:rsidRPr="00AF5B14">
        <w:rPr>
          <w:rFonts w:eastAsia="Calibri"/>
        </w:rPr>
        <w:tab/>
        <w:t xml:space="preserve">Delavy, M. </w:t>
      </w:r>
      <w:r w:rsidR="00AF5B14" w:rsidRPr="00AF5B14">
        <w:rPr>
          <w:rFonts w:eastAsia="Calibri"/>
          <w:i/>
          <w:iCs/>
        </w:rPr>
        <w:t>et al.</w:t>
      </w:r>
      <w:r w:rsidR="00AF5B14" w:rsidRPr="00AF5B14">
        <w:rPr>
          <w:rFonts w:eastAsia="Calibri"/>
        </w:rPr>
        <w:t xml:space="preserve"> Unveiling </w:t>
      </w:r>
      <w:r w:rsidR="00AF5B14" w:rsidRPr="00AF5B14">
        <w:rPr>
          <w:rFonts w:eastAsia="Calibri"/>
          <w:i/>
          <w:iCs/>
        </w:rPr>
        <w:t>Candida albicans</w:t>
      </w:r>
      <w:r w:rsidR="00AF5B14" w:rsidRPr="00AF5B14">
        <w:rPr>
          <w:rFonts w:eastAsia="Calibri"/>
        </w:rPr>
        <w:t xml:space="preserve"> intestinal carriage in healthy volunteers: the role of micro- and mycobiota, diet, host genetics and immune response. </w:t>
      </w:r>
      <w:r w:rsidR="00AF5B14" w:rsidRPr="00AF5B14">
        <w:rPr>
          <w:rFonts w:eastAsia="Calibri"/>
          <w:i/>
          <w:iCs/>
        </w:rPr>
        <w:t>Gut Microbes</w:t>
      </w:r>
      <w:r w:rsidR="00AF5B14" w:rsidRPr="00AF5B14">
        <w:rPr>
          <w:rFonts w:eastAsia="Calibri"/>
        </w:rPr>
        <w:t xml:space="preserve">. </w:t>
      </w:r>
      <w:r w:rsidR="00AF5B14" w:rsidRPr="00AF5B14">
        <w:rPr>
          <w:rFonts w:eastAsia="Calibri"/>
          <w:b/>
          <w:bCs/>
        </w:rPr>
        <w:t>15</w:t>
      </w:r>
      <w:r w:rsidR="00AF5B14" w:rsidRPr="00AF5B14">
        <w:rPr>
          <w:rFonts w:eastAsia="Calibri"/>
        </w:rPr>
        <w:t xml:space="preserve"> (2), 2287618, doi: 10.1080/19490976.2023.2287618 (2023).</w:t>
      </w:r>
    </w:p>
    <w:p w14:paraId="53371958" w14:textId="77777777" w:rsidR="00AF5B14" w:rsidRPr="00AF5B14" w:rsidRDefault="00AF5B14" w:rsidP="00AF5B14">
      <w:pPr>
        <w:pStyle w:val="Bibliography"/>
        <w:rPr>
          <w:rFonts w:eastAsia="Calibri"/>
        </w:rPr>
      </w:pPr>
      <w:r w:rsidRPr="00AF5B14">
        <w:rPr>
          <w:rFonts w:eastAsia="Calibri"/>
        </w:rPr>
        <w:t>2.</w:t>
      </w:r>
      <w:r w:rsidRPr="00AF5B14">
        <w:rPr>
          <w:rFonts w:eastAsia="Calibri"/>
        </w:rPr>
        <w:tab/>
        <w:t xml:space="preserve">Bays, D.J., Savage, H.P. </w:t>
      </w:r>
      <w:r w:rsidRPr="00AF5B14">
        <w:rPr>
          <w:rFonts w:eastAsia="Calibri"/>
          <w:i/>
          <w:iCs/>
        </w:rPr>
        <w:t>Candida albicans</w:t>
      </w:r>
      <w:r w:rsidRPr="00AF5B14">
        <w:rPr>
          <w:rFonts w:eastAsia="Calibri"/>
        </w:rPr>
        <w:t xml:space="preserve"> gastrointestinal colonization resistance: a host-microbiome balancing act. </w:t>
      </w:r>
      <w:r w:rsidRPr="00AF5B14">
        <w:rPr>
          <w:rFonts w:eastAsia="Calibri"/>
          <w:i/>
          <w:iCs/>
        </w:rPr>
        <w:t>Infection and Immunity</w:t>
      </w:r>
      <w:r w:rsidRPr="00AF5B14">
        <w:rPr>
          <w:rFonts w:eastAsia="Calibri"/>
        </w:rPr>
        <w:t xml:space="preserve">. </w:t>
      </w:r>
      <w:r w:rsidRPr="00AF5B14">
        <w:rPr>
          <w:rFonts w:eastAsia="Calibri"/>
          <w:b/>
          <w:bCs/>
        </w:rPr>
        <w:t>93</w:t>
      </w:r>
      <w:r w:rsidRPr="00AF5B14">
        <w:rPr>
          <w:rFonts w:eastAsia="Calibri"/>
        </w:rPr>
        <w:t xml:space="preserve"> (9), e00610-24, doi: 10.1128/iai.00610-24 (2025).</w:t>
      </w:r>
    </w:p>
    <w:p w14:paraId="03D42CD3" w14:textId="77777777" w:rsidR="00AF5B14" w:rsidRPr="00AF5B14" w:rsidRDefault="00AF5B14" w:rsidP="00AF5B14">
      <w:pPr>
        <w:pStyle w:val="Bibliography"/>
        <w:rPr>
          <w:rFonts w:eastAsia="Calibri"/>
        </w:rPr>
      </w:pPr>
      <w:r w:rsidRPr="00AF5B14">
        <w:rPr>
          <w:rFonts w:eastAsia="Calibri"/>
        </w:rPr>
        <w:t>3.</w:t>
      </w:r>
      <w:r w:rsidRPr="00AF5B14">
        <w:rPr>
          <w:rFonts w:eastAsia="Calibri"/>
        </w:rPr>
        <w:tab/>
        <w:t xml:space="preserve">Nash, A.K. </w:t>
      </w:r>
      <w:r w:rsidRPr="00AF5B14">
        <w:rPr>
          <w:rFonts w:eastAsia="Calibri"/>
          <w:i/>
          <w:iCs/>
        </w:rPr>
        <w:t>et al.</w:t>
      </w:r>
      <w:r w:rsidRPr="00AF5B14">
        <w:rPr>
          <w:rFonts w:eastAsia="Calibri"/>
        </w:rPr>
        <w:t xml:space="preserve"> The gut mycobiome of the Human Microbiome Project healthy cohort. </w:t>
      </w:r>
      <w:r w:rsidRPr="00AF5B14">
        <w:rPr>
          <w:rFonts w:eastAsia="Calibri"/>
          <w:i/>
          <w:iCs/>
        </w:rPr>
        <w:t>Microbiome</w:t>
      </w:r>
      <w:r w:rsidRPr="00AF5B14">
        <w:rPr>
          <w:rFonts w:eastAsia="Calibri"/>
        </w:rPr>
        <w:t xml:space="preserve">. </w:t>
      </w:r>
      <w:r w:rsidRPr="00AF5B14">
        <w:rPr>
          <w:rFonts w:eastAsia="Calibri"/>
          <w:b/>
          <w:bCs/>
        </w:rPr>
        <w:t>5</w:t>
      </w:r>
      <w:r w:rsidRPr="00AF5B14">
        <w:rPr>
          <w:rFonts w:eastAsia="Calibri"/>
        </w:rPr>
        <w:t xml:space="preserve"> (1), 153, doi: 10.1186/s40168-017-0373-4 (2017).</w:t>
      </w:r>
    </w:p>
    <w:p w14:paraId="7DC844AF" w14:textId="77777777" w:rsidR="00AF5B14" w:rsidRPr="00AF5B14" w:rsidRDefault="00AF5B14" w:rsidP="00AF5B14">
      <w:pPr>
        <w:pStyle w:val="Bibliography"/>
        <w:rPr>
          <w:rFonts w:eastAsia="Calibri"/>
        </w:rPr>
      </w:pPr>
      <w:r w:rsidRPr="00AF5B14">
        <w:rPr>
          <w:rFonts w:eastAsia="Calibri"/>
        </w:rPr>
        <w:t>4.</w:t>
      </w:r>
      <w:r w:rsidRPr="00AF5B14">
        <w:rPr>
          <w:rFonts w:eastAsia="Calibri"/>
        </w:rPr>
        <w:tab/>
        <w:t xml:space="preserve">Fróis-Martins, R., Lagler, J., LeibundGut-Landmann, S. Candida albicans Virulence Traits in Commensalism and Disease. </w:t>
      </w:r>
      <w:r w:rsidRPr="00AF5B14">
        <w:rPr>
          <w:rFonts w:eastAsia="Calibri"/>
          <w:i/>
          <w:iCs/>
        </w:rPr>
        <w:t>Current Clinical Microbiology Reports</w:t>
      </w:r>
      <w:r w:rsidRPr="00AF5B14">
        <w:rPr>
          <w:rFonts w:eastAsia="Calibri"/>
        </w:rPr>
        <w:t xml:space="preserve">. </w:t>
      </w:r>
      <w:r w:rsidRPr="00AF5B14">
        <w:rPr>
          <w:rFonts w:eastAsia="Calibri"/>
          <w:b/>
          <w:bCs/>
        </w:rPr>
        <w:t>11</w:t>
      </w:r>
      <w:r w:rsidRPr="00AF5B14">
        <w:rPr>
          <w:rFonts w:eastAsia="Calibri"/>
        </w:rPr>
        <w:t xml:space="preserve"> (4), 231–240, doi: 10.1007/s40588-024-00235-8 (2024).</w:t>
      </w:r>
    </w:p>
    <w:p w14:paraId="06FFE9F6" w14:textId="77777777" w:rsidR="00AF5B14" w:rsidRPr="00AF5B14" w:rsidRDefault="00AF5B14" w:rsidP="00AF5B14">
      <w:pPr>
        <w:pStyle w:val="Bibliography"/>
        <w:rPr>
          <w:rFonts w:eastAsia="Calibri"/>
        </w:rPr>
      </w:pPr>
      <w:r w:rsidRPr="00AF5B14">
        <w:rPr>
          <w:rFonts w:eastAsia="Calibri"/>
        </w:rPr>
        <w:t>5.</w:t>
      </w:r>
      <w:r w:rsidRPr="00AF5B14">
        <w:rPr>
          <w:rFonts w:eastAsia="Calibri"/>
        </w:rPr>
        <w:tab/>
        <w:t xml:space="preserve">Kumamoto, C.A., Gresnigt, M.S., Hube, B. The gut, the bad and the harmless: Candida albicans as a commensal and opportunistic pathogen in the intestine. </w:t>
      </w:r>
      <w:r w:rsidRPr="00AF5B14">
        <w:rPr>
          <w:rFonts w:eastAsia="Calibri"/>
          <w:i/>
          <w:iCs/>
        </w:rPr>
        <w:t>Current Opinion in Microbiology</w:t>
      </w:r>
      <w:r w:rsidRPr="00AF5B14">
        <w:rPr>
          <w:rFonts w:eastAsia="Calibri"/>
        </w:rPr>
        <w:t xml:space="preserve">. </w:t>
      </w:r>
      <w:r w:rsidRPr="00AF5B14">
        <w:rPr>
          <w:rFonts w:eastAsia="Calibri"/>
          <w:b/>
          <w:bCs/>
        </w:rPr>
        <w:t>56</w:t>
      </w:r>
      <w:r w:rsidRPr="00AF5B14">
        <w:rPr>
          <w:rFonts w:eastAsia="Calibri"/>
        </w:rPr>
        <w:t>, 7–15, doi: 10.1016/j.mib.2020.05.006 (2020).</w:t>
      </w:r>
    </w:p>
    <w:p w14:paraId="22BF2390" w14:textId="77777777" w:rsidR="00AF5B14" w:rsidRPr="00AF5B14" w:rsidRDefault="00AF5B14" w:rsidP="00AF5B14">
      <w:pPr>
        <w:pStyle w:val="Bibliography"/>
        <w:rPr>
          <w:rFonts w:eastAsia="Calibri"/>
        </w:rPr>
      </w:pPr>
      <w:r w:rsidRPr="00AF5B14">
        <w:rPr>
          <w:rFonts w:eastAsia="Calibri"/>
        </w:rPr>
        <w:t>6.</w:t>
      </w:r>
      <w:r w:rsidRPr="00AF5B14">
        <w:rPr>
          <w:rFonts w:eastAsia="Calibri"/>
        </w:rPr>
        <w:tab/>
        <w:t xml:space="preserve">Fisher, M.C. </w:t>
      </w:r>
      <w:r w:rsidRPr="00AF5B14">
        <w:rPr>
          <w:rFonts w:eastAsia="Calibri"/>
          <w:i/>
          <w:iCs/>
        </w:rPr>
        <w:t>et al.</w:t>
      </w:r>
      <w:r w:rsidRPr="00AF5B14">
        <w:rPr>
          <w:rFonts w:eastAsia="Calibri"/>
        </w:rPr>
        <w:t xml:space="preserve"> Tackling the emerging threat of antifungal resistance to human health. </w:t>
      </w:r>
      <w:r w:rsidRPr="00AF5B14">
        <w:rPr>
          <w:rFonts w:eastAsia="Calibri"/>
          <w:i/>
          <w:iCs/>
        </w:rPr>
        <w:t>Nature Reviews Microbiology</w:t>
      </w:r>
      <w:r w:rsidRPr="00AF5B14">
        <w:rPr>
          <w:rFonts w:eastAsia="Calibri"/>
        </w:rPr>
        <w:t xml:space="preserve">. </w:t>
      </w:r>
      <w:r w:rsidRPr="00AF5B14">
        <w:rPr>
          <w:rFonts w:eastAsia="Calibri"/>
          <w:b/>
          <w:bCs/>
        </w:rPr>
        <w:t>20</w:t>
      </w:r>
      <w:r w:rsidRPr="00AF5B14">
        <w:rPr>
          <w:rFonts w:eastAsia="Calibri"/>
        </w:rPr>
        <w:t xml:space="preserve"> (9), 557–571, doi: 10.1038/s41579-022-00720-1 (2022).</w:t>
      </w:r>
    </w:p>
    <w:p w14:paraId="19C410B3" w14:textId="77777777" w:rsidR="00AF5B14" w:rsidRPr="00AF5B14" w:rsidRDefault="00AF5B14" w:rsidP="00AF5B14">
      <w:pPr>
        <w:pStyle w:val="Bibliography"/>
        <w:rPr>
          <w:rFonts w:eastAsia="Calibri"/>
        </w:rPr>
      </w:pPr>
      <w:r w:rsidRPr="00AF5B14">
        <w:rPr>
          <w:rFonts w:eastAsia="Calibri"/>
        </w:rPr>
        <w:t>7.</w:t>
      </w:r>
      <w:r w:rsidRPr="00AF5B14">
        <w:rPr>
          <w:rFonts w:eastAsia="Calibri"/>
        </w:rPr>
        <w:tab/>
        <w:t xml:space="preserve">Gow, N.A.R. </w:t>
      </w:r>
      <w:r w:rsidRPr="00AF5B14">
        <w:rPr>
          <w:rFonts w:eastAsia="Calibri"/>
          <w:i/>
          <w:iCs/>
        </w:rPr>
        <w:t>et al.</w:t>
      </w:r>
      <w:r w:rsidRPr="00AF5B14">
        <w:rPr>
          <w:rFonts w:eastAsia="Calibri"/>
        </w:rPr>
        <w:t xml:space="preserve"> The importance of antimicrobial resistance in medical mycology. </w:t>
      </w:r>
      <w:r w:rsidRPr="00AF5B14">
        <w:rPr>
          <w:rFonts w:eastAsia="Calibri"/>
          <w:i/>
          <w:iCs/>
        </w:rPr>
        <w:t>Nature Communications</w:t>
      </w:r>
      <w:r w:rsidRPr="00AF5B14">
        <w:rPr>
          <w:rFonts w:eastAsia="Calibri"/>
        </w:rPr>
        <w:t xml:space="preserve">. </w:t>
      </w:r>
      <w:r w:rsidRPr="00AF5B14">
        <w:rPr>
          <w:rFonts w:eastAsia="Calibri"/>
          <w:b/>
          <w:bCs/>
        </w:rPr>
        <w:t>13</w:t>
      </w:r>
      <w:r w:rsidRPr="00AF5B14">
        <w:rPr>
          <w:rFonts w:eastAsia="Calibri"/>
        </w:rPr>
        <w:t xml:space="preserve"> (1), 5352, doi: 10.1038/s41467-022-32249-5 (2022).</w:t>
      </w:r>
    </w:p>
    <w:p w14:paraId="11C15E26" w14:textId="77777777" w:rsidR="00AF5B14" w:rsidRPr="00AF5B14" w:rsidRDefault="00AF5B14" w:rsidP="00AF5B14">
      <w:pPr>
        <w:pStyle w:val="Bibliography"/>
        <w:rPr>
          <w:rFonts w:eastAsia="Calibri"/>
        </w:rPr>
      </w:pPr>
      <w:r w:rsidRPr="00AF5B14">
        <w:rPr>
          <w:rFonts w:eastAsia="Calibri"/>
        </w:rPr>
        <w:t>8.</w:t>
      </w:r>
      <w:r w:rsidRPr="00AF5B14">
        <w:rPr>
          <w:rFonts w:eastAsia="Calibri"/>
        </w:rPr>
        <w:tab/>
        <w:t xml:space="preserve">Lockhart, S.R., Chowdhary, A., Gold, J.A.W. The rapid emergence of antifungal-resistant human-pathogenic fungi. </w:t>
      </w:r>
      <w:r w:rsidRPr="00AF5B14">
        <w:rPr>
          <w:rFonts w:eastAsia="Calibri"/>
          <w:i/>
          <w:iCs/>
        </w:rPr>
        <w:t>Nature Reviews Microbiology</w:t>
      </w:r>
      <w:r w:rsidRPr="00AF5B14">
        <w:rPr>
          <w:rFonts w:eastAsia="Calibri"/>
        </w:rPr>
        <w:t xml:space="preserve">. </w:t>
      </w:r>
      <w:r w:rsidRPr="00AF5B14">
        <w:rPr>
          <w:rFonts w:eastAsia="Calibri"/>
          <w:b/>
          <w:bCs/>
        </w:rPr>
        <w:t>21</w:t>
      </w:r>
      <w:r w:rsidRPr="00AF5B14">
        <w:rPr>
          <w:rFonts w:eastAsia="Calibri"/>
        </w:rPr>
        <w:t xml:space="preserve"> (12), 818–832, doi: 10.1038/s41579-023-00960-9 (2023).</w:t>
      </w:r>
    </w:p>
    <w:p w14:paraId="42459758" w14:textId="77777777" w:rsidR="00AF5B14" w:rsidRPr="00AF5B14" w:rsidRDefault="00AF5B14" w:rsidP="00AF5B14">
      <w:pPr>
        <w:pStyle w:val="Bibliography"/>
        <w:rPr>
          <w:rFonts w:eastAsia="Calibri"/>
        </w:rPr>
      </w:pPr>
      <w:r w:rsidRPr="00AF5B14">
        <w:rPr>
          <w:rFonts w:eastAsia="Calibri"/>
        </w:rPr>
        <w:t>9.</w:t>
      </w:r>
      <w:r w:rsidRPr="00AF5B14">
        <w:rPr>
          <w:rFonts w:eastAsia="Calibri"/>
        </w:rPr>
        <w:tab/>
        <w:t xml:space="preserve">Denning, D.W. Global incidence and mortality of severe fungal disease. </w:t>
      </w:r>
      <w:r w:rsidRPr="00AF5B14">
        <w:rPr>
          <w:rFonts w:eastAsia="Calibri"/>
          <w:i/>
          <w:iCs/>
        </w:rPr>
        <w:t>The Lancet Infectious Diseases</w:t>
      </w:r>
      <w:r w:rsidRPr="00AF5B14">
        <w:rPr>
          <w:rFonts w:eastAsia="Calibri"/>
        </w:rPr>
        <w:t xml:space="preserve">. </w:t>
      </w:r>
      <w:r w:rsidRPr="00AF5B14">
        <w:rPr>
          <w:rFonts w:eastAsia="Calibri"/>
          <w:b/>
          <w:bCs/>
        </w:rPr>
        <w:t>24</w:t>
      </w:r>
      <w:r w:rsidRPr="00AF5B14">
        <w:rPr>
          <w:rFonts w:eastAsia="Calibri"/>
        </w:rPr>
        <w:t xml:space="preserve"> (7), e428–e438, doi: 10.1016/S1473-3099(23)00692-8 (2024).</w:t>
      </w:r>
    </w:p>
    <w:p w14:paraId="02CBE603" w14:textId="77777777" w:rsidR="00AF5B14" w:rsidRPr="00AF5B14" w:rsidRDefault="00AF5B14" w:rsidP="00AF5B14">
      <w:pPr>
        <w:pStyle w:val="Bibliography"/>
        <w:rPr>
          <w:rFonts w:eastAsia="Calibri"/>
        </w:rPr>
      </w:pPr>
      <w:r w:rsidRPr="00AF5B14">
        <w:rPr>
          <w:rFonts w:eastAsia="Calibri"/>
        </w:rPr>
        <w:t>10.</w:t>
      </w:r>
      <w:r w:rsidRPr="00AF5B14">
        <w:rPr>
          <w:rFonts w:eastAsia="Calibri"/>
        </w:rPr>
        <w:tab/>
        <w:t xml:space="preserve">Benedict, K., Jackson, B.R., Chiller, T., Beer, K.D. Estimation of Direct Healthcare Costs of Fungal Diseases in the United States. </w:t>
      </w:r>
      <w:r w:rsidRPr="00AF5B14">
        <w:rPr>
          <w:rFonts w:eastAsia="Calibri"/>
          <w:i/>
          <w:iCs/>
        </w:rPr>
        <w:t>Clinical Infectious Diseases</w:t>
      </w:r>
      <w:r w:rsidRPr="00AF5B14">
        <w:rPr>
          <w:rFonts w:eastAsia="Calibri"/>
        </w:rPr>
        <w:t xml:space="preserve">. </w:t>
      </w:r>
      <w:r w:rsidRPr="00AF5B14">
        <w:rPr>
          <w:rFonts w:eastAsia="Calibri"/>
          <w:b/>
          <w:bCs/>
        </w:rPr>
        <w:t>68</w:t>
      </w:r>
      <w:r w:rsidRPr="00AF5B14">
        <w:rPr>
          <w:rFonts w:eastAsia="Calibri"/>
        </w:rPr>
        <w:t xml:space="preserve"> (11), 1791–1797, doi: 10.1093/cid/ciy776 (2019).</w:t>
      </w:r>
    </w:p>
    <w:p w14:paraId="6343A8CD" w14:textId="77777777" w:rsidR="00AF5B14" w:rsidRPr="00AF5B14" w:rsidRDefault="00AF5B14" w:rsidP="00AF5B14">
      <w:pPr>
        <w:pStyle w:val="Bibliography"/>
        <w:rPr>
          <w:rFonts w:eastAsia="Calibri"/>
        </w:rPr>
      </w:pPr>
      <w:r w:rsidRPr="00AF5B14">
        <w:rPr>
          <w:rFonts w:eastAsia="Calibri"/>
        </w:rPr>
        <w:t>11.</w:t>
      </w:r>
      <w:r w:rsidRPr="00AF5B14">
        <w:rPr>
          <w:rFonts w:eastAsia="Calibri"/>
        </w:rPr>
        <w:tab/>
        <w:t xml:space="preserve">Gulati, M., Nobile, C.J. Candida albicans biofilms: development, regulation, and molecular mechanisms. </w:t>
      </w:r>
      <w:r w:rsidRPr="00AF5B14">
        <w:rPr>
          <w:rFonts w:eastAsia="Calibri"/>
          <w:i/>
          <w:iCs/>
        </w:rPr>
        <w:t>Microbes and Infection</w:t>
      </w:r>
      <w:r w:rsidRPr="00AF5B14">
        <w:rPr>
          <w:rFonts w:eastAsia="Calibri"/>
        </w:rPr>
        <w:t xml:space="preserve">. </w:t>
      </w:r>
      <w:r w:rsidRPr="00AF5B14">
        <w:rPr>
          <w:rFonts w:eastAsia="Calibri"/>
          <w:b/>
          <w:bCs/>
        </w:rPr>
        <w:t>18</w:t>
      </w:r>
      <w:r w:rsidRPr="00AF5B14">
        <w:rPr>
          <w:rFonts w:eastAsia="Calibri"/>
        </w:rPr>
        <w:t xml:space="preserve"> (5), 310–321, doi: 10.1016/j.micinf.2016.01.002 (2016).</w:t>
      </w:r>
    </w:p>
    <w:p w14:paraId="35AFA4A8" w14:textId="77777777" w:rsidR="00AF5B14" w:rsidRPr="00AF5B14" w:rsidRDefault="00AF5B14" w:rsidP="00AF5B14">
      <w:pPr>
        <w:pStyle w:val="Bibliography"/>
        <w:rPr>
          <w:rFonts w:eastAsia="Calibri"/>
        </w:rPr>
      </w:pPr>
      <w:r w:rsidRPr="00AF5B14">
        <w:rPr>
          <w:rFonts w:eastAsia="Calibri"/>
        </w:rPr>
        <w:t>12.</w:t>
      </w:r>
      <w:r w:rsidRPr="00AF5B14">
        <w:rPr>
          <w:rFonts w:eastAsia="Calibri"/>
        </w:rPr>
        <w:tab/>
        <w:t xml:space="preserve">Nobile, C.J., Johnson, A.D. </w:t>
      </w:r>
      <w:r w:rsidRPr="00AF5B14">
        <w:rPr>
          <w:rFonts w:eastAsia="Calibri"/>
          <w:i/>
          <w:iCs/>
        </w:rPr>
        <w:t>Candida albicans</w:t>
      </w:r>
      <w:r w:rsidRPr="00AF5B14">
        <w:rPr>
          <w:rFonts w:eastAsia="Calibri"/>
        </w:rPr>
        <w:t xml:space="preserve"> Biofilms and Human Disease. </w:t>
      </w:r>
      <w:r w:rsidRPr="00AF5B14">
        <w:rPr>
          <w:rFonts w:eastAsia="Calibri"/>
          <w:i/>
          <w:iCs/>
        </w:rPr>
        <w:t>Annual Review of Microbiology</w:t>
      </w:r>
      <w:r w:rsidRPr="00AF5B14">
        <w:rPr>
          <w:rFonts w:eastAsia="Calibri"/>
        </w:rPr>
        <w:t xml:space="preserve">. </w:t>
      </w:r>
      <w:r w:rsidRPr="00AF5B14">
        <w:rPr>
          <w:rFonts w:eastAsia="Calibri"/>
          <w:b/>
          <w:bCs/>
        </w:rPr>
        <w:t>69</w:t>
      </w:r>
      <w:r w:rsidRPr="00AF5B14">
        <w:rPr>
          <w:rFonts w:eastAsia="Calibri"/>
        </w:rPr>
        <w:t xml:space="preserve"> (1), 71–92, doi: 10.1146/annurev-micro-091014-104330 (2015).</w:t>
      </w:r>
    </w:p>
    <w:p w14:paraId="2E4C85E4" w14:textId="77777777" w:rsidR="00AF5B14" w:rsidRPr="00AF5B14" w:rsidRDefault="00AF5B14" w:rsidP="00AF5B14">
      <w:pPr>
        <w:pStyle w:val="Bibliography"/>
        <w:rPr>
          <w:rFonts w:eastAsia="Calibri"/>
        </w:rPr>
      </w:pPr>
      <w:r w:rsidRPr="00AF5B14">
        <w:rPr>
          <w:rFonts w:eastAsia="Calibri"/>
        </w:rPr>
        <w:t>13.</w:t>
      </w:r>
      <w:r w:rsidRPr="00AF5B14">
        <w:rPr>
          <w:rFonts w:eastAsia="Calibri"/>
        </w:rPr>
        <w:tab/>
        <w:t xml:space="preserve">Höfs, S., Mogavero, S., Hube, B. Interaction of Candida albicans with host cells: virulence factors, host defense, escape strategies, and the microbiota. </w:t>
      </w:r>
      <w:r w:rsidRPr="00AF5B14">
        <w:rPr>
          <w:rFonts w:eastAsia="Calibri"/>
          <w:i/>
          <w:iCs/>
        </w:rPr>
        <w:t>Journal of Microbiology</w:t>
      </w:r>
      <w:r w:rsidRPr="00AF5B14">
        <w:rPr>
          <w:rFonts w:eastAsia="Calibri"/>
        </w:rPr>
        <w:t xml:space="preserve">. </w:t>
      </w:r>
      <w:r w:rsidRPr="00AF5B14">
        <w:rPr>
          <w:rFonts w:eastAsia="Calibri"/>
          <w:b/>
          <w:bCs/>
        </w:rPr>
        <w:t>54</w:t>
      </w:r>
      <w:r w:rsidRPr="00AF5B14">
        <w:rPr>
          <w:rFonts w:eastAsia="Calibri"/>
        </w:rPr>
        <w:t xml:space="preserve"> (3), 149–169, doi: 10.1007/s12275-016-5514-0 (2016).</w:t>
      </w:r>
    </w:p>
    <w:p w14:paraId="48B952E5" w14:textId="77777777" w:rsidR="00AF5B14" w:rsidRPr="00AF5B14" w:rsidRDefault="00AF5B14" w:rsidP="00AF5B14">
      <w:pPr>
        <w:pStyle w:val="Bibliography"/>
        <w:rPr>
          <w:rFonts w:eastAsia="Calibri"/>
        </w:rPr>
      </w:pPr>
      <w:r w:rsidRPr="00AF5B14">
        <w:rPr>
          <w:rFonts w:eastAsia="Calibri"/>
        </w:rPr>
        <w:lastRenderedPageBreak/>
        <w:t>14.</w:t>
      </w:r>
      <w:r w:rsidRPr="00AF5B14">
        <w:rPr>
          <w:rFonts w:eastAsia="Calibri"/>
        </w:rPr>
        <w:tab/>
        <w:t xml:space="preserve">Talapko, J. </w:t>
      </w:r>
      <w:r w:rsidRPr="00AF5B14">
        <w:rPr>
          <w:rFonts w:eastAsia="Calibri"/>
          <w:i/>
          <w:iCs/>
        </w:rPr>
        <w:t>et al.</w:t>
      </w:r>
      <w:r w:rsidRPr="00AF5B14">
        <w:rPr>
          <w:rFonts w:eastAsia="Calibri"/>
        </w:rPr>
        <w:t xml:space="preserve"> Candida albicans—The Virulence Factors and Clinical Manifestations of Infection. </w:t>
      </w:r>
      <w:r w:rsidRPr="00AF5B14">
        <w:rPr>
          <w:rFonts w:eastAsia="Calibri"/>
          <w:i/>
          <w:iCs/>
        </w:rPr>
        <w:t>Journal of Fungi</w:t>
      </w:r>
      <w:r w:rsidRPr="00AF5B14">
        <w:rPr>
          <w:rFonts w:eastAsia="Calibri"/>
        </w:rPr>
        <w:t xml:space="preserve">. </w:t>
      </w:r>
      <w:r w:rsidRPr="00AF5B14">
        <w:rPr>
          <w:rFonts w:eastAsia="Calibri"/>
          <w:b/>
          <w:bCs/>
        </w:rPr>
        <w:t>7</w:t>
      </w:r>
      <w:r w:rsidRPr="00AF5B14">
        <w:rPr>
          <w:rFonts w:eastAsia="Calibri"/>
        </w:rPr>
        <w:t xml:space="preserve"> (2), 79, doi: 10.3390/jof7020079 (2021).</w:t>
      </w:r>
    </w:p>
    <w:p w14:paraId="08ADF795" w14:textId="77777777" w:rsidR="00AF5B14" w:rsidRPr="00AF5B14" w:rsidRDefault="00AF5B14" w:rsidP="00AF5B14">
      <w:pPr>
        <w:pStyle w:val="Bibliography"/>
        <w:rPr>
          <w:rFonts w:eastAsia="Calibri"/>
        </w:rPr>
      </w:pPr>
      <w:r w:rsidRPr="00AF5B14">
        <w:rPr>
          <w:rFonts w:eastAsia="Calibri"/>
        </w:rPr>
        <w:t>15.</w:t>
      </w:r>
      <w:r w:rsidRPr="00AF5B14">
        <w:rPr>
          <w:rFonts w:eastAsia="Calibri"/>
        </w:rPr>
        <w:tab/>
        <w:t xml:space="preserve">Lopes, J.P., Lionakis, M.S. Pathogenesis and virulence of </w:t>
      </w:r>
      <w:r w:rsidRPr="00AF5B14">
        <w:rPr>
          <w:rFonts w:eastAsia="Calibri"/>
          <w:i/>
          <w:iCs/>
        </w:rPr>
        <w:t>Candida albicans</w:t>
      </w:r>
      <w:r w:rsidRPr="00AF5B14">
        <w:rPr>
          <w:rFonts w:eastAsia="Calibri"/>
        </w:rPr>
        <w:t xml:space="preserve">. </w:t>
      </w:r>
      <w:r w:rsidRPr="00AF5B14">
        <w:rPr>
          <w:rFonts w:eastAsia="Calibri"/>
          <w:i/>
          <w:iCs/>
        </w:rPr>
        <w:t>Virulence</w:t>
      </w:r>
      <w:r w:rsidRPr="00AF5B14">
        <w:rPr>
          <w:rFonts w:eastAsia="Calibri"/>
        </w:rPr>
        <w:t xml:space="preserve">. </w:t>
      </w:r>
      <w:r w:rsidRPr="00AF5B14">
        <w:rPr>
          <w:rFonts w:eastAsia="Calibri"/>
          <w:b/>
          <w:bCs/>
        </w:rPr>
        <w:t>13</w:t>
      </w:r>
      <w:r w:rsidRPr="00AF5B14">
        <w:rPr>
          <w:rFonts w:eastAsia="Calibri"/>
        </w:rPr>
        <w:t xml:space="preserve"> (1), 89–121, doi: 10.1080/21505594.2021.2019950 (2022).</w:t>
      </w:r>
    </w:p>
    <w:p w14:paraId="14FFC12F" w14:textId="77777777" w:rsidR="00AF5B14" w:rsidRPr="00AF5B14" w:rsidRDefault="00AF5B14" w:rsidP="00AF5B14">
      <w:pPr>
        <w:pStyle w:val="Bibliography"/>
        <w:rPr>
          <w:rFonts w:eastAsia="Calibri"/>
        </w:rPr>
      </w:pPr>
      <w:r w:rsidRPr="00AF5B14">
        <w:rPr>
          <w:rFonts w:eastAsia="Calibri"/>
        </w:rPr>
        <w:t>16.</w:t>
      </w:r>
      <w:r w:rsidRPr="00AF5B14">
        <w:rPr>
          <w:rFonts w:eastAsia="Calibri"/>
        </w:rPr>
        <w:tab/>
        <w:t xml:space="preserve">Gaffar, N.R., Valand, N., Venkatraman Girija, U. Candidiasis: Insights into Virulence Factors, Complement Evasion and Antifungal Drug Resistance. </w:t>
      </w:r>
      <w:r w:rsidRPr="00AF5B14">
        <w:rPr>
          <w:rFonts w:eastAsia="Calibri"/>
          <w:i/>
          <w:iCs/>
        </w:rPr>
        <w:t>Microorganisms</w:t>
      </w:r>
      <w:r w:rsidRPr="00AF5B14">
        <w:rPr>
          <w:rFonts w:eastAsia="Calibri"/>
        </w:rPr>
        <w:t xml:space="preserve">. </w:t>
      </w:r>
      <w:r w:rsidRPr="00AF5B14">
        <w:rPr>
          <w:rFonts w:eastAsia="Calibri"/>
          <w:b/>
          <w:bCs/>
        </w:rPr>
        <w:t>13</w:t>
      </w:r>
      <w:r w:rsidRPr="00AF5B14">
        <w:rPr>
          <w:rFonts w:eastAsia="Calibri"/>
        </w:rPr>
        <w:t xml:space="preserve"> (2), 272, doi: 10.3390/microorganisms13020272 (2025).</w:t>
      </w:r>
    </w:p>
    <w:p w14:paraId="32A2E870" w14:textId="77777777" w:rsidR="00AF5B14" w:rsidRPr="00AF5B14" w:rsidRDefault="00AF5B14" w:rsidP="00AF5B14">
      <w:pPr>
        <w:pStyle w:val="Bibliography"/>
        <w:rPr>
          <w:rFonts w:eastAsia="Calibri"/>
        </w:rPr>
      </w:pPr>
      <w:r w:rsidRPr="00AF5B14">
        <w:rPr>
          <w:rFonts w:eastAsia="Calibri"/>
        </w:rPr>
        <w:t>17.</w:t>
      </w:r>
      <w:r w:rsidRPr="00AF5B14">
        <w:rPr>
          <w:rFonts w:eastAsia="Calibri"/>
        </w:rPr>
        <w:tab/>
        <w:t xml:space="preserve">Xie, J. </w:t>
      </w:r>
      <w:r w:rsidRPr="00AF5B14">
        <w:rPr>
          <w:rFonts w:eastAsia="Calibri"/>
          <w:i/>
          <w:iCs/>
        </w:rPr>
        <w:t>et al.</w:t>
      </w:r>
      <w:r w:rsidRPr="00AF5B14">
        <w:rPr>
          <w:rFonts w:eastAsia="Calibri"/>
        </w:rPr>
        <w:t xml:space="preserve"> White-Opaque Switching in Natural MTLa/α Isolates of Candida albicans: Evolutionary Implications for Roles in Host Adaptation, Pathogenesis, and Sex. </w:t>
      </w:r>
      <w:r w:rsidRPr="00AF5B14">
        <w:rPr>
          <w:rFonts w:eastAsia="Calibri"/>
          <w:i/>
          <w:iCs/>
        </w:rPr>
        <w:t>PLoS Biology</w:t>
      </w:r>
      <w:r w:rsidRPr="00AF5B14">
        <w:rPr>
          <w:rFonts w:eastAsia="Calibri"/>
        </w:rPr>
        <w:t xml:space="preserve">. </w:t>
      </w:r>
      <w:r w:rsidRPr="00AF5B14">
        <w:rPr>
          <w:rFonts w:eastAsia="Calibri"/>
          <w:b/>
          <w:bCs/>
        </w:rPr>
        <w:t>11</w:t>
      </w:r>
      <w:r w:rsidRPr="00AF5B14">
        <w:rPr>
          <w:rFonts w:eastAsia="Calibri"/>
        </w:rPr>
        <w:t xml:space="preserve"> (3), e1001525, doi: 10.1371/journal.pbio.1001525 (2013).</w:t>
      </w:r>
    </w:p>
    <w:p w14:paraId="2EBBEBA7" w14:textId="77777777" w:rsidR="00AF5B14" w:rsidRPr="00AF5B14" w:rsidRDefault="00AF5B14" w:rsidP="00AF5B14">
      <w:pPr>
        <w:pStyle w:val="Bibliography"/>
        <w:rPr>
          <w:rFonts w:eastAsia="Calibri"/>
        </w:rPr>
      </w:pPr>
      <w:r w:rsidRPr="00AF5B14">
        <w:rPr>
          <w:rFonts w:eastAsia="Calibri"/>
        </w:rPr>
        <w:t>18.</w:t>
      </w:r>
      <w:r w:rsidRPr="00AF5B14">
        <w:rPr>
          <w:rFonts w:eastAsia="Calibri"/>
        </w:rPr>
        <w:tab/>
        <w:t xml:space="preserve">Costa-de-Oliveira, S., Rodrigues, A.G. </w:t>
      </w:r>
      <w:r w:rsidRPr="00AF5B14">
        <w:rPr>
          <w:rFonts w:eastAsia="Calibri"/>
          <w:i/>
          <w:iCs/>
        </w:rPr>
        <w:t>Candida albicans</w:t>
      </w:r>
      <w:r w:rsidRPr="00AF5B14">
        <w:rPr>
          <w:rFonts w:eastAsia="Calibri"/>
        </w:rPr>
        <w:t xml:space="preserve"> Antifungal Resistance and Tolerance in Bloodstream Infections: The Triad Yeast-Host-Antifungal. </w:t>
      </w:r>
      <w:r w:rsidRPr="00AF5B14">
        <w:rPr>
          <w:rFonts w:eastAsia="Calibri"/>
          <w:i/>
          <w:iCs/>
        </w:rPr>
        <w:t>Microorganisms</w:t>
      </w:r>
      <w:r w:rsidRPr="00AF5B14">
        <w:rPr>
          <w:rFonts w:eastAsia="Calibri"/>
        </w:rPr>
        <w:t xml:space="preserve">. </w:t>
      </w:r>
      <w:r w:rsidRPr="00AF5B14">
        <w:rPr>
          <w:rFonts w:eastAsia="Calibri"/>
          <w:b/>
          <w:bCs/>
        </w:rPr>
        <w:t>8</w:t>
      </w:r>
      <w:r w:rsidRPr="00AF5B14">
        <w:rPr>
          <w:rFonts w:eastAsia="Calibri"/>
        </w:rPr>
        <w:t xml:space="preserve"> (2), 154, doi: 10.3390/microorganisms8020154 (2020).</w:t>
      </w:r>
    </w:p>
    <w:p w14:paraId="7A4C2CC6" w14:textId="77777777" w:rsidR="00AF5B14" w:rsidRPr="00AF5B14" w:rsidRDefault="00AF5B14" w:rsidP="00AF5B14">
      <w:pPr>
        <w:pStyle w:val="Bibliography"/>
        <w:rPr>
          <w:rFonts w:eastAsia="Calibri"/>
        </w:rPr>
      </w:pPr>
      <w:r w:rsidRPr="00AF5B14">
        <w:rPr>
          <w:rFonts w:eastAsia="Calibri"/>
        </w:rPr>
        <w:t>19.</w:t>
      </w:r>
      <w:r w:rsidRPr="00AF5B14">
        <w:rPr>
          <w:rFonts w:eastAsia="Calibri"/>
        </w:rPr>
        <w:tab/>
        <w:t xml:space="preserve">Whaley, S.G., Berkow, E.L., Rybak, J.M., Nishimoto, A.T., Barker, K.S., Rogers, P.D. Azole Antifungal Resistance in </w:t>
      </w:r>
      <w:r w:rsidRPr="00AF5B14">
        <w:rPr>
          <w:rFonts w:eastAsia="Calibri"/>
          <w:i/>
          <w:iCs/>
        </w:rPr>
        <w:t>Candida albicans</w:t>
      </w:r>
      <w:r w:rsidRPr="00AF5B14">
        <w:rPr>
          <w:rFonts w:eastAsia="Calibri"/>
        </w:rPr>
        <w:t xml:space="preserve"> and Emerging Non-albicans Candida Species. </w:t>
      </w:r>
      <w:r w:rsidRPr="00AF5B14">
        <w:rPr>
          <w:rFonts w:eastAsia="Calibri"/>
          <w:i/>
          <w:iCs/>
        </w:rPr>
        <w:t>Frontiers in Microbiology</w:t>
      </w:r>
      <w:r w:rsidRPr="00AF5B14">
        <w:rPr>
          <w:rFonts w:eastAsia="Calibri"/>
        </w:rPr>
        <w:t xml:space="preserve">. </w:t>
      </w:r>
      <w:r w:rsidRPr="00AF5B14">
        <w:rPr>
          <w:rFonts w:eastAsia="Calibri"/>
          <w:b/>
          <w:bCs/>
        </w:rPr>
        <w:t>7</w:t>
      </w:r>
      <w:r w:rsidRPr="00AF5B14">
        <w:rPr>
          <w:rFonts w:eastAsia="Calibri"/>
        </w:rPr>
        <w:t>, doi: 10.3389/fmicb.2016.02173 (2017).</w:t>
      </w:r>
    </w:p>
    <w:p w14:paraId="575E903B" w14:textId="77777777" w:rsidR="00AF5B14" w:rsidRPr="00AF5B14" w:rsidRDefault="00AF5B14" w:rsidP="00AF5B14">
      <w:pPr>
        <w:pStyle w:val="Bibliography"/>
        <w:rPr>
          <w:rFonts w:eastAsia="Calibri"/>
        </w:rPr>
      </w:pPr>
      <w:r w:rsidRPr="00AF5B14">
        <w:rPr>
          <w:rFonts w:eastAsia="Calibri"/>
        </w:rPr>
        <w:t>20.</w:t>
      </w:r>
      <w:r w:rsidRPr="00AF5B14">
        <w:rPr>
          <w:rFonts w:eastAsia="Calibri"/>
        </w:rPr>
        <w:tab/>
        <w:t xml:space="preserve">Marichal, P. </w:t>
      </w:r>
      <w:r w:rsidRPr="00AF5B14">
        <w:rPr>
          <w:rFonts w:eastAsia="Calibri"/>
          <w:i/>
          <w:iCs/>
        </w:rPr>
        <w:t>et al.</w:t>
      </w:r>
      <w:r w:rsidRPr="00AF5B14">
        <w:rPr>
          <w:rFonts w:eastAsia="Calibri"/>
        </w:rPr>
        <w:t xml:space="preserve"> Contribution of mutations in the cytochrome P450 14α-demethylase (Erg11p, Cyp51p) to azole resistance in Candida albicans. </w:t>
      </w:r>
      <w:r w:rsidRPr="00AF5B14">
        <w:rPr>
          <w:rFonts w:eastAsia="Calibri"/>
          <w:i/>
          <w:iCs/>
        </w:rPr>
        <w:t>Microbiology</w:t>
      </w:r>
      <w:r w:rsidRPr="00AF5B14">
        <w:rPr>
          <w:rFonts w:eastAsia="Calibri"/>
        </w:rPr>
        <w:t xml:space="preserve">. </w:t>
      </w:r>
      <w:r w:rsidRPr="00AF5B14">
        <w:rPr>
          <w:rFonts w:eastAsia="Calibri"/>
          <w:b/>
          <w:bCs/>
        </w:rPr>
        <w:t>145</w:t>
      </w:r>
      <w:r w:rsidRPr="00AF5B14">
        <w:rPr>
          <w:rFonts w:eastAsia="Calibri"/>
        </w:rPr>
        <w:t xml:space="preserve"> (10), 2701–2713, doi: 10.1099/00221287-145-10-2701 (1999).</w:t>
      </w:r>
    </w:p>
    <w:p w14:paraId="61CFFB47" w14:textId="77777777" w:rsidR="00AF5B14" w:rsidRPr="00AF5B14" w:rsidRDefault="00AF5B14" w:rsidP="00AF5B14">
      <w:pPr>
        <w:pStyle w:val="Bibliography"/>
        <w:rPr>
          <w:rFonts w:eastAsia="Calibri"/>
        </w:rPr>
      </w:pPr>
      <w:r w:rsidRPr="00AF5B14">
        <w:rPr>
          <w:rFonts w:eastAsia="Calibri"/>
        </w:rPr>
        <w:t>21.</w:t>
      </w:r>
      <w:r w:rsidRPr="00AF5B14">
        <w:rPr>
          <w:rFonts w:eastAsia="Calibri"/>
        </w:rPr>
        <w:tab/>
        <w:t xml:space="preserve">Lee, Y., Robbins, N., Cowen, L.E. Molecular mechanisms governing antifungal drug resistance. </w:t>
      </w:r>
      <w:r w:rsidRPr="00AF5B14">
        <w:rPr>
          <w:rFonts w:eastAsia="Calibri"/>
          <w:i/>
          <w:iCs/>
        </w:rPr>
        <w:t>npj Antimicrobials and Resistance</w:t>
      </w:r>
      <w:r w:rsidRPr="00AF5B14">
        <w:rPr>
          <w:rFonts w:eastAsia="Calibri"/>
        </w:rPr>
        <w:t xml:space="preserve">. </w:t>
      </w:r>
      <w:r w:rsidRPr="00AF5B14">
        <w:rPr>
          <w:rFonts w:eastAsia="Calibri"/>
          <w:b/>
          <w:bCs/>
        </w:rPr>
        <w:t>1</w:t>
      </w:r>
      <w:r w:rsidRPr="00AF5B14">
        <w:rPr>
          <w:rFonts w:eastAsia="Calibri"/>
        </w:rPr>
        <w:t xml:space="preserve"> (1), 5, doi: 10.1038/s44259-023-00007-2 (2023).</w:t>
      </w:r>
    </w:p>
    <w:p w14:paraId="02E7B674" w14:textId="77777777" w:rsidR="00AF5B14" w:rsidRPr="00AF5B14" w:rsidRDefault="00AF5B14" w:rsidP="00AF5B14">
      <w:pPr>
        <w:pStyle w:val="Bibliography"/>
        <w:rPr>
          <w:rFonts w:eastAsia="Calibri"/>
        </w:rPr>
      </w:pPr>
      <w:r w:rsidRPr="00AF5B14">
        <w:rPr>
          <w:rFonts w:eastAsia="Calibri"/>
        </w:rPr>
        <w:t>22.</w:t>
      </w:r>
      <w:r w:rsidRPr="00AF5B14">
        <w:rPr>
          <w:rFonts w:eastAsia="Calibri"/>
        </w:rPr>
        <w:tab/>
        <w:t xml:space="preserve">Maciel, E.I., Jiang, C., Barghouth, P.G., Nobile, C.J., Oviedo, N.J. The planarian Schmidtea mediterranea is a new model to study host-pathogen interactions during fungal infections. </w:t>
      </w:r>
      <w:r w:rsidRPr="00AF5B14">
        <w:rPr>
          <w:rFonts w:eastAsia="Calibri"/>
          <w:i/>
          <w:iCs/>
        </w:rPr>
        <w:t>Developmental &amp; Comparative Immunology</w:t>
      </w:r>
      <w:r w:rsidRPr="00AF5B14">
        <w:rPr>
          <w:rFonts w:eastAsia="Calibri"/>
        </w:rPr>
        <w:t xml:space="preserve">. </w:t>
      </w:r>
      <w:r w:rsidRPr="00AF5B14">
        <w:rPr>
          <w:rFonts w:eastAsia="Calibri"/>
          <w:b/>
          <w:bCs/>
        </w:rPr>
        <w:t>93</w:t>
      </w:r>
      <w:r w:rsidRPr="00AF5B14">
        <w:rPr>
          <w:rFonts w:eastAsia="Calibri"/>
        </w:rPr>
        <w:t>, 18–27, doi: 10.1016/j.dci.2018.12.005 (2019).</w:t>
      </w:r>
    </w:p>
    <w:p w14:paraId="0E4F2396" w14:textId="77777777" w:rsidR="00AF5B14" w:rsidRPr="00AF5B14" w:rsidRDefault="00AF5B14" w:rsidP="00AF5B14">
      <w:pPr>
        <w:pStyle w:val="Bibliography"/>
        <w:rPr>
          <w:rFonts w:eastAsia="Calibri"/>
        </w:rPr>
      </w:pPr>
      <w:r w:rsidRPr="00AF5B14">
        <w:rPr>
          <w:rFonts w:eastAsia="Calibri"/>
        </w:rPr>
        <w:t>23.</w:t>
      </w:r>
      <w:r w:rsidRPr="00AF5B14">
        <w:rPr>
          <w:rFonts w:eastAsia="Calibri"/>
        </w:rPr>
        <w:tab/>
        <w:t xml:space="preserve">Maciel, E.I., Valle Arevalo, A., Ziman, B., Nobile, C.J., Oviedo, N.J. Epithelial Infection With Candida albicans Elicits a Multi-System Response in Planarians. </w:t>
      </w:r>
      <w:r w:rsidRPr="00AF5B14">
        <w:rPr>
          <w:rFonts w:eastAsia="Calibri"/>
          <w:i/>
          <w:iCs/>
        </w:rPr>
        <w:t>Frontiers in Microbiology</w:t>
      </w:r>
      <w:r w:rsidRPr="00AF5B14">
        <w:rPr>
          <w:rFonts w:eastAsia="Calibri"/>
        </w:rPr>
        <w:t xml:space="preserve">. </w:t>
      </w:r>
      <w:r w:rsidRPr="00AF5B14">
        <w:rPr>
          <w:rFonts w:eastAsia="Calibri"/>
          <w:b/>
          <w:bCs/>
        </w:rPr>
        <w:t>11</w:t>
      </w:r>
      <w:r w:rsidRPr="00AF5B14">
        <w:rPr>
          <w:rFonts w:eastAsia="Calibri"/>
        </w:rPr>
        <w:t>, 629526, doi: 10.3389/fmicb.2020.629526 (2021).</w:t>
      </w:r>
    </w:p>
    <w:p w14:paraId="0D14E1C0" w14:textId="77777777" w:rsidR="00AF5B14" w:rsidRPr="00AF5B14" w:rsidRDefault="00AF5B14" w:rsidP="00AF5B14">
      <w:pPr>
        <w:pStyle w:val="Bibliography"/>
        <w:rPr>
          <w:rFonts w:eastAsia="Calibri"/>
        </w:rPr>
      </w:pPr>
      <w:r w:rsidRPr="00AF5B14">
        <w:rPr>
          <w:rFonts w:eastAsia="Calibri"/>
        </w:rPr>
        <w:t>24.</w:t>
      </w:r>
      <w:r w:rsidRPr="00AF5B14">
        <w:rPr>
          <w:rFonts w:eastAsia="Calibri"/>
        </w:rPr>
        <w:tab/>
        <w:t xml:space="preserve">Maciel, E.I., Valle Arevalo, A., Nobile, C.J., Oviedo, N.J. A Planarian Model System to Study Host-Pathogen Interactions. </w:t>
      </w:r>
      <w:r w:rsidRPr="00AF5B14">
        <w:rPr>
          <w:rFonts w:eastAsia="Calibri"/>
          <w:i/>
          <w:iCs/>
        </w:rPr>
        <w:t>Schmidtea Mediterranea</w:t>
      </w:r>
      <w:r w:rsidRPr="00AF5B14">
        <w:rPr>
          <w:rFonts w:eastAsia="Calibri"/>
        </w:rPr>
        <w:t xml:space="preserve">. </w:t>
      </w:r>
      <w:r w:rsidRPr="00AF5B14">
        <w:rPr>
          <w:rFonts w:eastAsia="Calibri"/>
          <w:b/>
          <w:bCs/>
        </w:rPr>
        <w:t>2680</w:t>
      </w:r>
      <w:r w:rsidRPr="00AF5B14">
        <w:rPr>
          <w:rFonts w:eastAsia="Calibri"/>
        </w:rPr>
        <w:t>, 231–244, doi: 10.1007/978-1-0716-3275-8_14 (2023).</w:t>
      </w:r>
    </w:p>
    <w:p w14:paraId="75254C54" w14:textId="77777777" w:rsidR="00AF5B14" w:rsidRPr="00AF5B14" w:rsidRDefault="00AF5B14" w:rsidP="00AF5B14">
      <w:pPr>
        <w:pStyle w:val="Bibliography"/>
        <w:rPr>
          <w:rFonts w:eastAsia="Calibri"/>
        </w:rPr>
      </w:pPr>
      <w:r w:rsidRPr="00AF5B14">
        <w:rPr>
          <w:rFonts w:eastAsia="Calibri"/>
        </w:rPr>
        <w:t>25.</w:t>
      </w:r>
      <w:r w:rsidRPr="00AF5B14">
        <w:rPr>
          <w:rFonts w:eastAsia="Calibri"/>
        </w:rPr>
        <w:tab/>
        <w:t xml:space="preserve">Sánchez Alvarado, A. Planarian Regeneration: Its End Is Its Beginning. </w:t>
      </w:r>
      <w:r w:rsidRPr="00AF5B14">
        <w:rPr>
          <w:rFonts w:eastAsia="Calibri"/>
          <w:i/>
          <w:iCs/>
        </w:rPr>
        <w:t>Cell</w:t>
      </w:r>
      <w:r w:rsidRPr="00AF5B14">
        <w:rPr>
          <w:rFonts w:eastAsia="Calibri"/>
        </w:rPr>
        <w:t xml:space="preserve">. </w:t>
      </w:r>
      <w:r w:rsidRPr="00AF5B14">
        <w:rPr>
          <w:rFonts w:eastAsia="Calibri"/>
          <w:b/>
          <w:bCs/>
        </w:rPr>
        <w:t>124</w:t>
      </w:r>
      <w:r w:rsidRPr="00AF5B14">
        <w:rPr>
          <w:rFonts w:eastAsia="Calibri"/>
        </w:rPr>
        <w:t xml:space="preserve"> (2), 241–245, doi: 10.1016/j.cell.2006.01.012 (2006).</w:t>
      </w:r>
    </w:p>
    <w:p w14:paraId="32EE1A98" w14:textId="77777777" w:rsidR="00AF5B14" w:rsidRPr="00AF5B14" w:rsidRDefault="00AF5B14" w:rsidP="00AF5B14">
      <w:pPr>
        <w:pStyle w:val="Bibliography"/>
        <w:rPr>
          <w:rFonts w:eastAsia="Calibri"/>
        </w:rPr>
      </w:pPr>
      <w:r w:rsidRPr="00AF5B14">
        <w:rPr>
          <w:rFonts w:eastAsia="Calibri"/>
        </w:rPr>
        <w:t>26.</w:t>
      </w:r>
      <w:r w:rsidRPr="00AF5B14">
        <w:rPr>
          <w:rFonts w:eastAsia="Calibri"/>
        </w:rPr>
        <w:tab/>
        <w:t xml:space="preserve">Sluys, R., Riutort, M. Planarian Diversity and Phylogeny. </w:t>
      </w:r>
      <w:r w:rsidRPr="00AF5B14">
        <w:rPr>
          <w:rFonts w:eastAsia="Calibri"/>
          <w:i/>
          <w:iCs/>
        </w:rPr>
        <w:t>Planarian Regeneration</w:t>
      </w:r>
      <w:r w:rsidRPr="00AF5B14">
        <w:rPr>
          <w:rFonts w:eastAsia="Calibri"/>
        </w:rPr>
        <w:t xml:space="preserve">. </w:t>
      </w:r>
      <w:r w:rsidRPr="00AF5B14">
        <w:rPr>
          <w:rFonts w:eastAsia="Calibri"/>
          <w:b/>
          <w:bCs/>
        </w:rPr>
        <w:t>1774</w:t>
      </w:r>
      <w:r w:rsidRPr="00AF5B14">
        <w:rPr>
          <w:rFonts w:eastAsia="Calibri"/>
        </w:rPr>
        <w:t>, 1–56, doi: 10.1007/978-1-4939-7802-1_1 (2018).</w:t>
      </w:r>
    </w:p>
    <w:p w14:paraId="737EF83B" w14:textId="77777777" w:rsidR="00AF5B14" w:rsidRPr="00AF5B14" w:rsidRDefault="00AF5B14" w:rsidP="00AF5B14">
      <w:pPr>
        <w:pStyle w:val="Bibliography"/>
        <w:rPr>
          <w:rFonts w:eastAsia="Calibri"/>
        </w:rPr>
      </w:pPr>
      <w:r w:rsidRPr="00AF5B14">
        <w:rPr>
          <w:rFonts w:eastAsia="Calibri"/>
        </w:rPr>
        <w:t>27.</w:t>
      </w:r>
      <w:r w:rsidRPr="00AF5B14">
        <w:rPr>
          <w:rFonts w:eastAsia="Calibri"/>
        </w:rPr>
        <w:tab/>
        <w:t xml:space="preserve">Riera Romo, M., Pérez‐Martínez, D., Castillo Ferrer, C. Innate immunity in vertebrates: an overview. </w:t>
      </w:r>
      <w:r w:rsidRPr="00AF5B14">
        <w:rPr>
          <w:rFonts w:eastAsia="Calibri"/>
          <w:i/>
          <w:iCs/>
        </w:rPr>
        <w:t>Immunology</w:t>
      </w:r>
      <w:r w:rsidRPr="00AF5B14">
        <w:rPr>
          <w:rFonts w:eastAsia="Calibri"/>
        </w:rPr>
        <w:t xml:space="preserve">. </w:t>
      </w:r>
      <w:r w:rsidRPr="00AF5B14">
        <w:rPr>
          <w:rFonts w:eastAsia="Calibri"/>
          <w:b/>
          <w:bCs/>
        </w:rPr>
        <w:t>148</w:t>
      </w:r>
      <w:r w:rsidRPr="00AF5B14">
        <w:rPr>
          <w:rFonts w:eastAsia="Calibri"/>
        </w:rPr>
        <w:t xml:space="preserve"> (2), 125–139, doi: 10.1111/imm.12597 (2016).</w:t>
      </w:r>
    </w:p>
    <w:p w14:paraId="6905E66B" w14:textId="77777777" w:rsidR="00AF5B14" w:rsidRPr="00AF5B14" w:rsidRDefault="00AF5B14" w:rsidP="00AF5B14">
      <w:pPr>
        <w:pStyle w:val="Bibliography"/>
        <w:rPr>
          <w:rFonts w:eastAsia="Calibri"/>
        </w:rPr>
      </w:pPr>
      <w:r w:rsidRPr="00AF5B14">
        <w:rPr>
          <w:rFonts w:eastAsia="Calibri"/>
        </w:rPr>
        <w:t>28.</w:t>
      </w:r>
      <w:r w:rsidRPr="00AF5B14">
        <w:rPr>
          <w:rFonts w:eastAsia="Calibri"/>
        </w:rPr>
        <w:tab/>
        <w:t xml:space="preserve">Peiris, T.H., Hoyer, K.K., Oviedo, N.J. Innate immune system and tissue regeneration in planarians: An area ripe for exploration. </w:t>
      </w:r>
      <w:r w:rsidRPr="00AF5B14">
        <w:rPr>
          <w:rFonts w:eastAsia="Calibri"/>
          <w:i/>
          <w:iCs/>
        </w:rPr>
        <w:t>Seminars in Immunology</w:t>
      </w:r>
      <w:r w:rsidRPr="00AF5B14">
        <w:rPr>
          <w:rFonts w:eastAsia="Calibri"/>
        </w:rPr>
        <w:t xml:space="preserve">. </w:t>
      </w:r>
      <w:r w:rsidRPr="00AF5B14">
        <w:rPr>
          <w:rFonts w:eastAsia="Calibri"/>
          <w:b/>
          <w:bCs/>
        </w:rPr>
        <w:t>26</w:t>
      </w:r>
      <w:r w:rsidRPr="00AF5B14">
        <w:rPr>
          <w:rFonts w:eastAsia="Calibri"/>
        </w:rPr>
        <w:t xml:space="preserve"> (4), 295–302, doi: 10.1016/j.smim.2014.06.005 (2014).</w:t>
      </w:r>
    </w:p>
    <w:p w14:paraId="226581CC" w14:textId="77777777" w:rsidR="00AF5B14" w:rsidRPr="00AF5B14" w:rsidRDefault="00AF5B14" w:rsidP="00AF5B14">
      <w:pPr>
        <w:pStyle w:val="Bibliography"/>
        <w:rPr>
          <w:rFonts w:eastAsia="Calibri"/>
        </w:rPr>
      </w:pPr>
      <w:r w:rsidRPr="00AF5B14">
        <w:rPr>
          <w:rFonts w:eastAsia="Calibri"/>
        </w:rPr>
        <w:t>29.</w:t>
      </w:r>
      <w:r w:rsidRPr="00AF5B14">
        <w:rPr>
          <w:rFonts w:eastAsia="Calibri"/>
        </w:rPr>
        <w:tab/>
        <w:t xml:space="preserve">Kangale, L.J., Raoult, D., Fournier, P.-E., Abnave, P., Ghigo, E. Planarians (Platyhelminthes)—An Emerging Model Organism for Investigating Innate Immune Mechanisms. </w:t>
      </w:r>
      <w:r w:rsidRPr="00AF5B14">
        <w:rPr>
          <w:rFonts w:eastAsia="Calibri"/>
          <w:i/>
          <w:iCs/>
        </w:rPr>
        <w:t>Frontiers in Cellular and Infection Microbiology</w:t>
      </w:r>
      <w:r w:rsidRPr="00AF5B14">
        <w:rPr>
          <w:rFonts w:eastAsia="Calibri"/>
        </w:rPr>
        <w:t xml:space="preserve">. </w:t>
      </w:r>
      <w:r w:rsidRPr="00AF5B14">
        <w:rPr>
          <w:rFonts w:eastAsia="Calibri"/>
          <w:b/>
          <w:bCs/>
        </w:rPr>
        <w:t>11</w:t>
      </w:r>
      <w:r w:rsidRPr="00AF5B14">
        <w:rPr>
          <w:rFonts w:eastAsia="Calibri"/>
        </w:rPr>
        <w:t>, 619081, doi: 10.3389/fcimb.2021.619081 (2021).</w:t>
      </w:r>
    </w:p>
    <w:p w14:paraId="2B312A4E" w14:textId="77777777" w:rsidR="00AF5B14" w:rsidRPr="00AF5B14" w:rsidRDefault="00AF5B14" w:rsidP="00AF5B14">
      <w:pPr>
        <w:pStyle w:val="Bibliography"/>
        <w:rPr>
          <w:rFonts w:eastAsia="Calibri"/>
        </w:rPr>
      </w:pPr>
      <w:r w:rsidRPr="00AF5B14">
        <w:rPr>
          <w:rFonts w:eastAsia="Calibri"/>
        </w:rPr>
        <w:lastRenderedPageBreak/>
        <w:t>30.</w:t>
      </w:r>
      <w:r w:rsidRPr="00AF5B14">
        <w:rPr>
          <w:rFonts w:eastAsia="Calibri"/>
        </w:rPr>
        <w:tab/>
        <w:t xml:space="preserve">Karami, A., Tebyanian, H., Goodarzi, V., Shiri, S. Planarians: an In Vivo Model for Regenerative Medicine. </w:t>
      </w:r>
      <w:r w:rsidRPr="00AF5B14">
        <w:rPr>
          <w:rFonts w:eastAsia="Calibri"/>
          <w:i/>
          <w:iCs/>
        </w:rPr>
        <w:t>International Journal of Stem Cells</w:t>
      </w:r>
      <w:r w:rsidRPr="00AF5B14">
        <w:rPr>
          <w:rFonts w:eastAsia="Calibri"/>
        </w:rPr>
        <w:t xml:space="preserve">. </w:t>
      </w:r>
      <w:r w:rsidRPr="00AF5B14">
        <w:rPr>
          <w:rFonts w:eastAsia="Calibri"/>
          <w:b/>
          <w:bCs/>
        </w:rPr>
        <w:t>8</w:t>
      </w:r>
      <w:r w:rsidRPr="00AF5B14">
        <w:rPr>
          <w:rFonts w:eastAsia="Calibri"/>
        </w:rPr>
        <w:t xml:space="preserve"> (2), 128–133, doi: 10.15283/ijsc.2015.8.2.128 (2015).</w:t>
      </w:r>
    </w:p>
    <w:p w14:paraId="1830B8D9" w14:textId="77777777" w:rsidR="00AF5B14" w:rsidRPr="00AF5B14" w:rsidRDefault="00AF5B14" w:rsidP="00AF5B14">
      <w:pPr>
        <w:pStyle w:val="Bibliography"/>
        <w:rPr>
          <w:rFonts w:eastAsia="Calibri"/>
        </w:rPr>
      </w:pPr>
      <w:r w:rsidRPr="00AF5B14">
        <w:rPr>
          <w:rFonts w:eastAsia="Calibri"/>
        </w:rPr>
        <w:t>31.</w:t>
      </w:r>
      <w:r w:rsidRPr="00AF5B14">
        <w:rPr>
          <w:rFonts w:eastAsia="Calibri"/>
        </w:rPr>
        <w:tab/>
        <w:t xml:space="preserve">Oviedo, N.J., Nicolas, C.L., Adams, D.S., Levin, M. Establishing and Maintaining a Colony of Planarians. </w:t>
      </w:r>
      <w:r w:rsidRPr="00AF5B14">
        <w:rPr>
          <w:rFonts w:eastAsia="Calibri"/>
          <w:i/>
          <w:iCs/>
        </w:rPr>
        <w:t>Cold Spring Harbor Protocols</w:t>
      </w:r>
      <w:r w:rsidRPr="00AF5B14">
        <w:rPr>
          <w:rFonts w:eastAsia="Calibri"/>
        </w:rPr>
        <w:t xml:space="preserve">. </w:t>
      </w:r>
      <w:r w:rsidRPr="00AF5B14">
        <w:rPr>
          <w:rFonts w:eastAsia="Calibri"/>
          <w:b/>
          <w:bCs/>
        </w:rPr>
        <w:t>2008</w:t>
      </w:r>
      <w:r w:rsidRPr="00AF5B14">
        <w:rPr>
          <w:rFonts w:eastAsia="Calibri"/>
        </w:rPr>
        <w:t xml:space="preserve"> (10), pdb.prot5053, doi: 10.1101/pdb.prot5053 (2008).</w:t>
      </w:r>
    </w:p>
    <w:p w14:paraId="20300D63" w14:textId="77777777" w:rsidR="00AF5B14" w:rsidRPr="00AF5B14" w:rsidRDefault="00AF5B14" w:rsidP="00AF5B14">
      <w:pPr>
        <w:pStyle w:val="Bibliography"/>
        <w:rPr>
          <w:rFonts w:eastAsia="Calibri"/>
        </w:rPr>
      </w:pPr>
      <w:r w:rsidRPr="00AF5B14">
        <w:rPr>
          <w:rFonts w:eastAsia="Calibri"/>
        </w:rPr>
        <w:t>32.</w:t>
      </w:r>
      <w:r w:rsidRPr="00AF5B14">
        <w:rPr>
          <w:rFonts w:eastAsia="Calibri"/>
        </w:rPr>
        <w:tab/>
        <w:t xml:space="preserve">Ivanković, M. </w:t>
      </w:r>
      <w:r w:rsidRPr="00AF5B14">
        <w:rPr>
          <w:rFonts w:eastAsia="Calibri"/>
          <w:i/>
          <w:iCs/>
        </w:rPr>
        <w:t>et al.</w:t>
      </w:r>
      <w:r w:rsidRPr="00AF5B14">
        <w:rPr>
          <w:rFonts w:eastAsia="Calibri"/>
        </w:rPr>
        <w:t xml:space="preserve"> A comparative analysis of planarian genomes reveals regulatory conservation in the face of rapid structural divergence. </w:t>
      </w:r>
      <w:r w:rsidRPr="00AF5B14">
        <w:rPr>
          <w:rFonts w:eastAsia="Calibri"/>
          <w:i/>
          <w:iCs/>
        </w:rPr>
        <w:t>Nature Communications</w:t>
      </w:r>
      <w:r w:rsidRPr="00AF5B14">
        <w:rPr>
          <w:rFonts w:eastAsia="Calibri"/>
        </w:rPr>
        <w:t xml:space="preserve">. </w:t>
      </w:r>
      <w:r w:rsidRPr="00AF5B14">
        <w:rPr>
          <w:rFonts w:eastAsia="Calibri"/>
          <w:b/>
          <w:bCs/>
        </w:rPr>
        <w:t>15</w:t>
      </w:r>
      <w:r w:rsidRPr="00AF5B14">
        <w:rPr>
          <w:rFonts w:eastAsia="Calibri"/>
        </w:rPr>
        <w:t xml:space="preserve"> (1), 8215, doi: 10.1038/s41467-024-52380-9 (2024).</w:t>
      </w:r>
    </w:p>
    <w:p w14:paraId="6E7E5D6A" w14:textId="77777777" w:rsidR="00AF5B14" w:rsidRPr="00AF5B14" w:rsidRDefault="00AF5B14" w:rsidP="00AF5B14">
      <w:pPr>
        <w:pStyle w:val="Bibliography"/>
        <w:rPr>
          <w:rFonts w:eastAsia="Calibri"/>
        </w:rPr>
      </w:pPr>
      <w:r w:rsidRPr="00AF5B14">
        <w:rPr>
          <w:rFonts w:eastAsia="Calibri"/>
        </w:rPr>
        <w:t>33.</w:t>
      </w:r>
      <w:r w:rsidRPr="00AF5B14">
        <w:rPr>
          <w:rFonts w:eastAsia="Calibri"/>
        </w:rPr>
        <w:tab/>
        <w:t xml:space="preserve">Fincher, C.T., Wurtzel, O., De Hoog, T., Kravarik, K.M., Reddien, P.W. Cell type transcriptome atlas for the planarian </w:t>
      </w:r>
      <w:r w:rsidRPr="00AF5B14">
        <w:rPr>
          <w:rFonts w:eastAsia="Calibri"/>
          <w:i/>
          <w:iCs/>
        </w:rPr>
        <w:t>Schmidtea mediterranea</w:t>
      </w:r>
      <w:r w:rsidRPr="00AF5B14">
        <w:rPr>
          <w:rFonts w:eastAsia="Calibri"/>
        </w:rPr>
        <w:t xml:space="preserve">. </w:t>
      </w:r>
      <w:r w:rsidRPr="00AF5B14">
        <w:rPr>
          <w:rFonts w:eastAsia="Calibri"/>
          <w:i/>
          <w:iCs/>
        </w:rPr>
        <w:t>Science</w:t>
      </w:r>
      <w:r w:rsidRPr="00AF5B14">
        <w:rPr>
          <w:rFonts w:eastAsia="Calibri"/>
        </w:rPr>
        <w:t xml:space="preserve">. </w:t>
      </w:r>
      <w:r w:rsidRPr="00AF5B14">
        <w:rPr>
          <w:rFonts w:eastAsia="Calibri"/>
          <w:b/>
          <w:bCs/>
        </w:rPr>
        <w:t>360</w:t>
      </w:r>
      <w:r w:rsidRPr="00AF5B14">
        <w:rPr>
          <w:rFonts w:eastAsia="Calibri"/>
        </w:rPr>
        <w:t xml:space="preserve"> (6391), eaaq1736, doi: 10.1126/science.aaq1736 (2018).</w:t>
      </w:r>
    </w:p>
    <w:p w14:paraId="00D28C2B" w14:textId="77777777" w:rsidR="00AF5B14" w:rsidRPr="00AF5B14" w:rsidRDefault="00AF5B14" w:rsidP="00AF5B14">
      <w:pPr>
        <w:pStyle w:val="Bibliography"/>
        <w:rPr>
          <w:rFonts w:eastAsia="Calibri"/>
        </w:rPr>
      </w:pPr>
      <w:r w:rsidRPr="00AF5B14">
        <w:rPr>
          <w:rFonts w:eastAsia="Calibri"/>
        </w:rPr>
        <w:t>34.</w:t>
      </w:r>
      <w:r w:rsidRPr="00AF5B14">
        <w:rPr>
          <w:rFonts w:eastAsia="Calibri"/>
        </w:rPr>
        <w:tab/>
        <w:t xml:space="preserve">Shibata, N., Agata, K. RNA Interference in Planarians: Feeding and Injection of Synthetic dsRNA. </w:t>
      </w:r>
      <w:r w:rsidRPr="00AF5B14">
        <w:rPr>
          <w:rFonts w:eastAsia="Calibri"/>
          <w:i/>
          <w:iCs/>
        </w:rPr>
        <w:t>Planarian Regeneration</w:t>
      </w:r>
      <w:r w:rsidRPr="00AF5B14">
        <w:rPr>
          <w:rFonts w:eastAsia="Calibri"/>
        </w:rPr>
        <w:t xml:space="preserve">. </w:t>
      </w:r>
      <w:r w:rsidRPr="00AF5B14">
        <w:rPr>
          <w:rFonts w:eastAsia="Calibri"/>
          <w:b/>
          <w:bCs/>
        </w:rPr>
        <w:t>1774</w:t>
      </w:r>
      <w:r w:rsidRPr="00AF5B14">
        <w:rPr>
          <w:rFonts w:eastAsia="Calibri"/>
        </w:rPr>
        <w:t>, 455–466, doi: 10.1007/978-1-4939-7802-1_18 (2018).</w:t>
      </w:r>
    </w:p>
    <w:p w14:paraId="28580D3D" w14:textId="77777777" w:rsidR="00AF5B14" w:rsidRPr="00AF5B14" w:rsidRDefault="00AF5B14" w:rsidP="00AF5B14">
      <w:pPr>
        <w:pStyle w:val="Bibliography"/>
        <w:rPr>
          <w:rFonts w:eastAsia="Calibri"/>
        </w:rPr>
      </w:pPr>
      <w:r w:rsidRPr="00AF5B14">
        <w:rPr>
          <w:rFonts w:eastAsia="Calibri"/>
        </w:rPr>
        <w:t>35.</w:t>
      </w:r>
      <w:r w:rsidRPr="00AF5B14">
        <w:rPr>
          <w:rFonts w:eastAsia="Calibri"/>
        </w:rPr>
        <w:tab/>
        <w:t xml:space="preserve">Rouhana, L. </w:t>
      </w:r>
      <w:r w:rsidRPr="00AF5B14">
        <w:rPr>
          <w:rFonts w:eastAsia="Calibri"/>
          <w:i/>
          <w:iCs/>
        </w:rPr>
        <w:t>et al.</w:t>
      </w:r>
      <w:r w:rsidRPr="00AF5B14">
        <w:rPr>
          <w:rFonts w:eastAsia="Calibri"/>
        </w:rPr>
        <w:t xml:space="preserve"> RNA interference by feeding in vitro–synthesized double‐stranded RNA to planarians: Methodology and dynamics. </w:t>
      </w:r>
      <w:r w:rsidRPr="00AF5B14">
        <w:rPr>
          <w:rFonts w:eastAsia="Calibri"/>
          <w:i/>
          <w:iCs/>
        </w:rPr>
        <w:t>Developmental Dynamics</w:t>
      </w:r>
      <w:r w:rsidRPr="00AF5B14">
        <w:rPr>
          <w:rFonts w:eastAsia="Calibri"/>
        </w:rPr>
        <w:t xml:space="preserve">. </w:t>
      </w:r>
      <w:r w:rsidRPr="00AF5B14">
        <w:rPr>
          <w:rFonts w:eastAsia="Calibri"/>
          <w:b/>
          <w:bCs/>
        </w:rPr>
        <w:t>242</w:t>
      </w:r>
      <w:r w:rsidRPr="00AF5B14">
        <w:rPr>
          <w:rFonts w:eastAsia="Calibri"/>
        </w:rPr>
        <w:t xml:space="preserve"> (6), 718–730, doi: 10.1002/dvdy.23950 (2013).</w:t>
      </w:r>
    </w:p>
    <w:p w14:paraId="550098CE" w14:textId="77777777" w:rsidR="00AF5B14" w:rsidRPr="00AF5B14" w:rsidRDefault="00AF5B14" w:rsidP="00AF5B14">
      <w:pPr>
        <w:pStyle w:val="Bibliography"/>
        <w:rPr>
          <w:rFonts w:eastAsia="Calibri"/>
        </w:rPr>
      </w:pPr>
      <w:r w:rsidRPr="00AF5B14">
        <w:rPr>
          <w:rFonts w:eastAsia="Calibri"/>
        </w:rPr>
        <w:t>36.</w:t>
      </w:r>
      <w:r w:rsidRPr="00AF5B14">
        <w:rPr>
          <w:rFonts w:eastAsia="Calibri"/>
        </w:rPr>
        <w:tab/>
        <w:t xml:space="preserve">Winsor, L., Sluys, R. Basic Histological Techniques for Planarians. </w:t>
      </w:r>
      <w:r w:rsidRPr="00AF5B14">
        <w:rPr>
          <w:rFonts w:eastAsia="Calibri"/>
          <w:i/>
          <w:iCs/>
        </w:rPr>
        <w:t>Planarian Regeneration</w:t>
      </w:r>
      <w:r w:rsidRPr="00AF5B14">
        <w:rPr>
          <w:rFonts w:eastAsia="Calibri"/>
        </w:rPr>
        <w:t xml:space="preserve">. </w:t>
      </w:r>
      <w:r w:rsidRPr="00AF5B14">
        <w:rPr>
          <w:rFonts w:eastAsia="Calibri"/>
          <w:b/>
          <w:bCs/>
        </w:rPr>
        <w:t>1774</w:t>
      </w:r>
      <w:r w:rsidRPr="00AF5B14">
        <w:rPr>
          <w:rFonts w:eastAsia="Calibri"/>
        </w:rPr>
        <w:t>, 285–351, doi: 10.1007/978-1-4939-7802-1_9 (2018).</w:t>
      </w:r>
    </w:p>
    <w:p w14:paraId="12F2EC4B" w14:textId="77777777" w:rsidR="00AF5B14" w:rsidRPr="00AF5B14" w:rsidRDefault="00AF5B14" w:rsidP="00AF5B14">
      <w:pPr>
        <w:pStyle w:val="Bibliography"/>
        <w:rPr>
          <w:rFonts w:eastAsia="Calibri"/>
        </w:rPr>
      </w:pPr>
      <w:r w:rsidRPr="00AF5B14">
        <w:rPr>
          <w:rFonts w:eastAsia="Calibri"/>
        </w:rPr>
        <w:t>37.</w:t>
      </w:r>
      <w:r w:rsidRPr="00AF5B14">
        <w:rPr>
          <w:rFonts w:eastAsia="Calibri"/>
        </w:rPr>
        <w:tab/>
        <w:t xml:space="preserve">Lu, J. </w:t>
      </w:r>
      <w:r w:rsidRPr="00AF5B14">
        <w:rPr>
          <w:rFonts w:eastAsia="Calibri"/>
          <w:i/>
          <w:iCs/>
        </w:rPr>
        <w:t>et al.</w:t>
      </w:r>
      <w:r w:rsidRPr="00AF5B14">
        <w:rPr>
          <w:rFonts w:eastAsia="Calibri"/>
        </w:rPr>
        <w:t xml:space="preserve"> 3D reconstruction of neuronal allometry and neuromuscular projections in asexual planarians using expansion tiling light sheet microscopy. </w:t>
      </w:r>
      <w:r w:rsidRPr="00AF5B14">
        <w:rPr>
          <w:rFonts w:eastAsia="Calibri"/>
          <w:i/>
          <w:iCs/>
        </w:rPr>
        <w:t>eLife</w:t>
      </w:r>
      <w:r w:rsidRPr="00AF5B14">
        <w:rPr>
          <w:rFonts w:eastAsia="Calibri"/>
        </w:rPr>
        <w:t xml:space="preserve">. </w:t>
      </w:r>
      <w:r w:rsidRPr="00AF5B14">
        <w:rPr>
          <w:rFonts w:eastAsia="Calibri"/>
          <w:b/>
          <w:bCs/>
        </w:rPr>
        <w:t>13</w:t>
      </w:r>
      <w:r w:rsidRPr="00AF5B14">
        <w:rPr>
          <w:rFonts w:eastAsia="Calibri"/>
        </w:rPr>
        <w:t>, RP101103, doi: 10.7554/eLife.101103.3 (2025).</w:t>
      </w:r>
    </w:p>
    <w:p w14:paraId="0C5FC620" w14:textId="77777777" w:rsidR="00AF5B14" w:rsidRPr="00AF5B14" w:rsidRDefault="00AF5B14" w:rsidP="00AF5B14">
      <w:pPr>
        <w:pStyle w:val="Bibliography"/>
        <w:rPr>
          <w:rFonts w:eastAsia="Calibri"/>
        </w:rPr>
      </w:pPr>
      <w:r w:rsidRPr="00AF5B14">
        <w:rPr>
          <w:rFonts w:eastAsia="Calibri"/>
        </w:rPr>
        <w:t>38.</w:t>
      </w:r>
      <w:r w:rsidRPr="00AF5B14">
        <w:rPr>
          <w:rFonts w:eastAsia="Calibri"/>
        </w:rPr>
        <w:tab/>
        <w:t xml:space="preserve">Rink, J.C., Vu, H.T.-K., Alvarado, A.S. The maintenance and regeneration of the planarian excretory system are regulated by EGFR signaling. </w:t>
      </w:r>
      <w:r w:rsidRPr="00AF5B14">
        <w:rPr>
          <w:rFonts w:eastAsia="Calibri"/>
          <w:i/>
          <w:iCs/>
        </w:rPr>
        <w:t>Development</w:t>
      </w:r>
      <w:r w:rsidRPr="00AF5B14">
        <w:rPr>
          <w:rFonts w:eastAsia="Calibri"/>
        </w:rPr>
        <w:t xml:space="preserve">. </w:t>
      </w:r>
      <w:r w:rsidRPr="00AF5B14">
        <w:rPr>
          <w:rFonts w:eastAsia="Calibri"/>
          <w:b/>
          <w:bCs/>
        </w:rPr>
        <w:t>138</w:t>
      </w:r>
      <w:r w:rsidRPr="00AF5B14">
        <w:rPr>
          <w:rFonts w:eastAsia="Calibri"/>
        </w:rPr>
        <w:t xml:space="preserve"> (17), 3769–3780, doi: 10.1242/dev.066852 (2011).</w:t>
      </w:r>
    </w:p>
    <w:p w14:paraId="51407B09" w14:textId="77777777" w:rsidR="00AF5B14" w:rsidRPr="00AF5B14" w:rsidRDefault="00AF5B14" w:rsidP="00AF5B14">
      <w:pPr>
        <w:pStyle w:val="Bibliography"/>
        <w:rPr>
          <w:rFonts w:eastAsia="Calibri"/>
        </w:rPr>
      </w:pPr>
      <w:r w:rsidRPr="00AF5B14">
        <w:rPr>
          <w:rFonts w:eastAsia="Calibri"/>
        </w:rPr>
        <w:t>39.</w:t>
      </w:r>
      <w:r w:rsidRPr="00AF5B14">
        <w:rPr>
          <w:rFonts w:eastAsia="Calibri"/>
        </w:rPr>
        <w:tab/>
        <w:t xml:space="preserve">Fajardo, P., Cuenda, A., Sanz-Ezquerro, J.J. A Mouse Model of Candidiasis. </w:t>
      </w:r>
      <w:r w:rsidRPr="00AF5B14">
        <w:rPr>
          <w:rFonts w:eastAsia="Calibri"/>
          <w:i/>
          <w:iCs/>
        </w:rPr>
        <w:t>Sepsis</w:t>
      </w:r>
      <w:r w:rsidRPr="00AF5B14">
        <w:rPr>
          <w:rFonts w:eastAsia="Calibri"/>
        </w:rPr>
        <w:t xml:space="preserve">. </w:t>
      </w:r>
      <w:r w:rsidRPr="00AF5B14">
        <w:rPr>
          <w:rFonts w:eastAsia="Calibri"/>
          <w:b/>
          <w:bCs/>
        </w:rPr>
        <w:t>2321</w:t>
      </w:r>
      <w:r w:rsidRPr="00AF5B14">
        <w:rPr>
          <w:rFonts w:eastAsia="Calibri"/>
        </w:rPr>
        <w:t>, 63–74, doi: 10.1007/978-1-0716-1488-4_7 (2021).</w:t>
      </w:r>
    </w:p>
    <w:p w14:paraId="31BCF810" w14:textId="77777777" w:rsidR="00AF5B14" w:rsidRPr="00AF5B14" w:rsidRDefault="00AF5B14" w:rsidP="00AF5B14">
      <w:pPr>
        <w:pStyle w:val="Bibliography"/>
        <w:rPr>
          <w:rFonts w:eastAsia="Calibri"/>
        </w:rPr>
      </w:pPr>
      <w:r w:rsidRPr="00AF5B14">
        <w:rPr>
          <w:rFonts w:eastAsia="Calibri"/>
        </w:rPr>
        <w:t>40.</w:t>
      </w:r>
      <w:r w:rsidRPr="00AF5B14">
        <w:rPr>
          <w:rFonts w:eastAsia="Calibri"/>
        </w:rPr>
        <w:tab/>
        <w:t xml:space="preserve">Singh, S., Singh, S., Kumar, A. Systemic Candida albicans Infection in Mice Causes Endogenous Endophthalmitis via Breaching the Outer Blood-Retinal Barrier. </w:t>
      </w:r>
      <w:r w:rsidRPr="00AF5B14">
        <w:rPr>
          <w:rFonts w:eastAsia="Calibri"/>
          <w:i/>
          <w:iCs/>
        </w:rPr>
        <w:t>Microbiology Spectrum</w:t>
      </w:r>
      <w:r w:rsidRPr="00AF5B14">
        <w:rPr>
          <w:rFonts w:eastAsia="Calibri"/>
        </w:rPr>
        <w:t xml:space="preserve">. </w:t>
      </w:r>
      <w:r w:rsidRPr="00AF5B14">
        <w:rPr>
          <w:rFonts w:eastAsia="Calibri"/>
          <w:b/>
          <w:bCs/>
        </w:rPr>
        <w:t>10</w:t>
      </w:r>
      <w:r w:rsidRPr="00AF5B14">
        <w:rPr>
          <w:rFonts w:eastAsia="Calibri"/>
        </w:rPr>
        <w:t xml:space="preserve"> (4), e01658-22, doi: 10.1128/spectrum.01658-22 (2022).</w:t>
      </w:r>
    </w:p>
    <w:p w14:paraId="398557F4" w14:textId="77777777" w:rsidR="00AF5B14" w:rsidRPr="00AF5B14" w:rsidRDefault="00AF5B14" w:rsidP="00AF5B14">
      <w:pPr>
        <w:pStyle w:val="Bibliography"/>
        <w:rPr>
          <w:rFonts w:eastAsia="Calibri"/>
        </w:rPr>
      </w:pPr>
      <w:r w:rsidRPr="00AF5B14">
        <w:rPr>
          <w:rFonts w:eastAsia="Calibri"/>
        </w:rPr>
        <w:t>41.</w:t>
      </w:r>
      <w:r w:rsidRPr="00AF5B14">
        <w:rPr>
          <w:rFonts w:eastAsia="Calibri"/>
        </w:rPr>
        <w:tab/>
        <w:t>Spellberg, B., Ibrahim, A.S., Edwards</w:t>
      </w:r>
      <w:r w:rsidRPr="00AF5B14">
        <w:rPr>
          <w:rFonts w:eastAsia="Calibri"/>
        </w:rPr>
        <w:t> </w:t>
      </w:r>
      <w:r w:rsidRPr="00AF5B14">
        <w:rPr>
          <w:rFonts w:eastAsia="Calibri"/>
        </w:rPr>
        <w:t xml:space="preserve">Jr., J.E., Filler, S.G. Mice with Disseminated Candidiasis Die of Progressive Sepsis. </w:t>
      </w:r>
      <w:r w:rsidRPr="00AF5B14">
        <w:rPr>
          <w:rFonts w:eastAsia="Calibri"/>
          <w:i/>
          <w:iCs/>
        </w:rPr>
        <w:t>The Journal of Infectious Diseases</w:t>
      </w:r>
      <w:r w:rsidRPr="00AF5B14">
        <w:rPr>
          <w:rFonts w:eastAsia="Calibri"/>
        </w:rPr>
        <w:t xml:space="preserve">. </w:t>
      </w:r>
      <w:r w:rsidRPr="00AF5B14">
        <w:rPr>
          <w:rFonts w:eastAsia="Calibri"/>
          <w:b/>
          <w:bCs/>
        </w:rPr>
        <w:t>192</w:t>
      </w:r>
      <w:r w:rsidRPr="00AF5B14">
        <w:rPr>
          <w:rFonts w:eastAsia="Calibri"/>
        </w:rPr>
        <w:t xml:space="preserve"> (2), 336–343, doi: 10.1086/430952 (2005).</w:t>
      </w:r>
    </w:p>
    <w:p w14:paraId="4B8BF2D2" w14:textId="77777777" w:rsidR="00AF5B14" w:rsidRPr="00AF5B14" w:rsidRDefault="00AF5B14" w:rsidP="00AF5B14">
      <w:pPr>
        <w:pStyle w:val="Bibliography"/>
        <w:rPr>
          <w:rFonts w:eastAsia="Calibri"/>
        </w:rPr>
      </w:pPr>
      <w:r w:rsidRPr="00AF5B14">
        <w:rPr>
          <w:rFonts w:eastAsia="Calibri"/>
        </w:rPr>
        <w:t>42.</w:t>
      </w:r>
      <w:r w:rsidRPr="00AF5B14">
        <w:rPr>
          <w:rFonts w:eastAsia="Calibri"/>
        </w:rPr>
        <w:tab/>
        <w:t xml:space="preserve">Andes, D. Use of an Animal Model of Disseminated Candidiasis in the Evaluation of Antifungal Therapy. </w:t>
      </w:r>
      <w:r w:rsidRPr="00AF5B14">
        <w:rPr>
          <w:rFonts w:eastAsia="Calibri"/>
          <w:i/>
          <w:iCs/>
        </w:rPr>
        <w:t>Antifungal Agents</w:t>
      </w:r>
      <w:r w:rsidRPr="00AF5B14">
        <w:rPr>
          <w:rFonts w:eastAsia="Calibri"/>
        </w:rPr>
        <w:t xml:space="preserve">. </w:t>
      </w:r>
      <w:r w:rsidRPr="00AF5B14">
        <w:rPr>
          <w:rFonts w:eastAsia="Calibri"/>
          <w:b/>
          <w:bCs/>
        </w:rPr>
        <w:t>118</w:t>
      </w:r>
      <w:r w:rsidRPr="00AF5B14">
        <w:rPr>
          <w:rFonts w:eastAsia="Calibri"/>
        </w:rPr>
        <w:t>, 111–128, doi: 10.1385/1-59259-943-5:111 (2005).</w:t>
      </w:r>
    </w:p>
    <w:p w14:paraId="52EF518F" w14:textId="77777777" w:rsidR="00AF5B14" w:rsidRPr="00AF5B14" w:rsidRDefault="00AF5B14" w:rsidP="00AF5B14">
      <w:pPr>
        <w:pStyle w:val="Bibliography"/>
        <w:rPr>
          <w:rFonts w:eastAsia="Calibri"/>
        </w:rPr>
      </w:pPr>
      <w:r w:rsidRPr="00AF5B14">
        <w:rPr>
          <w:rFonts w:eastAsia="Calibri"/>
        </w:rPr>
        <w:t>43.</w:t>
      </w:r>
      <w:r w:rsidRPr="00AF5B14">
        <w:rPr>
          <w:rFonts w:eastAsia="Calibri"/>
        </w:rPr>
        <w:tab/>
        <w:t xml:space="preserve">Spellberg, B. </w:t>
      </w:r>
      <w:r w:rsidRPr="00AF5B14">
        <w:rPr>
          <w:rFonts w:eastAsia="Calibri"/>
          <w:i/>
          <w:iCs/>
        </w:rPr>
        <w:t>et al.</w:t>
      </w:r>
      <w:r w:rsidRPr="00AF5B14">
        <w:rPr>
          <w:rFonts w:eastAsia="Calibri"/>
        </w:rPr>
        <w:t xml:space="preserve"> Parenchymal Organ, and Not Splenic, Immunity Correlates with Host Survival during Disseminated Candidiasis. </w:t>
      </w:r>
      <w:r w:rsidRPr="00AF5B14">
        <w:rPr>
          <w:rFonts w:eastAsia="Calibri"/>
          <w:i/>
          <w:iCs/>
        </w:rPr>
        <w:t>Infection and Immunity</w:t>
      </w:r>
      <w:r w:rsidRPr="00AF5B14">
        <w:rPr>
          <w:rFonts w:eastAsia="Calibri"/>
        </w:rPr>
        <w:t xml:space="preserve">. </w:t>
      </w:r>
      <w:r w:rsidRPr="00AF5B14">
        <w:rPr>
          <w:rFonts w:eastAsia="Calibri"/>
          <w:b/>
          <w:bCs/>
        </w:rPr>
        <w:t>71</w:t>
      </w:r>
      <w:r w:rsidRPr="00AF5B14">
        <w:rPr>
          <w:rFonts w:eastAsia="Calibri"/>
        </w:rPr>
        <w:t xml:space="preserve"> (10), 5756–5764, doi: 10.1128/IAI.71.10.5756-5764.2003 (2003).</w:t>
      </w:r>
    </w:p>
    <w:p w14:paraId="4218AAAC" w14:textId="77777777" w:rsidR="00AF5B14" w:rsidRPr="00AF5B14" w:rsidRDefault="00AF5B14" w:rsidP="00AF5B14">
      <w:pPr>
        <w:pStyle w:val="Bibliography"/>
        <w:rPr>
          <w:rFonts w:eastAsia="Calibri"/>
        </w:rPr>
      </w:pPr>
      <w:r w:rsidRPr="00AF5B14">
        <w:rPr>
          <w:rFonts w:eastAsia="Calibri"/>
        </w:rPr>
        <w:t>44.</w:t>
      </w:r>
      <w:r w:rsidRPr="00AF5B14">
        <w:rPr>
          <w:rFonts w:eastAsia="Calibri"/>
        </w:rPr>
        <w:tab/>
        <w:t>Health Care Providers Clinical Overview of Invasive Candidiasis. at &lt;https://www.cdc.gov/candidiasis/hcp/clinical-overview/index.html&gt; (2024).</w:t>
      </w:r>
    </w:p>
    <w:p w14:paraId="47586C83" w14:textId="77777777" w:rsidR="00AF5B14" w:rsidRPr="00AF5B14" w:rsidRDefault="00AF5B14" w:rsidP="00AF5B14">
      <w:pPr>
        <w:pStyle w:val="Bibliography"/>
        <w:rPr>
          <w:rFonts w:eastAsia="Calibri"/>
        </w:rPr>
      </w:pPr>
      <w:r w:rsidRPr="00AF5B14">
        <w:rPr>
          <w:rFonts w:eastAsia="Calibri"/>
        </w:rPr>
        <w:t>45.</w:t>
      </w:r>
      <w:r w:rsidRPr="00AF5B14">
        <w:rPr>
          <w:rFonts w:eastAsia="Calibri"/>
        </w:rPr>
        <w:tab/>
        <w:t>Kobayashi, GS Medical Microbiology. 4th edition. Chapter 74, at &lt;https://www.ncbi.nlm.nih.gov/books/NBK8103/&gt; (1996).</w:t>
      </w:r>
    </w:p>
    <w:p w14:paraId="2647CA3D" w14:textId="77777777" w:rsidR="00AF5B14" w:rsidRPr="00AF5B14" w:rsidRDefault="00AF5B14" w:rsidP="00AF5B14">
      <w:pPr>
        <w:pStyle w:val="Bibliography"/>
        <w:rPr>
          <w:rFonts w:eastAsia="Calibri"/>
        </w:rPr>
      </w:pPr>
      <w:r w:rsidRPr="00AF5B14">
        <w:rPr>
          <w:rFonts w:eastAsia="Calibri"/>
        </w:rPr>
        <w:lastRenderedPageBreak/>
        <w:t>46.</w:t>
      </w:r>
      <w:r w:rsidRPr="00AF5B14">
        <w:rPr>
          <w:rFonts w:eastAsia="Calibri"/>
        </w:rPr>
        <w:tab/>
        <w:t xml:space="preserve">Pappas, P.G., Lionakis, M.S., Arendrup, M.C., Ostrosky-Zeichner, L., Kullberg, B.J. Invasive candidiasis. </w:t>
      </w:r>
      <w:r w:rsidRPr="00AF5B14">
        <w:rPr>
          <w:rFonts w:eastAsia="Calibri"/>
          <w:i/>
          <w:iCs/>
        </w:rPr>
        <w:t>Nature Reviews Disease Primers</w:t>
      </w:r>
      <w:r w:rsidRPr="00AF5B14">
        <w:rPr>
          <w:rFonts w:eastAsia="Calibri"/>
        </w:rPr>
        <w:t xml:space="preserve">. </w:t>
      </w:r>
      <w:r w:rsidRPr="00AF5B14">
        <w:rPr>
          <w:rFonts w:eastAsia="Calibri"/>
          <w:b/>
          <w:bCs/>
        </w:rPr>
        <w:t>4</w:t>
      </w:r>
      <w:r w:rsidRPr="00AF5B14">
        <w:rPr>
          <w:rFonts w:eastAsia="Calibri"/>
        </w:rPr>
        <w:t xml:space="preserve"> (1), 18026, doi: 10.1038/nrdp.2018.26 (2018).</w:t>
      </w:r>
    </w:p>
    <w:p w14:paraId="2B26482C" w14:textId="77777777" w:rsidR="00AF5B14" w:rsidRPr="00AF5B14" w:rsidRDefault="00AF5B14" w:rsidP="00AF5B14">
      <w:pPr>
        <w:pStyle w:val="Bibliography"/>
        <w:rPr>
          <w:rFonts w:eastAsia="Calibri"/>
        </w:rPr>
      </w:pPr>
      <w:r w:rsidRPr="00AF5B14">
        <w:rPr>
          <w:rFonts w:eastAsia="Calibri"/>
        </w:rPr>
        <w:t>47.</w:t>
      </w:r>
      <w:r w:rsidRPr="00AF5B14">
        <w:rPr>
          <w:rFonts w:eastAsia="Calibri"/>
        </w:rPr>
        <w:tab/>
        <w:t xml:space="preserve">Van Rhijn, N., Rhodes, J. Evolution of antifungal resistance in the environment. </w:t>
      </w:r>
      <w:r w:rsidRPr="00AF5B14">
        <w:rPr>
          <w:rFonts w:eastAsia="Calibri"/>
          <w:i/>
          <w:iCs/>
        </w:rPr>
        <w:t>Nature Microbiology</w:t>
      </w:r>
      <w:r w:rsidRPr="00AF5B14">
        <w:rPr>
          <w:rFonts w:eastAsia="Calibri"/>
        </w:rPr>
        <w:t xml:space="preserve">. </w:t>
      </w:r>
      <w:r w:rsidRPr="00AF5B14">
        <w:rPr>
          <w:rFonts w:eastAsia="Calibri"/>
          <w:b/>
          <w:bCs/>
        </w:rPr>
        <w:t>10</w:t>
      </w:r>
      <w:r w:rsidRPr="00AF5B14">
        <w:rPr>
          <w:rFonts w:eastAsia="Calibri"/>
        </w:rPr>
        <w:t xml:space="preserve"> (8), 1804–1815, doi: 10.1038/s41564-025-02055-y (2025).</w:t>
      </w:r>
    </w:p>
    <w:p w14:paraId="76AB9ACB" w14:textId="77777777" w:rsidR="00AF5B14" w:rsidRPr="00AF5B14" w:rsidRDefault="00AF5B14" w:rsidP="00AF5B14">
      <w:pPr>
        <w:pStyle w:val="Bibliography"/>
        <w:rPr>
          <w:rFonts w:eastAsia="Calibri"/>
        </w:rPr>
      </w:pPr>
      <w:r w:rsidRPr="00AF5B14">
        <w:rPr>
          <w:rFonts w:eastAsia="Calibri"/>
        </w:rPr>
        <w:t>48.</w:t>
      </w:r>
      <w:r w:rsidRPr="00AF5B14">
        <w:rPr>
          <w:rFonts w:eastAsia="Calibri"/>
        </w:rPr>
        <w:tab/>
        <w:t xml:space="preserve">Brown, G.D. </w:t>
      </w:r>
      <w:r w:rsidRPr="00AF5B14">
        <w:rPr>
          <w:rFonts w:eastAsia="Calibri"/>
          <w:i/>
          <w:iCs/>
        </w:rPr>
        <w:t>et al.</w:t>
      </w:r>
      <w:r w:rsidRPr="00AF5B14">
        <w:rPr>
          <w:rFonts w:eastAsia="Calibri"/>
        </w:rPr>
        <w:t xml:space="preserve"> The pathobiology of human fungal infections. </w:t>
      </w:r>
      <w:r w:rsidRPr="00AF5B14">
        <w:rPr>
          <w:rFonts w:eastAsia="Calibri"/>
          <w:i/>
          <w:iCs/>
        </w:rPr>
        <w:t>Nature Reviews Microbiology</w:t>
      </w:r>
      <w:r w:rsidRPr="00AF5B14">
        <w:rPr>
          <w:rFonts w:eastAsia="Calibri"/>
        </w:rPr>
        <w:t xml:space="preserve">. </w:t>
      </w:r>
      <w:r w:rsidRPr="00AF5B14">
        <w:rPr>
          <w:rFonts w:eastAsia="Calibri"/>
          <w:b/>
          <w:bCs/>
        </w:rPr>
        <w:t>22</w:t>
      </w:r>
      <w:r w:rsidRPr="00AF5B14">
        <w:rPr>
          <w:rFonts w:eastAsia="Calibri"/>
        </w:rPr>
        <w:t xml:space="preserve"> (11), 687–704, doi: 10.1038/s41579-024-01062-w (2024).</w:t>
      </w:r>
    </w:p>
    <w:p w14:paraId="305E63A5" w14:textId="77777777" w:rsidR="00AF5B14" w:rsidRPr="00AF5B14" w:rsidRDefault="00AF5B14" w:rsidP="00AF5B14">
      <w:pPr>
        <w:pStyle w:val="Bibliography"/>
        <w:rPr>
          <w:rFonts w:eastAsia="Calibri"/>
        </w:rPr>
      </w:pPr>
      <w:r w:rsidRPr="00AF5B14">
        <w:rPr>
          <w:rFonts w:eastAsia="Calibri"/>
        </w:rPr>
        <w:t>49.</w:t>
      </w:r>
      <w:r w:rsidRPr="00AF5B14">
        <w:rPr>
          <w:rFonts w:eastAsia="Calibri"/>
        </w:rPr>
        <w:tab/>
        <w:t xml:space="preserve">Osset-Trénor, P., Pascual-Ahuir, A., Proft, M. Fungal Drug Response and Antimicrobial Resistance. </w:t>
      </w:r>
      <w:r w:rsidRPr="00AF5B14">
        <w:rPr>
          <w:rFonts w:eastAsia="Calibri"/>
          <w:i/>
          <w:iCs/>
        </w:rPr>
        <w:t>Journal of Fungi</w:t>
      </w:r>
      <w:r w:rsidRPr="00AF5B14">
        <w:rPr>
          <w:rFonts w:eastAsia="Calibri"/>
        </w:rPr>
        <w:t xml:space="preserve">. </w:t>
      </w:r>
      <w:r w:rsidRPr="00AF5B14">
        <w:rPr>
          <w:rFonts w:eastAsia="Calibri"/>
          <w:b/>
          <w:bCs/>
        </w:rPr>
        <w:t>9</w:t>
      </w:r>
      <w:r w:rsidRPr="00AF5B14">
        <w:rPr>
          <w:rFonts w:eastAsia="Calibri"/>
        </w:rPr>
        <w:t xml:space="preserve"> (5), 565, doi: 10.3390/jof9050565 (2023).</w:t>
      </w:r>
    </w:p>
    <w:p w14:paraId="30217B32" w14:textId="77777777" w:rsidR="00AF5B14" w:rsidRPr="00AF5B14" w:rsidRDefault="00AF5B14" w:rsidP="00AF5B14">
      <w:pPr>
        <w:pStyle w:val="Bibliography"/>
        <w:rPr>
          <w:rFonts w:eastAsia="Calibri"/>
        </w:rPr>
      </w:pPr>
      <w:r w:rsidRPr="00AF5B14">
        <w:rPr>
          <w:rFonts w:eastAsia="Calibri"/>
        </w:rPr>
        <w:t>50.</w:t>
      </w:r>
      <w:r w:rsidRPr="00AF5B14">
        <w:rPr>
          <w:rFonts w:eastAsia="Calibri"/>
        </w:rPr>
        <w:tab/>
        <w:t xml:space="preserve">Yan, Z.-Z. </w:t>
      </w:r>
      <w:r w:rsidRPr="00AF5B14">
        <w:rPr>
          <w:rFonts w:eastAsia="Calibri"/>
          <w:i/>
          <w:iCs/>
        </w:rPr>
        <w:t>et al.</w:t>
      </w:r>
      <w:r w:rsidRPr="00AF5B14">
        <w:rPr>
          <w:rFonts w:eastAsia="Calibri"/>
        </w:rPr>
        <w:t xml:space="preserve"> Environmental microbiome, human fungal pathogens, and antimicrobial resistance. </w:t>
      </w:r>
      <w:r w:rsidRPr="00AF5B14">
        <w:rPr>
          <w:rFonts w:eastAsia="Calibri"/>
          <w:i/>
          <w:iCs/>
        </w:rPr>
        <w:t>Trends in Microbiology</w:t>
      </w:r>
      <w:r w:rsidRPr="00AF5B14">
        <w:rPr>
          <w:rFonts w:eastAsia="Calibri"/>
        </w:rPr>
        <w:t xml:space="preserve">. </w:t>
      </w:r>
      <w:r w:rsidRPr="00AF5B14">
        <w:rPr>
          <w:rFonts w:eastAsia="Calibri"/>
          <w:b/>
          <w:bCs/>
        </w:rPr>
        <w:t>33</w:t>
      </w:r>
      <w:r w:rsidRPr="00AF5B14">
        <w:rPr>
          <w:rFonts w:eastAsia="Calibri"/>
        </w:rPr>
        <w:t xml:space="preserve"> (1), 112–129, doi: 10.1016/j.tim.2024.08.003 (2025).</w:t>
      </w:r>
    </w:p>
    <w:p w14:paraId="0F80073B" w14:textId="77777777" w:rsidR="00AF5B14" w:rsidRPr="00AF5B14" w:rsidRDefault="00AF5B14" w:rsidP="00AF5B14">
      <w:pPr>
        <w:pStyle w:val="Bibliography"/>
        <w:rPr>
          <w:rFonts w:eastAsia="Calibri"/>
        </w:rPr>
      </w:pPr>
      <w:r w:rsidRPr="00AF5B14">
        <w:rPr>
          <w:rFonts w:eastAsia="Calibri"/>
        </w:rPr>
        <w:t>51.</w:t>
      </w:r>
      <w:r w:rsidRPr="00AF5B14">
        <w:rPr>
          <w:rFonts w:eastAsia="Calibri"/>
        </w:rPr>
        <w:tab/>
        <w:t xml:space="preserve">Homann, O.R., Dea, J., Noble, S.M., Johnson, A.D. A Phenotypic Profile of the Candida albicans Regulatory Network. </w:t>
      </w:r>
      <w:r w:rsidRPr="00AF5B14">
        <w:rPr>
          <w:rFonts w:eastAsia="Calibri"/>
          <w:i/>
          <w:iCs/>
        </w:rPr>
        <w:t>PLoS Genetics</w:t>
      </w:r>
      <w:r w:rsidRPr="00AF5B14">
        <w:rPr>
          <w:rFonts w:eastAsia="Calibri"/>
        </w:rPr>
        <w:t xml:space="preserve">. </w:t>
      </w:r>
      <w:r w:rsidRPr="00AF5B14">
        <w:rPr>
          <w:rFonts w:eastAsia="Calibri"/>
          <w:b/>
          <w:bCs/>
        </w:rPr>
        <w:t>5</w:t>
      </w:r>
      <w:r w:rsidRPr="00AF5B14">
        <w:rPr>
          <w:rFonts w:eastAsia="Calibri"/>
        </w:rPr>
        <w:t xml:space="preserve"> (12), e1000783, doi: 10.1371/journal.pgen.1000783 (2009).</w:t>
      </w:r>
    </w:p>
    <w:p w14:paraId="3DA222A6" w14:textId="77777777" w:rsidR="00AF5B14" w:rsidRPr="00AF5B14" w:rsidRDefault="00AF5B14" w:rsidP="00AF5B14">
      <w:pPr>
        <w:pStyle w:val="Bibliography"/>
        <w:rPr>
          <w:rFonts w:eastAsia="Calibri"/>
        </w:rPr>
      </w:pPr>
      <w:r w:rsidRPr="00AF5B14">
        <w:rPr>
          <w:rFonts w:eastAsia="Calibri"/>
        </w:rPr>
        <w:t>52.</w:t>
      </w:r>
      <w:r w:rsidRPr="00AF5B14">
        <w:rPr>
          <w:rFonts w:eastAsia="Calibri"/>
        </w:rPr>
        <w:tab/>
        <w:t xml:space="preserve">Noble, S.M., French, S., Kohn, L.A., Chen, V., Johnson, A.D. Systematic screens of a Candida albicans homozygous deletion library decouple morphogenetic switching and pathogenicity. </w:t>
      </w:r>
      <w:r w:rsidRPr="00AF5B14">
        <w:rPr>
          <w:rFonts w:eastAsia="Calibri"/>
          <w:i/>
          <w:iCs/>
        </w:rPr>
        <w:t>Nature Genetics</w:t>
      </w:r>
      <w:r w:rsidRPr="00AF5B14">
        <w:rPr>
          <w:rFonts w:eastAsia="Calibri"/>
        </w:rPr>
        <w:t xml:space="preserve">. </w:t>
      </w:r>
      <w:r w:rsidRPr="00AF5B14">
        <w:rPr>
          <w:rFonts w:eastAsia="Calibri"/>
          <w:b/>
          <w:bCs/>
        </w:rPr>
        <w:t>42</w:t>
      </w:r>
      <w:r w:rsidRPr="00AF5B14">
        <w:rPr>
          <w:rFonts w:eastAsia="Calibri"/>
        </w:rPr>
        <w:t xml:space="preserve"> (7), 590–598, doi: 10.1038/ng.605 (2010).</w:t>
      </w:r>
    </w:p>
    <w:p w14:paraId="10180756" w14:textId="77777777" w:rsidR="00AF5B14" w:rsidRPr="00AF5B14" w:rsidRDefault="00AF5B14" w:rsidP="00AF5B14">
      <w:pPr>
        <w:pStyle w:val="Bibliography"/>
        <w:rPr>
          <w:rFonts w:eastAsia="Calibri"/>
        </w:rPr>
      </w:pPr>
      <w:r w:rsidRPr="00AF5B14">
        <w:rPr>
          <w:rFonts w:eastAsia="Calibri"/>
        </w:rPr>
        <w:t>53.</w:t>
      </w:r>
      <w:r w:rsidRPr="00AF5B14">
        <w:rPr>
          <w:rFonts w:eastAsia="Calibri"/>
        </w:rPr>
        <w:tab/>
        <w:t xml:space="preserve">Roberts-Galbraith, R.H. RNAi Screening to Assess Tissue Regeneration in Planarians. </w:t>
      </w:r>
      <w:r w:rsidRPr="00AF5B14">
        <w:rPr>
          <w:rFonts w:eastAsia="Calibri"/>
          <w:i/>
          <w:iCs/>
        </w:rPr>
        <w:t>Whole-Body Regeneration</w:t>
      </w:r>
      <w:r w:rsidRPr="00AF5B14">
        <w:rPr>
          <w:rFonts w:eastAsia="Calibri"/>
        </w:rPr>
        <w:t xml:space="preserve">. </w:t>
      </w:r>
      <w:r w:rsidRPr="00AF5B14">
        <w:rPr>
          <w:rFonts w:eastAsia="Calibri"/>
          <w:b/>
          <w:bCs/>
        </w:rPr>
        <w:t>2450</w:t>
      </w:r>
      <w:r w:rsidRPr="00AF5B14">
        <w:rPr>
          <w:rFonts w:eastAsia="Calibri"/>
        </w:rPr>
        <w:t>, 509–527, doi: 10.1007/978-1-0716-2172-1_27 (2022).</w:t>
      </w:r>
    </w:p>
    <w:p w14:paraId="433073BF" w14:textId="04DE173B" w:rsidR="004A6EF9" w:rsidRPr="00644AF5" w:rsidRDefault="004A6EF9" w:rsidP="00AF5B14">
      <w:pPr>
        <w:pStyle w:val="Bibliography"/>
        <w:rPr>
          <w:rFonts w:ascii="Calibri" w:hAnsi="Calibri" w:cs="Calibri"/>
          <w:b/>
          <w:bCs/>
          <w:color w:val="000000" w:themeColor="text1"/>
        </w:rPr>
      </w:pPr>
      <w:r w:rsidRPr="00644AF5">
        <w:rPr>
          <w:rFonts w:ascii="Calibri" w:hAnsi="Calibri" w:cs="Calibri"/>
          <w:b/>
          <w:bCs/>
          <w:color w:val="000000" w:themeColor="text1"/>
        </w:rPr>
        <w:fldChar w:fldCharType="end"/>
      </w:r>
    </w:p>
    <w:p w14:paraId="697B6DED" w14:textId="77777777" w:rsidR="004A6EF9" w:rsidRPr="004A6EF9" w:rsidRDefault="004A6EF9" w:rsidP="004A6EF9">
      <w:pPr>
        <w:pStyle w:val="NormalWeb"/>
        <w:ind w:left="0" w:firstLine="0"/>
        <w:rPr>
          <w:rFonts w:ascii="Calibri" w:hAnsi="Calibri" w:cs="Calibri"/>
          <w:bCs/>
        </w:rPr>
      </w:pPr>
    </w:p>
    <w:sectPr w:rsidR="004A6EF9" w:rsidRPr="004A6EF9" w:rsidSect="005D3EAE">
      <w:type w:val="continuous"/>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D85C2" w14:textId="77777777" w:rsidR="003A30C4" w:rsidRDefault="003A30C4">
      <w:r>
        <w:separator/>
      </w:r>
    </w:p>
  </w:endnote>
  <w:endnote w:type="continuationSeparator" w:id="0">
    <w:p w14:paraId="6AF94AB2" w14:textId="77777777" w:rsidR="003A30C4" w:rsidRDefault="003A3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5F47F" w14:textId="77777777" w:rsidR="003A30C4" w:rsidRDefault="003A30C4">
      <w:r>
        <w:separator/>
      </w:r>
    </w:p>
  </w:footnote>
  <w:footnote w:type="continuationSeparator" w:id="0">
    <w:p w14:paraId="3A0D84B0" w14:textId="77777777" w:rsidR="003A30C4" w:rsidRDefault="003A3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bookmarkStart w:id="0" w:name="_26in1rg" w:colFirst="0" w:colLast="0"/>
    <w:bookmarkEnd w:id="0"/>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7777777"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Standard Manuscript Template</w:t>
    </w:r>
    <w:r>
      <w:rPr>
        <w:b/>
        <w:color w:val="1F497D"/>
        <w:sz w:val="32"/>
        <w:szCs w:val="32"/>
      </w:rPr>
      <w:br/>
    </w:r>
    <w:r>
      <w:rPr>
        <w:noProof/>
      </w:rPr>
      <w:drawing>
        <wp:anchor distT="0" distB="0" distL="0" distR="0" simplePos="0" relativeHeight="251658240" behindDoc="0" locked="0" layoutInCell="1" hidden="0" allowOverlap="1" wp14:anchorId="13AF9577" wp14:editId="5205C461">
          <wp:simplePos x="0" y="0"/>
          <wp:positionH relativeFrom="column">
            <wp:posOffset>0</wp:posOffset>
          </wp:positionH>
          <wp:positionV relativeFrom="paragraph">
            <wp:posOffset>-428624</wp:posOffset>
          </wp:positionV>
          <wp:extent cx="2843586" cy="934085"/>
          <wp:effectExtent l="0" t="0" r="0" b="0"/>
          <wp:wrapSquare wrapText="bothSides" distT="0" distB="0" distL="0" distR="0"/>
          <wp:docPr id="11572079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43586" cy="93408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B0035"/>
    <w:multiLevelType w:val="multilevel"/>
    <w:tmpl w:val="49247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2B2CFE"/>
    <w:multiLevelType w:val="multilevel"/>
    <w:tmpl w:val="32B84640"/>
    <w:numStyleLink w:val="CurrentList2"/>
  </w:abstractNum>
  <w:abstractNum w:abstractNumId="2" w15:restartNumberingAfterBreak="0">
    <w:nsid w:val="1D41011E"/>
    <w:multiLevelType w:val="multilevel"/>
    <w:tmpl w:val="D6FAE790"/>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cs="Calibri"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5E42CCA"/>
    <w:multiLevelType w:val="multilevel"/>
    <w:tmpl w:val="32B84640"/>
    <w:styleLink w:val="CurrentList2"/>
    <w:lvl w:ilvl="0">
      <w:start w:val="1"/>
      <w:numFmt w:val="decimal"/>
      <w:lvlText w:val="%1."/>
      <w:lvlJc w:val="left"/>
      <w:pPr>
        <w:ind w:left="360" w:hanging="360"/>
      </w:pPr>
      <w:rPr>
        <w:rFonts w:ascii="Times New Roman" w:hAnsi="Times New Roman" w:cs="Times New Roman" w:hint="default"/>
      </w:rPr>
    </w:lvl>
    <w:lvl w:ilvl="1">
      <w:start w:val="1"/>
      <w:numFmt w:val="decimal"/>
      <w:suff w:val="space"/>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8107724"/>
    <w:multiLevelType w:val="hybridMultilevel"/>
    <w:tmpl w:val="F8B6E00C"/>
    <w:lvl w:ilvl="0" w:tplc="CB007B6C">
      <w:start w:val="1"/>
      <w:numFmt w:val="decimal"/>
      <w:lvlText w:val="%1."/>
      <w:lvlJc w:val="left"/>
      <w:pPr>
        <w:ind w:left="720" w:hanging="360"/>
      </w:pPr>
    </w:lvl>
    <w:lvl w:ilvl="1" w:tplc="3E64E8B4">
      <w:start w:val="1"/>
      <w:numFmt w:val="decimal"/>
      <w:lvlText w:val="%2."/>
      <w:lvlJc w:val="left"/>
      <w:pPr>
        <w:ind w:left="720" w:hanging="360"/>
      </w:pPr>
    </w:lvl>
    <w:lvl w:ilvl="2" w:tplc="CD5605EE">
      <w:start w:val="1"/>
      <w:numFmt w:val="decimal"/>
      <w:lvlText w:val="%3."/>
      <w:lvlJc w:val="left"/>
      <w:pPr>
        <w:ind w:left="720" w:hanging="360"/>
      </w:pPr>
    </w:lvl>
    <w:lvl w:ilvl="3" w:tplc="BD281744">
      <w:start w:val="1"/>
      <w:numFmt w:val="decimal"/>
      <w:lvlText w:val="%4."/>
      <w:lvlJc w:val="left"/>
      <w:pPr>
        <w:ind w:left="720" w:hanging="360"/>
      </w:pPr>
    </w:lvl>
    <w:lvl w:ilvl="4" w:tplc="1374A1A6">
      <w:start w:val="1"/>
      <w:numFmt w:val="decimal"/>
      <w:lvlText w:val="%5."/>
      <w:lvlJc w:val="left"/>
      <w:pPr>
        <w:ind w:left="720" w:hanging="360"/>
      </w:pPr>
    </w:lvl>
    <w:lvl w:ilvl="5" w:tplc="DD2EED80">
      <w:start w:val="1"/>
      <w:numFmt w:val="decimal"/>
      <w:lvlText w:val="%6."/>
      <w:lvlJc w:val="left"/>
      <w:pPr>
        <w:ind w:left="720" w:hanging="360"/>
      </w:pPr>
    </w:lvl>
    <w:lvl w:ilvl="6" w:tplc="D90416DC">
      <w:start w:val="1"/>
      <w:numFmt w:val="decimal"/>
      <w:lvlText w:val="%7."/>
      <w:lvlJc w:val="left"/>
      <w:pPr>
        <w:ind w:left="720" w:hanging="360"/>
      </w:pPr>
    </w:lvl>
    <w:lvl w:ilvl="7" w:tplc="391C5934">
      <w:start w:val="1"/>
      <w:numFmt w:val="decimal"/>
      <w:lvlText w:val="%8."/>
      <w:lvlJc w:val="left"/>
      <w:pPr>
        <w:ind w:left="720" w:hanging="360"/>
      </w:pPr>
    </w:lvl>
    <w:lvl w:ilvl="8" w:tplc="B3C63722">
      <w:start w:val="1"/>
      <w:numFmt w:val="decimal"/>
      <w:lvlText w:val="%9."/>
      <w:lvlJc w:val="left"/>
      <w:pPr>
        <w:ind w:left="720" w:hanging="360"/>
      </w:pPr>
    </w:lvl>
  </w:abstractNum>
  <w:abstractNum w:abstractNumId="5" w15:restartNumberingAfterBreak="0">
    <w:nsid w:val="68846476"/>
    <w:multiLevelType w:val="multilevel"/>
    <w:tmpl w:val="8C226A98"/>
    <w:styleLink w:val="CurrentList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3E58C0"/>
    <w:multiLevelType w:val="hybridMultilevel"/>
    <w:tmpl w:val="F266CC20"/>
    <w:lvl w:ilvl="0" w:tplc="6902D8A2">
      <w:start w:val="1"/>
      <w:numFmt w:val="bullet"/>
      <w:lvlText w:val=""/>
      <w:lvlJc w:val="left"/>
      <w:pPr>
        <w:ind w:left="720" w:hanging="360"/>
      </w:pPr>
      <w:rPr>
        <w:rFonts w:ascii="Symbol" w:hAnsi="Symbol"/>
      </w:rPr>
    </w:lvl>
    <w:lvl w:ilvl="1" w:tplc="5A8655C8">
      <w:start w:val="1"/>
      <w:numFmt w:val="bullet"/>
      <w:lvlText w:val=""/>
      <w:lvlJc w:val="left"/>
      <w:pPr>
        <w:ind w:left="720" w:hanging="360"/>
      </w:pPr>
      <w:rPr>
        <w:rFonts w:ascii="Symbol" w:hAnsi="Symbol"/>
      </w:rPr>
    </w:lvl>
    <w:lvl w:ilvl="2" w:tplc="6B807DEE">
      <w:start w:val="1"/>
      <w:numFmt w:val="bullet"/>
      <w:lvlText w:val=""/>
      <w:lvlJc w:val="left"/>
      <w:pPr>
        <w:ind w:left="720" w:hanging="360"/>
      </w:pPr>
      <w:rPr>
        <w:rFonts w:ascii="Symbol" w:hAnsi="Symbol"/>
      </w:rPr>
    </w:lvl>
    <w:lvl w:ilvl="3" w:tplc="AE42C840">
      <w:start w:val="1"/>
      <w:numFmt w:val="bullet"/>
      <w:lvlText w:val=""/>
      <w:lvlJc w:val="left"/>
      <w:pPr>
        <w:ind w:left="720" w:hanging="360"/>
      </w:pPr>
      <w:rPr>
        <w:rFonts w:ascii="Symbol" w:hAnsi="Symbol"/>
      </w:rPr>
    </w:lvl>
    <w:lvl w:ilvl="4" w:tplc="F64A2D94">
      <w:start w:val="1"/>
      <w:numFmt w:val="bullet"/>
      <w:lvlText w:val=""/>
      <w:lvlJc w:val="left"/>
      <w:pPr>
        <w:ind w:left="720" w:hanging="360"/>
      </w:pPr>
      <w:rPr>
        <w:rFonts w:ascii="Symbol" w:hAnsi="Symbol"/>
      </w:rPr>
    </w:lvl>
    <w:lvl w:ilvl="5" w:tplc="F45AD3A0">
      <w:start w:val="1"/>
      <w:numFmt w:val="bullet"/>
      <w:lvlText w:val=""/>
      <w:lvlJc w:val="left"/>
      <w:pPr>
        <w:ind w:left="720" w:hanging="360"/>
      </w:pPr>
      <w:rPr>
        <w:rFonts w:ascii="Symbol" w:hAnsi="Symbol"/>
      </w:rPr>
    </w:lvl>
    <w:lvl w:ilvl="6" w:tplc="39E2F49C">
      <w:start w:val="1"/>
      <w:numFmt w:val="bullet"/>
      <w:lvlText w:val=""/>
      <w:lvlJc w:val="left"/>
      <w:pPr>
        <w:ind w:left="720" w:hanging="360"/>
      </w:pPr>
      <w:rPr>
        <w:rFonts w:ascii="Symbol" w:hAnsi="Symbol"/>
      </w:rPr>
    </w:lvl>
    <w:lvl w:ilvl="7" w:tplc="C25CF106">
      <w:start w:val="1"/>
      <w:numFmt w:val="bullet"/>
      <w:lvlText w:val=""/>
      <w:lvlJc w:val="left"/>
      <w:pPr>
        <w:ind w:left="720" w:hanging="360"/>
      </w:pPr>
      <w:rPr>
        <w:rFonts w:ascii="Symbol" w:hAnsi="Symbol"/>
      </w:rPr>
    </w:lvl>
    <w:lvl w:ilvl="8" w:tplc="F800AF58">
      <w:start w:val="1"/>
      <w:numFmt w:val="bullet"/>
      <w:lvlText w:val=""/>
      <w:lvlJc w:val="left"/>
      <w:pPr>
        <w:ind w:left="720" w:hanging="360"/>
      </w:pPr>
      <w:rPr>
        <w:rFonts w:ascii="Symbol" w:hAnsi="Symbol"/>
      </w:rPr>
    </w:lvl>
  </w:abstractNum>
  <w:num w:numId="1" w16cid:durableId="317151765">
    <w:abstractNumId w:val="2"/>
  </w:num>
  <w:num w:numId="2" w16cid:durableId="1911572691">
    <w:abstractNumId w:val="3"/>
  </w:num>
  <w:num w:numId="3" w16cid:durableId="355084910">
    <w:abstractNumId w:val="5"/>
  </w:num>
  <w:num w:numId="4" w16cid:durableId="125586787">
    <w:abstractNumId w:val="1"/>
    <w:lvlOverride w:ilvl="0">
      <w:lvl w:ilvl="0">
        <w:start w:val="1"/>
        <w:numFmt w:val="decimal"/>
        <w:lvlText w:val="%1."/>
        <w:lvlJc w:val="left"/>
        <w:pPr>
          <w:ind w:left="360" w:hanging="360"/>
        </w:pPr>
        <w:rPr>
          <w:rFonts w:ascii="Times New Roman" w:hAnsi="Times New Roman" w:cs="Times New Roman" w:hint="default"/>
        </w:rPr>
      </w:lvl>
    </w:lvlOverride>
    <w:lvlOverride w:ilvl="1">
      <w:lvl w:ilvl="1">
        <w:start w:val="1"/>
        <w:numFmt w:val="decimal"/>
        <w:suff w:val="space"/>
        <w:lvlText w:val="%1.%2."/>
        <w:lvlJc w:val="left"/>
        <w:pPr>
          <w:ind w:left="702" w:hanging="432"/>
        </w:pPr>
        <w:rPr>
          <w:rFonts w:ascii="Calibri" w:hAnsi="Calibri" w:cs="Calibri" w:hint="default"/>
          <w:sz w:val="24"/>
          <w:szCs w:val="24"/>
        </w:rPr>
      </w:lvl>
    </w:lvlOverride>
    <w:lvlOverride w:ilvl="2">
      <w:lvl w:ilvl="2">
        <w:start w:val="1"/>
        <w:numFmt w:val="decimal"/>
        <w:lvlText w:val="%1.%2.%3."/>
        <w:lvlJc w:val="left"/>
        <w:pPr>
          <w:ind w:left="1224" w:hanging="504"/>
        </w:pPr>
        <w:rPr>
          <w:rFonts w:ascii="Calibri" w:hAnsi="Calibri" w:cs="Calibri" w:hint="default"/>
          <w:b w:val="0"/>
          <w:bCs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2138377049">
    <w:abstractNumId w:val="0"/>
    <w:lvlOverride w:ilvl="0">
      <w:lvl w:ilvl="0">
        <w:numFmt w:val="lowerLetter"/>
        <w:lvlText w:val="%1."/>
        <w:lvlJc w:val="left"/>
      </w:lvl>
    </w:lvlOverride>
  </w:num>
  <w:num w:numId="6" w16cid:durableId="529995424">
    <w:abstractNumId w:val="6"/>
  </w:num>
  <w:num w:numId="7" w16cid:durableId="166674416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797"/>
    <w:rsid w:val="00002301"/>
    <w:rsid w:val="00002B83"/>
    <w:rsid w:val="00002C0E"/>
    <w:rsid w:val="00002E01"/>
    <w:rsid w:val="000033AB"/>
    <w:rsid w:val="00003420"/>
    <w:rsid w:val="00003EAB"/>
    <w:rsid w:val="00004669"/>
    <w:rsid w:val="00004D71"/>
    <w:rsid w:val="00006A5A"/>
    <w:rsid w:val="00006C3D"/>
    <w:rsid w:val="00006E29"/>
    <w:rsid w:val="00007AE1"/>
    <w:rsid w:val="00007C13"/>
    <w:rsid w:val="00010175"/>
    <w:rsid w:val="000120AD"/>
    <w:rsid w:val="00012245"/>
    <w:rsid w:val="000123F5"/>
    <w:rsid w:val="00012C7D"/>
    <w:rsid w:val="00015723"/>
    <w:rsid w:val="00015744"/>
    <w:rsid w:val="000157A3"/>
    <w:rsid w:val="0001648D"/>
    <w:rsid w:val="0001693C"/>
    <w:rsid w:val="000170BC"/>
    <w:rsid w:val="000207B0"/>
    <w:rsid w:val="00022A65"/>
    <w:rsid w:val="00023675"/>
    <w:rsid w:val="000237CA"/>
    <w:rsid w:val="0002489C"/>
    <w:rsid w:val="000254C1"/>
    <w:rsid w:val="00025987"/>
    <w:rsid w:val="00025D54"/>
    <w:rsid w:val="000263E9"/>
    <w:rsid w:val="00027DED"/>
    <w:rsid w:val="00030162"/>
    <w:rsid w:val="000321C6"/>
    <w:rsid w:val="00032A6A"/>
    <w:rsid w:val="00033163"/>
    <w:rsid w:val="0003372F"/>
    <w:rsid w:val="00034220"/>
    <w:rsid w:val="00035143"/>
    <w:rsid w:val="0003543A"/>
    <w:rsid w:val="00035464"/>
    <w:rsid w:val="00035D1C"/>
    <w:rsid w:val="00036A29"/>
    <w:rsid w:val="000377CA"/>
    <w:rsid w:val="000379BB"/>
    <w:rsid w:val="00040E1C"/>
    <w:rsid w:val="000423BC"/>
    <w:rsid w:val="00043BCF"/>
    <w:rsid w:val="0004481F"/>
    <w:rsid w:val="00044FDB"/>
    <w:rsid w:val="0004573D"/>
    <w:rsid w:val="00046021"/>
    <w:rsid w:val="000465DC"/>
    <w:rsid w:val="00046F0C"/>
    <w:rsid w:val="000471F1"/>
    <w:rsid w:val="000477EE"/>
    <w:rsid w:val="0005026A"/>
    <w:rsid w:val="00050848"/>
    <w:rsid w:val="00050CB8"/>
    <w:rsid w:val="00050E81"/>
    <w:rsid w:val="00051C88"/>
    <w:rsid w:val="00051F31"/>
    <w:rsid w:val="0005286A"/>
    <w:rsid w:val="000536A7"/>
    <w:rsid w:val="00054CD3"/>
    <w:rsid w:val="000552DD"/>
    <w:rsid w:val="000557D1"/>
    <w:rsid w:val="0005621F"/>
    <w:rsid w:val="0005739C"/>
    <w:rsid w:val="000579DB"/>
    <w:rsid w:val="00057C02"/>
    <w:rsid w:val="00060CBC"/>
    <w:rsid w:val="00060F02"/>
    <w:rsid w:val="00062502"/>
    <w:rsid w:val="0006390E"/>
    <w:rsid w:val="000639EB"/>
    <w:rsid w:val="00064361"/>
    <w:rsid w:val="0006443E"/>
    <w:rsid w:val="000657FC"/>
    <w:rsid w:val="00067639"/>
    <w:rsid w:val="00067ACB"/>
    <w:rsid w:val="00067DD1"/>
    <w:rsid w:val="00070197"/>
    <w:rsid w:val="00070927"/>
    <w:rsid w:val="000711E8"/>
    <w:rsid w:val="00071585"/>
    <w:rsid w:val="000726F0"/>
    <w:rsid w:val="00072F1B"/>
    <w:rsid w:val="000731D9"/>
    <w:rsid w:val="00073214"/>
    <w:rsid w:val="00075097"/>
    <w:rsid w:val="000752AC"/>
    <w:rsid w:val="00075323"/>
    <w:rsid w:val="00075736"/>
    <w:rsid w:val="00075C9D"/>
    <w:rsid w:val="000768C8"/>
    <w:rsid w:val="0007745D"/>
    <w:rsid w:val="00080B03"/>
    <w:rsid w:val="00081482"/>
    <w:rsid w:val="000815F2"/>
    <w:rsid w:val="00081B41"/>
    <w:rsid w:val="00081EA0"/>
    <w:rsid w:val="00082007"/>
    <w:rsid w:val="000823A9"/>
    <w:rsid w:val="0008247D"/>
    <w:rsid w:val="000824E2"/>
    <w:rsid w:val="00083206"/>
    <w:rsid w:val="000833CC"/>
    <w:rsid w:val="00083E97"/>
    <w:rsid w:val="00084772"/>
    <w:rsid w:val="000848A0"/>
    <w:rsid w:val="00084C66"/>
    <w:rsid w:val="000851CB"/>
    <w:rsid w:val="0008587D"/>
    <w:rsid w:val="00086374"/>
    <w:rsid w:val="0008790B"/>
    <w:rsid w:val="00090BFD"/>
    <w:rsid w:val="0009103E"/>
    <w:rsid w:val="00091DA7"/>
    <w:rsid w:val="0009391E"/>
    <w:rsid w:val="00093922"/>
    <w:rsid w:val="00093935"/>
    <w:rsid w:val="00093D84"/>
    <w:rsid w:val="00093F83"/>
    <w:rsid w:val="0009433B"/>
    <w:rsid w:val="00094C3D"/>
    <w:rsid w:val="00094EA2"/>
    <w:rsid w:val="00095622"/>
    <w:rsid w:val="00095E69"/>
    <w:rsid w:val="000965BC"/>
    <w:rsid w:val="00096B2E"/>
    <w:rsid w:val="0009757B"/>
    <w:rsid w:val="00097F47"/>
    <w:rsid w:val="000A0D2B"/>
    <w:rsid w:val="000A0E2D"/>
    <w:rsid w:val="000A1817"/>
    <w:rsid w:val="000A1857"/>
    <w:rsid w:val="000A2159"/>
    <w:rsid w:val="000A3132"/>
    <w:rsid w:val="000A3B14"/>
    <w:rsid w:val="000A47A2"/>
    <w:rsid w:val="000A4BAA"/>
    <w:rsid w:val="000A4DAC"/>
    <w:rsid w:val="000A4DC0"/>
    <w:rsid w:val="000A56E4"/>
    <w:rsid w:val="000A6BB6"/>
    <w:rsid w:val="000A6DE3"/>
    <w:rsid w:val="000A78EF"/>
    <w:rsid w:val="000A7FB7"/>
    <w:rsid w:val="000B08B7"/>
    <w:rsid w:val="000B0C37"/>
    <w:rsid w:val="000B2DC7"/>
    <w:rsid w:val="000B3143"/>
    <w:rsid w:val="000B31C1"/>
    <w:rsid w:val="000B3683"/>
    <w:rsid w:val="000B3FBB"/>
    <w:rsid w:val="000B4B47"/>
    <w:rsid w:val="000B4D0F"/>
    <w:rsid w:val="000B5EB3"/>
    <w:rsid w:val="000B73E3"/>
    <w:rsid w:val="000B7DEA"/>
    <w:rsid w:val="000B7E5A"/>
    <w:rsid w:val="000B7EF6"/>
    <w:rsid w:val="000C00A0"/>
    <w:rsid w:val="000C0102"/>
    <w:rsid w:val="000C0251"/>
    <w:rsid w:val="000C0644"/>
    <w:rsid w:val="000C0C17"/>
    <w:rsid w:val="000C22C9"/>
    <w:rsid w:val="000C264C"/>
    <w:rsid w:val="000C3777"/>
    <w:rsid w:val="000C48F2"/>
    <w:rsid w:val="000C4D3D"/>
    <w:rsid w:val="000C54A8"/>
    <w:rsid w:val="000C5630"/>
    <w:rsid w:val="000C590B"/>
    <w:rsid w:val="000C5B21"/>
    <w:rsid w:val="000C60F8"/>
    <w:rsid w:val="000C6A4C"/>
    <w:rsid w:val="000C7365"/>
    <w:rsid w:val="000D10DA"/>
    <w:rsid w:val="000D27BE"/>
    <w:rsid w:val="000D3E13"/>
    <w:rsid w:val="000D4C31"/>
    <w:rsid w:val="000D4DCF"/>
    <w:rsid w:val="000D5706"/>
    <w:rsid w:val="000D5D0B"/>
    <w:rsid w:val="000D6374"/>
    <w:rsid w:val="000D6F9A"/>
    <w:rsid w:val="000D793E"/>
    <w:rsid w:val="000D7D28"/>
    <w:rsid w:val="000E0ECF"/>
    <w:rsid w:val="000E1969"/>
    <w:rsid w:val="000E1EE0"/>
    <w:rsid w:val="000E2FB7"/>
    <w:rsid w:val="000E42D9"/>
    <w:rsid w:val="000E6B0F"/>
    <w:rsid w:val="000E6CBA"/>
    <w:rsid w:val="000E6F34"/>
    <w:rsid w:val="000E7145"/>
    <w:rsid w:val="000E7182"/>
    <w:rsid w:val="000E7507"/>
    <w:rsid w:val="000F0035"/>
    <w:rsid w:val="000F052C"/>
    <w:rsid w:val="000F1796"/>
    <w:rsid w:val="000F20CC"/>
    <w:rsid w:val="000F2116"/>
    <w:rsid w:val="000F28E2"/>
    <w:rsid w:val="000F316B"/>
    <w:rsid w:val="000F4F52"/>
    <w:rsid w:val="000F59D2"/>
    <w:rsid w:val="000F5B71"/>
    <w:rsid w:val="000F5D5F"/>
    <w:rsid w:val="000F608E"/>
    <w:rsid w:val="000F625D"/>
    <w:rsid w:val="000F6A74"/>
    <w:rsid w:val="000F6AAC"/>
    <w:rsid w:val="00100BE5"/>
    <w:rsid w:val="0010107A"/>
    <w:rsid w:val="00101713"/>
    <w:rsid w:val="00102FC3"/>
    <w:rsid w:val="00103D12"/>
    <w:rsid w:val="001043C6"/>
    <w:rsid w:val="001051C4"/>
    <w:rsid w:val="00105B7E"/>
    <w:rsid w:val="00105FD1"/>
    <w:rsid w:val="001073AD"/>
    <w:rsid w:val="001075E7"/>
    <w:rsid w:val="00107F42"/>
    <w:rsid w:val="00110F82"/>
    <w:rsid w:val="0011133D"/>
    <w:rsid w:val="00111BAC"/>
    <w:rsid w:val="001131FD"/>
    <w:rsid w:val="00113519"/>
    <w:rsid w:val="001136FD"/>
    <w:rsid w:val="00113865"/>
    <w:rsid w:val="001139B4"/>
    <w:rsid w:val="00115229"/>
    <w:rsid w:val="001163C5"/>
    <w:rsid w:val="00116754"/>
    <w:rsid w:val="001167EE"/>
    <w:rsid w:val="00116AB9"/>
    <w:rsid w:val="00116BB7"/>
    <w:rsid w:val="00116D7C"/>
    <w:rsid w:val="00116E70"/>
    <w:rsid w:val="0011773B"/>
    <w:rsid w:val="001204FE"/>
    <w:rsid w:val="00120A4B"/>
    <w:rsid w:val="00121EDA"/>
    <w:rsid w:val="00123304"/>
    <w:rsid w:val="0012344A"/>
    <w:rsid w:val="001242AE"/>
    <w:rsid w:val="00124E54"/>
    <w:rsid w:val="0012537A"/>
    <w:rsid w:val="00125B90"/>
    <w:rsid w:val="00126597"/>
    <w:rsid w:val="00126A24"/>
    <w:rsid w:val="001273CE"/>
    <w:rsid w:val="0012780B"/>
    <w:rsid w:val="00127A14"/>
    <w:rsid w:val="001301D5"/>
    <w:rsid w:val="00130657"/>
    <w:rsid w:val="001307F6"/>
    <w:rsid w:val="0013093C"/>
    <w:rsid w:val="00130CFC"/>
    <w:rsid w:val="001318C0"/>
    <w:rsid w:val="00131DD3"/>
    <w:rsid w:val="00132946"/>
    <w:rsid w:val="00132AC9"/>
    <w:rsid w:val="00133F3C"/>
    <w:rsid w:val="0013468F"/>
    <w:rsid w:val="00134828"/>
    <w:rsid w:val="00134909"/>
    <w:rsid w:val="001358E9"/>
    <w:rsid w:val="001359E2"/>
    <w:rsid w:val="001363BE"/>
    <w:rsid w:val="001372E1"/>
    <w:rsid w:val="00137480"/>
    <w:rsid w:val="00137746"/>
    <w:rsid w:val="001379E1"/>
    <w:rsid w:val="00141147"/>
    <w:rsid w:val="00141212"/>
    <w:rsid w:val="0014181A"/>
    <w:rsid w:val="00141C5D"/>
    <w:rsid w:val="00141D44"/>
    <w:rsid w:val="00143A2F"/>
    <w:rsid w:val="00143C7F"/>
    <w:rsid w:val="00144902"/>
    <w:rsid w:val="00144F44"/>
    <w:rsid w:val="00145929"/>
    <w:rsid w:val="001473EE"/>
    <w:rsid w:val="001475A1"/>
    <w:rsid w:val="00150721"/>
    <w:rsid w:val="00150E26"/>
    <w:rsid w:val="00150E9B"/>
    <w:rsid w:val="00151A16"/>
    <w:rsid w:val="00152121"/>
    <w:rsid w:val="001526CA"/>
    <w:rsid w:val="00152E37"/>
    <w:rsid w:val="00153366"/>
    <w:rsid w:val="00153D1B"/>
    <w:rsid w:val="00154527"/>
    <w:rsid w:val="00154857"/>
    <w:rsid w:val="001549D0"/>
    <w:rsid w:val="00154AED"/>
    <w:rsid w:val="001553A9"/>
    <w:rsid w:val="001554C7"/>
    <w:rsid w:val="00155513"/>
    <w:rsid w:val="00155C39"/>
    <w:rsid w:val="0015639E"/>
    <w:rsid w:val="00156828"/>
    <w:rsid w:val="001569A9"/>
    <w:rsid w:val="00157185"/>
    <w:rsid w:val="00157683"/>
    <w:rsid w:val="00157AA6"/>
    <w:rsid w:val="00157AAB"/>
    <w:rsid w:val="0016007E"/>
    <w:rsid w:val="00160150"/>
    <w:rsid w:val="001605DB"/>
    <w:rsid w:val="00160E0D"/>
    <w:rsid w:val="001613DA"/>
    <w:rsid w:val="001620D9"/>
    <w:rsid w:val="0016249A"/>
    <w:rsid w:val="00164AD4"/>
    <w:rsid w:val="00165297"/>
    <w:rsid w:val="001665C5"/>
    <w:rsid w:val="0016723E"/>
    <w:rsid w:val="0016763A"/>
    <w:rsid w:val="0017014A"/>
    <w:rsid w:val="00170633"/>
    <w:rsid w:val="00170A66"/>
    <w:rsid w:val="00170AE6"/>
    <w:rsid w:val="00171802"/>
    <w:rsid w:val="00171C45"/>
    <w:rsid w:val="0017205C"/>
    <w:rsid w:val="0017299A"/>
    <w:rsid w:val="00172E45"/>
    <w:rsid w:val="00173DC6"/>
    <w:rsid w:val="00173E47"/>
    <w:rsid w:val="001747BA"/>
    <w:rsid w:val="00174DCB"/>
    <w:rsid w:val="0017527B"/>
    <w:rsid w:val="00176BA7"/>
    <w:rsid w:val="00176C6D"/>
    <w:rsid w:val="00177283"/>
    <w:rsid w:val="0017756D"/>
    <w:rsid w:val="00177B17"/>
    <w:rsid w:val="001816BB"/>
    <w:rsid w:val="00181D08"/>
    <w:rsid w:val="00182122"/>
    <w:rsid w:val="00182210"/>
    <w:rsid w:val="001824D3"/>
    <w:rsid w:val="00182B39"/>
    <w:rsid w:val="00183579"/>
    <w:rsid w:val="001837D1"/>
    <w:rsid w:val="00184133"/>
    <w:rsid w:val="001845F0"/>
    <w:rsid w:val="00185B91"/>
    <w:rsid w:val="00185F38"/>
    <w:rsid w:val="00186486"/>
    <w:rsid w:val="001867D8"/>
    <w:rsid w:val="00186CFA"/>
    <w:rsid w:val="0019000F"/>
    <w:rsid w:val="00190AA2"/>
    <w:rsid w:val="00190DD4"/>
    <w:rsid w:val="001911A1"/>
    <w:rsid w:val="001914D4"/>
    <w:rsid w:val="0019176C"/>
    <w:rsid w:val="00191DB7"/>
    <w:rsid w:val="00191DEA"/>
    <w:rsid w:val="001928D6"/>
    <w:rsid w:val="00192C26"/>
    <w:rsid w:val="0019439A"/>
    <w:rsid w:val="001944D8"/>
    <w:rsid w:val="00194A04"/>
    <w:rsid w:val="00194E53"/>
    <w:rsid w:val="00195D7C"/>
    <w:rsid w:val="00197AB3"/>
    <w:rsid w:val="001A31F2"/>
    <w:rsid w:val="001A57CC"/>
    <w:rsid w:val="001A5EF1"/>
    <w:rsid w:val="001A60DD"/>
    <w:rsid w:val="001A62D1"/>
    <w:rsid w:val="001A6AA0"/>
    <w:rsid w:val="001A6C46"/>
    <w:rsid w:val="001A6D4F"/>
    <w:rsid w:val="001B03C1"/>
    <w:rsid w:val="001B1047"/>
    <w:rsid w:val="001B113B"/>
    <w:rsid w:val="001B1969"/>
    <w:rsid w:val="001B23D4"/>
    <w:rsid w:val="001B23EB"/>
    <w:rsid w:val="001B2DB1"/>
    <w:rsid w:val="001B3334"/>
    <w:rsid w:val="001B3DCC"/>
    <w:rsid w:val="001B5148"/>
    <w:rsid w:val="001B6521"/>
    <w:rsid w:val="001B708A"/>
    <w:rsid w:val="001B7B9E"/>
    <w:rsid w:val="001B7C72"/>
    <w:rsid w:val="001C0782"/>
    <w:rsid w:val="001C0BB5"/>
    <w:rsid w:val="001C0F0B"/>
    <w:rsid w:val="001C1B44"/>
    <w:rsid w:val="001C1E34"/>
    <w:rsid w:val="001C22A9"/>
    <w:rsid w:val="001C2359"/>
    <w:rsid w:val="001C2782"/>
    <w:rsid w:val="001C2DA8"/>
    <w:rsid w:val="001C380E"/>
    <w:rsid w:val="001C4107"/>
    <w:rsid w:val="001C455A"/>
    <w:rsid w:val="001C5368"/>
    <w:rsid w:val="001C577A"/>
    <w:rsid w:val="001C5998"/>
    <w:rsid w:val="001C5FAF"/>
    <w:rsid w:val="001C5FE0"/>
    <w:rsid w:val="001C6A36"/>
    <w:rsid w:val="001C775C"/>
    <w:rsid w:val="001D19D9"/>
    <w:rsid w:val="001D22C0"/>
    <w:rsid w:val="001D27FD"/>
    <w:rsid w:val="001D2E9A"/>
    <w:rsid w:val="001D3094"/>
    <w:rsid w:val="001D31BB"/>
    <w:rsid w:val="001D3790"/>
    <w:rsid w:val="001D46D3"/>
    <w:rsid w:val="001D4B0B"/>
    <w:rsid w:val="001D5D03"/>
    <w:rsid w:val="001D5D39"/>
    <w:rsid w:val="001D6084"/>
    <w:rsid w:val="001D66E2"/>
    <w:rsid w:val="001D6E0B"/>
    <w:rsid w:val="001D722E"/>
    <w:rsid w:val="001E04CF"/>
    <w:rsid w:val="001E0FDB"/>
    <w:rsid w:val="001E120F"/>
    <w:rsid w:val="001E25D7"/>
    <w:rsid w:val="001E2E82"/>
    <w:rsid w:val="001E2F2C"/>
    <w:rsid w:val="001E31A6"/>
    <w:rsid w:val="001E33A9"/>
    <w:rsid w:val="001E423D"/>
    <w:rsid w:val="001E4658"/>
    <w:rsid w:val="001E517E"/>
    <w:rsid w:val="001E57D1"/>
    <w:rsid w:val="001E5D3A"/>
    <w:rsid w:val="001E5E98"/>
    <w:rsid w:val="001E6018"/>
    <w:rsid w:val="001E630E"/>
    <w:rsid w:val="001E65F3"/>
    <w:rsid w:val="001E7ACE"/>
    <w:rsid w:val="001F0C39"/>
    <w:rsid w:val="001F2018"/>
    <w:rsid w:val="001F2785"/>
    <w:rsid w:val="001F27DB"/>
    <w:rsid w:val="001F2DC8"/>
    <w:rsid w:val="001F47BB"/>
    <w:rsid w:val="001F4C61"/>
    <w:rsid w:val="001F5DEC"/>
    <w:rsid w:val="001F5E62"/>
    <w:rsid w:val="001F7430"/>
    <w:rsid w:val="001F7BC3"/>
    <w:rsid w:val="001F7E5D"/>
    <w:rsid w:val="001F7F14"/>
    <w:rsid w:val="002000DB"/>
    <w:rsid w:val="002006CD"/>
    <w:rsid w:val="00200708"/>
    <w:rsid w:val="00200AAE"/>
    <w:rsid w:val="0020189F"/>
    <w:rsid w:val="00201E2E"/>
    <w:rsid w:val="00201F8F"/>
    <w:rsid w:val="0020216F"/>
    <w:rsid w:val="002029D1"/>
    <w:rsid w:val="00203B2B"/>
    <w:rsid w:val="00204B24"/>
    <w:rsid w:val="00204CA2"/>
    <w:rsid w:val="00205708"/>
    <w:rsid w:val="00205C37"/>
    <w:rsid w:val="00206D69"/>
    <w:rsid w:val="00207171"/>
    <w:rsid w:val="00210096"/>
    <w:rsid w:val="0021077D"/>
    <w:rsid w:val="00211034"/>
    <w:rsid w:val="0021118B"/>
    <w:rsid w:val="00211201"/>
    <w:rsid w:val="002115AC"/>
    <w:rsid w:val="002119CE"/>
    <w:rsid w:val="0021233C"/>
    <w:rsid w:val="002135B9"/>
    <w:rsid w:val="002138CF"/>
    <w:rsid w:val="0021457D"/>
    <w:rsid w:val="002146B8"/>
    <w:rsid w:val="00215034"/>
    <w:rsid w:val="002150CF"/>
    <w:rsid w:val="002161CD"/>
    <w:rsid w:val="002163CC"/>
    <w:rsid w:val="00216E74"/>
    <w:rsid w:val="00221873"/>
    <w:rsid w:val="002225F7"/>
    <w:rsid w:val="00222623"/>
    <w:rsid w:val="0022398F"/>
    <w:rsid w:val="00223E64"/>
    <w:rsid w:val="00223E91"/>
    <w:rsid w:val="002245B6"/>
    <w:rsid w:val="0022531D"/>
    <w:rsid w:val="00225E0A"/>
    <w:rsid w:val="00225FD4"/>
    <w:rsid w:val="00225FDE"/>
    <w:rsid w:val="00226C93"/>
    <w:rsid w:val="00227213"/>
    <w:rsid w:val="00227727"/>
    <w:rsid w:val="00227D92"/>
    <w:rsid w:val="002304FB"/>
    <w:rsid w:val="002305AD"/>
    <w:rsid w:val="0023140E"/>
    <w:rsid w:val="00231507"/>
    <w:rsid w:val="00231C18"/>
    <w:rsid w:val="00232F44"/>
    <w:rsid w:val="00232FCE"/>
    <w:rsid w:val="002336E9"/>
    <w:rsid w:val="0023587B"/>
    <w:rsid w:val="00235E7E"/>
    <w:rsid w:val="002377BA"/>
    <w:rsid w:val="00237B08"/>
    <w:rsid w:val="00237CC8"/>
    <w:rsid w:val="00237E19"/>
    <w:rsid w:val="00240688"/>
    <w:rsid w:val="00241412"/>
    <w:rsid w:val="00241D05"/>
    <w:rsid w:val="002423EE"/>
    <w:rsid w:val="00242C05"/>
    <w:rsid w:val="00243710"/>
    <w:rsid w:val="0024443D"/>
    <w:rsid w:val="002450E9"/>
    <w:rsid w:val="002453B9"/>
    <w:rsid w:val="00245E79"/>
    <w:rsid w:val="0024603F"/>
    <w:rsid w:val="00246DC4"/>
    <w:rsid w:val="0024763C"/>
    <w:rsid w:val="00247EA0"/>
    <w:rsid w:val="00247F82"/>
    <w:rsid w:val="002500EE"/>
    <w:rsid w:val="002508CE"/>
    <w:rsid w:val="002525D8"/>
    <w:rsid w:val="00253446"/>
    <w:rsid w:val="00253941"/>
    <w:rsid w:val="00254803"/>
    <w:rsid w:val="00254B14"/>
    <w:rsid w:val="002562A5"/>
    <w:rsid w:val="00256567"/>
    <w:rsid w:val="00256672"/>
    <w:rsid w:val="0025689F"/>
    <w:rsid w:val="0025703F"/>
    <w:rsid w:val="00257500"/>
    <w:rsid w:val="0025779D"/>
    <w:rsid w:val="00257A84"/>
    <w:rsid w:val="002602D9"/>
    <w:rsid w:val="00260E3A"/>
    <w:rsid w:val="0026125E"/>
    <w:rsid w:val="002612AA"/>
    <w:rsid w:val="00261A2C"/>
    <w:rsid w:val="00261C86"/>
    <w:rsid w:val="00261D4F"/>
    <w:rsid w:val="002636E6"/>
    <w:rsid w:val="0026491E"/>
    <w:rsid w:val="00264AA3"/>
    <w:rsid w:val="00264BF1"/>
    <w:rsid w:val="00264D07"/>
    <w:rsid w:val="002650B9"/>
    <w:rsid w:val="00265835"/>
    <w:rsid w:val="00265C27"/>
    <w:rsid w:val="002660A2"/>
    <w:rsid w:val="0026669C"/>
    <w:rsid w:val="00266CB2"/>
    <w:rsid w:val="00266CFA"/>
    <w:rsid w:val="00266E58"/>
    <w:rsid w:val="002673A2"/>
    <w:rsid w:val="00267822"/>
    <w:rsid w:val="00267DCC"/>
    <w:rsid w:val="00267FF6"/>
    <w:rsid w:val="002701D8"/>
    <w:rsid w:val="002708D2"/>
    <w:rsid w:val="00270A13"/>
    <w:rsid w:val="00272300"/>
    <w:rsid w:val="002726B9"/>
    <w:rsid w:val="002736F0"/>
    <w:rsid w:val="002737E7"/>
    <w:rsid w:val="002738BA"/>
    <w:rsid w:val="00273AA7"/>
    <w:rsid w:val="00273B59"/>
    <w:rsid w:val="00273E9A"/>
    <w:rsid w:val="002752B8"/>
    <w:rsid w:val="00275671"/>
    <w:rsid w:val="0027608D"/>
    <w:rsid w:val="00276780"/>
    <w:rsid w:val="0027728A"/>
    <w:rsid w:val="00280929"/>
    <w:rsid w:val="00280D45"/>
    <w:rsid w:val="00280F77"/>
    <w:rsid w:val="00281AB1"/>
    <w:rsid w:val="00281ABE"/>
    <w:rsid w:val="002821EB"/>
    <w:rsid w:val="00282D6A"/>
    <w:rsid w:val="00282F49"/>
    <w:rsid w:val="0028373D"/>
    <w:rsid w:val="00283764"/>
    <w:rsid w:val="002837AC"/>
    <w:rsid w:val="00283C01"/>
    <w:rsid w:val="00283DF0"/>
    <w:rsid w:val="00285972"/>
    <w:rsid w:val="0028746E"/>
    <w:rsid w:val="00287575"/>
    <w:rsid w:val="002912BF"/>
    <w:rsid w:val="00291859"/>
    <w:rsid w:val="00291ED5"/>
    <w:rsid w:val="00291FFB"/>
    <w:rsid w:val="00292DAE"/>
    <w:rsid w:val="002930E0"/>
    <w:rsid w:val="0029362E"/>
    <w:rsid w:val="00293A6A"/>
    <w:rsid w:val="00295AA8"/>
    <w:rsid w:val="00295D86"/>
    <w:rsid w:val="002960C4"/>
    <w:rsid w:val="002966D2"/>
    <w:rsid w:val="00296BD8"/>
    <w:rsid w:val="00296D1A"/>
    <w:rsid w:val="00296DEF"/>
    <w:rsid w:val="0029710C"/>
    <w:rsid w:val="002978BF"/>
    <w:rsid w:val="00297DD7"/>
    <w:rsid w:val="00297E13"/>
    <w:rsid w:val="00297EFF"/>
    <w:rsid w:val="002A0ABE"/>
    <w:rsid w:val="002A0F22"/>
    <w:rsid w:val="002A154F"/>
    <w:rsid w:val="002A16D1"/>
    <w:rsid w:val="002A21F8"/>
    <w:rsid w:val="002A2571"/>
    <w:rsid w:val="002A30EA"/>
    <w:rsid w:val="002A39BF"/>
    <w:rsid w:val="002A4163"/>
    <w:rsid w:val="002A469E"/>
    <w:rsid w:val="002A4EA2"/>
    <w:rsid w:val="002A5BAF"/>
    <w:rsid w:val="002A6253"/>
    <w:rsid w:val="002A6485"/>
    <w:rsid w:val="002A6898"/>
    <w:rsid w:val="002A6A6B"/>
    <w:rsid w:val="002A75A6"/>
    <w:rsid w:val="002B0243"/>
    <w:rsid w:val="002B13BD"/>
    <w:rsid w:val="002B25DE"/>
    <w:rsid w:val="002B2CBC"/>
    <w:rsid w:val="002B32C5"/>
    <w:rsid w:val="002B39A0"/>
    <w:rsid w:val="002B3D83"/>
    <w:rsid w:val="002B4790"/>
    <w:rsid w:val="002B5619"/>
    <w:rsid w:val="002B5A40"/>
    <w:rsid w:val="002B5CDB"/>
    <w:rsid w:val="002B6454"/>
    <w:rsid w:val="002B6C79"/>
    <w:rsid w:val="002B6CC2"/>
    <w:rsid w:val="002B72C4"/>
    <w:rsid w:val="002B7652"/>
    <w:rsid w:val="002B7C7E"/>
    <w:rsid w:val="002C0109"/>
    <w:rsid w:val="002C1454"/>
    <w:rsid w:val="002C1F6A"/>
    <w:rsid w:val="002C2104"/>
    <w:rsid w:val="002C2318"/>
    <w:rsid w:val="002C3B4F"/>
    <w:rsid w:val="002C3F6C"/>
    <w:rsid w:val="002C4F6B"/>
    <w:rsid w:val="002C50C5"/>
    <w:rsid w:val="002C6DB3"/>
    <w:rsid w:val="002C732E"/>
    <w:rsid w:val="002C762B"/>
    <w:rsid w:val="002C7D90"/>
    <w:rsid w:val="002D0DB3"/>
    <w:rsid w:val="002D1112"/>
    <w:rsid w:val="002D19E4"/>
    <w:rsid w:val="002D22C3"/>
    <w:rsid w:val="002D2580"/>
    <w:rsid w:val="002D3442"/>
    <w:rsid w:val="002D368B"/>
    <w:rsid w:val="002D3D02"/>
    <w:rsid w:val="002D3E32"/>
    <w:rsid w:val="002D698B"/>
    <w:rsid w:val="002D7838"/>
    <w:rsid w:val="002D7987"/>
    <w:rsid w:val="002D7DB9"/>
    <w:rsid w:val="002E16B5"/>
    <w:rsid w:val="002E1ED4"/>
    <w:rsid w:val="002E36CD"/>
    <w:rsid w:val="002E378E"/>
    <w:rsid w:val="002E3A68"/>
    <w:rsid w:val="002E3B67"/>
    <w:rsid w:val="002E5837"/>
    <w:rsid w:val="002E6D5F"/>
    <w:rsid w:val="002E78F6"/>
    <w:rsid w:val="002E7AFD"/>
    <w:rsid w:val="002F1186"/>
    <w:rsid w:val="002F3ED1"/>
    <w:rsid w:val="002F40A0"/>
    <w:rsid w:val="002F4553"/>
    <w:rsid w:val="002F46CB"/>
    <w:rsid w:val="002F4907"/>
    <w:rsid w:val="002F5283"/>
    <w:rsid w:val="002F61FB"/>
    <w:rsid w:val="002F6AE1"/>
    <w:rsid w:val="002F71E2"/>
    <w:rsid w:val="002F72AB"/>
    <w:rsid w:val="0030046B"/>
    <w:rsid w:val="0030103D"/>
    <w:rsid w:val="00301D14"/>
    <w:rsid w:val="003030AD"/>
    <w:rsid w:val="00304215"/>
    <w:rsid w:val="0030454A"/>
    <w:rsid w:val="0030463D"/>
    <w:rsid w:val="00304734"/>
    <w:rsid w:val="0030473D"/>
    <w:rsid w:val="00304CB6"/>
    <w:rsid w:val="00304D94"/>
    <w:rsid w:val="00305199"/>
    <w:rsid w:val="00305307"/>
    <w:rsid w:val="00306E58"/>
    <w:rsid w:val="003071FA"/>
    <w:rsid w:val="0031125B"/>
    <w:rsid w:val="00311676"/>
    <w:rsid w:val="0031323D"/>
    <w:rsid w:val="003136E3"/>
    <w:rsid w:val="003139E4"/>
    <w:rsid w:val="00313EC2"/>
    <w:rsid w:val="00315C95"/>
    <w:rsid w:val="00315CE2"/>
    <w:rsid w:val="00316715"/>
    <w:rsid w:val="00316BF7"/>
    <w:rsid w:val="003178AC"/>
    <w:rsid w:val="00317A49"/>
    <w:rsid w:val="00317F02"/>
    <w:rsid w:val="00320BC4"/>
    <w:rsid w:val="00320E86"/>
    <w:rsid w:val="003217B4"/>
    <w:rsid w:val="003217D7"/>
    <w:rsid w:val="003219B9"/>
    <w:rsid w:val="003224B8"/>
    <w:rsid w:val="00322892"/>
    <w:rsid w:val="003229F5"/>
    <w:rsid w:val="00323E3E"/>
    <w:rsid w:val="00325341"/>
    <w:rsid w:val="003267AA"/>
    <w:rsid w:val="003278D5"/>
    <w:rsid w:val="00327D65"/>
    <w:rsid w:val="00330635"/>
    <w:rsid w:val="003316DA"/>
    <w:rsid w:val="003316EC"/>
    <w:rsid w:val="0033180C"/>
    <w:rsid w:val="003319E0"/>
    <w:rsid w:val="00331DB7"/>
    <w:rsid w:val="0033243E"/>
    <w:rsid w:val="00332CE4"/>
    <w:rsid w:val="00333337"/>
    <w:rsid w:val="003333CF"/>
    <w:rsid w:val="00333A50"/>
    <w:rsid w:val="00333D90"/>
    <w:rsid w:val="00334192"/>
    <w:rsid w:val="0033488B"/>
    <w:rsid w:val="0033494C"/>
    <w:rsid w:val="00334F61"/>
    <w:rsid w:val="00335211"/>
    <w:rsid w:val="0033736F"/>
    <w:rsid w:val="003376D2"/>
    <w:rsid w:val="00337BB7"/>
    <w:rsid w:val="00337DFD"/>
    <w:rsid w:val="00337E8F"/>
    <w:rsid w:val="00341668"/>
    <w:rsid w:val="003419D9"/>
    <w:rsid w:val="00341B54"/>
    <w:rsid w:val="00341FD2"/>
    <w:rsid w:val="003423DA"/>
    <w:rsid w:val="00342994"/>
    <w:rsid w:val="00342A6A"/>
    <w:rsid w:val="00343448"/>
    <w:rsid w:val="003438E8"/>
    <w:rsid w:val="00343B43"/>
    <w:rsid w:val="00343CA6"/>
    <w:rsid w:val="00344DB5"/>
    <w:rsid w:val="00346066"/>
    <w:rsid w:val="003460F5"/>
    <w:rsid w:val="003462B0"/>
    <w:rsid w:val="0034639D"/>
    <w:rsid w:val="00347D29"/>
    <w:rsid w:val="00347D4B"/>
    <w:rsid w:val="00350F58"/>
    <w:rsid w:val="00351087"/>
    <w:rsid w:val="00351B89"/>
    <w:rsid w:val="00352508"/>
    <w:rsid w:val="00352EC3"/>
    <w:rsid w:val="003537A6"/>
    <w:rsid w:val="00353A87"/>
    <w:rsid w:val="00354552"/>
    <w:rsid w:val="00355946"/>
    <w:rsid w:val="00356FB0"/>
    <w:rsid w:val="003575FF"/>
    <w:rsid w:val="00357BFD"/>
    <w:rsid w:val="003604BB"/>
    <w:rsid w:val="003609EC"/>
    <w:rsid w:val="00360FC1"/>
    <w:rsid w:val="00361645"/>
    <w:rsid w:val="00362627"/>
    <w:rsid w:val="003629A8"/>
    <w:rsid w:val="00363504"/>
    <w:rsid w:val="0036424F"/>
    <w:rsid w:val="00364CC6"/>
    <w:rsid w:val="0036505B"/>
    <w:rsid w:val="0036538E"/>
    <w:rsid w:val="003655A9"/>
    <w:rsid w:val="003655AA"/>
    <w:rsid w:val="003663CD"/>
    <w:rsid w:val="003666D8"/>
    <w:rsid w:val="00367420"/>
    <w:rsid w:val="00367904"/>
    <w:rsid w:val="00367CA3"/>
    <w:rsid w:val="00370055"/>
    <w:rsid w:val="003712BF"/>
    <w:rsid w:val="00371303"/>
    <w:rsid w:val="003729E6"/>
    <w:rsid w:val="0037409F"/>
    <w:rsid w:val="0037450D"/>
    <w:rsid w:val="0037461A"/>
    <w:rsid w:val="003746E9"/>
    <w:rsid w:val="003748CE"/>
    <w:rsid w:val="00374B3B"/>
    <w:rsid w:val="00375B05"/>
    <w:rsid w:val="0037658F"/>
    <w:rsid w:val="0037675F"/>
    <w:rsid w:val="00376A24"/>
    <w:rsid w:val="00376E64"/>
    <w:rsid w:val="0037750F"/>
    <w:rsid w:val="00377DC7"/>
    <w:rsid w:val="00380001"/>
    <w:rsid w:val="00380097"/>
    <w:rsid w:val="00380BDF"/>
    <w:rsid w:val="00381988"/>
    <w:rsid w:val="00382720"/>
    <w:rsid w:val="003831E9"/>
    <w:rsid w:val="00384CAA"/>
    <w:rsid w:val="00385653"/>
    <w:rsid w:val="003856D4"/>
    <w:rsid w:val="00386F66"/>
    <w:rsid w:val="00387060"/>
    <w:rsid w:val="00387456"/>
    <w:rsid w:val="00387715"/>
    <w:rsid w:val="0038786A"/>
    <w:rsid w:val="00390470"/>
    <w:rsid w:val="0039097E"/>
    <w:rsid w:val="0039105F"/>
    <w:rsid w:val="003910E2"/>
    <w:rsid w:val="0039128C"/>
    <w:rsid w:val="00391872"/>
    <w:rsid w:val="00391CFC"/>
    <w:rsid w:val="0039259C"/>
    <w:rsid w:val="0039284A"/>
    <w:rsid w:val="00392C53"/>
    <w:rsid w:val="00394430"/>
    <w:rsid w:val="00395406"/>
    <w:rsid w:val="0039551C"/>
    <w:rsid w:val="00395C58"/>
    <w:rsid w:val="00395E26"/>
    <w:rsid w:val="00396573"/>
    <w:rsid w:val="003974CF"/>
    <w:rsid w:val="003A0D92"/>
    <w:rsid w:val="003A15EA"/>
    <w:rsid w:val="003A205B"/>
    <w:rsid w:val="003A20A5"/>
    <w:rsid w:val="003A2494"/>
    <w:rsid w:val="003A2905"/>
    <w:rsid w:val="003A2C0E"/>
    <w:rsid w:val="003A30C4"/>
    <w:rsid w:val="003A3724"/>
    <w:rsid w:val="003A414E"/>
    <w:rsid w:val="003A4678"/>
    <w:rsid w:val="003A4982"/>
    <w:rsid w:val="003A510C"/>
    <w:rsid w:val="003A5324"/>
    <w:rsid w:val="003A5B61"/>
    <w:rsid w:val="003A7EB5"/>
    <w:rsid w:val="003B022D"/>
    <w:rsid w:val="003B1BEC"/>
    <w:rsid w:val="003B231B"/>
    <w:rsid w:val="003B2C61"/>
    <w:rsid w:val="003B3A7B"/>
    <w:rsid w:val="003B474D"/>
    <w:rsid w:val="003B4D9E"/>
    <w:rsid w:val="003B4E0E"/>
    <w:rsid w:val="003B593E"/>
    <w:rsid w:val="003B6A80"/>
    <w:rsid w:val="003B761B"/>
    <w:rsid w:val="003B7726"/>
    <w:rsid w:val="003B7B81"/>
    <w:rsid w:val="003C024F"/>
    <w:rsid w:val="003C0574"/>
    <w:rsid w:val="003C1131"/>
    <w:rsid w:val="003C1AFD"/>
    <w:rsid w:val="003C213E"/>
    <w:rsid w:val="003C26E4"/>
    <w:rsid w:val="003C2BB2"/>
    <w:rsid w:val="003C2C01"/>
    <w:rsid w:val="003C3BAE"/>
    <w:rsid w:val="003C4185"/>
    <w:rsid w:val="003C62B1"/>
    <w:rsid w:val="003C6865"/>
    <w:rsid w:val="003C7088"/>
    <w:rsid w:val="003C7CE0"/>
    <w:rsid w:val="003D03F5"/>
    <w:rsid w:val="003D14DD"/>
    <w:rsid w:val="003D230F"/>
    <w:rsid w:val="003D28E9"/>
    <w:rsid w:val="003D3AB6"/>
    <w:rsid w:val="003D50E4"/>
    <w:rsid w:val="003D5554"/>
    <w:rsid w:val="003D628E"/>
    <w:rsid w:val="003D6350"/>
    <w:rsid w:val="003D670B"/>
    <w:rsid w:val="003D6A28"/>
    <w:rsid w:val="003D70E0"/>
    <w:rsid w:val="003D76F2"/>
    <w:rsid w:val="003E08FD"/>
    <w:rsid w:val="003E1334"/>
    <w:rsid w:val="003E2549"/>
    <w:rsid w:val="003E290D"/>
    <w:rsid w:val="003E2BED"/>
    <w:rsid w:val="003E3906"/>
    <w:rsid w:val="003E3B2C"/>
    <w:rsid w:val="003E3BBB"/>
    <w:rsid w:val="003E43E7"/>
    <w:rsid w:val="003E4898"/>
    <w:rsid w:val="003E57D0"/>
    <w:rsid w:val="003E5A61"/>
    <w:rsid w:val="003E647D"/>
    <w:rsid w:val="003E69AD"/>
    <w:rsid w:val="003E6C95"/>
    <w:rsid w:val="003E7075"/>
    <w:rsid w:val="003E7322"/>
    <w:rsid w:val="003E7394"/>
    <w:rsid w:val="003E7EAB"/>
    <w:rsid w:val="003E7F6D"/>
    <w:rsid w:val="003F032D"/>
    <w:rsid w:val="003F08D9"/>
    <w:rsid w:val="003F14CB"/>
    <w:rsid w:val="003F18BF"/>
    <w:rsid w:val="003F22EB"/>
    <w:rsid w:val="003F290F"/>
    <w:rsid w:val="003F2925"/>
    <w:rsid w:val="003F4924"/>
    <w:rsid w:val="003F4DEA"/>
    <w:rsid w:val="003F4F4B"/>
    <w:rsid w:val="003F5108"/>
    <w:rsid w:val="003F5D21"/>
    <w:rsid w:val="003F6172"/>
    <w:rsid w:val="003F6264"/>
    <w:rsid w:val="003F67A7"/>
    <w:rsid w:val="003F6E20"/>
    <w:rsid w:val="003F7219"/>
    <w:rsid w:val="003F7412"/>
    <w:rsid w:val="003F7661"/>
    <w:rsid w:val="003F7795"/>
    <w:rsid w:val="004017F8"/>
    <w:rsid w:val="00401E8F"/>
    <w:rsid w:val="004021A3"/>
    <w:rsid w:val="00402866"/>
    <w:rsid w:val="00402BFF"/>
    <w:rsid w:val="00403862"/>
    <w:rsid w:val="00403BF5"/>
    <w:rsid w:val="00404EA0"/>
    <w:rsid w:val="00404F07"/>
    <w:rsid w:val="00405038"/>
    <w:rsid w:val="00405749"/>
    <w:rsid w:val="00405AD7"/>
    <w:rsid w:val="00407206"/>
    <w:rsid w:val="004078CD"/>
    <w:rsid w:val="00407939"/>
    <w:rsid w:val="00407CA3"/>
    <w:rsid w:val="004107DF"/>
    <w:rsid w:val="004112AA"/>
    <w:rsid w:val="00411D67"/>
    <w:rsid w:val="00412E48"/>
    <w:rsid w:val="00412FF8"/>
    <w:rsid w:val="00413A2E"/>
    <w:rsid w:val="004157AD"/>
    <w:rsid w:val="00415B06"/>
    <w:rsid w:val="00416F2C"/>
    <w:rsid w:val="00416F35"/>
    <w:rsid w:val="0041768D"/>
    <w:rsid w:val="00417B5D"/>
    <w:rsid w:val="00417EAD"/>
    <w:rsid w:val="00420D4A"/>
    <w:rsid w:val="004217B8"/>
    <w:rsid w:val="00421DAB"/>
    <w:rsid w:val="004224C1"/>
    <w:rsid w:val="00422EA7"/>
    <w:rsid w:val="004235E9"/>
    <w:rsid w:val="00423759"/>
    <w:rsid w:val="004241F1"/>
    <w:rsid w:val="00425280"/>
    <w:rsid w:val="00425AD6"/>
    <w:rsid w:val="00426B11"/>
    <w:rsid w:val="00426BF5"/>
    <w:rsid w:val="00426D23"/>
    <w:rsid w:val="00430628"/>
    <w:rsid w:val="00431363"/>
    <w:rsid w:val="00431392"/>
    <w:rsid w:val="004318F5"/>
    <w:rsid w:val="004320F3"/>
    <w:rsid w:val="0043374B"/>
    <w:rsid w:val="0043375A"/>
    <w:rsid w:val="00434C78"/>
    <w:rsid w:val="00435203"/>
    <w:rsid w:val="0043589E"/>
    <w:rsid w:val="00435C95"/>
    <w:rsid w:val="004360A2"/>
    <w:rsid w:val="00436837"/>
    <w:rsid w:val="00437AFF"/>
    <w:rsid w:val="004402F2"/>
    <w:rsid w:val="004403C7"/>
    <w:rsid w:val="004409D8"/>
    <w:rsid w:val="00440A3E"/>
    <w:rsid w:val="0044132D"/>
    <w:rsid w:val="004417F8"/>
    <w:rsid w:val="00441886"/>
    <w:rsid w:val="004430CE"/>
    <w:rsid w:val="00443213"/>
    <w:rsid w:val="00443CEB"/>
    <w:rsid w:val="00443E6B"/>
    <w:rsid w:val="0044434E"/>
    <w:rsid w:val="00444FDA"/>
    <w:rsid w:val="004455B4"/>
    <w:rsid w:val="00445606"/>
    <w:rsid w:val="00446C44"/>
    <w:rsid w:val="00446E77"/>
    <w:rsid w:val="00447319"/>
    <w:rsid w:val="004479E3"/>
    <w:rsid w:val="00447CFB"/>
    <w:rsid w:val="00447DF2"/>
    <w:rsid w:val="0045025E"/>
    <w:rsid w:val="004517A3"/>
    <w:rsid w:val="00453843"/>
    <w:rsid w:val="00454362"/>
    <w:rsid w:val="00455775"/>
    <w:rsid w:val="00455C6F"/>
    <w:rsid w:val="00455ECC"/>
    <w:rsid w:val="0045640F"/>
    <w:rsid w:val="004568AF"/>
    <w:rsid w:val="004568B9"/>
    <w:rsid w:val="004568F6"/>
    <w:rsid w:val="00456B21"/>
    <w:rsid w:val="004575F5"/>
    <w:rsid w:val="004616A9"/>
    <w:rsid w:val="004619B3"/>
    <w:rsid w:val="00462243"/>
    <w:rsid w:val="004622DF"/>
    <w:rsid w:val="0046346A"/>
    <w:rsid w:val="0046362C"/>
    <w:rsid w:val="00463BB3"/>
    <w:rsid w:val="00464DB8"/>
    <w:rsid w:val="00464ECB"/>
    <w:rsid w:val="00465757"/>
    <w:rsid w:val="00465FA3"/>
    <w:rsid w:val="00466322"/>
    <w:rsid w:val="0046638F"/>
    <w:rsid w:val="00466481"/>
    <w:rsid w:val="0046688C"/>
    <w:rsid w:val="00466BFF"/>
    <w:rsid w:val="00466DA4"/>
    <w:rsid w:val="00467E10"/>
    <w:rsid w:val="00472F74"/>
    <w:rsid w:val="00473ADC"/>
    <w:rsid w:val="004744B6"/>
    <w:rsid w:val="00474C5F"/>
    <w:rsid w:val="00475AE9"/>
    <w:rsid w:val="00475BDD"/>
    <w:rsid w:val="00475C0F"/>
    <w:rsid w:val="00476C99"/>
    <w:rsid w:val="00477490"/>
    <w:rsid w:val="00477EB4"/>
    <w:rsid w:val="0048027B"/>
    <w:rsid w:val="00480AE8"/>
    <w:rsid w:val="00480C53"/>
    <w:rsid w:val="00481722"/>
    <w:rsid w:val="00481DAB"/>
    <w:rsid w:val="00483012"/>
    <w:rsid w:val="00484B6D"/>
    <w:rsid w:val="00484ED2"/>
    <w:rsid w:val="0048541D"/>
    <w:rsid w:val="004871C7"/>
    <w:rsid w:val="00487494"/>
    <w:rsid w:val="004878F0"/>
    <w:rsid w:val="0048797C"/>
    <w:rsid w:val="00490C65"/>
    <w:rsid w:val="00490ECA"/>
    <w:rsid w:val="00491842"/>
    <w:rsid w:val="00492891"/>
    <w:rsid w:val="00494364"/>
    <w:rsid w:val="00494522"/>
    <w:rsid w:val="004946FA"/>
    <w:rsid w:val="004954FD"/>
    <w:rsid w:val="00495D92"/>
    <w:rsid w:val="00496799"/>
    <w:rsid w:val="00497B84"/>
    <w:rsid w:val="00497CC5"/>
    <w:rsid w:val="00497D81"/>
    <w:rsid w:val="004A083F"/>
    <w:rsid w:val="004A0ECA"/>
    <w:rsid w:val="004A1022"/>
    <w:rsid w:val="004A241C"/>
    <w:rsid w:val="004A33AC"/>
    <w:rsid w:val="004A3F49"/>
    <w:rsid w:val="004A42F9"/>
    <w:rsid w:val="004A43D7"/>
    <w:rsid w:val="004A47C3"/>
    <w:rsid w:val="004A53D3"/>
    <w:rsid w:val="004A6B3E"/>
    <w:rsid w:val="004A6C9A"/>
    <w:rsid w:val="004A6EF9"/>
    <w:rsid w:val="004A7A04"/>
    <w:rsid w:val="004B0314"/>
    <w:rsid w:val="004B03A6"/>
    <w:rsid w:val="004B079E"/>
    <w:rsid w:val="004B088A"/>
    <w:rsid w:val="004B08F6"/>
    <w:rsid w:val="004B0A5B"/>
    <w:rsid w:val="004B1731"/>
    <w:rsid w:val="004B1C99"/>
    <w:rsid w:val="004B2098"/>
    <w:rsid w:val="004B2393"/>
    <w:rsid w:val="004B2C9D"/>
    <w:rsid w:val="004B2E59"/>
    <w:rsid w:val="004B2E6E"/>
    <w:rsid w:val="004B31DF"/>
    <w:rsid w:val="004B4BD1"/>
    <w:rsid w:val="004B5E02"/>
    <w:rsid w:val="004C0055"/>
    <w:rsid w:val="004C0EFE"/>
    <w:rsid w:val="004C136F"/>
    <w:rsid w:val="004C1CA6"/>
    <w:rsid w:val="004C2370"/>
    <w:rsid w:val="004C2AE8"/>
    <w:rsid w:val="004C38D3"/>
    <w:rsid w:val="004C3BB6"/>
    <w:rsid w:val="004C6E42"/>
    <w:rsid w:val="004C7DDF"/>
    <w:rsid w:val="004C7E26"/>
    <w:rsid w:val="004D074D"/>
    <w:rsid w:val="004D121C"/>
    <w:rsid w:val="004D2171"/>
    <w:rsid w:val="004D3406"/>
    <w:rsid w:val="004D3C92"/>
    <w:rsid w:val="004D3E6E"/>
    <w:rsid w:val="004D4296"/>
    <w:rsid w:val="004D48A1"/>
    <w:rsid w:val="004D4B54"/>
    <w:rsid w:val="004D4CFB"/>
    <w:rsid w:val="004D5447"/>
    <w:rsid w:val="004D5B31"/>
    <w:rsid w:val="004D5EC4"/>
    <w:rsid w:val="004D6217"/>
    <w:rsid w:val="004D6519"/>
    <w:rsid w:val="004D79A5"/>
    <w:rsid w:val="004D7C4F"/>
    <w:rsid w:val="004E03C9"/>
    <w:rsid w:val="004E075B"/>
    <w:rsid w:val="004E0DAA"/>
    <w:rsid w:val="004E10FB"/>
    <w:rsid w:val="004E1420"/>
    <w:rsid w:val="004E1613"/>
    <w:rsid w:val="004E2372"/>
    <w:rsid w:val="004E2B59"/>
    <w:rsid w:val="004E3BBC"/>
    <w:rsid w:val="004E4099"/>
    <w:rsid w:val="004E426C"/>
    <w:rsid w:val="004E565F"/>
    <w:rsid w:val="004E6A89"/>
    <w:rsid w:val="004E6AAE"/>
    <w:rsid w:val="004E7148"/>
    <w:rsid w:val="004E741B"/>
    <w:rsid w:val="004E7E2A"/>
    <w:rsid w:val="004F0F9E"/>
    <w:rsid w:val="004F12DD"/>
    <w:rsid w:val="004F14D2"/>
    <w:rsid w:val="004F193A"/>
    <w:rsid w:val="004F2BC0"/>
    <w:rsid w:val="004F3964"/>
    <w:rsid w:val="004F39C6"/>
    <w:rsid w:val="004F41EA"/>
    <w:rsid w:val="004F42CC"/>
    <w:rsid w:val="004F4405"/>
    <w:rsid w:val="004F4C6F"/>
    <w:rsid w:val="004F59FD"/>
    <w:rsid w:val="004F6AE5"/>
    <w:rsid w:val="004F704E"/>
    <w:rsid w:val="004F7366"/>
    <w:rsid w:val="004F7879"/>
    <w:rsid w:val="00500AE8"/>
    <w:rsid w:val="00502C35"/>
    <w:rsid w:val="0050350B"/>
    <w:rsid w:val="0050379E"/>
    <w:rsid w:val="00503ECC"/>
    <w:rsid w:val="0050471E"/>
    <w:rsid w:val="00505A84"/>
    <w:rsid w:val="00505E21"/>
    <w:rsid w:val="0050696D"/>
    <w:rsid w:val="005074C8"/>
    <w:rsid w:val="005076F3"/>
    <w:rsid w:val="00507B09"/>
    <w:rsid w:val="0051091E"/>
    <w:rsid w:val="00510A12"/>
    <w:rsid w:val="00510BED"/>
    <w:rsid w:val="00511CE4"/>
    <w:rsid w:val="0051207B"/>
    <w:rsid w:val="0051222F"/>
    <w:rsid w:val="0051419B"/>
    <w:rsid w:val="0051439B"/>
    <w:rsid w:val="00514975"/>
    <w:rsid w:val="0051540B"/>
    <w:rsid w:val="00516721"/>
    <w:rsid w:val="00516780"/>
    <w:rsid w:val="00516850"/>
    <w:rsid w:val="005170A1"/>
    <w:rsid w:val="00517605"/>
    <w:rsid w:val="00520088"/>
    <w:rsid w:val="005200AB"/>
    <w:rsid w:val="00521605"/>
    <w:rsid w:val="005239AC"/>
    <w:rsid w:val="00523AC2"/>
    <w:rsid w:val="00524532"/>
    <w:rsid w:val="0052535A"/>
    <w:rsid w:val="005262CD"/>
    <w:rsid w:val="005269CF"/>
    <w:rsid w:val="005271E3"/>
    <w:rsid w:val="00527B98"/>
    <w:rsid w:val="00531047"/>
    <w:rsid w:val="0053144B"/>
    <w:rsid w:val="005323D2"/>
    <w:rsid w:val="005329B2"/>
    <w:rsid w:val="0053330D"/>
    <w:rsid w:val="00533E72"/>
    <w:rsid w:val="0053441D"/>
    <w:rsid w:val="00534426"/>
    <w:rsid w:val="0053448F"/>
    <w:rsid w:val="00534CDD"/>
    <w:rsid w:val="00535152"/>
    <w:rsid w:val="005351E6"/>
    <w:rsid w:val="005354F1"/>
    <w:rsid w:val="0053559D"/>
    <w:rsid w:val="005360E6"/>
    <w:rsid w:val="005364D4"/>
    <w:rsid w:val="00537023"/>
    <w:rsid w:val="0053719D"/>
    <w:rsid w:val="00537C41"/>
    <w:rsid w:val="00537CAE"/>
    <w:rsid w:val="00537CB4"/>
    <w:rsid w:val="0054052A"/>
    <w:rsid w:val="00540615"/>
    <w:rsid w:val="00540A12"/>
    <w:rsid w:val="00540D16"/>
    <w:rsid w:val="00541037"/>
    <w:rsid w:val="005418AF"/>
    <w:rsid w:val="00542228"/>
    <w:rsid w:val="00542442"/>
    <w:rsid w:val="00542CF3"/>
    <w:rsid w:val="0054427A"/>
    <w:rsid w:val="00544357"/>
    <w:rsid w:val="0054461A"/>
    <w:rsid w:val="00544781"/>
    <w:rsid w:val="00544A9C"/>
    <w:rsid w:val="00545709"/>
    <w:rsid w:val="00545AFD"/>
    <w:rsid w:val="00545E6D"/>
    <w:rsid w:val="00545F57"/>
    <w:rsid w:val="005461A0"/>
    <w:rsid w:val="0054645F"/>
    <w:rsid w:val="0054646A"/>
    <w:rsid w:val="00546EF0"/>
    <w:rsid w:val="005502B5"/>
    <w:rsid w:val="005509CF"/>
    <w:rsid w:val="00550C29"/>
    <w:rsid w:val="0055103B"/>
    <w:rsid w:val="00551D82"/>
    <w:rsid w:val="005529A2"/>
    <w:rsid w:val="00552F19"/>
    <w:rsid w:val="00553398"/>
    <w:rsid w:val="00554C85"/>
    <w:rsid w:val="00554F02"/>
    <w:rsid w:val="005551B5"/>
    <w:rsid w:val="00556C52"/>
    <w:rsid w:val="00556CEC"/>
    <w:rsid w:val="00556E04"/>
    <w:rsid w:val="005608CE"/>
    <w:rsid w:val="00560C6B"/>
    <w:rsid w:val="005623CC"/>
    <w:rsid w:val="005627F0"/>
    <w:rsid w:val="00562BAC"/>
    <w:rsid w:val="00562C62"/>
    <w:rsid w:val="00562D37"/>
    <w:rsid w:val="00562FD7"/>
    <w:rsid w:val="00562FDB"/>
    <w:rsid w:val="0056330F"/>
    <w:rsid w:val="0056400A"/>
    <w:rsid w:val="00565014"/>
    <w:rsid w:val="00565409"/>
    <w:rsid w:val="005655DC"/>
    <w:rsid w:val="00566162"/>
    <w:rsid w:val="00566BED"/>
    <w:rsid w:val="00566F00"/>
    <w:rsid w:val="00571430"/>
    <w:rsid w:val="005715F6"/>
    <w:rsid w:val="0057171A"/>
    <w:rsid w:val="00571EE2"/>
    <w:rsid w:val="00572349"/>
    <w:rsid w:val="00572C82"/>
    <w:rsid w:val="00574930"/>
    <w:rsid w:val="00575143"/>
    <w:rsid w:val="005752DA"/>
    <w:rsid w:val="00575AA2"/>
    <w:rsid w:val="00575FB8"/>
    <w:rsid w:val="0057622A"/>
    <w:rsid w:val="005771CF"/>
    <w:rsid w:val="00580355"/>
    <w:rsid w:val="005803AC"/>
    <w:rsid w:val="00580524"/>
    <w:rsid w:val="00580706"/>
    <w:rsid w:val="0058192F"/>
    <w:rsid w:val="00581E1B"/>
    <w:rsid w:val="0058250F"/>
    <w:rsid w:val="00582DF0"/>
    <w:rsid w:val="00582E12"/>
    <w:rsid w:val="0058333F"/>
    <w:rsid w:val="00583610"/>
    <w:rsid w:val="005844AB"/>
    <w:rsid w:val="00584783"/>
    <w:rsid w:val="00586235"/>
    <w:rsid w:val="00586646"/>
    <w:rsid w:val="005876BE"/>
    <w:rsid w:val="0058779E"/>
    <w:rsid w:val="00587C3D"/>
    <w:rsid w:val="00591365"/>
    <w:rsid w:val="00591B9B"/>
    <w:rsid w:val="00592CDE"/>
    <w:rsid w:val="00593986"/>
    <w:rsid w:val="005939B8"/>
    <w:rsid w:val="00594356"/>
    <w:rsid w:val="005949C5"/>
    <w:rsid w:val="00594AB3"/>
    <w:rsid w:val="0059533B"/>
    <w:rsid w:val="005955B3"/>
    <w:rsid w:val="00595F49"/>
    <w:rsid w:val="00596BE1"/>
    <w:rsid w:val="00596E01"/>
    <w:rsid w:val="00596F15"/>
    <w:rsid w:val="00597876"/>
    <w:rsid w:val="00597F3C"/>
    <w:rsid w:val="005A0DBB"/>
    <w:rsid w:val="005A10AA"/>
    <w:rsid w:val="005A1340"/>
    <w:rsid w:val="005A2688"/>
    <w:rsid w:val="005A284E"/>
    <w:rsid w:val="005A2967"/>
    <w:rsid w:val="005A2C3D"/>
    <w:rsid w:val="005A2FF2"/>
    <w:rsid w:val="005A35C5"/>
    <w:rsid w:val="005A3684"/>
    <w:rsid w:val="005A42F8"/>
    <w:rsid w:val="005A53B7"/>
    <w:rsid w:val="005A562E"/>
    <w:rsid w:val="005A5AF6"/>
    <w:rsid w:val="005A6971"/>
    <w:rsid w:val="005A6A2A"/>
    <w:rsid w:val="005A6C25"/>
    <w:rsid w:val="005A7B7B"/>
    <w:rsid w:val="005A7E91"/>
    <w:rsid w:val="005B04DE"/>
    <w:rsid w:val="005B17EA"/>
    <w:rsid w:val="005B1ABC"/>
    <w:rsid w:val="005B1AC0"/>
    <w:rsid w:val="005B1ACF"/>
    <w:rsid w:val="005B201E"/>
    <w:rsid w:val="005B2384"/>
    <w:rsid w:val="005B343B"/>
    <w:rsid w:val="005B3FC3"/>
    <w:rsid w:val="005B4093"/>
    <w:rsid w:val="005B449A"/>
    <w:rsid w:val="005B4693"/>
    <w:rsid w:val="005B5F14"/>
    <w:rsid w:val="005B62CB"/>
    <w:rsid w:val="005B639C"/>
    <w:rsid w:val="005B7119"/>
    <w:rsid w:val="005B7CAD"/>
    <w:rsid w:val="005B7D95"/>
    <w:rsid w:val="005C0FAE"/>
    <w:rsid w:val="005C0FF8"/>
    <w:rsid w:val="005C16C5"/>
    <w:rsid w:val="005C1F01"/>
    <w:rsid w:val="005C25D0"/>
    <w:rsid w:val="005C2AAD"/>
    <w:rsid w:val="005C2D56"/>
    <w:rsid w:val="005C465C"/>
    <w:rsid w:val="005C6F40"/>
    <w:rsid w:val="005C78A6"/>
    <w:rsid w:val="005D0A02"/>
    <w:rsid w:val="005D18C4"/>
    <w:rsid w:val="005D2246"/>
    <w:rsid w:val="005D2570"/>
    <w:rsid w:val="005D29D5"/>
    <w:rsid w:val="005D2B09"/>
    <w:rsid w:val="005D34F3"/>
    <w:rsid w:val="005D385B"/>
    <w:rsid w:val="005D3D08"/>
    <w:rsid w:val="005D3EAE"/>
    <w:rsid w:val="005D3F93"/>
    <w:rsid w:val="005D4524"/>
    <w:rsid w:val="005D45F0"/>
    <w:rsid w:val="005D488B"/>
    <w:rsid w:val="005D4E70"/>
    <w:rsid w:val="005D50F0"/>
    <w:rsid w:val="005D510F"/>
    <w:rsid w:val="005D5F2D"/>
    <w:rsid w:val="005D5F65"/>
    <w:rsid w:val="005D60C6"/>
    <w:rsid w:val="005D73B8"/>
    <w:rsid w:val="005D7CD4"/>
    <w:rsid w:val="005D7CFD"/>
    <w:rsid w:val="005E0154"/>
    <w:rsid w:val="005E0438"/>
    <w:rsid w:val="005E0B26"/>
    <w:rsid w:val="005E1951"/>
    <w:rsid w:val="005E2BD4"/>
    <w:rsid w:val="005E376D"/>
    <w:rsid w:val="005E3902"/>
    <w:rsid w:val="005E3939"/>
    <w:rsid w:val="005E3E72"/>
    <w:rsid w:val="005E3E9C"/>
    <w:rsid w:val="005E42B7"/>
    <w:rsid w:val="005E4684"/>
    <w:rsid w:val="005E50D9"/>
    <w:rsid w:val="005E5653"/>
    <w:rsid w:val="005E5CDA"/>
    <w:rsid w:val="005E6012"/>
    <w:rsid w:val="005E7743"/>
    <w:rsid w:val="005E7837"/>
    <w:rsid w:val="005E78FB"/>
    <w:rsid w:val="005F0951"/>
    <w:rsid w:val="005F1CD4"/>
    <w:rsid w:val="005F3C4C"/>
    <w:rsid w:val="005F43CB"/>
    <w:rsid w:val="005F4800"/>
    <w:rsid w:val="005F4A1F"/>
    <w:rsid w:val="005F5134"/>
    <w:rsid w:val="005F52F3"/>
    <w:rsid w:val="005F62D3"/>
    <w:rsid w:val="005F6D73"/>
    <w:rsid w:val="005F701A"/>
    <w:rsid w:val="005F7148"/>
    <w:rsid w:val="005F74D6"/>
    <w:rsid w:val="0060124C"/>
    <w:rsid w:val="0060130A"/>
    <w:rsid w:val="006020F7"/>
    <w:rsid w:val="00603103"/>
    <w:rsid w:val="0060339C"/>
    <w:rsid w:val="00603474"/>
    <w:rsid w:val="00603CD2"/>
    <w:rsid w:val="0060464E"/>
    <w:rsid w:val="00606E11"/>
    <w:rsid w:val="00606FB2"/>
    <w:rsid w:val="006070B1"/>
    <w:rsid w:val="00607266"/>
    <w:rsid w:val="0060798C"/>
    <w:rsid w:val="00607FD9"/>
    <w:rsid w:val="006103D6"/>
    <w:rsid w:val="00610A8F"/>
    <w:rsid w:val="00611CC1"/>
    <w:rsid w:val="0061342A"/>
    <w:rsid w:val="00613EC2"/>
    <w:rsid w:val="00616675"/>
    <w:rsid w:val="00616975"/>
    <w:rsid w:val="00616B9E"/>
    <w:rsid w:val="00617E3A"/>
    <w:rsid w:val="00620642"/>
    <w:rsid w:val="006207BD"/>
    <w:rsid w:val="0062081C"/>
    <w:rsid w:val="006209C4"/>
    <w:rsid w:val="00620C7D"/>
    <w:rsid w:val="00620F3C"/>
    <w:rsid w:val="00621240"/>
    <w:rsid w:val="00621736"/>
    <w:rsid w:val="00622380"/>
    <w:rsid w:val="00622578"/>
    <w:rsid w:val="0062275E"/>
    <w:rsid w:val="00622D67"/>
    <w:rsid w:val="006237A9"/>
    <w:rsid w:val="00624C24"/>
    <w:rsid w:val="00624F52"/>
    <w:rsid w:val="00626019"/>
    <w:rsid w:val="0062652C"/>
    <w:rsid w:val="00626834"/>
    <w:rsid w:val="00626A38"/>
    <w:rsid w:val="0062739C"/>
    <w:rsid w:val="00631734"/>
    <w:rsid w:val="00632DC4"/>
    <w:rsid w:val="00633999"/>
    <w:rsid w:val="00633BDF"/>
    <w:rsid w:val="00634C30"/>
    <w:rsid w:val="006353DA"/>
    <w:rsid w:val="00635468"/>
    <w:rsid w:val="00635623"/>
    <w:rsid w:val="00635675"/>
    <w:rsid w:val="0063577D"/>
    <w:rsid w:val="006369E5"/>
    <w:rsid w:val="00636BEB"/>
    <w:rsid w:val="00636DCD"/>
    <w:rsid w:val="00636ED1"/>
    <w:rsid w:val="0063704A"/>
    <w:rsid w:val="00637264"/>
    <w:rsid w:val="00637AD9"/>
    <w:rsid w:val="006415DF"/>
    <w:rsid w:val="00642023"/>
    <w:rsid w:val="006423A7"/>
    <w:rsid w:val="00643582"/>
    <w:rsid w:val="006435F9"/>
    <w:rsid w:val="00643730"/>
    <w:rsid w:val="0064474C"/>
    <w:rsid w:val="00644AF5"/>
    <w:rsid w:val="00644F12"/>
    <w:rsid w:val="0064673A"/>
    <w:rsid w:val="00647295"/>
    <w:rsid w:val="00647DA6"/>
    <w:rsid w:val="0065093A"/>
    <w:rsid w:val="00650E19"/>
    <w:rsid w:val="006519D1"/>
    <w:rsid w:val="00652B4F"/>
    <w:rsid w:val="00653D7B"/>
    <w:rsid w:val="006541AE"/>
    <w:rsid w:val="00654AEE"/>
    <w:rsid w:val="006569E7"/>
    <w:rsid w:val="006578C2"/>
    <w:rsid w:val="00660113"/>
    <w:rsid w:val="006607C5"/>
    <w:rsid w:val="00660AA3"/>
    <w:rsid w:val="00660DB9"/>
    <w:rsid w:val="00661908"/>
    <w:rsid w:val="00661E29"/>
    <w:rsid w:val="0066253A"/>
    <w:rsid w:val="00662E96"/>
    <w:rsid w:val="0066333C"/>
    <w:rsid w:val="00664CCB"/>
    <w:rsid w:val="006658A8"/>
    <w:rsid w:val="00665BA7"/>
    <w:rsid w:val="00665D67"/>
    <w:rsid w:val="0066695D"/>
    <w:rsid w:val="006671B4"/>
    <w:rsid w:val="0067026D"/>
    <w:rsid w:val="006708A6"/>
    <w:rsid w:val="00671D97"/>
    <w:rsid w:val="006720F4"/>
    <w:rsid w:val="00672F3C"/>
    <w:rsid w:val="006731FE"/>
    <w:rsid w:val="00673469"/>
    <w:rsid w:val="00673AE6"/>
    <w:rsid w:val="00673E4A"/>
    <w:rsid w:val="00674F63"/>
    <w:rsid w:val="0067533E"/>
    <w:rsid w:val="00675C5F"/>
    <w:rsid w:val="00676E2A"/>
    <w:rsid w:val="006778D3"/>
    <w:rsid w:val="00677A56"/>
    <w:rsid w:val="00677C0B"/>
    <w:rsid w:val="00680599"/>
    <w:rsid w:val="00681790"/>
    <w:rsid w:val="00682227"/>
    <w:rsid w:val="00682BB8"/>
    <w:rsid w:val="0068422C"/>
    <w:rsid w:val="00684C5E"/>
    <w:rsid w:val="006855E1"/>
    <w:rsid w:val="0068709D"/>
    <w:rsid w:val="00687228"/>
    <w:rsid w:val="00687531"/>
    <w:rsid w:val="00687DEB"/>
    <w:rsid w:val="00691B14"/>
    <w:rsid w:val="006920F7"/>
    <w:rsid w:val="00692F23"/>
    <w:rsid w:val="0069316F"/>
    <w:rsid w:val="00694531"/>
    <w:rsid w:val="00694940"/>
    <w:rsid w:val="00697730"/>
    <w:rsid w:val="006A0577"/>
    <w:rsid w:val="006A087D"/>
    <w:rsid w:val="006A0883"/>
    <w:rsid w:val="006A08E8"/>
    <w:rsid w:val="006A0D1A"/>
    <w:rsid w:val="006A1ECE"/>
    <w:rsid w:val="006A1F52"/>
    <w:rsid w:val="006A2397"/>
    <w:rsid w:val="006A33F8"/>
    <w:rsid w:val="006A64A8"/>
    <w:rsid w:val="006A6B25"/>
    <w:rsid w:val="006A708F"/>
    <w:rsid w:val="006A7287"/>
    <w:rsid w:val="006B0AC8"/>
    <w:rsid w:val="006B0F4C"/>
    <w:rsid w:val="006B0FBB"/>
    <w:rsid w:val="006B1202"/>
    <w:rsid w:val="006B2775"/>
    <w:rsid w:val="006B28CA"/>
    <w:rsid w:val="006B3E75"/>
    <w:rsid w:val="006B3EBD"/>
    <w:rsid w:val="006B431C"/>
    <w:rsid w:val="006B548E"/>
    <w:rsid w:val="006B582A"/>
    <w:rsid w:val="006B600B"/>
    <w:rsid w:val="006B6936"/>
    <w:rsid w:val="006B7198"/>
    <w:rsid w:val="006B76CF"/>
    <w:rsid w:val="006B7844"/>
    <w:rsid w:val="006B7C5C"/>
    <w:rsid w:val="006C18A3"/>
    <w:rsid w:val="006C321E"/>
    <w:rsid w:val="006C3575"/>
    <w:rsid w:val="006C3ABB"/>
    <w:rsid w:val="006C3E63"/>
    <w:rsid w:val="006C40BF"/>
    <w:rsid w:val="006C4D34"/>
    <w:rsid w:val="006C5198"/>
    <w:rsid w:val="006C594B"/>
    <w:rsid w:val="006C5A99"/>
    <w:rsid w:val="006C67D8"/>
    <w:rsid w:val="006C69AC"/>
    <w:rsid w:val="006C6A61"/>
    <w:rsid w:val="006C7295"/>
    <w:rsid w:val="006C7C32"/>
    <w:rsid w:val="006D1A27"/>
    <w:rsid w:val="006D235A"/>
    <w:rsid w:val="006D267F"/>
    <w:rsid w:val="006D2EBE"/>
    <w:rsid w:val="006D33E6"/>
    <w:rsid w:val="006D4068"/>
    <w:rsid w:val="006D40EF"/>
    <w:rsid w:val="006D5537"/>
    <w:rsid w:val="006D5874"/>
    <w:rsid w:val="006D58CC"/>
    <w:rsid w:val="006E02F7"/>
    <w:rsid w:val="006E0693"/>
    <w:rsid w:val="006E09CF"/>
    <w:rsid w:val="006E2BA6"/>
    <w:rsid w:val="006E2F55"/>
    <w:rsid w:val="006E3552"/>
    <w:rsid w:val="006E4543"/>
    <w:rsid w:val="006E4797"/>
    <w:rsid w:val="006E4F68"/>
    <w:rsid w:val="006E5684"/>
    <w:rsid w:val="006E66E0"/>
    <w:rsid w:val="006E6FE8"/>
    <w:rsid w:val="006E704B"/>
    <w:rsid w:val="006E7C60"/>
    <w:rsid w:val="006E7CB0"/>
    <w:rsid w:val="006E7FB7"/>
    <w:rsid w:val="006F05DF"/>
    <w:rsid w:val="006F0C4C"/>
    <w:rsid w:val="006F1024"/>
    <w:rsid w:val="006F2AAE"/>
    <w:rsid w:val="006F2C3E"/>
    <w:rsid w:val="006F37F1"/>
    <w:rsid w:val="006F3800"/>
    <w:rsid w:val="006F3EAF"/>
    <w:rsid w:val="006F3FBF"/>
    <w:rsid w:val="006F424A"/>
    <w:rsid w:val="006F46D4"/>
    <w:rsid w:val="006F4852"/>
    <w:rsid w:val="006F49CA"/>
    <w:rsid w:val="006F5505"/>
    <w:rsid w:val="006F55F8"/>
    <w:rsid w:val="006F62C0"/>
    <w:rsid w:val="006F6FFD"/>
    <w:rsid w:val="00700187"/>
    <w:rsid w:val="00700E20"/>
    <w:rsid w:val="00703723"/>
    <w:rsid w:val="0070444F"/>
    <w:rsid w:val="007049F5"/>
    <w:rsid w:val="00705045"/>
    <w:rsid w:val="00705E48"/>
    <w:rsid w:val="007068F8"/>
    <w:rsid w:val="007072AF"/>
    <w:rsid w:val="0070769C"/>
    <w:rsid w:val="00710446"/>
    <w:rsid w:val="00710A67"/>
    <w:rsid w:val="00710A7E"/>
    <w:rsid w:val="00711042"/>
    <w:rsid w:val="0071123D"/>
    <w:rsid w:val="00711E05"/>
    <w:rsid w:val="0071487C"/>
    <w:rsid w:val="00714F6E"/>
    <w:rsid w:val="00715074"/>
    <w:rsid w:val="007155ED"/>
    <w:rsid w:val="00715B08"/>
    <w:rsid w:val="00715B12"/>
    <w:rsid w:val="00715F84"/>
    <w:rsid w:val="00715FAD"/>
    <w:rsid w:val="00716930"/>
    <w:rsid w:val="00716FF2"/>
    <w:rsid w:val="007176A1"/>
    <w:rsid w:val="00720704"/>
    <w:rsid w:val="007208D4"/>
    <w:rsid w:val="0072148D"/>
    <w:rsid w:val="007214DC"/>
    <w:rsid w:val="00722A05"/>
    <w:rsid w:val="007230F6"/>
    <w:rsid w:val="00723E5E"/>
    <w:rsid w:val="00724108"/>
    <w:rsid w:val="00724A11"/>
    <w:rsid w:val="00724B33"/>
    <w:rsid w:val="00724F5C"/>
    <w:rsid w:val="00725A25"/>
    <w:rsid w:val="00730247"/>
    <w:rsid w:val="00730635"/>
    <w:rsid w:val="007310EE"/>
    <w:rsid w:val="007325B2"/>
    <w:rsid w:val="00732C45"/>
    <w:rsid w:val="00732E59"/>
    <w:rsid w:val="0073352D"/>
    <w:rsid w:val="007341CC"/>
    <w:rsid w:val="00734A3E"/>
    <w:rsid w:val="0073507C"/>
    <w:rsid w:val="00735090"/>
    <w:rsid w:val="007359A7"/>
    <w:rsid w:val="00736469"/>
    <w:rsid w:val="007367B8"/>
    <w:rsid w:val="00736F63"/>
    <w:rsid w:val="007375A9"/>
    <w:rsid w:val="00737D8E"/>
    <w:rsid w:val="007405BB"/>
    <w:rsid w:val="00741953"/>
    <w:rsid w:val="00741FA5"/>
    <w:rsid w:val="00743AFF"/>
    <w:rsid w:val="007459B6"/>
    <w:rsid w:val="007459FF"/>
    <w:rsid w:val="00746807"/>
    <w:rsid w:val="00747DFB"/>
    <w:rsid w:val="00750751"/>
    <w:rsid w:val="00752542"/>
    <w:rsid w:val="007527CE"/>
    <w:rsid w:val="00752897"/>
    <w:rsid w:val="00752FC1"/>
    <w:rsid w:val="00752FE8"/>
    <w:rsid w:val="007546F4"/>
    <w:rsid w:val="00754A2F"/>
    <w:rsid w:val="00754E16"/>
    <w:rsid w:val="00754F80"/>
    <w:rsid w:val="007565B4"/>
    <w:rsid w:val="007612BD"/>
    <w:rsid w:val="007614C7"/>
    <w:rsid w:val="00761A84"/>
    <w:rsid w:val="0076211A"/>
    <w:rsid w:val="0076221B"/>
    <w:rsid w:val="007626E7"/>
    <w:rsid w:val="00762884"/>
    <w:rsid w:val="00762A36"/>
    <w:rsid w:val="00762B8D"/>
    <w:rsid w:val="007637BB"/>
    <w:rsid w:val="007638E9"/>
    <w:rsid w:val="00764385"/>
    <w:rsid w:val="007646F3"/>
    <w:rsid w:val="00764A65"/>
    <w:rsid w:val="007658B3"/>
    <w:rsid w:val="007660E8"/>
    <w:rsid w:val="007668F7"/>
    <w:rsid w:val="007678C1"/>
    <w:rsid w:val="00767AE9"/>
    <w:rsid w:val="00770652"/>
    <w:rsid w:val="00770795"/>
    <w:rsid w:val="00770AEE"/>
    <w:rsid w:val="007710F3"/>
    <w:rsid w:val="007724F4"/>
    <w:rsid w:val="0077272D"/>
    <w:rsid w:val="00772A49"/>
    <w:rsid w:val="00772D4E"/>
    <w:rsid w:val="00773C92"/>
    <w:rsid w:val="0077458D"/>
    <w:rsid w:val="00774C73"/>
    <w:rsid w:val="007756F1"/>
    <w:rsid w:val="0077596A"/>
    <w:rsid w:val="00775974"/>
    <w:rsid w:val="00776325"/>
    <w:rsid w:val="00776F30"/>
    <w:rsid w:val="00776FFF"/>
    <w:rsid w:val="00777E14"/>
    <w:rsid w:val="00780524"/>
    <w:rsid w:val="007805BB"/>
    <w:rsid w:val="00780BB2"/>
    <w:rsid w:val="00780E6B"/>
    <w:rsid w:val="00781133"/>
    <w:rsid w:val="00781B8E"/>
    <w:rsid w:val="00781EFB"/>
    <w:rsid w:val="007836D9"/>
    <w:rsid w:val="007837DA"/>
    <w:rsid w:val="0078483E"/>
    <w:rsid w:val="007859A4"/>
    <w:rsid w:val="00785CA7"/>
    <w:rsid w:val="0078615A"/>
    <w:rsid w:val="00786877"/>
    <w:rsid w:val="00786A5A"/>
    <w:rsid w:val="00791044"/>
    <w:rsid w:val="007917AF"/>
    <w:rsid w:val="00792E57"/>
    <w:rsid w:val="0079495F"/>
    <w:rsid w:val="00795313"/>
    <w:rsid w:val="00795722"/>
    <w:rsid w:val="00796126"/>
    <w:rsid w:val="0079623D"/>
    <w:rsid w:val="00797826"/>
    <w:rsid w:val="007979A0"/>
    <w:rsid w:val="00797AA5"/>
    <w:rsid w:val="007A067F"/>
    <w:rsid w:val="007A0D25"/>
    <w:rsid w:val="007A13AE"/>
    <w:rsid w:val="007A1F16"/>
    <w:rsid w:val="007A28F6"/>
    <w:rsid w:val="007A34D7"/>
    <w:rsid w:val="007A3E7E"/>
    <w:rsid w:val="007A4C7A"/>
    <w:rsid w:val="007A4F79"/>
    <w:rsid w:val="007A61AE"/>
    <w:rsid w:val="007A6E8E"/>
    <w:rsid w:val="007B026C"/>
    <w:rsid w:val="007B043C"/>
    <w:rsid w:val="007B11AA"/>
    <w:rsid w:val="007B1914"/>
    <w:rsid w:val="007B40A4"/>
    <w:rsid w:val="007B462F"/>
    <w:rsid w:val="007B4861"/>
    <w:rsid w:val="007B4B4A"/>
    <w:rsid w:val="007B50AD"/>
    <w:rsid w:val="007B690E"/>
    <w:rsid w:val="007B7BFD"/>
    <w:rsid w:val="007B7CDA"/>
    <w:rsid w:val="007C020B"/>
    <w:rsid w:val="007C1D44"/>
    <w:rsid w:val="007C2399"/>
    <w:rsid w:val="007C2F06"/>
    <w:rsid w:val="007C2F0D"/>
    <w:rsid w:val="007C2FE1"/>
    <w:rsid w:val="007C302B"/>
    <w:rsid w:val="007C31D3"/>
    <w:rsid w:val="007C3218"/>
    <w:rsid w:val="007C3BEB"/>
    <w:rsid w:val="007C4A4E"/>
    <w:rsid w:val="007C59CA"/>
    <w:rsid w:val="007C62F0"/>
    <w:rsid w:val="007C6828"/>
    <w:rsid w:val="007C764B"/>
    <w:rsid w:val="007C78F3"/>
    <w:rsid w:val="007C7A37"/>
    <w:rsid w:val="007D0763"/>
    <w:rsid w:val="007D0D56"/>
    <w:rsid w:val="007D0F95"/>
    <w:rsid w:val="007D0FE4"/>
    <w:rsid w:val="007D17B2"/>
    <w:rsid w:val="007D1A61"/>
    <w:rsid w:val="007D26BE"/>
    <w:rsid w:val="007D30E7"/>
    <w:rsid w:val="007D3247"/>
    <w:rsid w:val="007D3DD9"/>
    <w:rsid w:val="007D4001"/>
    <w:rsid w:val="007D427D"/>
    <w:rsid w:val="007D51AC"/>
    <w:rsid w:val="007D5453"/>
    <w:rsid w:val="007D5907"/>
    <w:rsid w:val="007D5CDE"/>
    <w:rsid w:val="007D66C1"/>
    <w:rsid w:val="007E0834"/>
    <w:rsid w:val="007E255C"/>
    <w:rsid w:val="007E2BA0"/>
    <w:rsid w:val="007E2DC7"/>
    <w:rsid w:val="007E356D"/>
    <w:rsid w:val="007E35CD"/>
    <w:rsid w:val="007E379D"/>
    <w:rsid w:val="007E59D8"/>
    <w:rsid w:val="007E5C09"/>
    <w:rsid w:val="007E5DF4"/>
    <w:rsid w:val="007E6854"/>
    <w:rsid w:val="007E7459"/>
    <w:rsid w:val="007E7FE2"/>
    <w:rsid w:val="007F0C7B"/>
    <w:rsid w:val="007F0FBD"/>
    <w:rsid w:val="007F188E"/>
    <w:rsid w:val="007F1A6F"/>
    <w:rsid w:val="007F1EB0"/>
    <w:rsid w:val="007F1ED9"/>
    <w:rsid w:val="007F2161"/>
    <w:rsid w:val="007F2F2B"/>
    <w:rsid w:val="007F3198"/>
    <w:rsid w:val="007F3C05"/>
    <w:rsid w:val="007F48E9"/>
    <w:rsid w:val="007F53B1"/>
    <w:rsid w:val="007F6A40"/>
    <w:rsid w:val="007F6BBC"/>
    <w:rsid w:val="008004CC"/>
    <w:rsid w:val="008005D9"/>
    <w:rsid w:val="00801094"/>
    <w:rsid w:val="0080162D"/>
    <w:rsid w:val="00801959"/>
    <w:rsid w:val="00802493"/>
    <w:rsid w:val="008027E0"/>
    <w:rsid w:val="008029FF"/>
    <w:rsid w:val="008037EB"/>
    <w:rsid w:val="00803A7F"/>
    <w:rsid w:val="00803CAF"/>
    <w:rsid w:val="00804366"/>
    <w:rsid w:val="00804853"/>
    <w:rsid w:val="0080589B"/>
    <w:rsid w:val="00806147"/>
    <w:rsid w:val="008077D5"/>
    <w:rsid w:val="00810127"/>
    <w:rsid w:val="008109AB"/>
    <w:rsid w:val="00810A19"/>
    <w:rsid w:val="00810E0F"/>
    <w:rsid w:val="00811BE1"/>
    <w:rsid w:val="008124DA"/>
    <w:rsid w:val="00812D8A"/>
    <w:rsid w:val="00813673"/>
    <w:rsid w:val="008136BB"/>
    <w:rsid w:val="00814152"/>
    <w:rsid w:val="008145A6"/>
    <w:rsid w:val="00815551"/>
    <w:rsid w:val="0081601F"/>
    <w:rsid w:val="00816DAF"/>
    <w:rsid w:val="00817168"/>
    <w:rsid w:val="008176CF"/>
    <w:rsid w:val="00822A88"/>
    <w:rsid w:val="008239A4"/>
    <w:rsid w:val="00823B58"/>
    <w:rsid w:val="0082448E"/>
    <w:rsid w:val="00824ED0"/>
    <w:rsid w:val="00825150"/>
    <w:rsid w:val="008251D8"/>
    <w:rsid w:val="00825E6C"/>
    <w:rsid w:val="00826514"/>
    <w:rsid w:val="008273E7"/>
    <w:rsid w:val="00827B2E"/>
    <w:rsid w:val="008305A8"/>
    <w:rsid w:val="00830B54"/>
    <w:rsid w:val="00830E8F"/>
    <w:rsid w:val="008314F9"/>
    <w:rsid w:val="00831774"/>
    <w:rsid w:val="008319E0"/>
    <w:rsid w:val="00831DBD"/>
    <w:rsid w:val="00831EBF"/>
    <w:rsid w:val="00832A1A"/>
    <w:rsid w:val="00832F18"/>
    <w:rsid w:val="00834294"/>
    <w:rsid w:val="008346DA"/>
    <w:rsid w:val="00834FA0"/>
    <w:rsid w:val="0083531F"/>
    <w:rsid w:val="00835CC1"/>
    <w:rsid w:val="00835D11"/>
    <w:rsid w:val="0083687F"/>
    <w:rsid w:val="00836964"/>
    <w:rsid w:val="00836BBA"/>
    <w:rsid w:val="00836F0B"/>
    <w:rsid w:val="008372B6"/>
    <w:rsid w:val="00837926"/>
    <w:rsid w:val="008409F2"/>
    <w:rsid w:val="00840C53"/>
    <w:rsid w:val="00840D1C"/>
    <w:rsid w:val="00841D80"/>
    <w:rsid w:val="0084210C"/>
    <w:rsid w:val="008429B7"/>
    <w:rsid w:val="00843A10"/>
    <w:rsid w:val="00843F28"/>
    <w:rsid w:val="008442B0"/>
    <w:rsid w:val="008443D6"/>
    <w:rsid w:val="008444D1"/>
    <w:rsid w:val="00844F6D"/>
    <w:rsid w:val="00845869"/>
    <w:rsid w:val="0084626C"/>
    <w:rsid w:val="0084680D"/>
    <w:rsid w:val="00846AA7"/>
    <w:rsid w:val="00847B89"/>
    <w:rsid w:val="00850201"/>
    <w:rsid w:val="008505ED"/>
    <w:rsid w:val="008507EA"/>
    <w:rsid w:val="00850EAE"/>
    <w:rsid w:val="00851952"/>
    <w:rsid w:val="00851B85"/>
    <w:rsid w:val="00852303"/>
    <w:rsid w:val="0085244E"/>
    <w:rsid w:val="008535A2"/>
    <w:rsid w:val="00854C3F"/>
    <w:rsid w:val="00854F36"/>
    <w:rsid w:val="00855A7A"/>
    <w:rsid w:val="00855C21"/>
    <w:rsid w:val="00855F8D"/>
    <w:rsid w:val="0085655B"/>
    <w:rsid w:val="00856736"/>
    <w:rsid w:val="00856FDE"/>
    <w:rsid w:val="008578C8"/>
    <w:rsid w:val="00857AEC"/>
    <w:rsid w:val="0086138B"/>
    <w:rsid w:val="008614CC"/>
    <w:rsid w:val="00861830"/>
    <w:rsid w:val="00861ABC"/>
    <w:rsid w:val="00861D9B"/>
    <w:rsid w:val="0086237A"/>
    <w:rsid w:val="00862637"/>
    <w:rsid w:val="00862659"/>
    <w:rsid w:val="00862B5D"/>
    <w:rsid w:val="00863A4E"/>
    <w:rsid w:val="0086462C"/>
    <w:rsid w:val="008647A0"/>
    <w:rsid w:val="008647E9"/>
    <w:rsid w:val="00864D35"/>
    <w:rsid w:val="008675C8"/>
    <w:rsid w:val="00870BF1"/>
    <w:rsid w:val="00871C26"/>
    <w:rsid w:val="00872665"/>
    <w:rsid w:val="008736CF"/>
    <w:rsid w:val="008742C2"/>
    <w:rsid w:val="00874502"/>
    <w:rsid w:val="00874633"/>
    <w:rsid w:val="00875081"/>
    <w:rsid w:val="008751A2"/>
    <w:rsid w:val="00875B4B"/>
    <w:rsid w:val="008764DC"/>
    <w:rsid w:val="0087662F"/>
    <w:rsid w:val="00877174"/>
    <w:rsid w:val="00877370"/>
    <w:rsid w:val="00880A41"/>
    <w:rsid w:val="00880CAE"/>
    <w:rsid w:val="00880EB7"/>
    <w:rsid w:val="008815BA"/>
    <w:rsid w:val="00881860"/>
    <w:rsid w:val="008824A3"/>
    <w:rsid w:val="0088290E"/>
    <w:rsid w:val="00883033"/>
    <w:rsid w:val="008836A3"/>
    <w:rsid w:val="008858AA"/>
    <w:rsid w:val="00885C70"/>
    <w:rsid w:val="008867F5"/>
    <w:rsid w:val="00886C7A"/>
    <w:rsid w:val="00886CAA"/>
    <w:rsid w:val="00886F3A"/>
    <w:rsid w:val="008872F3"/>
    <w:rsid w:val="008877EC"/>
    <w:rsid w:val="00887F69"/>
    <w:rsid w:val="0089046D"/>
    <w:rsid w:val="00891C89"/>
    <w:rsid w:val="00891E13"/>
    <w:rsid w:val="008922AE"/>
    <w:rsid w:val="00893661"/>
    <w:rsid w:val="0089391D"/>
    <w:rsid w:val="00893C6D"/>
    <w:rsid w:val="00893FB2"/>
    <w:rsid w:val="00894B78"/>
    <w:rsid w:val="008952B9"/>
    <w:rsid w:val="00895676"/>
    <w:rsid w:val="008959ED"/>
    <w:rsid w:val="00895FAE"/>
    <w:rsid w:val="00896224"/>
    <w:rsid w:val="008963F1"/>
    <w:rsid w:val="0089718C"/>
    <w:rsid w:val="008977FB"/>
    <w:rsid w:val="008A0189"/>
    <w:rsid w:val="008A045C"/>
    <w:rsid w:val="008A07E5"/>
    <w:rsid w:val="008A107C"/>
    <w:rsid w:val="008A1EAC"/>
    <w:rsid w:val="008A2409"/>
    <w:rsid w:val="008A3311"/>
    <w:rsid w:val="008A3975"/>
    <w:rsid w:val="008A4A18"/>
    <w:rsid w:val="008A4F2A"/>
    <w:rsid w:val="008A65E6"/>
    <w:rsid w:val="008A7B7D"/>
    <w:rsid w:val="008B0919"/>
    <w:rsid w:val="008B0F33"/>
    <w:rsid w:val="008B10FC"/>
    <w:rsid w:val="008B1816"/>
    <w:rsid w:val="008B1AD2"/>
    <w:rsid w:val="008B1F88"/>
    <w:rsid w:val="008B2798"/>
    <w:rsid w:val="008B37B0"/>
    <w:rsid w:val="008B3BD8"/>
    <w:rsid w:val="008B46BF"/>
    <w:rsid w:val="008B5B4A"/>
    <w:rsid w:val="008B68EB"/>
    <w:rsid w:val="008B6A3B"/>
    <w:rsid w:val="008B7012"/>
    <w:rsid w:val="008B797D"/>
    <w:rsid w:val="008B7FBB"/>
    <w:rsid w:val="008C24EF"/>
    <w:rsid w:val="008C3429"/>
    <w:rsid w:val="008C34C4"/>
    <w:rsid w:val="008C4521"/>
    <w:rsid w:val="008C48C5"/>
    <w:rsid w:val="008C4DD0"/>
    <w:rsid w:val="008C5431"/>
    <w:rsid w:val="008C5B31"/>
    <w:rsid w:val="008C5B88"/>
    <w:rsid w:val="008C5D63"/>
    <w:rsid w:val="008C5E69"/>
    <w:rsid w:val="008C6813"/>
    <w:rsid w:val="008C7586"/>
    <w:rsid w:val="008C7696"/>
    <w:rsid w:val="008C7739"/>
    <w:rsid w:val="008C7F93"/>
    <w:rsid w:val="008D02A0"/>
    <w:rsid w:val="008D193D"/>
    <w:rsid w:val="008D2697"/>
    <w:rsid w:val="008D2C01"/>
    <w:rsid w:val="008D33B7"/>
    <w:rsid w:val="008D4008"/>
    <w:rsid w:val="008D4570"/>
    <w:rsid w:val="008D4718"/>
    <w:rsid w:val="008D4810"/>
    <w:rsid w:val="008D5881"/>
    <w:rsid w:val="008D5BF8"/>
    <w:rsid w:val="008D71E1"/>
    <w:rsid w:val="008D7879"/>
    <w:rsid w:val="008D7DAB"/>
    <w:rsid w:val="008E0CF1"/>
    <w:rsid w:val="008E1319"/>
    <w:rsid w:val="008E146F"/>
    <w:rsid w:val="008E1C4A"/>
    <w:rsid w:val="008E1D22"/>
    <w:rsid w:val="008E1D64"/>
    <w:rsid w:val="008E1E84"/>
    <w:rsid w:val="008E26E1"/>
    <w:rsid w:val="008E3A11"/>
    <w:rsid w:val="008E3A37"/>
    <w:rsid w:val="008E42E4"/>
    <w:rsid w:val="008E47F8"/>
    <w:rsid w:val="008E771B"/>
    <w:rsid w:val="008E7A19"/>
    <w:rsid w:val="008E7C00"/>
    <w:rsid w:val="008E7C78"/>
    <w:rsid w:val="008F2905"/>
    <w:rsid w:val="008F2A46"/>
    <w:rsid w:val="008F2A8A"/>
    <w:rsid w:val="008F3245"/>
    <w:rsid w:val="008F33F4"/>
    <w:rsid w:val="008F34C6"/>
    <w:rsid w:val="008F3992"/>
    <w:rsid w:val="008F3FBE"/>
    <w:rsid w:val="008F5D09"/>
    <w:rsid w:val="008F64F7"/>
    <w:rsid w:val="008F67D4"/>
    <w:rsid w:val="008F6942"/>
    <w:rsid w:val="008F6CCF"/>
    <w:rsid w:val="008F759A"/>
    <w:rsid w:val="008F7F12"/>
    <w:rsid w:val="009003F3"/>
    <w:rsid w:val="00901328"/>
    <w:rsid w:val="00901A48"/>
    <w:rsid w:val="00902539"/>
    <w:rsid w:val="0090287E"/>
    <w:rsid w:val="00904551"/>
    <w:rsid w:val="009057B9"/>
    <w:rsid w:val="00905843"/>
    <w:rsid w:val="00905AA4"/>
    <w:rsid w:val="00905C73"/>
    <w:rsid w:val="0090602D"/>
    <w:rsid w:val="009064A2"/>
    <w:rsid w:val="00906B7D"/>
    <w:rsid w:val="00907E8D"/>
    <w:rsid w:val="00907EF3"/>
    <w:rsid w:val="009103B0"/>
    <w:rsid w:val="00910C06"/>
    <w:rsid w:val="0091225D"/>
    <w:rsid w:val="009123F6"/>
    <w:rsid w:val="00912F59"/>
    <w:rsid w:val="00913E3B"/>
    <w:rsid w:val="00914572"/>
    <w:rsid w:val="00914849"/>
    <w:rsid w:val="009159D7"/>
    <w:rsid w:val="00916169"/>
    <w:rsid w:val="009167AC"/>
    <w:rsid w:val="00916915"/>
    <w:rsid w:val="00916A4A"/>
    <w:rsid w:val="00916F81"/>
    <w:rsid w:val="009173B6"/>
    <w:rsid w:val="009174BC"/>
    <w:rsid w:val="00920454"/>
    <w:rsid w:val="00920B50"/>
    <w:rsid w:val="0092130F"/>
    <w:rsid w:val="009217FC"/>
    <w:rsid w:val="00921F4E"/>
    <w:rsid w:val="00923ED0"/>
    <w:rsid w:val="00924044"/>
    <w:rsid w:val="009254CB"/>
    <w:rsid w:val="00925DD3"/>
    <w:rsid w:val="009268CF"/>
    <w:rsid w:val="00926FA0"/>
    <w:rsid w:val="009275D6"/>
    <w:rsid w:val="00927C41"/>
    <w:rsid w:val="00930917"/>
    <w:rsid w:val="00931666"/>
    <w:rsid w:val="00931C9C"/>
    <w:rsid w:val="009324E8"/>
    <w:rsid w:val="009338C1"/>
    <w:rsid w:val="00933FD6"/>
    <w:rsid w:val="009342E5"/>
    <w:rsid w:val="009343B6"/>
    <w:rsid w:val="009346F4"/>
    <w:rsid w:val="009352D0"/>
    <w:rsid w:val="00935B3F"/>
    <w:rsid w:val="0093684A"/>
    <w:rsid w:val="00940223"/>
    <w:rsid w:val="00940496"/>
    <w:rsid w:val="00940704"/>
    <w:rsid w:val="009429C5"/>
    <w:rsid w:val="00942D84"/>
    <w:rsid w:val="00942F42"/>
    <w:rsid w:val="009431E3"/>
    <w:rsid w:val="00944419"/>
    <w:rsid w:val="00944B2D"/>
    <w:rsid w:val="009453AC"/>
    <w:rsid w:val="00945F09"/>
    <w:rsid w:val="0094668B"/>
    <w:rsid w:val="0094670D"/>
    <w:rsid w:val="009479BF"/>
    <w:rsid w:val="009506BD"/>
    <w:rsid w:val="00950EA1"/>
    <w:rsid w:val="00951A21"/>
    <w:rsid w:val="00952922"/>
    <w:rsid w:val="00952C0C"/>
    <w:rsid w:val="009539CB"/>
    <w:rsid w:val="00954892"/>
    <w:rsid w:val="00954E07"/>
    <w:rsid w:val="00955283"/>
    <w:rsid w:val="00957270"/>
    <w:rsid w:val="00961B12"/>
    <w:rsid w:val="00961F94"/>
    <w:rsid w:val="0096231A"/>
    <w:rsid w:val="0096310E"/>
    <w:rsid w:val="009634B1"/>
    <w:rsid w:val="0096416F"/>
    <w:rsid w:val="00964687"/>
    <w:rsid w:val="00965120"/>
    <w:rsid w:val="009651C3"/>
    <w:rsid w:val="00965C03"/>
    <w:rsid w:val="00965D45"/>
    <w:rsid w:val="009663E2"/>
    <w:rsid w:val="009669E9"/>
    <w:rsid w:val="00966C02"/>
    <w:rsid w:val="00966C1E"/>
    <w:rsid w:val="0096711A"/>
    <w:rsid w:val="0096749A"/>
    <w:rsid w:val="00967EA2"/>
    <w:rsid w:val="00967F9A"/>
    <w:rsid w:val="0097055F"/>
    <w:rsid w:val="00970FD7"/>
    <w:rsid w:val="00971323"/>
    <w:rsid w:val="0097160C"/>
    <w:rsid w:val="009721CA"/>
    <w:rsid w:val="00972B26"/>
    <w:rsid w:val="00973858"/>
    <w:rsid w:val="00973888"/>
    <w:rsid w:val="00974183"/>
    <w:rsid w:val="009742D1"/>
    <w:rsid w:val="00975E67"/>
    <w:rsid w:val="00975F79"/>
    <w:rsid w:val="00976147"/>
    <w:rsid w:val="009769D7"/>
    <w:rsid w:val="00977930"/>
    <w:rsid w:val="00977B11"/>
    <w:rsid w:val="00980282"/>
    <w:rsid w:val="00981277"/>
    <w:rsid w:val="00981E3B"/>
    <w:rsid w:val="009825E0"/>
    <w:rsid w:val="00982CE5"/>
    <w:rsid w:val="00983B3D"/>
    <w:rsid w:val="00983DFE"/>
    <w:rsid w:val="00984356"/>
    <w:rsid w:val="00984884"/>
    <w:rsid w:val="009851F1"/>
    <w:rsid w:val="00986669"/>
    <w:rsid w:val="00990226"/>
    <w:rsid w:val="0099075E"/>
    <w:rsid w:val="00990AE1"/>
    <w:rsid w:val="0099105E"/>
    <w:rsid w:val="00992C22"/>
    <w:rsid w:val="00993C82"/>
    <w:rsid w:val="00993D9A"/>
    <w:rsid w:val="0099521B"/>
    <w:rsid w:val="009959AB"/>
    <w:rsid w:val="0099697A"/>
    <w:rsid w:val="00996C7A"/>
    <w:rsid w:val="00996CDC"/>
    <w:rsid w:val="009976A2"/>
    <w:rsid w:val="00997A27"/>
    <w:rsid w:val="009A02AE"/>
    <w:rsid w:val="009A06E7"/>
    <w:rsid w:val="009A0D40"/>
    <w:rsid w:val="009A0E64"/>
    <w:rsid w:val="009A1634"/>
    <w:rsid w:val="009A1C81"/>
    <w:rsid w:val="009A384D"/>
    <w:rsid w:val="009A38DC"/>
    <w:rsid w:val="009A3951"/>
    <w:rsid w:val="009A4144"/>
    <w:rsid w:val="009A429B"/>
    <w:rsid w:val="009A493C"/>
    <w:rsid w:val="009A5E3F"/>
    <w:rsid w:val="009A5FAA"/>
    <w:rsid w:val="009A5FD8"/>
    <w:rsid w:val="009A609F"/>
    <w:rsid w:val="009A62A0"/>
    <w:rsid w:val="009A69F8"/>
    <w:rsid w:val="009A75B6"/>
    <w:rsid w:val="009A77CA"/>
    <w:rsid w:val="009B00A9"/>
    <w:rsid w:val="009B038A"/>
    <w:rsid w:val="009B0946"/>
    <w:rsid w:val="009B09D7"/>
    <w:rsid w:val="009B0A02"/>
    <w:rsid w:val="009B0DAA"/>
    <w:rsid w:val="009B33FA"/>
    <w:rsid w:val="009B3C80"/>
    <w:rsid w:val="009B3E4B"/>
    <w:rsid w:val="009B3F4B"/>
    <w:rsid w:val="009B4047"/>
    <w:rsid w:val="009B433F"/>
    <w:rsid w:val="009B49D9"/>
    <w:rsid w:val="009B4A87"/>
    <w:rsid w:val="009B6180"/>
    <w:rsid w:val="009B628C"/>
    <w:rsid w:val="009B63D8"/>
    <w:rsid w:val="009B7708"/>
    <w:rsid w:val="009B7CE7"/>
    <w:rsid w:val="009C07B4"/>
    <w:rsid w:val="009C09A1"/>
    <w:rsid w:val="009C0A2E"/>
    <w:rsid w:val="009C28E7"/>
    <w:rsid w:val="009C2E95"/>
    <w:rsid w:val="009C3665"/>
    <w:rsid w:val="009C36EE"/>
    <w:rsid w:val="009C3B5D"/>
    <w:rsid w:val="009C3BF3"/>
    <w:rsid w:val="009C3F9D"/>
    <w:rsid w:val="009C4B57"/>
    <w:rsid w:val="009C51BC"/>
    <w:rsid w:val="009C6F88"/>
    <w:rsid w:val="009C706A"/>
    <w:rsid w:val="009D02AB"/>
    <w:rsid w:val="009D063F"/>
    <w:rsid w:val="009D1FA4"/>
    <w:rsid w:val="009D2297"/>
    <w:rsid w:val="009D363C"/>
    <w:rsid w:val="009D3B53"/>
    <w:rsid w:val="009D3F12"/>
    <w:rsid w:val="009D415C"/>
    <w:rsid w:val="009D42E8"/>
    <w:rsid w:val="009D4608"/>
    <w:rsid w:val="009D55AF"/>
    <w:rsid w:val="009D62A8"/>
    <w:rsid w:val="009D64F6"/>
    <w:rsid w:val="009D6A26"/>
    <w:rsid w:val="009D6D56"/>
    <w:rsid w:val="009D7006"/>
    <w:rsid w:val="009D7477"/>
    <w:rsid w:val="009E0CB3"/>
    <w:rsid w:val="009E133B"/>
    <w:rsid w:val="009E191A"/>
    <w:rsid w:val="009E43D7"/>
    <w:rsid w:val="009E44FB"/>
    <w:rsid w:val="009E48CA"/>
    <w:rsid w:val="009E4B8E"/>
    <w:rsid w:val="009E4F6F"/>
    <w:rsid w:val="009E55D3"/>
    <w:rsid w:val="009E5674"/>
    <w:rsid w:val="009E594B"/>
    <w:rsid w:val="009E5980"/>
    <w:rsid w:val="009E60E2"/>
    <w:rsid w:val="009E6123"/>
    <w:rsid w:val="009E6572"/>
    <w:rsid w:val="009E6811"/>
    <w:rsid w:val="009E6D6D"/>
    <w:rsid w:val="009E7479"/>
    <w:rsid w:val="009E763E"/>
    <w:rsid w:val="009E785C"/>
    <w:rsid w:val="009E792C"/>
    <w:rsid w:val="009F0B7F"/>
    <w:rsid w:val="009F0FA8"/>
    <w:rsid w:val="009F1494"/>
    <w:rsid w:val="009F1B3C"/>
    <w:rsid w:val="009F1BF2"/>
    <w:rsid w:val="009F1CC4"/>
    <w:rsid w:val="009F1D38"/>
    <w:rsid w:val="009F25A0"/>
    <w:rsid w:val="009F31FD"/>
    <w:rsid w:val="009F32CE"/>
    <w:rsid w:val="009F3407"/>
    <w:rsid w:val="009F343D"/>
    <w:rsid w:val="009F404B"/>
    <w:rsid w:val="009F56E3"/>
    <w:rsid w:val="009F572C"/>
    <w:rsid w:val="009F5A46"/>
    <w:rsid w:val="009F5DBC"/>
    <w:rsid w:val="009F6794"/>
    <w:rsid w:val="009F6FAC"/>
    <w:rsid w:val="009F7560"/>
    <w:rsid w:val="009F764D"/>
    <w:rsid w:val="009F7EE8"/>
    <w:rsid w:val="00A00A99"/>
    <w:rsid w:val="00A00EAA"/>
    <w:rsid w:val="00A02293"/>
    <w:rsid w:val="00A024A4"/>
    <w:rsid w:val="00A02EEF"/>
    <w:rsid w:val="00A03B87"/>
    <w:rsid w:val="00A04020"/>
    <w:rsid w:val="00A04287"/>
    <w:rsid w:val="00A04A35"/>
    <w:rsid w:val="00A053C7"/>
    <w:rsid w:val="00A060EE"/>
    <w:rsid w:val="00A068B5"/>
    <w:rsid w:val="00A103AD"/>
    <w:rsid w:val="00A104D9"/>
    <w:rsid w:val="00A104E0"/>
    <w:rsid w:val="00A10545"/>
    <w:rsid w:val="00A106BB"/>
    <w:rsid w:val="00A10EC7"/>
    <w:rsid w:val="00A11C9D"/>
    <w:rsid w:val="00A11CEA"/>
    <w:rsid w:val="00A12945"/>
    <w:rsid w:val="00A135E0"/>
    <w:rsid w:val="00A13D00"/>
    <w:rsid w:val="00A13F7D"/>
    <w:rsid w:val="00A1480E"/>
    <w:rsid w:val="00A14D83"/>
    <w:rsid w:val="00A1511E"/>
    <w:rsid w:val="00A155AD"/>
    <w:rsid w:val="00A15884"/>
    <w:rsid w:val="00A15AA3"/>
    <w:rsid w:val="00A15B71"/>
    <w:rsid w:val="00A1657B"/>
    <w:rsid w:val="00A16597"/>
    <w:rsid w:val="00A165DA"/>
    <w:rsid w:val="00A17963"/>
    <w:rsid w:val="00A179EA"/>
    <w:rsid w:val="00A17BE8"/>
    <w:rsid w:val="00A20316"/>
    <w:rsid w:val="00A2099E"/>
    <w:rsid w:val="00A20A16"/>
    <w:rsid w:val="00A20CC7"/>
    <w:rsid w:val="00A2169E"/>
    <w:rsid w:val="00A218C3"/>
    <w:rsid w:val="00A22175"/>
    <w:rsid w:val="00A22425"/>
    <w:rsid w:val="00A232B2"/>
    <w:rsid w:val="00A2347D"/>
    <w:rsid w:val="00A23909"/>
    <w:rsid w:val="00A23A71"/>
    <w:rsid w:val="00A23B24"/>
    <w:rsid w:val="00A23BF2"/>
    <w:rsid w:val="00A23FF8"/>
    <w:rsid w:val="00A247B0"/>
    <w:rsid w:val="00A24B4C"/>
    <w:rsid w:val="00A25DE0"/>
    <w:rsid w:val="00A271EB"/>
    <w:rsid w:val="00A27585"/>
    <w:rsid w:val="00A278B3"/>
    <w:rsid w:val="00A306A5"/>
    <w:rsid w:val="00A30CA9"/>
    <w:rsid w:val="00A31061"/>
    <w:rsid w:val="00A3158A"/>
    <w:rsid w:val="00A32121"/>
    <w:rsid w:val="00A32BD6"/>
    <w:rsid w:val="00A32C73"/>
    <w:rsid w:val="00A34663"/>
    <w:rsid w:val="00A352AD"/>
    <w:rsid w:val="00A35B79"/>
    <w:rsid w:val="00A36457"/>
    <w:rsid w:val="00A364DD"/>
    <w:rsid w:val="00A374C3"/>
    <w:rsid w:val="00A37923"/>
    <w:rsid w:val="00A37CF8"/>
    <w:rsid w:val="00A37E23"/>
    <w:rsid w:val="00A402D6"/>
    <w:rsid w:val="00A4036B"/>
    <w:rsid w:val="00A405EA"/>
    <w:rsid w:val="00A4101B"/>
    <w:rsid w:val="00A41371"/>
    <w:rsid w:val="00A414A0"/>
    <w:rsid w:val="00A41894"/>
    <w:rsid w:val="00A4238D"/>
    <w:rsid w:val="00A42481"/>
    <w:rsid w:val="00A4278F"/>
    <w:rsid w:val="00A427FE"/>
    <w:rsid w:val="00A43486"/>
    <w:rsid w:val="00A4364F"/>
    <w:rsid w:val="00A43ED9"/>
    <w:rsid w:val="00A442DF"/>
    <w:rsid w:val="00A453A4"/>
    <w:rsid w:val="00A453BB"/>
    <w:rsid w:val="00A453DF"/>
    <w:rsid w:val="00A46626"/>
    <w:rsid w:val="00A47B3F"/>
    <w:rsid w:val="00A50A46"/>
    <w:rsid w:val="00A525D2"/>
    <w:rsid w:val="00A527BA"/>
    <w:rsid w:val="00A53F39"/>
    <w:rsid w:val="00A54548"/>
    <w:rsid w:val="00A54959"/>
    <w:rsid w:val="00A549D2"/>
    <w:rsid w:val="00A54C13"/>
    <w:rsid w:val="00A56236"/>
    <w:rsid w:val="00A569CC"/>
    <w:rsid w:val="00A57521"/>
    <w:rsid w:val="00A60726"/>
    <w:rsid w:val="00A61393"/>
    <w:rsid w:val="00A61603"/>
    <w:rsid w:val="00A61753"/>
    <w:rsid w:val="00A61AF9"/>
    <w:rsid w:val="00A61B3D"/>
    <w:rsid w:val="00A62F0A"/>
    <w:rsid w:val="00A63938"/>
    <w:rsid w:val="00A64456"/>
    <w:rsid w:val="00A6473F"/>
    <w:rsid w:val="00A652E3"/>
    <w:rsid w:val="00A65DDB"/>
    <w:rsid w:val="00A6686E"/>
    <w:rsid w:val="00A66E25"/>
    <w:rsid w:val="00A67566"/>
    <w:rsid w:val="00A67EFE"/>
    <w:rsid w:val="00A70D82"/>
    <w:rsid w:val="00A71139"/>
    <w:rsid w:val="00A711F3"/>
    <w:rsid w:val="00A72491"/>
    <w:rsid w:val="00A7262F"/>
    <w:rsid w:val="00A72A9E"/>
    <w:rsid w:val="00A72CD2"/>
    <w:rsid w:val="00A73A1A"/>
    <w:rsid w:val="00A757CB"/>
    <w:rsid w:val="00A76C8C"/>
    <w:rsid w:val="00A7708B"/>
    <w:rsid w:val="00A7770E"/>
    <w:rsid w:val="00A77C41"/>
    <w:rsid w:val="00A77E90"/>
    <w:rsid w:val="00A802D9"/>
    <w:rsid w:val="00A8051B"/>
    <w:rsid w:val="00A817BD"/>
    <w:rsid w:val="00A82BA7"/>
    <w:rsid w:val="00A82FA4"/>
    <w:rsid w:val="00A838E9"/>
    <w:rsid w:val="00A84282"/>
    <w:rsid w:val="00A842B6"/>
    <w:rsid w:val="00A862DE"/>
    <w:rsid w:val="00A865DB"/>
    <w:rsid w:val="00A86C95"/>
    <w:rsid w:val="00A873D0"/>
    <w:rsid w:val="00A87495"/>
    <w:rsid w:val="00A915E6"/>
    <w:rsid w:val="00A91D83"/>
    <w:rsid w:val="00A922D7"/>
    <w:rsid w:val="00A93D2A"/>
    <w:rsid w:val="00A9552C"/>
    <w:rsid w:val="00A959D8"/>
    <w:rsid w:val="00AA07DB"/>
    <w:rsid w:val="00AA0C60"/>
    <w:rsid w:val="00AA0E57"/>
    <w:rsid w:val="00AA1287"/>
    <w:rsid w:val="00AA1A36"/>
    <w:rsid w:val="00AA2156"/>
    <w:rsid w:val="00AA331B"/>
    <w:rsid w:val="00AA3556"/>
    <w:rsid w:val="00AA35E0"/>
    <w:rsid w:val="00AA4A09"/>
    <w:rsid w:val="00AA4B42"/>
    <w:rsid w:val="00AA5EFE"/>
    <w:rsid w:val="00AA6233"/>
    <w:rsid w:val="00AA642D"/>
    <w:rsid w:val="00AA6774"/>
    <w:rsid w:val="00AA71CE"/>
    <w:rsid w:val="00AA7403"/>
    <w:rsid w:val="00AB0B67"/>
    <w:rsid w:val="00AB1022"/>
    <w:rsid w:val="00AB1C2F"/>
    <w:rsid w:val="00AB21F6"/>
    <w:rsid w:val="00AB24EA"/>
    <w:rsid w:val="00AB2907"/>
    <w:rsid w:val="00AB2952"/>
    <w:rsid w:val="00AB2E88"/>
    <w:rsid w:val="00AB2F1B"/>
    <w:rsid w:val="00AB30B6"/>
    <w:rsid w:val="00AB39F7"/>
    <w:rsid w:val="00AB4C20"/>
    <w:rsid w:val="00AB4DDF"/>
    <w:rsid w:val="00AB55B3"/>
    <w:rsid w:val="00AB5DE0"/>
    <w:rsid w:val="00AB6CAA"/>
    <w:rsid w:val="00AC099B"/>
    <w:rsid w:val="00AC1591"/>
    <w:rsid w:val="00AC1793"/>
    <w:rsid w:val="00AC19E0"/>
    <w:rsid w:val="00AC23FB"/>
    <w:rsid w:val="00AC2EC9"/>
    <w:rsid w:val="00AC3339"/>
    <w:rsid w:val="00AC35B7"/>
    <w:rsid w:val="00AC3779"/>
    <w:rsid w:val="00AC4474"/>
    <w:rsid w:val="00AC4976"/>
    <w:rsid w:val="00AC4D22"/>
    <w:rsid w:val="00AC5EE2"/>
    <w:rsid w:val="00AC7205"/>
    <w:rsid w:val="00AC7328"/>
    <w:rsid w:val="00AD0238"/>
    <w:rsid w:val="00AD0280"/>
    <w:rsid w:val="00AD0BEA"/>
    <w:rsid w:val="00AD19F8"/>
    <w:rsid w:val="00AD2396"/>
    <w:rsid w:val="00AD26CF"/>
    <w:rsid w:val="00AD2AA7"/>
    <w:rsid w:val="00AD3F76"/>
    <w:rsid w:val="00AD4164"/>
    <w:rsid w:val="00AD5F85"/>
    <w:rsid w:val="00AD6AFA"/>
    <w:rsid w:val="00AD70D5"/>
    <w:rsid w:val="00AD7A68"/>
    <w:rsid w:val="00AE02EE"/>
    <w:rsid w:val="00AE08A8"/>
    <w:rsid w:val="00AE0C87"/>
    <w:rsid w:val="00AE1D5C"/>
    <w:rsid w:val="00AE2134"/>
    <w:rsid w:val="00AE2320"/>
    <w:rsid w:val="00AE2321"/>
    <w:rsid w:val="00AE315E"/>
    <w:rsid w:val="00AE3746"/>
    <w:rsid w:val="00AE37AA"/>
    <w:rsid w:val="00AE3D28"/>
    <w:rsid w:val="00AE408D"/>
    <w:rsid w:val="00AE4499"/>
    <w:rsid w:val="00AE48F1"/>
    <w:rsid w:val="00AE61D6"/>
    <w:rsid w:val="00AE6357"/>
    <w:rsid w:val="00AE6D3E"/>
    <w:rsid w:val="00AE6D71"/>
    <w:rsid w:val="00AE724A"/>
    <w:rsid w:val="00AE7331"/>
    <w:rsid w:val="00AF043A"/>
    <w:rsid w:val="00AF0D1B"/>
    <w:rsid w:val="00AF15AE"/>
    <w:rsid w:val="00AF22A0"/>
    <w:rsid w:val="00AF286B"/>
    <w:rsid w:val="00AF2A3D"/>
    <w:rsid w:val="00AF3054"/>
    <w:rsid w:val="00AF30B8"/>
    <w:rsid w:val="00AF34E8"/>
    <w:rsid w:val="00AF5B14"/>
    <w:rsid w:val="00AF716E"/>
    <w:rsid w:val="00AF71D0"/>
    <w:rsid w:val="00B0144D"/>
    <w:rsid w:val="00B015BF"/>
    <w:rsid w:val="00B01B12"/>
    <w:rsid w:val="00B01F80"/>
    <w:rsid w:val="00B02D4B"/>
    <w:rsid w:val="00B02E29"/>
    <w:rsid w:val="00B03504"/>
    <w:rsid w:val="00B03777"/>
    <w:rsid w:val="00B03ECF"/>
    <w:rsid w:val="00B03FA0"/>
    <w:rsid w:val="00B04510"/>
    <w:rsid w:val="00B04DBF"/>
    <w:rsid w:val="00B05318"/>
    <w:rsid w:val="00B055CB"/>
    <w:rsid w:val="00B0594F"/>
    <w:rsid w:val="00B05BBA"/>
    <w:rsid w:val="00B05C86"/>
    <w:rsid w:val="00B0625A"/>
    <w:rsid w:val="00B07C68"/>
    <w:rsid w:val="00B1008F"/>
    <w:rsid w:val="00B113F9"/>
    <w:rsid w:val="00B11AAE"/>
    <w:rsid w:val="00B11C1C"/>
    <w:rsid w:val="00B12783"/>
    <w:rsid w:val="00B13CDD"/>
    <w:rsid w:val="00B1429C"/>
    <w:rsid w:val="00B1493E"/>
    <w:rsid w:val="00B14E84"/>
    <w:rsid w:val="00B152E4"/>
    <w:rsid w:val="00B15B55"/>
    <w:rsid w:val="00B1799B"/>
    <w:rsid w:val="00B20366"/>
    <w:rsid w:val="00B20B5E"/>
    <w:rsid w:val="00B21384"/>
    <w:rsid w:val="00B22634"/>
    <w:rsid w:val="00B22E3F"/>
    <w:rsid w:val="00B24280"/>
    <w:rsid w:val="00B242D7"/>
    <w:rsid w:val="00B24A7A"/>
    <w:rsid w:val="00B24AD4"/>
    <w:rsid w:val="00B24C36"/>
    <w:rsid w:val="00B24F04"/>
    <w:rsid w:val="00B2521C"/>
    <w:rsid w:val="00B2592E"/>
    <w:rsid w:val="00B26137"/>
    <w:rsid w:val="00B2689B"/>
    <w:rsid w:val="00B26D5E"/>
    <w:rsid w:val="00B2702C"/>
    <w:rsid w:val="00B27539"/>
    <w:rsid w:val="00B279E2"/>
    <w:rsid w:val="00B27E7B"/>
    <w:rsid w:val="00B30282"/>
    <w:rsid w:val="00B30E76"/>
    <w:rsid w:val="00B31EE4"/>
    <w:rsid w:val="00B328F7"/>
    <w:rsid w:val="00B33266"/>
    <w:rsid w:val="00B335BA"/>
    <w:rsid w:val="00B3362A"/>
    <w:rsid w:val="00B34B55"/>
    <w:rsid w:val="00B350B4"/>
    <w:rsid w:val="00B3550B"/>
    <w:rsid w:val="00B35C5A"/>
    <w:rsid w:val="00B35D90"/>
    <w:rsid w:val="00B369BC"/>
    <w:rsid w:val="00B36A5A"/>
    <w:rsid w:val="00B3778C"/>
    <w:rsid w:val="00B37FBE"/>
    <w:rsid w:val="00B40531"/>
    <w:rsid w:val="00B40894"/>
    <w:rsid w:val="00B4114A"/>
    <w:rsid w:val="00B413F1"/>
    <w:rsid w:val="00B42048"/>
    <w:rsid w:val="00B439B4"/>
    <w:rsid w:val="00B43F03"/>
    <w:rsid w:val="00B44B97"/>
    <w:rsid w:val="00B45F5E"/>
    <w:rsid w:val="00B471B7"/>
    <w:rsid w:val="00B4739D"/>
    <w:rsid w:val="00B475D4"/>
    <w:rsid w:val="00B5019D"/>
    <w:rsid w:val="00B512C9"/>
    <w:rsid w:val="00B519E0"/>
    <w:rsid w:val="00B532C2"/>
    <w:rsid w:val="00B533CC"/>
    <w:rsid w:val="00B53E58"/>
    <w:rsid w:val="00B53E96"/>
    <w:rsid w:val="00B5419B"/>
    <w:rsid w:val="00B550F0"/>
    <w:rsid w:val="00B567EA"/>
    <w:rsid w:val="00B5701C"/>
    <w:rsid w:val="00B571D7"/>
    <w:rsid w:val="00B576EF"/>
    <w:rsid w:val="00B57EF3"/>
    <w:rsid w:val="00B60DFA"/>
    <w:rsid w:val="00B60F10"/>
    <w:rsid w:val="00B6107F"/>
    <w:rsid w:val="00B61D7C"/>
    <w:rsid w:val="00B6202B"/>
    <w:rsid w:val="00B63505"/>
    <w:rsid w:val="00B63C8A"/>
    <w:rsid w:val="00B65427"/>
    <w:rsid w:val="00B678AC"/>
    <w:rsid w:val="00B67F97"/>
    <w:rsid w:val="00B702BE"/>
    <w:rsid w:val="00B70A69"/>
    <w:rsid w:val="00B70E39"/>
    <w:rsid w:val="00B70E80"/>
    <w:rsid w:val="00B70EC2"/>
    <w:rsid w:val="00B71E0C"/>
    <w:rsid w:val="00B730B0"/>
    <w:rsid w:val="00B73315"/>
    <w:rsid w:val="00B733C3"/>
    <w:rsid w:val="00B73B28"/>
    <w:rsid w:val="00B73D12"/>
    <w:rsid w:val="00B74D17"/>
    <w:rsid w:val="00B755F3"/>
    <w:rsid w:val="00B757B3"/>
    <w:rsid w:val="00B776A4"/>
    <w:rsid w:val="00B776CC"/>
    <w:rsid w:val="00B77737"/>
    <w:rsid w:val="00B805DF"/>
    <w:rsid w:val="00B813A9"/>
    <w:rsid w:val="00B813AF"/>
    <w:rsid w:val="00B82365"/>
    <w:rsid w:val="00B82AFB"/>
    <w:rsid w:val="00B82DD3"/>
    <w:rsid w:val="00B831CF"/>
    <w:rsid w:val="00B831FA"/>
    <w:rsid w:val="00B846B2"/>
    <w:rsid w:val="00B84872"/>
    <w:rsid w:val="00B850DD"/>
    <w:rsid w:val="00B867EA"/>
    <w:rsid w:val="00B9029C"/>
    <w:rsid w:val="00B9090F"/>
    <w:rsid w:val="00B9126F"/>
    <w:rsid w:val="00B917C2"/>
    <w:rsid w:val="00B91B7E"/>
    <w:rsid w:val="00B920C2"/>
    <w:rsid w:val="00B923AA"/>
    <w:rsid w:val="00B923CA"/>
    <w:rsid w:val="00B93878"/>
    <w:rsid w:val="00B93E86"/>
    <w:rsid w:val="00B94159"/>
    <w:rsid w:val="00B946B4"/>
    <w:rsid w:val="00B95380"/>
    <w:rsid w:val="00B95C49"/>
    <w:rsid w:val="00B95D18"/>
    <w:rsid w:val="00B969A6"/>
    <w:rsid w:val="00B96A13"/>
    <w:rsid w:val="00B977C6"/>
    <w:rsid w:val="00BA1469"/>
    <w:rsid w:val="00BA17A3"/>
    <w:rsid w:val="00BA180B"/>
    <w:rsid w:val="00BA237C"/>
    <w:rsid w:val="00BA3084"/>
    <w:rsid w:val="00BA325E"/>
    <w:rsid w:val="00BA357F"/>
    <w:rsid w:val="00BA3A6D"/>
    <w:rsid w:val="00BA44CA"/>
    <w:rsid w:val="00BA44EA"/>
    <w:rsid w:val="00BA4739"/>
    <w:rsid w:val="00BA497F"/>
    <w:rsid w:val="00BA4A7D"/>
    <w:rsid w:val="00BA4AE3"/>
    <w:rsid w:val="00BA6425"/>
    <w:rsid w:val="00BB021C"/>
    <w:rsid w:val="00BB0973"/>
    <w:rsid w:val="00BB0AB0"/>
    <w:rsid w:val="00BB0B0B"/>
    <w:rsid w:val="00BB1DAA"/>
    <w:rsid w:val="00BB1F2A"/>
    <w:rsid w:val="00BB2550"/>
    <w:rsid w:val="00BB2906"/>
    <w:rsid w:val="00BB3C81"/>
    <w:rsid w:val="00BB4470"/>
    <w:rsid w:val="00BB4B03"/>
    <w:rsid w:val="00BB550F"/>
    <w:rsid w:val="00BB5971"/>
    <w:rsid w:val="00BB6CD6"/>
    <w:rsid w:val="00BB71AB"/>
    <w:rsid w:val="00BB7965"/>
    <w:rsid w:val="00BC0F89"/>
    <w:rsid w:val="00BC11EF"/>
    <w:rsid w:val="00BC128A"/>
    <w:rsid w:val="00BC17C3"/>
    <w:rsid w:val="00BC1A10"/>
    <w:rsid w:val="00BC1E3A"/>
    <w:rsid w:val="00BC227D"/>
    <w:rsid w:val="00BC26F5"/>
    <w:rsid w:val="00BC365B"/>
    <w:rsid w:val="00BC3BFB"/>
    <w:rsid w:val="00BC3EAA"/>
    <w:rsid w:val="00BC434C"/>
    <w:rsid w:val="00BC43C9"/>
    <w:rsid w:val="00BC47E8"/>
    <w:rsid w:val="00BC4CB7"/>
    <w:rsid w:val="00BC5B97"/>
    <w:rsid w:val="00BC5BDA"/>
    <w:rsid w:val="00BC683E"/>
    <w:rsid w:val="00BC792A"/>
    <w:rsid w:val="00BD1D3E"/>
    <w:rsid w:val="00BD2668"/>
    <w:rsid w:val="00BD2850"/>
    <w:rsid w:val="00BD34A1"/>
    <w:rsid w:val="00BD3761"/>
    <w:rsid w:val="00BD38BF"/>
    <w:rsid w:val="00BD3EDA"/>
    <w:rsid w:val="00BD40DD"/>
    <w:rsid w:val="00BD49EE"/>
    <w:rsid w:val="00BD5A7E"/>
    <w:rsid w:val="00BD662B"/>
    <w:rsid w:val="00BD73E5"/>
    <w:rsid w:val="00BD78F4"/>
    <w:rsid w:val="00BD7D05"/>
    <w:rsid w:val="00BE05AA"/>
    <w:rsid w:val="00BE0B20"/>
    <w:rsid w:val="00BE0C50"/>
    <w:rsid w:val="00BE0F98"/>
    <w:rsid w:val="00BE1300"/>
    <w:rsid w:val="00BE19CD"/>
    <w:rsid w:val="00BE1FD0"/>
    <w:rsid w:val="00BE22A2"/>
    <w:rsid w:val="00BE2EA7"/>
    <w:rsid w:val="00BE2F87"/>
    <w:rsid w:val="00BE2FB7"/>
    <w:rsid w:val="00BE418B"/>
    <w:rsid w:val="00BE510F"/>
    <w:rsid w:val="00BE52BD"/>
    <w:rsid w:val="00BE5AAD"/>
    <w:rsid w:val="00BE5DA6"/>
    <w:rsid w:val="00BE6003"/>
    <w:rsid w:val="00BE60D4"/>
    <w:rsid w:val="00BE6274"/>
    <w:rsid w:val="00BE6883"/>
    <w:rsid w:val="00BE69B2"/>
    <w:rsid w:val="00BE7950"/>
    <w:rsid w:val="00BE7ACA"/>
    <w:rsid w:val="00BE7CFF"/>
    <w:rsid w:val="00BE7DC0"/>
    <w:rsid w:val="00BF04FB"/>
    <w:rsid w:val="00BF0561"/>
    <w:rsid w:val="00BF06CD"/>
    <w:rsid w:val="00BF0EFF"/>
    <w:rsid w:val="00BF10D2"/>
    <w:rsid w:val="00BF140F"/>
    <w:rsid w:val="00BF148C"/>
    <w:rsid w:val="00BF160E"/>
    <w:rsid w:val="00BF2123"/>
    <w:rsid w:val="00BF2FA2"/>
    <w:rsid w:val="00BF3160"/>
    <w:rsid w:val="00BF40FF"/>
    <w:rsid w:val="00BF47B1"/>
    <w:rsid w:val="00BF4B9C"/>
    <w:rsid w:val="00BF4BA4"/>
    <w:rsid w:val="00BF4D57"/>
    <w:rsid w:val="00BF51CD"/>
    <w:rsid w:val="00BF5B23"/>
    <w:rsid w:val="00BF6A2C"/>
    <w:rsid w:val="00BF6FE5"/>
    <w:rsid w:val="00BF70B9"/>
    <w:rsid w:val="00C020AE"/>
    <w:rsid w:val="00C024D4"/>
    <w:rsid w:val="00C03E3B"/>
    <w:rsid w:val="00C0405F"/>
    <w:rsid w:val="00C04730"/>
    <w:rsid w:val="00C051FD"/>
    <w:rsid w:val="00C059DD"/>
    <w:rsid w:val="00C05AA8"/>
    <w:rsid w:val="00C05D02"/>
    <w:rsid w:val="00C06ABF"/>
    <w:rsid w:val="00C07333"/>
    <w:rsid w:val="00C07583"/>
    <w:rsid w:val="00C101CC"/>
    <w:rsid w:val="00C10602"/>
    <w:rsid w:val="00C11087"/>
    <w:rsid w:val="00C11B84"/>
    <w:rsid w:val="00C11E77"/>
    <w:rsid w:val="00C1205F"/>
    <w:rsid w:val="00C12D87"/>
    <w:rsid w:val="00C12EC2"/>
    <w:rsid w:val="00C13170"/>
    <w:rsid w:val="00C13232"/>
    <w:rsid w:val="00C144CF"/>
    <w:rsid w:val="00C144FB"/>
    <w:rsid w:val="00C14907"/>
    <w:rsid w:val="00C149D6"/>
    <w:rsid w:val="00C1532C"/>
    <w:rsid w:val="00C153BF"/>
    <w:rsid w:val="00C15C59"/>
    <w:rsid w:val="00C15F49"/>
    <w:rsid w:val="00C16900"/>
    <w:rsid w:val="00C16A42"/>
    <w:rsid w:val="00C16E90"/>
    <w:rsid w:val="00C16F55"/>
    <w:rsid w:val="00C20946"/>
    <w:rsid w:val="00C2114D"/>
    <w:rsid w:val="00C21270"/>
    <w:rsid w:val="00C2172E"/>
    <w:rsid w:val="00C2236E"/>
    <w:rsid w:val="00C227E1"/>
    <w:rsid w:val="00C23063"/>
    <w:rsid w:val="00C2334B"/>
    <w:rsid w:val="00C235BD"/>
    <w:rsid w:val="00C237C3"/>
    <w:rsid w:val="00C238CB"/>
    <w:rsid w:val="00C23F84"/>
    <w:rsid w:val="00C25503"/>
    <w:rsid w:val="00C255C1"/>
    <w:rsid w:val="00C25B93"/>
    <w:rsid w:val="00C26A7E"/>
    <w:rsid w:val="00C273B9"/>
    <w:rsid w:val="00C2767C"/>
    <w:rsid w:val="00C27C94"/>
    <w:rsid w:val="00C3014A"/>
    <w:rsid w:val="00C305C5"/>
    <w:rsid w:val="00C31483"/>
    <w:rsid w:val="00C319DB"/>
    <w:rsid w:val="00C31B1E"/>
    <w:rsid w:val="00C32C79"/>
    <w:rsid w:val="00C339F7"/>
    <w:rsid w:val="00C33B2F"/>
    <w:rsid w:val="00C33BFD"/>
    <w:rsid w:val="00C33FF2"/>
    <w:rsid w:val="00C363EA"/>
    <w:rsid w:val="00C364E0"/>
    <w:rsid w:val="00C36D8D"/>
    <w:rsid w:val="00C37416"/>
    <w:rsid w:val="00C37736"/>
    <w:rsid w:val="00C37EC6"/>
    <w:rsid w:val="00C407A4"/>
    <w:rsid w:val="00C40A6C"/>
    <w:rsid w:val="00C40D74"/>
    <w:rsid w:val="00C4172C"/>
    <w:rsid w:val="00C42125"/>
    <w:rsid w:val="00C4345A"/>
    <w:rsid w:val="00C43AF6"/>
    <w:rsid w:val="00C43CC9"/>
    <w:rsid w:val="00C44897"/>
    <w:rsid w:val="00C457B6"/>
    <w:rsid w:val="00C45892"/>
    <w:rsid w:val="00C45FA2"/>
    <w:rsid w:val="00C468C2"/>
    <w:rsid w:val="00C46C23"/>
    <w:rsid w:val="00C46E02"/>
    <w:rsid w:val="00C5003E"/>
    <w:rsid w:val="00C506DE"/>
    <w:rsid w:val="00C50B5F"/>
    <w:rsid w:val="00C531BA"/>
    <w:rsid w:val="00C5492E"/>
    <w:rsid w:val="00C54C08"/>
    <w:rsid w:val="00C56836"/>
    <w:rsid w:val="00C56ADE"/>
    <w:rsid w:val="00C57AEF"/>
    <w:rsid w:val="00C61A1D"/>
    <w:rsid w:val="00C62E5D"/>
    <w:rsid w:val="00C635DC"/>
    <w:rsid w:val="00C63F7D"/>
    <w:rsid w:val="00C64586"/>
    <w:rsid w:val="00C65614"/>
    <w:rsid w:val="00C65711"/>
    <w:rsid w:val="00C65AE7"/>
    <w:rsid w:val="00C65D3D"/>
    <w:rsid w:val="00C67B5C"/>
    <w:rsid w:val="00C67BE2"/>
    <w:rsid w:val="00C67D0E"/>
    <w:rsid w:val="00C7053E"/>
    <w:rsid w:val="00C7070F"/>
    <w:rsid w:val="00C70FD7"/>
    <w:rsid w:val="00C71AF0"/>
    <w:rsid w:val="00C728CA"/>
    <w:rsid w:val="00C72A52"/>
    <w:rsid w:val="00C72C2C"/>
    <w:rsid w:val="00C740AB"/>
    <w:rsid w:val="00C75417"/>
    <w:rsid w:val="00C75665"/>
    <w:rsid w:val="00C75A9F"/>
    <w:rsid w:val="00C75EAA"/>
    <w:rsid w:val="00C765ED"/>
    <w:rsid w:val="00C76EB5"/>
    <w:rsid w:val="00C7720A"/>
    <w:rsid w:val="00C774D7"/>
    <w:rsid w:val="00C775F4"/>
    <w:rsid w:val="00C7769C"/>
    <w:rsid w:val="00C77EAF"/>
    <w:rsid w:val="00C80624"/>
    <w:rsid w:val="00C8076C"/>
    <w:rsid w:val="00C80CD1"/>
    <w:rsid w:val="00C82107"/>
    <w:rsid w:val="00C82421"/>
    <w:rsid w:val="00C82672"/>
    <w:rsid w:val="00C82B97"/>
    <w:rsid w:val="00C830C3"/>
    <w:rsid w:val="00C8377F"/>
    <w:rsid w:val="00C839CE"/>
    <w:rsid w:val="00C83D4B"/>
    <w:rsid w:val="00C8413F"/>
    <w:rsid w:val="00C851A4"/>
    <w:rsid w:val="00C85956"/>
    <w:rsid w:val="00C86A81"/>
    <w:rsid w:val="00C86F9E"/>
    <w:rsid w:val="00C87559"/>
    <w:rsid w:val="00C8794A"/>
    <w:rsid w:val="00C90066"/>
    <w:rsid w:val="00C90112"/>
    <w:rsid w:val="00C90E7A"/>
    <w:rsid w:val="00C91DC4"/>
    <w:rsid w:val="00C9234F"/>
    <w:rsid w:val="00C92CCD"/>
    <w:rsid w:val="00C93710"/>
    <w:rsid w:val="00C950B3"/>
    <w:rsid w:val="00C95EB6"/>
    <w:rsid w:val="00C95FBB"/>
    <w:rsid w:val="00C966B5"/>
    <w:rsid w:val="00CA0570"/>
    <w:rsid w:val="00CA066E"/>
    <w:rsid w:val="00CA11AE"/>
    <w:rsid w:val="00CA125B"/>
    <w:rsid w:val="00CA1BD4"/>
    <w:rsid w:val="00CA1F02"/>
    <w:rsid w:val="00CA26E6"/>
    <w:rsid w:val="00CA2EF5"/>
    <w:rsid w:val="00CA2F0C"/>
    <w:rsid w:val="00CA338D"/>
    <w:rsid w:val="00CA39B4"/>
    <w:rsid w:val="00CA4EBF"/>
    <w:rsid w:val="00CA5804"/>
    <w:rsid w:val="00CA58F7"/>
    <w:rsid w:val="00CA63BD"/>
    <w:rsid w:val="00CA6622"/>
    <w:rsid w:val="00CA728B"/>
    <w:rsid w:val="00CB1730"/>
    <w:rsid w:val="00CB2375"/>
    <w:rsid w:val="00CB24A8"/>
    <w:rsid w:val="00CB325D"/>
    <w:rsid w:val="00CB3A4E"/>
    <w:rsid w:val="00CB3ABF"/>
    <w:rsid w:val="00CB44EC"/>
    <w:rsid w:val="00CB4555"/>
    <w:rsid w:val="00CB5A2D"/>
    <w:rsid w:val="00CB5C02"/>
    <w:rsid w:val="00CB63DD"/>
    <w:rsid w:val="00CB68DF"/>
    <w:rsid w:val="00CB7445"/>
    <w:rsid w:val="00CB75D3"/>
    <w:rsid w:val="00CC12D4"/>
    <w:rsid w:val="00CC14DD"/>
    <w:rsid w:val="00CC152E"/>
    <w:rsid w:val="00CC15AA"/>
    <w:rsid w:val="00CC2425"/>
    <w:rsid w:val="00CC2E7B"/>
    <w:rsid w:val="00CC3C87"/>
    <w:rsid w:val="00CC49B7"/>
    <w:rsid w:val="00CC4AF3"/>
    <w:rsid w:val="00CC51CC"/>
    <w:rsid w:val="00CC54F1"/>
    <w:rsid w:val="00CC597E"/>
    <w:rsid w:val="00CC6254"/>
    <w:rsid w:val="00CC6927"/>
    <w:rsid w:val="00CC6EF9"/>
    <w:rsid w:val="00CC75A0"/>
    <w:rsid w:val="00CC7755"/>
    <w:rsid w:val="00CC7EB4"/>
    <w:rsid w:val="00CD13D5"/>
    <w:rsid w:val="00CD1F67"/>
    <w:rsid w:val="00CD2649"/>
    <w:rsid w:val="00CD2923"/>
    <w:rsid w:val="00CD380B"/>
    <w:rsid w:val="00CD38BE"/>
    <w:rsid w:val="00CD39B3"/>
    <w:rsid w:val="00CD41CC"/>
    <w:rsid w:val="00CD68F4"/>
    <w:rsid w:val="00CD6DF9"/>
    <w:rsid w:val="00CD731E"/>
    <w:rsid w:val="00CD7A58"/>
    <w:rsid w:val="00CE07EF"/>
    <w:rsid w:val="00CE0A27"/>
    <w:rsid w:val="00CE0B97"/>
    <w:rsid w:val="00CE16AD"/>
    <w:rsid w:val="00CE20F5"/>
    <w:rsid w:val="00CE2799"/>
    <w:rsid w:val="00CE3DC1"/>
    <w:rsid w:val="00CE401F"/>
    <w:rsid w:val="00CE4970"/>
    <w:rsid w:val="00CE6154"/>
    <w:rsid w:val="00CE6DFB"/>
    <w:rsid w:val="00CE7CCA"/>
    <w:rsid w:val="00CE7E21"/>
    <w:rsid w:val="00CF00A0"/>
    <w:rsid w:val="00CF0EAF"/>
    <w:rsid w:val="00CF0F5B"/>
    <w:rsid w:val="00CF1847"/>
    <w:rsid w:val="00CF2227"/>
    <w:rsid w:val="00CF26A9"/>
    <w:rsid w:val="00CF29E7"/>
    <w:rsid w:val="00CF3F05"/>
    <w:rsid w:val="00CF3FC7"/>
    <w:rsid w:val="00CF4286"/>
    <w:rsid w:val="00CF54F3"/>
    <w:rsid w:val="00CF555F"/>
    <w:rsid w:val="00CF5AA9"/>
    <w:rsid w:val="00CF62C1"/>
    <w:rsid w:val="00CF73E8"/>
    <w:rsid w:val="00CF7D55"/>
    <w:rsid w:val="00D0037B"/>
    <w:rsid w:val="00D00CE9"/>
    <w:rsid w:val="00D00DD8"/>
    <w:rsid w:val="00D0124D"/>
    <w:rsid w:val="00D01421"/>
    <w:rsid w:val="00D014F3"/>
    <w:rsid w:val="00D01C48"/>
    <w:rsid w:val="00D020FE"/>
    <w:rsid w:val="00D02436"/>
    <w:rsid w:val="00D028CF"/>
    <w:rsid w:val="00D0306D"/>
    <w:rsid w:val="00D03723"/>
    <w:rsid w:val="00D0509D"/>
    <w:rsid w:val="00D052B4"/>
    <w:rsid w:val="00D062FB"/>
    <w:rsid w:val="00D06401"/>
    <w:rsid w:val="00D06B63"/>
    <w:rsid w:val="00D070E0"/>
    <w:rsid w:val="00D07323"/>
    <w:rsid w:val="00D1011F"/>
    <w:rsid w:val="00D105E0"/>
    <w:rsid w:val="00D10CE6"/>
    <w:rsid w:val="00D1174B"/>
    <w:rsid w:val="00D11C27"/>
    <w:rsid w:val="00D126C0"/>
    <w:rsid w:val="00D13858"/>
    <w:rsid w:val="00D13BC4"/>
    <w:rsid w:val="00D1452E"/>
    <w:rsid w:val="00D156C8"/>
    <w:rsid w:val="00D15D1B"/>
    <w:rsid w:val="00D160BD"/>
    <w:rsid w:val="00D16EFD"/>
    <w:rsid w:val="00D17D1F"/>
    <w:rsid w:val="00D2009E"/>
    <w:rsid w:val="00D20144"/>
    <w:rsid w:val="00D20AED"/>
    <w:rsid w:val="00D20B63"/>
    <w:rsid w:val="00D20D28"/>
    <w:rsid w:val="00D219A6"/>
    <w:rsid w:val="00D226B6"/>
    <w:rsid w:val="00D2328E"/>
    <w:rsid w:val="00D23784"/>
    <w:rsid w:val="00D2451A"/>
    <w:rsid w:val="00D255DB"/>
    <w:rsid w:val="00D25AE4"/>
    <w:rsid w:val="00D2696A"/>
    <w:rsid w:val="00D269C9"/>
    <w:rsid w:val="00D27B90"/>
    <w:rsid w:val="00D3039D"/>
    <w:rsid w:val="00D3045C"/>
    <w:rsid w:val="00D30512"/>
    <w:rsid w:val="00D305F4"/>
    <w:rsid w:val="00D307A1"/>
    <w:rsid w:val="00D312C9"/>
    <w:rsid w:val="00D33946"/>
    <w:rsid w:val="00D33CB6"/>
    <w:rsid w:val="00D353E5"/>
    <w:rsid w:val="00D35645"/>
    <w:rsid w:val="00D360AB"/>
    <w:rsid w:val="00D3651E"/>
    <w:rsid w:val="00D36B89"/>
    <w:rsid w:val="00D36E5D"/>
    <w:rsid w:val="00D374DB"/>
    <w:rsid w:val="00D376DF"/>
    <w:rsid w:val="00D376FF"/>
    <w:rsid w:val="00D37D8C"/>
    <w:rsid w:val="00D40387"/>
    <w:rsid w:val="00D41559"/>
    <w:rsid w:val="00D41951"/>
    <w:rsid w:val="00D42296"/>
    <w:rsid w:val="00D42E1C"/>
    <w:rsid w:val="00D43FCD"/>
    <w:rsid w:val="00D4440C"/>
    <w:rsid w:val="00D44508"/>
    <w:rsid w:val="00D44B13"/>
    <w:rsid w:val="00D44F5C"/>
    <w:rsid w:val="00D45451"/>
    <w:rsid w:val="00D45EED"/>
    <w:rsid w:val="00D45F7A"/>
    <w:rsid w:val="00D46088"/>
    <w:rsid w:val="00D46090"/>
    <w:rsid w:val="00D4620B"/>
    <w:rsid w:val="00D4622D"/>
    <w:rsid w:val="00D467D7"/>
    <w:rsid w:val="00D4748A"/>
    <w:rsid w:val="00D501AE"/>
    <w:rsid w:val="00D517A4"/>
    <w:rsid w:val="00D52936"/>
    <w:rsid w:val="00D5318E"/>
    <w:rsid w:val="00D532B1"/>
    <w:rsid w:val="00D535E9"/>
    <w:rsid w:val="00D53EAD"/>
    <w:rsid w:val="00D547DB"/>
    <w:rsid w:val="00D54A43"/>
    <w:rsid w:val="00D54E62"/>
    <w:rsid w:val="00D564F3"/>
    <w:rsid w:val="00D57684"/>
    <w:rsid w:val="00D60DAA"/>
    <w:rsid w:val="00D61ADC"/>
    <w:rsid w:val="00D61E50"/>
    <w:rsid w:val="00D62686"/>
    <w:rsid w:val="00D62804"/>
    <w:rsid w:val="00D62A08"/>
    <w:rsid w:val="00D6372E"/>
    <w:rsid w:val="00D64F50"/>
    <w:rsid w:val="00D64FFB"/>
    <w:rsid w:val="00D6506C"/>
    <w:rsid w:val="00D65F0B"/>
    <w:rsid w:val="00D65F2C"/>
    <w:rsid w:val="00D65F86"/>
    <w:rsid w:val="00D66334"/>
    <w:rsid w:val="00D66B61"/>
    <w:rsid w:val="00D67142"/>
    <w:rsid w:val="00D674E4"/>
    <w:rsid w:val="00D70F2D"/>
    <w:rsid w:val="00D71061"/>
    <w:rsid w:val="00D716B8"/>
    <w:rsid w:val="00D7194A"/>
    <w:rsid w:val="00D719A4"/>
    <w:rsid w:val="00D71E67"/>
    <w:rsid w:val="00D730A5"/>
    <w:rsid w:val="00D7361B"/>
    <w:rsid w:val="00D73E60"/>
    <w:rsid w:val="00D7403C"/>
    <w:rsid w:val="00D74429"/>
    <w:rsid w:val="00D74557"/>
    <w:rsid w:val="00D74AB7"/>
    <w:rsid w:val="00D74D98"/>
    <w:rsid w:val="00D762EB"/>
    <w:rsid w:val="00D76815"/>
    <w:rsid w:val="00D76919"/>
    <w:rsid w:val="00D77442"/>
    <w:rsid w:val="00D77A5D"/>
    <w:rsid w:val="00D80260"/>
    <w:rsid w:val="00D80C7A"/>
    <w:rsid w:val="00D82D4A"/>
    <w:rsid w:val="00D83041"/>
    <w:rsid w:val="00D83C13"/>
    <w:rsid w:val="00D850C1"/>
    <w:rsid w:val="00D862BE"/>
    <w:rsid w:val="00D87101"/>
    <w:rsid w:val="00D87591"/>
    <w:rsid w:val="00D877AF"/>
    <w:rsid w:val="00D87F57"/>
    <w:rsid w:val="00D87FD4"/>
    <w:rsid w:val="00D90C96"/>
    <w:rsid w:val="00D9191E"/>
    <w:rsid w:val="00D919A5"/>
    <w:rsid w:val="00D91B80"/>
    <w:rsid w:val="00D92A15"/>
    <w:rsid w:val="00D92A3A"/>
    <w:rsid w:val="00D92E27"/>
    <w:rsid w:val="00D942FE"/>
    <w:rsid w:val="00D9504B"/>
    <w:rsid w:val="00D95E02"/>
    <w:rsid w:val="00D95E9F"/>
    <w:rsid w:val="00D96045"/>
    <w:rsid w:val="00D979E2"/>
    <w:rsid w:val="00D97EAA"/>
    <w:rsid w:val="00DA0313"/>
    <w:rsid w:val="00DA0CCA"/>
    <w:rsid w:val="00DA19C4"/>
    <w:rsid w:val="00DA20FF"/>
    <w:rsid w:val="00DA2370"/>
    <w:rsid w:val="00DA2DD9"/>
    <w:rsid w:val="00DA409A"/>
    <w:rsid w:val="00DA5207"/>
    <w:rsid w:val="00DA56F5"/>
    <w:rsid w:val="00DA5E50"/>
    <w:rsid w:val="00DA5F6D"/>
    <w:rsid w:val="00DA66E4"/>
    <w:rsid w:val="00DA7145"/>
    <w:rsid w:val="00DB16A7"/>
    <w:rsid w:val="00DB1C2F"/>
    <w:rsid w:val="00DB1D55"/>
    <w:rsid w:val="00DB252A"/>
    <w:rsid w:val="00DB2A92"/>
    <w:rsid w:val="00DB35EF"/>
    <w:rsid w:val="00DB3C8C"/>
    <w:rsid w:val="00DB4044"/>
    <w:rsid w:val="00DB5A81"/>
    <w:rsid w:val="00DB5D38"/>
    <w:rsid w:val="00DB6172"/>
    <w:rsid w:val="00DB61DD"/>
    <w:rsid w:val="00DB6859"/>
    <w:rsid w:val="00DB6FCB"/>
    <w:rsid w:val="00DB7B1F"/>
    <w:rsid w:val="00DB7DC3"/>
    <w:rsid w:val="00DC0FEC"/>
    <w:rsid w:val="00DC1EAF"/>
    <w:rsid w:val="00DC1F69"/>
    <w:rsid w:val="00DC2B11"/>
    <w:rsid w:val="00DC31D0"/>
    <w:rsid w:val="00DC32E8"/>
    <w:rsid w:val="00DC3D27"/>
    <w:rsid w:val="00DC417F"/>
    <w:rsid w:val="00DC4A24"/>
    <w:rsid w:val="00DC5374"/>
    <w:rsid w:val="00DC5F59"/>
    <w:rsid w:val="00DC66D8"/>
    <w:rsid w:val="00DC6878"/>
    <w:rsid w:val="00DC75AD"/>
    <w:rsid w:val="00DC7D00"/>
    <w:rsid w:val="00DC7E23"/>
    <w:rsid w:val="00DD02F4"/>
    <w:rsid w:val="00DD2B3F"/>
    <w:rsid w:val="00DD3172"/>
    <w:rsid w:val="00DD347F"/>
    <w:rsid w:val="00DD3A4A"/>
    <w:rsid w:val="00DD5BA3"/>
    <w:rsid w:val="00DD5BB9"/>
    <w:rsid w:val="00DD6955"/>
    <w:rsid w:val="00DD6D85"/>
    <w:rsid w:val="00DD786B"/>
    <w:rsid w:val="00DD7A47"/>
    <w:rsid w:val="00DD7A54"/>
    <w:rsid w:val="00DE0184"/>
    <w:rsid w:val="00DE0A00"/>
    <w:rsid w:val="00DE168D"/>
    <w:rsid w:val="00DE183F"/>
    <w:rsid w:val="00DE1CAF"/>
    <w:rsid w:val="00DE24B7"/>
    <w:rsid w:val="00DE318F"/>
    <w:rsid w:val="00DE3346"/>
    <w:rsid w:val="00DE3E5B"/>
    <w:rsid w:val="00DE4852"/>
    <w:rsid w:val="00DE4957"/>
    <w:rsid w:val="00DE5B1D"/>
    <w:rsid w:val="00DE5B5D"/>
    <w:rsid w:val="00DE5B95"/>
    <w:rsid w:val="00DE67F8"/>
    <w:rsid w:val="00DE69AA"/>
    <w:rsid w:val="00DE6DD4"/>
    <w:rsid w:val="00DE7059"/>
    <w:rsid w:val="00DE7A58"/>
    <w:rsid w:val="00DE7F27"/>
    <w:rsid w:val="00DE7F57"/>
    <w:rsid w:val="00DF11DF"/>
    <w:rsid w:val="00DF154B"/>
    <w:rsid w:val="00DF1915"/>
    <w:rsid w:val="00DF1A0C"/>
    <w:rsid w:val="00DF1EA1"/>
    <w:rsid w:val="00DF30B8"/>
    <w:rsid w:val="00DF3B40"/>
    <w:rsid w:val="00DF3C70"/>
    <w:rsid w:val="00DF443A"/>
    <w:rsid w:val="00DF5AFD"/>
    <w:rsid w:val="00DF74D7"/>
    <w:rsid w:val="00DF78D2"/>
    <w:rsid w:val="00E00E2A"/>
    <w:rsid w:val="00E010F4"/>
    <w:rsid w:val="00E011C4"/>
    <w:rsid w:val="00E01E5E"/>
    <w:rsid w:val="00E03116"/>
    <w:rsid w:val="00E05204"/>
    <w:rsid w:val="00E06AA0"/>
    <w:rsid w:val="00E10034"/>
    <w:rsid w:val="00E10435"/>
    <w:rsid w:val="00E10589"/>
    <w:rsid w:val="00E110C8"/>
    <w:rsid w:val="00E1163D"/>
    <w:rsid w:val="00E11850"/>
    <w:rsid w:val="00E11885"/>
    <w:rsid w:val="00E12378"/>
    <w:rsid w:val="00E1359F"/>
    <w:rsid w:val="00E13EF1"/>
    <w:rsid w:val="00E14927"/>
    <w:rsid w:val="00E14C82"/>
    <w:rsid w:val="00E15C7A"/>
    <w:rsid w:val="00E168E9"/>
    <w:rsid w:val="00E17132"/>
    <w:rsid w:val="00E20923"/>
    <w:rsid w:val="00E2109B"/>
    <w:rsid w:val="00E21563"/>
    <w:rsid w:val="00E21A25"/>
    <w:rsid w:val="00E22C7D"/>
    <w:rsid w:val="00E23A9B"/>
    <w:rsid w:val="00E24110"/>
    <w:rsid w:val="00E24218"/>
    <w:rsid w:val="00E24322"/>
    <w:rsid w:val="00E24C1F"/>
    <w:rsid w:val="00E2568B"/>
    <w:rsid w:val="00E25797"/>
    <w:rsid w:val="00E25E5D"/>
    <w:rsid w:val="00E26611"/>
    <w:rsid w:val="00E26C59"/>
    <w:rsid w:val="00E30394"/>
    <w:rsid w:val="00E30711"/>
    <w:rsid w:val="00E30A6A"/>
    <w:rsid w:val="00E31214"/>
    <w:rsid w:val="00E31255"/>
    <w:rsid w:val="00E31AA0"/>
    <w:rsid w:val="00E31D54"/>
    <w:rsid w:val="00E32639"/>
    <w:rsid w:val="00E33010"/>
    <w:rsid w:val="00E3351F"/>
    <w:rsid w:val="00E33805"/>
    <w:rsid w:val="00E33D6B"/>
    <w:rsid w:val="00E33FCD"/>
    <w:rsid w:val="00E344DE"/>
    <w:rsid w:val="00E34753"/>
    <w:rsid w:val="00E34940"/>
    <w:rsid w:val="00E35493"/>
    <w:rsid w:val="00E37A9B"/>
    <w:rsid w:val="00E37B41"/>
    <w:rsid w:val="00E407C0"/>
    <w:rsid w:val="00E40C81"/>
    <w:rsid w:val="00E417EF"/>
    <w:rsid w:val="00E43E9B"/>
    <w:rsid w:val="00E449B1"/>
    <w:rsid w:val="00E45227"/>
    <w:rsid w:val="00E45846"/>
    <w:rsid w:val="00E458B5"/>
    <w:rsid w:val="00E46BF0"/>
    <w:rsid w:val="00E47DB3"/>
    <w:rsid w:val="00E50528"/>
    <w:rsid w:val="00E50CA4"/>
    <w:rsid w:val="00E50E37"/>
    <w:rsid w:val="00E50F26"/>
    <w:rsid w:val="00E511E7"/>
    <w:rsid w:val="00E51243"/>
    <w:rsid w:val="00E517EF"/>
    <w:rsid w:val="00E5286F"/>
    <w:rsid w:val="00E5293C"/>
    <w:rsid w:val="00E5349B"/>
    <w:rsid w:val="00E537AF"/>
    <w:rsid w:val="00E53E24"/>
    <w:rsid w:val="00E54759"/>
    <w:rsid w:val="00E553AC"/>
    <w:rsid w:val="00E5607A"/>
    <w:rsid w:val="00E561D6"/>
    <w:rsid w:val="00E568CB"/>
    <w:rsid w:val="00E56B1C"/>
    <w:rsid w:val="00E571A2"/>
    <w:rsid w:val="00E60389"/>
    <w:rsid w:val="00E62DFA"/>
    <w:rsid w:val="00E6313C"/>
    <w:rsid w:val="00E63319"/>
    <w:rsid w:val="00E637F7"/>
    <w:rsid w:val="00E639B6"/>
    <w:rsid w:val="00E63FF0"/>
    <w:rsid w:val="00E6553F"/>
    <w:rsid w:val="00E65E06"/>
    <w:rsid w:val="00E65FC3"/>
    <w:rsid w:val="00E66C69"/>
    <w:rsid w:val="00E679D6"/>
    <w:rsid w:val="00E67A0C"/>
    <w:rsid w:val="00E67B5F"/>
    <w:rsid w:val="00E704C3"/>
    <w:rsid w:val="00E708A1"/>
    <w:rsid w:val="00E70B9C"/>
    <w:rsid w:val="00E7114B"/>
    <w:rsid w:val="00E71372"/>
    <w:rsid w:val="00E71FF2"/>
    <w:rsid w:val="00E728F0"/>
    <w:rsid w:val="00E734C9"/>
    <w:rsid w:val="00E73EDB"/>
    <w:rsid w:val="00E748FA"/>
    <w:rsid w:val="00E74F0F"/>
    <w:rsid w:val="00E75744"/>
    <w:rsid w:val="00E7585F"/>
    <w:rsid w:val="00E75B6E"/>
    <w:rsid w:val="00E75CF0"/>
    <w:rsid w:val="00E761A8"/>
    <w:rsid w:val="00E766D1"/>
    <w:rsid w:val="00E7776C"/>
    <w:rsid w:val="00E8030E"/>
    <w:rsid w:val="00E8134D"/>
    <w:rsid w:val="00E81D8F"/>
    <w:rsid w:val="00E83BF9"/>
    <w:rsid w:val="00E83D15"/>
    <w:rsid w:val="00E843D5"/>
    <w:rsid w:val="00E85596"/>
    <w:rsid w:val="00E85ADF"/>
    <w:rsid w:val="00E8689D"/>
    <w:rsid w:val="00E86B86"/>
    <w:rsid w:val="00E871F1"/>
    <w:rsid w:val="00E87ADC"/>
    <w:rsid w:val="00E87F69"/>
    <w:rsid w:val="00E902E8"/>
    <w:rsid w:val="00E9074F"/>
    <w:rsid w:val="00E90B9A"/>
    <w:rsid w:val="00E9134D"/>
    <w:rsid w:val="00E91890"/>
    <w:rsid w:val="00E91A31"/>
    <w:rsid w:val="00E91DC3"/>
    <w:rsid w:val="00E923D0"/>
    <w:rsid w:val="00E92A33"/>
    <w:rsid w:val="00E92B20"/>
    <w:rsid w:val="00E92C91"/>
    <w:rsid w:val="00E93445"/>
    <w:rsid w:val="00E93E9E"/>
    <w:rsid w:val="00E9467B"/>
    <w:rsid w:val="00E9495F"/>
    <w:rsid w:val="00E94D68"/>
    <w:rsid w:val="00E957F4"/>
    <w:rsid w:val="00E9588D"/>
    <w:rsid w:val="00E95BF7"/>
    <w:rsid w:val="00E95D83"/>
    <w:rsid w:val="00E96554"/>
    <w:rsid w:val="00E97052"/>
    <w:rsid w:val="00E976BE"/>
    <w:rsid w:val="00E978F1"/>
    <w:rsid w:val="00E97AA6"/>
    <w:rsid w:val="00E97C1B"/>
    <w:rsid w:val="00EA0393"/>
    <w:rsid w:val="00EA1D89"/>
    <w:rsid w:val="00EA29D1"/>
    <w:rsid w:val="00EA3107"/>
    <w:rsid w:val="00EA3D38"/>
    <w:rsid w:val="00EA4F83"/>
    <w:rsid w:val="00EA5AF9"/>
    <w:rsid w:val="00EA5D36"/>
    <w:rsid w:val="00EA68DF"/>
    <w:rsid w:val="00EA69DC"/>
    <w:rsid w:val="00EA764C"/>
    <w:rsid w:val="00EA79DA"/>
    <w:rsid w:val="00EA7A6F"/>
    <w:rsid w:val="00EA7F42"/>
    <w:rsid w:val="00EB0335"/>
    <w:rsid w:val="00EB04CD"/>
    <w:rsid w:val="00EB0883"/>
    <w:rsid w:val="00EB0E91"/>
    <w:rsid w:val="00EB1031"/>
    <w:rsid w:val="00EB1871"/>
    <w:rsid w:val="00EB1C21"/>
    <w:rsid w:val="00EB1E68"/>
    <w:rsid w:val="00EB25AC"/>
    <w:rsid w:val="00EB3B1D"/>
    <w:rsid w:val="00EB4A16"/>
    <w:rsid w:val="00EB4F05"/>
    <w:rsid w:val="00EB5E4A"/>
    <w:rsid w:val="00EB6F21"/>
    <w:rsid w:val="00EB7096"/>
    <w:rsid w:val="00EB7214"/>
    <w:rsid w:val="00EB7A5B"/>
    <w:rsid w:val="00EB7C8F"/>
    <w:rsid w:val="00EB7FA7"/>
    <w:rsid w:val="00EC0CDF"/>
    <w:rsid w:val="00EC1D6C"/>
    <w:rsid w:val="00EC2033"/>
    <w:rsid w:val="00EC27C8"/>
    <w:rsid w:val="00EC2FB7"/>
    <w:rsid w:val="00EC31EA"/>
    <w:rsid w:val="00EC4572"/>
    <w:rsid w:val="00EC45D6"/>
    <w:rsid w:val="00EC5B6A"/>
    <w:rsid w:val="00EC6706"/>
    <w:rsid w:val="00EC6D47"/>
    <w:rsid w:val="00EC7A5D"/>
    <w:rsid w:val="00EC7D7E"/>
    <w:rsid w:val="00EC7F0D"/>
    <w:rsid w:val="00ED0C27"/>
    <w:rsid w:val="00ED0C86"/>
    <w:rsid w:val="00ED0CBB"/>
    <w:rsid w:val="00ED12AB"/>
    <w:rsid w:val="00ED2631"/>
    <w:rsid w:val="00ED2A9F"/>
    <w:rsid w:val="00ED2E78"/>
    <w:rsid w:val="00ED35B4"/>
    <w:rsid w:val="00ED3D68"/>
    <w:rsid w:val="00ED3E6B"/>
    <w:rsid w:val="00ED3EF3"/>
    <w:rsid w:val="00ED4ABB"/>
    <w:rsid w:val="00ED4D5B"/>
    <w:rsid w:val="00ED4F14"/>
    <w:rsid w:val="00ED4FFD"/>
    <w:rsid w:val="00ED5201"/>
    <w:rsid w:val="00ED54BE"/>
    <w:rsid w:val="00ED5A3C"/>
    <w:rsid w:val="00ED5A7A"/>
    <w:rsid w:val="00ED5A92"/>
    <w:rsid w:val="00ED6655"/>
    <w:rsid w:val="00ED6778"/>
    <w:rsid w:val="00ED6E1E"/>
    <w:rsid w:val="00ED795A"/>
    <w:rsid w:val="00ED79D2"/>
    <w:rsid w:val="00ED7BD0"/>
    <w:rsid w:val="00EE0404"/>
    <w:rsid w:val="00EE05F8"/>
    <w:rsid w:val="00EE08B6"/>
    <w:rsid w:val="00EE0C03"/>
    <w:rsid w:val="00EE13CF"/>
    <w:rsid w:val="00EE1EA4"/>
    <w:rsid w:val="00EE23E4"/>
    <w:rsid w:val="00EE2980"/>
    <w:rsid w:val="00EE30BF"/>
    <w:rsid w:val="00EE3306"/>
    <w:rsid w:val="00EE3366"/>
    <w:rsid w:val="00EE336F"/>
    <w:rsid w:val="00EE33FC"/>
    <w:rsid w:val="00EE39BA"/>
    <w:rsid w:val="00EE3A92"/>
    <w:rsid w:val="00EE3CCF"/>
    <w:rsid w:val="00EE5387"/>
    <w:rsid w:val="00EE61F1"/>
    <w:rsid w:val="00EE6760"/>
    <w:rsid w:val="00EE6882"/>
    <w:rsid w:val="00EE730D"/>
    <w:rsid w:val="00EE7849"/>
    <w:rsid w:val="00EE7BFB"/>
    <w:rsid w:val="00EF132D"/>
    <w:rsid w:val="00EF1B5B"/>
    <w:rsid w:val="00EF2096"/>
    <w:rsid w:val="00EF3325"/>
    <w:rsid w:val="00EF6F2F"/>
    <w:rsid w:val="00F001D0"/>
    <w:rsid w:val="00F003D9"/>
    <w:rsid w:val="00F00C62"/>
    <w:rsid w:val="00F01487"/>
    <w:rsid w:val="00F0177A"/>
    <w:rsid w:val="00F01E1B"/>
    <w:rsid w:val="00F020E9"/>
    <w:rsid w:val="00F04A61"/>
    <w:rsid w:val="00F04AE5"/>
    <w:rsid w:val="00F05C6D"/>
    <w:rsid w:val="00F06341"/>
    <w:rsid w:val="00F06F7C"/>
    <w:rsid w:val="00F074B5"/>
    <w:rsid w:val="00F076E4"/>
    <w:rsid w:val="00F07EED"/>
    <w:rsid w:val="00F1069E"/>
    <w:rsid w:val="00F107A3"/>
    <w:rsid w:val="00F10A5F"/>
    <w:rsid w:val="00F11228"/>
    <w:rsid w:val="00F11FCA"/>
    <w:rsid w:val="00F12242"/>
    <w:rsid w:val="00F127E4"/>
    <w:rsid w:val="00F12E06"/>
    <w:rsid w:val="00F15355"/>
    <w:rsid w:val="00F174DA"/>
    <w:rsid w:val="00F20156"/>
    <w:rsid w:val="00F20419"/>
    <w:rsid w:val="00F209F9"/>
    <w:rsid w:val="00F20EDF"/>
    <w:rsid w:val="00F214CA"/>
    <w:rsid w:val="00F224A4"/>
    <w:rsid w:val="00F22513"/>
    <w:rsid w:val="00F22811"/>
    <w:rsid w:val="00F234F8"/>
    <w:rsid w:val="00F235CD"/>
    <w:rsid w:val="00F23611"/>
    <w:rsid w:val="00F23639"/>
    <w:rsid w:val="00F24A93"/>
    <w:rsid w:val="00F25F95"/>
    <w:rsid w:val="00F26FB2"/>
    <w:rsid w:val="00F273A2"/>
    <w:rsid w:val="00F30F1F"/>
    <w:rsid w:val="00F30F48"/>
    <w:rsid w:val="00F31293"/>
    <w:rsid w:val="00F33ABB"/>
    <w:rsid w:val="00F35BBF"/>
    <w:rsid w:val="00F35C0E"/>
    <w:rsid w:val="00F35F03"/>
    <w:rsid w:val="00F3609B"/>
    <w:rsid w:val="00F36B94"/>
    <w:rsid w:val="00F371F0"/>
    <w:rsid w:val="00F37269"/>
    <w:rsid w:val="00F37385"/>
    <w:rsid w:val="00F40EB5"/>
    <w:rsid w:val="00F4145E"/>
    <w:rsid w:val="00F41917"/>
    <w:rsid w:val="00F41943"/>
    <w:rsid w:val="00F41E4F"/>
    <w:rsid w:val="00F42839"/>
    <w:rsid w:val="00F42A00"/>
    <w:rsid w:val="00F4301C"/>
    <w:rsid w:val="00F43DA5"/>
    <w:rsid w:val="00F444B7"/>
    <w:rsid w:val="00F44706"/>
    <w:rsid w:val="00F44721"/>
    <w:rsid w:val="00F45416"/>
    <w:rsid w:val="00F45798"/>
    <w:rsid w:val="00F45BD2"/>
    <w:rsid w:val="00F4605C"/>
    <w:rsid w:val="00F468FC"/>
    <w:rsid w:val="00F4692A"/>
    <w:rsid w:val="00F46A61"/>
    <w:rsid w:val="00F46F36"/>
    <w:rsid w:val="00F47294"/>
    <w:rsid w:val="00F4736C"/>
    <w:rsid w:val="00F478E5"/>
    <w:rsid w:val="00F504F6"/>
    <w:rsid w:val="00F50C9E"/>
    <w:rsid w:val="00F519A6"/>
    <w:rsid w:val="00F52672"/>
    <w:rsid w:val="00F52E99"/>
    <w:rsid w:val="00F544CB"/>
    <w:rsid w:val="00F545FB"/>
    <w:rsid w:val="00F547D4"/>
    <w:rsid w:val="00F55E18"/>
    <w:rsid w:val="00F55F28"/>
    <w:rsid w:val="00F56696"/>
    <w:rsid w:val="00F574FA"/>
    <w:rsid w:val="00F61618"/>
    <w:rsid w:val="00F621BB"/>
    <w:rsid w:val="00F627AF"/>
    <w:rsid w:val="00F6300A"/>
    <w:rsid w:val="00F635C9"/>
    <w:rsid w:val="00F63FBC"/>
    <w:rsid w:val="00F64922"/>
    <w:rsid w:val="00F64EAE"/>
    <w:rsid w:val="00F65196"/>
    <w:rsid w:val="00F65591"/>
    <w:rsid w:val="00F65A0B"/>
    <w:rsid w:val="00F65E3E"/>
    <w:rsid w:val="00F660AE"/>
    <w:rsid w:val="00F665D5"/>
    <w:rsid w:val="00F67BF7"/>
    <w:rsid w:val="00F70F0C"/>
    <w:rsid w:val="00F71029"/>
    <w:rsid w:val="00F71153"/>
    <w:rsid w:val="00F711F6"/>
    <w:rsid w:val="00F71254"/>
    <w:rsid w:val="00F71525"/>
    <w:rsid w:val="00F716E9"/>
    <w:rsid w:val="00F72431"/>
    <w:rsid w:val="00F725ED"/>
    <w:rsid w:val="00F745CF"/>
    <w:rsid w:val="00F75975"/>
    <w:rsid w:val="00F75FCF"/>
    <w:rsid w:val="00F761AC"/>
    <w:rsid w:val="00F762CD"/>
    <w:rsid w:val="00F76353"/>
    <w:rsid w:val="00F767C4"/>
    <w:rsid w:val="00F76AD0"/>
    <w:rsid w:val="00F77133"/>
    <w:rsid w:val="00F772DC"/>
    <w:rsid w:val="00F80BFC"/>
    <w:rsid w:val="00F80E72"/>
    <w:rsid w:val="00F811C9"/>
    <w:rsid w:val="00F81B79"/>
    <w:rsid w:val="00F81C07"/>
    <w:rsid w:val="00F81D7A"/>
    <w:rsid w:val="00F837D2"/>
    <w:rsid w:val="00F8390A"/>
    <w:rsid w:val="00F83D63"/>
    <w:rsid w:val="00F83E6D"/>
    <w:rsid w:val="00F8491C"/>
    <w:rsid w:val="00F84C8B"/>
    <w:rsid w:val="00F85204"/>
    <w:rsid w:val="00F868C5"/>
    <w:rsid w:val="00F87398"/>
    <w:rsid w:val="00F90075"/>
    <w:rsid w:val="00F9084D"/>
    <w:rsid w:val="00F91EC6"/>
    <w:rsid w:val="00F937AF"/>
    <w:rsid w:val="00F941D7"/>
    <w:rsid w:val="00F94200"/>
    <w:rsid w:val="00F949F4"/>
    <w:rsid w:val="00F955E5"/>
    <w:rsid w:val="00F969CA"/>
    <w:rsid w:val="00F969F9"/>
    <w:rsid w:val="00F978AA"/>
    <w:rsid w:val="00FA0FC8"/>
    <w:rsid w:val="00FA210A"/>
    <w:rsid w:val="00FA35D2"/>
    <w:rsid w:val="00FA44E8"/>
    <w:rsid w:val="00FA50F5"/>
    <w:rsid w:val="00FA5188"/>
    <w:rsid w:val="00FA58A1"/>
    <w:rsid w:val="00FA5DA7"/>
    <w:rsid w:val="00FA6E68"/>
    <w:rsid w:val="00FA7AFE"/>
    <w:rsid w:val="00FB0BE0"/>
    <w:rsid w:val="00FB12B2"/>
    <w:rsid w:val="00FB14E2"/>
    <w:rsid w:val="00FB17D6"/>
    <w:rsid w:val="00FB1EA1"/>
    <w:rsid w:val="00FB264D"/>
    <w:rsid w:val="00FB2925"/>
    <w:rsid w:val="00FB2BB1"/>
    <w:rsid w:val="00FB3000"/>
    <w:rsid w:val="00FB40D8"/>
    <w:rsid w:val="00FB428D"/>
    <w:rsid w:val="00FB59C0"/>
    <w:rsid w:val="00FB5B3D"/>
    <w:rsid w:val="00FB5E77"/>
    <w:rsid w:val="00FB637E"/>
    <w:rsid w:val="00FB706E"/>
    <w:rsid w:val="00FC079A"/>
    <w:rsid w:val="00FC0B6B"/>
    <w:rsid w:val="00FC14C6"/>
    <w:rsid w:val="00FC16BD"/>
    <w:rsid w:val="00FC1A06"/>
    <w:rsid w:val="00FC2557"/>
    <w:rsid w:val="00FC2893"/>
    <w:rsid w:val="00FC2B4C"/>
    <w:rsid w:val="00FC402E"/>
    <w:rsid w:val="00FC5173"/>
    <w:rsid w:val="00FC5D16"/>
    <w:rsid w:val="00FC7337"/>
    <w:rsid w:val="00FD02A1"/>
    <w:rsid w:val="00FD07D6"/>
    <w:rsid w:val="00FD09EB"/>
    <w:rsid w:val="00FD12B7"/>
    <w:rsid w:val="00FD1BB4"/>
    <w:rsid w:val="00FD2786"/>
    <w:rsid w:val="00FD3777"/>
    <w:rsid w:val="00FD41A6"/>
    <w:rsid w:val="00FD5762"/>
    <w:rsid w:val="00FD58A4"/>
    <w:rsid w:val="00FD65BF"/>
    <w:rsid w:val="00FD65F9"/>
    <w:rsid w:val="00FD6CDD"/>
    <w:rsid w:val="00FD6F5F"/>
    <w:rsid w:val="00FD74F1"/>
    <w:rsid w:val="00FD77CE"/>
    <w:rsid w:val="00FD7E88"/>
    <w:rsid w:val="00FE05D9"/>
    <w:rsid w:val="00FE0809"/>
    <w:rsid w:val="00FE10F4"/>
    <w:rsid w:val="00FE2A26"/>
    <w:rsid w:val="00FE2ACE"/>
    <w:rsid w:val="00FE2EF3"/>
    <w:rsid w:val="00FE3539"/>
    <w:rsid w:val="00FE4FCC"/>
    <w:rsid w:val="00FE5390"/>
    <w:rsid w:val="00FE5FEB"/>
    <w:rsid w:val="00FE61D8"/>
    <w:rsid w:val="00FE6410"/>
    <w:rsid w:val="00FE679D"/>
    <w:rsid w:val="00FE76B1"/>
    <w:rsid w:val="00FE79B5"/>
    <w:rsid w:val="00FE7C33"/>
    <w:rsid w:val="00FE7FBE"/>
    <w:rsid w:val="00FF0200"/>
    <w:rsid w:val="00FF081E"/>
    <w:rsid w:val="00FF0C75"/>
    <w:rsid w:val="00FF1707"/>
    <w:rsid w:val="00FF2B42"/>
    <w:rsid w:val="00FF3393"/>
    <w:rsid w:val="00FF3B2F"/>
    <w:rsid w:val="00FF3D27"/>
    <w:rsid w:val="00FF3EC3"/>
    <w:rsid w:val="00FF449D"/>
    <w:rsid w:val="00FF46F7"/>
    <w:rsid w:val="00FF4890"/>
    <w:rsid w:val="00FF5072"/>
    <w:rsid w:val="00FF58E4"/>
    <w:rsid w:val="00FF5C4F"/>
    <w:rsid w:val="00FF5FA8"/>
    <w:rsid w:val="00FF67B5"/>
    <w:rsid w:val="00FF68DD"/>
    <w:rsid w:val="00FF6A6C"/>
    <w:rsid w:val="00FF7A21"/>
    <w:rsid w:val="00FF7CF1"/>
    <w:rsid w:val="015CAB15"/>
    <w:rsid w:val="01A63861"/>
    <w:rsid w:val="0245634B"/>
    <w:rsid w:val="02549213"/>
    <w:rsid w:val="026372BF"/>
    <w:rsid w:val="04AF7282"/>
    <w:rsid w:val="05E8BB9C"/>
    <w:rsid w:val="0A483083"/>
    <w:rsid w:val="0B763CA8"/>
    <w:rsid w:val="0B7B46BF"/>
    <w:rsid w:val="0B95AF62"/>
    <w:rsid w:val="0BC8EF17"/>
    <w:rsid w:val="0C0BD3D3"/>
    <w:rsid w:val="0C17C956"/>
    <w:rsid w:val="0E17161B"/>
    <w:rsid w:val="0E3F6DC1"/>
    <w:rsid w:val="0ED19841"/>
    <w:rsid w:val="0EE06375"/>
    <w:rsid w:val="0F4A9EA9"/>
    <w:rsid w:val="0F5EC3AA"/>
    <w:rsid w:val="10CF1AE9"/>
    <w:rsid w:val="11EBDBA7"/>
    <w:rsid w:val="1317757B"/>
    <w:rsid w:val="13779A52"/>
    <w:rsid w:val="13A7AF74"/>
    <w:rsid w:val="1603F1F3"/>
    <w:rsid w:val="16AC64B3"/>
    <w:rsid w:val="1758039C"/>
    <w:rsid w:val="176E12C2"/>
    <w:rsid w:val="182F6FC7"/>
    <w:rsid w:val="1935F8EA"/>
    <w:rsid w:val="196BB11C"/>
    <w:rsid w:val="1998EBCF"/>
    <w:rsid w:val="1B08878A"/>
    <w:rsid w:val="1B4F3564"/>
    <w:rsid w:val="1B956551"/>
    <w:rsid w:val="1CC6E837"/>
    <w:rsid w:val="1CC6FD4C"/>
    <w:rsid w:val="1D94257B"/>
    <w:rsid w:val="1DB83D2F"/>
    <w:rsid w:val="1DE16B75"/>
    <w:rsid w:val="1E13E675"/>
    <w:rsid w:val="1F74A41E"/>
    <w:rsid w:val="1FB1A114"/>
    <w:rsid w:val="21354CE2"/>
    <w:rsid w:val="21DAD128"/>
    <w:rsid w:val="230B7408"/>
    <w:rsid w:val="234ABF72"/>
    <w:rsid w:val="237BA660"/>
    <w:rsid w:val="23CC5A88"/>
    <w:rsid w:val="23D9BA33"/>
    <w:rsid w:val="23F38B0C"/>
    <w:rsid w:val="2526A64C"/>
    <w:rsid w:val="26D0551E"/>
    <w:rsid w:val="26F9DB27"/>
    <w:rsid w:val="2795A84B"/>
    <w:rsid w:val="28F63899"/>
    <w:rsid w:val="29353B02"/>
    <w:rsid w:val="2A3C3A2B"/>
    <w:rsid w:val="2A510735"/>
    <w:rsid w:val="2ADFE033"/>
    <w:rsid w:val="2BAA5351"/>
    <w:rsid w:val="2C6478AE"/>
    <w:rsid w:val="2D3F1115"/>
    <w:rsid w:val="2E0D59BB"/>
    <w:rsid w:val="2E6887D7"/>
    <w:rsid w:val="2E762D04"/>
    <w:rsid w:val="2F1CEE4E"/>
    <w:rsid w:val="2F9C8253"/>
    <w:rsid w:val="2FCD8DF7"/>
    <w:rsid w:val="31282BA6"/>
    <w:rsid w:val="328180A2"/>
    <w:rsid w:val="328CEBD4"/>
    <w:rsid w:val="3630468D"/>
    <w:rsid w:val="3AB6D528"/>
    <w:rsid w:val="3CA2246E"/>
    <w:rsid w:val="3CF10DB2"/>
    <w:rsid w:val="3E88A3DF"/>
    <w:rsid w:val="40C82F91"/>
    <w:rsid w:val="414B94DC"/>
    <w:rsid w:val="41F8CBF4"/>
    <w:rsid w:val="425351EE"/>
    <w:rsid w:val="42711435"/>
    <w:rsid w:val="42762A87"/>
    <w:rsid w:val="428E0D36"/>
    <w:rsid w:val="42AB2C90"/>
    <w:rsid w:val="4470D551"/>
    <w:rsid w:val="44775173"/>
    <w:rsid w:val="4527D2AA"/>
    <w:rsid w:val="46641C28"/>
    <w:rsid w:val="474B56E0"/>
    <w:rsid w:val="4805E9D4"/>
    <w:rsid w:val="48EBD8D5"/>
    <w:rsid w:val="493C74A6"/>
    <w:rsid w:val="49A35EAB"/>
    <w:rsid w:val="4AD4E651"/>
    <w:rsid w:val="4BE0D325"/>
    <w:rsid w:val="4C0D7E24"/>
    <w:rsid w:val="4C73FE68"/>
    <w:rsid w:val="4C90E3C1"/>
    <w:rsid w:val="4CBB2619"/>
    <w:rsid w:val="4E2FBCC1"/>
    <w:rsid w:val="4EB5D093"/>
    <w:rsid w:val="5012E16E"/>
    <w:rsid w:val="50164E72"/>
    <w:rsid w:val="5036F7A3"/>
    <w:rsid w:val="51DB04E4"/>
    <w:rsid w:val="5204D0E7"/>
    <w:rsid w:val="520DD71D"/>
    <w:rsid w:val="52407A69"/>
    <w:rsid w:val="526020CF"/>
    <w:rsid w:val="5271993E"/>
    <w:rsid w:val="52866733"/>
    <w:rsid w:val="536BB429"/>
    <w:rsid w:val="5386061E"/>
    <w:rsid w:val="5522538B"/>
    <w:rsid w:val="57C05DE2"/>
    <w:rsid w:val="57D42322"/>
    <w:rsid w:val="585B6C0F"/>
    <w:rsid w:val="595D2BC4"/>
    <w:rsid w:val="5A22F738"/>
    <w:rsid w:val="5A344DED"/>
    <w:rsid w:val="5AF60A5D"/>
    <w:rsid w:val="5B804CCF"/>
    <w:rsid w:val="5C4D3DE5"/>
    <w:rsid w:val="5E0B5D42"/>
    <w:rsid w:val="5E11CF0A"/>
    <w:rsid w:val="5F9124AE"/>
    <w:rsid w:val="5FC53E0A"/>
    <w:rsid w:val="601977F8"/>
    <w:rsid w:val="609347C1"/>
    <w:rsid w:val="60EAF82E"/>
    <w:rsid w:val="6145D4E0"/>
    <w:rsid w:val="61B0F35D"/>
    <w:rsid w:val="61DBF051"/>
    <w:rsid w:val="620BBD38"/>
    <w:rsid w:val="621FF458"/>
    <w:rsid w:val="62C27525"/>
    <w:rsid w:val="62EB274C"/>
    <w:rsid w:val="634520DC"/>
    <w:rsid w:val="63BB5E57"/>
    <w:rsid w:val="64ED60F4"/>
    <w:rsid w:val="6576BE6F"/>
    <w:rsid w:val="65BA145D"/>
    <w:rsid w:val="65C1FFAF"/>
    <w:rsid w:val="65CBA153"/>
    <w:rsid w:val="66CD6781"/>
    <w:rsid w:val="66D18F12"/>
    <w:rsid w:val="67C84803"/>
    <w:rsid w:val="6850FA2E"/>
    <w:rsid w:val="68C46D4F"/>
    <w:rsid w:val="6A44C4C7"/>
    <w:rsid w:val="6AA5B98E"/>
    <w:rsid w:val="6D18C224"/>
    <w:rsid w:val="6D2D5732"/>
    <w:rsid w:val="6DD2FAE2"/>
    <w:rsid w:val="6DF362F2"/>
    <w:rsid w:val="6E584BAE"/>
    <w:rsid w:val="6F1F81BD"/>
    <w:rsid w:val="6FFCBAAE"/>
    <w:rsid w:val="74FBD7E8"/>
    <w:rsid w:val="752E91AA"/>
    <w:rsid w:val="76F3CA7D"/>
    <w:rsid w:val="7735D097"/>
    <w:rsid w:val="773AB551"/>
    <w:rsid w:val="77B681C5"/>
    <w:rsid w:val="77DF4C92"/>
    <w:rsid w:val="78E9AE3B"/>
    <w:rsid w:val="79560602"/>
    <w:rsid w:val="7978BCA0"/>
    <w:rsid w:val="7B22FC9E"/>
    <w:rsid w:val="7BDE8D47"/>
    <w:rsid w:val="7BE143E9"/>
    <w:rsid w:val="7C2A7D8D"/>
    <w:rsid w:val="7C2BDDF7"/>
    <w:rsid w:val="7D16068F"/>
    <w:rsid w:val="7D54A66E"/>
    <w:rsid w:val="7DA2835C"/>
    <w:rsid w:val="7DE50355"/>
    <w:rsid w:val="7E121C5C"/>
    <w:rsid w:val="7E6FE9EC"/>
    <w:rsid w:val="7F88DD8B"/>
    <w:rsid w:val="7FBE7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F59E44B0-3812-4874-BF69-1D203B96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7EA"/>
    <w:rPr>
      <w:rFonts w:ascii="Times New Roman" w:eastAsia="Times New Roman" w:hAnsi="Times New Roman" w:cs="Times New Roman"/>
    </w:rPr>
  </w:style>
  <w:style w:type="paragraph" w:styleId="Heading1">
    <w:name w:val="heading 1"/>
    <w:basedOn w:val="Normal"/>
    <w:next w:val="Normal"/>
    <w:uiPriority w:val="9"/>
    <w:qFormat/>
    <w:pPr>
      <w:keepNext/>
      <w:widowControl w:val="0"/>
      <w:spacing w:before="240" w:after="60"/>
      <w:jc w:val="both"/>
      <w:outlineLvl w:val="0"/>
    </w:pPr>
    <w:rPr>
      <w:rFonts w:ascii="Calibri" w:eastAsia="Calibri" w:hAnsi="Calibri" w:cs="Calibri"/>
      <w:b/>
      <w:sz w:val="28"/>
      <w:szCs w:val="28"/>
    </w:rPr>
  </w:style>
  <w:style w:type="paragraph" w:styleId="Heading2">
    <w:name w:val="heading 2"/>
    <w:basedOn w:val="Normal"/>
    <w:next w:val="Normal"/>
    <w:uiPriority w:val="9"/>
    <w:semiHidden/>
    <w:unhideWhenUsed/>
    <w:qFormat/>
    <w:pPr>
      <w:keepNext/>
      <w:widowControl w:val="0"/>
      <w:jc w:val="both"/>
      <w:outlineLvl w:val="1"/>
    </w:pPr>
    <w:rPr>
      <w:rFonts w:ascii="Calibri" w:eastAsia="Calibri" w:hAnsi="Calibri" w:cs="Calibri"/>
      <w:b/>
    </w:rPr>
  </w:style>
  <w:style w:type="paragraph" w:styleId="Heading3">
    <w:name w:val="heading 3"/>
    <w:basedOn w:val="Normal"/>
    <w:next w:val="Normal"/>
    <w:uiPriority w:val="9"/>
    <w:unhideWhenUsed/>
    <w:qFormat/>
    <w:pPr>
      <w:keepNext/>
      <w:keepLines/>
      <w:widowControl w:val="0"/>
      <w:spacing w:before="200"/>
      <w:jc w:val="both"/>
      <w:outlineLvl w:val="2"/>
    </w:pPr>
    <w:rPr>
      <w:rFonts w:ascii="Cambria" w:eastAsia="Cambria" w:hAnsi="Cambria" w:cs="Cambria"/>
      <w:b/>
      <w:color w:val="4F81BD"/>
    </w:rPr>
  </w:style>
  <w:style w:type="paragraph" w:styleId="Heading4">
    <w:name w:val="heading 4"/>
    <w:basedOn w:val="Normal"/>
    <w:next w:val="Normal"/>
    <w:uiPriority w:val="9"/>
    <w:unhideWhenUsed/>
    <w:qFormat/>
    <w:pPr>
      <w:keepNext/>
      <w:keepLines/>
      <w:widowControl w:val="0"/>
      <w:spacing w:before="240" w:after="40"/>
      <w:jc w:val="both"/>
      <w:outlineLvl w:val="3"/>
    </w:pPr>
    <w:rPr>
      <w:rFonts w:ascii="Calibri" w:eastAsia="Calibri" w:hAnsi="Calibri" w:cs="Calibri"/>
      <w:b/>
    </w:rPr>
  </w:style>
  <w:style w:type="paragraph" w:styleId="Heading5">
    <w:name w:val="heading 5"/>
    <w:basedOn w:val="Normal"/>
    <w:next w:val="Normal"/>
    <w:uiPriority w:val="9"/>
    <w:semiHidden/>
    <w:unhideWhenUsed/>
    <w:qFormat/>
    <w:pPr>
      <w:keepNext/>
      <w:keepLines/>
      <w:widowControl w:val="0"/>
      <w:spacing w:before="220" w:after="40"/>
      <w:jc w:val="both"/>
      <w:outlineLvl w:val="4"/>
    </w:pPr>
    <w:rPr>
      <w:rFonts w:ascii="Calibri" w:eastAsia="Calibri" w:hAnsi="Calibri" w:cs="Calibri"/>
      <w:b/>
      <w:sz w:val="22"/>
      <w:szCs w:val="22"/>
    </w:rPr>
  </w:style>
  <w:style w:type="paragraph" w:styleId="Heading6">
    <w:name w:val="heading 6"/>
    <w:basedOn w:val="Normal"/>
    <w:next w:val="Normal"/>
    <w:uiPriority w:val="9"/>
    <w:semiHidden/>
    <w:unhideWhenUsed/>
    <w:qFormat/>
    <w:pPr>
      <w:keepNext/>
      <w:keepLines/>
      <w:widowControl w:val="0"/>
      <w:spacing w:before="200" w:after="40"/>
      <w:jc w:val="both"/>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Calibri" w:hAnsi="Calibri" w:cs="Calibri"/>
      <w:b/>
      <w:sz w:val="72"/>
      <w:szCs w:val="72"/>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customStyle="1" w:styleId="paragraph">
    <w:name w:val="paragraph"/>
    <w:basedOn w:val="Normal"/>
    <w:rsid w:val="006D4068"/>
  </w:style>
  <w:style w:type="character" w:customStyle="1" w:styleId="spellingerror">
    <w:name w:val="spellingerror"/>
    <w:basedOn w:val="DefaultParagraphFont"/>
    <w:rsid w:val="006D4068"/>
  </w:style>
  <w:style w:type="character" w:customStyle="1" w:styleId="normaltextrun">
    <w:name w:val="normaltextrun"/>
    <w:basedOn w:val="DefaultParagraphFont"/>
    <w:rsid w:val="006D4068"/>
  </w:style>
  <w:style w:type="character" w:customStyle="1" w:styleId="eop">
    <w:name w:val="eop"/>
    <w:basedOn w:val="DefaultParagraphFont"/>
    <w:rsid w:val="006D4068"/>
  </w:style>
  <w:style w:type="character" w:customStyle="1" w:styleId="scxw16534270">
    <w:name w:val="scxw16534270"/>
    <w:basedOn w:val="DefaultParagraphFont"/>
    <w:rsid w:val="006D4068"/>
  </w:style>
  <w:style w:type="paragraph" w:styleId="ListParagraph">
    <w:name w:val="List Paragraph"/>
    <w:basedOn w:val="Normal"/>
    <w:uiPriority w:val="34"/>
    <w:qFormat/>
    <w:rsid w:val="00596E01"/>
    <w:pPr>
      <w:widowControl w:val="0"/>
      <w:contextualSpacing/>
      <w:jc w:val="both"/>
    </w:pPr>
    <w:rPr>
      <w:rFonts w:ascii="Calibri" w:eastAsia="Calibri" w:hAnsi="Calibri" w:cs="Calibri"/>
    </w:rPr>
  </w:style>
  <w:style w:type="numbering" w:customStyle="1" w:styleId="CurrentList1">
    <w:name w:val="Current List1"/>
    <w:uiPriority w:val="99"/>
    <w:rsid w:val="009159D7"/>
    <w:pPr>
      <w:numPr>
        <w:numId w:val="1"/>
      </w:numPr>
    </w:pPr>
  </w:style>
  <w:style w:type="table" w:styleId="TableGrid">
    <w:name w:val="Table Grid"/>
    <w:basedOn w:val="TableNormal"/>
    <w:uiPriority w:val="39"/>
    <w:rsid w:val="00E871F1"/>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871F1"/>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B42048"/>
    <w:rPr>
      <w:color w:val="800080" w:themeColor="followedHyperlink"/>
      <w:u w:val="single"/>
    </w:rPr>
  </w:style>
  <w:style w:type="paragraph" w:styleId="Revision">
    <w:name w:val="Revision"/>
    <w:hidden/>
    <w:uiPriority w:val="99"/>
    <w:semiHidden/>
    <w:rsid w:val="008E1319"/>
  </w:style>
  <w:style w:type="character" w:styleId="CommentReference">
    <w:name w:val="annotation reference"/>
    <w:basedOn w:val="DefaultParagraphFont"/>
    <w:uiPriority w:val="99"/>
    <w:semiHidden/>
    <w:unhideWhenUsed/>
    <w:rsid w:val="008E1319"/>
    <w:rPr>
      <w:sz w:val="16"/>
      <w:szCs w:val="16"/>
    </w:rPr>
  </w:style>
  <w:style w:type="paragraph" w:styleId="CommentText">
    <w:name w:val="annotation text"/>
    <w:basedOn w:val="Normal"/>
    <w:link w:val="CommentTextChar"/>
    <w:uiPriority w:val="99"/>
    <w:unhideWhenUsed/>
    <w:rsid w:val="008E1319"/>
    <w:pPr>
      <w:widowControl w:val="0"/>
      <w:jc w:val="both"/>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E1319"/>
    <w:rPr>
      <w:sz w:val="20"/>
      <w:szCs w:val="20"/>
    </w:rPr>
  </w:style>
  <w:style w:type="paragraph" w:styleId="CommentSubject">
    <w:name w:val="annotation subject"/>
    <w:basedOn w:val="CommentText"/>
    <w:next w:val="CommentText"/>
    <w:link w:val="CommentSubjectChar"/>
    <w:uiPriority w:val="99"/>
    <w:semiHidden/>
    <w:unhideWhenUsed/>
    <w:rsid w:val="008E1319"/>
    <w:rPr>
      <w:b/>
      <w:bCs/>
    </w:rPr>
  </w:style>
  <w:style w:type="character" w:customStyle="1" w:styleId="CommentSubjectChar">
    <w:name w:val="Comment Subject Char"/>
    <w:basedOn w:val="CommentTextChar"/>
    <w:link w:val="CommentSubject"/>
    <w:uiPriority w:val="99"/>
    <w:semiHidden/>
    <w:rsid w:val="008E1319"/>
    <w:rPr>
      <w:b/>
      <w:bCs/>
      <w:sz w:val="20"/>
      <w:szCs w:val="20"/>
    </w:rPr>
  </w:style>
  <w:style w:type="character" w:styleId="Emphasis">
    <w:name w:val="Emphasis"/>
    <w:basedOn w:val="DefaultParagraphFont"/>
    <w:uiPriority w:val="20"/>
    <w:qFormat/>
    <w:rsid w:val="008D02A0"/>
    <w:rPr>
      <w:i/>
      <w:iCs/>
    </w:rPr>
  </w:style>
  <w:style w:type="character" w:styleId="PlaceholderText">
    <w:name w:val="Placeholder Text"/>
    <w:basedOn w:val="DefaultParagraphFont"/>
    <w:uiPriority w:val="99"/>
    <w:semiHidden/>
    <w:rsid w:val="00360FC1"/>
    <w:rPr>
      <w:color w:val="808080"/>
    </w:rPr>
  </w:style>
  <w:style w:type="character" w:styleId="LineNumber">
    <w:name w:val="line number"/>
    <w:basedOn w:val="DefaultParagraphFont"/>
    <w:uiPriority w:val="99"/>
    <w:semiHidden/>
    <w:unhideWhenUsed/>
    <w:rsid w:val="005E7837"/>
  </w:style>
  <w:style w:type="numbering" w:customStyle="1" w:styleId="CurrentList2">
    <w:name w:val="Current List2"/>
    <w:uiPriority w:val="99"/>
    <w:rsid w:val="009453AC"/>
    <w:pPr>
      <w:numPr>
        <w:numId w:val="2"/>
      </w:numPr>
    </w:pPr>
  </w:style>
  <w:style w:type="paragraph" w:styleId="Footer">
    <w:name w:val="footer"/>
    <w:basedOn w:val="Normal"/>
    <w:link w:val="FooterChar"/>
    <w:uiPriority w:val="99"/>
    <w:unhideWhenUsed/>
    <w:rsid w:val="00E26611"/>
    <w:pPr>
      <w:tabs>
        <w:tab w:val="center" w:pos="4680"/>
        <w:tab w:val="right" w:pos="9360"/>
      </w:tabs>
    </w:pPr>
  </w:style>
  <w:style w:type="character" w:customStyle="1" w:styleId="FooterChar">
    <w:name w:val="Footer Char"/>
    <w:basedOn w:val="DefaultParagraphFont"/>
    <w:link w:val="Footer"/>
    <w:uiPriority w:val="99"/>
    <w:rsid w:val="00E26611"/>
    <w:rPr>
      <w:rFonts w:ascii="Times New Roman" w:eastAsia="Times New Roman" w:hAnsi="Times New Roman" w:cs="Times New Roman"/>
    </w:rPr>
  </w:style>
  <w:style w:type="paragraph" w:styleId="Bibliography">
    <w:name w:val="Bibliography"/>
    <w:basedOn w:val="Normal"/>
    <w:next w:val="Normal"/>
    <w:uiPriority w:val="37"/>
    <w:unhideWhenUsed/>
    <w:rsid w:val="00015744"/>
    <w:pPr>
      <w:tabs>
        <w:tab w:val="left" w:pos="380"/>
      </w:tabs>
      <w:ind w:left="384" w:hanging="384"/>
    </w:pPr>
  </w:style>
  <w:style w:type="paragraph" w:styleId="NormalWeb">
    <w:name w:val="Normal (Web)"/>
    <w:basedOn w:val="Normal"/>
    <w:uiPriority w:val="99"/>
    <w:unhideWhenUsed/>
    <w:rsid w:val="00E33805"/>
  </w:style>
  <w:style w:type="character" w:styleId="Strong">
    <w:name w:val="Strong"/>
    <w:basedOn w:val="DefaultParagraphFont"/>
    <w:uiPriority w:val="22"/>
    <w:qFormat/>
    <w:rsid w:val="006E7CB0"/>
    <w:rPr>
      <w:b/>
      <w:bCs/>
    </w:rPr>
  </w:style>
  <w:style w:type="numbering" w:customStyle="1" w:styleId="CurrentList3">
    <w:name w:val="Current List3"/>
    <w:uiPriority w:val="99"/>
    <w:rsid w:val="009F0FA8"/>
    <w:pPr>
      <w:numPr>
        <w:numId w:val="3"/>
      </w:numPr>
    </w:pPr>
  </w:style>
  <w:style w:type="paragraph" w:styleId="BalloonText">
    <w:name w:val="Balloon Text"/>
    <w:basedOn w:val="Normal"/>
    <w:link w:val="BalloonTextChar"/>
    <w:uiPriority w:val="99"/>
    <w:semiHidden/>
    <w:unhideWhenUsed/>
    <w:rsid w:val="00770A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AE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413">
      <w:bodyDiv w:val="1"/>
      <w:marLeft w:val="0"/>
      <w:marRight w:val="0"/>
      <w:marTop w:val="0"/>
      <w:marBottom w:val="0"/>
      <w:divBdr>
        <w:top w:val="none" w:sz="0" w:space="0" w:color="auto"/>
        <w:left w:val="none" w:sz="0" w:space="0" w:color="auto"/>
        <w:bottom w:val="none" w:sz="0" w:space="0" w:color="auto"/>
        <w:right w:val="none" w:sz="0" w:space="0" w:color="auto"/>
      </w:divBdr>
    </w:div>
    <w:div w:id="174421119">
      <w:bodyDiv w:val="1"/>
      <w:marLeft w:val="0"/>
      <w:marRight w:val="0"/>
      <w:marTop w:val="0"/>
      <w:marBottom w:val="0"/>
      <w:divBdr>
        <w:top w:val="none" w:sz="0" w:space="0" w:color="auto"/>
        <w:left w:val="none" w:sz="0" w:space="0" w:color="auto"/>
        <w:bottom w:val="none" w:sz="0" w:space="0" w:color="auto"/>
        <w:right w:val="none" w:sz="0" w:space="0" w:color="auto"/>
      </w:divBdr>
      <w:divsChild>
        <w:div w:id="201939144">
          <w:marLeft w:val="0"/>
          <w:marRight w:val="0"/>
          <w:marTop w:val="0"/>
          <w:marBottom w:val="0"/>
          <w:divBdr>
            <w:top w:val="none" w:sz="0" w:space="0" w:color="auto"/>
            <w:left w:val="none" w:sz="0" w:space="0" w:color="auto"/>
            <w:bottom w:val="none" w:sz="0" w:space="0" w:color="auto"/>
            <w:right w:val="none" w:sz="0" w:space="0" w:color="auto"/>
          </w:divBdr>
          <w:divsChild>
            <w:div w:id="631441185">
              <w:marLeft w:val="0"/>
              <w:marRight w:val="0"/>
              <w:marTop w:val="0"/>
              <w:marBottom w:val="0"/>
              <w:divBdr>
                <w:top w:val="none" w:sz="0" w:space="0" w:color="auto"/>
                <w:left w:val="none" w:sz="0" w:space="0" w:color="auto"/>
                <w:bottom w:val="none" w:sz="0" w:space="0" w:color="auto"/>
                <w:right w:val="none" w:sz="0" w:space="0" w:color="auto"/>
              </w:divBdr>
            </w:div>
          </w:divsChild>
        </w:div>
        <w:div w:id="1473601146">
          <w:marLeft w:val="0"/>
          <w:marRight w:val="0"/>
          <w:marTop w:val="0"/>
          <w:marBottom w:val="0"/>
          <w:divBdr>
            <w:top w:val="none" w:sz="0" w:space="0" w:color="auto"/>
            <w:left w:val="none" w:sz="0" w:space="0" w:color="auto"/>
            <w:bottom w:val="none" w:sz="0" w:space="0" w:color="auto"/>
            <w:right w:val="none" w:sz="0" w:space="0" w:color="auto"/>
          </w:divBdr>
          <w:divsChild>
            <w:div w:id="150720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255064">
      <w:bodyDiv w:val="1"/>
      <w:marLeft w:val="0"/>
      <w:marRight w:val="0"/>
      <w:marTop w:val="0"/>
      <w:marBottom w:val="0"/>
      <w:divBdr>
        <w:top w:val="none" w:sz="0" w:space="0" w:color="auto"/>
        <w:left w:val="none" w:sz="0" w:space="0" w:color="auto"/>
        <w:bottom w:val="none" w:sz="0" w:space="0" w:color="auto"/>
        <w:right w:val="none" w:sz="0" w:space="0" w:color="auto"/>
      </w:divBdr>
    </w:div>
    <w:div w:id="319965644">
      <w:bodyDiv w:val="1"/>
      <w:marLeft w:val="0"/>
      <w:marRight w:val="0"/>
      <w:marTop w:val="0"/>
      <w:marBottom w:val="0"/>
      <w:divBdr>
        <w:top w:val="none" w:sz="0" w:space="0" w:color="auto"/>
        <w:left w:val="none" w:sz="0" w:space="0" w:color="auto"/>
        <w:bottom w:val="none" w:sz="0" w:space="0" w:color="auto"/>
        <w:right w:val="none" w:sz="0" w:space="0" w:color="auto"/>
      </w:divBdr>
    </w:div>
    <w:div w:id="357706610">
      <w:bodyDiv w:val="1"/>
      <w:marLeft w:val="0"/>
      <w:marRight w:val="0"/>
      <w:marTop w:val="0"/>
      <w:marBottom w:val="0"/>
      <w:divBdr>
        <w:top w:val="none" w:sz="0" w:space="0" w:color="auto"/>
        <w:left w:val="none" w:sz="0" w:space="0" w:color="auto"/>
        <w:bottom w:val="none" w:sz="0" w:space="0" w:color="auto"/>
        <w:right w:val="none" w:sz="0" w:space="0" w:color="auto"/>
      </w:divBdr>
    </w:div>
    <w:div w:id="389816216">
      <w:bodyDiv w:val="1"/>
      <w:marLeft w:val="0"/>
      <w:marRight w:val="0"/>
      <w:marTop w:val="0"/>
      <w:marBottom w:val="0"/>
      <w:divBdr>
        <w:top w:val="none" w:sz="0" w:space="0" w:color="auto"/>
        <w:left w:val="none" w:sz="0" w:space="0" w:color="auto"/>
        <w:bottom w:val="none" w:sz="0" w:space="0" w:color="auto"/>
        <w:right w:val="none" w:sz="0" w:space="0" w:color="auto"/>
      </w:divBdr>
      <w:divsChild>
        <w:div w:id="2054231732">
          <w:marLeft w:val="0"/>
          <w:marRight w:val="0"/>
          <w:marTop w:val="150"/>
          <w:marBottom w:val="150"/>
          <w:divBdr>
            <w:top w:val="none" w:sz="0" w:space="0" w:color="auto"/>
            <w:left w:val="none" w:sz="0" w:space="0" w:color="auto"/>
            <w:bottom w:val="none" w:sz="0" w:space="0" w:color="auto"/>
            <w:right w:val="none" w:sz="0" w:space="0" w:color="auto"/>
          </w:divBdr>
          <w:divsChild>
            <w:div w:id="959454613">
              <w:marLeft w:val="0"/>
              <w:marRight w:val="0"/>
              <w:marTop w:val="0"/>
              <w:marBottom w:val="0"/>
              <w:divBdr>
                <w:top w:val="none" w:sz="0" w:space="0" w:color="auto"/>
                <w:left w:val="none" w:sz="0" w:space="0" w:color="auto"/>
                <w:bottom w:val="none" w:sz="0" w:space="0" w:color="auto"/>
                <w:right w:val="none" w:sz="0" w:space="0" w:color="auto"/>
              </w:divBdr>
              <w:divsChild>
                <w:div w:id="351420115">
                  <w:marLeft w:val="0"/>
                  <w:marRight w:val="0"/>
                  <w:marTop w:val="0"/>
                  <w:marBottom w:val="0"/>
                  <w:divBdr>
                    <w:top w:val="none" w:sz="0" w:space="0" w:color="auto"/>
                    <w:left w:val="none" w:sz="0" w:space="0" w:color="auto"/>
                    <w:bottom w:val="none" w:sz="0" w:space="0" w:color="auto"/>
                    <w:right w:val="none" w:sz="0" w:space="0" w:color="auto"/>
                  </w:divBdr>
                  <w:divsChild>
                    <w:div w:id="1940529752">
                      <w:marLeft w:val="0"/>
                      <w:marRight w:val="60"/>
                      <w:marTop w:val="0"/>
                      <w:marBottom w:val="0"/>
                      <w:divBdr>
                        <w:top w:val="none" w:sz="0" w:space="0" w:color="auto"/>
                        <w:left w:val="none" w:sz="0" w:space="0" w:color="auto"/>
                        <w:bottom w:val="none" w:sz="0" w:space="0" w:color="auto"/>
                        <w:right w:val="none" w:sz="0" w:space="0" w:color="auto"/>
                      </w:divBdr>
                      <w:divsChild>
                        <w:div w:id="1022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321004">
      <w:bodyDiv w:val="1"/>
      <w:marLeft w:val="0"/>
      <w:marRight w:val="0"/>
      <w:marTop w:val="0"/>
      <w:marBottom w:val="0"/>
      <w:divBdr>
        <w:top w:val="none" w:sz="0" w:space="0" w:color="auto"/>
        <w:left w:val="none" w:sz="0" w:space="0" w:color="auto"/>
        <w:bottom w:val="none" w:sz="0" w:space="0" w:color="auto"/>
        <w:right w:val="none" w:sz="0" w:space="0" w:color="auto"/>
      </w:divBdr>
    </w:div>
    <w:div w:id="487478329">
      <w:bodyDiv w:val="1"/>
      <w:marLeft w:val="0"/>
      <w:marRight w:val="0"/>
      <w:marTop w:val="0"/>
      <w:marBottom w:val="0"/>
      <w:divBdr>
        <w:top w:val="none" w:sz="0" w:space="0" w:color="auto"/>
        <w:left w:val="none" w:sz="0" w:space="0" w:color="auto"/>
        <w:bottom w:val="none" w:sz="0" w:space="0" w:color="auto"/>
        <w:right w:val="none" w:sz="0" w:space="0" w:color="auto"/>
      </w:divBdr>
    </w:div>
    <w:div w:id="495926958">
      <w:bodyDiv w:val="1"/>
      <w:marLeft w:val="0"/>
      <w:marRight w:val="0"/>
      <w:marTop w:val="0"/>
      <w:marBottom w:val="0"/>
      <w:divBdr>
        <w:top w:val="none" w:sz="0" w:space="0" w:color="auto"/>
        <w:left w:val="none" w:sz="0" w:space="0" w:color="auto"/>
        <w:bottom w:val="none" w:sz="0" w:space="0" w:color="auto"/>
        <w:right w:val="none" w:sz="0" w:space="0" w:color="auto"/>
      </w:divBdr>
    </w:div>
    <w:div w:id="510026235">
      <w:bodyDiv w:val="1"/>
      <w:marLeft w:val="0"/>
      <w:marRight w:val="0"/>
      <w:marTop w:val="0"/>
      <w:marBottom w:val="0"/>
      <w:divBdr>
        <w:top w:val="none" w:sz="0" w:space="0" w:color="auto"/>
        <w:left w:val="none" w:sz="0" w:space="0" w:color="auto"/>
        <w:bottom w:val="none" w:sz="0" w:space="0" w:color="auto"/>
        <w:right w:val="none" w:sz="0" w:space="0" w:color="auto"/>
      </w:divBdr>
    </w:div>
    <w:div w:id="668170668">
      <w:bodyDiv w:val="1"/>
      <w:marLeft w:val="0"/>
      <w:marRight w:val="0"/>
      <w:marTop w:val="0"/>
      <w:marBottom w:val="0"/>
      <w:divBdr>
        <w:top w:val="none" w:sz="0" w:space="0" w:color="auto"/>
        <w:left w:val="none" w:sz="0" w:space="0" w:color="auto"/>
        <w:bottom w:val="none" w:sz="0" w:space="0" w:color="auto"/>
        <w:right w:val="none" w:sz="0" w:space="0" w:color="auto"/>
      </w:divBdr>
    </w:div>
    <w:div w:id="895891007">
      <w:bodyDiv w:val="1"/>
      <w:marLeft w:val="0"/>
      <w:marRight w:val="0"/>
      <w:marTop w:val="0"/>
      <w:marBottom w:val="0"/>
      <w:divBdr>
        <w:top w:val="none" w:sz="0" w:space="0" w:color="auto"/>
        <w:left w:val="none" w:sz="0" w:space="0" w:color="auto"/>
        <w:bottom w:val="none" w:sz="0" w:space="0" w:color="auto"/>
        <w:right w:val="none" w:sz="0" w:space="0" w:color="auto"/>
      </w:divBdr>
      <w:divsChild>
        <w:div w:id="56823153">
          <w:marLeft w:val="0"/>
          <w:marRight w:val="0"/>
          <w:marTop w:val="0"/>
          <w:marBottom w:val="0"/>
          <w:divBdr>
            <w:top w:val="none" w:sz="0" w:space="0" w:color="auto"/>
            <w:left w:val="none" w:sz="0" w:space="0" w:color="auto"/>
            <w:bottom w:val="none" w:sz="0" w:space="0" w:color="auto"/>
            <w:right w:val="none" w:sz="0" w:space="0" w:color="auto"/>
          </w:divBdr>
        </w:div>
        <w:div w:id="338510865">
          <w:marLeft w:val="0"/>
          <w:marRight w:val="0"/>
          <w:marTop w:val="0"/>
          <w:marBottom w:val="0"/>
          <w:divBdr>
            <w:top w:val="none" w:sz="0" w:space="0" w:color="auto"/>
            <w:left w:val="none" w:sz="0" w:space="0" w:color="auto"/>
            <w:bottom w:val="none" w:sz="0" w:space="0" w:color="auto"/>
            <w:right w:val="none" w:sz="0" w:space="0" w:color="auto"/>
          </w:divBdr>
        </w:div>
        <w:div w:id="1243177294">
          <w:marLeft w:val="0"/>
          <w:marRight w:val="0"/>
          <w:marTop w:val="0"/>
          <w:marBottom w:val="0"/>
          <w:divBdr>
            <w:top w:val="none" w:sz="0" w:space="0" w:color="auto"/>
            <w:left w:val="none" w:sz="0" w:space="0" w:color="auto"/>
            <w:bottom w:val="none" w:sz="0" w:space="0" w:color="auto"/>
            <w:right w:val="none" w:sz="0" w:space="0" w:color="auto"/>
          </w:divBdr>
        </w:div>
        <w:div w:id="1308628011">
          <w:marLeft w:val="0"/>
          <w:marRight w:val="0"/>
          <w:marTop w:val="0"/>
          <w:marBottom w:val="0"/>
          <w:divBdr>
            <w:top w:val="none" w:sz="0" w:space="0" w:color="auto"/>
            <w:left w:val="none" w:sz="0" w:space="0" w:color="auto"/>
            <w:bottom w:val="none" w:sz="0" w:space="0" w:color="auto"/>
            <w:right w:val="none" w:sz="0" w:space="0" w:color="auto"/>
          </w:divBdr>
        </w:div>
        <w:div w:id="1321158670">
          <w:marLeft w:val="0"/>
          <w:marRight w:val="0"/>
          <w:marTop w:val="0"/>
          <w:marBottom w:val="0"/>
          <w:divBdr>
            <w:top w:val="none" w:sz="0" w:space="0" w:color="auto"/>
            <w:left w:val="none" w:sz="0" w:space="0" w:color="auto"/>
            <w:bottom w:val="none" w:sz="0" w:space="0" w:color="auto"/>
            <w:right w:val="none" w:sz="0" w:space="0" w:color="auto"/>
          </w:divBdr>
        </w:div>
        <w:div w:id="1346591469">
          <w:marLeft w:val="0"/>
          <w:marRight w:val="0"/>
          <w:marTop w:val="0"/>
          <w:marBottom w:val="0"/>
          <w:divBdr>
            <w:top w:val="none" w:sz="0" w:space="0" w:color="auto"/>
            <w:left w:val="none" w:sz="0" w:space="0" w:color="auto"/>
            <w:bottom w:val="none" w:sz="0" w:space="0" w:color="auto"/>
            <w:right w:val="none" w:sz="0" w:space="0" w:color="auto"/>
          </w:divBdr>
        </w:div>
        <w:div w:id="1392147197">
          <w:marLeft w:val="0"/>
          <w:marRight w:val="0"/>
          <w:marTop w:val="0"/>
          <w:marBottom w:val="0"/>
          <w:divBdr>
            <w:top w:val="none" w:sz="0" w:space="0" w:color="auto"/>
            <w:left w:val="none" w:sz="0" w:space="0" w:color="auto"/>
            <w:bottom w:val="none" w:sz="0" w:space="0" w:color="auto"/>
            <w:right w:val="none" w:sz="0" w:space="0" w:color="auto"/>
          </w:divBdr>
        </w:div>
        <w:div w:id="1781100737">
          <w:marLeft w:val="0"/>
          <w:marRight w:val="0"/>
          <w:marTop w:val="0"/>
          <w:marBottom w:val="0"/>
          <w:divBdr>
            <w:top w:val="none" w:sz="0" w:space="0" w:color="auto"/>
            <w:left w:val="none" w:sz="0" w:space="0" w:color="auto"/>
            <w:bottom w:val="none" w:sz="0" w:space="0" w:color="auto"/>
            <w:right w:val="none" w:sz="0" w:space="0" w:color="auto"/>
          </w:divBdr>
        </w:div>
        <w:div w:id="1804732675">
          <w:marLeft w:val="0"/>
          <w:marRight w:val="0"/>
          <w:marTop w:val="0"/>
          <w:marBottom w:val="0"/>
          <w:divBdr>
            <w:top w:val="none" w:sz="0" w:space="0" w:color="auto"/>
            <w:left w:val="none" w:sz="0" w:space="0" w:color="auto"/>
            <w:bottom w:val="none" w:sz="0" w:space="0" w:color="auto"/>
            <w:right w:val="none" w:sz="0" w:space="0" w:color="auto"/>
          </w:divBdr>
        </w:div>
      </w:divsChild>
    </w:div>
    <w:div w:id="952589881">
      <w:bodyDiv w:val="1"/>
      <w:marLeft w:val="0"/>
      <w:marRight w:val="0"/>
      <w:marTop w:val="0"/>
      <w:marBottom w:val="0"/>
      <w:divBdr>
        <w:top w:val="none" w:sz="0" w:space="0" w:color="auto"/>
        <w:left w:val="none" w:sz="0" w:space="0" w:color="auto"/>
        <w:bottom w:val="none" w:sz="0" w:space="0" w:color="auto"/>
        <w:right w:val="none" w:sz="0" w:space="0" w:color="auto"/>
      </w:divBdr>
    </w:div>
    <w:div w:id="1071151998">
      <w:bodyDiv w:val="1"/>
      <w:marLeft w:val="0"/>
      <w:marRight w:val="0"/>
      <w:marTop w:val="0"/>
      <w:marBottom w:val="0"/>
      <w:divBdr>
        <w:top w:val="none" w:sz="0" w:space="0" w:color="auto"/>
        <w:left w:val="none" w:sz="0" w:space="0" w:color="auto"/>
        <w:bottom w:val="none" w:sz="0" w:space="0" w:color="auto"/>
        <w:right w:val="none" w:sz="0" w:space="0" w:color="auto"/>
      </w:divBdr>
    </w:div>
    <w:div w:id="1142163486">
      <w:bodyDiv w:val="1"/>
      <w:marLeft w:val="0"/>
      <w:marRight w:val="0"/>
      <w:marTop w:val="0"/>
      <w:marBottom w:val="0"/>
      <w:divBdr>
        <w:top w:val="none" w:sz="0" w:space="0" w:color="auto"/>
        <w:left w:val="none" w:sz="0" w:space="0" w:color="auto"/>
        <w:bottom w:val="none" w:sz="0" w:space="0" w:color="auto"/>
        <w:right w:val="none" w:sz="0" w:space="0" w:color="auto"/>
      </w:divBdr>
      <w:divsChild>
        <w:div w:id="251353623">
          <w:marLeft w:val="0"/>
          <w:marRight w:val="0"/>
          <w:marTop w:val="0"/>
          <w:marBottom w:val="0"/>
          <w:divBdr>
            <w:top w:val="none" w:sz="0" w:space="0" w:color="auto"/>
            <w:left w:val="none" w:sz="0" w:space="0" w:color="auto"/>
            <w:bottom w:val="none" w:sz="0" w:space="0" w:color="auto"/>
            <w:right w:val="none" w:sz="0" w:space="0" w:color="auto"/>
          </w:divBdr>
          <w:divsChild>
            <w:div w:id="464352037">
              <w:marLeft w:val="0"/>
              <w:marRight w:val="0"/>
              <w:marTop w:val="0"/>
              <w:marBottom w:val="0"/>
              <w:divBdr>
                <w:top w:val="none" w:sz="0" w:space="0" w:color="auto"/>
                <w:left w:val="none" w:sz="0" w:space="0" w:color="auto"/>
                <w:bottom w:val="none" w:sz="0" w:space="0" w:color="auto"/>
                <w:right w:val="none" w:sz="0" w:space="0" w:color="auto"/>
              </w:divBdr>
              <w:divsChild>
                <w:div w:id="5406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406511">
      <w:bodyDiv w:val="1"/>
      <w:marLeft w:val="0"/>
      <w:marRight w:val="0"/>
      <w:marTop w:val="0"/>
      <w:marBottom w:val="0"/>
      <w:divBdr>
        <w:top w:val="none" w:sz="0" w:space="0" w:color="auto"/>
        <w:left w:val="none" w:sz="0" w:space="0" w:color="auto"/>
        <w:bottom w:val="none" w:sz="0" w:space="0" w:color="auto"/>
        <w:right w:val="none" w:sz="0" w:space="0" w:color="auto"/>
      </w:divBdr>
      <w:divsChild>
        <w:div w:id="1130490">
          <w:marLeft w:val="0"/>
          <w:marRight w:val="0"/>
          <w:marTop w:val="0"/>
          <w:marBottom w:val="0"/>
          <w:divBdr>
            <w:top w:val="none" w:sz="0" w:space="0" w:color="auto"/>
            <w:left w:val="none" w:sz="0" w:space="0" w:color="auto"/>
            <w:bottom w:val="none" w:sz="0" w:space="0" w:color="auto"/>
            <w:right w:val="none" w:sz="0" w:space="0" w:color="auto"/>
          </w:divBdr>
        </w:div>
        <w:div w:id="40908511">
          <w:marLeft w:val="0"/>
          <w:marRight w:val="0"/>
          <w:marTop w:val="0"/>
          <w:marBottom w:val="0"/>
          <w:divBdr>
            <w:top w:val="none" w:sz="0" w:space="0" w:color="auto"/>
            <w:left w:val="none" w:sz="0" w:space="0" w:color="auto"/>
            <w:bottom w:val="none" w:sz="0" w:space="0" w:color="auto"/>
            <w:right w:val="none" w:sz="0" w:space="0" w:color="auto"/>
          </w:divBdr>
        </w:div>
        <w:div w:id="141430961">
          <w:marLeft w:val="0"/>
          <w:marRight w:val="0"/>
          <w:marTop w:val="0"/>
          <w:marBottom w:val="0"/>
          <w:divBdr>
            <w:top w:val="none" w:sz="0" w:space="0" w:color="auto"/>
            <w:left w:val="none" w:sz="0" w:space="0" w:color="auto"/>
            <w:bottom w:val="none" w:sz="0" w:space="0" w:color="auto"/>
            <w:right w:val="none" w:sz="0" w:space="0" w:color="auto"/>
          </w:divBdr>
        </w:div>
        <w:div w:id="144785736">
          <w:marLeft w:val="0"/>
          <w:marRight w:val="0"/>
          <w:marTop w:val="0"/>
          <w:marBottom w:val="0"/>
          <w:divBdr>
            <w:top w:val="none" w:sz="0" w:space="0" w:color="auto"/>
            <w:left w:val="none" w:sz="0" w:space="0" w:color="auto"/>
            <w:bottom w:val="none" w:sz="0" w:space="0" w:color="auto"/>
            <w:right w:val="none" w:sz="0" w:space="0" w:color="auto"/>
          </w:divBdr>
        </w:div>
        <w:div w:id="180508028">
          <w:marLeft w:val="0"/>
          <w:marRight w:val="0"/>
          <w:marTop w:val="0"/>
          <w:marBottom w:val="0"/>
          <w:divBdr>
            <w:top w:val="none" w:sz="0" w:space="0" w:color="auto"/>
            <w:left w:val="none" w:sz="0" w:space="0" w:color="auto"/>
            <w:bottom w:val="none" w:sz="0" w:space="0" w:color="auto"/>
            <w:right w:val="none" w:sz="0" w:space="0" w:color="auto"/>
          </w:divBdr>
        </w:div>
        <w:div w:id="195317711">
          <w:marLeft w:val="0"/>
          <w:marRight w:val="0"/>
          <w:marTop w:val="0"/>
          <w:marBottom w:val="0"/>
          <w:divBdr>
            <w:top w:val="none" w:sz="0" w:space="0" w:color="auto"/>
            <w:left w:val="none" w:sz="0" w:space="0" w:color="auto"/>
            <w:bottom w:val="none" w:sz="0" w:space="0" w:color="auto"/>
            <w:right w:val="none" w:sz="0" w:space="0" w:color="auto"/>
          </w:divBdr>
        </w:div>
        <w:div w:id="242955848">
          <w:marLeft w:val="0"/>
          <w:marRight w:val="0"/>
          <w:marTop w:val="0"/>
          <w:marBottom w:val="0"/>
          <w:divBdr>
            <w:top w:val="none" w:sz="0" w:space="0" w:color="auto"/>
            <w:left w:val="none" w:sz="0" w:space="0" w:color="auto"/>
            <w:bottom w:val="none" w:sz="0" w:space="0" w:color="auto"/>
            <w:right w:val="none" w:sz="0" w:space="0" w:color="auto"/>
          </w:divBdr>
        </w:div>
        <w:div w:id="281427378">
          <w:marLeft w:val="0"/>
          <w:marRight w:val="0"/>
          <w:marTop w:val="0"/>
          <w:marBottom w:val="0"/>
          <w:divBdr>
            <w:top w:val="none" w:sz="0" w:space="0" w:color="auto"/>
            <w:left w:val="none" w:sz="0" w:space="0" w:color="auto"/>
            <w:bottom w:val="none" w:sz="0" w:space="0" w:color="auto"/>
            <w:right w:val="none" w:sz="0" w:space="0" w:color="auto"/>
          </w:divBdr>
        </w:div>
        <w:div w:id="292365034">
          <w:marLeft w:val="0"/>
          <w:marRight w:val="0"/>
          <w:marTop w:val="0"/>
          <w:marBottom w:val="0"/>
          <w:divBdr>
            <w:top w:val="none" w:sz="0" w:space="0" w:color="auto"/>
            <w:left w:val="none" w:sz="0" w:space="0" w:color="auto"/>
            <w:bottom w:val="none" w:sz="0" w:space="0" w:color="auto"/>
            <w:right w:val="none" w:sz="0" w:space="0" w:color="auto"/>
          </w:divBdr>
        </w:div>
        <w:div w:id="297152092">
          <w:marLeft w:val="0"/>
          <w:marRight w:val="0"/>
          <w:marTop w:val="0"/>
          <w:marBottom w:val="0"/>
          <w:divBdr>
            <w:top w:val="none" w:sz="0" w:space="0" w:color="auto"/>
            <w:left w:val="none" w:sz="0" w:space="0" w:color="auto"/>
            <w:bottom w:val="none" w:sz="0" w:space="0" w:color="auto"/>
            <w:right w:val="none" w:sz="0" w:space="0" w:color="auto"/>
          </w:divBdr>
        </w:div>
        <w:div w:id="302199821">
          <w:marLeft w:val="0"/>
          <w:marRight w:val="0"/>
          <w:marTop w:val="0"/>
          <w:marBottom w:val="0"/>
          <w:divBdr>
            <w:top w:val="none" w:sz="0" w:space="0" w:color="auto"/>
            <w:left w:val="none" w:sz="0" w:space="0" w:color="auto"/>
            <w:bottom w:val="none" w:sz="0" w:space="0" w:color="auto"/>
            <w:right w:val="none" w:sz="0" w:space="0" w:color="auto"/>
          </w:divBdr>
        </w:div>
        <w:div w:id="313218834">
          <w:marLeft w:val="0"/>
          <w:marRight w:val="0"/>
          <w:marTop w:val="0"/>
          <w:marBottom w:val="0"/>
          <w:divBdr>
            <w:top w:val="none" w:sz="0" w:space="0" w:color="auto"/>
            <w:left w:val="none" w:sz="0" w:space="0" w:color="auto"/>
            <w:bottom w:val="none" w:sz="0" w:space="0" w:color="auto"/>
            <w:right w:val="none" w:sz="0" w:space="0" w:color="auto"/>
          </w:divBdr>
        </w:div>
        <w:div w:id="444232207">
          <w:marLeft w:val="0"/>
          <w:marRight w:val="0"/>
          <w:marTop w:val="0"/>
          <w:marBottom w:val="0"/>
          <w:divBdr>
            <w:top w:val="none" w:sz="0" w:space="0" w:color="auto"/>
            <w:left w:val="none" w:sz="0" w:space="0" w:color="auto"/>
            <w:bottom w:val="none" w:sz="0" w:space="0" w:color="auto"/>
            <w:right w:val="none" w:sz="0" w:space="0" w:color="auto"/>
          </w:divBdr>
        </w:div>
        <w:div w:id="519273214">
          <w:marLeft w:val="0"/>
          <w:marRight w:val="0"/>
          <w:marTop w:val="0"/>
          <w:marBottom w:val="0"/>
          <w:divBdr>
            <w:top w:val="none" w:sz="0" w:space="0" w:color="auto"/>
            <w:left w:val="none" w:sz="0" w:space="0" w:color="auto"/>
            <w:bottom w:val="none" w:sz="0" w:space="0" w:color="auto"/>
            <w:right w:val="none" w:sz="0" w:space="0" w:color="auto"/>
          </w:divBdr>
        </w:div>
        <w:div w:id="537402354">
          <w:marLeft w:val="0"/>
          <w:marRight w:val="0"/>
          <w:marTop w:val="0"/>
          <w:marBottom w:val="0"/>
          <w:divBdr>
            <w:top w:val="none" w:sz="0" w:space="0" w:color="auto"/>
            <w:left w:val="none" w:sz="0" w:space="0" w:color="auto"/>
            <w:bottom w:val="none" w:sz="0" w:space="0" w:color="auto"/>
            <w:right w:val="none" w:sz="0" w:space="0" w:color="auto"/>
          </w:divBdr>
        </w:div>
        <w:div w:id="545876849">
          <w:marLeft w:val="0"/>
          <w:marRight w:val="0"/>
          <w:marTop w:val="0"/>
          <w:marBottom w:val="0"/>
          <w:divBdr>
            <w:top w:val="none" w:sz="0" w:space="0" w:color="auto"/>
            <w:left w:val="none" w:sz="0" w:space="0" w:color="auto"/>
            <w:bottom w:val="none" w:sz="0" w:space="0" w:color="auto"/>
            <w:right w:val="none" w:sz="0" w:space="0" w:color="auto"/>
          </w:divBdr>
        </w:div>
        <w:div w:id="550187191">
          <w:marLeft w:val="0"/>
          <w:marRight w:val="0"/>
          <w:marTop w:val="0"/>
          <w:marBottom w:val="0"/>
          <w:divBdr>
            <w:top w:val="none" w:sz="0" w:space="0" w:color="auto"/>
            <w:left w:val="none" w:sz="0" w:space="0" w:color="auto"/>
            <w:bottom w:val="none" w:sz="0" w:space="0" w:color="auto"/>
            <w:right w:val="none" w:sz="0" w:space="0" w:color="auto"/>
          </w:divBdr>
          <w:divsChild>
            <w:div w:id="18432782">
              <w:marLeft w:val="0"/>
              <w:marRight w:val="0"/>
              <w:marTop w:val="0"/>
              <w:marBottom w:val="0"/>
              <w:divBdr>
                <w:top w:val="none" w:sz="0" w:space="0" w:color="auto"/>
                <w:left w:val="none" w:sz="0" w:space="0" w:color="auto"/>
                <w:bottom w:val="none" w:sz="0" w:space="0" w:color="auto"/>
                <w:right w:val="none" w:sz="0" w:space="0" w:color="auto"/>
              </w:divBdr>
            </w:div>
            <w:div w:id="141427886">
              <w:marLeft w:val="0"/>
              <w:marRight w:val="0"/>
              <w:marTop w:val="0"/>
              <w:marBottom w:val="0"/>
              <w:divBdr>
                <w:top w:val="none" w:sz="0" w:space="0" w:color="auto"/>
                <w:left w:val="none" w:sz="0" w:space="0" w:color="auto"/>
                <w:bottom w:val="none" w:sz="0" w:space="0" w:color="auto"/>
                <w:right w:val="none" w:sz="0" w:space="0" w:color="auto"/>
              </w:divBdr>
            </w:div>
            <w:div w:id="947934173">
              <w:marLeft w:val="0"/>
              <w:marRight w:val="0"/>
              <w:marTop w:val="0"/>
              <w:marBottom w:val="0"/>
              <w:divBdr>
                <w:top w:val="none" w:sz="0" w:space="0" w:color="auto"/>
                <w:left w:val="none" w:sz="0" w:space="0" w:color="auto"/>
                <w:bottom w:val="none" w:sz="0" w:space="0" w:color="auto"/>
                <w:right w:val="none" w:sz="0" w:space="0" w:color="auto"/>
              </w:divBdr>
            </w:div>
            <w:div w:id="1504933940">
              <w:marLeft w:val="0"/>
              <w:marRight w:val="0"/>
              <w:marTop w:val="0"/>
              <w:marBottom w:val="0"/>
              <w:divBdr>
                <w:top w:val="none" w:sz="0" w:space="0" w:color="auto"/>
                <w:left w:val="none" w:sz="0" w:space="0" w:color="auto"/>
                <w:bottom w:val="none" w:sz="0" w:space="0" w:color="auto"/>
                <w:right w:val="none" w:sz="0" w:space="0" w:color="auto"/>
              </w:divBdr>
            </w:div>
            <w:div w:id="1977366632">
              <w:marLeft w:val="0"/>
              <w:marRight w:val="0"/>
              <w:marTop w:val="0"/>
              <w:marBottom w:val="0"/>
              <w:divBdr>
                <w:top w:val="none" w:sz="0" w:space="0" w:color="auto"/>
                <w:left w:val="none" w:sz="0" w:space="0" w:color="auto"/>
                <w:bottom w:val="none" w:sz="0" w:space="0" w:color="auto"/>
                <w:right w:val="none" w:sz="0" w:space="0" w:color="auto"/>
              </w:divBdr>
            </w:div>
          </w:divsChild>
        </w:div>
        <w:div w:id="575406346">
          <w:marLeft w:val="0"/>
          <w:marRight w:val="0"/>
          <w:marTop w:val="0"/>
          <w:marBottom w:val="0"/>
          <w:divBdr>
            <w:top w:val="none" w:sz="0" w:space="0" w:color="auto"/>
            <w:left w:val="none" w:sz="0" w:space="0" w:color="auto"/>
            <w:bottom w:val="none" w:sz="0" w:space="0" w:color="auto"/>
            <w:right w:val="none" w:sz="0" w:space="0" w:color="auto"/>
          </w:divBdr>
        </w:div>
        <w:div w:id="632292312">
          <w:marLeft w:val="0"/>
          <w:marRight w:val="0"/>
          <w:marTop w:val="0"/>
          <w:marBottom w:val="0"/>
          <w:divBdr>
            <w:top w:val="none" w:sz="0" w:space="0" w:color="auto"/>
            <w:left w:val="none" w:sz="0" w:space="0" w:color="auto"/>
            <w:bottom w:val="none" w:sz="0" w:space="0" w:color="auto"/>
            <w:right w:val="none" w:sz="0" w:space="0" w:color="auto"/>
          </w:divBdr>
        </w:div>
        <w:div w:id="731124485">
          <w:marLeft w:val="0"/>
          <w:marRight w:val="0"/>
          <w:marTop w:val="0"/>
          <w:marBottom w:val="0"/>
          <w:divBdr>
            <w:top w:val="none" w:sz="0" w:space="0" w:color="auto"/>
            <w:left w:val="none" w:sz="0" w:space="0" w:color="auto"/>
            <w:bottom w:val="none" w:sz="0" w:space="0" w:color="auto"/>
            <w:right w:val="none" w:sz="0" w:space="0" w:color="auto"/>
          </w:divBdr>
        </w:div>
        <w:div w:id="803738357">
          <w:marLeft w:val="0"/>
          <w:marRight w:val="0"/>
          <w:marTop w:val="0"/>
          <w:marBottom w:val="0"/>
          <w:divBdr>
            <w:top w:val="none" w:sz="0" w:space="0" w:color="auto"/>
            <w:left w:val="none" w:sz="0" w:space="0" w:color="auto"/>
            <w:bottom w:val="none" w:sz="0" w:space="0" w:color="auto"/>
            <w:right w:val="none" w:sz="0" w:space="0" w:color="auto"/>
          </w:divBdr>
        </w:div>
        <w:div w:id="848446885">
          <w:marLeft w:val="0"/>
          <w:marRight w:val="0"/>
          <w:marTop w:val="0"/>
          <w:marBottom w:val="0"/>
          <w:divBdr>
            <w:top w:val="none" w:sz="0" w:space="0" w:color="auto"/>
            <w:left w:val="none" w:sz="0" w:space="0" w:color="auto"/>
            <w:bottom w:val="none" w:sz="0" w:space="0" w:color="auto"/>
            <w:right w:val="none" w:sz="0" w:space="0" w:color="auto"/>
          </w:divBdr>
          <w:divsChild>
            <w:div w:id="48578581">
              <w:marLeft w:val="0"/>
              <w:marRight w:val="0"/>
              <w:marTop w:val="0"/>
              <w:marBottom w:val="0"/>
              <w:divBdr>
                <w:top w:val="none" w:sz="0" w:space="0" w:color="auto"/>
                <w:left w:val="none" w:sz="0" w:space="0" w:color="auto"/>
                <w:bottom w:val="none" w:sz="0" w:space="0" w:color="auto"/>
                <w:right w:val="none" w:sz="0" w:space="0" w:color="auto"/>
              </w:divBdr>
            </w:div>
            <w:div w:id="294409947">
              <w:marLeft w:val="0"/>
              <w:marRight w:val="0"/>
              <w:marTop w:val="0"/>
              <w:marBottom w:val="0"/>
              <w:divBdr>
                <w:top w:val="none" w:sz="0" w:space="0" w:color="auto"/>
                <w:left w:val="none" w:sz="0" w:space="0" w:color="auto"/>
                <w:bottom w:val="none" w:sz="0" w:space="0" w:color="auto"/>
                <w:right w:val="none" w:sz="0" w:space="0" w:color="auto"/>
              </w:divBdr>
            </w:div>
            <w:div w:id="682243178">
              <w:marLeft w:val="0"/>
              <w:marRight w:val="0"/>
              <w:marTop w:val="0"/>
              <w:marBottom w:val="0"/>
              <w:divBdr>
                <w:top w:val="none" w:sz="0" w:space="0" w:color="auto"/>
                <w:left w:val="none" w:sz="0" w:space="0" w:color="auto"/>
                <w:bottom w:val="none" w:sz="0" w:space="0" w:color="auto"/>
                <w:right w:val="none" w:sz="0" w:space="0" w:color="auto"/>
              </w:divBdr>
            </w:div>
            <w:div w:id="1357391114">
              <w:marLeft w:val="0"/>
              <w:marRight w:val="0"/>
              <w:marTop w:val="0"/>
              <w:marBottom w:val="0"/>
              <w:divBdr>
                <w:top w:val="none" w:sz="0" w:space="0" w:color="auto"/>
                <w:left w:val="none" w:sz="0" w:space="0" w:color="auto"/>
                <w:bottom w:val="none" w:sz="0" w:space="0" w:color="auto"/>
                <w:right w:val="none" w:sz="0" w:space="0" w:color="auto"/>
              </w:divBdr>
            </w:div>
            <w:div w:id="1407189010">
              <w:marLeft w:val="0"/>
              <w:marRight w:val="0"/>
              <w:marTop w:val="0"/>
              <w:marBottom w:val="0"/>
              <w:divBdr>
                <w:top w:val="none" w:sz="0" w:space="0" w:color="auto"/>
                <w:left w:val="none" w:sz="0" w:space="0" w:color="auto"/>
                <w:bottom w:val="none" w:sz="0" w:space="0" w:color="auto"/>
                <w:right w:val="none" w:sz="0" w:space="0" w:color="auto"/>
              </w:divBdr>
            </w:div>
          </w:divsChild>
        </w:div>
        <w:div w:id="857502946">
          <w:marLeft w:val="0"/>
          <w:marRight w:val="0"/>
          <w:marTop w:val="0"/>
          <w:marBottom w:val="0"/>
          <w:divBdr>
            <w:top w:val="none" w:sz="0" w:space="0" w:color="auto"/>
            <w:left w:val="none" w:sz="0" w:space="0" w:color="auto"/>
            <w:bottom w:val="none" w:sz="0" w:space="0" w:color="auto"/>
            <w:right w:val="none" w:sz="0" w:space="0" w:color="auto"/>
          </w:divBdr>
        </w:div>
        <w:div w:id="870529547">
          <w:marLeft w:val="0"/>
          <w:marRight w:val="0"/>
          <w:marTop w:val="0"/>
          <w:marBottom w:val="0"/>
          <w:divBdr>
            <w:top w:val="none" w:sz="0" w:space="0" w:color="auto"/>
            <w:left w:val="none" w:sz="0" w:space="0" w:color="auto"/>
            <w:bottom w:val="none" w:sz="0" w:space="0" w:color="auto"/>
            <w:right w:val="none" w:sz="0" w:space="0" w:color="auto"/>
          </w:divBdr>
        </w:div>
        <w:div w:id="919173909">
          <w:marLeft w:val="0"/>
          <w:marRight w:val="0"/>
          <w:marTop w:val="0"/>
          <w:marBottom w:val="0"/>
          <w:divBdr>
            <w:top w:val="none" w:sz="0" w:space="0" w:color="auto"/>
            <w:left w:val="none" w:sz="0" w:space="0" w:color="auto"/>
            <w:bottom w:val="none" w:sz="0" w:space="0" w:color="auto"/>
            <w:right w:val="none" w:sz="0" w:space="0" w:color="auto"/>
          </w:divBdr>
        </w:div>
        <w:div w:id="930893136">
          <w:marLeft w:val="0"/>
          <w:marRight w:val="0"/>
          <w:marTop w:val="0"/>
          <w:marBottom w:val="0"/>
          <w:divBdr>
            <w:top w:val="none" w:sz="0" w:space="0" w:color="auto"/>
            <w:left w:val="none" w:sz="0" w:space="0" w:color="auto"/>
            <w:bottom w:val="none" w:sz="0" w:space="0" w:color="auto"/>
            <w:right w:val="none" w:sz="0" w:space="0" w:color="auto"/>
          </w:divBdr>
        </w:div>
        <w:div w:id="938681484">
          <w:marLeft w:val="0"/>
          <w:marRight w:val="0"/>
          <w:marTop w:val="0"/>
          <w:marBottom w:val="0"/>
          <w:divBdr>
            <w:top w:val="none" w:sz="0" w:space="0" w:color="auto"/>
            <w:left w:val="none" w:sz="0" w:space="0" w:color="auto"/>
            <w:bottom w:val="none" w:sz="0" w:space="0" w:color="auto"/>
            <w:right w:val="none" w:sz="0" w:space="0" w:color="auto"/>
          </w:divBdr>
        </w:div>
        <w:div w:id="958145617">
          <w:marLeft w:val="0"/>
          <w:marRight w:val="0"/>
          <w:marTop w:val="0"/>
          <w:marBottom w:val="0"/>
          <w:divBdr>
            <w:top w:val="none" w:sz="0" w:space="0" w:color="auto"/>
            <w:left w:val="none" w:sz="0" w:space="0" w:color="auto"/>
            <w:bottom w:val="none" w:sz="0" w:space="0" w:color="auto"/>
            <w:right w:val="none" w:sz="0" w:space="0" w:color="auto"/>
          </w:divBdr>
        </w:div>
        <w:div w:id="994333289">
          <w:marLeft w:val="0"/>
          <w:marRight w:val="0"/>
          <w:marTop w:val="0"/>
          <w:marBottom w:val="0"/>
          <w:divBdr>
            <w:top w:val="none" w:sz="0" w:space="0" w:color="auto"/>
            <w:left w:val="none" w:sz="0" w:space="0" w:color="auto"/>
            <w:bottom w:val="none" w:sz="0" w:space="0" w:color="auto"/>
            <w:right w:val="none" w:sz="0" w:space="0" w:color="auto"/>
          </w:divBdr>
        </w:div>
        <w:div w:id="1044789917">
          <w:marLeft w:val="0"/>
          <w:marRight w:val="0"/>
          <w:marTop w:val="0"/>
          <w:marBottom w:val="0"/>
          <w:divBdr>
            <w:top w:val="none" w:sz="0" w:space="0" w:color="auto"/>
            <w:left w:val="none" w:sz="0" w:space="0" w:color="auto"/>
            <w:bottom w:val="none" w:sz="0" w:space="0" w:color="auto"/>
            <w:right w:val="none" w:sz="0" w:space="0" w:color="auto"/>
          </w:divBdr>
        </w:div>
        <w:div w:id="1106345245">
          <w:marLeft w:val="0"/>
          <w:marRight w:val="0"/>
          <w:marTop w:val="0"/>
          <w:marBottom w:val="0"/>
          <w:divBdr>
            <w:top w:val="none" w:sz="0" w:space="0" w:color="auto"/>
            <w:left w:val="none" w:sz="0" w:space="0" w:color="auto"/>
            <w:bottom w:val="none" w:sz="0" w:space="0" w:color="auto"/>
            <w:right w:val="none" w:sz="0" w:space="0" w:color="auto"/>
          </w:divBdr>
        </w:div>
        <w:div w:id="1142113890">
          <w:marLeft w:val="0"/>
          <w:marRight w:val="0"/>
          <w:marTop w:val="0"/>
          <w:marBottom w:val="0"/>
          <w:divBdr>
            <w:top w:val="none" w:sz="0" w:space="0" w:color="auto"/>
            <w:left w:val="none" w:sz="0" w:space="0" w:color="auto"/>
            <w:bottom w:val="none" w:sz="0" w:space="0" w:color="auto"/>
            <w:right w:val="none" w:sz="0" w:space="0" w:color="auto"/>
          </w:divBdr>
        </w:div>
        <w:div w:id="1142652256">
          <w:marLeft w:val="0"/>
          <w:marRight w:val="0"/>
          <w:marTop w:val="0"/>
          <w:marBottom w:val="0"/>
          <w:divBdr>
            <w:top w:val="none" w:sz="0" w:space="0" w:color="auto"/>
            <w:left w:val="none" w:sz="0" w:space="0" w:color="auto"/>
            <w:bottom w:val="none" w:sz="0" w:space="0" w:color="auto"/>
            <w:right w:val="none" w:sz="0" w:space="0" w:color="auto"/>
          </w:divBdr>
          <w:divsChild>
            <w:div w:id="1295329635">
              <w:marLeft w:val="0"/>
              <w:marRight w:val="0"/>
              <w:marTop w:val="0"/>
              <w:marBottom w:val="0"/>
              <w:divBdr>
                <w:top w:val="none" w:sz="0" w:space="0" w:color="auto"/>
                <w:left w:val="none" w:sz="0" w:space="0" w:color="auto"/>
                <w:bottom w:val="none" w:sz="0" w:space="0" w:color="auto"/>
                <w:right w:val="none" w:sz="0" w:space="0" w:color="auto"/>
              </w:divBdr>
            </w:div>
            <w:div w:id="1574969622">
              <w:marLeft w:val="0"/>
              <w:marRight w:val="0"/>
              <w:marTop w:val="0"/>
              <w:marBottom w:val="0"/>
              <w:divBdr>
                <w:top w:val="none" w:sz="0" w:space="0" w:color="auto"/>
                <w:left w:val="none" w:sz="0" w:space="0" w:color="auto"/>
                <w:bottom w:val="none" w:sz="0" w:space="0" w:color="auto"/>
                <w:right w:val="none" w:sz="0" w:space="0" w:color="auto"/>
              </w:divBdr>
            </w:div>
            <w:div w:id="1583098342">
              <w:marLeft w:val="0"/>
              <w:marRight w:val="0"/>
              <w:marTop w:val="0"/>
              <w:marBottom w:val="0"/>
              <w:divBdr>
                <w:top w:val="none" w:sz="0" w:space="0" w:color="auto"/>
                <w:left w:val="none" w:sz="0" w:space="0" w:color="auto"/>
                <w:bottom w:val="none" w:sz="0" w:space="0" w:color="auto"/>
                <w:right w:val="none" w:sz="0" w:space="0" w:color="auto"/>
              </w:divBdr>
            </w:div>
          </w:divsChild>
        </w:div>
        <w:div w:id="1143962744">
          <w:marLeft w:val="0"/>
          <w:marRight w:val="0"/>
          <w:marTop w:val="0"/>
          <w:marBottom w:val="0"/>
          <w:divBdr>
            <w:top w:val="none" w:sz="0" w:space="0" w:color="auto"/>
            <w:left w:val="none" w:sz="0" w:space="0" w:color="auto"/>
            <w:bottom w:val="none" w:sz="0" w:space="0" w:color="auto"/>
            <w:right w:val="none" w:sz="0" w:space="0" w:color="auto"/>
          </w:divBdr>
        </w:div>
        <w:div w:id="1146313589">
          <w:marLeft w:val="0"/>
          <w:marRight w:val="0"/>
          <w:marTop w:val="0"/>
          <w:marBottom w:val="0"/>
          <w:divBdr>
            <w:top w:val="none" w:sz="0" w:space="0" w:color="auto"/>
            <w:left w:val="none" w:sz="0" w:space="0" w:color="auto"/>
            <w:bottom w:val="none" w:sz="0" w:space="0" w:color="auto"/>
            <w:right w:val="none" w:sz="0" w:space="0" w:color="auto"/>
          </w:divBdr>
        </w:div>
        <w:div w:id="1151871803">
          <w:marLeft w:val="0"/>
          <w:marRight w:val="0"/>
          <w:marTop w:val="0"/>
          <w:marBottom w:val="0"/>
          <w:divBdr>
            <w:top w:val="none" w:sz="0" w:space="0" w:color="auto"/>
            <w:left w:val="none" w:sz="0" w:space="0" w:color="auto"/>
            <w:bottom w:val="none" w:sz="0" w:space="0" w:color="auto"/>
            <w:right w:val="none" w:sz="0" w:space="0" w:color="auto"/>
          </w:divBdr>
        </w:div>
        <w:div w:id="1171216601">
          <w:marLeft w:val="0"/>
          <w:marRight w:val="0"/>
          <w:marTop w:val="0"/>
          <w:marBottom w:val="0"/>
          <w:divBdr>
            <w:top w:val="none" w:sz="0" w:space="0" w:color="auto"/>
            <w:left w:val="none" w:sz="0" w:space="0" w:color="auto"/>
            <w:bottom w:val="none" w:sz="0" w:space="0" w:color="auto"/>
            <w:right w:val="none" w:sz="0" w:space="0" w:color="auto"/>
          </w:divBdr>
        </w:div>
        <w:div w:id="1224103648">
          <w:marLeft w:val="0"/>
          <w:marRight w:val="0"/>
          <w:marTop w:val="0"/>
          <w:marBottom w:val="0"/>
          <w:divBdr>
            <w:top w:val="none" w:sz="0" w:space="0" w:color="auto"/>
            <w:left w:val="none" w:sz="0" w:space="0" w:color="auto"/>
            <w:bottom w:val="none" w:sz="0" w:space="0" w:color="auto"/>
            <w:right w:val="none" w:sz="0" w:space="0" w:color="auto"/>
          </w:divBdr>
        </w:div>
        <w:div w:id="1245143666">
          <w:marLeft w:val="0"/>
          <w:marRight w:val="0"/>
          <w:marTop w:val="0"/>
          <w:marBottom w:val="0"/>
          <w:divBdr>
            <w:top w:val="none" w:sz="0" w:space="0" w:color="auto"/>
            <w:left w:val="none" w:sz="0" w:space="0" w:color="auto"/>
            <w:bottom w:val="none" w:sz="0" w:space="0" w:color="auto"/>
            <w:right w:val="none" w:sz="0" w:space="0" w:color="auto"/>
          </w:divBdr>
        </w:div>
        <w:div w:id="1259603010">
          <w:marLeft w:val="0"/>
          <w:marRight w:val="0"/>
          <w:marTop w:val="0"/>
          <w:marBottom w:val="0"/>
          <w:divBdr>
            <w:top w:val="none" w:sz="0" w:space="0" w:color="auto"/>
            <w:left w:val="none" w:sz="0" w:space="0" w:color="auto"/>
            <w:bottom w:val="none" w:sz="0" w:space="0" w:color="auto"/>
            <w:right w:val="none" w:sz="0" w:space="0" w:color="auto"/>
          </w:divBdr>
          <w:divsChild>
            <w:div w:id="239339398">
              <w:marLeft w:val="0"/>
              <w:marRight w:val="0"/>
              <w:marTop w:val="0"/>
              <w:marBottom w:val="0"/>
              <w:divBdr>
                <w:top w:val="none" w:sz="0" w:space="0" w:color="auto"/>
                <w:left w:val="none" w:sz="0" w:space="0" w:color="auto"/>
                <w:bottom w:val="none" w:sz="0" w:space="0" w:color="auto"/>
                <w:right w:val="none" w:sz="0" w:space="0" w:color="auto"/>
              </w:divBdr>
            </w:div>
            <w:div w:id="352463723">
              <w:marLeft w:val="0"/>
              <w:marRight w:val="0"/>
              <w:marTop w:val="0"/>
              <w:marBottom w:val="0"/>
              <w:divBdr>
                <w:top w:val="none" w:sz="0" w:space="0" w:color="auto"/>
                <w:left w:val="none" w:sz="0" w:space="0" w:color="auto"/>
                <w:bottom w:val="none" w:sz="0" w:space="0" w:color="auto"/>
                <w:right w:val="none" w:sz="0" w:space="0" w:color="auto"/>
              </w:divBdr>
            </w:div>
            <w:div w:id="675116429">
              <w:marLeft w:val="0"/>
              <w:marRight w:val="0"/>
              <w:marTop w:val="0"/>
              <w:marBottom w:val="0"/>
              <w:divBdr>
                <w:top w:val="none" w:sz="0" w:space="0" w:color="auto"/>
                <w:left w:val="none" w:sz="0" w:space="0" w:color="auto"/>
                <w:bottom w:val="none" w:sz="0" w:space="0" w:color="auto"/>
                <w:right w:val="none" w:sz="0" w:space="0" w:color="auto"/>
              </w:divBdr>
            </w:div>
            <w:div w:id="1039011623">
              <w:marLeft w:val="0"/>
              <w:marRight w:val="0"/>
              <w:marTop w:val="0"/>
              <w:marBottom w:val="0"/>
              <w:divBdr>
                <w:top w:val="none" w:sz="0" w:space="0" w:color="auto"/>
                <w:left w:val="none" w:sz="0" w:space="0" w:color="auto"/>
                <w:bottom w:val="none" w:sz="0" w:space="0" w:color="auto"/>
                <w:right w:val="none" w:sz="0" w:space="0" w:color="auto"/>
              </w:divBdr>
            </w:div>
            <w:div w:id="1426656684">
              <w:marLeft w:val="0"/>
              <w:marRight w:val="0"/>
              <w:marTop w:val="0"/>
              <w:marBottom w:val="0"/>
              <w:divBdr>
                <w:top w:val="none" w:sz="0" w:space="0" w:color="auto"/>
                <w:left w:val="none" w:sz="0" w:space="0" w:color="auto"/>
                <w:bottom w:val="none" w:sz="0" w:space="0" w:color="auto"/>
                <w:right w:val="none" w:sz="0" w:space="0" w:color="auto"/>
              </w:divBdr>
            </w:div>
          </w:divsChild>
        </w:div>
        <w:div w:id="1282610790">
          <w:marLeft w:val="0"/>
          <w:marRight w:val="0"/>
          <w:marTop w:val="0"/>
          <w:marBottom w:val="0"/>
          <w:divBdr>
            <w:top w:val="none" w:sz="0" w:space="0" w:color="auto"/>
            <w:left w:val="none" w:sz="0" w:space="0" w:color="auto"/>
            <w:bottom w:val="none" w:sz="0" w:space="0" w:color="auto"/>
            <w:right w:val="none" w:sz="0" w:space="0" w:color="auto"/>
          </w:divBdr>
        </w:div>
        <w:div w:id="1309742622">
          <w:marLeft w:val="0"/>
          <w:marRight w:val="0"/>
          <w:marTop w:val="0"/>
          <w:marBottom w:val="0"/>
          <w:divBdr>
            <w:top w:val="none" w:sz="0" w:space="0" w:color="auto"/>
            <w:left w:val="none" w:sz="0" w:space="0" w:color="auto"/>
            <w:bottom w:val="none" w:sz="0" w:space="0" w:color="auto"/>
            <w:right w:val="none" w:sz="0" w:space="0" w:color="auto"/>
          </w:divBdr>
        </w:div>
        <w:div w:id="1319530501">
          <w:marLeft w:val="0"/>
          <w:marRight w:val="0"/>
          <w:marTop w:val="0"/>
          <w:marBottom w:val="0"/>
          <w:divBdr>
            <w:top w:val="none" w:sz="0" w:space="0" w:color="auto"/>
            <w:left w:val="none" w:sz="0" w:space="0" w:color="auto"/>
            <w:bottom w:val="none" w:sz="0" w:space="0" w:color="auto"/>
            <w:right w:val="none" w:sz="0" w:space="0" w:color="auto"/>
          </w:divBdr>
        </w:div>
        <w:div w:id="1357581701">
          <w:marLeft w:val="0"/>
          <w:marRight w:val="0"/>
          <w:marTop w:val="0"/>
          <w:marBottom w:val="0"/>
          <w:divBdr>
            <w:top w:val="none" w:sz="0" w:space="0" w:color="auto"/>
            <w:left w:val="none" w:sz="0" w:space="0" w:color="auto"/>
            <w:bottom w:val="none" w:sz="0" w:space="0" w:color="auto"/>
            <w:right w:val="none" w:sz="0" w:space="0" w:color="auto"/>
          </w:divBdr>
        </w:div>
        <w:div w:id="1395080463">
          <w:marLeft w:val="0"/>
          <w:marRight w:val="0"/>
          <w:marTop w:val="0"/>
          <w:marBottom w:val="0"/>
          <w:divBdr>
            <w:top w:val="none" w:sz="0" w:space="0" w:color="auto"/>
            <w:left w:val="none" w:sz="0" w:space="0" w:color="auto"/>
            <w:bottom w:val="none" w:sz="0" w:space="0" w:color="auto"/>
            <w:right w:val="none" w:sz="0" w:space="0" w:color="auto"/>
          </w:divBdr>
        </w:div>
        <w:div w:id="1412895761">
          <w:marLeft w:val="0"/>
          <w:marRight w:val="0"/>
          <w:marTop w:val="0"/>
          <w:marBottom w:val="0"/>
          <w:divBdr>
            <w:top w:val="none" w:sz="0" w:space="0" w:color="auto"/>
            <w:left w:val="none" w:sz="0" w:space="0" w:color="auto"/>
            <w:bottom w:val="none" w:sz="0" w:space="0" w:color="auto"/>
            <w:right w:val="none" w:sz="0" w:space="0" w:color="auto"/>
          </w:divBdr>
        </w:div>
        <w:div w:id="1443380421">
          <w:marLeft w:val="0"/>
          <w:marRight w:val="0"/>
          <w:marTop w:val="0"/>
          <w:marBottom w:val="0"/>
          <w:divBdr>
            <w:top w:val="none" w:sz="0" w:space="0" w:color="auto"/>
            <w:left w:val="none" w:sz="0" w:space="0" w:color="auto"/>
            <w:bottom w:val="none" w:sz="0" w:space="0" w:color="auto"/>
            <w:right w:val="none" w:sz="0" w:space="0" w:color="auto"/>
          </w:divBdr>
        </w:div>
        <w:div w:id="1505779430">
          <w:marLeft w:val="0"/>
          <w:marRight w:val="0"/>
          <w:marTop w:val="0"/>
          <w:marBottom w:val="0"/>
          <w:divBdr>
            <w:top w:val="none" w:sz="0" w:space="0" w:color="auto"/>
            <w:left w:val="none" w:sz="0" w:space="0" w:color="auto"/>
            <w:bottom w:val="none" w:sz="0" w:space="0" w:color="auto"/>
            <w:right w:val="none" w:sz="0" w:space="0" w:color="auto"/>
          </w:divBdr>
        </w:div>
        <w:div w:id="1543663480">
          <w:marLeft w:val="0"/>
          <w:marRight w:val="0"/>
          <w:marTop w:val="0"/>
          <w:marBottom w:val="0"/>
          <w:divBdr>
            <w:top w:val="none" w:sz="0" w:space="0" w:color="auto"/>
            <w:left w:val="none" w:sz="0" w:space="0" w:color="auto"/>
            <w:bottom w:val="none" w:sz="0" w:space="0" w:color="auto"/>
            <w:right w:val="none" w:sz="0" w:space="0" w:color="auto"/>
          </w:divBdr>
        </w:div>
        <w:div w:id="1561481093">
          <w:marLeft w:val="0"/>
          <w:marRight w:val="0"/>
          <w:marTop w:val="0"/>
          <w:marBottom w:val="0"/>
          <w:divBdr>
            <w:top w:val="none" w:sz="0" w:space="0" w:color="auto"/>
            <w:left w:val="none" w:sz="0" w:space="0" w:color="auto"/>
            <w:bottom w:val="none" w:sz="0" w:space="0" w:color="auto"/>
            <w:right w:val="none" w:sz="0" w:space="0" w:color="auto"/>
          </w:divBdr>
        </w:div>
        <w:div w:id="1584143569">
          <w:marLeft w:val="0"/>
          <w:marRight w:val="0"/>
          <w:marTop w:val="0"/>
          <w:marBottom w:val="0"/>
          <w:divBdr>
            <w:top w:val="none" w:sz="0" w:space="0" w:color="auto"/>
            <w:left w:val="none" w:sz="0" w:space="0" w:color="auto"/>
            <w:bottom w:val="none" w:sz="0" w:space="0" w:color="auto"/>
            <w:right w:val="none" w:sz="0" w:space="0" w:color="auto"/>
          </w:divBdr>
        </w:div>
        <w:div w:id="1593120850">
          <w:marLeft w:val="0"/>
          <w:marRight w:val="0"/>
          <w:marTop w:val="0"/>
          <w:marBottom w:val="0"/>
          <w:divBdr>
            <w:top w:val="none" w:sz="0" w:space="0" w:color="auto"/>
            <w:left w:val="none" w:sz="0" w:space="0" w:color="auto"/>
            <w:bottom w:val="none" w:sz="0" w:space="0" w:color="auto"/>
            <w:right w:val="none" w:sz="0" w:space="0" w:color="auto"/>
          </w:divBdr>
        </w:div>
        <w:div w:id="1636593887">
          <w:marLeft w:val="0"/>
          <w:marRight w:val="0"/>
          <w:marTop w:val="0"/>
          <w:marBottom w:val="0"/>
          <w:divBdr>
            <w:top w:val="none" w:sz="0" w:space="0" w:color="auto"/>
            <w:left w:val="none" w:sz="0" w:space="0" w:color="auto"/>
            <w:bottom w:val="none" w:sz="0" w:space="0" w:color="auto"/>
            <w:right w:val="none" w:sz="0" w:space="0" w:color="auto"/>
          </w:divBdr>
          <w:divsChild>
            <w:div w:id="289211526">
              <w:marLeft w:val="0"/>
              <w:marRight w:val="0"/>
              <w:marTop w:val="0"/>
              <w:marBottom w:val="0"/>
              <w:divBdr>
                <w:top w:val="none" w:sz="0" w:space="0" w:color="auto"/>
                <w:left w:val="none" w:sz="0" w:space="0" w:color="auto"/>
                <w:bottom w:val="none" w:sz="0" w:space="0" w:color="auto"/>
                <w:right w:val="none" w:sz="0" w:space="0" w:color="auto"/>
              </w:divBdr>
            </w:div>
            <w:div w:id="577179088">
              <w:marLeft w:val="0"/>
              <w:marRight w:val="0"/>
              <w:marTop w:val="0"/>
              <w:marBottom w:val="0"/>
              <w:divBdr>
                <w:top w:val="none" w:sz="0" w:space="0" w:color="auto"/>
                <w:left w:val="none" w:sz="0" w:space="0" w:color="auto"/>
                <w:bottom w:val="none" w:sz="0" w:space="0" w:color="auto"/>
                <w:right w:val="none" w:sz="0" w:space="0" w:color="auto"/>
              </w:divBdr>
            </w:div>
            <w:div w:id="672032067">
              <w:marLeft w:val="0"/>
              <w:marRight w:val="0"/>
              <w:marTop w:val="0"/>
              <w:marBottom w:val="0"/>
              <w:divBdr>
                <w:top w:val="none" w:sz="0" w:space="0" w:color="auto"/>
                <w:left w:val="none" w:sz="0" w:space="0" w:color="auto"/>
                <w:bottom w:val="none" w:sz="0" w:space="0" w:color="auto"/>
                <w:right w:val="none" w:sz="0" w:space="0" w:color="auto"/>
              </w:divBdr>
            </w:div>
            <w:div w:id="1356466777">
              <w:marLeft w:val="0"/>
              <w:marRight w:val="0"/>
              <w:marTop w:val="0"/>
              <w:marBottom w:val="0"/>
              <w:divBdr>
                <w:top w:val="none" w:sz="0" w:space="0" w:color="auto"/>
                <w:left w:val="none" w:sz="0" w:space="0" w:color="auto"/>
                <w:bottom w:val="none" w:sz="0" w:space="0" w:color="auto"/>
                <w:right w:val="none" w:sz="0" w:space="0" w:color="auto"/>
              </w:divBdr>
            </w:div>
            <w:div w:id="1926723781">
              <w:marLeft w:val="0"/>
              <w:marRight w:val="0"/>
              <w:marTop w:val="0"/>
              <w:marBottom w:val="0"/>
              <w:divBdr>
                <w:top w:val="none" w:sz="0" w:space="0" w:color="auto"/>
                <w:left w:val="none" w:sz="0" w:space="0" w:color="auto"/>
                <w:bottom w:val="none" w:sz="0" w:space="0" w:color="auto"/>
                <w:right w:val="none" w:sz="0" w:space="0" w:color="auto"/>
              </w:divBdr>
            </w:div>
          </w:divsChild>
        </w:div>
        <w:div w:id="1639412026">
          <w:marLeft w:val="0"/>
          <w:marRight w:val="0"/>
          <w:marTop w:val="0"/>
          <w:marBottom w:val="0"/>
          <w:divBdr>
            <w:top w:val="none" w:sz="0" w:space="0" w:color="auto"/>
            <w:left w:val="none" w:sz="0" w:space="0" w:color="auto"/>
            <w:bottom w:val="none" w:sz="0" w:space="0" w:color="auto"/>
            <w:right w:val="none" w:sz="0" w:space="0" w:color="auto"/>
          </w:divBdr>
        </w:div>
        <w:div w:id="1665039819">
          <w:marLeft w:val="0"/>
          <w:marRight w:val="0"/>
          <w:marTop w:val="0"/>
          <w:marBottom w:val="0"/>
          <w:divBdr>
            <w:top w:val="none" w:sz="0" w:space="0" w:color="auto"/>
            <w:left w:val="none" w:sz="0" w:space="0" w:color="auto"/>
            <w:bottom w:val="none" w:sz="0" w:space="0" w:color="auto"/>
            <w:right w:val="none" w:sz="0" w:space="0" w:color="auto"/>
          </w:divBdr>
        </w:div>
        <w:div w:id="1699041857">
          <w:marLeft w:val="0"/>
          <w:marRight w:val="0"/>
          <w:marTop w:val="0"/>
          <w:marBottom w:val="0"/>
          <w:divBdr>
            <w:top w:val="none" w:sz="0" w:space="0" w:color="auto"/>
            <w:left w:val="none" w:sz="0" w:space="0" w:color="auto"/>
            <w:bottom w:val="none" w:sz="0" w:space="0" w:color="auto"/>
            <w:right w:val="none" w:sz="0" w:space="0" w:color="auto"/>
          </w:divBdr>
        </w:div>
        <w:div w:id="1706322594">
          <w:marLeft w:val="0"/>
          <w:marRight w:val="0"/>
          <w:marTop w:val="0"/>
          <w:marBottom w:val="0"/>
          <w:divBdr>
            <w:top w:val="none" w:sz="0" w:space="0" w:color="auto"/>
            <w:left w:val="none" w:sz="0" w:space="0" w:color="auto"/>
            <w:bottom w:val="none" w:sz="0" w:space="0" w:color="auto"/>
            <w:right w:val="none" w:sz="0" w:space="0" w:color="auto"/>
          </w:divBdr>
        </w:div>
        <w:div w:id="1707948411">
          <w:marLeft w:val="0"/>
          <w:marRight w:val="0"/>
          <w:marTop w:val="0"/>
          <w:marBottom w:val="0"/>
          <w:divBdr>
            <w:top w:val="none" w:sz="0" w:space="0" w:color="auto"/>
            <w:left w:val="none" w:sz="0" w:space="0" w:color="auto"/>
            <w:bottom w:val="none" w:sz="0" w:space="0" w:color="auto"/>
            <w:right w:val="none" w:sz="0" w:space="0" w:color="auto"/>
          </w:divBdr>
        </w:div>
        <w:div w:id="1757632782">
          <w:marLeft w:val="0"/>
          <w:marRight w:val="0"/>
          <w:marTop w:val="0"/>
          <w:marBottom w:val="0"/>
          <w:divBdr>
            <w:top w:val="none" w:sz="0" w:space="0" w:color="auto"/>
            <w:left w:val="none" w:sz="0" w:space="0" w:color="auto"/>
            <w:bottom w:val="none" w:sz="0" w:space="0" w:color="auto"/>
            <w:right w:val="none" w:sz="0" w:space="0" w:color="auto"/>
          </w:divBdr>
        </w:div>
        <w:div w:id="1773040400">
          <w:marLeft w:val="0"/>
          <w:marRight w:val="0"/>
          <w:marTop w:val="0"/>
          <w:marBottom w:val="0"/>
          <w:divBdr>
            <w:top w:val="none" w:sz="0" w:space="0" w:color="auto"/>
            <w:left w:val="none" w:sz="0" w:space="0" w:color="auto"/>
            <w:bottom w:val="none" w:sz="0" w:space="0" w:color="auto"/>
            <w:right w:val="none" w:sz="0" w:space="0" w:color="auto"/>
          </w:divBdr>
        </w:div>
        <w:div w:id="1792700554">
          <w:marLeft w:val="0"/>
          <w:marRight w:val="0"/>
          <w:marTop w:val="0"/>
          <w:marBottom w:val="0"/>
          <w:divBdr>
            <w:top w:val="none" w:sz="0" w:space="0" w:color="auto"/>
            <w:left w:val="none" w:sz="0" w:space="0" w:color="auto"/>
            <w:bottom w:val="none" w:sz="0" w:space="0" w:color="auto"/>
            <w:right w:val="none" w:sz="0" w:space="0" w:color="auto"/>
          </w:divBdr>
        </w:div>
        <w:div w:id="1810702081">
          <w:marLeft w:val="0"/>
          <w:marRight w:val="0"/>
          <w:marTop w:val="0"/>
          <w:marBottom w:val="0"/>
          <w:divBdr>
            <w:top w:val="none" w:sz="0" w:space="0" w:color="auto"/>
            <w:left w:val="none" w:sz="0" w:space="0" w:color="auto"/>
            <w:bottom w:val="none" w:sz="0" w:space="0" w:color="auto"/>
            <w:right w:val="none" w:sz="0" w:space="0" w:color="auto"/>
          </w:divBdr>
        </w:div>
        <w:div w:id="1833989685">
          <w:marLeft w:val="0"/>
          <w:marRight w:val="0"/>
          <w:marTop w:val="0"/>
          <w:marBottom w:val="0"/>
          <w:divBdr>
            <w:top w:val="none" w:sz="0" w:space="0" w:color="auto"/>
            <w:left w:val="none" w:sz="0" w:space="0" w:color="auto"/>
            <w:bottom w:val="none" w:sz="0" w:space="0" w:color="auto"/>
            <w:right w:val="none" w:sz="0" w:space="0" w:color="auto"/>
          </w:divBdr>
        </w:div>
        <w:div w:id="1846549557">
          <w:marLeft w:val="0"/>
          <w:marRight w:val="0"/>
          <w:marTop w:val="0"/>
          <w:marBottom w:val="0"/>
          <w:divBdr>
            <w:top w:val="none" w:sz="0" w:space="0" w:color="auto"/>
            <w:left w:val="none" w:sz="0" w:space="0" w:color="auto"/>
            <w:bottom w:val="none" w:sz="0" w:space="0" w:color="auto"/>
            <w:right w:val="none" w:sz="0" w:space="0" w:color="auto"/>
          </w:divBdr>
        </w:div>
        <w:div w:id="1870414915">
          <w:marLeft w:val="0"/>
          <w:marRight w:val="0"/>
          <w:marTop w:val="0"/>
          <w:marBottom w:val="0"/>
          <w:divBdr>
            <w:top w:val="none" w:sz="0" w:space="0" w:color="auto"/>
            <w:left w:val="none" w:sz="0" w:space="0" w:color="auto"/>
            <w:bottom w:val="none" w:sz="0" w:space="0" w:color="auto"/>
            <w:right w:val="none" w:sz="0" w:space="0" w:color="auto"/>
          </w:divBdr>
        </w:div>
        <w:div w:id="1875772668">
          <w:marLeft w:val="0"/>
          <w:marRight w:val="0"/>
          <w:marTop w:val="0"/>
          <w:marBottom w:val="0"/>
          <w:divBdr>
            <w:top w:val="none" w:sz="0" w:space="0" w:color="auto"/>
            <w:left w:val="none" w:sz="0" w:space="0" w:color="auto"/>
            <w:bottom w:val="none" w:sz="0" w:space="0" w:color="auto"/>
            <w:right w:val="none" w:sz="0" w:space="0" w:color="auto"/>
          </w:divBdr>
        </w:div>
        <w:div w:id="1906067373">
          <w:marLeft w:val="0"/>
          <w:marRight w:val="0"/>
          <w:marTop w:val="0"/>
          <w:marBottom w:val="0"/>
          <w:divBdr>
            <w:top w:val="none" w:sz="0" w:space="0" w:color="auto"/>
            <w:left w:val="none" w:sz="0" w:space="0" w:color="auto"/>
            <w:bottom w:val="none" w:sz="0" w:space="0" w:color="auto"/>
            <w:right w:val="none" w:sz="0" w:space="0" w:color="auto"/>
          </w:divBdr>
        </w:div>
        <w:div w:id="1906717431">
          <w:marLeft w:val="0"/>
          <w:marRight w:val="0"/>
          <w:marTop w:val="0"/>
          <w:marBottom w:val="0"/>
          <w:divBdr>
            <w:top w:val="none" w:sz="0" w:space="0" w:color="auto"/>
            <w:left w:val="none" w:sz="0" w:space="0" w:color="auto"/>
            <w:bottom w:val="none" w:sz="0" w:space="0" w:color="auto"/>
            <w:right w:val="none" w:sz="0" w:space="0" w:color="auto"/>
          </w:divBdr>
        </w:div>
        <w:div w:id="1929582194">
          <w:marLeft w:val="0"/>
          <w:marRight w:val="0"/>
          <w:marTop w:val="0"/>
          <w:marBottom w:val="0"/>
          <w:divBdr>
            <w:top w:val="none" w:sz="0" w:space="0" w:color="auto"/>
            <w:left w:val="none" w:sz="0" w:space="0" w:color="auto"/>
            <w:bottom w:val="none" w:sz="0" w:space="0" w:color="auto"/>
            <w:right w:val="none" w:sz="0" w:space="0" w:color="auto"/>
          </w:divBdr>
        </w:div>
        <w:div w:id="1950040774">
          <w:marLeft w:val="0"/>
          <w:marRight w:val="0"/>
          <w:marTop w:val="0"/>
          <w:marBottom w:val="0"/>
          <w:divBdr>
            <w:top w:val="none" w:sz="0" w:space="0" w:color="auto"/>
            <w:left w:val="none" w:sz="0" w:space="0" w:color="auto"/>
            <w:bottom w:val="none" w:sz="0" w:space="0" w:color="auto"/>
            <w:right w:val="none" w:sz="0" w:space="0" w:color="auto"/>
          </w:divBdr>
        </w:div>
        <w:div w:id="1969777883">
          <w:marLeft w:val="0"/>
          <w:marRight w:val="0"/>
          <w:marTop w:val="0"/>
          <w:marBottom w:val="0"/>
          <w:divBdr>
            <w:top w:val="none" w:sz="0" w:space="0" w:color="auto"/>
            <w:left w:val="none" w:sz="0" w:space="0" w:color="auto"/>
            <w:bottom w:val="none" w:sz="0" w:space="0" w:color="auto"/>
            <w:right w:val="none" w:sz="0" w:space="0" w:color="auto"/>
          </w:divBdr>
        </w:div>
        <w:div w:id="1990743097">
          <w:marLeft w:val="0"/>
          <w:marRight w:val="0"/>
          <w:marTop w:val="0"/>
          <w:marBottom w:val="0"/>
          <w:divBdr>
            <w:top w:val="none" w:sz="0" w:space="0" w:color="auto"/>
            <w:left w:val="none" w:sz="0" w:space="0" w:color="auto"/>
            <w:bottom w:val="none" w:sz="0" w:space="0" w:color="auto"/>
            <w:right w:val="none" w:sz="0" w:space="0" w:color="auto"/>
          </w:divBdr>
        </w:div>
        <w:div w:id="2006206057">
          <w:marLeft w:val="0"/>
          <w:marRight w:val="0"/>
          <w:marTop w:val="0"/>
          <w:marBottom w:val="0"/>
          <w:divBdr>
            <w:top w:val="none" w:sz="0" w:space="0" w:color="auto"/>
            <w:left w:val="none" w:sz="0" w:space="0" w:color="auto"/>
            <w:bottom w:val="none" w:sz="0" w:space="0" w:color="auto"/>
            <w:right w:val="none" w:sz="0" w:space="0" w:color="auto"/>
          </w:divBdr>
        </w:div>
        <w:div w:id="2040398202">
          <w:marLeft w:val="0"/>
          <w:marRight w:val="0"/>
          <w:marTop w:val="0"/>
          <w:marBottom w:val="0"/>
          <w:divBdr>
            <w:top w:val="none" w:sz="0" w:space="0" w:color="auto"/>
            <w:left w:val="none" w:sz="0" w:space="0" w:color="auto"/>
            <w:bottom w:val="none" w:sz="0" w:space="0" w:color="auto"/>
            <w:right w:val="none" w:sz="0" w:space="0" w:color="auto"/>
          </w:divBdr>
        </w:div>
        <w:div w:id="2045590593">
          <w:marLeft w:val="0"/>
          <w:marRight w:val="0"/>
          <w:marTop w:val="0"/>
          <w:marBottom w:val="0"/>
          <w:divBdr>
            <w:top w:val="none" w:sz="0" w:space="0" w:color="auto"/>
            <w:left w:val="none" w:sz="0" w:space="0" w:color="auto"/>
            <w:bottom w:val="none" w:sz="0" w:space="0" w:color="auto"/>
            <w:right w:val="none" w:sz="0" w:space="0" w:color="auto"/>
          </w:divBdr>
        </w:div>
        <w:div w:id="2060930849">
          <w:marLeft w:val="0"/>
          <w:marRight w:val="0"/>
          <w:marTop w:val="0"/>
          <w:marBottom w:val="0"/>
          <w:divBdr>
            <w:top w:val="none" w:sz="0" w:space="0" w:color="auto"/>
            <w:left w:val="none" w:sz="0" w:space="0" w:color="auto"/>
            <w:bottom w:val="none" w:sz="0" w:space="0" w:color="auto"/>
            <w:right w:val="none" w:sz="0" w:space="0" w:color="auto"/>
          </w:divBdr>
        </w:div>
        <w:div w:id="2133203626">
          <w:marLeft w:val="0"/>
          <w:marRight w:val="0"/>
          <w:marTop w:val="0"/>
          <w:marBottom w:val="0"/>
          <w:divBdr>
            <w:top w:val="none" w:sz="0" w:space="0" w:color="auto"/>
            <w:left w:val="none" w:sz="0" w:space="0" w:color="auto"/>
            <w:bottom w:val="none" w:sz="0" w:space="0" w:color="auto"/>
            <w:right w:val="none" w:sz="0" w:space="0" w:color="auto"/>
          </w:divBdr>
        </w:div>
        <w:div w:id="2136875103">
          <w:marLeft w:val="0"/>
          <w:marRight w:val="0"/>
          <w:marTop w:val="0"/>
          <w:marBottom w:val="0"/>
          <w:divBdr>
            <w:top w:val="none" w:sz="0" w:space="0" w:color="auto"/>
            <w:left w:val="none" w:sz="0" w:space="0" w:color="auto"/>
            <w:bottom w:val="none" w:sz="0" w:space="0" w:color="auto"/>
            <w:right w:val="none" w:sz="0" w:space="0" w:color="auto"/>
          </w:divBdr>
        </w:div>
        <w:div w:id="2138184985">
          <w:marLeft w:val="0"/>
          <w:marRight w:val="0"/>
          <w:marTop w:val="0"/>
          <w:marBottom w:val="0"/>
          <w:divBdr>
            <w:top w:val="none" w:sz="0" w:space="0" w:color="auto"/>
            <w:left w:val="none" w:sz="0" w:space="0" w:color="auto"/>
            <w:bottom w:val="none" w:sz="0" w:space="0" w:color="auto"/>
            <w:right w:val="none" w:sz="0" w:space="0" w:color="auto"/>
          </w:divBdr>
        </w:div>
        <w:div w:id="2141414076">
          <w:marLeft w:val="0"/>
          <w:marRight w:val="0"/>
          <w:marTop w:val="0"/>
          <w:marBottom w:val="0"/>
          <w:divBdr>
            <w:top w:val="none" w:sz="0" w:space="0" w:color="auto"/>
            <w:left w:val="none" w:sz="0" w:space="0" w:color="auto"/>
            <w:bottom w:val="none" w:sz="0" w:space="0" w:color="auto"/>
            <w:right w:val="none" w:sz="0" w:space="0" w:color="auto"/>
          </w:divBdr>
        </w:div>
      </w:divsChild>
    </w:div>
    <w:div w:id="1249343615">
      <w:bodyDiv w:val="1"/>
      <w:marLeft w:val="0"/>
      <w:marRight w:val="0"/>
      <w:marTop w:val="0"/>
      <w:marBottom w:val="0"/>
      <w:divBdr>
        <w:top w:val="none" w:sz="0" w:space="0" w:color="auto"/>
        <w:left w:val="none" w:sz="0" w:space="0" w:color="auto"/>
        <w:bottom w:val="none" w:sz="0" w:space="0" w:color="auto"/>
        <w:right w:val="none" w:sz="0" w:space="0" w:color="auto"/>
      </w:divBdr>
    </w:div>
    <w:div w:id="1321428443">
      <w:bodyDiv w:val="1"/>
      <w:marLeft w:val="0"/>
      <w:marRight w:val="0"/>
      <w:marTop w:val="0"/>
      <w:marBottom w:val="0"/>
      <w:divBdr>
        <w:top w:val="none" w:sz="0" w:space="0" w:color="auto"/>
        <w:left w:val="none" w:sz="0" w:space="0" w:color="auto"/>
        <w:bottom w:val="none" w:sz="0" w:space="0" w:color="auto"/>
        <w:right w:val="none" w:sz="0" w:space="0" w:color="auto"/>
      </w:divBdr>
    </w:div>
    <w:div w:id="1437752357">
      <w:bodyDiv w:val="1"/>
      <w:marLeft w:val="0"/>
      <w:marRight w:val="0"/>
      <w:marTop w:val="0"/>
      <w:marBottom w:val="0"/>
      <w:divBdr>
        <w:top w:val="none" w:sz="0" w:space="0" w:color="auto"/>
        <w:left w:val="none" w:sz="0" w:space="0" w:color="auto"/>
        <w:bottom w:val="none" w:sz="0" w:space="0" w:color="auto"/>
        <w:right w:val="none" w:sz="0" w:space="0" w:color="auto"/>
      </w:divBdr>
    </w:div>
    <w:div w:id="1457991789">
      <w:bodyDiv w:val="1"/>
      <w:marLeft w:val="0"/>
      <w:marRight w:val="0"/>
      <w:marTop w:val="0"/>
      <w:marBottom w:val="0"/>
      <w:divBdr>
        <w:top w:val="none" w:sz="0" w:space="0" w:color="auto"/>
        <w:left w:val="none" w:sz="0" w:space="0" w:color="auto"/>
        <w:bottom w:val="none" w:sz="0" w:space="0" w:color="auto"/>
        <w:right w:val="none" w:sz="0" w:space="0" w:color="auto"/>
      </w:divBdr>
      <w:divsChild>
        <w:div w:id="1086808695">
          <w:marLeft w:val="0"/>
          <w:marRight w:val="0"/>
          <w:marTop w:val="0"/>
          <w:marBottom w:val="0"/>
          <w:divBdr>
            <w:top w:val="none" w:sz="0" w:space="0" w:color="auto"/>
            <w:left w:val="none" w:sz="0" w:space="0" w:color="auto"/>
            <w:bottom w:val="none" w:sz="0" w:space="0" w:color="auto"/>
            <w:right w:val="none" w:sz="0" w:space="0" w:color="auto"/>
          </w:divBdr>
        </w:div>
      </w:divsChild>
    </w:div>
    <w:div w:id="1504474523">
      <w:bodyDiv w:val="1"/>
      <w:marLeft w:val="0"/>
      <w:marRight w:val="0"/>
      <w:marTop w:val="0"/>
      <w:marBottom w:val="0"/>
      <w:divBdr>
        <w:top w:val="none" w:sz="0" w:space="0" w:color="auto"/>
        <w:left w:val="none" w:sz="0" w:space="0" w:color="auto"/>
        <w:bottom w:val="none" w:sz="0" w:space="0" w:color="auto"/>
        <w:right w:val="none" w:sz="0" w:space="0" w:color="auto"/>
      </w:divBdr>
    </w:div>
    <w:div w:id="1591428785">
      <w:bodyDiv w:val="1"/>
      <w:marLeft w:val="0"/>
      <w:marRight w:val="0"/>
      <w:marTop w:val="0"/>
      <w:marBottom w:val="0"/>
      <w:divBdr>
        <w:top w:val="none" w:sz="0" w:space="0" w:color="auto"/>
        <w:left w:val="none" w:sz="0" w:space="0" w:color="auto"/>
        <w:bottom w:val="none" w:sz="0" w:space="0" w:color="auto"/>
        <w:right w:val="none" w:sz="0" w:space="0" w:color="auto"/>
      </w:divBdr>
    </w:div>
    <w:div w:id="1594168991">
      <w:bodyDiv w:val="1"/>
      <w:marLeft w:val="0"/>
      <w:marRight w:val="0"/>
      <w:marTop w:val="0"/>
      <w:marBottom w:val="0"/>
      <w:divBdr>
        <w:top w:val="none" w:sz="0" w:space="0" w:color="auto"/>
        <w:left w:val="none" w:sz="0" w:space="0" w:color="auto"/>
        <w:bottom w:val="none" w:sz="0" w:space="0" w:color="auto"/>
        <w:right w:val="none" w:sz="0" w:space="0" w:color="auto"/>
      </w:divBdr>
    </w:div>
    <w:div w:id="1606419929">
      <w:bodyDiv w:val="1"/>
      <w:marLeft w:val="0"/>
      <w:marRight w:val="0"/>
      <w:marTop w:val="0"/>
      <w:marBottom w:val="0"/>
      <w:divBdr>
        <w:top w:val="none" w:sz="0" w:space="0" w:color="auto"/>
        <w:left w:val="none" w:sz="0" w:space="0" w:color="auto"/>
        <w:bottom w:val="none" w:sz="0" w:space="0" w:color="auto"/>
        <w:right w:val="none" w:sz="0" w:space="0" w:color="auto"/>
      </w:divBdr>
    </w:div>
    <w:div w:id="1623078619">
      <w:bodyDiv w:val="1"/>
      <w:marLeft w:val="0"/>
      <w:marRight w:val="0"/>
      <w:marTop w:val="0"/>
      <w:marBottom w:val="0"/>
      <w:divBdr>
        <w:top w:val="none" w:sz="0" w:space="0" w:color="auto"/>
        <w:left w:val="none" w:sz="0" w:space="0" w:color="auto"/>
        <w:bottom w:val="none" w:sz="0" w:space="0" w:color="auto"/>
        <w:right w:val="none" w:sz="0" w:space="0" w:color="auto"/>
      </w:divBdr>
    </w:div>
    <w:div w:id="1788888638">
      <w:bodyDiv w:val="1"/>
      <w:marLeft w:val="0"/>
      <w:marRight w:val="0"/>
      <w:marTop w:val="0"/>
      <w:marBottom w:val="0"/>
      <w:divBdr>
        <w:top w:val="none" w:sz="0" w:space="0" w:color="auto"/>
        <w:left w:val="none" w:sz="0" w:space="0" w:color="auto"/>
        <w:bottom w:val="none" w:sz="0" w:space="0" w:color="auto"/>
        <w:right w:val="none" w:sz="0" w:space="0" w:color="auto"/>
      </w:divBdr>
    </w:div>
    <w:div w:id="1806503924">
      <w:bodyDiv w:val="1"/>
      <w:marLeft w:val="0"/>
      <w:marRight w:val="0"/>
      <w:marTop w:val="0"/>
      <w:marBottom w:val="0"/>
      <w:divBdr>
        <w:top w:val="none" w:sz="0" w:space="0" w:color="auto"/>
        <w:left w:val="none" w:sz="0" w:space="0" w:color="auto"/>
        <w:bottom w:val="none" w:sz="0" w:space="0" w:color="auto"/>
        <w:right w:val="none" w:sz="0" w:space="0" w:color="auto"/>
      </w:divBdr>
    </w:div>
    <w:div w:id="1872183638">
      <w:bodyDiv w:val="1"/>
      <w:marLeft w:val="0"/>
      <w:marRight w:val="0"/>
      <w:marTop w:val="0"/>
      <w:marBottom w:val="0"/>
      <w:divBdr>
        <w:top w:val="none" w:sz="0" w:space="0" w:color="auto"/>
        <w:left w:val="none" w:sz="0" w:space="0" w:color="auto"/>
        <w:bottom w:val="none" w:sz="0" w:space="0" w:color="auto"/>
        <w:right w:val="none" w:sz="0" w:space="0" w:color="auto"/>
      </w:divBdr>
      <w:divsChild>
        <w:div w:id="1976334180">
          <w:marLeft w:val="0"/>
          <w:marRight w:val="0"/>
          <w:marTop w:val="0"/>
          <w:marBottom w:val="0"/>
          <w:divBdr>
            <w:top w:val="none" w:sz="0" w:space="0" w:color="auto"/>
            <w:left w:val="none" w:sz="0" w:space="0" w:color="auto"/>
            <w:bottom w:val="none" w:sz="0" w:space="0" w:color="auto"/>
            <w:right w:val="none" w:sz="0" w:space="0" w:color="auto"/>
          </w:divBdr>
          <w:divsChild>
            <w:div w:id="658073010">
              <w:marLeft w:val="0"/>
              <w:marRight w:val="0"/>
              <w:marTop w:val="0"/>
              <w:marBottom w:val="0"/>
              <w:divBdr>
                <w:top w:val="none" w:sz="0" w:space="0" w:color="auto"/>
                <w:left w:val="none" w:sz="0" w:space="0" w:color="auto"/>
                <w:bottom w:val="none" w:sz="0" w:space="0" w:color="auto"/>
                <w:right w:val="none" w:sz="0" w:space="0" w:color="auto"/>
              </w:divBdr>
              <w:divsChild>
                <w:div w:id="118358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48006">
      <w:bodyDiv w:val="1"/>
      <w:marLeft w:val="0"/>
      <w:marRight w:val="0"/>
      <w:marTop w:val="0"/>
      <w:marBottom w:val="0"/>
      <w:divBdr>
        <w:top w:val="none" w:sz="0" w:space="0" w:color="auto"/>
        <w:left w:val="none" w:sz="0" w:space="0" w:color="auto"/>
        <w:bottom w:val="none" w:sz="0" w:space="0" w:color="auto"/>
        <w:right w:val="none" w:sz="0" w:space="0" w:color="auto"/>
      </w:divBdr>
    </w:div>
    <w:div w:id="1941991348">
      <w:bodyDiv w:val="1"/>
      <w:marLeft w:val="0"/>
      <w:marRight w:val="0"/>
      <w:marTop w:val="0"/>
      <w:marBottom w:val="0"/>
      <w:divBdr>
        <w:top w:val="none" w:sz="0" w:space="0" w:color="auto"/>
        <w:left w:val="none" w:sz="0" w:space="0" w:color="auto"/>
        <w:bottom w:val="none" w:sz="0" w:space="0" w:color="auto"/>
        <w:right w:val="none" w:sz="0" w:space="0" w:color="auto"/>
      </w:divBdr>
    </w:div>
    <w:div w:id="1943411647">
      <w:bodyDiv w:val="1"/>
      <w:marLeft w:val="0"/>
      <w:marRight w:val="0"/>
      <w:marTop w:val="0"/>
      <w:marBottom w:val="0"/>
      <w:divBdr>
        <w:top w:val="none" w:sz="0" w:space="0" w:color="auto"/>
        <w:left w:val="none" w:sz="0" w:space="0" w:color="auto"/>
        <w:bottom w:val="none" w:sz="0" w:space="0" w:color="auto"/>
        <w:right w:val="none" w:sz="0" w:space="0" w:color="auto"/>
      </w:divBdr>
    </w:div>
    <w:div w:id="1950817628">
      <w:bodyDiv w:val="1"/>
      <w:marLeft w:val="0"/>
      <w:marRight w:val="0"/>
      <w:marTop w:val="0"/>
      <w:marBottom w:val="0"/>
      <w:divBdr>
        <w:top w:val="none" w:sz="0" w:space="0" w:color="auto"/>
        <w:left w:val="none" w:sz="0" w:space="0" w:color="auto"/>
        <w:bottom w:val="none" w:sz="0" w:space="0" w:color="auto"/>
        <w:right w:val="none" w:sz="0" w:space="0" w:color="auto"/>
      </w:divBdr>
      <w:divsChild>
        <w:div w:id="18433255">
          <w:marLeft w:val="0"/>
          <w:marRight w:val="0"/>
          <w:marTop w:val="150"/>
          <w:marBottom w:val="150"/>
          <w:divBdr>
            <w:top w:val="none" w:sz="0" w:space="0" w:color="auto"/>
            <w:left w:val="none" w:sz="0" w:space="0" w:color="auto"/>
            <w:bottom w:val="none" w:sz="0" w:space="0" w:color="auto"/>
            <w:right w:val="none" w:sz="0" w:space="0" w:color="auto"/>
          </w:divBdr>
          <w:divsChild>
            <w:div w:id="1481728577">
              <w:marLeft w:val="0"/>
              <w:marRight w:val="0"/>
              <w:marTop w:val="0"/>
              <w:marBottom w:val="0"/>
              <w:divBdr>
                <w:top w:val="none" w:sz="0" w:space="0" w:color="auto"/>
                <w:left w:val="none" w:sz="0" w:space="0" w:color="auto"/>
                <w:bottom w:val="none" w:sz="0" w:space="0" w:color="auto"/>
                <w:right w:val="none" w:sz="0" w:space="0" w:color="auto"/>
              </w:divBdr>
              <w:divsChild>
                <w:div w:id="2140686417">
                  <w:marLeft w:val="0"/>
                  <w:marRight w:val="0"/>
                  <w:marTop w:val="0"/>
                  <w:marBottom w:val="0"/>
                  <w:divBdr>
                    <w:top w:val="none" w:sz="0" w:space="0" w:color="auto"/>
                    <w:left w:val="none" w:sz="0" w:space="0" w:color="auto"/>
                    <w:bottom w:val="none" w:sz="0" w:space="0" w:color="auto"/>
                    <w:right w:val="none" w:sz="0" w:space="0" w:color="auto"/>
                  </w:divBdr>
                  <w:divsChild>
                    <w:div w:id="1076438275">
                      <w:marLeft w:val="0"/>
                      <w:marRight w:val="60"/>
                      <w:marTop w:val="0"/>
                      <w:marBottom w:val="0"/>
                      <w:divBdr>
                        <w:top w:val="none" w:sz="0" w:space="0" w:color="auto"/>
                        <w:left w:val="none" w:sz="0" w:space="0" w:color="auto"/>
                        <w:bottom w:val="none" w:sz="0" w:space="0" w:color="auto"/>
                        <w:right w:val="none" w:sz="0" w:space="0" w:color="auto"/>
                      </w:divBdr>
                      <w:divsChild>
                        <w:div w:id="1365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819183">
      <w:bodyDiv w:val="1"/>
      <w:marLeft w:val="0"/>
      <w:marRight w:val="0"/>
      <w:marTop w:val="0"/>
      <w:marBottom w:val="0"/>
      <w:divBdr>
        <w:top w:val="none" w:sz="0" w:space="0" w:color="auto"/>
        <w:left w:val="none" w:sz="0" w:space="0" w:color="auto"/>
        <w:bottom w:val="none" w:sz="0" w:space="0" w:color="auto"/>
        <w:right w:val="none" w:sz="0" w:space="0" w:color="auto"/>
      </w:divBdr>
      <w:divsChild>
        <w:div w:id="1294211440">
          <w:marLeft w:val="0"/>
          <w:marRight w:val="0"/>
          <w:marTop w:val="0"/>
          <w:marBottom w:val="0"/>
          <w:divBdr>
            <w:top w:val="none" w:sz="0" w:space="0" w:color="auto"/>
            <w:left w:val="none" w:sz="0" w:space="0" w:color="auto"/>
            <w:bottom w:val="none" w:sz="0" w:space="0" w:color="auto"/>
            <w:right w:val="none" w:sz="0" w:space="0" w:color="auto"/>
          </w:divBdr>
          <w:divsChild>
            <w:div w:id="883712743">
              <w:marLeft w:val="0"/>
              <w:marRight w:val="0"/>
              <w:marTop w:val="0"/>
              <w:marBottom w:val="0"/>
              <w:divBdr>
                <w:top w:val="none" w:sz="0" w:space="0" w:color="auto"/>
                <w:left w:val="none" w:sz="0" w:space="0" w:color="auto"/>
                <w:bottom w:val="none" w:sz="0" w:space="0" w:color="auto"/>
                <w:right w:val="none" w:sz="0" w:space="0" w:color="auto"/>
              </w:divBdr>
              <w:divsChild>
                <w:div w:id="165021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4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AD04-EE60-4051-A62C-BCA5C7000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24</Pages>
  <Words>24323</Words>
  <Characters>138647</Characters>
  <Application>Microsoft Office Word</Application>
  <DocSecurity>0</DocSecurity>
  <Lines>1155</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Clarissa Nobile</cp:lastModifiedBy>
  <cp:revision>3</cp:revision>
  <dcterms:created xsi:type="dcterms:W3CDTF">2026-03-17T19:54:00Z</dcterms:created>
  <dcterms:modified xsi:type="dcterms:W3CDTF">2026-03-18T17:16:00Z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http://www.zotero.org/styles/journal-of-visualized-experiments</vt:lpwstr>
  </property>
  <property fmtid="{D5CDD505-2E9C-101B-9397-08002B2CF9AE}" pid="17" name="Mendeley Recent Style Name 7_1">
    <vt:lpwstr>Journal of Visualized Experiments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Citation Style_1">
    <vt:lpwstr>http://www.zotero.org/styles/journal-of-visualized-experiments</vt:lpwstr>
  </property>
  <property fmtid="{D5CDD505-2E9C-101B-9397-08002B2CF9AE}" pid="24" name="Mendeley Unique User Id_1">
    <vt:lpwstr>f3251a97-1af2-3064-8432-2e0931d22fad</vt:lpwstr>
  </property>
  <property fmtid="{D5CDD505-2E9C-101B-9397-08002B2CF9AE}" pid="25" name="ZOTERO_PREF_1">
    <vt:lpwstr>&lt;data data-version="3" zotero-version="7.0.32"&gt;&lt;session id="CJa4Ee0S"/&gt;&lt;style id="http://www.zotero.org/styles/journal-of-visualized-experiments" hasBibliography="1" bibliographyStyleHasBeenSet="1"/&gt;&lt;prefs&gt;&lt;pref name="fieldType" value="Field"/&gt;&lt;/prefs&gt;&lt;/d</vt:lpwstr>
  </property>
  <property fmtid="{D5CDD505-2E9C-101B-9397-08002B2CF9AE}" pid="26" name="ZOTERO_PREF_2">
    <vt:lpwstr>ata&gt;</vt:lpwstr>
  </property>
  <property fmtid="{D5CDD505-2E9C-101B-9397-08002B2CF9AE}" pid="27" name="GrammarlyDocumentId">
    <vt:lpwstr>3d88feb0-1dd3-4893-a814-c82e8a531b11</vt:lpwstr>
  </property>
</Properties>
</file>