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BD33E" w14:textId="77777777" w:rsidR="00984181" w:rsidRDefault="00000000">
      <w:pPr>
        <w:rPr>
          <w:rFonts w:eastAsiaTheme="minorEastAsia"/>
          <w14:ligatures w14:val="standardContextual"/>
        </w:rPr>
      </w:pPr>
      <w:r>
        <w:rPr>
          <w:b/>
          <w:color w:val="000000"/>
        </w:rPr>
        <w:t>TITLE:</w:t>
      </w:r>
      <w:r>
        <w:rPr>
          <w:color w:val="000000"/>
        </w:rPr>
        <w:t xml:space="preserve"> </w:t>
      </w:r>
    </w:p>
    <w:p w14:paraId="0DC3D2DC" w14:textId="77777777" w:rsidR="00984181" w:rsidRDefault="00000000">
      <w:pPr>
        <w:rPr>
          <w:rFonts w:eastAsiaTheme="minorEastAsia"/>
          <w14:ligatures w14:val="standardContextual"/>
        </w:rPr>
      </w:pPr>
      <w:r>
        <w:rPr>
          <w:rFonts w:eastAsiaTheme="minorEastAsia"/>
          <w:lang w:eastAsia="zh-CN"/>
          <w14:ligatures w14:val="standardContextual"/>
        </w:rPr>
        <w:t>A Standardized Copper Bian-Stone Gua Sha Protocol for Treating Chronic Fatigue Syndrome in Human Subjects</w:t>
      </w:r>
    </w:p>
    <w:p w14:paraId="2C7CF39A" w14:textId="77777777" w:rsidR="00984181" w:rsidRDefault="00984181">
      <w:pPr>
        <w:rPr>
          <w:rFonts w:eastAsiaTheme="minorEastAsia"/>
          <w14:ligatures w14:val="standardContextual"/>
        </w:rPr>
      </w:pPr>
    </w:p>
    <w:p w14:paraId="509A1ED4" w14:textId="77777777" w:rsidR="00984181" w:rsidRDefault="00000000">
      <w:pPr>
        <w:rPr>
          <w:b/>
        </w:rPr>
      </w:pPr>
      <w:r>
        <w:rPr>
          <w:b/>
        </w:rPr>
        <w:t xml:space="preserve">AUTHORS AND AFFILIATIONS: </w:t>
      </w:r>
    </w:p>
    <w:p w14:paraId="439D9A95" w14:textId="77777777" w:rsidR="00984181" w:rsidRDefault="00000000">
      <w:pPr>
        <w:rPr>
          <w:vertAlign w:val="superscript"/>
          <w:lang w:eastAsia="zh-CN"/>
        </w:rPr>
      </w:pPr>
      <w:r>
        <w:rPr>
          <w:rFonts w:eastAsiaTheme="minorEastAsia"/>
          <w:lang w:eastAsia="zh-CN"/>
          <w14:ligatures w14:val="standardContextual"/>
        </w:rPr>
        <w:t>Wei Houwei</w:t>
      </w:r>
      <w:r>
        <w:rPr>
          <w:vertAlign w:val="superscript"/>
          <w:lang w:eastAsia="zh-CN"/>
        </w:rPr>
        <w:t>1,2*</w:t>
      </w:r>
      <w:r>
        <w:rPr>
          <w:lang w:eastAsia="zh-CN"/>
        </w:rPr>
        <w:t xml:space="preserve">, </w:t>
      </w:r>
      <w:r>
        <w:rPr>
          <w:rFonts w:eastAsiaTheme="minorEastAsia"/>
          <w:lang w:eastAsia="zh-CN"/>
          <w14:ligatures w14:val="standardContextual"/>
        </w:rPr>
        <w:t xml:space="preserve">Pei </w:t>
      </w:r>
      <w:proofErr w:type="spellStart"/>
      <w:r>
        <w:rPr>
          <w:rFonts w:eastAsiaTheme="minorEastAsia"/>
          <w:lang w:eastAsia="zh-CN"/>
          <w14:ligatures w14:val="standardContextual"/>
        </w:rPr>
        <w:t>yun</w:t>
      </w:r>
      <w:proofErr w:type="spellEnd"/>
      <w:r>
        <w:rPr>
          <w:rFonts w:eastAsiaTheme="minorEastAsia"/>
          <w:lang w:eastAsia="zh-CN"/>
          <w14:ligatures w14:val="standardContextual"/>
        </w:rPr>
        <w:t xml:space="preserve"> Feng </w:t>
      </w:r>
      <w:r>
        <w:rPr>
          <w:vertAlign w:val="superscript"/>
          <w:lang w:eastAsia="zh-CN"/>
        </w:rPr>
        <w:t>1,2*</w:t>
      </w:r>
      <w:r>
        <w:rPr>
          <w:lang w:eastAsia="zh-CN"/>
        </w:rPr>
        <w:t xml:space="preserve">, </w:t>
      </w:r>
      <w:r>
        <w:rPr>
          <w:rFonts w:eastAsiaTheme="minorEastAsia"/>
          <w:lang w:eastAsia="zh-CN"/>
          <w14:ligatures w14:val="standardContextual"/>
        </w:rPr>
        <w:t>Liu Suzhen</w:t>
      </w:r>
      <w:r>
        <w:rPr>
          <w:vertAlign w:val="superscript"/>
          <w:lang w:eastAsia="zh-CN"/>
        </w:rPr>
        <w:t>1,2</w:t>
      </w:r>
      <w:r>
        <w:rPr>
          <w:lang w:eastAsia="zh-CN"/>
        </w:rPr>
        <w:t xml:space="preserve">, </w:t>
      </w:r>
      <w:r>
        <w:rPr>
          <w:rFonts w:eastAsiaTheme="minorEastAsia"/>
          <w:lang w:eastAsia="zh-CN"/>
          <w14:ligatures w14:val="standardContextual"/>
        </w:rPr>
        <w:t>Lai Sihua</w:t>
      </w:r>
      <w:r>
        <w:rPr>
          <w:vertAlign w:val="superscript"/>
          <w:lang w:eastAsia="zh-CN"/>
        </w:rPr>
        <w:t>1,2</w:t>
      </w:r>
      <w:r>
        <w:rPr>
          <w:lang w:eastAsia="zh-CN"/>
        </w:rPr>
        <w:t xml:space="preserve">, </w:t>
      </w:r>
      <w:proofErr w:type="spellStart"/>
      <w:r>
        <w:rPr>
          <w:rFonts w:eastAsiaTheme="minorEastAsia"/>
          <w:lang w:eastAsia="zh-CN"/>
          <w14:ligatures w14:val="standardContextual"/>
        </w:rPr>
        <w:t>Ruofan</w:t>
      </w:r>
      <w:proofErr w:type="spellEnd"/>
      <w:r>
        <w:rPr>
          <w:rFonts w:eastAsiaTheme="minorEastAsia"/>
          <w:lang w:eastAsia="zh-CN"/>
          <w14:ligatures w14:val="standardContextual"/>
        </w:rPr>
        <w:t xml:space="preserve"> Wang</w:t>
      </w:r>
      <w:r>
        <w:rPr>
          <w:vertAlign w:val="superscript"/>
          <w:lang w:eastAsia="zh-CN"/>
        </w:rPr>
        <w:t>1,2</w:t>
      </w:r>
      <w:r>
        <w:rPr>
          <w:lang w:eastAsia="zh-CN"/>
        </w:rPr>
        <w:t xml:space="preserve">, </w:t>
      </w:r>
      <w:r>
        <w:rPr>
          <w:rFonts w:eastAsiaTheme="minorEastAsia"/>
          <w:lang w:eastAsia="zh-CN"/>
          <w14:ligatures w14:val="standardContextual"/>
        </w:rPr>
        <w:t>Xinying Zheng</w:t>
      </w:r>
      <w:r>
        <w:rPr>
          <w:vertAlign w:val="superscript"/>
          <w:lang w:eastAsia="zh-CN"/>
        </w:rPr>
        <w:t>1,2</w:t>
      </w:r>
      <w:r>
        <w:rPr>
          <w:lang w:eastAsia="zh-CN"/>
        </w:rPr>
        <w:t xml:space="preserve">, </w:t>
      </w:r>
      <w:r>
        <w:rPr>
          <w:rFonts w:eastAsiaTheme="minorEastAsia"/>
          <w:lang w:eastAsia="zh-CN"/>
          <w14:ligatures w14:val="standardContextual"/>
        </w:rPr>
        <w:t xml:space="preserve">Yue Liu </w:t>
      </w:r>
      <w:r>
        <w:rPr>
          <w:vertAlign w:val="superscript"/>
          <w:lang w:eastAsia="zh-CN"/>
        </w:rPr>
        <w:t>1,2</w:t>
      </w:r>
      <w:r>
        <w:rPr>
          <w:lang w:eastAsia="zh-CN"/>
        </w:rPr>
        <w:t>, Lu Yanqing</w:t>
      </w:r>
      <w:r>
        <w:rPr>
          <w:vertAlign w:val="superscript"/>
          <w:lang w:eastAsia="zh-CN"/>
        </w:rPr>
        <w:t>1,2</w:t>
      </w:r>
    </w:p>
    <w:p w14:paraId="6BB5E9B8" w14:textId="77777777" w:rsidR="00984181" w:rsidRDefault="00984181">
      <w:pPr>
        <w:rPr>
          <w:vertAlign w:val="superscript"/>
          <w:lang w:eastAsia="zh-CN"/>
        </w:rPr>
      </w:pPr>
    </w:p>
    <w:p w14:paraId="6D8BEAA3" w14:textId="77777777" w:rsidR="00984181" w:rsidRDefault="00000000">
      <w:pPr>
        <w:rPr>
          <w:lang w:eastAsia="zh-CN"/>
        </w:rPr>
      </w:pPr>
      <w:r>
        <w:rPr>
          <w:vertAlign w:val="superscript"/>
          <w:lang w:eastAsia="zh-CN"/>
        </w:rPr>
        <w:t>1</w:t>
      </w:r>
      <w:r>
        <w:rPr>
          <w:lang w:eastAsia="zh-CN"/>
        </w:rPr>
        <w:t>The Fifth Clinical Medical College of Guangzhou University of Chinese Medicine</w:t>
      </w:r>
    </w:p>
    <w:p w14:paraId="104031BB" w14:textId="77777777" w:rsidR="00984181" w:rsidRDefault="00000000">
      <w:pPr>
        <w:rPr>
          <w:lang w:eastAsia="zh-CN"/>
        </w:rPr>
      </w:pPr>
      <w:r>
        <w:rPr>
          <w:vertAlign w:val="superscript"/>
          <w:lang w:eastAsia="zh-CN"/>
        </w:rPr>
        <w:t>2</w:t>
      </w:r>
      <w:r>
        <w:rPr>
          <w:lang w:eastAsia="zh-CN"/>
        </w:rPr>
        <w:t>Guangdong Second Traditional Chinese Medicine Hospital</w:t>
      </w:r>
    </w:p>
    <w:p w14:paraId="17F779AF" w14:textId="77777777" w:rsidR="00984181" w:rsidRDefault="00984181">
      <w:pPr>
        <w:rPr>
          <w:lang w:eastAsia="zh-CN"/>
        </w:rPr>
      </w:pPr>
    </w:p>
    <w:p w14:paraId="7611392E" w14:textId="77777777" w:rsidR="00984181" w:rsidRDefault="00000000">
      <w:pPr>
        <w:rPr>
          <w:lang w:eastAsia="zh-CN"/>
        </w:rPr>
      </w:pPr>
      <w:r>
        <w:rPr>
          <w:lang w:eastAsia="zh-CN"/>
        </w:rPr>
        <w:t>Email addresses of the co-authors:</w:t>
      </w:r>
    </w:p>
    <w:p w14:paraId="2961A5B9" w14:textId="77777777" w:rsidR="00984181" w:rsidRPr="00DC566D" w:rsidRDefault="00000000">
      <w:pPr>
        <w:rPr>
          <w:rFonts w:eastAsiaTheme="minorEastAsia"/>
          <w:lang w:val="de-DE" w:eastAsia="zh-CN"/>
          <w14:ligatures w14:val="standardContextual"/>
        </w:rPr>
      </w:pPr>
      <w:r w:rsidRPr="00DC566D">
        <w:rPr>
          <w:rFonts w:eastAsiaTheme="minorEastAsia"/>
          <w:lang w:val="de-DE" w:eastAsia="zh-CN"/>
          <w14:ligatures w14:val="standardContextual"/>
        </w:rPr>
        <w:t>Liu Suzhen              (1078597490@qq.com)</w:t>
      </w:r>
    </w:p>
    <w:p w14:paraId="4622AAC2" w14:textId="77777777" w:rsidR="00984181" w:rsidRPr="00DC566D" w:rsidRDefault="00000000">
      <w:pPr>
        <w:rPr>
          <w:rFonts w:eastAsiaTheme="minorEastAsia"/>
          <w:lang w:val="de-DE" w:eastAsia="zh-CN"/>
          <w14:ligatures w14:val="standardContextual"/>
        </w:rPr>
      </w:pPr>
      <w:r w:rsidRPr="00DC566D">
        <w:rPr>
          <w:rFonts w:eastAsiaTheme="minorEastAsia"/>
          <w:lang w:val="de-DE" w:eastAsia="zh-CN"/>
          <w14:ligatures w14:val="standardContextual"/>
        </w:rPr>
        <w:t>Lai Sihua                 (3500078144@qq.com)</w:t>
      </w:r>
    </w:p>
    <w:p w14:paraId="0E2ACD36" w14:textId="77777777" w:rsidR="00984181" w:rsidRPr="00DC566D" w:rsidRDefault="00000000">
      <w:pPr>
        <w:rPr>
          <w:rFonts w:eastAsiaTheme="minorEastAsia"/>
          <w:lang w:val="de-DE" w:eastAsia="zh-CN"/>
          <w14:ligatures w14:val="standardContextual"/>
        </w:rPr>
      </w:pPr>
      <w:r w:rsidRPr="00DC566D">
        <w:rPr>
          <w:rFonts w:eastAsiaTheme="minorEastAsia"/>
          <w:lang w:val="de-DE" w:eastAsia="zh-CN"/>
          <w14:ligatures w14:val="standardContextual"/>
        </w:rPr>
        <w:t>Ruo fan Wang        (2667303420@qq.com)</w:t>
      </w:r>
    </w:p>
    <w:p w14:paraId="5FF8E193" w14:textId="77777777" w:rsidR="00984181" w:rsidRDefault="00000000">
      <w:pPr>
        <w:rPr>
          <w:rFonts w:eastAsiaTheme="minorEastAsia"/>
          <w:lang w:eastAsia="zh-CN"/>
          <w14:ligatures w14:val="standardContextual"/>
        </w:rPr>
      </w:pPr>
      <w:r>
        <w:rPr>
          <w:rFonts w:eastAsiaTheme="minorEastAsia"/>
          <w:lang w:eastAsia="zh-CN"/>
          <w14:ligatures w14:val="standardContextual"/>
        </w:rPr>
        <w:t xml:space="preserve">Xin ying Zheng    </w:t>
      </w:r>
      <w:proofErr w:type="gramStart"/>
      <w:r>
        <w:rPr>
          <w:rFonts w:eastAsiaTheme="minorEastAsia"/>
          <w:lang w:eastAsia="zh-CN"/>
          <w14:ligatures w14:val="standardContextual"/>
        </w:rPr>
        <w:t xml:space="preserve">   (</w:t>
      </w:r>
      <w:proofErr w:type="gramEnd"/>
      <w:r>
        <w:rPr>
          <w:rFonts w:eastAsiaTheme="minorEastAsia"/>
          <w:lang w:eastAsia="zh-CN"/>
          <w14:ligatures w14:val="standardContextual"/>
        </w:rPr>
        <w:t>2667303420@qq.com)</w:t>
      </w:r>
    </w:p>
    <w:p w14:paraId="06BB13F5" w14:textId="77777777" w:rsidR="00984181" w:rsidRDefault="00000000">
      <w:pPr>
        <w:rPr>
          <w:rFonts w:eastAsiaTheme="minorEastAsia"/>
          <w:lang w:eastAsia="zh-CN"/>
          <w14:ligatures w14:val="standardContextual"/>
        </w:rPr>
      </w:pPr>
      <w:r>
        <w:rPr>
          <w:rFonts w:eastAsiaTheme="minorEastAsia"/>
          <w:lang w:eastAsia="zh-CN"/>
          <w14:ligatures w14:val="standardContextual"/>
        </w:rPr>
        <w:t xml:space="preserve">Yue Liu                  </w:t>
      </w:r>
      <w:proofErr w:type="gramStart"/>
      <w:r>
        <w:rPr>
          <w:rFonts w:eastAsiaTheme="minorEastAsia"/>
          <w:lang w:eastAsia="zh-CN"/>
          <w14:ligatures w14:val="standardContextual"/>
        </w:rPr>
        <w:t xml:space="preserve">   (</w:t>
      </w:r>
      <w:proofErr w:type="gramEnd"/>
      <w:r>
        <w:rPr>
          <w:rFonts w:eastAsiaTheme="minorEastAsia"/>
          <w:lang w:eastAsia="zh-CN"/>
          <w14:ligatures w14:val="standardContextual"/>
        </w:rPr>
        <w:t>liuyue2288@163.com)</w:t>
      </w:r>
    </w:p>
    <w:p w14:paraId="1738840E" w14:textId="77777777" w:rsidR="00984181" w:rsidRDefault="00000000">
      <w:pPr>
        <w:rPr>
          <w:vertAlign w:val="superscript"/>
          <w:lang w:eastAsia="zh-CN"/>
        </w:rPr>
      </w:pPr>
      <w:r>
        <w:rPr>
          <w:lang w:eastAsia="zh-CN"/>
        </w:rPr>
        <w:t xml:space="preserve">Lu Yanqing           </w:t>
      </w:r>
      <w:proofErr w:type="gramStart"/>
      <w:r>
        <w:rPr>
          <w:lang w:eastAsia="zh-CN"/>
        </w:rPr>
        <w:t xml:space="preserve">   (</w:t>
      </w:r>
      <w:proofErr w:type="gramEnd"/>
      <w:r>
        <w:rPr>
          <w:lang w:eastAsia="zh-CN"/>
        </w:rPr>
        <w:t>1093494011@qq.com)</w:t>
      </w:r>
    </w:p>
    <w:p w14:paraId="3035DD78" w14:textId="77777777" w:rsidR="00984181" w:rsidRDefault="00984181">
      <w:pPr>
        <w:rPr>
          <w:lang w:eastAsia="zh-CN"/>
        </w:rPr>
      </w:pPr>
    </w:p>
    <w:p w14:paraId="2EB77F0E" w14:textId="77777777" w:rsidR="00984181" w:rsidRDefault="00000000">
      <w:pPr>
        <w:rPr>
          <w:lang w:eastAsia="zh-CN"/>
        </w:rPr>
      </w:pPr>
      <w:r>
        <w:rPr>
          <w:lang w:eastAsia="zh-CN"/>
        </w:rPr>
        <w:t>*</w:t>
      </w:r>
      <w:r>
        <w:rPr>
          <w:b/>
          <w:bCs/>
          <w:lang w:eastAsia="zh-CN"/>
        </w:rPr>
        <w:t>Corresponding authors</w:t>
      </w:r>
      <w:r>
        <w:rPr>
          <w:lang w:eastAsia="zh-CN"/>
        </w:rPr>
        <w:t>:</w:t>
      </w:r>
    </w:p>
    <w:p w14:paraId="0C409F7B" w14:textId="77777777" w:rsidR="00984181" w:rsidRDefault="00000000">
      <w:pPr>
        <w:rPr>
          <w:rFonts w:eastAsiaTheme="minorEastAsia"/>
          <w:lang w:eastAsia="zh-CN"/>
          <w14:ligatures w14:val="standardContextual"/>
        </w:rPr>
      </w:pPr>
      <w:r>
        <w:rPr>
          <w:rFonts w:eastAsiaTheme="minorEastAsia"/>
          <w:lang w:eastAsia="zh-CN"/>
          <w14:ligatures w14:val="standardContextual"/>
        </w:rPr>
        <w:t xml:space="preserve">Wei </w:t>
      </w:r>
      <w:proofErr w:type="spellStart"/>
      <w:r>
        <w:rPr>
          <w:rFonts w:eastAsiaTheme="minorEastAsia"/>
          <w:lang w:eastAsia="zh-CN"/>
          <w14:ligatures w14:val="standardContextual"/>
        </w:rPr>
        <w:t>Houwei</w:t>
      </w:r>
      <w:proofErr w:type="spellEnd"/>
      <w:r>
        <w:rPr>
          <w:rFonts w:eastAsiaTheme="minorEastAsia"/>
          <w:lang w:eastAsia="zh-CN"/>
          <w14:ligatures w14:val="standardContextual"/>
        </w:rPr>
        <w:t xml:space="preserve">        </w:t>
      </w:r>
      <w:proofErr w:type="gramStart"/>
      <w:r>
        <w:rPr>
          <w:rFonts w:eastAsiaTheme="minorEastAsia"/>
          <w:lang w:eastAsia="zh-CN"/>
          <w14:ligatures w14:val="standardContextual"/>
        </w:rPr>
        <w:t xml:space="preserve">   (</w:t>
      </w:r>
      <w:proofErr w:type="gramEnd"/>
      <w:r>
        <w:rPr>
          <w:rFonts w:eastAsiaTheme="minorEastAsia"/>
          <w:lang w:eastAsia="zh-CN"/>
          <w14:ligatures w14:val="standardContextual"/>
        </w:rPr>
        <w:t>903933422@qq.com)</w:t>
      </w:r>
    </w:p>
    <w:p w14:paraId="79310A4C" w14:textId="77777777" w:rsidR="00984181" w:rsidRPr="00DC566D" w:rsidRDefault="00000000">
      <w:pPr>
        <w:rPr>
          <w:rFonts w:eastAsiaTheme="minorEastAsia"/>
          <w:lang w:val="de-DE" w:eastAsia="zh-CN"/>
          <w14:ligatures w14:val="standardContextual"/>
        </w:rPr>
      </w:pPr>
      <w:r w:rsidRPr="00DC566D">
        <w:rPr>
          <w:rFonts w:eastAsiaTheme="minorEastAsia"/>
          <w:lang w:val="de-DE" w:eastAsia="zh-CN"/>
          <w14:ligatures w14:val="standardContextual"/>
        </w:rPr>
        <w:t>Peiyun Feng           (Fpy1752728044@163.com)</w:t>
      </w:r>
    </w:p>
    <w:p w14:paraId="09C0801E" w14:textId="77777777" w:rsidR="00984181" w:rsidRPr="00DC566D" w:rsidRDefault="00984181">
      <w:pPr>
        <w:rPr>
          <w:lang w:val="de-DE" w:eastAsia="zh-CN"/>
        </w:rPr>
      </w:pPr>
    </w:p>
    <w:p w14:paraId="38FFC6AE" w14:textId="77777777" w:rsidR="00984181" w:rsidRPr="00DC566D" w:rsidRDefault="00984181">
      <w:pPr>
        <w:rPr>
          <w:lang w:val="de-DE" w:eastAsia="zh-CN"/>
        </w:rPr>
      </w:pPr>
    </w:p>
    <w:p w14:paraId="4775DB80" w14:textId="77777777" w:rsidR="00984181" w:rsidRPr="00DC566D" w:rsidRDefault="00000000">
      <w:pPr>
        <w:rPr>
          <w:lang w:val="de-DE"/>
        </w:rPr>
      </w:pPr>
      <w:r w:rsidRPr="00DC566D">
        <w:rPr>
          <w:b/>
          <w:lang w:val="de-DE"/>
        </w:rPr>
        <w:t>SUMMARY:</w:t>
      </w:r>
    </w:p>
    <w:p w14:paraId="0F72929F" w14:textId="77777777" w:rsidR="00984181" w:rsidRDefault="00000000">
      <w:pPr>
        <w:rPr>
          <w:lang w:eastAsia="zh-CN"/>
        </w:rPr>
      </w:pPr>
      <w:r>
        <w:rPr>
          <w:rFonts w:eastAsiaTheme="minorEastAsia"/>
          <w:lang w:eastAsia="zh-CN"/>
          <w14:ligatures w14:val="standardContextual"/>
        </w:rPr>
        <w:t>This protocol describes a standardized, step-by-step procedure for performing copper Bian-stone Gua Sha in human subjects diagnosed with chronic fatigue syndrome. The technique involves the application of a copper alloy scraper to specific meridian pathways (Governor Vessel and Bladder Meridian) and designated acupoints. Representative pre- and post-intervention observational data are included to illustrate the procedural workflow and data collection methods</w:t>
      </w:r>
      <w:r>
        <w:t>.</w:t>
      </w:r>
    </w:p>
    <w:p w14:paraId="396F9E6D" w14:textId="77777777" w:rsidR="00984181" w:rsidRDefault="00984181">
      <w:pPr>
        <w:rPr>
          <w:lang w:eastAsia="zh-CN"/>
        </w:rPr>
      </w:pPr>
    </w:p>
    <w:p w14:paraId="0A1D8C13" w14:textId="77777777" w:rsidR="00984181" w:rsidRDefault="00000000">
      <w:pPr>
        <w:rPr>
          <w:color w:val="808080"/>
        </w:rPr>
      </w:pPr>
      <w:r>
        <w:rPr>
          <w:b/>
        </w:rPr>
        <w:t>ABSTRACT:</w:t>
      </w:r>
    </w:p>
    <w:p w14:paraId="2A936B87" w14:textId="77777777" w:rsidR="00984181" w:rsidRDefault="00000000">
      <w:pPr>
        <w:rPr>
          <w:lang w:eastAsia="zh-CN"/>
        </w:rPr>
      </w:pPr>
      <w:r>
        <w:rPr>
          <w:rFonts w:eastAsiaTheme="minorEastAsia"/>
          <w:lang w:eastAsia="zh-CN"/>
          <w14:ligatures w14:val="standardContextual"/>
        </w:rPr>
        <w:t xml:space="preserve">Chronic fatigue syndrome (CFS) is characterized by persistent, unexplained fatigue lasting six months or longer. This protocol describes a </w:t>
      </w:r>
      <w:proofErr w:type="gramStart"/>
      <w:r>
        <w:rPr>
          <w:rFonts w:eastAsiaTheme="minorEastAsia"/>
          <w:lang w:eastAsia="zh-CN"/>
          <w14:ligatures w14:val="standardContextual"/>
        </w:rPr>
        <w:t>standardized copper</w:t>
      </w:r>
      <w:proofErr w:type="gramEnd"/>
      <w:r>
        <w:rPr>
          <w:rFonts w:eastAsiaTheme="minorEastAsia"/>
          <w:lang w:eastAsia="zh-CN"/>
          <w14:ligatures w14:val="standardContextual"/>
        </w:rPr>
        <w:t xml:space="preserve"> Bian-stone Gua Sha procedure for application in human subjects with CFS. The procedure targets </w:t>
      </w:r>
      <w:proofErr w:type="gramStart"/>
      <w:r>
        <w:rPr>
          <w:rFonts w:eastAsiaTheme="minorEastAsia"/>
          <w:lang w:eastAsia="zh-CN"/>
          <w14:ligatures w14:val="standardContextual"/>
        </w:rPr>
        <w:t>the Governor</w:t>
      </w:r>
      <w:proofErr w:type="gramEnd"/>
      <w:r>
        <w:rPr>
          <w:rFonts w:eastAsiaTheme="minorEastAsia"/>
          <w:lang w:eastAsia="zh-CN"/>
          <w14:ligatures w14:val="standardContextual"/>
        </w:rPr>
        <w:t xml:space="preserve"> Vessel (from </w:t>
      </w:r>
      <w:proofErr w:type="spellStart"/>
      <w:r>
        <w:rPr>
          <w:rFonts w:eastAsiaTheme="minorEastAsia"/>
          <w:lang w:eastAsia="zh-CN"/>
          <w14:ligatures w14:val="standardContextual"/>
        </w:rPr>
        <w:t>Dazhui</w:t>
      </w:r>
      <w:proofErr w:type="spellEnd"/>
      <w:r>
        <w:rPr>
          <w:rFonts w:eastAsiaTheme="minorEastAsia"/>
          <w:lang w:eastAsia="zh-CN"/>
          <w14:ligatures w14:val="standardContextual"/>
        </w:rPr>
        <w:t xml:space="preserve"> DU14 to </w:t>
      </w:r>
      <w:proofErr w:type="spellStart"/>
      <w:r>
        <w:rPr>
          <w:rFonts w:eastAsiaTheme="minorEastAsia"/>
          <w:lang w:eastAsia="zh-CN"/>
          <w14:ligatures w14:val="standardContextual"/>
        </w:rPr>
        <w:t>Yaoyangguan</w:t>
      </w:r>
      <w:proofErr w:type="spellEnd"/>
      <w:r>
        <w:rPr>
          <w:rFonts w:eastAsiaTheme="minorEastAsia"/>
          <w:lang w:eastAsia="zh-CN"/>
          <w14:ligatures w14:val="standardContextual"/>
        </w:rPr>
        <w:t xml:space="preserve"> DU3) and the Bladder Meridian (from Feishu BL13 to </w:t>
      </w:r>
      <w:proofErr w:type="spellStart"/>
      <w:r>
        <w:rPr>
          <w:rFonts w:eastAsiaTheme="minorEastAsia"/>
          <w:lang w:eastAsia="zh-CN"/>
          <w14:ligatures w14:val="standardContextual"/>
        </w:rPr>
        <w:t>Shenshu</w:t>
      </w:r>
      <w:proofErr w:type="spellEnd"/>
      <w:r>
        <w:rPr>
          <w:rFonts w:eastAsiaTheme="minorEastAsia"/>
          <w:lang w:eastAsia="zh-CN"/>
          <w14:ligatures w14:val="standardContextual"/>
        </w:rPr>
        <w:t xml:space="preserve"> BL23). A copper Bian-stone scraper is used to apply light scraping along the meridians at approximately 5 cm/s, with moderate pressure applied for 30 </w:t>
      </w:r>
      <w:proofErr w:type="spellStart"/>
      <w:r>
        <w:rPr>
          <w:rFonts w:eastAsiaTheme="minorEastAsia"/>
          <w:lang w:eastAsia="zh-CN"/>
          <w14:ligatures w14:val="standardContextual"/>
        </w:rPr>
        <w:t>s at</w:t>
      </w:r>
      <w:proofErr w:type="spellEnd"/>
      <w:r>
        <w:rPr>
          <w:rFonts w:eastAsiaTheme="minorEastAsia"/>
          <w:lang w:eastAsia="zh-CN"/>
          <w14:ligatures w14:val="standardContextual"/>
        </w:rPr>
        <w:t xml:space="preserve"> Back-Shu points (</w:t>
      </w:r>
      <w:proofErr w:type="spellStart"/>
      <w:r>
        <w:rPr>
          <w:rFonts w:eastAsiaTheme="minorEastAsia"/>
          <w:lang w:eastAsia="zh-CN"/>
          <w14:ligatures w14:val="standardContextual"/>
        </w:rPr>
        <w:t>Pishu</w:t>
      </w:r>
      <w:proofErr w:type="spellEnd"/>
      <w:r>
        <w:rPr>
          <w:rFonts w:eastAsiaTheme="minorEastAsia"/>
          <w:lang w:eastAsia="zh-CN"/>
          <w14:ligatures w14:val="standardContextual"/>
        </w:rPr>
        <w:t xml:space="preserve"> BL20, </w:t>
      </w:r>
      <w:proofErr w:type="spellStart"/>
      <w:r>
        <w:rPr>
          <w:rFonts w:eastAsiaTheme="minorEastAsia"/>
          <w:lang w:eastAsia="zh-CN"/>
          <w14:ligatures w14:val="standardContextual"/>
        </w:rPr>
        <w:t>Weishu</w:t>
      </w:r>
      <w:proofErr w:type="spellEnd"/>
      <w:r>
        <w:rPr>
          <w:rFonts w:eastAsiaTheme="minorEastAsia"/>
          <w:lang w:eastAsia="zh-CN"/>
          <w14:ligatures w14:val="standardContextual"/>
        </w:rPr>
        <w:t xml:space="preserve"> BL21, </w:t>
      </w:r>
      <w:proofErr w:type="spellStart"/>
      <w:r>
        <w:rPr>
          <w:rFonts w:eastAsiaTheme="minorEastAsia"/>
          <w:lang w:eastAsia="zh-CN"/>
          <w14:ligatures w14:val="standardContextual"/>
        </w:rPr>
        <w:t>Shenshu</w:t>
      </w:r>
      <w:proofErr w:type="spellEnd"/>
      <w:r>
        <w:rPr>
          <w:rFonts w:eastAsiaTheme="minorEastAsia"/>
          <w:lang w:eastAsia="zh-CN"/>
          <w14:ligatures w14:val="standardContextual"/>
        </w:rPr>
        <w:t xml:space="preserve"> BL23). Scraping continues until uniform petechiae (sha) </w:t>
      </w:r>
      <w:proofErr w:type="gramStart"/>
      <w:r>
        <w:rPr>
          <w:rFonts w:eastAsiaTheme="minorEastAsia"/>
          <w:lang w:eastAsia="zh-CN"/>
          <w14:ligatures w14:val="standardContextual"/>
        </w:rPr>
        <w:t>appear</w:t>
      </w:r>
      <w:proofErr w:type="gramEnd"/>
      <w:r>
        <w:rPr>
          <w:rFonts w:eastAsiaTheme="minorEastAsia"/>
          <w:lang w:eastAsia="zh-CN"/>
          <w14:ligatures w14:val="standardContextual"/>
        </w:rPr>
        <w:t xml:space="preserve"> or 10 strokes per segment are completed. Sessions last approximately 20 min and are performed twice weekly for two weeks. Pre- and post-intervention assessments include the Fatigue Severity Scale (FSS), a TCM syndrome score, and the SF-36 Health Survey. Representative changes in these scores are documented to illustrate protocol execution. This protocol emphasizes standardized acupoint localization, pressure calibration, and safety monitoring to facilitate reproducibility in clinical </w:t>
      </w:r>
      <w:r>
        <w:rPr>
          <w:rFonts w:eastAsiaTheme="minorEastAsia"/>
          <w:lang w:eastAsia="zh-CN"/>
          <w14:ligatures w14:val="standardContextual"/>
        </w:rPr>
        <w:lastRenderedPageBreak/>
        <w:t>research settings.</w:t>
      </w:r>
    </w:p>
    <w:p w14:paraId="7490DD7A" w14:textId="77777777" w:rsidR="00984181" w:rsidRDefault="00984181"/>
    <w:p w14:paraId="748D7D70" w14:textId="77777777" w:rsidR="00984181" w:rsidRDefault="00000000">
      <w:pPr>
        <w:rPr>
          <w:color w:val="808080"/>
        </w:rPr>
      </w:pPr>
      <w:r>
        <w:rPr>
          <w:b/>
        </w:rPr>
        <w:t>INTRODUCTION:</w:t>
      </w:r>
      <w:r>
        <w:t xml:space="preserve"> </w:t>
      </w:r>
    </w:p>
    <w:p w14:paraId="73123615" w14:textId="77777777" w:rsidR="00984181" w:rsidRDefault="00000000">
      <w:r>
        <w:rPr>
          <w:rFonts w:eastAsiaTheme="minorEastAsia"/>
          <w:lang w:eastAsia="zh-CN"/>
          <w14:ligatures w14:val="standardContextual"/>
        </w:rPr>
        <w:t>Chronic fatigue syndrome (CFS) is a clinical condition characterized by persistent or recurrent fatigue lasting six months or longer that is not substantially alleviated by rest and cannot be explained by an underlying medical condition</w:t>
      </w:r>
      <w:r>
        <w:rPr>
          <w:vertAlign w:val="superscript"/>
        </w:rPr>
        <w:fldChar w:fldCharType="begin"/>
      </w:r>
      <w:r>
        <w:rPr>
          <w:vertAlign w:val="superscript"/>
        </w:rPr>
        <w:instrText xml:space="preserve"> REF _Ref24276 \r \h </w:instrText>
      </w:r>
      <w:r>
        <w:rPr>
          <w:vertAlign w:val="superscript"/>
        </w:rPr>
      </w:r>
      <w:r>
        <w:rPr>
          <w:vertAlign w:val="superscript"/>
        </w:rPr>
        <w:fldChar w:fldCharType="separate"/>
      </w:r>
      <w:r>
        <w:rPr>
          <w:vertAlign w:val="superscript"/>
        </w:rPr>
        <w:t>1</w:t>
      </w:r>
      <w:r>
        <w:rPr>
          <w:vertAlign w:val="superscript"/>
        </w:rPr>
        <w:fldChar w:fldCharType="end"/>
      </w:r>
      <w:r>
        <w:t>.</w:t>
      </w:r>
      <w:r>
        <w:rPr>
          <w:rFonts w:eastAsiaTheme="minorEastAsia"/>
          <w:lang w:eastAsia="zh-CN"/>
          <w14:ligatures w14:val="standardContextual"/>
        </w:rPr>
        <w:t xml:space="preserve"> The global prevalence of CFS has been reported to be increasing, and prolonged fatigue may contribute to functional impairment across multiple physiological systems</w:t>
      </w:r>
      <w:r>
        <w:rPr>
          <w:vertAlign w:val="superscript"/>
        </w:rPr>
        <w:fldChar w:fldCharType="begin"/>
      </w:r>
      <w:r>
        <w:rPr>
          <w:vertAlign w:val="superscript"/>
        </w:rPr>
        <w:instrText xml:space="preserve"> REF _Ref24384 \r \h </w:instrText>
      </w:r>
      <w:r>
        <w:rPr>
          <w:vertAlign w:val="superscript"/>
        </w:rPr>
      </w:r>
      <w:r>
        <w:rPr>
          <w:vertAlign w:val="superscript"/>
        </w:rPr>
        <w:fldChar w:fldCharType="separate"/>
      </w:r>
      <w:r>
        <w:rPr>
          <w:vertAlign w:val="superscript"/>
        </w:rPr>
        <w:t>2</w:t>
      </w:r>
      <w:r>
        <w:rPr>
          <w:vertAlign w:val="superscript"/>
        </w:rPr>
        <w:fldChar w:fldCharType="end"/>
      </w:r>
      <w:r>
        <w:t>.</w:t>
      </w:r>
    </w:p>
    <w:p w14:paraId="217480CE" w14:textId="77777777" w:rsidR="00984181" w:rsidRDefault="00984181"/>
    <w:p w14:paraId="1CB1C256" w14:textId="77777777" w:rsidR="00984181" w:rsidRDefault="00000000">
      <w:pPr>
        <w:rPr>
          <w:rFonts w:eastAsiaTheme="minorEastAsia"/>
          <w:lang w:eastAsia="zh-CN"/>
          <w14:ligatures w14:val="standardContextual"/>
        </w:rPr>
      </w:pPr>
      <w:r>
        <w:rPr>
          <w:rFonts w:eastAsiaTheme="minorEastAsia"/>
          <w:lang w:eastAsia="zh-CN"/>
          <w14:ligatures w14:val="standardContextual"/>
        </w:rPr>
        <w:t>Current pharmacological interventions for CFS are primarily symptomatic and include anti-fatigue agents and low-dose antidepressants; however, long-term use may be associated with adverse effects such as gastrointestinal discomfort and dependency</w:t>
      </w:r>
      <w:r>
        <w:rPr>
          <w:vertAlign w:val="superscript"/>
        </w:rPr>
        <w:fldChar w:fldCharType="begin"/>
      </w:r>
      <w:r>
        <w:rPr>
          <w:vertAlign w:val="superscript"/>
        </w:rPr>
        <w:instrText xml:space="preserve"> REF _Ref24423 \r \h </w:instrText>
      </w:r>
      <w:r>
        <w:rPr>
          <w:vertAlign w:val="superscript"/>
        </w:rPr>
      </w:r>
      <w:r>
        <w:rPr>
          <w:vertAlign w:val="superscript"/>
        </w:rPr>
        <w:fldChar w:fldCharType="separate"/>
      </w:r>
      <w:r>
        <w:rPr>
          <w:vertAlign w:val="superscript"/>
        </w:rPr>
        <w:t>3</w:t>
      </w:r>
      <w:r>
        <w:rPr>
          <w:vertAlign w:val="superscript"/>
        </w:rPr>
        <w:fldChar w:fldCharType="end"/>
      </w:r>
      <w:r>
        <w:t xml:space="preserve">. </w:t>
      </w:r>
      <w:r>
        <w:rPr>
          <w:rFonts w:eastAsiaTheme="minorEastAsia"/>
          <w:lang w:eastAsia="zh-CN"/>
          <w14:ligatures w14:val="standardContextual"/>
        </w:rPr>
        <w:t>As a result, non-pharmacological approaches, including certain Traditional Chinese Medicine (TCM) external therapies, have been explored as alternative or adjunctive options. Gua Sha is a TCM technique that involves instrument-assisted scraping of the skin along designated meridian pathways. The use of copper Bian-stone scrapers introduces specific material properties, such as thermal conductivity, that differ from traditional tools made of horn or jade.</w:t>
      </w:r>
    </w:p>
    <w:p w14:paraId="7455A9D0" w14:textId="77777777" w:rsidR="00984181" w:rsidRDefault="00984181">
      <w:pPr>
        <w:rPr>
          <w:rFonts w:eastAsiaTheme="minorEastAsia"/>
          <w:lang w:eastAsia="zh-CN"/>
          <w14:ligatures w14:val="standardContextual"/>
        </w:rPr>
      </w:pPr>
    </w:p>
    <w:p w14:paraId="6A7916B6" w14:textId="77777777" w:rsidR="00984181" w:rsidRDefault="00000000">
      <w:r>
        <w:rPr>
          <w:rFonts w:eastAsiaTheme="minorEastAsia"/>
          <w:lang w:eastAsia="zh-CN"/>
          <w14:ligatures w14:val="standardContextual"/>
        </w:rPr>
        <w:t xml:space="preserve">This protocol describes a </w:t>
      </w:r>
      <w:proofErr w:type="gramStart"/>
      <w:r>
        <w:rPr>
          <w:rFonts w:eastAsiaTheme="minorEastAsia"/>
          <w:lang w:eastAsia="zh-CN"/>
          <w14:ligatures w14:val="standardContextual"/>
        </w:rPr>
        <w:t>standardized copper</w:t>
      </w:r>
      <w:proofErr w:type="gramEnd"/>
      <w:r>
        <w:rPr>
          <w:rFonts w:eastAsiaTheme="minorEastAsia"/>
          <w:lang w:eastAsia="zh-CN"/>
          <w14:ligatures w14:val="standardContextual"/>
        </w:rPr>
        <w:t xml:space="preserve"> Bian-stone Gua Sha procedure for application in human subjects with CFS. The aim is to provide a detailed, step-by-step framework covering material preparation, acupoint localization, scraping technique, pressure calibration, and safety monitoring. The protocol emphasizes reproducibility and is intended for use in clinical research settings where a consistent, well-documented external intervention is required.</w:t>
      </w:r>
    </w:p>
    <w:p w14:paraId="42692A2B" w14:textId="77777777" w:rsidR="00984181" w:rsidRDefault="00000000">
      <w:r>
        <w:t>(Note: This study focused on the relationship between syndrome homogeneity and therapeutic efficacy; the age and gender distribution of individual patients were not systematically recorded or analyzed. All efficacy was based on the entire enrolled population = 20</w:t>
      </w:r>
      <w:r>
        <w:rPr>
          <w:b/>
          <w:bCs/>
        </w:rPr>
        <w:t>.</w:t>
      </w:r>
      <w:r>
        <w:t>)</w:t>
      </w:r>
    </w:p>
    <w:p w14:paraId="57839C98" w14:textId="77777777" w:rsidR="00984181" w:rsidRDefault="00984181">
      <w:pPr>
        <w:rPr>
          <w:b/>
          <w:bCs/>
        </w:rPr>
      </w:pPr>
    </w:p>
    <w:p w14:paraId="6EE5315B" w14:textId="77777777" w:rsidR="00984181" w:rsidRDefault="00000000">
      <w:pPr>
        <w:rPr>
          <w:color w:val="000000"/>
          <w:lang w:val="en-IN"/>
        </w:rPr>
      </w:pPr>
      <w:r>
        <w:rPr>
          <w:b/>
          <w:bCs/>
          <w:color w:val="000000"/>
          <w:lang w:val="en-IN"/>
        </w:rPr>
        <w:t>PROTOCOL:</w:t>
      </w:r>
      <w:r>
        <w:rPr>
          <w:color w:val="000000"/>
          <w:lang w:val="en-IN"/>
        </w:rPr>
        <w:br/>
        <w:t xml:space="preserve">This study has been approved by the Ethics Committee of the Fifth Clinical Medical College of Guangzhou University of Chinese Medicine / the Second Traditional Chinese Medicine Hospital of </w:t>
      </w:r>
      <w:proofErr w:type="gramStart"/>
      <w:r>
        <w:rPr>
          <w:color w:val="000000"/>
          <w:lang w:val="en-IN"/>
        </w:rPr>
        <w:t>Guangdong(</w:t>
      </w:r>
      <w:proofErr w:type="gramEnd"/>
      <w:r>
        <w:rPr>
          <w:color w:val="000000"/>
          <w:lang w:val="en-IN"/>
        </w:rPr>
        <w:t>Number: 202511-004-02). Informed consent was obtained from all participants all experimental procedures strictly adhered to the Declaration of Helsinki and institutional ethical standards for human research.</w:t>
      </w:r>
    </w:p>
    <w:p w14:paraId="18CEA31F" w14:textId="77777777" w:rsidR="00984181" w:rsidRDefault="00984181">
      <w:pPr>
        <w:rPr>
          <w:color w:val="000000"/>
          <w:lang w:val="en-IN"/>
        </w:rPr>
      </w:pPr>
    </w:p>
    <w:p w14:paraId="68DDDB5A" w14:textId="77777777" w:rsidR="00984181" w:rsidRDefault="00000000">
      <w:pPr>
        <w:pStyle w:val="ListParagraph"/>
        <w:numPr>
          <w:ilvl w:val="0"/>
          <w:numId w:val="1"/>
        </w:numPr>
        <w:spacing w:after="0" w:line="240" w:lineRule="auto"/>
        <w:ind w:left="0" w:firstLine="0"/>
        <w:jc w:val="both"/>
        <w:rPr>
          <w:rFonts w:ascii="Calibri" w:hAnsi="Calibri" w:cs="Calibri"/>
          <w:b/>
          <w:bCs/>
          <w:color w:val="000000"/>
          <w:sz w:val="24"/>
          <w:szCs w:val="24"/>
          <w:lang w:val="en-IN"/>
        </w:rPr>
      </w:pPr>
      <w:r>
        <w:rPr>
          <w:rFonts w:ascii="Calibri" w:hAnsi="Calibri" w:cs="Calibri"/>
          <w:b/>
          <w:bCs/>
          <w:color w:val="000000"/>
          <w:sz w:val="24"/>
          <w:szCs w:val="24"/>
          <w:lang w:val="en-IN"/>
        </w:rPr>
        <w:t>Diagnostic criteria</w:t>
      </w:r>
    </w:p>
    <w:p w14:paraId="7D1EDE58" w14:textId="77777777" w:rsidR="00984181" w:rsidRDefault="00984181">
      <w:pPr>
        <w:pStyle w:val="ListParagraph"/>
        <w:spacing w:after="0" w:line="240" w:lineRule="auto"/>
        <w:ind w:left="0"/>
        <w:jc w:val="both"/>
        <w:rPr>
          <w:rFonts w:ascii="Calibri" w:hAnsi="Calibri" w:cs="Calibri"/>
          <w:b/>
          <w:bCs/>
          <w:color w:val="000000"/>
          <w:sz w:val="24"/>
          <w:szCs w:val="24"/>
          <w:lang w:val="en-IN"/>
        </w:rPr>
      </w:pPr>
    </w:p>
    <w:p w14:paraId="0AC12264" w14:textId="77777777" w:rsidR="00984181" w:rsidRDefault="00000000">
      <w:pPr>
        <w:rPr>
          <w:color w:val="000000"/>
          <w:lang w:val="en-IN"/>
        </w:rPr>
      </w:pPr>
      <w:r>
        <w:rPr>
          <w:color w:val="000000"/>
          <w:lang w:val="en-IN"/>
        </w:rPr>
        <w:t>1.1. Define chronic fatigue syndrome as a clinical syndrome characterized by persistent fatigue as the primary manifestation, absence of a clear disease diagnosis explaining the fatigue, lack of relief after rest, and recurrence or persistence for more than 6 months.</w:t>
      </w:r>
    </w:p>
    <w:p w14:paraId="65D4AE2D" w14:textId="77777777" w:rsidR="00984181" w:rsidRDefault="00984181">
      <w:pPr>
        <w:rPr>
          <w:color w:val="000000"/>
          <w:lang w:val="en-IN"/>
        </w:rPr>
      </w:pPr>
    </w:p>
    <w:p w14:paraId="2E511A37" w14:textId="77777777" w:rsidR="00984181" w:rsidRDefault="00000000">
      <w:pPr>
        <w:rPr>
          <w:color w:val="000000"/>
          <w:lang w:val="en-IN"/>
        </w:rPr>
      </w:pPr>
      <w:r>
        <w:rPr>
          <w:color w:val="000000"/>
          <w:lang w:val="en-IN"/>
        </w:rPr>
        <w:t xml:space="preserve">1.2. Use the Western medical diagnostic criteria for chronic fatigue syndrome outlined in Reference </w:t>
      </w:r>
      <w:r>
        <w:rPr>
          <w:color w:val="000000"/>
          <w:vertAlign w:val="superscript"/>
          <w:lang w:val="en-IN"/>
        </w:rPr>
        <w:fldChar w:fldCharType="begin"/>
      </w:r>
      <w:r>
        <w:instrText xml:space="preserve"> REF _Ref24276 \r \h  \* MERGEFORMAT</w:instrText>
      </w:r>
      <w:r>
        <w:rPr>
          <w:color w:val="000000"/>
          <w:vertAlign w:val="superscript"/>
          <w:lang w:val="en-IN"/>
        </w:rPr>
      </w:r>
      <w:r>
        <w:rPr>
          <w:color w:val="000000"/>
          <w:vertAlign w:val="superscript"/>
          <w:lang w:val="en-IN"/>
        </w:rPr>
        <w:fldChar w:fldCharType="separate"/>
      </w:r>
      <w:r>
        <w:rPr>
          <w:color w:val="000000"/>
          <w:vertAlign w:val="superscript"/>
          <w:lang w:val="en-IN"/>
        </w:rPr>
        <w:t>1</w:t>
      </w:r>
      <w:r>
        <w:rPr>
          <w:color w:val="000000"/>
          <w:vertAlign w:val="superscript"/>
          <w:lang w:val="en-IN"/>
        </w:rPr>
        <w:fldChar w:fldCharType="end"/>
      </w:r>
      <w:r>
        <w:rPr>
          <w:color w:val="000000"/>
          <w:lang w:val="en-IN"/>
        </w:rPr>
        <w:t>.</w:t>
      </w:r>
    </w:p>
    <w:p w14:paraId="1983C239" w14:textId="77777777" w:rsidR="00984181" w:rsidRDefault="00984181">
      <w:pPr>
        <w:rPr>
          <w:color w:val="000000"/>
          <w:lang w:val="en-IN"/>
        </w:rPr>
      </w:pPr>
    </w:p>
    <w:p w14:paraId="7867792F" w14:textId="77777777" w:rsidR="00984181" w:rsidRDefault="00000000">
      <w:pPr>
        <w:rPr>
          <w:color w:val="000000"/>
          <w:lang w:val="en-IN"/>
        </w:rPr>
      </w:pPr>
      <w:r>
        <w:rPr>
          <w:color w:val="000000"/>
          <w:lang w:val="en-IN"/>
        </w:rPr>
        <w:t xml:space="preserve">1.3. Confirm persistent or recurrent fatigue lasting 6 months or longer, with no clear underlying </w:t>
      </w:r>
      <w:r>
        <w:rPr>
          <w:color w:val="000000"/>
          <w:lang w:val="en-IN"/>
        </w:rPr>
        <w:lastRenderedPageBreak/>
        <w:t>cause and no adequate relief after rest.</w:t>
      </w:r>
    </w:p>
    <w:p w14:paraId="298877FF" w14:textId="77777777" w:rsidR="00984181" w:rsidRDefault="00984181">
      <w:pPr>
        <w:rPr>
          <w:color w:val="000000"/>
          <w:lang w:val="en-IN"/>
        </w:rPr>
      </w:pPr>
    </w:p>
    <w:p w14:paraId="34A0EBAC" w14:textId="77777777" w:rsidR="00984181" w:rsidRDefault="00000000">
      <w:pPr>
        <w:rPr>
          <w:color w:val="000000"/>
          <w:lang w:val="en-IN"/>
        </w:rPr>
      </w:pPr>
      <w:r>
        <w:rPr>
          <w:color w:val="000000"/>
          <w:lang w:val="en-IN"/>
        </w:rPr>
        <w:t>1.4. Confirm the presence of at least four of the following symptoms:</w:t>
      </w:r>
    </w:p>
    <w:p w14:paraId="38E015D8" w14:textId="77777777" w:rsidR="00984181" w:rsidRDefault="00984181">
      <w:pPr>
        <w:rPr>
          <w:color w:val="000000"/>
          <w:lang w:val="en-IN"/>
        </w:rPr>
      </w:pPr>
    </w:p>
    <w:p w14:paraId="1C7DF908" w14:textId="77777777" w:rsidR="00984181" w:rsidRDefault="00000000">
      <w:pPr>
        <w:rPr>
          <w:color w:val="000000"/>
          <w:lang w:val="en-IN"/>
        </w:rPr>
      </w:pPr>
      <w:r>
        <w:rPr>
          <w:color w:val="000000"/>
          <w:lang w:val="en-IN"/>
        </w:rPr>
        <w:t>1.4.1. Identify impaired memory or difficulty concentrating.</w:t>
      </w:r>
    </w:p>
    <w:p w14:paraId="094360A4" w14:textId="77777777" w:rsidR="00984181" w:rsidRDefault="00984181">
      <w:pPr>
        <w:rPr>
          <w:color w:val="000000"/>
          <w:lang w:val="en-IN"/>
        </w:rPr>
      </w:pPr>
    </w:p>
    <w:p w14:paraId="27C76FB0" w14:textId="77777777" w:rsidR="00984181" w:rsidRDefault="00000000">
      <w:pPr>
        <w:rPr>
          <w:color w:val="000000"/>
          <w:lang w:val="en-IN"/>
        </w:rPr>
      </w:pPr>
      <w:r>
        <w:rPr>
          <w:color w:val="000000"/>
          <w:lang w:val="en-IN"/>
        </w:rPr>
        <w:t>1.4.2. Identify sore or tender lymph nodes in the neck or armpits.</w:t>
      </w:r>
    </w:p>
    <w:p w14:paraId="5B19DB7C" w14:textId="77777777" w:rsidR="00984181" w:rsidRDefault="00984181">
      <w:pPr>
        <w:rPr>
          <w:color w:val="000000"/>
          <w:lang w:val="en-IN"/>
        </w:rPr>
      </w:pPr>
    </w:p>
    <w:p w14:paraId="29148D3A" w14:textId="77777777" w:rsidR="00984181" w:rsidRDefault="00000000">
      <w:pPr>
        <w:rPr>
          <w:color w:val="000000"/>
          <w:lang w:val="en-IN"/>
        </w:rPr>
      </w:pPr>
      <w:r>
        <w:rPr>
          <w:color w:val="000000"/>
          <w:lang w:val="en-IN"/>
        </w:rPr>
        <w:t>1.4.3. Identify generalized muscle pain.</w:t>
      </w:r>
    </w:p>
    <w:p w14:paraId="76A9878A" w14:textId="77777777" w:rsidR="00984181" w:rsidRDefault="00984181">
      <w:pPr>
        <w:rPr>
          <w:color w:val="000000"/>
          <w:lang w:val="en-IN"/>
        </w:rPr>
      </w:pPr>
    </w:p>
    <w:p w14:paraId="147ABF31" w14:textId="77777777" w:rsidR="00984181" w:rsidRDefault="00000000">
      <w:pPr>
        <w:rPr>
          <w:color w:val="000000"/>
          <w:lang w:val="en-IN"/>
        </w:rPr>
      </w:pPr>
      <w:r>
        <w:rPr>
          <w:color w:val="000000"/>
          <w:lang w:val="en-IN"/>
        </w:rPr>
        <w:t>1.4.4. Identify multi-joint pain.</w:t>
      </w:r>
    </w:p>
    <w:p w14:paraId="54A89953" w14:textId="77777777" w:rsidR="00984181" w:rsidRDefault="00984181">
      <w:pPr>
        <w:rPr>
          <w:color w:val="000000"/>
          <w:lang w:val="en-IN"/>
        </w:rPr>
      </w:pPr>
    </w:p>
    <w:p w14:paraId="44057B77" w14:textId="77777777" w:rsidR="00984181" w:rsidRDefault="00000000">
      <w:pPr>
        <w:rPr>
          <w:color w:val="000000"/>
          <w:lang w:val="en-IN"/>
        </w:rPr>
      </w:pPr>
      <w:r>
        <w:rPr>
          <w:color w:val="000000"/>
          <w:lang w:val="en-IN"/>
        </w:rPr>
        <w:t>1.4.5. Identify unrefreshing sleep.</w:t>
      </w:r>
    </w:p>
    <w:p w14:paraId="71B89571" w14:textId="77777777" w:rsidR="00984181" w:rsidRDefault="00984181">
      <w:pPr>
        <w:rPr>
          <w:color w:val="000000"/>
          <w:lang w:val="en-IN"/>
        </w:rPr>
      </w:pPr>
    </w:p>
    <w:p w14:paraId="215E54B5" w14:textId="77777777" w:rsidR="00984181" w:rsidRDefault="00000000">
      <w:pPr>
        <w:rPr>
          <w:color w:val="000000"/>
          <w:lang w:val="en-IN"/>
        </w:rPr>
      </w:pPr>
      <w:r>
        <w:rPr>
          <w:color w:val="000000"/>
          <w:lang w:val="en-IN"/>
        </w:rPr>
        <w:t>1.4.6. Identify post-exertional malaise lasting more than 24 h.</w:t>
      </w:r>
    </w:p>
    <w:p w14:paraId="016C0765" w14:textId="77777777" w:rsidR="00984181" w:rsidRDefault="00984181">
      <w:pPr>
        <w:rPr>
          <w:color w:val="000000"/>
          <w:lang w:val="en-IN"/>
        </w:rPr>
      </w:pPr>
    </w:p>
    <w:p w14:paraId="3AE45A61" w14:textId="77777777" w:rsidR="00984181" w:rsidRDefault="00000000">
      <w:pPr>
        <w:rPr>
          <w:color w:val="000000"/>
          <w:lang w:val="en-IN"/>
        </w:rPr>
      </w:pPr>
      <w:r>
        <w:rPr>
          <w:color w:val="000000"/>
          <w:lang w:val="en-IN"/>
        </w:rPr>
        <w:t>1.5. Exclude other conditions that explain the current state of fatigue.</w:t>
      </w:r>
    </w:p>
    <w:p w14:paraId="68CE5994" w14:textId="77777777" w:rsidR="00984181" w:rsidRDefault="00984181">
      <w:pPr>
        <w:rPr>
          <w:color w:val="000000"/>
          <w:lang w:val="en-IN"/>
        </w:rPr>
      </w:pPr>
    </w:p>
    <w:p w14:paraId="656BFEAC" w14:textId="77777777" w:rsidR="00984181" w:rsidRDefault="00000000">
      <w:pPr>
        <w:rPr>
          <w:color w:val="000000"/>
          <w:lang w:val="en-IN"/>
        </w:rPr>
      </w:pPr>
      <w:r>
        <w:rPr>
          <w:color w:val="000000"/>
          <w:lang w:val="en-IN"/>
        </w:rPr>
        <w:t>1.6. Establish the Traditional Chinese Medicine diagnosis according to the “Criteria for Diagnosis and Therapeutic Effect of TCM Diseases and Syndromes,” specifically the syndrome classification related to phlegm-dampness and blood stasis, in combination with expert opinion and clinical practice</w:t>
      </w:r>
      <w:r>
        <w:rPr>
          <w:color w:val="000000"/>
          <w:vertAlign w:val="superscript"/>
          <w:lang w:val="en-IN"/>
        </w:rPr>
        <w:fldChar w:fldCharType="begin"/>
      </w:r>
      <w:r>
        <w:instrText xml:space="preserve"> REF _Ref7910 \r \h  \* MERGEFORMAT</w:instrText>
      </w:r>
      <w:r>
        <w:rPr>
          <w:color w:val="000000"/>
          <w:vertAlign w:val="superscript"/>
          <w:lang w:val="en-IN"/>
        </w:rPr>
      </w:r>
      <w:r>
        <w:rPr>
          <w:color w:val="000000"/>
          <w:vertAlign w:val="superscript"/>
          <w:lang w:val="en-IN"/>
        </w:rPr>
        <w:fldChar w:fldCharType="separate"/>
      </w:r>
      <w:r>
        <w:rPr>
          <w:color w:val="000000"/>
          <w:vertAlign w:val="superscript"/>
          <w:lang w:val="en-IN"/>
        </w:rPr>
        <w:t>4</w:t>
      </w:r>
      <w:r>
        <w:rPr>
          <w:color w:val="000000"/>
          <w:vertAlign w:val="superscript"/>
          <w:lang w:val="en-IN"/>
        </w:rPr>
        <w:fldChar w:fldCharType="end"/>
      </w:r>
      <w:r>
        <w:rPr>
          <w:color w:val="000000"/>
          <w:lang w:val="en-IN"/>
        </w:rPr>
        <w:t>.</w:t>
      </w:r>
    </w:p>
    <w:p w14:paraId="6DE9A44B" w14:textId="77777777" w:rsidR="00984181" w:rsidRDefault="00984181">
      <w:pPr>
        <w:rPr>
          <w:color w:val="000000"/>
          <w:lang w:val="en-IN"/>
        </w:rPr>
      </w:pPr>
    </w:p>
    <w:p w14:paraId="7B15F89A" w14:textId="77777777" w:rsidR="00984181" w:rsidRDefault="00000000">
      <w:pPr>
        <w:rPr>
          <w:color w:val="000000"/>
          <w:lang w:val="en-IN"/>
        </w:rPr>
      </w:pPr>
      <w:r>
        <w:rPr>
          <w:color w:val="000000"/>
          <w:lang w:val="en-IN"/>
        </w:rPr>
        <w:t>1.7. Confirm the following primary symptoms:</w:t>
      </w:r>
    </w:p>
    <w:p w14:paraId="74E611C7" w14:textId="77777777" w:rsidR="00984181" w:rsidRDefault="00984181">
      <w:pPr>
        <w:rPr>
          <w:color w:val="000000"/>
          <w:lang w:val="en-IN"/>
        </w:rPr>
      </w:pPr>
    </w:p>
    <w:p w14:paraId="14EF3046" w14:textId="77777777" w:rsidR="00984181" w:rsidRDefault="00000000">
      <w:pPr>
        <w:rPr>
          <w:color w:val="000000"/>
          <w:lang w:val="en-IN"/>
        </w:rPr>
      </w:pPr>
      <w:r>
        <w:rPr>
          <w:color w:val="000000"/>
          <w:lang w:val="en-IN"/>
        </w:rPr>
        <w:t>1.7.1. Confirm heaviness in the body.</w:t>
      </w:r>
    </w:p>
    <w:p w14:paraId="3E6F860D" w14:textId="77777777" w:rsidR="00984181" w:rsidRDefault="00984181">
      <w:pPr>
        <w:rPr>
          <w:color w:val="000000"/>
          <w:lang w:val="en-IN"/>
        </w:rPr>
      </w:pPr>
    </w:p>
    <w:p w14:paraId="371B9884" w14:textId="77777777" w:rsidR="00984181" w:rsidRDefault="00000000">
      <w:pPr>
        <w:rPr>
          <w:color w:val="000000"/>
          <w:lang w:val="en-IN"/>
        </w:rPr>
      </w:pPr>
      <w:r>
        <w:rPr>
          <w:color w:val="000000"/>
          <w:lang w:val="en-IN"/>
        </w:rPr>
        <w:t>1.7.2. Confirm aching pain in the muscles and joints.</w:t>
      </w:r>
    </w:p>
    <w:p w14:paraId="335FB498" w14:textId="77777777" w:rsidR="00984181" w:rsidRDefault="00984181">
      <w:pPr>
        <w:rPr>
          <w:color w:val="000000"/>
          <w:lang w:val="en-IN"/>
        </w:rPr>
      </w:pPr>
    </w:p>
    <w:p w14:paraId="38B6C470" w14:textId="77777777" w:rsidR="00984181" w:rsidRDefault="00000000">
      <w:pPr>
        <w:rPr>
          <w:color w:val="000000"/>
          <w:lang w:val="en-IN"/>
        </w:rPr>
      </w:pPr>
      <w:r>
        <w:rPr>
          <w:color w:val="000000"/>
          <w:lang w:val="en-IN"/>
        </w:rPr>
        <w:t>1.8. Confirm the following secondary symptoms:</w:t>
      </w:r>
    </w:p>
    <w:p w14:paraId="08AB3BDA" w14:textId="77777777" w:rsidR="00984181" w:rsidRDefault="00984181">
      <w:pPr>
        <w:rPr>
          <w:color w:val="000000"/>
          <w:lang w:val="en-IN"/>
        </w:rPr>
      </w:pPr>
    </w:p>
    <w:p w14:paraId="569AD746" w14:textId="77777777" w:rsidR="00984181" w:rsidRDefault="00000000">
      <w:pPr>
        <w:rPr>
          <w:color w:val="000000"/>
          <w:lang w:val="en-IN"/>
        </w:rPr>
      </w:pPr>
      <w:r>
        <w:rPr>
          <w:color w:val="000000"/>
          <w:lang w:val="en-IN"/>
        </w:rPr>
        <w:t>1.8.1. Confirm poor appetite.</w:t>
      </w:r>
    </w:p>
    <w:p w14:paraId="08853CC7" w14:textId="77777777" w:rsidR="00984181" w:rsidRDefault="00984181">
      <w:pPr>
        <w:rPr>
          <w:color w:val="000000"/>
          <w:lang w:val="en-IN"/>
        </w:rPr>
      </w:pPr>
    </w:p>
    <w:p w14:paraId="0D41896D" w14:textId="77777777" w:rsidR="00984181" w:rsidRDefault="00000000">
      <w:pPr>
        <w:rPr>
          <w:color w:val="000000"/>
          <w:lang w:val="en-IN"/>
        </w:rPr>
      </w:pPr>
      <w:r>
        <w:rPr>
          <w:color w:val="000000"/>
          <w:lang w:val="en-IN"/>
        </w:rPr>
        <w:t>1.8.2. Confirm sticky stools.</w:t>
      </w:r>
    </w:p>
    <w:p w14:paraId="3C676EA7" w14:textId="77777777" w:rsidR="00984181" w:rsidRDefault="00984181">
      <w:pPr>
        <w:rPr>
          <w:color w:val="000000"/>
          <w:lang w:val="en-IN"/>
        </w:rPr>
      </w:pPr>
    </w:p>
    <w:p w14:paraId="2641CAC7" w14:textId="77777777" w:rsidR="00984181" w:rsidRDefault="00000000">
      <w:pPr>
        <w:rPr>
          <w:color w:val="000000"/>
          <w:lang w:val="en-IN"/>
        </w:rPr>
      </w:pPr>
      <w:r>
        <w:rPr>
          <w:color w:val="000000"/>
          <w:lang w:val="en-IN"/>
        </w:rPr>
        <w:t>1.8.3. Confirm excessive vaginal discharge in women.</w:t>
      </w:r>
    </w:p>
    <w:p w14:paraId="5B8A0673" w14:textId="77777777" w:rsidR="00984181" w:rsidRDefault="00984181">
      <w:pPr>
        <w:rPr>
          <w:color w:val="000000"/>
          <w:lang w:val="en-IN"/>
        </w:rPr>
      </w:pPr>
    </w:p>
    <w:p w14:paraId="450D0644" w14:textId="77777777" w:rsidR="00984181" w:rsidRDefault="00000000">
      <w:pPr>
        <w:rPr>
          <w:color w:val="000000"/>
          <w:lang w:val="en-IN"/>
        </w:rPr>
      </w:pPr>
      <w:r>
        <w:rPr>
          <w:color w:val="000000"/>
          <w:lang w:val="en-IN"/>
        </w:rPr>
        <w:t>1.9. Examine the tongue coating and confirm thick, greasy, white or yellow coating.</w:t>
      </w:r>
    </w:p>
    <w:p w14:paraId="54679842" w14:textId="77777777" w:rsidR="00984181" w:rsidRDefault="00984181">
      <w:pPr>
        <w:rPr>
          <w:color w:val="000000"/>
          <w:lang w:val="en-IN"/>
        </w:rPr>
      </w:pPr>
    </w:p>
    <w:p w14:paraId="1FB62D9B" w14:textId="77777777" w:rsidR="00984181" w:rsidRDefault="00000000">
      <w:pPr>
        <w:rPr>
          <w:color w:val="000000"/>
          <w:lang w:val="en-IN"/>
        </w:rPr>
      </w:pPr>
      <w:r>
        <w:rPr>
          <w:color w:val="000000"/>
          <w:lang w:val="en-IN"/>
        </w:rPr>
        <w:t>1.10. Examine the sublingual collateral vessels and confirm tortuous vessels.</w:t>
      </w:r>
    </w:p>
    <w:p w14:paraId="70EE3C79" w14:textId="77777777" w:rsidR="00984181" w:rsidRDefault="00984181">
      <w:pPr>
        <w:rPr>
          <w:color w:val="000000"/>
          <w:lang w:val="en-IN"/>
        </w:rPr>
      </w:pPr>
    </w:p>
    <w:p w14:paraId="2B00510D" w14:textId="77777777" w:rsidR="00984181" w:rsidRDefault="00000000">
      <w:pPr>
        <w:rPr>
          <w:color w:val="000000"/>
          <w:lang w:val="en-IN"/>
        </w:rPr>
      </w:pPr>
      <w:r>
        <w:rPr>
          <w:color w:val="000000"/>
          <w:lang w:val="en-IN"/>
        </w:rPr>
        <w:t>1.11. Assess the pulse for deep and choppy qualities or wiry and slippery qualities.</w:t>
      </w:r>
    </w:p>
    <w:p w14:paraId="29E840D1" w14:textId="77777777" w:rsidR="00984181" w:rsidRDefault="00984181">
      <w:pPr>
        <w:rPr>
          <w:color w:val="000000"/>
          <w:lang w:val="en-IN"/>
        </w:rPr>
      </w:pPr>
    </w:p>
    <w:p w14:paraId="46322CF9" w14:textId="77777777" w:rsidR="00984181" w:rsidRDefault="00000000">
      <w:pPr>
        <w:rPr>
          <w:color w:val="000000"/>
          <w:lang w:val="en-IN"/>
        </w:rPr>
      </w:pPr>
      <w:r>
        <w:rPr>
          <w:color w:val="000000"/>
          <w:lang w:val="en-IN"/>
        </w:rPr>
        <w:t xml:space="preserve">1.12. Treat the pulse finding as an auxiliary diagnostic criterion and exclude it from the syndrome </w:t>
      </w:r>
      <w:r>
        <w:rPr>
          <w:color w:val="000000"/>
          <w:lang w:val="en-IN"/>
        </w:rPr>
        <w:lastRenderedPageBreak/>
        <w:t>score.</w:t>
      </w:r>
    </w:p>
    <w:p w14:paraId="1520C7A3" w14:textId="77777777" w:rsidR="00984181" w:rsidRDefault="00984181">
      <w:pPr>
        <w:rPr>
          <w:color w:val="000000"/>
          <w:lang w:val="en-IN"/>
        </w:rPr>
      </w:pPr>
    </w:p>
    <w:p w14:paraId="0DF430B7" w14:textId="77777777" w:rsidR="00984181" w:rsidRDefault="00000000">
      <w:pPr>
        <w:rPr>
          <w:color w:val="000000"/>
          <w:lang w:val="en-IN"/>
        </w:rPr>
      </w:pPr>
      <w:r>
        <w:rPr>
          <w:color w:val="000000"/>
          <w:lang w:val="en-IN"/>
        </w:rPr>
        <w:t>1.13. Diagnose the phlegm-dampness and blood stasis syndrome only when the patient presents with both primary symptoms and at least two secondary symptoms.</w:t>
      </w:r>
    </w:p>
    <w:p w14:paraId="6BFD914D" w14:textId="77777777" w:rsidR="00984181" w:rsidRDefault="00984181">
      <w:pPr>
        <w:rPr>
          <w:color w:val="000000"/>
          <w:lang w:val="en-IN"/>
        </w:rPr>
      </w:pPr>
    </w:p>
    <w:p w14:paraId="79BC3958" w14:textId="77777777" w:rsidR="00984181" w:rsidRDefault="00000000">
      <w:pPr>
        <w:pStyle w:val="ListParagraph"/>
        <w:numPr>
          <w:ilvl w:val="0"/>
          <w:numId w:val="1"/>
        </w:numPr>
        <w:spacing w:after="0" w:line="240" w:lineRule="auto"/>
        <w:ind w:left="0" w:firstLine="0"/>
        <w:jc w:val="both"/>
        <w:rPr>
          <w:rFonts w:ascii="Calibri" w:hAnsi="Calibri" w:cs="Calibri"/>
          <w:b/>
          <w:bCs/>
          <w:color w:val="000000"/>
          <w:sz w:val="24"/>
          <w:szCs w:val="24"/>
          <w:lang w:val="en-IN"/>
        </w:rPr>
      </w:pPr>
      <w:r>
        <w:rPr>
          <w:rFonts w:ascii="Calibri" w:hAnsi="Calibri" w:cs="Calibri"/>
          <w:b/>
          <w:bCs/>
          <w:color w:val="000000"/>
          <w:sz w:val="24"/>
          <w:szCs w:val="24"/>
          <w:lang w:val="en-IN"/>
        </w:rPr>
        <w:t>Inclusion criteria</w:t>
      </w:r>
    </w:p>
    <w:p w14:paraId="7B749E33" w14:textId="77777777" w:rsidR="00984181" w:rsidRDefault="00984181">
      <w:pPr>
        <w:pStyle w:val="ListParagraph"/>
        <w:spacing w:after="0" w:line="240" w:lineRule="auto"/>
        <w:ind w:left="0"/>
        <w:jc w:val="both"/>
        <w:rPr>
          <w:rFonts w:ascii="Calibri" w:hAnsi="Calibri" w:cs="Calibri"/>
          <w:b/>
          <w:bCs/>
          <w:color w:val="000000"/>
          <w:sz w:val="24"/>
          <w:szCs w:val="24"/>
          <w:lang w:val="en-IN"/>
        </w:rPr>
      </w:pPr>
    </w:p>
    <w:p w14:paraId="3376284F"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 xml:space="preserve"> Include participants aged 18–60 years.</w:t>
      </w:r>
    </w:p>
    <w:p w14:paraId="541B6438"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68E5171C"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Include eligible participants of any sex.</w:t>
      </w:r>
    </w:p>
    <w:p w14:paraId="5A2AEDCC"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6DB0F2A0"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Include participants with a clinical diagnosis of chronic fatigue syndrome.</w:t>
      </w:r>
    </w:p>
    <w:p w14:paraId="174B1B9D"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1FCF4508"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Include participants whose TCM diagnostic classification meets the phlegm-dampness and blood stasis obstruction type.</w:t>
      </w:r>
    </w:p>
    <w:p w14:paraId="5451B6B7"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0414A283"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Confirm that the participant has received no treatment for at least 2 weeks before the intervention, including drug treatment and other Traditional Chinese Medicine treatments.</w:t>
      </w:r>
    </w:p>
    <w:p w14:paraId="478CF7ED"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351F6FD8"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proofErr w:type="spellStart"/>
      <w:r>
        <w:rPr>
          <w:rFonts w:ascii="Calibri" w:hAnsi="Calibri" w:cs="Calibri"/>
          <w:color w:val="000000"/>
          <w:sz w:val="24"/>
          <w:szCs w:val="24"/>
          <w:lang w:val="en-IN"/>
        </w:rPr>
        <w:t>Enroll</w:t>
      </w:r>
      <w:proofErr w:type="spellEnd"/>
      <w:r>
        <w:rPr>
          <w:rFonts w:ascii="Calibri" w:hAnsi="Calibri" w:cs="Calibri"/>
          <w:color w:val="000000"/>
          <w:sz w:val="24"/>
          <w:szCs w:val="24"/>
          <w:lang w:val="en-IN"/>
        </w:rPr>
        <w:t xml:space="preserve"> only participants who voluntarily participate in the research project.</w:t>
      </w:r>
    </w:p>
    <w:p w14:paraId="5FC2C29C" w14:textId="77777777" w:rsidR="00984181" w:rsidRDefault="00984181">
      <w:pPr>
        <w:rPr>
          <w:color w:val="000000"/>
          <w:lang w:val="en-IN"/>
        </w:rPr>
      </w:pPr>
    </w:p>
    <w:p w14:paraId="001470DA"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Confirm that each participant communicates adequately with the researchers, cooperates actively, and signs the informed consent form.</w:t>
      </w:r>
    </w:p>
    <w:p w14:paraId="476B31A8"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6EB61E1E" w14:textId="77777777" w:rsidR="00984181" w:rsidRDefault="00000000">
      <w:pPr>
        <w:pStyle w:val="ListParagraph"/>
        <w:numPr>
          <w:ilvl w:val="0"/>
          <w:numId w:val="2"/>
        </w:numPr>
        <w:spacing w:after="0" w:line="240" w:lineRule="auto"/>
        <w:ind w:left="0" w:firstLine="0"/>
        <w:jc w:val="both"/>
        <w:rPr>
          <w:rFonts w:ascii="Calibri" w:hAnsi="Calibri" w:cs="Calibri"/>
          <w:b/>
          <w:bCs/>
          <w:color w:val="000000"/>
          <w:sz w:val="24"/>
          <w:szCs w:val="24"/>
          <w:lang w:val="en-IN"/>
        </w:rPr>
      </w:pPr>
      <w:r>
        <w:rPr>
          <w:rFonts w:ascii="Calibri" w:hAnsi="Calibri" w:cs="Calibri"/>
          <w:b/>
          <w:bCs/>
          <w:color w:val="000000"/>
          <w:sz w:val="24"/>
          <w:szCs w:val="24"/>
          <w:lang w:val="en-IN"/>
        </w:rPr>
        <w:t>Exclusion criteria</w:t>
      </w:r>
    </w:p>
    <w:p w14:paraId="315EBE18"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5BAE6600"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Exclude pregnant women.</w:t>
      </w:r>
    </w:p>
    <w:p w14:paraId="5D8A82EC"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5563525D"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Exclude lactating women.</w:t>
      </w:r>
    </w:p>
    <w:p w14:paraId="1F2214FD" w14:textId="77777777" w:rsidR="00984181" w:rsidRDefault="00984181">
      <w:pPr>
        <w:rPr>
          <w:color w:val="000000"/>
          <w:lang w:val="en-IN"/>
        </w:rPr>
      </w:pPr>
    </w:p>
    <w:p w14:paraId="2E1BF6D9"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Exclude patients with a history of emotional disorders or current emotional disorders.</w:t>
      </w:r>
    </w:p>
    <w:p w14:paraId="1C7417DB" w14:textId="77777777" w:rsidR="00984181" w:rsidRDefault="00984181">
      <w:pPr>
        <w:rPr>
          <w:color w:val="000000"/>
          <w:lang w:val="en-IN"/>
        </w:rPr>
      </w:pPr>
    </w:p>
    <w:p w14:paraId="42E30ED2"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Exclude patients with major concurrent diseases, including emphysema, heart failure, cirrhosis, or kidney failure.</w:t>
      </w:r>
    </w:p>
    <w:p w14:paraId="2E899729"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1778B78F"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Exclude patients whose chronic fatigue results from other diseases, including hypothyroidism, sleep disorders, or osteoarthritis.</w:t>
      </w:r>
    </w:p>
    <w:p w14:paraId="423BAD3C"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0D26A054"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Exclude patients with current or previous skin diseases that interfere with safe scraping.</w:t>
      </w:r>
    </w:p>
    <w:p w14:paraId="13D3CEDC" w14:textId="77777777" w:rsidR="00984181" w:rsidRDefault="00984181">
      <w:pPr>
        <w:rPr>
          <w:color w:val="000000"/>
          <w:lang w:val="en-IN"/>
        </w:rPr>
      </w:pPr>
    </w:p>
    <w:p w14:paraId="1DE1638D"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Exclude patients with ulcerated skin in the planned treatment area.</w:t>
      </w:r>
    </w:p>
    <w:p w14:paraId="5A15BB7A" w14:textId="77777777" w:rsidR="00984181" w:rsidRDefault="00984181">
      <w:pPr>
        <w:rPr>
          <w:color w:val="000000"/>
          <w:lang w:val="en-IN"/>
        </w:rPr>
      </w:pPr>
    </w:p>
    <w:p w14:paraId="73FE05D8"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Exclude patients with poor compliance.</w:t>
      </w:r>
    </w:p>
    <w:p w14:paraId="64D7252A"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35EBB8B5"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lastRenderedPageBreak/>
        <w:t>Exclude participants with a history of alcohol abuse before developing chronic fatigue syndrome.</w:t>
      </w:r>
    </w:p>
    <w:p w14:paraId="2F19CC20" w14:textId="77777777" w:rsidR="00984181" w:rsidRDefault="00000000">
      <w:pPr>
        <w:rPr>
          <w:color w:val="000000"/>
          <w:lang w:val="en-IN"/>
        </w:rPr>
      </w:pPr>
      <w:r>
        <w:rPr>
          <w:color w:val="000000"/>
          <w:lang w:val="en-IN"/>
        </w:rPr>
        <w:t>3.10. Exclude participants with a history of drug dependence before developing chronic fatigue syndrome.</w:t>
      </w:r>
    </w:p>
    <w:p w14:paraId="0BB8AF56" w14:textId="77777777" w:rsidR="00984181" w:rsidRDefault="00984181">
      <w:pPr>
        <w:rPr>
          <w:color w:val="000000"/>
          <w:lang w:val="en-IN"/>
        </w:rPr>
      </w:pPr>
    </w:p>
    <w:p w14:paraId="472B2333" w14:textId="77777777" w:rsidR="00984181" w:rsidRDefault="00000000">
      <w:pPr>
        <w:pStyle w:val="ListParagraph"/>
        <w:numPr>
          <w:ilvl w:val="0"/>
          <w:numId w:val="2"/>
        </w:numPr>
        <w:spacing w:after="0" w:line="240" w:lineRule="auto"/>
        <w:ind w:left="0" w:firstLine="0"/>
        <w:jc w:val="both"/>
        <w:rPr>
          <w:rFonts w:ascii="Calibri" w:hAnsi="Calibri" w:cs="Calibri"/>
          <w:b/>
          <w:bCs/>
          <w:color w:val="000000"/>
          <w:sz w:val="24"/>
          <w:szCs w:val="24"/>
          <w:lang w:val="en-IN"/>
        </w:rPr>
      </w:pPr>
      <w:r>
        <w:rPr>
          <w:rFonts w:ascii="Calibri" w:hAnsi="Calibri" w:cs="Calibri"/>
          <w:b/>
          <w:bCs/>
          <w:color w:val="000000"/>
          <w:sz w:val="24"/>
          <w:szCs w:val="24"/>
          <w:lang w:val="en-IN"/>
        </w:rPr>
        <w:t>Termination criteria</w:t>
      </w:r>
    </w:p>
    <w:p w14:paraId="783B92C0"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5CF234C4"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Terminate the trial for a participant when the researchers determine, from a medical perspective, that trial termination is necessary.</w:t>
      </w:r>
    </w:p>
    <w:p w14:paraId="4B45581A"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7A20C745"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Stop the trial immediately when the participant requests withdrawal.</w:t>
      </w:r>
    </w:p>
    <w:p w14:paraId="663284A9" w14:textId="77777777" w:rsidR="00984181" w:rsidRDefault="00984181">
      <w:pPr>
        <w:rPr>
          <w:color w:val="000000"/>
          <w:lang w:val="en-IN"/>
        </w:rPr>
      </w:pPr>
    </w:p>
    <w:p w14:paraId="4E67A0C7"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Terminate participation when the participant receives treatments outside the measures stipulated in this trial.</w:t>
      </w:r>
    </w:p>
    <w:p w14:paraId="20AF7DB9" w14:textId="77777777" w:rsidR="00984181" w:rsidRDefault="00984181">
      <w:pPr>
        <w:rPr>
          <w:color w:val="000000"/>
          <w:lang w:val="en-IN"/>
        </w:rPr>
      </w:pPr>
    </w:p>
    <w:p w14:paraId="2AB134D1"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Document the reason for termination in the study record.</w:t>
      </w:r>
    </w:p>
    <w:p w14:paraId="3F839092"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297A4DC7" w14:textId="77777777" w:rsidR="00984181" w:rsidRDefault="00000000">
      <w:pPr>
        <w:pStyle w:val="ListParagraph"/>
        <w:numPr>
          <w:ilvl w:val="0"/>
          <w:numId w:val="2"/>
        </w:numPr>
        <w:spacing w:after="0" w:line="240" w:lineRule="auto"/>
        <w:ind w:left="0" w:firstLine="0"/>
        <w:jc w:val="both"/>
        <w:rPr>
          <w:rFonts w:ascii="Calibri" w:hAnsi="Calibri" w:cs="Calibri"/>
          <w:b/>
          <w:bCs/>
          <w:color w:val="000000"/>
          <w:sz w:val="24"/>
          <w:szCs w:val="24"/>
          <w:lang w:val="en-IN"/>
        </w:rPr>
      </w:pPr>
      <w:r>
        <w:rPr>
          <w:rFonts w:ascii="Calibri" w:hAnsi="Calibri" w:cs="Calibri"/>
          <w:b/>
          <w:bCs/>
          <w:color w:val="000000"/>
          <w:sz w:val="24"/>
          <w:szCs w:val="24"/>
          <w:lang w:val="en-IN"/>
        </w:rPr>
        <w:t>Preparation of materials, environment, and safety controls</w:t>
      </w:r>
    </w:p>
    <w:p w14:paraId="6F88A5CA"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54069D57"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Prepare the following materials: disposable medical examination gloves, copper Bian-stone scraper, Gua Sha oil, 75% medical alcohol, sterile cotton balls, and medical forceps (</w:t>
      </w:r>
      <w:r>
        <w:rPr>
          <w:rFonts w:ascii="Calibri" w:hAnsi="Calibri" w:cs="Calibri"/>
          <w:b/>
          <w:bCs/>
          <w:color w:val="000000"/>
          <w:sz w:val="24"/>
          <w:szCs w:val="24"/>
          <w:lang w:val="en-IN"/>
        </w:rPr>
        <w:t>Figure 1A–F</w:t>
      </w:r>
      <w:r>
        <w:rPr>
          <w:rFonts w:ascii="Calibri" w:hAnsi="Calibri" w:cs="Calibri"/>
          <w:color w:val="000000"/>
          <w:sz w:val="24"/>
          <w:szCs w:val="24"/>
          <w:lang w:val="en-IN"/>
        </w:rPr>
        <w:t>).</w:t>
      </w:r>
    </w:p>
    <w:p w14:paraId="6B33FAE6"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744A9970"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 xml:space="preserve">Refer to the </w:t>
      </w:r>
      <w:r>
        <w:rPr>
          <w:rFonts w:ascii="Calibri" w:hAnsi="Calibri" w:cs="Calibri"/>
          <w:b/>
          <w:bCs/>
          <w:color w:val="000000"/>
          <w:sz w:val="24"/>
          <w:szCs w:val="24"/>
          <w:lang w:val="en-IN"/>
        </w:rPr>
        <w:t>Table of Materials</w:t>
      </w:r>
      <w:r>
        <w:rPr>
          <w:rFonts w:ascii="Calibri" w:hAnsi="Calibri" w:cs="Calibri"/>
          <w:color w:val="000000"/>
          <w:sz w:val="24"/>
          <w:szCs w:val="24"/>
          <w:lang w:val="en-IN"/>
        </w:rPr>
        <w:t xml:space="preserve"> for detailed specifications.</w:t>
      </w:r>
    </w:p>
    <w:p w14:paraId="49361035" w14:textId="77777777" w:rsidR="00984181" w:rsidRDefault="00984181">
      <w:pPr>
        <w:rPr>
          <w:color w:val="000000"/>
          <w:lang w:val="en-IN"/>
        </w:rPr>
      </w:pPr>
    </w:p>
    <w:p w14:paraId="5FECF50C"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Inspect all packaging for integrity before use.</w:t>
      </w:r>
    </w:p>
    <w:p w14:paraId="671F8F0C"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0756702E"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Check expiration dates before use.</w:t>
      </w:r>
    </w:p>
    <w:p w14:paraId="261FA47C" w14:textId="77777777" w:rsidR="00984181" w:rsidRDefault="00984181">
      <w:pPr>
        <w:rPr>
          <w:color w:val="000000"/>
          <w:lang w:val="en-IN"/>
        </w:rPr>
      </w:pPr>
    </w:p>
    <w:p w14:paraId="6324DB08"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Confirm sterilization of all instruments before use.</w:t>
      </w:r>
    </w:p>
    <w:p w14:paraId="0A49E1C2" w14:textId="77777777" w:rsidR="00984181" w:rsidRDefault="00984181">
      <w:pPr>
        <w:rPr>
          <w:color w:val="000000"/>
          <w:lang w:val="en-IN"/>
        </w:rPr>
      </w:pPr>
    </w:p>
    <w:p w14:paraId="7E589F35"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Maintain the treatment room at 24 °C ± 2 °C.</w:t>
      </w:r>
    </w:p>
    <w:p w14:paraId="03EABC3F"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28E0B881"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Maintain illumination at approximately 500 lux.</w:t>
      </w:r>
    </w:p>
    <w:p w14:paraId="5012F744" w14:textId="77777777" w:rsidR="00984181" w:rsidRDefault="00000000">
      <w:pPr>
        <w:rPr>
          <w:color w:val="000000"/>
          <w:lang w:val="en-IN"/>
        </w:rPr>
      </w:pPr>
      <w:r>
        <w:rPr>
          <w:color w:val="000000"/>
          <w:lang w:val="en-IN"/>
        </w:rPr>
        <w:t>Note: Adjust room temperature within 22–26 °C and illumination within 300–700 lux according to patient comfort and document the selected values.</w:t>
      </w:r>
    </w:p>
    <w:p w14:paraId="3D899747" w14:textId="77777777" w:rsidR="00984181" w:rsidRDefault="00984181">
      <w:pPr>
        <w:rPr>
          <w:color w:val="000000"/>
          <w:lang w:val="en-IN"/>
        </w:rPr>
      </w:pPr>
    </w:p>
    <w:p w14:paraId="02A4D3B5"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Use a clean, well-ventilated clinical treatment room.</w:t>
      </w:r>
    </w:p>
    <w:p w14:paraId="5B743D56"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085A7EBB"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Keep 75% medical alcohol away from heat, open flames, sparks, electrocautery equipment, and other ignition sources.</w:t>
      </w:r>
    </w:p>
    <w:p w14:paraId="32E3F3E1" w14:textId="77777777" w:rsidR="00984181" w:rsidRDefault="00984181">
      <w:pPr>
        <w:rPr>
          <w:color w:val="000000"/>
          <w:lang w:val="en-IN"/>
        </w:rPr>
      </w:pPr>
    </w:p>
    <w:p w14:paraId="12BC735A"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Keep alcohol containers capped when not in use.</w:t>
      </w:r>
    </w:p>
    <w:p w14:paraId="61C0294E" w14:textId="77777777" w:rsidR="00984181" w:rsidRDefault="00984181">
      <w:pPr>
        <w:rPr>
          <w:color w:val="000000"/>
          <w:lang w:val="en-IN"/>
        </w:rPr>
      </w:pPr>
    </w:p>
    <w:p w14:paraId="62A1FCA1"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lastRenderedPageBreak/>
        <w:t>Apply 75% medical alcohol with sterile cotton balls.</w:t>
      </w:r>
    </w:p>
    <w:p w14:paraId="045912A0" w14:textId="77777777" w:rsidR="00984181" w:rsidRDefault="00984181">
      <w:pPr>
        <w:rPr>
          <w:color w:val="000000"/>
          <w:lang w:val="en-IN"/>
        </w:rPr>
      </w:pPr>
    </w:p>
    <w:p w14:paraId="7B659F3D"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Do not spray alcohol or generate aerosols during skin disinfection.</w:t>
      </w:r>
    </w:p>
    <w:p w14:paraId="00F7EF6E" w14:textId="77777777" w:rsidR="00984181" w:rsidRDefault="00984181">
      <w:pPr>
        <w:rPr>
          <w:color w:val="000000"/>
          <w:lang w:val="en-IN"/>
        </w:rPr>
      </w:pPr>
    </w:p>
    <w:p w14:paraId="049ADB27"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Use a chemical fume hood only for separate preparation or transfer of volatile or irritating chemicals when institutional safety policy requires hood use.</w:t>
      </w:r>
    </w:p>
    <w:p w14:paraId="66091845"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0F118460"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Do not place the patient inside a chemical fume hood or biosafety cabinet.</w:t>
      </w:r>
    </w:p>
    <w:p w14:paraId="72B02214" w14:textId="77777777" w:rsidR="00984181" w:rsidRDefault="00984181">
      <w:pPr>
        <w:rPr>
          <w:color w:val="000000"/>
          <w:lang w:val="en-IN"/>
        </w:rPr>
      </w:pPr>
    </w:p>
    <w:p w14:paraId="08D171B8"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Do not perform the Gua Sha treatment inside a chemical fume hood or biosafety cabinet.</w:t>
      </w:r>
    </w:p>
    <w:p w14:paraId="6604575D" w14:textId="77777777" w:rsidR="00984181" w:rsidRDefault="00000000">
      <w:pPr>
        <w:rPr>
          <w:color w:val="000000"/>
          <w:lang w:val="en-IN"/>
        </w:rPr>
      </w:pPr>
      <w:r>
        <w:rPr>
          <w:color w:val="000000"/>
          <w:lang w:val="en-IN"/>
        </w:rPr>
        <w:t>Note: Routine hood use is not applicable to the patient treatment procedure because this protocol uses cotton-applied 75% medical alcohol and Gua Sha oil.</w:t>
      </w:r>
    </w:p>
    <w:p w14:paraId="19E6B96F" w14:textId="77777777" w:rsidR="00984181" w:rsidRDefault="00984181">
      <w:pPr>
        <w:rPr>
          <w:color w:val="000000"/>
          <w:lang w:val="en-IN"/>
        </w:rPr>
      </w:pPr>
    </w:p>
    <w:p w14:paraId="4F987B7A"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Don a clean work uniform before preparing the patient.</w:t>
      </w:r>
    </w:p>
    <w:p w14:paraId="797B9989"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27C5D85B"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Perform hand hygiene according to standard medical handwashing protocols</w:t>
      </w:r>
      <w:r>
        <w:rPr>
          <w:rFonts w:ascii="Calibri" w:hAnsi="Calibri" w:cs="Calibri"/>
          <w:color w:val="000000"/>
          <w:sz w:val="24"/>
          <w:szCs w:val="24"/>
          <w:vertAlign w:val="superscript"/>
          <w:lang w:val="en-IN"/>
        </w:rPr>
        <w:fldChar w:fldCharType="begin"/>
      </w:r>
      <w:r>
        <w:instrText xml:space="preserve"> REF _Ref8981 \r \h  \* MERGEFORMAT</w:instrText>
      </w:r>
      <w:r>
        <w:rPr>
          <w:rFonts w:ascii="Calibri" w:hAnsi="Calibri" w:cs="Calibri"/>
          <w:color w:val="000000"/>
          <w:sz w:val="24"/>
          <w:szCs w:val="24"/>
          <w:vertAlign w:val="superscript"/>
          <w:lang w:val="en-IN"/>
        </w:rPr>
      </w:r>
      <w:r>
        <w:rPr>
          <w:rFonts w:ascii="Calibri" w:hAnsi="Calibri" w:cs="Calibri"/>
          <w:color w:val="000000"/>
          <w:sz w:val="24"/>
          <w:szCs w:val="24"/>
          <w:vertAlign w:val="superscript"/>
          <w:lang w:val="en-IN"/>
        </w:rPr>
        <w:fldChar w:fldCharType="separate"/>
      </w:r>
      <w:r>
        <w:rPr>
          <w:rFonts w:ascii="Calibri" w:hAnsi="Calibri" w:cs="Calibri"/>
          <w:color w:val="000000"/>
          <w:sz w:val="24"/>
          <w:szCs w:val="24"/>
          <w:vertAlign w:val="superscript"/>
          <w:lang w:val="en-IN"/>
        </w:rPr>
        <w:t>5</w:t>
      </w:r>
      <w:r>
        <w:rPr>
          <w:rFonts w:ascii="Calibri" w:hAnsi="Calibri" w:cs="Calibri"/>
          <w:color w:val="000000"/>
          <w:sz w:val="24"/>
          <w:szCs w:val="24"/>
          <w:vertAlign w:val="superscript"/>
          <w:lang w:val="en-IN"/>
        </w:rPr>
        <w:fldChar w:fldCharType="end"/>
      </w:r>
      <w:r>
        <w:rPr>
          <w:rFonts w:ascii="Calibri" w:hAnsi="Calibri" w:cs="Calibri"/>
          <w:color w:val="000000"/>
          <w:sz w:val="24"/>
          <w:szCs w:val="24"/>
          <w:lang w:val="en-IN"/>
        </w:rPr>
        <w:t>.</w:t>
      </w:r>
    </w:p>
    <w:p w14:paraId="5C0B7FCC" w14:textId="77777777" w:rsidR="00984181" w:rsidRDefault="00984181">
      <w:pPr>
        <w:rPr>
          <w:color w:val="000000"/>
          <w:lang w:val="en-IN"/>
        </w:rPr>
      </w:pPr>
    </w:p>
    <w:p w14:paraId="6C09D726"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Wear a fresh pair of disposable medical examination gloves.</w:t>
      </w:r>
    </w:p>
    <w:p w14:paraId="3B1BA925"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508FC091"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Replace gloves immediately if they tear, become visibly contaminated, or contact non-clean surfaces.</w:t>
      </w:r>
    </w:p>
    <w:p w14:paraId="56D18B1D" w14:textId="77777777" w:rsidR="00984181" w:rsidRDefault="00984181">
      <w:pPr>
        <w:rPr>
          <w:color w:val="000000"/>
          <w:lang w:val="en-IN"/>
        </w:rPr>
      </w:pPr>
    </w:p>
    <w:p w14:paraId="35DB6CF1"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Wear eye protection and a medical mask when splash exposure is possible.</w:t>
      </w:r>
    </w:p>
    <w:p w14:paraId="23B9D479"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3DEF3377"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Assign a licensed acupuncturist or licensed TCM practitioner trained in Gua Sha procedures and emergency management to perform the intervention.</w:t>
      </w:r>
    </w:p>
    <w:p w14:paraId="666EFD2F"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667E9874"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Use the same operator for all sessions for a given patient to minimize inter-operator variability.</w:t>
      </w:r>
    </w:p>
    <w:p w14:paraId="0B544B53"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5D4F91E8"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Dispose of used gloves, cotton balls, and contaminated disposable materials as clinical waste according to institutional infection-control procedures.</w:t>
      </w:r>
    </w:p>
    <w:p w14:paraId="16EBCAB3"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7AB7ACC1" w14:textId="77777777" w:rsidR="00984181" w:rsidRDefault="00000000">
      <w:pPr>
        <w:rPr>
          <w:color w:val="000000"/>
          <w:lang w:val="en-IN"/>
        </w:rPr>
      </w:pPr>
      <w:r>
        <w:rPr>
          <w:color w:val="000000"/>
          <w:lang w:val="en-IN"/>
        </w:rPr>
        <w:t>5.24. Clean and disinfect reusable instruments after each use according to institutional infection-control procedures.</w:t>
      </w:r>
    </w:p>
    <w:p w14:paraId="736B56B4" w14:textId="77777777" w:rsidR="00984181" w:rsidRDefault="00984181">
      <w:pPr>
        <w:rPr>
          <w:color w:val="000000"/>
          <w:lang w:val="en-IN"/>
        </w:rPr>
      </w:pPr>
    </w:p>
    <w:p w14:paraId="77EA3B7C" w14:textId="77777777" w:rsidR="00984181" w:rsidRPr="00DC566D" w:rsidRDefault="00000000">
      <w:pPr>
        <w:pStyle w:val="ListParagraph"/>
        <w:numPr>
          <w:ilvl w:val="0"/>
          <w:numId w:val="2"/>
        </w:numPr>
        <w:spacing w:after="0" w:line="240" w:lineRule="auto"/>
        <w:ind w:left="0" w:firstLine="0"/>
        <w:jc w:val="both"/>
        <w:rPr>
          <w:rFonts w:ascii="Calibri" w:hAnsi="Calibri" w:cs="Calibri"/>
          <w:b/>
          <w:bCs/>
          <w:color w:val="000000"/>
          <w:sz w:val="24"/>
          <w:szCs w:val="24"/>
          <w:highlight w:val="cyan"/>
          <w:lang w:val="en-IN"/>
        </w:rPr>
      </w:pPr>
      <w:r w:rsidRPr="00DC566D">
        <w:rPr>
          <w:rFonts w:ascii="Calibri" w:hAnsi="Calibri" w:cs="Calibri"/>
          <w:b/>
          <w:bCs/>
          <w:color w:val="000000"/>
          <w:sz w:val="24"/>
          <w:szCs w:val="24"/>
          <w:highlight w:val="cyan"/>
          <w:lang w:val="en-IN"/>
        </w:rPr>
        <w:t>Patient preparation</w:t>
      </w:r>
    </w:p>
    <w:p w14:paraId="14817235"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6FF90D3D"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Explain the purpose of the procedure to the patient.</w:t>
      </w:r>
    </w:p>
    <w:p w14:paraId="3C876952"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407DCD7A"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Explain expected sensations, including soreness and pressure.</w:t>
      </w:r>
    </w:p>
    <w:p w14:paraId="1464505F"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3540A5F3"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Explain potential skin changes, including sha appearance.</w:t>
      </w:r>
    </w:p>
    <w:p w14:paraId="08DF4BE7"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1B8607B7"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lastRenderedPageBreak/>
        <w:t>Explain post-treatment precautions before the intervention begins.</w:t>
      </w:r>
    </w:p>
    <w:p w14:paraId="44CD26DC" w14:textId="77777777" w:rsidR="00984181" w:rsidRPr="00DC566D" w:rsidRDefault="00984181">
      <w:pPr>
        <w:rPr>
          <w:color w:val="000000"/>
          <w:highlight w:val="cyan"/>
          <w:lang w:val="en-IN"/>
        </w:rPr>
      </w:pPr>
    </w:p>
    <w:p w14:paraId="652E11D4"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Confirm that the patient is not excessively hungry.</w:t>
      </w:r>
    </w:p>
    <w:p w14:paraId="1BDB889C" w14:textId="77777777" w:rsidR="00984181" w:rsidRPr="00DC566D" w:rsidRDefault="00984181">
      <w:pPr>
        <w:rPr>
          <w:color w:val="000000"/>
          <w:highlight w:val="cyan"/>
          <w:lang w:val="en-IN"/>
        </w:rPr>
      </w:pPr>
    </w:p>
    <w:p w14:paraId="0360689A"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Confirm that the patient is not excessively full.</w:t>
      </w:r>
    </w:p>
    <w:p w14:paraId="013F416F" w14:textId="77777777" w:rsidR="00984181" w:rsidRPr="00DC566D" w:rsidRDefault="00984181">
      <w:pPr>
        <w:rPr>
          <w:color w:val="000000"/>
          <w:highlight w:val="cyan"/>
          <w:lang w:val="en-IN"/>
        </w:rPr>
      </w:pPr>
    </w:p>
    <w:p w14:paraId="24999F4F"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Confirm that the patient is not excessively fatigued.</w:t>
      </w:r>
    </w:p>
    <w:p w14:paraId="69AC57CA"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2049CCE3"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3481587D"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Confirm that the patient is not excessively stressed.</w:t>
      </w:r>
    </w:p>
    <w:p w14:paraId="5C9F17A8" w14:textId="77777777" w:rsidR="00984181" w:rsidRPr="00DC566D" w:rsidRDefault="00984181">
      <w:pPr>
        <w:rPr>
          <w:color w:val="000000"/>
          <w:highlight w:val="cyan"/>
          <w:lang w:val="en-IN"/>
        </w:rPr>
      </w:pPr>
    </w:p>
    <w:p w14:paraId="61DDDEA0"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Schedule the procedure 1–2 h after a meal.</w:t>
      </w:r>
    </w:p>
    <w:p w14:paraId="6BB6F533" w14:textId="77777777" w:rsidR="00984181" w:rsidRPr="00DC566D" w:rsidRDefault="00984181">
      <w:pPr>
        <w:rPr>
          <w:color w:val="000000"/>
          <w:highlight w:val="cyan"/>
          <w:lang w:val="en-IN"/>
        </w:rPr>
      </w:pPr>
    </w:p>
    <w:p w14:paraId="066FD3B3"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Inspect the posterior trunk before treatment.</w:t>
      </w:r>
    </w:p>
    <w:p w14:paraId="25D5CE22"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0B19341A"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Do not scrape areas with ulceration, infection, active dermatitis, open wounds, bleeding, severe bruising, or other unsafe skin findings.</w:t>
      </w:r>
    </w:p>
    <w:p w14:paraId="6889B2B9" w14:textId="77777777" w:rsidR="00984181" w:rsidRPr="00DC566D" w:rsidRDefault="00984181">
      <w:pPr>
        <w:rPr>
          <w:color w:val="000000"/>
          <w:highlight w:val="cyan"/>
          <w:lang w:val="en-IN"/>
        </w:rPr>
      </w:pPr>
    </w:p>
    <w:p w14:paraId="60F07427"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Position the patient in a seated posture with an approximately 15° forward lean.</w:t>
      </w:r>
    </w:p>
    <w:p w14:paraId="3755F25D" w14:textId="77777777" w:rsidR="00984181" w:rsidRPr="00DC566D" w:rsidRDefault="00984181">
      <w:pPr>
        <w:rPr>
          <w:color w:val="000000"/>
          <w:highlight w:val="cyan"/>
          <w:lang w:val="en-IN"/>
        </w:rPr>
      </w:pPr>
    </w:p>
    <w:p w14:paraId="03A4EA8B"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Place the patient’s arms on padded support.</w:t>
      </w:r>
    </w:p>
    <w:p w14:paraId="1F0B4717" w14:textId="77777777" w:rsidR="00984181" w:rsidRPr="00DC566D" w:rsidRDefault="00984181">
      <w:pPr>
        <w:rPr>
          <w:color w:val="000000"/>
          <w:highlight w:val="cyan"/>
          <w:lang w:val="en-IN"/>
        </w:rPr>
      </w:pPr>
    </w:p>
    <w:p w14:paraId="68C678F6"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Expose the posterior trunk region selected for scraping.</w:t>
      </w:r>
    </w:p>
    <w:p w14:paraId="2DFD8EC7" w14:textId="77777777" w:rsidR="00984181" w:rsidRPr="00DC566D" w:rsidRDefault="00984181">
      <w:pPr>
        <w:rPr>
          <w:color w:val="000000"/>
          <w:highlight w:val="cyan"/>
          <w:lang w:val="en-IN"/>
        </w:rPr>
      </w:pPr>
    </w:p>
    <w:p w14:paraId="211B647D"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Drape all non-treated areas with a blanket to maintain warmth and privacy.</w:t>
      </w:r>
    </w:p>
    <w:p w14:paraId="427EE7B5" w14:textId="77777777" w:rsidR="00984181" w:rsidRPr="00DC566D" w:rsidRDefault="00984181">
      <w:pPr>
        <w:rPr>
          <w:color w:val="000000"/>
          <w:highlight w:val="cyan"/>
          <w:lang w:val="en-IN"/>
        </w:rPr>
      </w:pPr>
    </w:p>
    <w:p w14:paraId="7568576F" w14:textId="77777777" w:rsidR="00984181" w:rsidRPr="00DC566D" w:rsidRDefault="00000000">
      <w:pPr>
        <w:pStyle w:val="ListParagraph"/>
        <w:numPr>
          <w:ilvl w:val="0"/>
          <w:numId w:val="2"/>
        </w:numPr>
        <w:spacing w:after="0" w:line="240" w:lineRule="auto"/>
        <w:ind w:left="0" w:firstLine="0"/>
        <w:jc w:val="both"/>
        <w:rPr>
          <w:rFonts w:ascii="Calibri" w:hAnsi="Calibri" w:cs="Calibri"/>
          <w:b/>
          <w:bCs/>
          <w:color w:val="000000"/>
          <w:sz w:val="24"/>
          <w:szCs w:val="24"/>
          <w:highlight w:val="cyan"/>
          <w:lang w:val="en-IN"/>
        </w:rPr>
      </w:pPr>
      <w:r w:rsidRPr="00DC566D">
        <w:rPr>
          <w:rFonts w:ascii="Calibri" w:hAnsi="Calibri" w:cs="Calibri"/>
          <w:b/>
          <w:bCs/>
          <w:color w:val="000000"/>
          <w:sz w:val="24"/>
          <w:szCs w:val="24"/>
          <w:highlight w:val="cyan"/>
          <w:lang w:val="en-IN"/>
        </w:rPr>
        <w:t>Selection of the scraping area</w:t>
      </w:r>
    </w:p>
    <w:p w14:paraId="04C287E9"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50CC4FEA"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Determine acupoint locations according to the national standard of the People’s Republic of China, “Nomenclature and Location of Meridian Points</w:t>
      </w:r>
      <w:r w:rsidRPr="00DC566D">
        <w:rPr>
          <w:rFonts w:ascii="Calibri" w:hAnsi="Calibri" w:cs="Calibri"/>
          <w:color w:val="000000"/>
          <w:sz w:val="24"/>
          <w:szCs w:val="24"/>
          <w:highlight w:val="cyan"/>
          <w:vertAlign w:val="superscript"/>
          <w:lang w:val="en-IN"/>
        </w:rPr>
        <w:fldChar w:fldCharType="begin"/>
      </w:r>
      <w:r w:rsidRPr="00DC566D">
        <w:rPr>
          <w:highlight w:val="cyan"/>
        </w:rPr>
        <w:instrText xml:space="preserve"> REF _Ref9347 \r \h  \* MERGEFORMAT</w:instrText>
      </w:r>
      <w:r w:rsidRPr="00DC566D">
        <w:rPr>
          <w:rFonts w:ascii="Calibri" w:hAnsi="Calibri" w:cs="Calibri"/>
          <w:color w:val="000000"/>
          <w:sz w:val="24"/>
          <w:szCs w:val="24"/>
          <w:highlight w:val="cyan"/>
          <w:vertAlign w:val="superscript"/>
          <w:lang w:val="en-IN"/>
        </w:rPr>
      </w:r>
      <w:r w:rsidRPr="00DC566D">
        <w:rPr>
          <w:rFonts w:ascii="Calibri" w:hAnsi="Calibri" w:cs="Calibri"/>
          <w:color w:val="000000"/>
          <w:sz w:val="24"/>
          <w:szCs w:val="24"/>
          <w:highlight w:val="cyan"/>
          <w:vertAlign w:val="superscript"/>
          <w:lang w:val="en-IN"/>
        </w:rPr>
        <w:fldChar w:fldCharType="separate"/>
      </w:r>
      <w:r w:rsidRPr="00DC566D">
        <w:rPr>
          <w:rFonts w:ascii="Calibri" w:hAnsi="Calibri" w:cs="Calibri"/>
          <w:color w:val="000000"/>
          <w:sz w:val="24"/>
          <w:szCs w:val="24"/>
          <w:highlight w:val="cyan"/>
          <w:vertAlign w:val="superscript"/>
          <w:lang w:val="en-IN"/>
        </w:rPr>
        <w:t>6</w:t>
      </w:r>
      <w:r w:rsidRPr="00DC566D">
        <w:rPr>
          <w:rFonts w:ascii="Calibri" w:hAnsi="Calibri" w:cs="Calibri"/>
          <w:color w:val="000000"/>
          <w:sz w:val="24"/>
          <w:szCs w:val="24"/>
          <w:highlight w:val="cyan"/>
          <w:vertAlign w:val="superscript"/>
          <w:lang w:val="en-IN"/>
        </w:rPr>
        <w:fldChar w:fldCharType="end"/>
      </w:r>
      <w:r w:rsidRPr="00DC566D">
        <w:rPr>
          <w:rFonts w:ascii="Calibri" w:hAnsi="Calibri" w:cs="Calibri"/>
          <w:color w:val="000000"/>
          <w:sz w:val="24"/>
          <w:szCs w:val="24"/>
          <w:highlight w:val="cyan"/>
          <w:lang w:val="en-IN"/>
        </w:rPr>
        <w:t>.”</w:t>
      </w:r>
    </w:p>
    <w:p w14:paraId="5186489C"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26EABC83"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 xml:space="preserve">Select the Governor Vessel from </w:t>
      </w:r>
      <w:proofErr w:type="spellStart"/>
      <w:r w:rsidRPr="00DC566D">
        <w:rPr>
          <w:rFonts w:ascii="Calibri" w:hAnsi="Calibri" w:cs="Calibri"/>
          <w:color w:val="000000"/>
          <w:sz w:val="24"/>
          <w:szCs w:val="24"/>
          <w:highlight w:val="cyan"/>
          <w:lang w:val="en-IN"/>
        </w:rPr>
        <w:t>Dazhui</w:t>
      </w:r>
      <w:proofErr w:type="spellEnd"/>
      <w:r w:rsidRPr="00DC566D">
        <w:rPr>
          <w:rFonts w:ascii="Calibri" w:hAnsi="Calibri" w:cs="Calibri"/>
          <w:color w:val="000000"/>
          <w:sz w:val="24"/>
          <w:szCs w:val="24"/>
          <w:highlight w:val="cyan"/>
          <w:lang w:val="en-IN"/>
        </w:rPr>
        <w:t xml:space="preserve"> (DU14) along the spinal midline down to </w:t>
      </w:r>
      <w:proofErr w:type="spellStart"/>
      <w:r w:rsidRPr="00DC566D">
        <w:rPr>
          <w:rFonts w:ascii="Calibri" w:hAnsi="Calibri" w:cs="Calibri"/>
          <w:color w:val="000000"/>
          <w:sz w:val="24"/>
          <w:szCs w:val="24"/>
          <w:highlight w:val="cyan"/>
          <w:lang w:val="en-IN"/>
        </w:rPr>
        <w:t>Yaoyangguan</w:t>
      </w:r>
      <w:proofErr w:type="spellEnd"/>
      <w:r w:rsidRPr="00DC566D">
        <w:rPr>
          <w:rFonts w:ascii="Calibri" w:hAnsi="Calibri" w:cs="Calibri"/>
          <w:color w:val="000000"/>
          <w:sz w:val="24"/>
          <w:szCs w:val="24"/>
          <w:highlight w:val="cyan"/>
          <w:lang w:val="en-IN"/>
        </w:rPr>
        <w:t xml:space="preserve"> (DU3) (</w:t>
      </w:r>
      <w:r w:rsidRPr="00DC566D">
        <w:rPr>
          <w:rFonts w:ascii="Calibri" w:hAnsi="Calibri" w:cs="Calibri"/>
          <w:b/>
          <w:bCs/>
          <w:color w:val="000000"/>
          <w:sz w:val="24"/>
          <w:szCs w:val="24"/>
          <w:highlight w:val="cyan"/>
          <w:lang w:val="en-IN"/>
        </w:rPr>
        <w:t>Figure3</w:t>
      </w:r>
      <w:r w:rsidRPr="00DC566D">
        <w:rPr>
          <w:rFonts w:ascii="Calibri" w:hAnsi="Calibri" w:cs="Calibri"/>
          <w:color w:val="000000"/>
          <w:sz w:val="24"/>
          <w:szCs w:val="24"/>
          <w:highlight w:val="cyan"/>
          <w:lang w:val="en-IN"/>
        </w:rPr>
        <w:t>).</w:t>
      </w:r>
    </w:p>
    <w:p w14:paraId="2E8F0A0E"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41D11A67"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Select the bilateral Bladder Meridian of Foot-</w:t>
      </w:r>
      <w:proofErr w:type="spellStart"/>
      <w:r w:rsidRPr="00DC566D">
        <w:rPr>
          <w:rFonts w:ascii="Calibri" w:hAnsi="Calibri" w:cs="Calibri"/>
          <w:color w:val="000000"/>
          <w:sz w:val="24"/>
          <w:szCs w:val="24"/>
          <w:highlight w:val="cyan"/>
          <w:lang w:val="en-IN"/>
        </w:rPr>
        <w:t>Taiyang</w:t>
      </w:r>
      <w:proofErr w:type="spellEnd"/>
      <w:r w:rsidRPr="00DC566D">
        <w:rPr>
          <w:rFonts w:ascii="Calibri" w:hAnsi="Calibri" w:cs="Calibri"/>
          <w:color w:val="000000"/>
          <w:sz w:val="24"/>
          <w:szCs w:val="24"/>
          <w:highlight w:val="cyan"/>
          <w:lang w:val="en-IN"/>
        </w:rPr>
        <w:t xml:space="preserve"> from Feishu (BL13) to </w:t>
      </w:r>
      <w:proofErr w:type="spellStart"/>
      <w:r w:rsidRPr="00DC566D">
        <w:rPr>
          <w:rFonts w:ascii="Calibri" w:hAnsi="Calibri" w:cs="Calibri"/>
          <w:color w:val="000000"/>
          <w:sz w:val="24"/>
          <w:szCs w:val="24"/>
          <w:highlight w:val="cyan"/>
          <w:lang w:val="en-IN"/>
        </w:rPr>
        <w:t>Shenshu</w:t>
      </w:r>
      <w:proofErr w:type="spellEnd"/>
      <w:r w:rsidRPr="00DC566D">
        <w:rPr>
          <w:rFonts w:ascii="Calibri" w:hAnsi="Calibri" w:cs="Calibri"/>
          <w:color w:val="000000"/>
          <w:sz w:val="24"/>
          <w:szCs w:val="24"/>
          <w:highlight w:val="cyan"/>
          <w:lang w:val="en-IN"/>
        </w:rPr>
        <w:t xml:space="preserve"> (BL23), including </w:t>
      </w:r>
      <w:proofErr w:type="spellStart"/>
      <w:r w:rsidRPr="00DC566D">
        <w:rPr>
          <w:rFonts w:ascii="Calibri" w:hAnsi="Calibri" w:cs="Calibri"/>
          <w:color w:val="000000"/>
          <w:sz w:val="24"/>
          <w:szCs w:val="24"/>
          <w:highlight w:val="cyan"/>
          <w:lang w:val="en-IN"/>
        </w:rPr>
        <w:t>Pishu</w:t>
      </w:r>
      <w:proofErr w:type="spellEnd"/>
      <w:r w:rsidRPr="00DC566D">
        <w:rPr>
          <w:rFonts w:ascii="Calibri" w:hAnsi="Calibri" w:cs="Calibri"/>
          <w:color w:val="000000"/>
          <w:sz w:val="24"/>
          <w:szCs w:val="24"/>
          <w:highlight w:val="cyan"/>
          <w:lang w:val="en-IN"/>
        </w:rPr>
        <w:t xml:space="preserve"> (BL20) and </w:t>
      </w:r>
      <w:proofErr w:type="spellStart"/>
      <w:r w:rsidRPr="00DC566D">
        <w:rPr>
          <w:rFonts w:ascii="Calibri" w:hAnsi="Calibri" w:cs="Calibri"/>
          <w:color w:val="000000"/>
          <w:sz w:val="24"/>
          <w:szCs w:val="24"/>
          <w:highlight w:val="cyan"/>
          <w:lang w:val="en-IN"/>
        </w:rPr>
        <w:t>Weishu</w:t>
      </w:r>
      <w:proofErr w:type="spellEnd"/>
      <w:r w:rsidRPr="00DC566D">
        <w:rPr>
          <w:rFonts w:ascii="Calibri" w:hAnsi="Calibri" w:cs="Calibri"/>
          <w:color w:val="000000"/>
          <w:sz w:val="24"/>
          <w:szCs w:val="24"/>
          <w:highlight w:val="cyan"/>
          <w:lang w:val="en-IN"/>
        </w:rPr>
        <w:t xml:space="preserve"> (BL21), located 1.5 </w:t>
      </w:r>
      <w:proofErr w:type="spellStart"/>
      <w:r w:rsidRPr="00DC566D">
        <w:rPr>
          <w:rFonts w:ascii="Calibri" w:hAnsi="Calibri" w:cs="Calibri"/>
          <w:color w:val="000000"/>
          <w:sz w:val="24"/>
          <w:szCs w:val="24"/>
          <w:highlight w:val="cyan"/>
          <w:lang w:val="en-IN"/>
        </w:rPr>
        <w:t>cun</w:t>
      </w:r>
      <w:proofErr w:type="spellEnd"/>
      <w:r w:rsidRPr="00DC566D">
        <w:rPr>
          <w:rFonts w:ascii="Calibri" w:hAnsi="Calibri" w:cs="Calibri"/>
          <w:color w:val="000000"/>
          <w:sz w:val="24"/>
          <w:szCs w:val="24"/>
          <w:highlight w:val="cyan"/>
          <w:lang w:val="en-IN"/>
        </w:rPr>
        <w:t xml:space="preserve"> lateral to the posterior midline.</w:t>
      </w:r>
    </w:p>
    <w:p w14:paraId="05670071" w14:textId="77777777" w:rsidR="00984181" w:rsidRPr="00DC566D" w:rsidRDefault="00000000">
      <w:pPr>
        <w:rPr>
          <w:color w:val="000000"/>
          <w:highlight w:val="cyan"/>
          <w:lang w:val="en-IN"/>
        </w:rPr>
      </w:pPr>
      <w:r w:rsidRPr="00DC566D">
        <w:rPr>
          <w:color w:val="000000"/>
          <w:highlight w:val="cyan"/>
          <w:lang w:val="en-IN"/>
        </w:rPr>
        <w:t>Note: Existing research reports therapeutic effects of the Governor Vessel and Bladder Meridian (</w:t>
      </w:r>
      <w:r w:rsidRPr="00DC566D">
        <w:rPr>
          <w:b/>
          <w:bCs/>
          <w:color w:val="000000"/>
          <w:highlight w:val="cyan"/>
          <w:lang w:val="en-IN"/>
        </w:rPr>
        <w:t>Figure 4</w:t>
      </w:r>
      <w:r w:rsidRPr="00DC566D">
        <w:rPr>
          <w:color w:val="000000"/>
          <w:highlight w:val="cyan"/>
          <w:lang w:val="en-IN"/>
        </w:rPr>
        <w:t>) for the syndrome type investigated in this study</w:t>
      </w:r>
      <w:r w:rsidRPr="00DC566D">
        <w:rPr>
          <w:color w:val="000000"/>
          <w:highlight w:val="cyan"/>
          <w:vertAlign w:val="superscript"/>
          <w:lang w:val="en-IN"/>
        </w:rPr>
        <w:fldChar w:fldCharType="begin"/>
      </w:r>
      <w:r w:rsidRPr="00DC566D">
        <w:rPr>
          <w:highlight w:val="cyan"/>
        </w:rPr>
        <w:instrText xml:space="preserve"> REF _Ref9598 \r \h  \* MERGEFORMAT</w:instrText>
      </w:r>
      <w:r w:rsidRPr="00DC566D">
        <w:rPr>
          <w:color w:val="000000"/>
          <w:highlight w:val="cyan"/>
          <w:vertAlign w:val="superscript"/>
          <w:lang w:val="en-IN"/>
        </w:rPr>
      </w:r>
      <w:r w:rsidRPr="00DC566D">
        <w:rPr>
          <w:color w:val="000000"/>
          <w:highlight w:val="cyan"/>
          <w:vertAlign w:val="superscript"/>
          <w:lang w:val="en-IN"/>
        </w:rPr>
        <w:fldChar w:fldCharType="separate"/>
      </w:r>
      <w:r w:rsidRPr="00DC566D">
        <w:rPr>
          <w:color w:val="000000"/>
          <w:highlight w:val="cyan"/>
          <w:vertAlign w:val="superscript"/>
          <w:lang w:val="en-IN"/>
        </w:rPr>
        <w:t>7</w:t>
      </w:r>
      <w:r w:rsidRPr="00DC566D">
        <w:rPr>
          <w:color w:val="000000"/>
          <w:highlight w:val="cyan"/>
          <w:vertAlign w:val="superscript"/>
          <w:lang w:val="en-IN"/>
        </w:rPr>
        <w:fldChar w:fldCharType="end"/>
      </w:r>
      <w:r w:rsidRPr="00DC566D">
        <w:rPr>
          <w:color w:val="000000"/>
          <w:highlight w:val="cyan"/>
          <w:lang w:val="en-IN"/>
        </w:rPr>
        <w:t>.</w:t>
      </w:r>
    </w:p>
    <w:p w14:paraId="61E3E150" w14:textId="77777777" w:rsidR="00984181" w:rsidRPr="00DC566D" w:rsidRDefault="00984181">
      <w:pPr>
        <w:rPr>
          <w:color w:val="000000"/>
          <w:highlight w:val="cyan"/>
          <w:lang w:val="en-IN"/>
        </w:rPr>
      </w:pPr>
    </w:p>
    <w:p w14:paraId="5B889DA8"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Measure acupoint distances with the finger-</w:t>
      </w:r>
      <w:proofErr w:type="spellStart"/>
      <w:r w:rsidRPr="00DC566D">
        <w:rPr>
          <w:rFonts w:ascii="Calibri" w:hAnsi="Calibri" w:cs="Calibri"/>
          <w:color w:val="000000"/>
          <w:sz w:val="24"/>
          <w:szCs w:val="24"/>
          <w:highlight w:val="cyan"/>
          <w:lang w:val="en-IN"/>
        </w:rPr>
        <w:t>cun</w:t>
      </w:r>
      <w:proofErr w:type="spellEnd"/>
      <w:r w:rsidRPr="00DC566D">
        <w:rPr>
          <w:rFonts w:ascii="Calibri" w:hAnsi="Calibri" w:cs="Calibri"/>
          <w:color w:val="000000"/>
          <w:sz w:val="24"/>
          <w:szCs w:val="24"/>
          <w:highlight w:val="cyan"/>
          <w:lang w:val="en-IN"/>
        </w:rPr>
        <w:t xml:space="preserve"> measurement method.</w:t>
      </w:r>
    </w:p>
    <w:p w14:paraId="16D57704"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23150F20"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Use the patient’s own fingers as the reference for measurement.</w:t>
      </w:r>
    </w:p>
    <w:p w14:paraId="30C7B5EE" w14:textId="77777777" w:rsidR="00984181" w:rsidRPr="00DC566D" w:rsidRDefault="00984181">
      <w:pPr>
        <w:rPr>
          <w:color w:val="000000"/>
          <w:highlight w:val="cyan"/>
          <w:lang w:val="en-IN"/>
        </w:rPr>
      </w:pPr>
    </w:p>
    <w:p w14:paraId="79F1F0F9"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Use the middle crease of the patient’s middle finger as the benchmark.</w:t>
      </w:r>
    </w:p>
    <w:p w14:paraId="5071F5AA"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1C561363"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 xml:space="preserve">Define the combined width of the patient’s index and middle fingers as 1.5 </w:t>
      </w:r>
      <w:proofErr w:type="spellStart"/>
      <w:r w:rsidRPr="00DC566D">
        <w:rPr>
          <w:rFonts w:ascii="Calibri" w:hAnsi="Calibri" w:cs="Calibri"/>
          <w:color w:val="000000"/>
          <w:sz w:val="24"/>
          <w:szCs w:val="24"/>
          <w:highlight w:val="cyan"/>
          <w:lang w:val="en-IN"/>
        </w:rPr>
        <w:t>cun</w:t>
      </w:r>
      <w:proofErr w:type="spellEnd"/>
      <w:r w:rsidRPr="00DC566D">
        <w:rPr>
          <w:rFonts w:ascii="Calibri" w:hAnsi="Calibri" w:cs="Calibri"/>
          <w:color w:val="000000"/>
          <w:sz w:val="24"/>
          <w:szCs w:val="24"/>
          <w:highlight w:val="cyan"/>
          <w:lang w:val="en-IN"/>
        </w:rPr>
        <w:t xml:space="preserve"> (</w:t>
      </w:r>
      <w:r w:rsidRPr="00DC566D">
        <w:rPr>
          <w:rFonts w:ascii="Calibri" w:hAnsi="Calibri" w:cs="Calibri"/>
          <w:b/>
          <w:bCs/>
          <w:color w:val="000000"/>
          <w:sz w:val="24"/>
          <w:szCs w:val="24"/>
          <w:highlight w:val="cyan"/>
          <w:lang w:val="en-IN"/>
        </w:rPr>
        <w:t>Figure 2</w:t>
      </w:r>
      <w:r w:rsidRPr="00DC566D">
        <w:rPr>
          <w:rFonts w:ascii="Calibri" w:hAnsi="Calibri" w:cs="Calibri"/>
          <w:color w:val="000000"/>
          <w:sz w:val="24"/>
          <w:szCs w:val="24"/>
          <w:highlight w:val="cyan"/>
          <w:lang w:val="en-IN"/>
        </w:rPr>
        <w:t>).</w:t>
      </w:r>
    </w:p>
    <w:p w14:paraId="2FA4A7D6" w14:textId="77777777" w:rsidR="00984181" w:rsidRPr="00DC566D" w:rsidRDefault="00984181">
      <w:pPr>
        <w:rPr>
          <w:color w:val="000000"/>
          <w:highlight w:val="cyan"/>
          <w:lang w:val="en-IN"/>
        </w:rPr>
      </w:pPr>
    </w:p>
    <w:p w14:paraId="61CEA100"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 xml:space="preserve">Locate </w:t>
      </w:r>
      <w:proofErr w:type="spellStart"/>
      <w:r w:rsidRPr="00DC566D">
        <w:rPr>
          <w:rFonts w:ascii="Calibri" w:hAnsi="Calibri" w:cs="Calibri"/>
          <w:color w:val="000000"/>
          <w:sz w:val="24"/>
          <w:szCs w:val="24"/>
          <w:highlight w:val="cyan"/>
          <w:lang w:val="en-IN"/>
        </w:rPr>
        <w:t>Dazhui</w:t>
      </w:r>
      <w:proofErr w:type="spellEnd"/>
      <w:r w:rsidRPr="00DC566D">
        <w:rPr>
          <w:rFonts w:ascii="Calibri" w:hAnsi="Calibri" w:cs="Calibri"/>
          <w:color w:val="000000"/>
          <w:sz w:val="24"/>
          <w:szCs w:val="24"/>
          <w:highlight w:val="cyan"/>
          <w:lang w:val="en-IN"/>
        </w:rPr>
        <w:t xml:space="preserve"> (DU14) in the depression below the spinous process of the 7th cervical vertebra on the posterior midline (</w:t>
      </w:r>
      <w:r w:rsidRPr="00DC566D">
        <w:rPr>
          <w:rFonts w:ascii="Calibri" w:hAnsi="Calibri" w:cs="Calibri"/>
          <w:b/>
          <w:bCs/>
          <w:color w:val="000000"/>
          <w:sz w:val="24"/>
          <w:szCs w:val="24"/>
          <w:highlight w:val="cyan"/>
          <w:lang w:val="en-IN"/>
        </w:rPr>
        <w:t>Figure3</w:t>
      </w:r>
      <w:r w:rsidRPr="00DC566D">
        <w:rPr>
          <w:rFonts w:ascii="Calibri" w:hAnsi="Calibri" w:cs="Calibri"/>
          <w:color w:val="000000"/>
          <w:sz w:val="24"/>
          <w:szCs w:val="24"/>
          <w:highlight w:val="cyan"/>
          <w:lang w:val="en-IN"/>
        </w:rPr>
        <w:t>).</w:t>
      </w:r>
    </w:p>
    <w:p w14:paraId="70C5AA3F" w14:textId="77777777" w:rsidR="00984181" w:rsidRPr="00DC566D" w:rsidRDefault="00984181">
      <w:pPr>
        <w:rPr>
          <w:color w:val="000000"/>
          <w:highlight w:val="cyan"/>
          <w:lang w:val="en-IN"/>
        </w:rPr>
      </w:pPr>
    </w:p>
    <w:p w14:paraId="4F0372F0"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 xml:space="preserve">Locate </w:t>
      </w:r>
      <w:proofErr w:type="spellStart"/>
      <w:r w:rsidRPr="00DC566D">
        <w:rPr>
          <w:rFonts w:ascii="Calibri" w:hAnsi="Calibri" w:cs="Calibri"/>
          <w:color w:val="000000"/>
          <w:sz w:val="24"/>
          <w:szCs w:val="24"/>
          <w:highlight w:val="cyan"/>
          <w:lang w:val="en-IN"/>
        </w:rPr>
        <w:t>Yaoyangguan</w:t>
      </w:r>
      <w:proofErr w:type="spellEnd"/>
      <w:r w:rsidRPr="00DC566D">
        <w:rPr>
          <w:rFonts w:ascii="Calibri" w:hAnsi="Calibri" w:cs="Calibri"/>
          <w:color w:val="000000"/>
          <w:sz w:val="24"/>
          <w:szCs w:val="24"/>
          <w:highlight w:val="cyan"/>
          <w:lang w:val="en-IN"/>
        </w:rPr>
        <w:t xml:space="preserve"> (DU3) in the depression below the spinous process of the 4th lumbar vertebra on the posterior midline (</w:t>
      </w:r>
      <w:r w:rsidRPr="00DC566D">
        <w:rPr>
          <w:rFonts w:ascii="Calibri" w:hAnsi="Calibri" w:cs="Calibri"/>
          <w:b/>
          <w:bCs/>
          <w:color w:val="000000"/>
          <w:sz w:val="24"/>
          <w:szCs w:val="24"/>
          <w:highlight w:val="cyan"/>
          <w:lang w:val="en-IN"/>
        </w:rPr>
        <w:t>Figure3</w:t>
      </w:r>
      <w:r w:rsidRPr="00DC566D">
        <w:rPr>
          <w:rFonts w:ascii="Calibri" w:hAnsi="Calibri" w:cs="Calibri"/>
          <w:color w:val="000000"/>
          <w:sz w:val="24"/>
          <w:szCs w:val="24"/>
          <w:highlight w:val="cyan"/>
          <w:lang w:val="en-IN"/>
        </w:rPr>
        <w:t>).</w:t>
      </w:r>
    </w:p>
    <w:p w14:paraId="3BB74500"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525D3748"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 xml:space="preserve">Locate Feishu (BL13) 1.5 </w:t>
      </w:r>
      <w:proofErr w:type="spellStart"/>
      <w:r w:rsidRPr="00DC566D">
        <w:rPr>
          <w:rFonts w:ascii="Calibri" w:hAnsi="Calibri" w:cs="Calibri"/>
          <w:color w:val="000000"/>
          <w:sz w:val="24"/>
          <w:szCs w:val="24"/>
          <w:highlight w:val="cyan"/>
          <w:lang w:val="en-IN"/>
        </w:rPr>
        <w:t>cun</w:t>
      </w:r>
      <w:proofErr w:type="spellEnd"/>
      <w:r w:rsidRPr="00DC566D">
        <w:rPr>
          <w:rFonts w:ascii="Calibri" w:hAnsi="Calibri" w:cs="Calibri"/>
          <w:color w:val="000000"/>
          <w:sz w:val="24"/>
          <w:szCs w:val="24"/>
          <w:highlight w:val="cyan"/>
          <w:lang w:val="en-IN"/>
        </w:rPr>
        <w:t xml:space="preserve"> lateral to the posterior midline, below the spinous process of the 3rd thoracic vertebra (</w:t>
      </w:r>
      <w:r w:rsidRPr="00DC566D">
        <w:rPr>
          <w:rFonts w:ascii="Calibri" w:hAnsi="Calibri" w:cs="Calibri"/>
          <w:b/>
          <w:bCs/>
          <w:color w:val="000000"/>
          <w:sz w:val="24"/>
          <w:szCs w:val="24"/>
          <w:highlight w:val="cyan"/>
          <w:lang w:val="en-IN"/>
        </w:rPr>
        <w:t>Figure 4</w:t>
      </w:r>
      <w:r w:rsidRPr="00DC566D">
        <w:rPr>
          <w:rFonts w:ascii="Calibri" w:hAnsi="Calibri" w:cs="Calibri"/>
          <w:color w:val="000000"/>
          <w:sz w:val="24"/>
          <w:szCs w:val="24"/>
          <w:highlight w:val="cyan"/>
          <w:lang w:val="en-IN"/>
        </w:rPr>
        <w:t>).</w:t>
      </w:r>
    </w:p>
    <w:p w14:paraId="2D23B93D"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5D1E93AE"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 xml:space="preserve">Locate </w:t>
      </w:r>
      <w:proofErr w:type="spellStart"/>
      <w:r w:rsidRPr="00DC566D">
        <w:rPr>
          <w:rFonts w:ascii="Calibri" w:hAnsi="Calibri" w:cs="Calibri"/>
          <w:color w:val="000000"/>
          <w:sz w:val="24"/>
          <w:szCs w:val="24"/>
          <w:highlight w:val="cyan"/>
          <w:lang w:val="en-IN"/>
        </w:rPr>
        <w:t>Pishu</w:t>
      </w:r>
      <w:proofErr w:type="spellEnd"/>
      <w:r w:rsidRPr="00DC566D">
        <w:rPr>
          <w:rFonts w:ascii="Calibri" w:hAnsi="Calibri" w:cs="Calibri"/>
          <w:color w:val="000000"/>
          <w:sz w:val="24"/>
          <w:szCs w:val="24"/>
          <w:highlight w:val="cyan"/>
          <w:lang w:val="en-IN"/>
        </w:rPr>
        <w:t xml:space="preserve"> (BL20) 1.5 </w:t>
      </w:r>
      <w:proofErr w:type="spellStart"/>
      <w:r w:rsidRPr="00DC566D">
        <w:rPr>
          <w:rFonts w:ascii="Calibri" w:hAnsi="Calibri" w:cs="Calibri"/>
          <w:color w:val="000000"/>
          <w:sz w:val="24"/>
          <w:szCs w:val="24"/>
          <w:highlight w:val="cyan"/>
          <w:lang w:val="en-IN"/>
        </w:rPr>
        <w:t>cun</w:t>
      </w:r>
      <w:proofErr w:type="spellEnd"/>
      <w:r w:rsidRPr="00DC566D">
        <w:rPr>
          <w:rFonts w:ascii="Calibri" w:hAnsi="Calibri" w:cs="Calibri"/>
          <w:color w:val="000000"/>
          <w:sz w:val="24"/>
          <w:szCs w:val="24"/>
          <w:highlight w:val="cyan"/>
          <w:lang w:val="en-IN"/>
        </w:rPr>
        <w:t xml:space="preserve"> lateral to the posterior midline, below the spinous process of the 11th thoracic vertebra (</w:t>
      </w:r>
      <w:r w:rsidRPr="00DC566D">
        <w:rPr>
          <w:rFonts w:ascii="Calibri" w:hAnsi="Calibri" w:cs="Calibri"/>
          <w:b/>
          <w:bCs/>
          <w:color w:val="000000"/>
          <w:sz w:val="24"/>
          <w:szCs w:val="24"/>
          <w:highlight w:val="cyan"/>
          <w:lang w:val="en-IN"/>
        </w:rPr>
        <w:t>Figure 4</w:t>
      </w:r>
      <w:r w:rsidRPr="00DC566D">
        <w:rPr>
          <w:rFonts w:ascii="Calibri" w:hAnsi="Calibri" w:cs="Calibri"/>
          <w:color w:val="000000"/>
          <w:sz w:val="24"/>
          <w:szCs w:val="24"/>
          <w:highlight w:val="cyan"/>
          <w:lang w:val="en-IN"/>
        </w:rPr>
        <w:t>).</w:t>
      </w:r>
    </w:p>
    <w:p w14:paraId="2FB65394"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791461D5"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 xml:space="preserve">Locate </w:t>
      </w:r>
      <w:proofErr w:type="spellStart"/>
      <w:r w:rsidRPr="00DC566D">
        <w:rPr>
          <w:rFonts w:ascii="Calibri" w:hAnsi="Calibri" w:cs="Calibri"/>
          <w:color w:val="000000"/>
          <w:sz w:val="24"/>
          <w:szCs w:val="24"/>
          <w:highlight w:val="cyan"/>
          <w:lang w:val="en-IN"/>
        </w:rPr>
        <w:t>Weishu</w:t>
      </w:r>
      <w:proofErr w:type="spellEnd"/>
      <w:r w:rsidRPr="00DC566D">
        <w:rPr>
          <w:rFonts w:ascii="Calibri" w:hAnsi="Calibri" w:cs="Calibri"/>
          <w:color w:val="000000"/>
          <w:sz w:val="24"/>
          <w:szCs w:val="24"/>
          <w:highlight w:val="cyan"/>
          <w:lang w:val="en-IN"/>
        </w:rPr>
        <w:t xml:space="preserve"> (BL21) 1.5 </w:t>
      </w:r>
      <w:proofErr w:type="spellStart"/>
      <w:r w:rsidRPr="00DC566D">
        <w:rPr>
          <w:rFonts w:ascii="Calibri" w:hAnsi="Calibri" w:cs="Calibri"/>
          <w:color w:val="000000"/>
          <w:sz w:val="24"/>
          <w:szCs w:val="24"/>
          <w:highlight w:val="cyan"/>
          <w:lang w:val="en-IN"/>
        </w:rPr>
        <w:t>cun</w:t>
      </w:r>
      <w:proofErr w:type="spellEnd"/>
      <w:r w:rsidRPr="00DC566D">
        <w:rPr>
          <w:rFonts w:ascii="Calibri" w:hAnsi="Calibri" w:cs="Calibri"/>
          <w:color w:val="000000"/>
          <w:sz w:val="24"/>
          <w:szCs w:val="24"/>
          <w:highlight w:val="cyan"/>
          <w:lang w:val="en-IN"/>
        </w:rPr>
        <w:t xml:space="preserve"> lateral to the posterior midline, below the spinous process of the 12th thoracic vertebra (</w:t>
      </w:r>
      <w:r w:rsidRPr="00DC566D">
        <w:rPr>
          <w:rFonts w:ascii="Calibri" w:hAnsi="Calibri" w:cs="Calibri"/>
          <w:b/>
          <w:bCs/>
          <w:color w:val="000000"/>
          <w:sz w:val="24"/>
          <w:szCs w:val="24"/>
          <w:highlight w:val="cyan"/>
          <w:lang w:val="en-IN"/>
        </w:rPr>
        <w:t>Figure 4</w:t>
      </w:r>
      <w:r w:rsidRPr="00DC566D">
        <w:rPr>
          <w:rFonts w:ascii="Calibri" w:hAnsi="Calibri" w:cs="Calibri"/>
          <w:color w:val="000000"/>
          <w:sz w:val="24"/>
          <w:szCs w:val="24"/>
          <w:highlight w:val="cyan"/>
          <w:lang w:val="en-IN"/>
        </w:rPr>
        <w:t>).</w:t>
      </w:r>
    </w:p>
    <w:p w14:paraId="27BBF388" w14:textId="77777777" w:rsidR="00984181" w:rsidRPr="00DC566D" w:rsidRDefault="00984181">
      <w:pPr>
        <w:rPr>
          <w:color w:val="000000"/>
          <w:highlight w:val="cyan"/>
          <w:lang w:val="en-IN"/>
        </w:rPr>
      </w:pPr>
    </w:p>
    <w:p w14:paraId="06D0DB24"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 xml:space="preserve">Locate </w:t>
      </w:r>
      <w:proofErr w:type="spellStart"/>
      <w:r w:rsidRPr="00DC566D">
        <w:rPr>
          <w:rFonts w:ascii="Calibri" w:hAnsi="Calibri" w:cs="Calibri"/>
          <w:color w:val="000000"/>
          <w:sz w:val="24"/>
          <w:szCs w:val="24"/>
          <w:highlight w:val="cyan"/>
          <w:lang w:val="en-IN"/>
        </w:rPr>
        <w:t>Shenshu</w:t>
      </w:r>
      <w:proofErr w:type="spellEnd"/>
      <w:r w:rsidRPr="00DC566D">
        <w:rPr>
          <w:rFonts w:ascii="Calibri" w:hAnsi="Calibri" w:cs="Calibri"/>
          <w:color w:val="000000"/>
          <w:sz w:val="24"/>
          <w:szCs w:val="24"/>
          <w:highlight w:val="cyan"/>
          <w:lang w:val="en-IN"/>
        </w:rPr>
        <w:t xml:space="preserve"> (BL23) 1.5 </w:t>
      </w:r>
      <w:proofErr w:type="spellStart"/>
      <w:r w:rsidRPr="00DC566D">
        <w:rPr>
          <w:rFonts w:ascii="Calibri" w:hAnsi="Calibri" w:cs="Calibri"/>
          <w:color w:val="000000"/>
          <w:sz w:val="24"/>
          <w:szCs w:val="24"/>
          <w:highlight w:val="cyan"/>
          <w:lang w:val="en-IN"/>
        </w:rPr>
        <w:t>cun</w:t>
      </w:r>
      <w:proofErr w:type="spellEnd"/>
      <w:r w:rsidRPr="00DC566D">
        <w:rPr>
          <w:rFonts w:ascii="Calibri" w:hAnsi="Calibri" w:cs="Calibri"/>
          <w:color w:val="000000"/>
          <w:sz w:val="24"/>
          <w:szCs w:val="24"/>
          <w:highlight w:val="cyan"/>
          <w:lang w:val="en-IN"/>
        </w:rPr>
        <w:t xml:space="preserve"> lateral to the posterior midline, below the spinous process of the 2nd lumbar vertebra (</w:t>
      </w:r>
      <w:r w:rsidRPr="00DC566D">
        <w:rPr>
          <w:rFonts w:ascii="Calibri" w:hAnsi="Calibri" w:cs="Calibri"/>
          <w:b/>
          <w:bCs/>
          <w:color w:val="000000"/>
          <w:sz w:val="24"/>
          <w:szCs w:val="24"/>
          <w:highlight w:val="cyan"/>
          <w:lang w:val="en-IN"/>
        </w:rPr>
        <w:t>Figure 4</w:t>
      </w:r>
      <w:r w:rsidRPr="00DC566D">
        <w:rPr>
          <w:rFonts w:ascii="Calibri" w:hAnsi="Calibri" w:cs="Calibri"/>
          <w:color w:val="000000"/>
          <w:sz w:val="24"/>
          <w:szCs w:val="24"/>
          <w:highlight w:val="cyan"/>
          <w:lang w:val="en-IN"/>
        </w:rPr>
        <w:t>).</w:t>
      </w:r>
    </w:p>
    <w:p w14:paraId="3F305E0C" w14:textId="77777777" w:rsidR="00984181" w:rsidRPr="00DC566D" w:rsidRDefault="00984181">
      <w:pPr>
        <w:rPr>
          <w:color w:val="000000"/>
          <w:highlight w:val="cyan"/>
          <w:lang w:val="en-IN"/>
        </w:rPr>
      </w:pPr>
    </w:p>
    <w:p w14:paraId="243F0ECD" w14:textId="77777777" w:rsidR="00984181" w:rsidRPr="00DC566D" w:rsidRDefault="00000000">
      <w:pPr>
        <w:pStyle w:val="ListParagraph"/>
        <w:numPr>
          <w:ilvl w:val="0"/>
          <w:numId w:val="2"/>
        </w:numPr>
        <w:spacing w:after="0" w:line="240" w:lineRule="auto"/>
        <w:ind w:left="0" w:firstLine="0"/>
        <w:jc w:val="both"/>
        <w:rPr>
          <w:rFonts w:ascii="Calibri" w:hAnsi="Calibri" w:cs="Calibri"/>
          <w:b/>
          <w:bCs/>
          <w:color w:val="000000"/>
          <w:sz w:val="24"/>
          <w:szCs w:val="24"/>
          <w:highlight w:val="cyan"/>
          <w:lang w:val="en-IN"/>
        </w:rPr>
      </w:pPr>
      <w:r w:rsidRPr="00DC566D">
        <w:rPr>
          <w:rFonts w:ascii="Calibri" w:hAnsi="Calibri" w:cs="Calibri"/>
          <w:b/>
          <w:bCs/>
          <w:color w:val="000000"/>
          <w:sz w:val="24"/>
          <w:szCs w:val="24"/>
          <w:highlight w:val="cyan"/>
          <w:lang w:val="en-IN"/>
        </w:rPr>
        <w:t>Gua Sha treatment procedure</w:t>
      </w:r>
    </w:p>
    <w:p w14:paraId="692C70AC"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0805C7FE"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Position the patient in a seated posture with an approximately 15° forward lean.</w:t>
      </w:r>
    </w:p>
    <w:p w14:paraId="34ADD46F"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25315B00"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Expose the back while maintaining warmth and privacy with appropriate draping.</w:t>
      </w:r>
    </w:p>
    <w:p w14:paraId="5CB287D9" w14:textId="77777777" w:rsidR="00984181" w:rsidRDefault="00984181">
      <w:pPr>
        <w:rPr>
          <w:color w:val="000000"/>
          <w:highlight w:val="yellow"/>
          <w:lang w:val="en-IN"/>
        </w:rPr>
      </w:pPr>
    </w:p>
    <w:p w14:paraId="0E0698AD"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Hold a sterile cotton ball with medical forceps.</w:t>
      </w:r>
    </w:p>
    <w:p w14:paraId="69B5F579"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2E1BE523"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 xml:space="preserve">Disinfect the skin from </w:t>
      </w:r>
      <w:proofErr w:type="spellStart"/>
      <w:r>
        <w:rPr>
          <w:rFonts w:ascii="Calibri" w:hAnsi="Calibri" w:cs="Calibri"/>
          <w:color w:val="000000"/>
          <w:sz w:val="24"/>
          <w:szCs w:val="24"/>
          <w:highlight w:val="yellow"/>
          <w:lang w:val="en-IN"/>
        </w:rPr>
        <w:t>Dazhui</w:t>
      </w:r>
      <w:proofErr w:type="spellEnd"/>
      <w:r>
        <w:rPr>
          <w:rFonts w:ascii="Calibri" w:hAnsi="Calibri" w:cs="Calibri"/>
          <w:color w:val="000000"/>
          <w:sz w:val="24"/>
          <w:szCs w:val="24"/>
          <w:highlight w:val="yellow"/>
          <w:lang w:val="en-IN"/>
        </w:rPr>
        <w:t xml:space="preserve"> (DU14) to </w:t>
      </w:r>
      <w:proofErr w:type="spellStart"/>
      <w:r>
        <w:rPr>
          <w:rFonts w:ascii="Calibri" w:hAnsi="Calibri" w:cs="Calibri"/>
          <w:color w:val="000000"/>
          <w:sz w:val="24"/>
          <w:szCs w:val="24"/>
          <w:highlight w:val="yellow"/>
          <w:lang w:val="en-IN"/>
        </w:rPr>
        <w:t>Yaoyangguan</w:t>
      </w:r>
      <w:proofErr w:type="spellEnd"/>
      <w:r>
        <w:rPr>
          <w:rFonts w:ascii="Calibri" w:hAnsi="Calibri" w:cs="Calibri"/>
          <w:color w:val="000000"/>
          <w:sz w:val="24"/>
          <w:szCs w:val="24"/>
          <w:highlight w:val="yellow"/>
          <w:lang w:val="en-IN"/>
        </w:rPr>
        <w:t xml:space="preserve"> (DU3) and along the bilateral Bladder Meridian lines with 75% medical alcohol.</w:t>
      </w:r>
    </w:p>
    <w:p w14:paraId="62C776E8"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7F3243B5"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Repeat the disinfection three times.</w:t>
      </w:r>
    </w:p>
    <w:p w14:paraId="374C61A7"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465C6858"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Allow the skin to air dry for 10 s between applications.</w:t>
      </w:r>
    </w:p>
    <w:p w14:paraId="711DB0EF"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621BDFE4"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Apply approximately 5 mL of Gua Sha oil evenly over the target area.</w:t>
      </w:r>
    </w:p>
    <w:p w14:paraId="2388678B"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62692B8E"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Hold the sterilized copper Bian-stone scraper at a 45° angle to the skin surface.</w:t>
      </w:r>
    </w:p>
    <w:p w14:paraId="7442985E"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77B8DED8"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 xml:space="preserve">Begin at </w:t>
      </w:r>
      <w:proofErr w:type="spellStart"/>
      <w:r>
        <w:rPr>
          <w:rFonts w:ascii="Calibri" w:hAnsi="Calibri" w:cs="Calibri"/>
          <w:color w:val="000000"/>
          <w:sz w:val="24"/>
          <w:szCs w:val="24"/>
          <w:highlight w:val="yellow"/>
          <w:lang w:val="en-IN"/>
        </w:rPr>
        <w:t>Dazhui</w:t>
      </w:r>
      <w:proofErr w:type="spellEnd"/>
      <w:r>
        <w:rPr>
          <w:rFonts w:ascii="Calibri" w:hAnsi="Calibri" w:cs="Calibri"/>
          <w:color w:val="000000"/>
          <w:sz w:val="24"/>
          <w:szCs w:val="24"/>
          <w:highlight w:val="yellow"/>
          <w:lang w:val="en-IN"/>
        </w:rPr>
        <w:t xml:space="preserve"> (DU14).</w:t>
      </w:r>
    </w:p>
    <w:p w14:paraId="56B2CEA5"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0A49F2C4"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 xml:space="preserve">Apply the light scraping technique along the spinal midline toward </w:t>
      </w:r>
      <w:proofErr w:type="spellStart"/>
      <w:r>
        <w:rPr>
          <w:rFonts w:ascii="Calibri" w:hAnsi="Calibri" w:cs="Calibri"/>
          <w:color w:val="000000"/>
          <w:sz w:val="24"/>
          <w:szCs w:val="24"/>
          <w:highlight w:val="yellow"/>
          <w:lang w:val="en-IN"/>
        </w:rPr>
        <w:t>Yaoyangguan</w:t>
      </w:r>
      <w:proofErr w:type="spellEnd"/>
      <w:r>
        <w:rPr>
          <w:rFonts w:ascii="Calibri" w:hAnsi="Calibri" w:cs="Calibri"/>
          <w:color w:val="000000"/>
          <w:sz w:val="24"/>
          <w:szCs w:val="24"/>
          <w:highlight w:val="yellow"/>
          <w:lang w:val="en-IN"/>
        </w:rPr>
        <w:t xml:space="preserve"> (DU3) at approximately 5 cm/s.</w:t>
      </w:r>
    </w:p>
    <w:p w14:paraId="67C3AAD7"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51F30B10" w14:textId="77777777" w:rsidR="00984181" w:rsidRDefault="00000000">
      <w:pPr>
        <w:rPr>
          <w:color w:val="000000"/>
          <w:highlight w:val="yellow"/>
          <w:lang w:val="en-IN"/>
        </w:rPr>
      </w:pPr>
      <w:r>
        <w:rPr>
          <w:color w:val="000000"/>
          <w:highlight w:val="yellow"/>
          <w:lang w:val="en-IN"/>
        </w:rPr>
        <w:t>Note: Define the light scraping technique as pressure that produces skin indentation of less than 2 mm.</w:t>
      </w:r>
    </w:p>
    <w:p w14:paraId="0F81B9DD" w14:textId="77777777" w:rsidR="00984181" w:rsidRDefault="00984181">
      <w:pPr>
        <w:rPr>
          <w:color w:val="000000"/>
          <w:highlight w:val="yellow"/>
          <w:lang w:val="en-IN"/>
        </w:rPr>
      </w:pPr>
    </w:p>
    <w:p w14:paraId="73FC580D"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Repeat the downward scraping motion 10 times along the Governor Vessel.</w:t>
      </w:r>
    </w:p>
    <w:p w14:paraId="277CE8D7"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531FD110"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 xml:space="preserve">Increase pressure briefly to the moderate-pressure scraping technique at </w:t>
      </w:r>
      <w:proofErr w:type="spellStart"/>
      <w:r>
        <w:rPr>
          <w:rFonts w:ascii="Calibri" w:hAnsi="Calibri" w:cs="Calibri"/>
          <w:color w:val="000000"/>
          <w:sz w:val="24"/>
          <w:szCs w:val="24"/>
          <w:highlight w:val="yellow"/>
          <w:lang w:val="en-IN"/>
        </w:rPr>
        <w:t>Dazhui</w:t>
      </w:r>
      <w:proofErr w:type="spellEnd"/>
      <w:r>
        <w:rPr>
          <w:rFonts w:ascii="Calibri" w:hAnsi="Calibri" w:cs="Calibri"/>
          <w:color w:val="000000"/>
          <w:sz w:val="24"/>
          <w:szCs w:val="24"/>
          <w:highlight w:val="yellow"/>
          <w:lang w:val="en-IN"/>
        </w:rPr>
        <w:t xml:space="preserve"> (DU14) for 30 s.</w:t>
      </w:r>
    </w:p>
    <w:p w14:paraId="222B0F85" w14:textId="77777777" w:rsidR="00984181" w:rsidRDefault="00984181">
      <w:pPr>
        <w:rPr>
          <w:color w:val="000000"/>
          <w:highlight w:val="yellow"/>
          <w:lang w:val="en-IN"/>
        </w:rPr>
      </w:pPr>
    </w:p>
    <w:p w14:paraId="29FA4202"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 xml:space="preserve">Increase pressure briefly to the moderate-pressure scraping technique at </w:t>
      </w:r>
      <w:proofErr w:type="spellStart"/>
      <w:r>
        <w:rPr>
          <w:rFonts w:ascii="Calibri" w:hAnsi="Calibri" w:cs="Calibri"/>
          <w:color w:val="000000"/>
          <w:sz w:val="24"/>
          <w:szCs w:val="24"/>
          <w:highlight w:val="yellow"/>
          <w:lang w:val="en-IN"/>
        </w:rPr>
        <w:t>Yaoyangguan</w:t>
      </w:r>
      <w:proofErr w:type="spellEnd"/>
      <w:r>
        <w:rPr>
          <w:rFonts w:ascii="Calibri" w:hAnsi="Calibri" w:cs="Calibri"/>
          <w:color w:val="000000"/>
          <w:sz w:val="24"/>
          <w:szCs w:val="24"/>
          <w:highlight w:val="yellow"/>
          <w:lang w:val="en-IN"/>
        </w:rPr>
        <w:t xml:space="preserve"> (DU3) for 30 s.</w:t>
      </w:r>
    </w:p>
    <w:p w14:paraId="074A7404"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00C30179" w14:textId="77777777" w:rsidR="00984181" w:rsidRDefault="00000000">
      <w:pPr>
        <w:rPr>
          <w:color w:val="000000"/>
          <w:highlight w:val="yellow"/>
          <w:lang w:val="en-IN"/>
        </w:rPr>
      </w:pPr>
      <w:r>
        <w:rPr>
          <w:color w:val="000000"/>
          <w:highlight w:val="yellow"/>
          <w:lang w:val="en-IN"/>
        </w:rPr>
        <w:t>Note: Define the moderate-pressure technique as pressure that produces skin indentation of 3–5 mm, equivalent to a force of 5–10 N.</w:t>
      </w:r>
    </w:p>
    <w:p w14:paraId="238DDAA2" w14:textId="77777777" w:rsidR="00984181" w:rsidRDefault="00984181">
      <w:pPr>
        <w:rPr>
          <w:color w:val="000000"/>
          <w:highlight w:val="yellow"/>
          <w:lang w:val="en-IN"/>
        </w:rPr>
      </w:pPr>
    </w:p>
    <w:p w14:paraId="541C4204"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Monitor patient discomfort continuously using a 0–10 Visual Analog Scale.</w:t>
      </w:r>
    </w:p>
    <w:p w14:paraId="111418DD"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5B1D8319"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Do not exceed a patient-reported pain score of 4.</w:t>
      </w:r>
    </w:p>
    <w:p w14:paraId="20F540F3"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364E95C3"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163B2DC0"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Reduce pressure immediately when the pain score exceeds 4.</w:t>
      </w:r>
    </w:p>
    <w:p w14:paraId="3F282193"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7756E627"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Proceed to the bilateral Bladder Meridian lines.</w:t>
      </w:r>
    </w:p>
    <w:p w14:paraId="286DB346" w14:textId="77777777" w:rsidR="00984181" w:rsidRDefault="00984181">
      <w:pPr>
        <w:rPr>
          <w:color w:val="000000"/>
          <w:highlight w:val="yellow"/>
          <w:lang w:val="en-IN"/>
        </w:rPr>
      </w:pPr>
    </w:p>
    <w:p w14:paraId="5BC86A57"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Begin at Feishu (BL13).</w:t>
      </w:r>
    </w:p>
    <w:p w14:paraId="4C01AE6A"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32A47555"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 xml:space="preserve">Scrape downward from Feishu (BL13) to </w:t>
      </w:r>
      <w:proofErr w:type="spellStart"/>
      <w:r>
        <w:rPr>
          <w:rFonts w:ascii="Calibri" w:hAnsi="Calibri" w:cs="Calibri"/>
          <w:color w:val="000000"/>
          <w:sz w:val="24"/>
          <w:szCs w:val="24"/>
          <w:highlight w:val="yellow"/>
          <w:lang w:val="en-IN"/>
        </w:rPr>
        <w:t>Shenshu</w:t>
      </w:r>
      <w:proofErr w:type="spellEnd"/>
      <w:r>
        <w:rPr>
          <w:rFonts w:ascii="Calibri" w:hAnsi="Calibri" w:cs="Calibri"/>
          <w:color w:val="000000"/>
          <w:sz w:val="24"/>
          <w:szCs w:val="24"/>
          <w:highlight w:val="yellow"/>
          <w:lang w:val="en-IN"/>
        </w:rPr>
        <w:t xml:space="preserve"> (BL23).</w:t>
      </w:r>
    </w:p>
    <w:p w14:paraId="28A6CAF1"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6A35FCAB"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Apply the light scraping technique along the meridian.</w:t>
      </w:r>
    </w:p>
    <w:p w14:paraId="58631AEB"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342B0E34"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 xml:space="preserve">Switch to the moderate-pressure technique for 30 s at </w:t>
      </w:r>
      <w:proofErr w:type="spellStart"/>
      <w:r>
        <w:rPr>
          <w:rFonts w:ascii="Calibri" w:hAnsi="Calibri" w:cs="Calibri"/>
          <w:color w:val="000000"/>
          <w:sz w:val="24"/>
          <w:szCs w:val="24"/>
          <w:highlight w:val="yellow"/>
          <w:lang w:val="en-IN"/>
        </w:rPr>
        <w:t>Pishu</w:t>
      </w:r>
      <w:proofErr w:type="spellEnd"/>
      <w:r>
        <w:rPr>
          <w:rFonts w:ascii="Calibri" w:hAnsi="Calibri" w:cs="Calibri"/>
          <w:color w:val="000000"/>
          <w:sz w:val="24"/>
          <w:szCs w:val="24"/>
          <w:highlight w:val="yellow"/>
          <w:lang w:val="en-IN"/>
        </w:rPr>
        <w:t xml:space="preserve"> (BL20).</w:t>
      </w:r>
    </w:p>
    <w:p w14:paraId="38A29B3F"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72CCB1CF"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 xml:space="preserve">Switch to the moderate-pressure technique for 30 s at </w:t>
      </w:r>
      <w:proofErr w:type="spellStart"/>
      <w:r>
        <w:rPr>
          <w:rFonts w:ascii="Calibri" w:hAnsi="Calibri" w:cs="Calibri"/>
          <w:color w:val="000000"/>
          <w:sz w:val="24"/>
          <w:szCs w:val="24"/>
          <w:highlight w:val="yellow"/>
          <w:lang w:val="en-IN"/>
        </w:rPr>
        <w:t>Weishu</w:t>
      </w:r>
      <w:proofErr w:type="spellEnd"/>
      <w:r>
        <w:rPr>
          <w:rFonts w:ascii="Calibri" w:hAnsi="Calibri" w:cs="Calibri"/>
          <w:color w:val="000000"/>
          <w:sz w:val="24"/>
          <w:szCs w:val="24"/>
          <w:highlight w:val="yellow"/>
          <w:lang w:val="en-IN"/>
        </w:rPr>
        <w:t xml:space="preserve"> (BL21).</w:t>
      </w:r>
    </w:p>
    <w:p w14:paraId="414F6D13"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31CE58FF"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 xml:space="preserve">Switch to the moderate-pressure technique for 30 s at </w:t>
      </w:r>
      <w:proofErr w:type="spellStart"/>
      <w:r>
        <w:rPr>
          <w:rFonts w:ascii="Calibri" w:hAnsi="Calibri" w:cs="Calibri"/>
          <w:color w:val="000000"/>
          <w:sz w:val="24"/>
          <w:szCs w:val="24"/>
          <w:highlight w:val="yellow"/>
          <w:lang w:val="en-IN"/>
        </w:rPr>
        <w:t>Shenshu</w:t>
      </w:r>
      <w:proofErr w:type="spellEnd"/>
      <w:r>
        <w:rPr>
          <w:rFonts w:ascii="Calibri" w:hAnsi="Calibri" w:cs="Calibri"/>
          <w:color w:val="000000"/>
          <w:sz w:val="24"/>
          <w:szCs w:val="24"/>
          <w:highlight w:val="yellow"/>
          <w:lang w:val="en-IN"/>
        </w:rPr>
        <w:t xml:space="preserve"> (BL23).</w:t>
      </w:r>
    </w:p>
    <w:p w14:paraId="09E0E748" w14:textId="77777777" w:rsidR="00984181" w:rsidRDefault="00984181">
      <w:pPr>
        <w:pStyle w:val="ListParagraph"/>
        <w:spacing w:after="0" w:line="240" w:lineRule="auto"/>
        <w:ind w:left="0"/>
        <w:jc w:val="both"/>
        <w:rPr>
          <w:rFonts w:ascii="Calibri" w:hAnsi="Calibri" w:cs="Calibri"/>
          <w:color w:val="000000"/>
          <w:sz w:val="24"/>
          <w:szCs w:val="24"/>
          <w:highlight w:val="yellow"/>
          <w:lang w:val="en-IN"/>
        </w:rPr>
      </w:pPr>
    </w:p>
    <w:p w14:paraId="5438FFC8" w14:textId="77777777" w:rsidR="00984181" w:rsidRDefault="00000000">
      <w:pPr>
        <w:pStyle w:val="ListParagraph"/>
        <w:numPr>
          <w:ilvl w:val="1"/>
          <w:numId w:val="2"/>
        </w:numPr>
        <w:spacing w:after="0" w:line="240" w:lineRule="auto"/>
        <w:ind w:left="0" w:firstLine="0"/>
        <w:jc w:val="both"/>
        <w:rPr>
          <w:rFonts w:ascii="Calibri" w:hAnsi="Calibri" w:cs="Calibri"/>
          <w:color w:val="000000"/>
          <w:sz w:val="24"/>
          <w:szCs w:val="24"/>
          <w:highlight w:val="yellow"/>
          <w:lang w:val="en-IN"/>
        </w:rPr>
      </w:pPr>
      <w:r>
        <w:rPr>
          <w:rFonts w:ascii="Calibri" w:hAnsi="Calibri" w:cs="Calibri"/>
          <w:color w:val="000000"/>
          <w:sz w:val="24"/>
          <w:szCs w:val="24"/>
          <w:highlight w:val="yellow"/>
          <w:lang w:val="en-IN"/>
        </w:rPr>
        <w:t>Repeat the scraping sequence 10 times on each side of the spine.</w:t>
      </w:r>
    </w:p>
    <w:p w14:paraId="63DBAAED"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29B990FF"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Stop the procedure immediately if the patient experiences dizziness, palpitations, cold sweats, nausea, pallor, faintness, chest discomfort, shortness of breath, or any other concerning symptom.</w:t>
      </w:r>
    </w:p>
    <w:p w14:paraId="0B16C8C6" w14:textId="77777777" w:rsidR="00984181" w:rsidRPr="00DC566D" w:rsidRDefault="00984181">
      <w:pPr>
        <w:rPr>
          <w:color w:val="000000"/>
          <w:highlight w:val="cyan"/>
          <w:lang w:val="en-IN"/>
        </w:rPr>
      </w:pPr>
    </w:p>
    <w:p w14:paraId="4EFC4B58"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Place the patient in a supine position when an adverse reaction occurs.</w:t>
      </w:r>
    </w:p>
    <w:p w14:paraId="3FA5E2FD"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3FE35E76"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lastRenderedPageBreak/>
        <w:t>Assess airway, breathing, circulation, level of consciousness, and vital signs when an adverse reaction occurs.</w:t>
      </w:r>
    </w:p>
    <w:p w14:paraId="2142B073"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10ABB980"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Confirm that oral intake is safe before giving fluids</w:t>
      </w:r>
    </w:p>
    <w:p w14:paraId="6CCA7445"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26F814CE"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Administer 200 mL of warm water containing 10 g of glucose when the patient is conscious, able to swallow safely, and has no glucose-related contraindication.</w:t>
      </w:r>
    </w:p>
    <w:p w14:paraId="3B46B18A" w14:textId="77777777" w:rsidR="00984181" w:rsidRPr="00DC566D" w:rsidRDefault="00984181">
      <w:pPr>
        <w:rPr>
          <w:color w:val="000000"/>
          <w:highlight w:val="cyan"/>
          <w:lang w:val="en-IN"/>
        </w:rPr>
      </w:pPr>
    </w:p>
    <w:p w14:paraId="1642EA3F"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Activate institutional emergency procedures when symptoms persist, worsen, or indicate a medical emergency.</w:t>
      </w:r>
    </w:p>
    <w:p w14:paraId="55089D05"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10D449A2"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Continue scraping until uniform petechiae, or sha, appear at a density of 10–15 petechiae per cm², or until 10 strokes per segment are completed, whichever endpoint occurs first.</w:t>
      </w:r>
    </w:p>
    <w:p w14:paraId="52B6078C"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0400BADD"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Do not pursue excessive sha formation.</w:t>
      </w:r>
    </w:p>
    <w:p w14:paraId="3628B1EA"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4E254119"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Discontinue scraping once the defined endpoint is reached.</w:t>
      </w:r>
    </w:p>
    <w:p w14:paraId="3DAAB767" w14:textId="77777777" w:rsidR="00984181" w:rsidRPr="00DC566D" w:rsidRDefault="00984181">
      <w:pPr>
        <w:rPr>
          <w:color w:val="000000"/>
          <w:highlight w:val="cyan"/>
          <w:lang w:val="en-IN"/>
        </w:rPr>
      </w:pPr>
    </w:p>
    <w:p w14:paraId="063F3E2B"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Limit the total session duration to approximately 20 min.</w:t>
      </w:r>
    </w:p>
    <w:p w14:paraId="6DE68A60"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4340A22E"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Gently wipe residual oil from the skin with a soft cloth after completion.</w:t>
      </w:r>
    </w:p>
    <w:p w14:paraId="75820777" w14:textId="77777777" w:rsidR="00984181" w:rsidRPr="00DC566D" w:rsidRDefault="00984181">
      <w:pPr>
        <w:rPr>
          <w:color w:val="000000"/>
          <w:highlight w:val="cyan"/>
          <w:lang w:val="en-IN"/>
        </w:rPr>
      </w:pPr>
    </w:p>
    <w:p w14:paraId="219A9F25"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Inspect the treated skin for excessive irritation, bleeding, blistering, or other abnormal findings.</w:t>
      </w:r>
    </w:p>
    <w:p w14:paraId="62D37B3D"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10195398"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43D81F84"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Advise the patient to keep the scraped area warm.</w:t>
      </w:r>
    </w:p>
    <w:p w14:paraId="71A4D314"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553DD2F5"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Advise the patient to avoid wind exposure for 4–6 h.</w:t>
      </w:r>
    </w:p>
    <w:p w14:paraId="49B09E73" w14:textId="77777777" w:rsidR="00984181" w:rsidRPr="00DC566D" w:rsidRDefault="00984181">
      <w:pPr>
        <w:rPr>
          <w:color w:val="000000"/>
          <w:highlight w:val="cyan"/>
          <w:lang w:val="en-IN"/>
        </w:rPr>
      </w:pPr>
    </w:p>
    <w:p w14:paraId="3FD2F033" w14:textId="77777777" w:rsidR="00984181" w:rsidRPr="00DC566D" w:rsidRDefault="00000000">
      <w:pPr>
        <w:pStyle w:val="ListParagraph"/>
        <w:numPr>
          <w:ilvl w:val="1"/>
          <w:numId w:val="2"/>
        </w:numPr>
        <w:spacing w:after="0" w:line="240" w:lineRule="auto"/>
        <w:ind w:left="0" w:firstLine="0"/>
        <w:jc w:val="both"/>
        <w:rPr>
          <w:rFonts w:ascii="Calibri" w:hAnsi="Calibri" w:cs="Calibri"/>
          <w:color w:val="000000"/>
          <w:sz w:val="24"/>
          <w:szCs w:val="24"/>
          <w:highlight w:val="cyan"/>
          <w:lang w:val="en-IN"/>
        </w:rPr>
      </w:pPr>
      <w:r w:rsidRPr="00DC566D">
        <w:rPr>
          <w:rFonts w:ascii="Calibri" w:hAnsi="Calibri" w:cs="Calibri"/>
          <w:color w:val="000000"/>
          <w:sz w:val="24"/>
          <w:szCs w:val="24"/>
          <w:highlight w:val="cyan"/>
          <w:lang w:val="en-IN"/>
        </w:rPr>
        <w:t>Advise the patient to avoid cold-water exposure for 4–6 h.</w:t>
      </w:r>
    </w:p>
    <w:p w14:paraId="3FACAAC0" w14:textId="77777777" w:rsidR="00984181" w:rsidRPr="00DC566D" w:rsidRDefault="00984181">
      <w:pPr>
        <w:pStyle w:val="ListParagraph"/>
        <w:spacing w:after="0" w:line="240" w:lineRule="auto"/>
        <w:ind w:left="0"/>
        <w:jc w:val="both"/>
        <w:rPr>
          <w:rFonts w:ascii="Calibri" w:hAnsi="Calibri" w:cs="Calibri"/>
          <w:color w:val="000000"/>
          <w:sz w:val="24"/>
          <w:szCs w:val="24"/>
          <w:highlight w:val="cyan"/>
          <w:lang w:val="en-IN"/>
        </w:rPr>
      </w:pPr>
    </w:p>
    <w:p w14:paraId="1A559D49" w14:textId="77777777" w:rsidR="00984181" w:rsidRDefault="00000000">
      <w:pPr>
        <w:rPr>
          <w:color w:val="000000"/>
          <w:lang w:val="en-IN"/>
        </w:rPr>
      </w:pPr>
      <w:r w:rsidRPr="00DC566D">
        <w:rPr>
          <w:color w:val="000000"/>
          <w:highlight w:val="cyan"/>
          <w:lang w:val="en-IN"/>
        </w:rPr>
        <w:t>8.40. Document the treatment sites, scraping duration, patient response, pain score, sha appearance, adverse events, and post-treatment instructions.</w:t>
      </w:r>
    </w:p>
    <w:p w14:paraId="10CD1723" w14:textId="77777777" w:rsidR="00984181" w:rsidRDefault="00984181">
      <w:pPr>
        <w:rPr>
          <w:color w:val="000000"/>
          <w:lang w:val="en-IN"/>
        </w:rPr>
      </w:pPr>
    </w:p>
    <w:p w14:paraId="7C418B9B" w14:textId="77777777" w:rsidR="00984181" w:rsidRDefault="00000000">
      <w:pPr>
        <w:rPr>
          <w:b/>
          <w:bCs/>
          <w:color w:val="000000"/>
          <w:lang w:val="en-IN"/>
        </w:rPr>
      </w:pPr>
      <w:r>
        <w:rPr>
          <w:b/>
          <w:bCs/>
          <w:color w:val="000000"/>
          <w:lang w:val="en-IN"/>
        </w:rPr>
        <w:t>9. Adverse event management</w:t>
      </w:r>
    </w:p>
    <w:p w14:paraId="0D64B074" w14:textId="77777777" w:rsidR="00984181" w:rsidRDefault="00984181">
      <w:pPr>
        <w:rPr>
          <w:color w:val="000000"/>
          <w:lang w:val="en-IN"/>
        </w:rPr>
      </w:pPr>
    </w:p>
    <w:p w14:paraId="7995A534" w14:textId="77777777" w:rsidR="00984181" w:rsidRDefault="00000000">
      <w:pPr>
        <w:rPr>
          <w:color w:val="000000"/>
          <w:lang w:val="en-IN"/>
        </w:rPr>
      </w:pPr>
      <w:r>
        <w:rPr>
          <w:color w:val="000000"/>
          <w:lang w:val="en-IN"/>
        </w:rPr>
        <w:t>9.1. Stop the procedure immediately when dizziness, cold sweats, palpitations, nausea, pallor, faintness, or other adverse symptoms occur.</w:t>
      </w:r>
    </w:p>
    <w:p w14:paraId="38B96D16" w14:textId="77777777" w:rsidR="00984181" w:rsidRDefault="00984181">
      <w:pPr>
        <w:rPr>
          <w:color w:val="000000"/>
          <w:lang w:val="en-IN"/>
        </w:rPr>
      </w:pPr>
    </w:p>
    <w:p w14:paraId="7CEFAB4E" w14:textId="77777777" w:rsidR="00984181" w:rsidRDefault="00000000">
      <w:pPr>
        <w:rPr>
          <w:color w:val="000000"/>
          <w:lang w:val="en-IN"/>
        </w:rPr>
      </w:pPr>
      <w:r>
        <w:rPr>
          <w:color w:val="000000"/>
          <w:lang w:val="en-IN"/>
        </w:rPr>
        <w:t>9.2. Place the patient flat in a supine position.</w:t>
      </w:r>
    </w:p>
    <w:p w14:paraId="40352D34" w14:textId="77777777" w:rsidR="00984181" w:rsidRDefault="00984181">
      <w:pPr>
        <w:rPr>
          <w:color w:val="000000"/>
          <w:lang w:val="en-IN"/>
        </w:rPr>
      </w:pPr>
    </w:p>
    <w:p w14:paraId="118BD370" w14:textId="77777777" w:rsidR="00984181" w:rsidRDefault="00000000">
      <w:pPr>
        <w:rPr>
          <w:color w:val="000000"/>
          <w:lang w:val="en-IN"/>
        </w:rPr>
      </w:pPr>
      <w:r>
        <w:rPr>
          <w:color w:val="000000"/>
          <w:lang w:val="en-IN"/>
        </w:rPr>
        <w:t>9.3. Keep the patient warm.</w:t>
      </w:r>
    </w:p>
    <w:p w14:paraId="200CD0FD" w14:textId="77777777" w:rsidR="00984181" w:rsidRDefault="00984181">
      <w:pPr>
        <w:rPr>
          <w:color w:val="000000"/>
          <w:lang w:val="en-IN"/>
        </w:rPr>
      </w:pPr>
    </w:p>
    <w:p w14:paraId="3C3B2C28" w14:textId="77777777" w:rsidR="00984181" w:rsidRDefault="00000000">
      <w:pPr>
        <w:rPr>
          <w:color w:val="000000"/>
          <w:lang w:val="en-IN"/>
        </w:rPr>
      </w:pPr>
      <w:r>
        <w:rPr>
          <w:color w:val="000000"/>
          <w:lang w:val="en-IN"/>
        </w:rPr>
        <w:lastRenderedPageBreak/>
        <w:t>9.4. Assess airway, breathing, circulation, consciousness, and vital signs.</w:t>
      </w:r>
    </w:p>
    <w:p w14:paraId="5B96CAC0" w14:textId="77777777" w:rsidR="00984181" w:rsidRDefault="00984181">
      <w:pPr>
        <w:rPr>
          <w:color w:val="000000"/>
          <w:lang w:val="en-IN"/>
        </w:rPr>
      </w:pPr>
    </w:p>
    <w:p w14:paraId="4519C469" w14:textId="77777777" w:rsidR="00984181" w:rsidRDefault="00000000">
      <w:pPr>
        <w:rPr>
          <w:color w:val="000000"/>
          <w:lang w:val="en-IN"/>
        </w:rPr>
      </w:pPr>
      <w:r>
        <w:rPr>
          <w:color w:val="000000"/>
          <w:lang w:val="en-IN"/>
        </w:rPr>
        <w:t>9.5. Provide warm sugar water only after confirming that the patient is conscious, able to swallow safely, and has no contraindication to glucose intake.</w:t>
      </w:r>
    </w:p>
    <w:p w14:paraId="2FF50CBE" w14:textId="77777777" w:rsidR="00984181" w:rsidRDefault="00984181">
      <w:pPr>
        <w:rPr>
          <w:color w:val="000000"/>
          <w:lang w:val="en-IN"/>
        </w:rPr>
      </w:pPr>
    </w:p>
    <w:p w14:paraId="0890CDBC" w14:textId="77777777" w:rsidR="00984181" w:rsidRDefault="00000000">
      <w:pPr>
        <w:rPr>
          <w:color w:val="000000"/>
          <w:lang w:val="en-IN"/>
        </w:rPr>
      </w:pPr>
      <w:r>
        <w:rPr>
          <w:color w:val="000000"/>
          <w:lang w:val="en-IN"/>
        </w:rPr>
        <w:t>9.6. Reduce scraping pressure immediately when intensified localized pain occurs.</w:t>
      </w:r>
    </w:p>
    <w:p w14:paraId="1C458402" w14:textId="77777777" w:rsidR="00984181" w:rsidRDefault="00984181">
      <w:pPr>
        <w:rPr>
          <w:color w:val="000000"/>
          <w:lang w:val="en-IN"/>
        </w:rPr>
      </w:pPr>
    </w:p>
    <w:p w14:paraId="363153C1" w14:textId="77777777" w:rsidR="00984181" w:rsidRDefault="00000000">
      <w:pPr>
        <w:rPr>
          <w:color w:val="000000"/>
          <w:lang w:val="en-IN"/>
        </w:rPr>
      </w:pPr>
      <w:r>
        <w:rPr>
          <w:color w:val="000000"/>
          <w:lang w:val="en-IN"/>
        </w:rPr>
        <w:t>9.7. Ask the patient to describe the location, intensity, and quality of pain.</w:t>
      </w:r>
    </w:p>
    <w:p w14:paraId="1F1A231D" w14:textId="77777777" w:rsidR="00984181" w:rsidRDefault="00984181">
      <w:pPr>
        <w:rPr>
          <w:color w:val="000000"/>
          <w:lang w:val="en-IN"/>
        </w:rPr>
      </w:pPr>
    </w:p>
    <w:p w14:paraId="1D66DE45" w14:textId="77777777" w:rsidR="00984181" w:rsidRDefault="00000000">
      <w:pPr>
        <w:rPr>
          <w:color w:val="000000"/>
          <w:lang w:val="en-IN"/>
        </w:rPr>
      </w:pPr>
      <w:r>
        <w:rPr>
          <w:color w:val="000000"/>
          <w:lang w:val="en-IN"/>
        </w:rPr>
        <w:t>9.8. Cease the procedure when pain worsens, persists, or indicates tissue injury.</w:t>
      </w:r>
    </w:p>
    <w:p w14:paraId="3E57932E" w14:textId="77777777" w:rsidR="00984181" w:rsidRDefault="00984181">
      <w:pPr>
        <w:rPr>
          <w:color w:val="000000"/>
          <w:lang w:val="en-IN"/>
        </w:rPr>
      </w:pPr>
    </w:p>
    <w:p w14:paraId="0E69B7AA" w14:textId="77777777" w:rsidR="00984181" w:rsidRDefault="00000000">
      <w:pPr>
        <w:rPr>
          <w:color w:val="000000"/>
          <w:lang w:val="en-IN"/>
        </w:rPr>
      </w:pPr>
      <w:r>
        <w:rPr>
          <w:color w:val="000000"/>
          <w:lang w:val="en-IN"/>
        </w:rPr>
        <w:t>9.9. Inspect the treated skin when localized pain intensifies.</w:t>
      </w:r>
    </w:p>
    <w:p w14:paraId="52EF4AA9" w14:textId="77777777" w:rsidR="00984181" w:rsidRDefault="00984181">
      <w:pPr>
        <w:rPr>
          <w:color w:val="000000"/>
          <w:lang w:val="en-IN"/>
        </w:rPr>
      </w:pPr>
    </w:p>
    <w:p w14:paraId="08B7A9E3" w14:textId="77777777" w:rsidR="00984181" w:rsidRDefault="00000000">
      <w:pPr>
        <w:rPr>
          <w:color w:val="000000"/>
          <w:lang w:val="en-IN"/>
        </w:rPr>
      </w:pPr>
      <w:r>
        <w:rPr>
          <w:color w:val="000000"/>
          <w:lang w:val="en-IN"/>
        </w:rPr>
        <w:t>9.10. Provide appropriate clinical care according to institutional procedures when skin injury, excessive bruising, bleeding, blistering, syncope, allergic reaction, or other adverse findings occur.</w:t>
      </w:r>
    </w:p>
    <w:p w14:paraId="64ADDAE7" w14:textId="77777777" w:rsidR="00984181" w:rsidRDefault="00984181">
      <w:pPr>
        <w:rPr>
          <w:color w:val="000000"/>
          <w:lang w:val="en-IN"/>
        </w:rPr>
      </w:pPr>
    </w:p>
    <w:p w14:paraId="08FD14A1" w14:textId="77777777" w:rsidR="00984181" w:rsidRDefault="00000000">
      <w:pPr>
        <w:rPr>
          <w:color w:val="000000"/>
          <w:lang w:val="en-IN"/>
        </w:rPr>
      </w:pPr>
      <w:r>
        <w:rPr>
          <w:color w:val="000000"/>
          <w:lang w:val="en-IN"/>
        </w:rPr>
        <w:t>9.11. Report and document all adverse events in accordance with the study protocol and institutional requirements.</w:t>
      </w:r>
    </w:p>
    <w:p w14:paraId="1BDE4D17" w14:textId="77777777" w:rsidR="00984181" w:rsidRDefault="00984181">
      <w:pPr>
        <w:rPr>
          <w:color w:val="000000"/>
          <w:lang w:val="en-IN"/>
        </w:rPr>
      </w:pPr>
    </w:p>
    <w:p w14:paraId="3F35493C" w14:textId="77777777" w:rsidR="00984181" w:rsidRDefault="00000000">
      <w:pPr>
        <w:pStyle w:val="ListParagraph"/>
        <w:numPr>
          <w:ilvl w:val="0"/>
          <w:numId w:val="3"/>
        </w:numPr>
        <w:spacing w:after="0" w:line="240" w:lineRule="auto"/>
        <w:ind w:left="0" w:firstLine="0"/>
        <w:jc w:val="both"/>
        <w:rPr>
          <w:rFonts w:ascii="Calibri" w:hAnsi="Calibri" w:cs="Calibri"/>
          <w:b/>
          <w:bCs/>
          <w:color w:val="000000"/>
          <w:sz w:val="24"/>
          <w:szCs w:val="24"/>
          <w:lang w:val="en-IN"/>
        </w:rPr>
      </w:pPr>
      <w:r>
        <w:rPr>
          <w:rFonts w:ascii="Calibri" w:hAnsi="Calibri" w:cs="Calibri"/>
          <w:b/>
          <w:bCs/>
          <w:color w:val="000000"/>
          <w:sz w:val="24"/>
          <w:szCs w:val="24"/>
          <w:lang w:val="en-IN"/>
        </w:rPr>
        <w:t>Efficacy observation</w:t>
      </w:r>
    </w:p>
    <w:p w14:paraId="5F7FE7DB" w14:textId="77777777" w:rsidR="00984181" w:rsidRDefault="00984181">
      <w:pPr>
        <w:rPr>
          <w:color w:val="000000"/>
          <w:lang w:val="en-IN"/>
        </w:rPr>
      </w:pPr>
    </w:p>
    <w:p w14:paraId="7A474DF2"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Administer the Fatigue Severity Scale as the primary outcome measure</w:t>
      </w:r>
      <w:r>
        <w:rPr>
          <w:rFonts w:ascii="Calibri" w:hAnsi="Calibri" w:cs="Calibri"/>
          <w:color w:val="000000"/>
          <w:sz w:val="24"/>
          <w:szCs w:val="24"/>
          <w:vertAlign w:val="superscript"/>
          <w:lang w:val="en-IN"/>
        </w:rPr>
        <w:fldChar w:fldCharType="begin"/>
      </w:r>
      <w:r>
        <w:instrText xml:space="preserve"> REF _Ref9941 \r \h  \* MERGEFORMAT</w:instrText>
      </w:r>
      <w:r>
        <w:rPr>
          <w:rFonts w:ascii="Calibri" w:hAnsi="Calibri" w:cs="Calibri"/>
          <w:color w:val="000000"/>
          <w:sz w:val="24"/>
          <w:szCs w:val="24"/>
          <w:vertAlign w:val="superscript"/>
          <w:lang w:val="en-IN"/>
        </w:rPr>
      </w:r>
      <w:r>
        <w:rPr>
          <w:rFonts w:ascii="Calibri" w:hAnsi="Calibri" w:cs="Calibri"/>
          <w:color w:val="000000"/>
          <w:sz w:val="24"/>
          <w:szCs w:val="24"/>
          <w:vertAlign w:val="superscript"/>
          <w:lang w:val="en-IN"/>
        </w:rPr>
        <w:fldChar w:fldCharType="separate"/>
      </w:r>
      <w:r>
        <w:rPr>
          <w:rFonts w:ascii="Calibri" w:hAnsi="Calibri" w:cs="Calibri"/>
          <w:color w:val="000000"/>
          <w:sz w:val="24"/>
          <w:szCs w:val="24"/>
          <w:vertAlign w:val="superscript"/>
          <w:lang w:val="en-IN"/>
        </w:rPr>
        <w:t>8</w:t>
      </w:r>
      <w:r>
        <w:rPr>
          <w:rFonts w:ascii="Calibri" w:hAnsi="Calibri" w:cs="Calibri"/>
          <w:color w:val="000000"/>
          <w:sz w:val="24"/>
          <w:szCs w:val="24"/>
          <w:vertAlign w:val="superscript"/>
          <w:lang w:val="en-IN"/>
        </w:rPr>
        <w:fldChar w:fldCharType="end"/>
      </w:r>
      <w:r>
        <w:rPr>
          <w:rFonts w:ascii="Calibri" w:hAnsi="Calibri" w:cs="Calibri"/>
          <w:color w:val="000000"/>
          <w:sz w:val="24"/>
          <w:szCs w:val="24"/>
          <w:lang w:val="en-IN"/>
        </w:rPr>
        <w:t>.</w:t>
      </w:r>
    </w:p>
    <w:p w14:paraId="5E58C928"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1C86443D"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Ask patients to rate fatigue over the past 1–2 weeks.</w:t>
      </w:r>
    </w:p>
    <w:p w14:paraId="2E78AE85"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65F48D6F"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Present all 9 Fatigue Severity Scale items to the patient.</w:t>
      </w:r>
    </w:p>
    <w:p w14:paraId="4A3A746D"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71E2BAC8"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Instruct the patient to select one of 7 graded options for each item.</w:t>
      </w:r>
    </w:p>
    <w:p w14:paraId="1129C387" w14:textId="77777777" w:rsidR="00984181" w:rsidRDefault="00984181">
      <w:pPr>
        <w:rPr>
          <w:color w:val="000000"/>
          <w:lang w:val="en-IN"/>
        </w:rPr>
      </w:pPr>
    </w:p>
    <w:p w14:paraId="2224743B"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Assign 1 point to “does not affect at all.”</w:t>
      </w:r>
    </w:p>
    <w:p w14:paraId="1B37D2C6"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6B8BD2B9"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Assign 7 points to “severely affects.”</w:t>
      </w:r>
    </w:p>
    <w:p w14:paraId="7DAA75A4"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6E1FF47F"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Increase scores sequentially by 1 point across the response options.</w:t>
      </w:r>
    </w:p>
    <w:p w14:paraId="3A2D9A3D"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5AF39E8D"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Sum the scores from all 9 items to obtain the total Fatigue Severity Scale score.</w:t>
      </w:r>
    </w:p>
    <w:p w14:paraId="085E1AC7"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4F166F26"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Interpret a higher Fatigue Severity Scale score as more severe fatigue.</w:t>
      </w:r>
    </w:p>
    <w:p w14:paraId="349F8C46"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2AB2DC2C"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Administer the TCM Syndrome Score as a secondary outcome measure</w:t>
      </w:r>
      <w:r>
        <w:rPr>
          <w:rFonts w:ascii="Calibri" w:hAnsi="Calibri" w:cs="Calibri"/>
          <w:color w:val="000000"/>
          <w:sz w:val="24"/>
          <w:szCs w:val="24"/>
          <w:vertAlign w:val="superscript"/>
          <w:lang w:val="en-IN"/>
        </w:rPr>
        <w:fldChar w:fldCharType="begin"/>
      </w:r>
      <w:r>
        <w:instrText xml:space="preserve"> REF _Ref10242 \r \h  \* MERGEFORMAT</w:instrText>
      </w:r>
      <w:r>
        <w:rPr>
          <w:rFonts w:ascii="Calibri" w:hAnsi="Calibri" w:cs="Calibri"/>
          <w:color w:val="000000"/>
          <w:sz w:val="24"/>
          <w:szCs w:val="24"/>
          <w:vertAlign w:val="superscript"/>
          <w:lang w:val="en-IN"/>
        </w:rPr>
      </w:r>
      <w:r>
        <w:rPr>
          <w:rFonts w:ascii="Calibri" w:hAnsi="Calibri" w:cs="Calibri"/>
          <w:color w:val="000000"/>
          <w:sz w:val="24"/>
          <w:szCs w:val="24"/>
          <w:vertAlign w:val="superscript"/>
          <w:lang w:val="en-IN"/>
        </w:rPr>
        <w:fldChar w:fldCharType="separate"/>
      </w:r>
      <w:r>
        <w:rPr>
          <w:rFonts w:ascii="Calibri" w:hAnsi="Calibri" w:cs="Calibri"/>
          <w:color w:val="000000"/>
          <w:sz w:val="24"/>
          <w:szCs w:val="24"/>
          <w:vertAlign w:val="superscript"/>
          <w:lang w:val="en-IN"/>
        </w:rPr>
        <w:t>9</w:t>
      </w:r>
      <w:r>
        <w:rPr>
          <w:rFonts w:ascii="Calibri" w:hAnsi="Calibri" w:cs="Calibri"/>
          <w:color w:val="000000"/>
          <w:sz w:val="24"/>
          <w:szCs w:val="24"/>
          <w:vertAlign w:val="superscript"/>
          <w:lang w:val="en-IN"/>
        </w:rPr>
        <w:fldChar w:fldCharType="end"/>
      </w:r>
      <w:r>
        <w:rPr>
          <w:rFonts w:ascii="Calibri" w:hAnsi="Calibri" w:cs="Calibri"/>
          <w:color w:val="000000"/>
          <w:sz w:val="24"/>
          <w:szCs w:val="24"/>
          <w:lang w:val="en-IN"/>
        </w:rPr>
        <w:t>.</w:t>
      </w:r>
    </w:p>
    <w:p w14:paraId="5C5A9A21"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66643FB9"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Quantify symptoms including bodily heaviness, joint soreness, tongue coating, and sublingual collateral vessel findings.</w:t>
      </w:r>
    </w:p>
    <w:p w14:paraId="0CA0C110"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09AC8709"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Score the 3 TCM Syndrome Score items according to the patient’s subjective symptoms and objective tongue and pulse signs.</w:t>
      </w:r>
    </w:p>
    <w:p w14:paraId="34FEF009"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3AC52622" w14:textId="77777777" w:rsidR="00984181" w:rsidRDefault="00000000">
      <w:pPr>
        <w:rPr>
          <w:color w:val="000000"/>
          <w:lang w:val="en-IN"/>
        </w:rPr>
      </w:pPr>
      <w:r>
        <w:rPr>
          <w:color w:val="000000"/>
          <w:lang w:val="en-IN"/>
        </w:rPr>
        <w:t>10.13. Instruct the evaluator to select one of 4 graded options for each item.</w:t>
      </w:r>
    </w:p>
    <w:p w14:paraId="20A82F96" w14:textId="77777777" w:rsidR="00984181" w:rsidRDefault="00984181">
      <w:pPr>
        <w:rPr>
          <w:color w:val="000000"/>
          <w:lang w:val="en-IN"/>
        </w:rPr>
      </w:pPr>
    </w:p>
    <w:p w14:paraId="3854B33B" w14:textId="77777777" w:rsidR="00984181" w:rsidRDefault="00000000">
      <w:pPr>
        <w:rPr>
          <w:color w:val="000000"/>
          <w:lang w:val="en-IN"/>
        </w:rPr>
      </w:pPr>
      <w:r>
        <w:rPr>
          <w:color w:val="000000"/>
          <w:lang w:val="en-IN"/>
        </w:rPr>
        <w:t>10.14. Assign 0 points to the absence of the symptom, absence of greasy coating, or absence of tortuous sublingual collaterals.</w:t>
      </w:r>
    </w:p>
    <w:p w14:paraId="036A74EC" w14:textId="77777777" w:rsidR="00984181" w:rsidRDefault="00984181">
      <w:pPr>
        <w:rPr>
          <w:color w:val="000000"/>
          <w:lang w:val="en-IN"/>
        </w:rPr>
      </w:pPr>
    </w:p>
    <w:p w14:paraId="246C9FD9" w14:textId="77777777" w:rsidR="00984181" w:rsidRDefault="00000000">
      <w:pPr>
        <w:rPr>
          <w:color w:val="000000"/>
          <w:lang w:val="en-IN"/>
        </w:rPr>
      </w:pPr>
      <w:r>
        <w:rPr>
          <w:color w:val="000000"/>
          <w:lang w:val="en-IN"/>
        </w:rPr>
        <w:t>10.15. Assign 3 points to severe symptoms, thick coating, or clustered black sublingual collaterals.</w:t>
      </w:r>
    </w:p>
    <w:p w14:paraId="7F600509" w14:textId="77777777" w:rsidR="00984181" w:rsidRDefault="00984181">
      <w:pPr>
        <w:rPr>
          <w:color w:val="000000"/>
          <w:lang w:val="en-IN"/>
        </w:rPr>
      </w:pPr>
    </w:p>
    <w:p w14:paraId="763D1142" w14:textId="77777777" w:rsidR="00984181" w:rsidRDefault="00000000">
      <w:pPr>
        <w:rPr>
          <w:color w:val="000000"/>
          <w:lang w:val="en-IN"/>
        </w:rPr>
      </w:pPr>
      <w:r>
        <w:rPr>
          <w:color w:val="000000"/>
          <w:lang w:val="en-IN"/>
        </w:rPr>
        <w:t>10.16. Increase scores by 1 point for each response option.</w:t>
      </w:r>
    </w:p>
    <w:p w14:paraId="02E1C899" w14:textId="77777777" w:rsidR="00984181" w:rsidRDefault="00984181">
      <w:pPr>
        <w:rPr>
          <w:color w:val="000000"/>
          <w:lang w:val="en-IN"/>
        </w:rPr>
      </w:pPr>
    </w:p>
    <w:p w14:paraId="1FCC117B" w14:textId="77777777" w:rsidR="00984181" w:rsidRDefault="00000000">
      <w:pPr>
        <w:rPr>
          <w:color w:val="000000"/>
          <w:lang w:val="en-IN"/>
        </w:rPr>
      </w:pPr>
      <w:r>
        <w:rPr>
          <w:color w:val="000000"/>
          <w:lang w:val="en-IN"/>
        </w:rPr>
        <w:t>10.17. Interpret a higher TCM Syndrome Score as more pronounced phlegm-dampness and blood stasis syndrome.</w:t>
      </w:r>
    </w:p>
    <w:p w14:paraId="12740304" w14:textId="77777777" w:rsidR="00984181" w:rsidRDefault="00984181">
      <w:pPr>
        <w:rPr>
          <w:color w:val="000000"/>
          <w:lang w:val="en-IN"/>
        </w:rPr>
      </w:pPr>
    </w:p>
    <w:p w14:paraId="72C762F0" w14:textId="77777777" w:rsidR="00984181" w:rsidRDefault="00000000">
      <w:pPr>
        <w:rPr>
          <w:color w:val="000000"/>
          <w:lang w:val="en-IN"/>
        </w:rPr>
      </w:pPr>
      <w:r>
        <w:rPr>
          <w:color w:val="000000"/>
          <w:lang w:val="en-IN"/>
        </w:rPr>
        <w:t>10.18. Administer the SF-36 Health Survey as a secondary outcome measure</w:t>
      </w:r>
      <w:r>
        <w:rPr>
          <w:color w:val="000000"/>
          <w:vertAlign w:val="superscript"/>
          <w:lang w:val="en-IN"/>
        </w:rPr>
        <w:fldChar w:fldCharType="begin"/>
      </w:r>
      <w:r>
        <w:instrText xml:space="preserve"> REF _Ref10653 \r \h  \* MERGEFORMAT</w:instrText>
      </w:r>
      <w:r>
        <w:rPr>
          <w:color w:val="000000"/>
          <w:vertAlign w:val="superscript"/>
          <w:lang w:val="en-IN"/>
        </w:rPr>
      </w:r>
      <w:r>
        <w:rPr>
          <w:color w:val="000000"/>
          <w:vertAlign w:val="superscript"/>
          <w:lang w:val="en-IN"/>
        </w:rPr>
        <w:fldChar w:fldCharType="separate"/>
      </w:r>
      <w:r>
        <w:rPr>
          <w:color w:val="000000"/>
          <w:vertAlign w:val="superscript"/>
          <w:lang w:val="en-IN"/>
        </w:rPr>
        <w:t>10</w:t>
      </w:r>
      <w:r>
        <w:rPr>
          <w:color w:val="000000"/>
          <w:vertAlign w:val="superscript"/>
          <w:lang w:val="en-IN"/>
        </w:rPr>
        <w:fldChar w:fldCharType="end"/>
      </w:r>
      <w:r>
        <w:rPr>
          <w:rFonts w:eastAsia="SimSun" w:hint="eastAsia"/>
          <w:color w:val="000000"/>
          <w:vertAlign w:val="superscript"/>
          <w:lang w:eastAsia="zh-CN"/>
        </w:rPr>
        <w:t>,</w:t>
      </w:r>
      <w:r>
        <w:rPr>
          <w:color w:val="000000"/>
          <w:vertAlign w:val="superscript"/>
          <w:lang w:val="en-IN"/>
        </w:rPr>
        <w:fldChar w:fldCharType="begin"/>
      </w:r>
      <w:r>
        <w:instrText xml:space="preserve"> REF _Ref10660 \r \h  \* MERGEFORMAT</w:instrText>
      </w:r>
      <w:r>
        <w:rPr>
          <w:color w:val="000000"/>
          <w:vertAlign w:val="superscript"/>
          <w:lang w:val="en-IN"/>
        </w:rPr>
      </w:r>
      <w:r>
        <w:rPr>
          <w:color w:val="000000"/>
          <w:vertAlign w:val="superscript"/>
          <w:lang w:val="en-IN"/>
        </w:rPr>
        <w:fldChar w:fldCharType="separate"/>
      </w:r>
      <w:r>
        <w:rPr>
          <w:color w:val="000000"/>
          <w:vertAlign w:val="superscript"/>
          <w:lang w:val="en-IN"/>
        </w:rPr>
        <w:t>11</w:t>
      </w:r>
      <w:r>
        <w:rPr>
          <w:color w:val="000000"/>
          <w:vertAlign w:val="superscript"/>
          <w:lang w:val="en-IN"/>
        </w:rPr>
        <w:fldChar w:fldCharType="end"/>
      </w:r>
      <w:r>
        <w:rPr>
          <w:color w:val="000000"/>
          <w:lang w:val="en-IN"/>
        </w:rPr>
        <w:t>.</w:t>
      </w:r>
    </w:p>
    <w:p w14:paraId="6E93D00E" w14:textId="77777777" w:rsidR="00984181" w:rsidRDefault="00984181">
      <w:pPr>
        <w:rPr>
          <w:color w:val="000000"/>
          <w:lang w:val="en-IN"/>
        </w:rPr>
      </w:pPr>
    </w:p>
    <w:p w14:paraId="662B876C" w14:textId="77777777" w:rsidR="00984181" w:rsidRDefault="00000000">
      <w:pPr>
        <w:rPr>
          <w:color w:val="000000"/>
          <w:lang w:val="en-IN"/>
        </w:rPr>
      </w:pPr>
      <w:r>
        <w:rPr>
          <w:color w:val="000000"/>
          <w:lang w:val="en-IN"/>
        </w:rPr>
        <w:t>10.19. Present all 36 SF-36 items to the patient.</w:t>
      </w:r>
    </w:p>
    <w:p w14:paraId="6C6E5A06" w14:textId="77777777" w:rsidR="00984181" w:rsidRDefault="00984181">
      <w:pPr>
        <w:rPr>
          <w:color w:val="000000"/>
          <w:lang w:val="en-IN"/>
        </w:rPr>
      </w:pPr>
    </w:p>
    <w:p w14:paraId="2EF72C5A" w14:textId="77777777" w:rsidR="00984181" w:rsidRDefault="00000000">
      <w:pPr>
        <w:rPr>
          <w:color w:val="000000"/>
          <w:lang w:val="en-IN"/>
        </w:rPr>
      </w:pPr>
      <w:r>
        <w:rPr>
          <w:color w:val="000000"/>
          <w:lang w:val="en-IN"/>
        </w:rPr>
        <w:t>10.20. Ask the patient to answer each item according to life status over the past 1–2 weeks.</w:t>
      </w:r>
    </w:p>
    <w:p w14:paraId="092F31C8" w14:textId="77777777" w:rsidR="00984181" w:rsidRDefault="00984181">
      <w:pPr>
        <w:rPr>
          <w:color w:val="000000"/>
          <w:lang w:val="en-IN"/>
        </w:rPr>
      </w:pPr>
    </w:p>
    <w:p w14:paraId="5B6D44AC" w14:textId="77777777" w:rsidR="00984181" w:rsidRDefault="00000000">
      <w:pPr>
        <w:rPr>
          <w:color w:val="000000"/>
          <w:lang w:val="en-IN"/>
        </w:rPr>
      </w:pPr>
      <w:r>
        <w:rPr>
          <w:color w:val="000000"/>
          <w:lang w:val="en-IN"/>
        </w:rPr>
        <w:t>10.21. Score all SF-36 items in a positive direction according to the survey manual.</w:t>
      </w:r>
    </w:p>
    <w:p w14:paraId="640079AA" w14:textId="77777777" w:rsidR="00984181" w:rsidRDefault="00984181">
      <w:pPr>
        <w:rPr>
          <w:color w:val="000000"/>
          <w:lang w:val="en-IN"/>
        </w:rPr>
      </w:pPr>
    </w:p>
    <w:p w14:paraId="09F05B5F" w14:textId="77777777" w:rsidR="00984181" w:rsidRDefault="00000000">
      <w:pPr>
        <w:rPr>
          <w:color w:val="000000"/>
          <w:lang w:val="en-IN"/>
        </w:rPr>
      </w:pPr>
      <w:r>
        <w:rPr>
          <w:color w:val="000000"/>
          <w:lang w:val="en-IN"/>
        </w:rPr>
        <w:t>10.22. Calculate the score for each of the 8 core domains according to the survey manual algorithm.</w:t>
      </w:r>
    </w:p>
    <w:p w14:paraId="4E563997" w14:textId="77777777" w:rsidR="00984181" w:rsidRDefault="00984181">
      <w:pPr>
        <w:rPr>
          <w:color w:val="000000"/>
          <w:lang w:val="en-IN"/>
        </w:rPr>
      </w:pPr>
    </w:p>
    <w:p w14:paraId="64EDF9AA" w14:textId="77777777" w:rsidR="00984181" w:rsidRDefault="00000000">
      <w:pPr>
        <w:rPr>
          <w:color w:val="000000"/>
          <w:lang w:val="en-IN"/>
        </w:rPr>
      </w:pPr>
      <w:r>
        <w:rPr>
          <w:color w:val="000000"/>
          <w:lang w:val="en-IN"/>
        </w:rPr>
        <w:t>10.23. Interpret a higher SF-36 domain score as better health status in the corresponding domain.</w:t>
      </w:r>
    </w:p>
    <w:p w14:paraId="66F46E7F" w14:textId="77777777" w:rsidR="00984181" w:rsidRDefault="00984181">
      <w:pPr>
        <w:rPr>
          <w:color w:val="000000"/>
          <w:lang w:val="en-IN"/>
        </w:rPr>
      </w:pPr>
    </w:p>
    <w:p w14:paraId="188FEAC4" w14:textId="77777777" w:rsidR="00984181" w:rsidRDefault="00000000">
      <w:pPr>
        <w:rPr>
          <w:color w:val="000000"/>
          <w:lang w:val="en-IN"/>
        </w:rPr>
      </w:pPr>
      <w:r>
        <w:rPr>
          <w:color w:val="000000"/>
          <w:lang w:val="en-IN"/>
        </w:rPr>
        <w:t>10.24. Evaluate overall efficacy according to the efficacy criteria for chronic fatigue syndrome described in the reference</w:t>
      </w:r>
      <w:r>
        <w:rPr>
          <w:color w:val="000000"/>
          <w:vertAlign w:val="superscript"/>
          <w:lang w:val="en-IN"/>
        </w:rPr>
        <w:fldChar w:fldCharType="begin"/>
      </w:r>
      <w:r>
        <w:instrText xml:space="preserve"> REF _Ref26895 \r \h  \* MERGEFORMAT</w:instrText>
      </w:r>
      <w:r>
        <w:rPr>
          <w:color w:val="000000"/>
          <w:vertAlign w:val="superscript"/>
          <w:lang w:val="en-IN"/>
        </w:rPr>
      </w:r>
      <w:r>
        <w:rPr>
          <w:color w:val="000000"/>
          <w:vertAlign w:val="superscript"/>
          <w:lang w:val="en-IN"/>
        </w:rPr>
        <w:fldChar w:fldCharType="separate"/>
      </w:r>
      <w:r>
        <w:rPr>
          <w:color w:val="000000"/>
          <w:vertAlign w:val="superscript"/>
          <w:lang w:val="en-IN"/>
        </w:rPr>
        <w:t>12</w:t>
      </w:r>
      <w:r>
        <w:rPr>
          <w:color w:val="000000"/>
          <w:vertAlign w:val="superscript"/>
          <w:lang w:val="en-IN"/>
        </w:rPr>
        <w:fldChar w:fldCharType="end"/>
      </w:r>
      <w:r>
        <w:rPr>
          <w:color w:val="000000"/>
          <w:lang w:val="en-IN"/>
        </w:rPr>
        <w:t>.</w:t>
      </w:r>
    </w:p>
    <w:p w14:paraId="349EA4D0" w14:textId="77777777" w:rsidR="00984181" w:rsidRDefault="00984181">
      <w:pPr>
        <w:rPr>
          <w:color w:val="000000"/>
          <w:lang w:val="en-IN"/>
        </w:rPr>
      </w:pPr>
    </w:p>
    <w:p w14:paraId="642E2C48" w14:textId="77777777" w:rsidR="00984181" w:rsidRDefault="00000000">
      <w:pPr>
        <w:rPr>
          <w:color w:val="000000"/>
          <w:lang w:val="en-IN"/>
        </w:rPr>
      </w:pPr>
      <w:r>
        <w:rPr>
          <w:color w:val="000000"/>
          <w:lang w:val="en-IN"/>
        </w:rPr>
        <w:t>10.25. Classify the outcome as clinical recovery when primary and secondary clinical symptoms disappear completely, the TCM syndrome score reaches 0, and the SF-36 score reaches the maximum.</w:t>
      </w:r>
    </w:p>
    <w:p w14:paraId="1383690C" w14:textId="77777777" w:rsidR="00984181" w:rsidRDefault="00984181">
      <w:pPr>
        <w:rPr>
          <w:color w:val="000000"/>
          <w:lang w:val="en-IN"/>
        </w:rPr>
      </w:pPr>
    </w:p>
    <w:p w14:paraId="5A65A025" w14:textId="77777777" w:rsidR="00984181" w:rsidRDefault="00000000">
      <w:pPr>
        <w:rPr>
          <w:color w:val="000000"/>
          <w:lang w:val="en-IN"/>
        </w:rPr>
      </w:pPr>
      <w:r>
        <w:rPr>
          <w:color w:val="000000"/>
          <w:lang w:val="en-IN"/>
        </w:rPr>
        <w:t>Note: Verify the intended Fatigue Severity Scale threshold for clinical recovery before final use, because the source text lists an FSS value of 0 while the scoring instructions define each FSS item as 1–7 points.</w:t>
      </w:r>
    </w:p>
    <w:p w14:paraId="7D14EEC2" w14:textId="77777777" w:rsidR="00984181" w:rsidRDefault="00984181">
      <w:pPr>
        <w:rPr>
          <w:color w:val="000000"/>
          <w:lang w:val="en-IN"/>
        </w:rPr>
      </w:pPr>
    </w:p>
    <w:p w14:paraId="07BD8B0E" w14:textId="77777777" w:rsidR="00984181" w:rsidRDefault="00000000">
      <w:pPr>
        <w:rPr>
          <w:color w:val="000000"/>
          <w:lang w:val="en-IN"/>
        </w:rPr>
      </w:pPr>
      <w:r>
        <w:rPr>
          <w:color w:val="000000"/>
          <w:lang w:val="en-IN"/>
        </w:rPr>
        <w:t>10.26. Classify the outcome as markedly effective when most primary and secondary clinical symptoms disappear and the Fatigue Severity Scale, TCM Syndrome Score, and SF-36 scores show marked improvement.</w:t>
      </w:r>
    </w:p>
    <w:p w14:paraId="0E3F830C" w14:textId="77777777" w:rsidR="00984181" w:rsidRDefault="00984181">
      <w:pPr>
        <w:rPr>
          <w:color w:val="000000"/>
          <w:lang w:val="en-IN"/>
        </w:rPr>
      </w:pPr>
    </w:p>
    <w:p w14:paraId="0D8C42E0" w14:textId="77777777" w:rsidR="00984181" w:rsidRDefault="00000000">
      <w:pPr>
        <w:rPr>
          <w:color w:val="000000"/>
          <w:lang w:val="en-IN"/>
        </w:rPr>
      </w:pPr>
      <w:r>
        <w:rPr>
          <w:color w:val="000000"/>
          <w:lang w:val="en-IN"/>
        </w:rPr>
        <w:lastRenderedPageBreak/>
        <w:t>10.27. Classify the outcome as effective when a portion of primary and secondary clinical symptoms disappear and the Fatigue Severity Scale, TCM Syndrome Score, and SF-36 scores show partial improvement.</w:t>
      </w:r>
    </w:p>
    <w:p w14:paraId="107EA506" w14:textId="77777777" w:rsidR="00984181" w:rsidRDefault="00984181">
      <w:pPr>
        <w:rPr>
          <w:color w:val="000000"/>
          <w:lang w:val="en-IN"/>
        </w:rPr>
      </w:pPr>
    </w:p>
    <w:p w14:paraId="58EE33FC" w14:textId="77777777" w:rsidR="00984181" w:rsidRDefault="00000000">
      <w:pPr>
        <w:rPr>
          <w:color w:val="000000"/>
          <w:lang w:val="en-IN"/>
        </w:rPr>
      </w:pPr>
      <w:r>
        <w:rPr>
          <w:color w:val="000000"/>
          <w:lang w:val="en-IN"/>
        </w:rPr>
        <w:t>10.28. Classify the outcome as ineffective when primary and secondary clinical symptoms do not disappear and the Fatigue Severity Scale, TCM Syndrome Score, and SF-36 scores show no improvement.</w:t>
      </w:r>
    </w:p>
    <w:p w14:paraId="454D359F" w14:textId="77777777" w:rsidR="00984181" w:rsidRDefault="00984181">
      <w:pPr>
        <w:rPr>
          <w:color w:val="000000"/>
          <w:lang w:val="en-IN"/>
        </w:rPr>
      </w:pPr>
    </w:p>
    <w:p w14:paraId="3E0EDDE4" w14:textId="77777777" w:rsidR="00984181" w:rsidRDefault="00000000">
      <w:pPr>
        <w:pStyle w:val="ListParagraph"/>
        <w:numPr>
          <w:ilvl w:val="0"/>
          <w:numId w:val="3"/>
        </w:numPr>
        <w:spacing w:after="0" w:line="240" w:lineRule="auto"/>
        <w:ind w:left="0" w:firstLine="0"/>
        <w:jc w:val="both"/>
        <w:rPr>
          <w:rFonts w:ascii="Calibri" w:hAnsi="Calibri" w:cs="Calibri"/>
          <w:color w:val="000000"/>
          <w:sz w:val="24"/>
          <w:szCs w:val="24"/>
          <w:lang w:val="en-IN"/>
        </w:rPr>
      </w:pPr>
      <w:r>
        <w:rPr>
          <w:rFonts w:ascii="Calibri" w:hAnsi="Calibri" w:cs="Calibri"/>
          <w:b/>
          <w:bCs/>
          <w:color w:val="000000"/>
          <w:sz w:val="24"/>
          <w:szCs w:val="24"/>
          <w:lang w:val="en-IN"/>
        </w:rPr>
        <w:t>Statistical analysis</w:t>
      </w:r>
    </w:p>
    <w:p w14:paraId="0E032239"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5B635875"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Collect study data using standardized case report forms or the approved study database.</w:t>
      </w:r>
    </w:p>
    <w:p w14:paraId="2A5C827A" w14:textId="77777777" w:rsidR="00984181" w:rsidRDefault="00984181">
      <w:pPr>
        <w:rPr>
          <w:color w:val="000000"/>
          <w:lang w:val="en-IN"/>
        </w:rPr>
      </w:pPr>
    </w:p>
    <w:p w14:paraId="0D45582C"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Perform statistical analysis using SPSS Statistics for Windows, Version 27.0.</w:t>
      </w:r>
    </w:p>
    <w:p w14:paraId="200E7E8A" w14:textId="77777777" w:rsidR="00984181" w:rsidRDefault="00984181">
      <w:pPr>
        <w:rPr>
          <w:color w:val="000000"/>
          <w:lang w:val="en-IN"/>
        </w:rPr>
      </w:pPr>
    </w:p>
    <w:p w14:paraId="62E80E66"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Express continuous data as mean ± standard deviation.</w:t>
      </w:r>
    </w:p>
    <w:p w14:paraId="56C5147A"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16A97524" w14:textId="77777777" w:rsidR="00984181" w:rsidRDefault="00000000">
      <w:pPr>
        <w:pStyle w:val="ListParagraph"/>
        <w:numPr>
          <w:ilvl w:val="1"/>
          <w:numId w:val="3"/>
        </w:numPr>
        <w:spacing w:after="0" w:line="240" w:lineRule="auto"/>
        <w:ind w:left="0" w:firstLine="0"/>
        <w:jc w:val="both"/>
        <w:rPr>
          <w:rFonts w:ascii="Calibri" w:hAnsi="Calibri" w:cs="Calibri"/>
          <w:color w:val="000000"/>
          <w:sz w:val="24"/>
          <w:szCs w:val="24"/>
          <w:lang w:val="en-IN"/>
        </w:rPr>
      </w:pPr>
      <w:r>
        <w:rPr>
          <w:rFonts w:ascii="Calibri" w:hAnsi="Calibri" w:cs="Calibri"/>
          <w:color w:val="000000"/>
          <w:sz w:val="24"/>
          <w:szCs w:val="24"/>
          <w:lang w:val="en-IN"/>
        </w:rPr>
        <w:t>Use a paired-samples t-test to compare pre-intervention and post-intervention values.</w:t>
      </w:r>
    </w:p>
    <w:p w14:paraId="5952F393" w14:textId="77777777" w:rsidR="00984181" w:rsidRDefault="00984181">
      <w:pPr>
        <w:pStyle w:val="ListParagraph"/>
        <w:spacing w:after="0" w:line="240" w:lineRule="auto"/>
        <w:ind w:left="0"/>
        <w:jc w:val="both"/>
        <w:rPr>
          <w:rFonts w:ascii="Calibri" w:hAnsi="Calibri" w:cs="Calibri"/>
          <w:color w:val="000000"/>
          <w:sz w:val="24"/>
          <w:szCs w:val="24"/>
          <w:lang w:val="en-IN"/>
        </w:rPr>
      </w:pPr>
    </w:p>
    <w:p w14:paraId="7DFFA96F" w14:textId="77777777" w:rsidR="00984181" w:rsidRDefault="00000000">
      <w:pPr>
        <w:rPr>
          <w:color w:val="000000"/>
          <w:lang w:val="en-IN"/>
        </w:rPr>
      </w:pPr>
      <w:r>
        <w:rPr>
          <w:color w:val="000000"/>
          <w:lang w:val="en-IN"/>
        </w:rPr>
        <w:t>11.5. Treat a two-sided P value of &lt;0.05 as indicating a statistically significant difference</w:t>
      </w:r>
    </w:p>
    <w:p w14:paraId="2C627A0D" w14:textId="77777777" w:rsidR="00984181" w:rsidRDefault="00000000">
      <w:pPr>
        <w:tabs>
          <w:tab w:val="left" w:pos="7980"/>
        </w:tabs>
        <w:rPr>
          <w:color w:val="000000"/>
          <w:lang w:val="en-IN"/>
        </w:rPr>
      </w:pPr>
      <w:r>
        <w:rPr>
          <w:color w:val="000000"/>
          <w:lang w:val="en-IN"/>
        </w:rPr>
        <w:tab/>
      </w:r>
    </w:p>
    <w:p w14:paraId="5ADC90E3" w14:textId="77777777" w:rsidR="00984181" w:rsidRDefault="00000000">
      <w:pPr>
        <w:rPr>
          <w:color w:val="808080"/>
        </w:rPr>
      </w:pPr>
      <w:r>
        <w:rPr>
          <w:b/>
          <w:color w:val="000000"/>
        </w:rPr>
        <w:t>REPRESENTATIVE RESULTS:</w:t>
      </w:r>
    </w:p>
    <w:p w14:paraId="5AAF2FA7" w14:textId="77777777" w:rsidR="00984181" w:rsidRDefault="00000000">
      <w:pPr>
        <w:rPr>
          <w:lang w:eastAsia="zh-CN"/>
        </w:rPr>
      </w:pPr>
      <w:r>
        <w:rPr>
          <w:lang w:eastAsia="zh-CN"/>
        </w:rPr>
        <w:t>This study describes a copper Bian-</w:t>
      </w:r>
      <w:proofErr w:type="spellStart"/>
      <w:r>
        <w:rPr>
          <w:lang w:eastAsia="zh-CN"/>
        </w:rPr>
        <w:t>gua</w:t>
      </w:r>
      <w:proofErr w:type="spellEnd"/>
      <w:r>
        <w:rPr>
          <w:lang w:eastAsia="zh-CN"/>
        </w:rPr>
        <w:t xml:space="preserve">-sha scraping treatment protocol for chronic fatigue syndrome with a Phlegm-Dampness and Blood Stasis </w:t>
      </w:r>
      <w:proofErr w:type="gramStart"/>
      <w:r>
        <w:rPr>
          <w:lang w:eastAsia="zh-CN"/>
        </w:rPr>
        <w:t>pattern(</w:t>
      </w:r>
      <w:proofErr w:type="gramEnd"/>
      <w:r>
        <w:rPr>
          <w:b/>
          <w:bCs/>
          <w:lang w:eastAsia="zh-CN"/>
        </w:rPr>
        <w:t>Figure 5</w:t>
      </w:r>
      <w:r>
        <w:rPr>
          <w:lang w:eastAsia="zh-CN"/>
        </w:rPr>
        <w:t>). A total of 20 patients who met the inclusion criteria were enrolled and completed the trial. All patients were diagnosed using uniform criteria the identical Gua Sha therapy protocol was performed by the same practitioner. Evaluations using the Fatigue Severity Scale SF-36 Health Survey the TCM Syndrome Score were conducted for all patients before treatment and after treatment (upon completion of the second course).</w:t>
      </w:r>
    </w:p>
    <w:p w14:paraId="3A96A52E" w14:textId="77777777" w:rsidR="00984181" w:rsidRDefault="00984181"/>
    <w:p w14:paraId="0D5D6282" w14:textId="77777777" w:rsidR="00984181" w:rsidRDefault="00000000">
      <w:pPr>
        <w:rPr>
          <w:lang w:eastAsia="zh-CN"/>
        </w:rPr>
      </w:pPr>
      <w:r>
        <w:rPr>
          <w:lang w:eastAsia="zh-CN"/>
        </w:rPr>
        <w:t xml:space="preserve">Following the 2-week protocol, representative pre- and post-treatment assessments indicated a change in the Fatigue Severity Scale score and observable petechiae </w:t>
      </w:r>
      <w:proofErr w:type="gramStart"/>
      <w:r>
        <w:rPr>
          <w:lang w:eastAsia="zh-CN"/>
        </w:rPr>
        <w:t>patterns(</w:t>
      </w:r>
      <w:proofErr w:type="gramEnd"/>
      <w:r>
        <w:rPr>
          <w:b/>
          <w:bCs/>
          <w:lang w:eastAsia="zh-CN"/>
        </w:rPr>
        <w:t>Table 1</w:t>
      </w:r>
      <w:r>
        <w:rPr>
          <w:lang w:eastAsia="zh-CN"/>
        </w:rPr>
        <w:t xml:space="preserve">, </w:t>
      </w:r>
      <w:r>
        <w:rPr>
          <w:b/>
          <w:bCs/>
          <w:lang w:eastAsia="zh-CN"/>
        </w:rPr>
        <w:t>Table 2</w:t>
      </w:r>
      <w:r>
        <w:rPr>
          <w:lang w:eastAsia="zh-CN"/>
        </w:rPr>
        <w:t xml:space="preserve"> and </w:t>
      </w:r>
      <w:r>
        <w:rPr>
          <w:b/>
          <w:bCs/>
          <w:lang w:eastAsia="zh-CN"/>
        </w:rPr>
        <w:t>Table 3</w:t>
      </w:r>
      <w:r>
        <w:rPr>
          <w:lang w:eastAsia="zh-CN"/>
        </w:rPr>
        <w:t>)</w:t>
      </w:r>
    </w:p>
    <w:p w14:paraId="5175118F" w14:textId="77777777" w:rsidR="00984181" w:rsidRDefault="00984181">
      <w:pPr>
        <w:rPr>
          <w:lang w:eastAsia="zh-CN"/>
        </w:rPr>
      </w:pPr>
    </w:p>
    <w:p w14:paraId="0DC3F5AF" w14:textId="77777777" w:rsidR="00984181" w:rsidRDefault="00000000">
      <w:pPr>
        <w:rPr>
          <w:lang w:eastAsia="zh-CN"/>
        </w:rPr>
      </w:pPr>
      <w:r>
        <w:rPr>
          <w:lang w:eastAsia="zh-CN"/>
        </w:rPr>
        <w:t xml:space="preserve">[Place </w:t>
      </w:r>
      <w:r>
        <w:rPr>
          <w:b/>
          <w:bCs/>
          <w:lang w:eastAsia="zh-CN"/>
        </w:rPr>
        <w:t>Table 1</w:t>
      </w:r>
      <w:r>
        <w:rPr>
          <w:lang w:eastAsia="zh-CN"/>
        </w:rPr>
        <w:t xml:space="preserve">, </w:t>
      </w:r>
      <w:r>
        <w:rPr>
          <w:b/>
          <w:bCs/>
          <w:lang w:eastAsia="zh-CN"/>
        </w:rPr>
        <w:t>Table 2</w:t>
      </w:r>
      <w:r>
        <w:rPr>
          <w:lang w:eastAsia="zh-CN"/>
        </w:rPr>
        <w:t xml:space="preserve"> and </w:t>
      </w:r>
      <w:r>
        <w:rPr>
          <w:b/>
          <w:bCs/>
          <w:lang w:eastAsia="zh-CN"/>
        </w:rPr>
        <w:t xml:space="preserve">Table 3 </w:t>
      </w:r>
      <w:r>
        <w:rPr>
          <w:lang w:eastAsia="zh-CN"/>
        </w:rPr>
        <w:t>here]</w:t>
      </w:r>
    </w:p>
    <w:p w14:paraId="2924C9B0" w14:textId="77777777" w:rsidR="00984181" w:rsidRDefault="00984181"/>
    <w:p w14:paraId="31B4F026" w14:textId="77777777" w:rsidR="00984181" w:rsidRDefault="00000000">
      <w:pPr>
        <w:rPr>
          <w:lang w:eastAsia="zh-CN"/>
        </w:rPr>
      </w:pPr>
      <w:r>
        <w:rPr>
          <w:lang w:eastAsia="zh-CN"/>
        </w:rPr>
        <w:t>All the differences mentioned above were statistically observed (</w:t>
      </w:r>
      <w:r>
        <w:rPr>
          <w:i/>
          <w:iCs/>
          <w:lang w:eastAsia="zh-CN"/>
        </w:rPr>
        <w:t>P</w:t>
      </w:r>
      <w:r>
        <w:rPr>
          <w:lang w:eastAsia="zh-CN"/>
        </w:rPr>
        <w:t xml:space="preserve"> &lt; 0.05) that the copper Bian-</w:t>
      </w:r>
      <w:proofErr w:type="spellStart"/>
      <w:r>
        <w:rPr>
          <w:lang w:eastAsia="zh-CN"/>
        </w:rPr>
        <w:t>gua</w:t>
      </w:r>
      <w:proofErr w:type="spellEnd"/>
      <w:r>
        <w:rPr>
          <w:lang w:eastAsia="zh-CN"/>
        </w:rPr>
        <w:t>-sha scraping therapy indicates that the protocol was executed as intended, with changes observed in the assessment scores of the enrolled cohort.</w:t>
      </w:r>
    </w:p>
    <w:p w14:paraId="056DB6C7" w14:textId="77777777" w:rsidR="00984181" w:rsidRDefault="00984181">
      <w:pPr>
        <w:rPr>
          <w:lang w:eastAsia="zh-CN"/>
        </w:rPr>
      </w:pPr>
    </w:p>
    <w:p w14:paraId="5D09A305" w14:textId="77777777" w:rsidR="00984181" w:rsidRDefault="00000000">
      <w:pPr>
        <w:rPr>
          <w:color w:val="808080"/>
        </w:rPr>
      </w:pPr>
      <w:r>
        <w:rPr>
          <w:b/>
        </w:rPr>
        <w:t>FIGURE AND TABLE LEGENDS:</w:t>
      </w:r>
      <w:r>
        <w:rPr>
          <w:color w:val="808080"/>
        </w:rPr>
        <w:t xml:space="preserve"> </w:t>
      </w:r>
    </w:p>
    <w:p w14:paraId="298F6361" w14:textId="77777777" w:rsidR="00984181" w:rsidRDefault="00984181">
      <w:pPr>
        <w:rPr>
          <w:color w:val="808080"/>
        </w:rPr>
      </w:pPr>
    </w:p>
    <w:p w14:paraId="55BFCF88" w14:textId="77777777" w:rsidR="00984181" w:rsidRDefault="00000000">
      <w:pPr>
        <w:rPr>
          <w:lang w:eastAsia="zh-CN"/>
        </w:rPr>
      </w:pPr>
      <w:r>
        <w:rPr>
          <w:b/>
          <w:bCs/>
          <w:lang w:eastAsia="zh-CN"/>
        </w:rPr>
        <w:t xml:space="preserve">Figure 1: Materials Preparation. </w:t>
      </w:r>
      <w:r>
        <w:rPr>
          <w:lang w:eastAsia="zh-CN"/>
        </w:rPr>
        <w:t>(</w:t>
      </w:r>
      <w:r>
        <w:rPr>
          <w:b/>
          <w:bCs/>
          <w:lang w:eastAsia="zh-CN"/>
        </w:rPr>
        <w:t>A</w:t>
      </w:r>
      <w:r>
        <w:rPr>
          <w:lang w:eastAsia="zh-CN"/>
        </w:rPr>
        <w:t>) Disposable medical examination gloves, (</w:t>
      </w:r>
      <w:r>
        <w:rPr>
          <w:b/>
          <w:bCs/>
          <w:lang w:eastAsia="zh-CN"/>
        </w:rPr>
        <w:t>B</w:t>
      </w:r>
      <w:r>
        <w:rPr>
          <w:lang w:eastAsia="zh-CN"/>
        </w:rPr>
        <w:t>) Copper Bian-stone scraper (H62 copper alloy, 180 mm*40 mm *4 mm, 160 g), (</w:t>
      </w:r>
      <w:r>
        <w:rPr>
          <w:b/>
          <w:bCs/>
          <w:lang w:eastAsia="zh-CN"/>
        </w:rPr>
        <w:t>C</w:t>
      </w:r>
      <w:r>
        <w:rPr>
          <w:lang w:eastAsia="zh-CN"/>
        </w:rPr>
        <w:t xml:space="preserve">) Gua Sha oil (vegetable oil base, viscosity ~15 </w:t>
      </w:r>
      <w:proofErr w:type="gramStart"/>
      <w:r>
        <w:rPr>
          <w:lang w:eastAsia="zh-CN"/>
        </w:rPr>
        <w:t>mPa  s</w:t>
      </w:r>
      <w:proofErr w:type="gramEnd"/>
      <w:r>
        <w:rPr>
          <w:lang w:eastAsia="zh-CN"/>
        </w:rPr>
        <w:t xml:space="preserve"> at 25</w:t>
      </w:r>
      <w:proofErr w:type="gramStart"/>
      <w:r>
        <w:rPr>
          <w:lang w:eastAsia="zh-CN"/>
        </w:rPr>
        <w:t>° ,</w:t>
      </w:r>
      <w:proofErr w:type="gramEnd"/>
      <w:r>
        <w:rPr>
          <w:lang w:eastAsia="zh-CN"/>
        </w:rPr>
        <w:t>(</w:t>
      </w:r>
      <w:r>
        <w:rPr>
          <w:b/>
          <w:bCs/>
          <w:lang w:eastAsia="zh-CN"/>
        </w:rPr>
        <w:t>D</w:t>
      </w:r>
      <w:r>
        <w:rPr>
          <w:lang w:eastAsia="zh-CN"/>
        </w:rPr>
        <w:t>) 75% medical alcohol, (</w:t>
      </w:r>
      <w:r>
        <w:rPr>
          <w:b/>
          <w:bCs/>
          <w:lang w:eastAsia="zh-CN"/>
        </w:rPr>
        <w:t>E</w:t>
      </w:r>
      <w:r>
        <w:rPr>
          <w:lang w:eastAsia="zh-CN"/>
        </w:rPr>
        <w:t>) Sterile cotton balls. (</w:t>
      </w:r>
      <w:r>
        <w:rPr>
          <w:b/>
          <w:bCs/>
          <w:lang w:eastAsia="zh-CN"/>
        </w:rPr>
        <w:t>F</w:t>
      </w:r>
      <w:r>
        <w:rPr>
          <w:lang w:eastAsia="zh-CN"/>
        </w:rPr>
        <w:t xml:space="preserve">) Medical </w:t>
      </w:r>
      <w:r>
        <w:rPr>
          <w:lang w:eastAsia="zh-CN"/>
        </w:rPr>
        <w:lastRenderedPageBreak/>
        <w:t>forceps.</w:t>
      </w:r>
    </w:p>
    <w:p w14:paraId="3A8970A5" w14:textId="77777777" w:rsidR="00984181" w:rsidRDefault="00984181">
      <w:pPr>
        <w:rPr>
          <w:lang w:eastAsia="zh-CN"/>
        </w:rPr>
      </w:pPr>
    </w:p>
    <w:p w14:paraId="45B3346C" w14:textId="77777777" w:rsidR="00984181" w:rsidRDefault="00000000">
      <w:pPr>
        <w:rPr>
          <w:lang w:eastAsia="zh-CN"/>
        </w:rPr>
      </w:pPr>
      <w:r>
        <w:rPr>
          <w:b/>
          <w:bCs/>
          <w:lang w:eastAsia="zh-CN"/>
        </w:rPr>
        <w:t xml:space="preserve">Figure 2: Finger </w:t>
      </w:r>
      <w:proofErr w:type="spellStart"/>
      <w:r>
        <w:rPr>
          <w:b/>
          <w:bCs/>
          <w:lang w:eastAsia="zh-CN"/>
        </w:rPr>
        <w:t>cun</w:t>
      </w:r>
      <w:proofErr w:type="spellEnd"/>
      <w:r>
        <w:rPr>
          <w:b/>
          <w:bCs/>
          <w:lang w:eastAsia="zh-CN"/>
        </w:rPr>
        <w:t xml:space="preserve"> measurement method for acupoint localization. </w:t>
      </w:r>
      <w:r>
        <w:rPr>
          <w:lang w:eastAsia="zh-CN"/>
        </w:rPr>
        <w:t xml:space="preserve">The patient's middle finger width at the interphalangeal crease is used as 1 </w:t>
      </w:r>
      <w:proofErr w:type="spellStart"/>
      <w:r>
        <w:rPr>
          <w:lang w:eastAsia="zh-CN"/>
        </w:rPr>
        <w:t>cun</w:t>
      </w:r>
      <w:proofErr w:type="spellEnd"/>
      <w:r>
        <w:rPr>
          <w:lang w:eastAsia="zh-CN"/>
        </w:rPr>
        <w:t xml:space="preserve">. The combined width of the index and middle fingers equals 1.5 </w:t>
      </w:r>
      <w:proofErr w:type="spellStart"/>
      <w:r>
        <w:rPr>
          <w:lang w:eastAsia="zh-CN"/>
        </w:rPr>
        <w:t>cun</w:t>
      </w:r>
      <w:proofErr w:type="spellEnd"/>
      <w:r>
        <w:rPr>
          <w:lang w:eastAsia="zh-CN"/>
        </w:rPr>
        <w:t>. This method is used for approximate acupoint location prior to confirmation by anatomical landmarks.</w:t>
      </w:r>
    </w:p>
    <w:p w14:paraId="06EEDBD8" w14:textId="77777777" w:rsidR="00984181" w:rsidRDefault="00984181">
      <w:pPr>
        <w:rPr>
          <w:lang w:eastAsia="zh-CN"/>
        </w:rPr>
      </w:pPr>
    </w:p>
    <w:p w14:paraId="1474A152" w14:textId="77777777" w:rsidR="00984181" w:rsidRDefault="00000000">
      <w:pPr>
        <w:rPr>
          <w:lang w:eastAsia="zh-CN"/>
        </w:rPr>
      </w:pPr>
      <w:r>
        <w:rPr>
          <w:b/>
          <w:bCs/>
          <w:lang w:eastAsia="zh-CN"/>
        </w:rPr>
        <w:t xml:space="preserve">Figure 3: Governor Vessel scraping pathway. </w:t>
      </w:r>
      <w:r>
        <w:rPr>
          <w:lang w:eastAsia="zh-CN"/>
        </w:rPr>
        <w:t xml:space="preserve">The pathway extends from </w:t>
      </w:r>
      <w:proofErr w:type="spellStart"/>
      <w:r>
        <w:rPr>
          <w:lang w:eastAsia="zh-CN"/>
        </w:rPr>
        <w:t>Dazhui</w:t>
      </w:r>
      <w:proofErr w:type="spellEnd"/>
      <w:r>
        <w:rPr>
          <w:lang w:eastAsia="zh-CN"/>
        </w:rPr>
        <w:t xml:space="preserve"> (DU14) at the C7 spinous process to </w:t>
      </w:r>
      <w:proofErr w:type="spellStart"/>
      <w:r>
        <w:rPr>
          <w:lang w:eastAsia="zh-CN"/>
        </w:rPr>
        <w:t>Yaoyangguan</w:t>
      </w:r>
      <w:proofErr w:type="spellEnd"/>
      <w:r>
        <w:rPr>
          <w:lang w:eastAsia="zh-CN"/>
        </w:rPr>
        <w:t xml:space="preserve"> (DU3) at theL4 spinous process along the posterior midline. The copper scraper is applied in a downward direction.</w:t>
      </w:r>
    </w:p>
    <w:p w14:paraId="595D94F0" w14:textId="77777777" w:rsidR="00984181" w:rsidRDefault="00984181">
      <w:pPr>
        <w:rPr>
          <w:lang w:eastAsia="zh-CN"/>
        </w:rPr>
      </w:pPr>
    </w:p>
    <w:p w14:paraId="7627A655" w14:textId="77777777" w:rsidR="00984181" w:rsidRDefault="00000000">
      <w:pPr>
        <w:rPr>
          <w:lang w:eastAsia="zh-CN"/>
        </w:rPr>
      </w:pPr>
      <w:r>
        <w:rPr>
          <w:b/>
          <w:bCs/>
          <w:lang w:eastAsia="zh-CN"/>
        </w:rPr>
        <w:t xml:space="preserve">Figure 4: Bladder Meridian scraping pathway and Back-Shu point locations. </w:t>
      </w:r>
      <w:r>
        <w:rPr>
          <w:lang w:eastAsia="zh-CN"/>
        </w:rPr>
        <w:t xml:space="preserve">Bilateral Bladder Meridian lines are located 1.5 </w:t>
      </w:r>
      <w:proofErr w:type="spellStart"/>
      <w:r>
        <w:rPr>
          <w:lang w:eastAsia="zh-CN"/>
        </w:rPr>
        <w:t>cun</w:t>
      </w:r>
      <w:proofErr w:type="spellEnd"/>
      <w:r>
        <w:rPr>
          <w:lang w:eastAsia="zh-CN"/>
        </w:rPr>
        <w:t xml:space="preserve"> lateral to the posterior midline. Key points include Feishu (BL13, T3), </w:t>
      </w:r>
      <w:proofErr w:type="spellStart"/>
      <w:r>
        <w:rPr>
          <w:lang w:eastAsia="zh-CN"/>
        </w:rPr>
        <w:t>Pishu</w:t>
      </w:r>
      <w:proofErr w:type="spellEnd"/>
      <w:r>
        <w:rPr>
          <w:lang w:eastAsia="zh-CN"/>
        </w:rPr>
        <w:t xml:space="preserve"> (BL20, T11), </w:t>
      </w:r>
      <w:proofErr w:type="spellStart"/>
      <w:r>
        <w:rPr>
          <w:lang w:eastAsia="zh-CN"/>
        </w:rPr>
        <w:t>Weishu</w:t>
      </w:r>
      <w:proofErr w:type="spellEnd"/>
      <w:r>
        <w:rPr>
          <w:lang w:eastAsia="zh-CN"/>
        </w:rPr>
        <w:t xml:space="preserve"> (BL21, T12), and </w:t>
      </w:r>
      <w:proofErr w:type="spellStart"/>
      <w:r>
        <w:rPr>
          <w:lang w:eastAsia="zh-CN"/>
        </w:rPr>
        <w:t>Shenshu</w:t>
      </w:r>
      <w:proofErr w:type="spellEnd"/>
      <w:r>
        <w:rPr>
          <w:lang w:eastAsia="zh-CN"/>
        </w:rPr>
        <w:t xml:space="preserve"> (BL23, L2</w:t>
      </w:r>
      <w:proofErr w:type="gramStart"/>
      <w:r>
        <w:rPr>
          <w:lang w:eastAsia="zh-CN"/>
        </w:rPr>
        <w:t>).Moderate</w:t>
      </w:r>
      <w:proofErr w:type="gramEnd"/>
      <w:r>
        <w:rPr>
          <w:lang w:eastAsia="zh-CN"/>
        </w:rPr>
        <w:t xml:space="preserve"> pressure is applied specifically at these Back-Shu points.</w:t>
      </w:r>
    </w:p>
    <w:p w14:paraId="6A250157" w14:textId="77777777" w:rsidR="00984181" w:rsidRDefault="00984181">
      <w:pPr>
        <w:rPr>
          <w:lang w:eastAsia="zh-CN"/>
        </w:rPr>
      </w:pPr>
    </w:p>
    <w:p w14:paraId="28B14731" w14:textId="77777777" w:rsidR="00984181" w:rsidRDefault="00000000">
      <w:pPr>
        <w:rPr>
          <w:lang w:eastAsia="zh-CN"/>
        </w:rPr>
      </w:pPr>
      <w:r>
        <w:rPr>
          <w:b/>
          <w:bCs/>
          <w:lang w:eastAsia="zh-CN"/>
        </w:rPr>
        <w:t xml:space="preserve">Figure 5: Representative appearance of sha (petechiae) post-procedure. </w:t>
      </w:r>
      <w:r>
        <w:rPr>
          <w:lang w:eastAsia="zh-CN"/>
        </w:rPr>
        <w:t xml:space="preserve">Location and meridian lines for Bladder Meridian Gua Sha. The patient sits in a slightly forward-leaning position. The red line indicates the Governor Vessel (along the spine), and the yellow lines indicate the bilateral Bladder Meridians (1.5 </w:t>
      </w:r>
      <w:proofErr w:type="spellStart"/>
      <w:r>
        <w:rPr>
          <w:lang w:eastAsia="zh-CN"/>
        </w:rPr>
        <w:t>cun</w:t>
      </w:r>
      <w:proofErr w:type="spellEnd"/>
      <w:r>
        <w:rPr>
          <w:lang w:eastAsia="zh-CN"/>
        </w:rPr>
        <w:t xml:space="preserve"> lateral to the spine), extending downward from Feishu (BL13) to </w:t>
      </w:r>
      <w:proofErr w:type="spellStart"/>
      <w:r>
        <w:rPr>
          <w:lang w:eastAsia="zh-CN"/>
        </w:rPr>
        <w:t>Shenshu</w:t>
      </w:r>
      <w:proofErr w:type="spellEnd"/>
      <w:r>
        <w:rPr>
          <w:lang w:eastAsia="zh-CN"/>
        </w:rPr>
        <w:t xml:space="preserve"> (BL23). The red markers indicate the Back- Shu points where moderate pressure is applied. Uniform light red to purplish petechiae </w:t>
      </w:r>
      <w:proofErr w:type="gramStart"/>
      <w:r>
        <w:rPr>
          <w:lang w:eastAsia="zh-CN"/>
        </w:rPr>
        <w:t>are</w:t>
      </w:r>
      <w:proofErr w:type="gramEnd"/>
      <w:r>
        <w:rPr>
          <w:lang w:eastAsia="zh-CN"/>
        </w:rPr>
        <w:t xml:space="preserve"> visible along the Bladder Meridian lines. The density approximates 10 - 15 petechiae per cm 2, indicating the defined endpoint for cessation of scraping.</w:t>
      </w:r>
    </w:p>
    <w:p w14:paraId="3404DB73" w14:textId="77777777" w:rsidR="00984181" w:rsidRDefault="00984181">
      <w:pPr>
        <w:rPr>
          <w:lang w:eastAsia="zh-CN"/>
        </w:rPr>
      </w:pPr>
    </w:p>
    <w:p w14:paraId="39638A8B" w14:textId="77777777" w:rsidR="00984181" w:rsidRDefault="00000000">
      <w:pPr>
        <w:rPr>
          <w:lang w:eastAsia="zh-CN"/>
        </w:rPr>
      </w:pPr>
      <w:r>
        <w:rPr>
          <w:b/>
          <w:bCs/>
          <w:lang w:eastAsia="zh-CN"/>
        </w:rPr>
        <w:t>Table 1: Observation Indicator.</w:t>
      </w:r>
      <w:r>
        <w:rPr>
          <w:lang w:eastAsia="zh-CN"/>
        </w:rPr>
        <w:t xml:space="preserve"> Fatigue Severity Scale (FSS) Scores (Mean   ± Standard Deviation. Pré- vs. Post-treatment) and P-value.</w:t>
      </w:r>
    </w:p>
    <w:p w14:paraId="3AC6C014" w14:textId="77777777" w:rsidR="00984181" w:rsidRDefault="00984181">
      <w:pPr>
        <w:rPr>
          <w:lang w:eastAsia="zh-CN"/>
        </w:rPr>
      </w:pPr>
    </w:p>
    <w:p w14:paraId="75C380FA" w14:textId="77777777" w:rsidR="00984181" w:rsidRDefault="00000000">
      <w:pPr>
        <w:rPr>
          <w:lang w:eastAsia="zh-CN"/>
        </w:rPr>
      </w:pPr>
      <w:r>
        <w:rPr>
          <w:b/>
          <w:bCs/>
          <w:lang w:eastAsia="zh-CN"/>
        </w:rPr>
        <w:t xml:space="preserve">Table 2: </w:t>
      </w:r>
      <w:proofErr w:type="gramStart"/>
      <w:r>
        <w:rPr>
          <w:b/>
          <w:bCs/>
          <w:lang w:eastAsia="zh-CN"/>
        </w:rPr>
        <w:t>Observation  Indicator</w:t>
      </w:r>
      <w:proofErr w:type="gramEnd"/>
      <w:r>
        <w:rPr>
          <w:b/>
          <w:bCs/>
          <w:lang w:eastAsia="zh-CN"/>
        </w:rPr>
        <w:t>.</w:t>
      </w:r>
      <w:r>
        <w:rPr>
          <w:lang w:eastAsia="zh-CN"/>
        </w:rPr>
        <w:t xml:space="preserve"> TCM Syndrome </w:t>
      </w:r>
      <w:proofErr w:type="gramStart"/>
      <w:r>
        <w:rPr>
          <w:lang w:eastAsia="zh-CN"/>
        </w:rPr>
        <w:t>Scores  (</w:t>
      </w:r>
      <w:proofErr w:type="gramEnd"/>
      <w:r>
        <w:rPr>
          <w:lang w:eastAsia="zh-CN"/>
        </w:rPr>
        <w:t xml:space="preserve">Mean   ± </w:t>
      </w:r>
      <w:proofErr w:type="gramStart"/>
      <w:r>
        <w:rPr>
          <w:lang w:eastAsia="zh-CN"/>
        </w:rPr>
        <w:t>Standard  Deviation,  Pre</w:t>
      </w:r>
      <w:proofErr w:type="gramEnd"/>
      <w:r>
        <w:rPr>
          <w:lang w:eastAsia="zh-CN"/>
        </w:rPr>
        <w:t>- vs. Post-treatment) and P-value.</w:t>
      </w:r>
    </w:p>
    <w:p w14:paraId="6837DC1F" w14:textId="77777777" w:rsidR="00984181" w:rsidRDefault="00984181">
      <w:pPr>
        <w:rPr>
          <w:lang w:eastAsia="zh-CN"/>
        </w:rPr>
      </w:pPr>
    </w:p>
    <w:p w14:paraId="42048148" w14:textId="77777777" w:rsidR="00984181" w:rsidRDefault="00000000">
      <w:pPr>
        <w:rPr>
          <w:lang w:eastAsia="zh-CN"/>
        </w:rPr>
      </w:pPr>
      <w:r>
        <w:rPr>
          <w:b/>
          <w:bCs/>
          <w:lang w:eastAsia="zh-CN"/>
        </w:rPr>
        <w:t xml:space="preserve">Table   3:   Observation   Indicators. </w:t>
      </w:r>
      <w:r>
        <w:rPr>
          <w:lang w:eastAsia="zh-CN"/>
        </w:rPr>
        <w:t>SF-36 Health Survey Scores - Physical Functioning</w:t>
      </w:r>
      <w:proofErr w:type="gramStart"/>
      <w:r>
        <w:rPr>
          <w:lang w:eastAsia="zh-CN"/>
        </w:rPr>
        <w:t xml:space="preserve">   (</w:t>
      </w:r>
      <w:proofErr w:type="gramEnd"/>
      <w:r>
        <w:rPr>
          <w:lang w:eastAsia="zh-CN"/>
        </w:rPr>
        <w:t>PF</w:t>
      </w:r>
      <w:proofErr w:type="gramStart"/>
      <w:r>
        <w:rPr>
          <w:lang w:eastAsia="zh-CN"/>
        </w:rPr>
        <w:t>),Role</w:t>
      </w:r>
      <w:proofErr w:type="gramEnd"/>
      <w:r>
        <w:rPr>
          <w:lang w:eastAsia="zh-CN"/>
        </w:rPr>
        <w:t>-</w:t>
      </w:r>
      <w:proofErr w:type="gramStart"/>
      <w:r>
        <w:rPr>
          <w:lang w:eastAsia="zh-CN"/>
        </w:rPr>
        <w:t>Physical  (</w:t>
      </w:r>
      <w:proofErr w:type="gramEnd"/>
      <w:r>
        <w:rPr>
          <w:lang w:eastAsia="zh-CN"/>
        </w:rPr>
        <w:t>RP</w:t>
      </w:r>
      <w:proofErr w:type="gramStart"/>
      <w:r>
        <w:rPr>
          <w:lang w:eastAsia="zh-CN"/>
        </w:rPr>
        <w:t>),  Bodily</w:t>
      </w:r>
      <w:proofErr w:type="gramEnd"/>
      <w:r>
        <w:rPr>
          <w:lang w:eastAsia="zh-CN"/>
        </w:rPr>
        <w:t xml:space="preserve">  </w:t>
      </w:r>
      <w:proofErr w:type="gramStart"/>
      <w:r>
        <w:rPr>
          <w:lang w:eastAsia="zh-CN"/>
        </w:rPr>
        <w:t>Pain  (</w:t>
      </w:r>
      <w:proofErr w:type="gramEnd"/>
      <w:r>
        <w:rPr>
          <w:lang w:eastAsia="zh-CN"/>
        </w:rPr>
        <w:t>BP</w:t>
      </w:r>
      <w:proofErr w:type="gramStart"/>
      <w:r>
        <w:rPr>
          <w:lang w:eastAsia="zh-CN"/>
        </w:rPr>
        <w:t>),  General</w:t>
      </w:r>
      <w:proofErr w:type="gramEnd"/>
      <w:r>
        <w:rPr>
          <w:lang w:eastAsia="zh-CN"/>
        </w:rPr>
        <w:t xml:space="preserve">  </w:t>
      </w:r>
      <w:proofErr w:type="gramStart"/>
      <w:r>
        <w:rPr>
          <w:lang w:eastAsia="zh-CN"/>
        </w:rPr>
        <w:t>Health  (</w:t>
      </w:r>
      <w:proofErr w:type="gramEnd"/>
      <w:r>
        <w:rPr>
          <w:lang w:eastAsia="zh-CN"/>
        </w:rPr>
        <w:t xml:space="preserve">GH), </w:t>
      </w:r>
      <w:proofErr w:type="gramStart"/>
      <w:r>
        <w:rPr>
          <w:lang w:eastAsia="zh-CN"/>
        </w:rPr>
        <w:t>Vitality  (</w:t>
      </w:r>
      <w:proofErr w:type="gramEnd"/>
      <w:r>
        <w:rPr>
          <w:lang w:eastAsia="zh-CN"/>
        </w:rPr>
        <w:t xml:space="preserve">VT), </w:t>
      </w:r>
      <w:proofErr w:type="gramStart"/>
      <w:r>
        <w:rPr>
          <w:lang w:eastAsia="zh-CN"/>
        </w:rPr>
        <w:t>Social  Functioning</w:t>
      </w:r>
      <w:proofErr w:type="gramEnd"/>
      <w:r>
        <w:rPr>
          <w:lang w:eastAsia="zh-CN"/>
        </w:rPr>
        <w:t xml:space="preserve">  (SF</w:t>
      </w:r>
      <w:proofErr w:type="gramStart"/>
      <w:r>
        <w:rPr>
          <w:lang w:eastAsia="zh-CN"/>
        </w:rPr>
        <w:t>).Role</w:t>
      </w:r>
      <w:proofErr w:type="gramEnd"/>
      <w:r>
        <w:rPr>
          <w:lang w:eastAsia="zh-CN"/>
        </w:rPr>
        <w:t>-Emotional (RE), Mental Health (MH) (Mean   ± Standard Deviation, Pre- vs. Post-</w:t>
      </w:r>
      <w:proofErr w:type="gramStart"/>
      <w:r>
        <w:rPr>
          <w:lang w:eastAsia="zh-CN"/>
        </w:rPr>
        <w:t>treatment)and</w:t>
      </w:r>
      <w:proofErr w:type="gramEnd"/>
      <w:r>
        <w:rPr>
          <w:lang w:eastAsia="zh-CN"/>
        </w:rPr>
        <w:t xml:space="preserve"> P-value.</w:t>
      </w:r>
    </w:p>
    <w:p w14:paraId="41E06FD6" w14:textId="77777777" w:rsidR="00984181" w:rsidRDefault="00984181"/>
    <w:p w14:paraId="5A2F45EC" w14:textId="77777777" w:rsidR="00984181" w:rsidRDefault="00000000">
      <w:r>
        <w:rPr>
          <w:b/>
        </w:rPr>
        <w:t>DISCUSSION:</w:t>
      </w:r>
    </w:p>
    <w:p w14:paraId="629A5F20" w14:textId="77777777" w:rsidR="00984181" w:rsidRDefault="00000000">
      <w:r>
        <w:rPr>
          <w:lang w:eastAsia="zh-CN"/>
        </w:rPr>
        <w:t>The present protocol describes a standardized copper Bian-stone Gua Sha procedure for application in human subjects with chronic fatigue syndrome (CFS). In the execution of this protocol, changes in Fatigue Severity Scale (FSS) scores, TCM syndrome scores, and SF-36 domain scores were recorded between pre- and post-intervention time points in the 20-subject cohort. The observed differences are presented as representative data to illustrate the protocol's procedural flow and outcome documentation, rather than to establish definitive therapeutic efficacy. The technical aspects critical to successful protocol execution are discussed below.</w:t>
      </w:r>
    </w:p>
    <w:p w14:paraId="57403A25" w14:textId="77777777" w:rsidR="00984181" w:rsidRDefault="00984181"/>
    <w:p w14:paraId="56039061" w14:textId="77777777" w:rsidR="00984181" w:rsidRDefault="00000000">
      <w:pPr>
        <w:rPr>
          <w:lang w:eastAsia="zh-CN"/>
        </w:rPr>
      </w:pPr>
      <w:r>
        <w:rPr>
          <w:lang w:eastAsia="zh-CN"/>
        </w:rPr>
        <w:t>Critical Steps: Several steps within this protocol require particular attention to ensure reproducibility and participant safety. First, accurate acupoint localization is essential. While the finger-</w:t>
      </w:r>
      <w:proofErr w:type="spellStart"/>
      <w:r>
        <w:rPr>
          <w:lang w:eastAsia="zh-CN"/>
        </w:rPr>
        <w:t>cun</w:t>
      </w:r>
      <w:proofErr w:type="spellEnd"/>
      <w:r>
        <w:rPr>
          <w:lang w:eastAsia="zh-CN"/>
        </w:rPr>
        <w:t xml:space="preserve"> method provides practical approximation, confirmation using anatomical landmarks (e.g., vertebral spinous processes) is recommended to minimize inter-operator variability. Second, the differentiation between light and moderate-pressure scraping techniques must be clearly established before initiating the procedure. In this protocol, light scraping is defined as skin indentation of less than 2 mm, whereas moderate pressure achieves 3–5 mm indentation (approximately 5–10 N of force). Operators should undergo pre-protocol calibration training using a force gauge or standardized tactile reference to ensure consistency across sessions and participants. Third, adherence to the defined scraping endpoint is critical. The procedure should be discontinued when uniform petechiae (sha) appear at a density of 10–15 per cm², or when 10 strokes per meridian segment are completed—whichever occurs first. Over-scraping in pursuit of more pronounced sha may cause unnecessary tissue trauma and should be avoided.</w:t>
      </w:r>
    </w:p>
    <w:p w14:paraId="517F0DA6" w14:textId="77777777" w:rsidR="00984181" w:rsidRDefault="00984181"/>
    <w:p w14:paraId="61C6CB81" w14:textId="77777777" w:rsidR="00984181" w:rsidRDefault="00000000">
      <w:pPr>
        <w:rPr>
          <w:lang w:eastAsia="zh-CN"/>
        </w:rPr>
      </w:pPr>
      <w:r>
        <w:rPr>
          <w:lang w:eastAsia="zh-CN"/>
        </w:rPr>
        <w:t>Troubleshooting: Common procedural issues and their management strategies are summarized below. If the patient reports excessive pain during scraping (exceeding 4 on a 0–10 VAS), pressure should be immediately reduced to the light scraping threshold or the procedure should be paused until discomfort subsides. If dizziness, palpitations, cold sweats, or nausea occur—symptoms consistent with a vasovagal response—scraping must be terminated immediately. The patient should be placed in a supine position and administered 200 mL of warm water containing 10 g of glucose. Monitoring should continue until symptoms are fully resolved. If sha fails to appear after 10 strokes, operators should not increase pressure beyond the moderate-pressure threshold. Absent or minimal sha may be attributable to individual variations in skin reactivity and does not necessarily indicate procedural failure; documentation of this observation is sufficient.</w:t>
      </w:r>
    </w:p>
    <w:p w14:paraId="00E7034E" w14:textId="77777777" w:rsidR="00984181" w:rsidRDefault="00984181"/>
    <w:p w14:paraId="2279EDC8" w14:textId="77777777" w:rsidR="00984181" w:rsidRDefault="00000000">
      <w:pPr>
        <w:widowControl/>
        <w:rPr>
          <w:lang w:eastAsia="zh-CN"/>
        </w:rPr>
      </w:pPr>
      <w:r>
        <w:rPr>
          <w:lang w:eastAsia="zh-CN"/>
        </w:rPr>
        <w:t>This protocol has several limitations that should be considered when interpreting the presented observational data. First, the absence of a control group (e.g., sham Gua Sha, conventional therapy, or no intervention) limits causal inference about the specificity of the observed changes. The data recorded are intended solely to illustrate protocol feasibility and workflow. Second, the sample size (N=20) and intervention duration (two weeks) are limited, and no long-term follow-up was conducted. Consequently, the durability of any post-procedure changes cannot be assessed. Third, operator-dependent variability in pressure application and scraping speed remains a potential confounder despite the standardization measures described. Fourth, certain material-specific properties of copper Bian-stone have been described in previous studies, including thermal conductivity</w:t>
      </w:r>
      <w:r>
        <w:rPr>
          <w:vertAlign w:val="superscript"/>
          <w:lang w:eastAsia="zh-CN"/>
        </w:rPr>
        <w:fldChar w:fldCharType="begin"/>
      </w:r>
      <w:r>
        <w:instrText xml:space="preserve"> REF _Ref25866 \r \h  \* MERGEFORMAT</w:instrText>
      </w:r>
      <w:r>
        <w:rPr>
          <w:vertAlign w:val="superscript"/>
          <w:lang w:eastAsia="zh-CN"/>
        </w:rPr>
      </w:r>
      <w:r>
        <w:rPr>
          <w:vertAlign w:val="superscript"/>
          <w:lang w:eastAsia="zh-CN"/>
        </w:rPr>
        <w:fldChar w:fldCharType="separate"/>
      </w:r>
      <w:r>
        <w:rPr>
          <w:vertAlign w:val="superscript"/>
          <w:lang w:eastAsia="zh-CN"/>
        </w:rPr>
        <w:t>13</w:t>
      </w:r>
      <w:r>
        <w:rPr>
          <w:vertAlign w:val="superscript"/>
          <w:lang w:eastAsia="zh-CN"/>
        </w:rPr>
        <w:fldChar w:fldCharType="end"/>
      </w:r>
      <w:r>
        <w:t xml:space="preserve"> </w:t>
      </w:r>
      <w:r>
        <w:rPr>
          <w:lang w:eastAsia="zh-CN"/>
        </w:rPr>
        <w:t xml:space="preserve">and the emission of far-infrared radiation (8–14 </w:t>
      </w:r>
      <w:proofErr w:type="spellStart"/>
      <w:r>
        <w:rPr>
          <w:lang w:eastAsia="zh-CN"/>
        </w:rPr>
        <w:t>μm</w:t>
      </w:r>
      <w:proofErr w:type="spellEnd"/>
      <w:r>
        <w:rPr>
          <w:lang w:eastAsia="zh-CN"/>
        </w:rPr>
        <w:t>) and ultrasonic pulses (20–2000 kHz)</w:t>
      </w:r>
      <w:r>
        <w:rPr>
          <w:vertAlign w:val="superscript"/>
          <w:lang w:eastAsia="zh-CN"/>
        </w:rPr>
        <w:fldChar w:fldCharType="begin"/>
      </w:r>
      <w:r>
        <w:instrText xml:space="preserve"> REF _Ref25772 \r \h  \* MERGEFORMAT</w:instrText>
      </w:r>
      <w:r>
        <w:rPr>
          <w:vertAlign w:val="superscript"/>
          <w:lang w:eastAsia="zh-CN"/>
        </w:rPr>
      </w:r>
      <w:r>
        <w:rPr>
          <w:vertAlign w:val="superscript"/>
          <w:lang w:eastAsia="zh-CN"/>
        </w:rPr>
        <w:fldChar w:fldCharType="separate"/>
      </w:r>
      <w:r>
        <w:rPr>
          <w:vertAlign w:val="superscript"/>
          <w:lang w:eastAsia="zh-CN"/>
        </w:rPr>
        <w:t>14</w:t>
      </w:r>
      <w:r>
        <w:rPr>
          <w:vertAlign w:val="superscript"/>
          <w:lang w:eastAsia="zh-CN"/>
        </w:rPr>
        <w:fldChar w:fldCharType="end"/>
      </w:r>
      <w:r>
        <w:rPr>
          <w:rFonts w:hint="eastAsia"/>
          <w:vertAlign w:val="superscript"/>
          <w:lang w:eastAsia="zh-CN"/>
        </w:rPr>
        <w:t>,</w:t>
      </w:r>
      <w:r>
        <w:rPr>
          <w:vertAlign w:val="superscript"/>
          <w:lang w:eastAsia="zh-CN"/>
        </w:rPr>
        <w:fldChar w:fldCharType="begin"/>
      </w:r>
      <w:r>
        <w:instrText xml:space="preserve"> REF _Ref25935 \r \h  \* MERGEFORMAT</w:instrText>
      </w:r>
      <w:r>
        <w:rPr>
          <w:vertAlign w:val="superscript"/>
          <w:lang w:eastAsia="zh-CN"/>
        </w:rPr>
      </w:r>
      <w:r>
        <w:rPr>
          <w:vertAlign w:val="superscript"/>
          <w:lang w:eastAsia="zh-CN"/>
        </w:rPr>
        <w:fldChar w:fldCharType="separate"/>
      </w:r>
      <w:r>
        <w:rPr>
          <w:vertAlign w:val="superscript"/>
          <w:lang w:eastAsia="zh-CN"/>
        </w:rPr>
        <w:t>15</w:t>
      </w:r>
      <w:r>
        <w:rPr>
          <w:vertAlign w:val="superscript"/>
          <w:lang w:eastAsia="zh-CN"/>
        </w:rPr>
        <w:fldChar w:fldCharType="end"/>
      </w:r>
      <w:r>
        <w:t xml:space="preserve">. </w:t>
      </w:r>
      <w:r>
        <w:rPr>
          <w:lang w:eastAsia="zh-CN"/>
        </w:rPr>
        <w:t>However, these physical effects were not directly measured in the present study and represent areas for future biophysical characterization. Fifth, the protocol was executed in a single clinical center by a single trained operator; multi-center validation would be required to assess broader reproducibility.</w:t>
      </w:r>
    </w:p>
    <w:p w14:paraId="40D559DF" w14:textId="77777777" w:rsidR="00984181" w:rsidRDefault="00984181">
      <w:pPr>
        <w:widowControl/>
        <w:rPr>
          <w:lang w:eastAsia="zh-CN"/>
        </w:rPr>
      </w:pPr>
    </w:p>
    <w:p w14:paraId="3AA3C3EF" w14:textId="77777777" w:rsidR="00984181" w:rsidRDefault="00000000">
      <w:pPr>
        <w:widowControl/>
        <w:rPr>
          <w:lang w:eastAsia="zh-CN"/>
        </w:rPr>
      </w:pPr>
      <w:r>
        <w:rPr>
          <w:lang w:eastAsia="zh-CN"/>
        </w:rPr>
        <w:t xml:space="preserve">In summary, this protocol provides a detailed, step-by-step framework for performing copper Bian-stone Gua Sha in a clinical research setting. The emphasis on standardized acupoint localization, pressure calibration, and safety monitoring is intended to facilitate consistent </w:t>
      </w:r>
      <w:r>
        <w:rPr>
          <w:lang w:eastAsia="zh-CN"/>
        </w:rPr>
        <w:lastRenderedPageBreak/>
        <w:t>application across operators and study sites. Previous studies have explored the effects of Gua Sha on immune function</w:t>
      </w:r>
      <w:r>
        <w:rPr>
          <w:vertAlign w:val="superscript"/>
          <w:lang w:eastAsia="zh-CN"/>
        </w:rPr>
        <w:fldChar w:fldCharType="begin"/>
      </w:r>
      <w:r>
        <w:instrText xml:space="preserve"> REF _Ref25736 \r \h  \* MERGEFORMAT</w:instrText>
      </w:r>
      <w:r>
        <w:rPr>
          <w:vertAlign w:val="superscript"/>
          <w:lang w:eastAsia="zh-CN"/>
        </w:rPr>
      </w:r>
      <w:r>
        <w:rPr>
          <w:vertAlign w:val="superscript"/>
          <w:lang w:eastAsia="zh-CN"/>
        </w:rPr>
        <w:fldChar w:fldCharType="separate"/>
      </w:r>
      <w:r>
        <w:rPr>
          <w:vertAlign w:val="superscript"/>
          <w:lang w:eastAsia="zh-CN"/>
        </w:rPr>
        <w:t>16</w:t>
      </w:r>
      <w:r>
        <w:rPr>
          <w:vertAlign w:val="superscript"/>
          <w:lang w:eastAsia="zh-CN"/>
        </w:rPr>
        <w:fldChar w:fldCharType="end"/>
      </w:r>
      <w:r>
        <w:t xml:space="preserve"> </w:t>
      </w:r>
      <w:r>
        <w:rPr>
          <w:lang w:eastAsia="zh-CN"/>
        </w:rPr>
        <w:t>and have reported the application of Back-Shu point scraping for CFS</w:t>
      </w:r>
      <w:r>
        <w:rPr>
          <w:vertAlign w:val="superscript"/>
          <w:lang w:eastAsia="zh-CN"/>
        </w:rPr>
        <w:fldChar w:fldCharType="begin"/>
      </w:r>
      <w:r>
        <w:instrText xml:space="preserve"> REF _Ref25360 \r \h  \* MERGEFORMAT</w:instrText>
      </w:r>
      <w:r>
        <w:rPr>
          <w:vertAlign w:val="superscript"/>
          <w:lang w:eastAsia="zh-CN"/>
        </w:rPr>
      </w:r>
      <w:r>
        <w:rPr>
          <w:vertAlign w:val="superscript"/>
          <w:lang w:eastAsia="zh-CN"/>
        </w:rPr>
        <w:fldChar w:fldCharType="separate"/>
      </w:r>
      <w:r>
        <w:rPr>
          <w:vertAlign w:val="superscript"/>
          <w:lang w:eastAsia="zh-CN"/>
        </w:rPr>
        <w:t>17</w:t>
      </w:r>
      <w:r>
        <w:rPr>
          <w:vertAlign w:val="superscript"/>
          <w:lang w:eastAsia="zh-CN"/>
        </w:rPr>
        <w:fldChar w:fldCharType="end"/>
      </w:r>
      <w:r>
        <w:rPr>
          <w:color w:val="000000" w:themeColor="text1"/>
        </w:rPr>
        <w:t>.</w:t>
      </w:r>
      <w:r>
        <w:rPr>
          <w:lang w:eastAsia="zh-CN"/>
        </w:rPr>
        <w:t xml:space="preserve"> Further controlled investigations will be required to evaluate therapeutic specificity, optimal treatment frequency, and underlying mechanisms of action. This protocol offers a non-pharmacological procedural alternative that may avoid certain limitations associated with long-term pharmacotherapy</w:t>
      </w:r>
      <w:r>
        <w:rPr>
          <w:vertAlign w:val="superscript"/>
          <w:lang w:eastAsia="zh-CN"/>
        </w:rPr>
        <w:fldChar w:fldCharType="begin"/>
      </w:r>
      <w:r>
        <w:instrText xml:space="preserve"> REF _Ref25817 \r \h  \* MERGEFORMAT</w:instrText>
      </w:r>
      <w:r>
        <w:rPr>
          <w:vertAlign w:val="superscript"/>
          <w:lang w:eastAsia="zh-CN"/>
        </w:rPr>
      </w:r>
      <w:r>
        <w:rPr>
          <w:vertAlign w:val="superscript"/>
          <w:lang w:eastAsia="zh-CN"/>
        </w:rPr>
        <w:fldChar w:fldCharType="separate"/>
      </w:r>
      <w:r>
        <w:rPr>
          <w:vertAlign w:val="superscript"/>
          <w:lang w:eastAsia="zh-CN"/>
        </w:rPr>
        <w:t>18</w:t>
      </w:r>
      <w:r>
        <w:rPr>
          <w:vertAlign w:val="superscript"/>
          <w:lang w:eastAsia="zh-CN"/>
        </w:rPr>
        <w:fldChar w:fldCharType="end"/>
      </w:r>
      <w:r>
        <w:t>,</w:t>
      </w:r>
      <w:r>
        <w:rPr>
          <w:lang w:eastAsia="zh-CN"/>
        </w:rPr>
        <w:t xml:space="preserve"> and may provide a framework for investigating interventions that address both physical and mental dimensions of fatigue-related conditions</w:t>
      </w:r>
      <w:r>
        <w:rPr>
          <w:vertAlign w:val="superscript"/>
          <w:lang w:eastAsia="zh-CN"/>
        </w:rPr>
        <w:fldChar w:fldCharType="begin"/>
      </w:r>
      <w:r>
        <w:instrText xml:space="preserve"> REF _Ref25893 \r \h  \* MERGEFORMAT</w:instrText>
      </w:r>
      <w:r>
        <w:rPr>
          <w:vertAlign w:val="superscript"/>
          <w:lang w:eastAsia="zh-CN"/>
        </w:rPr>
      </w:r>
      <w:r>
        <w:rPr>
          <w:vertAlign w:val="superscript"/>
          <w:lang w:eastAsia="zh-CN"/>
        </w:rPr>
        <w:fldChar w:fldCharType="separate"/>
      </w:r>
      <w:r>
        <w:rPr>
          <w:vertAlign w:val="superscript"/>
          <w:lang w:eastAsia="zh-CN"/>
        </w:rPr>
        <w:t>19</w:t>
      </w:r>
      <w:r>
        <w:rPr>
          <w:vertAlign w:val="superscript"/>
          <w:lang w:eastAsia="zh-CN"/>
        </w:rPr>
        <w:fldChar w:fldCharType="end"/>
      </w:r>
      <w:r>
        <w:rPr>
          <w:lang w:eastAsia="zh-CN"/>
        </w:rPr>
        <w:t>.</w:t>
      </w:r>
    </w:p>
    <w:p w14:paraId="13994739" w14:textId="77777777" w:rsidR="00984181" w:rsidRDefault="00984181">
      <w:pPr>
        <w:widowControl/>
      </w:pPr>
    </w:p>
    <w:p w14:paraId="37A07D18" w14:textId="77777777" w:rsidR="00984181" w:rsidRDefault="00000000">
      <w:pPr>
        <w:rPr>
          <w:color w:val="808080"/>
        </w:rPr>
      </w:pPr>
      <w:r>
        <w:rPr>
          <w:b/>
          <w:color w:val="000000"/>
        </w:rPr>
        <w:t xml:space="preserve">ACKNOWLEDGMENTS: </w:t>
      </w:r>
    </w:p>
    <w:p w14:paraId="22EBD052" w14:textId="77777777" w:rsidR="00984181" w:rsidRDefault="00000000">
      <w:pPr>
        <w:rPr>
          <w:lang w:eastAsia="zh-CN"/>
        </w:rPr>
      </w:pPr>
      <w:r>
        <w:rPr>
          <w:lang w:eastAsia="zh-CN"/>
        </w:rPr>
        <w:t>Capital source: Second Traditional Chinese Medicine Hospital by: Guangdong Basic and Applied Basic Research Foundation (2023A1515220116); Special Fund for the Transformation of Scientific and Technological Achievements in the Guangdong-Hong Kong-Macao Greater Bay Area Life and Health Innovation Zone (GBALH202309); Guangdong Province Liu Yue Famous Traditional Chinese Medicine Studio (Yue Zhong Yi Ban Han [2023] No. 108).</w:t>
      </w:r>
    </w:p>
    <w:p w14:paraId="4BA3A205" w14:textId="77777777" w:rsidR="00984181" w:rsidRDefault="00984181">
      <w:pPr>
        <w:rPr>
          <w:lang w:eastAsia="zh-CN"/>
        </w:rPr>
      </w:pPr>
    </w:p>
    <w:p w14:paraId="5F8B778D" w14:textId="77777777" w:rsidR="00984181" w:rsidRDefault="00000000">
      <w:pPr>
        <w:rPr>
          <w:color w:val="808080"/>
        </w:rPr>
      </w:pPr>
      <w:r>
        <w:rPr>
          <w:b/>
          <w:color w:val="000000"/>
        </w:rPr>
        <w:t>DISCLOSURES:</w:t>
      </w:r>
    </w:p>
    <w:p w14:paraId="04763EFB" w14:textId="77777777" w:rsidR="00984181" w:rsidRDefault="00000000">
      <w:r>
        <w:rPr>
          <w:lang w:eastAsia="zh-CN"/>
        </w:rPr>
        <w:t>The authors declare no competing interests.</w:t>
      </w:r>
    </w:p>
    <w:p w14:paraId="475AE618" w14:textId="77777777" w:rsidR="00984181" w:rsidRDefault="00984181"/>
    <w:p w14:paraId="053A086E" w14:textId="77777777" w:rsidR="00984181" w:rsidRDefault="00000000">
      <w:proofErr w:type="gramStart"/>
      <w:r>
        <w:rPr>
          <w:b/>
        </w:rPr>
        <w:t>REFERENCES</w:t>
      </w:r>
      <w:proofErr w:type="gramEnd"/>
      <w:r>
        <w:rPr>
          <w:b/>
        </w:rPr>
        <w:t>:</w:t>
      </w:r>
      <w:r>
        <w:t xml:space="preserve"> </w:t>
      </w:r>
    </w:p>
    <w:p w14:paraId="1159B9DD" w14:textId="77777777" w:rsidR="00984181" w:rsidRDefault="00000000">
      <w:pPr>
        <w:numPr>
          <w:ilvl w:val="0"/>
          <w:numId w:val="4"/>
        </w:numPr>
        <w:rPr>
          <w:bCs/>
          <w:color w:val="000000"/>
          <w:lang w:val="en-IN"/>
        </w:rPr>
      </w:pPr>
      <w:bookmarkStart w:id="0" w:name="_Ref24276"/>
      <w:r>
        <w:rPr>
          <w:bCs/>
          <w:color w:val="000000"/>
          <w:lang w:val="en-IN"/>
        </w:rPr>
        <w:t xml:space="preserve">Fukuda K, Straus SE, Hickie I, Sharpe MC, Dobbins JG, </w:t>
      </w:r>
      <w:proofErr w:type="spellStart"/>
      <w:r>
        <w:rPr>
          <w:bCs/>
          <w:color w:val="000000"/>
          <w:lang w:val="en-IN"/>
        </w:rPr>
        <w:t>Komaroff</w:t>
      </w:r>
      <w:proofErr w:type="spellEnd"/>
      <w:r>
        <w:rPr>
          <w:bCs/>
          <w:color w:val="000000"/>
          <w:lang w:val="en-IN"/>
        </w:rPr>
        <w:t xml:space="preserve"> A; International Chronic Fatigue Syndrome Study Group. The chronic fatigue syndrome: a comprehensive approach to its definition and study. Ann Intern Med. 1994;121(12):953-9.</w:t>
      </w:r>
      <w:bookmarkEnd w:id="0"/>
    </w:p>
    <w:p w14:paraId="2534ADBC" w14:textId="77777777" w:rsidR="00984181" w:rsidRDefault="00000000">
      <w:pPr>
        <w:numPr>
          <w:ilvl w:val="0"/>
          <w:numId w:val="4"/>
        </w:numPr>
        <w:rPr>
          <w:bCs/>
          <w:color w:val="000000"/>
          <w:lang w:val="en-IN"/>
        </w:rPr>
      </w:pPr>
      <w:bookmarkStart w:id="1" w:name="_Ref24384"/>
      <w:r>
        <w:rPr>
          <w:bCs/>
          <w:color w:val="000000"/>
          <w:lang w:val="en-IN"/>
        </w:rPr>
        <w:t>Castro-Marrero J, Cordero MD, Sáez-</w:t>
      </w:r>
      <w:proofErr w:type="spellStart"/>
      <w:r>
        <w:rPr>
          <w:bCs/>
          <w:color w:val="000000"/>
          <w:lang w:val="en-IN"/>
        </w:rPr>
        <w:t>Francas</w:t>
      </w:r>
      <w:proofErr w:type="spellEnd"/>
      <w:r>
        <w:rPr>
          <w:bCs/>
          <w:color w:val="000000"/>
          <w:lang w:val="en-IN"/>
        </w:rPr>
        <w:t xml:space="preserve"> N, Jimenez-Gutierrez C, Aguilar-Montilla FJ, Aliste L, et al. Could mitochondrial dysfunction be a differentiating marker between chronic fatigue syndrome and fibromyalgia? </w:t>
      </w:r>
      <w:proofErr w:type="spellStart"/>
      <w:r>
        <w:rPr>
          <w:bCs/>
          <w:color w:val="000000"/>
          <w:lang w:val="en-IN"/>
        </w:rPr>
        <w:t>Antioxid</w:t>
      </w:r>
      <w:proofErr w:type="spellEnd"/>
      <w:r>
        <w:rPr>
          <w:bCs/>
          <w:color w:val="000000"/>
          <w:lang w:val="en-IN"/>
        </w:rPr>
        <w:t xml:space="preserve"> Redox Signal. 2013 Nov 20;19(15):1855-60. </w:t>
      </w:r>
      <w:bookmarkEnd w:id="1"/>
    </w:p>
    <w:p w14:paraId="4C60299C" w14:textId="77777777" w:rsidR="00984181" w:rsidRDefault="00000000">
      <w:pPr>
        <w:numPr>
          <w:ilvl w:val="0"/>
          <w:numId w:val="4"/>
        </w:numPr>
        <w:rPr>
          <w:bCs/>
          <w:color w:val="000000"/>
          <w:lang w:val="en-IN"/>
        </w:rPr>
      </w:pPr>
      <w:bookmarkStart w:id="2" w:name="_Ref24423"/>
      <w:r>
        <w:rPr>
          <w:bCs/>
          <w:color w:val="000000"/>
          <w:lang w:val="en-IN"/>
        </w:rPr>
        <w:t xml:space="preserve">Zhao Y, Zhang MM, Jin J. Research progress in Chinese medicine for chronic fatigue syndrome. Chin J Mod Appl Pharm. 2023;40(11):1571-7. </w:t>
      </w:r>
      <w:proofErr w:type="spellStart"/>
      <w:r>
        <w:rPr>
          <w:bCs/>
          <w:color w:val="000000"/>
          <w:lang w:val="en-IN"/>
        </w:rPr>
        <w:t>doi</w:t>
      </w:r>
      <w:proofErr w:type="spellEnd"/>
      <w:r>
        <w:rPr>
          <w:bCs/>
          <w:color w:val="000000"/>
          <w:lang w:val="en-IN"/>
        </w:rPr>
        <w:t>: 10.13748/j.cnki.issn1007-7693.20222590.</w:t>
      </w:r>
      <w:bookmarkEnd w:id="2"/>
    </w:p>
    <w:p w14:paraId="2029176C" w14:textId="77777777" w:rsidR="00984181" w:rsidRDefault="00000000">
      <w:pPr>
        <w:numPr>
          <w:ilvl w:val="0"/>
          <w:numId w:val="4"/>
        </w:numPr>
        <w:rPr>
          <w:bCs/>
          <w:color w:val="000000"/>
          <w:lang w:val="en-IN"/>
        </w:rPr>
      </w:pPr>
      <w:bookmarkStart w:id="3" w:name="_Ref7910"/>
      <w:r>
        <w:rPr>
          <w:bCs/>
          <w:color w:val="000000"/>
          <w:lang w:val="en-IN"/>
        </w:rPr>
        <w:t>Diagnostic and efficacy standards for traditional Chinese medicine diseases and syndromes: ZY/T 001.1-001.9. Nanjing: Nanjing University Press; 1994.</w:t>
      </w:r>
      <w:bookmarkEnd w:id="3"/>
    </w:p>
    <w:p w14:paraId="6374443A" w14:textId="77777777" w:rsidR="00984181" w:rsidRDefault="00000000">
      <w:pPr>
        <w:numPr>
          <w:ilvl w:val="0"/>
          <w:numId w:val="4"/>
        </w:numPr>
        <w:rPr>
          <w:bCs/>
          <w:color w:val="000000"/>
          <w:lang w:val="en-IN"/>
        </w:rPr>
      </w:pPr>
      <w:bookmarkStart w:id="4" w:name="_Ref8981"/>
      <w:r>
        <w:rPr>
          <w:bCs/>
          <w:color w:val="000000"/>
          <w:lang w:val="en-IN"/>
        </w:rPr>
        <w:t>National Health Commission of the People’s Republic of China. Regulation of hand hygiene for healthcare workers: WS/T 313-2019. Chin J Infect Control. 2020;19(1):93-8.</w:t>
      </w:r>
      <w:bookmarkEnd w:id="4"/>
    </w:p>
    <w:p w14:paraId="7E6A5589" w14:textId="77777777" w:rsidR="00984181" w:rsidRDefault="00000000">
      <w:pPr>
        <w:numPr>
          <w:ilvl w:val="0"/>
          <w:numId w:val="4"/>
        </w:numPr>
        <w:rPr>
          <w:bCs/>
          <w:color w:val="000000"/>
          <w:lang w:val="en-IN"/>
        </w:rPr>
      </w:pPr>
      <w:bookmarkStart w:id="5" w:name="_Ref9347"/>
      <w:r>
        <w:rPr>
          <w:bCs/>
          <w:color w:val="000000"/>
          <w:lang w:val="en-IN"/>
        </w:rPr>
        <w:t>National Technical Committee on Acupuncture and Moxibustion of Standardization Administration of China. Nomenclature and location of meridian points: GB/T 12346-2021. Beijing: Standards Press of China; 2021.</w:t>
      </w:r>
      <w:bookmarkEnd w:id="5"/>
    </w:p>
    <w:p w14:paraId="50605B42" w14:textId="77777777" w:rsidR="00984181" w:rsidRDefault="00000000">
      <w:pPr>
        <w:numPr>
          <w:ilvl w:val="0"/>
          <w:numId w:val="4"/>
        </w:numPr>
        <w:rPr>
          <w:bCs/>
          <w:color w:val="000000"/>
          <w:lang w:val="en-IN"/>
        </w:rPr>
      </w:pPr>
      <w:bookmarkStart w:id="6" w:name="_Ref9598"/>
      <w:r>
        <w:rPr>
          <w:bCs/>
          <w:color w:val="000000"/>
          <w:lang w:val="en-IN"/>
        </w:rPr>
        <w:t xml:space="preserve">Hou MH, Yu YJ, Liu Y, Bao DX. Study on the application effect of warm-unblocking Gua Sha in hypertension patients with phlegm-stasis internal obstruction. Nurs </w:t>
      </w:r>
      <w:proofErr w:type="spellStart"/>
      <w:r>
        <w:rPr>
          <w:bCs/>
          <w:color w:val="000000"/>
          <w:lang w:val="en-IN"/>
        </w:rPr>
        <w:t>Rehabil</w:t>
      </w:r>
      <w:proofErr w:type="spellEnd"/>
      <w:r>
        <w:rPr>
          <w:bCs/>
          <w:color w:val="000000"/>
          <w:lang w:val="en-IN"/>
        </w:rPr>
        <w:t>. 2023;22(7):19-22.</w:t>
      </w:r>
      <w:bookmarkEnd w:id="6"/>
    </w:p>
    <w:p w14:paraId="1B99E1CC" w14:textId="77777777" w:rsidR="00984181" w:rsidRDefault="00000000">
      <w:pPr>
        <w:numPr>
          <w:ilvl w:val="0"/>
          <w:numId w:val="4"/>
        </w:numPr>
        <w:rPr>
          <w:bCs/>
          <w:color w:val="000000"/>
          <w:lang w:val="en-IN"/>
        </w:rPr>
      </w:pPr>
      <w:bookmarkStart w:id="7" w:name="_Ref9941"/>
      <w:r>
        <w:rPr>
          <w:bCs/>
          <w:color w:val="000000"/>
          <w:lang w:val="en-IN"/>
        </w:rPr>
        <w:t xml:space="preserve">Krupp LB, LaRocca NG, Muir-Nash J, Steinberg AD. The fatigue severity scale: application to patients with multiple sclerosis and systemic lupus erythematosus. Arch Neurol. 1989 Oct;46(10):1121-3. </w:t>
      </w:r>
      <w:proofErr w:type="spellStart"/>
      <w:r>
        <w:rPr>
          <w:bCs/>
          <w:color w:val="000000"/>
          <w:lang w:val="en-IN"/>
        </w:rPr>
        <w:t>doi</w:t>
      </w:r>
      <w:proofErr w:type="spellEnd"/>
      <w:r>
        <w:rPr>
          <w:bCs/>
          <w:color w:val="000000"/>
          <w:lang w:val="en-IN"/>
        </w:rPr>
        <w:t>: 10.1001/archneur.1989.00520460115022. PMID: 2803071.</w:t>
      </w:r>
      <w:bookmarkEnd w:id="7"/>
    </w:p>
    <w:p w14:paraId="79781B62" w14:textId="77777777" w:rsidR="00984181" w:rsidRDefault="00000000">
      <w:pPr>
        <w:numPr>
          <w:ilvl w:val="0"/>
          <w:numId w:val="4"/>
        </w:numPr>
        <w:rPr>
          <w:bCs/>
          <w:color w:val="000000"/>
          <w:lang w:val="en-IN"/>
        </w:rPr>
      </w:pPr>
      <w:bookmarkStart w:id="8" w:name="_Ref10242"/>
      <w:r>
        <w:rPr>
          <w:bCs/>
          <w:color w:val="000000"/>
          <w:lang w:val="en-IN"/>
        </w:rPr>
        <w:t>Zheng XY. Guiding principles for clinical research of new Chinese medicines. Beijing: China Medical Science Press; 2002.</w:t>
      </w:r>
      <w:bookmarkEnd w:id="8"/>
    </w:p>
    <w:p w14:paraId="0FBF7B5C" w14:textId="77777777" w:rsidR="00984181" w:rsidRDefault="00000000">
      <w:pPr>
        <w:numPr>
          <w:ilvl w:val="0"/>
          <w:numId w:val="4"/>
        </w:numPr>
        <w:rPr>
          <w:bCs/>
          <w:color w:val="000000"/>
          <w:lang w:val="en-IN"/>
        </w:rPr>
      </w:pPr>
      <w:bookmarkStart w:id="9" w:name="_Ref10653"/>
      <w:r w:rsidRPr="00DC566D">
        <w:rPr>
          <w:bCs/>
          <w:color w:val="000000"/>
          <w:lang w:val="de-DE"/>
        </w:rPr>
        <w:t xml:space="preserve">Ware JE Jr, Sherbourne CD. </w:t>
      </w:r>
      <w:r>
        <w:rPr>
          <w:bCs/>
          <w:color w:val="000000"/>
          <w:lang w:val="en-IN"/>
        </w:rPr>
        <w:t xml:space="preserve">The MOS 36-item short-form health survey: I. Conceptual </w:t>
      </w:r>
      <w:r>
        <w:rPr>
          <w:bCs/>
          <w:color w:val="000000"/>
          <w:lang w:val="en-IN"/>
        </w:rPr>
        <w:lastRenderedPageBreak/>
        <w:t>framework and item selection. Med Care. 1992 Jun;30(6):473-83. PMID: 1593914.</w:t>
      </w:r>
      <w:bookmarkEnd w:id="9"/>
    </w:p>
    <w:p w14:paraId="3FEC3C88" w14:textId="77777777" w:rsidR="00984181" w:rsidRDefault="00000000">
      <w:pPr>
        <w:numPr>
          <w:ilvl w:val="0"/>
          <w:numId w:val="4"/>
        </w:numPr>
        <w:rPr>
          <w:bCs/>
          <w:color w:val="000000"/>
          <w:lang w:val="en-IN"/>
        </w:rPr>
      </w:pPr>
      <w:bookmarkStart w:id="10" w:name="_Ref10660"/>
      <w:r>
        <w:rPr>
          <w:bCs/>
          <w:color w:val="000000"/>
          <w:lang w:val="en-IN"/>
        </w:rPr>
        <w:t>Li L, Wang HM, Shen Y. Development and psychometric tests of a Chinese version of the SF-36 Health Survey Scales. Zhonghua Yu Fang Yi Xue Za Zhi. 2002 Mar;36(2):109-13. PMID: 12410965.</w:t>
      </w:r>
      <w:bookmarkEnd w:id="10"/>
    </w:p>
    <w:p w14:paraId="64DB0B84" w14:textId="77777777" w:rsidR="00984181" w:rsidRDefault="00000000">
      <w:pPr>
        <w:numPr>
          <w:ilvl w:val="0"/>
          <w:numId w:val="4"/>
        </w:numPr>
        <w:rPr>
          <w:bCs/>
          <w:color w:val="000000"/>
          <w:lang w:val="en-IN"/>
        </w:rPr>
      </w:pPr>
      <w:bookmarkStart w:id="11" w:name="_Ref26895"/>
      <w:r>
        <w:rPr>
          <w:bCs/>
          <w:color w:val="000000"/>
          <w:lang w:val="en-IN"/>
        </w:rPr>
        <w:t xml:space="preserve">Liang H. Clinical observation of scraping the Back-Shu functional zone for treating chronic fatigue syndrome. Guid J </w:t>
      </w:r>
      <w:proofErr w:type="spellStart"/>
      <w:r>
        <w:rPr>
          <w:bCs/>
          <w:color w:val="000000"/>
          <w:lang w:val="en-IN"/>
        </w:rPr>
        <w:t>Tradit</w:t>
      </w:r>
      <w:proofErr w:type="spellEnd"/>
      <w:r>
        <w:rPr>
          <w:bCs/>
          <w:color w:val="000000"/>
          <w:lang w:val="en-IN"/>
        </w:rPr>
        <w:t xml:space="preserve"> Chin Med Pharm. 2017;23(23):119-20.</w:t>
      </w:r>
      <w:bookmarkEnd w:id="11"/>
    </w:p>
    <w:p w14:paraId="4255A630" w14:textId="77777777" w:rsidR="00984181" w:rsidRDefault="00000000">
      <w:pPr>
        <w:numPr>
          <w:ilvl w:val="0"/>
          <w:numId w:val="4"/>
        </w:numPr>
        <w:rPr>
          <w:bCs/>
          <w:color w:val="000000"/>
          <w:lang w:val="en-IN"/>
        </w:rPr>
      </w:pPr>
      <w:bookmarkStart w:id="12" w:name="_Ref25866"/>
      <w:r>
        <w:rPr>
          <w:bCs/>
          <w:color w:val="000000"/>
          <w:lang w:val="en-IN"/>
        </w:rPr>
        <w:t xml:space="preserve">Wu [initials unavailable], Chen H. Investigation on the mechanism of Sibin </w:t>
      </w:r>
      <w:proofErr w:type="spellStart"/>
      <w:r>
        <w:rPr>
          <w:bCs/>
          <w:color w:val="000000"/>
          <w:lang w:val="en-IN"/>
        </w:rPr>
        <w:t>bian</w:t>
      </w:r>
      <w:proofErr w:type="spellEnd"/>
      <w:r>
        <w:rPr>
          <w:bCs/>
          <w:color w:val="000000"/>
          <w:lang w:val="en-IN"/>
        </w:rPr>
        <w:t>-stone. In: Bian-stone and Scraping Committee of China Association of Acupuncture-Moxibustion, editor. Proceedings of the 2016 Academic Annual Conference of the Bian-stone and Scraping Committee of China Association of Acupuncture-Moxibustion. Guangzhou: The Second Clinical Medical College of Guangzhou University of Chinese Medicine; China Association of Acupuncture-Moxibustion; 2016. p. 93-5.</w:t>
      </w:r>
      <w:bookmarkEnd w:id="12"/>
    </w:p>
    <w:p w14:paraId="6AD5541B" w14:textId="77777777" w:rsidR="00984181" w:rsidRDefault="00000000">
      <w:pPr>
        <w:numPr>
          <w:ilvl w:val="0"/>
          <w:numId w:val="4"/>
        </w:numPr>
        <w:rPr>
          <w:bCs/>
          <w:color w:val="000000"/>
          <w:lang w:val="en-IN"/>
        </w:rPr>
      </w:pPr>
      <w:bookmarkStart w:id="13" w:name="_Ref25772"/>
      <w:r w:rsidRPr="00DC566D">
        <w:rPr>
          <w:bCs/>
          <w:color w:val="000000"/>
          <w:lang w:val="de-DE"/>
        </w:rPr>
        <w:t xml:space="preserve">Gong Y, Guo CF, Wang DM. </w:t>
      </w:r>
      <w:r>
        <w:rPr>
          <w:bCs/>
          <w:color w:val="000000"/>
          <w:lang w:val="en-IN"/>
        </w:rPr>
        <w:t xml:space="preserve">Observation on the curative effect of scraping the Back-Shu functional zone combined with head scraping in treating chronic fatigue syndrome. Guid J </w:t>
      </w:r>
      <w:proofErr w:type="spellStart"/>
      <w:r>
        <w:rPr>
          <w:bCs/>
          <w:color w:val="000000"/>
          <w:lang w:val="en-IN"/>
        </w:rPr>
        <w:t>Tradit</w:t>
      </w:r>
      <w:proofErr w:type="spellEnd"/>
      <w:r>
        <w:rPr>
          <w:bCs/>
          <w:color w:val="000000"/>
          <w:lang w:val="en-IN"/>
        </w:rPr>
        <w:t xml:space="preserve"> Chin Med Pharm. 2021;27(4</w:t>
      </w:r>
      <w:proofErr w:type="gramStart"/>
      <w:r>
        <w:rPr>
          <w:bCs/>
          <w:color w:val="000000"/>
          <w:lang w:val="en-IN"/>
        </w:rPr>
        <w:t>):[</w:t>
      </w:r>
      <w:proofErr w:type="gramEnd"/>
      <w:r>
        <w:rPr>
          <w:bCs/>
          <w:color w:val="000000"/>
          <w:lang w:val="en-IN"/>
        </w:rPr>
        <w:t>pages unavailable].</w:t>
      </w:r>
      <w:bookmarkEnd w:id="13"/>
    </w:p>
    <w:p w14:paraId="15087364" w14:textId="77777777" w:rsidR="00984181" w:rsidRDefault="00000000">
      <w:pPr>
        <w:numPr>
          <w:ilvl w:val="0"/>
          <w:numId w:val="4"/>
        </w:numPr>
        <w:rPr>
          <w:bCs/>
          <w:color w:val="000000"/>
          <w:lang w:val="en-IN"/>
        </w:rPr>
      </w:pPr>
      <w:bookmarkStart w:id="14" w:name="_Ref25935"/>
      <w:r>
        <w:rPr>
          <w:bCs/>
          <w:color w:val="000000"/>
          <w:lang w:val="en-IN"/>
        </w:rPr>
        <w:t xml:space="preserve">Meng B. Bian </w:t>
      </w:r>
      <w:proofErr w:type="spellStart"/>
      <w:r>
        <w:rPr>
          <w:bCs/>
          <w:color w:val="000000"/>
          <w:lang w:val="en-IN"/>
        </w:rPr>
        <w:t>shi</w:t>
      </w:r>
      <w:proofErr w:type="spellEnd"/>
      <w:r>
        <w:rPr>
          <w:bCs/>
          <w:color w:val="000000"/>
          <w:lang w:val="en-IN"/>
        </w:rPr>
        <w:t xml:space="preserve"> </w:t>
      </w:r>
      <w:proofErr w:type="spellStart"/>
      <w:r>
        <w:rPr>
          <w:bCs/>
          <w:color w:val="000000"/>
          <w:lang w:val="en-IN"/>
        </w:rPr>
        <w:t>xue</w:t>
      </w:r>
      <w:proofErr w:type="spellEnd"/>
      <w:r>
        <w:rPr>
          <w:bCs/>
          <w:color w:val="000000"/>
          <w:lang w:val="en-IN"/>
        </w:rPr>
        <w:t>. Beijing: Traditional Chinese Medicine Ancient Books Publishing House; 2007.</w:t>
      </w:r>
      <w:bookmarkEnd w:id="14"/>
    </w:p>
    <w:p w14:paraId="003F863E" w14:textId="77777777" w:rsidR="00984181" w:rsidRDefault="00000000">
      <w:pPr>
        <w:numPr>
          <w:ilvl w:val="0"/>
          <w:numId w:val="4"/>
        </w:numPr>
        <w:rPr>
          <w:bCs/>
          <w:color w:val="000000"/>
          <w:lang w:val="en-IN"/>
        </w:rPr>
      </w:pPr>
      <w:bookmarkStart w:id="15" w:name="_Ref25736"/>
      <w:r>
        <w:rPr>
          <w:bCs/>
          <w:color w:val="000000"/>
          <w:lang w:val="en-IN"/>
        </w:rPr>
        <w:t xml:space="preserve">Arnold LM, Blom TJ, Welge JA, </w:t>
      </w:r>
      <w:proofErr w:type="spellStart"/>
      <w:r>
        <w:rPr>
          <w:bCs/>
          <w:color w:val="000000"/>
          <w:lang w:val="en-IN"/>
        </w:rPr>
        <w:t>Mariutto</w:t>
      </w:r>
      <w:proofErr w:type="spellEnd"/>
      <w:r>
        <w:rPr>
          <w:bCs/>
          <w:color w:val="000000"/>
          <w:lang w:val="en-IN"/>
        </w:rPr>
        <w:t xml:space="preserve"> E, Heller A. A randomized, placebo-controlled, double-blinded trial of duloxetine in the treatment of general fatigue in patients with chronic fatigue syndrome. Psychosomatics. 2015 May-Jun;56(3):242-53. </w:t>
      </w:r>
      <w:proofErr w:type="spellStart"/>
      <w:r>
        <w:rPr>
          <w:bCs/>
          <w:color w:val="000000"/>
          <w:lang w:val="en-IN"/>
        </w:rPr>
        <w:t>doi</w:t>
      </w:r>
      <w:proofErr w:type="spellEnd"/>
      <w:r>
        <w:rPr>
          <w:bCs/>
          <w:color w:val="000000"/>
          <w:lang w:val="en-IN"/>
        </w:rPr>
        <w:t xml:space="preserve">: 10.1016/j.psym.2014.12.003. </w:t>
      </w:r>
      <w:proofErr w:type="spellStart"/>
      <w:r>
        <w:rPr>
          <w:bCs/>
          <w:color w:val="000000"/>
          <w:lang w:val="en-IN"/>
        </w:rPr>
        <w:t>Epub</w:t>
      </w:r>
      <w:proofErr w:type="spellEnd"/>
      <w:r>
        <w:rPr>
          <w:bCs/>
          <w:color w:val="000000"/>
          <w:lang w:val="en-IN"/>
        </w:rPr>
        <w:t xml:space="preserve"> 2014 Dec 16. PMID: 25660434.</w:t>
      </w:r>
      <w:bookmarkEnd w:id="15"/>
    </w:p>
    <w:p w14:paraId="200DB3DE" w14:textId="77777777" w:rsidR="00984181" w:rsidRDefault="00000000">
      <w:pPr>
        <w:numPr>
          <w:ilvl w:val="0"/>
          <w:numId w:val="4"/>
        </w:numPr>
        <w:rPr>
          <w:bCs/>
          <w:color w:val="000000"/>
          <w:lang w:val="en-IN"/>
        </w:rPr>
      </w:pPr>
      <w:bookmarkStart w:id="16" w:name="_Ref25360"/>
      <w:r>
        <w:rPr>
          <w:bCs/>
          <w:color w:val="000000"/>
          <w:lang w:val="en-IN"/>
        </w:rPr>
        <w:t xml:space="preserve">Li Z, Liu Y, Ge X, Yang T, Peng YQ. Related factors analysis of chronic fatigue syndrome with anxiety and depression based on data mining. Chin J Gen </w:t>
      </w:r>
      <w:proofErr w:type="spellStart"/>
      <w:r>
        <w:rPr>
          <w:bCs/>
          <w:color w:val="000000"/>
          <w:lang w:val="en-IN"/>
        </w:rPr>
        <w:t>Pract</w:t>
      </w:r>
      <w:proofErr w:type="spellEnd"/>
      <w:r>
        <w:rPr>
          <w:bCs/>
          <w:color w:val="000000"/>
          <w:lang w:val="en-IN"/>
        </w:rPr>
        <w:t>. 2018;16(2):204-6.</w:t>
      </w:r>
      <w:bookmarkEnd w:id="16"/>
    </w:p>
    <w:p w14:paraId="48BA2018" w14:textId="77777777" w:rsidR="00984181" w:rsidRDefault="00000000">
      <w:pPr>
        <w:numPr>
          <w:ilvl w:val="0"/>
          <w:numId w:val="4"/>
        </w:numPr>
        <w:rPr>
          <w:bCs/>
          <w:color w:val="000000"/>
          <w:lang w:val="en-IN"/>
        </w:rPr>
      </w:pPr>
      <w:bookmarkStart w:id="17" w:name="_Ref25817"/>
      <w:r w:rsidRPr="00DC566D">
        <w:rPr>
          <w:bCs/>
          <w:color w:val="000000"/>
          <w:lang w:val="de-DE"/>
        </w:rPr>
        <w:t xml:space="preserve">Zeng J, Lyu MZ, Ling XL. </w:t>
      </w:r>
      <w:r>
        <w:rPr>
          <w:bCs/>
          <w:color w:val="000000"/>
          <w:lang w:val="en-IN"/>
        </w:rPr>
        <w:t xml:space="preserve">Effects of scraping therapy on immune function in chronic fatigue rats. Clin J </w:t>
      </w:r>
      <w:proofErr w:type="spellStart"/>
      <w:r>
        <w:rPr>
          <w:bCs/>
          <w:color w:val="000000"/>
          <w:lang w:val="en-IN"/>
        </w:rPr>
        <w:t>Tradit</w:t>
      </w:r>
      <w:proofErr w:type="spellEnd"/>
      <w:r>
        <w:rPr>
          <w:bCs/>
          <w:color w:val="000000"/>
          <w:lang w:val="en-IN"/>
        </w:rPr>
        <w:t xml:space="preserve"> Chin Med. 2013;25(2):162-4, 189.</w:t>
      </w:r>
      <w:bookmarkEnd w:id="17"/>
    </w:p>
    <w:p w14:paraId="276E15C8" w14:textId="77777777" w:rsidR="00984181" w:rsidRDefault="00000000">
      <w:pPr>
        <w:numPr>
          <w:ilvl w:val="0"/>
          <w:numId w:val="4"/>
        </w:numPr>
        <w:rPr>
          <w:bCs/>
          <w:color w:val="000000"/>
          <w:lang w:val="en-IN"/>
        </w:rPr>
      </w:pPr>
      <w:bookmarkStart w:id="18" w:name="_Ref25893"/>
      <w:r>
        <w:rPr>
          <w:bCs/>
          <w:color w:val="000000"/>
          <w:lang w:val="en-IN"/>
        </w:rPr>
        <w:t xml:space="preserve">Xie XD, Wang FY, Xie NZ, Wang Y, Lao PL, Jiang JC. A study on the mineralogy of Sibin </w:t>
      </w:r>
      <w:proofErr w:type="spellStart"/>
      <w:r>
        <w:rPr>
          <w:bCs/>
          <w:color w:val="000000"/>
          <w:lang w:val="en-IN"/>
        </w:rPr>
        <w:t>bian</w:t>
      </w:r>
      <w:proofErr w:type="spellEnd"/>
      <w:r>
        <w:rPr>
          <w:bCs/>
          <w:color w:val="000000"/>
          <w:lang w:val="en-IN"/>
        </w:rPr>
        <w:t>-stone I: the relationship between petrochemical composition, rock structure characteristics and infrared radiation function. Bull Mineral Petrol Geochem. 2008;27(1):1-5.</w:t>
      </w:r>
      <w:bookmarkEnd w:id="18"/>
    </w:p>
    <w:p w14:paraId="04B10B7F" w14:textId="77777777" w:rsidR="00984181" w:rsidRDefault="00984181">
      <w:pPr>
        <w:rPr>
          <w:b/>
          <w:color w:val="000000"/>
        </w:rPr>
      </w:pPr>
    </w:p>
    <w:sectPr w:rsidR="00984181">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B9A0F" w14:textId="77777777" w:rsidR="005E749E" w:rsidRDefault="005E749E">
      <w:r>
        <w:separator/>
      </w:r>
    </w:p>
  </w:endnote>
  <w:endnote w:type="continuationSeparator" w:id="0">
    <w:p w14:paraId="52E8DC0F" w14:textId="77777777" w:rsidR="005E749E" w:rsidRDefault="005E7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7FB47" w14:textId="77777777" w:rsidR="00984181" w:rsidRDefault="00984181">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19A11" w14:textId="77777777" w:rsidR="005E749E" w:rsidRDefault="005E749E">
      <w:r>
        <w:separator/>
      </w:r>
    </w:p>
  </w:footnote>
  <w:footnote w:type="continuationSeparator" w:id="0">
    <w:p w14:paraId="26B6DC4A" w14:textId="77777777" w:rsidR="005E749E" w:rsidRDefault="005E7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2169" w14:textId="77777777" w:rsidR="00984181" w:rsidRDefault="00984181">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9DD5A" w14:textId="77777777" w:rsidR="00984181"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E331A" w14:textId="77777777" w:rsidR="00984181" w:rsidRDefault="00000000">
    <w:pP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C7E9A9"/>
    <w:multiLevelType w:val="singleLevel"/>
    <w:tmpl w:val="A9C7E9A9"/>
    <w:lvl w:ilvl="0">
      <w:start w:val="1"/>
      <w:numFmt w:val="decimal"/>
      <w:lvlText w:val="%1."/>
      <w:lvlJc w:val="left"/>
      <w:pPr>
        <w:ind w:left="425" w:hanging="425"/>
      </w:pPr>
      <w:rPr>
        <w:rFonts w:hint="default"/>
      </w:rPr>
    </w:lvl>
  </w:abstractNum>
  <w:abstractNum w:abstractNumId="1" w15:restartNumberingAfterBreak="0">
    <w:nsid w:val="499D4811"/>
    <w:multiLevelType w:val="multilevel"/>
    <w:tmpl w:val="499D4811"/>
    <w:lvl w:ilvl="0">
      <w:start w:val="10"/>
      <w:numFmt w:val="decimal"/>
      <w:lvlText w:val="%1."/>
      <w:lvlJc w:val="left"/>
      <w:pPr>
        <w:ind w:left="360" w:hanging="360"/>
      </w:pPr>
      <w:rPr>
        <w:rFonts w:hint="default"/>
        <w:b/>
        <w:bCs/>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0CB25D0"/>
    <w:multiLevelType w:val="multilevel"/>
    <w:tmpl w:val="60CB25D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7B960A61"/>
    <w:multiLevelType w:val="multilevel"/>
    <w:tmpl w:val="7B960A61"/>
    <w:lvl w:ilvl="0">
      <w:start w:val="1"/>
      <w:numFmt w:val="decimal"/>
      <w:lvlText w:val="%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39216012">
    <w:abstractNumId w:val="3"/>
  </w:num>
  <w:num w:numId="2" w16cid:durableId="2066678209">
    <w:abstractNumId w:val="2"/>
  </w:num>
  <w:num w:numId="3" w16cid:durableId="253904822">
    <w:abstractNumId w:val="1"/>
  </w:num>
  <w:num w:numId="4" w16cid:durableId="273169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34DD1"/>
    <w:rsid w:val="0004355D"/>
    <w:rsid w:val="00057B67"/>
    <w:rsid w:val="00061E0E"/>
    <w:rsid w:val="0007506F"/>
    <w:rsid w:val="00076815"/>
    <w:rsid w:val="00081F44"/>
    <w:rsid w:val="00082A5F"/>
    <w:rsid w:val="000A7387"/>
    <w:rsid w:val="000B41B6"/>
    <w:rsid w:val="000E2ABF"/>
    <w:rsid w:val="000E3F21"/>
    <w:rsid w:val="000E4C51"/>
    <w:rsid w:val="000E63F2"/>
    <w:rsid w:val="00147CBA"/>
    <w:rsid w:val="0015327B"/>
    <w:rsid w:val="001624E4"/>
    <w:rsid w:val="00181A81"/>
    <w:rsid w:val="0018412F"/>
    <w:rsid w:val="00194C04"/>
    <w:rsid w:val="00194CE8"/>
    <w:rsid w:val="001959A2"/>
    <w:rsid w:val="001A1CA1"/>
    <w:rsid w:val="001A23EB"/>
    <w:rsid w:val="001A3D0F"/>
    <w:rsid w:val="001A4DB8"/>
    <w:rsid w:val="001D1578"/>
    <w:rsid w:val="001F3109"/>
    <w:rsid w:val="00210DD6"/>
    <w:rsid w:val="00214319"/>
    <w:rsid w:val="00216774"/>
    <w:rsid w:val="0023296D"/>
    <w:rsid w:val="00232DDC"/>
    <w:rsid w:val="00252077"/>
    <w:rsid w:val="00263B00"/>
    <w:rsid w:val="00273EDD"/>
    <w:rsid w:val="002D4D1B"/>
    <w:rsid w:val="0031658E"/>
    <w:rsid w:val="00345A90"/>
    <w:rsid w:val="00351087"/>
    <w:rsid w:val="003548DA"/>
    <w:rsid w:val="00356228"/>
    <w:rsid w:val="00356880"/>
    <w:rsid w:val="00387CDA"/>
    <w:rsid w:val="003A24C9"/>
    <w:rsid w:val="003A5297"/>
    <w:rsid w:val="003D67E2"/>
    <w:rsid w:val="0040248B"/>
    <w:rsid w:val="0040579A"/>
    <w:rsid w:val="00414ADE"/>
    <w:rsid w:val="00435538"/>
    <w:rsid w:val="004361C8"/>
    <w:rsid w:val="00436F4D"/>
    <w:rsid w:val="00445C5B"/>
    <w:rsid w:val="0045386A"/>
    <w:rsid w:val="004620C9"/>
    <w:rsid w:val="004939EE"/>
    <w:rsid w:val="004969D3"/>
    <w:rsid w:val="004C0985"/>
    <w:rsid w:val="004D362E"/>
    <w:rsid w:val="004F6AD9"/>
    <w:rsid w:val="00506ED2"/>
    <w:rsid w:val="00513CCF"/>
    <w:rsid w:val="00516914"/>
    <w:rsid w:val="005314D7"/>
    <w:rsid w:val="00551D82"/>
    <w:rsid w:val="0055344F"/>
    <w:rsid w:val="005734D7"/>
    <w:rsid w:val="00575E55"/>
    <w:rsid w:val="00585BF5"/>
    <w:rsid w:val="005A637B"/>
    <w:rsid w:val="005E1EE7"/>
    <w:rsid w:val="005E4DDD"/>
    <w:rsid w:val="005E749E"/>
    <w:rsid w:val="005E7B52"/>
    <w:rsid w:val="00604100"/>
    <w:rsid w:val="00615035"/>
    <w:rsid w:val="00620842"/>
    <w:rsid w:val="00622578"/>
    <w:rsid w:val="006239A1"/>
    <w:rsid w:val="00634672"/>
    <w:rsid w:val="00647209"/>
    <w:rsid w:val="00663CFB"/>
    <w:rsid w:val="006755EE"/>
    <w:rsid w:val="006824BF"/>
    <w:rsid w:val="006A12B0"/>
    <w:rsid w:val="006A6821"/>
    <w:rsid w:val="006B74E3"/>
    <w:rsid w:val="006E4797"/>
    <w:rsid w:val="006E7C64"/>
    <w:rsid w:val="00702ADE"/>
    <w:rsid w:val="0070444F"/>
    <w:rsid w:val="00714BE0"/>
    <w:rsid w:val="00736371"/>
    <w:rsid w:val="00751D3D"/>
    <w:rsid w:val="0078050F"/>
    <w:rsid w:val="007A4BBA"/>
    <w:rsid w:val="007B488F"/>
    <w:rsid w:val="007B72A4"/>
    <w:rsid w:val="007C0183"/>
    <w:rsid w:val="007D6BE0"/>
    <w:rsid w:val="007D72F6"/>
    <w:rsid w:val="007F13E9"/>
    <w:rsid w:val="007F2030"/>
    <w:rsid w:val="007F5EB0"/>
    <w:rsid w:val="0080449D"/>
    <w:rsid w:val="00833B96"/>
    <w:rsid w:val="008425A4"/>
    <w:rsid w:val="008461C6"/>
    <w:rsid w:val="0085421A"/>
    <w:rsid w:val="0085548D"/>
    <w:rsid w:val="00895463"/>
    <w:rsid w:val="008A4859"/>
    <w:rsid w:val="008A7A39"/>
    <w:rsid w:val="008B2D50"/>
    <w:rsid w:val="008B35D2"/>
    <w:rsid w:val="008D293E"/>
    <w:rsid w:val="008E19AC"/>
    <w:rsid w:val="00901C81"/>
    <w:rsid w:val="00911EF7"/>
    <w:rsid w:val="00916089"/>
    <w:rsid w:val="00936E08"/>
    <w:rsid w:val="009409EA"/>
    <w:rsid w:val="00947AFE"/>
    <w:rsid w:val="00954809"/>
    <w:rsid w:val="00984181"/>
    <w:rsid w:val="00994F50"/>
    <w:rsid w:val="00A1684A"/>
    <w:rsid w:val="00A2089D"/>
    <w:rsid w:val="00A35853"/>
    <w:rsid w:val="00A61636"/>
    <w:rsid w:val="00A624BE"/>
    <w:rsid w:val="00AB4038"/>
    <w:rsid w:val="00AD755E"/>
    <w:rsid w:val="00B2491E"/>
    <w:rsid w:val="00B52894"/>
    <w:rsid w:val="00B63880"/>
    <w:rsid w:val="00B66177"/>
    <w:rsid w:val="00B81064"/>
    <w:rsid w:val="00B87681"/>
    <w:rsid w:val="00BA7B97"/>
    <w:rsid w:val="00BD3767"/>
    <w:rsid w:val="00BE00ED"/>
    <w:rsid w:val="00BE22A2"/>
    <w:rsid w:val="00BE2769"/>
    <w:rsid w:val="00BE2EC1"/>
    <w:rsid w:val="00BF7EDA"/>
    <w:rsid w:val="00C11D93"/>
    <w:rsid w:val="00C27C71"/>
    <w:rsid w:val="00C366E0"/>
    <w:rsid w:val="00C550F3"/>
    <w:rsid w:val="00C6378C"/>
    <w:rsid w:val="00C652D8"/>
    <w:rsid w:val="00C75D82"/>
    <w:rsid w:val="00C875D1"/>
    <w:rsid w:val="00CB1713"/>
    <w:rsid w:val="00CB1783"/>
    <w:rsid w:val="00D07A90"/>
    <w:rsid w:val="00D2510B"/>
    <w:rsid w:val="00D57F1F"/>
    <w:rsid w:val="00D661BB"/>
    <w:rsid w:val="00D86D57"/>
    <w:rsid w:val="00D959E7"/>
    <w:rsid w:val="00DA154A"/>
    <w:rsid w:val="00DA3C5C"/>
    <w:rsid w:val="00DC0E61"/>
    <w:rsid w:val="00DC18A7"/>
    <w:rsid w:val="00DC566D"/>
    <w:rsid w:val="00DD0D2A"/>
    <w:rsid w:val="00E03054"/>
    <w:rsid w:val="00E05489"/>
    <w:rsid w:val="00E202FD"/>
    <w:rsid w:val="00E401D5"/>
    <w:rsid w:val="00EB1E68"/>
    <w:rsid w:val="00EC0649"/>
    <w:rsid w:val="00EC57F0"/>
    <w:rsid w:val="00F10438"/>
    <w:rsid w:val="00F22FB1"/>
    <w:rsid w:val="00F36869"/>
    <w:rsid w:val="00F41DE1"/>
    <w:rsid w:val="00F511BF"/>
    <w:rsid w:val="00F72213"/>
    <w:rsid w:val="00F82EE8"/>
    <w:rsid w:val="00FA3B53"/>
    <w:rsid w:val="00FA6C9C"/>
    <w:rsid w:val="00FF4595"/>
    <w:rsid w:val="020305B5"/>
    <w:rsid w:val="033446D9"/>
    <w:rsid w:val="04836EE6"/>
    <w:rsid w:val="082868F2"/>
    <w:rsid w:val="0E2227C9"/>
    <w:rsid w:val="16FE5EF9"/>
    <w:rsid w:val="1C9F1652"/>
    <w:rsid w:val="20F1259A"/>
    <w:rsid w:val="235E5059"/>
    <w:rsid w:val="25A612D4"/>
    <w:rsid w:val="28FF01C3"/>
    <w:rsid w:val="321863B0"/>
    <w:rsid w:val="32462F60"/>
    <w:rsid w:val="34F17253"/>
    <w:rsid w:val="361B5DF5"/>
    <w:rsid w:val="36F47DE4"/>
    <w:rsid w:val="3B1415CC"/>
    <w:rsid w:val="3D550289"/>
    <w:rsid w:val="425469F2"/>
    <w:rsid w:val="455362C8"/>
    <w:rsid w:val="45846F77"/>
    <w:rsid w:val="4A450232"/>
    <w:rsid w:val="4C302FD8"/>
    <w:rsid w:val="4D7F6E74"/>
    <w:rsid w:val="5295394A"/>
    <w:rsid w:val="537D7D77"/>
    <w:rsid w:val="54B455E5"/>
    <w:rsid w:val="559B7419"/>
    <w:rsid w:val="5D185FD1"/>
    <w:rsid w:val="5EC84525"/>
    <w:rsid w:val="64A27E2A"/>
    <w:rsid w:val="66D04BBC"/>
    <w:rsid w:val="683D0A5C"/>
    <w:rsid w:val="695901BF"/>
    <w:rsid w:val="695C28E3"/>
    <w:rsid w:val="69832E31"/>
    <w:rsid w:val="6B572CED"/>
    <w:rsid w:val="6F0E6B0E"/>
    <w:rsid w:val="6FB12758"/>
    <w:rsid w:val="7A5C2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2980BE-1861-40EB-9E5C-C9DC246AB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eastAsia="Calibri" w:hAnsi="Calibri" w:cs="Calibri"/>
      <w:sz w:val="24"/>
      <w:szCs w:val="24"/>
      <w:lang w:val="en-US"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Footer">
    <w:name w:val="footer"/>
    <w:basedOn w:val="Normal"/>
    <w:link w:val="FooterChar"/>
    <w:uiPriority w:val="99"/>
    <w:unhideWhenUsed/>
    <w:qFormat/>
    <w:pPr>
      <w:tabs>
        <w:tab w:val="center" w:pos="4680"/>
        <w:tab w:val="right" w:pos="936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FooterChar">
    <w:name w:val="Footer Char"/>
    <w:basedOn w:val="DefaultParagraphFont"/>
    <w:link w:val="Footer"/>
    <w:uiPriority w:val="99"/>
    <w:qFormat/>
  </w:style>
  <w:style w:type="paragraph" w:customStyle="1" w:styleId="Revision1">
    <w:name w:val="Revision1"/>
    <w:hidden/>
    <w:uiPriority w:val="99"/>
    <w:semiHidden/>
    <w:qFormat/>
    <w:rPr>
      <w:rFonts w:ascii="Calibri" w:eastAsia="Calibri" w:hAnsi="Calibri" w:cs="Calibri"/>
      <w:sz w:val="24"/>
      <w:szCs w:val="24"/>
      <w:lang w:val="en-US" w:eastAsia="en-US"/>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cf01">
    <w:name w:val="cf01"/>
    <w:basedOn w:val="DefaultParagraphFont"/>
    <w:qFormat/>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17</Pages>
  <Words>5321</Words>
  <Characters>30330</Characters>
  <Application>Microsoft Office Word</Application>
  <DocSecurity>0</DocSecurity>
  <Lines>252</Lines>
  <Paragraphs>71</Paragraphs>
  <ScaleCrop>false</ScaleCrop>
  <Company/>
  <LinksUpToDate>false</LinksUpToDate>
  <CharactersWithSpaces>35580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Jove</dc:creator>
  <cp:lastModifiedBy>Swati Madhu</cp:lastModifiedBy>
  <cp:revision>3</cp:revision>
  <dcterms:created xsi:type="dcterms:W3CDTF">2026-05-08T05:01:00Z</dcterms:created>
  <dcterms:modified xsi:type="dcterms:W3CDTF">2026-05-20T10:49:00Z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eyJoZGlkIjoiM2IwNDE4NmRiMzk2NzIyYWYyMDc0YjBmYjg2OTJkY2UifQ==</vt:lpwstr>
  </property>
  <property fmtid="{D5CDD505-2E9C-101B-9397-08002B2CF9AE}" pid="3" name="KSOProductBuildVer">
    <vt:lpwstr>2052-12.1.0.25865</vt:lpwstr>
  </property>
  <property fmtid="{D5CDD505-2E9C-101B-9397-08002B2CF9AE}" pid="4" name="ICV">
    <vt:lpwstr>F88134F3EF56411DBBD07778968479FC_13</vt:lpwstr>
  </property>
  <property fmtid="{D5CDD505-2E9C-101B-9397-08002B2CF9AE}" pid="5" name="GrammarlyDocumentId">
    <vt:lpwstr>f687c300-bce0-4e6d-951a-40884c820d82</vt:lpwstr>
  </property>
</Properties>
</file>