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E3889C">
      <w:pPr>
        <w:tabs>
          <w:tab w:val="left" w:pos="426"/>
        </w:tabs>
        <w:rPr>
          <w:rFonts w:asciiTheme="majorHAnsi" w:hAnsiTheme="majorHAnsi" w:cstheme="majorHAnsi"/>
        </w:rPr>
      </w:pPr>
      <w:r>
        <w:rPr>
          <w:rFonts w:asciiTheme="majorHAnsi" w:hAnsiTheme="majorHAnsi" w:cstheme="majorHAnsi"/>
          <w:b/>
        </w:rPr>
        <w:t>TITLE:</w:t>
      </w:r>
      <w:r>
        <w:rPr>
          <w:rFonts w:asciiTheme="majorHAnsi" w:hAnsiTheme="majorHAnsi" w:cstheme="majorHAnsi"/>
        </w:rPr>
        <w:t xml:space="preserve"> </w:t>
      </w:r>
    </w:p>
    <w:p w14:paraId="73E3889D">
      <w:pPr>
        <w:tabs>
          <w:tab w:val="left" w:pos="426"/>
        </w:tabs>
        <w:rPr>
          <w:rFonts w:asciiTheme="majorHAnsi" w:hAnsiTheme="majorHAnsi" w:cstheme="majorHAnsi"/>
        </w:rPr>
      </w:pPr>
      <w:r>
        <w:rPr>
          <w:rFonts w:asciiTheme="majorHAnsi" w:hAnsiTheme="majorHAnsi" w:cstheme="majorHAnsi"/>
        </w:rPr>
        <w:t>Ultrasound-guided Fire Needle Acupuncture For Treating Sialorrhea in Tracheotomized Patients</w:t>
      </w:r>
    </w:p>
    <w:p w14:paraId="73E3889E">
      <w:pPr>
        <w:tabs>
          <w:tab w:val="left" w:pos="426"/>
        </w:tabs>
        <w:rPr>
          <w:rFonts w:asciiTheme="majorHAnsi" w:hAnsiTheme="majorHAnsi" w:cstheme="majorHAnsi"/>
          <w:b/>
        </w:rPr>
      </w:pPr>
    </w:p>
    <w:p w14:paraId="73E3889F">
      <w:pPr>
        <w:tabs>
          <w:tab w:val="left" w:pos="426"/>
        </w:tabs>
        <w:rPr>
          <w:rFonts w:asciiTheme="majorHAnsi" w:hAnsiTheme="majorHAnsi" w:cstheme="majorHAnsi"/>
        </w:rPr>
      </w:pPr>
      <w:r>
        <w:rPr>
          <w:rFonts w:asciiTheme="majorHAnsi" w:hAnsiTheme="majorHAnsi" w:cstheme="majorHAnsi"/>
          <w:b/>
        </w:rPr>
        <w:t xml:space="preserve">AUTHORS AND AFFILIATIONS: </w:t>
      </w:r>
    </w:p>
    <w:p w14:paraId="73E388A0">
      <w:pPr>
        <w:tabs>
          <w:tab w:val="left" w:pos="426"/>
        </w:tabs>
        <w:rPr>
          <w:rFonts w:eastAsia="宋体" w:asciiTheme="majorHAnsi" w:hAnsiTheme="majorHAnsi" w:cstheme="majorHAnsi"/>
          <w:lang w:eastAsia="zh-CN"/>
        </w:rPr>
      </w:pPr>
      <w:r>
        <w:rPr>
          <w:rFonts w:asciiTheme="majorHAnsi" w:hAnsiTheme="majorHAnsi" w:cstheme="majorHAnsi"/>
        </w:rPr>
        <w:t>Ruo</w:t>
      </w:r>
      <w:r>
        <w:rPr>
          <w:rFonts w:eastAsia="宋体" w:asciiTheme="majorHAnsi" w:hAnsiTheme="majorHAnsi" w:cstheme="majorHAnsi"/>
          <w:lang w:eastAsia="zh-CN"/>
        </w:rPr>
        <w:t>-</w:t>
      </w:r>
      <w:r>
        <w:rPr>
          <w:rFonts w:asciiTheme="majorHAnsi" w:hAnsiTheme="majorHAnsi" w:cstheme="majorHAnsi"/>
        </w:rPr>
        <w:t>fan</w:t>
      </w:r>
      <w:r>
        <w:rPr>
          <w:rFonts w:eastAsia="宋体" w:asciiTheme="majorHAnsi" w:hAnsiTheme="majorHAnsi" w:cstheme="majorHAnsi"/>
          <w:lang w:eastAsia="zh-CN"/>
        </w:rPr>
        <w:t xml:space="preserve"> </w:t>
      </w:r>
      <w:r>
        <w:rPr>
          <w:rFonts w:asciiTheme="majorHAnsi" w:hAnsiTheme="majorHAnsi" w:cstheme="majorHAnsi"/>
        </w:rPr>
        <w:t>Wang</w:t>
      </w:r>
      <w:r>
        <w:rPr>
          <w:rFonts w:eastAsia="宋体" w:asciiTheme="majorHAnsi" w:hAnsiTheme="majorHAnsi" w:cstheme="majorHAnsi"/>
          <w:vertAlign w:val="superscript"/>
          <w:lang w:eastAsia="zh-CN"/>
        </w:rPr>
        <w:t>1,2</w:t>
      </w:r>
      <w:r>
        <w:rPr>
          <w:rFonts w:eastAsia="宋体" w:asciiTheme="majorHAnsi" w:hAnsiTheme="majorHAnsi" w:cstheme="majorHAnsi"/>
          <w:lang w:eastAsia="zh-CN"/>
        </w:rPr>
        <w:t xml:space="preserve">, </w:t>
      </w:r>
      <w:r>
        <w:rPr>
          <w:rFonts w:asciiTheme="majorHAnsi" w:hAnsiTheme="majorHAnsi" w:cstheme="majorHAnsi"/>
        </w:rPr>
        <w:t>Pei</w:t>
      </w:r>
      <w:r>
        <w:rPr>
          <w:rFonts w:eastAsia="宋体" w:asciiTheme="majorHAnsi" w:hAnsiTheme="majorHAnsi" w:cstheme="majorHAnsi"/>
          <w:lang w:eastAsia="zh-CN"/>
        </w:rPr>
        <w:t>-</w:t>
      </w:r>
      <w:r>
        <w:rPr>
          <w:rFonts w:asciiTheme="majorHAnsi" w:hAnsiTheme="majorHAnsi" w:cstheme="majorHAnsi"/>
        </w:rPr>
        <w:t>yun</w:t>
      </w:r>
      <w:r>
        <w:rPr>
          <w:rFonts w:eastAsia="宋体" w:asciiTheme="majorHAnsi" w:hAnsiTheme="majorHAnsi" w:cstheme="majorHAnsi"/>
          <w:lang w:eastAsia="zh-CN"/>
        </w:rPr>
        <w:t xml:space="preserve"> </w:t>
      </w:r>
      <w:r>
        <w:rPr>
          <w:rFonts w:asciiTheme="majorHAnsi" w:hAnsiTheme="majorHAnsi" w:cstheme="majorHAnsi"/>
        </w:rPr>
        <w:t>Feng</w:t>
      </w:r>
      <w:r>
        <w:rPr>
          <w:rFonts w:eastAsia="宋体" w:asciiTheme="majorHAnsi" w:hAnsiTheme="majorHAnsi" w:cstheme="majorHAnsi"/>
          <w:vertAlign w:val="superscript"/>
          <w:lang w:eastAsia="zh-CN"/>
        </w:rPr>
        <w:t>1,2,</w:t>
      </w:r>
      <w:r>
        <w:rPr>
          <w:rFonts w:asciiTheme="majorHAnsi" w:hAnsiTheme="majorHAnsi" w:cstheme="majorHAnsi"/>
        </w:rPr>
        <w:t>Xin</w:t>
      </w:r>
      <w:r>
        <w:rPr>
          <w:rFonts w:eastAsia="宋体" w:asciiTheme="majorHAnsi" w:hAnsiTheme="majorHAnsi" w:cstheme="majorHAnsi"/>
          <w:lang w:eastAsia="zh-CN"/>
        </w:rPr>
        <w:t>-</w:t>
      </w:r>
      <w:r>
        <w:rPr>
          <w:rFonts w:asciiTheme="majorHAnsi" w:hAnsiTheme="majorHAnsi" w:cstheme="majorHAnsi"/>
        </w:rPr>
        <w:t>ying</w:t>
      </w:r>
      <w:r>
        <w:rPr>
          <w:rFonts w:eastAsia="宋体" w:asciiTheme="majorHAnsi" w:hAnsiTheme="majorHAnsi" w:cstheme="majorHAnsi"/>
          <w:lang w:eastAsia="zh-CN"/>
        </w:rPr>
        <w:t xml:space="preserve"> </w:t>
      </w:r>
      <w:r>
        <w:rPr>
          <w:rFonts w:asciiTheme="majorHAnsi" w:hAnsiTheme="majorHAnsi" w:cstheme="majorHAnsi"/>
        </w:rPr>
        <w:t>Zheng</w:t>
      </w:r>
      <w:r>
        <w:rPr>
          <w:rFonts w:eastAsia="宋体" w:asciiTheme="majorHAnsi" w:hAnsiTheme="majorHAnsi" w:cstheme="majorHAnsi"/>
          <w:vertAlign w:val="superscript"/>
          <w:lang w:eastAsia="zh-CN"/>
        </w:rPr>
        <w:t>1,2</w:t>
      </w:r>
      <w:r>
        <w:rPr>
          <w:rFonts w:eastAsia="宋体" w:asciiTheme="majorHAnsi" w:hAnsiTheme="majorHAnsi" w:cstheme="majorHAnsi"/>
          <w:lang w:eastAsia="zh-CN"/>
        </w:rPr>
        <w:t>, Hou-wei Wei</w:t>
      </w:r>
      <w:r>
        <w:rPr>
          <w:rFonts w:eastAsia="宋体" w:asciiTheme="majorHAnsi" w:hAnsiTheme="majorHAnsi" w:cstheme="majorHAnsi"/>
          <w:vertAlign w:val="superscript"/>
          <w:lang w:eastAsia="zh-CN"/>
        </w:rPr>
        <w:t>2,3</w:t>
      </w:r>
      <w:r>
        <w:rPr>
          <w:rFonts w:eastAsia="宋体" w:asciiTheme="majorHAnsi" w:hAnsiTheme="majorHAnsi" w:cstheme="majorHAnsi"/>
          <w:lang w:eastAsia="zh-CN"/>
        </w:rPr>
        <w:t>,Su-zhen Liu</w:t>
      </w:r>
      <w:r>
        <w:rPr>
          <w:rFonts w:eastAsia="宋体" w:asciiTheme="majorHAnsi" w:hAnsiTheme="majorHAnsi" w:cstheme="majorHAnsi"/>
          <w:vertAlign w:val="superscript"/>
          <w:lang w:eastAsia="zh-CN"/>
        </w:rPr>
        <w:t>2,3</w:t>
      </w:r>
      <w:r>
        <w:rPr>
          <w:rFonts w:eastAsia="宋体" w:asciiTheme="majorHAnsi" w:hAnsiTheme="majorHAnsi" w:cstheme="majorHAnsi"/>
          <w:lang w:eastAsia="zh-CN"/>
        </w:rPr>
        <w:t>, Si-hua Lai</w:t>
      </w:r>
      <w:r>
        <w:rPr>
          <w:rFonts w:eastAsia="宋体" w:asciiTheme="majorHAnsi" w:hAnsiTheme="majorHAnsi" w:cstheme="majorHAnsi"/>
          <w:vertAlign w:val="superscript"/>
          <w:lang w:eastAsia="zh-CN"/>
        </w:rPr>
        <w:t>2,3</w:t>
      </w:r>
      <w:r>
        <w:rPr>
          <w:rFonts w:eastAsia="宋体" w:asciiTheme="majorHAnsi" w:hAnsiTheme="majorHAnsi" w:cstheme="majorHAnsi"/>
          <w:lang w:eastAsia="zh-CN"/>
        </w:rPr>
        <w:t>, Yue-Liu</w:t>
      </w:r>
      <w:r>
        <w:rPr>
          <w:rFonts w:eastAsia="宋体" w:asciiTheme="majorHAnsi" w:hAnsiTheme="majorHAnsi" w:cstheme="majorHAnsi"/>
          <w:vertAlign w:val="superscript"/>
          <w:lang w:eastAsia="zh-CN"/>
        </w:rPr>
        <w:t>2,3</w:t>
      </w:r>
      <w:r>
        <w:rPr>
          <w:rFonts w:eastAsia="宋体" w:asciiTheme="majorHAnsi" w:hAnsiTheme="majorHAnsi" w:cstheme="majorHAnsi"/>
          <w:lang w:eastAsia="zh-CN"/>
        </w:rPr>
        <w:t xml:space="preserve">, </w:t>
      </w:r>
      <w:r>
        <w:rPr>
          <w:rFonts w:asciiTheme="majorHAnsi" w:hAnsiTheme="majorHAnsi" w:cstheme="majorHAnsi"/>
        </w:rPr>
        <w:t>Yan</w:t>
      </w:r>
      <w:r>
        <w:rPr>
          <w:rFonts w:eastAsia="宋体" w:asciiTheme="majorHAnsi" w:hAnsiTheme="majorHAnsi" w:cstheme="majorHAnsi"/>
          <w:lang w:eastAsia="zh-CN"/>
        </w:rPr>
        <w:t>-</w:t>
      </w:r>
      <w:r>
        <w:rPr>
          <w:rFonts w:asciiTheme="majorHAnsi" w:hAnsiTheme="majorHAnsi" w:cstheme="majorHAnsi"/>
        </w:rPr>
        <w:t>qing</w:t>
      </w:r>
      <w:r>
        <w:rPr>
          <w:rFonts w:eastAsia="宋体" w:asciiTheme="majorHAnsi" w:hAnsiTheme="majorHAnsi" w:cstheme="majorHAnsi"/>
          <w:lang w:eastAsia="zh-CN"/>
        </w:rPr>
        <w:t xml:space="preserve"> </w:t>
      </w:r>
      <w:r>
        <w:rPr>
          <w:rFonts w:asciiTheme="majorHAnsi" w:hAnsiTheme="majorHAnsi" w:cstheme="majorHAnsi"/>
        </w:rPr>
        <w:t xml:space="preserve">Lu </w:t>
      </w:r>
      <w:r>
        <w:rPr>
          <w:rFonts w:eastAsia="宋体" w:asciiTheme="majorHAnsi" w:hAnsiTheme="majorHAnsi" w:cstheme="majorHAnsi"/>
          <w:lang w:eastAsia="zh-CN"/>
        </w:rPr>
        <w:t>*</w:t>
      </w:r>
      <w:r>
        <w:rPr>
          <w:rFonts w:eastAsia="宋体" w:asciiTheme="majorHAnsi" w:hAnsiTheme="majorHAnsi" w:cstheme="majorHAnsi"/>
          <w:vertAlign w:val="superscript"/>
          <w:lang w:eastAsia="zh-CN"/>
        </w:rPr>
        <w:t>2,3</w:t>
      </w:r>
    </w:p>
    <w:p w14:paraId="73E388A1">
      <w:pPr>
        <w:tabs>
          <w:tab w:val="left" w:pos="426"/>
        </w:tabs>
        <w:rPr>
          <w:rFonts w:eastAsia="宋体" w:asciiTheme="majorHAnsi" w:hAnsiTheme="majorHAnsi" w:cstheme="majorHAnsi"/>
          <w:lang w:eastAsia="zh-CN"/>
        </w:rPr>
      </w:pPr>
    </w:p>
    <w:p w14:paraId="73E388A2">
      <w:pPr>
        <w:tabs>
          <w:tab w:val="left" w:pos="426"/>
        </w:tabs>
        <w:rPr>
          <w:rFonts w:eastAsia="宋体" w:asciiTheme="majorHAnsi" w:hAnsiTheme="majorHAnsi" w:cstheme="majorHAnsi"/>
          <w:lang w:eastAsia="zh-CN"/>
        </w:rPr>
      </w:pPr>
      <w:r>
        <w:rPr>
          <w:rFonts w:eastAsia="宋体" w:asciiTheme="majorHAnsi" w:hAnsiTheme="majorHAnsi" w:cstheme="majorHAnsi"/>
          <w:vertAlign w:val="superscript"/>
          <w:lang w:eastAsia="zh-CN"/>
        </w:rPr>
        <w:t>1</w:t>
      </w:r>
      <w:r>
        <w:rPr>
          <w:rFonts w:eastAsia="宋体" w:asciiTheme="majorHAnsi" w:hAnsiTheme="majorHAnsi" w:cstheme="majorHAnsi"/>
          <w:lang w:eastAsia="zh-CN"/>
        </w:rPr>
        <w:t>School of Acupuncture-Moxibustion and Tuina, Guangzhou University of Chinese Medicine, Guangzhou, Guangdong, China.</w:t>
      </w:r>
    </w:p>
    <w:p w14:paraId="73E388A3">
      <w:pPr>
        <w:tabs>
          <w:tab w:val="left" w:pos="426"/>
        </w:tabs>
        <w:rPr>
          <w:rFonts w:asciiTheme="majorHAnsi" w:hAnsiTheme="majorHAnsi" w:cstheme="majorHAnsi"/>
        </w:rPr>
      </w:pPr>
      <w:r>
        <w:rPr>
          <w:rFonts w:eastAsia="宋体" w:asciiTheme="majorHAnsi" w:hAnsiTheme="majorHAnsi" w:cstheme="majorHAnsi"/>
          <w:vertAlign w:val="superscript"/>
          <w:lang w:eastAsia="zh-CN"/>
        </w:rPr>
        <w:t>2</w:t>
      </w:r>
      <w:r>
        <w:rPr>
          <w:rFonts w:eastAsia="宋体" w:asciiTheme="majorHAnsi" w:hAnsiTheme="majorHAnsi" w:cstheme="majorHAnsi"/>
          <w:lang w:eastAsia="zh-CN"/>
        </w:rPr>
        <w:t>The Fifth Affiliated Hospital of Guangzhou University of Chinese Medicine, Guangzhou, Guangdong, China.</w:t>
      </w:r>
    </w:p>
    <w:p w14:paraId="73E388A4">
      <w:pPr>
        <w:tabs>
          <w:tab w:val="left" w:pos="426"/>
        </w:tabs>
        <w:rPr>
          <w:rFonts w:asciiTheme="majorHAnsi" w:hAnsiTheme="majorHAnsi" w:cstheme="majorHAnsi"/>
        </w:rPr>
      </w:pPr>
      <w:r>
        <w:rPr>
          <w:rFonts w:eastAsia="宋体" w:asciiTheme="majorHAnsi" w:hAnsiTheme="majorHAnsi" w:cstheme="majorHAnsi"/>
          <w:vertAlign w:val="superscript"/>
          <w:lang w:eastAsia="zh-CN"/>
        </w:rPr>
        <w:t>3</w:t>
      </w:r>
      <w:r>
        <w:rPr>
          <w:rFonts w:eastAsia="宋体" w:asciiTheme="majorHAnsi" w:hAnsiTheme="majorHAnsi" w:cstheme="majorHAnsi"/>
          <w:lang w:eastAsia="zh-CN"/>
        </w:rPr>
        <w:t>Guangdong Second Traditional Chinese Medicine Hospital, Guangzhou, Guangdong, China.</w:t>
      </w:r>
    </w:p>
    <w:p w14:paraId="73E388A5">
      <w:pPr>
        <w:tabs>
          <w:tab w:val="left" w:pos="426"/>
        </w:tabs>
        <w:rPr>
          <w:rFonts w:asciiTheme="majorHAnsi" w:hAnsiTheme="majorHAnsi" w:cstheme="majorHAnsi"/>
          <w:b/>
        </w:rPr>
      </w:pPr>
    </w:p>
    <w:p w14:paraId="73E388A6">
      <w:pPr>
        <w:tabs>
          <w:tab w:val="left" w:pos="426"/>
        </w:tabs>
        <w:rPr>
          <w:rFonts w:asciiTheme="majorHAnsi" w:hAnsiTheme="majorHAnsi" w:cstheme="majorHAnsi"/>
          <w:b/>
        </w:rPr>
      </w:pPr>
      <w:r>
        <w:rPr>
          <w:rFonts w:asciiTheme="majorHAnsi" w:hAnsiTheme="majorHAnsi" w:cstheme="majorHAnsi"/>
          <w:b/>
        </w:rPr>
        <w:t>Email addresses of the co-authors:</w:t>
      </w:r>
    </w:p>
    <w:p w14:paraId="73E388A8">
      <w:pPr>
        <w:tabs>
          <w:tab w:val="left" w:pos="426"/>
        </w:tabs>
        <w:rPr>
          <w:rFonts w:eastAsia="宋体" w:asciiTheme="majorHAnsi" w:hAnsiTheme="majorHAnsi" w:cstheme="majorHAnsi"/>
          <w:bCs/>
          <w:lang w:eastAsia="zh-CN"/>
        </w:rPr>
      </w:pPr>
      <w:r>
        <w:rPr>
          <w:rFonts w:asciiTheme="majorHAnsi" w:hAnsiTheme="majorHAnsi" w:cstheme="majorHAnsi"/>
          <w:bCs/>
        </w:rPr>
        <w:t>Ruo-fan Wang</w:t>
      </w:r>
      <w:r>
        <w:rPr>
          <w:rFonts w:eastAsia="宋体" w:asciiTheme="majorHAnsi" w:hAnsiTheme="majorHAnsi" w:cstheme="majorHAnsi"/>
          <w:bCs/>
          <w:lang w:eastAsia="zh-CN"/>
        </w:rPr>
        <w:t xml:space="preserve">       2667303420@qq.com</w:t>
      </w:r>
    </w:p>
    <w:p w14:paraId="73E388A9">
      <w:pPr>
        <w:tabs>
          <w:tab w:val="left" w:pos="426"/>
        </w:tabs>
        <w:rPr>
          <w:rFonts w:eastAsia="宋体" w:asciiTheme="majorHAnsi" w:hAnsiTheme="majorHAnsi" w:cstheme="majorHAnsi"/>
          <w:bCs/>
          <w:lang w:eastAsia="zh-CN"/>
        </w:rPr>
      </w:pPr>
      <w:r>
        <w:rPr>
          <w:rFonts w:asciiTheme="majorHAnsi" w:hAnsiTheme="majorHAnsi" w:cstheme="majorHAnsi"/>
          <w:bCs/>
        </w:rPr>
        <w:t>Pei-yun Feng</w:t>
      </w:r>
      <w:r>
        <w:rPr>
          <w:rFonts w:eastAsia="宋体" w:asciiTheme="majorHAnsi" w:hAnsiTheme="majorHAnsi" w:cstheme="majorHAnsi"/>
          <w:bCs/>
          <w:lang w:eastAsia="zh-CN"/>
        </w:rPr>
        <w:t xml:space="preserve">         fpy1752728044@163.com</w:t>
      </w:r>
    </w:p>
    <w:p w14:paraId="73E388AA">
      <w:pPr>
        <w:tabs>
          <w:tab w:val="left" w:pos="426"/>
        </w:tabs>
        <w:rPr>
          <w:rFonts w:eastAsia="宋体" w:asciiTheme="majorHAnsi" w:hAnsiTheme="majorHAnsi" w:cstheme="majorHAnsi"/>
          <w:bCs/>
          <w:lang w:eastAsia="zh-CN"/>
        </w:rPr>
      </w:pPr>
      <w:r>
        <w:rPr>
          <w:rFonts w:asciiTheme="majorHAnsi" w:hAnsiTheme="majorHAnsi" w:cstheme="majorHAnsi"/>
          <w:bCs/>
        </w:rPr>
        <w:t>Xin-ying Zheng</w:t>
      </w:r>
      <w:r>
        <w:rPr>
          <w:rFonts w:eastAsia="宋体" w:asciiTheme="majorHAnsi" w:hAnsiTheme="majorHAnsi" w:cstheme="majorHAnsi"/>
          <w:bCs/>
          <w:lang w:eastAsia="zh-CN"/>
        </w:rPr>
        <w:t xml:space="preserve">      1604006547@qq.com</w:t>
      </w:r>
    </w:p>
    <w:p w14:paraId="73E388AB">
      <w:pPr>
        <w:tabs>
          <w:tab w:val="left" w:pos="426"/>
        </w:tabs>
        <w:rPr>
          <w:rFonts w:asciiTheme="majorHAnsi" w:hAnsiTheme="majorHAnsi" w:cstheme="majorHAnsi"/>
          <w:bCs/>
        </w:rPr>
      </w:pPr>
      <w:r>
        <w:rPr>
          <w:rFonts w:asciiTheme="majorHAnsi" w:hAnsiTheme="majorHAnsi" w:cstheme="majorHAnsi"/>
          <w:bCs/>
        </w:rPr>
        <w:t>Hou-wei Wei</w:t>
      </w:r>
      <w:r>
        <w:rPr>
          <w:rFonts w:eastAsia="宋体" w:asciiTheme="majorHAnsi" w:hAnsiTheme="majorHAnsi" w:cstheme="majorHAnsi"/>
          <w:bCs/>
          <w:lang w:eastAsia="zh-CN"/>
        </w:rPr>
        <w:t xml:space="preserve">         </w:t>
      </w:r>
      <w:r>
        <w:rPr>
          <w:rFonts w:asciiTheme="majorHAnsi" w:hAnsiTheme="majorHAnsi" w:cstheme="majorHAnsi"/>
          <w:bCs/>
        </w:rPr>
        <w:t>903933422@qq.com</w:t>
      </w:r>
    </w:p>
    <w:p w14:paraId="73E388AC">
      <w:pPr>
        <w:tabs>
          <w:tab w:val="left" w:pos="426"/>
        </w:tabs>
        <w:rPr>
          <w:rFonts w:asciiTheme="majorHAnsi" w:hAnsiTheme="majorHAnsi" w:cstheme="majorHAnsi"/>
          <w:bCs/>
        </w:rPr>
      </w:pPr>
      <w:r>
        <w:rPr>
          <w:rFonts w:asciiTheme="majorHAnsi" w:hAnsiTheme="majorHAnsi" w:cstheme="majorHAnsi"/>
          <w:bCs/>
        </w:rPr>
        <w:t>Su-zhen Liu</w:t>
      </w:r>
      <w:r>
        <w:rPr>
          <w:rFonts w:eastAsia="宋体" w:asciiTheme="majorHAnsi" w:hAnsiTheme="majorHAnsi" w:cstheme="majorHAnsi"/>
          <w:bCs/>
          <w:lang w:eastAsia="zh-CN"/>
        </w:rPr>
        <w:t xml:space="preserve">            </w:t>
      </w:r>
      <w:r>
        <w:rPr>
          <w:rFonts w:asciiTheme="majorHAnsi" w:hAnsiTheme="majorHAnsi" w:cstheme="majorHAnsi"/>
          <w:bCs/>
        </w:rPr>
        <w:t>1078597490@qq.com</w:t>
      </w:r>
    </w:p>
    <w:p w14:paraId="73E388AD">
      <w:pPr>
        <w:tabs>
          <w:tab w:val="left" w:pos="426"/>
        </w:tabs>
        <w:rPr>
          <w:rFonts w:eastAsia="宋体" w:asciiTheme="majorHAnsi" w:hAnsiTheme="majorHAnsi" w:cstheme="majorHAnsi"/>
          <w:bCs/>
          <w:lang w:eastAsia="zh-CN"/>
        </w:rPr>
      </w:pPr>
      <w:r>
        <w:rPr>
          <w:rFonts w:asciiTheme="majorHAnsi" w:hAnsiTheme="majorHAnsi" w:cstheme="majorHAnsi"/>
          <w:bCs/>
        </w:rPr>
        <w:t>Si-hua Lai</w:t>
      </w:r>
      <w:r>
        <w:rPr>
          <w:rFonts w:eastAsia="宋体" w:asciiTheme="majorHAnsi" w:hAnsiTheme="majorHAnsi" w:cstheme="majorHAnsi"/>
          <w:bCs/>
          <w:lang w:eastAsia="zh-CN"/>
        </w:rPr>
        <w:t xml:space="preserve">               </w:t>
      </w:r>
      <w:r>
        <w:fldChar w:fldCharType="begin"/>
      </w:r>
      <w:r>
        <w:instrText xml:space="preserve"> HYPERLINK "mailto:3500078144@qq.com" </w:instrText>
      </w:r>
      <w:r>
        <w:fldChar w:fldCharType="separate"/>
      </w:r>
      <w:r>
        <w:rPr>
          <w:rStyle w:val="21"/>
          <w:rFonts w:eastAsia="宋体" w:asciiTheme="majorHAnsi" w:hAnsiTheme="majorHAnsi" w:cstheme="majorHAnsi"/>
          <w:bCs/>
          <w:color w:val="auto"/>
          <w:lang w:eastAsia="zh-CN"/>
        </w:rPr>
        <w:t>3500078144@qq.com</w:t>
      </w:r>
      <w:r>
        <w:rPr>
          <w:rStyle w:val="21"/>
          <w:rFonts w:eastAsia="宋体" w:asciiTheme="majorHAnsi" w:hAnsiTheme="majorHAnsi" w:cstheme="majorHAnsi"/>
          <w:bCs/>
          <w:color w:val="auto"/>
          <w:lang w:eastAsia="zh-CN"/>
        </w:rPr>
        <w:fldChar w:fldCharType="end"/>
      </w:r>
    </w:p>
    <w:p w14:paraId="73E388AE">
      <w:pPr>
        <w:tabs>
          <w:tab w:val="left" w:pos="426"/>
        </w:tabs>
        <w:rPr>
          <w:rFonts w:eastAsia="宋体" w:asciiTheme="majorHAnsi" w:hAnsiTheme="majorHAnsi" w:cstheme="majorHAnsi"/>
          <w:bCs/>
          <w:lang w:eastAsia="zh-CN"/>
        </w:rPr>
      </w:pPr>
      <w:r>
        <w:rPr>
          <w:rFonts w:eastAsia="宋体" w:asciiTheme="majorHAnsi" w:hAnsiTheme="majorHAnsi" w:cstheme="majorHAnsi"/>
          <w:bCs/>
          <w:lang w:eastAsia="zh-CN"/>
        </w:rPr>
        <w:t>Yue Liu                   liuyue2288@163.com</w:t>
      </w:r>
    </w:p>
    <w:p w14:paraId="73E388AF">
      <w:pPr>
        <w:tabs>
          <w:tab w:val="left" w:pos="426"/>
        </w:tabs>
        <w:rPr>
          <w:rFonts w:eastAsia="宋体" w:asciiTheme="majorHAnsi" w:hAnsiTheme="majorHAnsi" w:cstheme="majorHAnsi"/>
          <w:bCs/>
          <w:lang w:eastAsia="zh-CN"/>
        </w:rPr>
      </w:pPr>
      <w:r>
        <w:rPr>
          <w:rFonts w:asciiTheme="majorHAnsi" w:hAnsiTheme="majorHAnsi" w:cstheme="majorHAnsi"/>
          <w:bCs/>
        </w:rPr>
        <w:t xml:space="preserve">Yan-qing Lu </w:t>
      </w:r>
      <w:r>
        <w:rPr>
          <w:rFonts w:eastAsia="宋体" w:asciiTheme="majorHAnsi" w:hAnsiTheme="majorHAnsi" w:cstheme="majorHAnsi"/>
          <w:bCs/>
          <w:lang w:eastAsia="zh-CN"/>
        </w:rPr>
        <w:t xml:space="preserve">          stella-qing@126.com</w:t>
      </w:r>
    </w:p>
    <w:p w14:paraId="73E388B0">
      <w:pPr>
        <w:tabs>
          <w:tab w:val="left" w:pos="426"/>
        </w:tabs>
        <w:rPr>
          <w:rFonts w:asciiTheme="majorHAnsi" w:hAnsiTheme="majorHAnsi" w:cstheme="majorHAnsi"/>
          <w:b/>
        </w:rPr>
      </w:pPr>
    </w:p>
    <w:p w14:paraId="73E388B1">
      <w:pPr>
        <w:tabs>
          <w:tab w:val="left" w:pos="426"/>
        </w:tabs>
        <w:rPr>
          <w:rFonts w:asciiTheme="majorHAnsi" w:hAnsiTheme="majorHAnsi" w:cstheme="majorHAnsi"/>
          <w:b/>
        </w:rPr>
      </w:pPr>
      <w:r>
        <w:rPr>
          <w:rFonts w:asciiTheme="majorHAnsi" w:hAnsiTheme="majorHAnsi" w:cstheme="majorHAnsi"/>
          <w:b/>
        </w:rPr>
        <w:t>Corresponding author:</w:t>
      </w:r>
    </w:p>
    <w:p w14:paraId="73E388B2">
      <w:pPr>
        <w:tabs>
          <w:tab w:val="left" w:pos="426"/>
        </w:tabs>
        <w:rPr>
          <w:rFonts w:eastAsia="宋体" w:asciiTheme="majorHAnsi" w:hAnsiTheme="majorHAnsi" w:cstheme="majorHAnsi"/>
          <w:bCs/>
          <w:lang w:eastAsia="zh-CN"/>
        </w:rPr>
      </w:pPr>
      <w:r>
        <w:rPr>
          <w:rFonts w:asciiTheme="majorHAnsi" w:hAnsiTheme="majorHAnsi" w:cstheme="majorHAnsi"/>
          <w:bCs/>
        </w:rPr>
        <w:t xml:space="preserve">Yan-qing Lu </w:t>
      </w:r>
      <w:r>
        <w:rPr>
          <w:rFonts w:eastAsia="宋体" w:asciiTheme="majorHAnsi" w:hAnsiTheme="majorHAnsi" w:cstheme="majorHAnsi"/>
          <w:bCs/>
          <w:lang w:eastAsia="zh-CN"/>
        </w:rPr>
        <w:t xml:space="preserve">          stella-qing@126.com</w:t>
      </w:r>
    </w:p>
    <w:p w14:paraId="73E388B3">
      <w:pPr>
        <w:tabs>
          <w:tab w:val="left" w:pos="426"/>
        </w:tabs>
        <w:rPr>
          <w:rFonts w:asciiTheme="majorHAnsi" w:hAnsiTheme="majorHAnsi" w:cstheme="majorHAnsi"/>
          <w:b/>
        </w:rPr>
      </w:pPr>
    </w:p>
    <w:p w14:paraId="73E388B4">
      <w:pPr>
        <w:tabs>
          <w:tab w:val="left" w:pos="426"/>
        </w:tabs>
        <w:rPr>
          <w:rFonts w:asciiTheme="majorHAnsi" w:hAnsiTheme="majorHAnsi" w:cstheme="majorHAnsi"/>
        </w:rPr>
      </w:pPr>
      <w:r>
        <w:rPr>
          <w:rFonts w:asciiTheme="majorHAnsi" w:hAnsiTheme="majorHAnsi" w:cstheme="majorHAnsi"/>
          <w:b/>
        </w:rPr>
        <w:t>SUMMARY:</w:t>
      </w:r>
      <w:r>
        <w:rPr>
          <w:rFonts w:asciiTheme="majorHAnsi" w:hAnsiTheme="majorHAnsi" w:cstheme="majorHAnsi"/>
        </w:rPr>
        <w:t xml:space="preserve"> </w:t>
      </w:r>
    </w:p>
    <w:p w14:paraId="73E388B5">
      <w:pPr>
        <w:tabs>
          <w:tab w:val="left" w:pos="426"/>
        </w:tabs>
        <w:rPr>
          <w:rFonts w:asciiTheme="majorHAnsi" w:hAnsiTheme="majorHAnsi" w:cstheme="majorHAnsi"/>
        </w:rPr>
      </w:pPr>
      <w:r>
        <w:rPr>
          <w:rFonts w:asciiTheme="majorHAnsi" w:hAnsiTheme="majorHAnsi" w:cstheme="majorHAnsi"/>
        </w:rPr>
        <w:t>Here, we present a protocol to apply fire needling under ultrasound guidance to the glandular or muscular layers for the treatment of sialorrhea in poststroke tracheotomized patients.</w:t>
      </w:r>
    </w:p>
    <w:p w14:paraId="73E388B6">
      <w:pPr>
        <w:tabs>
          <w:tab w:val="left" w:pos="426"/>
        </w:tabs>
        <w:rPr>
          <w:rFonts w:asciiTheme="majorHAnsi" w:hAnsiTheme="majorHAnsi" w:cstheme="majorHAnsi"/>
          <w:b/>
        </w:rPr>
      </w:pPr>
    </w:p>
    <w:p w14:paraId="73E388B7">
      <w:pPr>
        <w:tabs>
          <w:tab w:val="left" w:pos="426"/>
        </w:tabs>
        <w:rPr>
          <w:rFonts w:asciiTheme="majorHAnsi" w:hAnsiTheme="majorHAnsi" w:cstheme="majorHAnsi"/>
        </w:rPr>
      </w:pPr>
      <w:r>
        <w:rPr>
          <w:rFonts w:asciiTheme="majorHAnsi" w:hAnsiTheme="majorHAnsi" w:cstheme="majorHAnsi"/>
          <w:b/>
        </w:rPr>
        <w:t>ABSTRACT:</w:t>
      </w:r>
    </w:p>
    <w:p w14:paraId="73E388B8">
      <w:pPr>
        <w:tabs>
          <w:tab w:val="left" w:pos="426"/>
        </w:tabs>
        <w:rPr>
          <w:rFonts w:asciiTheme="majorHAnsi" w:hAnsiTheme="majorHAnsi" w:cstheme="majorHAnsi"/>
        </w:rPr>
      </w:pPr>
      <w:r>
        <w:rPr>
          <w:rFonts w:asciiTheme="majorHAnsi" w:hAnsiTheme="majorHAnsi" w:cstheme="majorHAnsi"/>
        </w:rPr>
        <w:t>Sialorrhea is a syndrome characterized by the overflow of saliva from the oral cavity, resulting from either hypersecretion of the salivary glands or dysphagia. As a common sequela in stroke patients, sialorrhea can induce feelings of low self-esteem, perioral and facial inflammation, aspiration pneumonia, and significantly increase healthcare costs. Current clinical management primarily relies on anticholinergic medications or botulinum toxin to inhibit saliva production. However, these treatments offer limited efficacy and are associated with adverse effects such as xerostomia and dysphagia. Consequently, non-pharmacological therapies, including acupuncture in traditional Chinese medicine and rehabilitation training, have emerged as effective alternatives. Fire needling, a traditional Chinese medicine technique, possesses dual properties: needle stimulation and a thermal effect. It is characterized by rapid operation, no needle retention, and transient pain. For patients with suboptimal response to pharmacotherapy, we developed an ultrasound-guided fire needling method to reduce salivary volume and salivation frequency while avoiding adverse effects. Details are described in the text. Ultrasound guidance allows preoperative visualization of muscular and glandular tissues and their surrounding structures, facilitating precise insertion of the fire needle into the targeted glandular or muscular layers, thereby optimizing treatment efficacy and safety.</w:t>
      </w:r>
    </w:p>
    <w:p w14:paraId="73E388B9">
      <w:pPr>
        <w:tabs>
          <w:tab w:val="left" w:pos="426"/>
        </w:tabs>
        <w:rPr>
          <w:rFonts w:asciiTheme="majorHAnsi" w:hAnsiTheme="majorHAnsi" w:cstheme="majorHAnsi"/>
          <w:b/>
        </w:rPr>
      </w:pPr>
    </w:p>
    <w:p w14:paraId="73E388BA">
      <w:pPr>
        <w:tabs>
          <w:tab w:val="left" w:pos="426"/>
        </w:tabs>
        <w:rPr>
          <w:rFonts w:asciiTheme="majorHAnsi" w:hAnsiTheme="majorHAnsi" w:cstheme="majorHAnsi"/>
        </w:rPr>
      </w:pPr>
      <w:r>
        <w:rPr>
          <w:rFonts w:asciiTheme="majorHAnsi" w:hAnsiTheme="majorHAnsi" w:cstheme="majorHAnsi"/>
          <w:b/>
        </w:rPr>
        <w:t>INTRODUCTION:</w:t>
      </w:r>
      <w:r>
        <w:rPr>
          <w:rFonts w:asciiTheme="majorHAnsi" w:hAnsiTheme="majorHAnsi" w:cstheme="majorHAnsi"/>
        </w:rPr>
        <w:t xml:space="preserve"> </w:t>
      </w:r>
    </w:p>
    <w:p w14:paraId="73E388BB">
      <w:pPr>
        <w:tabs>
          <w:tab w:val="left" w:pos="426"/>
        </w:tabs>
        <w:rPr>
          <w:rFonts w:asciiTheme="majorHAnsi" w:hAnsiTheme="majorHAnsi" w:cstheme="majorHAnsi"/>
        </w:rPr>
      </w:pPr>
      <w:r>
        <w:rPr>
          <w:rFonts w:asciiTheme="majorHAnsi" w:hAnsiTheme="majorHAnsi" w:cstheme="majorHAnsi"/>
        </w:rPr>
        <w:t>Stroke is characterized by significant clinical features of high incidence and high disability rates</w:t>
      </w:r>
      <w:r>
        <w:rPr>
          <w:rFonts w:asciiTheme="majorHAnsi" w:hAnsiTheme="majorHAnsi" w:cstheme="majorHAnsi"/>
          <w:vertAlign w:val="superscript"/>
        </w:rPr>
        <w:fldChar w:fldCharType="begin"/>
      </w:r>
      <w:r>
        <w:rPr>
          <w:rFonts w:asciiTheme="majorHAnsi" w:hAnsiTheme="majorHAnsi" w:cstheme="majorHAnsi"/>
          <w:vertAlign w:val="superscript"/>
        </w:rPr>
        <w:instrText xml:space="preserve"> REF _Ref3630 \r \h  \* MERGEFORMAT </w:instrText>
      </w:r>
      <w:r>
        <w:rPr>
          <w:rFonts w:asciiTheme="majorHAnsi" w:hAnsiTheme="majorHAnsi" w:cstheme="majorHAnsi"/>
          <w:vertAlign w:val="superscript"/>
        </w:rPr>
        <w:fldChar w:fldCharType="separate"/>
      </w:r>
      <w:r>
        <w:rPr>
          <w:rFonts w:asciiTheme="majorHAnsi" w:hAnsiTheme="majorHAnsi" w:cstheme="majorHAnsi"/>
          <w:vertAlign w:val="superscript"/>
        </w:rPr>
        <w:t>1</w:t>
      </w:r>
      <w:r>
        <w:rPr>
          <w:rFonts w:asciiTheme="majorHAnsi" w:hAnsiTheme="majorHAnsi" w:cstheme="majorHAnsi"/>
          <w:vertAlign w:val="superscript"/>
        </w:rPr>
        <w:fldChar w:fldCharType="end"/>
      </w:r>
      <w:r>
        <w:rPr>
          <w:rFonts w:asciiTheme="majorHAnsi" w:hAnsiTheme="majorHAnsi" w:cstheme="majorHAnsi"/>
        </w:rPr>
        <w:t>. Patients often experience varying degrees of respiratory insufficiency due to damage to the respiratory center or impairment of the respiratory conduction pathways. Among these, tracheotomy serves as a critical intervention for maintaining airway patency and supporting ventilation, and is widely applied in patients with severe stroke. According to research statistics, approximately 18.7% of stroke patients require this surgical procedure</w:t>
      </w:r>
      <w:r>
        <w:rPr>
          <w:rFonts w:asciiTheme="majorHAnsi" w:hAnsiTheme="majorHAnsi" w:cstheme="majorHAnsi"/>
          <w:vertAlign w:val="superscript"/>
        </w:rPr>
        <w:fldChar w:fldCharType="begin"/>
      </w:r>
      <w:r>
        <w:rPr>
          <w:rFonts w:asciiTheme="majorHAnsi" w:hAnsiTheme="majorHAnsi" w:cstheme="majorHAnsi"/>
          <w:vertAlign w:val="superscript"/>
        </w:rPr>
        <w:instrText xml:space="preserve"> REF _Ref3934 \r \h  \* MERGEFORMAT </w:instrText>
      </w:r>
      <w:r>
        <w:rPr>
          <w:rFonts w:asciiTheme="majorHAnsi" w:hAnsiTheme="majorHAnsi" w:cstheme="majorHAnsi"/>
          <w:vertAlign w:val="superscript"/>
        </w:rPr>
        <w:fldChar w:fldCharType="separate"/>
      </w:r>
      <w:r>
        <w:rPr>
          <w:rFonts w:asciiTheme="majorHAnsi" w:hAnsiTheme="majorHAnsi" w:cstheme="majorHAnsi"/>
          <w:vertAlign w:val="superscript"/>
        </w:rPr>
        <w:t>2</w:t>
      </w:r>
      <w:r>
        <w:rPr>
          <w:rFonts w:asciiTheme="majorHAnsi" w:hAnsiTheme="majorHAnsi" w:cstheme="majorHAnsi"/>
          <w:vertAlign w:val="superscript"/>
        </w:rPr>
        <w:fldChar w:fldCharType="end"/>
      </w:r>
      <w:r>
        <w:rPr>
          <w:rFonts w:asciiTheme="majorHAnsi" w:hAnsiTheme="majorHAnsi" w:cstheme="majorHAnsi"/>
        </w:rPr>
        <w:t>.</w:t>
      </w:r>
    </w:p>
    <w:p w14:paraId="73E388BC">
      <w:pPr>
        <w:tabs>
          <w:tab w:val="left" w:pos="426"/>
        </w:tabs>
        <w:rPr>
          <w:rFonts w:asciiTheme="majorHAnsi" w:hAnsiTheme="majorHAnsi" w:cstheme="majorHAnsi"/>
        </w:rPr>
      </w:pPr>
    </w:p>
    <w:p w14:paraId="73E388BD">
      <w:pPr>
        <w:tabs>
          <w:tab w:val="left" w:pos="426"/>
        </w:tabs>
        <w:rPr>
          <w:rFonts w:asciiTheme="majorHAnsi" w:hAnsiTheme="majorHAnsi" w:cstheme="majorHAnsi"/>
        </w:rPr>
      </w:pPr>
      <w:r>
        <w:rPr>
          <w:rFonts w:asciiTheme="majorHAnsi" w:hAnsiTheme="majorHAnsi" w:cstheme="majorHAnsi"/>
        </w:rPr>
        <w:t>Sialorrhea, a common complication following stroke, typically results from dysphagia or autonomic dysregulation, leading to abnormal salivary secretion or impaired clearance, with consequent involuntary drooling</w:t>
      </w:r>
      <w:r>
        <w:rPr>
          <w:rFonts w:asciiTheme="majorHAnsi" w:hAnsiTheme="majorHAnsi" w:cstheme="majorHAnsi"/>
          <w:vertAlign w:val="superscript"/>
        </w:rPr>
        <w:fldChar w:fldCharType="begin"/>
      </w:r>
      <w:r>
        <w:rPr>
          <w:rFonts w:asciiTheme="majorHAnsi" w:hAnsiTheme="majorHAnsi" w:cstheme="majorHAnsi"/>
          <w:vertAlign w:val="superscript"/>
        </w:rPr>
        <w:instrText xml:space="preserve"> REF _Ref4077 \r \h  \* MERGEFORMAT </w:instrText>
      </w:r>
      <w:r>
        <w:rPr>
          <w:rFonts w:asciiTheme="majorHAnsi" w:hAnsiTheme="majorHAnsi" w:cstheme="majorHAnsi"/>
          <w:vertAlign w:val="superscript"/>
        </w:rPr>
        <w:fldChar w:fldCharType="separate"/>
      </w:r>
      <w:r>
        <w:rPr>
          <w:rFonts w:asciiTheme="majorHAnsi" w:hAnsiTheme="majorHAnsi" w:cstheme="majorHAnsi"/>
          <w:vertAlign w:val="superscript"/>
        </w:rPr>
        <w:t>3</w:t>
      </w:r>
      <w:r>
        <w:rPr>
          <w:rFonts w:asciiTheme="majorHAnsi" w:hAnsiTheme="majorHAnsi" w:cstheme="majorHAnsi"/>
          <w:vertAlign w:val="superscript"/>
        </w:rPr>
        <w:fldChar w:fldCharType="end"/>
      </w:r>
      <w:r>
        <w:rPr>
          <w:rFonts w:asciiTheme="majorHAnsi" w:hAnsiTheme="majorHAnsi" w:cstheme="majorHAnsi"/>
        </w:rPr>
        <w:t>. Notably, in posttracheotomy patients, alterations in laryngeal anatomy and partial or complete loss of laryngeal function, when combined with sialorrhea, significantly increase the risk of silent aspiration and secondary aspiration pneumonia compared to sialorrhea patients without airway remodeling, thereby posing a more complex clinical challenge.</w:t>
      </w:r>
    </w:p>
    <w:p w14:paraId="73E388BE">
      <w:pPr>
        <w:tabs>
          <w:tab w:val="left" w:pos="426"/>
        </w:tabs>
        <w:rPr>
          <w:rFonts w:asciiTheme="majorHAnsi" w:hAnsiTheme="majorHAnsi" w:cstheme="majorHAnsi"/>
        </w:rPr>
      </w:pPr>
    </w:p>
    <w:p w14:paraId="73E388BF">
      <w:pPr>
        <w:tabs>
          <w:tab w:val="left" w:pos="426"/>
        </w:tabs>
        <w:rPr>
          <w:rFonts w:asciiTheme="majorHAnsi" w:hAnsiTheme="majorHAnsi" w:cstheme="majorHAnsi"/>
        </w:rPr>
      </w:pPr>
      <w:r>
        <w:rPr>
          <w:rFonts w:asciiTheme="majorHAnsi" w:hAnsiTheme="majorHAnsi" w:cstheme="majorHAnsi"/>
        </w:rPr>
        <w:t>Current conventional treatments for sialorrhea primarily include anticholinergic medications, botulinum toxin injections, and surgical interventions. Although anticholinergic medications can improve salivary secretion to some extent, they may exacerbate autonomic dysregulation in stroke patients</w:t>
      </w:r>
      <w:r>
        <w:rPr>
          <w:rFonts w:asciiTheme="majorHAnsi" w:hAnsiTheme="majorHAnsi" w:cstheme="majorHAnsi"/>
          <w:vertAlign w:val="superscript"/>
        </w:rPr>
        <w:fldChar w:fldCharType="begin"/>
      </w:r>
      <w:r>
        <w:rPr>
          <w:rFonts w:asciiTheme="majorHAnsi" w:hAnsiTheme="majorHAnsi" w:cstheme="majorHAnsi"/>
          <w:vertAlign w:val="superscript"/>
        </w:rPr>
        <w:instrText xml:space="preserve"> REF _Ref4234 \r \h  \* MERGEFORMAT </w:instrText>
      </w:r>
      <w:r>
        <w:rPr>
          <w:rFonts w:asciiTheme="majorHAnsi" w:hAnsiTheme="majorHAnsi" w:cstheme="majorHAnsi"/>
          <w:vertAlign w:val="superscript"/>
        </w:rPr>
        <w:fldChar w:fldCharType="separate"/>
      </w:r>
      <w:r>
        <w:rPr>
          <w:rFonts w:asciiTheme="majorHAnsi" w:hAnsiTheme="majorHAnsi" w:cstheme="majorHAnsi"/>
          <w:vertAlign w:val="superscript"/>
        </w:rPr>
        <w:t>4</w:t>
      </w:r>
      <w:r>
        <w:rPr>
          <w:rFonts w:asciiTheme="majorHAnsi" w:hAnsiTheme="majorHAnsi" w:cstheme="majorHAnsi"/>
          <w:vertAlign w:val="superscript"/>
        </w:rPr>
        <w:fldChar w:fldCharType="end"/>
      </w:r>
      <w:r>
        <w:rPr>
          <w:rFonts w:asciiTheme="majorHAnsi" w:hAnsiTheme="majorHAnsi" w:cstheme="majorHAnsi"/>
        </w:rPr>
        <w:t>. Botulinum toxin injections effectively reduce salivary secretion in most patients; however, their efficacy has a temporal limitation, requiring regular repeat injections to maintain therapeutic effects</w:t>
      </w:r>
      <w:r>
        <w:rPr>
          <w:rFonts w:asciiTheme="majorHAnsi" w:hAnsiTheme="majorHAnsi" w:cstheme="majorHAnsi"/>
          <w:vertAlign w:val="superscript"/>
        </w:rPr>
        <w:fldChar w:fldCharType="begin"/>
      </w:r>
      <w:r>
        <w:rPr>
          <w:rFonts w:asciiTheme="majorHAnsi" w:hAnsiTheme="majorHAnsi" w:cstheme="majorHAnsi"/>
          <w:vertAlign w:val="superscript"/>
        </w:rPr>
        <w:instrText xml:space="preserve"> REF _Ref4286 \r \h  \* MERGEFORMAT </w:instrText>
      </w:r>
      <w:r>
        <w:rPr>
          <w:rFonts w:asciiTheme="majorHAnsi" w:hAnsiTheme="majorHAnsi" w:cstheme="majorHAnsi"/>
          <w:vertAlign w:val="superscript"/>
        </w:rPr>
        <w:fldChar w:fldCharType="separate"/>
      </w:r>
      <w:r>
        <w:rPr>
          <w:rFonts w:asciiTheme="majorHAnsi" w:hAnsiTheme="majorHAnsi" w:cstheme="majorHAnsi"/>
          <w:vertAlign w:val="superscript"/>
        </w:rPr>
        <w:t>5</w:t>
      </w:r>
      <w:r>
        <w:rPr>
          <w:rFonts w:asciiTheme="majorHAnsi" w:hAnsiTheme="majorHAnsi" w:cstheme="majorHAnsi"/>
          <w:vertAlign w:val="superscript"/>
        </w:rPr>
        <w:fldChar w:fldCharType="end"/>
      </w:r>
      <w:r>
        <w:rPr>
          <w:rFonts w:asciiTheme="majorHAnsi" w:hAnsiTheme="majorHAnsi" w:cstheme="majorHAnsi"/>
        </w:rPr>
        <w:t>. Surgical interventions, such as salivary gland duct transposition, ligation, or corresponding nerve severance, can achieve more sustained control of salivary secretion, but are associated with postoperative local pain and swelling, with poor tolerability in some patients</w:t>
      </w:r>
      <w:r>
        <w:rPr>
          <w:rFonts w:asciiTheme="majorHAnsi" w:hAnsiTheme="majorHAnsi" w:cstheme="majorHAnsi"/>
          <w:vertAlign w:val="superscript"/>
        </w:rPr>
        <w:fldChar w:fldCharType="begin"/>
      </w:r>
      <w:r>
        <w:rPr>
          <w:rFonts w:asciiTheme="majorHAnsi" w:hAnsiTheme="majorHAnsi" w:cstheme="majorHAnsi"/>
          <w:vertAlign w:val="superscript"/>
        </w:rPr>
        <w:instrText xml:space="preserve"> REF _Ref4325 \r \h  \* MERGEFORMAT </w:instrText>
      </w:r>
      <w:r>
        <w:rPr>
          <w:rFonts w:asciiTheme="majorHAnsi" w:hAnsiTheme="majorHAnsi" w:cstheme="majorHAnsi"/>
          <w:vertAlign w:val="superscript"/>
        </w:rPr>
        <w:fldChar w:fldCharType="separate"/>
      </w:r>
      <w:r>
        <w:rPr>
          <w:rFonts w:asciiTheme="majorHAnsi" w:hAnsiTheme="majorHAnsi" w:cstheme="majorHAnsi"/>
          <w:vertAlign w:val="superscript"/>
        </w:rPr>
        <w:t>6</w:t>
      </w:r>
      <w:r>
        <w:rPr>
          <w:rFonts w:asciiTheme="majorHAnsi" w:hAnsiTheme="majorHAnsi" w:cstheme="majorHAnsi"/>
          <w:vertAlign w:val="superscript"/>
        </w:rPr>
        <w:fldChar w:fldCharType="end"/>
      </w:r>
      <w:r>
        <w:rPr>
          <w:rFonts w:asciiTheme="majorHAnsi" w:hAnsiTheme="majorHAnsi" w:cstheme="majorHAnsi"/>
        </w:rPr>
        <w:t>. Therefore, the development of safe and durable non-pharmacological therapies has gradually become an important research direction and clinical alternative in this field.</w:t>
      </w:r>
    </w:p>
    <w:p w14:paraId="73E388C0">
      <w:pPr>
        <w:tabs>
          <w:tab w:val="left" w:pos="426"/>
        </w:tabs>
        <w:rPr>
          <w:rFonts w:asciiTheme="majorHAnsi" w:hAnsiTheme="majorHAnsi" w:cstheme="majorHAnsi"/>
        </w:rPr>
      </w:pPr>
    </w:p>
    <w:p w14:paraId="73E388C1">
      <w:pPr>
        <w:tabs>
          <w:tab w:val="left" w:pos="426"/>
        </w:tabs>
        <w:rPr>
          <w:rFonts w:asciiTheme="majorHAnsi" w:hAnsiTheme="majorHAnsi" w:cstheme="majorHAnsi"/>
        </w:rPr>
      </w:pPr>
      <w:r>
        <w:rPr>
          <w:rFonts w:asciiTheme="majorHAnsi" w:hAnsiTheme="majorHAnsi" w:cstheme="majorHAnsi"/>
        </w:rPr>
        <w:t>Research has demonstrated the advantages of acupuncture in treating post-stroke sialorrhea</w:t>
      </w:r>
      <w:r>
        <w:rPr>
          <w:rFonts w:asciiTheme="majorHAnsi" w:hAnsiTheme="majorHAnsi" w:cstheme="majorHAnsi"/>
          <w:vertAlign w:val="superscript"/>
        </w:rPr>
        <w:fldChar w:fldCharType="begin"/>
      </w:r>
      <w:r>
        <w:rPr>
          <w:rFonts w:asciiTheme="majorHAnsi" w:hAnsiTheme="majorHAnsi" w:cstheme="majorHAnsi"/>
          <w:vertAlign w:val="superscript"/>
        </w:rPr>
        <w:instrText xml:space="preserve"> REF _Ref4378 \r \h  \* MERGEFORMAT </w:instrText>
      </w:r>
      <w:r>
        <w:rPr>
          <w:rFonts w:asciiTheme="majorHAnsi" w:hAnsiTheme="majorHAnsi" w:cstheme="majorHAnsi"/>
          <w:vertAlign w:val="superscript"/>
        </w:rPr>
        <w:fldChar w:fldCharType="separate"/>
      </w:r>
      <w:r>
        <w:rPr>
          <w:rFonts w:asciiTheme="majorHAnsi" w:hAnsiTheme="majorHAnsi" w:cstheme="majorHAnsi"/>
          <w:vertAlign w:val="superscript"/>
        </w:rPr>
        <w:t>7</w:t>
      </w:r>
      <w:r>
        <w:rPr>
          <w:rFonts w:asciiTheme="majorHAnsi" w:hAnsiTheme="majorHAnsi" w:cstheme="majorHAnsi"/>
          <w:vertAlign w:val="superscript"/>
        </w:rPr>
        <w:fldChar w:fldCharType="end"/>
      </w:r>
      <w:r>
        <w:rPr>
          <w:rFonts w:asciiTheme="majorHAnsi" w:hAnsiTheme="majorHAnsi" w:cstheme="majorHAnsi"/>
        </w:rPr>
        <w:t>. Fire needling, one of the traditional external therapies in Chinese medicine, was historically referred to as “brazing needling” or “burning needling” and is among the nine classical needling techniques. It possesses the dual properties of both needle stimulation and thermal effect. Existing studies have confirmed that fire needling can promote the proliferation of neural stem cells and their differentiation into neurons, thereby facilitating neural repair. Evidence also suggests that fire needling improves local blood circulation, dilates blood vessels, and regulates muscle tone. In addition, fire needling has been shown to modulate inflammatory and immune responses and improve the local metabolic environment. This technique uses a rapid pricking method with no needle retention, resulting in a short treatment duration</w:t>
      </w:r>
      <w:r>
        <w:rPr>
          <w:rFonts w:asciiTheme="majorHAnsi" w:hAnsiTheme="majorHAnsi" w:cstheme="majorHAnsi"/>
          <w:vertAlign w:val="superscript"/>
        </w:rPr>
        <w:fldChar w:fldCharType="begin"/>
      </w:r>
      <w:r>
        <w:rPr>
          <w:rFonts w:asciiTheme="majorHAnsi" w:hAnsiTheme="majorHAnsi" w:cstheme="majorHAnsi"/>
          <w:vertAlign w:val="superscript"/>
        </w:rPr>
        <w:instrText xml:space="preserve"> REF _Ref4440 \r \h  \* MERGEFORMAT </w:instrText>
      </w:r>
      <w:r>
        <w:rPr>
          <w:rFonts w:asciiTheme="majorHAnsi" w:hAnsiTheme="majorHAnsi" w:cstheme="majorHAnsi"/>
          <w:vertAlign w:val="superscript"/>
        </w:rPr>
        <w:fldChar w:fldCharType="separate"/>
      </w:r>
      <w:r>
        <w:rPr>
          <w:rFonts w:asciiTheme="majorHAnsi" w:hAnsiTheme="majorHAnsi" w:cstheme="majorHAnsi"/>
          <w:vertAlign w:val="superscript"/>
        </w:rPr>
        <w:t>8</w:t>
      </w:r>
      <w:r>
        <w:rPr>
          <w:rFonts w:asciiTheme="majorHAnsi" w:hAnsiTheme="majorHAnsi" w:cstheme="majorHAnsi"/>
          <w:vertAlign w:val="superscript"/>
        </w:rPr>
        <w:fldChar w:fldCharType="end"/>
      </w:r>
      <w:r>
        <w:rPr>
          <w:rFonts w:asciiTheme="majorHAnsi" w:hAnsiTheme="majorHAnsi" w:cstheme="majorHAnsi"/>
        </w:rPr>
        <w:t xml:space="preserve"> and transient painful stimulation.</w:t>
      </w:r>
    </w:p>
    <w:p w14:paraId="73E388C2">
      <w:pPr>
        <w:tabs>
          <w:tab w:val="left" w:pos="426"/>
        </w:tabs>
        <w:rPr>
          <w:rFonts w:asciiTheme="majorHAnsi" w:hAnsiTheme="majorHAnsi" w:cstheme="majorHAnsi"/>
        </w:rPr>
      </w:pPr>
    </w:p>
    <w:p w14:paraId="73E388C3">
      <w:pPr>
        <w:tabs>
          <w:tab w:val="left" w:pos="426"/>
        </w:tabs>
        <w:rPr>
          <w:rFonts w:asciiTheme="majorHAnsi" w:hAnsiTheme="majorHAnsi" w:cstheme="majorHAnsi"/>
        </w:rPr>
      </w:pPr>
      <w:r>
        <w:rPr>
          <w:rFonts w:asciiTheme="majorHAnsi" w:hAnsiTheme="majorHAnsi" w:cstheme="majorHAnsi"/>
        </w:rPr>
        <w:t>For patients who are not suitable candidates for pharmacological or botulinum toxin therapy, our team has developed an ultrasound-guided fire needling approach that precisely targets the glandular or muscular layers for the treatment of poststroke sialorrhea. The procedure is as follows: prior to fire needling, ultrasound is used to visualize the local anatomical structures at the acupoint. A puncture site that allows penetration into the muscle or gland while avoiding facial blood vessels is selected, marked, and the needling depth range is recorded. Fire needling is then performed. Compared with conventional methods, ultrasound guidance improves procedural precision and safety, offering a novel approach for the treatment of post-stroke sialorrhea.</w:t>
      </w:r>
    </w:p>
    <w:p w14:paraId="73E388C4">
      <w:pPr>
        <w:tabs>
          <w:tab w:val="left" w:pos="426"/>
        </w:tabs>
        <w:rPr>
          <w:rFonts w:asciiTheme="majorHAnsi" w:hAnsiTheme="majorHAnsi" w:cstheme="majorHAnsi"/>
        </w:rPr>
      </w:pPr>
    </w:p>
    <w:p w14:paraId="73E388C5">
      <w:pPr>
        <w:tabs>
          <w:tab w:val="left" w:pos="426"/>
        </w:tabs>
        <w:rPr>
          <w:rFonts w:asciiTheme="majorHAnsi" w:hAnsiTheme="majorHAnsi" w:cstheme="majorHAnsi"/>
          <w:b/>
        </w:rPr>
      </w:pPr>
      <w:r>
        <w:rPr>
          <w:rFonts w:asciiTheme="majorHAnsi" w:hAnsiTheme="majorHAnsi" w:cstheme="majorHAnsi"/>
          <w:b/>
        </w:rPr>
        <w:t>PROTOCOL:</w:t>
      </w:r>
    </w:p>
    <w:p w14:paraId="73E388C6">
      <w:pPr>
        <w:tabs>
          <w:tab w:val="left" w:pos="426"/>
        </w:tabs>
        <w:rPr>
          <w:rFonts w:asciiTheme="majorHAnsi" w:hAnsiTheme="majorHAnsi" w:cstheme="majorHAnsi"/>
          <w:b/>
        </w:rPr>
      </w:pPr>
    </w:p>
    <w:p w14:paraId="73E388C7">
      <w:pPr>
        <w:tabs>
          <w:tab w:val="left" w:pos="426"/>
        </w:tabs>
        <w:rPr>
          <w:rFonts w:asciiTheme="majorHAnsi" w:hAnsiTheme="majorHAnsi" w:cstheme="majorHAnsi"/>
        </w:rPr>
      </w:pPr>
      <w:r>
        <w:rPr>
          <w:rFonts w:asciiTheme="majorHAnsi" w:hAnsiTheme="majorHAnsi" w:cstheme="majorHAnsi"/>
        </w:rPr>
        <w:t>This protocol was approved by the Ethics Committee of the Fifth Affiliated Hospital of Guangzhou University of Chinese Medicine (Z202510-007-01). This study adopted a prospective, randomized controlled clinical trial design and involved patients from the Fifth Affiliated Hospital of Guangzhou University of Chinese Medicine. All participating patients provided informed consent.</w:t>
      </w:r>
    </w:p>
    <w:p w14:paraId="73E388C8">
      <w:pPr>
        <w:tabs>
          <w:tab w:val="left" w:pos="426"/>
        </w:tabs>
        <w:rPr>
          <w:rFonts w:asciiTheme="majorHAnsi" w:hAnsiTheme="majorHAnsi" w:cstheme="majorHAnsi"/>
        </w:rPr>
      </w:pPr>
    </w:p>
    <w:p w14:paraId="73E388C9">
      <w:pPr>
        <w:numPr>
          <w:ilvl w:val="0"/>
          <w:numId w:val="1"/>
        </w:numPr>
        <w:tabs>
          <w:tab w:val="left" w:pos="426"/>
          <w:tab w:val="clear" w:pos="312"/>
        </w:tabs>
        <w:rPr>
          <w:rFonts w:eastAsia="宋体" w:asciiTheme="majorHAnsi" w:hAnsiTheme="majorHAnsi" w:cstheme="majorHAnsi"/>
          <w:b/>
          <w:bCs/>
          <w:lang w:eastAsia="zh-CN"/>
        </w:rPr>
      </w:pPr>
      <w:r>
        <w:rPr>
          <w:rFonts w:eastAsia="宋体" w:asciiTheme="majorHAnsi" w:hAnsiTheme="majorHAnsi" w:cstheme="majorHAnsi"/>
          <w:b/>
          <w:bCs/>
          <w:lang w:eastAsia="zh-CN"/>
        </w:rPr>
        <w:t>Patient assessment</w:t>
      </w:r>
    </w:p>
    <w:p w14:paraId="73E388CA">
      <w:pPr>
        <w:tabs>
          <w:tab w:val="left" w:pos="426"/>
        </w:tabs>
        <w:rPr>
          <w:rFonts w:eastAsia="宋体" w:asciiTheme="majorHAnsi" w:hAnsiTheme="majorHAnsi" w:cstheme="majorHAnsi"/>
          <w:b/>
          <w:bCs/>
          <w:lang w:eastAsia="zh-CN"/>
        </w:rPr>
      </w:pPr>
    </w:p>
    <w:p w14:paraId="73E388CB">
      <w:pPr>
        <w:pStyle w:val="26"/>
        <w:numPr>
          <w:ilvl w:val="1"/>
          <w:numId w:val="2"/>
        </w:numPr>
        <w:tabs>
          <w:tab w:val="left" w:pos="426"/>
        </w:tabs>
        <w:spacing w:after="0" w:line="240" w:lineRule="auto"/>
        <w:ind w:left="0" w:firstLine="0"/>
        <w:jc w:val="both"/>
        <w:rPr>
          <w:rFonts w:asciiTheme="majorHAnsi" w:hAnsiTheme="majorHAnsi" w:cstheme="majorHAnsi"/>
          <w:sz w:val="24"/>
          <w:szCs w:val="24"/>
        </w:rPr>
      </w:pPr>
      <w:r>
        <w:rPr>
          <w:rFonts w:asciiTheme="majorHAnsi" w:hAnsiTheme="majorHAnsi" w:cstheme="majorHAnsi"/>
          <w:sz w:val="24"/>
          <w:szCs w:val="24"/>
        </w:rPr>
        <w:t>Inclusion criteria:</w:t>
      </w:r>
    </w:p>
    <w:p w14:paraId="27AE63BC">
      <w:pPr>
        <w:pStyle w:val="26"/>
        <w:tabs>
          <w:tab w:val="left" w:pos="426"/>
        </w:tabs>
        <w:spacing w:after="0" w:line="240" w:lineRule="auto"/>
        <w:ind w:left="0"/>
        <w:jc w:val="both"/>
        <w:rPr>
          <w:rFonts w:asciiTheme="majorHAnsi" w:hAnsiTheme="majorHAnsi" w:cstheme="majorHAnsi"/>
          <w:sz w:val="24"/>
          <w:szCs w:val="24"/>
        </w:rPr>
      </w:pPr>
    </w:p>
    <w:p w14:paraId="73E388CC">
      <w:pPr>
        <w:pStyle w:val="26"/>
        <w:numPr>
          <w:ilvl w:val="2"/>
          <w:numId w:val="2"/>
        </w:numPr>
        <w:tabs>
          <w:tab w:val="left" w:pos="426"/>
        </w:tabs>
        <w:spacing w:after="0" w:line="240" w:lineRule="auto"/>
        <w:ind w:left="0" w:firstLine="0"/>
        <w:jc w:val="both"/>
        <w:rPr>
          <w:rFonts w:asciiTheme="majorHAnsi" w:hAnsiTheme="majorHAnsi" w:cstheme="majorHAnsi"/>
          <w:sz w:val="24"/>
          <w:szCs w:val="24"/>
        </w:rPr>
      </w:pPr>
      <w:r>
        <w:rPr>
          <w:rFonts w:eastAsia="宋体" w:asciiTheme="majorHAnsi" w:hAnsiTheme="majorHAnsi" w:cstheme="majorHAnsi"/>
          <w:sz w:val="24"/>
          <w:szCs w:val="24"/>
          <w:lang w:eastAsia="zh-CN"/>
        </w:rPr>
        <w:t>Ensure that the patient meets the diagnostic criteria for cerebral hemorrhage or cerebral infarction as revised in the Diagnostic Criteria for Various Cerebrovascular Diseases established at the Fourth National Cerebrovascular Disease Academic Conference of the Chinese Medical Association (see</w:t>
      </w:r>
      <w:r>
        <w:rPr>
          <w:rFonts w:eastAsia="宋体" w:asciiTheme="majorHAnsi" w:hAnsiTheme="majorHAnsi" w:cstheme="majorHAnsi"/>
          <w:b/>
          <w:bCs/>
          <w:sz w:val="24"/>
          <w:szCs w:val="24"/>
          <w:lang w:eastAsia="zh-CN"/>
        </w:rPr>
        <w:t xml:space="preserve"> Supplemental File 1</w:t>
      </w:r>
      <w:r>
        <w:rPr>
          <w:rFonts w:eastAsia="宋体" w:asciiTheme="majorHAnsi" w:hAnsiTheme="majorHAnsi" w:cstheme="majorHAnsi"/>
          <w:sz w:val="24"/>
          <w:szCs w:val="24"/>
          <w:lang w:eastAsia="zh-CN"/>
        </w:rPr>
        <w:t>)</w:t>
      </w:r>
      <w:r>
        <w:rPr>
          <w:rFonts w:asciiTheme="majorHAnsi" w:hAnsiTheme="majorHAnsi" w:cstheme="majorHAnsi"/>
          <w:sz w:val="24"/>
          <w:szCs w:val="24"/>
          <w:vertAlign w:val="superscript"/>
        </w:rPr>
        <w:fldChar w:fldCharType="begin"/>
      </w:r>
      <w:r>
        <w:rPr>
          <w:rFonts w:asciiTheme="majorHAnsi" w:hAnsiTheme="majorHAnsi" w:cstheme="majorHAnsi"/>
          <w:sz w:val="24"/>
          <w:szCs w:val="24"/>
          <w:vertAlign w:val="superscript"/>
        </w:rPr>
        <w:instrText xml:space="preserve"> REF _Ref5047 \r \h  \* MERGEFORMAT </w:instrText>
      </w:r>
      <w:r>
        <w:rPr>
          <w:rFonts w:asciiTheme="majorHAnsi" w:hAnsiTheme="majorHAnsi" w:cstheme="majorHAnsi"/>
          <w:sz w:val="24"/>
          <w:szCs w:val="24"/>
          <w:vertAlign w:val="superscript"/>
        </w:rPr>
        <w:fldChar w:fldCharType="separate"/>
      </w:r>
      <w:r>
        <w:rPr>
          <w:rFonts w:asciiTheme="majorHAnsi" w:hAnsiTheme="majorHAnsi" w:cstheme="majorHAnsi"/>
          <w:sz w:val="24"/>
          <w:szCs w:val="24"/>
          <w:vertAlign w:val="superscript"/>
        </w:rPr>
        <w:t>9</w:t>
      </w:r>
      <w:r>
        <w:rPr>
          <w:rFonts w:asciiTheme="majorHAnsi" w:hAnsiTheme="majorHAnsi" w:cstheme="majorHAnsi"/>
          <w:sz w:val="24"/>
          <w:szCs w:val="24"/>
          <w:vertAlign w:val="superscript"/>
        </w:rPr>
        <w:fldChar w:fldCharType="end"/>
      </w:r>
      <w:r>
        <w:rPr>
          <w:rFonts w:asciiTheme="majorHAnsi" w:hAnsiTheme="majorHAnsi" w:cstheme="majorHAnsi"/>
          <w:sz w:val="24"/>
          <w:szCs w:val="24"/>
        </w:rPr>
        <w:t>.</w:t>
      </w:r>
    </w:p>
    <w:p w14:paraId="7E6D066F">
      <w:pPr>
        <w:pStyle w:val="26"/>
        <w:tabs>
          <w:tab w:val="left" w:pos="426"/>
        </w:tabs>
        <w:spacing w:after="0" w:line="240" w:lineRule="auto"/>
        <w:ind w:left="0"/>
        <w:jc w:val="both"/>
        <w:rPr>
          <w:rFonts w:asciiTheme="majorHAnsi" w:hAnsiTheme="majorHAnsi" w:cstheme="majorHAnsi"/>
          <w:sz w:val="24"/>
          <w:szCs w:val="24"/>
        </w:rPr>
      </w:pPr>
    </w:p>
    <w:p w14:paraId="6D8EE31F">
      <w:pPr>
        <w:pStyle w:val="26"/>
        <w:numPr>
          <w:ilvl w:val="2"/>
          <w:numId w:val="2"/>
        </w:numPr>
        <w:tabs>
          <w:tab w:val="left" w:pos="426"/>
        </w:tabs>
        <w:spacing w:after="0" w:line="240" w:lineRule="auto"/>
        <w:ind w:left="0" w:firstLine="0"/>
        <w:jc w:val="both"/>
        <w:rPr>
          <w:rFonts w:asciiTheme="majorHAnsi" w:hAnsiTheme="majorHAnsi" w:cstheme="majorHAnsi"/>
          <w:sz w:val="24"/>
          <w:szCs w:val="24"/>
        </w:rPr>
      </w:pPr>
      <w:r>
        <w:rPr>
          <w:rFonts w:asciiTheme="majorHAnsi" w:hAnsiTheme="majorHAnsi" w:cstheme="majorHAnsi"/>
          <w:sz w:val="24"/>
          <w:szCs w:val="24"/>
        </w:rPr>
        <w:t>Assess the severity of sialorrhea using the Drooling Severity</w:t>
      </w:r>
      <w:r>
        <w:rPr>
          <w:rFonts w:eastAsia="宋体" w:asciiTheme="majorHAnsi" w:hAnsiTheme="majorHAnsi" w:cstheme="majorHAnsi"/>
          <w:sz w:val="24"/>
          <w:szCs w:val="24"/>
          <w:lang w:eastAsia="zh-CN"/>
        </w:rPr>
        <w:t xml:space="preserve"> </w:t>
      </w:r>
      <w:r>
        <w:rPr>
          <w:rFonts w:asciiTheme="majorHAnsi" w:hAnsiTheme="majorHAnsi" w:cstheme="majorHAnsi"/>
          <w:sz w:val="24"/>
          <w:szCs w:val="24"/>
        </w:rPr>
        <w:t>Scale (DSFS), and confirm that the patient has a DSFS score ≥ 3.</w:t>
      </w:r>
    </w:p>
    <w:p w14:paraId="622E4C49">
      <w:pPr>
        <w:pStyle w:val="26"/>
        <w:tabs>
          <w:tab w:val="left" w:pos="426"/>
        </w:tabs>
        <w:spacing w:after="0" w:line="240" w:lineRule="auto"/>
        <w:ind w:left="0"/>
        <w:jc w:val="both"/>
        <w:rPr>
          <w:rFonts w:asciiTheme="majorHAnsi" w:hAnsiTheme="majorHAnsi" w:cstheme="majorHAnsi"/>
          <w:sz w:val="24"/>
          <w:szCs w:val="24"/>
        </w:rPr>
      </w:pPr>
    </w:p>
    <w:p w14:paraId="73E388CF">
      <w:pPr>
        <w:tabs>
          <w:tab w:val="left" w:pos="426"/>
        </w:tabs>
        <w:rPr>
          <w:rFonts w:asciiTheme="majorHAnsi" w:hAnsiTheme="majorHAnsi" w:cstheme="majorHAnsi"/>
        </w:rPr>
      </w:pPr>
      <w:r>
        <w:rPr>
          <w:rFonts w:eastAsia="宋体" w:asciiTheme="majorHAnsi" w:hAnsiTheme="majorHAnsi" w:cstheme="majorHAnsi"/>
          <w:lang w:eastAsia="zh-CN"/>
        </w:rPr>
        <w:t>1.</w:t>
      </w:r>
      <w:r>
        <w:rPr>
          <w:rFonts w:asciiTheme="majorHAnsi" w:hAnsiTheme="majorHAnsi" w:cstheme="majorHAnsi"/>
        </w:rPr>
        <w:t>1.3. Select patients with a retained tracheostomy tube equipped with a subglottic suction device and those aged between 18 and 70 years (inclusive), with no sex restriction.</w:t>
      </w:r>
    </w:p>
    <w:p w14:paraId="0F687120">
      <w:pPr>
        <w:pStyle w:val="26"/>
        <w:tabs>
          <w:tab w:val="left" w:pos="426"/>
        </w:tabs>
        <w:spacing w:after="0" w:line="240" w:lineRule="auto"/>
        <w:ind w:left="0"/>
        <w:jc w:val="both"/>
        <w:rPr>
          <w:rFonts w:asciiTheme="majorHAnsi" w:hAnsiTheme="majorHAnsi" w:cstheme="majorHAnsi"/>
          <w:sz w:val="24"/>
          <w:szCs w:val="24"/>
        </w:rPr>
      </w:pPr>
    </w:p>
    <w:p w14:paraId="73E388D1">
      <w:pPr>
        <w:pStyle w:val="26"/>
        <w:numPr>
          <w:ilvl w:val="1"/>
          <w:numId w:val="2"/>
        </w:numPr>
        <w:tabs>
          <w:tab w:val="left" w:pos="426"/>
        </w:tabs>
        <w:spacing w:after="0" w:line="240" w:lineRule="auto"/>
        <w:ind w:left="0" w:firstLine="0"/>
        <w:jc w:val="both"/>
        <w:rPr>
          <w:rFonts w:asciiTheme="majorHAnsi" w:hAnsiTheme="majorHAnsi" w:cstheme="majorHAnsi"/>
          <w:sz w:val="24"/>
          <w:szCs w:val="24"/>
        </w:rPr>
      </w:pPr>
      <w:r>
        <w:rPr>
          <w:rFonts w:eastAsia="宋体" w:asciiTheme="majorHAnsi" w:hAnsiTheme="majorHAnsi" w:cstheme="majorHAnsi"/>
          <w:sz w:val="24"/>
          <w:szCs w:val="24"/>
          <w:lang w:eastAsia="zh-CN"/>
        </w:rPr>
        <w:t>E</w:t>
      </w:r>
      <w:r>
        <w:rPr>
          <w:rFonts w:asciiTheme="majorHAnsi" w:hAnsiTheme="majorHAnsi" w:cstheme="majorHAnsi"/>
          <w:sz w:val="24"/>
          <w:szCs w:val="24"/>
        </w:rPr>
        <w:t>xclusion criteria:</w:t>
      </w:r>
    </w:p>
    <w:p w14:paraId="7AB069E7">
      <w:pPr>
        <w:pStyle w:val="26"/>
        <w:tabs>
          <w:tab w:val="left" w:pos="426"/>
        </w:tabs>
        <w:spacing w:after="0" w:line="240" w:lineRule="auto"/>
        <w:ind w:left="0"/>
        <w:jc w:val="both"/>
        <w:rPr>
          <w:rFonts w:asciiTheme="majorHAnsi" w:hAnsiTheme="majorHAnsi" w:cstheme="majorHAnsi"/>
          <w:sz w:val="24"/>
          <w:szCs w:val="24"/>
        </w:rPr>
      </w:pPr>
    </w:p>
    <w:p w14:paraId="73E388D5">
      <w:pPr>
        <w:tabs>
          <w:tab w:val="left" w:pos="426"/>
        </w:tabs>
        <w:rPr>
          <w:rFonts w:asciiTheme="majorHAnsi" w:hAnsiTheme="majorHAnsi" w:cstheme="majorHAnsi"/>
        </w:rPr>
      </w:pPr>
      <w:r>
        <w:rPr>
          <w:rFonts w:eastAsia="宋体" w:asciiTheme="majorHAnsi" w:hAnsiTheme="majorHAnsi" w:cstheme="majorHAnsi"/>
          <w:lang w:eastAsia="zh-CN"/>
        </w:rPr>
        <w:t xml:space="preserve">1.2.1. </w:t>
      </w:r>
      <w:r>
        <w:rPr>
          <w:rFonts w:asciiTheme="majorHAnsi" w:hAnsiTheme="majorHAnsi" w:cstheme="majorHAnsi"/>
        </w:rPr>
        <w:t>Exclude patients with sialorrhea attributable to other diseases or medications; who are unsuitable for fire needling; who have received botulinum toxin or anticholinergic medications (e.g., trihexyphenidyl) prior to trial initiation; and those with severe cardiac, hepatic, or renal insufficiency, severe electrolyte disturbances, or other serious systemic diseases.</w:t>
      </w:r>
    </w:p>
    <w:p w14:paraId="73E388D6">
      <w:pPr>
        <w:tabs>
          <w:tab w:val="left" w:pos="426"/>
        </w:tabs>
        <w:rPr>
          <w:rFonts w:asciiTheme="majorHAnsi" w:hAnsiTheme="majorHAnsi" w:cstheme="majorHAnsi"/>
          <w:b/>
          <w:bCs/>
        </w:rPr>
      </w:pPr>
    </w:p>
    <w:p w14:paraId="73E388D7">
      <w:pPr>
        <w:pStyle w:val="26"/>
        <w:numPr>
          <w:ilvl w:val="0"/>
          <w:numId w:val="2"/>
        </w:numPr>
        <w:tabs>
          <w:tab w:val="left" w:pos="426"/>
        </w:tabs>
        <w:spacing w:after="0" w:line="240" w:lineRule="auto"/>
        <w:ind w:left="0" w:firstLine="0"/>
        <w:jc w:val="both"/>
        <w:rPr>
          <w:rFonts w:asciiTheme="majorHAnsi" w:hAnsiTheme="majorHAnsi" w:cstheme="majorHAnsi"/>
          <w:b/>
          <w:bCs/>
          <w:sz w:val="24"/>
          <w:szCs w:val="24"/>
        </w:rPr>
      </w:pPr>
      <w:r>
        <w:rPr>
          <w:rFonts w:asciiTheme="majorHAnsi" w:hAnsiTheme="majorHAnsi" w:cstheme="majorHAnsi"/>
          <w:b/>
          <w:bCs/>
          <w:sz w:val="24"/>
          <w:szCs w:val="24"/>
        </w:rPr>
        <w:t>Study design</w:t>
      </w:r>
    </w:p>
    <w:p w14:paraId="73E388D8">
      <w:pPr>
        <w:tabs>
          <w:tab w:val="left" w:pos="426"/>
        </w:tabs>
        <w:rPr>
          <w:rFonts w:asciiTheme="majorHAnsi" w:hAnsiTheme="majorHAnsi" w:cstheme="majorHAnsi"/>
        </w:rPr>
      </w:pPr>
    </w:p>
    <w:p w14:paraId="73E388D9">
      <w:pPr>
        <w:pStyle w:val="26"/>
        <w:numPr>
          <w:ilvl w:val="1"/>
          <w:numId w:val="2"/>
        </w:numPr>
        <w:tabs>
          <w:tab w:val="left" w:pos="426"/>
        </w:tabs>
        <w:spacing w:after="0" w:line="240" w:lineRule="auto"/>
        <w:ind w:left="0" w:firstLine="0"/>
        <w:jc w:val="both"/>
        <w:rPr>
          <w:rFonts w:eastAsia="宋体" w:asciiTheme="majorHAnsi" w:hAnsiTheme="majorHAnsi" w:cstheme="majorHAnsi"/>
          <w:sz w:val="24"/>
          <w:szCs w:val="24"/>
          <w:lang w:eastAsia="zh-CN"/>
        </w:rPr>
      </w:pPr>
      <w:r>
        <w:rPr>
          <w:rFonts w:asciiTheme="majorHAnsi" w:hAnsiTheme="majorHAnsi" w:cstheme="majorHAnsi"/>
          <w:sz w:val="24"/>
          <w:szCs w:val="24"/>
        </w:rPr>
        <w:t>Perform randomization of patients and blinding</w:t>
      </w:r>
      <w:r>
        <w:rPr>
          <w:rFonts w:eastAsia="宋体" w:asciiTheme="majorHAnsi" w:hAnsiTheme="majorHAnsi" w:cstheme="majorHAnsi"/>
          <w:sz w:val="24"/>
          <w:szCs w:val="24"/>
          <w:lang w:eastAsia="zh-CN"/>
        </w:rPr>
        <w:t xml:space="preserve">. </w:t>
      </w:r>
    </w:p>
    <w:p w14:paraId="6F2ADC3A">
      <w:pPr>
        <w:tabs>
          <w:tab w:val="left" w:pos="426"/>
        </w:tabs>
        <w:rPr>
          <w:rFonts w:eastAsia="宋体" w:asciiTheme="majorHAnsi" w:hAnsiTheme="majorHAnsi" w:cstheme="majorHAnsi"/>
          <w:lang w:eastAsia="zh-CN"/>
        </w:rPr>
      </w:pPr>
    </w:p>
    <w:p w14:paraId="73E388DA">
      <w:pPr>
        <w:pStyle w:val="26"/>
        <w:numPr>
          <w:ilvl w:val="2"/>
          <w:numId w:val="2"/>
        </w:numPr>
        <w:tabs>
          <w:tab w:val="left" w:pos="426"/>
        </w:tabs>
        <w:spacing w:after="0" w:line="240" w:lineRule="auto"/>
        <w:ind w:left="0" w:firstLine="0"/>
        <w:jc w:val="both"/>
        <w:rPr>
          <w:rFonts w:asciiTheme="majorHAnsi" w:hAnsiTheme="majorHAnsi" w:cstheme="majorHAnsi"/>
          <w:sz w:val="24"/>
          <w:szCs w:val="24"/>
        </w:rPr>
      </w:pPr>
      <w:r>
        <w:rPr>
          <w:rFonts w:asciiTheme="majorHAnsi" w:hAnsiTheme="majorHAnsi" w:cstheme="majorHAnsi"/>
          <w:sz w:val="24"/>
          <w:szCs w:val="24"/>
        </w:rPr>
        <w:t>Have an independent statistician generate the randomization sequence using statistical software. Assign subjects to the intervention and control groups in a 1:1 ratio.</w:t>
      </w:r>
    </w:p>
    <w:p w14:paraId="7AE8F46F">
      <w:pPr>
        <w:pStyle w:val="26"/>
        <w:tabs>
          <w:tab w:val="left" w:pos="426"/>
        </w:tabs>
        <w:spacing w:after="0" w:line="240" w:lineRule="auto"/>
        <w:ind w:left="0"/>
        <w:jc w:val="both"/>
        <w:rPr>
          <w:rFonts w:asciiTheme="majorHAnsi" w:hAnsiTheme="majorHAnsi" w:cstheme="majorHAnsi"/>
          <w:sz w:val="24"/>
          <w:szCs w:val="24"/>
        </w:rPr>
      </w:pPr>
    </w:p>
    <w:p w14:paraId="73E388DC">
      <w:pPr>
        <w:pStyle w:val="26"/>
        <w:numPr>
          <w:ilvl w:val="2"/>
          <w:numId w:val="2"/>
        </w:numPr>
        <w:tabs>
          <w:tab w:val="left" w:pos="426"/>
        </w:tabs>
        <w:spacing w:after="0" w:line="240" w:lineRule="auto"/>
        <w:ind w:left="0" w:firstLine="0"/>
        <w:jc w:val="both"/>
        <w:rPr>
          <w:rFonts w:asciiTheme="majorHAnsi" w:hAnsiTheme="majorHAnsi" w:cstheme="majorHAnsi"/>
          <w:sz w:val="24"/>
          <w:szCs w:val="24"/>
        </w:rPr>
      </w:pPr>
      <w:r>
        <w:rPr>
          <w:rFonts w:asciiTheme="majorHAnsi" w:hAnsiTheme="majorHAnsi" w:cstheme="majorHAnsi"/>
          <w:sz w:val="24"/>
          <w:szCs w:val="24"/>
        </w:rPr>
        <w:t>Maintain blinding of outcome assessors and data analysts throughout the study. Disclose grouping information only to the intervention administrator.</w:t>
      </w:r>
    </w:p>
    <w:p w14:paraId="27D3CEE6">
      <w:pPr>
        <w:tabs>
          <w:tab w:val="left" w:pos="426"/>
        </w:tabs>
        <w:rPr>
          <w:rFonts w:asciiTheme="majorHAnsi" w:hAnsiTheme="majorHAnsi" w:cstheme="majorHAnsi"/>
        </w:rPr>
      </w:pPr>
    </w:p>
    <w:p w14:paraId="73E388DE">
      <w:pPr>
        <w:tabs>
          <w:tab w:val="left" w:pos="426"/>
        </w:tabs>
        <w:rPr>
          <w:rFonts w:asciiTheme="majorHAnsi" w:hAnsiTheme="majorHAnsi" w:cstheme="majorHAnsi"/>
        </w:rPr>
      </w:pPr>
      <w:r>
        <w:rPr>
          <w:rFonts w:eastAsia="宋体" w:asciiTheme="majorHAnsi" w:hAnsiTheme="majorHAnsi" w:cstheme="majorHAnsi"/>
          <w:lang w:eastAsia="zh-CN"/>
        </w:rPr>
        <w:t xml:space="preserve">2.1.3. </w:t>
      </w:r>
      <w:r>
        <w:rPr>
          <w:rFonts w:asciiTheme="majorHAnsi" w:hAnsiTheme="majorHAnsi" w:cstheme="majorHAnsi"/>
        </w:rPr>
        <w:t>Instruct outcome assessors to collect endpoint metrics without knowledge of group assignments. Complete all statistical analyses prior to unblinding.</w:t>
      </w:r>
    </w:p>
    <w:p w14:paraId="73E388DF">
      <w:pPr>
        <w:tabs>
          <w:tab w:val="left" w:pos="426"/>
        </w:tabs>
        <w:rPr>
          <w:rFonts w:asciiTheme="majorHAnsi" w:hAnsiTheme="majorHAnsi" w:cstheme="majorHAnsi"/>
        </w:rPr>
      </w:pPr>
    </w:p>
    <w:p w14:paraId="31E6FB70">
      <w:pPr>
        <w:numPr>
          <w:ilvl w:val="0"/>
          <w:numId w:val="2"/>
        </w:numPr>
        <w:tabs>
          <w:tab w:val="left" w:pos="426"/>
        </w:tabs>
        <w:ind w:left="0" w:firstLine="0"/>
        <w:rPr>
          <w:rFonts w:asciiTheme="majorHAnsi" w:hAnsiTheme="majorHAnsi" w:cstheme="majorHAnsi"/>
          <w:b/>
          <w:bCs/>
        </w:rPr>
      </w:pPr>
      <w:r>
        <w:rPr>
          <w:rFonts w:asciiTheme="majorHAnsi" w:hAnsiTheme="majorHAnsi" w:cstheme="majorHAnsi"/>
          <w:b/>
          <w:bCs/>
        </w:rPr>
        <w:t xml:space="preserve">Treatment </w:t>
      </w:r>
    </w:p>
    <w:p w14:paraId="7F1A3EA5">
      <w:pPr>
        <w:tabs>
          <w:tab w:val="left" w:pos="426"/>
        </w:tabs>
        <w:rPr>
          <w:rFonts w:asciiTheme="majorHAnsi" w:hAnsiTheme="majorHAnsi" w:cstheme="majorHAnsi"/>
        </w:rPr>
      </w:pPr>
    </w:p>
    <w:p w14:paraId="73E388E1">
      <w:pPr>
        <w:pStyle w:val="26"/>
        <w:numPr>
          <w:ilvl w:val="1"/>
          <w:numId w:val="2"/>
        </w:numPr>
        <w:tabs>
          <w:tab w:val="left" w:pos="426"/>
        </w:tabs>
        <w:spacing w:after="0" w:line="240" w:lineRule="auto"/>
        <w:ind w:left="0" w:firstLine="0"/>
        <w:jc w:val="both"/>
        <w:rPr>
          <w:rFonts w:eastAsia="Calibri" w:asciiTheme="majorHAnsi" w:hAnsiTheme="majorHAnsi" w:cstheme="majorHAnsi"/>
          <w:sz w:val="24"/>
          <w:szCs w:val="24"/>
        </w:rPr>
      </w:pPr>
      <w:r>
        <w:rPr>
          <w:rFonts w:asciiTheme="majorHAnsi" w:hAnsiTheme="majorHAnsi" w:cstheme="majorHAnsi"/>
          <w:sz w:val="24"/>
          <w:szCs w:val="24"/>
        </w:rPr>
        <w:t>Provide standard secondary stroke prevention therapy to all patients</w:t>
      </w:r>
      <w:r>
        <w:rPr>
          <w:rFonts w:asciiTheme="majorHAnsi" w:hAnsiTheme="majorHAnsi" w:cstheme="majorHAnsi"/>
          <w:sz w:val="24"/>
          <w:szCs w:val="24"/>
          <w:vertAlign w:val="superscript"/>
        </w:rPr>
        <w:fldChar w:fldCharType="begin"/>
      </w:r>
      <w:r>
        <w:rPr>
          <w:rFonts w:asciiTheme="majorHAnsi" w:hAnsiTheme="majorHAnsi" w:cstheme="majorHAnsi"/>
          <w:sz w:val="24"/>
          <w:szCs w:val="24"/>
          <w:vertAlign w:val="superscript"/>
        </w:rPr>
        <w:instrText xml:space="preserve"> REF _Ref5573 \r \h  \* MERGEFORMAT </w:instrText>
      </w:r>
      <w:r>
        <w:rPr>
          <w:rFonts w:asciiTheme="majorHAnsi" w:hAnsiTheme="majorHAnsi" w:cstheme="majorHAnsi"/>
          <w:sz w:val="24"/>
          <w:szCs w:val="24"/>
          <w:vertAlign w:val="superscript"/>
        </w:rPr>
        <w:fldChar w:fldCharType="separate"/>
      </w:r>
      <w:r>
        <w:rPr>
          <w:rFonts w:asciiTheme="majorHAnsi" w:hAnsiTheme="majorHAnsi" w:cstheme="majorHAnsi"/>
          <w:sz w:val="24"/>
          <w:szCs w:val="24"/>
          <w:vertAlign w:val="superscript"/>
        </w:rPr>
        <w:t>10</w:t>
      </w:r>
      <w:r>
        <w:rPr>
          <w:rFonts w:asciiTheme="majorHAnsi" w:hAnsiTheme="majorHAnsi" w:cstheme="majorHAnsi"/>
          <w:sz w:val="24"/>
          <w:szCs w:val="24"/>
          <w:vertAlign w:val="superscript"/>
        </w:rPr>
        <w:fldChar w:fldCharType="end"/>
      </w:r>
      <w:r>
        <w:rPr>
          <w:rFonts w:eastAsia="宋体" w:asciiTheme="majorHAnsi" w:hAnsiTheme="majorHAnsi" w:cstheme="majorHAnsi"/>
          <w:sz w:val="24"/>
          <w:szCs w:val="24"/>
          <w:lang w:eastAsia="zh-CN"/>
        </w:rPr>
        <w:t>.</w:t>
      </w:r>
    </w:p>
    <w:p w14:paraId="5483EB7F">
      <w:pPr>
        <w:pStyle w:val="26"/>
        <w:tabs>
          <w:tab w:val="left" w:pos="426"/>
        </w:tabs>
        <w:spacing w:after="0" w:line="240" w:lineRule="auto"/>
        <w:ind w:left="0"/>
        <w:jc w:val="both"/>
        <w:rPr>
          <w:rFonts w:eastAsia="Calibri" w:asciiTheme="majorHAnsi" w:hAnsiTheme="majorHAnsi" w:cstheme="majorHAnsi"/>
          <w:sz w:val="24"/>
          <w:szCs w:val="24"/>
        </w:rPr>
      </w:pPr>
    </w:p>
    <w:p w14:paraId="73E388E2">
      <w:pPr>
        <w:pStyle w:val="26"/>
        <w:numPr>
          <w:ilvl w:val="1"/>
          <w:numId w:val="2"/>
        </w:numPr>
        <w:tabs>
          <w:tab w:val="left" w:pos="426"/>
        </w:tabs>
        <w:spacing w:after="0" w:line="240" w:lineRule="auto"/>
        <w:ind w:left="0" w:firstLine="0"/>
        <w:jc w:val="both"/>
        <w:rPr>
          <w:rFonts w:eastAsia="宋体" w:asciiTheme="majorHAnsi" w:hAnsiTheme="majorHAnsi" w:cstheme="majorHAnsi"/>
          <w:sz w:val="24"/>
          <w:szCs w:val="24"/>
          <w:lang w:eastAsia="zh-CN"/>
        </w:rPr>
      </w:pPr>
      <w:r>
        <w:rPr>
          <w:rFonts w:asciiTheme="majorHAnsi" w:hAnsiTheme="majorHAnsi" w:cstheme="majorHAnsi"/>
          <w:sz w:val="24"/>
          <w:szCs w:val="24"/>
        </w:rPr>
        <w:t>Conduct rehabilitation training, including swallowing and respiratory function exercises</w:t>
      </w:r>
      <w:r>
        <w:rPr>
          <w:rFonts w:asciiTheme="majorHAnsi" w:hAnsiTheme="majorHAnsi" w:cstheme="majorHAnsi"/>
          <w:sz w:val="24"/>
          <w:szCs w:val="24"/>
          <w:vertAlign w:val="superscript"/>
        </w:rPr>
        <w:fldChar w:fldCharType="begin"/>
      </w:r>
      <w:r>
        <w:rPr>
          <w:rFonts w:asciiTheme="majorHAnsi" w:hAnsiTheme="majorHAnsi" w:cstheme="majorHAnsi"/>
          <w:sz w:val="24"/>
          <w:szCs w:val="24"/>
          <w:vertAlign w:val="superscript"/>
        </w:rPr>
        <w:instrText xml:space="preserve"> REF _Ref5615 \r \h  \* MERGEFORMAT </w:instrText>
      </w:r>
      <w:r>
        <w:rPr>
          <w:rFonts w:asciiTheme="majorHAnsi" w:hAnsiTheme="majorHAnsi" w:cstheme="majorHAnsi"/>
          <w:sz w:val="24"/>
          <w:szCs w:val="24"/>
          <w:vertAlign w:val="superscript"/>
        </w:rPr>
        <w:fldChar w:fldCharType="separate"/>
      </w:r>
      <w:r>
        <w:rPr>
          <w:rFonts w:asciiTheme="majorHAnsi" w:hAnsiTheme="majorHAnsi" w:cstheme="majorHAnsi"/>
          <w:sz w:val="24"/>
          <w:szCs w:val="24"/>
          <w:vertAlign w:val="superscript"/>
        </w:rPr>
        <w:t>11</w:t>
      </w:r>
      <w:r>
        <w:rPr>
          <w:rFonts w:asciiTheme="majorHAnsi" w:hAnsiTheme="majorHAnsi" w:cstheme="majorHAnsi"/>
          <w:sz w:val="24"/>
          <w:szCs w:val="24"/>
          <w:vertAlign w:val="superscript"/>
        </w:rPr>
        <w:fldChar w:fldCharType="end"/>
      </w:r>
      <w:r>
        <w:rPr>
          <w:rFonts w:eastAsia="宋体" w:asciiTheme="majorHAnsi" w:hAnsiTheme="majorHAnsi" w:cstheme="majorHAnsi"/>
          <w:sz w:val="24"/>
          <w:szCs w:val="24"/>
          <w:lang w:eastAsia="zh-CN"/>
        </w:rPr>
        <w:t>.</w:t>
      </w:r>
    </w:p>
    <w:p w14:paraId="3B06903D">
      <w:pPr>
        <w:pStyle w:val="26"/>
        <w:tabs>
          <w:tab w:val="left" w:pos="426"/>
        </w:tabs>
        <w:spacing w:after="0" w:line="240" w:lineRule="auto"/>
        <w:ind w:left="0"/>
        <w:jc w:val="both"/>
        <w:rPr>
          <w:rFonts w:eastAsia="宋体" w:asciiTheme="majorHAnsi" w:hAnsiTheme="majorHAnsi" w:cstheme="majorHAnsi"/>
          <w:sz w:val="24"/>
          <w:szCs w:val="24"/>
          <w:lang w:eastAsia="zh-CN"/>
        </w:rPr>
      </w:pPr>
    </w:p>
    <w:p w14:paraId="73E388E5">
      <w:pPr>
        <w:pStyle w:val="26"/>
        <w:numPr>
          <w:ilvl w:val="1"/>
          <w:numId w:val="2"/>
        </w:numPr>
        <w:tabs>
          <w:tab w:val="left" w:pos="426"/>
        </w:tabs>
        <w:spacing w:after="0" w:line="240" w:lineRule="auto"/>
        <w:ind w:left="0" w:firstLine="0"/>
        <w:jc w:val="both"/>
        <w:rPr>
          <w:rFonts w:asciiTheme="majorHAnsi" w:hAnsiTheme="majorHAnsi" w:cstheme="majorHAnsi"/>
          <w:sz w:val="24"/>
          <w:szCs w:val="24"/>
        </w:rPr>
      </w:pPr>
      <w:r>
        <w:rPr>
          <w:rFonts w:asciiTheme="majorHAnsi" w:hAnsiTheme="majorHAnsi" w:cstheme="majorHAnsi"/>
          <w:sz w:val="24"/>
          <w:szCs w:val="24"/>
        </w:rPr>
        <w:t>For the experimental group, implement conventional acupuncture and other traditional Chinese medicine treatments as per guidelines. Apply fire needle therapy to the experimental group</w:t>
      </w:r>
      <w:r>
        <w:rPr>
          <w:rFonts w:eastAsia="宋体" w:asciiTheme="majorHAnsi" w:hAnsiTheme="majorHAnsi" w:cstheme="majorHAnsi"/>
          <w:sz w:val="24"/>
          <w:szCs w:val="24"/>
          <w:lang w:eastAsia="zh-CN"/>
        </w:rPr>
        <w:t>.</w:t>
      </w:r>
    </w:p>
    <w:p w14:paraId="73E388E6">
      <w:pPr>
        <w:tabs>
          <w:tab w:val="left" w:pos="426"/>
        </w:tabs>
        <w:rPr>
          <w:rFonts w:asciiTheme="majorHAnsi" w:hAnsiTheme="majorHAnsi" w:cstheme="majorHAnsi"/>
          <w:b/>
          <w:bCs/>
        </w:rPr>
      </w:pPr>
    </w:p>
    <w:p w14:paraId="73E388E7">
      <w:pPr>
        <w:numPr>
          <w:ilvl w:val="0"/>
          <w:numId w:val="2"/>
        </w:numPr>
        <w:tabs>
          <w:tab w:val="left" w:pos="426"/>
        </w:tabs>
        <w:ind w:left="0" w:firstLine="0"/>
        <w:rPr>
          <w:rFonts w:asciiTheme="majorHAnsi" w:hAnsiTheme="majorHAnsi" w:cstheme="majorHAnsi"/>
          <w:b/>
          <w:bCs/>
        </w:rPr>
      </w:pPr>
      <w:r>
        <w:rPr>
          <w:rFonts w:asciiTheme="majorHAnsi" w:hAnsiTheme="majorHAnsi" w:cstheme="majorHAnsi"/>
          <w:b/>
          <w:bCs/>
        </w:rPr>
        <w:t>Preoperative preparation</w:t>
      </w:r>
    </w:p>
    <w:p w14:paraId="73E388E8">
      <w:pPr>
        <w:tabs>
          <w:tab w:val="left" w:pos="426"/>
        </w:tabs>
        <w:rPr>
          <w:rFonts w:asciiTheme="majorHAnsi" w:hAnsiTheme="majorHAnsi" w:cstheme="majorHAnsi"/>
          <w:b/>
          <w:bCs/>
        </w:rPr>
      </w:pPr>
    </w:p>
    <w:p w14:paraId="73E388EF">
      <w:pPr>
        <w:tabs>
          <w:tab w:val="left" w:pos="426"/>
        </w:tabs>
        <w:rPr>
          <w:rFonts w:eastAsia="宋体" w:asciiTheme="majorHAnsi" w:hAnsiTheme="majorHAnsi" w:cstheme="majorHAnsi"/>
          <w:highlight w:val="none"/>
          <w:lang w:eastAsia="zh-CN"/>
        </w:rPr>
      </w:pPr>
      <w:r>
        <w:rPr>
          <w:rFonts w:asciiTheme="majorHAnsi" w:hAnsiTheme="majorHAnsi" w:cstheme="majorHAnsi"/>
        </w:rPr>
        <w:t xml:space="preserve">4.1. </w:t>
      </w:r>
      <w:r>
        <w:rPr>
          <w:rFonts w:asciiTheme="majorHAnsi" w:hAnsiTheme="majorHAnsi" w:cstheme="majorHAnsi"/>
          <w:highlight w:val="none"/>
        </w:rPr>
        <w:t>Prepare the following materials</w:t>
      </w:r>
      <w:r>
        <w:rPr>
          <w:rFonts w:eastAsia="宋体" w:asciiTheme="majorHAnsi" w:hAnsiTheme="majorHAnsi" w:cstheme="majorHAnsi"/>
          <w:highlight w:val="none"/>
          <w:lang w:eastAsia="zh-CN"/>
        </w:rPr>
        <w:t xml:space="preserve"> </w:t>
      </w:r>
      <w:r>
        <w:rPr>
          <w:rFonts w:asciiTheme="majorHAnsi" w:hAnsiTheme="majorHAnsi" w:cstheme="majorHAnsi"/>
          <w:highlight w:val="none"/>
        </w:rPr>
        <w:t>(</w:t>
      </w:r>
      <w:r>
        <w:rPr>
          <w:rFonts w:asciiTheme="majorHAnsi" w:hAnsiTheme="majorHAnsi" w:cstheme="majorHAnsi"/>
          <w:b/>
          <w:bCs/>
          <w:highlight w:val="none"/>
        </w:rPr>
        <w:t xml:space="preserve">Figure </w:t>
      </w:r>
      <w:r>
        <w:rPr>
          <w:rFonts w:eastAsia="宋体" w:asciiTheme="majorHAnsi" w:hAnsiTheme="majorHAnsi" w:cstheme="majorHAnsi"/>
          <w:b/>
          <w:bCs/>
          <w:highlight w:val="none"/>
          <w:lang w:eastAsia="zh-CN"/>
        </w:rPr>
        <w:t>1</w:t>
      </w:r>
      <w:r>
        <w:rPr>
          <w:rFonts w:asciiTheme="majorHAnsi" w:hAnsiTheme="majorHAnsi" w:cstheme="majorHAnsi"/>
          <w:highlight w:val="none"/>
        </w:rPr>
        <w:t>)</w:t>
      </w:r>
      <w:r>
        <w:rPr>
          <w:rFonts w:eastAsia="宋体" w:asciiTheme="majorHAnsi" w:hAnsiTheme="majorHAnsi" w:cstheme="majorHAnsi"/>
          <w:highlight w:val="none"/>
          <w:lang w:eastAsia="zh-CN"/>
        </w:rPr>
        <w:t xml:space="preserve">: ultrasound machine </w:t>
      </w:r>
      <w:r>
        <w:rPr>
          <w:rFonts w:asciiTheme="majorHAnsi" w:hAnsiTheme="majorHAnsi" w:cstheme="majorHAnsi"/>
          <w:highlight w:val="none"/>
        </w:rPr>
        <w:t>(</w:t>
      </w:r>
      <w:r>
        <w:rPr>
          <w:rFonts w:asciiTheme="majorHAnsi" w:hAnsiTheme="majorHAnsi" w:cstheme="majorHAnsi"/>
          <w:b/>
          <w:bCs/>
          <w:highlight w:val="none"/>
        </w:rPr>
        <w:t xml:space="preserve">Figure </w:t>
      </w:r>
      <w:r>
        <w:rPr>
          <w:rFonts w:eastAsia="宋体" w:asciiTheme="majorHAnsi" w:hAnsiTheme="majorHAnsi" w:cstheme="majorHAnsi"/>
          <w:b/>
          <w:bCs/>
          <w:highlight w:val="none"/>
          <w:lang w:eastAsia="zh-CN"/>
        </w:rPr>
        <w:t>1K</w:t>
      </w:r>
      <w:r>
        <w:rPr>
          <w:rFonts w:asciiTheme="majorHAnsi" w:hAnsiTheme="majorHAnsi" w:cstheme="majorHAnsi"/>
          <w:highlight w:val="none"/>
        </w:rPr>
        <w:t>)</w:t>
      </w:r>
      <w:r>
        <w:rPr>
          <w:rFonts w:eastAsia="宋体" w:asciiTheme="majorHAnsi" w:hAnsiTheme="majorHAnsi" w:cstheme="majorHAnsi"/>
          <w:highlight w:val="none"/>
          <w:lang w:eastAsia="zh-CN"/>
        </w:rPr>
        <w:t>, s</w:t>
      </w:r>
      <w:r>
        <w:rPr>
          <w:rFonts w:asciiTheme="majorHAnsi" w:hAnsiTheme="majorHAnsi" w:cstheme="majorHAnsi"/>
          <w:highlight w:val="none"/>
        </w:rPr>
        <w:t>terile ultrasound probe cover</w:t>
      </w:r>
      <w:r>
        <w:rPr>
          <w:rFonts w:eastAsia="宋体" w:asciiTheme="majorHAnsi" w:hAnsiTheme="majorHAnsi" w:cstheme="majorHAnsi"/>
          <w:highlight w:val="none"/>
          <w:lang w:eastAsia="zh-CN"/>
        </w:rPr>
        <w:t xml:space="preserve"> </w:t>
      </w:r>
      <w:r>
        <w:rPr>
          <w:rFonts w:asciiTheme="majorHAnsi" w:hAnsiTheme="majorHAnsi" w:cstheme="majorHAnsi"/>
          <w:highlight w:val="none"/>
        </w:rPr>
        <w:t>(</w:t>
      </w:r>
      <w:r>
        <w:rPr>
          <w:rFonts w:asciiTheme="majorHAnsi" w:hAnsiTheme="majorHAnsi" w:cstheme="majorHAnsi"/>
          <w:b/>
          <w:bCs/>
          <w:highlight w:val="none"/>
        </w:rPr>
        <w:t xml:space="preserve">Figure </w:t>
      </w:r>
      <w:r>
        <w:rPr>
          <w:rFonts w:eastAsia="宋体" w:asciiTheme="majorHAnsi" w:hAnsiTheme="majorHAnsi" w:cstheme="majorHAnsi"/>
          <w:b/>
          <w:bCs/>
          <w:highlight w:val="none"/>
          <w:lang w:eastAsia="zh-CN"/>
        </w:rPr>
        <w:t>1J</w:t>
      </w:r>
      <w:r>
        <w:rPr>
          <w:rFonts w:asciiTheme="majorHAnsi" w:hAnsiTheme="majorHAnsi" w:cstheme="majorHAnsi"/>
          <w:highlight w:val="none"/>
        </w:rPr>
        <w:t>)</w:t>
      </w:r>
      <w:r>
        <w:rPr>
          <w:rFonts w:eastAsia="宋体" w:asciiTheme="majorHAnsi" w:hAnsiTheme="majorHAnsi" w:cstheme="majorHAnsi"/>
          <w:highlight w:val="none"/>
          <w:lang w:eastAsia="zh-CN"/>
        </w:rPr>
        <w:t>, s</w:t>
      </w:r>
      <w:r>
        <w:rPr>
          <w:rFonts w:asciiTheme="majorHAnsi" w:hAnsiTheme="majorHAnsi" w:cstheme="majorHAnsi"/>
          <w:highlight w:val="none"/>
        </w:rPr>
        <w:t>terile coupling gel</w:t>
      </w:r>
      <w:r>
        <w:rPr>
          <w:rFonts w:eastAsia="宋体" w:asciiTheme="majorHAnsi" w:hAnsiTheme="majorHAnsi" w:cstheme="majorHAnsi"/>
          <w:highlight w:val="none"/>
          <w:lang w:eastAsia="zh-CN"/>
        </w:rPr>
        <w:t xml:space="preserve"> </w:t>
      </w:r>
      <w:r>
        <w:rPr>
          <w:rFonts w:asciiTheme="majorHAnsi" w:hAnsiTheme="majorHAnsi" w:cstheme="majorHAnsi"/>
          <w:highlight w:val="none"/>
        </w:rPr>
        <w:t>(</w:t>
      </w:r>
      <w:r>
        <w:rPr>
          <w:rFonts w:asciiTheme="majorHAnsi" w:hAnsiTheme="majorHAnsi" w:cstheme="majorHAnsi"/>
          <w:b/>
          <w:bCs/>
          <w:highlight w:val="none"/>
        </w:rPr>
        <w:t xml:space="preserve">Figure </w:t>
      </w:r>
      <w:r>
        <w:rPr>
          <w:rFonts w:eastAsia="宋体" w:asciiTheme="majorHAnsi" w:hAnsiTheme="majorHAnsi" w:cstheme="majorHAnsi"/>
          <w:b/>
          <w:bCs/>
          <w:highlight w:val="none"/>
          <w:lang w:eastAsia="zh-CN"/>
        </w:rPr>
        <w:t>1A</w:t>
      </w:r>
      <w:r>
        <w:rPr>
          <w:rFonts w:asciiTheme="majorHAnsi" w:hAnsiTheme="majorHAnsi" w:cstheme="majorHAnsi"/>
          <w:highlight w:val="none"/>
        </w:rPr>
        <w:t>)</w:t>
      </w:r>
      <w:r>
        <w:rPr>
          <w:rFonts w:eastAsia="宋体" w:asciiTheme="majorHAnsi" w:hAnsiTheme="majorHAnsi" w:cstheme="majorHAnsi"/>
          <w:highlight w:val="none"/>
          <w:lang w:eastAsia="zh-CN"/>
        </w:rPr>
        <w:t xml:space="preserve">, </w:t>
      </w:r>
      <w:r>
        <w:rPr>
          <w:rFonts w:asciiTheme="majorHAnsi" w:hAnsiTheme="majorHAnsi" w:cstheme="majorHAnsi"/>
          <w:highlight w:val="none"/>
        </w:rPr>
        <w:t>He-style fire needles (0.50 mm × 35 mm)</w:t>
      </w:r>
      <w:r>
        <w:rPr>
          <w:rFonts w:eastAsia="宋体" w:asciiTheme="majorHAnsi" w:hAnsiTheme="majorHAnsi" w:cstheme="majorHAnsi"/>
          <w:highlight w:val="none"/>
          <w:lang w:eastAsia="zh-CN"/>
        </w:rPr>
        <w:t xml:space="preserve"> </w:t>
      </w:r>
      <w:r>
        <w:rPr>
          <w:rFonts w:asciiTheme="majorHAnsi" w:hAnsiTheme="majorHAnsi" w:cstheme="majorHAnsi"/>
          <w:highlight w:val="none"/>
        </w:rPr>
        <w:t>(</w:t>
      </w:r>
      <w:r>
        <w:rPr>
          <w:rFonts w:asciiTheme="majorHAnsi" w:hAnsiTheme="majorHAnsi" w:cstheme="majorHAnsi"/>
          <w:b/>
          <w:bCs/>
          <w:highlight w:val="none"/>
        </w:rPr>
        <w:t xml:space="preserve">Figure </w:t>
      </w:r>
      <w:r>
        <w:rPr>
          <w:rFonts w:eastAsia="宋体" w:asciiTheme="majorHAnsi" w:hAnsiTheme="majorHAnsi" w:cstheme="majorHAnsi"/>
          <w:b/>
          <w:bCs/>
          <w:highlight w:val="none"/>
          <w:lang w:eastAsia="zh-CN"/>
        </w:rPr>
        <w:t>1D</w:t>
      </w:r>
      <w:r>
        <w:rPr>
          <w:rFonts w:asciiTheme="majorHAnsi" w:hAnsiTheme="majorHAnsi" w:cstheme="majorHAnsi"/>
          <w:highlight w:val="none"/>
        </w:rPr>
        <w:t>)</w:t>
      </w:r>
      <w:r>
        <w:rPr>
          <w:rFonts w:eastAsia="宋体" w:asciiTheme="majorHAnsi" w:hAnsiTheme="majorHAnsi" w:cstheme="majorHAnsi"/>
          <w:highlight w:val="none"/>
          <w:lang w:eastAsia="zh-CN"/>
        </w:rPr>
        <w:t>, a</w:t>
      </w:r>
      <w:r>
        <w:rPr>
          <w:rFonts w:asciiTheme="majorHAnsi" w:hAnsiTheme="majorHAnsi" w:cstheme="majorHAnsi"/>
          <w:highlight w:val="none"/>
        </w:rPr>
        <w:t>lcohol lamp, 75% ethanol, lighter, disinfectant swabs</w:t>
      </w:r>
      <w:r>
        <w:rPr>
          <w:rFonts w:eastAsia="宋体" w:asciiTheme="majorHAnsi" w:hAnsiTheme="majorHAnsi" w:cstheme="majorHAnsi"/>
          <w:highlight w:val="none"/>
          <w:lang w:eastAsia="zh-CN"/>
        </w:rPr>
        <w:t xml:space="preserve"> </w:t>
      </w:r>
      <w:r>
        <w:rPr>
          <w:rFonts w:asciiTheme="majorHAnsi" w:hAnsiTheme="majorHAnsi" w:cstheme="majorHAnsi"/>
          <w:highlight w:val="none"/>
        </w:rPr>
        <w:t>(</w:t>
      </w:r>
      <w:r>
        <w:rPr>
          <w:rFonts w:asciiTheme="majorHAnsi" w:hAnsiTheme="majorHAnsi" w:cstheme="majorHAnsi"/>
          <w:b/>
          <w:bCs/>
          <w:highlight w:val="none"/>
        </w:rPr>
        <w:t xml:space="preserve">Figure </w:t>
      </w:r>
      <w:r>
        <w:rPr>
          <w:rFonts w:eastAsia="宋体" w:asciiTheme="majorHAnsi" w:hAnsiTheme="majorHAnsi" w:cstheme="majorHAnsi"/>
          <w:b/>
          <w:bCs/>
          <w:highlight w:val="none"/>
          <w:lang w:eastAsia="zh-CN"/>
        </w:rPr>
        <w:t>1B,C, E,F</w:t>
      </w:r>
      <w:r>
        <w:rPr>
          <w:rFonts w:asciiTheme="majorHAnsi" w:hAnsiTheme="majorHAnsi" w:cstheme="majorHAnsi"/>
          <w:highlight w:val="none"/>
        </w:rPr>
        <w:t>)</w:t>
      </w:r>
      <w:r>
        <w:rPr>
          <w:rFonts w:eastAsia="宋体" w:asciiTheme="majorHAnsi" w:hAnsiTheme="majorHAnsi" w:cstheme="majorHAnsi"/>
          <w:highlight w:val="none"/>
          <w:lang w:eastAsia="zh-CN"/>
        </w:rPr>
        <w:t>, masks, m</w:t>
      </w:r>
      <w:r>
        <w:rPr>
          <w:rFonts w:asciiTheme="majorHAnsi" w:hAnsiTheme="majorHAnsi" w:cstheme="majorHAnsi"/>
          <w:highlight w:val="none"/>
        </w:rPr>
        <w:t>edical caps, and sterile gloves</w:t>
      </w:r>
      <w:r>
        <w:rPr>
          <w:rFonts w:eastAsia="宋体" w:asciiTheme="majorHAnsi" w:hAnsiTheme="majorHAnsi" w:cstheme="majorHAnsi"/>
          <w:highlight w:val="none"/>
          <w:lang w:eastAsia="zh-CN"/>
        </w:rPr>
        <w:t xml:space="preserve"> </w:t>
      </w:r>
      <w:r>
        <w:rPr>
          <w:rFonts w:asciiTheme="majorHAnsi" w:hAnsiTheme="majorHAnsi" w:cstheme="majorHAnsi"/>
          <w:highlight w:val="none"/>
        </w:rPr>
        <w:t>(</w:t>
      </w:r>
      <w:r>
        <w:rPr>
          <w:rFonts w:asciiTheme="majorHAnsi" w:hAnsiTheme="majorHAnsi" w:cstheme="majorHAnsi"/>
          <w:b/>
          <w:bCs/>
          <w:highlight w:val="none"/>
        </w:rPr>
        <w:t xml:space="preserve">Figure </w:t>
      </w:r>
      <w:r>
        <w:rPr>
          <w:rFonts w:eastAsia="宋体" w:asciiTheme="majorHAnsi" w:hAnsiTheme="majorHAnsi" w:cstheme="majorHAnsi"/>
          <w:b/>
          <w:bCs/>
          <w:highlight w:val="none"/>
          <w:lang w:eastAsia="zh-CN"/>
        </w:rPr>
        <w:t>1G-I</w:t>
      </w:r>
      <w:r>
        <w:rPr>
          <w:rFonts w:asciiTheme="majorHAnsi" w:hAnsiTheme="majorHAnsi" w:cstheme="majorHAnsi"/>
          <w:highlight w:val="none"/>
        </w:rPr>
        <w:t>)</w:t>
      </w:r>
      <w:r>
        <w:rPr>
          <w:rFonts w:eastAsia="宋体" w:asciiTheme="majorHAnsi" w:hAnsiTheme="majorHAnsi" w:cstheme="majorHAnsi"/>
          <w:highlight w:val="none"/>
          <w:lang w:eastAsia="zh-CN"/>
        </w:rPr>
        <w:t>.</w:t>
      </w:r>
    </w:p>
    <w:p w14:paraId="73E388F0">
      <w:pPr>
        <w:tabs>
          <w:tab w:val="left" w:pos="426"/>
        </w:tabs>
        <w:rPr>
          <w:rFonts w:eastAsia="宋体" w:asciiTheme="majorHAnsi" w:hAnsiTheme="majorHAnsi" w:cstheme="majorHAnsi"/>
          <w:highlight w:val="none"/>
          <w:lang w:eastAsia="zh-CN"/>
        </w:rPr>
      </w:pPr>
    </w:p>
    <w:p w14:paraId="73E388F1">
      <w:pPr>
        <w:tabs>
          <w:tab w:val="left" w:pos="426"/>
        </w:tabs>
        <w:rPr>
          <w:rFonts w:eastAsia="宋体" w:asciiTheme="majorHAnsi" w:hAnsiTheme="majorHAnsi" w:cstheme="majorHAnsi"/>
          <w:highlight w:val="none"/>
          <w:lang w:eastAsia="zh-CN"/>
        </w:rPr>
      </w:pPr>
      <w:r>
        <w:rPr>
          <w:rFonts w:eastAsia="宋体" w:asciiTheme="majorHAnsi" w:hAnsiTheme="majorHAnsi" w:cstheme="majorHAnsi"/>
          <w:highlight w:val="none"/>
          <w:lang w:eastAsia="zh-CN"/>
        </w:rPr>
        <w:t xml:space="preserve">4.2. </w:t>
      </w:r>
      <w:r>
        <w:rPr>
          <w:rFonts w:asciiTheme="majorHAnsi" w:hAnsiTheme="majorHAnsi" w:cstheme="majorHAnsi"/>
          <w:highlight w:val="none"/>
        </w:rPr>
        <w:t>Set up the treatment environment</w:t>
      </w:r>
      <w:r>
        <w:rPr>
          <w:rFonts w:eastAsia="宋体" w:asciiTheme="majorHAnsi" w:hAnsiTheme="majorHAnsi" w:cstheme="majorHAnsi"/>
          <w:highlight w:val="none"/>
          <w:lang w:eastAsia="zh-CN"/>
        </w:rPr>
        <w:t>.</w:t>
      </w:r>
    </w:p>
    <w:p w14:paraId="4E366B94">
      <w:pPr>
        <w:tabs>
          <w:tab w:val="left" w:pos="426"/>
        </w:tabs>
        <w:rPr>
          <w:rFonts w:eastAsia="宋体" w:asciiTheme="majorHAnsi" w:hAnsiTheme="majorHAnsi" w:cstheme="majorHAnsi"/>
          <w:highlight w:val="none"/>
          <w:lang w:eastAsia="zh-CN"/>
        </w:rPr>
      </w:pPr>
    </w:p>
    <w:p w14:paraId="73E388F3">
      <w:pPr>
        <w:tabs>
          <w:tab w:val="left" w:pos="426"/>
        </w:tabs>
        <w:rPr>
          <w:rFonts w:eastAsia="宋体" w:asciiTheme="majorHAnsi" w:hAnsiTheme="majorHAnsi" w:cstheme="majorHAnsi"/>
          <w:highlight w:val="none"/>
          <w:lang w:eastAsia="zh-CN"/>
        </w:rPr>
      </w:pPr>
      <w:r>
        <w:rPr>
          <w:rFonts w:eastAsia="宋体" w:asciiTheme="majorHAnsi" w:hAnsiTheme="majorHAnsi" w:cstheme="majorHAnsi"/>
          <w:highlight w:val="none"/>
          <w:lang w:eastAsia="zh-CN"/>
        </w:rPr>
        <w:t xml:space="preserve">4.2.1. </w:t>
      </w:r>
      <w:r>
        <w:rPr>
          <w:rFonts w:asciiTheme="majorHAnsi" w:hAnsiTheme="majorHAnsi" w:cstheme="majorHAnsi"/>
          <w:highlight w:val="none"/>
        </w:rPr>
        <w:t>Maintain a clean, quiet treatment room with controlled temperature and lighting</w:t>
      </w:r>
      <w:r>
        <w:rPr>
          <w:rFonts w:eastAsia="宋体" w:asciiTheme="majorHAnsi" w:hAnsiTheme="majorHAnsi" w:cstheme="majorHAnsi"/>
          <w:highlight w:val="none"/>
          <w:lang w:eastAsia="zh-CN"/>
        </w:rPr>
        <w:t xml:space="preserve">. </w:t>
      </w:r>
      <w:r>
        <w:rPr>
          <w:rFonts w:asciiTheme="majorHAnsi" w:hAnsiTheme="majorHAnsi" w:cstheme="majorHAnsi"/>
          <w:highlight w:val="none"/>
        </w:rPr>
        <w:t>Minimize external light interference to ensure optimal probe coupling</w:t>
      </w:r>
      <w:r>
        <w:rPr>
          <w:rFonts w:eastAsia="宋体" w:asciiTheme="majorHAnsi" w:hAnsiTheme="majorHAnsi" w:cstheme="majorHAnsi"/>
          <w:highlight w:val="none"/>
          <w:lang w:eastAsia="zh-CN"/>
        </w:rPr>
        <w:t>.</w:t>
      </w:r>
    </w:p>
    <w:p w14:paraId="73E388F4">
      <w:pPr>
        <w:tabs>
          <w:tab w:val="left" w:pos="426"/>
        </w:tabs>
        <w:rPr>
          <w:rFonts w:asciiTheme="majorHAnsi" w:hAnsiTheme="majorHAnsi" w:cstheme="majorHAnsi"/>
          <w:highlight w:val="none"/>
        </w:rPr>
      </w:pPr>
    </w:p>
    <w:p w14:paraId="509CB5E6">
      <w:pPr>
        <w:tabs>
          <w:tab w:val="left" w:pos="426"/>
        </w:tabs>
        <w:rPr>
          <w:rFonts w:eastAsia="宋体" w:asciiTheme="majorHAnsi" w:hAnsiTheme="majorHAnsi" w:cstheme="majorHAnsi"/>
          <w:lang w:eastAsia="zh-CN"/>
        </w:rPr>
      </w:pPr>
      <w:r>
        <w:rPr>
          <w:rFonts w:asciiTheme="majorHAnsi" w:hAnsiTheme="majorHAnsi" w:cstheme="majorHAnsi"/>
        </w:rPr>
        <w:t>4.3. Patient preparation</w:t>
      </w:r>
    </w:p>
    <w:p w14:paraId="198B4F49">
      <w:pPr>
        <w:tabs>
          <w:tab w:val="left" w:pos="426"/>
        </w:tabs>
        <w:rPr>
          <w:rFonts w:eastAsia="宋体" w:asciiTheme="majorHAnsi" w:hAnsiTheme="majorHAnsi" w:cstheme="majorHAnsi"/>
          <w:lang w:eastAsia="zh-CN"/>
        </w:rPr>
      </w:pPr>
    </w:p>
    <w:p w14:paraId="73E388F6">
      <w:pPr>
        <w:tabs>
          <w:tab w:val="left" w:pos="426"/>
        </w:tabs>
        <w:rPr>
          <w:rFonts w:asciiTheme="majorHAnsi" w:hAnsiTheme="majorHAnsi" w:cstheme="majorHAnsi"/>
        </w:rPr>
      </w:pPr>
      <w:r>
        <w:rPr>
          <w:rFonts w:eastAsia="宋体" w:asciiTheme="majorHAnsi" w:hAnsiTheme="majorHAnsi" w:cstheme="majorHAnsi"/>
          <w:lang w:eastAsia="zh-CN"/>
        </w:rPr>
        <w:t>4.3.</w:t>
      </w:r>
      <w:r>
        <w:rPr>
          <w:rFonts w:asciiTheme="majorHAnsi" w:hAnsiTheme="majorHAnsi" w:cstheme="majorHAnsi"/>
        </w:rPr>
        <w:t>1</w:t>
      </w:r>
      <w:r>
        <w:rPr>
          <w:rFonts w:eastAsia="宋体" w:asciiTheme="majorHAnsi" w:hAnsiTheme="majorHAnsi" w:cstheme="majorHAnsi"/>
          <w:lang w:eastAsia="zh-CN"/>
        </w:rPr>
        <w:t xml:space="preserve">. </w:t>
      </w:r>
      <w:r>
        <w:rPr>
          <w:rFonts w:asciiTheme="majorHAnsi" w:hAnsiTheme="majorHAnsi" w:cstheme="majorHAnsi"/>
        </w:rPr>
        <w:t>Obtain written informed consent from the patient after providing a thorough explanation of the procedure and the potential risks and benefits of the treatment.</w:t>
      </w:r>
    </w:p>
    <w:p w14:paraId="13A8659C">
      <w:pPr>
        <w:tabs>
          <w:tab w:val="left" w:pos="426"/>
        </w:tabs>
        <w:rPr>
          <w:rFonts w:asciiTheme="majorHAnsi" w:hAnsiTheme="majorHAnsi" w:cstheme="majorHAnsi"/>
        </w:rPr>
      </w:pPr>
    </w:p>
    <w:p w14:paraId="73E388F7">
      <w:pPr>
        <w:tabs>
          <w:tab w:val="left" w:pos="426"/>
        </w:tabs>
        <w:rPr>
          <w:rFonts w:asciiTheme="majorHAnsi" w:hAnsiTheme="majorHAnsi" w:cstheme="majorHAnsi"/>
        </w:rPr>
      </w:pPr>
      <w:r>
        <w:rPr>
          <w:rFonts w:eastAsia="宋体" w:asciiTheme="majorHAnsi" w:hAnsiTheme="majorHAnsi" w:cstheme="majorHAnsi"/>
          <w:lang w:eastAsia="zh-CN"/>
        </w:rPr>
        <w:t>4.3.</w:t>
      </w:r>
      <w:r>
        <w:rPr>
          <w:rFonts w:asciiTheme="majorHAnsi" w:hAnsiTheme="majorHAnsi" w:cstheme="majorHAnsi"/>
        </w:rPr>
        <w:t>2</w:t>
      </w:r>
      <w:r>
        <w:rPr>
          <w:rFonts w:eastAsia="宋体" w:asciiTheme="majorHAnsi" w:hAnsiTheme="majorHAnsi" w:cstheme="majorHAnsi"/>
          <w:lang w:eastAsia="zh-CN"/>
        </w:rPr>
        <w:t xml:space="preserve">. </w:t>
      </w:r>
      <w:r>
        <w:rPr>
          <w:rFonts w:asciiTheme="majorHAnsi" w:hAnsiTheme="majorHAnsi" w:cstheme="majorHAnsi"/>
        </w:rPr>
        <w:t>Raise the head of the bed to 45–90</w:t>
      </w:r>
      <w:r>
        <w:rPr>
          <w:rFonts w:ascii="Symbol" w:hAnsi="Symbol" w:cstheme="majorHAnsi"/>
        </w:rPr>
        <w:sym w:font="Symbol" w:char="F0B0"/>
      </w:r>
      <w:r>
        <w:rPr>
          <w:rFonts w:asciiTheme="majorHAnsi" w:hAnsiTheme="majorHAnsi" w:cstheme="majorHAnsi"/>
        </w:rPr>
        <w:t xml:space="preserve"> and position the patient in a semirecumbent posture. When needling the cheek and mandible on one side, turn the patient’s head slightly to the contralateral side.</w:t>
      </w:r>
    </w:p>
    <w:p w14:paraId="57565BAE">
      <w:pPr>
        <w:tabs>
          <w:tab w:val="left" w:pos="426"/>
        </w:tabs>
        <w:rPr>
          <w:rFonts w:asciiTheme="majorHAnsi" w:hAnsiTheme="majorHAnsi" w:cstheme="majorHAnsi"/>
        </w:rPr>
      </w:pPr>
    </w:p>
    <w:p w14:paraId="73E388F8">
      <w:pPr>
        <w:tabs>
          <w:tab w:val="left" w:pos="426"/>
        </w:tabs>
        <w:rPr>
          <w:rFonts w:asciiTheme="majorHAnsi" w:hAnsiTheme="majorHAnsi" w:cstheme="majorHAnsi"/>
          <w:highlight w:val="none"/>
        </w:rPr>
      </w:pPr>
      <w:r>
        <w:rPr>
          <w:rFonts w:eastAsia="宋体" w:asciiTheme="majorHAnsi" w:hAnsiTheme="majorHAnsi" w:cstheme="majorHAnsi"/>
          <w:highlight w:val="none"/>
          <w:lang w:eastAsia="zh-CN"/>
        </w:rPr>
        <w:t>4.3.</w:t>
      </w:r>
      <w:r>
        <w:rPr>
          <w:rFonts w:asciiTheme="majorHAnsi" w:hAnsiTheme="majorHAnsi" w:cstheme="majorHAnsi"/>
          <w:highlight w:val="none"/>
        </w:rPr>
        <w:t>3. Disinfect the needling point and the surrounding skin using a cotton swab containing 75% alcohol. Wait until the alcohol has completely evaporated and the skin is dry before proceeding with the operation.</w:t>
      </w:r>
    </w:p>
    <w:p w14:paraId="204DBE8B">
      <w:pPr>
        <w:tabs>
          <w:tab w:val="left" w:pos="426"/>
        </w:tabs>
        <w:rPr>
          <w:rFonts w:asciiTheme="majorHAnsi" w:hAnsiTheme="majorHAnsi" w:cstheme="majorHAnsi"/>
        </w:rPr>
      </w:pPr>
    </w:p>
    <w:p w14:paraId="73E388F9">
      <w:pPr>
        <w:tabs>
          <w:tab w:val="left" w:pos="426"/>
        </w:tabs>
        <w:rPr>
          <w:rFonts w:asciiTheme="majorHAnsi" w:hAnsiTheme="majorHAnsi" w:cstheme="majorHAnsi"/>
        </w:rPr>
      </w:pPr>
      <w:r>
        <w:rPr>
          <w:rFonts w:asciiTheme="majorHAnsi" w:hAnsiTheme="majorHAnsi" w:cstheme="majorHAnsi"/>
        </w:rPr>
        <w:t>NOTE: During the procedure, ultrasound localization must be performed prior to fire needling. Keep the patient’s skin dry and clean before ultrasound localization. Before fire needling, disinfection is required, and the procedure should only be performed after the skin has dried.</w:t>
      </w:r>
    </w:p>
    <w:p w14:paraId="73E388FA">
      <w:pPr>
        <w:tabs>
          <w:tab w:val="left" w:pos="426"/>
        </w:tabs>
        <w:rPr>
          <w:rFonts w:asciiTheme="majorHAnsi" w:hAnsiTheme="majorHAnsi" w:cstheme="majorHAnsi"/>
        </w:rPr>
      </w:pPr>
    </w:p>
    <w:p w14:paraId="73E388FB">
      <w:pPr>
        <w:tabs>
          <w:tab w:val="left" w:pos="426"/>
        </w:tabs>
        <w:rPr>
          <w:rFonts w:eastAsia="宋体" w:asciiTheme="majorHAnsi" w:hAnsiTheme="majorHAnsi" w:cstheme="majorHAnsi"/>
          <w:lang w:eastAsia="zh-CN"/>
        </w:rPr>
      </w:pPr>
      <w:r>
        <w:rPr>
          <w:rFonts w:eastAsia="宋体" w:asciiTheme="majorHAnsi" w:hAnsiTheme="majorHAnsi" w:cstheme="majorHAnsi"/>
          <w:lang w:eastAsia="zh-CN"/>
        </w:rPr>
        <w:t xml:space="preserve">4.4. </w:t>
      </w:r>
      <w:r>
        <w:rPr>
          <w:rFonts w:asciiTheme="majorHAnsi" w:hAnsiTheme="majorHAnsi" w:cstheme="majorHAnsi"/>
        </w:rPr>
        <w:t>Operator preparation</w:t>
      </w:r>
    </w:p>
    <w:p w14:paraId="5BDFD684">
      <w:pPr>
        <w:tabs>
          <w:tab w:val="left" w:pos="426"/>
        </w:tabs>
        <w:rPr>
          <w:rFonts w:eastAsia="宋体" w:asciiTheme="majorHAnsi" w:hAnsiTheme="majorHAnsi" w:cstheme="majorHAnsi"/>
          <w:lang w:eastAsia="zh-CN"/>
        </w:rPr>
      </w:pPr>
    </w:p>
    <w:p w14:paraId="73E388FC">
      <w:pPr>
        <w:tabs>
          <w:tab w:val="left" w:pos="426"/>
        </w:tabs>
        <w:rPr>
          <w:rFonts w:eastAsia="宋体" w:asciiTheme="majorHAnsi" w:hAnsiTheme="majorHAnsi" w:cstheme="majorHAnsi"/>
          <w:lang w:eastAsia="zh-CN"/>
        </w:rPr>
      </w:pPr>
      <w:r>
        <w:rPr>
          <w:rFonts w:eastAsia="宋体" w:asciiTheme="majorHAnsi" w:hAnsiTheme="majorHAnsi" w:cstheme="majorHAnsi"/>
          <w:lang w:eastAsia="zh-CN"/>
        </w:rPr>
        <w:t>4.4.</w:t>
      </w:r>
      <w:r>
        <w:rPr>
          <w:rFonts w:asciiTheme="majorHAnsi" w:hAnsiTheme="majorHAnsi" w:cstheme="majorHAnsi"/>
        </w:rPr>
        <w:t>1</w:t>
      </w:r>
      <w:r>
        <w:rPr>
          <w:rFonts w:eastAsia="宋体" w:asciiTheme="majorHAnsi" w:hAnsiTheme="majorHAnsi" w:cstheme="majorHAnsi"/>
          <w:lang w:eastAsia="zh-CN"/>
        </w:rPr>
        <w:t xml:space="preserve">. </w:t>
      </w:r>
      <w:r>
        <w:rPr>
          <w:rFonts w:asciiTheme="majorHAnsi" w:hAnsiTheme="majorHAnsi" w:cstheme="majorHAnsi"/>
        </w:rPr>
        <w:t>Verify the patient’s basic information</w:t>
      </w:r>
      <w:r>
        <w:rPr>
          <w:rFonts w:eastAsia="宋体" w:asciiTheme="majorHAnsi" w:hAnsiTheme="majorHAnsi" w:cstheme="majorHAnsi"/>
          <w:lang w:eastAsia="zh-CN"/>
        </w:rPr>
        <w:t>.</w:t>
      </w:r>
    </w:p>
    <w:p w14:paraId="7FDC1B9F">
      <w:pPr>
        <w:tabs>
          <w:tab w:val="left" w:pos="426"/>
        </w:tabs>
        <w:rPr>
          <w:rFonts w:eastAsia="宋体" w:asciiTheme="majorHAnsi" w:hAnsiTheme="majorHAnsi" w:cstheme="majorHAnsi"/>
          <w:lang w:eastAsia="zh-CN"/>
        </w:rPr>
      </w:pPr>
    </w:p>
    <w:p w14:paraId="73E388FE">
      <w:pPr>
        <w:tabs>
          <w:tab w:val="left" w:pos="426"/>
        </w:tabs>
        <w:rPr>
          <w:rFonts w:asciiTheme="majorHAnsi" w:hAnsiTheme="majorHAnsi" w:cstheme="majorHAnsi"/>
        </w:rPr>
      </w:pPr>
      <w:r>
        <w:rPr>
          <w:rFonts w:eastAsia="宋体" w:asciiTheme="majorHAnsi" w:hAnsiTheme="majorHAnsi" w:cstheme="majorHAnsi"/>
          <w:lang w:eastAsia="zh-CN"/>
        </w:rPr>
        <w:t xml:space="preserve">4.4.2. </w:t>
      </w:r>
      <w:r>
        <w:rPr>
          <w:rFonts w:asciiTheme="majorHAnsi" w:hAnsiTheme="majorHAnsi" w:cstheme="majorHAnsi"/>
        </w:rPr>
        <w:t>Wash hands using the seven-step handwashing technique</w:t>
      </w:r>
      <w:r>
        <w:rPr>
          <w:rFonts w:eastAsia="宋体" w:asciiTheme="majorHAnsi" w:hAnsiTheme="majorHAnsi" w:cstheme="majorHAnsi"/>
          <w:lang w:eastAsia="zh-CN"/>
        </w:rPr>
        <w:t>. P</w:t>
      </w:r>
      <w:r>
        <w:rPr>
          <w:rFonts w:asciiTheme="majorHAnsi" w:hAnsiTheme="majorHAnsi" w:cstheme="majorHAnsi"/>
        </w:rPr>
        <w:t>erform hand disinfection.</w:t>
      </w:r>
    </w:p>
    <w:p w14:paraId="07858245">
      <w:pPr>
        <w:tabs>
          <w:tab w:val="left" w:pos="426"/>
        </w:tabs>
        <w:rPr>
          <w:rFonts w:eastAsia="宋体" w:asciiTheme="majorHAnsi" w:hAnsiTheme="majorHAnsi" w:cstheme="majorHAnsi"/>
          <w:lang w:eastAsia="zh-CN"/>
        </w:rPr>
      </w:pPr>
    </w:p>
    <w:p w14:paraId="73E388FF">
      <w:pPr>
        <w:tabs>
          <w:tab w:val="left" w:pos="426"/>
        </w:tabs>
        <w:rPr>
          <w:rFonts w:asciiTheme="majorHAnsi" w:hAnsiTheme="majorHAnsi" w:cstheme="majorHAnsi"/>
        </w:rPr>
      </w:pPr>
      <w:r>
        <w:rPr>
          <w:rFonts w:eastAsia="宋体" w:asciiTheme="majorHAnsi" w:hAnsiTheme="majorHAnsi" w:cstheme="majorHAnsi"/>
          <w:lang w:eastAsia="zh-CN"/>
        </w:rPr>
        <w:t xml:space="preserve">4.4.3. </w:t>
      </w:r>
      <w:r>
        <w:rPr>
          <w:rFonts w:asciiTheme="majorHAnsi" w:hAnsiTheme="majorHAnsi" w:cstheme="majorHAnsi"/>
        </w:rPr>
        <w:t>Wear sterile gloves, a medical mask, and a surgical cap.</w:t>
      </w:r>
    </w:p>
    <w:p w14:paraId="7918A010">
      <w:pPr>
        <w:tabs>
          <w:tab w:val="left" w:pos="426"/>
        </w:tabs>
        <w:rPr>
          <w:rFonts w:asciiTheme="majorHAnsi" w:hAnsiTheme="majorHAnsi" w:cstheme="majorHAnsi"/>
        </w:rPr>
      </w:pPr>
    </w:p>
    <w:p w14:paraId="73E38900">
      <w:pPr>
        <w:tabs>
          <w:tab w:val="left" w:pos="426"/>
        </w:tabs>
        <w:rPr>
          <w:rFonts w:asciiTheme="majorHAnsi" w:hAnsiTheme="majorHAnsi" w:cstheme="majorHAnsi"/>
        </w:rPr>
      </w:pPr>
      <w:r>
        <w:rPr>
          <w:rFonts w:eastAsia="宋体" w:asciiTheme="majorHAnsi" w:hAnsiTheme="majorHAnsi" w:cstheme="majorHAnsi"/>
          <w:lang w:eastAsia="zh-CN"/>
        </w:rPr>
        <w:t xml:space="preserve">4.4.5. </w:t>
      </w:r>
      <w:r>
        <w:rPr>
          <w:rFonts w:asciiTheme="majorHAnsi" w:hAnsiTheme="majorHAnsi" w:cstheme="majorHAnsi"/>
        </w:rPr>
        <w:t>Stand on the same side of the patient as the operative site.</w:t>
      </w:r>
    </w:p>
    <w:p w14:paraId="73E38901">
      <w:pPr>
        <w:tabs>
          <w:tab w:val="left" w:pos="426"/>
        </w:tabs>
        <w:rPr>
          <w:rFonts w:asciiTheme="majorHAnsi" w:hAnsiTheme="majorHAnsi" w:cstheme="majorHAnsi"/>
          <w:b/>
          <w:bCs/>
        </w:rPr>
      </w:pPr>
    </w:p>
    <w:p w14:paraId="73E38902">
      <w:pPr>
        <w:numPr>
          <w:ilvl w:val="0"/>
          <w:numId w:val="2"/>
        </w:numPr>
        <w:tabs>
          <w:tab w:val="left" w:pos="426"/>
        </w:tabs>
        <w:ind w:left="0" w:firstLine="0"/>
        <w:rPr>
          <w:rFonts w:asciiTheme="majorHAnsi" w:hAnsiTheme="majorHAnsi" w:cstheme="majorHAnsi"/>
          <w:b/>
          <w:bCs/>
        </w:rPr>
      </w:pPr>
      <w:r>
        <w:rPr>
          <w:rFonts w:asciiTheme="majorHAnsi" w:hAnsiTheme="majorHAnsi" w:cstheme="majorHAnsi"/>
          <w:b/>
          <w:bCs/>
        </w:rPr>
        <w:t>Procedure</w:t>
      </w:r>
    </w:p>
    <w:p w14:paraId="73E38903">
      <w:pPr>
        <w:tabs>
          <w:tab w:val="left" w:pos="426"/>
        </w:tabs>
        <w:rPr>
          <w:rFonts w:asciiTheme="majorHAnsi" w:hAnsiTheme="majorHAnsi" w:cstheme="majorHAnsi"/>
        </w:rPr>
      </w:pPr>
    </w:p>
    <w:p w14:paraId="73E38904">
      <w:pPr>
        <w:pStyle w:val="26"/>
        <w:numPr>
          <w:ilvl w:val="1"/>
          <w:numId w:val="2"/>
        </w:numPr>
        <w:tabs>
          <w:tab w:val="left" w:pos="426"/>
        </w:tabs>
        <w:spacing w:after="0" w:line="240" w:lineRule="auto"/>
        <w:ind w:left="0" w:firstLine="0"/>
        <w:jc w:val="both"/>
        <w:rPr>
          <w:rFonts w:eastAsia="宋体" w:asciiTheme="majorHAnsi" w:hAnsiTheme="majorHAnsi" w:cstheme="majorHAnsi"/>
          <w:sz w:val="24"/>
          <w:szCs w:val="24"/>
          <w:lang w:eastAsia="zh-CN"/>
        </w:rPr>
      </w:pPr>
      <w:r>
        <w:rPr>
          <w:rFonts w:asciiTheme="majorHAnsi" w:hAnsiTheme="majorHAnsi" w:cstheme="majorHAnsi"/>
          <w:sz w:val="24"/>
          <w:szCs w:val="24"/>
        </w:rPr>
        <w:t>Select acupoints and needling sites</w:t>
      </w:r>
      <w:r>
        <w:rPr>
          <w:rFonts w:eastAsia="宋体" w:asciiTheme="majorHAnsi" w:hAnsiTheme="majorHAnsi" w:cstheme="majorHAnsi"/>
          <w:sz w:val="24"/>
          <w:szCs w:val="24"/>
          <w:lang w:eastAsia="zh-CN"/>
        </w:rPr>
        <w:t>.</w:t>
      </w:r>
    </w:p>
    <w:p w14:paraId="6355D600">
      <w:pPr>
        <w:pStyle w:val="26"/>
        <w:tabs>
          <w:tab w:val="left" w:pos="426"/>
        </w:tabs>
        <w:spacing w:after="0" w:line="240" w:lineRule="auto"/>
        <w:ind w:left="0"/>
        <w:jc w:val="both"/>
        <w:rPr>
          <w:rFonts w:eastAsia="宋体" w:asciiTheme="majorHAnsi" w:hAnsiTheme="majorHAnsi" w:cstheme="majorHAnsi"/>
          <w:sz w:val="24"/>
          <w:szCs w:val="24"/>
          <w:lang w:eastAsia="zh-CN"/>
        </w:rPr>
      </w:pPr>
    </w:p>
    <w:p w14:paraId="73E38905">
      <w:pPr>
        <w:pStyle w:val="26"/>
        <w:numPr>
          <w:ilvl w:val="2"/>
          <w:numId w:val="2"/>
        </w:numPr>
        <w:tabs>
          <w:tab w:val="left" w:pos="426"/>
        </w:tabs>
        <w:spacing w:after="0" w:line="240" w:lineRule="auto"/>
        <w:ind w:left="0" w:firstLine="0"/>
        <w:jc w:val="both"/>
        <w:rPr>
          <w:rFonts w:asciiTheme="majorHAnsi" w:hAnsiTheme="majorHAnsi" w:cstheme="majorHAnsi"/>
          <w:sz w:val="24"/>
          <w:szCs w:val="24"/>
        </w:rPr>
      </w:pPr>
      <w:r>
        <w:rPr>
          <w:rFonts w:asciiTheme="majorHAnsi" w:hAnsiTheme="majorHAnsi" w:cstheme="majorHAnsi"/>
          <w:sz w:val="24"/>
          <w:szCs w:val="24"/>
        </w:rPr>
        <w:t>Locate acupoints according to the "Naming and Location of Meridian Acupoints" (GB/T 12346-2021)</w:t>
      </w:r>
      <w:r>
        <w:rPr>
          <w:rFonts w:asciiTheme="majorHAnsi" w:hAnsiTheme="majorHAnsi" w:cstheme="majorHAnsi"/>
          <w:sz w:val="24"/>
          <w:szCs w:val="24"/>
          <w:vertAlign w:val="superscript"/>
        </w:rPr>
        <w:fldChar w:fldCharType="begin"/>
      </w:r>
      <w:r>
        <w:rPr>
          <w:rFonts w:asciiTheme="majorHAnsi" w:hAnsiTheme="majorHAnsi" w:cstheme="majorHAnsi"/>
          <w:sz w:val="24"/>
          <w:szCs w:val="24"/>
          <w:vertAlign w:val="superscript"/>
        </w:rPr>
        <w:instrText xml:space="preserve"> REF _Ref6095 \r \h  \* MERGEFORMAT </w:instrText>
      </w:r>
      <w:r>
        <w:rPr>
          <w:rFonts w:asciiTheme="majorHAnsi" w:hAnsiTheme="majorHAnsi" w:cstheme="majorHAnsi"/>
          <w:sz w:val="24"/>
          <w:szCs w:val="24"/>
          <w:vertAlign w:val="superscript"/>
        </w:rPr>
        <w:fldChar w:fldCharType="separate"/>
      </w:r>
      <w:r>
        <w:rPr>
          <w:rFonts w:asciiTheme="majorHAnsi" w:hAnsiTheme="majorHAnsi" w:cstheme="majorHAnsi"/>
          <w:sz w:val="24"/>
          <w:szCs w:val="24"/>
          <w:vertAlign w:val="superscript"/>
        </w:rPr>
        <w:t>12</w:t>
      </w:r>
      <w:r>
        <w:rPr>
          <w:rFonts w:asciiTheme="majorHAnsi" w:hAnsiTheme="majorHAnsi" w:cstheme="majorHAnsi"/>
          <w:sz w:val="24"/>
          <w:szCs w:val="24"/>
          <w:vertAlign w:val="superscript"/>
        </w:rPr>
        <w:fldChar w:fldCharType="end"/>
      </w:r>
      <w:r>
        <w:rPr>
          <w:rFonts w:asciiTheme="majorHAnsi" w:hAnsiTheme="majorHAnsi" w:cstheme="majorHAnsi"/>
          <w:sz w:val="24"/>
          <w:szCs w:val="24"/>
        </w:rPr>
        <w:t xml:space="preserve"> (</w:t>
      </w:r>
      <w:r>
        <w:rPr>
          <w:rFonts w:asciiTheme="majorHAnsi" w:hAnsiTheme="majorHAnsi" w:cstheme="majorHAnsi"/>
          <w:b/>
          <w:bCs/>
          <w:sz w:val="24"/>
          <w:szCs w:val="24"/>
        </w:rPr>
        <w:t xml:space="preserve">Figure </w:t>
      </w:r>
      <w:r>
        <w:rPr>
          <w:rFonts w:eastAsia="宋体" w:asciiTheme="majorHAnsi" w:hAnsiTheme="majorHAnsi" w:cstheme="majorHAnsi"/>
          <w:b/>
          <w:bCs/>
          <w:sz w:val="24"/>
          <w:szCs w:val="24"/>
          <w:lang w:eastAsia="zh-CN"/>
        </w:rPr>
        <w:t>2</w:t>
      </w:r>
      <w:r>
        <w:rPr>
          <w:rFonts w:asciiTheme="majorHAnsi" w:hAnsiTheme="majorHAnsi" w:cstheme="majorHAnsi"/>
          <w:sz w:val="24"/>
          <w:szCs w:val="24"/>
        </w:rPr>
        <w:t>).</w:t>
      </w:r>
    </w:p>
    <w:p w14:paraId="363A7471">
      <w:pPr>
        <w:pStyle w:val="26"/>
        <w:tabs>
          <w:tab w:val="left" w:pos="426"/>
        </w:tabs>
        <w:spacing w:after="0" w:line="240" w:lineRule="auto"/>
        <w:ind w:left="0"/>
        <w:jc w:val="both"/>
        <w:rPr>
          <w:rFonts w:eastAsia="宋体" w:asciiTheme="majorHAnsi" w:hAnsiTheme="majorHAnsi" w:cstheme="majorHAnsi"/>
          <w:sz w:val="24"/>
          <w:szCs w:val="24"/>
          <w:lang w:eastAsia="zh-CN"/>
        </w:rPr>
      </w:pPr>
    </w:p>
    <w:p w14:paraId="73E38906">
      <w:pPr>
        <w:pStyle w:val="26"/>
        <w:numPr>
          <w:ilvl w:val="3"/>
          <w:numId w:val="2"/>
        </w:numPr>
        <w:tabs>
          <w:tab w:val="left" w:pos="426"/>
        </w:tabs>
        <w:spacing w:after="0" w:line="240" w:lineRule="auto"/>
        <w:ind w:left="0" w:firstLine="0"/>
        <w:jc w:val="both"/>
        <w:rPr>
          <w:rFonts w:asciiTheme="majorHAnsi" w:hAnsiTheme="majorHAnsi" w:cstheme="majorHAnsi"/>
          <w:sz w:val="24"/>
          <w:szCs w:val="24"/>
        </w:rPr>
      </w:pPr>
      <w:r>
        <w:rPr>
          <w:rFonts w:eastAsia="宋体" w:asciiTheme="majorHAnsi" w:hAnsiTheme="majorHAnsi" w:cstheme="majorHAnsi"/>
          <w:sz w:val="24"/>
          <w:szCs w:val="24"/>
          <w:lang w:eastAsia="zh-CN"/>
        </w:rPr>
        <w:t xml:space="preserve">Locate </w:t>
      </w:r>
      <w:r>
        <w:rPr>
          <w:rFonts w:asciiTheme="majorHAnsi" w:hAnsiTheme="majorHAnsi" w:cstheme="majorHAnsi"/>
          <w:sz w:val="24"/>
          <w:szCs w:val="24"/>
        </w:rPr>
        <w:t>Xiaguan (ST7) on the face; look for the depression located at the center of the lower edge of the zygomatic arch and between it and the mandibular notch.</w:t>
      </w:r>
    </w:p>
    <w:p w14:paraId="0F30D710">
      <w:pPr>
        <w:pStyle w:val="26"/>
        <w:tabs>
          <w:tab w:val="left" w:pos="426"/>
        </w:tabs>
        <w:spacing w:after="0" w:line="240" w:lineRule="auto"/>
        <w:ind w:left="0"/>
        <w:jc w:val="both"/>
        <w:rPr>
          <w:rFonts w:asciiTheme="majorHAnsi" w:hAnsiTheme="majorHAnsi" w:cstheme="majorHAnsi"/>
          <w:sz w:val="24"/>
          <w:szCs w:val="24"/>
        </w:rPr>
      </w:pPr>
    </w:p>
    <w:p w14:paraId="73E38907">
      <w:pPr>
        <w:pStyle w:val="26"/>
        <w:numPr>
          <w:ilvl w:val="3"/>
          <w:numId w:val="2"/>
        </w:numPr>
        <w:tabs>
          <w:tab w:val="left" w:pos="426"/>
        </w:tabs>
        <w:spacing w:after="0" w:line="240" w:lineRule="auto"/>
        <w:ind w:left="0" w:firstLine="0"/>
        <w:jc w:val="both"/>
        <w:rPr>
          <w:rFonts w:eastAsia="宋体" w:asciiTheme="majorHAnsi" w:hAnsiTheme="majorHAnsi" w:cstheme="majorHAnsi"/>
          <w:sz w:val="24"/>
          <w:szCs w:val="24"/>
          <w:lang w:eastAsia="zh-CN"/>
        </w:rPr>
      </w:pPr>
      <w:r>
        <w:rPr>
          <w:rFonts w:eastAsia="宋体" w:asciiTheme="majorHAnsi" w:hAnsiTheme="majorHAnsi" w:cstheme="majorHAnsi"/>
          <w:sz w:val="24"/>
          <w:szCs w:val="24"/>
          <w:lang w:eastAsia="zh-CN"/>
        </w:rPr>
        <w:t xml:space="preserve">Locate </w:t>
      </w:r>
      <w:r>
        <w:rPr>
          <w:rFonts w:asciiTheme="majorHAnsi" w:hAnsiTheme="majorHAnsi" w:cstheme="majorHAnsi"/>
          <w:sz w:val="24"/>
          <w:szCs w:val="24"/>
        </w:rPr>
        <w:t>Yifeng (SJ17) on the neck; look for the depression anterior to the mastoid process inferior, behind the earlobe</w:t>
      </w:r>
      <w:r>
        <w:rPr>
          <w:rFonts w:eastAsia="宋体" w:asciiTheme="majorHAnsi" w:hAnsiTheme="majorHAnsi" w:cstheme="majorHAnsi"/>
          <w:sz w:val="24"/>
          <w:szCs w:val="24"/>
          <w:lang w:eastAsia="zh-CN"/>
        </w:rPr>
        <w:t>.</w:t>
      </w:r>
    </w:p>
    <w:p w14:paraId="70F35477">
      <w:pPr>
        <w:tabs>
          <w:tab w:val="left" w:pos="426"/>
        </w:tabs>
        <w:rPr>
          <w:rFonts w:eastAsia="宋体" w:asciiTheme="majorHAnsi" w:hAnsiTheme="majorHAnsi" w:cstheme="majorHAnsi"/>
          <w:lang w:eastAsia="zh-CN"/>
        </w:rPr>
      </w:pPr>
    </w:p>
    <w:p w14:paraId="73E38908">
      <w:pPr>
        <w:pStyle w:val="26"/>
        <w:numPr>
          <w:ilvl w:val="3"/>
          <w:numId w:val="2"/>
        </w:numPr>
        <w:tabs>
          <w:tab w:val="left" w:pos="426"/>
        </w:tabs>
        <w:spacing w:after="0" w:line="240" w:lineRule="auto"/>
        <w:ind w:left="0" w:firstLine="0"/>
        <w:jc w:val="both"/>
        <w:rPr>
          <w:rFonts w:asciiTheme="majorHAnsi" w:hAnsiTheme="majorHAnsi" w:cstheme="majorHAnsi"/>
          <w:sz w:val="24"/>
          <w:szCs w:val="24"/>
        </w:rPr>
      </w:pPr>
      <w:r>
        <w:rPr>
          <w:rFonts w:asciiTheme="majorHAnsi" w:hAnsiTheme="majorHAnsi" w:cstheme="majorHAnsi"/>
          <w:sz w:val="24"/>
          <w:szCs w:val="24"/>
        </w:rPr>
        <w:t>Locate the inferior Jiache point: on the face, locate the prominence of the masseter muscle when the jaw is clenched and the teeth are shut, and in a depression palpable when the muscle is relaxed; this is the Jiache (ST6). The Inferior Jiache Point is located directly inferior to Jiache (ST6), projecting to the depression on the medial aspect of the lower border of the mandible.</w:t>
      </w:r>
    </w:p>
    <w:p w14:paraId="73E38909">
      <w:pPr>
        <w:tabs>
          <w:tab w:val="left" w:pos="426"/>
        </w:tabs>
        <w:rPr>
          <w:rFonts w:asciiTheme="majorHAnsi" w:hAnsiTheme="majorHAnsi" w:cstheme="majorHAnsi"/>
        </w:rPr>
      </w:pPr>
    </w:p>
    <w:p w14:paraId="73E3890A">
      <w:pPr>
        <w:pStyle w:val="26"/>
        <w:numPr>
          <w:ilvl w:val="1"/>
          <w:numId w:val="2"/>
        </w:numPr>
        <w:tabs>
          <w:tab w:val="left" w:pos="426"/>
        </w:tabs>
        <w:spacing w:after="0" w:line="240" w:lineRule="auto"/>
        <w:ind w:left="0" w:firstLine="0"/>
        <w:jc w:val="both"/>
        <w:rPr>
          <w:rFonts w:eastAsia="宋体" w:asciiTheme="majorHAnsi" w:hAnsiTheme="majorHAnsi" w:cstheme="majorHAnsi"/>
          <w:sz w:val="24"/>
          <w:szCs w:val="24"/>
          <w:lang w:eastAsia="zh-CN"/>
        </w:rPr>
      </w:pPr>
      <w:r>
        <w:rPr>
          <w:rFonts w:asciiTheme="majorHAnsi" w:hAnsiTheme="majorHAnsi" w:cstheme="majorHAnsi"/>
          <w:sz w:val="24"/>
          <w:szCs w:val="24"/>
        </w:rPr>
        <w:t>Ultrasound guidance and needling point localization</w:t>
      </w:r>
    </w:p>
    <w:p w14:paraId="502841A1">
      <w:pPr>
        <w:pStyle w:val="26"/>
        <w:tabs>
          <w:tab w:val="left" w:pos="426"/>
        </w:tabs>
        <w:spacing w:after="0" w:line="240" w:lineRule="auto"/>
        <w:ind w:left="0"/>
        <w:jc w:val="both"/>
        <w:rPr>
          <w:rFonts w:eastAsia="宋体" w:asciiTheme="majorHAnsi" w:hAnsiTheme="majorHAnsi" w:cstheme="majorHAnsi"/>
          <w:sz w:val="24"/>
          <w:szCs w:val="24"/>
          <w:lang w:eastAsia="zh-CN"/>
        </w:rPr>
      </w:pPr>
    </w:p>
    <w:p w14:paraId="73E3890B">
      <w:pPr>
        <w:pStyle w:val="26"/>
        <w:numPr>
          <w:ilvl w:val="2"/>
          <w:numId w:val="2"/>
        </w:numPr>
        <w:tabs>
          <w:tab w:val="left" w:pos="426"/>
        </w:tabs>
        <w:spacing w:after="0" w:line="240" w:lineRule="auto"/>
        <w:ind w:left="0" w:firstLine="0"/>
        <w:jc w:val="both"/>
        <w:rPr>
          <w:rFonts w:asciiTheme="majorHAnsi" w:hAnsiTheme="majorHAnsi" w:cstheme="majorHAnsi"/>
          <w:sz w:val="24"/>
          <w:szCs w:val="24"/>
          <w:highlight w:val="yellow"/>
        </w:rPr>
      </w:pPr>
      <w:r>
        <w:rPr>
          <w:rFonts w:asciiTheme="majorHAnsi" w:hAnsiTheme="majorHAnsi" w:cstheme="majorHAnsi"/>
          <w:sz w:val="24"/>
          <w:szCs w:val="24"/>
          <w:highlight w:val="yellow"/>
        </w:rPr>
        <w:t xml:space="preserve">Turn on the ultrasound system and press the </w:t>
      </w:r>
      <w:r>
        <w:rPr>
          <w:rFonts w:asciiTheme="majorHAnsi" w:hAnsiTheme="majorHAnsi" w:cstheme="majorHAnsi"/>
          <w:b/>
          <w:bCs/>
          <w:sz w:val="24"/>
          <w:szCs w:val="24"/>
          <w:highlight w:val="yellow"/>
        </w:rPr>
        <w:t>Start-End</w:t>
      </w:r>
      <w:r>
        <w:rPr>
          <w:rFonts w:asciiTheme="majorHAnsi" w:hAnsiTheme="majorHAnsi" w:cstheme="majorHAnsi"/>
          <w:sz w:val="24"/>
          <w:szCs w:val="24"/>
          <w:highlight w:val="yellow"/>
        </w:rPr>
        <w:t xml:space="preserve"> button to initiate the examination.</w:t>
      </w:r>
    </w:p>
    <w:p w14:paraId="5B79650D">
      <w:pPr>
        <w:pStyle w:val="26"/>
        <w:tabs>
          <w:tab w:val="left" w:pos="426"/>
        </w:tabs>
        <w:spacing w:after="0" w:line="240" w:lineRule="auto"/>
        <w:ind w:left="0"/>
        <w:jc w:val="both"/>
        <w:rPr>
          <w:rFonts w:asciiTheme="majorHAnsi" w:hAnsiTheme="majorHAnsi" w:cstheme="majorHAnsi"/>
          <w:sz w:val="24"/>
          <w:szCs w:val="24"/>
          <w:highlight w:val="yellow"/>
        </w:rPr>
      </w:pPr>
    </w:p>
    <w:p w14:paraId="73E3890C">
      <w:pPr>
        <w:pStyle w:val="26"/>
        <w:numPr>
          <w:ilvl w:val="2"/>
          <w:numId w:val="2"/>
        </w:numPr>
        <w:tabs>
          <w:tab w:val="left" w:pos="426"/>
        </w:tabs>
        <w:spacing w:after="0" w:line="240" w:lineRule="auto"/>
        <w:ind w:left="0" w:firstLine="0"/>
        <w:jc w:val="both"/>
        <w:rPr>
          <w:rFonts w:asciiTheme="majorHAnsi" w:hAnsiTheme="majorHAnsi" w:cstheme="majorHAnsi"/>
          <w:sz w:val="24"/>
          <w:szCs w:val="24"/>
          <w:highlight w:val="yellow"/>
        </w:rPr>
      </w:pPr>
      <w:r>
        <w:rPr>
          <w:rFonts w:asciiTheme="majorHAnsi" w:hAnsiTheme="majorHAnsi" w:cstheme="majorHAnsi"/>
          <w:sz w:val="24"/>
          <w:szCs w:val="24"/>
          <w:highlight w:val="yellow"/>
        </w:rPr>
        <w:t xml:space="preserve">Press the </w:t>
      </w:r>
      <w:r>
        <w:rPr>
          <w:rFonts w:asciiTheme="majorHAnsi" w:hAnsiTheme="majorHAnsi" w:cstheme="majorHAnsi"/>
          <w:b/>
          <w:bCs/>
          <w:sz w:val="24"/>
          <w:szCs w:val="24"/>
          <w:highlight w:val="yellow"/>
        </w:rPr>
        <w:t>Probe</w:t>
      </w:r>
      <w:r>
        <w:rPr>
          <w:rFonts w:asciiTheme="majorHAnsi" w:hAnsiTheme="majorHAnsi" w:cstheme="majorHAnsi"/>
          <w:sz w:val="24"/>
          <w:szCs w:val="24"/>
          <w:highlight w:val="yellow"/>
        </w:rPr>
        <w:t xml:space="preserve"> button and select the </w:t>
      </w:r>
      <w:r>
        <w:rPr>
          <w:rFonts w:asciiTheme="majorHAnsi" w:hAnsiTheme="majorHAnsi" w:cstheme="majorHAnsi"/>
          <w:b/>
          <w:bCs/>
          <w:sz w:val="24"/>
          <w:szCs w:val="24"/>
          <w:highlight w:val="yellow"/>
        </w:rPr>
        <w:t>L15-4 linear array transducer</w:t>
      </w:r>
      <w:r>
        <w:rPr>
          <w:rFonts w:asciiTheme="majorHAnsi" w:hAnsiTheme="majorHAnsi" w:cstheme="majorHAnsi"/>
          <w:sz w:val="24"/>
          <w:szCs w:val="24"/>
          <w:highlight w:val="yellow"/>
        </w:rPr>
        <w:t>.</w:t>
      </w:r>
    </w:p>
    <w:p w14:paraId="16842AE1">
      <w:pPr>
        <w:tabs>
          <w:tab w:val="left" w:pos="426"/>
        </w:tabs>
        <w:rPr>
          <w:rFonts w:asciiTheme="majorHAnsi" w:hAnsiTheme="majorHAnsi" w:cstheme="majorHAnsi"/>
          <w:highlight w:val="yellow"/>
        </w:rPr>
      </w:pPr>
    </w:p>
    <w:p w14:paraId="73E3890D">
      <w:pPr>
        <w:pStyle w:val="26"/>
        <w:numPr>
          <w:ilvl w:val="2"/>
          <w:numId w:val="2"/>
        </w:numPr>
        <w:tabs>
          <w:tab w:val="left" w:pos="426"/>
        </w:tabs>
        <w:spacing w:after="0" w:line="240" w:lineRule="auto"/>
        <w:ind w:left="0" w:firstLine="0"/>
        <w:jc w:val="both"/>
        <w:rPr>
          <w:rFonts w:asciiTheme="majorHAnsi" w:hAnsiTheme="majorHAnsi" w:cstheme="majorHAnsi"/>
          <w:sz w:val="24"/>
          <w:szCs w:val="24"/>
          <w:highlight w:val="yellow"/>
        </w:rPr>
      </w:pPr>
      <w:r>
        <w:rPr>
          <w:rFonts w:asciiTheme="majorHAnsi" w:hAnsiTheme="majorHAnsi" w:cstheme="majorHAnsi"/>
          <w:sz w:val="24"/>
          <w:szCs w:val="24"/>
          <w:highlight w:val="yellow"/>
        </w:rPr>
        <w:t xml:space="preserve">Press the </w:t>
      </w:r>
      <w:r>
        <w:rPr>
          <w:rFonts w:asciiTheme="majorHAnsi" w:hAnsiTheme="majorHAnsi" w:cstheme="majorHAnsi"/>
          <w:b/>
          <w:bCs/>
          <w:sz w:val="24"/>
          <w:szCs w:val="24"/>
          <w:highlight w:val="yellow"/>
        </w:rPr>
        <w:t>Patient</w:t>
      </w:r>
      <w:r>
        <w:rPr>
          <w:rFonts w:asciiTheme="majorHAnsi" w:hAnsiTheme="majorHAnsi" w:cstheme="majorHAnsi"/>
          <w:sz w:val="24"/>
          <w:szCs w:val="24"/>
          <w:highlight w:val="yellow"/>
        </w:rPr>
        <w:t xml:space="preserve"> button and enter the patient’s </w:t>
      </w:r>
      <w:r>
        <w:rPr>
          <w:rFonts w:asciiTheme="majorHAnsi" w:hAnsiTheme="majorHAnsi" w:cstheme="majorHAnsi"/>
          <w:b/>
          <w:bCs/>
          <w:sz w:val="24"/>
          <w:szCs w:val="24"/>
          <w:highlight w:val="yellow"/>
        </w:rPr>
        <w:t>name</w:t>
      </w:r>
      <w:r>
        <w:rPr>
          <w:rFonts w:asciiTheme="majorHAnsi" w:hAnsiTheme="majorHAnsi" w:cstheme="majorHAnsi"/>
          <w:sz w:val="24"/>
          <w:szCs w:val="24"/>
          <w:highlight w:val="yellow"/>
        </w:rPr>
        <w:t>.</w:t>
      </w:r>
    </w:p>
    <w:p w14:paraId="31FFFF65">
      <w:pPr>
        <w:tabs>
          <w:tab w:val="left" w:pos="426"/>
        </w:tabs>
        <w:rPr>
          <w:rFonts w:asciiTheme="majorHAnsi" w:hAnsiTheme="majorHAnsi" w:cstheme="majorHAnsi"/>
          <w:highlight w:val="yellow"/>
        </w:rPr>
      </w:pPr>
    </w:p>
    <w:p w14:paraId="73E3890E">
      <w:pPr>
        <w:pStyle w:val="26"/>
        <w:numPr>
          <w:ilvl w:val="2"/>
          <w:numId w:val="2"/>
        </w:numPr>
        <w:tabs>
          <w:tab w:val="left" w:pos="426"/>
        </w:tabs>
        <w:spacing w:after="0" w:line="240" w:lineRule="auto"/>
        <w:ind w:left="0" w:firstLine="0"/>
        <w:jc w:val="both"/>
        <w:rPr>
          <w:rFonts w:asciiTheme="majorHAnsi" w:hAnsiTheme="majorHAnsi" w:cstheme="majorHAnsi"/>
          <w:sz w:val="24"/>
          <w:szCs w:val="24"/>
          <w:highlight w:val="yellow"/>
        </w:rPr>
      </w:pPr>
      <w:r>
        <w:rPr>
          <w:rFonts w:asciiTheme="majorHAnsi" w:hAnsiTheme="majorHAnsi" w:cstheme="majorHAnsi"/>
          <w:sz w:val="24"/>
          <w:szCs w:val="24"/>
          <w:highlight w:val="yellow"/>
        </w:rPr>
        <w:t xml:space="preserve">Select the </w:t>
      </w:r>
      <w:r>
        <w:rPr>
          <w:rFonts w:asciiTheme="majorHAnsi" w:hAnsiTheme="majorHAnsi" w:cstheme="majorHAnsi"/>
          <w:b/>
          <w:bCs/>
          <w:sz w:val="24"/>
          <w:szCs w:val="24"/>
          <w:highlight w:val="yellow"/>
        </w:rPr>
        <w:t>color Doppler mode</w:t>
      </w:r>
      <w:r>
        <w:rPr>
          <w:rFonts w:asciiTheme="majorHAnsi" w:hAnsiTheme="majorHAnsi" w:cstheme="majorHAnsi"/>
          <w:sz w:val="24"/>
          <w:szCs w:val="24"/>
          <w:highlight w:val="yellow"/>
        </w:rPr>
        <w:t xml:space="preserve">. </w:t>
      </w:r>
    </w:p>
    <w:p w14:paraId="43214869">
      <w:pPr>
        <w:tabs>
          <w:tab w:val="left" w:pos="426"/>
        </w:tabs>
        <w:rPr>
          <w:rFonts w:asciiTheme="majorHAnsi" w:hAnsiTheme="majorHAnsi" w:cstheme="majorHAnsi"/>
          <w:highlight w:val="yellow"/>
        </w:rPr>
      </w:pPr>
    </w:p>
    <w:p w14:paraId="73E3890F">
      <w:pPr>
        <w:pStyle w:val="26"/>
        <w:numPr>
          <w:ilvl w:val="2"/>
          <w:numId w:val="2"/>
        </w:numPr>
        <w:tabs>
          <w:tab w:val="left" w:pos="426"/>
        </w:tabs>
        <w:spacing w:after="0" w:line="240" w:lineRule="auto"/>
        <w:ind w:left="0" w:firstLine="0"/>
        <w:jc w:val="both"/>
        <w:rPr>
          <w:rFonts w:asciiTheme="majorHAnsi" w:hAnsiTheme="majorHAnsi" w:cstheme="majorHAnsi"/>
          <w:sz w:val="24"/>
          <w:szCs w:val="24"/>
          <w:highlight w:val="yellow"/>
        </w:rPr>
      </w:pPr>
      <w:r>
        <w:rPr>
          <w:rFonts w:asciiTheme="majorHAnsi" w:hAnsiTheme="majorHAnsi" w:cstheme="majorHAnsi"/>
          <w:sz w:val="24"/>
          <w:szCs w:val="24"/>
          <w:highlight w:val="yellow"/>
        </w:rPr>
        <w:t>Localize the acupoints on one side of the face in the following order: Xiaguan (ST7), Yifeng (TE17), and the Inferior Jiache Point.</w:t>
      </w:r>
    </w:p>
    <w:p w14:paraId="219683B2">
      <w:pPr>
        <w:tabs>
          <w:tab w:val="left" w:pos="426"/>
        </w:tabs>
        <w:rPr>
          <w:rFonts w:asciiTheme="majorHAnsi" w:hAnsiTheme="majorHAnsi" w:cstheme="majorHAnsi"/>
          <w:highlight w:val="yellow"/>
        </w:rPr>
      </w:pPr>
    </w:p>
    <w:p w14:paraId="73E38910">
      <w:pPr>
        <w:pStyle w:val="26"/>
        <w:numPr>
          <w:ilvl w:val="2"/>
          <w:numId w:val="2"/>
        </w:numPr>
        <w:tabs>
          <w:tab w:val="left" w:pos="426"/>
        </w:tabs>
        <w:spacing w:after="0" w:line="240" w:lineRule="auto"/>
        <w:ind w:left="0" w:firstLine="0"/>
        <w:jc w:val="both"/>
        <w:rPr>
          <w:rFonts w:asciiTheme="majorHAnsi" w:hAnsiTheme="majorHAnsi" w:cstheme="majorHAnsi"/>
          <w:sz w:val="24"/>
          <w:szCs w:val="24"/>
          <w:highlight w:val="yellow"/>
        </w:rPr>
      </w:pPr>
      <w:r>
        <w:rPr>
          <w:rFonts w:asciiTheme="majorHAnsi" w:hAnsiTheme="majorHAnsi" w:cstheme="majorHAnsi"/>
          <w:sz w:val="24"/>
          <w:szCs w:val="24"/>
          <w:highlight w:val="yellow"/>
        </w:rPr>
        <w:t>Place the ultrasound transducer transversely with the probe marker positioned at Xiaguan (ST7). Move the ultrasound transducer horizontally to identify the local vascular course under ultrasound imaging.</w:t>
      </w:r>
    </w:p>
    <w:p w14:paraId="42D0EE40">
      <w:pPr>
        <w:tabs>
          <w:tab w:val="left" w:pos="426"/>
        </w:tabs>
        <w:rPr>
          <w:rFonts w:eastAsia="宋体" w:asciiTheme="majorHAnsi" w:hAnsiTheme="majorHAnsi" w:cstheme="majorHAnsi"/>
          <w:highlight w:val="yellow"/>
          <w:lang w:eastAsia="zh-CN"/>
        </w:rPr>
      </w:pPr>
    </w:p>
    <w:p w14:paraId="73E38911">
      <w:pPr>
        <w:tabs>
          <w:tab w:val="left" w:pos="426"/>
        </w:tabs>
        <w:rPr>
          <w:rFonts w:eastAsia="宋体" w:asciiTheme="majorHAnsi" w:hAnsiTheme="majorHAnsi" w:cstheme="majorHAnsi"/>
          <w:highlight w:val="yellow"/>
          <w:lang w:eastAsia="zh-CN"/>
        </w:rPr>
      </w:pPr>
      <w:bookmarkStart w:id="1" w:name="_GoBack"/>
      <w:r>
        <w:rPr>
          <w:rFonts w:eastAsia="宋体" w:asciiTheme="majorHAnsi" w:hAnsiTheme="majorHAnsi" w:cstheme="majorHAnsi"/>
          <w:highlight w:val="yellow"/>
          <w:lang w:eastAsia="zh-CN"/>
        </w:rPr>
        <w:t>NOTE</w:t>
      </w:r>
      <w:r>
        <w:rPr>
          <w:rFonts w:eastAsia="宋体" w:asciiTheme="majorHAnsi" w:hAnsiTheme="majorHAnsi" w:cstheme="majorHAnsi"/>
          <w:highlight w:val="yellow"/>
          <w:lang w:val="en-IN" w:eastAsia="zh-CN"/>
        </w:rPr>
        <w:t xml:space="preserve">: </w:t>
      </w:r>
      <w:r>
        <w:rPr>
          <w:rFonts w:asciiTheme="majorHAnsi" w:hAnsiTheme="majorHAnsi" w:cstheme="majorHAnsi"/>
          <w:highlight w:val="yellow"/>
        </w:rPr>
        <w:t>The following structures are visualized: skin, subcutaneous tissue, parotid gland (visible in some patients), and masseter muscle (</w:t>
      </w:r>
      <w:r>
        <w:rPr>
          <w:rFonts w:asciiTheme="majorHAnsi" w:hAnsiTheme="majorHAnsi" w:cstheme="majorHAnsi"/>
          <w:b/>
          <w:bCs/>
          <w:highlight w:val="yellow"/>
        </w:rPr>
        <w:t>Figure</w:t>
      </w:r>
      <w:r>
        <w:rPr>
          <w:rFonts w:eastAsia="宋体" w:asciiTheme="majorHAnsi" w:hAnsiTheme="majorHAnsi" w:cstheme="majorHAnsi"/>
          <w:b/>
          <w:bCs/>
          <w:highlight w:val="yellow"/>
          <w:lang w:eastAsia="zh-CN"/>
        </w:rPr>
        <w:t xml:space="preserve"> 3A,B</w:t>
      </w:r>
      <w:r>
        <w:rPr>
          <w:rFonts w:asciiTheme="majorHAnsi" w:hAnsiTheme="majorHAnsi" w:cstheme="majorHAnsi"/>
          <w:highlight w:val="yellow"/>
        </w:rPr>
        <w:t>)</w:t>
      </w:r>
      <w:r>
        <w:rPr>
          <w:rFonts w:eastAsia="宋体" w:asciiTheme="majorHAnsi" w:hAnsiTheme="majorHAnsi" w:cstheme="majorHAnsi"/>
          <w:highlight w:val="yellow"/>
          <w:lang w:eastAsia="zh-CN"/>
        </w:rPr>
        <w:t>.</w:t>
      </w:r>
    </w:p>
    <w:p w14:paraId="7BC8C7C5">
      <w:pPr>
        <w:tabs>
          <w:tab w:val="left" w:pos="426"/>
        </w:tabs>
        <w:rPr>
          <w:rFonts w:asciiTheme="majorHAnsi" w:hAnsiTheme="majorHAnsi" w:cstheme="majorHAnsi"/>
          <w:highlight w:val="yellow"/>
        </w:rPr>
      </w:pPr>
    </w:p>
    <w:p w14:paraId="73E38916">
      <w:pPr>
        <w:pStyle w:val="26"/>
        <w:numPr>
          <w:ilvl w:val="2"/>
          <w:numId w:val="2"/>
        </w:numPr>
        <w:tabs>
          <w:tab w:val="left" w:pos="426"/>
        </w:tabs>
        <w:spacing w:after="0" w:line="240" w:lineRule="auto"/>
        <w:ind w:left="0" w:firstLine="0"/>
        <w:jc w:val="both"/>
        <w:rPr>
          <w:rFonts w:asciiTheme="majorHAnsi" w:hAnsiTheme="majorHAnsi" w:cstheme="majorHAnsi"/>
          <w:sz w:val="24"/>
          <w:szCs w:val="24"/>
          <w:highlight w:val="yellow"/>
        </w:rPr>
      </w:pPr>
      <w:r>
        <w:rPr>
          <w:rFonts w:asciiTheme="majorHAnsi" w:hAnsiTheme="majorHAnsi" w:cstheme="majorHAnsi"/>
          <w:sz w:val="24"/>
          <w:szCs w:val="24"/>
          <w:highlight w:val="yellow"/>
        </w:rPr>
        <w:t xml:space="preserve">Define the needle insertion points on the skin surface at Xiaguan (ST7) and 0.5 cm lateral to it on both sides horizontally. To target the masseter muscle layer, select an appropriate needling depth while avoiding blood vessels. Press the </w:t>
      </w:r>
      <w:r>
        <w:rPr>
          <w:rFonts w:asciiTheme="majorHAnsi" w:hAnsiTheme="majorHAnsi" w:cstheme="majorHAnsi"/>
          <w:b/>
          <w:bCs/>
          <w:sz w:val="24"/>
          <w:szCs w:val="24"/>
          <w:highlight w:val="yellow"/>
        </w:rPr>
        <w:t xml:space="preserve">measurement </w:t>
      </w:r>
      <w:r>
        <w:rPr>
          <w:rFonts w:asciiTheme="majorHAnsi" w:hAnsiTheme="majorHAnsi" w:cstheme="majorHAnsi"/>
          <w:sz w:val="24"/>
          <w:szCs w:val="24"/>
          <w:highlight w:val="yellow"/>
        </w:rPr>
        <w:t xml:space="preserve">button to measure the needling depth range. Mark the superficial needle insertion point on the skin and record the </w:t>
      </w:r>
      <w:r>
        <w:rPr>
          <w:rFonts w:asciiTheme="majorHAnsi" w:hAnsiTheme="majorHAnsi" w:cstheme="majorHAnsi"/>
          <w:b/>
          <w:bCs/>
          <w:sz w:val="24"/>
          <w:szCs w:val="24"/>
          <w:highlight w:val="yellow"/>
        </w:rPr>
        <w:t>needling depth</w:t>
      </w:r>
      <w:r>
        <w:rPr>
          <w:rFonts w:asciiTheme="majorHAnsi" w:hAnsiTheme="majorHAnsi" w:cstheme="majorHAnsi"/>
          <w:sz w:val="24"/>
          <w:szCs w:val="24"/>
          <w:highlight w:val="yellow"/>
        </w:rPr>
        <w:t>.</w:t>
      </w:r>
    </w:p>
    <w:p w14:paraId="69617D47">
      <w:pPr>
        <w:tabs>
          <w:tab w:val="left" w:pos="426"/>
        </w:tabs>
        <w:rPr>
          <w:rFonts w:asciiTheme="majorHAnsi" w:hAnsiTheme="majorHAnsi" w:cstheme="majorHAnsi"/>
          <w:highlight w:val="yellow"/>
        </w:rPr>
      </w:pPr>
    </w:p>
    <w:p w14:paraId="73E38917">
      <w:pPr>
        <w:pStyle w:val="26"/>
        <w:numPr>
          <w:ilvl w:val="2"/>
          <w:numId w:val="2"/>
        </w:numPr>
        <w:tabs>
          <w:tab w:val="left" w:pos="426"/>
        </w:tabs>
        <w:spacing w:after="0" w:line="240" w:lineRule="auto"/>
        <w:ind w:left="0" w:firstLine="0"/>
        <w:jc w:val="both"/>
        <w:rPr>
          <w:rFonts w:eastAsia="宋体" w:asciiTheme="majorHAnsi" w:hAnsiTheme="majorHAnsi" w:cstheme="majorHAnsi"/>
          <w:sz w:val="24"/>
          <w:szCs w:val="24"/>
          <w:highlight w:val="yellow"/>
          <w:lang w:eastAsia="zh-CN"/>
        </w:rPr>
      </w:pPr>
      <w:r>
        <w:rPr>
          <w:rFonts w:eastAsia="宋体" w:asciiTheme="majorHAnsi" w:hAnsiTheme="majorHAnsi" w:cstheme="majorHAnsi"/>
          <w:sz w:val="24"/>
          <w:szCs w:val="24"/>
          <w:highlight w:val="yellow"/>
          <w:lang w:eastAsia="zh-CN"/>
        </w:rPr>
        <w:t>Place the ultrasound transducer longitudinally with the probe marker positioned at Yifeng (TE17). Move the ultrasound transducer vertically to identify the local vascular course under ultrasound imaging.</w:t>
      </w:r>
    </w:p>
    <w:p w14:paraId="15A11491">
      <w:pPr>
        <w:tabs>
          <w:tab w:val="left" w:pos="426"/>
        </w:tabs>
        <w:rPr>
          <w:rFonts w:eastAsia="宋体" w:asciiTheme="majorHAnsi" w:hAnsiTheme="majorHAnsi" w:cstheme="majorHAnsi"/>
          <w:highlight w:val="yellow"/>
          <w:lang w:eastAsia="zh-CN"/>
        </w:rPr>
      </w:pPr>
    </w:p>
    <w:p w14:paraId="73E38918">
      <w:pPr>
        <w:tabs>
          <w:tab w:val="left" w:pos="426"/>
        </w:tabs>
        <w:rPr>
          <w:rFonts w:eastAsia="宋体" w:asciiTheme="majorHAnsi" w:hAnsiTheme="majorHAnsi" w:cstheme="majorHAnsi"/>
          <w:highlight w:val="yellow"/>
          <w:lang w:eastAsia="zh-CN"/>
        </w:rPr>
      </w:pPr>
      <w:r>
        <w:rPr>
          <w:rFonts w:eastAsia="宋体" w:asciiTheme="majorHAnsi" w:hAnsiTheme="majorHAnsi" w:cstheme="majorHAnsi"/>
          <w:highlight w:val="yellow"/>
          <w:lang w:eastAsia="zh-CN"/>
        </w:rPr>
        <w:t xml:space="preserve">NOTE: The following structures are visualized: skin, subcutaneous tissue, and parotid gland </w:t>
      </w:r>
      <w:r>
        <w:rPr>
          <w:rFonts w:asciiTheme="majorHAnsi" w:hAnsiTheme="majorHAnsi" w:cstheme="majorHAnsi"/>
          <w:highlight w:val="yellow"/>
        </w:rPr>
        <w:t>(</w:t>
      </w:r>
      <w:r>
        <w:rPr>
          <w:rFonts w:asciiTheme="majorHAnsi" w:hAnsiTheme="majorHAnsi" w:cstheme="majorHAnsi"/>
          <w:b/>
          <w:bCs/>
          <w:highlight w:val="yellow"/>
        </w:rPr>
        <w:t xml:space="preserve">Figure </w:t>
      </w:r>
      <w:r>
        <w:rPr>
          <w:rFonts w:eastAsia="宋体" w:asciiTheme="majorHAnsi" w:hAnsiTheme="majorHAnsi" w:cstheme="majorHAnsi"/>
          <w:b/>
          <w:bCs/>
          <w:highlight w:val="yellow"/>
          <w:lang w:eastAsia="zh-CN"/>
        </w:rPr>
        <w:t>3C,D</w:t>
      </w:r>
      <w:r>
        <w:rPr>
          <w:rFonts w:asciiTheme="majorHAnsi" w:hAnsiTheme="majorHAnsi" w:cstheme="majorHAnsi"/>
          <w:highlight w:val="yellow"/>
        </w:rPr>
        <w:t>)</w:t>
      </w:r>
      <w:r>
        <w:rPr>
          <w:rFonts w:eastAsia="宋体" w:asciiTheme="majorHAnsi" w:hAnsiTheme="majorHAnsi" w:cstheme="majorHAnsi"/>
          <w:highlight w:val="yellow"/>
          <w:lang w:eastAsia="zh-CN"/>
        </w:rPr>
        <w:t>.</w:t>
      </w:r>
    </w:p>
    <w:p w14:paraId="73E38919">
      <w:pPr>
        <w:tabs>
          <w:tab w:val="left" w:pos="426"/>
        </w:tabs>
        <w:rPr>
          <w:rFonts w:eastAsia="宋体" w:asciiTheme="majorHAnsi" w:hAnsiTheme="majorHAnsi" w:cstheme="majorHAnsi"/>
          <w:highlight w:val="yellow"/>
          <w:lang w:eastAsia="zh-CN"/>
        </w:rPr>
      </w:pPr>
    </w:p>
    <w:p w14:paraId="7D0ECA3B">
      <w:pPr>
        <w:pStyle w:val="26"/>
        <w:numPr>
          <w:ilvl w:val="2"/>
          <w:numId w:val="2"/>
        </w:numPr>
        <w:tabs>
          <w:tab w:val="left" w:pos="426"/>
        </w:tabs>
        <w:spacing w:after="0" w:line="240" w:lineRule="auto"/>
        <w:ind w:left="0" w:firstLine="0"/>
        <w:jc w:val="both"/>
        <w:rPr>
          <w:rFonts w:eastAsia="宋体" w:asciiTheme="majorHAnsi" w:hAnsiTheme="majorHAnsi" w:cstheme="majorHAnsi"/>
          <w:sz w:val="24"/>
          <w:szCs w:val="24"/>
          <w:highlight w:val="yellow"/>
          <w:lang w:eastAsia="zh-CN"/>
        </w:rPr>
      </w:pPr>
      <w:r>
        <w:rPr>
          <w:rFonts w:eastAsia="宋体" w:asciiTheme="majorHAnsi" w:hAnsiTheme="majorHAnsi" w:cstheme="majorHAnsi"/>
          <w:sz w:val="24"/>
          <w:szCs w:val="24"/>
          <w:highlight w:val="yellow"/>
          <w:lang w:eastAsia="zh-CN"/>
        </w:rPr>
        <w:t xml:space="preserve">Define the needle insertion points on the skin surface at Yifeng (TE17) and 0.5 cm superior and inferior to it vertically. To target the parotid gland layer, select an appropriate needling depth while avoiding blood vessels. Press the </w:t>
      </w:r>
      <w:r>
        <w:rPr>
          <w:rFonts w:eastAsia="宋体" w:asciiTheme="majorHAnsi" w:hAnsiTheme="majorHAnsi" w:cstheme="majorHAnsi"/>
          <w:b/>
          <w:bCs/>
          <w:sz w:val="24"/>
          <w:szCs w:val="24"/>
          <w:highlight w:val="yellow"/>
          <w:lang w:eastAsia="zh-CN"/>
        </w:rPr>
        <w:t>measurement</w:t>
      </w:r>
      <w:r>
        <w:rPr>
          <w:rFonts w:eastAsia="宋体" w:asciiTheme="majorHAnsi" w:hAnsiTheme="majorHAnsi" w:cstheme="majorHAnsi"/>
          <w:sz w:val="24"/>
          <w:szCs w:val="24"/>
          <w:highlight w:val="yellow"/>
          <w:lang w:eastAsia="zh-CN"/>
        </w:rPr>
        <w:t xml:space="preserve"> button to measure the needling depth range. Mark the superficial needle insertion point on the skin and record the </w:t>
      </w:r>
      <w:r>
        <w:rPr>
          <w:rFonts w:eastAsia="宋体" w:asciiTheme="majorHAnsi" w:hAnsiTheme="majorHAnsi" w:cstheme="majorHAnsi"/>
          <w:b/>
          <w:bCs/>
          <w:sz w:val="24"/>
          <w:szCs w:val="24"/>
          <w:highlight w:val="yellow"/>
          <w:lang w:eastAsia="zh-CN"/>
        </w:rPr>
        <w:t>needling dept</w:t>
      </w:r>
      <w:r>
        <w:rPr>
          <w:rFonts w:eastAsia="宋体" w:asciiTheme="majorHAnsi" w:hAnsiTheme="majorHAnsi" w:cstheme="majorHAnsi"/>
          <w:sz w:val="24"/>
          <w:szCs w:val="24"/>
          <w:highlight w:val="yellow"/>
          <w:lang w:eastAsia="zh-CN"/>
        </w:rPr>
        <w:t xml:space="preserve">h. </w:t>
      </w:r>
    </w:p>
    <w:p w14:paraId="1EBF9370">
      <w:pPr>
        <w:pStyle w:val="26"/>
        <w:tabs>
          <w:tab w:val="left" w:pos="426"/>
        </w:tabs>
        <w:spacing w:after="0" w:line="240" w:lineRule="auto"/>
        <w:ind w:left="0"/>
        <w:jc w:val="both"/>
        <w:rPr>
          <w:rFonts w:eastAsia="宋体" w:asciiTheme="majorHAnsi" w:hAnsiTheme="majorHAnsi" w:cstheme="majorHAnsi"/>
          <w:sz w:val="24"/>
          <w:szCs w:val="24"/>
          <w:highlight w:val="yellow"/>
          <w:lang w:eastAsia="zh-CN"/>
        </w:rPr>
      </w:pPr>
    </w:p>
    <w:p w14:paraId="1A3F6E9F">
      <w:pPr>
        <w:pStyle w:val="26"/>
        <w:numPr>
          <w:ilvl w:val="2"/>
          <w:numId w:val="2"/>
        </w:numPr>
        <w:tabs>
          <w:tab w:val="left" w:pos="426"/>
        </w:tabs>
        <w:spacing w:after="0" w:line="240" w:lineRule="auto"/>
        <w:ind w:left="0" w:firstLine="0"/>
        <w:jc w:val="both"/>
        <w:rPr>
          <w:rFonts w:eastAsia="宋体" w:asciiTheme="majorHAnsi" w:hAnsiTheme="majorHAnsi" w:cstheme="majorHAnsi"/>
          <w:sz w:val="24"/>
          <w:szCs w:val="24"/>
          <w:highlight w:val="yellow"/>
          <w:lang w:eastAsia="zh-CN"/>
        </w:rPr>
      </w:pPr>
      <w:r>
        <w:rPr>
          <w:rFonts w:eastAsia="宋体" w:asciiTheme="majorHAnsi" w:hAnsiTheme="majorHAnsi" w:cstheme="majorHAnsi"/>
          <w:sz w:val="24"/>
          <w:szCs w:val="24"/>
          <w:highlight w:val="yellow"/>
          <w:lang w:eastAsia="zh-CN"/>
        </w:rPr>
        <w:t xml:space="preserve">Localize the Inferior Jiache Point and the surrounding needling points. Place the ultrasound transducer transversely with the probe marker positioned at the Inferior Jiache Point. </w:t>
      </w:r>
      <w:r>
        <w:rPr>
          <w:rFonts w:asciiTheme="majorHAnsi" w:hAnsiTheme="majorHAnsi" w:cstheme="majorHAnsi"/>
          <w:sz w:val="24"/>
          <w:szCs w:val="24"/>
          <w:highlight w:val="yellow"/>
          <w:lang w:eastAsia="zh-CN"/>
        </w:rPr>
        <w:t>Move the ultrasound transducer horizontally to identify the local vascular course under ultrasound imaging.</w:t>
      </w:r>
    </w:p>
    <w:p w14:paraId="73E3891E">
      <w:pPr>
        <w:tabs>
          <w:tab w:val="left" w:pos="426"/>
        </w:tabs>
        <w:rPr>
          <w:rFonts w:eastAsia="宋体" w:asciiTheme="majorHAnsi" w:hAnsiTheme="majorHAnsi" w:cstheme="majorHAnsi"/>
          <w:highlight w:val="yellow"/>
          <w:lang w:eastAsia="zh-CN"/>
        </w:rPr>
      </w:pPr>
    </w:p>
    <w:p w14:paraId="73E3891F">
      <w:pPr>
        <w:tabs>
          <w:tab w:val="left" w:pos="426"/>
        </w:tabs>
        <w:rPr>
          <w:rFonts w:eastAsia="宋体" w:asciiTheme="majorHAnsi" w:hAnsiTheme="majorHAnsi" w:cstheme="majorHAnsi"/>
          <w:highlight w:val="yellow"/>
          <w:lang w:eastAsia="zh-CN"/>
        </w:rPr>
      </w:pPr>
      <w:r>
        <w:rPr>
          <w:rFonts w:eastAsia="宋体" w:asciiTheme="majorHAnsi" w:hAnsiTheme="majorHAnsi" w:cstheme="majorHAnsi"/>
          <w:highlight w:val="yellow"/>
          <w:lang w:eastAsia="zh-CN"/>
        </w:rPr>
        <w:t xml:space="preserve">NOTE: The following structures are visualized: skin, subcutaneous tissue, and submandibular gland </w:t>
      </w:r>
      <w:r>
        <w:rPr>
          <w:rFonts w:asciiTheme="majorHAnsi" w:hAnsiTheme="majorHAnsi" w:cstheme="majorHAnsi"/>
          <w:highlight w:val="yellow"/>
        </w:rPr>
        <w:t>(</w:t>
      </w:r>
      <w:r>
        <w:rPr>
          <w:rFonts w:asciiTheme="majorHAnsi" w:hAnsiTheme="majorHAnsi" w:cstheme="majorHAnsi"/>
          <w:b/>
          <w:bCs/>
          <w:highlight w:val="yellow"/>
        </w:rPr>
        <w:t>Figure</w:t>
      </w:r>
      <w:r>
        <w:rPr>
          <w:rFonts w:eastAsia="宋体" w:asciiTheme="majorHAnsi" w:hAnsiTheme="majorHAnsi" w:cstheme="majorHAnsi"/>
          <w:b/>
          <w:bCs/>
          <w:highlight w:val="yellow"/>
          <w:lang w:eastAsia="zh-CN"/>
        </w:rPr>
        <w:t xml:space="preserve"> 3E,F</w:t>
      </w:r>
      <w:r>
        <w:rPr>
          <w:rFonts w:asciiTheme="majorHAnsi" w:hAnsiTheme="majorHAnsi" w:cstheme="majorHAnsi"/>
          <w:highlight w:val="yellow"/>
        </w:rPr>
        <w:t>)</w:t>
      </w:r>
      <w:r>
        <w:rPr>
          <w:rFonts w:eastAsia="宋体" w:asciiTheme="majorHAnsi" w:hAnsiTheme="majorHAnsi" w:cstheme="majorHAnsi"/>
          <w:highlight w:val="yellow"/>
          <w:lang w:eastAsia="zh-CN"/>
        </w:rPr>
        <w:t>.</w:t>
      </w:r>
    </w:p>
    <w:p w14:paraId="4BD440C2">
      <w:pPr>
        <w:tabs>
          <w:tab w:val="left" w:pos="426"/>
        </w:tabs>
        <w:rPr>
          <w:rFonts w:eastAsia="宋体" w:asciiTheme="majorHAnsi" w:hAnsiTheme="majorHAnsi" w:cstheme="majorHAnsi"/>
          <w:highlight w:val="yellow"/>
          <w:lang w:eastAsia="zh-CN"/>
        </w:rPr>
      </w:pPr>
    </w:p>
    <w:p w14:paraId="73E38924">
      <w:pPr>
        <w:pStyle w:val="26"/>
        <w:numPr>
          <w:ilvl w:val="2"/>
          <w:numId w:val="2"/>
        </w:numPr>
        <w:tabs>
          <w:tab w:val="left" w:pos="426"/>
        </w:tabs>
        <w:spacing w:after="0" w:line="240" w:lineRule="auto"/>
        <w:ind w:left="0" w:firstLine="0"/>
        <w:jc w:val="both"/>
        <w:rPr>
          <w:rFonts w:asciiTheme="majorHAnsi" w:hAnsiTheme="majorHAnsi" w:cstheme="majorHAnsi"/>
          <w:sz w:val="24"/>
          <w:szCs w:val="24"/>
          <w:highlight w:val="yellow"/>
          <w:lang w:eastAsia="zh-CN"/>
        </w:rPr>
      </w:pPr>
      <w:r>
        <w:rPr>
          <w:rFonts w:asciiTheme="majorHAnsi" w:hAnsiTheme="majorHAnsi" w:cstheme="majorHAnsi"/>
          <w:sz w:val="24"/>
          <w:szCs w:val="24"/>
          <w:highlight w:val="yellow"/>
          <w:lang w:eastAsia="zh-CN"/>
        </w:rPr>
        <w:t xml:space="preserve">Define the needle insertion points on the skin surface at the Inferior Jiache Point and 0.5 cm lateral to it on both sides horizontally. To target the submandibular gland layer, select an appropriate needling depth while avoiding blood vessels. Press the </w:t>
      </w:r>
      <w:r>
        <w:rPr>
          <w:rFonts w:asciiTheme="majorHAnsi" w:hAnsiTheme="majorHAnsi" w:cstheme="majorHAnsi"/>
          <w:b/>
          <w:bCs/>
          <w:sz w:val="24"/>
          <w:szCs w:val="24"/>
          <w:highlight w:val="yellow"/>
          <w:lang w:eastAsia="zh-CN"/>
        </w:rPr>
        <w:t>measurement</w:t>
      </w:r>
      <w:r>
        <w:rPr>
          <w:rFonts w:asciiTheme="majorHAnsi" w:hAnsiTheme="majorHAnsi" w:cstheme="majorHAnsi"/>
          <w:sz w:val="24"/>
          <w:szCs w:val="24"/>
          <w:highlight w:val="yellow"/>
          <w:lang w:eastAsia="zh-CN"/>
        </w:rPr>
        <w:t xml:space="preserve"> button to measure the needling depth range. Mark the superficial needle insertion point on the skin and record the needling depth.</w:t>
      </w:r>
    </w:p>
    <w:p w14:paraId="22DAC4E1">
      <w:pPr>
        <w:pStyle w:val="26"/>
        <w:tabs>
          <w:tab w:val="left" w:pos="426"/>
        </w:tabs>
        <w:spacing w:after="0" w:line="240" w:lineRule="auto"/>
        <w:ind w:left="0"/>
        <w:jc w:val="both"/>
        <w:rPr>
          <w:rFonts w:asciiTheme="majorHAnsi" w:hAnsiTheme="majorHAnsi" w:cstheme="majorHAnsi"/>
          <w:sz w:val="24"/>
          <w:szCs w:val="24"/>
          <w:highlight w:val="yellow"/>
          <w:lang w:eastAsia="zh-CN"/>
        </w:rPr>
      </w:pPr>
    </w:p>
    <w:p w14:paraId="73E38925">
      <w:pPr>
        <w:tabs>
          <w:tab w:val="left" w:pos="426"/>
        </w:tabs>
        <w:rPr>
          <w:rFonts w:eastAsia="宋体" w:asciiTheme="majorHAnsi" w:hAnsiTheme="majorHAnsi" w:cstheme="majorHAnsi"/>
          <w:highlight w:val="yellow"/>
          <w:lang w:eastAsia="zh-CN"/>
        </w:rPr>
      </w:pPr>
      <w:r>
        <w:rPr>
          <w:rFonts w:eastAsia="宋体" w:asciiTheme="majorHAnsi" w:hAnsiTheme="majorHAnsi" w:cstheme="majorHAnsi"/>
          <w:highlight w:val="yellow"/>
          <w:lang w:eastAsia="zh-CN"/>
        </w:rPr>
        <w:t>NOTE: During fire needling, perform the needling procedure directly at the marked points at the predetermined depth, without reliance on ultrasound guidance intraoperatively.</w:t>
      </w:r>
    </w:p>
    <w:p w14:paraId="187E7ED7">
      <w:pPr>
        <w:tabs>
          <w:tab w:val="left" w:pos="426"/>
        </w:tabs>
        <w:rPr>
          <w:rFonts w:eastAsia="宋体" w:asciiTheme="majorHAnsi" w:hAnsiTheme="majorHAnsi" w:cstheme="majorHAnsi"/>
          <w:highlight w:val="yellow"/>
          <w:lang w:eastAsia="zh-CN"/>
        </w:rPr>
      </w:pPr>
    </w:p>
    <w:p w14:paraId="73E38926">
      <w:pPr>
        <w:pStyle w:val="26"/>
        <w:numPr>
          <w:ilvl w:val="2"/>
          <w:numId w:val="2"/>
        </w:numPr>
        <w:tabs>
          <w:tab w:val="left" w:pos="426"/>
        </w:tabs>
        <w:spacing w:after="0" w:line="240" w:lineRule="auto"/>
        <w:ind w:left="0" w:firstLine="0"/>
        <w:jc w:val="both"/>
        <w:rPr>
          <w:rFonts w:eastAsia="宋体" w:asciiTheme="majorHAnsi" w:hAnsiTheme="majorHAnsi" w:cstheme="majorHAnsi"/>
          <w:sz w:val="24"/>
          <w:szCs w:val="24"/>
          <w:highlight w:val="yellow"/>
          <w:lang w:eastAsia="zh-CN"/>
        </w:rPr>
      </w:pPr>
      <w:r>
        <w:rPr>
          <w:rFonts w:eastAsia="宋体" w:asciiTheme="majorHAnsi" w:hAnsiTheme="majorHAnsi" w:cstheme="majorHAnsi"/>
          <w:sz w:val="24"/>
          <w:szCs w:val="24"/>
          <w:highlight w:val="yellow"/>
          <w:lang w:eastAsia="zh-CN"/>
        </w:rPr>
        <w:t>Localize the acupoints on the contralateral side using the same method.</w:t>
      </w:r>
    </w:p>
    <w:p w14:paraId="73E38927">
      <w:pPr>
        <w:tabs>
          <w:tab w:val="left" w:pos="426"/>
        </w:tabs>
        <w:rPr>
          <w:rFonts w:asciiTheme="majorHAnsi" w:hAnsiTheme="majorHAnsi" w:cstheme="majorHAnsi"/>
          <w:highlight w:val="yellow"/>
        </w:rPr>
      </w:pPr>
    </w:p>
    <w:p w14:paraId="73E38928">
      <w:pPr>
        <w:pStyle w:val="26"/>
        <w:numPr>
          <w:ilvl w:val="1"/>
          <w:numId w:val="2"/>
        </w:numPr>
        <w:tabs>
          <w:tab w:val="left" w:pos="426"/>
        </w:tabs>
        <w:spacing w:after="0" w:line="240" w:lineRule="auto"/>
        <w:ind w:left="0" w:firstLine="0"/>
        <w:jc w:val="both"/>
        <w:rPr>
          <w:rFonts w:eastAsia="宋体" w:asciiTheme="majorHAnsi" w:hAnsiTheme="majorHAnsi" w:cstheme="majorHAnsi"/>
          <w:sz w:val="24"/>
          <w:szCs w:val="24"/>
          <w:highlight w:val="yellow"/>
          <w:lang w:eastAsia="zh-CN"/>
        </w:rPr>
      </w:pPr>
      <w:r>
        <w:rPr>
          <w:rFonts w:asciiTheme="majorHAnsi" w:hAnsiTheme="majorHAnsi" w:cstheme="majorHAnsi"/>
          <w:sz w:val="24"/>
          <w:szCs w:val="24"/>
          <w:highlight w:val="yellow"/>
        </w:rPr>
        <w:t>Fire needling procedure</w:t>
      </w:r>
    </w:p>
    <w:p w14:paraId="05B23A2C">
      <w:pPr>
        <w:pStyle w:val="26"/>
        <w:tabs>
          <w:tab w:val="left" w:pos="426"/>
        </w:tabs>
        <w:spacing w:after="0" w:line="240" w:lineRule="auto"/>
        <w:ind w:left="0"/>
        <w:jc w:val="both"/>
        <w:rPr>
          <w:rFonts w:eastAsia="宋体" w:asciiTheme="majorHAnsi" w:hAnsiTheme="majorHAnsi" w:cstheme="majorHAnsi"/>
          <w:sz w:val="24"/>
          <w:szCs w:val="24"/>
          <w:highlight w:val="yellow"/>
          <w:lang w:eastAsia="zh-CN"/>
        </w:rPr>
      </w:pPr>
    </w:p>
    <w:p w14:paraId="73E38929">
      <w:pPr>
        <w:pStyle w:val="26"/>
        <w:numPr>
          <w:ilvl w:val="2"/>
          <w:numId w:val="2"/>
        </w:numPr>
        <w:tabs>
          <w:tab w:val="left" w:pos="426"/>
        </w:tabs>
        <w:spacing w:after="0" w:line="240" w:lineRule="auto"/>
        <w:ind w:left="0" w:firstLine="0"/>
        <w:jc w:val="both"/>
        <w:rPr>
          <w:rFonts w:asciiTheme="majorHAnsi" w:hAnsiTheme="majorHAnsi" w:cstheme="majorHAnsi"/>
          <w:sz w:val="24"/>
          <w:szCs w:val="24"/>
          <w:highlight w:val="yellow"/>
        </w:rPr>
      </w:pPr>
      <w:r>
        <w:rPr>
          <w:rFonts w:asciiTheme="majorHAnsi" w:hAnsiTheme="majorHAnsi" w:cstheme="majorHAnsi"/>
          <w:sz w:val="24"/>
          <w:szCs w:val="24"/>
          <w:highlight w:val="yellow"/>
        </w:rPr>
        <w:t>Perform preoperative disinfection using medical alcohol.</w:t>
      </w:r>
    </w:p>
    <w:p w14:paraId="0C24244A">
      <w:pPr>
        <w:pStyle w:val="26"/>
        <w:tabs>
          <w:tab w:val="left" w:pos="426"/>
        </w:tabs>
        <w:spacing w:after="0" w:line="240" w:lineRule="auto"/>
        <w:ind w:left="0"/>
        <w:jc w:val="both"/>
        <w:rPr>
          <w:rFonts w:asciiTheme="majorHAnsi" w:hAnsiTheme="majorHAnsi" w:cstheme="majorHAnsi"/>
          <w:sz w:val="24"/>
          <w:szCs w:val="24"/>
          <w:highlight w:val="yellow"/>
        </w:rPr>
      </w:pPr>
    </w:p>
    <w:p w14:paraId="73E3892A">
      <w:pPr>
        <w:tabs>
          <w:tab w:val="left" w:pos="426"/>
        </w:tabs>
        <w:rPr>
          <w:rFonts w:asciiTheme="majorHAnsi" w:hAnsiTheme="majorHAnsi" w:cstheme="majorHAnsi"/>
          <w:highlight w:val="yellow"/>
        </w:rPr>
      </w:pPr>
      <w:r>
        <w:rPr>
          <w:rFonts w:asciiTheme="majorHAnsi" w:hAnsiTheme="majorHAnsi" w:cstheme="majorHAnsi"/>
          <w:highlight w:val="yellow"/>
        </w:rPr>
        <w:t>NOTE: Wait until the alcohol has evaporated and the skin is dry before proceeding with the operation.</w:t>
      </w:r>
    </w:p>
    <w:p w14:paraId="60CB4192">
      <w:pPr>
        <w:tabs>
          <w:tab w:val="left" w:pos="426"/>
        </w:tabs>
        <w:rPr>
          <w:rFonts w:asciiTheme="majorHAnsi" w:hAnsiTheme="majorHAnsi" w:cstheme="majorHAnsi"/>
          <w:highlight w:val="yellow"/>
        </w:rPr>
      </w:pPr>
    </w:p>
    <w:p w14:paraId="73E3892C">
      <w:pPr>
        <w:pStyle w:val="26"/>
        <w:numPr>
          <w:ilvl w:val="2"/>
          <w:numId w:val="2"/>
        </w:numPr>
        <w:tabs>
          <w:tab w:val="left" w:pos="426"/>
        </w:tabs>
        <w:spacing w:after="0" w:line="240" w:lineRule="auto"/>
        <w:ind w:left="0" w:firstLine="0"/>
        <w:jc w:val="both"/>
        <w:rPr>
          <w:rFonts w:asciiTheme="majorHAnsi" w:hAnsiTheme="majorHAnsi" w:cstheme="majorHAnsi"/>
          <w:sz w:val="24"/>
          <w:szCs w:val="24"/>
          <w:highlight w:val="yellow"/>
        </w:rPr>
      </w:pPr>
      <w:r>
        <w:rPr>
          <w:rFonts w:asciiTheme="majorHAnsi" w:hAnsiTheme="majorHAnsi" w:cstheme="majorHAnsi"/>
          <w:sz w:val="24"/>
          <w:szCs w:val="24"/>
          <w:highlight w:val="yellow"/>
        </w:rPr>
        <w:t>Perform fire needling on one side of the face and mandible in the following order: Xiaguan (ST7), Yifeng (TE17), and the Inferior Jiache Point.</w:t>
      </w:r>
    </w:p>
    <w:p w14:paraId="28061F9B">
      <w:pPr>
        <w:pStyle w:val="26"/>
        <w:tabs>
          <w:tab w:val="left" w:pos="426"/>
        </w:tabs>
        <w:spacing w:after="0" w:line="240" w:lineRule="auto"/>
        <w:ind w:left="0"/>
        <w:jc w:val="both"/>
        <w:rPr>
          <w:rFonts w:asciiTheme="majorHAnsi" w:hAnsiTheme="majorHAnsi" w:cstheme="majorHAnsi"/>
          <w:sz w:val="24"/>
          <w:szCs w:val="24"/>
          <w:highlight w:val="yellow"/>
        </w:rPr>
      </w:pPr>
    </w:p>
    <w:p w14:paraId="73E3892D">
      <w:pPr>
        <w:pStyle w:val="26"/>
        <w:numPr>
          <w:ilvl w:val="3"/>
          <w:numId w:val="2"/>
        </w:numPr>
        <w:tabs>
          <w:tab w:val="left" w:pos="426"/>
        </w:tabs>
        <w:spacing w:after="0" w:line="240" w:lineRule="auto"/>
        <w:ind w:left="0" w:firstLine="0"/>
        <w:jc w:val="both"/>
        <w:rPr>
          <w:rFonts w:asciiTheme="majorHAnsi" w:hAnsiTheme="majorHAnsi" w:cstheme="majorHAnsi"/>
          <w:sz w:val="24"/>
          <w:szCs w:val="24"/>
          <w:highlight w:val="yellow"/>
        </w:rPr>
      </w:pPr>
      <w:r>
        <w:rPr>
          <w:rFonts w:asciiTheme="majorHAnsi" w:hAnsiTheme="majorHAnsi" w:cstheme="majorHAnsi"/>
          <w:sz w:val="24"/>
          <w:szCs w:val="24"/>
          <w:highlight w:val="yellow"/>
        </w:rPr>
        <w:t>Heat the tip of the fire needle in the outer flame of an alcohol lamp until it glows red to white-hot</w:t>
      </w:r>
      <w:r>
        <w:rPr>
          <w:rFonts w:asciiTheme="majorHAnsi" w:hAnsiTheme="majorHAnsi" w:cstheme="majorHAnsi"/>
          <w:sz w:val="24"/>
          <w:szCs w:val="24"/>
          <w:highlight w:val="yellow"/>
          <w:vertAlign w:val="superscript"/>
        </w:rPr>
        <w:fldChar w:fldCharType="begin"/>
      </w:r>
      <w:r>
        <w:rPr>
          <w:rFonts w:asciiTheme="majorHAnsi" w:hAnsiTheme="majorHAnsi" w:cstheme="majorHAnsi"/>
          <w:sz w:val="24"/>
          <w:szCs w:val="24"/>
          <w:highlight w:val="yellow"/>
          <w:vertAlign w:val="superscript"/>
        </w:rPr>
        <w:instrText xml:space="preserve"> REF _Ref6409 \r \h  \* MERGEFORMAT </w:instrText>
      </w:r>
      <w:r>
        <w:rPr>
          <w:rFonts w:asciiTheme="majorHAnsi" w:hAnsiTheme="majorHAnsi" w:cstheme="majorHAnsi"/>
          <w:sz w:val="24"/>
          <w:szCs w:val="24"/>
          <w:highlight w:val="yellow"/>
          <w:vertAlign w:val="superscript"/>
        </w:rPr>
        <w:fldChar w:fldCharType="separate"/>
      </w:r>
      <w:r>
        <w:rPr>
          <w:rFonts w:asciiTheme="majorHAnsi" w:hAnsiTheme="majorHAnsi" w:cstheme="majorHAnsi"/>
          <w:sz w:val="24"/>
          <w:szCs w:val="24"/>
          <w:highlight w:val="yellow"/>
          <w:vertAlign w:val="superscript"/>
        </w:rPr>
        <w:t>13</w:t>
      </w:r>
      <w:r>
        <w:rPr>
          <w:rFonts w:asciiTheme="majorHAnsi" w:hAnsiTheme="majorHAnsi" w:cstheme="majorHAnsi"/>
          <w:sz w:val="24"/>
          <w:szCs w:val="24"/>
          <w:highlight w:val="yellow"/>
          <w:vertAlign w:val="superscript"/>
        </w:rPr>
        <w:fldChar w:fldCharType="end"/>
      </w:r>
      <w:r>
        <w:rPr>
          <w:rFonts w:asciiTheme="majorHAnsi" w:hAnsiTheme="majorHAnsi" w:cstheme="majorHAnsi"/>
          <w:sz w:val="24"/>
          <w:szCs w:val="24"/>
          <w:highlight w:val="yellow"/>
        </w:rPr>
        <w:t>, then rapidly and perpendicularly insert it into the acupoint and the surrounding needling points to the predetermined depth.</w:t>
      </w:r>
    </w:p>
    <w:p w14:paraId="4A9FC8A1">
      <w:pPr>
        <w:pStyle w:val="26"/>
        <w:tabs>
          <w:tab w:val="left" w:pos="426"/>
        </w:tabs>
        <w:spacing w:after="0" w:line="240" w:lineRule="auto"/>
        <w:ind w:left="0"/>
        <w:jc w:val="both"/>
        <w:rPr>
          <w:rFonts w:asciiTheme="majorHAnsi" w:hAnsiTheme="majorHAnsi" w:cstheme="majorHAnsi"/>
          <w:sz w:val="24"/>
          <w:szCs w:val="24"/>
          <w:highlight w:val="yellow"/>
        </w:rPr>
      </w:pPr>
    </w:p>
    <w:p w14:paraId="73E3892E">
      <w:pPr>
        <w:tabs>
          <w:tab w:val="left" w:pos="426"/>
        </w:tabs>
        <w:rPr>
          <w:rFonts w:asciiTheme="majorHAnsi" w:hAnsiTheme="majorHAnsi" w:cstheme="majorHAnsi"/>
          <w:highlight w:val="yellow"/>
        </w:rPr>
      </w:pPr>
      <w:r>
        <w:rPr>
          <w:rFonts w:asciiTheme="majorHAnsi" w:hAnsiTheme="majorHAnsi" w:cstheme="majorHAnsi"/>
          <w:highlight w:val="yellow"/>
        </w:rPr>
        <w:t>NOTE: Heating the fire needle to white-hot takes approximately 8</w:t>
      </w:r>
      <w:r>
        <w:rPr>
          <w:rFonts w:eastAsia="宋体" w:asciiTheme="majorHAnsi" w:hAnsiTheme="majorHAnsi" w:cstheme="majorHAnsi"/>
          <w:highlight w:val="yellow"/>
          <w:lang w:eastAsia="zh-CN"/>
        </w:rPr>
        <w:t>–</w:t>
      </w:r>
      <w:r>
        <w:rPr>
          <w:rFonts w:asciiTheme="majorHAnsi" w:hAnsiTheme="majorHAnsi" w:cstheme="majorHAnsi"/>
          <w:highlight w:val="yellow"/>
        </w:rPr>
        <w:t xml:space="preserve">10 s, reaching a temperature of approximately 700–800 </w:t>
      </w:r>
      <w:r>
        <w:rPr>
          <w:rFonts w:ascii="Symbol" w:hAnsi="Symbol" w:cstheme="majorHAnsi"/>
          <w:highlight w:val="yellow"/>
        </w:rPr>
        <w:sym w:font="Symbol" w:char="F0B0"/>
      </w:r>
      <w:r>
        <w:rPr>
          <w:rFonts w:asciiTheme="majorHAnsi" w:hAnsiTheme="majorHAnsi" w:cstheme="majorHAnsi"/>
          <w:highlight w:val="yellow"/>
        </w:rPr>
        <w:t>C. The insertion depth of the fire needle should fall within the measured depth range, varying according to the patient’s measurements. If the operator is not proficient in controlling the needling depth, use a fire needling gun.</w:t>
      </w:r>
    </w:p>
    <w:p w14:paraId="23D76BDE">
      <w:pPr>
        <w:tabs>
          <w:tab w:val="left" w:pos="426"/>
        </w:tabs>
        <w:rPr>
          <w:rFonts w:asciiTheme="majorHAnsi" w:hAnsiTheme="majorHAnsi" w:cstheme="majorHAnsi"/>
          <w:highlight w:val="yellow"/>
        </w:rPr>
      </w:pPr>
    </w:p>
    <w:p w14:paraId="73E3892F">
      <w:pPr>
        <w:pStyle w:val="26"/>
        <w:numPr>
          <w:ilvl w:val="3"/>
          <w:numId w:val="2"/>
        </w:numPr>
        <w:tabs>
          <w:tab w:val="left" w:pos="426"/>
        </w:tabs>
        <w:spacing w:after="0" w:line="240" w:lineRule="auto"/>
        <w:ind w:left="0" w:firstLine="0"/>
        <w:jc w:val="both"/>
        <w:rPr>
          <w:rFonts w:asciiTheme="majorHAnsi" w:hAnsiTheme="majorHAnsi" w:cstheme="majorHAnsi"/>
          <w:sz w:val="24"/>
          <w:szCs w:val="24"/>
          <w:highlight w:val="yellow"/>
        </w:rPr>
      </w:pPr>
      <w:r>
        <w:rPr>
          <w:rFonts w:asciiTheme="majorHAnsi" w:hAnsiTheme="majorHAnsi" w:cstheme="majorHAnsi"/>
          <w:sz w:val="24"/>
          <w:szCs w:val="24"/>
          <w:highlight w:val="yellow"/>
        </w:rPr>
        <w:t>After pricking, instruct the assistant to gently press the needle hole with a clean dry cotton ball to prevent infection.</w:t>
      </w:r>
    </w:p>
    <w:p w14:paraId="1C68A809">
      <w:pPr>
        <w:pStyle w:val="26"/>
        <w:tabs>
          <w:tab w:val="left" w:pos="426"/>
        </w:tabs>
        <w:spacing w:after="0" w:line="240" w:lineRule="auto"/>
        <w:ind w:left="0"/>
        <w:jc w:val="both"/>
        <w:rPr>
          <w:rFonts w:asciiTheme="majorHAnsi" w:hAnsiTheme="majorHAnsi" w:cstheme="majorHAnsi"/>
          <w:sz w:val="24"/>
          <w:szCs w:val="24"/>
          <w:highlight w:val="yellow"/>
        </w:rPr>
      </w:pPr>
    </w:p>
    <w:p w14:paraId="73E38930">
      <w:pPr>
        <w:pStyle w:val="26"/>
        <w:numPr>
          <w:ilvl w:val="3"/>
          <w:numId w:val="2"/>
        </w:numPr>
        <w:tabs>
          <w:tab w:val="left" w:pos="426"/>
        </w:tabs>
        <w:spacing w:after="0" w:line="240" w:lineRule="auto"/>
        <w:ind w:left="0" w:firstLine="0"/>
        <w:jc w:val="both"/>
        <w:rPr>
          <w:rFonts w:asciiTheme="majorHAnsi" w:hAnsiTheme="majorHAnsi" w:cstheme="majorHAnsi"/>
          <w:sz w:val="24"/>
          <w:szCs w:val="24"/>
          <w:highlight w:val="yellow"/>
        </w:rPr>
      </w:pPr>
      <w:r>
        <w:rPr>
          <w:rFonts w:asciiTheme="majorHAnsi" w:hAnsiTheme="majorHAnsi" w:cstheme="majorHAnsi"/>
          <w:sz w:val="24"/>
          <w:szCs w:val="24"/>
          <w:highlight w:val="yellow"/>
        </w:rPr>
        <w:t>After completing fire needling on one side, have both operator and assistant move to the contralateral side and needle the opposite side of the face and mandible using the same method.</w:t>
      </w:r>
    </w:p>
    <w:bookmarkEnd w:id="1"/>
    <w:p w14:paraId="7E10A6C0">
      <w:pPr>
        <w:tabs>
          <w:tab w:val="left" w:pos="426"/>
        </w:tabs>
        <w:rPr>
          <w:rFonts w:asciiTheme="majorHAnsi" w:hAnsiTheme="majorHAnsi" w:cstheme="majorHAnsi"/>
        </w:rPr>
      </w:pPr>
    </w:p>
    <w:p w14:paraId="73E38932">
      <w:pPr>
        <w:pStyle w:val="26"/>
        <w:numPr>
          <w:ilvl w:val="2"/>
          <w:numId w:val="2"/>
        </w:numPr>
        <w:tabs>
          <w:tab w:val="left" w:pos="426"/>
        </w:tabs>
        <w:spacing w:after="0" w:line="240" w:lineRule="auto"/>
        <w:ind w:left="0" w:firstLine="0"/>
        <w:jc w:val="both"/>
        <w:rPr>
          <w:rFonts w:eastAsia="宋体" w:asciiTheme="majorHAnsi" w:hAnsiTheme="majorHAnsi" w:cstheme="majorHAnsi"/>
          <w:sz w:val="24"/>
          <w:szCs w:val="24"/>
          <w:lang w:eastAsia="zh-CN"/>
        </w:rPr>
      </w:pPr>
      <w:r>
        <w:rPr>
          <w:rFonts w:eastAsia="宋体" w:asciiTheme="majorHAnsi" w:hAnsiTheme="majorHAnsi" w:cstheme="majorHAnsi"/>
          <w:sz w:val="24"/>
          <w:szCs w:val="24"/>
          <w:lang w:eastAsia="zh-CN"/>
        </w:rPr>
        <w:t>Administer treatment 2x per week, with one course consisting of 7 days, and deliver two courses of treatment. Perform fire needling on days 1 and 4 of each course.</w:t>
      </w:r>
    </w:p>
    <w:p w14:paraId="73E38933">
      <w:pPr>
        <w:tabs>
          <w:tab w:val="left" w:pos="426"/>
        </w:tabs>
        <w:rPr>
          <w:rFonts w:eastAsia="宋体" w:asciiTheme="majorHAnsi" w:hAnsiTheme="majorHAnsi" w:cstheme="majorHAnsi"/>
          <w:lang w:eastAsia="zh-CN"/>
        </w:rPr>
      </w:pPr>
    </w:p>
    <w:p w14:paraId="73E38934">
      <w:pPr>
        <w:pStyle w:val="26"/>
        <w:numPr>
          <w:ilvl w:val="1"/>
          <w:numId w:val="2"/>
        </w:numPr>
        <w:tabs>
          <w:tab w:val="left" w:pos="426"/>
        </w:tabs>
        <w:spacing w:after="0" w:line="240" w:lineRule="auto"/>
        <w:ind w:left="0" w:firstLine="0"/>
        <w:jc w:val="both"/>
        <w:rPr>
          <w:rFonts w:asciiTheme="majorHAnsi" w:hAnsiTheme="majorHAnsi" w:cstheme="majorHAnsi"/>
          <w:sz w:val="24"/>
          <w:szCs w:val="24"/>
        </w:rPr>
      </w:pPr>
      <w:r>
        <w:rPr>
          <w:rFonts w:asciiTheme="majorHAnsi" w:hAnsiTheme="majorHAnsi" w:cstheme="majorHAnsi"/>
          <w:sz w:val="24"/>
          <w:szCs w:val="24"/>
        </w:rPr>
        <w:t>Posttreatment care</w:t>
      </w:r>
    </w:p>
    <w:p w14:paraId="34344D8D">
      <w:pPr>
        <w:pStyle w:val="26"/>
        <w:tabs>
          <w:tab w:val="left" w:pos="426"/>
        </w:tabs>
        <w:spacing w:after="0" w:line="240" w:lineRule="auto"/>
        <w:ind w:left="0"/>
        <w:jc w:val="both"/>
        <w:rPr>
          <w:rFonts w:asciiTheme="majorHAnsi" w:hAnsiTheme="majorHAnsi" w:cstheme="majorHAnsi"/>
          <w:sz w:val="24"/>
          <w:szCs w:val="24"/>
        </w:rPr>
      </w:pPr>
    </w:p>
    <w:p w14:paraId="73E38935">
      <w:pPr>
        <w:pStyle w:val="26"/>
        <w:numPr>
          <w:ilvl w:val="2"/>
          <w:numId w:val="2"/>
        </w:numPr>
        <w:tabs>
          <w:tab w:val="left" w:pos="426"/>
        </w:tabs>
        <w:spacing w:after="0" w:line="240" w:lineRule="auto"/>
        <w:ind w:left="0" w:firstLine="0"/>
        <w:jc w:val="both"/>
        <w:rPr>
          <w:rFonts w:asciiTheme="majorHAnsi" w:hAnsiTheme="majorHAnsi" w:cstheme="majorHAnsi"/>
          <w:sz w:val="24"/>
          <w:szCs w:val="24"/>
        </w:rPr>
      </w:pPr>
      <w:r>
        <w:rPr>
          <w:rFonts w:asciiTheme="majorHAnsi" w:hAnsiTheme="majorHAnsi" w:cstheme="majorHAnsi"/>
          <w:sz w:val="24"/>
          <w:szCs w:val="24"/>
        </w:rPr>
        <w:t>Instruct the patient and their family members to avoid water exposure on the treated area within 24 h after treatment. If cleaning is necessary, gently wipe the surrounding area with a sterile cotton swab dipped in a small amount of normal saline or iodophor.</w:t>
      </w:r>
    </w:p>
    <w:p w14:paraId="592881EE">
      <w:pPr>
        <w:pStyle w:val="26"/>
        <w:tabs>
          <w:tab w:val="left" w:pos="426"/>
        </w:tabs>
        <w:spacing w:after="0" w:line="240" w:lineRule="auto"/>
        <w:ind w:left="0"/>
        <w:jc w:val="both"/>
        <w:rPr>
          <w:rFonts w:asciiTheme="majorHAnsi" w:hAnsiTheme="majorHAnsi" w:cstheme="majorHAnsi"/>
          <w:sz w:val="24"/>
          <w:szCs w:val="24"/>
        </w:rPr>
      </w:pPr>
    </w:p>
    <w:p w14:paraId="73E38936">
      <w:pPr>
        <w:tabs>
          <w:tab w:val="left" w:pos="426"/>
        </w:tabs>
        <w:rPr>
          <w:rFonts w:asciiTheme="majorHAnsi" w:hAnsiTheme="majorHAnsi" w:cstheme="majorHAnsi"/>
        </w:rPr>
      </w:pPr>
      <w:r>
        <w:rPr>
          <w:rFonts w:eastAsia="宋体" w:asciiTheme="majorHAnsi" w:hAnsiTheme="majorHAnsi" w:cstheme="majorHAnsi"/>
          <w:lang w:eastAsia="zh-CN"/>
        </w:rPr>
        <w:t>5.4.</w:t>
      </w:r>
      <w:r>
        <w:rPr>
          <w:rFonts w:asciiTheme="majorHAnsi" w:hAnsiTheme="majorHAnsi" w:cstheme="majorHAnsi"/>
        </w:rPr>
        <w:t>2</w:t>
      </w:r>
      <w:r>
        <w:rPr>
          <w:rFonts w:eastAsia="宋体" w:asciiTheme="majorHAnsi" w:hAnsiTheme="majorHAnsi" w:cstheme="majorHAnsi"/>
          <w:lang w:eastAsia="zh-CN"/>
        </w:rPr>
        <w:t xml:space="preserve">. </w:t>
      </w:r>
      <w:r>
        <w:rPr>
          <w:rFonts w:asciiTheme="majorHAnsi" w:hAnsiTheme="majorHAnsi" w:cstheme="majorHAnsi"/>
        </w:rPr>
        <w:t>Inform the patient and their family members that mild redness, swelling, heat, and pain after treatment are normal phenomena and usually resolve spontaneously within 1</w:t>
      </w:r>
      <w:r>
        <w:rPr>
          <w:rFonts w:eastAsia="宋体" w:asciiTheme="majorHAnsi" w:hAnsiTheme="majorHAnsi" w:cstheme="majorHAnsi"/>
          <w:lang w:eastAsia="zh-CN"/>
        </w:rPr>
        <w:t>–</w:t>
      </w:r>
      <w:r>
        <w:rPr>
          <w:rFonts w:asciiTheme="majorHAnsi" w:hAnsiTheme="majorHAnsi" w:cstheme="majorHAnsi"/>
        </w:rPr>
        <w:t>3 days. Itching may occur during the scabbing process after fire needling; do not scratch the area; allow the scab to fall off naturally.</w:t>
      </w:r>
    </w:p>
    <w:p w14:paraId="7F373FEC">
      <w:pPr>
        <w:tabs>
          <w:tab w:val="left" w:pos="426"/>
        </w:tabs>
        <w:rPr>
          <w:rFonts w:asciiTheme="majorHAnsi" w:hAnsiTheme="majorHAnsi" w:cstheme="majorHAnsi"/>
        </w:rPr>
      </w:pPr>
    </w:p>
    <w:p w14:paraId="73E38937">
      <w:pPr>
        <w:pStyle w:val="26"/>
        <w:numPr>
          <w:ilvl w:val="2"/>
          <w:numId w:val="3"/>
        </w:numPr>
        <w:tabs>
          <w:tab w:val="left" w:pos="426"/>
        </w:tabs>
        <w:spacing w:after="0" w:line="240" w:lineRule="auto"/>
        <w:jc w:val="both"/>
        <w:rPr>
          <w:rFonts w:asciiTheme="majorHAnsi" w:hAnsiTheme="majorHAnsi" w:cstheme="majorHAnsi"/>
          <w:sz w:val="24"/>
          <w:szCs w:val="24"/>
        </w:rPr>
      </w:pPr>
      <w:r>
        <w:rPr>
          <w:rFonts w:asciiTheme="majorHAnsi" w:hAnsiTheme="majorHAnsi" w:cstheme="majorHAnsi"/>
          <w:sz w:val="24"/>
          <w:szCs w:val="24"/>
        </w:rPr>
        <w:t>If any other discomfort occurs, promptly inform the attending physician.</w:t>
      </w:r>
    </w:p>
    <w:p w14:paraId="73E38938">
      <w:pPr>
        <w:tabs>
          <w:tab w:val="left" w:pos="426"/>
        </w:tabs>
        <w:rPr>
          <w:rFonts w:eastAsia="宋体" w:asciiTheme="majorHAnsi" w:hAnsiTheme="majorHAnsi" w:cstheme="majorHAnsi"/>
          <w:b/>
          <w:bCs/>
          <w:lang w:eastAsia="zh-CN"/>
        </w:rPr>
      </w:pPr>
    </w:p>
    <w:p w14:paraId="73E38939">
      <w:pPr>
        <w:pStyle w:val="26"/>
        <w:numPr>
          <w:ilvl w:val="0"/>
          <w:numId w:val="3"/>
        </w:numPr>
        <w:tabs>
          <w:tab w:val="left" w:pos="426"/>
        </w:tabs>
        <w:spacing w:after="0" w:line="240" w:lineRule="auto"/>
        <w:ind w:left="0" w:firstLine="0"/>
        <w:jc w:val="both"/>
        <w:rPr>
          <w:rFonts w:asciiTheme="majorHAnsi" w:hAnsiTheme="majorHAnsi" w:cstheme="majorHAnsi"/>
          <w:b/>
          <w:bCs/>
          <w:sz w:val="24"/>
          <w:szCs w:val="24"/>
        </w:rPr>
      </w:pPr>
      <w:r>
        <w:rPr>
          <w:rFonts w:asciiTheme="majorHAnsi" w:hAnsiTheme="majorHAnsi" w:cstheme="majorHAnsi"/>
          <w:b/>
          <w:bCs/>
          <w:sz w:val="24"/>
          <w:szCs w:val="24"/>
        </w:rPr>
        <w:t>Prevention of adverse events</w:t>
      </w:r>
    </w:p>
    <w:p w14:paraId="73E3893A">
      <w:pPr>
        <w:tabs>
          <w:tab w:val="left" w:pos="426"/>
        </w:tabs>
        <w:rPr>
          <w:rFonts w:asciiTheme="majorHAnsi" w:hAnsiTheme="majorHAnsi" w:cstheme="majorHAnsi"/>
        </w:rPr>
      </w:pPr>
    </w:p>
    <w:p w14:paraId="73E3893B">
      <w:pPr>
        <w:pStyle w:val="26"/>
        <w:numPr>
          <w:ilvl w:val="1"/>
          <w:numId w:val="4"/>
        </w:numPr>
        <w:tabs>
          <w:tab w:val="left" w:pos="426"/>
        </w:tabs>
        <w:spacing w:after="0" w:line="240" w:lineRule="auto"/>
        <w:jc w:val="both"/>
        <w:rPr>
          <w:rFonts w:eastAsia="宋体" w:asciiTheme="majorHAnsi" w:hAnsiTheme="majorHAnsi" w:cstheme="majorHAnsi"/>
          <w:sz w:val="24"/>
          <w:szCs w:val="24"/>
          <w:lang w:eastAsia="zh-CN"/>
        </w:rPr>
      </w:pPr>
      <w:r>
        <w:rPr>
          <w:rFonts w:asciiTheme="majorHAnsi" w:hAnsiTheme="majorHAnsi" w:cstheme="majorHAnsi"/>
          <w:sz w:val="24"/>
          <w:szCs w:val="24"/>
        </w:rPr>
        <w:t>Preventive measures</w:t>
      </w:r>
    </w:p>
    <w:p w14:paraId="4527F922">
      <w:pPr>
        <w:pStyle w:val="26"/>
        <w:tabs>
          <w:tab w:val="left" w:pos="426"/>
        </w:tabs>
        <w:spacing w:after="0" w:line="240" w:lineRule="auto"/>
        <w:ind w:left="0"/>
        <w:jc w:val="both"/>
        <w:rPr>
          <w:rFonts w:eastAsia="宋体" w:asciiTheme="majorHAnsi" w:hAnsiTheme="majorHAnsi" w:cstheme="majorHAnsi"/>
          <w:sz w:val="24"/>
          <w:szCs w:val="24"/>
          <w:lang w:eastAsia="zh-CN"/>
        </w:rPr>
      </w:pPr>
    </w:p>
    <w:p w14:paraId="73E3893C">
      <w:pPr>
        <w:pStyle w:val="26"/>
        <w:numPr>
          <w:ilvl w:val="2"/>
          <w:numId w:val="4"/>
        </w:numPr>
        <w:tabs>
          <w:tab w:val="left" w:pos="426"/>
        </w:tabs>
        <w:spacing w:after="0" w:line="240" w:lineRule="auto"/>
        <w:ind w:left="0" w:firstLine="0"/>
        <w:jc w:val="both"/>
        <w:rPr>
          <w:rFonts w:asciiTheme="majorHAnsi" w:hAnsiTheme="majorHAnsi" w:cstheme="majorHAnsi"/>
          <w:sz w:val="24"/>
          <w:szCs w:val="24"/>
        </w:rPr>
      </w:pPr>
      <w:r>
        <w:rPr>
          <w:rFonts w:asciiTheme="majorHAnsi" w:hAnsiTheme="majorHAnsi" w:cstheme="majorHAnsi"/>
          <w:sz w:val="24"/>
          <w:szCs w:val="24"/>
        </w:rPr>
        <w:t>Before the study, ensure adequate communication with the patient and their family members, and provide a detailed explanation of the treatment procedure and necessary precautions.</w:t>
      </w:r>
    </w:p>
    <w:p w14:paraId="3CA1397D">
      <w:pPr>
        <w:pStyle w:val="26"/>
        <w:tabs>
          <w:tab w:val="left" w:pos="426"/>
        </w:tabs>
        <w:spacing w:after="0" w:line="240" w:lineRule="auto"/>
        <w:ind w:left="0"/>
        <w:jc w:val="both"/>
        <w:rPr>
          <w:rFonts w:asciiTheme="majorHAnsi" w:hAnsiTheme="majorHAnsi" w:cstheme="majorHAnsi"/>
          <w:sz w:val="24"/>
          <w:szCs w:val="24"/>
        </w:rPr>
      </w:pPr>
    </w:p>
    <w:p w14:paraId="73E3893D">
      <w:pPr>
        <w:pStyle w:val="26"/>
        <w:numPr>
          <w:ilvl w:val="2"/>
          <w:numId w:val="4"/>
        </w:numPr>
        <w:tabs>
          <w:tab w:val="left" w:pos="426"/>
        </w:tabs>
        <w:spacing w:after="0" w:line="240" w:lineRule="auto"/>
        <w:ind w:left="0" w:firstLine="0"/>
        <w:jc w:val="both"/>
        <w:rPr>
          <w:rFonts w:asciiTheme="majorHAnsi" w:hAnsiTheme="majorHAnsi" w:cstheme="majorHAnsi"/>
          <w:sz w:val="24"/>
          <w:szCs w:val="24"/>
        </w:rPr>
      </w:pPr>
      <w:r>
        <w:rPr>
          <w:rFonts w:asciiTheme="majorHAnsi" w:hAnsiTheme="majorHAnsi" w:cstheme="majorHAnsi"/>
          <w:sz w:val="24"/>
          <w:szCs w:val="24"/>
        </w:rPr>
        <w:t>Record all adverse reactions and their duration occurring during the treatment period, including pain, skin reactions, and burns.</w:t>
      </w:r>
    </w:p>
    <w:p w14:paraId="73E3893E">
      <w:pPr>
        <w:tabs>
          <w:tab w:val="left" w:pos="426"/>
        </w:tabs>
        <w:rPr>
          <w:rFonts w:asciiTheme="majorHAnsi" w:hAnsiTheme="majorHAnsi" w:cstheme="majorHAnsi"/>
        </w:rPr>
      </w:pPr>
    </w:p>
    <w:p w14:paraId="73E3893F">
      <w:pPr>
        <w:pStyle w:val="26"/>
        <w:numPr>
          <w:ilvl w:val="1"/>
          <w:numId w:val="4"/>
        </w:numPr>
        <w:tabs>
          <w:tab w:val="left" w:pos="426"/>
        </w:tabs>
        <w:spacing w:after="0" w:line="240" w:lineRule="auto"/>
        <w:ind w:left="0" w:firstLine="0"/>
        <w:jc w:val="both"/>
        <w:rPr>
          <w:rFonts w:eastAsia="宋体" w:asciiTheme="majorHAnsi" w:hAnsiTheme="majorHAnsi" w:cstheme="majorHAnsi"/>
          <w:sz w:val="24"/>
          <w:szCs w:val="24"/>
          <w:lang w:eastAsia="zh-CN"/>
        </w:rPr>
      </w:pPr>
      <w:r>
        <w:rPr>
          <w:rFonts w:asciiTheme="majorHAnsi" w:hAnsiTheme="majorHAnsi" w:cstheme="majorHAnsi"/>
          <w:sz w:val="24"/>
          <w:szCs w:val="24"/>
        </w:rPr>
        <w:t>Possible adverse events and countermeasures</w:t>
      </w:r>
    </w:p>
    <w:p w14:paraId="167D4DC0">
      <w:pPr>
        <w:pStyle w:val="26"/>
        <w:tabs>
          <w:tab w:val="left" w:pos="426"/>
        </w:tabs>
        <w:spacing w:after="0" w:line="240" w:lineRule="auto"/>
        <w:ind w:left="0"/>
        <w:jc w:val="both"/>
        <w:rPr>
          <w:rFonts w:eastAsia="宋体" w:asciiTheme="majorHAnsi" w:hAnsiTheme="majorHAnsi" w:cstheme="majorHAnsi"/>
          <w:sz w:val="24"/>
          <w:szCs w:val="24"/>
          <w:lang w:eastAsia="zh-CN"/>
        </w:rPr>
      </w:pPr>
    </w:p>
    <w:p w14:paraId="73E38940">
      <w:pPr>
        <w:pStyle w:val="26"/>
        <w:numPr>
          <w:ilvl w:val="2"/>
          <w:numId w:val="4"/>
        </w:numPr>
        <w:tabs>
          <w:tab w:val="left" w:pos="426"/>
        </w:tabs>
        <w:spacing w:after="0" w:line="240" w:lineRule="auto"/>
        <w:ind w:left="0" w:firstLine="0"/>
        <w:jc w:val="both"/>
        <w:rPr>
          <w:rFonts w:asciiTheme="majorHAnsi" w:hAnsiTheme="majorHAnsi" w:cstheme="majorHAnsi"/>
          <w:sz w:val="24"/>
          <w:szCs w:val="24"/>
        </w:rPr>
      </w:pPr>
      <w:r>
        <w:rPr>
          <w:rFonts w:asciiTheme="majorHAnsi" w:hAnsiTheme="majorHAnsi" w:cstheme="majorHAnsi"/>
          <w:sz w:val="24"/>
          <w:szCs w:val="24"/>
        </w:rPr>
        <w:t>If burns occur, rinse the injured area with a large amount of running cold water for 15–20 min to reduce skin temperature. Apply burn ointment and cover with sterile gauze to prevent infection. For deep burns or large-area burns, promptly refer the patient to the burn department.</w:t>
      </w:r>
    </w:p>
    <w:p w14:paraId="23AC7B92">
      <w:pPr>
        <w:pStyle w:val="26"/>
        <w:tabs>
          <w:tab w:val="left" w:pos="426"/>
        </w:tabs>
        <w:spacing w:after="0" w:line="240" w:lineRule="auto"/>
        <w:ind w:left="0"/>
        <w:jc w:val="both"/>
        <w:rPr>
          <w:rFonts w:asciiTheme="majorHAnsi" w:hAnsiTheme="majorHAnsi" w:cstheme="majorHAnsi"/>
          <w:sz w:val="24"/>
          <w:szCs w:val="24"/>
        </w:rPr>
      </w:pPr>
    </w:p>
    <w:p w14:paraId="73E38941">
      <w:pPr>
        <w:pStyle w:val="26"/>
        <w:numPr>
          <w:ilvl w:val="2"/>
          <w:numId w:val="4"/>
        </w:numPr>
        <w:tabs>
          <w:tab w:val="left" w:pos="426"/>
        </w:tabs>
        <w:spacing w:after="0" w:line="240" w:lineRule="auto"/>
        <w:ind w:left="0" w:firstLine="0"/>
        <w:jc w:val="both"/>
        <w:rPr>
          <w:rFonts w:asciiTheme="majorHAnsi" w:hAnsiTheme="majorHAnsi" w:cstheme="majorHAnsi"/>
          <w:sz w:val="24"/>
          <w:szCs w:val="24"/>
        </w:rPr>
      </w:pPr>
      <w:r>
        <w:rPr>
          <w:rFonts w:asciiTheme="majorHAnsi" w:hAnsiTheme="majorHAnsi" w:cstheme="majorHAnsi"/>
          <w:sz w:val="24"/>
          <w:szCs w:val="24"/>
        </w:rPr>
        <w:t>If bleeding and hematoma occur, apply continuous pressure to the bleeding point with a dry cotton ball; bleeding usually stops within a few minutes. If a hematoma forms, apply cold compresses within 24 h; after 24 h, switch to warm compresses to promote resolution of the ecchymosis.</w:t>
      </w:r>
    </w:p>
    <w:p w14:paraId="2F72458C">
      <w:pPr>
        <w:tabs>
          <w:tab w:val="left" w:pos="426"/>
        </w:tabs>
        <w:rPr>
          <w:rFonts w:asciiTheme="majorHAnsi" w:hAnsiTheme="majorHAnsi" w:cstheme="majorHAnsi"/>
        </w:rPr>
      </w:pPr>
    </w:p>
    <w:p w14:paraId="73E38942">
      <w:pPr>
        <w:pStyle w:val="26"/>
        <w:numPr>
          <w:ilvl w:val="2"/>
          <w:numId w:val="4"/>
        </w:numPr>
        <w:tabs>
          <w:tab w:val="left" w:pos="426"/>
        </w:tabs>
        <w:spacing w:after="0" w:line="240" w:lineRule="auto"/>
        <w:ind w:left="0" w:firstLine="0"/>
        <w:jc w:val="both"/>
        <w:rPr>
          <w:rFonts w:asciiTheme="majorHAnsi" w:hAnsiTheme="majorHAnsi" w:cstheme="majorHAnsi"/>
          <w:sz w:val="24"/>
          <w:szCs w:val="24"/>
        </w:rPr>
      </w:pPr>
      <w:r>
        <w:rPr>
          <w:rFonts w:asciiTheme="majorHAnsi" w:hAnsiTheme="majorHAnsi" w:cstheme="majorHAnsi"/>
          <w:sz w:val="24"/>
          <w:szCs w:val="24"/>
        </w:rPr>
        <w:t>If severe pain occurs, stop needling, allow the patient to rest briefly, and decide whether to continue after the patient has calmed down. Confirm whether the pain is caused by insufficient heating of the needle tip.</w:t>
      </w:r>
    </w:p>
    <w:p w14:paraId="5B8B9CD7">
      <w:pPr>
        <w:tabs>
          <w:tab w:val="left" w:pos="426"/>
        </w:tabs>
        <w:rPr>
          <w:rFonts w:asciiTheme="majorHAnsi" w:hAnsiTheme="majorHAnsi" w:cstheme="majorHAnsi"/>
        </w:rPr>
      </w:pPr>
    </w:p>
    <w:p w14:paraId="73E38943">
      <w:pPr>
        <w:pStyle w:val="26"/>
        <w:numPr>
          <w:ilvl w:val="2"/>
          <w:numId w:val="4"/>
        </w:numPr>
        <w:tabs>
          <w:tab w:val="left" w:pos="426"/>
        </w:tabs>
        <w:spacing w:after="0" w:line="240" w:lineRule="auto"/>
        <w:ind w:left="0" w:firstLine="0"/>
        <w:jc w:val="both"/>
        <w:rPr>
          <w:rFonts w:asciiTheme="majorHAnsi" w:hAnsiTheme="majorHAnsi" w:cstheme="majorHAnsi"/>
          <w:sz w:val="24"/>
          <w:szCs w:val="24"/>
        </w:rPr>
      </w:pPr>
      <w:r>
        <w:rPr>
          <w:rFonts w:asciiTheme="majorHAnsi" w:hAnsiTheme="majorHAnsi" w:cstheme="majorHAnsi"/>
          <w:sz w:val="24"/>
          <w:szCs w:val="24"/>
        </w:rPr>
        <w:t>If infection occurs, apply topical antibiotic ointment for mild cases. For severe infections, oral or intravenous antibiotics are required. If an abscess has formed, have a surgeon perform incision and drainage.</w:t>
      </w:r>
    </w:p>
    <w:p w14:paraId="73E38944">
      <w:pPr>
        <w:tabs>
          <w:tab w:val="left" w:pos="426"/>
        </w:tabs>
        <w:rPr>
          <w:rFonts w:eastAsia="宋体" w:asciiTheme="majorHAnsi" w:hAnsiTheme="majorHAnsi" w:cstheme="majorHAnsi"/>
          <w:b/>
          <w:bCs/>
          <w:lang w:eastAsia="zh-CN"/>
        </w:rPr>
      </w:pPr>
    </w:p>
    <w:p w14:paraId="73E38945">
      <w:pPr>
        <w:pStyle w:val="26"/>
        <w:numPr>
          <w:ilvl w:val="0"/>
          <w:numId w:val="4"/>
        </w:numPr>
        <w:tabs>
          <w:tab w:val="left" w:pos="426"/>
        </w:tabs>
        <w:spacing w:after="0" w:line="240" w:lineRule="auto"/>
        <w:ind w:left="0" w:firstLine="0"/>
        <w:jc w:val="both"/>
        <w:rPr>
          <w:rFonts w:asciiTheme="majorHAnsi" w:hAnsiTheme="majorHAnsi" w:cstheme="majorHAnsi"/>
          <w:b/>
          <w:bCs/>
          <w:sz w:val="24"/>
          <w:szCs w:val="24"/>
        </w:rPr>
      </w:pPr>
      <w:r>
        <w:rPr>
          <w:rFonts w:asciiTheme="majorHAnsi" w:hAnsiTheme="majorHAnsi" w:cstheme="majorHAnsi"/>
          <w:b/>
          <w:bCs/>
          <w:sz w:val="24"/>
          <w:szCs w:val="24"/>
        </w:rPr>
        <w:t>Efficacy assessment</w:t>
      </w:r>
    </w:p>
    <w:p w14:paraId="73E38946">
      <w:pPr>
        <w:tabs>
          <w:tab w:val="left" w:pos="426"/>
        </w:tabs>
        <w:rPr>
          <w:rFonts w:asciiTheme="majorHAnsi" w:hAnsiTheme="majorHAnsi" w:cstheme="majorHAnsi"/>
        </w:rPr>
      </w:pPr>
    </w:p>
    <w:p w14:paraId="73E38947">
      <w:pPr>
        <w:pStyle w:val="26"/>
        <w:numPr>
          <w:ilvl w:val="1"/>
          <w:numId w:val="4"/>
        </w:numPr>
        <w:tabs>
          <w:tab w:val="left" w:pos="426"/>
        </w:tabs>
        <w:spacing w:after="0" w:line="240" w:lineRule="auto"/>
        <w:ind w:left="0" w:firstLine="0"/>
        <w:jc w:val="both"/>
        <w:rPr>
          <w:rFonts w:eastAsia="宋体" w:asciiTheme="majorHAnsi" w:hAnsiTheme="majorHAnsi" w:cstheme="majorHAnsi"/>
          <w:sz w:val="24"/>
          <w:szCs w:val="24"/>
          <w:lang w:eastAsia="zh-CN"/>
        </w:rPr>
      </w:pPr>
      <w:r>
        <w:rPr>
          <w:rFonts w:asciiTheme="majorHAnsi" w:hAnsiTheme="majorHAnsi" w:cstheme="majorHAnsi"/>
          <w:sz w:val="24"/>
          <w:szCs w:val="24"/>
        </w:rPr>
        <w:t>Primary outcome measures</w:t>
      </w:r>
    </w:p>
    <w:p w14:paraId="30FDC093">
      <w:pPr>
        <w:pStyle w:val="26"/>
        <w:tabs>
          <w:tab w:val="left" w:pos="426"/>
        </w:tabs>
        <w:spacing w:after="0" w:line="240" w:lineRule="auto"/>
        <w:ind w:left="0"/>
        <w:jc w:val="both"/>
        <w:rPr>
          <w:rFonts w:eastAsia="宋体" w:asciiTheme="majorHAnsi" w:hAnsiTheme="majorHAnsi" w:cstheme="majorHAnsi"/>
          <w:sz w:val="24"/>
          <w:szCs w:val="24"/>
          <w:lang w:eastAsia="zh-CN"/>
        </w:rPr>
      </w:pPr>
    </w:p>
    <w:p w14:paraId="26B45568">
      <w:pPr>
        <w:pStyle w:val="26"/>
        <w:numPr>
          <w:ilvl w:val="2"/>
          <w:numId w:val="4"/>
        </w:numPr>
        <w:tabs>
          <w:tab w:val="left" w:pos="426"/>
        </w:tabs>
        <w:spacing w:after="0" w:line="240" w:lineRule="auto"/>
        <w:ind w:left="0" w:firstLine="0"/>
        <w:jc w:val="both"/>
        <w:rPr>
          <w:rFonts w:eastAsia="宋体" w:asciiTheme="majorHAnsi" w:hAnsiTheme="majorHAnsi" w:cstheme="majorHAnsi"/>
          <w:sz w:val="24"/>
          <w:szCs w:val="24"/>
          <w:lang w:eastAsia="zh-CN"/>
        </w:rPr>
      </w:pPr>
      <w:r>
        <w:rPr>
          <w:rFonts w:asciiTheme="majorHAnsi" w:hAnsiTheme="majorHAnsi" w:cstheme="majorHAnsi"/>
          <w:sz w:val="24"/>
          <w:szCs w:val="24"/>
        </w:rPr>
        <w:t>Assess the patient’s sialorrhea status before and after treatment using the Drooling Severity and Frequency Scale (</w:t>
      </w:r>
      <w:r>
        <w:rPr>
          <w:rFonts w:asciiTheme="majorHAnsi" w:hAnsiTheme="majorHAnsi" w:cstheme="majorHAnsi"/>
          <w:b/>
          <w:bCs/>
          <w:sz w:val="24"/>
          <w:szCs w:val="24"/>
        </w:rPr>
        <w:t>Table 1</w:t>
      </w:r>
      <w:r>
        <w:rPr>
          <w:rFonts w:asciiTheme="majorHAnsi" w:hAnsiTheme="majorHAnsi" w:cstheme="majorHAnsi"/>
          <w:sz w:val="24"/>
          <w:szCs w:val="24"/>
        </w:rPr>
        <w:t>)</w:t>
      </w:r>
      <w:r>
        <w:rPr>
          <w:rFonts w:asciiTheme="majorHAnsi" w:hAnsiTheme="majorHAnsi" w:cstheme="majorHAnsi"/>
          <w:sz w:val="24"/>
          <w:szCs w:val="24"/>
          <w:vertAlign w:val="superscript"/>
        </w:rPr>
        <w:fldChar w:fldCharType="begin"/>
      </w:r>
      <w:r>
        <w:rPr>
          <w:rFonts w:asciiTheme="majorHAnsi" w:hAnsiTheme="majorHAnsi" w:cstheme="majorHAnsi"/>
          <w:sz w:val="24"/>
          <w:szCs w:val="24"/>
          <w:vertAlign w:val="superscript"/>
        </w:rPr>
        <w:instrText xml:space="preserve"> REF _Ref6559 \r \h  \* MERGEFORMAT </w:instrText>
      </w:r>
      <w:r>
        <w:rPr>
          <w:rFonts w:asciiTheme="majorHAnsi" w:hAnsiTheme="majorHAnsi" w:cstheme="majorHAnsi"/>
          <w:sz w:val="24"/>
          <w:szCs w:val="24"/>
          <w:vertAlign w:val="superscript"/>
        </w:rPr>
        <w:fldChar w:fldCharType="separate"/>
      </w:r>
      <w:r>
        <w:rPr>
          <w:rFonts w:asciiTheme="majorHAnsi" w:hAnsiTheme="majorHAnsi" w:cstheme="majorHAnsi"/>
          <w:sz w:val="24"/>
          <w:szCs w:val="24"/>
          <w:vertAlign w:val="superscript"/>
        </w:rPr>
        <w:t>14</w:t>
      </w:r>
      <w:r>
        <w:rPr>
          <w:rFonts w:asciiTheme="majorHAnsi" w:hAnsiTheme="majorHAnsi" w:cstheme="majorHAnsi"/>
          <w:sz w:val="24"/>
          <w:szCs w:val="24"/>
          <w:vertAlign w:val="superscript"/>
        </w:rPr>
        <w:fldChar w:fldCharType="end"/>
      </w:r>
      <w:r>
        <w:rPr>
          <w:rFonts w:eastAsia="宋体" w:asciiTheme="majorHAnsi" w:hAnsiTheme="majorHAnsi" w:cstheme="majorHAnsi"/>
          <w:sz w:val="24"/>
          <w:szCs w:val="24"/>
          <w:lang w:eastAsia="zh-CN"/>
        </w:rPr>
        <w:t xml:space="preserve">.    </w:t>
      </w:r>
    </w:p>
    <w:p w14:paraId="73E38948">
      <w:pPr>
        <w:pStyle w:val="26"/>
        <w:tabs>
          <w:tab w:val="left" w:pos="426"/>
        </w:tabs>
        <w:spacing w:after="0" w:line="240" w:lineRule="auto"/>
        <w:ind w:left="0"/>
        <w:jc w:val="both"/>
        <w:rPr>
          <w:rFonts w:asciiTheme="majorHAnsi" w:hAnsiTheme="majorHAnsi" w:cstheme="majorHAnsi"/>
          <w:sz w:val="24"/>
          <w:szCs w:val="24"/>
        </w:rPr>
      </w:pPr>
      <w:r>
        <w:rPr>
          <w:rFonts w:eastAsia="宋体" w:asciiTheme="majorHAnsi" w:hAnsiTheme="majorHAnsi" w:cstheme="majorHAnsi"/>
          <w:sz w:val="24"/>
          <w:szCs w:val="24"/>
          <w:lang w:eastAsia="zh-CN"/>
        </w:rPr>
        <w:t>(</w:t>
      </w:r>
      <w:r>
        <w:rPr>
          <w:rFonts w:eastAsia="宋体" w:asciiTheme="majorHAnsi" w:hAnsiTheme="majorHAnsi" w:cstheme="majorHAnsi"/>
          <w:b/>
          <w:bCs/>
          <w:sz w:val="24"/>
          <w:szCs w:val="24"/>
          <w:lang w:eastAsia="zh-CN"/>
        </w:rPr>
        <w:t>Place Table 1 here</w:t>
      </w:r>
      <w:r>
        <w:rPr>
          <w:rFonts w:eastAsia="宋体" w:asciiTheme="majorHAnsi" w:hAnsiTheme="majorHAnsi" w:cstheme="majorHAnsi"/>
          <w:sz w:val="24"/>
          <w:szCs w:val="24"/>
          <w:lang w:eastAsia="zh-CN"/>
        </w:rPr>
        <w:t>)</w:t>
      </w:r>
      <w:r>
        <w:rPr>
          <w:rFonts w:asciiTheme="majorHAnsi" w:hAnsiTheme="majorHAnsi" w:cstheme="majorHAnsi"/>
          <w:sz w:val="24"/>
          <w:szCs w:val="24"/>
        </w:rPr>
        <w:t>.</w:t>
      </w:r>
    </w:p>
    <w:p w14:paraId="25066417">
      <w:pPr>
        <w:tabs>
          <w:tab w:val="left" w:pos="426"/>
        </w:tabs>
        <w:rPr>
          <w:rFonts w:asciiTheme="majorHAnsi" w:hAnsiTheme="majorHAnsi" w:cstheme="majorHAnsi"/>
        </w:rPr>
      </w:pPr>
    </w:p>
    <w:p w14:paraId="73E38949">
      <w:pPr>
        <w:tabs>
          <w:tab w:val="left" w:pos="426"/>
        </w:tabs>
        <w:rPr>
          <w:rFonts w:asciiTheme="majorHAnsi" w:hAnsiTheme="majorHAnsi" w:cstheme="majorHAnsi"/>
        </w:rPr>
      </w:pPr>
      <w:r>
        <w:rPr>
          <w:rFonts w:eastAsia="宋体" w:asciiTheme="majorHAnsi" w:hAnsiTheme="majorHAnsi" w:cstheme="majorHAnsi"/>
          <w:lang w:eastAsia="zh-CN"/>
        </w:rPr>
        <w:t>7.1.</w:t>
      </w:r>
      <w:r>
        <w:rPr>
          <w:rFonts w:asciiTheme="majorHAnsi" w:hAnsiTheme="majorHAnsi" w:cstheme="majorHAnsi"/>
        </w:rPr>
        <w:t>2. Measure the patient’s unstimulated salivary flow rate before and after treatment.</w:t>
      </w:r>
    </w:p>
    <w:p w14:paraId="61C07FD7">
      <w:pPr>
        <w:tabs>
          <w:tab w:val="left" w:pos="426"/>
        </w:tabs>
        <w:rPr>
          <w:rFonts w:asciiTheme="majorHAnsi" w:hAnsiTheme="majorHAnsi" w:cstheme="majorHAnsi"/>
        </w:rPr>
      </w:pPr>
    </w:p>
    <w:p w14:paraId="3743E0A3">
      <w:pPr>
        <w:tabs>
          <w:tab w:val="left" w:pos="426"/>
        </w:tabs>
        <w:rPr>
          <w:rFonts w:asciiTheme="majorHAnsi" w:hAnsiTheme="majorHAnsi" w:cstheme="majorHAnsi"/>
        </w:rPr>
      </w:pPr>
      <w:r>
        <w:rPr>
          <w:rFonts w:asciiTheme="majorHAnsi" w:hAnsiTheme="majorHAnsi" w:cstheme="majorHAnsi"/>
        </w:rPr>
        <w:t>7.1.2.1. Before measurement, have an assistant or family member assist the patient to a sitting position with the head of the bed raised to 90</w:t>
      </w:r>
      <w:r>
        <w:rPr>
          <w:rFonts w:ascii="Symbol" w:hAnsi="Symbol" w:cstheme="majorHAnsi"/>
        </w:rPr>
        <w:sym w:font="Symbol" w:char="F0B0"/>
      </w:r>
      <w:r>
        <w:rPr>
          <w:rFonts w:asciiTheme="majorHAnsi" w:hAnsiTheme="majorHAnsi" w:cstheme="majorHAnsi"/>
        </w:rPr>
        <w:t xml:space="preserve">, and clean the patient’s oral cavity of saliva using a medical cotton swab. </w:t>
      </w:r>
    </w:p>
    <w:p w14:paraId="7BC152A6">
      <w:pPr>
        <w:tabs>
          <w:tab w:val="left" w:pos="426"/>
        </w:tabs>
        <w:rPr>
          <w:rFonts w:asciiTheme="majorHAnsi" w:hAnsiTheme="majorHAnsi" w:cstheme="majorHAnsi"/>
        </w:rPr>
      </w:pPr>
    </w:p>
    <w:p w14:paraId="1D498620">
      <w:pPr>
        <w:tabs>
          <w:tab w:val="left" w:pos="426"/>
        </w:tabs>
        <w:rPr>
          <w:rFonts w:asciiTheme="majorHAnsi" w:hAnsiTheme="majorHAnsi" w:cstheme="majorHAnsi"/>
        </w:rPr>
      </w:pPr>
      <w:r>
        <w:rPr>
          <w:rFonts w:asciiTheme="majorHAnsi" w:hAnsiTheme="majorHAnsi" w:cstheme="majorHAnsi"/>
        </w:rPr>
        <w:t xml:space="preserve">7.1.2.2. Have the operator place the medical swab on a high-precision milligram electronic scale and record its dry weight. </w:t>
      </w:r>
    </w:p>
    <w:p w14:paraId="009C3D78">
      <w:pPr>
        <w:tabs>
          <w:tab w:val="left" w:pos="426"/>
        </w:tabs>
        <w:rPr>
          <w:rFonts w:asciiTheme="majorHAnsi" w:hAnsiTheme="majorHAnsi" w:cstheme="majorHAnsi"/>
        </w:rPr>
      </w:pPr>
    </w:p>
    <w:p w14:paraId="79F1E282">
      <w:pPr>
        <w:tabs>
          <w:tab w:val="left" w:pos="426"/>
        </w:tabs>
        <w:rPr>
          <w:rFonts w:asciiTheme="majorHAnsi" w:hAnsiTheme="majorHAnsi" w:cstheme="majorHAnsi"/>
        </w:rPr>
      </w:pPr>
      <w:r>
        <w:rPr>
          <w:rFonts w:asciiTheme="majorHAnsi" w:hAnsiTheme="majorHAnsi" w:cstheme="majorHAnsi"/>
        </w:rPr>
        <w:t xml:space="preserve">7.1.2.3. Place the swab on both buccal mucosa and sublingual areas of the patient. After 5 min, remove the swab and weigh it again to obtain the wet weight. </w:t>
      </w:r>
    </w:p>
    <w:p w14:paraId="0FA59147">
      <w:pPr>
        <w:tabs>
          <w:tab w:val="left" w:pos="426"/>
        </w:tabs>
        <w:rPr>
          <w:rFonts w:asciiTheme="majorHAnsi" w:hAnsiTheme="majorHAnsi" w:cstheme="majorHAnsi"/>
        </w:rPr>
      </w:pPr>
    </w:p>
    <w:p w14:paraId="73E3894A">
      <w:pPr>
        <w:tabs>
          <w:tab w:val="left" w:pos="426"/>
        </w:tabs>
        <w:rPr>
          <w:rFonts w:eastAsia="宋体" w:asciiTheme="majorHAnsi" w:hAnsiTheme="majorHAnsi" w:cstheme="majorHAnsi"/>
          <w:lang w:eastAsia="zh-CN"/>
        </w:rPr>
      </w:pPr>
      <w:r>
        <w:rPr>
          <w:rFonts w:asciiTheme="majorHAnsi" w:hAnsiTheme="majorHAnsi" w:cstheme="majorHAnsi"/>
        </w:rPr>
        <w:t>7.1.2.4. Calculate the difference between the wet and dry weights, and compute the salivary flow rate</w:t>
      </w:r>
      <w:r>
        <w:rPr>
          <w:rFonts w:asciiTheme="majorHAnsi" w:hAnsiTheme="majorHAnsi" w:cstheme="majorHAnsi"/>
          <w:vertAlign w:val="superscript"/>
        </w:rPr>
        <w:fldChar w:fldCharType="begin"/>
      </w:r>
      <w:r>
        <w:rPr>
          <w:rFonts w:asciiTheme="majorHAnsi" w:hAnsiTheme="majorHAnsi" w:cstheme="majorHAnsi"/>
          <w:vertAlign w:val="superscript"/>
        </w:rPr>
        <w:instrText xml:space="preserve"> REF _Ref6686 \r \h  \* MERGEFORMAT </w:instrText>
      </w:r>
      <w:r>
        <w:rPr>
          <w:rFonts w:asciiTheme="majorHAnsi" w:hAnsiTheme="majorHAnsi" w:cstheme="majorHAnsi"/>
          <w:vertAlign w:val="superscript"/>
        </w:rPr>
        <w:fldChar w:fldCharType="separate"/>
      </w:r>
      <w:r>
        <w:rPr>
          <w:rFonts w:asciiTheme="majorHAnsi" w:hAnsiTheme="majorHAnsi" w:cstheme="majorHAnsi"/>
          <w:vertAlign w:val="superscript"/>
        </w:rPr>
        <w:t>15</w:t>
      </w:r>
      <w:r>
        <w:rPr>
          <w:rFonts w:asciiTheme="majorHAnsi" w:hAnsiTheme="majorHAnsi" w:cstheme="majorHAnsi"/>
          <w:vertAlign w:val="superscript"/>
        </w:rPr>
        <w:fldChar w:fldCharType="end"/>
      </w:r>
      <w:r>
        <w:rPr>
          <w:rFonts w:asciiTheme="majorHAnsi" w:hAnsiTheme="majorHAnsi" w:cstheme="majorHAnsi"/>
        </w:rPr>
        <w:t xml:space="preserve"> (unit: g/min)</w:t>
      </w:r>
      <w:r>
        <w:rPr>
          <w:rFonts w:eastAsia="宋体" w:asciiTheme="majorHAnsi" w:hAnsiTheme="majorHAnsi" w:cstheme="majorHAnsi"/>
          <w:lang w:eastAsia="zh-CN"/>
        </w:rPr>
        <w:t>.</w:t>
      </w:r>
    </w:p>
    <w:p w14:paraId="73E3894B">
      <w:pPr>
        <w:tabs>
          <w:tab w:val="left" w:pos="426"/>
        </w:tabs>
        <w:rPr>
          <w:rFonts w:asciiTheme="majorHAnsi" w:hAnsiTheme="majorHAnsi" w:cstheme="majorHAnsi"/>
        </w:rPr>
      </w:pPr>
    </w:p>
    <w:p w14:paraId="73E3894C">
      <w:pPr>
        <w:pStyle w:val="26"/>
        <w:numPr>
          <w:ilvl w:val="1"/>
          <w:numId w:val="4"/>
        </w:numPr>
        <w:tabs>
          <w:tab w:val="left" w:pos="426"/>
        </w:tabs>
        <w:spacing w:after="0" w:line="240" w:lineRule="auto"/>
        <w:ind w:left="0" w:firstLine="0"/>
        <w:jc w:val="both"/>
        <w:rPr>
          <w:rFonts w:eastAsia="宋体" w:asciiTheme="majorHAnsi" w:hAnsiTheme="majorHAnsi" w:cstheme="majorHAnsi"/>
          <w:sz w:val="24"/>
          <w:szCs w:val="24"/>
          <w:lang w:eastAsia="zh-CN"/>
        </w:rPr>
      </w:pPr>
      <w:r>
        <w:rPr>
          <w:rFonts w:asciiTheme="majorHAnsi" w:hAnsiTheme="majorHAnsi" w:cstheme="majorHAnsi"/>
          <w:sz w:val="24"/>
          <w:szCs w:val="24"/>
        </w:rPr>
        <w:t>Secondary outcome measure</w:t>
      </w:r>
    </w:p>
    <w:p w14:paraId="1616012A">
      <w:pPr>
        <w:pStyle w:val="26"/>
        <w:tabs>
          <w:tab w:val="left" w:pos="426"/>
        </w:tabs>
        <w:spacing w:after="0" w:line="240" w:lineRule="auto"/>
        <w:ind w:left="0"/>
        <w:jc w:val="both"/>
        <w:rPr>
          <w:rFonts w:eastAsia="宋体" w:asciiTheme="majorHAnsi" w:hAnsiTheme="majorHAnsi" w:cstheme="majorHAnsi"/>
          <w:sz w:val="24"/>
          <w:szCs w:val="24"/>
          <w:lang w:eastAsia="zh-CN"/>
        </w:rPr>
      </w:pPr>
    </w:p>
    <w:p w14:paraId="73E3894D">
      <w:pPr>
        <w:pStyle w:val="26"/>
        <w:numPr>
          <w:ilvl w:val="2"/>
          <w:numId w:val="4"/>
        </w:numPr>
        <w:tabs>
          <w:tab w:val="left" w:pos="426"/>
        </w:tabs>
        <w:spacing w:after="0" w:line="240" w:lineRule="auto"/>
        <w:ind w:left="0" w:firstLine="0"/>
        <w:jc w:val="both"/>
        <w:rPr>
          <w:rFonts w:asciiTheme="majorHAnsi" w:hAnsiTheme="majorHAnsi" w:cstheme="majorHAnsi"/>
          <w:sz w:val="24"/>
          <w:szCs w:val="24"/>
        </w:rPr>
      </w:pPr>
      <w:r>
        <w:rPr>
          <w:rFonts w:asciiTheme="majorHAnsi" w:hAnsiTheme="majorHAnsi" w:cstheme="majorHAnsi"/>
          <w:sz w:val="24"/>
          <w:szCs w:val="24"/>
        </w:rPr>
        <w:t>Assess the patient’s subglottic secretion aspirate volume over 1 h before and after treatment.</w:t>
      </w:r>
    </w:p>
    <w:p w14:paraId="72863847">
      <w:pPr>
        <w:tabs>
          <w:tab w:val="left" w:pos="426"/>
        </w:tabs>
        <w:rPr>
          <w:rFonts w:asciiTheme="majorHAnsi" w:hAnsiTheme="majorHAnsi" w:cstheme="majorHAnsi"/>
        </w:rPr>
      </w:pPr>
    </w:p>
    <w:p w14:paraId="26F42408">
      <w:pPr>
        <w:pStyle w:val="26"/>
        <w:numPr>
          <w:ilvl w:val="3"/>
          <w:numId w:val="4"/>
        </w:numPr>
        <w:tabs>
          <w:tab w:val="left" w:pos="426"/>
        </w:tabs>
        <w:spacing w:after="0" w:line="240" w:lineRule="auto"/>
        <w:ind w:left="0" w:firstLine="0"/>
        <w:jc w:val="both"/>
        <w:rPr>
          <w:rFonts w:asciiTheme="majorHAnsi" w:hAnsiTheme="majorHAnsi" w:cstheme="majorHAnsi"/>
          <w:sz w:val="24"/>
          <w:szCs w:val="24"/>
        </w:rPr>
      </w:pPr>
      <w:r>
        <w:rPr>
          <w:rFonts w:asciiTheme="majorHAnsi" w:hAnsiTheme="majorHAnsi" w:cstheme="majorHAnsi"/>
          <w:sz w:val="24"/>
          <w:szCs w:val="24"/>
        </w:rPr>
        <w:t xml:space="preserve">Before the procedure, use a syringe to aspirate subglottic saliva from the patient until no more can be withdrawn. </w:t>
      </w:r>
    </w:p>
    <w:p w14:paraId="64CA0FCA">
      <w:pPr>
        <w:pStyle w:val="26"/>
        <w:tabs>
          <w:tab w:val="left" w:pos="426"/>
        </w:tabs>
        <w:spacing w:after="0" w:line="240" w:lineRule="auto"/>
        <w:ind w:left="0"/>
        <w:jc w:val="both"/>
        <w:rPr>
          <w:rFonts w:asciiTheme="majorHAnsi" w:hAnsiTheme="majorHAnsi" w:cstheme="majorHAnsi"/>
          <w:sz w:val="24"/>
          <w:szCs w:val="24"/>
        </w:rPr>
      </w:pPr>
    </w:p>
    <w:p w14:paraId="73E3894E">
      <w:pPr>
        <w:pStyle w:val="26"/>
        <w:numPr>
          <w:ilvl w:val="3"/>
          <w:numId w:val="4"/>
        </w:numPr>
        <w:tabs>
          <w:tab w:val="left" w:pos="426"/>
        </w:tabs>
        <w:spacing w:after="0" w:line="240" w:lineRule="auto"/>
        <w:ind w:left="0" w:firstLine="0"/>
        <w:jc w:val="both"/>
        <w:rPr>
          <w:rFonts w:asciiTheme="majorHAnsi" w:hAnsiTheme="majorHAnsi" w:cstheme="majorHAnsi"/>
          <w:sz w:val="24"/>
          <w:szCs w:val="24"/>
        </w:rPr>
      </w:pPr>
      <w:r>
        <w:rPr>
          <w:rFonts w:asciiTheme="majorHAnsi" w:hAnsiTheme="majorHAnsi" w:cstheme="majorHAnsi"/>
          <w:sz w:val="24"/>
          <w:szCs w:val="24"/>
        </w:rPr>
        <w:t>One hour later, again use a syringe to aspirate subglottic saliva from the patient until no more can be withdrawn, and record the fluid volume.</w:t>
      </w:r>
    </w:p>
    <w:p w14:paraId="73E3894F">
      <w:pPr>
        <w:tabs>
          <w:tab w:val="left" w:pos="426"/>
        </w:tabs>
        <w:rPr>
          <w:rFonts w:eastAsia="宋体" w:asciiTheme="majorHAnsi" w:hAnsiTheme="majorHAnsi" w:cstheme="majorHAnsi"/>
          <w:b/>
          <w:bCs/>
          <w:lang w:eastAsia="zh-CN"/>
        </w:rPr>
      </w:pPr>
    </w:p>
    <w:p w14:paraId="73E38950">
      <w:pPr>
        <w:tabs>
          <w:tab w:val="left" w:pos="426"/>
        </w:tabs>
        <w:rPr>
          <w:rFonts w:asciiTheme="majorHAnsi" w:hAnsiTheme="majorHAnsi" w:cstheme="majorHAnsi"/>
          <w:b/>
          <w:bCs/>
        </w:rPr>
      </w:pPr>
      <w:r>
        <w:rPr>
          <w:rFonts w:eastAsia="宋体" w:asciiTheme="majorHAnsi" w:hAnsiTheme="majorHAnsi" w:cstheme="majorHAnsi"/>
          <w:b/>
          <w:bCs/>
          <w:lang w:eastAsia="zh-CN"/>
        </w:rPr>
        <w:t>8</w:t>
      </w:r>
      <w:r>
        <w:rPr>
          <w:rFonts w:asciiTheme="majorHAnsi" w:hAnsiTheme="majorHAnsi" w:cstheme="majorHAnsi"/>
          <w:b/>
          <w:bCs/>
        </w:rPr>
        <w:t>. Statistical analysis</w:t>
      </w:r>
    </w:p>
    <w:p w14:paraId="73E38951">
      <w:pPr>
        <w:tabs>
          <w:tab w:val="left" w:pos="426"/>
        </w:tabs>
        <w:rPr>
          <w:rFonts w:asciiTheme="majorHAnsi" w:hAnsiTheme="majorHAnsi" w:cstheme="majorHAnsi"/>
        </w:rPr>
      </w:pPr>
    </w:p>
    <w:p w14:paraId="73E38952">
      <w:pPr>
        <w:tabs>
          <w:tab w:val="left" w:pos="426"/>
        </w:tabs>
        <w:rPr>
          <w:rFonts w:asciiTheme="majorHAnsi" w:hAnsiTheme="majorHAnsi" w:cstheme="majorHAnsi"/>
        </w:rPr>
      </w:pPr>
      <w:r>
        <w:rPr>
          <w:rFonts w:asciiTheme="majorHAnsi" w:hAnsiTheme="majorHAnsi" w:cstheme="majorHAnsi"/>
        </w:rPr>
        <w:t>8.1. Perform all statistical analyses using professional statistical analysis and graphing software.</w:t>
      </w:r>
    </w:p>
    <w:p w14:paraId="0CF06324">
      <w:pPr>
        <w:tabs>
          <w:tab w:val="left" w:pos="426"/>
        </w:tabs>
        <w:rPr>
          <w:rFonts w:asciiTheme="majorHAnsi" w:hAnsiTheme="majorHAnsi" w:cstheme="majorHAnsi"/>
        </w:rPr>
      </w:pPr>
    </w:p>
    <w:p w14:paraId="73E38953">
      <w:pPr>
        <w:tabs>
          <w:tab w:val="left" w:pos="426"/>
        </w:tabs>
        <w:rPr>
          <w:rFonts w:asciiTheme="majorHAnsi" w:hAnsiTheme="majorHAnsi" w:cstheme="majorHAnsi"/>
        </w:rPr>
      </w:pPr>
      <w:r>
        <w:rPr>
          <w:rFonts w:asciiTheme="majorHAnsi" w:hAnsiTheme="majorHAnsi" w:cstheme="majorHAnsi"/>
        </w:rPr>
        <w:t>8.2. Express continuous data as mean ± standard deviation; express count data as frequencies (n) or percentages (%); describe ordinal data using frequencies and constituent ratios.</w:t>
      </w:r>
    </w:p>
    <w:p w14:paraId="712F6052">
      <w:pPr>
        <w:tabs>
          <w:tab w:val="left" w:pos="426"/>
        </w:tabs>
        <w:rPr>
          <w:rFonts w:asciiTheme="majorHAnsi" w:hAnsiTheme="majorHAnsi" w:cstheme="majorHAnsi"/>
        </w:rPr>
      </w:pPr>
    </w:p>
    <w:p w14:paraId="73E38954">
      <w:pPr>
        <w:tabs>
          <w:tab w:val="left" w:pos="426"/>
        </w:tabs>
        <w:rPr>
          <w:rFonts w:asciiTheme="majorHAnsi" w:hAnsiTheme="majorHAnsi" w:cstheme="majorHAnsi"/>
        </w:rPr>
      </w:pPr>
      <w:r>
        <w:rPr>
          <w:rFonts w:asciiTheme="majorHAnsi" w:hAnsiTheme="majorHAnsi" w:cstheme="majorHAnsi"/>
        </w:rPr>
        <w:t>8.3</w:t>
      </w:r>
      <w:r>
        <w:rPr>
          <w:rFonts w:eastAsia="宋体" w:asciiTheme="majorHAnsi" w:hAnsiTheme="majorHAnsi" w:cstheme="majorHAnsi"/>
          <w:lang w:eastAsia="zh-CN"/>
        </w:rPr>
        <w:t xml:space="preserve">. </w:t>
      </w:r>
      <w:r>
        <w:rPr>
          <w:rFonts w:asciiTheme="majorHAnsi" w:hAnsiTheme="majorHAnsi" w:cstheme="majorHAnsi"/>
        </w:rPr>
        <w:t xml:space="preserve">Use the two independent samples </w:t>
      </w:r>
      <w:r>
        <w:rPr>
          <w:rFonts w:asciiTheme="majorHAnsi" w:hAnsiTheme="majorHAnsi" w:cstheme="majorHAnsi"/>
          <w:i/>
          <w:iCs/>
        </w:rPr>
        <w:t>t</w:t>
      </w:r>
      <w:r>
        <w:rPr>
          <w:rFonts w:asciiTheme="majorHAnsi" w:hAnsiTheme="majorHAnsi" w:cstheme="majorHAnsi"/>
        </w:rPr>
        <w:t xml:space="preserve">-test to compare pre- and post-treatment changes in continuous data between the two groups; use the Mann-Whitney </w:t>
      </w:r>
      <w:r>
        <w:rPr>
          <w:rFonts w:asciiTheme="majorHAnsi" w:hAnsiTheme="majorHAnsi" w:cstheme="majorHAnsi"/>
          <w:i/>
          <w:iCs/>
        </w:rPr>
        <w:t>U</w:t>
      </w:r>
      <w:r>
        <w:rPr>
          <w:rFonts w:asciiTheme="majorHAnsi" w:hAnsiTheme="majorHAnsi" w:cstheme="majorHAnsi"/>
        </w:rPr>
        <w:t xml:space="preserve"> rank sum test to compare pre- and post-treatment differences in ordinal data between the two groups.</w:t>
      </w:r>
    </w:p>
    <w:p w14:paraId="64E4DEC7">
      <w:pPr>
        <w:tabs>
          <w:tab w:val="left" w:pos="426"/>
        </w:tabs>
        <w:rPr>
          <w:rFonts w:asciiTheme="majorHAnsi" w:hAnsiTheme="majorHAnsi" w:cstheme="majorHAnsi"/>
        </w:rPr>
      </w:pPr>
    </w:p>
    <w:p w14:paraId="73E38955">
      <w:pPr>
        <w:tabs>
          <w:tab w:val="left" w:pos="426"/>
        </w:tabs>
        <w:rPr>
          <w:rFonts w:asciiTheme="majorHAnsi" w:hAnsiTheme="majorHAnsi" w:cstheme="majorHAnsi"/>
        </w:rPr>
      </w:pPr>
      <w:r>
        <w:rPr>
          <w:rFonts w:asciiTheme="majorHAnsi" w:hAnsiTheme="majorHAnsi" w:cstheme="majorHAnsi"/>
        </w:rPr>
        <w:t>8.4</w:t>
      </w:r>
      <w:r>
        <w:rPr>
          <w:rFonts w:eastAsia="宋体" w:asciiTheme="majorHAnsi" w:hAnsiTheme="majorHAnsi" w:cstheme="majorHAnsi"/>
          <w:lang w:eastAsia="zh-CN"/>
        </w:rPr>
        <w:t xml:space="preserve">. </w:t>
      </w:r>
      <w:r>
        <w:rPr>
          <w:rFonts w:asciiTheme="majorHAnsi" w:hAnsiTheme="majorHAnsi" w:cstheme="majorHAnsi"/>
        </w:rPr>
        <w:t xml:space="preserve">Set the significance level </w:t>
      </w:r>
      <w:r>
        <w:rPr>
          <w:rFonts w:eastAsia="宋体" w:asciiTheme="majorHAnsi" w:hAnsiTheme="majorHAnsi" w:cstheme="majorHAnsi"/>
          <w:lang w:eastAsia="zh-CN"/>
        </w:rPr>
        <w:t xml:space="preserve">α </w:t>
      </w:r>
      <w:r>
        <w:rPr>
          <w:rFonts w:asciiTheme="majorHAnsi" w:hAnsiTheme="majorHAnsi" w:cstheme="majorHAnsi"/>
        </w:rPr>
        <w:t xml:space="preserve">= 0.05, and consider P </w:t>
      </w:r>
      <w:r>
        <w:rPr>
          <w:rFonts w:eastAsia="宋体" w:asciiTheme="majorHAnsi" w:hAnsiTheme="majorHAnsi" w:cstheme="majorHAnsi"/>
          <w:lang w:eastAsia="zh-CN"/>
        </w:rPr>
        <w:t>≤</w:t>
      </w:r>
      <w:r>
        <w:rPr>
          <w:rFonts w:eastAsia="宋体" w:asciiTheme="majorHAnsi" w:hAnsiTheme="majorHAnsi" w:cstheme="majorHAnsi"/>
          <w:lang w:val="en-IN" w:eastAsia="zh-CN"/>
        </w:rPr>
        <w:t xml:space="preserve"> </w:t>
      </w:r>
      <w:r>
        <w:rPr>
          <w:rFonts w:asciiTheme="majorHAnsi" w:hAnsiTheme="majorHAnsi" w:cstheme="majorHAnsi"/>
        </w:rPr>
        <w:t>0.05 as statistically significant.</w:t>
      </w:r>
    </w:p>
    <w:p w14:paraId="73E38956">
      <w:pPr>
        <w:tabs>
          <w:tab w:val="left" w:pos="426"/>
        </w:tabs>
        <w:rPr>
          <w:rFonts w:asciiTheme="majorHAnsi" w:hAnsiTheme="majorHAnsi" w:cstheme="majorHAnsi"/>
          <w:b/>
        </w:rPr>
      </w:pPr>
    </w:p>
    <w:p w14:paraId="73E38957">
      <w:pPr>
        <w:tabs>
          <w:tab w:val="left" w:pos="426"/>
        </w:tabs>
        <w:rPr>
          <w:rFonts w:asciiTheme="majorHAnsi" w:hAnsiTheme="majorHAnsi" w:cstheme="majorHAnsi"/>
        </w:rPr>
      </w:pPr>
      <w:r>
        <w:rPr>
          <w:rFonts w:asciiTheme="majorHAnsi" w:hAnsiTheme="majorHAnsi" w:cstheme="majorHAnsi"/>
          <w:b/>
        </w:rPr>
        <w:t xml:space="preserve">REPRESENTATIVE RESULTS: </w:t>
      </w:r>
    </w:p>
    <w:p w14:paraId="73E38959">
      <w:pPr>
        <w:tabs>
          <w:tab w:val="left" w:pos="426"/>
        </w:tabs>
        <w:rPr>
          <w:rFonts w:asciiTheme="majorHAnsi" w:hAnsiTheme="majorHAnsi" w:cstheme="majorHAnsi"/>
        </w:rPr>
      </w:pPr>
      <w:r>
        <w:rPr>
          <w:rFonts w:asciiTheme="majorHAnsi" w:hAnsiTheme="majorHAnsi" w:cstheme="majorHAnsi"/>
        </w:rPr>
        <w:t xml:space="preserve">This protocol describes a randomized controlled study investigating the efficacy and safety of fire needling in improving sialorrhea in stroke patients. A total of 40 tracheotomized patients diagnosed with poststroke sialorrhea were enrolled, of whom 20 received fire needling. Individual and total scores before and after treatment were analyzed, including </w:t>
      </w:r>
      <w:r>
        <w:rPr>
          <w:rFonts w:eastAsia="宋体" w:asciiTheme="majorHAnsi" w:hAnsiTheme="majorHAnsi" w:cstheme="majorHAnsi"/>
          <w:lang w:eastAsia="zh-CN"/>
        </w:rPr>
        <w:t>DSFS</w:t>
      </w:r>
      <w:r>
        <w:rPr>
          <w:rFonts w:asciiTheme="majorHAnsi" w:hAnsiTheme="majorHAnsi" w:cstheme="majorHAnsi"/>
        </w:rPr>
        <w:t xml:space="preserve">, uSFR, and </w:t>
      </w:r>
      <w:r>
        <w:rPr>
          <w:rFonts w:eastAsia="宋体" w:asciiTheme="majorHAnsi" w:hAnsiTheme="majorHAnsi" w:cstheme="majorHAnsi"/>
          <w:lang w:eastAsia="zh-CN"/>
        </w:rPr>
        <w:t>SAV-1h</w:t>
      </w:r>
      <w:r>
        <w:rPr>
          <w:rFonts w:asciiTheme="majorHAnsi" w:hAnsiTheme="majorHAnsi" w:cstheme="majorHAnsi"/>
        </w:rPr>
        <w:t>.</w:t>
      </w:r>
      <w:r>
        <w:rPr>
          <w:rFonts w:eastAsia="宋体" w:asciiTheme="majorHAnsi" w:hAnsiTheme="majorHAnsi" w:cstheme="majorHAnsi"/>
          <w:lang w:eastAsia="zh-CN"/>
        </w:rPr>
        <w:t xml:space="preserve"> </w:t>
      </w:r>
    </w:p>
    <w:p w14:paraId="73E3895A">
      <w:pPr>
        <w:tabs>
          <w:tab w:val="left" w:pos="426"/>
        </w:tabs>
        <w:rPr>
          <w:rFonts w:asciiTheme="majorHAnsi" w:hAnsiTheme="majorHAnsi" w:cstheme="majorHAnsi"/>
        </w:rPr>
      </w:pPr>
    </w:p>
    <w:p w14:paraId="2834D879">
      <w:pPr>
        <w:tabs>
          <w:tab w:val="left" w:pos="426"/>
        </w:tabs>
        <w:rPr>
          <w:rFonts w:asciiTheme="majorHAnsi" w:hAnsiTheme="majorHAnsi" w:cstheme="majorHAnsi"/>
        </w:rPr>
      </w:pPr>
      <w:r>
        <w:rPr>
          <w:rFonts w:asciiTheme="majorHAnsi" w:hAnsiTheme="majorHAnsi" w:cstheme="majorHAnsi"/>
        </w:rPr>
        <w:t>Analysis of DSFS scores between the control and the experimental groups showed no significant difference before treatment. After treatment, the DSFS-S (</w:t>
      </w:r>
      <w:r>
        <w:rPr>
          <w:rFonts w:asciiTheme="majorHAnsi" w:hAnsiTheme="majorHAnsi" w:cstheme="majorHAnsi"/>
          <w:b/>
          <w:bCs/>
        </w:rPr>
        <w:t>Table 2</w:t>
      </w:r>
      <w:r>
        <w:rPr>
          <w:rFonts w:asciiTheme="majorHAnsi" w:hAnsiTheme="majorHAnsi" w:cstheme="majorHAnsi"/>
        </w:rPr>
        <w:t>) and DSFS-F scores (</w:t>
      </w:r>
      <w:r>
        <w:rPr>
          <w:rFonts w:asciiTheme="majorHAnsi" w:hAnsiTheme="majorHAnsi" w:cstheme="majorHAnsi"/>
          <w:b/>
          <w:bCs/>
        </w:rPr>
        <w:t>Table 3</w:t>
      </w:r>
      <w:r>
        <w:rPr>
          <w:rFonts w:asciiTheme="majorHAnsi" w:hAnsiTheme="majorHAnsi" w:cstheme="majorHAnsi"/>
        </w:rPr>
        <w:t xml:space="preserve">) in the experimental group were significantly lower than those in the control group (P &lt; 0.05). This indicates that fire needling can effectively improve sialorrhea symptoms and reduce drooling severity and frequency. </w:t>
      </w:r>
    </w:p>
    <w:p w14:paraId="73E3895B">
      <w:pPr>
        <w:tabs>
          <w:tab w:val="left" w:pos="426"/>
        </w:tabs>
        <w:rPr>
          <w:rFonts w:eastAsia="宋体" w:asciiTheme="majorHAnsi" w:hAnsiTheme="majorHAnsi" w:cstheme="majorHAnsi"/>
          <w:lang w:eastAsia="zh-CN"/>
        </w:rPr>
      </w:pPr>
      <w:r>
        <w:rPr>
          <w:rFonts w:eastAsia="宋体" w:asciiTheme="majorHAnsi" w:hAnsiTheme="majorHAnsi" w:cstheme="majorHAnsi"/>
          <w:lang w:eastAsia="zh-CN"/>
        </w:rPr>
        <w:t>(</w:t>
      </w:r>
      <w:r>
        <w:rPr>
          <w:rFonts w:eastAsia="宋体" w:asciiTheme="majorHAnsi" w:hAnsiTheme="majorHAnsi" w:cstheme="majorHAnsi"/>
          <w:b/>
          <w:bCs/>
          <w:lang w:eastAsia="zh-CN"/>
        </w:rPr>
        <w:t>Place Table 2 and Table 3 here</w:t>
      </w:r>
      <w:r>
        <w:rPr>
          <w:rFonts w:eastAsia="宋体" w:asciiTheme="majorHAnsi" w:hAnsiTheme="majorHAnsi" w:cstheme="majorHAnsi"/>
          <w:lang w:eastAsia="zh-CN"/>
        </w:rPr>
        <w:t>)</w:t>
      </w:r>
    </w:p>
    <w:p w14:paraId="73E3895C">
      <w:pPr>
        <w:tabs>
          <w:tab w:val="left" w:pos="426"/>
        </w:tabs>
        <w:rPr>
          <w:rFonts w:asciiTheme="majorHAnsi" w:hAnsiTheme="majorHAnsi" w:cstheme="majorHAnsi"/>
        </w:rPr>
      </w:pPr>
    </w:p>
    <w:p w14:paraId="187543A9">
      <w:pPr>
        <w:tabs>
          <w:tab w:val="left" w:pos="426"/>
        </w:tabs>
        <w:rPr>
          <w:rFonts w:asciiTheme="majorHAnsi" w:hAnsiTheme="majorHAnsi" w:cstheme="majorHAnsi"/>
        </w:rPr>
      </w:pPr>
      <w:r>
        <w:rPr>
          <w:rFonts w:asciiTheme="majorHAnsi" w:hAnsiTheme="majorHAnsi" w:cstheme="majorHAnsi"/>
        </w:rPr>
        <w:t>Analysis of uSFR between the control and the experimental groups showed no significant difference before treatment (</w:t>
      </w:r>
      <w:r>
        <w:rPr>
          <w:rFonts w:asciiTheme="majorHAnsi" w:hAnsiTheme="majorHAnsi" w:cstheme="majorHAnsi"/>
          <w:b/>
          <w:bCs/>
        </w:rPr>
        <w:t>Table 4</w:t>
      </w:r>
      <w:r>
        <w:rPr>
          <w:rFonts w:asciiTheme="majorHAnsi" w:hAnsiTheme="majorHAnsi" w:cstheme="majorHAnsi"/>
        </w:rPr>
        <w:t xml:space="preserve">). After treatment, the uSFR in the experimental group was significantly lower than that in the control group (P &lt; 0.05), indicating that fire needling reduces saliva production in patients. </w:t>
      </w:r>
    </w:p>
    <w:p w14:paraId="73E3895D">
      <w:pPr>
        <w:tabs>
          <w:tab w:val="left" w:pos="426"/>
        </w:tabs>
        <w:rPr>
          <w:rFonts w:eastAsia="宋体" w:asciiTheme="majorHAnsi" w:hAnsiTheme="majorHAnsi" w:cstheme="majorHAnsi"/>
          <w:lang w:eastAsia="zh-CN"/>
        </w:rPr>
      </w:pPr>
      <w:r>
        <w:rPr>
          <w:rFonts w:eastAsia="宋体" w:asciiTheme="majorHAnsi" w:hAnsiTheme="majorHAnsi" w:cstheme="majorHAnsi"/>
          <w:lang w:eastAsia="zh-CN"/>
        </w:rPr>
        <w:t>(</w:t>
      </w:r>
      <w:r>
        <w:rPr>
          <w:rFonts w:eastAsia="宋体" w:asciiTheme="majorHAnsi" w:hAnsiTheme="majorHAnsi" w:cstheme="majorHAnsi"/>
          <w:b/>
          <w:bCs/>
          <w:lang w:eastAsia="zh-CN"/>
        </w:rPr>
        <w:t>Place Table 4 here</w:t>
      </w:r>
      <w:r>
        <w:rPr>
          <w:rFonts w:eastAsia="宋体" w:asciiTheme="majorHAnsi" w:hAnsiTheme="majorHAnsi" w:cstheme="majorHAnsi"/>
          <w:lang w:eastAsia="zh-CN"/>
        </w:rPr>
        <w:t>)</w:t>
      </w:r>
    </w:p>
    <w:p w14:paraId="73E3895E">
      <w:pPr>
        <w:tabs>
          <w:tab w:val="left" w:pos="426"/>
        </w:tabs>
        <w:rPr>
          <w:rFonts w:asciiTheme="majorHAnsi" w:hAnsiTheme="majorHAnsi" w:cstheme="majorHAnsi"/>
        </w:rPr>
      </w:pPr>
    </w:p>
    <w:p w14:paraId="2BD9E10D">
      <w:pPr>
        <w:tabs>
          <w:tab w:val="left" w:pos="426"/>
        </w:tabs>
        <w:rPr>
          <w:rFonts w:eastAsia="宋体" w:asciiTheme="majorHAnsi" w:hAnsiTheme="majorHAnsi" w:cstheme="majorHAnsi"/>
          <w:lang w:eastAsia="zh-CN"/>
        </w:rPr>
      </w:pPr>
      <w:r>
        <w:rPr>
          <w:rFonts w:asciiTheme="majorHAnsi" w:hAnsiTheme="majorHAnsi" w:cstheme="majorHAnsi"/>
        </w:rPr>
        <w:t xml:space="preserve">Furthermore, analysis of </w:t>
      </w:r>
      <w:r>
        <w:rPr>
          <w:rFonts w:eastAsia="宋体" w:asciiTheme="majorHAnsi" w:hAnsiTheme="majorHAnsi" w:cstheme="majorHAnsi"/>
          <w:lang w:eastAsia="zh-CN"/>
        </w:rPr>
        <w:t xml:space="preserve">SAV-1h </w:t>
      </w:r>
      <w:r>
        <w:rPr>
          <w:rFonts w:asciiTheme="majorHAnsi" w:hAnsiTheme="majorHAnsi" w:cstheme="majorHAnsi"/>
        </w:rPr>
        <w:t>between the control group and the experimental group showed no significant difference before treatment (</w:t>
      </w:r>
      <w:r>
        <w:rPr>
          <w:rFonts w:asciiTheme="majorHAnsi" w:hAnsiTheme="majorHAnsi" w:cstheme="majorHAnsi"/>
          <w:b/>
          <w:bCs/>
        </w:rPr>
        <w:t>Table 5</w:t>
      </w:r>
      <w:r>
        <w:rPr>
          <w:rFonts w:asciiTheme="majorHAnsi" w:hAnsiTheme="majorHAnsi" w:cstheme="majorHAnsi"/>
        </w:rPr>
        <w:t>). After treatment, the subglottic secretion aspirate volume over 1 h in the experimental group was significantly lower than that in the control group (P &lt; 0.05), indicating that fire needling reduces subglottic saliva accumulation in patients.</w:t>
      </w:r>
    </w:p>
    <w:p w14:paraId="73E3895F">
      <w:pPr>
        <w:tabs>
          <w:tab w:val="left" w:pos="426"/>
        </w:tabs>
        <w:rPr>
          <w:rFonts w:eastAsia="宋体" w:asciiTheme="majorHAnsi" w:hAnsiTheme="majorHAnsi" w:cstheme="majorHAnsi"/>
          <w:lang w:eastAsia="zh-CN"/>
        </w:rPr>
      </w:pPr>
      <w:r>
        <w:rPr>
          <w:rFonts w:eastAsia="宋体" w:asciiTheme="majorHAnsi" w:hAnsiTheme="majorHAnsi" w:cstheme="majorHAnsi"/>
          <w:b/>
          <w:bCs/>
          <w:lang w:eastAsia="zh-CN"/>
        </w:rPr>
        <w:t>(Place Table 5 here</w:t>
      </w:r>
      <w:r>
        <w:rPr>
          <w:rFonts w:eastAsia="宋体" w:asciiTheme="majorHAnsi" w:hAnsiTheme="majorHAnsi" w:cstheme="majorHAnsi"/>
          <w:lang w:eastAsia="zh-CN"/>
        </w:rPr>
        <w:t>)</w:t>
      </w:r>
    </w:p>
    <w:p w14:paraId="73E38960">
      <w:pPr>
        <w:tabs>
          <w:tab w:val="left" w:pos="426"/>
        </w:tabs>
        <w:rPr>
          <w:rFonts w:asciiTheme="majorHAnsi" w:hAnsiTheme="majorHAnsi" w:cstheme="majorHAnsi"/>
        </w:rPr>
      </w:pPr>
    </w:p>
    <w:p w14:paraId="73E38961">
      <w:pPr>
        <w:tabs>
          <w:tab w:val="left" w:pos="426"/>
        </w:tabs>
        <w:rPr>
          <w:rFonts w:asciiTheme="majorHAnsi" w:hAnsiTheme="majorHAnsi" w:cstheme="majorHAnsi"/>
        </w:rPr>
      </w:pPr>
      <w:r>
        <w:rPr>
          <w:rFonts w:asciiTheme="majorHAnsi" w:hAnsiTheme="majorHAnsi" w:cstheme="majorHAnsi"/>
        </w:rPr>
        <w:t>Regarding the safety of this trial: none of the 20 patients who received fire needling experienced bleeding, severe pain, burns, or infection. Most patients experienced only mild pain and slight local redness at the fire needling points, which resolved spontaneously within 1–2 days, leaving minor pigmentation or small scabs. Only one patient had a residual depressed scar, which may be related to individual constitution.</w:t>
      </w:r>
    </w:p>
    <w:p w14:paraId="73E38962">
      <w:pPr>
        <w:tabs>
          <w:tab w:val="left" w:pos="426"/>
        </w:tabs>
        <w:rPr>
          <w:rFonts w:asciiTheme="majorHAnsi" w:hAnsiTheme="majorHAnsi" w:cstheme="majorHAnsi"/>
          <w:b/>
        </w:rPr>
      </w:pPr>
    </w:p>
    <w:p w14:paraId="73E38963">
      <w:pPr>
        <w:tabs>
          <w:tab w:val="left" w:pos="426"/>
        </w:tabs>
        <w:rPr>
          <w:rFonts w:asciiTheme="majorHAnsi" w:hAnsiTheme="majorHAnsi" w:cstheme="majorHAnsi"/>
        </w:rPr>
      </w:pPr>
      <w:r>
        <w:rPr>
          <w:rFonts w:asciiTheme="majorHAnsi" w:hAnsiTheme="majorHAnsi" w:cstheme="majorHAnsi"/>
          <w:b/>
        </w:rPr>
        <w:t>FIGURE AND TABLE LEGENDS:</w:t>
      </w:r>
      <w:r>
        <w:rPr>
          <w:rFonts w:asciiTheme="majorHAnsi" w:hAnsiTheme="majorHAnsi" w:cstheme="majorHAnsi"/>
        </w:rPr>
        <w:t xml:space="preserve"> </w:t>
      </w:r>
    </w:p>
    <w:p w14:paraId="73E38964">
      <w:pPr>
        <w:tabs>
          <w:tab w:val="left" w:pos="426"/>
        </w:tabs>
        <w:rPr>
          <w:rFonts w:asciiTheme="majorHAnsi" w:hAnsiTheme="majorHAnsi" w:cstheme="majorHAnsi"/>
          <w:b/>
          <w:bCs/>
        </w:rPr>
      </w:pPr>
    </w:p>
    <w:p w14:paraId="73E38965">
      <w:pPr>
        <w:tabs>
          <w:tab w:val="left" w:pos="426"/>
        </w:tabs>
        <w:rPr>
          <w:rFonts w:asciiTheme="majorHAnsi" w:hAnsiTheme="majorHAnsi" w:cstheme="majorHAnsi"/>
        </w:rPr>
      </w:pPr>
      <w:r>
        <w:rPr>
          <w:rFonts w:asciiTheme="majorHAnsi" w:hAnsiTheme="majorHAnsi" w:cstheme="majorHAnsi"/>
          <w:b/>
          <w:bCs/>
        </w:rPr>
        <w:t xml:space="preserve">Figure </w:t>
      </w:r>
      <w:r>
        <w:rPr>
          <w:rFonts w:eastAsia="宋体" w:asciiTheme="majorHAnsi" w:hAnsiTheme="majorHAnsi" w:cstheme="majorHAnsi"/>
          <w:b/>
          <w:bCs/>
          <w:lang w:eastAsia="zh-CN"/>
        </w:rPr>
        <w:t>1</w:t>
      </w:r>
      <w:r>
        <w:rPr>
          <w:rFonts w:eastAsia="宋体" w:asciiTheme="majorHAnsi" w:hAnsiTheme="majorHAnsi" w:cstheme="majorHAnsi"/>
          <w:lang w:eastAsia="zh-CN"/>
        </w:rPr>
        <w:t xml:space="preserve">: </w:t>
      </w:r>
      <w:r>
        <w:rPr>
          <w:rFonts w:asciiTheme="majorHAnsi" w:hAnsiTheme="majorHAnsi" w:cstheme="majorHAnsi"/>
          <w:b/>
          <w:bCs/>
        </w:rPr>
        <w:t>Materials required for the protocol.</w:t>
      </w:r>
      <w:r>
        <w:rPr>
          <w:rFonts w:asciiTheme="majorHAnsi" w:hAnsiTheme="majorHAnsi" w:cstheme="majorHAnsi"/>
        </w:rPr>
        <w:t xml:space="preserve"> (</w:t>
      </w:r>
      <w:r>
        <w:rPr>
          <w:rFonts w:asciiTheme="majorHAnsi" w:hAnsiTheme="majorHAnsi" w:cstheme="majorHAnsi"/>
          <w:b/>
          <w:bCs/>
        </w:rPr>
        <w:t>A</w:t>
      </w:r>
      <w:r>
        <w:rPr>
          <w:rFonts w:asciiTheme="majorHAnsi" w:hAnsiTheme="majorHAnsi" w:cstheme="majorHAnsi"/>
        </w:rPr>
        <w:t>) Medical ultrasound coupling agent; (</w:t>
      </w:r>
      <w:r>
        <w:rPr>
          <w:rFonts w:asciiTheme="majorHAnsi" w:hAnsiTheme="majorHAnsi" w:cstheme="majorHAnsi"/>
          <w:b/>
          <w:bCs/>
        </w:rPr>
        <w:t>B</w:t>
      </w:r>
      <w:r>
        <w:rPr>
          <w:rFonts w:asciiTheme="majorHAnsi" w:hAnsiTheme="majorHAnsi" w:cstheme="majorHAnsi"/>
        </w:rPr>
        <w:t>) Alcohol lamp; (C) alcohol disinfectant; (</w:t>
      </w:r>
      <w:r>
        <w:rPr>
          <w:rFonts w:asciiTheme="majorHAnsi" w:hAnsiTheme="majorHAnsi" w:cstheme="majorHAnsi"/>
          <w:b/>
          <w:bCs/>
        </w:rPr>
        <w:t>D</w:t>
      </w:r>
      <w:r>
        <w:rPr>
          <w:rFonts w:asciiTheme="majorHAnsi" w:hAnsiTheme="majorHAnsi" w:cstheme="majorHAnsi"/>
        </w:rPr>
        <w:t>) Fire needle; (</w:t>
      </w:r>
      <w:r>
        <w:rPr>
          <w:rFonts w:asciiTheme="majorHAnsi" w:hAnsiTheme="majorHAnsi" w:cstheme="majorHAnsi"/>
          <w:b/>
          <w:bCs/>
        </w:rPr>
        <w:t>E</w:t>
      </w:r>
      <w:r>
        <w:rPr>
          <w:rFonts w:asciiTheme="majorHAnsi" w:hAnsiTheme="majorHAnsi" w:cstheme="majorHAnsi"/>
        </w:rPr>
        <w:t>) Lighter; (</w:t>
      </w:r>
      <w:r>
        <w:rPr>
          <w:rFonts w:asciiTheme="majorHAnsi" w:hAnsiTheme="majorHAnsi" w:cstheme="majorHAnsi"/>
          <w:b/>
          <w:bCs/>
        </w:rPr>
        <w:t>F</w:t>
      </w:r>
      <w:r>
        <w:rPr>
          <w:rFonts w:asciiTheme="majorHAnsi" w:hAnsiTheme="majorHAnsi" w:cstheme="majorHAnsi"/>
        </w:rPr>
        <w:t>) Medical cotton swabs; (</w:t>
      </w:r>
      <w:r>
        <w:rPr>
          <w:rFonts w:asciiTheme="majorHAnsi" w:hAnsiTheme="majorHAnsi" w:cstheme="majorHAnsi"/>
          <w:b/>
          <w:bCs/>
        </w:rPr>
        <w:t>G</w:t>
      </w:r>
      <w:r>
        <w:rPr>
          <w:rFonts w:asciiTheme="majorHAnsi" w:hAnsiTheme="majorHAnsi" w:cstheme="majorHAnsi"/>
        </w:rPr>
        <w:t>) Medical mask; (</w:t>
      </w:r>
      <w:r>
        <w:rPr>
          <w:rFonts w:asciiTheme="majorHAnsi" w:hAnsiTheme="majorHAnsi" w:cstheme="majorHAnsi"/>
          <w:b/>
          <w:bCs/>
        </w:rPr>
        <w:t>H</w:t>
      </w:r>
      <w:r>
        <w:rPr>
          <w:rFonts w:asciiTheme="majorHAnsi" w:hAnsiTheme="majorHAnsi" w:cstheme="majorHAnsi"/>
        </w:rPr>
        <w:t>) Medical cap; (</w:t>
      </w:r>
      <w:r>
        <w:rPr>
          <w:rFonts w:asciiTheme="majorHAnsi" w:hAnsiTheme="majorHAnsi" w:cstheme="majorHAnsi"/>
          <w:b/>
          <w:bCs/>
        </w:rPr>
        <w:t>I</w:t>
      </w:r>
      <w:r>
        <w:rPr>
          <w:rFonts w:asciiTheme="majorHAnsi" w:hAnsiTheme="majorHAnsi" w:cstheme="majorHAnsi"/>
        </w:rPr>
        <w:t>) Medical gloves; (</w:t>
      </w:r>
      <w:r>
        <w:rPr>
          <w:rFonts w:asciiTheme="majorHAnsi" w:hAnsiTheme="majorHAnsi" w:cstheme="majorHAnsi"/>
          <w:b/>
          <w:bCs/>
        </w:rPr>
        <w:t>J</w:t>
      </w:r>
      <w:r>
        <w:rPr>
          <w:rFonts w:asciiTheme="majorHAnsi" w:hAnsiTheme="majorHAnsi" w:cstheme="majorHAnsi"/>
        </w:rPr>
        <w:t>) Sterile ultrasound probe cover; (</w:t>
      </w:r>
      <w:r>
        <w:rPr>
          <w:rFonts w:asciiTheme="majorHAnsi" w:hAnsiTheme="majorHAnsi" w:cstheme="majorHAnsi"/>
          <w:b/>
          <w:bCs/>
        </w:rPr>
        <w:t>K</w:t>
      </w:r>
      <w:r>
        <w:rPr>
          <w:rFonts w:asciiTheme="majorHAnsi" w:hAnsiTheme="majorHAnsi" w:cstheme="majorHAnsi"/>
        </w:rPr>
        <w:t>) Ultrasound machine</w:t>
      </w:r>
      <w:r>
        <w:rPr>
          <w:rFonts w:eastAsia="宋体" w:asciiTheme="majorHAnsi" w:hAnsiTheme="majorHAnsi" w:cstheme="majorHAnsi"/>
          <w:lang w:eastAsia="zh-CN"/>
        </w:rPr>
        <w:t>.</w:t>
      </w:r>
    </w:p>
    <w:p w14:paraId="73E38966">
      <w:pPr>
        <w:tabs>
          <w:tab w:val="left" w:pos="426"/>
        </w:tabs>
        <w:rPr>
          <w:rFonts w:asciiTheme="majorHAnsi" w:hAnsiTheme="majorHAnsi" w:cstheme="majorHAnsi"/>
          <w:b/>
          <w:bCs/>
        </w:rPr>
      </w:pPr>
    </w:p>
    <w:p w14:paraId="73E38967">
      <w:pPr>
        <w:tabs>
          <w:tab w:val="left" w:pos="426"/>
        </w:tabs>
        <w:rPr>
          <w:rFonts w:asciiTheme="majorHAnsi" w:hAnsiTheme="majorHAnsi" w:cstheme="majorHAnsi"/>
        </w:rPr>
      </w:pPr>
      <w:r>
        <w:rPr>
          <w:rFonts w:asciiTheme="majorHAnsi" w:hAnsiTheme="majorHAnsi" w:cstheme="majorHAnsi"/>
          <w:b/>
          <w:bCs/>
        </w:rPr>
        <w:t xml:space="preserve">Figure </w:t>
      </w:r>
      <w:r>
        <w:rPr>
          <w:rFonts w:eastAsia="宋体" w:asciiTheme="majorHAnsi" w:hAnsiTheme="majorHAnsi" w:cstheme="majorHAnsi"/>
          <w:b/>
          <w:bCs/>
          <w:lang w:eastAsia="zh-CN"/>
        </w:rPr>
        <w:t xml:space="preserve">2: </w:t>
      </w:r>
      <w:r>
        <w:rPr>
          <w:rFonts w:asciiTheme="majorHAnsi" w:hAnsiTheme="majorHAnsi" w:cstheme="majorHAnsi"/>
          <w:b/>
          <w:bCs/>
        </w:rPr>
        <w:t xml:space="preserve">Acupoint selection and needling sites. </w:t>
      </w:r>
      <w:r>
        <w:rPr>
          <w:rFonts w:asciiTheme="majorHAnsi" w:hAnsiTheme="majorHAnsi" w:cstheme="majorHAnsi"/>
        </w:rPr>
        <w:t>(</w:t>
      </w:r>
      <w:r>
        <w:rPr>
          <w:rFonts w:asciiTheme="majorHAnsi" w:hAnsiTheme="majorHAnsi" w:cstheme="majorHAnsi"/>
          <w:b/>
          <w:bCs/>
        </w:rPr>
        <w:t>A</w:t>
      </w:r>
      <w:r>
        <w:rPr>
          <w:rFonts w:asciiTheme="majorHAnsi" w:hAnsiTheme="majorHAnsi" w:cstheme="majorHAnsi"/>
        </w:rPr>
        <w:t>) Xiaguan (ST7) and points 0.5 cm lateral to it on both sides horizontally; (</w:t>
      </w:r>
      <w:r>
        <w:rPr>
          <w:rFonts w:asciiTheme="majorHAnsi" w:hAnsiTheme="majorHAnsi" w:cstheme="majorHAnsi"/>
          <w:b/>
          <w:bCs/>
        </w:rPr>
        <w:t>B</w:t>
      </w:r>
      <w:r>
        <w:rPr>
          <w:rFonts w:asciiTheme="majorHAnsi" w:hAnsiTheme="majorHAnsi" w:cstheme="majorHAnsi"/>
        </w:rPr>
        <w:t>) Yifeng (SJ17) and points 0.5 cm lateral to it on both sides vertically; (</w:t>
      </w:r>
      <w:r>
        <w:rPr>
          <w:rFonts w:asciiTheme="majorHAnsi" w:hAnsiTheme="majorHAnsi" w:cstheme="majorHAnsi"/>
          <w:b/>
          <w:bCs/>
        </w:rPr>
        <w:t>C</w:t>
      </w:r>
      <w:r>
        <w:rPr>
          <w:rFonts w:asciiTheme="majorHAnsi" w:hAnsiTheme="majorHAnsi" w:cstheme="majorHAnsi"/>
        </w:rPr>
        <w:t>) The Inferior Jiache point and points 0.5 cm lateral to it on both the anterior and posterior sides.</w:t>
      </w:r>
    </w:p>
    <w:p w14:paraId="73E38968">
      <w:pPr>
        <w:tabs>
          <w:tab w:val="left" w:pos="426"/>
        </w:tabs>
        <w:rPr>
          <w:rFonts w:asciiTheme="majorHAnsi" w:hAnsiTheme="majorHAnsi" w:cstheme="majorHAnsi"/>
          <w:b/>
          <w:bCs/>
        </w:rPr>
      </w:pPr>
    </w:p>
    <w:p w14:paraId="73E38969">
      <w:pPr>
        <w:tabs>
          <w:tab w:val="left" w:pos="426"/>
        </w:tabs>
        <w:rPr>
          <w:rFonts w:asciiTheme="majorHAnsi" w:hAnsiTheme="majorHAnsi" w:cstheme="majorHAnsi"/>
        </w:rPr>
      </w:pPr>
      <w:r>
        <w:rPr>
          <w:rFonts w:asciiTheme="majorHAnsi" w:hAnsiTheme="majorHAnsi" w:cstheme="majorHAnsi"/>
          <w:b/>
          <w:bCs/>
        </w:rPr>
        <w:t xml:space="preserve">Figure </w:t>
      </w:r>
      <w:r>
        <w:rPr>
          <w:rFonts w:eastAsia="宋体" w:asciiTheme="majorHAnsi" w:hAnsiTheme="majorHAnsi" w:cstheme="majorHAnsi"/>
          <w:b/>
          <w:bCs/>
          <w:lang w:eastAsia="zh-CN"/>
        </w:rPr>
        <w:t>3</w:t>
      </w:r>
      <w:r>
        <w:rPr>
          <w:rFonts w:eastAsia="宋体" w:asciiTheme="majorHAnsi" w:hAnsiTheme="majorHAnsi" w:cstheme="majorHAnsi"/>
          <w:lang w:eastAsia="zh-CN"/>
        </w:rPr>
        <w:t xml:space="preserve">: </w:t>
      </w:r>
      <w:r>
        <w:rPr>
          <w:rFonts w:eastAsia="宋体" w:asciiTheme="majorHAnsi" w:hAnsiTheme="majorHAnsi" w:cstheme="majorHAnsi"/>
          <w:b/>
          <w:bCs/>
          <w:lang w:eastAsia="zh-CN"/>
        </w:rPr>
        <w:t xml:space="preserve">Probe placement and scanning views of </w:t>
      </w:r>
      <w:r>
        <w:rPr>
          <w:rFonts w:asciiTheme="majorHAnsi" w:hAnsiTheme="majorHAnsi" w:cstheme="majorHAnsi"/>
          <w:b/>
          <w:bCs/>
        </w:rPr>
        <w:t xml:space="preserve">Xiaguan (ST7), Yifeng (SJ17), and the inferior Jiache point. </w:t>
      </w:r>
      <w:r>
        <w:rPr>
          <w:rFonts w:asciiTheme="majorHAnsi" w:hAnsiTheme="majorHAnsi" w:cstheme="majorHAnsi"/>
        </w:rPr>
        <w:t>Probe placement perpendicular to the longitudinal axis of the body to obtain a standard view of the right (</w:t>
      </w:r>
      <w:r>
        <w:rPr>
          <w:rFonts w:asciiTheme="majorHAnsi" w:hAnsiTheme="majorHAnsi" w:cstheme="majorHAnsi"/>
          <w:b/>
          <w:bCs/>
        </w:rPr>
        <w:t>A</w:t>
      </w:r>
      <w:r>
        <w:rPr>
          <w:rFonts w:asciiTheme="majorHAnsi" w:hAnsiTheme="majorHAnsi" w:cstheme="majorHAnsi"/>
        </w:rPr>
        <w:t>) Xiaguan (ST7), (</w:t>
      </w:r>
      <w:r>
        <w:rPr>
          <w:rFonts w:asciiTheme="majorHAnsi" w:hAnsiTheme="majorHAnsi" w:cstheme="majorHAnsi"/>
          <w:b/>
          <w:bCs/>
        </w:rPr>
        <w:t>C</w:t>
      </w:r>
      <w:r>
        <w:rPr>
          <w:rFonts w:asciiTheme="majorHAnsi" w:hAnsiTheme="majorHAnsi" w:cstheme="majorHAnsi"/>
        </w:rPr>
        <w:t>) Yifeng (TE17), (</w:t>
      </w:r>
      <w:r>
        <w:rPr>
          <w:rFonts w:asciiTheme="majorHAnsi" w:hAnsiTheme="majorHAnsi" w:cstheme="majorHAnsi"/>
          <w:b/>
          <w:bCs/>
        </w:rPr>
        <w:t>E</w:t>
      </w:r>
      <w:r>
        <w:rPr>
          <w:rFonts w:asciiTheme="majorHAnsi" w:hAnsiTheme="majorHAnsi" w:cstheme="majorHAnsi"/>
        </w:rPr>
        <w:t>) Inferior Jiache Point. Scanning views of (</w:t>
      </w:r>
      <w:r>
        <w:rPr>
          <w:rFonts w:asciiTheme="majorHAnsi" w:hAnsiTheme="majorHAnsi" w:cstheme="majorHAnsi"/>
          <w:b/>
          <w:bCs/>
        </w:rPr>
        <w:t>B</w:t>
      </w:r>
      <w:r>
        <w:rPr>
          <w:rFonts w:asciiTheme="majorHAnsi" w:hAnsiTheme="majorHAnsi" w:cstheme="majorHAnsi"/>
        </w:rPr>
        <w:t>) Xiaguan (ST7). (</w:t>
      </w:r>
      <w:r>
        <w:rPr>
          <w:rFonts w:asciiTheme="majorHAnsi" w:hAnsiTheme="majorHAnsi" w:cstheme="majorHAnsi"/>
          <w:b/>
          <w:bCs/>
        </w:rPr>
        <w:t>D</w:t>
      </w:r>
      <w:r>
        <w:rPr>
          <w:rFonts w:asciiTheme="majorHAnsi" w:hAnsiTheme="majorHAnsi" w:cstheme="majorHAnsi"/>
        </w:rPr>
        <w:t>) Yifeng (TE17), (</w:t>
      </w:r>
      <w:r>
        <w:rPr>
          <w:rFonts w:asciiTheme="majorHAnsi" w:hAnsiTheme="majorHAnsi" w:cstheme="majorHAnsi"/>
          <w:b/>
          <w:bCs/>
        </w:rPr>
        <w:t>F</w:t>
      </w:r>
      <w:r>
        <w:rPr>
          <w:rFonts w:asciiTheme="majorHAnsi" w:hAnsiTheme="majorHAnsi" w:cstheme="majorHAnsi"/>
        </w:rPr>
        <w:t>) Inferior Jiache Point. Abbreviations: MR = masseter muscle; PG = parotid gland; SMG = submandibular gland; FA = facial artery.</w:t>
      </w:r>
    </w:p>
    <w:p w14:paraId="73E38970">
      <w:pPr>
        <w:tabs>
          <w:tab w:val="left" w:pos="426"/>
        </w:tabs>
        <w:rPr>
          <w:rFonts w:eastAsia="宋体" w:asciiTheme="majorHAnsi" w:hAnsiTheme="majorHAnsi" w:cstheme="majorHAnsi"/>
          <w:b/>
          <w:bCs/>
          <w:lang w:eastAsia="zh-CN"/>
        </w:rPr>
      </w:pPr>
    </w:p>
    <w:p w14:paraId="73E38971">
      <w:pPr>
        <w:tabs>
          <w:tab w:val="left" w:pos="426"/>
        </w:tabs>
        <w:rPr>
          <w:rFonts w:eastAsia="宋体" w:asciiTheme="majorHAnsi" w:hAnsiTheme="majorHAnsi" w:cstheme="majorHAnsi"/>
          <w:b/>
          <w:bCs/>
          <w:lang w:eastAsia="zh-CN"/>
        </w:rPr>
      </w:pPr>
      <w:r>
        <w:rPr>
          <w:rFonts w:eastAsia="宋体" w:asciiTheme="majorHAnsi" w:hAnsiTheme="majorHAnsi" w:cstheme="majorHAnsi"/>
          <w:b/>
          <w:bCs/>
          <w:lang w:eastAsia="zh-CN"/>
        </w:rPr>
        <w:t xml:space="preserve">Table 1: </w:t>
      </w:r>
      <w:r>
        <w:rPr>
          <w:rFonts w:asciiTheme="majorHAnsi" w:hAnsiTheme="majorHAnsi" w:cstheme="majorHAnsi"/>
          <w:b/>
          <w:bCs/>
        </w:rPr>
        <w:t>Drooling severity and frequency scale</w:t>
      </w:r>
      <w:r>
        <w:rPr>
          <w:rFonts w:eastAsia="宋体" w:asciiTheme="majorHAnsi" w:hAnsiTheme="majorHAnsi" w:cstheme="majorHAnsi"/>
          <w:b/>
          <w:bCs/>
          <w:lang w:eastAsia="zh-CN"/>
        </w:rPr>
        <w:t>.</w:t>
      </w:r>
    </w:p>
    <w:p w14:paraId="73E38972">
      <w:pPr>
        <w:tabs>
          <w:tab w:val="left" w:pos="426"/>
        </w:tabs>
        <w:rPr>
          <w:rFonts w:asciiTheme="majorHAnsi" w:hAnsiTheme="majorHAnsi" w:cstheme="majorHAnsi"/>
          <w:b/>
          <w:bCs/>
        </w:rPr>
      </w:pPr>
    </w:p>
    <w:p w14:paraId="73E38973">
      <w:pPr>
        <w:tabs>
          <w:tab w:val="left" w:pos="426"/>
        </w:tabs>
        <w:rPr>
          <w:rFonts w:asciiTheme="majorHAnsi" w:hAnsiTheme="majorHAnsi" w:cstheme="majorHAnsi"/>
        </w:rPr>
      </w:pPr>
      <w:r>
        <w:rPr>
          <w:rFonts w:asciiTheme="majorHAnsi" w:hAnsiTheme="majorHAnsi" w:cstheme="majorHAnsi"/>
          <w:b/>
          <w:bCs/>
        </w:rPr>
        <w:t>Table 2</w:t>
      </w:r>
      <w:r>
        <w:rPr>
          <w:rFonts w:eastAsia="宋体" w:asciiTheme="majorHAnsi" w:hAnsiTheme="majorHAnsi" w:cstheme="majorHAnsi"/>
          <w:b/>
          <w:bCs/>
          <w:lang w:eastAsia="zh-CN"/>
        </w:rPr>
        <w:t xml:space="preserve">: </w:t>
      </w:r>
      <w:r>
        <w:rPr>
          <w:rFonts w:asciiTheme="majorHAnsi" w:hAnsiTheme="majorHAnsi" w:cstheme="majorHAnsi"/>
          <w:b/>
          <w:bCs/>
        </w:rPr>
        <w:t xml:space="preserve">DSFS-S scores of the control and the experimental groups before and after treatment. </w:t>
      </w:r>
      <w:r>
        <w:rPr>
          <w:rFonts w:asciiTheme="majorHAnsi" w:hAnsiTheme="majorHAnsi" w:cstheme="majorHAnsi"/>
        </w:rPr>
        <w:t xml:space="preserve">Comparisons were performed using the Mann-Whitney </w:t>
      </w:r>
      <w:r>
        <w:rPr>
          <w:rFonts w:asciiTheme="majorHAnsi" w:hAnsiTheme="majorHAnsi" w:cstheme="majorHAnsi"/>
          <w:i/>
          <w:iCs/>
        </w:rPr>
        <w:t>U</w:t>
      </w:r>
      <w:r>
        <w:rPr>
          <w:rFonts w:asciiTheme="majorHAnsi" w:hAnsiTheme="majorHAnsi" w:cstheme="majorHAnsi"/>
        </w:rPr>
        <w:t xml:space="preserve"> test. There was no significant difference between the two groups before treatment (P &gt; 0.05), whereas a significant difference was observed after treatment (P &lt; 0.05). These results indicate that fire needling improves the severity of sialorrhea.</w:t>
      </w:r>
    </w:p>
    <w:p w14:paraId="73E38974">
      <w:pPr>
        <w:tabs>
          <w:tab w:val="left" w:pos="426"/>
        </w:tabs>
        <w:rPr>
          <w:rFonts w:asciiTheme="majorHAnsi" w:hAnsiTheme="majorHAnsi" w:cstheme="majorHAnsi"/>
          <w:b/>
          <w:bCs/>
        </w:rPr>
      </w:pPr>
    </w:p>
    <w:p w14:paraId="73E38975">
      <w:pPr>
        <w:tabs>
          <w:tab w:val="left" w:pos="426"/>
        </w:tabs>
        <w:rPr>
          <w:rFonts w:asciiTheme="majorHAnsi" w:hAnsiTheme="majorHAnsi" w:cstheme="majorHAnsi"/>
        </w:rPr>
      </w:pPr>
      <w:r>
        <w:rPr>
          <w:rFonts w:asciiTheme="majorHAnsi" w:hAnsiTheme="majorHAnsi" w:cstheme="majorHAnsi"/>
          <w:b/>
          <w:bCs/>
        </w:rPr>
        <w:t>Table 3</w:t>
      </w:r>
      <w:r>
        <w:rPr>
          <w:rFonts w:eastAsia="宋体" w:asciiTheme="majorHAnsi" w:hAnsiTheme="majorHAnsi" w:cstheme="majorHAnsi"/>
          <w:b/>
          <w:bCs/>
          <w:lang w:eastAsia="zh-CN"/>
        </w:rPr>
        <w:t xml:space="preserve">: </w:t>
      </w:r>
      <w:r>
        <w:rPr>
          <w:rFonts w:asciiTheme="majorHAnsi" w:hAnsiTheme="majorHAnsi" w:cstheme="majorHAnsi"/>
          <w:b/>
          <w:bCs/>
        </w:rPr>
        <w:t>DSFS-F scores of the control and the experimental groups before and after treatment.</w:t>
      </w:r>
      <w:r>
        <w:rPr>
          <w:rFonts w:asciiTheme="majorHAnsi" w:hAnsiTheme="majorHAnsi" w:cstheme="majorHAnsi"/>
        </w:rPr>
        <w:t xml:space="preserve"> Comparisons were performed using the Mann-Whitney </w:t>
      </w:r>
      <w:r>
        <w:rPr>
          <w:rFonts w:asciiTheme="majorHAnsi" w:hAnsiTheme="majorHAnsi" w:cstheme="majorHAnsi"/>
          <w:i/>
          <w:iCs/>
        </w:rPr>
        <w:t>U</w:t>
      </w:r>
      <w:r>
        <w:rPr>
          <w:rFonts w:asciiTheme="majorHAnsi" w:hAnsiTheme="majorHAnsi" w:cstheme="majorHAnsi"/>
        </w:rPr>
        <w:t xml:space="preserve"> test. There was no significant difference between the two groups before treatment (P &gt; 0.05), whereas a significant difference was observed after treatment (P &lt; 0.05). These results indicate that fire needling reduces the frequency of drooling.</w:t>
      </w:r>
    </w:p>
    <w:p w14:paraId="73E38976">
      <w:pPr>
        <w:tabs>
          <w:tab w:val="left" w:pos="426"/>
        </w:tabs>
        <w:rPr>
          <w:rFonts w:asciiTheme="majorHAnsi" w:hAnsiTheme="majorHAnsi" w:cstheme="majorHAnsi"/>
          <w:b/>
          <w:bCs/>
        </w:rPr>
      </w:pPr>
    </w:p>
    <w:p w14:paraId="73E38977">
      <w:pPr>
        <w:tabs>
          <w:tab w:val="left" w:pos="426"/>
        </w:tabs>
        <w:rPr>
          <w:rFonts w:asciiTheme="majorHAnsi" w:hAnsiTheme="majorHAnsi" w:cstheme="majorHAnsi"/>
        </w:rPr>
      </w:pPr>
      <w:r>
        <w:rPr>
          <w:rFonts w:asciiTheme="majorHAnsi" w:hAnsiTheme="majorHAnsi" w:cstheme="majorHAnsi"/>
          <w:b/>
          <w:bCs/>
        </w:rPr>
        <w:t>Table 4</w:t>
      </w:r>
      <w:r>
        <w:rPr>
          <w:rFonts w:eastAsia="宋体" w:asciiTheme="majorHAnsi" w:hAnsiTheme="majorHAnsi" w:cstheme="majorHAnsi"/>
          <w:b/>
          <w:bCs/>
          <w:lang w:eastAsia="zh-CN"/>
        </w:rPr>
        <w:t xml:space="preserve">: </w:t>
      </w:r>
      <w:r>
        <w:rPr>
          <w:rFonts w:asciiTheme="majorHAnsi" w:hAnsiTheme="majorHAnsi" w:cstheme="majorHAnsi"/>
          <w:b/>
          <w:bCs/>
        </w:rPr>
        <w:t>uSFR values of the control and the experimental groups before and after treatment.</w:t>
      </w:r>
      <w:r>
        <w:rPr>
          <w:rFonts w:asciiTheme="majorHAnsi" w:hAnsiTheme="majorHAnsi" w:cstheme="majorHAnsi"/>
        </w:rPr>
        <w:t xml:space="preserve"> Comparisons were performed using the two independent samples </w:t>
      </w:r>
      <w:r>
        <w:rPr>
          <w:rFonts w:asciiTheme="majorHAnsi" w:hAnsiTheme="majorHAnsi" w:cstheme="majorHAnsi"/>
          <w:i/>
          <w:iCs/>
        </w:rPr>
        <w:t>t</w:t>
      </w:r>
      <w:r>
        <w:rPr>
          <w:rFonts w:asciiTheme="majorHAnsi" w:hAnsiTheme="majorHAnsi" w:cstheme="majorHAnsi"/>
        </w:rPr>
        <w:t>-test. There was no significant difference between the two groups before treatment (P &gt; 0.05), whereas a significant difference was observed after treatment (P &lt; 0.05), suggesting that fire needling reduces saliva production.</w:t>
      </w:r>
    </w:p>
    <w:p w14:paraId="73E38978">
      <w:pPr>
        <w:tabs>
          <w:tab w:val="left" w:pos="426"/>
        </w:tabs>
        <w:rPr>
          <w:rFonts w:asciiTheme="majorHAnsi" w:hAnsiTheme="majorHAnsi" w:cstheme="majorHAnsi"/>
          <w:b/>
          <w:bCs/>
        </w:rPr>
      </w:pPr>
    </w:p>
    <w:p w14:paraId="73E38979">
      <w:pPr>
        <w:tabs>
          <w:tab w:val="left" w:pos="426"/>
        </w:tabs>
        <w:rPr>
          <w:rFonts w:asciiTheme="majorHAnsi" w:hAnsiTheme="majorHAnsi" w:cstheme="majorHAnsi"/>
        </w:rPr>
      </w:pPr>
      <w:r>
        <w:rPr>
          <w:rFonts w:asciiTheme="majorHAnsi" w:hAnsiTheme="majorHAnsi" w:cstheme="majorHAnsi"/>
          <w:b/>
          <w:bCs/>
        </w:rPr>
        <w:t>Table 5</w:t>
      </w:r>
      <w:r>
        <w:rPr>
          <w:rFonts w:eastAsia="宋体" w:asciiTheme="majorHAnsi" w:hAnsiTheme="majorHAnsi" w:cstheme="majorHAnsi"/>
          <w:b/>
          <w:bCs/>
          <w:lang w:eastAsia="zh-CN"/>
        </w:rPr>
        <w:t>: S</w:t>
      </w:r>
      <w:r>
        <w:rPr>
          <w:rFonts w:asciiTheme="majorHAnsi" w:hAnsiTheme="majorHAnsi" w:cstheme="majorHAnsi"/>
          <w:b/>
          <w:bCs/>
        </w:rPr>
        <w:t>ubglottic secretion aspirate volume over 1 h (SAV-1h) of the control and the experimental groups before and after treatment.</w:t>
      </w:r>
      <w:r>
        <w:rPr>
          <w:rFonts w:asciiTheme="majorHAnsi" w:hAnsiTheme="majorHAnsi" w:cstheme="majorHAnsi"/>
        </w:rPr>
        <w:t xml:space="preserve"> Comparisons were performed using the two independent samples </w:t>
      </w:r>
      <w:r>
        <w:rPr>
          <w:rFonts w:asciiTheme="majorHAnsi" w:hAnsiTheme="majorHAnsi" w:cstheme="majorHAnsi"/>
          <w:i/>
          <w:iCs/>
        </w:rPr>
        <w:t>t</w:t>
      </w:r>
      <w:r>
        <w:rPr>
          <w:rFonts w:asciiTheme="majorHAnsi" w:hAnsiTheme="majorHAnsi" w:cstheme="majorHAnsi"/>
        </w:rPr>
        <w:t>-test. There was no significant difference between the two groups before treatment (P &gt; 0.05), whereas a significant difference was observed after treatment (P &lt; 0.05), suggesting that fire needling reduces subglottic saliva accumulation.</w:t>
      </w:r>
    </w:p>
    <w:p w14:paraId="73E3897A">
      <w:pPr>
        <w:tabs>
          <w:tab w:val="left" w:pos="426"/>
        </w:tabs>
        <w:rPr>
          <w:rFonts w:asciiTheme="majorHAnsi" w:hAnsiTheme="majorHAnsi" w:cstheme="majorHAnsi"/>
          <w:b/>
        </w:rPr>
      </w:pPr>
    </w:p>
    <w:p w14:paraId="12A3B635">
      <w:pPr>
        <w:tabs>
          <w:tab w:val="left" w:pos="426"/>
        </w:tabs>
        <w:rPr>
          <w:rFonts w:asciiTheme="majorHAnsi" w:hAnsiTheme="majorHAnsi" w:cstheme="majorHAnsi"/>
        </w:rPr>
      </w:pPr>
      <w:r>
        <w:rPr>
          <w:rFonts w:asciiTheme="majorHAnsi" w:hAnsiTheme="majorHAnsi" w:cstheme="majorHAnsi"/>
          <w:b/>
          <w:bCs/>
        </w:rPr>
        <w:t>Supplemental File 1: Diagnostic criteria for cerebral hemorrhage or cerebral infarction from the "Diagnostic Criteria for Various Cerebrovascular Diseases" revised at the Fourth National Conference on Cerebrovascular Diseases of the Chinese Medical Association</w:t>
      </w:r>
      <w:r>
        <w:rPr>
          <w:rFonts w:eastAsia="宋体" w:asciiTheme="majorHAnsi" w:hAnsiTheme="majorHAnsi" w:cstheme="majorHAnsi"/>
          <w:b/>
          <w:bCs/>
          <w:lang w:eastAsia="zh-CN"/>
        </w:rPr>
        <w:t>.</w:t>
      </w:r>
    </w:p>
    <w:p w14:paraId="041B1792">
      <w:pPr>
        <w:tabs>
          <w:tab w:val="left" w:pos="426"/>
        </w:tabs>
        <w:rPr>
          <w:rFonts w:asciiTheme="majorHAnsi" w:hAnsiTheme="majorHAnsi" w:cstheme="majorHAnsi"/>
          <w:b/>
        </w:rPr>
      </w:pPr>
    </w:p>
    <w:p w14:paraId="73E3897B">
      <w:pPr>
        <w:tabs>
          <w:tab w:val="left" w:pos="426"/>
        </w:tabs>
        <w:rPr>
          <w:rFonts w:asciiTheme="majorHAnsi" w:hAnsiTheme="majorHAnsi" w:cstheme="majorHAnsi"/>
          <w:b/>
        </w:rPr>
      </w:pPr>
      <w:r>
        <w:rPr>
          <w:rFonts w:asciiTheme="majorHAnsi" w:hAnsiTheme="majorHAnsi" w:cstheme="majorHAnsi"/>
          <w:b/>
        </w:rPr>
        <w:t>DISCUSSION:</w:t>
      </w:r>
    </w:p>
    <w:p w14:paraId="73E3897D">
      <w:pPr>
        <w:tabs>
          <w:tab w:val="left" w:pos="426"/>
        </w:tabs>
        <w:rPr>
          <w:rFonts w:asciiTheme="majorHAnsi" w:hAnsiTheme="majorHAnsi" w:cstheme="majorHAnsi"/>
        </w:rPr>
      </w:pPr>
      <w:r>
        <w:rPr>
          <w:rFonts w:asciiTheme="majorHAnsi" w:hAnsiTheme="majorHAnsi" w:cstheme="majorHAnsi"/>
        </w:rPr>
        <w:t>Sialorrhea is one of the common complications following stroke, which can severely affect the patient’s self-image, daily life, and social interactions, and may even lead to feelings of inferiority and significant psychological stress. Poststroke sialorrhea can result from both primary and secondary factors. Autonomic dysregulation after stroke may cause primary hypersalivation. It may also affect the six pairs of cranial nerves involved in swallowing within the brainstem, thereby inducing dysphagia and leading to secondary sialorrhea</w:t>
      </w:r>
      <w:r>
        <w:rPr>
          <w:rFonts w:asciiTheme="majorHAnsi" w:hAnsiTheme="majorHAnsi" w:cstheme="majorHAnsi"/>
          <w:vertAlign w:val="superscript"/>
        </w:rPr>
        <w:fldChar w:fldCharType="begin"/>
      </w:r>
      <w:r>
        <w:rPr>
          <w:rFonts w:asciiTheme="majorHAnsi" w:hAnsiTheme="majorHAnsi" w:cstheme="majorHAnsi"/>
          <w:vertAlign w:val="superscript"/>
        </w:rPr>
        <w:instrText xml:space="preserve"> REF _Ref6791 \r \h  \* MERGEFORMAT </w:instrText>
      </w:r>
      <w:r>
        <w:rPr>
          <w:rFonts w:asciiTheme="majorHAnsi" w:hAnsiTheme="majorHAnsi" w:cstheme="majorHAnsi"/>
          <w:vertAlign w:val="superscript"/>
        </w:rPr>
        <w:fldChar w:fldCharType="separate"/>
      </w:r>
      <w:r>
        <w:rPr>
          <w:rFonts w:asciiTheme="majorHAnsi" w:hAnsiTheme="majorHAnsi" w:cstheme="majorHAnsi"/>
          <w:vertAlign w:val="superscript"/>
        </w:rPr>
        <w:t>16</w:t>
      </w:r>
      <w:r>
        <w:rPr>
          <w:rFonts w:asciiTheme="majorHAnsi" w:hAnsiTheme="majorHAnsi" w:cstheme="majorHAnsi"/>
          <w:vertAlign w:val="superscript"/>
        </w:rPr>
        <w:fldChar w:fldCharType="end"/>
      </w:r>
      <w:r>
        <w:rPr>
          <w:rFonts w:eastAsia="宋体" w:asciiTheme="majorHAnsi" w:hAnsiTheme="majorHAnsi" w:cstheme="majorHAnsi"/>
          <w:vertAlign w:val="superscript"/>
          <w:lang w:eastAsia="zh-CN"/>
        </w:rPr>
        <w:t>,</w:t>
      </w:r>
      <w:r>
        <w:rPr>
          <w:rFonts w:eastAsia="宋体" w:asciiTheme="majorHAnsi" w:hAnsiTheme="majorHAnsi" w:cstheme="majorHAnsi"/>
          <w:vertAlign w:val="superscript"/>
          <w:lang w:eastAsia="zh-CN"/>
        </w:rPr>
        <w:fldChar w:fldCharType="begin"/>
      </w:r>
      <w:r>
        <w:rPr>
          <w:rFonts w:eastAsia="宋体" w:asciiTheme="majorHAnsi" w:hAnsiTheme="majorHAnsi" w:cstheme="majorHAnsi"/>
          <w:vertAlign w:val="superscript"/>
          <w:lang w:eastAsia="zh-CN"/>
        </w:rPr>
        <w:instrText xml:space="preserve"> REF _Ref6840 \r \h  \* MERGEFORMAT </w:instrText>
      </w:r>
      <w:r>
        <w:rPr>
          <w:rFonts w:eastAsia="宋体" w:asciiTheme="majorHAnsi" w:hAnsiTheme="majorHAnsi" w:cstheme="majorHAnsi"/>
          <w:vertAlign w:val="superscript"/>
          <w:lang w:eastAsia="zh-CN"/>
        </w:rPr>
        <w:fldChar w:fldCharType="separate"/>
      </w:r>
      <w:r>
        <w:rPr>
          <w:rFonts w:eastAsia="宋体" w:asciiTheme="majorHAnsi" w:hAnsiTheme="majorHAnsi" w:cstheme="majorHAnsi"/>
          <w:vertAlign w:val="superscript"/>
          <w:lang w:eastAsia="zh-CN"/>
        </w:rPr>
        <w:t>17</w:t>
      </w:r>
      <w:r>
        <w:rPr>
          <w:rFonts w:eastAsia="宋体" w:asciiTheme="majorHAnsi" w:hAnsiTheme="majorHAnsi" w:cstheme="majorHAnsi"/>
          <w:vertAlign w:val="superscript"/>
          <w:lang w:eastAsia="zh-CN"/>
        </w:rPr>
        <w:fldChar w:fldCharType="end"/>
      </w:r>
      <w:r>
        <w:rPr>
          <w:rFonts w:asciiTheme="majorHAnsi" w:hAnsiTheme="majorHAnsi" w:cstheme="majorHAnsi"/>
        </w:rPr>
        <w:t>. In addition, poststroke patients often present with increased muscle tone, reduced muscle strength, and muscle atrophy, frequently adopting a pathological posture characterized by head drooping and an open mouth, which can also contribute to sialorrhea</w:t>
      </w:r>
      <w:r>
        <w:rPr>
          <w:rFonts w:asciiTheme="majorHAnsi" w:hAnsiTheme="majorHAnsi" w:cstheme="majorHAnsi"/>
          <w:vertAlign w:val="superscript"/>
        </w:rPr>
        <w:fldChar w:fldCharType="begin"/>
      </w:r>
      <w:r>
        <w:rPr>
          <w:rFonts w:asciiTheme="majorHAnsi" w:hAnsiTheme="majorHAnsi" w:cstheme="majorHAnsi"/>
          <w:vertAlign w:val="superscript"/>
        </w:rPr>
        <w:instrText xml:space="preserve"> REF _Ref6886 \r \h  \* MERGEFORMAT </w:instrText>
      </w:r>
      <w:r>
        <w:rPr>
          <w:rFonts w:asciiTheme="majorHAnsi" w:hAnsiTheme="majorHAnsi" w:cstheme="majorHAnsi"/>
          <w:vertAlign w:val="superscript"/>
        </w:rPr>
        <w:fldChar w:fldCharType="separate"/>
      </w:r>
      <w:r>
        <w:rPr>
          <w:rFonts w:asciiTheme="majorHAnsi" w:hAnsiTheme="majorHAnsi" w:cstheme="majorHAnsi"/>
          <w:vertAlign w:val="superscript"/>
        </w:rPr>
        <w:t>18</w:t>
      </w:r>
      <w:r>
        <w:rPr>
          <w:rFonts w:asciiTheme="majorHAnsi" w:hAnsiTheme="majorHAnsi" w:cstheme="majorHAnsi"/>
          <w:vertAlign w:val="superscript"/>
        </w:rPr>
        <w:fldChar w:fldCharType="end"/>
      </w:r>
      <w:r>
        <w:rPr>
          <w:rFonts w:asciiTheme="majorHAnsi" w:hAnsiTheme="majorHAnsi" w:cstheme="majorHAnsi"/>
        </w:rPr>
        <w:t>.</w:t>
      </w:r>
    </w:p>
    <w:p w14:paraId="73E3897E">
      <w:pPr>
        <w:tabs>
          <w:tab w:val="left" w:pos="426"/>
        </w:tabs>
        <w:rPr>
          <w:rFonts w:asciiTheme="majorHAnsi" w:hAnsiTheme="majorHAnsi" w:cstheme="majorHAnsi"/>
        </w:rPr>
      </w:pPr>
    </w:p>
    <w:p w14:paraId="73E3897F">
      <w:pPr>
        <w:tabs>
          <w:tab w:val="left" w:pos="426"/>
        </w:tabs>
        <w:rPr>
          <w:rFonts w:asciiTheme="majorHAnsi" w:hAnsiTheme="majorHAnsi" w:cstheme="majorHAnsi"/>
        </w:rPr>
      </w:pPr>
      <w:r>
        <w:rPr>
          <w:rFonts w:asciiTheme="majorHAnsi" w:hAnsiTheme="majorHAnsi" w:cstheme="majorHAnsi"/>
        </w:rPr>
        <w:t>Compared with general stroke patients, the incidence of sialorrhea is higher in stroke patients with concomitant tracheotomy, and the risk and severity of associated complications are also increased. In tracheotomized patients, in addition to sialorrhea caused by primary neurological injury, secondary dysphagia resulting from laryngeal sensorimotor impairment and disruption of respiratory–swallowing coordination induced by tracheotomy leads to saliva pooling in the valleculae and piriform sinuses. When the accumulated volume exceeds the capacity of these physiological recesses, more insidious and persistent silent aspiration occurs, significantly increasing the risk of aspiration pneumonia. It may also cause peritracheostomy dermatitis, eczema, and skin breakdown, severely affecting the patient’s quality of life and subsequent decannulation.</w:t>
      </w:r>
    </w:p>
    <w:p w14:paraId="73E38980">
      <w:pPr>
        <w:tabs>
          <w:tab w:val="left" w:pos="426"/>
        </w:tabs>
        <w:rPr>
          <w:rFonts w:asciiTheme="majorHAnsi" w:hAnsiTheme="majorHAnsi" w:cstheme="majorHAnsi"/>
        </w:rPr>
      </w:pPr>
    </w:p>
    <w:p w14:paraId="73E38981">
      <w:pPr>
        <w:tabs>
          <w:tab w:val="left" w:pos="426"/>
        </w:tabs>
        <w:rPr>
          <w:rFonts w:asciiTheme="majorHAnsi" w:hAnsiTheme="majorHAnsi" w:cstheme="majorHAnsi"/>
        </w:rPr>
      </w:pPr>
      <w:r>
        <w:rPr>
          <w:rFonts w:asciiTheme="majorHAnsi" w:hAnsiTheme="majorHAnsi" w:cstheme="majorHAnsi"/>
        </w:rPr>
        <w:t>In traditional Chinese medicine, poststroke sialorrhea is considered to stem fundamentally from a deficiency of spleen and kidney yang. When yang qi is insufficient, it fails to consolidate and control saliva. Additionally, after a stroke, wind, phlegm, and blood stasis obstruct the meridians and collaterals of the face, leading to disordered circulation of qi, blood, and body fluids, as well as dysfunction of the lip and oral muscles. This results in loss of containment of fluids, thereby triggering sialorrhea. The core pathogenesis is characterized by root deficiency and superficial excess</w:t>
      </w:r>
      <w:r>
        <w:rPr>
          <w:rFonts w:asciiTheme="majorHAnsi" w:hAnsiTheme="majorHAnsi" w:cstheme="majorHAnsi"/>
          <w:vertAlign w:val="superscript"/>
        </w:rPr>
        <w:fldChar w:fldCharType="begin"/>
      </w:r>
      <w:r>
        <w:rPr>
          <w:rFonts w:asciiTheme="majorHAnsi" w:hAnsiTheme="majorHAnsi" w:cstheme="majorHAnsi"/>
          <w:vertAlign w:val="superscript"/>
        </w:rPr>
        <w:instrText xml:space="preserve"> REF _Ref4378 \r \h  \* MERGEFORMAT </w:instrText>
      </w:r>
      <w:r>
        <w:rPr>
          <w:rFonts w:asciiTheme="majorHAnsi" w:hAnsiTheme="majorHAnsi" w:cstheme="majorHAnsi"/>
          <w:vertAlign w:val="superscript"/>
        </w:rPr>
        <w:fldChar w:fldCharType="separate"/>
      </w:r>
      <w:r>
        <w:rPr>
          <w:rFonts w:asciiTheme="majorHAnsi" w:hAnsiTheme="majorHAnsi" w:cstheme="majorHAnsi"/>
          <w:vertAlign w:val="superscript"/>
        </w:rPr>
        <w:t>7</w:t>
      </w:r>
      <w:r>
        <w:rPr>
          <w:rFonts w:asciiTheme="majorHAnsi" w:hAnsiTheme="majorHAnsi" w:cstheme="majorHAnsi"/>
          <w:vertAlign w:val="superscript"/>
        </w:rPr>
        <w:fldChar w:fldCharType="end"/>
      </w:r>
      <w:r>
        <w:rPr>
          <w:rFonts w:asciiTheme="majorHAnsi" w:hAnsiTheme="majorHAnsi" w:cstheme="majorHAnsi"/>
        </w:rPr>
        <w:t>. Fire needling, historically referred to as “brazing needling” or “burning needling,” is one of the nine classical needling techniques. It possesses the dual therapeutic actions of needle stimulation and thermal effect, and can warm and unblock meridians, as well as dissipate cold and resolve dampness through thermal stimulation</w:t>
      </w:r>
      <w:r>
        <w:rPr>
          <w:rFonts w:asciiTheme="majorHAnsi" w:hAnsiTheme="majorHAnsi" w:cstheme="majorHAnsi"/>
          <w:vertAlign w:val="superscript"/>
        </w:rPr>
        <w:fldChar w:fldCharType="begin"/>
      </w:r>
      <w:r>
        <w:rPr>
          <w:rFonts w:asciiTheme="majorHAnsi" w:hAnsiTheme="majorHAnsi" w:cstheme="majorHAnsi"/>
          <w:vertAlign w:val="superscript"/>
        </w:rPr>
        <w:instrText xml:space="preserve"> REF _Ref7000 \r \h  \* MERGEFORMAT </w:instrText>
      </w:r>
      <w:r>
        <w:rPr>
          <w:rFonts w:asciiTheme="majorHAnsi" w:hAnsiTheme="majorHAnsi" w:cstheme="majorHAnsi"/>
          <w:vertAlign w:val="superscript"/>
        </w:rPr>
        <w:fldChar w:fldCharType="separate"/>
      </w:r>
      <w:r>
        <w:rPr>
          <w:rFonts w:asciiTheme="majorHAnsi" w:hAnsiTheme="majorHAnsi" w:cstheme="majorHAnsi"/>
          <w:vertAlign w:val="superscript"/>
        </w:rPr>
        <w:t>19</w:t>
      </w:r>
      <w:r>
        <w:rPr>
          <w:rFonts w:asciiTheme="majorHAnsi" w:hAnsiTheme="majorHAnsi" w:cstheme="majorHAnsi"/>
          <w:vertAlign w:val="superscript"/>
        </w:rPr>
        <w:fldChar w:fldCharType="end"/>
      </w:r>
      <w:r>
        <w:rPr>
          <w:rFonts w:asciiTheme="majorHAnsi" w:hAnsiTheme="majorHAnsi" w:cstheme="majorHAnsi"/>
        </w:rPr>
        <w:t>. In the treatment of sialorrhea in post-stroke tracheotomized patients, fire needling may, on one hand, invigorate yang qi, warm spleen yang, and restore the spleen’s consolidating function, thereby containing saliva and preventing overflow—this addresses the root cause. On the other hand, fire needling can warm and unblock meridians, resolve phlegm and unblock collaterals, promote the circulation of qi and blood, and nourish the sinews and muscles, thus restoring the function of lip opening and closure. In this way, both the root and superficial manifestations are treated simultaneously.</w:t>
      </w:r>
    </w:p>
    <w:p w14:paraId="73E38982">
      <w:pPr>
        <w:tabs>
          <w:tab w:val="left" w:pos="426"/>
        </w:tabs>
        <w:rPr>
          <w:rFonts w:asciiTheme="majorHAnsi" w:hAnsiTheme="majorHAnsi" w:cstheme="majorHAnsi"/>
        </w:rPr>
      </w:pPr>
    </w:p>
    <w:p w14:paraId="73E38983">
      <w:pPr>
        <w:tabs>
          <w:tab w:val="left" w:pos="426"/>
        </w:tabs>
        <w:rPr>
          <w:rFonts w:asciiTheme="majorHAnsi" w:hAnsiTheme="majorHAnsi" w:cstheme="majorHAnsi"/>
        </w:rPr>
      </w:pPr>
      <w:r>
        <w:rPr>
          <w:rFonts w:asciiTheme="majorHAnsi" w:hAnsiTheme="majorHAnsi" w:cstheme="majorHAnsi"/>
        </w:rPr>
        <w:t>From the perspective of modern medicine, the therapeutic effect of fire needling on sialorrhea may be attributed to the following mechanisms. First, hypersalivation after stroke may be associated with autonomic dysfunction and impaired swallowing reflex. Fire needling can promote neural repair</w:t>
      </w:r>
      <w:r>
        <w:rPr>
          <w:rFonts w:asciiTheme="majorHAnsi" w:hAnsiTheme="majorHAnsi" w:cstheme="majorHAnsi"/>
          <w:vertAlign w:val="superscript"/>
        </w:rPr>
        <w:fldChar w:fldCharType="begin"/>
      </w:r>
      <w:r>
        <w:rPr>
          <w:rFonts w:asciiTheme="majorHAnsi" w:hAnsiTheme="majorHAnsi" w:cstheme="majorHAnsi"/>
          <w:vertAlign w:val="superscript"/>
        </w:rPr>
        <w:instrText xml:space="preserve"> REF _Ref7075 \r \h  \* MERGEFORMAT </w:instrText>
      </w:r>
      <w:r>
        <w:rPr>
          <w:rFonts w:asciiTheme="majorHAnsi" w:hAnsiTheme="majorHAnsi" w:cstheme="majorHAnsi"/>
          <w:vertAlign w:val="superscript"/>
        </w:rPr>
        <w:fldChar w:fldCharType="separate"/>
      </w:r>
      <w:r>
        <w:rPr>
          <w:rFonts w:asciiTheme="majorHAnsi" w:hAnsiTheme="majorHAnsi" w:cstheme="majorHAnsi"/>
          <w:vertAlign w:val="superscript"/>
        </w:rPr>
        <w:t>20</w:t>
      </w:r>
      <w:r>
        <w:rPr>
          <w:rFonts w:asciiTheme="majorHAnsi" w:hAnsiTheme="majorHAnsi" w:cstheme="majorHAnsi"/>
          <w:vertAlign w:val="superscript"/>
        </w:rPr>
        <w:fldChar w:fldCharType="end"/>
      </w:r>
      <w:r>
        <w:rPr>
          <w:rFonts w:asciiTheme="majorHAnsi" w:hAnsiTheme="majorHAnsi" w:cstheme="majorHAnsi"/>
        </w:rPr>
        <w:t>, a mechanism related to the induction of neural stem cell proliferation and differentiation into neurons. Basic research has shown that serum from rats with spinal cord injury following fire needling intervention can promote the proliferation of neural stem cells and induce their differentiation into neurons under in vitro conditions</w:t>
      </w:r>
      <w:r>
        <w:rPr>
          <w:rFonts w:asciiTheme="majorHAnsi" w:hAnsiTheme="majorHAnsi" w:cstheme="majorHAnsi"/>
          <w:vertAlign w:val="superscript"/>
        </w:rPr>
        <w:fldChar w:fldCharType="begin"/>
      </w:r>
      <w:r>
        <w:rPr>
          <w:rFonts w:asciiTheme="majorHAnsi" w:hAnsiTheme="majorHAnsi" w:cstheme="majorHAnsi"/>
          <w:vertAlign w:val="superscript"/>
        </w:rPr>
        <w:instrText xml:space="preserve"> REF _Ref7127 \n \h  \* MERGEFORMAT </w:instrText>
      </w:r>
      <w:r>
        <w:rPr>
          <w:rFonts w:asciiTheme="majorHAnsi" w:hAnsiTheme="majorHAnsi" w:cstheme="majorHAnsi"/>
          <w:vertAlign w:val="superscript"/>
        </w:rPr>
        <w:fldChar w:fldCharType="separate"/>
      </w:r>
      <w:r>
        <w:rPr>
          <w:rFonts w:asciiTheme="majorHAnsi" w:hAnsiTheme="majorHAnsi" w:cstheme="majorHAnsi"/>
          <w:vertAlign w:val="superscript"/>
        </w:rPr>
        <w:t>21</w:t>
      </w:r>
      <w:r>
        <w:rPr>
          <w:rFonts w:asciiTheme="majorHAnsi" w:hAnsiTheme="majorHAnsi" w:cstheme="majorHAnsi"/>
          <w:vertAlign w:val="superscript"/>
        </w:rPr>
        <w:fldChar w:fldCharType="end"/>
      </w:r>
      <w:r>
        <w:rPr>
          <w:rFonts w:asciiTheme="majorHAnsi" w:hAnsiTheme="majorHAnsi" w:cstheme="majorHAnsi"/>
        </w:rPr>
        <w:t>. Second, fire needling acts directly on the muscular layer, improving local blood circulation and the metabolic environment</w:t>
      </w:r>
      <w:r>
        <w:rPr>
          <w:rFonts w:asciiTheme="majorHAnsi" w:hAnsiTheme="majorHAnsi" w:cstheme="majorHAnsi"/>
          <w:vertAlign w:val="superscript"/>
        </w:rPr>
        <w:fldChar w:fldCharType="begin"/>
      </w:r>
      <w:r>
        <w:rPr>
          <w:rFonts w:asciiTheme="majorHAnsi" w:hAnsiTheme="majorHAnsi" w:cstheme="majorHAnsi"/>
          <w:vertAlign w:val="superscript"/>
        </w:rPr>
        <w:instrText xml:space="preserve"> REF _Ref7202 \n \h  \* MERGEFORMAT </w:instrText>
      </w:r>
      <w:r>
        <w:rPr>
          <w:rFonts w:asciiTheme="majorHAnsi" w:hAnsiTheme="majorHAnsi" w:cstheme="majorHAnsi"/>
          <w:vertAlign w:val="superscript"/>
        </w:rPr>
        <w:fldChar w:fldCharType="separate"/>
      </w:r>
      <w:r>
        <w:rPr>
          <w:rFonts w:asciiTheme="majorHAnsi" w:hAnsiTheme="majorHAnsi" w:cstheme="majorHAnsi"/>
          <w:vertAlign w:val="superscript"/>
        </w:rPr>
        <w:t>22</w:t>
      </w:r>
      <w:r>
        <w:rPr>
          <w:rFonts w:asciiTheme="majorHAnsi" w:hAnsiTheme="majorHAnsi" w:cstheme="majorHAnsi"/>
          <w:vertAlign w:val="superscript"/>
        </w:rPr>
        <w:fldChar w:fldCharType="end"/>
      </w:r>
      <w:r>
        <w:rPr>
          <w:rFonts w:asciiTheme="majorHAnsi" w:hAnsiTheme="majorHAnsi" w:cstheme="majorHAnsi"/>
        </w:rPr>
        <w:t>, thereby relaxing spastic muscles. This effectively regulates the abnormal tone of the perioral musculature, enhances the coordination and contractility of swallowing-related muscles, and facilitates the recovery of swallowing function</w:t>
      </w:r>
      <w:r>
        <w:rPr>
          <w:rFonts w:asciiTheme="majorHAnsi" w:hAnsiTheme="majorHAnsi" w:cstheme="majorHAnsi"/>
          <w:vertAlign w:val="superscript"/>
        </w:rPr>
        <w:fldChar w:fldCharType="begin"/>
      </w:r>
      <w:r>
        <w:rPr>
          <w:rFonts w:asciiTheme="majorHAnsi" w:hAnsiTheme="majorHAnsi" w:cstheme="majorHAnsi"/>
          <w:vertAlign w:val="superscript"/>
        </w:rPr>
        <w:instrText xml:space="preserve"> REF _Ref24957 \n \h  \* MERGEFORMAT </w:instrText>
      </w:r>
      <w:r>
        <w:rPr>
          <w:rFonts w:asciiTheme="majorHAnsi" w:hAnsiTheme="majorHAnsi" w:cstheme="majorHAnsi"/>
          <w:vertAlign w:val="superscript"/>
        </w:rPr>
        <w:fldChar w:fldCharType="separate"/>
      </w:r>
      <w:r>
        <w:rPr>
          <w:rFonts w:asciiTheme="majorHAnsi" w:hAnsiTheme="majorHAnsi" w:cstheme="majorHAnsi"/>
          <w:vertAlign w:val="superscript"/>
        </w:rPr>
        <w:t>23</w:t>
      </w:r>
      <w:r>
        <w:rPr>
          <w:rFonts w:asciiTheme="majorHAnsi" w:hAnsiTheme="majorHAnsi" w:cstheme="majorHAnsi"/>
          <w:vertAlign w:val="superscript"/>
        </w:rPr>
        <w:fldChar w:fldCharType="end"/>
      </w:r>
      <w:r>
        <w:rPr>
          <w:rFonts w:asciiTheme="majorHAnsi" w:hAnsiTheme="majorHAnsi" w:cstheme="majorHAnsi"/>
        </w:rPr>
        <w:t>. Furthermore, fire needling applied directly to the parotid and submandibular gland regions modulates pathological salivary hypersecretion through mechanical and thermal stimulation. The underlying mechanism may involve regulation of inflammatory and immune responses, a topic that warrants further investigation. Together, these three mechanisms act synergistically to reduce salivary secretion by modulating glandular function while improving swallowing function by enhancing local sensory and motor function, thereby achieving comprehensive improvement in drooling frequency, severity, and saliva production.</w:t>
      </w:r>
    </w:p>
    <w:p w14:paraId="73E38984">
      <w:pPr>
        <w:tabs>
          <w:tab w:val="left" w:pos="426"/>
        </w:tabs>
        <w:rPr>
          <w:rFonts w:asciiTheme="majorHAnsi" w:hAnsiTheme="majorHAnsi" w:cstheme="majorHAnsi"/>
        </w:rPr>
      </w:pPr>
    </w:p>
    <w:p w14:paraId="73E38985">
      <w:pPr>
        <w:tabs>
          <w:tab w:val="left" w:pos="426"/>
        </w:tabs>
        <w:rPr>
          <w:rFonts w:asciiTheme="majorHAnsi" w:hAnsiTheme="majorHAnsi" w:cstheme="majorHAnsi"/>
        </w:rPr>
      </w:pPr>
      <w:r>
        <w:rPr>
          <w:rFonts w:asciiTheme="majorHAnsi" w:hAnsiTheme="majorHAnsi" w:cstheme="majorHAnsi"/>
        </w:rPr>
        <w:t>In this study, fire needling was performed under ultrasound guidance at Xiaguan (ST7), Yifeng (TE17), and the Inferior Jiache Point. The application of ultrasound guidance enhances the precision and safety of fire needling for sialorrhea. By enabling visualization of the target structures—such as the parotid gland, submandibular gland, and masseter muscle—along with their surrounding vasculature and nerves, ultrasound guidance allows for precise control of needling depth, avoidance of injury risk, and accurate delivery of thermal stimulation to the targeted glandular or muscular layers, thereby achieving integrated regulation of salivary secretion and swallowing function. This study confirms the efficacy and safety of fire needling in the treatment of post-stroke sialorrhea, providing an effective therapeutic option for patients with this condition. The number of enrolled patients in this study is relatively limited, and the observation period for therapeutic outcomes is short. Future studies should include a larger sample, establish a follow-up period, and assess decannulation rates and time to decannulation in tracheostomized patients to minimize bias and enhance the reliability of the findings.</w:t>
      </w:r>
    </w:p>
    <w:p w14:paraId="73E38986">
      <w:pPr>
        <w:tabs>
          <w:tab w:val="left" w:pos="426"/>
        </w:tabs>
        <w:rPr>
          <w:rFonts w:asciiTheme="majorHAnsi" w:hAnsiTheme="majorHAnsi" w:cstheme="majorHAnsi"/>
          <w:b/>
        </w:rPr>
      </w:pPr>
    </w:p>
    <w:p w14:paraId="73E38987">
      <w:pPr>
        <w:tabs>
          <w:tab w:val="left" w:pos="426"/>
        </w:tabs>
        <w:rPr>
          <w:rFonts w:asciiTheme="majorHAnsi" w:hAnsiTheme="majorHAnsi" w:cstheme="majorHAnsi"/>
        </w:rPr>
      </w:pPr>
      <w:r>
        <w:rPr>
          <w:rFonts w:asciiTheme="majorHAnsi" w:hAnsiTheme="majorHAnsi" w:cstheme="majorHAnsi"/>
          <w:b/>
        </w:rPr>
        <w:t>ACKNOWLEDGMENTS:</w:t>
      </w:r>
    </w:p>
    <w:p w14:paraId="73E38989">
      <w:pPr>
        <w:tabs>
          <w:tab w:val="left" w:pos="426"/>
        </w:tabs>
        <w:rPr>
          <w:rFonts w:eastAsia="宋体" w:asciiTheme="majorHAnsi" w:hAnsiTheme="majorHAnsi" w:cstheme="majorHAnsi"/>
          <w:lang w:eastAsia="zh-CN"/>
        </w:rPr>
      </w:pPr>
      <w:r>
        <w:rPr>
          <w:rFonts w:asciiTheme="majorHAnsi" w:hAnsiTheme="majorHAnsi" w:cstheme="majorHAnsi"/>
        </w:rPr>
        <w:t>Funding source: Guangdong Second Traditional Chinese Medicine Hospital. Sponsor: Guangzhou University of Chinese Medicine Guben Zhuji Project: Clinical study on the improvement of post-stroke respiratory dysfunction by "neural facilitation acupuncture" based on cough reflex remodeling (Grant No. GZY2025GB0220)</w:t>
      </w:r>
      <w:r>
        <w:rPr>
          <w:rFonts w:eastAsia="宋体" w:asciiTheme="majorHAnsi" w:hAnsiTheme="majorHAnsi" w:cstheme="majorHAnsi"/>
          <w:lang w:eastAsia="zh-CN"/>
        </w:rPr>
        <w:t>; Special Fund for the Transformation of Scientific and Technological Achievements in the Guangdong-Hong Kong-Macao Greater Bay Area Life and Health Innovation Zone (GBALH202309); Guangdong Province Liu Yue Famous Traditional Chinese Medicine Studio (Yue Zhong Yi Ban Han [2023] No. 108).</w:t>
      </w:r>
    </w:p>
    <w:p w14:paraId="73E3898A">
      <w:pPr>
        <w:tabs>
          <w:tab w:val="left" w:pos="426"/>
        </w:tabs>
        <w:rPr>
          <w:rFonts w:asciiTheme="majorHAnsi" w:hAnsiTheme="majorHAnsi" w:cstheme="majorHAnsi"/>
          <w:b/>
        </w:rPr>
      </w:pPr>
    </w:p>
    <w:p w14:paraId="73E3898B">
      <w:pPr>
        <w:tabs>
          <w:tab w:val="left" w:pos="426"/>
        </w:tabs>
        <w:rPr>
          <w:rFonts w:asciiTheme="majorHAnsi" w:hAnsiTheme="majorHAnsi" w:cstheme="majorHAnsi"/>
          <w:b/>
        </w:rPr>
      </w:pPr>
      <w:r>
        <w:rPr>
          <w:rFonts w:asciiTheme="majorHAnsi" w:hAnsiTheme="majorHAnsi" w:cstheme="majorHAnsi"/>
          <w:b/>
        </w:rPr>
        <w:t xml:space="preserve">DISCLOSURES: </w:t>
      </w:r>
    </w:p>
    <w:p w14:paraId="73E3898D">
      <w:pPr>
        <w:tabs>
          <w:tab w:val="left" w:pos="426"/>
        </w:tabs>
        <w:rPr>
          <w:rFonts w:eastAsia="宋体" w:asciiTheme="majorHAnsi" w:hAnsiTheme="majorHAnsi" w:cstheme="majorHAnsi"/>
          <w:bCs/>
          <w:lang w:eastAsia="zh-CN"/>
        </w:rPr>
      </w:pPr>
      <w:r>
        <w:rPr>
          <w:rFonts w:eastAsia="宋体" w:asciiTheme="majorHAnsi" w:hAnsiTheme="majorHAnsi" w:cstheme="majorHAnsi"/>
          <w:bCs/>
          <w:lang w:eastAsia="zh-CN"/>
        </w:rPr>
        <w:t>The authors have no conflicts of interest to disclose</w:t>
      </w:r>
    </w:p>
    <w:p w14:paraId="3D08F096">
      <w:pPr>
        <w:tabs>
          <w:tab w:val="left" w:pos="426"/>
        </w:tabs>
        <w:rPr>
          <w:rFonts w:asciiTheme="majorHAnsi" w:hAnsiTheme="majorHAnsi" w:cstheme="majorHAnsi"/>
          <w:b/>
        </w:rPr>
      </w:pPr>
    </w:p>
    <w:p w14:paraId="627437F0">
      <w:pPr>
        <w:widowControl/>
        <w:tabs>
          <w:tab w:val="left" w:pos="426"/>
        </w:tabs>
        <w:rPr>
          <w:rFonts w:eastAsia="Times New Roman" w:asciiTheme="majorHAnsi" w:hAnsiTheme="majorHAnsi" w:cstheme="majorHAnsi"/>
          <w:lang w:val="en-IN" w:eastAsia="en-IN"/>
        </w:rPr>
      </w:pPr>
      <w:bookmarkStart w:id="0" w:name="_Ref24957"/>
      <w:r>
        <w:rPr>
          <w:rFonts w:eastAsia="Times New Roman" w:asciiTheme="majorHAnsi" w:hAnsiTheme="majorHAnsi" w:cstheme="majorHAnsi"/>
          <w:b/>
          <w:bCs/>
          <w:lang w:val="en-IN" w:eastAsia="en-IN"/>
        </w:rPr>
        <w:t>REFERENCES:</w:t>
      </w:r>
    </w:p>
    <w:p w14:paraId="1F92DEC3">
      <w:pPr>
        <w:widowControl/>
        <w:numPr>
          <w:ilvl w:val="0"/>
          <w:numId w:val="5"/>
        </w:numPr>
        <w:tabs>
          <w:tab w:val="left" w:pos="426"/>
        </w:tabs>
        <w:ind w:left="0" w:firstLine="0"/>
        <w:rPr>
          <w:rFonts w:eastAsia="Times New Roman" w:asciiTheme="majorHAnsi" w:hAnsiTheme="majorHAnsi" w:cstheme="majorHAnsi"/>
          <w:lang w:val="en-IN" w:eastAsia="en-IN"/>
        </w:rPr>
      </w:pPr>
      <w:r>
        <w:rPr>
          <w:rFonts w:eastAsia="Times New Roman" w:asciiTheme="majorHAnsi" w:hAnsiTheme="majorHAnsi" w:cstheme="majorHAnsi"/>
          <w:lang w:val="en-IN" w:eastAsia="en-IN"/>
        </w:rPr>
        <w:t xml:space="preserve">Wang, Y. N., Wu, S. M., Liu, M. 15-year trends and characteristics of stroke in China. </w:t>
      </w:r>
      <w:r>
        <w:rPr>
          <w:rFonts w:eastAsia="Times New Roman" w:asciiTheme="majorHAnsi" w:hAnsiTheme="majorHAnsi" w:cstheme="majorHAnsi"/>
          <w:i/>
          <w:iCs/>
          <w:lang w:val="en-IN" w:eastAsia="en-IN"/>
        </w:rPr>
        <w:t>West China Med J.</w:t>
      </w:r>
      <w:r>
        <w:rPr>
          <w:rFonts w:eastAsia="Times New Roman" w:asciiTheme="majorHAnsi" w:hAnsiTheme="majorHAnsi" w:cstheme="majorHAnsi"/>
          <w:lang w:val="en-IN" w:eastAsia="en-IN"/>
        </w:rPr>
        <w:t xml:space="preserve"> </w:t>
      </w:r>
      <w:r>
        <w:rPr>
          <w:rFonts w:eastAsia="Times New Roman" w:asciiTheme="majorHAnsi" w:hAnsiTheme="majorHAnsi" w:cstheme="majorHAnsi"/>
          <w:b/>
          <w:bCs/>
          <w:lang w:val="en-IN" w:eastAsia="en-IN"/>
        </w:rPr>
        <w:t>36</w:t>
      </w:r>
      <w:r>
        <w:rPr>
          <w:rFonts w:eastAsia="Times New Roman" w:asciiTheme="majorHAnsi" w:hAnsiTheme="majorHAnsi" w:cstheme="majorHAnsi"/>
          <w:lang w:val="en-IN" w:eastAsia="en-IN"/>
        </w:rPr>
        <w:t xml:space="preserve"> (06), 803–807 (2021). </w:t>
      </w:r>
    </w:p>
    <w:p w14:paraId="607899E2">
      <w:pPr>
        <w:widowControl/>
        <w:numPr>
          <w:ilvl w:val="0"/>
          <w:numId w:val="5"/>
        </w:numPr>
        <w:tabs>
          <w:tab w:val="left" w:pos="426"/>
        </w:tabs>
        <w:ind w:left="0" w:firstLine="0"/>
        <w:rPr>
          <w:rFonts w:eastAsia="Times New Roman" w:asciiTheme="majorHAnsi" w:hAnsiTheme="majorHAnsi" w:cstheme="majorHAnsi"/>
          <w:lang w:val="en-IN" w:eastAsia="en-IN"/>
        </w:rPr>
      </w:pPr>
      <w:r>
        <w:rPr>
          <w:rFonts w:eastAsia="Times New Roman" w:asciiTheme="majorHAnsi" w:hAnsiTheme="majorHAnsi" w:cstheme="majorHAnsi"/>
          <w:lang w:val="en-IN" w:eastAsia="en-IN"/>
        </w:rPr>
        <w:t xml:space="preserve">Premraj, L. et al. Timing and outcomes of tracheostomy in critically ill stroke patients: a meta-analysis and meta-regression. </w:t>
      </w:r>
      <w:r>
        <w:rPr>
          <w:rFonts w:eastAsia="Times New Roman" w:asciiTheme="majorHAnsi" w:hAnsiTheme="majorHAnsi" w:cstheme="majorHAnsi"/>
          <w:i/>
          <w:iCs/>
          <w:lang w:val="en-IN" w:eastAsia="en-IN"/>
        </w:rPr>
        <w:t>Crit Care.</w:t>
      </w:r>
      <w:r>
        <w:rPr>
          <w:rFonts w:eastAsia="Times New Roman" w:asciiTheme="majorHAnsi" w:hAnsiTheme="majorHAnsi" w:cstheme="majorHAnsi"/>
          <w:lang w:val="en-IN" w:eastAsia="en-IN"/>
        </w:rPr>
        <w:t xml:space="preserve"> </w:t>
      </w:r>
      <w:r>
        <w:rPr>
          <w:rFonts w:eastAsia="Times New Roman" w:asciiTheme="majorHAnsi" w:hAnsiTheme="majorHAnsi" w:cstheme="majorHAnsi"/>
          <w:b/>
          <w:bCs/>
          <w:lang w:val="en-IN" w:eastAsia="en-IN"/>
        </w:rPr>
        <w:t>27</w:t>
      </w:r>
      <w:r>
        <w:rPr>
          <w:rFonts w:eastAsia="Times New Roman" w:asciiTheme="majorHAnsi" w:hAnsiTheme="majorHAnsi" w:cstheme="majorHAnsi"/>
          <w:lang w:val="en-IN" w:eastAsia="en-IN"/>
        </w:rPr>
        <w:t xml:space="preserve"> (1), 132 (2023). </w:t>
      </w:r>
    </w:p>
    <w:p w14:paraId="0DB4520A">
      <w:pPr>
        <w:widowControl/>
        <w:numPr>
          <w:ilvl w:val="0"/>
          <w:numId w:val="5"/>
        </w:numPr>
        <w:tabs>
          <w:tab w:val="left" w:pos="426"/>
        </w:tabs>
        <w:ind w:left="0" w:firstLine="0"/>
        <w:rPr>
          <w:rFonts w:eastAsia="Times New Roman" w:asciiTheme="majorHAnsi" w:hAnsiTheme="majorHAnsi" w:cstheme="majorHAnsi"/>
          <w:lang w:val="en-IN" w:eastAsia="en-IN"/>
        </w:rPr>
      </w:pPr>
      <w:r>
        <w:rPr>
          <w:rFonts w:eastAsia="Times New Roman" w:asciiTheme="majorHAnsi" w:hAnsiTheme="majorHAnsi" w:cstheme="majorHAnsi"/>
          <w:lang w:val="en-IN" w:eastAsia="en-IN"/>
        </w:rPr>
        <w:t xml:space="preserve">Chen, S. Y., Ravindran, G., Zhang, Q., Kisely, S., Siskind, D. Treatment strategies for clozapine-induced sialorrhea: a systematic review and meta-analysis. </w:t>
      </w:r>
      <w:r>
        <w:rPr>
          <w:rFonts w:eastAsia="Times New Roman" w:asciiTheme="majorHAnsi" w:hAnsiTheme="majorHAnsi" w:cstheme="majorHAnsi"/>
          <w:i/>
          <w:iCs/>
          <w:lang w:val="en-IN" w:eastAsia="en-IN"/>
        </w:rPr>
        <w:t>CNS Drugs.</w:t>
      </w:r>
      <w:r>
        <w:rPr>
          <w:rFonts w:eastAsia="Times New Roman" w:asciiTheme="majorHAnsi" w:hAnsiTheme="majorHAnsi" w:cstheme="majorHAnsi"/>
          <w:lang w:val="en-IN" w:eastAsia="en-IN"/>
        </w:rPr>
        <w:t xml:space="preserve"> </w:t>
      </w:r>
      <w:r>
        <w:rPr>
          <w:rFonts w:eastAsia="Times New Roman" w:asciiTheme="majorHAnsi" w:hAnsiTheme="majorHAnsi" w:cstheme="majorHAnsi"/>
          <w:b/>
          <w:bCs/>
          <w:lang w:val="en-IN" w:eastAsia="en-IN"/>
        </w:rPr>
        <w:t>33</w:t>
      </w:r>
      <w:r>
        <w:rPr>
          <w:rFonts w:eastAsia="Times New Roman" w:asciiTheme="majorHAnsi" w:hAnsiTheme="majorHAnsi" w:cstheme="majorHAnsi"/>
          <w:lang w:val="en-IN" w:eastAsia="en-IN"/>
        </w:rPr>
        <w:t xml:space="preserve"> (3), 225–238 (2019). </w:t>
      </w:r>
    </w:p>
    <w:p w14:paraId="59BC026D">
      <w:pPr>
        <w:widowControl/>
        <w:numPr>
          <w:ilvl w:val="0"/>
          <w:numId w:val="5"/>
        </w:numPr>
        <w:tabs>
          <w:tab w:val="left" w:pos="426"/>
        </w:tabs>
        <w:ind w:left="0" w:firstLine="0"/>
        <w:rPr>
          <w:rFonts w:eastAsia="Times New Roman" w:asciiTheme="majorHAnsi" w:hAnsiTheme="majorHAnsi" w:cstheme="majorHAnsi"/>
          <w:lang w:val="en-IN" w:eastAsia="en-IN"/>
        </w:rPr>
      </w:pPr>
      <w:r>
        <w:rPr>
          <w:rFonts w:eastAsia="Times New Roman" w:asciiTheme="majorHAnsi" w:hAnsiTheme="majorHAnsi" w:cstheme="majorHAnsi"/>
          <w:lang w:val="en-IN" w:eastAsia="en-IN"/>
        </w:rPr>
        <w:t xml:space="preserve">Jun, J. S., Seo, H. G., Lee, S. T., Chu, K., Lee, S. K. Botulinum toxin treatment for hypersalivation in anti-NMDA receptor encephalitis. </w:t>
      </w:r>
      <w:r>
        <w:rPr>
          <w:rFonts w:eastAsia="Times New Roman" w:asciiTheme="majorHAnsi" w:hAnsiTheme="majorHAnsi" w:cstheme="majorHAnsi"/>
          <w:i/>
          <w:iCs/>
          <w:lang w:val="en-IN" w:eastAsia="en-IN"/>
        </w:rPr>
        <w:t>Ann Clin Transl Neurol.</w:t>
      </w:r>
      <w:r>
        <w:rPr>
          <w:rFonts w:eastAsia="Times New Roman" w:asciiTheme="majorHAnsi" w:hAnsiTheme="majorHAnsi" w:cstheme="majorHAnsi"/>
          <w:lang w:val="en-IN" w:eastAsia="en-IN"/>
        </w:rPr>
        <w:t xml:space="preserve"> </w:t>
      </w:r>
      <w:r>
        <w:rPr>
          <w:rFonts w:eastAsia="Times New Roman" w:asciiTheme="majorHAnsi" w:hAnsiTheme="majorHAnsi" w:cstheme="majorHAnsi"/>
          <w:b/>
          <w:bCs/>
          <w:lang w:val="en-IN" w:eastAsia="en-IN"/>
        </w:rPr>
        <w:t>4</w:t>
      </w:r>
      <w:r>
        <w:rPr>
          <w:rFonts w:eastAsia="Times New Roman" w:asciiTheme="majorHAnsi" w:hAnsiTheme="majorHAnsi" w:cstheme="majorHAnsi"/>
          <w:lang w:val="en-IN" w:eastAsia="en-IN"/>
        </w:rPr>
        <w:t xml:space="preserve"> (11), 830–834 (2017). </w:t>
      </w:r>
    </w:p>
    <w:p w14:paraId="1CB603AA">
      <w:pPr>
        <w:widowControl/>
        <w:numPr>
          <w:ilvl w:val="0"/>
          <w:numId w:val="5"/>
        </w:numPr>
        <w:tabs>
          <w:tab w:val="left" w:pos="426"/>
        </w:tabs>
        <w:ind w:left="0" w:firstLine="0"/>
        <w:rPr>
          <w:rFonts w:eastAsia="Times New Roman" w:asciiTheme="majorHAnsi" w:hAnsiTheme="majorHAnsi" w:cstheme="majorHAnsi"/>
          <w:lang w:val="en-IN" w:eastAsia="en-IN"/>
        </w:rPr>
      </w:pPr>
      <w:r>
        <w:rPr>
          <w:rFonts w:eastAsia="Times New Roman" w:asciiTheme="majorHAnsi" w:hAnsiTheme="majorHAnsi" w:cstheme="majorHAnsi"/>
          <w:lang w:val="en-IN" w:eastAsia="en-IN"/>
        </w:rPr>
        <w:t xml:space="preserve">Alvarenga, A., Campos, M., Dias, M., Melão, L., Estevão-Costa, J. Botox-A injection of salivary glands for drooling. </w:t>
      </w:r>
      <w:r>
        <w:rPr>
          <w:rFonts w:eastAsia="Times New Roman" w:asciiTheme="majorHAnsi" w:hAnsiTheme="majorHAnsi" w:cstheme="majorHAnsi"/>
          <w:i/>
          <w:iCs/>
          <w:lang w:val="en-IN" w:eastAsia="en-IN"/>
        </w:rPr>
        <w:t>J Pediatr Surg.</w:t>
      </w:r>
      <w:r>
        <w:rPr>
          <w:rFonts w:eastAsia="Times New Roman" w:asciiTheme="majorHAnsi" w:hAnsiTheme="majorHAnsi" w:cstheme="majorHAnsi"/>
          <w:lang w:val="en-IN" w:eastAsia="en-IN"/>
        </w:rPr>
        <w:t xml:space="preserve"> </w:t>
      </w:r>
      <w:r>
        <w:rPr>
          <w:rFonts w:eastAsia="Times New Roman" w:asciiTheme="majorHAnsi" w:hAnsiTheme="majorHAnsi" w:cstheme="majorHAnsi"/>
          <w:b/>
          <w:bCs/>
          <w:lang w:val="en-IN" w:eastAsia="en-IN"/>
        </w:rPr>
        <w:t>52</w:t>
      </w:r>
      <w:r>
        <w:rPr>
          <w:rFonts w:eastAsia="Times New Roman" w:asciiTheme="majorHAnsi" w:hAnsiTheme="majorHAnsi" w:cstheme="majorHAnsi"/>
          <w:lang w:val="en-IN" w:eastAsia="en-IN"/>
        </w:rPr>
        <w:t xml:space="preserve"> (8), 1283–1286 (2017). </w:t>
      </w:r>
    </w:p>
    <w:p w14:paraId="0DB75219">
      <w:pPr>
        <w:widowControl/>
        <w:numPr>
          <w:ilvl w:val="0"/>
          <w:numId w:val="5"/>
        </w:numPr>
        <w:tabs>
          <w:tab w:val="left" w:pos="426"/>
        </w:tabs>
        <w:ind w:left="0" w:firstLine="0"/>
        <w:rPr>
          <w:rFonts w:eastAsia="Times New Roman" w:asciiTheme="majorHAnsi" w:hAnsiTheme="majorHAnsi" w:cstheme="majorHAnsi"/>
          <w:lang w:val="en-IN" w:eastAsia="en-IN"/>
        </w:rPr>
      </w:pPr>
      <w:r>
        <w:rPr>
          <w:rFonts w:eastAsia="Times New Roman" w:asciiTheme="majorHAnsi" w:hAnsiTheme="majorHAnsi" w:cstheme="majorHAnsi"/>
          <w:lang w:val="en-IN" w:eastAsia="en-IN"/>
        </w:rPr>
        <w:t xml:space="preserve">Panarese, A., Ghosh, S., Hodgson, D., McEwan, J., Bull, P. D. Outcomes of submandibular duct re-implantation for sialorrhoea. </w:t>
      </w:r>
      <w:r>
        <w:rPr>
          <w:rFonts w:eastAsia="Times New Roman" w:asciiTheme="majorHAnsi" w:hAnsiTheme="majorHAnsi" w:cstheme="majorHAnsi"/>
          <w:i/>
          <w:iCs/>
          <w:lang w:val="en-IN" w:eastAsia="en-IN"/>
        </w:rPr>
        <w:t>Clin Otolaryngol Allied Sci.</w:t>
      </w:r>
      <w:r>
        <w:rPr>
          <w:rFonts w:eastAsia="Times New Roman" w:asciiTheme="majorHAnsi" w:hAnsiTheme="majorHAnsi" w:cstheme="majorHAnsi"/>
          <w:lang w:val="en-IN" w:eastAsia="en-IN"/>
        </w:rPr>
        <w:t xml:space="preserve"> </w:t>
      </w:r>
      <w:r>
        <w:rPr>
          <w:rFonts w:eastAsia="Times New Roman" w:asciiTheme="majorHAnsi" w:hAnsiTheme="majorHAnsi" w:cstheme="majorHAnsi"/>
          <w:b/>
          <w:bCs/>
          <w:lang w:val="en-IN" w:eastAsia="en-IN"/>
        </w:rPr>
        <w:t>26</w:t>
      </w:r>
      <w:r>
        <w:rPr>
          <w:rFonts w:eastAsia="Times New Roman" w:asciiTheme="majorHAnsi" w:hAnsiTheme="majorHAnsi" w:cstheme="majorHAnsi"/>
          <w:lang w:val="en-IN" w:eastAsia="en-IN"/>
        </w:rPr>
        <w:t xml:space="preserve"> (2), 143–146 (2001). </w:t>
      </w:r>
    </w:p>
    <w:p w14:paraId="4CD54B8B">
      <w:pPr>
        <w:widowControl/>
        <w:numPr>
          <w:ilvl w:val="0"/>
          <w:numId w:val="5"/>
        </w:numPr>
        <w:tabs>
          <w:tab w:val="left" w:pos="426"/>
        </w:tabs>
        <w:ind w:left="0" w:firstLine="0"/>
        <w:rPr>
          <w:rFonts w:eastAsia="Times New Roman" w:asciiTheme="majorHAnsi" w:hAnsiTheme="majorHAnsi" w:cstheme="majorHAnsi"/>
          <w:lang w:val="en-IN" w:eastAsia="en-IN"/>
        </w:rPr>
      </w:pPr>
      <w:r>
        <w:rPr>
          <w:rFonts w:eastAsia="Times New Roman" w:asciiTheme="majorHAnsi" w:hAnsiTheme="majorHAnsi" w:cstheme="majorHAnsi"/>
          <w:lang w:val="en-IN" w:eastAsia="en-IN"/>
        </w:rPr>
        <w:t xml:space="preserve">Ling, X. H. et al. Research progress in treating post-stroke salivation with traditional Chinese medicine. </w:t>
      </w:r>
      <w:r>
        <w:rPr>
          <w:rFonts w:eastAsia="Times New Roman" w:asciiTheme="majorHAnsi" w:hAnsiTheme="majorHAnsi" w:cstheme="majorHAnsi"/>
          <w:i/>
          <w:iCs/>
          <w:lang w:val="en-IN" w:eastAsia="en-IN"/>
        </w:rPr>
        <w:t>Lishizhen Med Mater Med Res.</w:t>
      </w:r>
      <w:r>
        <w:rPr>
          <w:rFonts w:eastAsia="Times New Roman" w:asciiTheme="majorHAnsi" w:hAnsiTheme="majorHAnsi" w:cstheme="majorHAnsi"/>
          <w:lang w:val="en-IN" w:eastAsia="en-IN"/>
        </w:rPr>
        <w:t xml:space="preserve"> </w:t>
      </w:r>
      <w:r>
        <w:rPr>
          <w:rFonts w:eastAsia="Times New Roman" w:asciiTheme="majorHAnsi" w:hAnsiTheme="majorHAnsi" w:cstheme="majorHAnsi"/>
          <w:b/>
          <w:bCs/>
          <w:lang w:val="en-IN" w:eastAsia="en-IN"/>
        </w:rPr>
        <w:t>36</w:t>
      </w:r>
      <w:r>
        <w:rPr>
          <w:rFonts w:eastAsia="Times New Roman" w:asciiTheme="majorHAnsi" w:hAnsiTheme="majorHAnsi" w:cstheme="majorHAnsi"/>
          <w:lang w:val="en-IN" w:eastAsia="en-IN"/>
        </w:rPr>
        <w:t xml:space="preserve"> (02), 330–333 (2025). </w:t>
      </w:r>
    </w:p>
    <w:p w14:paraId="2DBFF1C2">
      <w:pPr>
        <w:widowControl/>
        <w:numPr>
          <w:ilvl w:val="0"/>
          <w:numId w:val="5"/>
        </w:numPr>
        <w:tabs>
          <w:tab w:val="left" w:pos="426"/>
        </w:tabs>
        <w:ind w:left="0" w:firstLine="0"/>
        <w:rPr>
          <w:rFonts w:eastAsia="Times New Roman" w:asciiTheme="majorHAnsi" w:hAnsiTheme="majorHAnsi" w:cstheme="majorHAnsi"/>
          <w:lang w:val="en-IN" w:eastAsia="en-IN"/>
        </w:rPr>
      </w:pPr>
      <w:r>
        <w:rPr>
          <w:rFonts w:eastAsia="Times New Roman" w:asciiTheme="majorHAnsi" w:hAnsiTheme="majorHAnsi" w:cstheme="majorHAnsi"/>
          <w:lang w:val="en-IN" w:eastAsia="en-IN"/>
        </w:rPr>
        <w:t xml:space="preserve">Huang, C. J., Huang, Y. J., Chen, C. Y. The development of acupuncture therapy. </w:t>
      </w:r>
      <w:r>
        <w:rPr>
          <w:rFonts w:eastAsia="Times New Roman" w:asciiTheme="majorHAnsi" w:hAnsiTheme="majorHAnsi" w:cstheme="majorHAnsi"/>
          <w:i/>
          <w:iCs/>
          <w:lang w:val="en-IN" w:eastAsia="en-IN"/>
        </w:rPr>
        <w:t>Chin Acupunct Moxibustion.</w:t>
      </w:r>
      <w:r>
        <w:rPr>
          <w:rFonts w:eastAsia="Times New Roman" w:asciiTheme="majorHAnsi" w:hAnsiTheme="majorHAnsi" w:cstheme="majorHAnsi"/>
          <w:lang w:val="en-IN" w:eastAsia="en-IN"/>
        </w:rPr>
        <w:t xml:space="preserve"> </w:t>
      </w:r>
      <w:r>
        <w:rPr>
          <w:rFonts w:eastAsia="Times New Roman" w:asciiTheme="majorHAnsi" w:hAnsiTheme="majorHAnsi" w:cstheme="majorHAnsi"/>
          <w:b/>
          <w:bCs/>
          <w:lang w:val="en-IN" w:eastAsia="en-IN"/>
        </w:rPr>
        <w:t>33</w:t>
      </w:r>
      <w:r>
        <w:rPr>
          <w:rFonts w:eastAsia="Times New Roman" w:asciiTheme="majorHAnsi" w:hAnsiTheme="majorHAnsi" w:cstheme="majorHAnsi"/>
          <w:lang w:val="en-IN" w:eastAsia="en-IN"/>
        </w:rPr>
        <w:t xml:space="preserve"> (05), 455–458 (2013). </w:t>
      </w:r>
    </w:p>
    <w:p w14:paraId="37AA6649">
      <w:pPr>
        <w:widowControl/>
        <w:numPr>
          <w:ilvl w:val="0"/>
          <w:numId w:val="5"/>
        </w:numPr>
        <w:tabs>
          <w:tab w:val="left" w:pos="426"/>
        </w:tabs>
        <w:ind w:left="0" w:firstLine="0"/>
        <w:rPr>
          <w:rFonts w:eastAsia="Times New Roman" w:asciiTheme="majorHAnsi" w:hAnsiTheme="majorHAnsi" w:cstheme="majorHAnsi"/>
          <w:lang w:val="en-IN" w:eastAsia="en-IN"/>
        </w:rPr>
      </w:pPr>
      <w:r>
        <w:rPr>
          <w:rFonts w:eastAsia="Times New Roman" w:asciiTheme="majorHAnsi" w:hAnsiTheme="majorHAnsi" w:cstheme="majorHAnsi"/>
          <w:lang w:val="en-IN" w:eastAsia="en-IN"/>
        </w:rPr>
        <w:t xml:space="preserve">Diagnostic essentials of cerebrovascular diseases. </w:t>
      </w:r>
      <w:r>
        <w:rPr>
          <w:rFonts w:eastAsia="Times New Roman" w:asciiTheme="majorHAnsi" w:hAnsiTheme="majorHAnsi" w:cstheme="majorHAnsi"/>
          <w:i/>
          <w:iCs/>
          <w:lang w:val="en-IN" w:eastAsia="en-IN"/>
        </w:rPr>
        <w:t>J Clin Exp Med.</w:t>
      </w:r>
      <w:r>
        <w:rPr>
          <w:rFonts w:eastAsia="Times New Roman" w:asciiTheme="majorHAnsi" w:hAnsiTheme="majorHAnsi" w:cstheme="majorHAnsi"/>
          <w:lang w:val="en-IN" w:eastAsia="en-IN"/>
        </w:rPr>
        <w:t xml:space="preserve"> </w:t>
      </w:r>
      <w:r>
        <w:rPr>
          <w:rFonts w:eastAsia="Times New Roman" w:asciiTheme="majorHAnsi" w:hAnsiTheme="majorHAnsi" w:cstheme="majorHAnsi"/>
          <w:b/>
          <w:bCs/>
          <w:lang w:val="en-IN" w:eastAsia="en-IN"/>
        </w:rPr>
        <w:t>12</w:t>
      </w:r>
      <w:r>
        <w:rPr>
          <w:rFonts w:eastAsia="Times New Roman" w:asciiTheme="majorHAnsi" w:hAnsiTheme="majorHAnsi" w:cstheme="majorHAnsi"/>
          <w:lang w:val="en-IN" w:eastAsia="en-IN"/>
        </w:rPr>
        <w:t xml:space="preserve"> (07), 559 (2013). </w:t>
      </w:r>
    </w:p>
    <w:p w14:paraId="1F22CAF3">
      <w:pPr>
        <w:widowControl/>
        <w:numPr>
          <w:ilvl w:val="0"/>
          <w:numId w:val="5"/>
        </w:numPr>
        <w:tabs>
          <w:tab w:val="left" w:pos="426"/>
        </w:tabs>
        <w:ind w:left="0" w:firstLine="0"/>
        <w:rPr>
          <w:rFonts w:eastAsia="Times New Roman" w:asciiTheme="majorHAnsi" w:hAnsiTheme="majorHAnsi" w:cstheme="majorHAnsi"/>
          <w:lang w:val="en-IN" w:eastAsia="en-IN"/>
        </w:rPr>
      </w:pPr>
      <w:r>
        <w:rPr>
          <w:rFonts w:eastAsia="Times New Roman" w:asciiTheme="majorHAnsi" w:hAnsiTheme="majorHAnsi" w:cstheme="majorHAnsi"/>
          <w:lang w:val="en-IN" w:eastAsia="en-IN"/>
        </w:rPr>
        <w:t xml:space="preserve">Neurology Branch of Chinese Medical Association. Guidelines and consensus on diagnosis and treatment of cerebrovascular diseases in China (2016). </w:t>
      </w:r>
    </w:p>
    <w:p w14:paraId="14D08A3F">
      <w:pPr>
        <w:widowControl/>
        <w:numPr>
          <w:ilvl w:val="0"/>
          <w:numId w:val="5"/>
        </w:numPr>
        <w:tabs>
          <w:tab w:val="left" w:pos="426"/>
        </w:tabs>
        <w:ind w:left="0" w:firstLine="0"/>
        <w:rPr>
          <w:rFonts w:eastAsia="Times New Roman" w:asciiTheme="majorHAnsi" w:hAnsiTheme="majorHAnsi" w:cstheme="majorHAnsi"/>
          <w:lang w:val="en-IN" w:eastAsia="en-IN"/>
        </w:rPr>
      </w:pPr>
      <w:r>
        <w:rPr>
          <w:rFonts w:eastAsia="Times New Roman" w:asciiTheme="majorHAnsi" w:hAnsiTheme="majorHAnsi" w:cstheme="majorHAnsi"/>
          <w:lang w:val="en-IN" w:eastAsia="en-IN"/>
        </w:rPr>
        <w:t xml:space="preserve">Zhang, T. China guidelines for stroke rehabilitation (2011 full edition). </w:t>
      </w:r>
      <w:r>
        <w:rPr>
          <w:rFonts w:eastAsia="Times New Roman" w:asciiTheme="majorHAnsi" w:hAnsiTheme="majorHAnsi" w:cstheme="majorHAnsi"/>
          <w:i/>
          <w:iCs/>
          <w:lang w:val="en-IN" w:eastAsia="en-IN"/>
        </w:rPr>
        <w:t>Chin J Rehabil Theory Pract.</w:t>
      </w:r>
      <w:r>
        <w:rPr>
          <w:rFonts w:eastAsia="Times New Roman" w:asciiTheme="majorHAnsi" w:hAnsiTheme="majorHAnsi" w:cstheme="majorHAnsi"/>
          <w:lang w:val="en-IN" w:eastAsia="en-IN"/>
        </w:rPr>
        <w:t xml:space="preserve"> </w:t>
      </w:r>
      <w:r>
        <w:rPr>
          <w:rFonts w:eastAsia="Times New Roman" w:asciiTheme="majorHAnsi" w:hAnsiTheme="majorHAnsi" w:cstheme="majorHAnsi"/>
          <w:b/>
          <w:bCs/>
          <w:lang w:val="en-IN" w:eastAsia="en-IN"/>
        </w:rPr>
        <w:t>18</w:t>
      </w:r>
      <w:r>
        <w:rPr>
          <w:rFonts w:eastAsia="Times New Roman" w:asciiTheme="majorHAnsi" w:hAnsiTheme="majorHAnsi" w:cstheme="majorHAnsi"/>
          <w:lang w:val="en-IN" w:eastAsia="en-IN"/>
        </w:rPr>
        <w:t xml:space="preserve"> (04), 301–318 (2012). </w:t>
      </w:r>
    </w:p>
    <w:p w14:paraId="1F544EAF">
      <w:pPr>
        <w:widowControl/>
        <w:numPr>
          <w:ilvl w:val="0"/>
          <w:numId w:val="5"/>
        </w:numPr>
        <w:tabs>
          <w:tab w:val="left" w:pos="426"/>
        </w:tabs>
        <w:ind w:left="0" w:firstLine="0"/>
        <w:rPr>
          <w:rFonts w:eastAsia="Times New Roman" w:asciiTheme="majorHAnsi" w:hAnsiTheme="majorHAnsi" w:cstheme="majorHAnsi"/>
          <w:lang w:val="en-IN" w:eastAsia="en-IN"/>
        </w:rPr>
      </w:pPr>
      <w:r>
        <w:rPr>
          <w:rFonts w:eastAsia="Times New Roman" w:asciiTheme="majorHAnsi" w:hAnsiTheme="majorHAnsi" w:cstheme="majorHAnsi"/>
          <w:lang w:val="en-IN" w:eastAsia="en-IN"/>
        </w:rPr>
        <w:t xml:space="preserve">Wu, X. D., Huang, Lin, X. X., Zhao, J. S. Interpretation of Chinese national standard for nomenclature and location of meridian points (GB/T 12346-2021). </w:t>
      </w:r>
      <w:r>
        <w:rPr>
          <w:rFonts w:eastAsia="Times New Roman" w:asciiTheme="majorHAnsi" w:hAnsiTheme="majorHAnsi" w:cstheme="majorHAnsi"/>
          <w:i/>
          <w:iCs/>
          <w:lang w:val="en-IN" w:eastAsia="en-IN"/>
        </w:rPr>
        <w:t>Chin Acupunct Moxibustion.</w:t>
      </w:r>
      <w:r>
        <w:rPr>
          <w:rFonts w:eastAsia="Times New Roman" w:asciiTheme="majorHAnsi" w:hAnsiTheme="majorHAnsi" w:cstheme="majorHAnsi"/>
          <w:lang w:val="en-IN" w:eastAsia="en-IN"/>
        </w:rPr>
        <w:t xml:space="preserve"> </w:t>
      </w:r>
      <w:r>
        <w:rPr>
          <w:rFonts w:eastAsia="Times New Roman" w:asciiTheme="majorHAnsi" w:hAnsiTheme="majorHAnsi" w:cstheme="majorHAnsi"/>
          <w:b/>
          <w:bCs/>
          <w:lang w:val="en-IN" w:eastAsia="en-IN"/>
        </w:rPr>
        <w:t>42</w:t>
      </w:r>
      <w:r>
        <w:rPr>
          <w:rFonts w:eastAsia="Times New Roman" w:asciiTheme="majorHAnsi" w:hAnsiTheme="majorHAnsi" w:cstheme="majorHAnsi"/>
          <w:lang w:val="en-IN" w:eastAsia="en-IN"/>
        </w:rPr>
        <w:t xml:space="preserve"> (5), 579–582 (2022). </w:t>
      </w:r>
    </w:p>
    <w:p w14:paraId="005B411B">
      <w:pPr>
        <w:widowControl/>
        <w:numPr>
          <w:ilvl w:val="0"/>
          <w:numId w:val="5"/>
        </w:numPr>
        <w:tabs>
          <w:tab w:val="left" w:pos="426"/>
        </w:tabs>
        <w:ind w:left="0" w:firstLine="0"/>
        <w:rPr>
          <w:rFonts w:eastAsia="Times New Roman" w:asciiTheme="majorHAnsi" w:hAnsiTheme="majorHAnsi" w:cstheme="majorHAnsi"/>
          <w:lang w:val="en-IN" w:eastAsia="en-IN"/>
        </w:rPr>
      </w:pPr>
      <w:r>
        <w:rPr>
          <w:rFonts w:eastAsia="Times New Roman" w:asciiTheme="majorHAnsi" w:hAnsiTheme="majorHAnsi" w:cstheme="majorHAnsi"/>
          <w:lang w:val="en-IN" w:eastAsia="en-IN"/>
        </w:rPr>
        <w:t xml:space="preserve">Huang, S. X. Improvement of fire needle instruments and clinical operation. </w:t>
      </w:r>
      <w:r>
        <w:rPr>
          <w:rFonts w:eastAsia="Times New Roman" w:asciiTheme="majorHAnsi" w:hAnsiTheme="majorHAnsi" w:cstheme="majorHAnsi"/>
          <w:i/>
          <w:iCs/>
          <w:lang w:val="en-IN" w:eastAsia="en-IN"/>
        </w:rPr>
        <w:t>J Basic Chin Med.</w:t>
      </w:r>
      <w:r>
        <w:rPr>
          <w:rFonts w:eastAsia="Times New Roman" w:asciiTheme="majorHAnsi" w:hAnsiTheme="majorHAnsi" w:cstheme="majorHAnsi"/>
          <w:lang w:val="en-IN" w:eastAsia="en-IN"/>
        </w:rPr>
        <w:t xml:space="preserve"> </w:t>
      </w:r>
      <w:r>
        <w:rPr>
          <w:rFonts w:eastAsia="Times New Roman" w:asciiTheme="majorHAnsi" w:hAnsiTheme="majorHAnsi" w:cstheme="majorHAnsi"/>
          <w:b/>
          <w:bCs/>
          <w:lang w:val="en-IN" w:eastAsia="en-IN"/>
        </w:rPr>
        <w:t>2007</w:t>
      </w:r>
      <w:r>
        <w:rPr>
          <w:rFonts w:eastAsia="Times New Roman" w:asciiTheme="majorHAnsi" w:hAnsiTheme="majorHAnsi" w:cstheme="majorHAnsi"/>
          <w:lang w:val="en-IN" w:eastAsia="en-IN"/>
        </w:rPr>
        <w:t xml:space="preserve"> (03), 231–232 (2007). </w:t>
      </w:r>
    </w:p>
    <w:p w14:paraId="47DD5EC2">
      <w:pPr>
        <w:widowControl/>
        <w:numPr>
          <w:ilvl w:val="0"/>
          <w:numId w:val="5"/>
        </w:numPr>
        <w:tabs>
          <w:tab w:val="left" w:pos="426"/>
        </w:tabs>
        <w:ind w:left="0" w:firstLine="0"/>
        <w:rPr>
          <w:rFonts w:eastAsia="Times New Roman" w:asciiTheme="majorHAnsi" w:hAnsiTheme="majorHAnsi" w:cstheme="majorHAnsi"/>
          <w:lang w:val="en-IN" w:eastAsia="en-IN"/>
        </w:rPr>
      </w:pPr>
      <w:r>
        <w:rPr>
          <w:rFonts w:eastAsia="Times New Roman" w:asciiTheme="majorHAnsi" w:hAnsiTheme="majorHAnsi" w:cstheme="majorHAnsi"/>
          <w:lang w:val="en-IN" w:eastAsia="en-IN"/>
        </w:rPr>
        <w:t xml:space="preserve">Wang, J. J. et al. Intraoral acupuncture for sialorrhea in stroke patients: a study protocol for a randomized controlled trial. </w:t>
      </w:r>
      <w:r>
        <w:rPr>
          <w:rFonts w:eastAsia="Times New Roman" w:asciiTheme="majorHAnsi" w:hAnsiTheme="majorHAnsi" w:cstheme="majorHAnsi"/>
          <w:i/>
          <w:iCs/>
          <w:lang w:val="en-IN" w:eastAsia="en-IN"/>
        </w:rPr>
        <w:t>J Acupunct Meridian Stud.</w:t>
      </w:r>
      <w:r>
        <w:rPr>
          <w:rFonts w:eastAsia="Times New Roman" w:asciiTheme="majorHAnsi" w:hAnsiTheme="majorHAnsi" w:cstheme="majorHAnsi"/>
          <w:lang w:val="en-IN" w:eastAsia="en-IN"/>
        </w:rPr>
        <w:t xml:space="preserve"> </w:t>
      </w:r>
      <w:r>
        <w:rPr>
          <w:rFonts w:eastAsia="Times New Roman" w:asciiTheme="majorHAnsi" w:hAnsiTheme="majorHAnsi" w:cstheme="majorHAnsi"/>
          <w:b/>
          <w:bCs/>
          <w:lang w:val="en-IN" w:eastAsia="en-IN"/>
        </w:rPr>
        <w:t>17</w:t>
      </w:r>
      <w:r>
        <w:rPr>
          <w:rFonts w:eastAsia="Times New Roman" w:asciiTheme="majorHAnsi" w:hAnsiTheme="majorHAnsi" w:cstheme="majorHAnsi"/>
          <w:lang w:val="en-IN" w:eastAsia="en-IN"/>
        </w:rPr>
        <w:t xml:space="preserve"> (3), 100–109 (2024). </w:t>
      </w:r>
    </w:p>
    <w:p w14:paraId="128909EE">
      <w:pPr>
        <w:widowControl/>
        <w:numPr>
          <w:ilvl w:val="0"/>
          <w:numId w:val="5"/>
        </w:numPr>
        <w:tabs>
          <w:tab w:val="left" w:pos="426"/>
        </w:tabs>
        <w:ind w:left="0" w:firstLine="0"/>
        <w:rPr>
          <w:rFonts w:eastAsia="Times New Roman" w:asciiTheme="majorHAnsi" w:hAnsiTheme="majorHAnsi" w:cstheme="majorHAnsi"/>
          <w:lang w:val="en-IN" w:eastAsia="en-IN"/>
        </w:rPr>
      </w:pPr>
      <w:r>
        <w:rPr>
          <w:rFonts w:eastAsia="Times New Roman" w:asciiTheme="majorHAnsi" w:hAnsiTheme="majorHAnsi" w:cstheme="majorHAnsi"/>
          <w:lang w:val="en-IN" w:eastAsia="en-IN"/>
        </w:rPr>
        <w:t xml:space="preserve">Jun, J. S., Seo, H. G., Lee, S. T., Chu, K., Lee, S. K. Botulinum toxin treatment for hypersalivation in anti-NMDA receptor encephalitis. </w:t>
      </w:r>
      <w:r>
        <w:rPr>
          <w:rFonts w:eastAsia="Times New Roman" w:asciiTheme="majorHAnsi" w:hAnsiTheme="majorHAnsi" w:cstheme="majorHAnsi"/>
          <w:i/>
          <w:iCs/>
          <w:lang w:val="en-IN" w:eastAsia="en-IN"/>
        </w:rPr>
        <w:t>Ann Clin Transl Neurol.</w:t>
      </w:r>
      <w:r>
        <w:rPr>
          <w:rFonts w:eastAsia="Times New Roman" w:asciiTheme="majorHAnsi" w:hAnsiTheme="majorHAnsi" w:cstheme="majorHAnsi"/>
          <w:lang w:val="en-IN" w:eastAsia="en-IN"/>
        </w:rPr>
        <w:t xml:space="preserve"> </w:t>
      </w:r>
      <w:r>
        <w:rPr>
          <w:rFonts w:eastAsia="Times New Roman" w:asciiTheme="majorHAnsi" w:hAnsiTheme="majorHAnsi" w:cstheme="majorHAnsi"/>
          <w:b/>
          <w:bCs/>
          <w:lang w:val="en-IN" w:eastAsia="en-IN"/>
        </w:rPr>
        <w:t>4</w:t>
      </w:r>
      <w:r>
        <w:rPr>
          <w:rFonts w:eastAsia="Times New Roman" w:asciiTheme="majorHAnsi" w:hAnsiTheme="majorHAnsi" w:cstheme="majorHAnsi"/>
          <w:lang w:val="en-IN" w:eastAsia="en-IN"/>
        </w:rPr>
        <w:t xml:space="preserve"> (11), 830–834 (2017). </w:t>
      </w:r>
    </w:p>
    <w:p w14:paraId="2E4E9BF8">
      <w:pPr>
        <w:widowControl/>
        <w:numPr>
          <w:ilvl w:val="0"/>
          <w:numId w:val="5"/>
        </w:numPr>
        <w:tabs>
          <w:tab w:val="left" w:pos="426"/>
        </w:tabs>
        <w:ind w:left="0" w:firstLine="0"/>
        <w:rPr>
          <w:rFonts w:eastAsia="Times New Roman" w:asciiTheme="majorHAnsi" w:hAnsiTheme="majorHAnsi" w:cstheme="majorHAnsi"/>
          <w:lang w:val="en-IN" w:eastAsia="en-IN"/>
        </w:rPr>
      </w:pPr>
      <w:r>
        <w:rPr>
          <w:rFonts w:eastAsia="Times New Roman" w:asciiTheme="majorHAnsi" w:hAnsiTheme="majorHAnsi" w:cstheme="majorHAnsi"/>
          <w:lang w:val="en-IN" w:eastAsia="en-IN"/>
        </w:rPr>
        <w:t xml:space="preserve">Wang, L., Li, A., Zhang, C., Ding, X., Xu, H. Sublingual administration of atropine eye drops for treating sialorrhea after stroke: a randomized controlled trial. </w:t>
      </w:r>
      <w:r>
        <w:rPr>
          <w:rFonts w:eastAsia="Times New Roman" w:asciiTheme="majorHAnsi" w:hAnsiTheme="majorHAnsi" w:cstheme="majorHAnsi"/>
          <w:i/>
          <w:iCs/>
          <w:lang w:val="en-IN" w:eastAsia="en-IN"/>
        </w:rPr>
        <w:t>J Stroke Cerebrovasc Dis.</w:t>
      </w:r>
      <w:r>
        <w:rPr>
          <w:rFonts w:eastAsia="Times New Roman" w:asciiTheme="majorHAnsi" w:hAnsiTheme="majorHAnsi" w:cstheme="majorHAnsi"/>
          <w:lang w:val="en-IN" w:eastAsia="en-IN"/>
        </w:rPr>
        <w:t xml:space="preserve"> </w:t>
      </w:r>
      <w:r>
        <w:rPr>
          <w:rFonts w:eastAsia="Times New Roman" w:asciiTheme="majorHAnsi" w:hAnsiTheme="majorHAnsi" w:cstheme="majorHAnsi"/>
          <w:b/>
          <w:bCs/>
          <w:lang w:val="en-IN" w:eastAsia="en-IN"/>
        </w:rPr>
        <w:t>33</w:t>
      </w:r>
      <w:r>
        <w:rPr>
          <w:rFonts w:eastAsia="Times New Roman" w:asciiTheme="majorHAnsi" w:hAnsiTheme="majorHAnsi" w:cstheme="majorHAnsi"/>
          <w:lang w:val="en-IN" w:eastAsia="en-IN"/>
        </w:rPr>
        <w:t xml:space="preserve"> (12), 108050 (2024). </w:t>
      </w:r>
    </w:p>
    <w:p w14:paraId="18C24EE4">
      <w:pPr>
        <w:widowControl/>
        <w:numPr>
          <w:ilvl w:val="0"/>
          <w:numId w:val="5"/>
        </w:numPr>
        <w:tabs>
          <w:tab w:val="left" w:pos="426"/>
        </w:tabs>
        <w:ind w:left="0" w:firstLine="0"/>
        <w:rPr>
          <w:rFonts w:eastAsia="Times New Roman" w:asciiTheme="majorHAnsi" w:hAnsiTheme="majorHAnsi" w:cstheme="majorHAnsi"/>
          <w:lang w:val="en-IN" w:eastAsia="en-IN"/>
        </w:rPr>
      </w:pPr>
      <w:r>
        <w:rPr>
          <w:rFonts w:eastAsia="Times New Roman" w:asciiTheme="majorHAnsi" w:hAnsiTheme="majorHAnsi" w:cstheme="majorHAnsi"/>
          <w:lang w:val="en-IN" w:eastAsia="en-IN"/>
        </w:rPr>
        <w:t xml:space="preserve">Li, J. L. et al. Talking about the treatment of salivation after stroke by comprehensive swallowing rehabilitation. </w:t>
      </w:r>
      <w:r>
        <w:rPr>
          <w:rFonts w:eastAsia="Times New Roman" w:asciiTheme="majorHAnsi" w:hAnsiTheme="majorHAnsi" w:cstheme="majorHAnsi"/>
          <w:i/>
          <w:iCs/>
          <w:lang w:val="en-IN" w:eastAsia="en-IN"/>
        </w:rPr>
        <w:t>Chin Foreign Med Res.</w:t>
      </w:r>
      <w:r>
        <w:rPr>
          <w:rFonts w:eastAsia="Times New Roman" w:asciiTheme="majorHAnsi" w:hAnsiTheme="majorHAnsi" w:cstheme="majorHAnsi"/>
          <w:lang w:val="en-IN" w:eastAsia="en-IN"/>
        </w:rPr>
        <w:t xml:space="preserve"> </w:t>
      </w:r>
      <w:r>
        <w:rPr>
          <w:rFonts w:eastAsia="Times New Roman" w:asciiTheme="majorHAnsi" w:hAnsiTheme="majorHAnsi" w:cstheme="majorHAnsi"/>
          <w:b/>
          <w:bCs/>
          <w:lang w:val="en-IN" w:eastAsia="en-IN"/>
        </w:rPr>
        <w:t>30</w:t>
      </w:r>
      <w:r>
        <w:rPr>
          <w:rFonts w:eastAsia="Times New Roman" w:asciiTheme="majorHAnsi" w:hAnsiTheme="majorHAnsi" w:cstheme="majorHAnsi"/>
          <w:lang w:val="en-IN" w:eastAsia="en-IN"/>
        </w:rPr>
        <w:t xml:space="preserve"> (08), 59 (2011). </w:t>
      </w:r>
    </w:p>
    <w:p w14:paraId="7159337A">
      <w:pPr>
        <w:widowControl/>
        <w:numPr>
          <w:ilvl w:val="0"/>
          <w:numId w:val="5"/>
        </w:numPr>
        <w:tabs>
          <w:tab w:val="left" w:pos="426"/>
        </w:tabs>
        <w:ind w:left="0" w:firstLine="0"/>
        <w:rPr>
          <w:rFonts w:eastAsia="Times New Roman" w:asciiTheme="majorHAnsi" w:hAnsiTheme="majorHAnsi" w:cstheme="majorHAnsi"/>
          <w:lang w:val="en-IN" w:eastAsia="en-IN"/>
        </w:rPr>
      </w:pPr>
      <w:r>
        <w:rPr>
          <w:rFonts w:eastAsia="Times New Roman" w:asciiTheme="majorHAnsi" w:hAnsiTheme="majorHAnsi" w:cstheme="majorHAnsi"/>
          <w:lang w:val="en-IN" w:eastAsia="en-IN"/>
        </w:rPr>
        <w:t xml:space="preserve">Liu, Y. H. Comparative observation on clinical efficacy of acupuncture at "Yuquan Point" and "Tongue Three Needles" in treating apoplexy salivation. </w:t>
      </w:r>
      <w:r>
        <w:rPr>
          <w:rFonts w:eastAsia="Times New Roman" w:asciiTheme="majorHAnsi" w:hAnsiTheme="majorHAnsi" w:cstheme="majorHAnsi"/>
          <w:i/>
          <w:iCs/>
          <w:lang w:val="en-IN" w:eastAsia="en-IN"/>
        </w:rPr>
        <w:t>Shandong Univ Tradit Chin Med.</w:t>
      </w:r>
      <w:r>
        <w:rPr>
          <w:rFonts w:eastAsia="Times New Roman" w:asciiTheme="majorHAnsi" w:hAnsiTheme="majorHAnsi" w:cstheme="majorHAnsi"/>
          <w:lang w:val="en-IN" w:eastAsia="en-IN"/>
        </w:rPr>
        <w:t xml:space="preserve"> (2014). </w:t>
      </w:r>
    </w:p>
    <w:p w14:paraId="0618C76F">
      <w:pPr>
        <w:widowControl/>
        <w:numPr>
          <w:ilvl w:val="0"/>
          <w:numId w:val="5"/>
        </w:numPr>
        <w:tabs>
          <w:tab w:val="left" w:pos="426"/>
        </w:tabs>
        <w:ind w:left="0" w:firstLine="0"/>
        <w:rPr>
          <w:rFonts w:eastAsia="Times New Roman" w:asciiTheme="majorHAnsi" w:hAnsiTheme="majorHAnsi" w:cstheme="majorHAnsi"/>
          <w:lang w:val="en-IN" w:eastAsia="en-IN"/>
        </w:rPr>
      </w:pPr>
      <w:r>
        <w:rPr>
          <w:rFonts w:eastAsia="Times New Roman" w:asciiTheme="majorHAnsi" w:hAnsiTheme="majorHAnsi" w:cstheme="majorHAnsi"/>
          <w:lang w:val="en-IN" w:eastAsia="en-IN"/>
        </w:rPr>
        <w:t xml:space="preserve">Zhao, B. Q. et al. Research progress on the effect mechanism of fire acupuncture therapy on common diseases. </w:t>
      </w:r>
      <w:r>
        <w:rPr>
          <w:rFonts w:eastAsia="Times New Roman" w:asciiTheme="majorHAnsi" w:hAnsiTheme="majorHAnsi" w:cstheme="majorHAnsi"/>
          <w:i/>
          <w:iCs/>
          <w:lang w:val="en-IN" w:eastAsia="en-IN"/>
        </w:rPr>
        <w:t>Beijing J Tradit Chin Med.</w:t>
      </w:r>
      <w:r>
        <w:rPr>
          <w:rFonts w:eastAsia="Times New Roman" w:asciiTheme="majorHAnsi" w:hAnsiTheme="majorHAnsi" w:cstheme="majorHAnsi"/>
          <w:lang w:val="en-IN" w:eastAsia="en-IN"/>
        </w:rPr>
        <w:t xml:space="preserve"> </w:t>
      </w:r>
      <w:r>
        <w:rPr>
          <w:rFonts w:eastAsia="Times New Roman" w:asciiTheme="majorHAnsi" w:hAnsiTheme="majorHAnsi" w:cstheme="majorHAnsi"/>
          <w:b/>
          <w:bCs/>
          <w:lang w:val="en-IN" w:eastAsia="en-IN"/>
        </w:rPr>
        <w:t>43</w:t>
      </w:r>
      <w:r>
        <w:rPr>
          <w:rFonts w:eastAsia="Times New Roman" w:asciiTheme="majorHAnsi" w:hAnsiTheme="majorHAnsi" w:cstheme="majorHAnsi"/>
          <w:lang w:val="en-IN" w:eastAsia="en-IN"/>
        </w:rPr>
        <w:t xml:space="preserve"> (09), 1075–1080 (2024). </w:t>
      </w:r>
    </w:p>
    <w:p w14:paraId="7FA7A764">
      <w:pPr>
        <w:widowControl/>
        <w:numPr>
          <w:ilvl w:val="0"/>
          <w:numId w:val="5"/>
        </w:numPr>
        <w:tabs>
          <w:tab w:val="left" w:pos="426"/>
        </w:tabs>
        <w:ind w:left="0" w:firstLine="0"/>
        <w:rPr>
          <w:rFonts w:eastAsia="Times New Roman" w:asciiTheme="majorHAnsi" w:hAnsiTheme="majorHAnsi" w:cstheme="majorHAnsi"/>
          <w:lang w:val="en-IN" w:eastAsia="en-IN"/>
        </w:rPr>
      </w:pPr>
      <w:r>
        <w:rPr>
          <w:rFonts w:eastAsia="Times New Roman" w:asciiTheme="majorHAnsi" w:hAnsiTheme="majorHAnsi" w:cstheme="majorHAnsi"/>
          <w:lang w:val="en-IN" w:eastAsia="en-IN"/>
        </w:rPr>
        <w:t xml:space="preserve">Yuan, Y., Qian, X. L., Yan, W. M., Zhou, S. Treatment of dysphagia due to pseudobulbar palsy after stroke with fire acupuncture: a randomized controlled study. </w:t>
      </w:r>
      <w:r>
        <w:rPr>
          <w:rFonts w:eastAsia="Times New Roman" w:asciiTheme="majorHAnsi" w:hAnsiTheme="majorHAnsi" w:cstheme="majorHAnsi"/>
          <w:i/>
          <w:iCs/>
          <w:lang w:val="en-IN" w:eastAsia="en-IN"/>
        </w:rPr>
        <w:t>Chin Acupunct Moxibustion.</w:t>
      </w:r>
      <w:r>
        <w:rPr>
          <w:rFonts w:eastAsia="Times New Roman" w:asciiTheme="majorHAnsi" w:hAnsiTheme="majorHAnsi" w:cstheme="majorHAnsi"/>
          <w:lang w:val="en-IN" w:eastAsia="en-IN"/>
        </w:rPr>
        <w:t xml:space="preserve"> </w:t>
      </w:r>
      <w:r>
        <w:rPr>
          <w:rFonts w:eastAsia="Times New Roman" w:asciiTheme="majorHAnsi" w:hAnsiTheme="majorHAnsi" w:cstheme="majorHAnsi"/>
          <w:b/>
          <w:bCs/>
          <w:lang w:val="en-IN" w:eastAsia="en-IN"/>
        </w:rPr>
        <w:t>40</w:t>
      </w:r>
      <w:r>
        <w:rPr>
          <w:rFonts w:eastAsia="Times New Roman" w:asciiTheme="majorHAnsi" w:hAnsiTheme="majorHAnsi" w:cstheme="majorHAnsi"/>
          <w:lang w:val="en-IN" w:eastAsia="en-IN"/>
        </w:rPr>
        <w:t xml:space="preserve"> (04), 347–351 (2020). </w:t>
      </w:r>
    </w:p>
    <w:p w14:paraId="5DCD9EC3">
      <w:pPr>
        <w:widowControl/>
        <w:numPr>
          <w:ilvl w:val="0"/>
          <w:numId w:val="5"/>
        </w:numPr>
        <w:tabs>
          <w:tab w:val="left" w:pos="426"/>
        </w:tabs>
        <w:ind w:left="0" w:firstLine="0"/>
        <w:rPr>
          <w:rFonts w:eastAsia="Times New Roman" w:asciiTheme="majorHAnsi" w:hAnsiTheme="majorHAnsi" w:cstheme="majorHAnsi"/>
          <w:lang w:val="en-IN" w:eastAsia="en-IN"/>
        </w:rPr>
      </w:pPr>
      <w:r>
        <w:rPr>
          <w:rFonts w:eastAsia="Times New Roman" w:asciiTheme="majorHAnsi" w:hAnsiTheme="majorHAnsi" w:cstheme="majorHAnsi"/>
          <w:lang w:val="en-IN" w:eastAsia="en-IN"/>
        </w:rPr>
        <w:t xml:space="preserve">Li, Y., Zhou, Z., Cheng, S., Jiao, Z., Chen, S. Effect of serum from rats with spinal cord injury after fire needle intervention on proliferation and differentiation of neural stem cells. </w:t>
      </w:r>
      <w:r>
        <w:rPr>
          <w:rFonts w:eastAsia="Times New Roman" w:asciiTheme="majorHAnsi" w:hAnsiTheme="majorHAnsi" w:cstheme="majorHAnsi"/>
          <w:i/>
          <w:iCs/>
          <w:lang w:val="en-IN" w:eastAsia="en-IN"/>
        </w:rPr>
        <w:t>Tianjin J Tradit Chin Med.</w:t>
      </w:r>
      <w:r>
        <w:rPr>
          <w:rFonts w:eastAsia="Times New Roman" w:asciiTheme="majorHAnsi" w:hAnsiTheme="majorHAnsi" w:cstheme="majorHAnsi"/>
          <w:lang w:val="en-IN" w:eastAsia="en-IN"/>
        </w:rPr>
        <w:t xml:space="preserve"> </w:t>
      </w:r>
      <w:r>
        <w:rPr>
          <w:rFonts w:eastAsia="Times New Roman" w:asciiTheme="majorHAnsi" w:hAnsiTheme="majorHAnsi" w:cstheme="majorHAnsi"/>
          <w:b/>
          <w:bCs/>
          <w:lang w:val="en-IN" w:eastAsia="en-IN"/>
        </w:rPr>
        <w:t>30</w:t>
      </w:r>
      <w:r>
        <w:rPr>
          <w:rFonts w:eastAsia="Times New Roman" w:asciiTheme="majorHAnsi" w:hAnsiTheme="majorHAnsi" w:cstheme="majorHAnsi"/>
          <w:lang w:val="en-IN" w:eastAsia="en-IN"/>
        </w:rPr>
        <w:t xml:space="preserve"> (01), 25–27 (2013). </w:t>
      </w:r>
    </w:p>
    <w:p w14:paraId="34508D5C">
      <w:pPr>
        <w:widowControl/>
        <w:numPr>
          <w:ilvl w:val="0"/>
          <w:numId w:val="5"/>
        </w:numPr>
        <w:tabs>
          <w:tab w:val="left" w:pos="426"/>
        </w:tabs>
        <w:ind w:left="0" w:firstLine="0"/>
        <w:rPr>
          <w:rFonts w:eastAsia="Times New Roman" w:asciiTheme="majorHAnsi" w:hAnsiTheme="majorHAnsi" w:cstheme="majorHAnsi"/>
          <w:lang w:val="en-IN" w:eastAsia="en-IN"/>
        </w:rPr>
      </w:pPr>
      <w:r>
        <w:rPr>
          <w:rFonts w:eastAsia="Times New Roman" w:asciiTheme="majorHAnsi" w:hAnsiTheme="majorHAnsi" w:cstheme="majorHAnsi"/>
          <w:lang w:val="en-IN" w:eastAsia="en-IN"/>
        </w:rPr>
        <w:t xml:space="preserve">Du, X. et al. Preliminary study on therapeutic effect and mechanism of fire acupuncture therapy. </w:t>
      </w:r>
      <w:r>
        <w:rPr>
          <w:rFonts w:eastAsia="Times New Roman" w:asciiTheme="majorHAnsi" w:hAnsiTheme="majorHAnsi" w:cstheme="majorHAnsi"/>
          <w:i/>
          <w:iCs/>
          <w:lang w:val="en-IN" w:eastAsia="en-IN"/>
        </w:rPr>
        <w:t>J Clin Acupunct Moxibustion.</w:t>
      </w:r>
      <w:r>
        <w:rPr>
          <w:rFonts w:eastAsia="Times New Roman" w:asciiTheme="majorHAnsi" w:hAnsiTheme="majorHAnsi" w:cstheme="majorHAnsi"/>
          <w:lang w:val="en-IN" w:eastAsia="en-IN"/>
        </w:rPr>
        <w:t xml:space="preserve"> </w:t>
      </w:r>
      <w:r>
        <w:rPr>
          <w:rFonts w:eastAsia="Times New Roman" w:asciiTheme="majorHAnsi" w:hAnsiTheme="majorHAnsi" w:cstheme="majorHAnsi"/>
          <w:b/>
          <w:bCs/>
          <w:lang w:val="en-IN" w:eastAsia="en-IN"/>
        </w:rPr>
        <w:t>34</w:t>
      </w:r>
      <w:r>
        <w:rPr>
          <w:rFonts w:eastAsia="Times New Roman" w:asciiTheme="majorHAnsi" w:hAnsiTheme="majorHAnsi" w:cstheme="majorHAnsi"/>
          <w:lang w:val="en-IN" w:eastAsia="en-IN"/>
        </w:rPr>
        <w:t xml:space="preserve"> (09), 1–4 (2018). </w:t>
      </w:r>
    </w:p>
    <w:p w14:paraId="73E389A6">
      <w:pPr>
        <w:widowControl/>
        <w:numPr>
          <w:ilvl w:val="0"/>
          <w:numId w:val="5"/>
        </w:numPr>
        <w:tabs>
          <w:tab w:val="left" w:pos="426"/>
        </w:tabs>
        <w:ind w:left="0" w:firstLine="0"/>
        <w:rPr>
          <w:rFonts w:eastAsia="Times New Roman" w:asciiTheme="majorHAnsi" w:hAnsiTheme="majorHAnsi" w:cstheme="majorHAnsi"/>
          <w:lang w:val="en-IN" w:eastAsia="en-IN"/>
        </w:rPr>
      </w:pPr>
      <w:r>
        <w:rPr>
          <w:rFonts w:eastAsia="Times New Roman" w:asciiTheme="majorHAnsi" w:hAnsiTheme="majorHAnsi" w:cstheme="majorHAnsi"/>
          <w:lang w:val="en-IN" w:eastAsia="en-IN"/>
        </w:rPr>
        <w:t xml:space="preserve">Liu, L. et al. To observe the clinical effect of Hershey's three-way therapy on dysphagia after stroke by surface electromyography. </w:t>
      </w:r>
      <w:r>
        <w:rPr>
          <w:rFonts w:eastAsia="Times New Roman" w:asciiTheme="majorHAnsi" w:hAnsiTheme="majorHAnsi" w:cstheme="majorHAnsi"/>
          <w:i/>
          <w:iCs/>
          <w:lang w:val="en-IN" w:eastAsia="en-IN"/>
        </w:rPr>
        <w:t>Acupunct Res.</w:t>
      </w:r>
      <w:r>
        <w:rPr>
          <w:rFonts w:eastAsia="Times New Roman" w:asciiTheme="majorHAnsi" w:hAnsiTheme="majorHAnsi" w:cstheme="majorHAnsi"/>
          <w:lang w:val="en-IN" w:eastAsia="en-IN"/>
        </w:rPr>
        <w:t xml:space="preserve"> </w:t>
      </w:r>
      <w:r>
        <w:rPr>
          <w:rFonts w:asciiTheme="majorHAnsi" w:hAnsiTheme="majorHAnsi" w:cstheme="majorHAnsi"/>
          <w:b/>
          <w:bCs/>
        </w:rPr>
        <w:t xml:space="preserve">47 </w:t>
      </w:r>
      <w:r>
        <w:rPr>
          <w:rFonts w:asciiTheme="majorHAnsi" w:hAnsiTheme="majorHAnsi" w:cstheme="majorHAnsi"/>
        </w:rPr>
        <w:t>(03), 256-261 (2022).</w:t>
      </w:r>
      <w:bookmarkEnd w:id="0"/>
    </w:p>
    <w:sectPr>
      <w:headerReference r:id="rId5" w:type="first"/>
      <w:headerReference r:id="rId3" w:type="default"/>
      <w:headerReference r:id="rId4" w:type="even"/>
      <w:footerReference r:id="rId6" w:type="even"/>
      <w:pgSz w:w="12240" w:h="15840"/>
      <w:pgMar w:top="1440" w:right="1440" w:bottom="1440" w:left="1440" w:header="720" w:footer="605" w:gutter="0"/>
      <w:lnNumType w:countBy="1" w:restart="continuous"/>
      <w:pgNumType w:start="1"/>
      <w:cols w:space="720" w:num="1"/>
      <w:titlePg/>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Georgia">
    <w:panose1 w:val="02040502050405020303"/>
    <w:charset w:val="00"/>
    <w:family w:val="roman"/>
    <w:pitch w:val="default"/>
    <w:sig w:usb0="00000287" w:usb1="00000000" w:usb2="00000000" w:usb3="00000000" w:csb0="2000009F"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389A9">
    <w:pPr>
      <w:tabs>
        <w:tab w:val="center" w:pos="4680"/>
        <w:tab w:val="right" w:pos="9360"/>
      </w:tabs>
      <w:rPr>
        <w:color w:val="00000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389A8">
    <w:pP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389A7">
    <w:pPr>
      <w:tabs>
        <w:tab w:val="center" w:pos="4680"/>
        <w:tab w:val="right" w:pos="9360"/>
      </w:tabs>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389AA">
    <w:pP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065E20"/>
    <w:multiLevelType w:val="singleLevel"/>
    <w:tmpl w:val="84065E20"/>
    <w:lvl w:ilvl="0" w:tentative="0">
      <w:start w:val="1"/>
      <w:numFmt w:val="decimal"/>
      <w:lvlText w:val="%1."/>
      <w:lvlJc w:val="left"/>
      <w:pPr>
        <w:ind w:left="425" w:hanging="425"/>
      </w:pPr>
      <w:rPr>
        <w:rFonts w:hint="default"/>
      </w:rPr>
    </w:lvl>
  </w:abstractNum>
  <w:abstractNum w:abstractNumId="1">
    <w:nsid w:val="1C8F5AE2"/>
    <w:multiLevelType w:val="multilevel"/>
    <w:tmpl w:val="1C8F5AE2"/>
    <w:lvl w:ilvl="0" w:tentative="0">
      <w:start w:val="5"/>
      <w:numFmt w:val="decimal"/>
      <w:lvlText w:val="%1."/>
      <w:lvlJc w:val="left"/>
      <w:pPr>
        <w:ind w:left="540" w:hanging="540"/>
      </w:pPr>
      <w:rPr>
        <w:rFonts w:hint="default"/>
      </w:rPr>
    </w:lvl>
    <w:lvl w:ilvl="1" w:tentative="0">
      <w:start w:val="4"/>
      <w:numFmt w:val="decimal"/>
      <w:lvlText w:val="%1.%2."/>
      <w:lvlJc w:val="left"/>
      <w:pPr>
        <w:ind w:left="540" w:hanging="540"/>
      </w:pPr>
      <w:rPr>
        <w:rFonts w:hint="default"/>
      </w:rPr>
    </w:lvl>
    <w:lvl w:ilvl="2" w:tentative="0">
      <w:start w:val="3"/>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2">
    <w:nsid w:val="48FF2B58"/>
    <w:multiLevelType w:val="multilevel"/>
    <w:tmpl w:val="48FF2B58"/>
    <w:lvl w:ilvl="0" w:tentative="0">
      <w:start w:val="6"/>
      <w:numFmt w:val="decimal"/>
      <w:lvlText w:val="%1."/>
      <w:lvlJc w:val="left"/>
      <w:pPr>
        <w:ind w:left="360" w:hanging="360"/>
      </w:pPr>
      <w:rPr>
        <w:rFonts w:hint="default" w:eastAsiaTheme="minorHAnsi"/>
      </w:rPr>
    </w:lvl>
    <w:lvl w:ilvl="1" w:tentative="0">
      <w:start w:val="1"/>
      <w:numFmt w:val="decimal"/>
      <w:lvlText w:val="%1.%2."/>
      <w:lvlJc w:val="left"/>
      <w:pPr>
        <w:ind w:left="360" w:hanging="360"/>
      </w:pPr>
      <w:rPr>
        <w:rFonts w:hint="default" w:eastAsiaTheme="minorHAnsi"/>
      </w:rPr>
    </w:lvl>
    <w:lvl w:ilvl="2" w:tentative="0">
      <w:start w:val="1"/>
      <w:numFmt w:val="decimal"/>
      <w:lvlText w:val="%1.%2.%3."/>
      <w:lvlJc w:val="left"/>
      <w:pPr>
        <w:ind w:left="720" w:hanging="720"/>
      </w:pPr>
      <w:rPr>
        <w:rFonts w:hint="default" w:eastAsiaTheme="minorHAnsi"/>
      </w:rPr>
    </w:lvl>
    <w:lvl w:ilvl="3" w:tentative="0">
      <w:start w:val="1"/>
      <w:numFmt w:val="decimal"/>
      <w:lvlText w:val="%1.%2.%3.%4."/>
      <w:lvlJc w:val="left"/>
      <w:pPr>
        <w:ind w:left="720" w:hanging="720"/>
      </w:pPr>
      <w:rPr>
        <w:rFonts w:hint="default" w:eastAsiaTheme="minorHAnsi"/>
      </w:rPr>
    </w:lvl>
    <w:lvl w:ilvl="4" w:tentative="0">
      <w:start w:val="1"/>
      <w:numFmt w:val="decimal"/>
      <w:lvlText w:val="%1.%2.%3.%4.%5."/>
      <w:lvlJc w:val="left"/>
      <w:pPr>
        <w:ind w:left="1080" w:hanging="1080"/>
      </w:pPr>
      <w:rPr>
        <w:rFonts w:hint="default" w:eastAsiaTheme="minorHAnsi"/>
      </w:rPr>
    </w:lvl>
    <w:lvl w:ilvl="5" w:tentative="0">
      <w:start w:val="1"/>
      <w:numFmt w:val="decimal"/>
      <w:lvlText w:val="%1.%2.%3.%4.%5.%6."/>
      <w:lvlJc w:val="left"/>
      <w:pPr>
        <w:ind w:left="1080" w:hanging="1080"/>
      </w:pPr>
      <w:rPr>
        <w:rFonts w:hint="default" w:eastAsiaTheme="minorHAnsi"/>
      </w:rPr>
    </w:lvl>
    <w:lvl w:ilvl="6" w:tentative="0">
      <w:start w:val="1"/>
      <w:numFmt w:val="decimal"/>
      <w:lvlText w:val="%1.%2.%3.%4.%5.%6.%7."/>
      <w:lvlJc w:val="left"/>
      <w:pPr>
        <w:ind w:left="1440" w:hanging="1440"/>
      </w:pPr>
      <w:rPr>
        <w:rFonts w:hint="default" w:eastAsiaTheme="minorHAnsi"/>
      </w:rPr>
    </w:lvl>
    <w:lvl w:ilvl="7" w:tentative="0">
      <w:start w:val="1"/>
      <w:numFmt w:val="decimal"/>
      <w:lvlText w:val="%1.%2.%3.%4.%5.%6.%7.%8."/>
      <w:lvlJc w:val="left"/>
      <w:pPr>
        <w:ind w:left="1440" w:hanging="1440"/>
      </w:pPr>
      <w:rPr>
        <w:rFonts w:hint="default" w:eastAsiaTheme="minorHAnsi"/>
      </w:rPr>
    </w:lvl>
    <w:lvl w:ilvl="8" w:tentative="0">
      <w:start w:val="1"/>
      <w:numFmt w:val="decimal"/>
      <w:lvlText w:val="%1.%2.%3.%4.%5.%6.%7.%8.%9."/>
      <w:lvlJc w:val="left"/>
      <w:pPr>
        <w:ind w:left="1800" w:hanging="1800"/>
      </w:pPr>
      <w:rPr>
        <w:rFonts w:hint="default" w:eastAsiaTheme="minorHAnsi"/>
      </w:rPr>
    </w:lvl>
  </w:abstractNum>
  <w:abstractNum w:abstractNumId="3">
    <w:nsid w:val="6800272D"/>
    <w:multiLevelType w:val="multilevel"/>
    <w:tmpl w:val="6800272D"/>
    <w:lvl w:ilvl="0" w:tentative="0">
      <w:start w:val="1"/>
      <w:numFmt w:val="decimal"/>
      <w:lvlText w:val="%1."/>
      <w:lvlJc w:val="left"/>
      <w:pPr>
        <w:ind w:left="360" w:hanging="360"/>
      </w:pPr>
      <w:rPr>
        <w:rFonts w:hint="default"/>
      </w:rPr>
    </w:lvl>
    <w:lvl w:ilvl="1" w:tentative="0">
      <w:start w:val="1"/>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4">
    <w:nsid w:val="6BF1AA78"/>
    <w:multiLevelType w:val="singleLevel"/>
    <w:tmpl w:val="6BF1AA78"/>
    <w:lvl w:ilvl="0" w:tentative="0">
      <w:start w:val="1"/>
      <w:numFmt w:val="decimal"/>
      <w:lvlText w:val="%1."/>
      <w:lvlJc w:val="left"/>
      <w:pPr>
        <w:tabs>
          <w:tab w:val="left" w:pos="312"/>
        </w:tabs>
      </w:p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removePersonalInformation/>
  <w:documentProtection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c0MrcwNjQxtzA1tTBU0lEKTi0uzszPAykwNKgFAEITzJ0tAAAA"/>
    <w:docVar w:name="EN.Layout" w:val="&lt;ENLayout&gt;&lt;Style&gt;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6E4797"/>
    <w:rsid w:val="0000515B"/>
    <w:rsid w:val="00011457"/>
    <w:rsid w:val="00013652"/>
    <w:rsid w:val="000136EE"/>
    <w:rsid w:val="00030D60"/>
    <w:rsid w:val="00034DD1"/>
    <w:rsid w:val="0004355D"/>
    <w:rsid w:val="00052A0D"/>
    <w:rsid w:val="00056FEA"/>
    <w:rsid w:val="00057B67"/>
    <w:rsid w:val="00061E0E"/>
    <w:rsid w:val="00072BBB"/>
    <w:rsid w:val="0007506F"/>
    <w:rsid w:val="00076815"/>
    <w:rsid w:val="00081F44"/>
    <w:rsid w:val="00082A5F"/>
    <w:rsid w:val="000873E8"/>
    <w:rsid w:val="00087FEF"/>
    <w:rsid w:val="000B41B6"/>
    <w:rsid w:val="000B4906"/>
    <w:rsid w:val="000E2ABF"/>
    <w:rsid w:val="000E3F21"/>
    <w:rsid w:val="000E4C51"/>
    <w:rsid w:val="000F34F3"/>
    <w:rsid w:val="00147CBA"/>
    <w:rsid w:val="0015027F"/>
    <w:rsid w:val="0015327B"/>
    <w:rsid w:val="00157D21"/>
    <w:rsid w:val="001624E4"/>
    <w:rsid w:val="00181A81"/>
    <w:rsid w:val="00194C04"/>
    <w:rsid w:val="00194CE8"/>
    <w:rsid w:val="001959A2"/>
    <w:rsid w:val="001A1CA1"/>
    <w:rsid w:val="001B5C99"/>
    <w:rsid w:val="001C7519"/>
    <w:rsid w:val="001F3109"/>
    <w:rsid w:val="00210DD6"/>
    <w:rsid w:val="00214319"/>
    <w:rsid w:val="0023296D"/>
    <w:rsid w:val="00232DDC"/>
    <w:rsid w:val="0025090A"/>
    <w:rsid w:val="00252077"/>
    <w:rsid w:val="00267E86"/>
    <w:rsid w:val="00273EDD"/>
    <w:rsid w:val="002F5DD4"/>
    <w:rsid w:val="0031658E"/>
    <w:rsid w:val="0032444E"/>
    <w:rsid w:val="00346DBB"/>
    <w:rsid w:val="00351087"/>
    <w:rsid w:val="0035177F"/>
    <w:rsid w:val="003548DA"/>
    <w:rsid w:val="00387CDA"/>
    <w:rsid w:val="003A4CCF"/>
    <w:rsid w:val="003A5297"/>
    <w:rsid w:val="003D02B8"/>
    <w:rsid w:val="003D67E2"/>
    <w:rsid w:val="0040579A"/>
    <w:rsid w:val="00414ADE"/>
    <w:rsid w:val="00432BEA"/>
    <w:rsid w:val="004361C8"/>
    <w:rsid w:val="00436F4D"/>
    <w:rsid w:val="004620C9"/>
    <w:rsid w:val="0047267E"/>
    <w:rsid w:val="00480612"/>
    <w:rsid w:val="004939EE"/>
    <w:rsid w:val="004969D3"/>
    <w:rsid w:val="004A1565"/>
    <w:rsid w:val="004B2188"/>
    <w:rsid w:val="004C0985"/>
    <w:rsid w:val="004D362E"/>
    <w:rsid w:val="004F6AD9"/>
    <w:rsid w:val="005076EF"/>
    <w:rsid w:val="00513CCF"/>
    <w:rsid w:val="00516914"/>
    <w:rsid w:val="00531062"/>
    <w:rsid w:val="00551D82"/>
    <w:rsid w:val="00560085"/>
    <w:rsid w:val="005734D7"/>
    <w:rsid w:val="00575E55"/>
    <w:rsid w:val="00585BF5"/>
    <w:rsid w:val="005A2ECB"/>
    <w:rsid w:val="005A637B"/>
    <w:rsid w:val="005D7BF3"/>
    <w:rsid w:val="005E1EE7"/>
    <w:rsid w:val="005F08CC"/>
    <w:rsid w:val="00604100"/>
    <w:rsid w:val="00615035"/>
    <w:rsid w:val="00622578"/>
    <w:rsid w:val="00622A91"/>
    <w:rsid w:val="006239A1"/>
    <w:rsid w:val="00634672"/>
    <w:rsid w:val="006514F7"/>
    <w:rsid w:val="00653BA6"/>
    <w:rsid w:val="006673B6"/>
    <w:rsid w:val="0067185C"/>
    <w:rsid w:val="006755EE"/>
    <w:rsid w:val="006824BF"/>
    <w:rsid w:val="006C6C0D"/>
    <w:rsid w:val="006E1046"/>
    <w:rsid w:val="006E4797"/>
    <w:rsid w:val="006E7C64"/>
    <w:rsid w:val="006F1B4D"/>
    <w:rsid w:val="00702ADE"/>
    <w:rsid w:val="0070444F"/>
    <w:rsid w:val="00712D22"/>
    <w:rsid w:val="00713F7D"/>
    <w:rsid w:val="00714BE0"/>
    <w:rsid w:val="00736371"/>
    <w:rsid w:val="00750984"/>
    <w:rsid w:val="00751D3D"/>
    <w:rsid w:val="007A4BBA"/>
    <w:rsid w:val="007B488F"/>
    <w:rsid w:val="007B72A4"/>
    <w:rsid w:val="007C444E"/>
    <w:rsid w:val="007D4E12"/>
    <w:rsid w:val="007D6BE0"/>
    <w:rsid w:val="007F13E9"/>
    <w:rsid w:val="007F2030"/>
    <w:rsid w:val="008302FC"/>
    <w:rsid w:val="00833B96"/>
    <w:rsid w:val="00836ABC"/>
    <w:rsid w:val="008425A4"/>
    <w:rsid w:val="008438CE"/>
    <w:rsid w:val="0084554E"/>
    <w:rsid w:val="008461C6"/>
    <w:rsid w:val="0085421A"/>
    <w:rsid w:val="00854909"/>
    <w:rsid w:val="0085548D"/>
    <w:rsid w:val="00856384"/>
    <w:rsid w:val="00862C4F"/>
    <w:rsid w:val="0088105B"/>
    <w:rsid w:val="00882709"/>
    <w:rsid w:val="008A4859"/>
    <w:rsid w:val="008B2D50"/>
    <w:rsid w:val="008B35D2"/>
    <w:rsid w:val="008D293E"/>
    <w:rsid w:val="008E19AC"/>
    <w:rsid w:val="00927AC2"/>
    <w:rsid w:val="009409EA"/>
    <w:rsid w:val="00957748"/>
    <w:rsid w:val="00994F50"/>
    <w:rsid w:val="009A7750"/>
    <w:rsid w:val="009D169A"/>
    <w:rsid w:val="00A1684A"/>
    <w:rsid w:val="00A3531E"/>
    <w:rsid w:val="00A566D5"/>
    <w:rsid w:val="00A61636"/>
    <w:rsid w:val="00A624BE"/>
    <w:rsid w:val="00A71D0B"/>
    <w:rsid w:val="00A8124C"/>
    <w:rsid w:val="00A86032"/>
    <w:rsid w:val="00AA60DC"/>
    <w:rsid w:val="00AB4038"/>
    <w:rsid w:val="00B144C9"/>
    <w:rsid w:val="00B270F5"/>
    <w:rsid w:val="00B66177"/>
    <w:rsid w:val="00B66FBB"/>
    <w:rsid w:val="00B80B5C"/>
    <w:rsid w:val="00B81064"/>
    <w:rsid w:val="00B87681"/>
    <w:rsid w:val="00BA0EBA"/>
    <w:rsid w:val="00BD3767"/>
    <w:rsid w:val="00BE22A2"/>
    <w:rsid w:val="00BE2769"/>
    <w:rsid w:val="00C11D93"/>
    <w:rsid w:val="00C210DF"/>
    <w:rsid w:val="00C27C71"/>
    <w:rsid w:val="00C33F5B"/>
    <w:rsid w:val="00C366E0"/>
    <w:rsid w:val="00C4302E"/>
    <w:rsid w:val="00C550F3"/>
    <w:rsid w:val="00C652D8"/>
    <w:rsid w:val="00C82B91"/>
    <w:rsid w:val="00C8319E"/>
    <w:rsid w:val="00C875D1"/>
    <w:rsid w:val="00CB1713"/>
    <w:rsid w:val="00CB1783"/>
    <w:rsid w:val="00CB382D"/>
    <w:rsid w:val="00CB5433"/>
    <w:rsid w:val="00CB65ED"/>
    <w:rsid w:val="00CB699B"/>
    <w:rsid w:val="00CE6803"/>
    <w:rsid w:val="00D07A90"/>
    <w:rsid w:val="00D2510B"/>
    <w:rsid w:val="00D27799"/>
    <w:rsid w:val="00D57F1F"/>
    <w:rsid w:val="00D65AAF"/>
    <w:rsid w:val="00D65FB3"/>
    <w:rsid w:val="00D661BB"/>
    <w:rsid w:val="00D72607"/>
    <w:rsid w:val="00D759C5"/>
    <w:rsid w:val="00D86D57"/>
    <w:rsid w:val="00D959E7"/>
    <w:rsid w:val="00DA154A"/>
    <w:rsid w:val="00DA3C5C"/>
    <w:rsid w:val="00DC0E61"/>
    <w:rsid w:val="00DC18A7"/>
    <w:rsid w:val="00DD0D2A"/>
    <w:rsid w:val="00DD6E84"/>
    <w:rsid w:val="00DE52C1"/>
    <w:rsid w:val="00E03054"/>
    <w:rsid w:val="00E200DE"/>
    <w:rsid w:val="00E363C6"/>
    <w:rsid w:val="00E401D5"/>
    <w:rsid w:val="00E55486"/>
    <w:rsid w:val="00E77383"/>
    <w:rsid w:val="00E84D28"/>
    <w:rsid w:val="00E960DB"/>
    <w:rsid w:val="00EB1E68"/>
    <w:rsid w:val="00EC0649"/>
    <w:rsid w:val="00EC57F0"/>
    <w:rsid w:val="00F22FB1"/>
    <w:rsid w:val="00F25776"/>
    <w:rsid w:val="00F36869"/>
    <w:rsid w:val="00F41DE1"/>
    <w:rsid w:val="00F72213"/>
    <w:rsid w:val="00F728D4"/>
    <w:rsid w:val="00FA3B53"/>
    <w:rsid w:val="00FA6C9C"/>
    <w:rsid w:val="00FD6506"/>
    <w:rsid w:val="00FE75E6"/>
    <w:rsid w:val="013D6280"/>
    <w:rsid w:val="01A3073B"/>
    <w:rsid w:val="03514002"/>
    <w:rsid w:val="039D6C9A"/>
    <w:rsid w:val="04854D06"/>
    <w:rsid w:val="054F4E62"/>
    <w:rsid w:val="06C66B5B"/>
    <w:rsid w:val="07372051"/>
    <w:rsid w:val="07487DBA"/>
    <w:rsid w:val="07EC2E3C"/>
    <w:rsid w:val="089A2898"/>
    <w:rsid w:val="096B4234"/>
    <w:rsid w:val="0C6E60F3"/>
    <w:rsid w:val="0D780CCE"/>
    <w:rsid w:val="0D7A0BE3"/>
    <w:rsid w:val="0D887163"/>
    <w:rsid w:val="0E745543"/>
    <w:rsid w:val="0F114F36"/>
    <w:rsid w:val="0F2E5C77"/>
    <w:rsid w:val="11001706"/>
    <w:rsid w:val="123A6AFF"/>
    <w:rsid w:val="12B44556"/>
    <w:rsid w:val="13D77899"/>
    <w:rsid w:val="13D96CE3"/>
    <w:rsid w:val="1444244B"/>
    <w:rsid w:val="16892685"/>
    <w:rsid w:val="173D7210"/>
    <w:rsid w:val="17656C40"/>
    <w:rsid w:val="17984446"/>
    <w:rsid w:val="17E54B40"/>
    <w:rsid w:val="18422604"/>
    <w:rsid w:val="186836E3"/>
    <w:rsid w:val="18DC4807"/>
    <w:rsid w:val="1A143B2C"/>
    <w:rsid w:val="1A722F70"/>
    <w:rsid w:val="1B412344"/>
    <w:rsid w:val="1B730595"/>
    <w:rsid w:val="1BEF2B65"/>
    <w:rsid w:val="1F0C7DFB"/>
    <w:rsid w:val="1F106FB8"/>
    <w:rsid w:val="1FD77AD6"/>
    <w:rsid w:val="1FE37E5F"/>
    <w:rsid w:val="211D0AE0"/>
    <w:rsid w:val="215A6C10"/>
    <w:rsid w:val="21F93D33"/>
    <w:rsid w:val="22777124"/>
    <w:rsid w:val="22A30143"/>
    <w:rsid w:val="22E03FC4"/>
    <w:rsid w:val="2316084E"/>
    <w:rsid w:val="231E77CA"/>
    <w:rsid w:val="25BC57A4"/>
    <w:rsid w:val="28C157AB"/>
    <w:rsid w:val="28C25CF7"/>
    <w:rsid w:val="28F72937"/>
    <w:rsid w:val="297B3247"/>
    <w:rsid w:val="29B13146"/>
    <w:rsid w:val="2A453A32"/>
    <w:rsid w:val="2BC63132"/>
    <w:rsid w:val="2BE617CC"/>
    <w:rsid w:val="2BEA293F"/>
    <w:rsid w:val="2CF75313"/>
    <w:rsid w:val="2D79041E"/>
    <w:rsid w:val="2DFC4AE5"/>
    <w:rsid w:val="31F2254D"/>
    <w:rsid w:val="337C6572"/>
    <w:rsid w:val="33E660E2"/>
    <w:rsid w:val="342A06C4"/>
    <w:rsid w:val="349D0BDD"/>
    <w:rsid w:val="35270B41"/>
    <w:rsid w:val="367E3226"/>
    <w:rsid w:val="370116CC"/>
    <w:rsid w:val="372907BF"/>
    <w:rsid w:val="37AD7642"/>
    <w:rsid w:val="39573D9E"/>
    <w:rsid w:val="39B31F3A"/>
    <w:rsid w:val="3A577D39"/>
    <w:rsid w:val="3D5236AA"/>
    <w:rsid w:val="3F340649"/>
    <w:rsid w:val="407A02DD"/>
    <w:rsid w:val="40EA6776"/>
    <w:rsid w:val="40EF4858"/>
    <w:rsid w:val="41BD3269"/>
    <w:rsid w:val="4384315B"/>
    <w:rsid w:val="4493170D"/>
    <w:rsid w:val="45E5269D"/>
    <w:rsid w:val="478136BC"/>
    <w:rsid w:val="478B2DD0"/>
    <w:rsid w:val="495E5115"/>
    <w:rsid w:val="4B3F63AB"/>
    <w:rsid w:val="4DD51840"/>
    <w:rsid w:val="4F844CD5"/>
    <w:rsid w:val="4F9A5CA8"/>
    <w:rsid w:val="4FB61D55"/>
    <w:rsid w:val="4FDD0D75"/>
    <w:rsid w:val="4FF02E34"/>
    <w:rsid w:val="50430252"/>
    <w:rsid w:val="50774392"/>
    <w:rsid w:val="510E7D88"/>
    <w:rsid w:val="513D5054"/>
    <w:rsid w:val="51946C5F"/>
    <w:rsid w:val="54016E61"/>
    <w:rsid w:val="547D3ED2"/>
    <w:rsid w:val="55DF2C65"/>
    <w:rsid w:val="58782833"/>
    <w:rsid w:val="59BC4FA4"/>
    <w:rsid w:val="59DA32C4"/>
    <w:rsid w:val="5D1F27C7"/>
    <w:rsid w:val="5F381638"/>
    <w:rsid w:val="5F802EF2"/>
    <w:rsid w:val="60885CA7"/>
    <w:rsid w:val="6136238C"/>
    <w:rsid w:val="61A73945"/>
    <w:rsid w:val="639E415F"/>
    <w:rsid w:val="6546685C"/>
    <w:rsid w:val="659770B8"/>
    <w:rsid w:val="686F60CA"/>
    <w:rsid w:val="68721717"/>
    <w:rsid w:val="690D79EA"/>
    <w:rsid w:val="69403EBC"/>
    <w:rsid w:val="6A971908"/>
    <w:rsid w:val="6ADF6E0B"/>
    <w:rsid w:val="6BFA5AB3"/>
    <w:rsid w:val="6D433682"/>
    <w:rsid w:val="6DAE1443"/>
    <w:rsid w:val="70BA00FF"/>
    <w:rsid w:val="71812947"/>
    <w:rsid w:val="71EA4A14"/>
    <w:rsid w:val="72EE408F"/>
    <w:rsid w:val="739D14AA"/>
    <w:rsid w:val="73CF7C0D"/>
    <w:rsid w:val="754A4EFB"/>
    <w:rsid w:val="757E5B9F"/>
    <w:rsid w:val="77E617D9"/>
    <w:rsid w:val="78B13B95"/>
    <w:rsid w:val="7B6C067B"/>
    <w:rsid w:val="7BAA0CA9"/>
    <w:rsid w:val="7E0C070F"/>
    <w:rsid w:val="7E110BB2"/>
    <w:rsid w:val="7EE35D3E"/>
    <w:rsid w:val="7FC32B2C"/>
    <w:rsid w:val="7FEF35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Calibri" w:cs="Calibri"/>
      <w:sz w:val="24"/>
      <w:szCs w:val="24"/>
      <w:lang w:val="en-US" w:eastAsia="en-US" w:bidi="ar-SA"/>
    </w:rPr>
  </w:style>
  <w:style w:type="paragraph" w:styleId="2">
    <w:name w:val="heading 1"/>
    <w:basedOn w:val="1"/>
    <w:next w:val="1"/>
    <w:qFormat/>
    <w:uiPriority w:val="9"/>
    <w:pPr>
      <w:keepNext/>
      <w:spacing w:before="240" w:after="60"/>
      <w:outlineLvl w:val="0"/>
    </w:pPr>
    <w:rPr>
      <w:b/>
      <w:sz w:val="28"/>
      <w:szCs w:val="28"/>
    </w:rPr>
  </w:style>
  <w:style w:type="paragraph" w:styleId="3">
    <w:name w:val="heading 2"/>
    <w:basedOn w:val="1"/>
    <w:next w:val="1"/>
    <w:semiHidden/>
    <w:unhideWhenUsed/>
    <w:qFormat/>
    <w:uiPriority w:val="9"/>
    <w:pPr>
      <w:keepNext/>
      <w:outlineLvl w:val="1"/>
    </w:pPr>
    <w:rPr>
      <w:b/>
    </w:rPr>
  </w:style>
  <w:style w:type="paragraph" w:styleId="4">
    <w:name w:val="heading 3"/>
    <w:basedOn w:val="1"/>
    <w:next w:val="1"/>
    <w:semiHidden/>
    <w:unhideWhenUsed/>
    <w:qFormat/>
    <w:uiPriority w:val="9"/>
    <w:pPr>
      <w:keepNext/>
      <w:keepLines/>
      <w:spacing w:before="200"/>
      <w:outlineLvl w:val="2"/>
    </w:pPr>
    <w:rPr>
      <w:rFonts w:ascii="Cambria" w:hAnsi="Cambria" w:eastAsia="Cambria" w:cs="Cambria"/>
      <w:b/>
      <w:color w:val="4F81BD"/>
    </w:rPr>
  </w:style>
  <w:style w:type="paragraph" w:styleId="5">
    <w:name w:val="heading 4"/>
    <w:basedOn w:val="1"/>
    <w:next w:val="1"/>
    <w:semiHidden/>
    <w:unhideWhenUsed/>
    <w:qFormat/>
    <w:uiPriority w:val="9"/>
    <w:pPr>
      <w:keepNext/>
      <w:keepLines/>
      <w:spacing w:before="240" w:after="40"/>
      <w:outlineLvl w:val="3"/>
    </w:pPr>
    <w:rPr>
      <w:b/>
    </w:rPr>
  </w:style>
  <w:style w:type="paragraph" w:styleId="6">
    <w:name w:val="heading 5"/>
    <w:basedOn w:val="1"/>
    <w:next w:val="1"/>
    <w:semiHidden/>
    <w:unhideWhenUsed/>
    <w:qFormat/>
    <w:uiPriority w:val="9"/>
    <w:pPr>
      <w:keepNext/>
      <w:keepLines/>
      <w:spacing w:before="220" w:after="40"/>
      <w:outlineLvl w:val="4"/>
    </w:pPr>
    <w:rPr>
      <w:b/>
      <w:sz w:val="22"/>
      <w:szCs w:val="22"/>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16">
    <w:name w:val="Default Paragraph Font"/>
    <w:semiHidden/>
    <w:unhideWhenUsed/>
    <w:uiPriority w:val="1"/>
  </w:style>
  <w:style w:type="table" w:default="1" w:styleId="14">
    <w:name w:val="Normal Table"/>
    <w:semiHidden/>
    <w:unhideWhenUsed/>
    <w:uiPriority w:val="99"/>
    <w:tblPr>
      <w:tblCellMar>
        <w:top w:w="0" w:type="dxa"/>
        <w:left w:w="108" w:type="dxa"/>
        <w:bottom w:w="0" w:type="dxa"/>
        <w:right w:w="108" w:type="dxa"/>
      </w:tblCellMar>
    </w:tblPr>
  </w:style>
  <w:style w:type="paragraph" w:styleId="8">
    <w:name w:val="annotation text"/>
    <w:basedOn w:val="1"/>
    <w:link w:val="27"/>
    <w:unhideWhenUsed/>
    <w:qFormat/>
    <w:uiPriority w:val="99"/>
    <w:rPr>
      <w:sz w:val="20"/>
      <w:szCs w:val="20"/>
    </w:rPr>
  </w:style>
  <w:style w:type="paragraph" w:styleId="9">
    <w:name w:val="footer"/>
    <w:basedOn w:val="1"/>
    <w:link w:val="24"/>
    <w:unhideWhenUsed/>
    <w:qFormat/>
    <w:uiPriority w:val="99"/>
    <w:pPr>
      <w:tabs>
        <w:tab w:val="center" w:pos="4680"/>
        <w:tab w:val="right" w:pos="9360"/>
      </w:tabs>
    </w:pPr>
  </w:style>
  <w:style w:type="paragraph" w:styleId="10">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1">
    <w:name w:val="Normal (Web)"/>
    <w:basedOn w:val="1"/>
    <w:unhideWhenUsed/>
    <w:uiPriority w:val="99"/>
    <w:pPr>
      <w:widowControl/>
      <w:spacing w:before="100" w:beforeAutospacing="1" w:after="100" w:afterAutospacing="1"/>
      <w:jc w:val="left"/>
    </w:pPr>
    <w:rPr>
      <w:rFonts w:ascii="Times New Roman" w:hAnsi="Times New Roman" w:eastAsia="Times New Roman" w:cs="Times New Roman"/>
      <w:lang w:val="en-IN" w:eastAsia="en-IN"/>
    </w:rPr>
  </w:style>
  <w:style w:type="paragraph" w:styleId="12">
    <w:name w:val="Title"/>
    <w:basedOn w:val="1"/>
    <w:next w:val="1"/>
    <w:qFormat/>
    <w:uiPriority w:val="10"/>
    <w:pPr>
      <w:keepNext/>
      <w:keepLines/>
      <w:spacing w:before="480" w:after="120"/>
    </w:pPr>
    <w:rPr>
      <w:b/>
      <w:sz w:val="72"/>
      <w:szCs w:val="72"/>
    </w:rPr>
  </w:style>
  <w:style w:type="paragraph" w:styleId="13">
    <w:name w:val="annotation subject"/>
    <w:basedOn w:val="8"/>
    <w:next w:val="8"/>
    <w:link w:val="28"/>
    <w:semiHidden/>
    <w:unhideWhenUsed/>
    <w:qFormat/>
    <w:uiPriority w:val="99"/>
    <w:rPr>
      <w:b/>
      <w:bCs/>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bCs/>
    </w:rPr>
  </w:style>
  <w:style w:type="character" w:styleId="18">
    <w:name w:val="FollowedHyperlink"/>
    <w:basedOn w:val="16"/>
    <w:semiHidden/>
    <w:unhideWhenUsed/>
    <w:qFormat/>
    <w:uiPriority w:val="99"/>
    <w:rPr>
      <w:color w:val="800080" w:themeColor="followedHyperlink"/>
      <w:u w:val="single"/>
      <w14:textFill>
        <w14:solidFill>
          <w14:schemeClr w14:val="folHlink"/>
        </w14:solidFill>
      </w14:textFill>
    </w:rPr>
  </w:style>
  <w:style w:type="character" w:styleId="19">
    <w:name w:val="Emphasis"/>
    <w:basedOn w:val="16"/>
    <w:qFormat/>
    <w:uiPriority w:val="20"/>
    <w:rPr>
      <w:i/>
      <w:iCs/>
    </w:rPr>
  </w:style>
  <w:style w:type="character" w:styleId="20">
    <w:name w:val="line number"/>
    <w:basedOn w:val="16"/>
    <w:semiHidden/>
    <w:unhideWhenUsed/>
    <w:qFormat/>
    <w:uiPriority w:val="99"/>
  </w:style>
  <w:style w:type="character" w:styleId="21">
    <w:name w:val="Hyperlink"/>
    <w:basedOn w:val="16"/>
    <w:unhideWhenUsed/>
    <w:qFormat/>
    <w:uiPriority w:val="99"/>
    <w:rPr>
      <w:color w:val="0000FF" w:themeColor="hyperlink"/>
      <w:u w:val="single"/>
      <w14:textFill>
        <w14:solidFill>
          <w14:schemeClr w14:val="hlink"/>
        </w14:solidFill>
      </w14:textFill>
    </w:rPr>
  </w:style>
  <w:style w:type="character" w:styleId="22">
    <w:name w:val="annotation reference"/>
    <w:basedOn w:val="16"/>
    <w:semiHidden/>
    <w:unhideWhenUsed/>
    <w:qFormat/>
    <w:uiPriority w:val="99"/>
    <w:rPr>
      <w:sz w:val="16"/>
      <w:szCs w:val="16"/>
    </w:rPr>
  </w:style>
  <w:style w:type="character" w:customStyle="1" w:styleId="23">
    <w:name w:val="Unresolved Mention1"/>
    <w:basedOn w:val="16"/>
    <w:semiHidden/>
    <w:unhideWhenUsed/>
    <w:qFormat/>
    <w:uiPriority w:val="99"/>
    <w:rPr>
      <w:color w:val="605E5C"/>
      <w:shd w:val="clear" w:color="auto" w:fill="E1DFDD"/>
    </w:rPr>
  </w:style>
  <w:style w:type="character" w:customStyle="1" w:styleId="24">
    <w:name w:val="Footer Char"/>
    <w:basedOn w:val="16"/>
    <w:link w:val="9"/>
    <w:qFormat/>
    <w:uiPriority w:val="99"/>
  </w:style>
  <w:style w:type="paragraph" w:customStyle="1" w:styleId="25">
    <w:name w:val="Revision1"/>
    <w:hidden/>
    <w:semiHidden/>
    <w:qFormat/>
    <w:uiPriority w:val="99"/>
    <w:rPr>
      <w:rFonts w:ascii="Calibri" w:hAnsi="Calibri" w:eastAsia="Calibri" w:cs="Calibri"/>
      <w:sz w:val="24"/>
      <w:szCs w:val="24"/>
      <w:lang w:val="en-US" w:eastAsia="en-US" w:bidi="ar-SA"/>
    </w:rPr>
  </w:style>
  <w:style w:type="paragraph" w:styleId="26">
    <w:name w:val="List Paragraph"/>
    <w:basedOn w:val="1"/>
    <w:qFormat/>
    <w:uiPriority w:val="34"/>
    <w:pPr>
      <w:widowControl/>
      <w:spacing w:after="200" w:line="276" w:lineRule="auto"/>
      <w:ind w:left="720"/>
      <w:contextualSpacing/>
      <w:jc w:val="left"/>
    </w:pPr>
    <w:rPr>
      <w:rFonts w:asciiTheme="minorHAnsi" w:hAnsiTheme="minorHAnsi" w:eastAsiaTheme="minorHAnsi" w:cstheme="minorBidi"/>
      <w:sz w:val="22"/>
      <w:szCs w:val="22"/>
    </w:rPr>
  </w:style>
  <w:style w:type="character" w:customStyle="1" w:styleId="27">
    <w:name w:val="Comment Text Char"/>
    <w:basedOn w:val="16"/>
    <w:link w:val="8"/>
    <w:qFormat/>
    <w:uiPriority w:val="99"/>
    <w:rPr>
      <w:sz w:val="20"/>
      <w:szCs w:val="20"/>
    </w:rPr>
  </w:style>
  <w:style w:type="character" w:customStyle="1" w:styleId="28">
    <w:name w:val="Comment Subject Char"/>
    <w:basedOn w:val="27"/>
    <w:link w:val="13"/>
    <w:semiHidden/>
    <w:qFormat/>
    <w:uiPriority w:val="99"/>
    <w:rPr>
      <w:b/>
      <w:bCs/>
      <w:sz w:val="20"/>
      <w:szCs w:val="20"/>
    </w:rPr>
  </w:style>
  <w:style w:type="character" w:customStyle="1" w:styleId="29">
    <w:name w:val="cf01"/>
    <w:basedOn w:val="16"/>
    <w:qFormat/>
    <w:uiPriority w:val="0"/>
    <w:rPr>
      <w:rFonts w:hint="default" w:ascii="Segoe UI" w:hAnsi="Segoe UI" w:cs="Segoe UI"/>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14</Pages>
  <Words>1938</Words>
  <Characters>12168</Characters>
  <Lines>0</Lines>
  <Paragraphs>0</Paragraphs>
  <TotalTime>13</TotalTime>
  <ScaleCrop>false</ScaleCrop>
  <LinksUpToDate>false</LinksUpToDate>
  <CharactersWithSpaces>14122</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2026-04-16T14:59:00Z</dcterms:created>
  <dcterms:modified xsi:type="dcterms:W3CDTF">2026-04-16T16:00:00Z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eyJoZGlkIjoiNTNlYzU2NDZlZWRhZGY1YzdjNGExMDUwNGJjODllMjkiLCJ1c2VySWQiOiI2NTMzODU2NzEifQ==</vt:lpwstr>
  </property>
  <property fmtid="{D5CDD505-2E9C-101B-9397-08002B2CF9AE}" pid="3" name="KSOProductBuildVer">
    <vt:lpwstr>2052-12.1.0.25865</vt:lpwstr>
  </property>
  <property fmtid="{D5CDD505-2E9C-101B-9397-08002B2CF9AE}" pid="4" name="ICV">
    <vt:lpwstr>6537B43FC5F64C8F82A826992FB40540_12</vt:lpwstr>
  </property>
</Properties>
</file>