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A3611" w14:textId="77777777" w:rsidR="008B3E9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70416</w:t>
      </w:r>
    </w:p>
    <w:p w14:paraId="26E8D809" w14:textId="77777777" w:rsidR="008B3E9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Kathyayani Sridharan</w:t>
      </w:r>
    </w:p>
    <w:p w14:paraId="4DB48B0A" w14:textId="77777777" w:rsidR="008B3E9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eastAsia="Times New Roman" w:cstheme="minorHAnsi"/>
            <w:b/>
          </w:rPr>
          <w:t>https://review.jove.com/account/file-uploader?src=21476928</w:t>
        </w:r>
      </w:hyperlink>
    </w:p>
    <w:p w14:paraId="2246DA33" w14:textId="77777777" w:rsidR="008B3E9A" w:rsidRDefault="008B3E9A">
      <w:pPr>
        <w:outlineLvl w:val="0"/>
        <w:rPr>
          <w:rFonts w:eastAsia="Times New Roman" w:cstheme="minorHAnsi"/>
          <w:b/>
        </w:rPr>
      </w:pPr>
    </w:p>
    <w:p w14:paraId="132D88A8" w14:textId="77777777" w:rsidR="008B3E9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  <w:sz w:val="32"/>
          <w:szCs w:val="32"/>
        </w:rPr>
        <w:t xml:space="preserve">A Standardized </w:t>
      </w:r>
      <w:proofErr w:type="spellStart"/>
      <w:r>
        <w:rPr>
          <w:rFonts w:eastAsia="Times New Roman" w:cstheme="minorHAnsi"/>
          <w:b/>
          <w:sz w:val="32"/>
          <w:szCs w:val="32"/>
        </w:rPr>
        <w:t>Acupotomy</w:t>
      </w:r>
      <w:proofErr w:type="spellEnd"/>
      <w:r>
        <w:rPr>
          <w:rFonts w:eastAsia="Times New Roman" w:cstheme="minorHAnsi"/>
          <w:b/>
          <w:sz w:val="32"/>
          <w:szCs w:val="32"/>
        </w:rPr>
        <w:t xml:space="preserve"> Protocol for the Treatment of Tenosynovitis of Hand Flexor Tendons in Human Patients</w:t>
      </w:r>
    </w:p>
    <w:p w14:paraId="54E05C5D" w14:textId="77777777" w:rsidR="008B3E9A" w:rsidRDefault="008B3E9A">
      <w:pPr>
        <w:outlineLvl w:val="0"/>
        <w:rPr>
          <w:rFonts w:eastAsia="Times New Roman" w:cstheme="minorHAnsi"/>
          <w:b/>
        </w:rPr>
      </w:pPr>
    </w:p>
    <w:p w14:paraId="3E4432A1" w14:textId="77777777" w:rsidR="008B3E9A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95711F8" w14:textId="77777777" w:rsidR="008B3E9A" w:rsidRDefault="008B3E9A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C593BDE" w14:textId="77777777" w:rsidR="008B3E9A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Li Xu*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, Yixuan Luo*</w:t>
      </w: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Chaojin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Zhou*</w:t>
      </w:r>
      <w:r>
        <w:rPr>
          <w:rFonts w:eastAsia="Times New Roman" w:cstheme="minorHAnsi"/>
          <w:b/>
          <w:sz w:val="28"/>
          <w:szCs w:val="28"/>
          <w:vertAlign w:val="superscript"/>
        </w:rPr>
        <w:t>3</w:t>
      </w:r>
      <w:r>
        <w:rPr>
          <w:rFonts w:eastAsia="Times New Roman" w:cstheme="minorHAnsi"/>
          <w:b/>
          <w:sz w:val="28"/>
          <w:szCs w:val="28"/>
        </w:rPr>
        <w:t>, Yanxin Yu</w:t>
      </w: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sz w:val="28"/>
          <w:szCs w:val="28"/>
        </w:rPr>
        <w:t>, Jingyi Liu</w:t>
      </w: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sz w:val="28"/>
          <w:szCs w:val="28"/>
        </w:rPr>
        <w:t>, Shiqi Wei</w:t>
      </w: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sz w:val="28"/>
          <w:szCs w:val="28"/>
        </w:rPr>
        <w:t>, Zhiyu Qian</w:t>
      </w: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sz w:val="28"/>
          <w:szCs w:val="28"/>
        </w:rPr>
        <w:t>, Wei Huang</w:t>
      </w:r>
      <w:r>
        <w:rPr>
          <w:rFonts w:eastAsia="Times New Roman" w:cstheme="minorHAnsi"/>
          <w:b/>
          <w:sz w:val="28"/>
          <w:szCs w:val="28"/>
          <w:vertAlign w:val="superscript"/>
        </w:rPr>
        <w:t>1,4,5,6</w:t>
      </w:r>
    </w:p>
    <w:p w14:paraId="065ABF9E" w14:textId="77777777" w:rsidR="008B3E9A" w:rsidRDefault="008B3E9A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275CF90" w14:textId="77777777" w:rsidR="008B3E9A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  <w:vertAlign w:val="superscript"/>
        </w:rPr>
        <w:t>1</w:t>
      </w:r>
      <w:r>
        <w:rPr>
          <w:rFonts w:eastAsia="Times New Roman" w:cstheme="minorHAnsi"/>
          <w:bCs/>
        </w:rPr>
        <w:t>Department of Acupuncture, Hubei Provincial Hospital of Traditional Chinese Medicine</w:t>
      </w:r>
    </w:p>
    <w:p w14:paraId="5CA8A5DF" w14:textId="77777777" w:rsidR="008B3E9A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  <w:vertAlign w:val="superscript"/>
        </w:rPr>
        <w:t>2</w:t>
      </w:r>
      <w:r>
        <w:rPr>
          <w:rFonts w:eastAsia="Times New Roman" w:cstheme="minorHAnsi"/>
          <w:bCs/>
        </w:rPr>
        <w:t>College of Acupuncture and Orthopedics, Hubei University of Chinese Medicine</w:t>
      </w:r>
    </w:p>
    <w:p w14:paraId="4CF03EB1" w14:textId="77777777" w:rsidR="008B3E9A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  <w:vertAlign w:val="superscript"/>
        </w:rPr>
        <w:t>3</w:t>
      </w:r>
      <w:r>
        <w:rPr>
          <w:rFonts w:eastAsia="Times New Roman" w:cstheme="minorHAnsi"/>
          <w:bCs/>
        </w:rPr>
        <w:t>Wuhan Fourth Hospital</w:t>
      </w:r>
    </w:p>
    <w:p w14:paraId="37A1EE9C" w14:textId="77777777" w:rsidR="008B3E9A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  <w:vertAlign w:val="superscript"/>
        </w:rPr>
        <w:t>4</w:t>
      </w:r>
      <w:r>
        <w:rPr>
          <w:rFonts w:eastAsia="Times New Roman" w:cstheme="minorHAnsi"/>
          <w:bCs/>
        </w:rPr>
        <w:t>Department of Acupuncture, Affiliated Hospital of Hubei University of Chinese Medicine</w:t>
      </w:r>
    </w:p>
    <w:p w14:paraId="5A4B9623" w14:textId="77777777" w:rsidR="008B3E9A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  <w:vertAlign w:val="superscript"/>
        </w:rPr>
        <w:t>5</w:t>
      </w:r>
      <w:r>
        <w:rPr>
          <w:rFonts w:eastAsia="Times New Roman" w:cstheme="minorHAnsi"/>
          <w:bCs/>
        </w:rPr>
        <w:t>Hubei Provincial Clinical Research Center for Acupuncture and Moxibustion in Obesity Treatment</w:t>
      </w:r>
    </w:p>
    <w:p w14:paraId="20CB90C9" w14:textId="77777777" w:rsidR="008B3E9A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  <w:vertAlign w:val="superscript"/>
        </w:rPr>
        <w:t>6</w:t>
      </w:r>
      <w:r>
        <w:rPr>
          <w:rFonts w:eastAsia="Times New Roman" w:cstheme="minorHAnsi"/>
          <w:bCs/>
        </w:rPr>
        <w:t xml:space="preserve">Hubei </w:t>
      </w:r>
      <w:proofErr w:type="spellStart"/>
      <w:r>
        <w:rPr>
          <w:rFonts w:eastAsia="Times New Roman" w:cstheme="minorHAnsi"/>
          <w:bCs/>
        </w:rPr>
        <w:t>Shizhen</w:t>
      </w:r>
      <w:proofErr w:type="spellEnd"/>
      <w:r>
        <w:rPr>
          <w:rFonts w:eastAsia="Times New Roman" w:cstheme="minorHAnsi"/>
          <w:bCs/>
        </w:rPr>
        <w:t xml:space="preserve"> Laboratory</w:t>
      </w:r>
    </w:p>
    <w:p w14:paraId="3C7E4137" w14:textId="77777777" w:rsidR="008B3E9A" w:rsidRDefault="008B3E9A">
      <w:pPr>
        <w:outlineLvl w:val="0"/>
        <w:rPr>
          <w:rFonts w:eastAsia="Times New Roman" w:cstheme="minorHAnsi"/>
          <w:bCs/>
        </w:rPr>
      </w:pPr>
    </w:p>
    <w:p w14:paraId="5298BEC9" w14:textId="77777777" w:rsidR="008B3E9A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*These authors contributed equally</w:t>
      </w:r>
    </w:p>
    <w:p w14:paraId="48DBFCC3" w14:textId="77777777" w:rsidR="008B3E9A" w:rsidRDefault="008B3E9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905039" w14:textId="77777777" w:rsidR="008B3E9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4F6255FA" w14:textId="77777777" w:rsidR="008B3E9A" w:rsidRDefault="008B3E9A">
      <w:pPr>
        <w:outlineLvl w:val="0"/>
        <w:rPr>
          <w:rFonts w:eastAsia="Times New Roman" w:cstheme="minorHAnsi"/>
        </w:rPr>
      </w:pPr>
      <w:bookmarkStart w:id="0" w:name="_Hlk25233958"/>
    </w:p>
    <w:p w14:paraId="0A89254D" w14:textId="77777777" w:rsidR="008B3E9A" w:rsidRDefault="00000000">
      <w:pPr>
        <w:spacing w:line="0" w:lineRule="atLeast"/>
      </w:pPr>
      <w:r>
        <w:t>Wei Huang</w:t>
      </w:r>
      <w:r>
        <w:tab/>
      </w:r>
      <w:r>
        <w:tab/>
      </w:r>
      <w:r>
        <w:tab/>
      </w:r>
      <w:r>
        <w:tab/>
      </w:r>
      <w:r>
        <w:tab/>
        <w:t>24231637@qq.com</w:t>
      </w:r>
    </w:p>
    <w:p w14:paraId="4A68A768" w14:textId="77777777" w:rsidR="008B3E9A" w:rsidRDefault="008B3E9A">
      <w:pPr>
        <w:outlineLvl w:val="0"/>
        <w:rPr>
          <w:rFonts w:eastAsia="Times New Roman" w:cstheme="minorHAnsi"/>
        </w:rPr>
      </w:pPr>
    </w:p>
    <w:p w14:paraId="2BEB0F9B" w14:textId="77777777" w:rsidR="008B3E9A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bookmarkEnd w:id="0"/>
    <w:p w14:paraId="73C28A71" w14:textId="77777777" w:rsidR="008B3E9A" w:rsidRDefault="008B3E9A">
      <w:pPr>
        <w:outlineLvl w:val="0"/>
        <w:rPr>
          <w:rFonts w:cstheme="minorHAnsi"/>
          <w:b/>
          <w:sz w:val="22"/>
          <w:szCs w:val="22"/>
        </w:rPr>
      </w:pPr>
    </w:p>
    <w:p w14:paraId="094608CA" w14:textId="77777777" w:rsidR="008B3E9A" w:rsidRDefault="00000000">
      <w:pPr>
        <w:outlineLvl w:val="0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Li Xu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  <w:t>1105665924@qq.com</w:t>
      </w:r>
    </w:p>
    <w:p w14:paraId="5ECBEB0C" w14:textId="77777777" w:rsidR="008B3E9A" w:rsidRDefault="00000000">
      <w:pPr>
        <w:outlineLvl w:val="0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Yixuan Luo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  <w:t>1187271336@qq.com</w:t>
      </w:r>
    </w:p>
    <w:p w14:paraId="50051801" w14:textId="77777777" w:rsidR="008B3E9A" w:rsidRDefault="00000000">
      <w:pPr>
        <w:outlineLvl w:val="0"/>
        <w:rPr>
          <w:rFonts w:cstheme="minorHAnsi"/>
          <w:bCs/>
          <w:sz w:val="22"/>
          <w:szCs w:val="22"/>
        </w:rPr>
      </w:pPr>
      <w:proofErr w:type="spellStart"/>
      <w:r>
        <w:rPr>
          <w:rFonts w:cstheme="minorHAnsi"/>
          <w:bCs/>
          <w:sz w:val="22"/>
          <w:szCs w:val="22"/>
        </w:rPr>
        <w:t>Chaojin</w:t>
      </w:r>
      <w:proofErr w:type="spellEnd"/>
      <w:r>
        <w:rPr>
          <w:rFonts w:cstheme="minorHAnsi"/>
          <w:bCs/>
          <w:sz w:val="22"/>
          <w:szCs w:val="22"/>
        </w:rPr>
        <w:t xml:space="preserve"> Zhou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  <w:t>928467596@qq.com</w:t>
      </w:r>
    </w:p>
    <w:p w14:paraId="6E76C6BC" w14:textId="77777777" w:rsidR="008B3E9A" w:rsidRDefault="00000000">
      <w:pPr>
        <w:outlineLvl w:val="0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Yanxin Yu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  <w:t>614529369@qq.com</w:t>
      </w:r>
    </w:p>
    <w:p w14:paraId="5DB31B79" w14:textId="77777777" w:rsidR="008B3E9A" w:rsidRDefault="00000000">
      <w:pPr>
        <w:outlineLvl w:val="0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Jingyi Liu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  <w:t>793351492@qq.com</w:t>
      </w:r>
    </w:p>
    <w:p w14:paraId="3B31D07E" w14:textId="77777777" w:rsidR="008B3E9A" w:rsidRDefault="00000000">
      <w:pPr>
        <w:outlineLvl w:val="0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Shiqi Wei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  <w:t>2689961268@qq.com</w:t>
      </w:r>
    </w:p>
    <w:p w14:paraId="01183BF5" w14:textId="77777777" w:rsidR="008B3E9A" w:rsidRDefault="00000000">
      <w:pPr>
        <w:outlineLvl w:val="0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Zhiyu Qian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  <w:t>3270262728@qq.com</w:t>
      </w:r>
    </w:p>
    <w:p w14:paraId="19C0D2BD" w14:textId="77777777" w:rsidR="008B3E9A" w:rsidRDefault="00000000">
      <w:pPr>
        <w:outlineLvl w:val="0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Wei Huang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  <w:t>24231637@qq.com</w:t>
      </w:r>
    </w:p>
    <w:p w14:paraId="15616100" w14:textId="77777777" w:rsidR="008B3E9A" w:rsidRDefault="008B3E9A">
      <w:pPr>
        <w:outlineLvl w:val="0"/>
        <w:rPr>
          <w:rFonts w:cstheme="minorHAnsi"/>
          <w:b/>
          <w:sz w:val="22"/>
          <w:szCs w:val="22"/>
        </w:rPr>
      </w:pPr>
    </w:p>
    <w:p w14:paraId="53D2EECA" w14:textId="77777777" w:rsidR="008B3E9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5E1F9CE7" w14:textId="77777777" w:rsidR="008B3E9A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7DD32015" w14:textId="77777777" w:rsidR="008B3E9A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  <w:r>
        <w:rPr>
          <w:rFonts w:eastAsia="Times New Roman" w:cstheme="minorHAnsi"/>
        </w:rPr>
        <w:t xml:space="preserve">  </w:t>
      </w:r>
    </w:p>
    <w:p w14:paraId="504B8946" w14:textId="77777777" w:rsidR="008B3E9A" w:rsidRDefault="008B3E9A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7CDE246F" w14:textId="77777777" w:rsidR="008B3E9A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290B4F61" w14:textId="77777777" w:rsidR="008B3E9A" w:rsidRDefault="008B3E9A">
      <w:pPr>
        <w:spacing w:before="120"/>
        <w:rPr>
          <w:rFonts w:eastAsia="Times New Roman" w:cstheme="minorHAnsi"/>
          <w:b/>
        </w:rPr>
      </w:pPr>
    </w:p>
    <w:p w14:paraId="14C203C8" w14:textId="77777777" w:rsidR="008B3E9A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</w:t>
      </w:r>
      <w:proofErr w:type="gramStart"/>
      <w:r>
        <w:rPr>
          <w:rFonts w:eastAsia="Times New Roman" w:cstheme="minorHAnsi"/>
        </w:rPr>
        <w:t>filming need to</w:t>
      </w:r>
      <w:proofErr w:type="gramEnd"/>
      <w:r>
        <w:rPr>
          <w:rFonts w:eastAsia="Times New Roman" w:cstheme="minorHAnsi"/>
        </w:rPr>
        <w:t xml:space="preserve">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1528F5B8" w14:textId="77777777" w:rsidR="008B3E9A" w:rsidRDefault="008B3E9A">
      <w:pPr>
        <w:spacing w:before="120"/>
        <w:rPr>
          <w:rFonts w:eastAsia="Times New Roman" w:cstheme="minorHAnsi"/>
          <w:b/>
          <w:bCs/>
        </w:rPr>
      </w:pPr>
    </w:p>
    <w:p w14:paraId="2F9A9EEB" w14:textId="77777777" w:rsidR="008B3E9A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59CF7722" w14:textId="77777777" w:rsidR="008B3E9A" w:rsidRDefault="008B3E9A">
      <w:pPr>
        <w:rPr>
          <w:rFonts w:cstheme="minorHAnsi"/>
          <w:b/>
          <w:sz w:val="22"/>
          <w:szCs w:val="22"/>
        </w:rPr>
      </w:pPr>
    </w:p>
    <w:p w14:paraId="5246B73D" w14:textId="77777777" w:rsidR="008B3E9A" w:rsidRDefault="008B3E9A">
      <w:pPr>
        <w:rPr>
          <w:rFonts w:cstheme="minorHAnsi"/>
          <w:b/>
          <w:sz w:val="22"/>
          <w:szCs w:val="22"/>
        </w:rPr>
      </w:pPr>
    </w:p>
    <w:p w14:paraId="7DF08C2D" w14:textId="77777777" w:rsidR="008B3E9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103EA591" w14:textId="77777777" w:rsidR="008B3E9A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19</w:t>
      </w:r>
    </w:p>
    <w:p w14:paraId="4E627208" w14:textId="77777777" w:rsidR="008B3E9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48</w:t>
      </w:r>
      <w:r>
        <w:rPr>
          <w:rFonts w:cstheme="minorHAnsi"/>
          <w:b/>
          <w:sz w:val="22"/>
          <w:szCs w:val="22"/>
        </w:rPr>
        <w:br w:type="page"/>
      </w:r>
    </w:p>
    <w:p w14:paraId="31BD8C40" w14:textId="77777777" w:rsidR="008B3E9A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4FBA49F1" w14:textId="77777777" w:rsidR="008B3E9A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38B38276" w14:textId="77777777" w:rsidR="008B3E9A" w:rsidRDefault="008B3E9A">
      <w:pPr>
        <w:rPr>
          <w:rFonts w:cstheme="minorHAnsi"/>
          <w:b/>
        </w:rPr>
      </w:pPr>
    </w:p>
    <w:p w14:paraId="18092BF2" w14:textId="77777777" w:rsidR="008B3E9A" w:rsidRDefault="0000000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5C2DB9BF" w14:textId="77777777" w:rsidR="008B3E9A" w:rsidRDefault="00000000">
      <w:pPr>
        <w:spacing w:before="120"/>
        <w:rPr>
          <w:rFonts w:eastAsia="Times New Roman" w:cstheme="minorHAnsi"/>
        </w:rPr>
      </w:pPr>
      <w:r>
        <w:rPr>
          <w:rFonts w:cstheme="minorHAnsi"/>
          <w:highlight w:val="yellow"/>
          <w:shd w:val="clear" w:color="auto" w:fill="FFFFFF"/>
        </w:rPr>
        <w:t>Note: The statements have been edited for length and clarity</w:t>
      </w:r>
    </w:p>
    <w:p w14:paraId="32E79C4F" w14:textId="77777777" w:rsidR="008B3E9A" w:rsidRDefault="008B3E9A">
      <w:pPr>
        <w:rPr>
          <w:rFonts w:cstheme="minorHAnsi"/>
          <w:b/>
          <w:bCs/>
          <w:color w:val="auto"/>
          <w:shd w:val="clear" w:color="auto" w:fill="FFFFFF"/>
        </w:rPr>
      </w:pPr>
    </w:p>
    <w:p w14:paraId="7A6461C8" w14:textId="77777777" w:rsidR="008B3E9A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780822C0" w14:textId="77777777" w:rsidR="008B3E9A" w:rsidRDefault="008B3E9A">
      <w:pPr>
        <w:rPr>
          <w:rFonts w:cstheme="minorHAnsi"/>
          <w:b/>
          <w:bCs/>
          <w:color w:val="auto"/>
          <w:shd w:val="clear" w:color="auto" w:fill="FFFFFF"/>
        </w:rPr>
      </w:pPr>
    </w:p>
    <w:p w14:paraId="6B2A0B92" w14:textId="77777777" w:rsidR="008B3E9A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3B2832F6" w14:textId="77777777" w:rsidR="008B3E9A" w:rsidRDefault="00000000">
      <w:pPr>
        <w:pStyle w:val="ListParagraph"/>
        <w:numPr>
          <w:ilvl w:val="1"/>
          <w:numId w:val="1"/>
        </w:numPr>
        <w:spacing w:before="120"/>
        <w:rPr>
          <w:lang w:val="en-IN"/>
        </w:rPr>
      </w:pPr>
      <w:r>
        <w:rPr>
          <w:rStyle w:val="AuthorName"/>
          <w:rFonts w:eastAsia="Times" w:cstheme="minorHAnsi" w:hint="eastAsia"/>
          <w:lang w:eastAsia="zh-CN"/>
        </w:rPr>
        <w:t>Li Xu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>
        <w:t xml:space="preserve">Our study defines a standardized </w:t>
      </w:r>
      <w:proofErr w:type="spellStart"/>
      <w:r>
        <w:t>acupotomy</w:t>
      </w:r>
      <w:proofErr w:type="spellEnd"/>
      <w:r>
        <w:t xml:space="preserve"> protocol for flexor tenosynovitis to enhance safety, recovery and therapeutic efficacy.</w:t>
      </w:r>
      <w:r>
        <w:rPr>
          <w:rFonts w:ascii="Calibri" w:eastAsia="SimSun" w:hAnsi="Calibri" w:cs="Calibri"/>
          <w:color w:val="auto"/>
          <w:lang w:val="en-IN" w:eastAsia="en-IN"/>
        </w:rPr>
        <w:t xml:space="preserve"> </w:t>
      </w:r>
    </w:p>
    <w:p w14:paraId="49D3BD2B" w14:textId="77777777" w:rsidR="008B3E9A" w:rsidRDefault="00000000">
      <w:pPr>
        <w:pStyle w:val="ListParagraph"/>
        <w:numPr>
          <w:ilvl w:val="2"/>
          <w:numId w:val="1"/>
        </w:numPr>
        <w:spacing w:before="120"/>
        <w:ind w:left="1854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3BD2524" w14:textId="77777777" w:rsidR="008B3E9A" w:rsidRDefault="008B3E9A">
      <w:pPr>
        <w:rPr>
          <w:rFonts w:eastAsia="Times New Roman" w:cstheme="minorHAnsi"/>
          <w:b/>
          <w:bCs/>
        </w:rPr>
      </w:pPr>
    </w:p>
    <w:p w14:paraId="0A468DFA" w14:textId="77777777" w:rsidR="008B3E9A" w:rsidRDefault="00000000">
      <w:pPr>
        <w:rPr>
          <w:rFonts w:eastAsia="Times New Roman" w:cstheme="minorHAnsi"/>
        </w:rPr>
      </w:pPr>
      <w:r>
        <w:t>Describe the research gap or limitation in existing methods and how this protocol addresses them.</w:t>
      </w:r>
    </w:p>
    <w:p w14:paraId="4FC176A0" w14:textId="77777777" w:rsidR="008B3E9A" w:rsidRDefault="00000000">
      <w:pPr>
        <w:pStyle w:val="ListParagraph"/>
        <w:numPr>
          <w:ilvl w:val="1"/>
          <w:numId w:val="1"/>
        </w:numPr>
        <w:spacing w:before="120" w:after="240"/>
        <w:contextualSpacing w:val="0"/>
      </w:pPr>
      <w:r>
        <w:rPr>
          <w:rStyle w:val="AuthorName"/>
          <w:rFonts w:eastAsia="Times" w:cstheme="minorHAnsi" w:hint="eastAsia"/>
          <w:lang w:eastAsia="zh-CN"/>
        </w:rPr>
        <w:t>Li Xu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t xml:space="preserve">Conventional treatments are limited by poor outcomes or high invasiveness; our protocol offers standardized minimally invasive </w:t>
      </w:r>
      <w:r>
        <w:rPr>
          <w:lang w:val="en-IN"/>
        </w:rPr>
        <w:t>stenotic tendon sheath</w:t>
      </w:r>
      <w:r>
        <w:t xml:space="preserve"> release.</w:t>
      </w:r>
    </w:p>
    <w:p w14:paraId="01046291" w14:textId="77777777" w:rsidR="008B3E9A" w:rsidRDefault="00000000">
      <w:pPr>
        <w:pStyle w:val="ListParagraph"/>
        <w:numPr>
          <w:ilvl w:val="2"/>
          <w:numId w:val="1"/>
        </w:numPr>
        <w:spacing w:before="120"/>
        <w:ind w:left="1854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5146066" w14:textId="77777777" w:rsidR="008B3E9A" w:rsidRDefault="00000000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69C30118" w14:textId="77777777" w:rsidR="008B3E9A" w:rsidRDefault="00000000">
      <w:pPr>
        <w:spacing w:before="120"/>
        <w:rPr>
          <w:rFonts w:eastAsia="Times New Roman" w:cstheme="minorHAnsi"/>
        </w:rPr>
      </w:pPr>
      <w:r>
        <w:t>What does this protocol allow researchers to study or measure?</w:t>
      </w:r>
    </w:p>
    <w:p w14:paraId="790DDFF7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</w:pPr>
      <w:r>
        <w:rPr>
          <w:rStyle w:val="AuthorName"/>
          <w:rFonts w:eastAsia="Times" w:cstheme="minorHAnsi" w:hint="eastAsia"/>
          <w:lang w:eastAsia="zh-CN"/>
        </w:rPr>
        <w:t>Li Xu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t xml:space="preserve">This protocol evaluates clinical outcomes of </w:t>
      </w:r>
      <w:proofErr w:type="spellStart"/>
      <w:r>
        <w:t>acupotomy</w:t>
      </w:r>
      <w:proofErr w:type="spellEnd"/>
      <w:r>
        <w:t xml:space="preserve"> for trigger finger by measuring VAS pain scores and Quinnell functional grades.</w:t>
      </w:r>
    </w:p>
    <w:p w14:paraId="3B05875A" w14:textId="77777777" w:rsidR="008B3E9A" w:rsidRDefault="00000000">
      <w:pPr>
        <w:pStyle w:val="ListParagraph"/>
        <w:numPr>
          <w:ilvl w:val="2"/>
          <w:numId w:val="1"/>
        </w:numPr>
        <w:spacing w:before="120"/>
        <w:ind w:left="1854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455F64D" w14:textId="77777777" w:rsidR="008B3E9A" w:rsidRDefault="008B3E9A">
      <w:pPr>
        <w:rPr>
          <w:rFonts w:eastAsia="Times New Roman" w:cstheme="minorHAnsi"/>
          <w:b/>
          <w:bCs/>
        </w:rPr>
      </w:pPr>
    </w:p>
    <w:p w14:paraId="10D6AD49" w14:textId="77777777" w:rsidR="008B3E9A" w:rsidRDefault="00000000">
      <w:pPr>
        <w:rPr>
          <w:rFonts w:eastAsia="Times New Roman" w:cstheme="minorHAnsi"/>
          <w:sz w:val="28"/>
          <w:szCs w:val="28"/>
        </w:rPr>
      </w:pPr>
      <w:r>
        <w:t>Describe the most important consideration or challenge when performing this protocol.</w:t>
      </w:r>
    </w:p>
    <w:p w14:paraId="16C27DAC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 w:hint="eastAsia"/>
          <w:lang w:eastAsia="zh-CN"/>
        </w:rPr>
        <w:t>Li Xu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 w:hint="eastAsia"/>
        </w:rPr>
        <w:t>The key challenge is precise localization of the A1 pulley and strict adherence to anatomy to prevent injury.</w:t>
      </w:r>
    </w:p>
    <w:p w14:paraId="0B9A919E" w14:textId="77777777" w:rsidR="008B3E9A" w:rsidRDefault="00000000">
      <w:pPr>
        <w:pStyle w:val="ListParagraph"/>
        <w:numPr>
          <w:ilvl w:val="2"/>
          <w:numId w:val="1"/>
        </w:numPr>
        <w:spacing w:before="120"/>
        <w:ind w:left="1854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E5BF325" w14:textId="77777777" w:rsidR="008B3E9A" w:rsidRDefault="008B3E9A">
      <w:pPr>
        <w:rPr>
          <w:rFonts w:eastAsia="Times New Roman" w:cstheme="minorHAnsi"/>
        </w:rPr>
      </w:pPr>
    </w:p>
    <w:p w14:paraId="031F4B3E" w14:textId="77777777" w:rsidR="008B3E9A" w:rsidRDefault="00000000">
      <w:pPr>
        <w:rPr>
          <w:rFonts w:eastAsia="Times New Roman" w:cstheme="minorHAnsi"/>
          <w:sz w:val="28"/>
          <w:szCs w:val="28"/>
        </w:rPr>
      </w:pPr>
      <w:r>
        <w:lastRenderedPageBreak/>
        <w:t>How can future studies build on this work? Describe the questions or research directions that can be investigated next.</w:t>
      </w:r>
    </w:p>
    <w:p w14:paraId="62962E89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 w:hint="eastAsia"/>
          <w:lang w:eastAsia="zh-CN"/>
        </w:rPr>
        <w:t>Li Xu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 w:hint="eastAsia"/>
        </w:rPr>
        <w:t>Future studies can carry out standardized multicenter randomized controlled trials to verify long-term efficacy and safety.</w:t>
      </w:r>
    </w:p>
    <w:p w14:paraId="69881AF3" w14:textId="77777777" w:rsidR="008B3E9A" w:rsidRDefault="00000000">
      <w:pPr>
        <w:pStyle w:val="ListParagraph"/>
        <w:numPr>
          <w:ilvl w:val="2"/>
          <w:numId w:val="1"/>
        </w:numPr>
        <w:spacing w:before="120"/>
        <w:ind w:left="1854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68433A3" w14:textId="77777777" w:rsidR="008B3E9A" w:rsidRDefault="008B3E9A">
      <w:pPr>
        <w:contextualSpacing/>
        <w:outlineLvl w:val="0"/>
        <w:rPr>
          <w:rFonts w:eastAsia="Times New Roman" w:cstheme="minorHAnsi"/>
          <w:b/>
        </w:rPr>
      </w:pPr>
    </w:p>
    <w:p w14:paraId="08BDB3FC" w14:textId="77777777" w:rsidR="008B3E9A" w:rsidRDefault="008B3E9A">
      <w:pPr>
        <w:contextualSpacing/>
        <w:outlineLvl w:val="0"/>
        <w:rPr>
          <w:rFonts w:eastAsia="Times New Roman" w:cstheme="minorHAnsi"/>
          <w:b/>
        </w:rPr>
      </w:pPr>
    </w:p>
    <w:p w14:paraId="70AE6DC3" w14:textId="77777777" w:rsidR="008B3E9A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6EB5B9EA" w14:textId="77777777" w:rsidR="008B3E9A" w:rsidRDefault="00000000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4CAA2B63" w14:textId="77777777" w:rsidR="008B3E9A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iCs/>
          <w:color w:val="0000FF"/>
        </w:rPr>
      </w:pPr>
      <w:r>
        <w:rPr>
          <w:rFonts w:eastAsia="Times New Roman" w:cstheme="minorHAnsi"/>
        </w:rPr>
        <w:t xml:space="preserve">This research has been approved by the Medical Research Ethics Committee of Hubei University of Chinese Medicine </w:t>
      </w:r>
      <w:r>
        <w:rPr>
          <w:rFonts w:eastAsia="Times New Roman" w:cstheme="minorHAnsi"/>
        </w:rPr>
        <w:br/>
      </w:r>
    </w:p>
    <w:p w14:paraId="374F45AA" w14:textId="77777777" w:rsidR="008B3E9A" w:rsidRDefault="008B3E9A">
      <w:pPr>
        <w:rPr>
          <w:rFonts w:cstheme="minorHAnsi"/>
          <w:b/>
          <w:i/>
          <w:color w:val="0000FF"/>
        </w:rPr>
      </w:pPr>
    </w:p>
    <w:p w14:paraId="77305648" w14:textId="77777777" w:rsidR="008B3E9A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46B0BF5" w14:textId="77777777" w:rsidR="008B3E9A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527E3A1" w14:textId="77777777" w:rsidR="008B3E9A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>
        <w:rPr>
          <w:rFonts w:cstheme="minorHAnsi"/>
          <w:i/>
          <w:iCs/>
          <w:color w:val="0000FF"/>
          <w:lang w:val="en-IN"/>
        </w:rPr>
        <w:t>shotlist</w:t>
      </w:r>
      <w:proofErr w:type="spellEnd"/>
      <w:r>
        <w:rPr>
          <w:rFonts w:cstheme="minorHAnsi"/>
          <w:i/>
          <w:iCs/>
          <w:color w:val="0000FF"/>
          <w:lang w:val="en-IN"/>
        </w:rPr>
        <w:t>.</w:t>
      </w:r>
    </w:p>
    <w:p w14:paraId="06544D4B" w14:textId="77777777" w:rsidR="008B3E9A" w:rsidRDefault="00000000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Preoperative Evaluation of Trigger Finger and Patient Preparation</w:t>
      </w:r>
    </w:p>
    <w:p w14:paraId="6B25EA65" w14:textId="77777777" w:rsidR="008B3E9A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 w:hint="eastAsia"/>
          <w:b/>
          <w:bCs/>
          <w:lang w:eastAsia="zh-CN"/>
        </w:rPr>
        <w:t>Yixuan Luo</w:t>
      </w:r>
      <w:r>
        <w:rPr>
          <w:rFonts w:cstheme="minorHAnsi"/>
        </w:rPr>
        <w:t xml:space="preserve"> </w:t>
      </w:r>
    </w:p>
    <w:p w14:paraId="79B005E8" w14:textId="77777777" w:rsidR="008B3E9A" w:rsidRDefault="008B3E9A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0DF89F1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To begin the physical evaluation, instruct the patient to flex and extend the affected finger independently to evaluate active range of motion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Record the maximum flexion and extension angles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4ABBDBB6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Talent standing beside the patient and instructing the patient to move the affected finger. </w:t>
      </w:r>
      <w:r>
        <w:rPr>
          <w:rFonts w:cstheme="minorHAnsi"/>
          <w:i/>
          <w:iCs/>
          <w:color w:val="222222"/>
          <w:shd w:val="clear" w:color="auto" w:fill="FFFFFF"/>
        </w:rPr>
        <w:t> </w:t>
      </w: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23E8A405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recording the maximum flexion and extension angles.</w:t>
      </w:r>
    </w:p>
    <w:p w14:paraId="2EE9118F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 xml:space="preserve">Gently flex and extend the patient’s affected finger to evaluate passive range of motion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. Record the angles at which triggering or locking occurs </w:t>
      </w:r>
      <w:r>
        <w:rPr>
          <w:b/>
          <w:bCs/>
          <w:color w:val="7030A0"/>
          <w:lang w:val="en-IN"/>
        </w:rPr>
        <w:t>[2]</w:t>
      </w:r>
      <w:r>
        <w:rPr>
          <w:color w:val="7030A0"/>
          <w:lang w:val="en-IN"/>
        </w:rPr>
        <w:t>.</w:t>
      </w:r>
    </w:p>
    <w:p w14:paraId="3E536833" w14:textId="77777777" w:rsidR="008B3E9A" w:rsidRDefault="00000000">
      <w:pPr>
        <w:pStyle w:val="ListParagraph"/>
        <w:numPr>
          <w:ilvl w:val="2"/>
          <w:numId w:val="1"/>
        </w:numPr>
        <w:rPr>
          <w:rFonts w:cstheme="minorHAnsi"/>
        </w:rPr>
      </w:pPr>
      <w:r>
        <w:rPr>
          <w:rFonts w:cstheme="minorHAnsi"/>
        </w:rPr>
        <w:t>Talent gently flexing and extending the patient’s affected finger.</w:t>
      </w:r>
    </w:p>
    <w:p w14:paraId="20D150C9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recording the angles at which triggering or locking occurs.</w:t>
      </w:r>
    </w:p>
    <w:p w14:paraId="1914E3D9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 xml:space="preserve">Identify tender points by applying gradual pressure to the palmar aspect of the metacarpophalangeal, or MCP </w:t>
      </w:r>
      <w:r>
        <w:rPr>
          <w:i/>
          <w:iCs/>
          <w:color w:val="EE0000"/>
          <w:lang w:val="en-IN"/>
        </w:rPr>
        <w:t>(M-C-P)</w:t>
      </w:r>
      <w:r>
        <w:rPr>
          <w:color w:val="7030A0"/>
          <w:lang w:val="en-IN"/>
        </w:rPr>
        <w:t xml:space="preserve"> joint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. Mark the most tender location using a marker pen </w:t>
      </w:r>
      <w:r>
        <w:rPr>
          <w:b/>
          <w:bCs/>
          <w:color w:val="7030A0"/>
          <w:lang w:val="en-IN"/>
        </w:rPr>
        <w:t>[2]</w:t>
      </w:r>
      <w:r>
        <w:rPr>
          <w:color w:val="7030A0"/>
          <w:lang w:val="en-IN"/>
        </w:rPr>
        <w:t>.</w:t>
      </w:r>
    </w:p>
    <w:p w14:paraId="5175B17B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applying gradual pressure to the palmar aspect of the MCP joint.</w:t>
      </w:r>
    </w:p>
    <w:p w14:paraId="2B26979F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marking the most tender location with a marker pen.</w:t>
      </w:r>
    </w:p>
    <w:p w14:paraId="029383BC" w14:textId="77777777" w:rsidR="008B3E9A" w:rsidRDefault="00000000">
      <w:pPr>
        <w:pStyle w:val="ListParagraph"/>
        <w:numPr>
          <w:ilvl w:val="1"/>
          <w:numId w:val="1"/>
        </w:numPr>
        <w:spacing w:before="12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Palpate along the flexor tendon in the proximal to distal direction to identify tendon sheath thickening or nodular changes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Record the size and hardness of any palpable induration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Determine patient eligibility for the </w:t>
      </w:r>
      <w:proofErr w:type="spellStart"/>
      <w:r>
        <w:rPr>
          <w:rFonts w:cstheme="minorHAnsi"/>
          <w:color w:val="7030A0"/>
        </w:rPr>
        <w:t>acupotomy</w:t>
      </w:r>
      <w:proofErr w:type="spellEnd"/>
      <w:r>
        <w:rPr>
          <w:rFonts w:cstheme="minorHAnsi"/>
          <w:color w:val="7030A0"/>
        </w:rPr>
        <w:t xml:space="preserve"> procedure, </w:t>
      </w:r>
      <w:r>
        <w:rPr>
          <w:rFonts w:ascii="Calibri" w:eastAsia="SimSun" w:hAnsi="Calibri" w:cs="Calibri"/>
          <w:color w:val="7030A0"/>
          <w:lang w:eastAsia="zh-CN"/>
        </w:rPr>
        <w:t xml:space="preserve">based on clinical symptoms, physical examination, and ultrasound findings </w:t>
      </w:r>
      <w:r>
        <w:rPr>
          <w:rFonts w:ascii="Calibri" w:eastAsia="SimSun" w:hAnsi="Calibri" w:cs="Calibri"/>
          <w:b/>
          <w:bCs/>
          <w:color w:val="7030A0"/>
          <w:lang w:eastAsia="zh-CN"/>
        </w:rPr>
        <w:t>[3]</w:t>
      </w:r>
      <w:r>
        <w:rPr>
          <w:rFonts w:ascii="Calibri" w:eastAsia="SimSun" w:hAnsi="Calibri" w:cs="Calibri"/>
          <w:color w:val="7030A0"/>
          <w:lang w:eastAsia="zh-CN"/>
        </w:rPr>
        <w:t xml:space="preserve">. </w:t>
      </w:r>
    </w:p>
    <w:p w14:paraId="70317605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>Talent examining the flexor tendon from proximal to distal to identify tendon sheath thickening or nodular changes.</w:t>
      </w:r>
    </w:p>
    <w:p w14:paraId="34899CE6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>Talent recording the size and hardness of palpable induration.</w:t>
      </w:r>
    </w:p>
    <w:p w14:paraId="1E54F082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checking the patient’s records containing information about clinical symptoms, physical examination and ultrasound findings. </w:t>
      </w:r>
    </w:p>
    <w:p w14:paraId="3487FD01" w14:textId="77777777" w:rsidR="008B3E9A" w:rsidRDefault="008B3E9A">
      <w:pPr>
        <w:pStyle w:val="ListParagraph"/>
        <w:spacing w:before="120"/>
        <w:ind w:left="1627"/>
        <w:rPr>
          <w:rFonts w:cstheme="minorHAnsi"/>
        </w:rPr>
      </w:pPr>
    </w:p>
    <w:p w14:paraId="0DF77397" w14:textId="77777777" w:rsidR="008B3E9A" w:rsidRDefault="00000000">
      <w:pPr>
        <w:pStyle w:val="ListParagraph"/>
        <w:numPr>
          <w:ilvl w:val="0"/>
          <w:numId w:val="1"/>
        </w:numPr>
        <w:spacing w:before="120"/>
        <w:rPr>
          <w:rFonts w:cstheme="minorHAnsi"/>
          <w:b/>
          <w:bCs/>
        </w:rPr>
      </w:pPr>
      <w:r>
        <w:rPr>
          <w:rFonts w:cstheme="minorHAnsi"/>
          <w:b/>
          <w:bCs/>
        </w:rPr>
        <w:t>Pre-operative Preparation of Patient</w:t>
      </w:r>
    </w:p>
    <w:p w14:paraId="3B9B739C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First disinfect and </w:t>
      </w:r>
      <w:r>
        <w:rPr>
          <w:color w:val="7030A0"/>
          <w:lang w:val="en-IN"/>
        </w:rPr>
        <w:t xml:space="preserve">clean the treatment table and surrounding area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. Cover the surface with a sterile drape </w:t>
      </w:r>
      <w:r>
        <w:rPr>
          <w:b/>
          <w:bCs/>
          <w:color w:val="7030A0"/>
          <w:lang w:val="en-IN"/>
        </w:rPr>
        <w:t>[2]</w:t>
      </w:r>
      <w:r>
        <w:rPr>
          <w:color w:val="7030A0"/>
          <w:lang w:val="en-IN"/>
        </w:rPr>
        <w:t xml:space="preserve">. Arrange all required materials on the clean and disinfected treatment table according to the procedural sequence </w:t>
      </w:r>
      <w:r>
        <w:rPr>
          <w:b/>
          <w:bCs/>
          <w:color w:val="7030A0"/>
          <w:lang w:val="en-IN"/>
        </w:rPr>
        <w:t>[3]</w:t>
      </w:r>
      <w:r>
        <w:rPr>
          <w:color w:val="7030A0"/>
          <w:lang w:val="en-IN"/>
        </w:rPr>
        <w:t>.</w:t>
      </w:r>
    </w:p>
    <w:p w14:paraId="55AEECFB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>Talent cleaning the treatment table and surrounding area.</w:t>
      </w:r>
    </w:p>
    <w:p w14:paraId="32C633B3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lastRenderedPageBreak/>
        <w:t>Talent covering the surface with a sterile drape.</w:t>
      </w:r>
    </w:p>
    <w:p w14:paraId="78BA1DAF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arranging all required materials on the treatment table in procedural order.</w:t>
      </w:r>
    </w:p>
    <w:p w14:paraId="1711C39B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To identify the treatment site, </w:t>
      </w:r>
      <w:r>
        <w:rPr>
          <w:color w:val="7030A0"/>
          <w:lang w:val="en-IN"/>
        </w:rPr>
        <w:t xml:space="preserve">instruct the patient to flex the affected finger to 90 degrees at the MCP joint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. Palpate the nodule on the palmar aspect of the joint </w:t>
      </w:r>
      <w:r>
        <w:rPr>
          <w:b/>
          <w:bCs/>
          <w:color w:val="7030A0"/>
          <w:lang w:val="en-IN"/>
        </w:rPr>
        <w:t>[2]</w:t>
      </w:r>
      <w:r>
        <w:rPr>
          <w:color w:val="7030A0"/>
          <w:lang w:val="en-IN"/>
        </w:rPr>
        <w:t xml:space="preserve">. Using a marker pen, mark the identified location </w:t>
      </w:r>
      <w:r>
        <w:rPr>
          <w:b/>
          <w:bCs/>
          <w:color w:val="7030A0"/>
          <w:lang w:val="en-IN"/>
        </w:rPr>
        <w:t>[3]</w:t>
      </w:r>
      <w:r>
        <w:rPr>
          <w:color w:val="7030A0"/>
          <w:lang w:val="en-IN"/>
        </w:rPr>
        <w:t>.</w:t>
      </w:r>
    </w:p>
    <w:p w14:paraId="1F89BCB2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>Talent instructing the patient to flex the affected finger to 90 degrees.</w:t>
      </w:r>
    </w:p>
    <w:p w14:paraId="0218B2AA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>Talent palpating the nodule on the palmar aspect of the joint.</w:t>
      </w:r>
    </w:p>
    <w:p w14:paraId="088AC781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marking the identified location with a marker pen.</w:t>
      </w:r>
    </w:p>
    <w:p w14:paraId="4F1445A1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 xml:space="preserve">Disinfect the skin starting from the marked point and moving outward in concentric circles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. Ensure that the disinfection area covers the entire hand and extends at least 15 centimetres proximally along the forearm from the marked point </w:t>
      </w:r>
      <w:r>
        <w:rPr>
          <w:b/>
          <w:bCs/>
          <w:color w:val="7030A0"/>
          <w:lang w:val="en-IN"/>
        </w:rPr>
        <w:t>[2]</w:t>
      </w:r>
      <w:r>
        <w:rPr>
          <w:color w:val="7030A0"/>
          <w:lang w:val="en-IN"/>
        </w:rPr>
        <w:t xml:space="preserve">. </w:t>
      </w:r>
      <w:r>
        <w:rPr>
          <w:color w:val="7030A0"/>
        </w:rPr>
        <w:t xml:space="preserve">Perform three rounds of disinfection, ensuring a one-third overlap between successive passes for complete coverage </w:t>
      </w:r>
      <w:r>
        <w:rPr>
          <w:b/>
          <w:bCs/>
          <w:color w:val="7030A0"/>
          <w:lang w:val="en-IN"/>
        </w:rPr>
        <w:t>[3]</w:t>
      </w:r>
      <w:r>
        <w:rPr>
          <w:color w:val="7030A0"/>
          <w:lang w:val="en-IN"/>
        </w:rPr>
        <w:t>.</w:t>
      </w:r>
      <w:r>
        <w:t xml:space="preserve"> </w:t>
      </w:r>
    </w:p>
    <w:p w14:paraId="57C010F0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>Talent disinfecting the skin outward from the marked point in concentric circles.</w:t>
      </w:r>
    </w:p>
    <w:p w14:paraId="7E56A179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>Talent extending the disinfection area over the entire hand and proximally along the forearm.</w:t>
      </w:r>
    </w:p>
    <w:p w14:paraId="5C7D9A70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repeating the disinfection with overlapping passes.</w:t>
      </w:r>
    </w:p>
    <w:p w14:paraId="599AA1B6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To administer local anesthesia, </w:t>
      </w:r>
      <w:r>
        <w:rPr>
          <w:color w:val="7030A0"/>
        </w:rPr>
        <w:t>draw a one-in-one ratio of 0.9 percent saline and 2 percent lidocaine hydrochloride into a sterile syringe for a total volume of 5 milliliters</w:t>
      </w:r>
      <w:r>
        <w:rPr>
          <w:color w:val="7030A0"/>
          <w:lang w:val="en-IN"/>
        </w:rPr>
        <w:t xml:space="preserve">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. Insert the needle at a 30-degree angle to the skin </w:t>
      </w:r>
      <w:r>
        <w:rPr>
          <w:b/>
          <w:bCs/>
          <w:color w:val="7030A0"/>
          <w:lang w:val="en-IN"/>
        </w:rPr>
        <w:t>[2]</w:t>
      </w:r>
      <w:r>
        <w:rPr>
          <w:color w:val="7030A0"/>
          <w:lang w:val="en-IN"/>
        </w:rPr>
        <w:t xml:space="preserve"> and advance until the needle tip reaches the subcutaneous layer superficial to the A1 </w:t>
      </w:r>
      <w:r>
        <w:rPr>
          <w:i/>
          <w:iCs/>
          <w:color w:val="EE0000"/>
          <w:lang w:val="en-IN"/>
        </w:rPr>
        <w:t>(A-one)</w:t>
      </w:r>
      <w:r>
        <w:rPr>
          <w:color w:val="7030A0"/>
          <w:lang w:val="en-IN"/>
        </w:rPr>
        <w:t xml:space="preserve"> pulley at a depth of approximately 2 to 3 </w:t>
      </w:r>
      <w:proofErr w:type="spellStart"/>
      <w:r>
        <w:rPr>
          <w:color w:val="7030A0"/>
          <w:lang w:val="en-IN"/>
        </w:rPr>
        <w:t>millimeters</w:t>
      </w:r>
      <w:proofErr w:type="spellEnd"/>
      <w:r>
        <w:rPr>
          <w:color w:val="7030A0"/>
          <w:lang w:val="en-IN"/>
        </w:rPr>
        <w:t xml:space="preserve"> </w:t>
      </w:r>
      <w:r>
        <w:rPr>
          <w:b/>
          <w:bCs/>
          <w:color w:val="7030A0"/>
          <w:lang w:val="en-IN"/>
        </w:rPr>
        <w:t>[3]</w:t>
      </w:r>
      <w:r>
        <w:rPr>
          <w:color w:val="7030A0"/>
          <w:lang w:val="en-IN"/>
        </w:rPr>
        <w:t xml:space="preserve">. Aspirate for 2 to 3 seconds to confirm the absence of blood return </w:t>
      </w:r>
      <w:r>
        <w:rPr>
          <w:b/>
          <w:bCs/>
          <w:color w:val="7030A0"/>
          <w:lang w:val="en-IN"/>
        </w:rPr>
        <w:t>[4]</w:t>
      </w:r>
      <w:r>
        <w:rPr>
          <w:color w:val="7030A0"/>
          <w:lang w:val="en-IN"/>
        </w:rPr>
        <w:t>.</w:t>
      </w:r>
    </w:p>
    <w:p w14:paraId="1C3AB9F5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>Talent drawing the anesthesia solution into a sterile syringe.</w:t>
      </w:r>
    </w:p>
    <w:p w14:paraId="13FCA2A1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>Talent inserting the needle at a 30-degree angle to the skin.</w:t>
      </w:r>
    </w:p>
    <w:p w14:paraId="5DF7BDEC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advancing the needle to the subcutaneous layer </w:t>
      </w:r>
      <w:proofErr w:type="spellStart"/>
      <w:proofErr w:type="gramStart"/>
      <w:r>
        <w:rPr>
          <w:rFonts w:cstheme="minorHAnsi"/>
        </w:rPr>
        <w:t>upto</w:t>
      </w:r>
      <w:proofErr w:type="spellEnd"/>
      <w:proofErr w:type="gramEnd"/>
      <w:r>
        <w:rPr>
          <w:rFonts w:cstheme="minorHAnsi"/>
        </w:rPr>
        <w:t xml:space="preserve"> a depth of 2-3 mm superficial to the A1 pulley.</w:t>
      </w:r>
    </w:p>
    <w:p w14:paraId="043DF2DC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aspirating with the syringe and checking for absence of blood return.</w:t>
      </w:r>
    </w:p>
    <w:p w14:paraId="579A9984" w14:textId="77777777" w:rsidR="008B3E9A" w:rsidRDefault="00000000">
      <w:pPr>
        <w:pStyle w:val="Narration"/>
        <w:numPr>
          <w:ilvl w:val="1"/>
          <w:numId w:val="1"/>
        </w:numPr>
        <w:rPr>
          <w:lang w:val="en-IN"/>
        </w:rPr>
      </w:pPr>
      <w:r>
        <w:rPr>
          <w:lang w:val="en-IN"/>
        </w:rPr>
        <w:t xml:space="preserve">Inject 0.2 to 0.3 </w:t>
      </w:r>
      <w:proofErr w:type="spellStart"/>
      <w:r>
        <w:rPr>
          <w:lang w:val="en-IN"/>
        </w:rPr>
        <w:t>milliliters</w:t>
      </w:r>
      <w:proofErr w:type="spellEnd"/>
      <w:r>
        <w:rPr>
          <w:lang w:val="en-IN"/>
        </w:rPr>
        <w:t xml:space="preserve"> of </w:t>
      </w:r>
      <w:proofErr w:type="spellStart"/>
      <w:r>
        <w:rPr>
          <w:lang w:val="en-IN"/>
        </w:rPr>
        <w:t>anesthetic</w:t>
      </w:r>
      <w:proofErr w:type="spellEnd"/>
      <w:r>
        <w:rPr>
          <w:lang w:val="en-IN"/>
        </w:rPr>
        <w:t xml:space="preserve"> solution to form a small skin wheal measuring 0.5 to 1 </w:t>
      </w:r>
      <w:proofErr w:type="spellStart"/>
      <w:r>
        <w:rPr>
          <w:lang w:val="en-IN"/>
        </w:rPr>
        <w:t>centimeter</w:t>
      </w:r>
      <w:proofErr w:type="spellEnd"/>
      <w:r>
        <w:rPr>
          <w:lang w:val="en-IN"/>
        </w:rPr>
        <w:t xml:space="preserve"> in diameter </w:t>
      </w:r>
      <w:r>
        <w:rPr>
          <w:b/>
          <w:bCs/>
          <w:lang w:val="en-IN"/>
        </w:rPr>
        <w:t>[1]</w:t>
      </w:r>
      <w:r>
        <w:rPr>
          <w:lang w:val="en-IN"/>
        </w:rPr>
        <w:t>.</w:t>
      </w:r>
    </w:p>
    <w:p w14:paraId="6100549D" w14:textId="77777777" w:rsidR="008B3E9A" w:rsidRDefault="00000000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Talent injecting the </w:t>
      </w:r>
      <w:proofErr w:type="spellStart"/>
      <w:r>
        <w:rPr>
          <w:color w:val="000000" w:themeColor="text1"/>
          <w:lang w:val="en-IN"/>
        </w:rPr>
        <w:t>anesthetic</w:t>
      </w:r>
      <w:proofErr w:type="spellEnd"/>
      <w:r>
        <w:rPr>
          <w:color w:val="000000" w:themeColor="text1"/>
          <w:lang w:val="en-IN"/>
        </w:rPr>
        <w:t xml:space="preserve"> solution to form a small skin wheal.</w:t>
      </w:r>
    </w:p>
    <w:p w14:paraId="64BAE7F2" w14:textId="77777777" w:rsidR="008B3E9A" w:rsidRDefault="00000000">
      <w:pPr>
        <w:pStyle w:val="Narration"/>
        <w:numPr>
          <w:ilvl w:val="1"/>
          <w:numId w:val="1"/>
        </w:numPr>
        <w:rPr>
          <w:lang w:val="en-IN"/>
        </w:rPr>
      </w:pPr>
      <w:r>
        <w:rPr>
          <w:lang w:val="en-IN"/>
        </w:rPr>
        <w:t xml:space="preserve">Adjust the needle to a perpendicular position </w:t>
      </w:r>
      <w:r>
        <w:rPr>
          <w:b/>
          <w:bCs/>
          <w:lang w:val="en-IN"/>
        </w:rPr>
        <w:t>[1]</w:t>
      </w:r>
      <w:r>
        <w:rPr>
          <w:lang w:val="en-IN"/>
        </w:rPr>
        <w:t xml:space="preserve"> and advance until the needle tip reaches the level of the A1 pulley at a depth of approximately 5 to 8 </w:t>
      </w:r>
      <w:proofErr w:type="spellStart"/>
      <w:r>
        <w:rPr>
          <w:lang w:val="en-IN"/>
        </w:rPr>
        <w:t>millimeters</w:t>
      </w:r>
      <w:proofErr w:type="spellEnd"/>
      <w:r>
        <w:rPr>
          <w:lang w:val="en-IN"/>
        </w:rPr>
        <w:t xml:space="preserve"> </w:t>
      </w:r>
      <w:r>
        <w:rPr>
          <w:b/>
          <w:bCs/>
          <w:lang w:val="en-IN"/>
        </w:rPr>
        <w:t>[2]</w:t>
      </w:r>
      <w:r>
        <w:rPr>
          <w:lang w:val="en-IN"/>
        </w:rPr>
        <w:t xml:space="preserve">. Aspirate for 2 to 3 seconds </w:t>
      </w:r>
      <w:r>
        <w:rPr>
          <w:b/>
          <w:bCs/>
          <w:lang w:val="en-IN"/>
        </w:rPr>
        <w:t>[3]</w:t>
      </w:r>
      <w:r>
        <w:rPr>
          <w:lang w:val="en-IN"/>
        </w:rPr>
        <w:t xml:space="preserve">. If no blood return is observed, inject 1 </w:t>
      </w:r>
      <w:proofErr w:type="spellStart"/>
      <w:r>
        <w:rPr>
          <w:lang w:val="en-IN"/>
        </w:rPr>
        <w:t>milliliter</w:t>
      </w:r>
      <w:proofErr w:type="spellEnd"/>
      <w:r>
        <w:rPr>
          <w:lang w:val="en-IN"/>
        </w:rPr>
        <w:t xml:space="preserve"> of </w:t>
      </w:r>
      <w:proofErr w:type="spellStart"/>
      <w:r>
        <w:rPr>
          <w:lang w:val="en-IN"/>
        </w:rPr>
        <w:t>anesthetic</w:t>
      </w:r>
      <w:proofErr w:type="spellEnd"/>
      <w:r>
        <w:rPr>
          <w:lang w:val="en-IN"/>
        </w:rPr>
        <w:t xml:space="preserve"> solution </w:t>
      </w:r>
      <w:r>
        <w:rPr>
          <w:b/>
          <w:bCs/>
          <w:lang w:val="en-IN"/>
        </w:rPr>
        <w:t>[4]</w:t>
      </w:r>
      <w:r>
        <w:rPr>
          <w:lang w:val="en-IN"/>
        </w:rPr>
        <w:t>.</w:t>
      </w:r>
    </w:p>
    <w:p w14:paraId="716111BE" w14:textId="77777777" w:rsidR="008B3E9A" w:rsidRDefault="00000000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Talent adjusting the needle to a perpendicular position.</w:t>
      </w:r>
    </w:p>
    <w:p w14:paraId="33F29644" w14:textId="77777777" w:rsidR="008B3E9A" w:rsidRDefault="00000000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lastRenderedPageBreak/>
        <w:t xml:space="preserve">Talent advancing the needle to the level of the A1 pulley </w:t>
      </w:r>
      <w:proofErr w:type="spellStart"/>
      <w:r>
        <w:rPr>
          <w:color w:val="000000" w:themeColor="text1"/>
          <w:lang w:val="en-IN"/>
        </w:rPr>
        <w:t>upto</w:t>
      </w:r>
      <w:proofErr w:type="spellEnd"/>
      <w:r>
        <w:rPr>
          <w:color w:val="000000" w:themeColor="text1"/>
          <w:lang w:val="en-IN"/>
        </w:rPr>
        <w:t xml:space="preserve"> a depth of 5-8 mm.</w:t>
      </w:r>
    </w:p>
    <w:p w14:paraId="7C7B8C6F" w14:textId="77777777" w:rsidR="008B3E9A" w:rsidRDefault="00000000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Talent aspirating with the syringe to check for absence of blood return.</w:t>
      </w:r>
    </w:p>
    <w:p w14:paraId="2AC78772" w14:textId="77777777" w:rsidR="008B3E9A" w:rsidRDefault="00000000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Talent injecting 1 mL of </w:t>
      </w:r>
      <w:proofErr w:type="spellStart"/>
      <w:r>
        <w:rPr>
          <w:color w:val="000000" w:themeColor="text1"/>
          <w:lang w:val="en-IN"/>
        </w:rPr>
        <w:t>anesthetic</w:t>
      </w:r>
      <w:proofErr w:type="spellEnd"/>
      <w:r>
        <w:rPr>
          <w:color w:val="000000" w:themeColor="text1"/>
          <w:lang w:val="en-IN"/>
        </w:rPr>
        <w:t xml:space="preserve"> solution.</w:t>
      </w:r>
    </w:p>
    <w:p w14:paraId="43A3E37A" w14:textId="77777777" w:rsidR="008B3E9A" w:rsidRDefault="00000000">
      <w:pPr>
        <w:pStyle w:val="Narration"/>
        <w:numPr>
          <w:ilvl w:val="1"/>
          <w:numId w:val="1"/>
        </w:numPr>
        <w:rPr>
          <w:lang w:val="en-IN"/>
        </w:rPr>
      </w:pPr>
      <w:r>
        <w:rPr>
          <w:lang w:val="en-IN"/>
        </w:rPr>
        <w:t xml:space="preserve">Test </w:t>
      </w:r>
      <w:proofErr w:type="spellStart"/>
      <w:r>
        <w:rPr>
          <w:lang w:val="en-IN"/>
        </w:rPr>
        <w:t>anesthesia</w:t>
      </w:r>
      <w:proofErr w:type="spellEnd"/>
      <w:r>
        <w:rPr>
          <w:lang w:val="en-IN"/>
        </w:rPr>
        <w:t xml:space="preserve"> with light touch using a sterile cotton swab </w:t>
      </w:r>
      <w:r>
        <w:rPr>
          <w:b/>
          <w:bCs/>
          <w:lang w:val="en-IN"/>
        </w:rPr>
        <w:t>[1]</w:t>
      </w:r>
      <w:r>
        <w:rPr>
          <w:lang w:val="en-IN"/>
        </w:rPr>
        <w:t xml:space="preserve">. Pinprick the area with a sterile needle tip and, if sensation persists, administer an additional 0.5 </w:t>
      </w:r>
      <w:proofErr w:type="spellStart"/>
      <w:r>
        <w:rPr>
          <w:lang w:val="en-IN"/>
        </w:rPr>
        <w:t>milliliters</w:t>
      </w:r>
      <w:proofErr w:type="spellEnd"/>
      <w:r>
        <w:rPr>
          <w:lang w:val="en-IN"/>
        </w:rPr>
        <w:t xml:space="preserve"> of </w:t>
      </w:r>
      <w:proofErr w:type="spellStart"/>
      <w:r>
        <w:rPr>
          <w:lang w:val="en-IN"/>
        </w:rPr>
        <w:t>anesthetic</w:t>
      </w:r>
      <w:proofErr w:type="spellEnd"/>
      <w:r>
        <w:rPr>
          <w:lang w:val="en-IN"/>
        </w:rPr>
        <w:t xml:space="preserve">, then reassess after 3 minutes. </w:t>
      </w:r>
      <w:r>
        <w:rPr>
          <w:b/>
          <w:bCs/>
          <w:lang w:val="en-IN"/>
        </w:rPr>
        <w:t>[2]</w:t>
      </w:r>
      <w:r>
        <w:rPr>
          <w:lang w:val="en-IN"/>
        </w:rPr>
        <w:t>.</w:t>
      </w:r>
    </w:p>
    <w:p w14:paraId="015A889B" w14:textId="77777777" w:rsidR="008B3E9A" w:rsidRDefault="00000000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Talent touching the anesthetized area with a sterile cotton swab.</w:t>
      </w:r>
    </w:p>
    <w:p w14:paraId="09374827" w14:textId="77777777" w:rsidR="008B3E9A" w:rsidRDefault="00000000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Talent testing the anesthetized area with a sterile needle tip.</w:t>
      </w:r>
    </w:p>
    <w:p w14:paraId="28D7A93B" w14:textId="77777777" w:rsidR="008B3E9A" w:rsidRDefault="008B3E9A">
      <w:pPr>
        <w:pStyle w:val="ListParagraph"/>
        <w:spacing w:before="120"/>
        <w:ind w:left="1627"/>
        <w:contextualSpacing w:val="0"/>
        <w:rPr>
          <w:rFonts w:cstheme="minorHAnsi"/>
          <w:color w:val="7030A0"/>
        </w:rPr>
      </w:pPr>
    </w:p>
    <w:p w14:paraId="74841017" w14:textId="77777777" w:rsidR="008B3E9A" w:rsidRDefault="00000000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HAnsi"/>
          <w:b/>
          <w:bCs/>
        </w:rPr>
      </w:pPr>
      <w:proofErr w:type="spellStart"/>
      <w:r>
        <w:rPr>
          <w:rFonts w:cstheme="minorHAnsi"/>
          <w:b/>
          <w:bCs/>
        </w:rPr>
        <w:t>Acupotomy</w:t>
      </w:r>
      <w:proofErr w:type="spellEnd"/>
      <w:r>
        <w:rPr>
          <w:rFonts w:cstheme="minorHAnsi"/>
          <w:b/>
          <w:bCs/>
        </w:rPr>
        <w:t xml:space="preserve"> Procedure</w:t>
      </w:r>
    </w:p>
    <w:p w14:paraId="21C3F22D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  <w:b/>
          <w:bCs/>
          <w:color w:val="7030A0"/>
        </w:rPr>
      </w:pPr>
      <w:r>
        <w:rPr>
          <w:rFonts w:cstheme="minorHAnsi"/>
          <w:color w:val="7030A0"/>
        </w:rPr>
        <w:t>Using</w:t>
      </w:r>
      <w:r>
        <w:rPr>
          <w:rFonts w:cstheme="minorHAnsi"/>
          <w:b/>
          <w:bCs/>
          <w:color w:val="7030A0"/>
        </w:rPr>
        <w:t xml:space="preserve"> </w:t>
      </w:r>
      <w:r>
        <w:rPr>
          <w:color w:val="7030A0"/>
          <w:lang w:val="en-IN"/>
        </w:rPr>
        <w:t xml:space="preserve">the non-dominant thumb, apply pressure proximal to the marked nodule while simultaneously flexing and extending the finger to stabilize the tendon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>.</w:t>
      </w:r>
    </w:p>
    <w:p w14:paraId="752E74D9" w14:textId="77777777" w:rsidR="008B3E9A" w:rsidRDefault="00000000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SCREEN: Sections 3.2-3.7.1. 00:00</w:t>
      </w:r>
      <w:r>
        <w:rPr>
          <w:rFonts w:asciiTheme="minorHAnsi" w:hAnsiTheme="minorHAnsi" w:cs="Calibri (Body)"/>
          <w:color w:val="000000" w:themeColor="text1"/>
          <w:lang w:val="en-US"/>
        </w:rPr>
        <w:t xml:space="preserve"> </w:t>
      </w:r>
      <w:r>
        <w:rPr>
          <w:color w:val="000000" w:themeColor="text1"/>
          <w:lang w:val="en-US"/>
        </w:rPr>
        <w:t>–</w:t>
      </w:r>
      <w:r>
        <w:rPr>
          <w:color w:val="000000" w:themeColor="text1"/>
          <w:lang w:val="en-IN"/>
        </w:rPr>
        <w:t xml:space="preserve"> 00:07</w:t>
      </w:r>
    </w:p>
    <w:p w14:paraId="60D13220" w14:textId="77777777" w:rsidR="008B3E9A" w:rsidRDefault="00000000">
      <w:pPr>
        <w:pStyle w:val="Narration"/>
        <w:numPr>
          <w:ilvl w:val="1"/>
          <w:numId w:val="1"/>
        </w:numPr>
        <w:rPr>
          <w:lang w:val="en-IN"/>
        </w:rPr>
      </w:pPr>
      <w:r>
        <w:rPr>
          <w:lang w:val="en-IN"/>
        </w:rPr>
        <w:t xml:space="preserve">Insert the </w:t>
      </w:r>
      <w:proofErr w:type="spellStart"/>
      <w:r>
        <w:rPr>
          <w:lang w:val="en-IN"/>
        </w:rPr>
        <w:t>acupotomy</w:t>
      </w:r>
      <w:proofErr w:type="spellEnd"/>
      <w:r>
        <w:rPr>
          <w:lang w:val="en-IN"/>
        </w:rPr>
        <w:t xml:space="preserve"> needle through the skin until tendon sheath resistance is felt, continue with controlled longitudinal cutting until the resistance releases, and then slowly withdraw the needle</w:t>
      </w:r>
      <w:r>
        <w:t xml:space="preserve"> </w:t>
      </w:r>
      <w:r>
        <w:rPr>
          <w:b/>
          <w:bCs/>
        </w:rPr>
        <w:t>[1]</w:t>
      </w:r>
      <w:r>
        <w:rPr>
          <w:lang w:val="en-IN"/>
        </w:rPr>
        <w:t xml:space="preserve">. If minor triggering persists, perform 1 to 2 additional longitudinal cuts and stop the procedure once adequate release is achieved </w:t>
      </w:r>
      <w:r>
        <w:rPr>
          <w:b/>
          <w:bCs/>
          <w:lang w:val="en-IN"/>
        </w:rPr>
        <w:t>[2]</w:t>
      </w:r>
      <w:r>
        <w:rPr>
          <w:lang w:val="en-IN"/>
        </w:rPr>
        <w:t>.</w:t>
      </w:r>
    </w:p>
    <w:p w14:paraId="636B0C3D" w14:textId="77777777" w:rsidR="008B3E9A" w:rsidRDefault="00000000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SCREEN: Sections 3.2-3.7.1. 00:08</w:t>
      </w:r>
      <w:r>
        <w:rPr>
          <w:rFonts w:asciiTheme="minorHAnsi" w:hAnsiTheme="minorHAnsi" w:cs="Calibri (Body)"/>
          <w:color w:val="000000" w:themeColor="text1"/>
          <w:lang w:val="en-US"/>
        </w:rPr>
        <w:t xml:space="preserve"> </w:t>
      </w:r>
      <w:r>
        <w:rPr>
          <w:color w:val="000000" w:themeColor="text1"/>
          <w:lang w:val="en-US"/>
        </w:rPr>
        <w:t>–</w:t>
      </w:r>
      <w:r>
        <w:rPr>
          <w:color w:val="000000" w:themeColor="text1"/>
          <w:lang w:val="en-IN"/>
        </w:rPr>
        <w:t xml:space="preserve"> 00:15</w:t>
      </w:r>
    </w:p>
    <w:p w14:paraId="3259A86B" w14:textId="77777777" w:rsidR="008B3E9A" w:rsidRDefault="00000000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SCREEN: Sections 3.6. 00:00</w:t>
      </w:r>
      <w:r>
        <w:rPr>
          <w:rFonts w:asciiTheme="minorHAnsi" w:hAnsiTheme="minorHAnsi" w:cs="Calibri (Body)"/>
          <w:color w:val="000000" w:themeColor="text1"/>
          <w:lang w:val="en-US"/>
        </w:rPr>
        <w:t xml:space="preserve"> </w:t>
      </w:r>
      <w:r>
        <w:rPr>
          <w:color w:val="000000" w:themeColor="text1"/>
          <w:lang w:val="en-US"/>
        </w:rPr>
        <w:t>– 00:08</w:t>
      </w:r>
    </w:p>
    <w:p w14:paraId="7567F9F2" w14:textId="77777777" w:rsidR="008B3E9A" w:rsidRDefault="00000000">
      <w:pPr>
        <w:pStyle w:val="ListParagraph"/>
        <w:numPr>
          <w:ilvl w:val="1"/>
          <w:numId w:val="1"/>
        </w:numPr>
        <w:spacing w:before="120"/>
        <w:rPr>
          <w:color w:val="7030A0"/>
          <w:lang w:val="en-IN"/>
        </w:rPr>
      </w:pPr>
      <w:r>
        <w:rPr>
          <w:color w:val="7030A0"/>
          <w:lang w:val="en-IN"/>
        </w:rPr>
        <w:t xml:space="preserve">Have the patient flex and extend the finger 5–10 times to confirm smooth tendon gliding and resolution of tenderness, triggering, and locking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>.</w:t>
      </w:r>
    </w:p>
    <w:p w14:paraId="6A6AACC5" w14:textId="77777777" w:rsidR="008B3E9A" w:rsidRDefault="00000000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SCREEN: Sections 3.2-3.7.1. 00:16</w:t>
      </w:r>
      <w:r>
        <w:rPr>
          <w:rFonts w:asciiTheme="minorHAnsi" w:hAnsiTheme="minorHAnsi" w:cs="Calibri (Body)"/>
          <w:color w:val="000000" w:themeColor="text1"/>
          <w:lang w:val="en-US"/>
        </w:rPr>
        <w:t xml:space="preserve"> </w:t>
      </w:r>
      <w:r>
        <w:rPr>
          <w:color w:val="000000" w:themeColor="text1"/>
          <w:lang w:val="en-US"/>
        </w:rPr>
        <w:t>–</w:t>
      </w:r>
      <w:r>
        <w:rPr>
          <w:color w:val="000000" w:themeColor="text1"/>
          <w:lang w:val="en-IN"/>
        </w:rPr>
        <w:t xml:space="preserve"> 00:48</w:t>
      </w:r>
    </w:p>
    <w:p w14:paraId="7937A56F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 xml:space="preserve">Apply pressure to the insertion site with sterile gauze for 3 to 5 minutes until visible bleeding ceases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 and slight local skin blanching is observed, indicating adequate </w:t>
      </w:r>
      <w:proofErr w:type="spellStart"/>
      <w:r>
        <w:rPr>
          <w:color w:val="7030A0"/>
          <w:lang w:val="en-IN"/>
        </w:rPr>
        <w:t>hemostasis</w:t>
      </w:r>
      <w:proofErr w:type="spellEnd"/>
      <w:r>
        <w:rPr>
          <w:color w:val="7030A0"/>
          <w:lang w:val="en-IN"/>
        </w:rPr>
        <w:t xml:space="preserve"> </w:t>
      </w:r>
      <w:r>
        <w:rPr>
          <w:b/>
          <w:bCs/>
          <w:color w:val="7030A0"/>
          <w:lang w:val="en-IN"/>
        </w:rPr>
        <w:t>[2]</w:t>
      </w:r>
      <w:r>
        <w:rPr>
          <w:color w:val="7030A0"/>
          <w:lang w:val="en-IN"/>
        </w:rPr>
        <w:t>.</w:t>
      </w:r>
    </w:p>
    <w:p w14:paraId="339E3FF7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Talent applying pressure to the insertion site with sterile gauze.</w:t>
      </w:r>
    </w:p>
    <w:p w14:paraId="5908BFE5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Close shot of slight local skin blanching at the insertion site.</w:t>
      </w:r>
    </w:p>
    <w:p w14:paraId="3FB693E0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 xml:space="preserve">Disinfect the insertion site using iodophor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. Apply a sterile adhesive dressing after confirming the absence of active bleeding followed by subsequent post-operative management </w:t>
      </w:r>
      <w:r>
        <w:rPr>
          <w:b/>
          <w:bCs/>
          <w:color w:val="7030A0"/>
          <w:lang w:val="en-IN"/>
        </w:rPr>
        <w:t>[2]</w:t>
      </w:r>
      <w:r>
        <w:rPr>
          <w:color w:val="7030A0"/>
          <w:lang w:val="en-IN"/>
        </w:rPr>
        <w:t>.</w:t>
      </w:r>
    </w:p>
    <w:p w14:paraId="5A53D07D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Talent disinfecting the insertion site with iodophor.</w:t>
      </w:r>
    </w:p>
    <w:p w14:paraId="5C723CA0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Talent applying a sterile adhesive dressing to the insertion site.</w:t>
      </w:r>
    </w:p>
    <w:p w14:paraId="258CB193" w14:textId="77777777" w:rsidR="008B3E9A" w:rsidRDefault="00000000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21851A03" w14:textId="77777777" w:rsidR="008B3E9A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45BA4299" w14:textId="77777777" w:rsidR="008B3E9A" w:rsidRDefault="00000000">
      <w:pPr>
        <w:pStyle w:val="ListParagraph"/>
        <w:numPr>
          <w:ilvl w:val="0"/>
          <w:numId w:val="1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599B942" w14:textId="77777777" w:rsidR="008B3E9A" w:rsidRDefault="008B3E9A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564CC01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The pain outcome represented by the mean </w:t>
      </w:r>
      <w:r>
        <w:rPr>
          <w:rFonts w:ascii="Calibri" w:hAnsi="Calibri"/>
          <w:color w:val="7030A0"/>
        </w:rPr>
        <w:t xml:space="preserve">Visual Analog Scale, or </w:t>
      </w:r>
      <w:r>
        <w:rPr>
          <w:rFonts w:cstheme="minorHAnsi"/>
          <w:color w:val="7030A0"/>
        </w:rPr>
        <w:t xml:space="preserve">VAS </w:t>
      </w:r>
      <w:r>
        <w:rPr>
          <w:rFonts w:cstheme="minorHAnsi"/>
          <w:i/>
          <w:iCs/>
          <w:color w:val="EE0000"/>
        </w:rPr>
        <w:t>(V-A-S)</w:t>
      </w:r>
      <w:r>
        <w:rPr>
          <w:rFonts w:cstheme="minorHAnsi"/>
          <w:color w:val="7030A0"/>
        </w:rPr>
        <w:t xml:space="preserve"> scores in 16 patients with trigger finger were 6.31 ± 1.01 pre-operatively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and decreased to 0.81 ± 1.10 after treatment, showing a significant reduction in pain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</w:t>
      </w:r>
    </w:p>
    <w:p w14:paraId="46F31097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3A. </w:t>
      </w:r>
      <w:r>
        <w:rPr>
          <w:rFonts w:cstheme="minorHAnsi"/>
          <w:i/>
          <w:iCs/>
          <w:color w:val="3333FF"/>
        </w:rPr>
        <w:t>Video editor: Highlight the green bar representing the pre-treatment VAS score.</w:t>
      </w:r>
    </w:p>
    <w:p w14:paraId="75D03C9B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3A. </w:t>
      </w:r>
      <w:r>
        <w:rPr>
          <w:rFonts w:cstheme="minorHAnsi"/>
          <w:i/>
          <w:iCs/>
          <w:color w:val="3333FF"/>
        </w:rPr>
        <w:t>Video editor: Highlight the orange bar representing the post-treatment VAS score.</w:t>
      </w:r>
    </w:p>
    <w:p w14:paraId="50B1F8A6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The functional outcome represented by </w:t>
      </w:r>
      <w:r>
        <w:rPr>
          <w:color w:val="7030A0"/>
        </w:rPr>
        <w:t xml:space="preserve">Quinnell’s grade were 3.19 ± 0.75 pre-operatively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decreased to 0.75 ± 0.93 after treatment indicating a significant improvement in functional mobility following the </w:t>
      </w:r>
      <w:proofErr w:type="spellStart"/>
      <w:r>
        <w:rPr>
          <w:color w:val="7030A0"/>
        </w:rPr>
        <w:t>acupotomy</w:t>
      </w:r>
      <w:proofErr w:type="spellEnd"/>
      <w:r>
        <w:rPr>
          <w:color w:val="7030A0"/>
        </w:rPr>
        <w:t xml:space="preserve"> procedure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569CD956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3B. </w:t>
      </w:r>
      <w:r>
        <w:rPr>
          <w:rFonts w:cstheme="minorHAnsi"/>
          <w:i/>
          <w:iCs/>
          <w:color w:val="3333FF"/>
        </w:rPr>
        <w:t xml:space="preserve">Video editor: Highlight the green bar representing the pre-treatment </w:t>
      </w:r>
      <w:r>
        <w:rPr>
          <w:i/>
          <w:iCs/>
          <w:color w:val="3333FF"/>
        </w:rPr>
        <w:t>Quinnell’s grade</w:t>
      </w:r>
      <w:r>
        <w:rPr>
          <w:rFonts w:cstheme="minorHAnsi"/>
          <w:i/>
          <w:iCs/>
          <w:color w:val="3333FF"/>
        </w:rPr>
        <w:t>.</w:t>
      </w:r>
    </w:p>
    <w:p w14:paraId="5A4A9AB2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3B. </w:t>
      </w:r>
      <w:r>
        <w:rPr>
          <w:rFonts w:cstheme="minorHAnsi"/>
          <w:i/>
          <w:iCs/>
          <w:color w:val="3333FF"/>
        </w:rPr>
        <w:t xml:space="preserve">Video editor: Highlight the orange bar representing the post-treatment </w:t>
      </w:r>
      <w:r>
        <w:rPr>
          <w:i/>
          <w:iCs/>
          <w:color w:val="3333FF"/>
        </w:rPr>
        <w:t>Quinnell’s grade</w:t>
      </w:r>
      <w:r>
        <w:rPr>
          <w:rFonts w:cstheme="minorHAnsi"/>
          <w:i/>
          <w:iCs/>
          <w:color w:val="3333FF"/>
        </w:rPr>
        <w:t>.</w:t>
      </w:r>
    </w:p>
    <w:p w14:paraId="7B1D926D" w14:textId="77777777" w:rsidR="008B3E9A" w:rsidRDefault="008B3E9A">
      <w:pPr>
        <w:rPr>
          <w:rFonts w:eastAsia="Times New Roman" w:cstheme="minorHAnsi"/>
          <w:sz w:val="52"/>
        </w:rPr>
      </w:pPr>
    </w:p>
    <w:sectPr w:rsidR="008B3E9A">
      <w:headerReference w:type="default" r:id="rId8"/>
      <w:footerReference w:type="even" r:id="rId9"/>
      <w:footerReference w:type="default" r:id="rId10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B41C6" w14:textId="77777777" w:rsidR="009C0249" w:rsidRDefault="009C0249">
      <w:r>
        <w:separator/>
      </w:r>
    </w:p>
  </w:endnote>
  <w:endnote w:type="continuationSeparator" w:id="0">
    <w:p w14:paraId="40F28EED" w14:textId="77777777" w:rsidR="009C0249" w:rsidRDefault="009C0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24C9A8DA" w14:textId="77777777" w:rsidR="008B3E9A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5F6B2A" w14:textId="77777777" w:rsidR="008B3E9A" w:rsidRDefault="008B3E9A">
    <w:pPr>
      <w:pStyle w:val="Footer"/>
      <w:ind w:right="360"/>
    </w:pPr>
  </w:p>
  <w:p w14:paraId="529F1E65" w14:textId="77777777" w:rsidR="008B3E9A" w:rsidRDefault="008B3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76920" w14:textId="1CD46E32" w:rsidR="008B3E9A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421FC3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>
      <w:rPr>
        <w:rFonts w:cstheme="minorHAnsi"/>
        <w:lang w:val="en-IN"/>
      </w:rPr>
      <w:t xml:space="preserve">May 05, </w:t>
    </w:r>
    <w:proofErr w:type="gramStart"/>
    <w:r>
      <w:rPr>
        <w:rFonts w:cstheme="minorHAnsi"/>
        <w:lang w:val="en-IN"/>
      </w:rPr>
      <w:t>2026</w:t>
    </w:r>
    <w:proofErr w:type="gramEnd"/>
    <w:r>
      <w:rPr>
        <w:rFonts w:cstheme="minorHAnsi"/>
        <w:lang w:val="en-IN"/>
      </w:rPr>
      <w:t xml:space="preserve"> </w:t>
    </w:r>
    <w:r>
      <w:rPr>
        <w:rFonts w:cstheme="minorHAnsi"/>
        <w:lang w:val="en-IN"/>
      </w:rPr>
      <w:tab/>
    </w:r>
    <w:r>
      <w:rPr>
        <w:rFonts w:cstheme="minorHAnsi"/>
      </w:rPr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6B6BE" w14:textId="77777777" w:rsidR="009C0249" w:rsidRDefault="009C0249">
      <w:r>
        <w:separator/>
      </w:r>
    </w:p>
  </w:footnote>
  <w:footnote w:type="continuationSeparator" w:id="0">
    <w:p w14:paraId="4AE399FE" w14:textId="77777777" w:rsidR="009C0249" w:rsidRDefault="009C02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692C7" w14:textId="77777777" w:rsidR="008B3E9A" w:rsidRDefault="00000000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1" w:name="_Hlk161737265"/>
    <w:bookmarkStart w:id="2" w:name="_Hlk161771130"/>
    <w:r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298992FE" w14:textId="77777777" w:rsidR="008B3E9A" w:rsidRDefault="008B3E9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55721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700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306A"/>
    <w:rsid w:val="00037828"/>
    <w:rsid w:val="0004142D"/>
    <w:rsid w:val="00043807"/>
    <w:rsid w:val="00045112"/>
    <w:rsid w:val="00045237"/>
    <w:rsid w:val="00046241"/>
    <w:rsid w:val="0005418D"/>
    <w:rsid w:val="00055137"/>
    <w:rsid w:val="00065CE6"/>
    <w:rsid w:val="000701F4"/>
    <w:rsid w:val="0007210C"/>
    <w:rsid w:val="00074929"/>
    <w:rsid w:val="00083792"/>
    <w:rsid w:val="00085F90"/>
    <w:rsid w:val="0008613B"/>
    <w:rsid w:val="00090BAC"/>
    <w:rsid w:val="00091D40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6237"/>
    <w:rsid w:val="000F05F6"/>
    <w:rsid w:val="000F0F14"/>
    <w:rsid w:val="000F1A61"/>
    <w:rsid w:val="000F256A"/>
    <w:rsid w:val="000F326F"/>
    <w:rsid w:val="001016BD"/>
    <w:rsid w:val="001026D1"/>
    <w:rsid w:val="001052C8"/>
    <w:rsid w:val="00106F46"/>
    <w:rsid w:val="001115D1"/>
    <w:rsid w:val="00113F3E"/>
    <w:rsid w:val="0011473F"/>
    <w:rsid w:val="00116FE9"/>
    <w:rsid w:val="00124F9B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026B"/>
    <w:rsid w:val="00176D6F"/>
    <w:rsid w:val="00177B33"/>
    <w:rsid w:val="001819E3"/>
    <w:rsid w:val="00184EF9"/>
    <w:rsid w:val="00191A77"/>
    <w:rsid w:val="00194DBB"/>
    <w:rsid w:val="0019607C"/>
    <w:rsid w:val="001A6FBA"/>
    <w:rsid w:val="001B2B18"/>
    <w:rsid w:val="001B3024"/>
    <w:rsid w:val="001B5C46"/>
    <w:rsid w:val="001C3C85"/>
    <w:rsid w:val="001C5DB5"/>
    <w:rsid w:val="001C6D00"/>
    <w:rsid w:val="001C717C"/>
    <w:rsid w:val="001C7BBC"/>
    <w:rsid w:val="001D621E"/>
    <w:rsid w:val="001D66A5"/>
    <w:rsid w:val="001D705B"/>
    <w:rsid w:val="001E2225"/>
    <w:rsid w:val="001E230F"/>
    <w:rsid w:val="001E52A3"/>
    <w:rsid w:val="001E7508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60F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2100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0739"/>
    <w:rsid w:val="003F4B52"/>
    <w:rsid w:val="004018D8"/>
    <w:rsid w:val="004025BB"/>
    <w:rsid w:val="004034B6"/>
    <w:rsid w:val="004114EA"/>
    <w:rsid w:val="00414B4F"/>
    <w:rsid w:val="004150BE"/>
    <w:rsid w:val="004159C6"/>
    <w:rsid w:val="0041741D"/>
    <w:rsid w:val="00420A1E"/>
    <w:rsid w:val="00421271"/>
    <w:rsid w:val="00421FC3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171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43A8"/>
    <w:rsid w:val="00491B01"/>
    <w:rsid w:val="00493A57"/>
    <w:rsid w:val="004954F2"/>
    <w:rsid w:val="00495959"/>
    <w:rsid w:val="004A70C2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756"/>
    <w:rsid w:val="004F664D"/>
    <w:rsid w:val="00500FA1"/>
    <w:rsid w:val="0051075A"/>
    <w:rsid w:val="00511F52"/>
    <w:rsid w:val="00513853"/>
    <w:rsid w:val="0051797A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57FAC"/>
    <w:rsid w:val="005611F3"/>
    <w:rsid w:val="00565757"/>
    <w:rsid w:val="00567A7D"/>
    <w:rsid w:val="0057599B"/>
    <w:rsid w:val="0058214E"/>
    <w:rsid w:val="005829FA"/>
    <w:rsid w:val="00583CFD"/>
    <w:rsid w:val="00584DFB"/>
    <w:rsid w:val="00585ECC"/>
    <w:rsid w:val="00591977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1CEA"/>
    <w:rsid w:val="006137EC"/>
    <w:rsid w:val="00614340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C16"/>
    <w:rsid w:val="0067274F"/>
    <w:rsid w:val="006801B1"/>
    <w:rsid w:val="00680D8C"/>
    <w:rsid w:val="00681C47"/>
    <w:rsid w:val="0068308D"/>
    <w:rsid w:val="0069665E"/>
    <w:rsid w:val="006A0250"/>
    <w:rsid w:val="006A0AFD"/>
    <w:rsid w:val="006A14A2"/>
    <w:rsid w:val="006A1B4F"/>
    <w:rsid w:val="006A21CB"/>
    <w:rsid w:val="006A6324"/>
    <w:rsid w:val="006A6CB1"/>
    <w:rsid w:val="006A73E7"/>
    <w:rsid w:val="006B197E"/>
    <w:rsid w:val="006B205A"/>
    <w:rsid w:val="006B2573"/>
    <w:rsid w:val="006B3AA9"/>
    <w:rsid w:val="006B5F4E"/>
    <w:rsid w:val="006B6AAC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20C4"/>
    <w:rsid w:val="00710EA3"/>
    <w:rsid w:val="0071156C"/>
    <w:rsid w:val="0071294C"/>
    <w:rsid w:val="00714F6B"/>
    <w:rsid w:val="00724E3B"/>
    <w:rsid w:val="00727BE9"/>
    <w:rsid w:val="00730D4A"/>
    <w:rsid w:val="00731E5D"/>
    <w:rsid w:val="00736650"/>
    <w:rsid w:val="00736CF8"/>
    <w:rsid w:val="00740CFB"/>
    <w:rsid w:val="007458C6"/>
    <w:rsid w:val="00745D4B"/>
    <w:rsid w:val="00746865"/>
    <w:rsid w:val="007474E4"/>
    <w:rsid w:val="007548F3"/>
    <w:rsid w:val="007574EC"/>
    <w:rsid w:val="00763C0E"/>
    <w:rsid w:val="0076691B"/>
    <w:rsid w:val="0077071A"/>
    <w:rsid w:val="00772380"/>
    <w:rsid w:val="00772548"/>
    <w:rsid w:val="00777388"/>
    <w:rsid w:val="00785075"/>
    <w:rsid w:val="00787066"/>
    <w:rsid w:val="00790E8C"/>
    <w:rsid w:val="007A149A"/>
    <w:rsid w:val="007A4E1D"/>
    <w:rsid w:val="007B0FBB"/>
    <w:rsid w:val="007B3E0E"/>
    <w:rsid w:val="007B72C5"/>
    <w:rsid w:val="007D2732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42B5"/>
    <w:rsid w:val="008672DA"/>
    <w:rsid w:val="00871F2E"/>
    <w:rsid w:val="00873D1A"/>
    <w:rsid w:val="00875BE8"/>
    <w:rsid w:val="00877357"/>
    <w:rsid w:val="00877B88"/>
    <w:rsid w:val="00880F7C"/>
    <w:rsid w:val="0088113B"/>
    <w:rsid w:val="00891865"/>
    <w:rsid w:val="008A0177"/>
    <w:rsid w:val="008A413E"/>
    <w:rsid w:val="008A7A3E"/>
    <w:rsid w:val="008B3E9A"/>
    <w:rsid w:val="008C642C"/>
    <w:rsid w:val="008D0E4A"/>
    <w:rsid w:val="008D2A6A"/>
    <w:rsid w:val="008D52FB"/>
    <w:rsid w:val="008D5443"/>
    <w:rsid w:val="008D58EC"/>
    <w:rsid w:val="008D72C1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0823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249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9F6634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6A55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031"/>
    <w:rsid w:val="00B07A3B"/>
    <w:rsid w:val="00B13941"/>
    <w:rsid w:val="00B30F3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7DF3"/>
    <w:rsid w:val="00B60E0A"/>
    <w:rsid w:val="00B6201D"/>
    <w:rsid w:val="00B63BB8"/>
    <w:rsid w:val="00B653B7"/>
    <w:rsid w:val="00B66A14"/>
    <w:rsid w:val="00B7250F"/>
    <w:rsid w:val="00B807E5"/>
    <w:rsid w:val="00B847A0"/>
    <w:rsid w:val="00B87BC5"/>
    <w:rsid w:val="00B87D12"/>
    <w:rsid w:val="00B91108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5056"/>
    <w:rsid w:val="00BE679C"/>
    <w:rsid w:val="00BE756D"/>
    <w:rsid w:val="00BF2674"/>
    <w:rsid w:val="00BF2B34"/>
    <w:rsid w:val="00BF3754"/>
    <w:rsid w:val="00BF525D"/>
    <w:rsid w:val="00C00F3F"/>
    <w:rsid w:val="00C035C7"/>
    <w:rsid w:val="00C058AE"/>
    <w:rsid w:val="00C07955"/>
    <w:rsid w:val="00C12062"/>
    <w:rsid w:val="00C2620F"/>
    <w:rsid w:val="00C34F4C"/>
    <w:rsid w:val="00C428F1"/>
    <w:rsid w:val="00C50118"/>
    <w:rsid w:val="00C53395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23A1"/>
    <w:rsid w:val="00CB039A"/>
    <w:rsid w:val="00CB0B79"/>
    <w:rsid w:val="00CB5DE5"/>
    <w:rsid w:val="00CC056B"/>
    <w:rsid w:val="00CC05F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3A9A"/>
    <w:rsid w:val="00D150D8"/>
    <w:rsid w:val="00D27E5C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6913"/>
    <w:rsid w:val="00D630A2"/>
    <w:rsid w:val="00D6314B"/>
    <w:rsid w:val="00D634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66F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2E66"/>
    <w:rsid w:val="00E55496"/>
    <w:rsid w:val="00E55F56"/>
    <w:rsid w:val="00E65758"/>
    <w:rsid w:val="00E662CA"/>
    <w:rsid w:val="00E66975"/>
    <w:rsid w:val="00E7173C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3B69"/>
    <w:rsid w:val="00F35094"/>
    <w:rsid w:val="00F35B29"/>
    <w:rsid w:val="00F3618A"/>
    <w:rsid w:val="00F4412A"/>
    <w:rsid w:val="00F5619F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2037"/>
    <w:rsid w:val="00FB3077"/>
    <w:rsid w:val="00FB4F53"/>
    <w:rsid w:val="00FC2E6F"/>
    <w:rsid w:val="00FC5752"/>
    <w:rsid w:val="00FD00B1"/>
    <w:rsid w:val="00FD1497"/>
    <w:rsid w:val="00FE059A"/>
    <w:rsid w:val="00FE4846"/>
    <w:rsid w:val="00FF0DB1"/>
    <w:rsid w:val="00FF120F"/>
    <w:rsid w:val="00FF25E5"/>
    <w:rsid w:val="00FF335E"/>
    <w:rsid w:val="00FF34BC"/>
    <w:rsid w:val="00FF6C56"/>
    <w:rsid w:val="00FF754B"/>
    <w:rsid w:val="030024D0"/>
    <w:rsid w:val="09F3490F"/>
    <w:rsid w:val="155F4B4F"/>
    <w:rsid w:val="186822A3"/>
    <w:rsid w:val="39165EB9"/>
    <w:rsid w:val="734D5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30"/>
  <w15:docId w15:val="{17D9DD5F-0836-4BD8-AB87-473C93FF1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NormalWeb">
    <w:name w:val="Normal (Web)"/>
    <w:basedOn w:val="Normal"/>
    <w:semiHidden/>
    <w:unhideWhenUsed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Revision2">
    <w:name w:val="Revision2"/>
    <w:hidden/>
    <w:uiPriority w:val="99"/>
    <w:unhideWhenUsed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7692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1754</Words>
  <Characters>10001</Characters>
  <Application>Microsoft Office Word</Application>
  <DocSecurity>0</DocSecurity>
  <Lines>83</Lines>
  <Paragraphs>23</Paragraphs>
  <ScaleCrop>false</ScaleCrop>
  <Company>UC Irvine</Company>
  <LinksUpToDate>false</LinksUpToDate>
  <CharactersWithSpaces>11732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Kathyayani  Sridharan</cp:lastModifiedBy>
  <cp:revision>2</cp:revision>
  <dcterms:created xsi:type="dcterms:W3CDTF">2026-05-15T05:51:00Z</dcterms:created>
  <dcterms:modified xsi:type="dcterms:W3CDTF">2026-05-15T05:51:00Z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ProductBuildVer">
    <vt:lpwstr>2052-12.1.0.25865</vt:lpwstr>
  </property>
  <property fmtid="{D5CDD505-2E9C-101B-9397-08002B2CF9AE}" pid="4" name="ICV">
    <vt:lpwstr>2770A97A08014C15B8C88D9387B588F4_13</vt:lpwstr>
  </property>
  <property fmtid="{D5CDD505-2E9C-101B-9397-08002B2CF9AE}" pid="5" name="KSOTemplateDocerSaveRecord">
    <vt:lpwstr>eyJoZGlkIjoiODViY2JkMjU3NGYzZTEwMzZmMGFkZWViYmNkYWU3NDIiLCJ1c2VySWQiOiIxMjYxNDUyNTI5In0=</vt:lpwstr>
  </property>
</Properties>
</file>