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C263A">
      <w:pPr>
        <w:spacing w:line="0" w:lineRule="atLeast"/>
        <w:rPr>
          <w:b/>
          <w:color w:val="000000" w:themeColor="text1"/>
          <w14:textFill>
            <w14:solidFill>
              <w14:schemeClr w14:val="tx1"/>
            </w14:solidFill>
          </w14:textFill>
        </w:rPr>
      </w:pPr>
      <w:r>
        <w:rPr>
          <w:b/>
          <w:color w:val="000000" w:themeColor="text1"/>
          <w14:textFill>
            <w14:solidFill>
              <w14:schemeClr w14:val="tx1"/>
            </w14:solidFill>
          </w14:textFill>
        </w:rPr>
        <w:t>TITLE:</w:t>
      </w:r>
    </w:p>
    <w:p w14:paraId="40CC263B">
      <w:pPr>
        <w:spacing w:line="0" w:lineRule="atLeast"/>
        <w:rPr>
          <w:bCs/>
          <w:color w:val="000000" w:themeColor="text1"/>
          <w14:textFill>
            <w14:solidFill>
              <w14:schemeClr w14:val="tx1"/>
            </w14:solidFill>
          </w14:textFill>
        </w:rPr>
      </w:pPr>
      <w:r>
        <w:rPr>
          <w:bCs/>
          <w:color w:val="000000" w:themeColor="text1"/>
          <w14:textFill>
            <w14:solidFill>
              <w14:schemeClr w14:val="tx1"/>
            </w14:solidFill>
          </w14:textFill>
        </w:rPr>
        <w:t>A Standardized Acupotomy Protocol for the Treatment of Tenosynovitis of Hand Flexor Tendons in Human Patients</w:t>
      </w:r>
    </w:p>
    <w:p w14:paraId="40CC263C">
      <w:pPr>
        <w:spacing w:line="0" w:lineRule="atLeast"/>
        <w:rPr>
          <w:b/>
          <w:color w:val="000000" w:themeColor="text1"/>
          <w14:textFill>
            <w14:solidFill>
              <w14:schemeClr w14:val="tx1"/>
            </w14:solidFill>
          </w14:textFill>
        </w:rPr>
      </w:pPr>
    </w:p>
    <w:p w14:paraId="40CC263D">
      <w:pPr>
        <w:spacing w:line="0" w:lineRule="atLeast"/>
        <w:rPr>
          <w:b/>
          <w:color w:val="000000" w:themeColor="text1"/>
          <w14:textFill>
            <w14:solidFill>
              <w14:schemeClr w14:val="tx1"/>
            </w14:solidFill>
          </w14:textFill>
        </w:rPr>
      </w:pPr>
      <w:r>
        <w:rPr>
          <w:b/>
          <w:color w:val="000000" w:themeColor="text1"/>
          <w14:textFill>
            <w14:solidFill>
              <w14:schemeClr w14:val="tx1"/>
            </w14:solidFill>
          </w14:textFill>
        </w:rPr>
        <w:t xml:space="preserve">AUTHORS AND AFFILIATIONS: </w:t>
      </w:r>
    </w:p>
    <w:p w14:paraId="40CC263E">
      <w:pPr>
        <w:spacing w:line="0" w:lineRule="atLeast"/>
        <w:rPr>
          <w:color w:val="000000" w:themeColor="text1"/>
          <w:vertAlign w:val="superscript"/>
          <w14:textFill>
            <w14:solidFill>
              <w14:schemeClr w14:val="tx1"/>
            </w14:solidFill>
          </w14:textFill>
        </w:rPr>
      </w:pPr>
      <w:r>
        <w:rPr>
          <w:color w:val="000000" w:themeColor="text1"/>
          <w14:textFill>
            <w14:solidFill>
              <w14:schemeClr w14:val="tx1"/>
            </w14:solidFill>
          </w14:textFill>
        </w:rPr>
        <w:t>Li Xu</w:t>
      </w:r>
      <w:r>
        <w:rPr>
          <w:bCs/>
          <w:color w:val="000000" w:themeColor="text1"/>
          <w14:textFill>
            <w14:solidFill>
              <w14:schemeClr w14:val="tx1"/>
            </w14:solidFill>
          </w14:textFill>
        </w:rPr>
        <w:t>*</w:t>
      </w: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 Yixuan Luo</w:t>
      </w:r>
      <w:r>
        <w:rPr>
          <w:bCs/>
          <w:color w:val="000000" w:themeColor="text1"/>
          <w14:textFill>
            <w14:solidFill>
              <w14:schemeClr w14:val="tx1"/>
            </w14:solidFill>
          </w14:textFill>
        </w:rPr>
        <w:t>*</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 Chaojin Zhou</w:t>
      </w:r>
      <w:r>
        <w:rPr>
          <w:bCs/>
          <w:color w:val="000000" w:themeColor="text1"/>
          <w14:textFill>
            <w14:solidFill>
              <w14:schemeClr w14:val="tx1"/>
            </w14:solidFill>
          </w14:textFill>
        </w:rPr>
        <w:t>*</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 Yanxin Yu</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 Jingyi Liu</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 Shiqi Wei</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 Zhiyu Qian</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 Wei Huang</w:t>
      </w:r>
      <w:r>
        <w:rPr>
          <w:color w:val="000000" w:themeColor="text1"/>
          <w:vertAlign w:val="superscript"/>
          <w14:textFill>
            <w14:solidFill>
              <w14:schemeClr w14:val="tx1"/>
            </w14:solidFill>
          </w14:textFill>
        </w:rPr>
        <w:t>1,4,5,6</w:t>
      </w:r>
      <w:r>
        <w:rPr>
          <w:rFonts w:eastAsia="宋体"/>
          <w:bCs/>
          <w:color w:val="000000" w:themeColor="text1"/>
          <w:lang w:eastAsia="zh-CN"/>
          <w14:textFill>
            <w14:solidFill>
              <w14:schemeClr w14:val="tx1"/>
            </w14:solidFill>
          </w14:textFill>
        </w:rPr>
        <w:t>†</w:t>
      </w:r>
    </w:p>
    <w:p w14:paraId="40CC263F">
      <w:pPr>
        <w:spacing w:line="0" w:lineRule="atLeast"/>
        <w:rPr>
          <w:color w:val="000000" w:themeColor="text1"/>
          <w14:textFill>
            <w14:solidFill>
              <w14:schemeClr w14:val="tx1"/>
            </w14:solidFill>
          </w14:textFill>
        </w:rPr>
      </w:pPr>
    </w:p>
    <w:p w14:paraId="40CC2640">
      <w:pPr>
        <w:spacing w:line="0" w:lineRule="atLeast"/>
        <w:rPr>
          <w:color w:val="000000" w:themeColor="text1"/>
          <w:vertAlign w:val="superscript"/>
          <w14:textFill>
            <w14:solidFill>
              <w14:schemeClr w14:val="tx1"/>
            </w14:solidFill>
          </w14:textFill>
        </w:rPr>
      </w:pPr>
      <w:r>
        <w:rPr>
          <w:color w:val="000000" w:themeColor="text1"/>
          <w:vertAlign w:val="superscript"/>
          <w14:textFill>
            <w14:solidFill>
              <w14:schemeClr w14:val="tx1"/>
            </w14:solidFill>
          </w14:textFill>
        </w:rPr>
        <w:t>1</w:t>
      </w:r>
      <w:r>
        <w:rPr>
          <w:color w:val="000000" w:themeColor="text1"/>
          <w14:textFill>
            <w14:solidFill>
              <w14:schemeClr w14:val="tx1"/>
            </w14:solidFill>
          </w14:textFill>
        </w:rPr>
        <w:t>Department of Acupuncture, Hubei Provincial Hospital of Traditional Chinese Medicine, Wuhan, People’s Republic of China</w:t>
      </w:r>
    </w:p>
    <w:p w14:paraId="40CC2641">
      <w:pPr>
        <w:spacing w:line="0" w:lineRule="atLeast"/>
        <w:rPr>
          <w:color w:val="000000" w:themeColor="text1"/>
          <w14:textFill>
            <w14:solidFill>
              <w14:schemeClr w14:val="tx1"/>
            </w14:solidFill>
          </w14:textFill>
        </w:rPr>
      </w:pP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College of Acupuncture and Orthopedics, Hubei University of Chinese Medicine, Wuhan, People’s Republic of China</w:t>
      </w:r>
    </w:p>
    <w:p w14:paraId="40CC2642">
      <w:pPr>
        <w:spacing w:line="0" w:lineRule="atLeast"/>
        <w:rPr>
          <w:color w:val="000000" w:themeColor="text1"/>
          <w14:textFill>
            <w14:solidFill>
              <w14:schemeClr w14:val="tx1"/>
            </w14:solidFill>
          </w14:textFill>
        </w:rPr>
      </w:pP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Wuhan Fourth Hospital, Wuhan, People’s Republic of China</w:t>
      </w:r>
    </w:p>
    <w:p w14:paraId="40CC2643">
      <w:pPr>
        <w:spacing w:line="0" w:lineRule="atLeast"/>
        <w:rPr>
          <w:color w:val="000000" w:themeColor="text1"/>
          <w14:textFill>
            <w14:solidFill>
              <w14:schemeClr w14:val="tx1"/>
            </w14:solidFill>
          </w14:textFill>
        </w:rPr>
      </w:pPr>
      <w:r>
        <w:rPr>
          <w:color w:val="000000" w:themeColor="text1"/>
          <w:vertAlign w:val="superscript"/>
          <w14:textFill>
            <w14:solidFill>
              <w14:schemeClr w14:val="tx1"/>
            </w14:solidFill>
          </w14:textFill>
        </w:rPr>
        <w:t>4</w:t>
      </w:r>
      <w:r>
        <w:rPr>
          <w:color w:val="000000" w:themeColor="text1"/>
          <w14:textFill>
            <w14:solidFill>
              <w14:schemeClr w14:val="tx1"/>
            </w14:solidFill>
          </w14:textFill>
        </w:rPr>
        <w:t>Department of Acupuncture, Affiliated Hospital of Hubei University of Chinese Medicine, Wuhan, People’s Republic of China</w:t>
      </w:r>
    </w:p>
    <w:p w14:paraId="40CC2644">
      <w:pPr>
        <w:spacing w:line="0" w:lineRule="atLeast"/>
        <w:rPr>
          <w:color w:val="000000" w:themeColor="text1"/>
          <w14:textFill>
            <w14:solidFill>
              <w14:schemeClr w14:val="tx1"/>
            </w14:solidFill>
          </w14:textFill>
        </w:rPr>
      </w:pPr>
      <w:r>
        <w:rPr>
          <w:color w:val="000000" w:themeColor="text1"/>
          <w:vertAlign w:val="superscript"/>
          <w14:textFill>
            <w14:solidFill>
              <w14:schemeClr w14:val="tx1"/>
            </w14:solidFill>
          </w14:textFill>
        </w:rPr>
        <w:t>5</w:t>
      </w:r>
      <w:r>
        <w:rPr>
          <w:color w:val="000000" w:themeColor="text1"/>
          <w14:textFill>
            <w14:solidFill>
              <w14:schemeClr w14:val="tx1"/>
            </w14:solidFill>
          </w14:textFill>
        </w:rPr>
        <w:t>Hubei Provincial Clinical Research Center for Acupuncture and Moxibustion in Obesity Treatment, Wuhan, People’s Republic of China</w:t>
      </w:r>
    </w:p>
    <w:p w14:paraId="40CC2645">
      <w:pPr>
        <w:spacing w:line="0" w:lineRule="atLeast"/>
        <w:rPr>
          <w:color w:val="000000" w:themeColor="text1"/>
          <w14:textFill>
            <w14:solidFill>
              <w14:schemeClr w14:val="tx1"/>
            </w14:solidFill>
          </w14:textFill>
        </w:rPr>
      </w:pPr>
      <w:r>
        <w:rPr>
          <w:color w:val="000000" w:themeColor="text1"/>
          <w:vertAlign w:val="superscript"/>
          <w14:textFill>
            <w14:solidFill>
              <w14:schemeClr w14:val="tx1"/>
            </w14:solidFill>
          </w14:textFill>
        </w:rPr>
        <w:t>6</w:t>
      </w:r>
      <w:r>
        <w:rPr>
          <w:color w:val="000000" w:themeColor="text1"/>
          <w14:textFill>
            <w14:solidFill>
              <w14:schemeClr w14:val="tx1"/>
            </w14:solidFill>
          </w14:textFill>
        </w:rPr>
        <w:t>Hubei Shizhen Laboratory, Wuhan, People’s Republic of China</w:t>
      </w:r>
    </w:p>
    <w:p w14:paraId="7053F1AB">
      <w:pPr>
        <w:spacing w:line="0" w:lineRule="atLeast"/>
        <w:rPr>
          <w:color w:val="000000" w:themeColor="text1"/>
          <w:lang w:bidi="ar"/>
          <w14:textFill>
            <w14:solidFill>
              <w14:schemeClr w14:val="tx1"/>
            </w14:solidFill>
          </w14:textFill>
        </w:rPr>
      </w:pPr>
    </w:p>
    <w:p w14:paraId="40CC2646">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*These authors contributed equally</w:t>
      </w:r>
    </w:p>
    <w:p w14:paraId="40CC2647">
      <w:pPr>
        <w:spacing w:line="0" w:lineRule="atLeast"/>
        <w:rPr>
          <w:color w:val="000000" w:themeColor="text1"/>
          <w14:textFill>
            <w14:solidFill>
              <w14:schemeClr w14:val="tx1"/>
            </w14:solidFill>
          </w14:textFill>
        </w:rPr>
      </w:pPr>
    </w:p>
    <w:p w14:paraId="40CC2648">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Email addresses of co-authors:</w:t>
      </w:r>
    </w:p>
    <w:p w14:paraId="40CC2649">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Li Xu</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(1105665924@qq.com)</w:t>
      </w:r>
    </w:p>
    <w:p w14:paraId="40CC264A">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Yixuan Luo</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(1187271336@qq.com)</w:t>
      </w:r>
    </w:p>
    <w:p w14:paraId="40CC264B">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Chaojin Zhou</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(928467596@qq.com)</w:t>
      </w:r>
    </w:p>
    <w:p w14:paraId="40CC264C">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Yanxin Yu</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fldChar w:fldCharType="begin"/>
      </w:r>
      <w:r>
        <w:instrText xml:space="preserve"> HYPERLINK "mailto:(614529369@qq.com)" </w:instrText>
      </w:r>
      <w:r>
        <w:fldChar w:fldCharType="separate"/>
      </w:r>
      <w:r>
        <w:rPr>
          <w:rStyle w:val="20"/>
          <w:bCs/>
          <w:color w:val="000000" w:themeColor="text1"/>
          <w:u w:val="none"/>
          <w14:textFill>
            <w14:solidFill>
              <w14:schemeClr w14:val="tx1"/>
            </w14:solidFill>
          </w14:textFill>
        </w:rPr>
        <w:t>(614529369@qq.com)</w:t>
      </w:r>
      <w:r>
        <w:rPr>
          <w:rStyle w:val="20"/>
          <w:bCs/>
          <w:color w:val="000000" w:themeColor="text1"/>
          <w:u w:val="none"/>
          <w14:textFill>
            <w14:solidFill>
              <w14:schemeClr w14:val="tx1"/>
            </w14:solidFill>
          </w14:textFill>
        </w:rPr>
        <w:fldChar w:fldCharType="end"/>
      </w:r>
    </w:p>
    <w:p w14:paraId="40CC264D">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Jingyi Liu</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(793351492@qq.com)</w:t>
      </w:r>
    </w:p>
    <w:p w14:paraId="40CC264E">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Shiqi Wei</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(2689961268@qq.com)</w:t>
      </w:r>
    </w:p>
    <w:p w14:paraId="40CC264F">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Zhiyu Qian</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(3270262728@qq.com)</w:t>
      </w:r>
    </w:p>
    <w:p w14:paraId="40CC2650">
      <w:pPr>
        <w:spacing w:line="0" w:lineRule="atLeast"/>
        <w:rPr>
          <w:color w:val="000000" w:themeColor="text1"/>
          <w14:textFill>
            <w14:solidFill>
              <w14:schemeClr w14:val="tx1"/>
            </w14:solidFill>
          </w14:textFill>
        </w:rPr>
      </w:pPr>
    </w:p>
    <w:p w14:paraId="40CC2651">
      <w:pPr>
        <w:spacing w:line="0" w:lineRule="atLeast"/>
        <w:rPr>
          <w:color w:val="000000" w:themeColor="text1"/>
          <w14:textFill>
            <w14:solidFill>
              <w14:schemeClr w14:val="tx1"/>
            </w14:solidFill>
          </w14:textFill>
        </w:rPr>
      </w:pPr>
      <w:r>
        <w:rPr>
          <w:bCs/>
          <w:color w:val="000000" w:themeColor="text1"/>
          <w14:textFill>
            <w14:solidFill>
              <w14:schemeClr w14:val="tx1"/>
            </w14:solidFill>
          </w14:textFill>
        </w:rPr>
        <w:t>†</w:t>
      </w:r>
      <w:r>
        <w:rPr>
          <w:color w:val="000000" w:themeColor="text1"/>
          <w14:textFill>
            <w14:solidFill>
              <w14:schemeClr w14:val="tx1"/>
            </w14:solidFill>
          </w14:textFill>
        </w:rPr>
        <w:t>Corresponding author:</w:t>
      </w:r>
    </w:p>
    <w:p w14:paraId="40CC2652">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Wei Huang</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(24231637@qq.com)</w:t>
      </w:r>
    </w:p>
    <w:p w14:paraId="40CC2656">
      <w:pPr>
        <w:spacing w:line="0" w:lineRule="atLeast"/>
        <w:rPr>
          <w:color w:val="000000" w:themeColor="text1"/>
          <w14:textFill>
            <w14:solidFill>
              <w14:schemeClr w14:val="tx1"/>
            </w14:solidFill>
          </w14:textFill>
        </w:rPr>
      </w:pPr>
    </w:p>
    <w:p w14:paraId="40CC2657">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SUMMARY:</w:t>
      </w:r>
      <w:r>
        <w:rPr>
          <w:color w:val="000000" w:themeColor="text1"/>
          <w14:textFill>
            <w14:solidFill>
              <w14:schemeClr w14:val="tx1"/>
            </w14:solidFill>
          </w14:textFill>
        </w:rPr>
        <w:t xml:space="preserve"> </w:t>
      </w:r>
    </w:p>
    <w:p w14:paraId="40CC2658">
      <w:pPr>
        <w:spacing w:line="0" w:lineRule="atLeast"/>
        <w:rPr>
          <w:color w:val="000000" w:themeColor="text1"/>
          <w14:textFill>
            <w14:solidFill>
              <w14:schemeClr w14:val="tx1"/>
            </w14:solidFill>
          </w14:textFill>
        </w:rPr>
      </w:pPr>
      <w:r>
        <w:rPr>
          <w:rFonts w:eastAsia="宋体"/>
          <w:color w:val="000000" w:themeColor="text1"/>
          <w14:textFill>
            <w14:solidFill>
              <w14:schemeClr w14:val="tx1"/>
            </w14:solidFill>
          </w14:textFill>
        </w:rPr>
        <w:t>This</w:t>
      </w:r>
      <w:r>
        <w:rPr>
          <w:color w:val="000000" w:themeColor="text1"/>
          <w14:textFill>
            <w14:solidFill>
              <w14:schemeClr w14:val="tx1"/>
            </w14:solidFill>
          </w14:textFill>
        </w:rPr>
        <w:t xml:space="preserve"> protocol </w:t>
      </w:r>
      <w:r>
        <w:rPr>
          <w:rFonts w:eastAsia="宋体"/>
          <w:color w:val="000000" w:themeColor="text1"/>
          <w14:textFill>
            <w14:solidFill>
              <w14:schemeClr w14:val="tx1"/>
            </w14:solidFill>
          </w14:textFill>
        </w:rPr>
        <w:t>standardizes</w:t>
      </w:r>
      <w:r>
        <w:rPr>
          <w:color w:val="000000" w:themeColor="text1"/>
          <w14:textFill>
            <w14:solidFill>
              <w14:schemeClr w14:val="tx1"/>
            </w14:solidFill>
          </w14:textFill>
        </w:rPr>
        <w:t xml:space="preserve"> preoperative evaluation, stepwise acupotomy, and postoperative care for </w:t>
      </w:r>
      <w:r>
        <w:rPr>
          <w:rFonts w:eastAsia="宋体"/>
          <w:color w:val="000000" w:themeColor="text1"/>
          <w14:textFill>
            <w14:solidFill>
              <w14:schemeClr w14:val="tx1"/>
            </w14:solidFill>
          </w14:textFill>
        </w:rPr>
        <w:t>treating tenosynovitis of the hand flexor tendons in human patients, aiming to improve</w:t>
      </w:r>
      <w:r>
        <w:rPr>
          <w:color w:val="000000" w:themeColor="text1"/>
          <w14:textFill>
            <w14:solidFill>
              <w14:schemeClr w14:val="tx1"/>
            </w14:solidFill>
          </w14:textFill>
        </w:rPr>
        <w:t xml:space="preserve"> procedural safety, </w:t>
      </w:r>
      <w:r>
        <w:rPr>
          <w:rFonts w:eastAsia="宋体"/>
          <w:color w:val="000000" w:themeColor="text1"/>
          <w14:textFill>
            <w14:solidFill>
              <w14:schemeClr w14:val="tx1"/>
            </w14:solidFill>
          </w14:textFill>
        </w:rPr>
        <w:t>enhance</w:t>
      </w:r>
      <w:r>
        <w:rPr>
          <w:color w:val="000000" w:themeColor="text1"/>
          <w14:textFill>
            <w14:solidFill>
              <w14:schemeClr w14:val="tx1"/>
            </w14:solidFill>
          </w14:textFill>
        </w:rPr>
        <w:t xml:space="preserve"> recovery, </w:t>
      </w:r>
      <w:r>
        <w:rPr>
          <w:rFonts w:eastAsia="宋体"/>
          <w:color w:val="000000" w:themeColor="text1"/>
          <w14:textFill>
            <w14:solidFill>
              <w14:schemeClr w14:val="tx1"/>
            </w14:solidFill>
          </w14:textFill>
        </w:rPr>
        <w:t>and reduce</w:t>
      </w:r>
      <w:r>
        <w:rPr>
          <w:color w:val="000000" w:themeColor="text1"/>
          <w14:textFill>
            <w14:solidFill>
              <w14:schemeClr w14:val="tx1"/>
            </w14:solidFill>
          </w14:textFill>
        </w:rPr>
        <w:t xml:space="preserve"> complications.</w:t>
      </w:r>
    </w:p>
    <w:p w14:paraId="40CC265A">
      <w:pPr>
        <w:spacing w:line="0" w:lineRule="atLeast"/>
        <w:rPr>
          <w:color w:val="000000" w:themeColor="text1"/>
          <w14:textFill>
            <w14:solidFill>
              <w14:schemeClr w14:val="tx1"/>
            </w14:solidFill>
          </w14:textFill>
        </w:rPr>
      </w:pPr>
    </w:p>
    <w:p w14:paraId="40CC265B">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ABSTRACT:</w:t>
      </w:r>
      <w:r>
        <w:rPr>
          <w:color w:val="000000" w:themeColor="text1"/>
          <w14:textFill>
            <w14:solidFill>
              <w14:schemeClr w14:val="tx1"/>
            </w14:solidFill>
          </w14:textFill>
        </w:rPr>
        <w:t xml:space="preserve"> </w:t>
      </w:r>
    </w:p>
    <w:p w14:paraId="40CC265C">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Tenosynovitis of hand flexor tendons (THFT) is a high-incidence overuse injury of the hand. Its pathological essence is a dynamic imbalance between the volume of the tendon sheath and the tendon caused by fibrous connective tissue hyperplasia in the A1 pulley region, leading to mechanical entrapment and typical clinical symptoms</w:t>
      </w:r>
      <w:r>
        <w:rPr>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 including palmar pain, triggering, and limited movement. Traditional conservative treatments yield suboptimal long-term efficacy, while open surgery is associated with high trauma and complication risks, creating demand for a minimally invasive therapeutic approach. Acupotomy, an integrated therapy of traditional Chinese and Western medicine, achieves minimally invasive release of the stenotic tendon sheath with minimal trauma and rapid recovery. Standardized operation is critical for its clinical </w:t>
      </w:r>
      <w:r>
        <w:rPr>
          <w:color w:val="000000" w:themeColor="text1"/>
          <w:lang w:eastAsia="zh-CN"/>
          <w14:textFill>
            <w14:solidFill>
              <w14:schemeClr w14:val="tx1"/>
            </w14:solidFill>
          </w14:textFill>
        </w:rPr>
        <w:t>application; however,</w:t>
      </w:r>
      <w:r>
        <w:rPr>
          <w:color w:val="000000" w:themeColor="text1"/>
          <w14:textFill>
            <w14:solidFill>
              <w14:schemeClr w14:val="tx1"/>
            </w14:solidFill>
          </w14:textFill>
        </w:rPr>
        <w:t xml:space="preserve"> detailed and standardized protocols are currently lacking.</w:t>
      </w:r>
      <w:r>
        <w:rPr>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This protocol details the key steps of acupotomy for THFT, including preoperative multidimensional evaluation (history taking, physical examination, </w:t>
      </w:r>
      <w:r>
        <w:rPr>
          <w:color w:val="000000" w:themeColor="text1"/>
          <w:lang w:eastAsia="zh-CN"/>
          <w14:textFill>
            <w14:solidFill>
              <w14:schemeClr w14:val="tx1"/>
            </w14:solidFill>
          </w14:textFill>
        </w:rPr>
        <w:t xml:space="preserve">and </w:t>
      </w:r>
      <w:r>
        <w:rPr>
          <w:color w:val="000000" w:themeColor="text1"/>
          <w14:textFill>
            <w14:solidFill>
              <w14:schemeClr w14:val="tx1"/>
            </w14:solidFill>
          </w14:textFill>
        </w:rPr>
        <w:t xml:space="preserve">ultrasonic assessment) with strict inclusion and exclusion criteria, standardized preoperative preparation (environment, materials, patient positioning, disinfection, </w:t>
      </w:r>
      <w:r>
        <w:rPr>
          <w:color w:val="000000" w:themeColor="text1"/>
          <w:lang w:eastAsia="zh-CN"/>
          <w14:textFill>
            <w14:solidFill>
              <w14:schemeClr w14:val="tx1"/>
            </w14:solidFill>
          </w14:textFill>
        </w:rPr>
        <w:t xml:space="preserve">and </w:t>
      </w:r>
      <w:r>
        <w:rPr>
          <w:color w:val="000000" w:themeColor="text1"/>
          <w14:textFill>
            <w14:solidFill>
              <w14:schemeClr w14:val="tx1"/>
            </w14:solidFill>
          </w14:textFill>
        </w:rPr>
        <w:t xml:space="preserve">local anesthesia), the stepwise acupotomy procedure (precise insertion, targeted longitudinal release, </w:t>
      </w:r>
      <w:r>
        <w:rPr>
          <w:color w:val="000000" w:themeColor="text1"/>
          <w:lang w:eastAsia="zh-CN"/>
          <w14:textFill>
            <w14:solidFill>
              <w14:schemeClr w14:val="tx1"/>
            </w14:solidFill>
          </w14:textFill>
        </w:rPr>
        <w:t xml:space="preserve">and </w:t>
      </w:r>
      <w:r>
        <w:rPr>
          <w:color w:val="000000" w:themeColor="text1"/>
          <w14:textFill>
            <w14:solidFill>
              <w14:schemeClr w14:val="tx1"/>
            </w14:solidFill>
          </w14:textFill>
        </w:rPr>
        <w:t xml:space="preserve">safe withdrawal), and comprehensive postoperative management (immediate care, functional exercise guidance, wound care, </w:t>
      </w:r>
      <w:r>
        <w:rPr>
          <w:color w:val="000000" w:themeColor="text1"/>
          <w:lang w:eastAsia="zh-CN"/>
          <w14:textFill>
            <w14:solidFill>
              <w14:schemeClr w14:val="tx1"/>
            </w14:solidFill>
          </w14:textFill>
        </w:rPr>
        <w:t xml:space="preserve">and </w:t>
      </w:r>
      <w:r>
        <w:rPr>
          <w:color w:val="000000" w:themeColor="text1"/>
          <w14:textFill>
            <w14:solidFill>
              <w14:schemeClr w14:val="tx1"/>
            </w14:solidFill>
          </w14:textFill>
        </w:rPr>
        <w:t>regular follow-up assessment).</w:t>
      </w:r>
      <w:r>
        <w:rPr>
          <w:color w:val="000000" w:themeColor="text1"/>
          <w:lang w:eastAsia="zh-CN"/>
          <w14:textFill>
            <w14:solidFill>
              <w14:schemeClr w14:val="tx1"/>
            </w14:solidFill>
          </w14:textFill>
        </w:rPr>
        <w:t xml:space="preserve"> </w:t>
      </w:r>
      <w:r>
        <w:rPr>
          <w:color w:val="000000" w:themeColor="text1"/>
          <w14:textFill>
            <w14:solidFill>
              <w14:schemeClr w14:val="tx1"/>
            </w14:solidFill>
          </w14:textFill>
        </w:rPr>
        <w:t xml:space="preserve">The primary purpose of this protocol is to standardize acupotomy surgery for THFT, </w:t>
      </w:r>
      <w:r>
        <w:rPr>
          <w:color w:val="000000" w:themeColor="text1"/>
          <w:lang w:eastAsia="zh-CN"/>
          <w14:textFill>
            <w14:solidFill>
              <w14:schemeClr w14:val="tx1"/>
            </w14:solidFill>
          </w14:textFill>
        </w:rPr>
        <w:t>providing a structured framework for safe implementation</w:t>
      </w:r>
      <w:r>
        <w:rPr>
          <w:color w:val="000000" w:themeColor="text1"/>
          <w14:textFill>
            <w14:solidFill>
              <w14:schemeClr w14:val="tx1"/>
            </w14:solidFill>
          </w14:textFill>
        </w:rPr>
        <w:t xml:space="preserve"> and </w:t>
      </w:r>
      <w:r>
        <w:rPr>
          <w:color w:val="000000" w:themeColor="text1"/>
          <w:lang w:eastAsia="zh-CN"/>
          <w14:textFill>
            <w14:solidFill>
              <w14:schemeClr w14:val="tx1"/>
            </w14:solidFill>
          </w14:textFill>
        </w:rPr>
        <w:t xml:space="preserve">facilitating consistent procedural application in </w:t>
      </w:r>
      <w:r>
        <w:rPr>
          <w:color w:val="000000" w:themeColor="text1"/>
          <w14:textFill>
            <w14:solidFill>
              <w14:schemeClr w14:val="tx1"/>
            </w14:solidFill>
          </w14:textFill>
        </w:rPr>
        <w:t>clinical practice.</w:t>
      </w:r>
    </w:p>
    <w:p w14:paraId="40CC265D">
      <w:pPr>
        <w:spacing w:line="0" w:lineRule="atLeast"/>
        <w:rPr>
          <w:color w:val="000000" w:themeColor="text1"/>
          <w14:textFill>
            <w14:solidFill>
              <w14:schemeClr w14:val="tx1"/>
            </w14:solidFill>
          </w14:textFill>
        </w:rPr>
      </w:pPr>
    </w:p>
    <w:p w14:paraId="40CC265E">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INTRODUCTION:</w:t>
      </w:r>
      <w:r>
        <w:rPr>
          <w:color w:val="000000" w:themeColor="text1"/>
          <w14:textFill>
            <w14:solidFill>
              <w14:schemeClr w14:val="tx1"/>
            </w14:solidFill>
          </w14:textFill>
        </w:rPr>
        <w:t xml:space="preserve"> </w:t>
      </w:r>
    </w:p>
    <w:p w14:paraId="14338E79">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Tenosynovitis of hand flexor tendons (THFT), commonly known as “trigger finger,” is a frequent hand disorder caused by repeated friction and overuse of the flexor tendons and their fibrous tendon sheaths (primarily the A1 pulley) at the level of the metacarpophalangeal (MCP) joint, leading to thickening and stenosis of the tendon sheath, impeded tendon passage, and the development of aseptic inflammation</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&lt;EndNote&gt;&lt;Cite&gt;&lt;Author&gt;Wei&lt;/Author&gt;&lt;Year&gt;2022&lt;/Year&gt;&lt;RecNum&gt;274&lt;/RecNum&gt;&lt;DisplayText&gt;&lt;style face="superscript"&gt;1&lt;/style&gt;&lt;/DisplayText&gt;&lt;record&gt;&lt;rec-number&gt;274&lt;/rec-number&gt;&lt;foreign-keys&gt;&lt;key app="EN" db-id="zw2wv2wtjw9swfex2emv2sx0s0fwsvwvtf2z" timestamp="1763540226"&gt;274&lt;/key&gt;&lt;/foreign-keys&gt;&lt;ref-type name="Journal Article"&gt;17&lt;/ref-type&gt;&lt;contributors&gt;&lt;authors&gt;&lt;author&gt;Wei, L.&lt;/author&gt;&lt;author&gt;Tong, Q.&lt;/author&gt;&lt;author&gt;Liu, Y.&lt;/author&gt;&lt;author&gt;Hou, X.&lt;/author&gt;&lt;author&gt;Zhi, F.&lt;/author&gt;&lt;/authors&gt;&lt;/contributors&gt;&lt;auth-address&gt;Nanchang Hongdu Hospital of Traditional Chinese Medicine, Jiangxi Province, China.&amp;#xD;Jiangxi Health Vocational College, Jiangxi Province, China.&lt;/auth-address&gt;&lt;titles&gt;&lt;title&gt;Different acupotomy for stenosing tenosynovitis: A protocol for systematic review and network meta-analysis&lt;/title&gt;&lt;secondary-title&gt;Medicine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(Baltimore)&lt;/full-title&gt;&lt;abbr-1&gt;Medicine&lt;/abbr-1&gt;&lt;/alt-periodical&gt;&lt;pages&gt;e28050&lt;/pages&gt;&lt;volume&gt;101&lt;/volume&gt;&lt;number&gt;1&lt;/number&gt;&lt;edition&gt;2022/01/15&lt;/edition&gt;&lt;keywords&gt;&lt;keyword&gt;Acupuncture Therapy/*methods&lt;/keyword&gt;&lt;keyword&gt;Humans&lt;/keyword&gt;&lt;keyword&gt;Quality of Life&lt;/keyword&gt;&lt;keyword&gt;Research Design&lt;/keyword&gt;&lt;keyword&gt;Systematic Reviews as Topic&lt;/keyword&gt;&lt;keyword&gt;Tendon Entrapment/*therapy&lt;/keyword&gt;&lt;keyword&gt;Network Meta-Analysis as Topic&lt;/keyword&gt;&lt;/keywords&gt;&lt;dates&gt;&lt;year&gt;2022&lt;/year&gt;&lt;pub-dates&gt;&lt;date&gt;Jan 7&lt;/date&gt;&lt;/pub-dates&gt;&lt;/dates&gt;&lt;isbn&gt;0025-7974 (Print)&amp;#xD;0025-7974&lt;/isbn&gt;&lt;accession-num&gt;35029874&lt;/accession-num&gt;&lt;urls&gt;&lt;/urls&gt;&lt;custom2&gt;PMC8735810&lt;/custom2&gt;&lt;electronic-resource-num&gt;10.1097/md.0000000000028050&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Epidemiological data show that the incidence is ~2%–3% and can be as high as 10% in patients with diabetes, making it an important cause of hand dysfunction and reduced working ability</w:t>
      </w:r>
      <w:r>
        <w:rPr>
          <w:color w:val="000000" w:themeColor="text1"/>
          <w14:textFill>
            <w14:solidFill>
              <w14:schemeClr w14:val="tx1"/>
            </w14:solidFill>
          </w14:textFill>
        </w:rPr>
        <w:fldChar w:fldCharType="begin">
          <w:fldData xml:space="preserve">PEVuZE5vdGU+PENpdGU+PEF1dGhvcj5Mw7ZmZ3JlbjwvQXV0aG9yPjxZZWFyPjIwMjE8L1llYXI+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==
</w:fldData>
        </w:fldChar>
      </w:r>
      <w:r>
        <w:rPr>
          <w:color w:val="000000" w:themeColor="text1"/>
          <w14:textFill>
            <w14:solidFill>
              <w14:schemeClr w14:val="tx1"/>
            </w14:solidFill>
          </w14:textFill>
        </w:rPr>
        <w:instrText xml:space="preserve"> ADDIN EN.CITE </w:instrText>
      </w:r>
      <w:r>
        <w:rPr>
          <w:color w:val="000000" w:themeColor="text1"/>
          <w14:textFill>
            <w14:solidFill>
              <w14:schemeClr w14:val="tx1"/>
            </w14:solidFill>
          </w14:textFill>
        </w:rPr>
        <w:fldChar w:fldCharType="begin">
          <w:fldData xml:space="preserve">PEVuZE5vdGU+PENpdGU+PEF1dGhvcj5Mw7ZmZ3JlbjwvQXV0aG9yPjxZZWFyPjIwMjE8L1llYXI+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==
</w:fldData>
        </w:fldChar>
      </w:r>
      <w:r>
        <w:rPr>
          <w:color w:val="000000" w:themeColor="text1"/>
          <w14:textFill>
            <w14:solidFill>
              <w14:schemeClr w14:val="tx1"/>
            </w14:solidFill>
          </w14:textFill>
        </w:rPr>
        <w:instrText xml:space="preserve"> ADDIN EN.CITE.DATA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The condition predominantly affects middle-aged and elderly women, manual laborers, patients with diabetes, and individuals with rheumatoid arthritis, most commonly involving the thumb, middle, and ring fingers</w:t>
      </w:r>
      <w:r>
        <w:rPr>
          <w:color w:val="000000" w:themeColor="text1"/>
          <w14:textFill>
            <w14:solidFill>
              <w14:schemeClr w14:val="tx1"/>
            </w14:solidFill>
          </w14:textFill>
        </w:rPr>
        <w:fldChar w:fldCharType="begin">
          <w:fldData xml:space="preserve">PEVuZE5vdGU+PENpdGU+PEF1dGhvcj5NdXRodTwvQXV0aG9yPjxZZWFyPjIwMjQ8L1llYXI+PFJl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PEVuZE5vdGU+PENpdGU+PEF1dGhvcj5NdXRodTwvQXV0aG9yPjxZZWFyPjIwMjQ8L1llYXI+PFJl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w:t>
      </w:r>
      <w:r>
        <w:rPr>
          <w:color w:val="000000" w:themeColor="text1"/>
          <w:lang w:eastAsia="zh-CN"/>
          <w14:textFill>
            <w14:solidFill>
              <w14:schemeClr w14:val="tx1"/>
            </w14:solidFill>
          </w14:textFill>
        </w:rPr>
        <w:t>Typical</w:t>
      </w:r>
      <w:r>
        <w:rPr>
          <w:color w:val="000000" w:themeColor="text1"/>
          <w14:textFill>
            <w14:solidFill>
              <w14:schemeClr w14:val="tx1"/>
            </w14:solidFill>
          </w14:textFill>
        </w:rPr>
        <w:t xml:space="preserve"> clinical symptoms include pain, tenderness, and swelling on the palmar aspect of the MCP joint, with palpable cord-like or nodular indurations</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&lt;EndNote&gt;&lt;Cite&gt;&lt;Author&gt;Jeanmonod&lt;/Author&gt;&lt;Year&gt;2025&lt;/Year&gt;&lt;RecNum&gt;4&lt;/RecNum&gt;&lt;DisplayText&gt;&lt;style face="superscript"&gt;4&lt;/style&gt;&lt;/DisplayText&gt;&lt;record&gt;&lt;rec-number&gt;4&lt;/rec-number&gt;&lt;foreign-keys&gt;&lt;key app="EN" db-id="29xrpfsv7wefssefze45xzdpwsdddvp5zfa5" timestamp="1763483147"&gt;4&lt;/key&gt;&lt;/foreign-keys&gt;&lt;ref-type name="Book Section"&gt;5&lt;/ref-type&gt;&lt;contributors&gt;&lt;authors&gt;&lt;author&gt;Jeanmonod, R.&lt;/author&gt;&lt;author&gt;Tiwari, V.&lt;/author&gt;&lt;author&gt;Waseem, M.&lt;/author&gt;&lt;/authors&gt;&lt;/contributors&gt;&lt;auth-address&gt;St. Luke&amp;apos;s University Health Network&amp;#xD;Apollo Sage Hospital, Bhopal, India&amp;#xD;Weill Cornell Medicine New York and New York Medical College, Valhalla NY&lt;/auth-address&gt;&lt;titles&gt;&lt;title&gt;Trigger Finger&lt;/title&gt;&lt;secondary-title&gt;StatPearls&lt;/secondary-title&gt;&lt;/titles&gt;&lt;dates&gt;&lt;year&gt;2025&lt;/year&gt;&lt;/dates&gt;&lt;pub-location&gt;Treasure Island (FL) ineligible companies. Disclosure: Vivek Tiwari declares no relevant financial relationships with ineligible companies. Disclosure: Muhammad Waseem declares no relevant financial relationships with ineligible companies.&lt;/pub-location&gt;&lt;publisher&gt;StatPearls Publishing&amp;#xD;Copyright © 2025, StatPearls Publishing LLC.&lt;/publisher&gt;&lt;accession-num&gt;29083657&lt;/accession-num&gt;&lt;urls&gt;&lt;/urls&gt;&lt;language&gt;eng&lt;/language&gt;&lt;/record&gt;&lt;/Cite&gt;&lt;/EndNote&gt;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t>. Active flexion and extension of the affected finger are limited; in early stages, stiffness may be present, while severe cases can affect daily activities. In long-standing cases, clicking, locking, or fixation in the flexed position may occur, requiring external force for extension. Current clinical treatments include conservative methods such as immobilization, local corticosteroid injections, and medication</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&lt;EndNote&gt;&lt;Cite&gt;&lt;Author&gt;Belloti&lt;/Author&gt;&lt;Year&gt;2022&lt;/Year&gt;&lt;RecNum&gt;5&lt;/RecNum&gt;&lt;DisplayText&gt;&lt;style face="superscript"&gt;5&lt;/style&gt;&lt;/DisplayText&gt;&lt;record&gt;&lt;rec-number&gt;5&lt;/rec-number&gt;&lt;foreign-keys&gt;&lt;key app="EN" db-id="29xrpfsv7wefssefze45xzdpwsdddvp5zfa5" timestamp="1763484441"&gt;5&lt;/key&gt;&lt;/foreign-keys&gt;&lt;ref-type name="Journal Article"&gt;17&lt;/ref-type&gt;&lt;contributors&gt;&lt;authors&gt;&lt;author&gt;Belloti, J. C.&lt;/author&gt;&lt;author&gt;Sato, E. S.&lt;/author&gt;&lt;author&gt;Faloppa, F.&lt;/author&gt;&lt;/authors&gt;&lt;/contributors&gt;&lt;auth-address&gt;Departamento de Ortopedia e Traumatologia, Escola Paulista de Medicina, Universidade Federal de São Paulo, São Paulo, SP, Brasil.&lt;/auth-address&gt;&lt;titles&gt;&lt;title&gt;Trigger Finger Treatment&lt;/title&gt;&lt;secondary-title&gt;Rev Bras Ortop (Sao Paulo)&lt;/secondary-title&gt;&lt;alt-title&gt;Revista brasileira de ortopedia&lt;/alt-title&gt;&lt;/titles&gt;&lt;periodical&gt;&lt;full-title&gt;Rev Bras Ortop (Sao Paulo)&lt;/full-title&gt;&lt;abbr-1&gt;Revista brasileira de ortopedia&lt;/abbr-1&gt;&lt;/periodical&gt;&lt;alt-periodical&gt;&lt;full-title&gt;Rev Bras Ortop (Sao Paulo)&lt;/full-title&gt;&lt;abbr-1&gt;Revista brasileira de ortopedia&lt;/abbr-1&gt;&lt;/alt-periodical&gt;&lt;pages&gt;911-916&lt;/pages&gt;&lt;volume&gt;57&lt;/volume&gt;&lt;number&gt;6&lt;/number&gt;&lt;edition&gt;2020/09/22&lt;/edition&gt;&lt;keywords&gt;&lt;keyword&gt;tenosynovitis&lt;/keyword&gt;&lt;keyword&gt;trigger finger/diagnostic&lt;/keyword&gt;&lt;keyword&gt;trigger finger/surgery&lt;/keyword&gt;&lt;keyword&gt;trigger finger/therapy&lt;/keyword&gt;&lt;/keywords&gt;&lt;dates&gt;&lt;year&gt;2022&lt;/year&gt;&lt;pub-dates&gt;&lt;date&gt;Dec&lt;/date&gt;&lt;/pub-dates&gt;&lt;/dates&gt;&lt;isbn&gt;0102-3616 (Print)&amp;#xD;0102-3616&lt;/isbn&gt;&lt;accession-num&gt;36540752&lt;/accession-num&gt;&lt;urls&gt;&lt;/urls&gt;&lt;custom2&gt;PMC9757962&lt;/custom2&gt;&lt;electronic-resource-num&gt;10.1055/s-0040-1713765&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Although these approaches can temporarily alleviate symptoms, long-term efficacy is suboptimal for some patients, with a tendency for recurrence</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&lt;EndNote&gt;&lt;Cite&gt;&lt;Author&gt;Li&lt;/Author&gt;&lt;Year&gt;2022&lt;/Year&gt;&lt;RecNum&gt;273&lt;/RecNum&gt;&lt;DisplayText&gt;&lt;style face="superscript"&gt;6&lt;/style&gt;&lt;/DisplayText&gt;&lt;record&gt;&lt;rec-number&gt;273&lt;/rec-number&gt;&lt;foreign-keys&gt;&lt;key app="EN" db-id="zw2wv2wtjw9swfex2emv2sx0s0fwsvwvtf2z" timestamp="1763539857"&gt;273&lt;/key&gt;&lt;/foreign-keys&gt;&lt;ref-type name="Journal Article"&gt;17&lt;/ref-type&gt;&lt;contributors&gt;&lt;authors&gt;&lt;author&gt;Li, D.&lt;/author&gt;&lt;author&gt;Wang, X.&lt;/author&gt;&lt;author&gt;Fang, T.&lt;/author&gt;&lt;author&gt;Chen, Y.&lt;/author&gt;&lt;author&gt;Xiang, S.&lt;/author&gt;&lt;author&gt;Qi, J.&lt;/author&gt;&lt;author&gt;Liang, C.&lt;/author&gt;&lt;author&gt;Ren, C.&lt;/author&gt;&lt;author&gt;Zhao, X.&lt;/author&gt;&lt;author&gt;Qiu, Z.&lt;/author&gt;&lt;author&gt;Liu, F.&lt;/author&gt;&lt;author&gt;Yan, X.&lt;/author&gt;&lt;/authors&gt;&lt;/contributors&gt;&lt;auth-address&gt;Jiangxi University of Chinese Medicine, Nanchang, China.&amp;#xD;The Affiliated Hospital of Jiangxi University of Chinese Medicine, Nanchang, China.&amp;#xD;The Affiliated Hospital of Shangrao Health School, Shangrao, China.&lt;/auth-address&gt;&lt;titles&gt;&lt;title&gt;Acupotomy in the treatment of tenosynovitis of hand flexor tendons: A systematic review and meta-analysis&lt;/title&gt;&lt;secondary-title&gt;Medicine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31504&lt;/pages&gt;&lt;volume&gt;101&lt;/volume&gt;&lt;number&gt;45&lt;/number&gt;&lt;edition&gt;2022/11/19&lt;/edition&gt;&lt;keywords&gt;&lt;keyword&gt;Humans&lt;/keyword&gt;&lt;keyword&gt;*Tenosynovitis/therapy&lt;/keyword&gt;&lt;keyword&gt;*Acupuncture Therapy/methods&lt;/keyword&gt;&lt;keyword&gt;Research Design&lt;/keyword&gt;&lt;keyword&gt;Tendons&lt;/keyword&gt;&lt;keyword&gt;China&lt;/keyword&gt;&lt;/keywords&gt;&lt;dates&gt;&lt;year&gt;2022&lt;/year&gt;&lt;pub-dates&gt;&lt;date&gt;Nov 11&lt;/date&gt;&lt;/pub-dates&gt;&lt;/dates&gt;&lt;isbn&gt;0025-7974 (Print)&amp;#xD;0025-7974&lt;/isbn&gt;&lt;accession-num&gt;36397432&lt;/accession-num&gt;&lt;urls&gt;&lt;/urls&gt;&lt;custom2&gt;PMC9666098&lt;/custom2&gt;&lt;electronic-resource-num&gt;10.1097/md.0000000000031504&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6</w:t>
      </w:r>
      <w:r>
        <w:rPr>
          <w:color w:val="000000" w:themeColor="text1"/>
          <w14:textFill>
            <w14:solidFill>
              <w14:schemeClr w14:val="tx1"/>
            </w14:solidFill>
          </w14:textFill>
        </w:rPr>
        <w:fldChar w:fldCharType="end"/>
      </w:r>
      <w:r>
        <w:rPr>
          <w:color w:val="000000" w:themeColor="text1"/>
          <w14:textFill>
            <w14:solidFill>
              <w14:schemeClr w14:val="tx1"/>
            </w14:solidFill>
          </w14:textFill>
        </w:rPr>
        <w:t>. Open surgery provides definitive treatment but is associated with surgical trauma (incision of ~1.5–2 cm), postoperative pain, risk of nerve injury, prolonged recovery time, and high cost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&lt;EndNote&gt;&lt;Cite&gt;&lt;Author&gt;Ou&lt;/Author&gt;&lt;Year&gt;2025&lt;/Year&gt;&lt;RecNum&gt;9&lt;/RecNum&gt;&lt;DisplayText&gt;&lt;style face="superscript"&gt;7&lt;/style&gt;&lt;/DisplayText&gt;&lt;record&gt;&lt;rec-number&gt;9&lt;/rec-number&gt;&lt;foreign-keys&gt;&lt;key app="EN" db-id="29xrpfsv7wefssefze45xzdpwsdddvp5zfa5" timestamp="1763485795"&gt;9&lt;/key&gt;&lt;/foreign-keys&gt;&lt;ref-type name="Journal Article"&gt;17&lt;/ref-type&gt;&lt;contributors&gt;&lt;authors&gt;&lt;author&gt;Ou, J.&lt;/author&gt;&lt;author&gt;Liu, C.&lt;/author&gt;&lt;author&gt;Liu, L.&lt;/author&gt;&lt;author&gt;Han, P.&lt;/author&gt;&lt;/authors&gt;&lt;/contributors&gt;&lt;auth-address&gt;Chongqing Banan District Hospital of Traditional Chinese Medicine, Chongqing, China.&lt;/auth-address&gt;&lt;titles&gt;&lt;title&gt;Ultrasound-guided acupotomy release of A1 pulley in the treatment of trigger thumb: A case report&lt;/title&gt;&lt;secondary-title&gt;Medicine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42877&lt;/pages&gt;&lt;volume&gt;104&lt;/volume&gt;&lt;number&gt;24&lt;/number&gt;&lt;edition&gt;2025/06/18&lt;/edition&gt;&lt;keywords&gt;&lt;keyword&gt;Humans&lt;/keyword&gt;&lt;keyword&gt;Female&lt;/keyword&gt;&lt;keyword&gt;Middle Aged&lt;/keyword&gt;&lt;keyword&gt;*Trigger Finger Disorder/therapy&lt;/keyword&gt;&lt;keyword&gt;*Acupuncture Therapy/methods&lt;/keyword&gt;&lt;keyword&gt;*Ultrasonography, Interventional/methods&lt;/keyword&gt;&lt;keyword&gt;Thumb&lt;/keyword&gt;&lt;keyword&gt;Range of Motion, Articular&lt;/keyword&gt;&lt;keyword&gt;A1 pulley&lt;/keyword&gt;&lt;keyword&gt;acupotomy&lt;/keyword&gt;&lt;keyword&gt;case report&lt;/keyword&gt;&lt;keyword&gt;trigger thumb&lt;/keyword&gt;&lt;keyword&gt;ultrasound-guidance&lt;/keyword&gt;&lt;/keywords&gt;&lt;dates&gt;&lt;year&gt;2025&lt;/year&gt;&lt;pub-dates&gt;&lt;date&gt;Jun 13&lt;/date&gt;&lt;/pub-dates&gt;&lt;/dates&gt;&lt;isbn&gt;0025-7974 (Print)&amp;#xD;0025-7974&lt;/isbn&gt;&lt;accession-num&gt;40527849&lt;/accession-num&gt;&lt;urls&gt;&lt;/urls&gt;&lt;custom2&gt;PMC12173259&lt;/custom2&gt;&lt;electronic-resource-num&gt;10.1097/md.0000000000042877&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Therefore, there is a need for a minimally invasive method that effectively releases the stenotic sheath, restores tendon gliding, minimizes trauma, accelerates recovery, and reduces the risk of complications. To address these limitations, this study presents a standardized acupotomy protocol for the treatment of THFT.</w:t>
      </w:r>
    </w:p>
    <w:p w14:paraId="18ED8237">
      <w:pPr>
        <w:spacing w:line="0" w:lineRule="atLeast"/>
        <w:rPr>
          <w:color w:val="000000" w:themeColor="text1"/>
          <w14:textFill>
            <w14:solidFill>
              <w14:schemeClr w14:val="tx1"/>
            </w14:solidFill>
          </w14:textFill>
        </w:rPr>
      </w:pPr>
    </w:p>
    <w:p w14:paraId="6AA92BAE">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Acupotomy is a minimally invasive treatment method that integrates principles of traditional Chinese medicine with modern anatomy and biomechanics</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&lt;EndNote&gt;&lt;Cite&gt;&lt;Author&gt;Li&lt;/Author&gt;&lt;Year&gt;2025&lt;/Year&gt;&lt;RecNum&gt;10&lt;/RecNum&gt;&lt;DisplayText&gt;&lt;style face="superscript"&gt;8&lt;/style&gt;&lt;/DisplayText&gt;&lt;record&gt;&lt;rec-number&gt;10&lt;/rec-number&gt;&lt;foreign-keys&gt;&lt;key app="EN" db-id="29xrpfsv7wefssefze45xzdpwsdddvp5zfa5" timestamp="1763485941"&gt;10&lt;/key&gt;&lt;/foreign-keys&gt;&lt;ref-type name="Journal Article"&gt;17&lt;/ref-type&gt;&lt;contributors&gt;&lt;authors&gt;&lt;author&gt;Li, S.&lt;/author&gt;&lt;/authors&gt;&lt;/contributors&gt;&lt;auth-address&gt;Department of Acupuncture and Moxibustion, China-Japan Friendship Hospital, Beijing 100029, China.&lt;/auth-address&gt;&lt;titles&gt;&lt;title&gt;[Clinical application of visual minimally invasive acupotomy]&lt;/title&gt;&lt;secondary-title&gt;Zhongguo Zhen Jiu&lt;/secondary-title&gt;&lt;alt-title&gt;Zhongguo zhen jiu = Chinese acupuncture &amp;amp; moxibustion&lt;/alt-title&gt;&lt;/titles&gt;&lt;periodical&gt;&lt;full-title&gt;Zhongguo Zhen Jiu&lt;/full-title&gt;&lt;abbr-1&gt;Zhongguo zhen jiu = Chinese acupuncture &amp;amp; moxibustion&lt;/abbr-1&gt;&lt;/periodical&gt;&lt;alt-periodical&gt;&lt;full-title&gt;Zhongguo Zhen Jiu&lt;/full-title&gt;&lt;abbr-1&gt;Zhongguo zhen jiu = Chinese acupuncture &amp;amp; moxibustion&lt;/abbr-1&gt;&lt;/alt-periodical&gt;&lt;pages&gt;47-52&lt;/pages&gt;&lt;volume&gt;45&lt;/volume&gt;&lt;number&gt;1&lt;/number&gt;&lt;edition&gt;2025/01/09&lt;/edition&gt;&lt;keywords&gt;&lt;keyword&gt;Humans&lt;/keyword&gt;&lt;keyword&gt;*Acupuncture Therapy/methods&lt;/keyword&gt;&lt;keyword&gt;Minimally Invasive Surgical Procedures&lt;/keyword&gt;&lt;keyword&gt;acupotomy&lt;/keyword&gt;&lt;keyword&gt;minimally invasive&lt;/keyword&gt;&lt;keyword&gt;ultrasound guidance&lt;/keyword&gt;&lt;keyword&gt;visualization&lt;/keyword&gt;&lt;/keywords&gt;&lt;dates&gt;&lt;year&gt;2025&lt;/year&gt;&lt;pub-dates&gt;&lt;date&gt;Jan 12&lt;/date&gt;&lt;/pub-dates&gt;&lt;/dates&gt;&lt;isbn&gt;0255-2930 (Print)&amp;#xD;0255-2930&lt;/isbn&gt;&lt;accession-num&gt;39777879&lt;/accession-num&gt;&lt;urls&gt;&lt;/urls&gt;&lt;electronic-resource-num&gt;10.13703/j.0255-2930.20240403-k0004&lt;/electronic-resource-num&gt;&lt;remote-database-provider&gt;NLM&lt;/remote-database-provider&gt;&lt;language&gt;chi&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It has demonstrated advantages in orthopedics and soft tissue pain management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&lt;EndNote&gt;&lt;Cite&gt;&lt;Author&gt;Liu&lt;/Author&gt;&lt;Year&gt;2025&lt;/Year&gt;&lt;RecNum&gt;12&lt;/RecNum&gt;&lt;DisplayText&gt;&lt;style face="superscript"&gt;9&lt;/style&gt;&lt;/DisplayText&gt;&lt;record&gt;&lt;rec-number&gt;12&lt;/rec-number&gt;&lt;foreign-keys&gt;&lt;key app="EN" db-id="29xrpfsv7wefssefze45xzdpwsdddvp5zfa5" timestamp="1763486575"&gt;12&lt;/key&gt;&lt;/foreign-keys&gt;&lt;ref-type name="Journal Article"&gt;17&lt;/ref-type&gt;&lt;contributors&gt;&lt;authors&gt;&lt;author&gt;Liu, Y.&lt;/author&gt;&lt;author&gt;Shang, J.&lt;/author&gt;&lt;author&gt;Zhang, Y.&lt;/author&gt;&lt;author&gt;Liu, L.&lt;/author&gt;&lt;author&gt;Zhang, W.&lt;/author&gt;&lt;/authors&gt;&lt;/contributors&gt;&lt;auth-address&gt;Department of Rehabilitation, Pingtan Comprehensive Experimental Area Hospital, Fuzhou, China.&amp;#xD;Fujian University of Traditional Chinese Medicine, Fuzhou, China.&amp;#xD;Department of Painology, Fujian University of Traditional Chinese Medicine Affiliated People&amp;apos;s Hospital, Fuzhou, China.&lt;/auth-address&gt;&lt;titles&gt;&lt;title&gt;A clinical study of ultrasound-guided acupotomy combined with mindfulness meditation to improve lumbar myofascial pain syndrome&lt;/title&gt;&lt;secondary-title&gt;Front Neurol&lt;/secondary-title&gt;&lt;alt-title&gt;Frontiers in neurology&lt;/alt-title&gt;&lt;/titles&gt;&lt;periodical&gt;&lt;full-title&gt;Front Neurol&lt;/full-title&gt;&lt;abbr-1&gt;Frontiers in neurology&lt;/abbr-1&gt;&lt;/periodical&gt;&lt;alt-periodical&gt;&lt;full-title&gt;Front Neurol&lt;/full-title&gt;&lt;abbr-1&gt;Frontiers in neurology&lt;/abbr-1&gt;&lt;/alt-periodical&gt;&lt;pages&gt;1627376&lt;/pages&gt;&lt;volume&gt;16&lt;/volume&gt;&lt;edition&gt;2025/10/20&lt;/edition&gt;&lt;keywords&gt;&lt;keyword&gt;Mps&lt;/keyword&gt;&lt;keyword&gt;acupotomy&lt;/keyword&gt;&lt;keyword&gt;lumbar myofascial pain syndrome&lt;/keyword&gt;&lt;keyword&gt;mindfulness meditation&lt;/keyword&gt;&lt;keyword&gt;ultrasound-guided&lt;/keyword&gt;&lt;keyword&gt;commercial or financial relationships that could be construed as a potential&lt;/keyword&gt;&lt;keyword&gt;conflict of interest.&lt;/keyword&gt;&lt;/keywords&gt;&lt;dates&gt;&lt;year&gt;2025&lt;/year&gt;&lt;/dates&gt;&lt;isbn&gt;1664-2295 (Print)&amp;#xD;1664-2295&lt;/isbn&gt;&lt;accession-num&gt;41111954&lt;/accession-num&gt;&lt;urls&gt;&lt;/urls&gt;&lt;custom2&gt;PMC12527830&lt;/custom2&gt;&lt;electronic-resource-num&gt;10.3389/fneur.2025.1627376&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particularly in the treatment of THFT. Acupotomy enables precise targeting of thickened and stenotic tendon sheath tissue, allowing rapid release of mechanical entrapment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&lt;EndNote&gt;&lt;Cite&gt;&lt;Author&gt;Jia&lt;/Author&gt;&lt;Year&gt;2019&lt;/Year&gt;&lt;RecNum&gt;13&lt;/RecNum&gt;&lt;DisplayText&gt;&lt;style face="superscript"&gt;10&lt;/style&gt;&lt;/DisplayText&gt;&lt;record&gt;&lt;rec-number&gt;13&lt;/rec-number&gt;&lt;foreign-keys&gt;&lt;key app="EN" db-id="29xrpfsv7wefssefze45xzdpwsdddvp5zfa5" timestamp="1763486873"&gt;13&lt;/key&gt;&lt;/foreign-keys&gt;&lt;ref-type name="Journal Article"&gt;17&lt;/ref-type&gt;&lt;contributors&gt;&lt;authors&gt;&lt;author&gt;Jia, Y.&lt;/author&gt;&lt;author&gt;Qiu, Z.&lt;/author&gt;&lt;author&gt;Sun, X.&lt;/author&gt;&lt;author&gt;Shen, Y.&lt;/author&gt;&lt;author&gt;Zhou, Q.&lt;/author&gt;&lt;author&gt;Li, S.&lt;/author&gt;&lt;/authors&gt;&lt;/contributors&gt;&lt;auth-address&gt;Department of Acupuncture-moxibustion, China-Japan Friendship Hospital.&amp;#xD;Beijing University of Traditional Chinese Medicine, Beijing.&amp;#xD;Chengdu University of Traditional Chinese Medicine, Chengdu, Sichuan.&amp;#xD;Fujian University of Traditional Chinese Medicine, Fuzhou, Fujian, China.&lt;/auth-address&gt;&lt;titles&gt;&lt;title&gt;Acupotomy for patients with trigger finger: A systematic review protocol&lt;/title&gt;&lt;secondary-title&gt;Medicine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(Baltimore)&lt;/full-title&gt;&lt;abbr-1&gt;Medicine&lt;/abbr-1&gt;&lt;/alt-periodical&gt;&lt;pages&gt;e17402&lt;/pages&gt;&lt;volume&gt;98&lt;/volume&gt;&lt;number&gt;42&lt;/number&gt;&lt;edition&gt;2019/10/19&lt;/edition&gt;&lt;keywords&gt;&lt;keyword&gt;Acupuncture Therapy/*methods&lt;/keyword&gt;&lt;keyword&gt;Humans&lt;/keyword&gt;&lt;keyword&gt;Systematic Reviews as Topic&lt;/keyword&gt;&lt;keyword&gt;Treatment Outcome&lt;/keyword&gt;&lt;keyword&gt;Trigger Finger Disorder/*therapy&lt;/keyword&gt;&lt;/keywords&gt;&lt;dates&gt;&lt;year&gt;2019&lt;/year&gt;&lt;pub-dates&gt;&lt;date&gt;Oct&lt;/date&gt;&lt;/pub-dates&gt;&lt;/dates&gt;&lt;isbn&gt;0025-7974 (Print)&amp;#xD;0025-7974&lt;/isbn&gt;&lt;accession-num&gt;31626094&lt;/accession-num&gt;&lt;urls&gt;&lt;/urls&gt;&lt;custom2&gt;PMC6824737&lt;/custom2&gt;&lt;electronic-resource-num&gt;10.1097/md.0000000000017402&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10</w:t>
      </w:r>
      <w:r>
        <w:rPr>
          <w:color w:val="000000" w:themeColor="text1"/>
          <w14:textFill>
            <w14:solidFill>
              <w14:schemeClr w14:val="tx1"/>
            </w14:solidFill>
          </w14:textFill>
        </w:rPr>
        <w:fldChar w:fldCharType="end"/>
      </w:r>
      <w:r>
        <w:rPr>
          <w:color w:val="000000" w:themeColor="text1"/>
          <w14:textFill>
            <w14:solidFill>
              <w14:schemeClr w14:val="tx1"/>
            </w14:solidFill>
          </w14:textFill>
        </w:rPr>
        <w:t>. Patients often experience immediate or short-term relief, including improved finger movement and reduced pain, with consistent and reproducible outcomes</w:t>
      </w:r>
      <w:r>
        <w:rPr>
          <w:color w:val="000000" w:themeColor="text1"/>
          <w14:textFill>
            <w14:solidFill>
              <w14:schemeClr w14:val="tx1"/>
            </w14:solidFill>
          </w14:textFill>
        </w:rPr>
        <w:fldChar w:fldCharType="begin">
          <w:fldData xml:space="preserve">PEVuZE5vdGU+PENpdGU+PEF1dGhvcj5WZWxtdXJ1Z2FuPC9BdXRob3I+PFllYXI+MjAyMzwvWWVh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PEVuZE5vdGU+PENpdGU+PEF1dGhvcj5WZWxtdXJ1Z2FuPC9BdXRob3I+PFllYXI+MjAyMzwvWWVh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The instrument is structurally simple and cost-effective, consisting of a handle, body, and blade tip with a linear edge. The procedure requires only local anesthesia, creates a minimal wound, does not require suturing, and can be performed in an outpatient setting under appropriate aseptic conditions. The wound typically heals within 1–2 days, and patients can resume moderate functional activities shortly after treatment, with minimal disruption to daily life</w:t>
      </w:r>
      <w:r>
        <w:rPr>
          <w:color w:val="000000" w:themeColor="text1"/>
          <w14:textFill>
            <w14:solidFill>
              <w14:schemeClr w14:val="tx1"/>
            </w14:solidFill>
          </w14:textFill>
        </w:rPr>
        <w:fldChar w:fldCharType="begin">
          <w:fldData xml:space="preserve">PEVuZE5vdGU+PENpdGU+PEF1dGhvcj5QYW48L0F1dGhvcj48WWVhcj4yMDE5PC9ZZWFyPjxSZWNO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PEVuZE5vdGU+PENpdGU+PEF1dGhvcj5QYW48L0F1dGhvcj48WWVhcj4yMDE5PC9ZZWFyPjxSZWNO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When performed using standardized techniques, the risk of serious complications such as infection or neurovascular injury is low</w:t>
      </w:r>
      <w:r>
        <w:rPr>
          <w:color w:val="000000" w:themeColor="text1"/>
          <w14:textFill>
            <w14:solidFill>
              <w14:schemeClr w14:val="tx1"/>
            </w14:solidFill>
          </w14:textFill>
        </w:rPr>
        <w:fldChar w:fldCharType="begin">
          <w:fldData xml:space="preserve">PEVuZE5vdGU+PENpdGU+PEF1dGhvcj5MYW48L0F1dGhvcj48WWVhcj4yMDIzPC9ZZWFyPjxSZWNO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</w:fldData>
        </w:fldChar>
      </w:r>
      <w:r>
        <w:rPr>
          <w:color w:val="000000" w:themeColor="text1"/>
          <w14:textFill>
            <w14:solidFill>
              <w14:schemeClr w14:val="tx1"/>
            </w14:solidFill>
          </w14:textFill>
        </w:rPr>
        <w:instrText xml:space="preserve"> ADDIN EN.CITE </w:instrText>
      </w:r>
      <w:r>
        <w:rPr>
          <w:color w:val="000000" w:themeColor="text1"/>
          <w14:textFill>
            <w14:solidFill>
              <w14:schemeClr w14:val="tx1"/>
            </w14:solidFill>
          </w14:textFill>
        </w:rPr>
        <w:fldChar w:fldCharType="begin">
          <w:fldData xml:space="preserve">PEVuZE5vdGU+PENpdGU+PEF1dGhvcj5MYW48L0F1dGhvcj48WWVhcj4yMDIzPC9ZZWFyPjxSZWNO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</w:fldData>
        </w:fldChar>
      </w:r>
      <w:r>
        <w:rPr>
          <w:color w:val="000000" w:themeColor="text1"/>
          <w14:textFill>
            <w14:solidFill>
              <w14:schemeClr w14:val="tx1"/>
            </w14:solidFill>
          </w14:textFill>
        </w:rPr>
        <w:instrText xml:space="preserve"> ADDIN EN.CITE.DATA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Systematic reviews indicate that acupotomy is more effective than acupuncture, corticosteroid injection, or oral anti-inflammatory medications in improving pain, triggering, and functional limitation</w:t>
      </w:r>
      <w:r>
        <w:rPr>
          <w:color w:val="000000" w:themeColor="text1"/>
          <w14:textFill>
            <w14:solidFill>
              <w14:schemeClr w14:val="tx1"/>
            </w14:solidFill>
          </w14:textFill>
        </w:rPr>
        <w:fldChar w:fldCharType="begin">
          <w:fldData xml:space="preserve">PEVuZE5vdGU+PENpdGU+PEF1dGhvcj5MaWFuZzwvQXV0aG9yPjxZZWFyPjIwMjM8L1llYXI+PFJl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PEVuZE5vdGU+PENpdGU+PEF1dGhvcj5MaWFuZzwvQXV0aG9yPjxZZWFyPjIwMjM8L1llYXI+PFJl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14</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p>
    <w:p w14:paraId="76FD98C9">
      <w:pPr>
        <w:spacing w:line="0" w:lineRule="atLeast"/>
        <w:rPr>
          <w:color w:val="000000" w:themeColor="text1"/>
          <w14:textFill>
            <w14:solidFill>
              <w14:schemeClr w14:val="tx1"/>
            </w14:solidFill>
          </w14:textFill>
        </w:rPr>
      </w:pPr>
    </w:p>
    <w:p w14:paraId="79DB4A68">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Modern research indicates that the therapeutic mechanism of acupotomy extends beyond simple mechanical cutting, involving a combination of needle and blade functions that enable precise minimally invasive release</w:t>
      </w:r>
      <w:r>
        <w:rPr>
          <w:color w:val="000000" w:themeColor="text1"/>
          <w14:textFill>
            <w14:solidFill>
              <w14:schemeClr w14:val="tx1"/>
            </w14:solidFill>
          </w14:textFill>
        </w:rPr>
        <w:fldChar w:fldCharType="begin">
          <w:fldData xml:space="preserve">PEVuZE5vdGU+PENpdGU+PEF1dGhvcj5Jbm91ZTwvQXV0aG9yPjxZZWFyPjIwMTY8L1llYXI+PFJl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==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PEVuZE5vdGU+PENpdGU+PEF1dGhvcj5Jbm91ZTwvQXV0aG9yPjxZZWFyPjIwMTY8L1llYXI+PFJl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==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Under accurate anatomical localization, the acupotomy blade can incise the thickened and fibrotic A1 pulley ligament, which is the key step in relieving tendon entrapment</w:t>
      </w:r>
      <w:r>
        <w:rPr>
          <w:color w:val="000000" w:themeColor="text1"/>
          <w14:textFill>
            <w14:solidFill>
              <w14:schemeClr w14:val="tx1"/>
            </w14:solidFill>
          </w14:textFill>
        </w:rPr>
        <w:fldChar w:fldCharType="begin">
          <w:fldData xml:space="preserve">PEVuZE5vdGU+PENpdGU+PEF1dGhvcj5RaXU8L0F1dGhvcj48WWVhcj4yMDIyPC9ZZWFyPjxSZWNO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</w:fldData>
        </w:fldChar>
      </w:r>
      <w:r>
        <w:rPr>
          <w:color w:val="000000" w:themeColor="text1"/>
          <w14:textFill>
            <w14:solidFill>
              <w14:schemeClr w14:val="tx1"/>
            </w14:solidFill>
          </w14:textFill>
        </w:rPr>
        <w:instrText xml:space="preserve"> ADDIN EN.CITE </w:instrText>
      </w:r>
      <w:r>
        <w:rPr>
          <w:color w:val="000000" w:themeColor="text1"/>
          <w14:textFill>
            <w14:solidFill>
              <w14:schemeClr w14:val="tx1"/>
            </w14:solidFill>
          </w14:textFill>
        </w:rPr>
        <w:fldChar w:fldCharType="begin">
          <w:fldData xml:space="preserve">PEVuZE5vdGU+PENpdGU+PEF1dGhvcj5RaXU8L0F1dGhvcj48WWVhcj4yMDIyPC9ZZWFyPjxSZWNO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</w:fldData>
        </w:fldChar>
      </w:r>
      <w:r>
        <w:rPr>
          <w:color w:val="000000" w:themeColor="text1"/>
          <w14:textFill>
            <w14:solidFill>
              <w14:schemeClr w14:val="tx1"/>
            </w14:solidFill>
          </w14:textFill>
        </w:rPr>
        <w:instrText xml:space="preserve"> ADDIN EN.CITE.DATA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16</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This incision increases the tendon gliding space, immediately reducing mechanical restriction and restoring smooth tendon movement</w:t>
      </w:r>
      <w:r>
        <w:rPr>
          <w:color w:val="000000" w:themeColor="text1"/>
          <w14:textFill>
            <w14:solidFill>
              <w14:schemeClr w14:val="tx1"/>
            </w14:solidFill>
          </w14:textFill>
        </w:rPr>
        <w:fldChar w:fldCharType="begin">
          <w:fldData xml:space="preserve">PEVuZE5vdGU+PENpdGU+PEF1dGhvcj5MYW48L0F1dGhvcj48WWVhcj4yMDIzPC9ZZWFyPjxSZWNO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PEVuZE5vdGU+PENpdGU+PEF1dGhvcj5MYW48L0F1dGhvcj48WWVhcj4yMDIzPC9ZZWFyPjxSZWNO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Traditional </w:t>
      </w:r>
      <w:r>
        <w:rPr>
          <w:rFonts w:eastAsia="宋体"/>
          <w:color w:val="000000" w:themeColor="text1"/>
          <w:lang w:eastAsia="zh-CN"/>
          <w14:textFill>
            <w14:solidFill>
              <w14:schemeClr w14:val="tx1"/>
            </w14:solidFill>
          </w14:textFill>
        </w:rPr>
        <w:t>C</w:t>
      </w:r>
      <w:r>
        <w:rPr>
          <w:color w:val="000000" w:themeColor="text1"/>
          <w14:textFill>
            <w14:solidFill>
              <w14:schemeClr w14:val="tx1"/>
            </w14:solidFill>
          </w14:textFill>
        </w:rPr>
        <w:t xml:space="preserve">hinese medicine theory </w:t>
      </w:r>
      <w:r>
        <w:rPr>
          <w:rFonts w:eastAsia="宋体"/>
          <w:color w:val="000000" w:themeColor="text1"/>
          <w:lang w:eastAsia="zh-CN"/>
          <w14:textFill>
            <w14:solidFill>
              <w14:schemeClr w14:val="tx1"/>
            </w14:solidFill>
          </w14:textFill>
        </w:rPr>
        <w:t>suggests</w:t>
      </w:r>
      <w:r>
        <w:rPr>
          <w:color w:val="000000" w:themeColor="text1"/>
          <w14:textFill>
            <w14:solidFill>
              <w14:schemeClr w14:val="tx1"/>
            </w14:solidFill>
          </w14:textFill>
        </w:rPr>
        <w:t xml:space="preserve"> that acupotomy </w:t>
      </w:r>
      <w:r>
        <w:rPr>
          <w:rFonts w:eastAsia="宋体"/>
          <w:color w:val="000000" w:themeColor="text1"/>
          <w:lang w:eastAsia="zh-CN"/>
          <w14:textFill>
            <w14:solidFill>
              <w14:schemeClr w14:val="tx1"/>
            </w14:solidFill>
          </w14:textFill>
        </w:rPr>
        <w:t xml:space="preserve">promotes the </w:t>
      </w:r>
      <w:r>
        <w:rPr>
          <w:color w:val="000000" w:themeColor="text1"/>
          <w14:textFill>
            <w14:solidFill>
              <w14:schemeClr w14:val="tx1"/>
            </w14:solidFill>
          </w14:textFill>
        </w:rPr>
        <w:t xml:space="preserve">flow of </w:t>
      </w:r>
      <w:r>
        <w:rPr>
          <w:rFonts w:eastAsia="宋体"/>
          <w:color w:val="000000" w:themeColor="text1"/>
          <w:lang w:eastAsia="zh-CN"/>
          <w14:textFill>
            <w14:solidFill>
              <w14:schemeClr w14:val="tx1"/>
            </w14:solidFill>
          </w14:textFill>
        </w:rPr>
        <w:t>Qi and blood, resolving local stagnation and restoring functional balance</w:t>
      </w:r>
      <w:r>
        <w:rPr>
          <w:color w:val="000000" w:themeColor="text1"/>
          <w14:textFill>
            <w14:solidFill>
              <w14:schemeClr w14:val="tx1"/>
            </w14:solidFill>
          </w14:textFill>
        </w:rPr>
        <w:fldChar w:fldCharType="begin"/>
      </w:r>
      <w:r>
        <w:rPr>
          <w:color w:val="000000" w:themeColor="text1"/>
          <w:lang w:eastAsia="zh-CN"/>
          <w14:textFill>
            <w14:solidFill>
              <w14:schemeClr w14:val="tx1"/>
            </w14:solidFill>
          </w14:textFill>
        </w:rPr>
        <w:instrText xml:space="preserve"> ADDIN EN.CITE &lt;EndNote&gt;&lt;Cite&gt;&lt;Author&gt;Li&lt;/Author&gt;&lt;Year&gt;2025&lt;/Year&gt;&lt;RecNum&gt;10&lt;/RecNum&gt;&lt;DisplayText&gt;&lt;style face="superscript"&gt;8&lt;/style&gt;&lt;/DisplayText&gt;&lt;record&gt;&lt;rec-number&gt;10&lt;/rec-number&gt;&lt;foreign-keys&gt;&lt;key app="EN" db-id="29xrpfsv7wefssefze45xzdpwsdddvp5zfa5" timestamp="1763485941"&gt;10&lt;/key&gt;&lt;/foreign-keys&gt;&lt;ref-type name="Journal Article"&gt;17&lt;/ref-type&gt;&lt;contributors&gt;&lt;authors&gt;&lt;author&gt;Li, S.&lt;/author&gt;&lt;/authors&gt;&lt;/contributors&gt;&lt;auth-address&gt;Department of Acupuncture and Moxibustion, China-Japan Friendship Hospital, Beijing 100029, China.&lt;/auth-address&gt;&lt;titles&gt;&lt;title&gt;[Clinical application of visual minimally invasive acupotomy]&lt;/title&gt;&lt;secondary-title&gt;Zhongguo Zhen Jiu&lt;/secondary-title&gt;&lt;alt-title&gt;Zhongguo zhen jiu = Chinese acupuncture &amp;amp; moxibustion&lt;/alt-title&gt;&lt;/titles&gt;&lt;periodical&gt;&lt;full-title&gt;Zhongguo Zhen Jiu&lt;/full-title&gt;&lt;abbr-1&gt;Zhongguo zhen jiu = Chinese acupuncture &amp;amp; moxibustion&lt;/abbr-1&gt;&lt;/periodical&gt;&lt;alt-periodical&gt;&lt;full-title&gt;Zhongguo Zhen Jiu&lt;/full-title&gt;&lt;abbr-1&gt;Zhongguo zhen jiu = Chinese acupuncture &amp;amp; moxibustion&lt;/abbr-1&gt;&lt;/alt-periodical&gt;&lt;pages&gt;47-52&lt;/pages&gt;&lt;volume&gt;45&lt;/volume&gt;&lt;number&gt;1&lt;/number&gt;&lt;edition&gt;2025/01/09&lt;/edition&gt;&lt;keywords&gt;&lt;keyword&gt;Humans&lt;/keyword&gt;&lt;keyword&gt;*Acupuncture Therapy/methods&lt;/keyword&gt;&lt;keyword&gt;Minimally Invasive Surgical Procedures&lt;/keyword&gt;&lt;keyword&gt;acupotomy&lt;/keyword&gt;&lt;keyword&gt;minimally invasive&lt;/keyword&gt;&lt;keyword&gt;ultrasound guidance&lt;/keyword&gt;&lt;keyword&gt;visualization&lt;/keyword&gt;&lt;/keywords&gt;&lt;dates&gt;&lt;year&gt;2025&lt;/year&gt;&lt;pub-dates&gt;&lt;date&gt;Jan 12&lt;/date&gt;&lt;/pub-dates&gt;&lt;/dates&gt;&lt;isbn&gt;0255-2930 (Print)&amp;#xD;0255-2930&lt;/isbn&gt;&lt;accession-num&gt;39777879&lt;/accession-num&gt;&lt;urls&gt;&lt;/urls&gt;&lt;electronic-resource-num&gt;10.13703/j.0255-2930.20240403-k0004&lt;/electronic-resource-num&gt;&lt;remote-database-provider&gt;NLM&lt;/remote-database-provider&gt;&lt;language&gt;chi&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Experimental and clinical studies have shown that tendon sheath incision reduces elevated intrasheath pressure and facilitates the resolution of inflammation</w:t>
      </w:r>
      <w:r>
        <w:rPr>
          <w:color w:val="000000" w:themeColor="text1"/>
          <w14:textFill>
            <w14:solidFill>
              <w14:schemeClr w14:val="tx1"/>
            </w14:solidFill>
          </w14:textFill>
        </w:rPr>
        <w:fldChar w:fldCharType="begin">
          <w:fldData xml:space="preserve">PEVuZE5vdGU+PENpdGU+PEF1dGhvcj5HaWw8L0F1dGhvcj48WWVhcj4yMDIwPC9ZZWFyPjxSZWNO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PEVuZE5vdGU+PENpdGU+PEF1dGhvcj5HaWw8L0F1dGhvcj48WWVhcj4yMDIwPC9ZZWFyPjxSZWNO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17–19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Additionally, the mechanical stimulation produced by acupotomy may promote local tissue repair, enhance circulation, and reduce inflammatory mediators, thereby supporting healing of the tendon sheath and surrounding tissues</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&lt;EndNote&gt;&lt;Cite&gt;&lt;Author&gt;Li&lt;/Author&gt;&lt;Year&gt;2022&lt;/Year&gt;&lt;RecNum&gt;27&lt;/RecNum&gt;&lt;DisplayText&gt;&lt;style face="superscript"&gt;20&lt;/style&gt;&lt;/DisplayText&gt;&lt;record&gt;&lt;rec-number&gt;27&lt;/rec-number&gt;&lt;foreign-keys&gt;&lt;key app="EN" db-id="29xrpfsv7wefssefze45xzdpwsdddvp5zfa5" timestamp="1763491351"&gt;27&lt;/key&gt;&lt;/foreign-keys&gt;&lt;ref-type name="Journal Article"&gt;17&lt;/ref-type&gt;&lt;contributors&gt;&lt;authors&gt;&lt;author&gt;Li, S. M.&lt;/author&gt;&lt;author&gt;Chen, P.&lt;/author&gt;&lt;author&gt;Yan, M. Z.&lt;/author&gt;&lt;author&gt;Du, W. S.&lt;/author&gt;&lt;author&gt;Guo, R.&lt;/author&gt;&lt;author&gt;Luo, T.&lt;/author&gt;&lt;/authors&gt;&lt;/contributors&gt;&lt;auth-address&gt;Department of Pain Medicine, Beijing Hospital of Traditional Chinese Medicine, Capital Medical University, Beijing, 100010, People&amp;apos;s Republic of China.&lt;/auth-address&gt;&lt;titles&gt;&lt;title&gt;Modified Acupotomy versus Percutaneous Release for Trigger Thumb: A Retrospective Study&lt;/title&gt;&lt;secondary-title&gt;J Pain Res&lt;/secondary-title&gt;&lt;alt-title&gt;Journal of pain research&lt;/alt-title&gt;&lt;/titles&gt;&lt;periodical&gt;&lt;full-title&gt;J Pain Res&lt;/full-title&gt;&lt;abbr-1&gt;Journal of pain research&lt;/abbr-1&gt;&lt;/periodical&gt;&lt;alt-periodical&gt;&lt;full-title&gt;J Pain Res&lt;/full-title&gt;&lt;abbr-1&gt;Journal of pain research&lt;/abbr-1&gt;&lt;/alt-periodical&gt;&lt;pages&gt;1141-1148&lt;/pages&gt;&lt;volume&gt;15&lt;/volume&gt;&lt;edition&gt;2022/04/27&lt;/edition&gt;&lt;keywords&gt;&lt;keyword&gt;modified acupotomy&lt;/keyword&gt;&lt;keyword&gt;percutaneous release&lt;/keyword&gt;&lt;keyword&gt;retrospective study&lt;/keyword&gt;&lt;keyword&gt;trigger thumb&lt;/keyword&gt;&lt;keyword&gt;CN202859181U) was licensed to Tao Luo. The authors declare that they have no&lt;/keyword&gt;&lt;keyword&gt;other competing interests in this work.&lt;/keyword&gt;&lt;/keywords&gt;&lt;dates&gt;&lt;year&gt;2022&lt;/year&gt;&lt;/dates&gt;&lt;isbn&gt;1178-7090 (Print)&amp;#xD;1178-7090&lt;/isbn&gt;&lt;accession-num&gt;35469251&lt;/accession-num&gt;&lt;urls&gt;&lt;/urls&gt;&lt;custom2&gt;PMC9034873&lt;/custom2&gt;&lt;electronic-resource-num&gt;10.2147/jpr.S339710&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The overall therapeutic goal is to restore the normal biomechanical balance of the tendon–sheath system and enable smooth finger flexion and extension</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&lt;EndNote&gt;&lt;Cite&gt;&lt;Author&gt;Zhang&lt;/Author&gt;&lt;Year&gt;2023&lt;/Year&gt;&lt;RecNum&gt;28&lt;/RecNum&gt;&lt;DisplayText&gt;&lt;style face="superscript"&gt;21&lt;/style&gt;&lt;/DisplayText&gt;&lt;record&gt;&lt;rec-number&gt;28&lt;/rec-number&gt;&lt;foreign-keys&gt;&lt;key app="EN" db-id="29xrpfsv7wefssefze45xzdpwsdddvp5zfa5" timestamp="1763491617"&gt;28&lt;/key&gt;&lt;/foreign-keys&gt;&lt;ref-type name="Journal Article"&gt;17&lt;/ref-type&gt;&lt;contributors&gt;&lt;authors&gt;&lt;author&gt;Zhang, K.&lt;/author&gt;&lt;author&gt;Liu, P.&lt;/author&gt;&lt;author&gt;Geng, Z.&lt;/author&gt;&lt;author&gt;Zhang, B.&lt;/author&gt;&lt;/authors&gt;&lt;/contributors&gt;&lt;auth-address&gt;Department of Acupuncture, Shanghai General Hospital, Shanghai Jiao Tong University School of Medicine, Shanghai, China.&amp;#xD;Shanghai University of Traditional Chinese Medicine, Shanghai, China.&lt;/auth-address&gt;&lt;titles&gt;&lt;title&gt;Acupuncture for trigger finger: a case report&lt;/title&gt;&lt;secondary-title&gt;Acupunct Med&lt;/secondary-title&gt;&lt;alt-title&gt;Acupuncture in medicine : journal of the British Medical Acupuncture Society&lt;/alt-title&gt;&lt;/titles&gt;&lt;periodical&gt;&lt;full-title&gt;Acupunct Med&lt;/full-title&gt;&lt;abbr-1&gt;Acupuncture in medicine : journal of the British Medical Acupuncture Society&lt;/abbr-1&gt;&lt;/periodical&gt;&lt;alt-periodical&gt;&lt;full-title&gt;Acupunct Med&lt;/full-title&gt;&lt;abbr-1&gt;Acupuncture in medicine : journal of the British Medical Acupuncture Society&lt;/abbr-1&gt;&lt;/alt-periodical&gt;&lt;pages&gt;195-196&lt;/pages&gt;&lt;volume&gt;41&lt;/volume&gt;&lt;number&gt;3&lt;/number&gt;&lt;edition&gt;2023/01/25&lt;/edition&gt;&lt;keywords&gt;&lt;keyword&gt;Humans&lt;/keyword&gt;&lt;keyword&gt;*Trigger Finger Disorder&lt;/keyword&gt;&lt;keyword&gt;*Acupuncture Therapy&lt;/keyword&gt;&lt;keyword&gt;*Acupuncture&lt;/keyword&gt;&lt;/keywords&gt;&lt;dates&gt;&lt;year&gt;2023&lt;/year&gt;&lt;pub-dates&gt;&lt;date&gt;Jun&lt;/date&gt;&lt;/pub-dates&gt;&lt;/dates&gt;&lt;isbn&gt;0964-5284&lt;/isbn&gt;&lt;accession-num&gt;36691290&lt;/accession-num&gt;&lt;urls&gt;&lt;/urls&gt;&lt;electronic-resource-num&gt;10.1177/09645284221146202&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21</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p>
    <w:p w14:paraId="6CC26D7E">
      <w:pPr>
        <w:spacing w:line="0" w:lineRule="atLeast"/>
        <w:rPr>
          <w:color w:val="000000" w:themeColor="text1"/>
          <w14:textFill>
            <w14:solidFill>
              <w14:schemeClr w14:val="tx1"/>
            </w14:solidFill>
          </w14:textFill>
        </w:rPr>
      </w:pPr>
    </w:p>
    <w:p w14:paraId="40CC2665">
      <w:pPr>
        <w:spacing w:line="0" w:lineRule="atLeast"/>
        <w:rPr>
          <w:b/>
          <w:color w:val="000000" w:themeColor="text1"/>
          <w14:textFill>
            <w14:solidFill>
              <w14:schemeClr w14:val="tx1"/>
            </w14:solidFill>
          </w14:textFill>
        </w:rPr>
      </w:pPr>
      <w:r>
        <w:rPr>
          <w:color w:val="000000" w:themeColor="text1"/>
          <w14:textFill>
            <w14:solidFill>
              <w14:schemeClr w14:val="tx1"/>
            </w14:solidFill>
          </w14:textFill>
        </w:rPr>
        <w:t>This protocol provides comprehensive guidance on preoperative evaluation, preparation, the acupotomy procedure, and postoperative management for the treatment of THFT. It is particularly applicable to patients requiring a minimally invasive outpatient intervention and to clinicians seeking a standardized and reproducible technique. These standardized procedures are essential for ensuring safety, improving consistency, and enhancing clinical outcomes.</w:t>
      </w:r>
    </w:p>
    <w:p w14:paraId="40CC2666">
      <w:pPr>
        <w:spacing w:line="0" w:lineRule="atLeast"/>
        <w:rPr>
          <w:b/>
          <w:color w:val="000000" w:themeColor="text1"/>
          <w14:textFill>
            <w14:solidFill>
              <w14:schemeClr w14:val="tx1"/>
            </w14:solidFill>
          </w14:textFill>
        </w:rPr>
      </w:pPr>
    </w:p>
    <w:p w14:paraId="40CC2667">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PROTOCOL:</w:t>
      </w:r>
      <w:r>
        <w:rPr>
          <w:color w:val="000000" w:themeColor="text1"/>
          <w14:textFill>
            <w14:solidFill>
              <w14:schemeClr w14:val="tx1"/>
            </w14:solidFill>
          </w14:textFill>
        </w:rPr>
        <w:t xml:space="preserve"> </w:t>
      </w:r>
    </w:p>
    <w:p w14:paraId="40CC2669">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 xml:space="preserve">This study was approved by the Medical Research Ethics Committee of Hubei University of Chinese Medicine (Approval No: 2025011). All patients provided written informed consent prior to participation in the study. </w:t>
      </w:r>
    </w:p>
    <w:p w14:paraId="0F62122F">
      <w:pPr>
        <w:spacing w:line="0" w:lineRule="atLeast"/>
        <w:rPr>
          <w:color w:val="000000" w:themeColor="text1"/>
          <w14:textFill>
            <w14:solidFill>
              <w14:schemeClr w14:val="tx1"/>
            </w14:solidFill>
          </w14:textFill>
        </w:rPr>
      </w:pPr>
    </w:p>
    <w:p w14:paraId="41318569">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NOTE:</w:t>
      </w:r>
      <w:r>
        <w:rPr>
          <w:color w:val="000000" w:themeColor="text1"/>
          <w14:textFill>
            <w14:solidFill>
              <w14:schemeClr w14:val="tx1"/>
            </w14:solidFill>
          </w14:textFill>
        </w:rPr>
        <w:t xml:space="preserve"> The procedure should be performed by clinicians trained in hand anatomy and acupotomy techniques with prior supervised experience.</w:t>
      </w:r>
    </w:p>
    <w:p w14:paraId="2AC47378">
      <w:pPr>
        <w:spacing w:line="0" w:lineRule="atLeast"/>
        <w:rPr>
          <w:color w:val="000000" w:themeColor="text1"/>
          <w14:textFill>
            <w14:solidFill>
              <w14:schemeClr w14:val="tx1"/>
            </w14:solidFill>
          </w14:textFill>
        </w:rPr>
      </w:pPr>
    </w:p>
    <w:p w14:paraId="4780C263">
      <w:pPr>
        <w:pStyle w:val="25"/>
        <w:numPr>
          <w:ilvl w:val="0"/>
          <w:numId w:val="1"/>
        </w:numPr>
        <w:spacing w:after="0" w:line="0" w:lineRule="atLeast"/>
        <w:ind w:left="360"/>
        <w:jc w:val="both"/>
        <w:rPr>
          <w:rFonts w:ascii="Calibri" w:hAnsi="Calibri"/>
          <w:b/>
          <w:bCs/>
          <w:color w:val="000000" w:themeColor="text1"/>
          <w:sz w:val="24"/>
          <w14:textFill>
            <w14:solidFill>
              <w14:schemeClr w14:val="tx1"/>
            </w14:solidFill>
          </w14:textFill>
        </w:rPr>
      </w:pPr>
      <w:r>
        <w:rPr>
          <w:rFonts w:ascii="Calibri" w:hAnsi="Calibri" w:cs="Calibri"/>
          <w:b/>
          <w:bCs/>
          <w:color w:val="000000" w:themeColor="text1"/>
          <w:sz w:val="24"/>
          <w:szCs w:val="24"/>
          <w14:textFill>
            <w14:solidFill>
              <w14:schemeClr w14:val="tx1"/>
            </w14:solidFill>
          </w14:textFill>
        </w:rPr>
        <w:t>Perform</w:t>
      </w:r>
      <w:r>
        <w:rPr>
          <w:rFonts w:ascii="Calibri" w:hAnsi="Calibri"/>
          <w:b/>
          <w:bCs/>
          <w:color w:val="000000" w:themeColor="text1"/>
          <w:sz w:val="24"/>
          <w14:textFill>
            <w14:solidFill>
              <w14:schemeClr w14:val="tx1"/>
            </w14:solidFill>
          </w14:textFill>
        </w:rPr>
        <w:t xml:space="preserve"> preoperative evaluation</w:t>
      </w:r>
    </w:p>
    <w:p w14:paraId="7AC77258">
      <w:pPr>
        <w:spacing w:line="0" w:lineRule="atLeast"/>
        <w:rPr>
          <w:color w:val="000000" w:themeColor="text1"/>
          <w14:textFill>
            <w14:solidFill>
              <w14:schemeClr w14:val="tx1"/>
            </w14:solidFill>
          </w14:textFill>
        </w:rPr>
      </w:pPr>
    </w:p>
    <w:p w14:paraId="77ADCF3B">
      <w:pPr>
        <w:pStyle w:val="25"/>
        <w:numPr>
          <w:ilvl w:val="1"/>
          <w:numId w:val="2"/>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Obtain patient </w:t>
      </w:r>
      <w:r>
        <w:rPr>
          <w:rFonts w:ascii="Calibri" w:hAnsi="Calibri"/>
          <w:color w:val="000000" w:themeColor="text1"/>
          <w:sz w:val="24"/>
          <w14:textFill>
            <w14:solidFill>
              <w14:schemeClr w14:val="tx1"/>
            </w14:solidFill>
          </w14:textFill>
        </w:rPr>
        <w:t>history</w:t>
      </w:r>
    </w:p>
    <w:p w14:paraId="61F3F6EE">
      <w:pPr>
        <w:numPr>
          <w:ilvl w:val="2"/>
          <w:numId w:val="0"/>
        </w:numPr>
        <w:spacing w:line="0" w:lineRule="atLeast"/>
        <w:rPr>
          <w:color w:val="000000" w:themeColor="text1"/>
          <w14:textFill>
            <w14:solidFill>
              <w14:schemeClr w14:val="tx1"/>
            </w14:solidFill>
          </w14:textFill>
        </w:rPr>
      </w:pPr>
    </w:p>
    <w:p w14:paraId="4EA5FEBD">
      <w:pPr>
        <w:pStyle w:val="25"/>
        <w:numPr>
          <w:ilvl w:val="2"/>
          <w:numId w:val="2"/>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Collect general patient information, including age, gender, occupation, and medical history (e.g., diabetes and rheumatoid arthritis), using face-to-face inquiry and a standardized medical record questionnaire (</w:t>
      </w:r>
      <w:r>
        <w:rPr>
          <w:rFonts w:ascii="Calibri" w:hAnsi="Calibri"/>
          <w:b/>
          <w:bCs/>
          <w:color w:val="000000" w:themeColor="text1"/>
          <w:sz w:val="24"/>
          <w14:textFill>
            <w14:solidFill>
              <w14:schemeClr w14:val="tx1"/>
            </w14:solidFill>
          </w14:textFill>
        </w:rPr>
        <w:t>Supplementary File 1</w:t>
      </w:r>
      <w:r>
        <w:rPr>
          <w:rFonts w:ascii="Calibri" w:hAnsi="Calibri"/>
          <w:color w:val="000000" w:themeColor="text1"/>
          <w:sz w:val="24"/>
          <w14:textFill>
            <w14:solidFill>
              <w14:schemeClr w14:val="tx1"/>
            </w14:solidFill>
          </w14:textFill>
        </w:rPr>
        <w:t>), which includes predefined fields for clinical symptoms, duration, frequency, pain intensity (VAS), Quinnell grading, and functional impact.</w:t>
      </w:r>
    </w:p>
    <w:p w14:paraId="61A236C1">
      <w:pPr>
        <w:pStyle w:val="25"/>
        <w:spacing w:after="0" w:line="0" w:lineRule="atLeast"/>
        <w:jc w:val="both"/>
        <w:rPr>
          <w:rFonts w:ascii="Calibri" w:hAnsi="Calibri" w:cs="Calibri"/>
          <w:color w:val="000000" w:themeColor="text1"/>
          <w:sz w:val="24"/>
          <w:szCs w:val="24"/>
          <w14:textFill>
            <w14:solidFill>
              <w14:schemeClr w14:val="tx1"/>
            </w14:solidFill>
          </w14:textFill>
        </w:rPr>
      </w:pPr>
    </w:p>
    <w:p w14:paraId="7B88D13E">
      <w:pPr>
        <w:pStyle w:val="25"/>
        <w:numPr>
          <w:ilvl w:val="2"/>
          <w:numId w:val="2"/>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Record clinical symptoms, including </w:t>
      </w:r>
      <w:r>
        <w:rPr>
          <w:rFonts w:ascii="Calibri" w:hAnsi="Calibri"/>
          <w:color w:val="000000" w:themeColor="text1"/>
          <w:sz w:val="24"/>
          <w14:textFill>
            <w14:solidFill>
              <w14:schemeClr w14:val="tx1"/>
            </w14:solidFill>
          </w14:textFill>
        </w:rPr>
        <w:t xml:space="preserve">palmar pain, triggering, </w:t>
      </w:r>
      <w:r>
        <w:rPr>
          <w:rFonts w:ascii="Calibri" w:hAnsi="Calibri" w:cs="Calibri"/>
          <w:color w:val="000000" w:themeColor="text1"/>
          <w:sz w:val="24"/>
          <w:szCs w:val="24"/>
          <w14:textFill>
            <w14:solidFill>
              <w14:schemeClr w14:val="tx1"/>
            </w14:solidFill>
          </w14:textFill>
        </w:rPr>
        <w:t xml:space="preserve">and </w:t>
      </w:r>
      <w:r>
        <w:rPr>
          <w:rFonts w:ascii="Calibri" w:hAnsi="Calibri"/>
          <w:color w:val="000000" w:themeColor="text1"/>
          <w:sz w:val="24"/>
          <w14:textFill>
            <w14:solidFill>
              <w14:schemeClr w14:val="tx1"/>
            </w14:solidFill>
          </w14:textFill>
        </w:rPr>
        <w:t>limited movement</w:t>
      </w:r>
      <w:r>
        <w:rPr>
          <w:rFonts w:ascii="Calibri" w:hAnsi="Calibri" w:cs="Calibri"/>
          <w:color w:val="000000" w:themeColor="text1"/>
          <w:sz w:val="24"/>
          <w:szCs w:val="24"/>
          <w14:textFill>
            <w14:solidFill>
              <w14:schemeClr w14:val="tx1"/>
            </w14:solidFill>
          </w14:textFill>
        </w:rPr>
        <w:t>. Document</w:t>
      </w:r>
      <w:r>
        <w:rPr>
          <w:rFonts w:ascii="Calibri" w:hAnsi="Calibri"/>
          <w:color w:val="000000" w:themeColor="text1"/>
          <w:sz w:val="24"/>
          <w14:textFill>
            <w14:solidFill>
              <w14:schemeClr w14:val="tx1"/>
            </w14:solidFill>
          </w14:textFill>
        </w:rPr>
        <w:t xml:space="preserve"> onset duration, symptom frequency, </w:t>
      </w:r>
      <w:r>
        <w:rPr>
          <w:rFonts w:ascii="Calibri" w:hAnsi="Calibri" w:cs="Calibri"/>
          <w:color w:val="000000" w:themeColor="text1"/>
          <w:sz w:val="24"/>
          <w:szCs w:val="24"/>
          <w14:textFill>
            <w14:solidFill>
              <w14:schemeClr w14:val="tx1"/>
            </w14:solidFill>
          </w14:textFill>
        </w:rPr>
        <w:t xml:space="preserve">and </w:t>
      </w:r>
      <w:r>
        <w:rPr>
          <w:rFonts w:ascii="Calibri" w:hAnsi="Calibri"/>
          <w:color w:val="000000" w:themeColor="text1"/>
          <w:sz w:val="24"/>
          <w14:textFill>
            <w14:solidFill>
              <w14:schemeClr w14:val="tx1"/>
            </w14:solidFill>
          </w14:textFill>
        </w:rPr>
        <w:t>severity (locking degree</w:t>
      </w:r>
      <w:r>
        <w:rPr>
          <w:rFonts w:ascii="Calibri" w:hAnsi="Calibri" w:cs="Calibri"/>
          <w:color w:val="000000" w:themeColor="text1"/>
          <w:sz w:val="24"/>
          <w:szCs w:val="24"/>
          <w14:textFill>
            <w14:solidFill>
              <w14:schemeClr w14:val="tx1"/>
            </w14:solidFill>
          </w14:textFill>
        </w:rPr>
        <w:t xml:space="preserve"> and</w:t>
      </w:r>
      <w:r>
        <w:rPr>
          <w:rFonts w:ascii="Calibri" w:hAnsi="Calibri"/>
          <w:color w:val="000000" w:themeColor="text1"/>
          <w:sz w:val="24"/>
          <w14:textFill>
            <w14:solidFill>
              <w14:schemeClr w14:val="tx1"/>
            </w14:solidFill>
          </w14:textFill>
        </w:rPr>
        <w:t xml:space="preserve"> pain level</w:t>
      </w:r>
      <w:r>
        <w:rPr>
          <w:rFonts w:ascii="Calibri" w:hAnsi="Calibri" w:cs="Calibri"/>
          <w:color w:val="000000" w:themeColor="text1"/>
          <w:sz w:val="24"/>
          <w:szCs w:val="24"/>
          <w14:textFill>
            <w14:solidFill>
              <w14:schemeClr w14:val="tx1"/>
            </w14:solidFill>
          </w14:textFill>
        </w:rPr>
        <w:t>).</w:t>
      </w:r>
    </w:p>
    <w:p w14:paraId="3E939446">
      <w:pPr>
        <w:pStyle w:val="25"/>
        <w:spacing w:after="0" w:line="0" w:lineRule="atLeast"/>
        <w:jc w:val="both"/>
        <w:rPr>
          <w:rFonts w:ascii="Calibri" w:hAnsi="Calibri" w:cs="Calibri"/>
          <w:color w:val="000000" w:themeColor="text1"/>
          <w:sz w:val="24"/>
          <w:szCs w:val="24"/>
          <w14:textFill>
            <w14:solidFill>
              <w14:schemeClr w14:val="tx1"/>
            </w14:solidFill>
          </w14:textFill>
        </w:rPr>
      </w:pPr>
    </w:p>
    <w:p w14:paraId="5191323E">
      <w:pPr>
        <w:pStyle w:val="25"/>
        <w:numPr>
          <w:ilvl w:val="2"/>
          <w:numId w:val="2"/>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Assess</w:t>
      </w:r>
      <w:r>
        <w:rPr>
          <w:rFonts w:ascii="Calibri" w:hAnsi="Calibri"/>
          <w:color w:val="000000" w:themeColor="text1"/>
          <w:sz w:val="24"/>
          <w14:textFill>
            <w14:solidFill>
              <w14:schemeClr w14:val="tx1"/>
            </w14:solidFill>
          </w14:textFill>
        </w:rPr>
        <w:t xml:space="preserve"> the </w:t>
      </w:r>
      <w:r>
        <w:rPr>
          <w:rFonts w:ascii="Calibri" w:hAnsi="Calibri" w:cs="Calibri"/>
          <w:color w:val="000000" w:themeColor="text1"/>
          <w:sz w:val="24"/>
          <w:szCs w:val="24"/>
          <w14:textFill>
            <w14:solidFill>
              <w14:schemeClr w14:val="tx1"/>
            </w14:solidFill>
          </w14:textFill>
        </w:rPr>
        <w:t>effect</w:t>
      </w:r>
      <w:r>
        <w:rPr>
          <w:rFonts w:ascii="Calibri" w:hAnsi="Calibri"/>
          <w:color w:val="000000" w:themeColor="text1"/>
          <w:sz w:val="24"/>
          <w14:textFill>
            <w14:solidFill>
              <w14:schemeClr w14:val="tx1"/>
            </w14:solidFill>
          </w14:textFill>
        </w:rPr>
        <w:t xml:space="preserve"> of symptoms on daily </w:t>
      </w:r>
      <w:r>
        <w:rPr>
          <w:rFonts w:ascii="Calibri" w:hAnsi="Calibri" w:cs="Calibri"/>
          <w:color w:val="000000" w:themeColor="text1"/>
          <w:sz w:val="24"/>
          <w:szCs w:val="24"/>
          <w14:textFill>
            <w14:solidFill>
              <w14:schemeClr w14:val="tx1"/>
            </w14:solidFill>
          </w14:textFill>
        </w:rPr>
        <w:t xml:space="preserve">activities, including </w:t>
      </w:r>
      <w:r>
        <w:rPr>
          <w:rFonts w:ascii="Calibri" w:hAnsi="Calibri"/>
          <w:color w:val="000000" w:themeColor="text1"/>
          <w:sz w:val="24"/>
          <w14:textFill>
            <w14:solidFill>
              <w14:schemeClr w14:val="tx1"/>
            </w14:solidFill>
          </w14:textFill>
        </w:rPr>
        <w:t xml:space="preserve">eating, dressing, </w:t>
      </w:r>
      <w:r>
        <w:rPr>
          <w:rFonts w:ascii="Calibri" w:hAnsi="Calibri" w:cs="Calibri"/>
          <w:color w:val="000000" w:themeColor="text1"/>
          <w:sz w:val="24"/>
          <w:szCs w:val="24"/>
          <w14:textFill>
            <w14:solidFill>
              <w14:schemeClr w14:val="tx1"/>
            </w14:solidFill>
          </w14:textFill>
        </w:rPr>
        <w:t xml:space="preserve">and </w:t>
      </w:r>
      <w:r>
        <w:rPr>
          <w:rFonts w:ascii="Calibri" w:hAnsi="Calibri"/>
          <w:color w:val="000000" w:themeColor="text1"/>
          <w:sz w:val="24"/>
          <w14:textFill>
            <w14:solidFill>
              <w14:schemeClr w14:val="tx1"/>
            </w14:solidFill>
          </w14:textFill>
        </w:rPr>
        <w:t>writing.</w:t>
      </w:r>
    </w:p>
    <w:p w14:paraId="3C55E382">
      <w:pPr>
        <w:pStyle w:val="25"/>
        <w:spacing w:after="0" w:line="0" w:lineRule="atLeast"/>
        <w:jc w:val="both"/>
        <w:rPr>
          <w:rFonts w:ascii="Calibri" w:hAnsi="Calibri"/>
          <w:color w:val="000000" w:themeColor="text1"/>
          <w:sz w:val="24"/>
          <w14:textFill>
            <w14:solidFill>
              <w14:schemeClr w14:val="tx1"/>
            </w14:solidFill>
          </w14:textFill>
        </w:rPr>
      </w:pPr>
    </w:p>
    <w:p w14:paraId="7051C591">
      <w:pPr>
        <w:pStyle w:val="25"/>
        <w:numPr>
          <w:ilvl w:val="2"/>
          <w:numId w:val="2"/>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 xml:space="preserve">Assess pain intensity </w:t>
      </w:r>
      <w:r>
        <w:rPr>
          <w:rFonts w:ascii="Calibri" w:hAnsi="Calibri" w:cs="Calibri"/>
          <w:color w:val="000000" w:themeColor="text1"/>
          <w:sz w:val="24"/>
          <w:szCs w:val="24"/>
          <w14:textFill>
            <w14:solidFill>
              <w14:schemeClr w14:val="tx1"/>
            </w14:solidFill>
          </w14:textFill>
        </w:rPr>
        <w:t>using</w:t>
      </w:r>
      <w:r>
        <w:rPr>
          <w:rFonts w:ascii="Calibri" w:hAnsi="Calibri"/>
          <w:color w:val="000000" w:themeColor="text1"/>
          <w:sz w:val="24"/>
          <w14:textFill>
            <w14:solidFill>
              <w14:schemeClr w14:val="tx1"/>
            </w14:solidFill>
          </w14:textFill>
        </w:rPr>
        <w:t xml:space="preserve"> the Visual Analog Scale (VAS</w:t>
      </w:r>
      <w:r>
        <w:rPr>
          <w:rFonts w:ascii="Calibri" w:hAnsi="Calibri" w:cs="Calibri"/>
          <w:color w:val="000000" w:themeColor="text1"/>
          <w:sz w:val="24"/>
          <w:szCs w:val="24"/>
          <w14:textFill>
            <w14:solidFill>
              <w14:schemeClr w14:val="tx1"/>
            </w14:solidFill>
          </w14:textFill>
        </w:rPr>
        <w:t>).</w:t>
      </w:r>
    </w:p>
    <w:p w14:paraId="4BE0CE1E">
      <w:pPr>
        <w:pStyle w:val="25"/>
        <w:spacing w:after="0" w:line="0" w:lineRule="atLeast"/>
        <w:jc w:val="both"/>
        <w:rPr>
          <w:rFonts w:ascii="Calibri" w:hAnsi="Calibri" w:cs="Calibri"/>
          <w:color w:val="000000" w:themeColor="text1"/>
          <w:sz w:val="24"/>
          <w:szCs w:val="24"/>
          <w14:textFill>
            <w14:solidFill>
              <w14:schemeClr w14:val="tx1"/>
            </w14:solidFill>
          </w14:textFill>
        </w:rPr>
      </w:pPr>
    </w:p>
    <w:p w14:paraId="2F3C74BA">
      <w:pPr>
        <w:pStyle w:val="25"/>
        <w:numPr>
          <w:ilvl w:val="2"/>
          <w:numId w:val="2"/>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Grade clinical severity </w:t>
      </w:r>
      <w:r>
        <w:rPr>
          <w:rFonts w:ascii="Calibri" w:hAnsi="Calibri"/>
          <w:color w:val="000000" w:themeColor="text1"/>
          <w:sz w:val="24"/>
          <w14:textFill>
            <w14:solidFill>
              <w14:schemeClr w14:val="tx1"/>
            </w14:solidFill>
          </w14:textFill>
        </w:rPr>
        <w:t>according to Quinnell’s grad</w:t>
      </w:r>
      <w:r>
        <w:rPr>
          <w:rFonts w:ascii="Calibri" w:hAnsi="Calibri" w:cs="Calibri"/>
          <w:color w:val="000000" w:themeColor="text1"/>
          <w:sz w:val="24"/>
          <w:szCs w:val="24"/>
          <w14:textFill>
            <w14:solidFill>
              <w14:schemeClr w14:val="tx1"/>
            </w14:solidFill>
          </w14:textFill>
        </w:rPr>
        <w:t>ing</w:t>
      </w:r>
      <w:r>
        <w:rPr>
          <w:rFonts w:ascii="Calibri" w:hAnsi="Calibri"/>
          <w:color w:val="000000" w:themeColor="text1"/>
          <w:sz w:val="24"/>
          <w14:textFill>
            <w14:solidFill>
              <w14:schemeClr w14:val="tx1"/>
            </w14:solidFill>
          </w14:textFill>
        </w:rPr>
        <w:t xml:space="preserve"> criteria </w:t>
      </w:r>
      <w:r>
        <w:rPr>
          <w:rFonts w:ascii="Calibri" w:hAnsi="Calibri" w:cs="Calibri"/>
          <w:color w:val="000000" w:themeColor="text1"/>
          <w:sz w:val="24"/>
          <w:szCs w:val="24"/>
          <w14:textFill>
            <w14:solidFill>
              <w14:schemeClr w14:val="tx1"/>
            </w14:solidFill>
          </w14:textFill>
        </w:rPr>
        <w:t>based on</w:t>
      </w:r>
      <w:r>
        <w:rPr>
          <w:rFonts w:ascii="Calibri" w:hAnsi="Calibri"/>
          <w:color w:val="000000" w:themeColor="text1"/>
          <w:sz w:val="24"/>
          <w14:textFill>
            <w14:solidFill>
              <w14:schemeClr w14:val="tx1"/>
            </w14:solidFill>
          </w14:textFill>
        </w:rPr>
        <w:t xml:space="preserve"> clinical observation.</w:t>
      </w:r>
    </w:p>
    <w:p w14:paraId="78EA0900">
      <w:pPr>
        <w:numPr>
          <w:ilvl w:val="2"/>
          <w:numId w:val="0"/>
        </w:numPr>
        <w:spacing w:line="0" w:lineRule="atLeast"/>
        <w:rPr>
          <w:color w:val="000000" w:themeColor="text1"/>
          <w14:textFill>
            <w14:solidFill>
              <w14:schemeClr w14:val="tx1"/>
            </w14:solidFill>
          </w14:textFill>
        </w:rPr>
      </w:pPr>
    </w:p>
    <w:p w14:paraId="4E4B17D3">
      <w:pPr>
        <w:numPr>
          <w:ilvl w:val="2"/>
          <w:numId w:val="0"/>
        </w:numPr>
        <w:spacing w:line="0" w:lineRule="atLeast"/>
        <w:rPr>
          <w:rFonts w:asciiTheme="majorHAnsi" w:hAnsiTheme="majorHAnsi"/>
          <w:color w:val="000000" w:themeColor="text1"/>
          <w:szCs w:val="32"/>
          <w:lang w:eastAsia="zh-CN"/>
          <w14:textFill>
            <w14:solidFill>
              <w14:schemeClr w14:val="tx1"/>
            </w14:solidFill>
          </w14:textFill>
        </w:rPr>
      </w:pPr>
      <w:r>
        <w:rPr>
          <w:b/>
          <w:color w:val="000000" w:themeColor="text1"/>
          <w14:textFill>
            <w14:solidFill>
              <w14:schemeClr w14:val="tx1"/>
            </w14:solidFill>
          </w14:textFill>
        </w:rPr>
        <w:t>NOTE:</w:t>
      </w:r>
      <w:r>
        <w:rPr>
          <w:color w:val="000000" w:themeColor="text1"/>
          <w14:textFill>
            <w14:solidFill>
              <w14:schemeClr w14:val="tx1"/>
            </w14:solidFill>
          </w14:textFill>
        </w:rPr>
        <w:t xml:space="preserve"> </w:t>
      </w:r>
      <w:r>
        <w:rPr>
          <w:rFonts w:asciiTheme="majorHAnsi" w:hAnsiTheme="majorHAnsi"/>
          <w:color w:val="000000" w:themeColor="text1"/>
          <w:szCs w:val="32"/>
          <w:lang w:eastAsia="zh-CN"/>
          <w14:textFill>
            <w14:solidFill>
              <w14:schemeClr w14:val="tx1"/>
            </w14:solidFill>
          </w14:textFill>
        </w:rPr>
        <w:t>The VAS ranges from 0 to 10, where 0 indicates no pain and 10 indicates severe pain.</w:t>
      </w:r>
    </w:p>
    <w:p w14:paraId="31DDD06C">
      <w:pPr>
        <w:numPr>
          <w:ilvl w:val="2"/>
          <w:numId w:val="0"/>
        </w:numPr>
        <w:spacing w:line="0" w:lineRule="atLeast"/>
        <w:rPr>
          <w:rFonts w:asciiTheme="majorHAnsi" w:hAnsiTheme="majorHAnsi"/>
          <w:color w:val="000000" w:themeColor="text1"/>
          <w:szCs w:val="32"/>
          <w:lang w:eastAsia="zh-CN"/>
          <w14:textFill>
            <w14:solidFill>
              <w14:schemeClr w14:val="tx1"/>
            </w14:solidFill>
          </w14:textFill>
        </w:rPr>
      </w:pPr>
      <w:r>
        <w:rPr>
          <w:rFonts w:asciiTheme="majorHAnsi" w:hAnsiTheme="majorHAnsi"/>
          <w:color w:val="000000" w:themeColor="text1"/>
          <w:szCs w:val="32"/>
          <w:lang w:eastAsia="zh-CN"/>
          <w14:textFill>
            <w14:solidFill>
              <w14:schemeClr w14:val="tx1"/>
            </w14:solidFill>
          </w14:textFill>
        </w:rPr>
        <w:t>Quinnell’s grading system</w:t>
      </w:r>
      <w:r>
        <w:rPr>
          <w:rFonts w:asciiTheme="majorHAnsi" w:hAnsiTheme="majorHAnsi"/>
          <w:color w:val="000000" w:themeColor="text1"/>
          <w:szCs w:val="32"/>
          <w:vertAlign w:val="superscript"/>
          <w:lang w:eastAsia="zh-CN"/>
          <w14:textFill>
            <w14:solidFill>
              <w14:schemeClr w14:val="tx1"/>
            </w14:solidFill>
          </w14:textFill>
        </w:rPr>
        <w:t>7</w:t>
      </w:r>
      <w:r>
        <w:rPr>
          <w:rFonts w:asciiTheme="majorHAnsi" w:hAnsiTheme="majorHAnsi"/>
          <w:color w:val="000000" w:themeColor="text1"/>
          <w:szCs w:val="32"/>
          <w:lang w:eastAsia="zh-CN"/>
          <w14:textFill>
            <w14:solidFill>
              <w14:schemeClr w14:val="tx1"/>
            </w14:solidFill>
          </w14:textFill>
        </w:rPr>
        <w:t xml:space="preserve"> includes five levels (0–IV), corresponding to increasing severity of triggering and locking:</w:t>
      </w:r>
    </w:p>
    <w:p w14:paraId="25917FC0">
      <w:pPr>
        <w:numPr>
          <w:ilvl w:val="2"/>
          <w:numId w:val="0"/>
        </w:numPr>
        <w:spacing w:line="0" w:lineRule="atLeast"/>
        <w:rPr>
          <w:rFonts w:asciiTheme="majorHAnsi" w:hAnsiTheme="majorHAnsi"/>
          <w:color w:val="000000" w:themeColor="text1"/>
          <w:szCs w:val="32"/>
          <w:lang w:eastAsia="zh-CN"/>
          <w14:textFill>
            <w14:solidFill>
              <w14:schemeClr w14:val="tx1"/>
            </w14:solidFill>
          </w14:textFill>
        </w:rPr>
      </w:pPr>
      <w:r>
        <w:rPr>
          <w:rFonts w:asciiTheme="majorHAnsi" w:hAnsiTheme="majorHAnsi"/>
          <w:color w:val="000000" w:themeColor="text1"/>
          <w:szCs w:val="32"/>
          <w:lang w:eastAsia="zh-CN"/>
          <w14:textFill>
            <w14:solidFill>
              <w14:schemeClr w14:val="tx1"/>
            </w14:solidFill>
          </w14:textFill>
        </w:rPr>
        <w:t>grade 0, normal flexion and extension of the finger without pain;</w:t>
      </w:r>
    </w:p>
    <w:p w14:paraId="59DEAB49">
      <w:pPr>
        <w:numPr>
          <w:ilvl w:val="2"/>
          <w:numId w:val="0"/>
        </w:numPr>
        <w:spacing w:line="0" w:lineRule="atLeast"/>
        <w:rPr>
          <w:rFonts w:asciiTheme="majorHAnsi" w:hAnsiTheme="majorHAnsi"/>
          <w:color w:val="000000" w:themeColor="text1"/>
          <w:szCs w:val="32"/>
          <w:lang w:eastAsia="zh-CN"/>
          <w14:textFill>
            <w14:solidFill>
              <w14:schemeClr w14:val="tx1"/>
            </w14:solidFill>
          </w14:textFill>
        </w:rPr>
      </w:pPr>
      <w:r>
        <w:rPr>
          <w:rFonts w:asciiTheme="majorHAnsi" w:hAnsiTheme="majorHAnsi"/>
          <w:color w:val="000000" w:themeColor="text1"/>
          <w:szCs w:val="32"/>
          <w:lang w:eastAsia="zh-CN"/>
          <w14:textFill>
            <w14:solidFill>
              <w14:schemeClr w14:val="tx1"/>
            </w14:solidFill>
          </w14:textFill>
        </w:rPr>
        <w:t>grade 1, normal flexion and extension with occasional pain;</w:t>
      </w:r>
    </w:p>
    <w:p w14:paraId="4E5DF4BF">
      <w:pPr>
        <w:numPr>
          <w:ilvl w:val="2"/>
          <w:numId w:val="0"/>
        </w:numPr>
        <w:spacing w:line="0" w:lineRule="atLeast"/>
        <w:rPr>
          <w:rFonts w:asciiTheme="majorHAnsi" w:hAnsiTheme="majorHAnsi"/>
          <w:color w:val="000000" w:themeColor="text1"/>
          <w:szCs w:val="32"/>
          <w:lang w:eastAsia="zh-CN"/>
          <w14:textFill>
            <w14:solidFill>
              <w14:schemeClr w14:val="tx1"/>
            </w14:solidFill>
          </w14:textFill>
        </w:rPr>
      </w:pPr>
      <w:r>
        <w:rPr>
          <w:rFonts w:asciiTheme="majorHAnsi" w:hAnsiTheme="majorHAnsi"/>
          <w:color w:val="000000" w:themeColor="text1"/>
          <w:szCs w:val="32"/>
          <w:lang w:eastAsia="zh-CN"/>
          <w14:textFill>
            <w14:solidFill>
              <w14:schemeClr w14:val="tx1"/>
            </w14:solidFill>
          </w14:textFill>
        </w:rPr>
        <w:t>grade 2, impaired flexion and extension accompanied by a catching sensation;</w:t>
      </w:r>
    </w:p>
    <w:p w14:paraId="05832C71">
      <w:pPr>
        <w:numPr>
          <w:ilvl w:val="2"/>
          <w:numId w:val="0"/>
        </w:numPr>
        <w:spacing w:line="0" w:lineRule="atLeast"/>
        <w:rPr>
          <w:rFonts w:asciiTheme="majorHAnsi" w:hAnsiTheme="majorHAnsi"/>
          <w:color w:val="000000" w:themeColor="text1"/>
          <w:szCs w:val="32"/>
          <w:lang w:eastAsia="zh-CN"/>
          <w14:textFill>
            <w14:solidFill>
              <w14:schemeClr w14:val="tx1"/>
            </w14:solidFill>
          </w14:textFill>
        </w:rPr>
      </w:pPr>
      <w:r>
        <w:rPr>
          <w:rFonts w:asciiTheme="majorHAnsi" w:hAnsiTheme="majorHAnsi"/>
          <w:color w:val="000000" w:themeColor="text1"/>
          <w:szCs w:val="32"/>
          <w:lang w:eastAsia="zh-CN"/>
          <w14:textFill>
            <w14:solidFill>
              <w14:schemeClr w14:val="tx1"/>
            </w14:solidFill>
          </w14:textFill>
        </w:rPr>
        <w:t>grade 3, presence of triggering that can be overcome with active motion;</w:t>
      </w:r>
    </w:p>
    <w:p w14:paraId="40CC2672">
      <w:pPr>
        <w:numPr>
          <w:ilvl w:val="2"/>
          <w:numId w:val="0"/>
        </w:numPr>
        <w:spacing w:line="0" w:lineRule="atLeast"/>
        <w:rPr>
          <w:color w:val="000000" w:themeColor="text1"/>
          <w14:textFill>
            <w14:solidFill>
              <w14:schemeClr w14:val="tx1"/>
            </w14:solidFill>
          </w14:textFill>
        </w:rPr>
      </w:pPr>
      <w:r>
        <w:rPr>
          <w:rFonts w:asciiTheme="majorHAnsi" w:hAnsiTheme="majorHAnsi"/>
          <w:color w:val="000000" w:themeColor="text1"/>
          <w:szCs w:val="32"/>
          <w:lang w:eastAsia="zh-CN"/>
          <w14:textFill>
            <w14:solidFill>
              <w14:schemeClr w14:val="tx1"/>
            </w14:solidFill>
          </w14:textFill>
        </w:rPr>
        <w:t>grade 4, fixed locking requiring passive manipulation for resolution.</w:t>
      </w:r>
    </w:p>
    <w:p w14:paraId="40CC2673">
      <w:pPr>
        <w:spacing w:line="0" w:lineRule="atLeast"/>
        <w:rPr>
          <w:color w:val="000000" w:themeColor="text1"/>
          <w14:textFill>
            <w14:solidFill>
              <w14:schemeClr w14:val="tx1"/>
            </w14:solidFill>
          </w14:textFill>
        </w:rPr>
      </w:pPr>
    </w:p>
    <w:p w14:paraId="2BC69A0B">
      <w:pPr>
        <w:pStyle w:val="25"/>
        <w:numPr>
          <w:ilvl w:val="1"/>
          <w:numId w:val="3"/>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Perform</w:t>
      </w:r>
      <w:r>
        <w:rPr>
          <w:rFonts w:ascii="Calibri" w:hAnsi="Calibri"/>
          <w:color w:val="000000" w:themeColor="text1"/>
          <w:sz w:val="24"/>
          <w:highlight w:val="yellow"/>
          <w14:textFill>
            <w14:solidFill>
              <w14:schemeClr w14:val="tx1"/>
            </w14:solidFill>
          </w14:textFill>
        </w:rPr>
        <w:t xml:space="preserve"> physical examination</w:t>
      </w:r>
    </w:p>
    <w:p w14:paraId="7D105E6D">
      <w:pPr>
        <w:spacing w:line="0" w:lineRule="atLeast"/>
        <w:rPr>
          <w:color w:val="000000" w:themeColor="text1"/>
          <w14:textFill>
            <w14:solidFill>
              <w14:schemeClr w14:val="tx1"/>
            </w14:solidFill>
          </w14:textFill>
        </w:rPr>
      </w:pPr>
    </w:p>
    <w:p w14:paraId="2ECB0FFA">
      <w:pPr>
        <w:pStyle w:val="25"/>
        <w:numPr>
          <w:ilvl w:val="2"/>
          <w:numId w:val="3"/>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Evaluate active range of motion by instructing the patient to </w:t>
      </w:r>
      <w:r>
        <w:rPr>
          <w:rFonts w:ascii="Calibri" w:hAnsi="Calibri" w:cs="Calibri"/>
          <w:color w:val="000000" w:themeColor="text1"/>
          <w:sz w:val="24"/>
          <w:szCs w:val="24"/>
          <w:highlight w:val="yellow"/>
          <w14:textFill>
            <w14:solidFill>
              <w14:schemeClr w14:val="tx1"/>
            </w14:solidFill>
          </w14:textFill>
        </w:rPr>
        <w:t>flex</w:t>
      </w:r>
      <w:r>
        <w:rPr>
          <w:rFonts w:ascii="Calibri" w:hAnsi="Calibri"/>
          <w:color w:val="000000" w:themeColor="text1"/>
          <w:sz w:val="24"/>
          <w:highlight w:val="yellow"/>
          <w14:textFill>
            <w14:solidFill>
              <w14:schemeClr w14:val="tx1"/>
            </w14:solidFill>
          </w14:textFill>
        </w:rPr>
        <w:t xml:space="preserve"> and </w:t>
      </w:r>
      <w:r>
        <w:rPr>
          <w:rFonts w:ascii="Calibri" w:hAnsi="Calibri" w:cs="Calibri"/>
          <w:color w:val="000000" w:themeColor="text1"/>
          <w:sz w:val="24"/>
          <w:szCs w:val="24"/>
          <w:highlight w:val="yellow"/>
          <w14:textFill>
            <w14:solidFill>
              <w14:schemeClr w14:val="tx1"/>
            </w14:solidFill>
          </w14:textFill>
        </w:rPr>
        <w:t>extend</w:t>
      </w:r>
      <w:r>
        <w:rPr>
          <w:rFonts w:ascii="Calibri" w:hAnsi="Calibri"/>
          <w:color w:val="000000" w:themeColor="text1"/>
          <w:sz w:val="24"/>
          <w:highlight w:val="yellow"/>
          <w14:textFill>
            <w14:solidFill>
              <w14:schemeClr w14:val="tx1"/>
            </w14:solidFill>
          </w14:textFill>
        </w:rPr>
        <w:t xml:space="preserve"> the affected finger </w:t>
      </w:r>
      <w:r>
        <w:rPr>
          <w:rFonts w:ascii="Calibri" w:hAnsi="Calibri" w:cs="Calibri"/>
          <w:color w:val="000000" w:themeColor="text1"/>
          <w:sz w:val="24"/>
          <w:szCs w:val="24"/>
          <w:highlight w:val="yellow"/>
          <w14:textFill>
            <w14:solidFill>
              <w14:schemeClr w14:val="tx1"/>
            </w14:solidFill>
          </w14:textFill>
        </w:rPr>
        <w:t>independently. Record</w:t>
      </w:r>
      <w:r>
        <w:rPr>
          <w:rFonts w:ascii="Calibri" w:hAnsi="Calibri"/>
          <w:color w:val="000000" w:themeColor="text1"/>
          <w:sz w:val="24"/>
          <w:highlight w:val="yellow"/>
          <w14:textFill>
            <w14:solidFill>
              <w14:schemeClr w14:val="tx1"/>
            </w14:solidFill>
          </w14:textFill>
        </w:rPr>
        <w:t xml:space="preserve"> the maximum flexion and extension angles</w:t>
      </w:r>
      <w:r>
        <w:rPr>
          <w:rFonts w:ascii="Calibri" w:hAnsi="Calibri" w:cs="Calibri"/>
          <w:color w:val="000000" w:themeColor="text1"/>
          <w:sz w:val="24"/>
          <w:szCs w:val="24"/>
          <w:highlight w:val="yellow"/>
          <w14:textFill>
            <w14:solidFill>
              <w14:schemeClr w14:val="tx1"/>
            </w14:solidFill>
          </w14:textFill>
        </w:rPr>
        <w:t>.</w:t>
      </w:r>
    </w:p>
    <w:p w14:paraId="794F7870">
      <w:pPr>
        <w:pStyle w:val="25"/>
        <w:spacing w:after="0" w:line="0" w:lineRule="atLeast"/>
        <w:jc w:val="both"/>
        <w:rPr>
          <w:rFonts w:ascii="Calibri" w:hAnsi="Calibri" w:cs="Calibri"/>
          <w:color w:val="000000" w:themeColor="text1"/>
          <w:sz w:val="24"/>
          <w:szCs w:val="24"/>
          <w:highlight w:val="yellow"/>
          <w14:textFill>
            <w14:solidFill>
              <w14:schemeClr w14:val="tx1"/>
            </w14:solidFill>
          </w14:textFill>
        </w:rPr>
      </w:pPr>
    </w:p>
    <w:p w14:paraId="59EE0948">
      <w:pPr>
        <w:pStyle w:val="25"/>
        <w:numPr>
          <w:ilvl w:val="2"/>
          <w:numId w:val="3"/>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Evaluate passive range of motion by gently flexing and extending the affected finger</w:t>
      </w:r>
      <w:r>
        <w:rPr>
          <w:rFonts w:ascii="Calibri" w:hAnsi="Calibri" w:cs="Calibri"/>
          <w:color w:val="000000" w:themeColor="text1"/>
          <w:sz w:val="24"/>
          <w:szCs w:val="24"/>
          <w:highlight w:val="yellow"/>
          <w14:textFill>
            <w14:solidFill>
              <w14:schemeClr w14:val="tx1"/>
            </w14:solidFill>
          </w14:textFill>
        </w:rPr>
        <w:t>. Record</w:t>
      </w:r>
      <w:r>
        <w:rPr>
          <w:rFonts w:ascii="Calibri" w:hAnsi="Calibri"/>
          <w:color w:val="000000" w:themeColor="text1"/>
          <w:sz w:val="24"/>
          <w:highlight w:val="yellow"/>
          <w14:textFill>
            <w14:solidFill>
              <w14:schemeClr w14:val="tx1"/>
            </w14:solidFill>
          </w14:textFill>
        </w:rPr>
        <w:t xml:space="preserve"> the angles </w:t>
      </w:r>
      <w:r>
        <w:rPr>
          <w:rFonts w:ascii="Calibri" w:hAnsi="Calibri" w:cs="Calibri"/>
          <w:color w:val="000000" w:themeColor="text1"/>
          <w:sz w:val="24"/>
          <w:szCs w:val="24"/>
          <w:highlight w:val="yellow"/>
          <w14:textFill>
            <w14:solidFill>
              <w14:schemeClr w14:val="tx1"/>
            </w14:solidFill>
          </w14:textFill>
        </w:rPr>
        <w:t>at which</w:t>
      </w:r>
      <w:r>
        <w:rPr>
          <w:rFonts w:ascii="Calibri" w:hAnsi="Calibri"/>
          <w:color w:val="000000" w:themeColor="text1"/>
          <w:sz w:val="24"/>
          <w:highlight w:val="yellow"/>
          <w14:textFill>
            <w14:solidFill>
              <w14:schemeClr w14:val="tx1"/>
            </w14:solidFill>
          </w14:textFill>
        </w:rPr>
        <w:t xml:space="preserve"> triggering or locking</w:t>
      </w:r>
      <w:r>
        <w:rPr>
          <w:rFonts w:ascii="Calibri" w:hAnsi="Calibri" w:cs="Calibri"/>
          <w:color w:val="000000" w:themeColor="text1"/>
          <w:sz w:val="24"/>
          <w:szCs w:val="24"/>
          <w:highlight w:val="yellow"/>
          <w14:textFill>
            <w14:solidFill>
              <w14:schemeClr w14:val="tx1"/>
            </w14:solidFill>
          </w14:textFill>
        </w:rPr>
        <w:t xml:space="preserve"> occurs.</w:t>
      </w:r>
    </w:p>
    <w:p w14:paraId="5ED3D3F7">
      <w:pPr>
        <w:pStyle w:val="25"/>
        <w:spacing w:after="0" w:line="0" w:lineRule="atLeast"/>
        <w:jc w:val="both"/>
        <w:rPr>
          <w:rFonts w:ascii="Calibri" w:hAnsi="Calibri" w:cs="Calibri"/>
          <w:color w:val="000000" w:themeColor="text1"/>
          <w:sz w:val="24"/>
          <w:szCs w:val="24"/>
          <w14:textFill>
            <w14:solidFill>
              <w14:schemeClr w14:val="tx1"/>
            </w14:solidFill>
          </w14:textFill>
        </w:rPr>
      </w:pPr>
    </w:p>
    <w:p w14:paraId="29A48DD5">
      <w:pPr>
        <w:pStyle w:val="25"/>
        <w:numPr>
          <w:ilvl w:val="2"/>
          <w:numId w:val="3"/>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Identify</w:t>
      </w:r>
      <w:r>
        <w:rPr>
          <w:rFonts w:ascii="Calibri" w:hAnsi="Calibri"/>
          <w:color w:val="000000" w:themeColor="text1"/>
          <w:sz w:val="24"/>
          <w:highlight w:val="yellow"/>
          <w14:textFill>
            <w14:solidFill>
              <w14:schemeClr w14:val="tx1"/>
            </w14:solidFill>
          </w14:textFill>
        </w:rPr>
        <w:t xml:space="preserve"> tender points by </w:t>
      </w:r>
      <w:r>
        <w:rPr>
          <w:rFonts w:ascii="Calibri" w:hAnsi="Calibri" w:cs="Calibri"/>
          <w:color w:val="000000" w:themeColor="text1"/>
          <w:sz w:val="24"/>
          <w:szCs w:val="24"/>
          <w:highlight w:val="yellow"/>
          <w14:textFill>
            <w14:solidFill>
              <w14:schemeClr w14:val="tx1"/>
            </w14:solidFill>
          </w14:textFill>
        </w:rPr>
        <w:t xml:space="preserve">applying </w:t>
      </w:r>
      <w:r>
        <w:rPr>
          <w:rFonts w:ascii="Calibri" w:hAnsi="Calibri"/>
          <w:color w:val="000000" w:themeColor="text1"/>
          <w:sz w:val="24"/>
          <w:highlight w:val="yellow"/>
          <w14:textFill>
            <w14:solidFill>
              <w14:schemeClr w14:val="tx1"/>
            </w14:solidFill>
          </w14:textFill>
        </w:rPr>
        <w:t xml:space="preserve">gradual pressure </w:t>
      </w:r>
      <w:r>
        <w:rPr>
          <w:rFonts w:ascii="Calibri" w:hAnsi="Calibri" w:cs="Calibri"/>
          <w:color w:val="000000" w:themeColor="text1"/>
          <w:sz w:val="24"/>
          <w:szCs w:val="24"/>
          <w:highlight w:val="yellow"/>
          <w14:textFill>
            <w14:solidFill>
              <w14:schemeClr w14:val="tx1"/>
            </w14:solidFill>
          </w14:textFill>
        </w:rPr>
        <w:t xml:space="preserve">to </w:t>
      </w:r>
      <w:r>
        <w:rPr>
          <w:rFonts w:ascii="Calibri" w:hAnsi="Calibri"/>
          <w:color w:val="000000" w:themeColor="text1"/>
          <w:sz w:val="24"/>
          <w:highlight w:val="yellow"/>
          <w14:textFill>
            <w14:solidFill>
              <w14:schemeClr w14:val="tx1"/>
            </w14:solidFill>
          </w14:textFill>
        </w:rPr>
        <w:t xml:space="preserve">the palmar aspect of the </w:t>
      </w:r>
      <w:r>
        <w:rPr>
          <w:rFonts w:ascii="Calibri" w:hAnsi="Calibri" w:cs="Calibri"/>
          <w:color w:val="000000" w:themeColor="text1"/>
          <w:sz w:val="24"/>
          <w:szCs w:val="24"/>
          <w:highlight w:val="yellow"/>
          <w14:textFill>
            <w14:solidFill>
              <w14:schemeClr w14:val="tx1"/>
            </w14:solidFill>
          </w14:textFill>
        </w:rPr>
        <w:t>MCP</w:t>
      </w:r>
      <w:r>
        <w:rPr>
          <w:rFonts w:ascii="Calibri" w:hAnsi="Calibri"/>
          <w:color w:val="000000" w:themeColor="text1"/>
          <w:sz w:val="24"/>
          <w:highlight w:val="yellow"/>
          <w14:textFill>
            <w14:solidFill>
              <w14:schemeClr w14:val="tx1"/>
            </w14:solidFill>
          </w14:textFill>
        </w:rPr>
        <w:t xml:space="preserve"> joint</w:t>
      </w:r>
      <w:r>
        <w:rPr>
          <w:rFonts w:ascii="Calibri" w:hAnsi="Calibri" w:cs="Calibri"/>
          <w:color w:val="000000" w:themeColor="text1"/>
          <w:sz w:val="24"/>
          <w:szCs w:val="24"/>
          <w:highlight w:val="yellow"/>
          <w14:textFill>
            <w14:solidFill>
              <w14:schemeClr w14:val="tx1"/>
            </w14:solidFill>
          </w14:textFill>
        </w:rPr>
        <w:t>. Mark</w:t>
      </w:r>
      <w:r>
        <w:rPr>
          <w:rFonts w:ascii="Calibri" w:hAnsi="Calibri"/>
          <w:color w:val="000000" w:themeColor="text1"/>
          <w:sz w:val="24"/>
          <w:highlight w:val="yellow"/>
          <w14:textFill>
            <w14:solidFill>
              <w14:schemeClr w14:val="tx1"/>
            </w14:solidFill>
          </w14:textFill>
        </w:rPr>
        <w:t xml:space="preserve"> the most tender </w:t>
      </w:r>
      <w:r>
        <w:rPr>
          <w:rFonts w:ascii="Calibri" w:hAnsi="Calibri" w:cs="Calibri"/>
          <w:color w:val="000000" w:themeColor="text1"/>
          <w:sz w:val="24"/>
          <w:szCs w:val="24"/>
          <w:highlight w:val="yellow"/>
          <w14:textFill>
            <w14:solidFill>
              <w14:schemeClr w14:val="tx1"/>
            </w14:solidFill>
          </w14:textFill>
        </w:rPr>
        <w:t>l</w:t>
      </w:r>
      <w:r>
        <w:rPr>
          <w:rFonts w:ascii="Calibri" w:hAnsi="Calibri"/>
          <w:color w:val="000000" w:themeColor="text1"/>
          <w:sz w:val="24"/>
          <w:highlight w:val="yellow"/>
          <w14:textFill>
            <w14:solidFill>
              <w14:schemeClr w14:val="tx1"/>
            </w14:solidFill>
          </w14:textFill>
        </w:rPr>
        <w:t>o</w:t>
      </w:r>
      <w:r>
        <w:rPr>
          <w:rFonts w:ascii="Calibri" w:hAnsi="Calibri" w:cs="Calibri"/>
          <w:color w:val="000000" w:themeColor="text1"/>
          <w:sz w:val="24"/>
          <w:szCs w:val="24"/>
          <w:highlight w:val="yellow"/>
          <w14:textFill>
            <w14:solidFill>
              <w14:schemeClr w14:val="tx1"/>
            </w14:solidFill>
          </w14:textFill>
        </w:rPr>
        <w:t>ca</w:t>
      </w:r>
      <w:r>
        <w:rPr>
          <w:rFonts w:ascii="Calibri" w:hAnsi="Calibri"/>
          <w:color w:val="000000" w:themeColor="text1"/>
          <w:sz w:val="24"/>
          <w:highlight w:val="yellow"/>
          <w14:textFill>
            <w14:solidFill>
              <w14:schemeClr w14:val="tx1"/>
            </w14:solidFill>
          </w14:textFill>
        </w:rPr>
        <w:t>tion with a marker pen.</w:t>
      </w:r>
    </w:p>
    <w:p w14:paraId="1BAADFE7">
      <w:pPr>
        <w:pStyle w:val="25"/>
        <w:spacing w:after="0" w:line="0" w:lineRule="atLeast"/>
        <w:jc w:val="both"/>
        <w:rPr>
          <w:rFonts w:ascii="Calibri" w:hAnsi="Calibri"/>
          <w:color w:val="000000" w:themeColor="text1"/>
          <w:sz w:val="24"/>
          <w14:textFill>
            <w14:solidFill>
              <w14:schemeClr w14:val="tx1"/>
            </w14:solidFill>
          </w14:textFill>
        </w:rPr>
      </w:pPr>
    </w:p>
    <w:p w14:paraId="25AB7AE3">
      <w:pPr>
        <w:pStyle w:val="25"/>
        <w:numPr>
          <w:ilvl w:val="2"/>
          <w:numId w:val="3"/>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 xml:space="preserve">Palpate </w:t>
      </w:r>
      <w:r>
        <w:rPr>
          <w:rFonts w:ascii="Calibri" w:hAnsi="Calibri" w:cs="Calibri"/>
          <w:color w:val="000000" w:themeColor="text1"/>
          <w:sz w:val="24"/>
          <w:szCs w:val="24"/>
          <w14:textFill>
            <w14:solidFill>
              <w14:schemeClr w14:val="tx1"/>
            </w14:solidFill>
          </w14:textFill>
        </w:rPr>
        <w:t xml:space="preserve">along the flexor tendon </w:t>
      </w:r>
      <w:r>
        <w:rPr>
          <w:rFonts w:ascii="Calibri" w:hAnsi="Calibri"/>
          <w:color w:val="000000" w:themeColor="text1"/>
          <w:sz w:val="24"/>
          <w14:textFill>
            <w14:solidFill>
              <w14:schemeClr w14:val="tx1"/>
            </w14:solidFill>
          </w14:textFill>
        </w:rPr>
        <w:t xml:space="preserve">from proximal to distal </w:t>
      </w:r>
      <w:r>
        <w:rPr>
          <w:rFonts w:ascii="Calibri" w:hAnsi="Calibri" w:cs="Calibri"/>
          <w:color w:val="000000" w:themeColor="text1"/>
          <w:sz w:val="24"/>
          <w:szCs w:val="24"/>
          <w14:textFill>
            <w14:solidFill>
              <w14:schemeClr w14:val="tx1"/>
            </w14:solidFill>
          </w14:textFill>
        </w:rPr>
        <w:t>to identify</w:t>
      </w:r>
      <w:r>
        <w:rPr>
          <w:rFonts w:ascii="Calibri" w:hAnsi="Calibri"/>
          <w:color w:val="000000" w:themeColor="text1"/>
          <w:sz w:val="24"/>
          <w14:textFill>
            <w14:solidFill>
              <w14:schemeClr w14:val="tx1"/>
            </w14:solidFill>
          </w14:textFill>
        </w:rPr>
        <w:t xml:space="preserve"> tendon sheath thickening or nodular changes</w:t>
      </w:r>
      <w:r>
        <w:rPr>
          <w:rFonts w:ascii="Calibri" w:hAnsi="Calibri" w:cs="Calibri"/>
          <w:color w:val="000000" w:themeColor="text1"/>
          <w:sz w:val="24"/>
          <w:szCs w:val="24"/>
          <w14:textFill>
            <w14:solidFill>
              <w14:schemeClr w14:val="tx1"/>
            </w14:solidFill>
          </w14:textFill>
        </w:rPr>
        <w:t>.</w:t>
      </w:r>
    </w:p>
    <w:p w14:paraId="52A2DA6E">
      <w:pPr>
        <w:pStyle w:val="25"/>
        <w:spacing w:after="0" w:line="0" w:lineRule="atLeast"/>
        <w:jc w:val="both"/>
        <w:rPr>
          <w:rFonts w:ascii="Calibri" w:hAnsi="Calibri" w:cs="Calibri"/>
          <w:color w:val="000000" w:themeColor="text1"/>
          <w:sz w:val="24"/>
          <w:szCs w:val="24"/>
          <w14:textFill>
            <w14:solidFill>
              <w14:schemeClr w14:val="tx1"/>
            </w14:solidFill>
          </w14:textFill>
        </w:rPr>
      </w:pPr>
    </w:p>
    <w:p w14:paraId="40CC267B">
      <w:pPr>
        <w:pStyle w:val="25"/>
        <w:numPr>
          <w:ilvl w:val="2"/>
          <w:numId w:val="3"/>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Record</w:t>
      </w:r>
      <w:r>
        <w:rPr>
          <w:rFonts w:ascii="Calibri" w:hAnsi="Calibri"/>
          <w:color w:val="000000" w:themeColor="text1"/>
          <w:sz w:val="24"/>
          <w14:textFill>
            <w14:solidFill>
              <w14:schemeClr w14:val="tx1"/>
            </w14:solidFill>
          </w14:textFill>
        </w:rPr>
        <w:t xml:space="preserve"> the size and hardness of </w:t>
      </w:r>
      <w:r>
        <w:rPr>
          <w:rFonts w:ascii="Calibri" w:hAnsi="Calibri" w:cs="Calibri"/>
          <w:color w:val="000000" w:themeColor="text1"/>
          <w:sz w:val="24"/>
          <w:szCs w:val="24"/>
          <w14:textFill>
            <w14:solidFill>
              <w14:schemeClr w14:val="tx1"/>
            </w14:solidFill>
          </w14:textFill>
        </w:rPr>
        <w:t>any palpable</w:t>
      </w:r>
      <w:r>
        <w:rPr>
          <w:rFonts w:ascii="Calibri" w:hAnsi="Calibri"/>
          <w:color w:val="000000" w:themeColor="text1"/>
          <w:sz w:val="24"/>
          <w14:textFill>
            <w14:solidFill>
              <w14:schemeClr w14:val="tx1"/>
            </w14:solidFill>
          </w14:textFill>
        </w:rPr>
        <w:t xml:space="preserve"> induration.</w:t>
      </w:r>
    </w:p>
    <w:p w14:paraId="58B8EFA7">
      <w:pPr>
        <w:spacing w:line="0" w:lineRule="atLeast"/>
        <w:rPr>
          <w:color w:val="000000" w:themeColor="text1"/>
          <w14:textFill>
            <w14:solidFill>
              <w14:schemeClr w14:val="tx1"/>
            </w14:solidFill>
          </w14:textFill>
        </w:rPr>
      </w:pPr>
    </w:p>
    <w:p w14:paraId="00123827">
      <w:pPr>
        <w:pStyle w:val="25"/>
        <w:numPr>
          <w:ilvl w:val="1"/>
          <w:numId w:val="3"/>
        </w:numPr>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Perform</w:t>
      </w:r>
      <w:r>
        <w:rPr>
          <w:rFonts w:ascii="Calibri" w:hAnsi="Calibri"/>
          <w:color w:val="000000" w:themeColor="text1"/>
          <w:sz w:val="24"/>
          <w14:textFill>
            <w14:solidFill>
              <w14:schemeClr w14:val="tx1"/>
            </w14:solidFill>
          </w14:textFill>
        </w:rPr>
        <w:t xml:space="preserve"> ultrasound </w:t>
      </w:r>
      <w:r>
        <w:rPr>
          <w:rFonts w:ascii="Calibri" w:hAnsi="Calibri" w:eastAsia="宋体" w:cs="Calibri"/>
          <w:color w:val="000000" w:themeColor="text1"/>
          <w:sz w:val="24"/>
          <w:szCs w:val="24"/>
          <w:lang w:eastAsia="zh-CN"/>
          <w14:textFill>
            <w14:solidFill>
              <w14:schemeClr w14:val="tx1"/>
            </w14:solidFill>
          </w14:textFill>
        </w:rPr>
        <w:t>evaluation</w:t>
      </w:r>
    </w:p>
    <w:p w14:paraId="062752F4">
      <w:pPr>
        <w:spacing w:line="0" w:lineRule="atLeast"/>
        <w:rPr>
          <w:rFonts w:eastAsia="宋体"/>
          <w:color w:val="000000" w:themeColor="text1"/>
          <w:lang w:eastAsia="zh-CN"/>
          <w14:textFill>
            <w14:solidFill>
              <w14:schemeClr w14:val="tx1"/>
            </w14:solidFill>
          </w14:textFill>
        </w:rPr>
      </w:pPr>
    </w:p>
    <w:p w14:paraId="7D7FE7B6">
      <w:pPr>
        <w:pStyle w:val="25"/>
        <w:numPr>
          <w:ilvl w:val="2"/>
          <w:numId w:val="3"/>
        </w:numPr>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Perform transverse and longitudinal ultrasound scanning of the palmar aspect of the MCP joint using a color Doppler ultrasound system equipped with a high-frequency linear array probe (7–15 MHz).</w:t>
      </w:r>
    </w:p>
    <w:p w14:paraId="0C17CD3B">
      <w:pPr>
        <w:pStyle w:val="25"/>
        <w:spacing w:after="0" w:line="0" w:lineRule="atLeast"/>
        <w:jc w:val="both"/>
        <w:rPr>
          <w:b/>
          <w:color w:val="000000" w:themeColor="text1"/>
          <w14:textFill>
            <w14:solidFill>
              <w14:schemeClr w14:val="tx1"/>
            </w14:solidFill>
          </w14:textFill>
        </w:rPr>
      </w:pPr>
    </w:p>
    <w:p w14:paraId="238B6631">
      <w:pPr>
        <w:pStyle w:val="25"/>
        <w:spacing w:after="0" w:line="0" w:lineRule="atLeast"/>
        <w:ind w:left="0"/>
        <w:jc w:val="both"/>
        <w:rPr>
          <w:rFonts w:ascii="Calibri" w:hAnsi="Calibri" w:eastAsia="宋体" w:cs="Calibri"/>
          <w:color w:val="000000" w:themeColor="text1"/>
          <w:sz w:val="24"/>
          <w:szCs w:val="24"/>
          <w:lang w:eastAsia="zh-CN"/>
          <w14:textFill>
            <w14:solidFill>
              <w14:schemeClr w14:val="tx1"/>
            </w14:solidFill>
          </w14:textFill>
        </w:rPr>
      </w:pPr>
      <w:r>
        <w:rPr>
          <w:rFonts w:ascii="Calibri" w:hAnsi="Calibri" w:cs="Calibri"/>
          <w:b/>
          <w:bCs/>
          <w:color w:val="000000" w:themeColor="text1"/>
          <w:sz w:val="24"/>
          <w:szCs w:val="24"/>
          <w14:textFill>
            <w14:solidFill>
              <w14:schemeClr w14:val="tx1"/>
            </w14:solidFill>
          </w14:textFill>
        </w:rPr>
        <w:t>NOTE:</w:t>
      </w:r>
      <w:r>
        <w:rPr>
          <w:rFonts w:ascii="Calibri" w:hAnsi="Calibri" w:cs="Calibri"/>
          <w:color w:val="000000" w:themeColor="text1"/>
          <w:sz w:val="24"/>
          <w:szCs w:val="24"/>
          <w14:textFill>
            <w14:solidFill>
              <w14:schemeClr w14:val="tx1"/>
            </w14:solidFill>
          </w14:textFill>
        </w:rPr>
        <w:t xml:space="preserve"> Standardized imaging parameters: (1) imaging depth: 2.0–3.0 cm; (2) overall gain: 45%–60%; (3) time-gain compensation: adjust to achieve uniform gray-scale brightness from superficial to deep layers; (4) focus position: set at the level of the flexor tendon and MCP joint space; and (5) color Doppler gain: adjust to just below the level of background noise to minimize artifacts.</w:t>
      </w:r>
    </w:p>
    <w:p w14:paraId="75FD2190">
      <w:pPr>
        <w:pStyle w:val="25"/>
        <w:spacing w:after="0" w:line="0" w:lineRule="atLeast"/>
        <w:jc w:val="both"/>
        <w:rPr>
          <w:color w:val="000000" w:themeColor="text1"/>
          <w:lang w:eastAsia="zh-CN"/>
          <w14:textFill>
            <w14:solidFill>
              <w14:schemeClr w14:val="tx1"/>
            </w14:solidFill>
          </w14:textFill>
        </w:rPr>
      </w:pPr>
    </w:p>
    <w:p w14:paraId="506B11BC">
      <w:pPr>
        <w:pStyle w:val="25"/>
        <w:numPr>
          <w:ilvl w:val="2"/>
          <w:numId w:val="3"/>
        </w:numPr>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Apply sufficient coupling gel to the palmar skin over the MCP joint. Place the probe gently and perpendicularly on the skin without excessive compression. Move the probe slowly in transverse and longitudinal planes to obtain clear sonographic images.</w:t>
      </w:r>
    </w:p>
    <w:p w14:paraId="219F434E">
      <w:pPr>
        <w:pStyle w:val="25"/>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p>
    <w:p w14:paraId="06D0C449">
      <w:pPr>
        <w:pStyle w:val="25"/>
        <w:numPr>
          <w:ilvl w:val="2"/>
          <w:numId w:val="3"/>
        </w:numPr>
        <w:spacing w:after="0" w:line="0" w:lineRule="atLeast"/>
        <w:jc w:val="both"/>
        <w:rPr>
          <w:rFonts w:ascii="Calibri" w:hAnsi="Calibri"/>
          <w:color w:val="000000" w:themeColor="text1"/>
          <w:sz w:val="24"/>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Assess tendon sheath thickness, tendon swelling, and the presence of peritendinous synovitis (including synovial hypertrophy and effusion) under standardized gray-scale and color Doppler settings.</w:t>
      </w:r>
    </w:p>
    <w:p w14:paraId="77581C3F">
      <w:pPr>
        <w:pStyle w:val="25"/>
        <w:spacing w:after="0" w:line="0" w:lineRule="atLeast"/>
        <w:jc w:val="both"/>
        <w:rPr>
          <w:rFonts w:ascii="Calibri" w:hAnsi="Calibri"/>
          <w:color w:val="000000" w:themeColor="text1"/>
          <w:sz w:val="24"/>
          <w14:textFill>
            <w14:solidFill>
              <w14:schemeClr w14:val="tx1"/>
            </w14:solidFill>
          </w14:textFill>
        </w:rPr>
      </w:pPr>
    </w:p>
    <w:p w14:paraId="59CFA5FA">
      <w:pPr>
        <w:pStyle w:val="25"/>
        <w:numPr>
          <w:ilvl w:val="2"/>
          <w:numId w:val="3"/>
        </w:numPr>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Instruct</w:t>
      </w:r>
      <w:r>
        <w:rPr>
          <w:rFonts w:ascii="Calibri" w:hAnsi="Calibri"/>
          <w:color w:val="000000" w:themeColor="text1"/>
          <w:sz w:val="24"/>
          <w14:textFill>
            <w14:solidFill>
              <w14:schemeClr w14:val="tx1"/>
            </w14:solidFill>
          </w14:textFill>
        </w:rPr>
        <w:t xml:space="preserve"> the patient to </w:t>
      </w:r>
      <w:r>
        <w:rPr>
          <w:rFonts w:ascii="Calibri" w:hAnsi="Calibri" w:eastAsia="宋体" w:cs="Calibri"/>
          <w:color w:val="000000" w:themeColor="text1"/>
          <w:sz w:val="24"/>
          <w:szCs w:val="24"/>
          <w:lang w:eastAsia="zh-CN"/>
          <w14:textFill>
            <w14:solidFill>
              <w14:schemeClr w14:val="tx1"/>
            </w14:solidFill>
          </w14:textFill>
        </w:rPr>
        <w:t>slowly flex</w:t>
      </w:r>
      <w:r>
        <w:rPr>
          <w:rFonts w:ascii="Calibri" w:hAnsi="Calibri"/>
          <w:color w:val="000000" w:themeColor="text1"/>
          <w:sz w:val="24"/>
          <w14:textFill>
            <w14:solidFill>
              <w14:schemeClr w14:val="tx1"/>
            </w14:solidFill>
          </w14:textFill>
        </w:rPr>
        <w:t xml:space="preserve"> and </w:t>
      </w:r>
      <w:r>
        <w:rPr>
          <w:rFonts w:ascii="Calibri" w:hAnsi="Calibri" w:eastAsia="宋体" w:cs="Calibri"/>
          <w:color w:val="000000" w:themeColor="text1"/>
          <w:sz w:val="24"/>
          <w:szCs w:val="24"/>
          <w:lang w:eastAsia="zh-CN"/>
          <w14:textFill>
            <w14:solidFill>
              <w14:schemeClr w14:val="tx1"/>
            </w14:solidFill>
          </w14:textFill>
        </w:rPr>
        <w:t>extend</w:t>
      </w:r>
      <w:r>
        <w:rPr>
          <w:rFonts w:ascii="Calibri" w:hAnsi="Calibri"/>
          <w:color w:val="000000" w:themeColor="text1"/>
          <w:sz w:val="24"/>
          <w14:textFill>
            <w14:solidFill>
              <w14:schemeClr w14:val="tx1"/>
            </w14:solidFill>
          </w14:textFill>
        </w:rPr>
        <w:t xml:space="preserve"> the affected finger</w:t>
      </w:r>
      <w:r>
        <w:rPr>
          <w:rFonts w:ascii="Calibri" w:hAnsi="Calibri" w:eastAsia="宋体" w:cs="Calibri"/>
          <w:color w:val="000000" w:themeColor="text1"/>
          <w:sz w:val="24"/>
          <w:szCs w:val="24"/>
          <w:lang w:eastAsia="zh-CN"/>
          <w14:textFill>
            <w14:solidFill>
              <w14:schemeClr w14:val="tx1"/>
            </w14:solidFill>
          </w14:textFill>
        </w:rPr>
        <w:t xml:space="preserve"> during scanning.</w:t>
      </w:r>
    </w:p>
    <w:p w14:paraId="5A0E9F84">
      <w:pPr>
        <w:pStyle w:val="25"/>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p>
    <w:p w14:paraId="6F5E4749">
      <w:pPr>
        <w:pStyle w:val="25"/>
        <w:numPr>
          <w:ilvl w:val="2"/>
          <w:numId w:val="3"/>
        </w:numPr>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Observe dynamic tendon gliding in real time. Measure tendon sliding distance using electronic calipers on the ultrasound system, defined as the linear displacement of the proximal edge of the tendon between maximal passive extension and maximal active flexion of the affected finger.</w:t>
      </w:r>
    </w:p>
    <w:p w14:paraId="75EA9F31">
      <w:pPr>
        <w:pStyle w:val="25"/>
        <w:spacing w:after="0" w:line="0" w:lineRule="atLeast"/>
        <w:jc w:val="both"/>
        <w:rPr>
          <w:rFonts w:ascii="Calibri" w:hAnsi="Calibri" w:eastAsia="宋体" w:cs="Calibri"/>
          <w:color w:val="000000" w:themeColor="text1"/>
          <w:sz w:val="24"/>
          <w:szCs w:val="24"/>
          <w:lang w:eastAsia="zh-CN"/>
          <w14:textFill>
            <w14:solidFill>
              <w14:schemeClr w14:val="tx1"/>
            </w14:solidFill>
          </w14:textFill>
        </w:rPr>
      </w:pPr>
    </w:p>
    <w:p w14:paraId="6D8F6622">
      <w:pPr>
        <w:pStyle w:val="25"/>
        <w:numPr>
          <w:ilvl w:val="2"/>
          <w:numId w:val="3"/>
        </w:numPr>
        <w:spacing w:after="0" w:line="0" w:lineRule="atLeast"/>
        <w:jc w:val="both"/>
        <w:rPr>
          <w:rFonts w:ascii="Calibri" w:hAnsi="Calibri"/>
          <w:color w:val="000000" w:themeColor="text1"/>
          <w:sz w:val="24"/>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Determine the extent</w:t>
      </w:r>
      <w:r>
        <w:rPr>
          <w:rFonts w:ascii="Calibri" w:hAnsi="Calibri"/>
          <w:color w:val="000000" w:themeColor="text1"/>
          <w:sz w:val="24"/>
          <w14:textFill>
            <w14:solidFill>
              <w14:schemeClr w14:val="tx1"/>
            </w14:solidFill>
          </w14:textFill>
        </w:rPr>
        <w:t xml:space="preserve"> of stenosis by identifying thickened </w:t>
      </w:r>
      <w:r>
        <w:rPr>
          <w:rFonts w:ascii="Calibri" w:hAnsi="Calibri" w:eastAsia="宋体" w:cs="Calibri"/>
          <w:color w:val="000000" w:themeColor="text1"/>
          <w:sz w:val="24"/>
          <w:szCs w:val="24"/>
          <w:lang w:eastAsia="zh-CN"/>
          <w14:textFill>
            <w14:solidFill>
              <w14:schemeClr w14:val="tx1"/>
            </w14:solidFill>
          </w14:textFill>
        </w:rPr>
        <w:t>regions</w:t>
      </w:r>
      <w:r>
        <w:rPr>
          <w:rFonts w:ascii="Calibri" w:hAnsi="Calibri"/>
          <w:color w:val="000000" w:themeColor="text1"/>
          <w:sz w:val="24"/>
          <w14:textFill>
            <w14:solidFill>
              <w14:schemeClr w14:val="tx1"/>
            </w14:solidFill>
          </w14:textFill>
        </w:rPr>
        <w:t xml:space="preserve"> of the A1 pulley.</w:t>
      </w:r>
    </w:p>
    <w:p w14:paraId="5B9132DD">
      <w:pPr>
        <w:pStyle w:val="25"/>
        <w:spacing w:after="0" w:line="0" w:lineRule="atLeast"/>
        <w:jc w:val="both"/>
        <w:rPr>
          <w:rFonts w:ascii="Calibri" w:hAnsi="Calibri"/>
          <w:color w:val="000000" w:themeColor="text1"/>
          <w:sz w:val="24"/>
          <w14:textFill>
            <w14:solidFill>
              <w14:schemeClr w14:val="tx1"/>
            </w14:solidFill>
          </w14:textFill>
        </w:rPr>
      </w:pPr>
    </w:p>
    <w:p w14:paraId="3BA23E07">
      <w:pPr>
        <w:pStyle w:val="25"/>
        <w:numPr>
          <w:ilvl w:val="2"/>
          <w:numId w:val="3"/>
        </w:numPr>
        <w:spacing w:after="0" w:line="0" w:lineRule="atLeast"/>
        <w:jc w:val="both"/>
        <w:rPr>
          <w:rFonts w:ascii="Calibri" w:hAnsi="Calibri"/>
          <w:color w:val="000000" w:themeColor="text1"/>
          <w:sz w:val="24"/>
          <w14:textFill>
            <w14:solidFill>
              <w14:schemeClr w14:val="tx1"/>
            </w14:solidFill>
          </w14:textFill>
        </w:rPr>
      </w:pPr>
      <w:r>
        <w:rPr>
          <w:rFonts w:ascii="Calibri" w:hAnsi="Calibri" w:eastAsia="宋体" w:cs="Calibri"/>
          <w:color w:val="000000" w:themeColor="text1"/>
          <w:sz w:val="24"/>
          <w:szCs w:val="24"/>
          <w:lang w:eastAsia="zh-CN"/>
          <w14:textFill>
            <w14:solidFill>
              <w14:schemeClr w14:val="tx1"/>
            </w14:solidFill>
          </w14:textFill>
        </w:rPr>
        <w:t>Evaluate inclusion and exclusion criteria based on clinical symptoms, physical examination, and ultrasound findings. All criteria are assessed by a trained and experienced musculoskeletal clinician.</w:t>
      </w:r>
    </w:p>
    <w:p w14:paraId="3319AA6C">
      <w:pPr>
        <w:spacing w:line="0" w:lineRule="atLeast"/>
        <w:rPr>
          <w:color w:val="000000" w:themeColor="text1"/>
          <w14:textFill>
            <w14:solidFill>
              <w14:schemeClr w14:val="tx1"/>
            </w14:solidFill>
          </w14:textFill>
        </w:rPr>
      </w:pPr>
    </w:p>
    <w:p w14:paraId="36756A82">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NOTE:</w:t>
      </w:r>
      <w:r>
        <w:rPr>
          <w:color w:val="000000" w:themeColor="text1"/>
          <w14:textFill>
            <w14:solidFill>
              <w14:schemeClr w14:val="tx1"/>
            </w14:solidFill>
          </w14:textFill>
        </w:rPr>
        <w:t xml:space="preserve"> Inclusion criteria (based on </w:t>
      </w:r>
      <w:r>
        <w:rPr>
          <w:i/>
          <w:color w:val="000000" w:themeColor="text1"/>
          <w14:textFill>
            <w14:solidFill>
              <w14:schemeClr w14:val="tx1"/>
            </w14:solidFill>
          </w14:textFill>
        </w:rPr>
        <w:t xml:space="preserve">Diagnostic and </w:t>
      </w:r>
      <w:r>
        <w:rPr>
          <w:i/>
          <w:iCs/>
          <w:color w:val="000000" w:themeColor="text1"/>
          <w14:textFill>
            <w14:solidFill>
              <w14:schemeClr w14:val="tx1"/>
            </w14:solidFill>
          </w14:textFill>
        </w:rPr>
        <w:t>Therapeutic Criteria</w:t>
      </w:r>
      <w:r>
        <w:rPr>
          <w:i/>
          <w:color w:val="000000" w:themeColor="text1"/>
          <w14:textFill>
            <w14:solidFill>
              <w14:schemeClr w14:val="tx1"/>
            </w14:solidFill>
          </w14:textFill>
        </w:rPr>
        <w:t xml:space="preserve"> of TCM </w:t>
      </w:r>
      <w:r>
        <w:rPr>
          <w:i/>
          <w:iCs/>
          <w:color w:val="000000" w:themeColor="text1"/>
          <w14:textFill>
            <w14:solidFill>
              <w14:schemeClr w14:val="tx1"/>
            </w14:solidFill>
          </w14:textFill>
        </w:rPr>
        <w:t>D</w:t>
      </w:r>
      <w:r>
        <w:rPr>
          <w:i/>
          <w:color w:val="000000" w:themeColor="text1"/>
          <w14:textFill>
            <w14:solidFill>
              <w14:schemeClr w14:val="tx1"/>
            </w14:solidFill>
          </w14:textFill>
        </w:rPr>
        <w:t>iseases</w:t>
      </w:r>
      <w:r>
        <w:rPr>
          <w:color w:val="000000" w:themeColor="text1"/>
          <w14:textFill>
            <w14:solidFill>
              <w14:schemeClr w14:val="tx1"/>
            </w14:solidFill>
          </w14:textFill>
        </w:rPr>
        <w:t>):</w:t>
      </w:r>
    </w:p>
    <w:p w14:paraId="5183DD82">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(1) Pain and localized tenderness at the A1 annular ligament of the MCP joint, VAS ≥4;</w:t>
      </w:r>
    </w:p>
    <w:p w14:paraId="4AD5ADBA">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(2) Triggering or limited flexion/extension, Quinnell grade ≥II;</w:t>
      </w:r>
    </w:p>
    <w:p w14:paraId="027688D3">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(3) No concurrent treatments;</w:t>
      </w:r>
    </w:p>
    <w:p w14:paraId="7527144F">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(4) Informed consent obtained.</w:t>
      </w:r>
    </w:p>
    <w:p w14:paraId="77431CB2">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Exclusion criteria:</w:t>
      </w:r>
    </w:p>
    <w:p w14:paraId="64B0DE8F">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(1) Local or systemic infection;</w:t>
      </w:r>
    </w:p>
    <w:p w14:paraId="70570490">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(2) Coagulation disorders;</w:t>
      </w:r>
    </w:p>
    <w:p w14:paraId="555708BD">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(3) Failure of heart, brain, kidney, or other vital organs;</w:t>
      </w:r>
    </w:p>
    <w:p w14:paraId="06F72164">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(4) Uncontrolled hypertension or unstable blood glucose;</w:t>
      </w:r>
    </w:p>
    <w:p w14:paraId="51C8ADED">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(5) Allergy to local anesthetics;</w:t>
      </w:r>
    </w:p>
    <w:p w14:paraId="40CC2682">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(6) Pregnancy or lactation.</w:t>
      </w:r>
    </w:p>
    <w:p w14:paraId="40CC2683">
      <w:pPr>
        <w:spacing w:line="0" w:lineRule="atLeast"/>
        <w:rPr>
          <w:color w:val="000000" w:themeColor="text1"/>
          <w14:textFill>
            <w14:solidFill>
              <w14:schemeClr w14:val="tx1"/>
            </w14:solidFill>
          </w14:textFill>
        </w:rPr>
      </w:pPr>
    </w:p>
    <w:p w14:paraId="7C5A9FB5">
      <w:pPr>
        <w:pStyle w:val="25"/>
        <w:numPr>
          <w:ilvl w:val="0"/>
          <w:numId w:val="3"/>
        </w:numPr>
        <w:spacing w:after="0" w:line="0" w:lineRule="atLeast"/>
        <w:jc w:val="both"/>
        <w:rPr>
          <w:rFonts w:ascii="Calibri" w:hAnsi="Calibri"/>
          <w:b/>
          <w:bCs/>
          <w:color w:val="000000" w:themeColor="text1"/>
          <w:sz w:val="24"/>
          <w:highlight w:val="none"/>
          <w14:textFill>
            <w14:solidFill>
              <w14:schemeClr w14:val="tx1"/>
            </w14:solidFill>
          </w14:textFill>
        </w:rPr>
      </w:pPr>
      <w:r>
        <w:rPr>
          <w:rFonts w:ascii="Calibri" w:hAnsi="Calibri" w:cs="Calibri"/>
          <w:b/>
          <w:bCs/>
          <w:color w:val="000000" w:themeColor="text1"/>
          <w:sz w:val="24"/>
          <w:szCs w:val="24"/>
          <w:highlight w:val="none"/>
          <w14:textFill>
            <w14:solidFill>
              <w14:schemeClr w14:val="tx1"/>
            </w14:solidFill>
          </w14:textFill>
        </w:rPr>
        <w:t>Perform</w:t>
      </w:r>
      <w:r>
        <w:rPr>
          <w:rFonts w:ascii="Calibri" w:hAnsi="Calibri"/>
          <w:b/>
          <w:bCs/>
          <w:color w:val="000000" w:themeColor="text1"/>
          <w:sz w:val="24"/>
          <w:highlight w:val="none"/>
          <w14:textFill>
            <w14:solidFill>
              <w14:schemeClr w14:val="tx1"/>
            </w14:solidFill>
          </w14:textFill>
        </w:rPr>
        <w:t xml:space="preserve"> preoperative preparation</w:t>
      </w:r>
    </w:p>
    <w:p w14:paraId="08C03CBC">
      <w:pPr>
        <w:pStyle w:val="25"/>
        <w:spacing w:after="0" w:line="0" w:lineRule="atLeast"/>
        <w:ind w:left="360"/>
        <w:jc w:val="both"/>
        <w:rPr>
          <w:rFonts w:ascii="Calibri" w:hAnsi="Calibri"/>
          <w:color w:val="000000" w:themeColor="text1"/>
          <w:sz w:val="24"/>
          <w14:textFill>
            <w14:solidFill>
              <w14:schemeClr w14:val="tx1"/>
            </w14:solidFill>
          </w14:textFill>
        </w:rPr>
      </w:pPr>
    </w:p>
    <w:p w14:paraId="1490EE97">
      <w:pPr>
        <w:pStyle w:val="25"/>
        <w:numPr>
          <w:ilvl w:val="1"/>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Prepare</w:t>
      </w:r>
      <w:r>
        <w:rPr>
          <w:rFonts w:ascii="Calibri" w:hAnsi="Calibri"/>
          <w:color w:val="000000" w:themeColor="text1"/>
          <w:sz w:val="24"/>
          <w14:textFill>
            <w14:solidFill>
              <w14:schemeClr w14:val="tx1"/>
            </w14:solidFill>
          </w14:textFill>
        </w:rPr>
        <w:t xml:space="preserve"> the environment</w:t>
      </w:r>
    </w:p>
    <w:p w14:paraId="171DD2A7">
      <w:pPr>
        <w:spacing w:line="0" w:lineRule="atLeast"/>
        <w:rPr>
          <w:color w:val="000000" w:themeColor="text1"/>
          <w14:textFill>
            <w14:solidFill>
              <w14:schemeClr w14:val="tx1"/>
            </w14:solidFill>
          </w14:textFill>
        </w:rPr>
      </w:pPr>
    </w:p>
    <w:p w14:paraId="6E270231">
      <w:pPr>
        <w:pStyle w:val="25"/>
        <w:numPr>
          <w:ilvl w:val="2"/>
          <w:numId w:val="4"/>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Disinfect the operating room using ultraviolet (UV) air sterilization for 60 min prior to the procedure. Use a 253.7 nm germicidal UV lamp with an irradiation intensity of ≥70 μW/cm² at a distance of 1.0 m from the target surface. Ensure that the room is closed and unoccupied during irradiation, and that surfaces are free of obstructions to allow uniform exposure.</w:t>
      </w:r>
    </w:p>
    <w:p w14:paraId="698C1479">
      <w:pPr>
        <w:spacing w:line="0" w:lineRule="atLeast"/>
        <w:rPr>
          <w:color w:val="000000" w:themeColor="text1"/>
          <w14:textFill>
            <w14:solidFill>
              <w14:schemeClr w14:val="tx1"/>
            </w14:solidFill>
          </w14:textFill>
        </w:rPr>
      </w:pPr>
    </w:p>
    <w:p w14:paraId="3DFA5DC5">
      <w:pPr>
        <w:pStyle w:val="25"/>
        <w:numPr>
          <w:ilvl w:val="2"/>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Clean the treatment table and surrounding area</w:t>
      </w:r>
      <w:r>
        <w:rPr>
          <w:rFonts w:ascii="Calibri" w:hAnsi="Calibri" w:cs="Calibri"/>
          <w:color w:val="000000" w:themeColor="text1"/>
          <w:sz w:val="24"/>
          <w:szCs w:val="24"/>
          <w:highlight w:val="yellow"/>
          <w14:textFill>
            <w14:solidFill>
              <w14:schemeClr w14:val="tx1"/>
            </w14:solidFill>
          </w14:textFill>
        </w:rPr>
        <w:t>. Cover the surface</w:t>
      </w:r>
      <w:r>
        <w:rPr>
          <w:rFonts w:ascii="Calibri" w:hAnsi="Calibri"/>
          <w:color w:val="000000" w:themeColor="text1"/>
          <w:sz w:val="24"/>
          <w:highlight w:val="yellow"/>
          <w14:textFill>
            <w14:solidFill>
              <w14:schemeClr w14:val="tx1"/>
            </w14:solidFill>
          </w14:textFill>
        </w:rPr>
        <w:t xml:space="preserve"> with a sterile drape.</w:t>
      </w:r>
    </w:p>
    <w:p w14:paraId="48EC130D">
      <w:pPr>
        <w:spacing w:line="0" w:lineRule="atLeast"/>
        <w:rPr>
          <w:color w:val="000000" w:themeColor="text1"/>
          <w14:textFill>
            <w14:solidFill>
              <w14:schemeClr w14:val="tx1"/>
            </w14:solidFill>
          </w14:textFill>
        </w:rPr>
      </w:pPr>
    </w:p>
    <w:p w14:paraId="5177A97E">
      <w:pPr>
        <w:pStyle w:val="25"/>
        <w:numPr>
          <w:ilvl w:val="1"/>
          <w:numId w:val="4"/>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Prepare materials</w:t>
      </w:r>
    </w:p>
    <w:p w14:paraId="5AA55877">
      <w:pPr>
        <w:pStyle w:val="25"/>
        <w:spacing w:after="0" w:line="0" w:lineRule="atLeast"/>
        <w:ind w:left="360"/>
        <w:jc w:val="both"/>
        <w:rPr>
          <w:rFonts w:ascii="Calibri" w:hAnsi="Calibri" w:cs="Calibri"/>
          <w:color w:val="000000" w:themeColor="text1"/>
          <w:sz w:val="24"/>
          <w:szCs w:val="24"/>
          <w14:textFill>
            <w14:solidFill>
              <w14:schemeClr w14:val="tx1"/>
            </w14:solidFill>
          </w14:textFill>
        </w:rPr>
      </w:pPr>
    </w:p>
    <w:p w14:paraId="40CC268F">
      <w:pPr>
        <w:pStyle w:val="25"/>
        <w:numPr>
          <w:ilvl w:val="2"/>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Arrange</w:t>
      </w:r>
      <w:r>
        <w:rPr>
          <w:rFonts w:ascii="Calibri" w:hAnsi="Calibri"/>
          <w:color w:val="000000" w:themeColor="text1"/>
          <w:sz w:val="24"/>
          <w:highlight w:val="yellow"/>
          <w14:textFill>
            <w14:solidFill>
              <w14:schemeClr w14:val="tx1"/>
            </w14:solidFill>
          </w14:textFill>
        </w:rPr>
        <w:t xml:space="preserve"> all required materials on </w:t>
      </w:r>
      <w:r>
        <w:rPr>
          <w:rFonts w:ascii="Calibri" w:hAnsi="Calibri" w:cs="Calibri"/>
          <w:color w:val="000000" w:themeColor="text1"/>
          <w:sz w:val="24"/>
          <w:szCs w:val="24"/>
          <w:highlight w:val="yellow"/>
          <w14:textFill>
            <w14:solidFill>
              <w14:schemeClr w14:val="tx1"/>
            </w14:solidFill>
          </w14:textFill>
        </w:rPr>
        <w:t>a</w:t>
      </w:r>
      <w:r>
        <w:rPr>
          <w:rFonts w:ascii="Calibri" w:hAnsi="Calibri"/>
          <w:color w:val="000000" w:themeColor="text1"/>
          <w:sz w:val="24"/>
          <w:highlight w:val="yellow"/>
          <w14:textFill>
            <w14:solidFill>
              <w14:schemeClr w14:val="tx1"/>
            </w14:solidFill>
          </w14:textFill>
        </w:rPr>
        <w:t xml:space="preserve"> clean and disinfected treatment table according to the </w:t>
      </w:r>
      <w:r>
        <w:rPr>
          <w:rFonts w:ascii="Calibri" w:hAnsi="Calibri" w:cs="Calibri"/>
          <w:color w:val="000000" w:themeColor="text1"/>
          <w:sz w:val="24"/>
          <w:szCs w:val="24"/>
          <w:highlight w:val="yellow"/>
          <w14:textFill>
            <w14:solidFill>
              <w14:schemeClr w14:val="tx1"/>
            </w14:solidFill>
          </w14:textFill>
        </w:rPr>
        <w:t>procedural</w:t>
      </w:r>
      <w:r>
        <w:rPr>
          <w:rFonts w:ascii="Calibri" w:hAnsi="Calibri"/>
          <w:color w:val="000000" w:themeColor="text1"/>
          <w:sz w:val="24"/>
          <w:highlight w:val="yellow"/>
          <w14:textFill>
            <w14:solidFill>
              <w14:schemeClr w14:val="tx1"/>
            </w14:solidFill>
          </w14:textFill>
        </w:rPr>
        <w:t xml:space="preserve"> sequence (</w:t>
      </w:r>
      <w:r>
        <w:rPr>
          <w:rFonts w:ascii="Calibri" w:hAnsi="Calibri"/>
          <w:b/>
          <w:color w:val="000000" w:themeColor="text1"/>
          <w:sz w:val="24"/>
          <w:highlight w:val="yellow"/>
          <w14:textFill>
            <w14:solidFill>
              <w14:schemeClr w14:val="tx1"/>
            </w14:solidFill>
          </w14:textFill>
        </w:rPr>
        <w:t>Figure 1</w:t>
      </w:r>
      <w:r>
        <w:rPr>
          <w:rFonts w:ascii="Calibri" w:hAnsi="Calibri"/>
          <w:color w:val="000000" w:themeColor="text1"/>
          <w:sz w:val="24"/>
          <w:highlight w:val="yellow"/>
          <w14:textFill>
            <w14:solidFill>
              <w14:schemeClr w14:val="tx1"/>
            </w14:solidFill>
          </w14:textFill>
        </w:rPr>
        <w:t>).</w:t>
      </w:r>
    </w:p>
    <w:p w14:paraId="624AEDEA">
      <w:pPr>
        <w:spacing w:line="0" w:lineRule="atLeast"/>
        <w:rPr>
          <w:color w:val="000000" w:themeColor="text1"/>
          <w14:textFill>
            <w14:solidFill>
              <w14:schemeClr w14:val="tx1"/>
            </w14:solidFill>
          </w14:textFill>
        </w:rPr>
      </w:pPr>
    </w:p>
    <w:p w14:paraId="2C20388A">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[Place Figure 1 here]</w:t>
      </w:r>
    </w:p>
    <w:p w14:paraId="0460261E">
      <w:pPr>
        <w:spacing w:line="0" w:lineRule="atLeast"/>
        <w:rPr>
          <w:color w:val="000000" w:themeColor="text1"/>
          <w14:textFill>
            <w14:solidFill>
              <w14:schemeClr w14:val="tx1"/>
            </w14:solidFill>
          </w14:textFill>
        </w:rPr>
      </w:pPr>
    </w:p>
    <w:p w14:paraId="40CC2690">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NOTE:</w:t>
      </w:r>
      <w:r>
        <w:rPr>
          <w:color w:val="000000" w:themeColor="text1"/>
          <w14:textFill>
            <w14:solidFill>
              <w14:schemeClr w14:val="tx1"/>
            </w14:solidFill>
          </w14:textFill>
        </w:rPr>
        <w:t xml:space="preserve"> Detailed information for all materials used in this protocol is provided in the </w:t>
      </w:r>
      <w:r>
        <w:rPr>
          <w:b/>
          <w:bCs/>
          <w:color w:val="000000" w:themeColor="text1"/>
          <w14:textFill>
            <w14:solidFill>
              <w14:schemeClr w14:val="tx1"/>
            </w14:solidFill>
          </w14:textFill>
        </w:rPr>
        <w:t>Table of Materials</w:t>
      </w:r>
      <w:r>
        <w:rPr>
          <w:color w:val="000000" w:themeColor="text1"/>
          <w14:textFill>
            <w14:solidFill>
              <w14:schemeClr w14:val="tx1"/>
            </w14:solidFill>
          </w14:textFill>
        </w:rPr>
        <w:t xml:space="preserve">. </w:t>
      </w:r>
    </w:p>
    <w:p w14:paraId="40CC2692">
      <w:pPr>
        <w:spacing w:line="0" w:lineRule="atLeast"/>
        <w:rPr>
          <w:color w:val="000000" w:themeColor="text1"/>
          <w14:textFill>
            <w14:solidFill>
              <w14:schemeClr w14:val="tx1"/>
            </w14:solidFill>
          </w14:textFill>
        </w:rPr>
      </w:pPr>
    </w:p>
    <w:p w14:paraId="5B29114B">
      <w:pPr>
        <w:pStyle w:val="25"/>
        <w:numPr>
          <w:ilvl w:val="1"/>
          <w:numId w:val="4"/>
        </w:numPr>
        <w:spacing w:after="0" w:line="0" w:lineRule="atLeast"/>
        <w:jc w:val="both"/>
        <w:rPr>
          <w:rFonts w:ascii="Calibri" w:hAnsi="Calibri"/>
          <w:color w:val="000000" w:themeColor="text1"/>
          <w:sz w:val="24"/>
          <w:highlight w:val="none"/>
          <w14:textFill>
            <w14:solidFill>
              <w14:schemeClr w14:val="tx1"/>
            </w14:solidFill>
          </w14:textFill>
        </w:rPr>
      </w:pPr>
      <w:r>
        <w:rPr>
          <w:rFonts w:ascii="Calibri" w:hAnsi="Calibri" w:cs="Calibri"/>
          <w:color w:val="000000" w:themeColor="text1"/>
          <w:sz w:val="24"/>
          <w:szCs w:val="24"/>
          <w:highlight w:val="none"/>
          <w14:textFill>
            <w14:solidFill>
              <w14:schemeClr w14:val="tx1"/>
            </w14:solidFill>
          </w14:textFill>
        </w:rPr>
        <w:t>Position</w:t>
      </w:r>
      <w:r>
        <w:rPr>
          <w:rFonts w:ascii="Calibri" w:hAnsi="Calibri"/>
          <w:color w:val="000000" w:themeColor="text1"/>
          <w:sz w:val="24"/>
          <w:highlight w:val="none"/>
          <w14:textFill>
            <w14:solidFill>
              <w14:schemeClr w14:val="tx1"/>
            </w14:solidFill>
          </w14:textFill>
        </w:rPr>
        <w:t xml:space="preserve"> the patient</w:t>
      </w:r>
    </w:p>
    <w:p w14:paraId="51893EEA">
      <w:pPr>
        <w:spacing w:line="0" w:lineRule="atLeast"/>
        <w:rPr>
          <w:color w:val="000000" w:themeColor="text1"/>
          <w:highlight w:val="none"/>
          <w14:textFill>
            <w14:solidFill>
              <w14:schemeClr w14:val="tx1"/>
            </w14:solidFill>
          </w14:textFill>
        </w:rPr>
      </w:pPr>
    </w:p>
    <w:p w14:paraId="193F7A97">
      <w:pPr>
        <w:pStyle w:val="25"/>
        <w:numPr>
          <w:ilvl w:val="2"/>
          <w:numId w:val="4"/>
        </w:numPr>
        <w:spacing w:after="0" w:line="0" w:lineRule="atLeast"/>
        <w:jc w:val="both"/>
        <w:rPr>
          <w:rFonts w:ascii="Calibri" w:hAnsi="Calibri" w:cs="Calibri"/>
          <w:color w:val="000000" w:themeColor="text1"/>
          <w:sz w:val="24"/>
          <w:szCs w:val="24"/>
          <w:highlight w:val="none"/>
          <w14:textFill>
            <w14:solidFill>
              <w14:schemeClr w14:val="tx1"/>
            </w14:solidFill>
          </w14:textFill>
        </w:rPr>
      </w:pPr>
      <w:r>
        <w:rPr>
          <w:rFonts w:ascii="Calibri" w:hAnsi="Calibri"/>
          <w:color w:val="000000" w:themeColor="text1"/>
          <w:sz w:val="24"/>
          <w:highlight w:val="none"/>
          <w14:textFill>
            <w14:solidFill>
              <w14:schemeClr w14:val="tx1"/>
            </w14:solidFill>
          </w14:textFill>
        </w:rPr>
        <w:t>Instruct the patient to sit upright facing the treatment bed</w:t>
      </w:r>
      <w:r>
        <w:rPr>
          <w:rFonts w:ascii="Calibri" w:hAnsi="Calibri" w:cs="Calibri"/>
          <w:color w:val="000000" w:themeColor="text1"/>
          <w:sz w:val="24"/>
          <w:szCs w:val="24"/>
          <w:highlight w:val="none"/>
          <w14:textFill>
            <w14:solidFill>
              <w14:schemeClr w14:val="tx1"/>
            </w14:solidFill>
          </w14:textFill>
        </w:rPr>
        <w:t>.</w:t>
      </w:r>
    </w:p>
    <w:p w14:paraId="334EB5B1">
      <w:pPr>
        <w:spacing w:line="0" w:lineRule="atLeast"/>
        <w:rPr>
          <w:color w:val="000000" w:themeColor="text1"/>
          <w:highlight w:val="none"/>
          <w14:textFill>
            <w14:solidFill>
              <w14:schemeClr w14:val="tx1"/>
            </w14:solidFill>
          </w14:textFill>
        </w:rPr>
      </w:pPr>
    </w:p>
    <w:p w14:paraId="6D9D2209">
      <w:pPr>
        <w:pStyle w:val="25"/>
        <w:numPr>
          <w:ilvl w:val="2"/>
          <w:numId w:val="4"/>
        </w:numPr>
        <w:spacing w:after="0" w:line="0" w:lineRule="atLeast"/>
        <w:jc w:val="both"/>
        <w:rPr>
          <w:rFonts w:ascii="Calibri" w:hAnsi="Calibri"/>
          <w:color w:val="000000" w:themeColor="text1"/>
          <w:sz w:val="24"/>
          <w:highlight w:val="none"/>
          <w14:textFill>
            <w14:solidFill>
              <w14:schemeClr w14:val="tx1"/>
            </w14:solidFill>
          </w14:textFill>
        </w:rPr>
      </w:pPr>
      <w:r>
        <w:rPr>
          <w:rFonts w:ascii="Calibri" w:hAnsi="Calibri" w:cs="Calibri"/>
          <w:color w:val="000000" w:themeColor="text1"/>
          <w:sz w:val="24"/>
          <w:szCs w:val="24"/>
          <w:highlight w:val="none"/>
          <w14:textFill>
            <w14:solidFill>
              <w14:schemeClr w14:val="tx1"/>
            </w14:solidFill>
          </w14:textFill>
        </w:rPr>
        <w:t>P</w:t>
      </w:r>
      <w:r>
        <w:rPr>
          <w:rFonts w:ascii="Calibri" w:hAnsi="Calibri"/>
          <w:color w:val="000000" w:themeColor="text1"/>
          <w:sz w:val="24"/>
          <w:highlight w:val="none"/>
          <w14:textFill>
            <w14:solidFill>
              <w14:schemeClr w14:val="tx1"/>
            </w14:solidFill>
          </w14:textFill>
        </w:rPr>
        <w:t>lace the affected upper limb on the treatment table</w:t>
      </w:r>
      <w:r>
        <w:rPr>
          <w:rFonts w:ascii="Calibri" w:hAnsi="Calibri" w:cs="Calibri"/>
          <w:color w:val="000000" w:themeColor="text1"/>
          <w:sz w:val="24"/>
          <w:szCs w:val="24"/>
          <w:highlight w:val="none"/>
          <w14:textFill>
            <w14:solidFill>
              <w14:schemeClr w14:val="tx1"/>
            </w14:solidFill>
          </w14:textFill>
        </w:rPr>
        <w:t xml:space="preserve"> with the elbow flexed at 90°.</w:t>
      </w:r>
    </w:p>
    <w:p w14:paraId="402FB233">
      <w:pPr>
        <w:spacing w:line="0" w:lineRule="atLeast"/>
        <w:rPr>
          <w:color w:val="000000" w:themeColor="text1"/>
          <w:highlight w:val="none"/>
          <w14:textFill>
            <w14:solidFill>
              <w14:schemeClr w14:val="tx1"/>
            </w14:solidFill>
          </w14:textFill>
        </w:rPr>
      </w:pPr>
    </w:p>
    <w:p w14:paraId="00D41CFB">
      <w:pPr>
        <w:pStyle w:val="25"/>
        <w:numPr>
          <w:ilvl w:val="2"/>
          <w:numId w:val="4"/>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Position the forearm on a soft pillow (height: 12 cm). Place the pillow to fully support the forearm from the elbow to the wrist, maintaining the arm in a relaxed, neutral position without tension on the soft tissues.</w:t>
      </w:r>
    </w:p>
    <w:p w14:paraId="6468837A">
      <w:pPr>
        <w:spacing w:line="0" w:lineRule="atLeast"/>
        <w:rPr>
          <w:color w:val="000000" w:themeColor="text1"/>
          <w14:textFill>
            <w14:solidFill>
              <w14:schemeClr w14:val="tx1"/>
            </w14:solidFill>
          </w14:textFill>
        </w:rPr>
      </w:pPr>
    </w:p>
    <w:p w14:paraId="40CC2698">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Position the hand with the thumb abducted at 30°–45° and the palm facing upward.</w:t>
      </w:r>
    </w:p>
    <w:p w14:paraId="4DC85A39">
      <w:pPr>
        <w:spacing w:line="0" w:lineRule="atLeast"/>
        <w:rPr>
          <w:color w:val="000000" w:themeColor="text1"/>
          <w14:textFill>
            <w14:solidFill>
              <w14:schemeClr w14:val="tx1"/>
            </w14:solidFill>
          </w14:textFill>
        </w:rPr>
      </w:pPr>
    </w:p>
    <w:p w14:paraId="33693519">
      <w:pPr>
        <w:pStyle w:val="25"/>
        <w:numPr>
          <w:ilvl w:val="1"/>
          <w:numId w:val="4"/>
        </w:numPr>
        <w:spacing w:after="0" w:line="0" w:lineRule="atLeast"/>
        <w:jc w:val="both"/>
        <w:rPr>
          <w:rFonts w:ascii="Calibri" w:hAnsi="Calibri"/>
          <w:color w:val="000000" w:themeColor="text1"/>
          <w:sz w:val="24"/>
          <w:highlight w:val="none"/>
          <w14:textFill>
            <w14:solidFill>
              <w14:schemeClr w14:val="tx1"/>
            </w14:solidFill>
          </w14:textFill>
        </w:rPr>
      </w:pPr>
      <w:r>
        <w:rPr>
          <w:rFonts w:ascii="Calibri" w:hAnsi="Calibri" w:cs="Calibri"/>
          <w:color w:val="000000" w:themeColor="text1"/>
          <w:sz w:val="24"/>
          <w:szCs w:val="24"/>
          <w:highlight w:val="none"/>
          <w14:textFill>
            <w14:solidFill>
              <w14:schemeClr w14:val="tx1"/>
            </w14:solidFill>
          </w14:textFill>
        </w:rPr>
        <w:t>Prepare</w:t>
      </w:r>
      <w:r>
        <w:rPr>
          <w:rFonts w:ascii="Calibri" w:hAnsi="Calibri"/>
          <w:color w:val="000000" w:themeColor="text1"/>
          <w:sz w:val="24"/>
          <w:highlight w:val="none"/>
          <w14:textFill>
            <w14:solidFill>
              <w14:schemeClr w14:val="tx1"/>
            </w14:solidFill>
          </w14:textFill>
        </w:rPr>
        <w:t xml:space="preserve"> the operator</w:t>
      </w:r>
    </w:p>
    <w:p w14:paraId="6626D02E">
      <w:pPr>
        <w:spacing w:line="0" w:lineRule="atLeast"/>
        <w:rPr>
          <w:color w:val="000000" w:themeColor="text1"/>
          <w14:textFill>
            <w14:solidFill>
              <w14:schemeClr w14:val="tx1"/>
            </w14:solidFill>
          </w14:textFill>
        </w:rPr>
      </w:pPr>
    </w:p>
    <w:p w14:paraId="7A0D5537">
      <w:pPr>
        <w:pStyle w:val="25"/>
        <w:numPr>
          <w:ilvl w:val="2"/>
          <w:numId w:val="4"/>
        </w:numPr>
        <w:spacing w:after="0" w:line="0" w:lineRule="atLeast"/>
        <w:jc w:val="both"/>
        <w:rPr>
          <w:rFonts w:ascii="Calibri" w:hAnsi="Calibri" w:cs="Calibri"/>
          <w:color w:val="000000" w:themeColor="text1"/>
          <w:sz w:val="24"/>
          <w:szCs w:val="24"/>
          <w:highlight w:val="none"/>
          <w14:textFill>
            <w14:solidFill>
              <w14:schemeClr w14:val="tx1"/>
            </w14:solidFill>
          </w14:textFill>
        </w:rPr>
      </w:pPr>
      <w:r>
        <w:rPr>
          <w:rFonts w:ascii="Calibri" w:hAnsi="Calibri"/>
          <w:color w:val="000000" w:themeColor="text1"/>
          <w:sz w:val="24"/>
          <w:highlight w:val="none"/>
          <w14:textFill>
            <w14:solidFill>
              <w14:schemeClr w14:val="tx1"/>
            </w14:solidFill>
          </w14:textFill>
        </w:rPr>
        <w:t>Wear surgical attire, cap, and mask</w:t>
      </w:r>
      <w:r>
        <w:rPr>
          <w:rFonts w:ascii="Calibri" w:hAnsi="Calibri" w:cs="Calibri"/>
          <w:color w:val="000000" w:themeColor="text1"/>
          <w:sz w:val="24"/>
          <w:szCs w:val="24"/>
          <w:highlight w:val="none"/>
          <w14:textFill>
            <w14:solidFill>
              <w14:schemeClr w14:val="tx1"/>
            </w14:solidFill>
          </w14:textFill>
        </w:rPr>
        <w:t xml:space="preserve">. Ensure complete coverage of the </w:t>
      </w:r>
      <w:r>
        <w:rPr>
          <w:rFonts w:ascii="Calibri" w:hAnsi="Calibri"/>
          <w:color w:val="000000" w:themeColor="text1"/>
          <w:sz w:val="24"/>
          <w:highlight w:val="none"/>
          <w14:textFill>
            <w14:solidFill>
              <w14:schemeClr w14:val="tx1"/>
            </w14:solidFill>
          </w14:textFill>
        </w:rPr>
        <w:t>mouth, nose</w:t>
      </w:r>
      <w:r>
        <w:rPr>
          <w:rFonts w:ascii="Calibri" w:hAnsi="Calibri" w:cs="Calibri"/>
          <w:color w:val="000000" w:themeColor="text1"/>
          <w:sz w:val="24"/>
          <w:szCs w:val="24"/>
          <w:highlight w:val="none"/>
          <w14:textFill>
            <w14:solidFill>
              <w14:schemeClr w14:val="tx1"/>
            </w14:solidFill>
          </w14:textFill>
        </w:rPr>
        <w:t>,</w:t>
      </w:r>
      <w:r>
        <w:rPr>
          <w:rFonts w:ascii="Calibri" w:hAnsi="Calibri"/>
          <w:color w:val="000000" w:themeColor="text1"/>
          <w:sz w:val="24"/>
          <w:highlight w:val="none"/>
          <w14:textFill>
            <w14:solidFill>
              <w14:schemeClr w14:val="tx1"/>
            </w14:solidFill>
          </w14:textFill>
        </w:rPr>
        <w:t xml:space="preserve"> and hair</w:t>
      </w:r>
      <w:r>
        <w:rPr>
          <w:rFonts w:ascii="Calibri" w:hAnsi="Calibri" w:cs="Calibri"/>
          <w:color w:val="000000" w:themeColor="text1"/>
          <w:sz w:val="24"/>
          <w:szCs w:val="24"/>
          <w:highlight w:val="none"/>
          <w14:textFill>
            <w14:solidFill>
              <w14:schemeClr w14:val="tx1"/>
            </w14:solidFill>
          </w14:textFill>
        </w:rPr>
        <w:t>.</w:t>
      </w:r>
    </w:p>
    <w:p w14:paraId="6C8B1D62">
      <w:pPr>
        <w:spacing w:line="0" w:lineRule="atLeast"/>
        <w:rPr>
          <w:color w:val="000000" w:themeColor="text1"/>
          <w14:textFill>
            <w14:solidFill>
              <w14:schemeClr w14:val="tx1"/>
            </w14:solidFill>
          </w14:textFill>
        </w:rPr>
      </w:pPr>
    </w:p>
    <w:p w14:paraId="2FF322ED">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Perform</w:t>
      </w:r>
      <w:r>
        <w:rPr>
          <w:rFonts w:ascii="Calibri" w:hAnsi="Calibri"/>
          <w:color w:val="000000" w:themeColor="text1"/>
          <w:sz w:val="24"/>
          <w14:textFill>
            <w14:solidFill>
              <w14:schemeClr w14:val="tx1"/>
            </w14:solidFill>
          </w14:textFill>
        </w:rPr>
        <w:t xml:space="preserve"> hand hygiene </w:t>
      </w:r>
      <w:r>
        <w:rPr>
          <w:rFonts w:ascii="Calibri" w:hAnsi="Calibri" w:cs="Calibri"/>
          <w:color w:val="000000" w:themeColor="text1"/>
          <w:sz w:val="24"/>
          <w:szCs w:val="24"/>
          <w14:textFill>
            <w14:solidFill>
              <w14:schemeClr w14:val="tx1"/>
            </w14:solidFill>
          </w14:textFill>
        </w:rPr>
        <w:t xml:space="preserve">according to </w:t>
      </w:r>
      <w:r>
        <w:rPr>
          <w:rFonts w:ascii="Calibri" w:hAnsi="Calibri"/>
          <w:color w:val="000000" w:themeColor="text1"/>
          <w:sz w:val="24"/>
          <w14:textFill>
            <w14:solidFill>
              <w14:schemeClr w14:val="tx1"/>
            </w14:solidFill>
          </w14:textFill>
        </w:rPr>
        <w:t>WHO surgical hand disinfection procedure</w:t>
      </w:r>
      <w:r>
        <w:rPr>
          <w:rFonts w:ascii="Calibri" w:hAnsi="Calibri" w:cs="Calibri"/>
          <w:color w:val="000000" w:themeColor="text1"/>
          <w:sz w:val="24"/>
          <w:szCs w:val="24"/>
          <w14:textFill>
            <w14:solidFill>
              <w14:schemeClr w14:val="tx1"/>
            </w14:solidFill>
          </w14:textFill>
        </w:rPr>
        <w:t>s</w:t>
      </w:r>
      <w:r>
        <w:rPr>
          <w:rFonts w:ascii="Calibri" w:hAnsi="Calibri"/>
          <w:color w:val="000000" w:themeColor="text1"/>
          <w:sz w:val="24"/>
          <w14:textFill>
            <w14:solidFill>
              <w14:schemeClr w14:val="tx1"/>
            </w14:solidFill>
          </w14:textFill>
        </w:rPr>
        <w:t>.</w:t>
      </w:r>
    </w:p>
    <w:p w14:paraId="1D8FAE59">
      <w:pPr>
        <w:spacing w:line="0" w:lineRule="atLeast"/>
        <w:rPr>
          <w:color w:val="000000" w:themeColor="text1"/>
          <w14:textFill>
            <w14:solidFill>
              <w14:schemeClr w14:val="tx1"/>
            </w14:solidFill>
          </w14:textFill>
        </w:rPr>
      </w:pPr>
    </w:p>
    <w:p w14:paraId="2C20546A">
      <w:pPr>
        <w:pStyle w:val="25"/>
        <w:numPr>
          <w:ilvl w:val="1"/>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Identify</w:t>
      </w:r>
      <w:r>
        <w:rPr>
          <w:rFonts w:ascii="Calibri" w:hAnsi="Calibri"/>
          <w:color w:val="000000" w:themeColor="text1"/>
          <w:sz w:val="24"/>
          <w:highlight w:val="yellow"/>
          <w14:textFill>
            <w14:solidFill>
              <w14:schemeClr w14:val="tx1"/>
            </w14:solidFill>
          </w14:textFill>
        </w:rPr>
        <w:t xml:space="preserve"> the </w:t>
      </w:r>
      <w:r>
        <w:rPr>
          <w:rFonts w:ascii="Calibri" w:hAnsi="Calibri" w:cs="Calibri"/>
          <w:color w:val="000000" w:themeColor="text1"/>
          <w:sz w:val="24"/>
          <w:szCs w:val="24"/>
          <w:highlight w:val="yellow"/>
          <w14:textFill>
            <w14:solidFill>
              <w14:schemeClr w14:val="tx1"/>
            </w14:solidFill>
          </w14:textFill>
        </w:rPr>
        <w:t>treatment site</w:t>
      </w:r>
    </w:p>
    <w:p w14:paraId="6F53364E">
      <w:pPr>
        <w:spacing w:line="0" w:lineRule="atLeast"/>
        <w:rPr>
          <w:color w:val="000000" w:themeColor="text1"/>
          <w14:textFill>
            <w14:solidFill>
              <w14:schemeClr w14:val="tx1"/>
            </w14:solidFill>
          </w14:textFill>
        </w:rPr>
      </w:pPr>
    </w:p>
    <w:p w14:paraId="66573955">
      <w:pPr>
        <w:pStyle w:val="25"/>
        <w:numPr>
          <w:ilvl w:val="2"/>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Instruct the patient to flex the affected finger to 90° at the MCP joint</w:t>
      </w:r>
      <w:r>
        <w:rPr>
          <w:rFonts w:ascii="Calibri" w:hAnsi="Calibri" w:cs="Calibri"/>
          <w:color w:val="000000" w:themeColor="text1"/>
          <w:sz w:val="24"/>
          <w:szCs w:val="24"/>
          <w:highlight w:val="yellow"/>
          <w14:textFill>
            <w14:solidFill>
              <w14:schemeClr w14:val="tx1"/>
            </w14:solidFill>
          </w14:textFill>
        </w:rPr>
        <w:t>.</w:t>
      </w:r>
    </w:p>
    <w:p w14:paraId="3B3F5A68">
      <w:pPr>
        <w:spacing w:line="0" w:lineRule="atLeast"/>
        <w:rPr>
          <w:color w:val="000000" w:themeColor="text1"/>
          <w:highlight w:val="yellow"/>
          <w14:textFill>
            <w14:solidFill>
              <w14:schemeClr w14:val="tx1"/>
            </w14:solidFill>
          </w14:textFill>
        </w:rPr>
      </w:pPr>
    </w:p>
    <w:p w14:paraId="087C0A2C">
      <w:pPr>
        <w:pStyle w:val="25"/>
        <w:numPr>
          <w:ilvl w:val="2"/>
          <w:numId w:val="4"/>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Palpate the </w:t>
      </w:r>
      <w:r>
        <w:rPr>
          <w:rFonts w:ascii="Calibri" w:hAnsi="Calibri" w:cs="Calibri"/>
          <w:color w:val="000000" w:themeColor="text1"/>
          <w:sz w:val="24"/>
          <w:szCs w:val="24"/>
          <w:highlight w:val="yellow"/>
          <w14:textFill>
            <w14:solidFill>
              <w14:schemeClr w14:val="tx1"/>
            </w14:solidFill>
          </w14:textFill>
        </w:rPr>
        <w:t>nodule</w:t>
      </w:r>
      <w:r>
        <w:rPr>
          <w:rFonts w:ascii="Calibri" w:hAnsi="Calibri"/>
          <w:color w:val="000000" w:themeColor="text1"/>
          <w:sz w:val="24"/>
          <w:highlight w:val="yellow"/>
          <w14:textFill>
            <w14:solidFill>
              <w14:schemeClr w14:val="tx1"/>
            </w14:solidFill>
          </w14:textFill>
        </w:rPr>
        <w:t xml:space="preserve"> on the palmar aspect of the joint</w:t>
      </w:r>
      <w:r>
        <w:rPr>
          <w:rFonts w:ascii="Calibri" w:hAnsi="Calibri" w:cs="Calibri"/>
          <w:color w:val="000000" w:themeColor="text1"/>
          <w:sz w:val="24"/>
          <w:szCs w:val="24"/>
          <w:highlight w:val="yellow"/>
          <w14:textFill>
            <w14:solidFill>
              <w14:schemeClr w14:val="tx1"/>
            </w14:solidFill>
          </w14:textFill>
        </w:rPr>
        <w:t>.</w:t>
      </w:r>
    </w:p>
    <w:p w14:paraId="199EEAEA">
      <w:pPr>
        <w:spacing w:line="0" w:lineRule="atLeast"/>
        <w:rPr>
          <w:color w:val="000000" w:themeColor="text1"/>
          <w:highlight w:val="yellow"/>
          <w14:textFill>
            <w14:solidFill>
              <w14:schemeClr w14:val="tx1"/>
            </w14:solidFill>
          </w14:textFill>
        </w:rPr>
      </w:pPr>
    </w:p>
    <w:p w14:paraId="40CC26A3">
      <w:pPr>
        <w:pStyle w:val="25"/>
        <w:numPr>
          <w:ilvl w:val="2"/>
          <w:numId w:val="4"/>
        </w:numPr>
        <w:spacing w:after="0" w:line="0" w:lineRule="atLeast"/>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Mark the identified location using a marker pen</w:t>
      </w:r>
      <w:r>
        <w:rPr>
          <w:rFonts w:ascii="Calibri" w:hAnsi="Calibri" w:cs="Calibri"/>
          <w:color w:val="000000" w:themeColor="text1"/>
          <w:sz w:val="24"/>
          <w:szCs w:val="24"/>
          <w14:textFill>
            <w14:solidFill>
              <w14:schemeClr w14:val="tx1"/>
            </w14:solidFill>
          </w14:textFill>
        </w:rPr>
        <w:t xml:space="preserve"> (</w:t>
      </w:r>
      <w:r>
        <w:rPr>
          <w:rFonts w:ascii="Calibri" w:hAnsi="Calibri" w:cs="Calibri"/>
          <w:b/>
          <w:color w:val="000000" w:themeColor="text1"/>
          <w:sz w:val="24"/>
          <w:szCs w:val="24"/>
          <w14:textFill>
            <w14:solidFill>
              <w14:schemeClr w14:val="tx1"/>
            </w14:solidFill>
          </w14:textFill>
        </w:rPr>
        <w:t>Figure 2A</w:t>
      </w:r>
      <w:r>
        <w:rPr>
          <w:rFonts w:ascii="Calibri" w:hAnsi="Calibri" w:cs="Calibri"/>
          <w:color w:val="000000" w:themeColor="text1"/>
          <w:sz w:val="24"/>
          <w:szCs w:val="24"/>
          <w14:textFill>
            <w14:solidFill>
              <w14:schemeClr w14:val="tx1"/>
            </w14:solidFill>
          </w14:textFill>
        </w:rPr>
        <w:t>).</w:t>
      </w:r>
    </w:p>
    <w:p w14:paraId="794C22C9">
      <w:pPr>
        <w:spacing w:line="0" w:lineRule="atLeast"/>
        <w:rPr>
          <w:color w:val="000000" w:themeColor="text1"/>
          <w14:textFill>
            <w14:solidFill>
              <w14:schemeClr w14:val="tx1"/>
            </w14:solidFill>
          </w14:textFill>
        </w:rPr>
      </w:pPr>
    </w:p>
    <w:p w14:paraId="09C24502">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[Place Figure 2 here]</w:t>
      </w:r>
    </w:p>
    <w:p w14:paraId="2A309EA4">
      <w:pPr>
        <w:spacing w:line="0" w:lineRule="atLeast"/>
        <w:rPr>
          <w:color w:val="000000" w:themeColor="text1"/>
          <w14:textFill>
            <w14:solidFill>
              <w14:schemeClr w14:val="tx1"/>
            </w14:solidFill>
          </w14:textFill>
        </w:rPr>
      </w:pPr>
    </w:p>
    <w:p w14:paraId="2C367420">
      <w:pPr>
        <w:pStyle w:val="25"/>
        <w:numPr>
          <w:ilvl w:val="1"/>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Disinfect </w:t>
      </w:r>
      <w:r>
        <w:rPr>
          <w:rFonts w:ascii="Calibri" w:hAnsi="Calibri" w:cs="Calibri"/>
          <w:color w:val="000000" w:themeColor="text1"/>
          <w:sz w:val="24"/>
          <w:szCs w:val="24"/>
          <w:highlight w:val="yellow"/>
          <w14:textFill>
            <w14:solidFill>
              <w14:schemeClr w14:val="tx1"/>
            </w14:solidFill>
          </w14:textFill>
        </w:rPr>
        <w:t xml:space="preserve">the </w:t>
      </w:r>
      <w:r>
        <w:rPr>
          <w:rFonts w:ascii="Calibri" w:hAnsi="Calibri"/>
          <w:color w:val="000000" w:themeColor="text1"/>
          <w:sz w:val="24"/>
          <w:highlight w:val="yellow"/>
          <w14:textFill>
            <w14:solidFill>
              <w14:schemeClr w14:val="tx1"/>
            </w14:solidFill>
          </w14:textFill>
        </w:rPr>
        <w:t>skin</w:t>
      </w:r>
    </w:p>
    <w:p w14:paraId="4011BD7A">
      <w:pPr>
        <w:spacing w:line="0" w:lineRule="atLeast"/>
        <w:rPr>
          <w:color w:val="000000" w:themeColor="text1"/>
          <w:highlight w:val="yellow"/>
          <w14:textFill>
            <w14:solidFill>
              <w14:schemeClr w14:val="tx1"/>
            </w14:solidFill>
          </w14:textFill>
        </w:rPr>
      </w:pPr>
    </w:p>
    <w:p w14:paraId="039EC099">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Soak</w:t>
      </w:r>
      <w:r>
        <w:rPr>
          <w:rFonts w:ascii="Calibri" w:hAnsi="Calibri"/>
          <w:color w:val="000000" w:themeColor="text1"/>
          <w:sz w:val="24"/>
          <w14:textFill>
            <w14:solidFill>
              <w14:schemeClr w14:val="tx1"/>
            </w14:solidFill>
          </w14:textFill>
        </w:rPr>
        <w:t xml:space="preserve"> cotton swabs in iodophor disinfectant.</w:t>
      </w:r>
    </w:p>
    <w:p w14:paraId="7C4F67CC">
      <w:pPr>
        <w:spacing w:line="0" w:lineRule="atLeast"/>
        <w:rPr>
          <w:color w:val="000000" w:themeColor="text1"/>
          <w14:textFill>
            <w14:solidFill>
              <w14:schemeClr w14:val="tx1"/>
            </w14:solidFill>
          </w14:textFill>
        </w:rPr>
      </w:pPr>
    </w:p>
    <w:p w14:paraId="0D4E027C">
      <w:pPr>
        <w:pStyle w:val="25"/>
        <w:numPr>
          <w:ilvl w:val="2"/>
          <w:numId w:val="4"/>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Disinfect the skin starting from the marked point and moving outward in concentric circles. Ensure that the disinfection area covers the entire hand and extends at least 15 cm proximally along the forearm from the marked point.</w:t>
      </w:r>
    </w:p>
    <w:p w14:paraId="04C20ED1">
      <w:pPr>
        <w:spacing w:line="0" w:lineRule="atLeast"/>
        <w:rPr>
          <w:color w:val="000000" w:themeColor="text1"/>
          <w:highlight w:val="yellow"/>
          <w14:textFill>
            <w14:solidFill>
              <w14:schemeClr w14:val="tx1"/>
            </w14:solidFill>
          </w14:textFill>
        </w:rPr>
      </w:pPr>
    </w:p>
    <w:p w14:paraId="23BF0B25">
      <w:pPr>
        <w:pStyle w:val="25"/>
        <w:numPr>
          <w:ilvl w:val="2"/>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Repeat disinfection three times, ensuring that each pass overlaps the previous area by approximately one-third.</w:t>
      </w:r>
    </w:p>
    <w:p w14:paraId="731B4C27">
      <w:pPr>
        <w:spacing w:line="0" w:lineRule="atLeast"/>
        <w:rPr>
          <w:color w:val="000000" w:themeColor="text1"/>
          <w14:textFill>
            <w14:solidFill>
              <w14:schemeClr w14:val="tx1"/>
            </w14:solidFill>
          </w14:textFill>
        </w:rPr>
      </w:pPr>
    </w:p>
    <w:p w14:paraId="40CC26AB">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Cover</w:t>
      </w:r>
      <w:r>
        <w:rPr>
          <w:rFonts w:ascii="Calibri" w:hAnsi="Calibri"/>
          <w:color w:val="000000" w:themeColor="text1"/>
          <w:sz w:val="24"/>
          <w14:textFill>
            <w14:solidFill>
              <w14:schemeClr w14:val="tx1"/>
            </w14:solidFill>
          </w14:textFill>
        </w:rPr>
        <w:t xml:space="preserve"> the area</w:t>
      </w:r>
      <w:r>
        <w:rPr>
          <w:rFonts w:ascii="Calibri" w:hAnsi="Calibri" w:cs="Calibri"/>
          <w:color w:val="000000" w:themeColor="text1"/>
          <w:sz w:val="24"/>
          <w:szCs w:val="24"/>
          <w14:textFill>
            <w14:solidFill>
              <w14:schemeClr w14:val="tx1"/>
            </w14:solidFill>
          </w14:textFill>
        </w:rPr>
        <w:t xml:space="preserve"> with a</w:t>
      </w:r>
      <w:r>
        <w:rPr>
          <w:rFonts w:ascii="Calibri" w:hAnsi="Calibri"/>
          <w:color w:val="000000" w:themeColor="text1"/>
          <w:sz w:val="24"/>
          <w14:textFill>
            <w14:solidFill>
              <w14:schemeClr w14:val="tx1"/>
            </w14:solidFill>
          </w14:textFill>
        </w:rPr>
        <w:t xml:space="preserve"> sterile aperture drape, ensuring the treatment </w:t>
      </w:r>
      <w:r>
        <w:rPr>
          <w:rFonts w:ascii="Calibri" w:hAnsi="Calibri" w:cs="Calibri"/>
          <w:color w:val="000000" w:themeColor="text1"/>
          <w:sz w:val="24"/>
          <w:szCs w:val="24"/>
          <w14:textFill>
            <w14:solidFill>
              <w14:schemeClr w14:val="tx1"/>
            </w14:solidFill>
          </w14:textFill>
        </w:rPr>
        <w:t>site</w:t>
      </w:r>
      <w:r>
        <w:rPr>
          <w:rFonts w:ascii="Calibri" w:hAnsi="Calibri"/>
          <w:color w:val="000000" w:themeColor="text1"/>
          <w:sz w:val="24"/>
          <w14:textFill>
            <w14:solidFill>
              <w14:schemeClr w14:val="tx1"/>
            </w14:solidFill>
          </w14:textFill>
        </w:rPr>
        <w:t xml:space="preserve"> is centered.</w:t>
      </w:r>
    </w:p>
    <w:p w14:paraId="551FB8D8">
      <w:pPr>
        <w:pStyle w:val="25"/>
        <w:spacing w:after="0" w:line="0" w:lineRule="atLeast"/>
        <w:jc w:val="both"/>
        <w:rPr>
          <w:rFonts w:ascii="Calibri" w:hAnsi="Calibri"/>
          <w:color w:val="000000" w:themeColor="text1"/>
          <w:sz w:val="24"/>
          <w14:textFill>
            <w14:solidFill>
              <w14:schemeClr w14:val="tx1"/>
            </w14:solidFill>
          </w14:textFill>
        </w:rPr>
      </w:pPr>
    </w:p>
    <w:p w14:paraId="289A3377">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ml:space="preserve"> Maintain strict aseptic technique during skin preparation to prevent infection.</w:t>
      </w:r>
    </w:p>
    <w:p w14:paraId="6217BFF4">
      <w:pPr>
        <w:spacing w:line="0" w:lineRule="atLeast"/>
        <w:rPr>
          <w:color w:val="000000" w:themeColor="text1"/>
          <w14:textFill>
            <w14:solidFill>
              <w14:schemeClr w14:val="tx1"/>
            </w14:solidFill>
          </w14:textFill>
        </w:rPr>
      </w:pPr>
    </w:p>
    <w:p w14:paraId="617FE439">
      <w:pPr>
        <w:pStyle w:val="25"/>
        <w:numPr>
          <w:ilvl w:val="1"/>
          <w:numId w:val="4"/>
        </w:numPr>
        <w:spacing w:after="0" w:line="0" w:lineRule="atLeast"/>
        <w:jc w:val="both"/>
        <w:rPr>
          <w:rFonts w:ascii="Calibri" w:hAnsi="Calibri"/>
          <w:color w:val="000000" w:themeColor="text1"/>
          <w:sz w:val="24"/>
          <w:highlight w:val="yellow"/>
          <w14:textFill>
            <w14:solidFill>
              <w14:schemeClr w14:val="tx1"/>
            </w14:solidFill>
          </w14:textFill>
        </w:rPr>
      </w:pPr>
      <w:bookmarkStart w:id="0" w:name="_GoBack"/>
      <w:r>
        <w:rPr>
          <w:rFonts w:ascii="Calibri" w:hAnsi="Calibri" w:cs="Calibri"/>
          <w:color w:val="000000" w:themeColor="text1"/>
          <w:sz w:val="24"/>
          <w:szCs w:val="24"/>
          <w:highlight w:val="yellow"/>
          <w14:textFill>
            <w14:solidFill>
              <w14:schemeClr w14:val="tx1"/>
            </w14:solidFill>
          </w14:textFill>
        </w:rPr>
        <w:t>Administer</w:t>
      </w:r>
      <w:r>
        <w:rPr>
          <w:rFonts w:ascii="Calibri" w:hAnsi="Calibri"/>
          <w:color w:val="000000" w:themeColor="text1"/>
          <w:sz w:val="24"/>
          <w:highlight w:val="yellow"/>
          <w14:textFill>
            <w14:solidFill>
              <w14:schemeClr w14:val="tx1"/>
            </w14:solidFill>
          </w14:textFill>
        </w:rPr>
        <w:t xml:space="preserve"> local </w:t>
      </w:r>
      <w:r>
        <w:rPr>
          <w:rFonts w:ascii="Calibri" w:hAnsi="Calibri" w:cs="Calibri"/>
          <w:color w:val="000000" w:themeColor="text1"/>
          <w:sz w:val="24"/>
          <w:szCs w:val="24"/>
          <w:highlight w:val="yellow"/>
          <w14:textFill>
            <w14:solidFill>
              <w14:schemeClr w14:val="tx1"/>
            </w14:solidFill>
          </w14:textFill>
        </w:rPr>
        <w:t>a</w:t>
      </w:r>
      <w:r>
        <w:rPr>
          <w:rFonts w:ascii="Calibri" w:hAnsi="Calibri"/>
          <w:color w:val="000000" w:themeColor="text1"/>
          <w:sz w:val="24"/>
          <w:highlight w:val="yellow"/>
          <w14:textFill>
            <w14:solidFill>
              <w14:schemeClr w14:val="tx1"/>
            </w14:solidFill>
          </w14:textFill>
        </w:rPr>
        <w:t>nesthesia</w:t>
      </w:r>
    </w:p>
    <w:bookmarkEnd w:id="0"/>
    <w:p w14:paraId="02633AB9">
      <w:pPr>
        <w:spacing w:line="0" w:lineRule="atLeast"/>
        <w:rPr>
          <w:color w:val="000000" w:themeColor="text1"/>
          <w14:textFill>
            <w14:solidFill>
              <w14:schemeClr w14:val="tx1"/>
            </w14:solidFill>
          </w14:textFill>
        </w:rPr>
      </w:pPr>
    </w:p>
    <w:p w14:paraId="33D080C8">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Draw 0.9% sodium chloride injection and 2% lidocaine hydrochloride injection into</w:t>
      </w:r>
      <w:r>
        <w:rPr>
          <w:rFonts w:ascii="Calibri" w:hAnsi="Calibri"/>
          <w:color w:val="000000" w:themeColor="text1"/>
          <w:sz w:val="24"/>
          <w14:textFill>
            <w14:solidFill>
              <w14:schemeClr w14:val="tx1"/>
            </w14:solidFill>
          </w14:textFill>
        </w:rPr>
        <w:t xml:space="preserve"> a sterile syringe</w:t>
      </w:r>
      <w:r>
        <w:rPr>
          <w:rFonts w:ascii="Calibri" w:hAnsi="Calibri" w:cs="Calibri"/>
          <w:color w:val="000000" w:themeColor="text1"/>
          <w:sz w:val="24"/>
          <w:szCs w:val="24"/>
          <w14:textFill>
            <w14:solidFill>
              <w14:schemeClr w14:val="tx1"/>
            </w14:solidFill>
          </w14:textFill>
        </w:rPr>
        <w:t xml:space="preserve"> at</w:t>
      </w:r>
      <w:r>
        <w:rPr>
          <w:rFonts w:ascii="Calibri" w:hAnsi="Calibri"/>
          <w:color w:val="000000" w:themeColor="text1"/>
          <w:sz w:val="24"/>
          <w14:textFill>
            <w14:solidFill>
              <w14:schemeClr w14:val="tx1"/>
            </w14:solidFill>
          </w14:textFill>
        </w:rPr>
        <w:t xml:space="preserve"> a 1:1 ratio (total volume</w:t>
      </w:r>
      <w:r>
        <w:rPr>
          <w:rFonts w:ascii="Calibri" w:hAnsi="Calibri" w:cs="Calibri"/>
          <w:color w:val="000000" w:themeColor="text1"/>
          <w:sz w:val="24"/>
          <w:szCs w:val="24"/>
          <w14:textFill>
            <w14:solidFill>
              <w14:schemeClr w14:val="tx1"/>
            </w14:solidFill>
          </w14:textFill>
        </w:rPr>
        <w:t>: 5 mL).</w:t>
      </w:r>
    </w:p>
    <w:p w14:paraId="60E94DA0">
      <w:pPr>
        <w:spacing w:line="0" w:lineRule="atLeast"/>
        <w:rPr>
          <w:color w:val="000000" w:themeColor="text1"/>
          <w14:textFill>
            <w14:solidFill>
              <w14:schemeClr w14:val="tx1"/>
            </w14:solidFill>
          </w14:textFill>
        </w:rPr>
      </w:pPr>
    </w:p>
    <w:p w14:paraId="7153E337">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Hold the syringe with the dominant hand and stabilize the injection site with </w:t>
      </w:r>
      <w:r>
        <w:rPr>
          <w:rFonts w:ascii="Calibri" w:hAnsi="Calibri"/>
          <w:color w:val="000000" w:themeColor="text1"/>
          <w:sz w:val="24"/>
          <w14:textFill>
            <w14:solidFill>
              <w14:schemeClr w14:val="tx1"/>
            </w14:solidFill>
          </w14:textFill>
        </w:rPr>
        <w:t>the non-dominant hand.</w:t>
      </w:r>
    </w:p>
    <w:p w14:paraId="3A40AAFE">
      <w:pPr>
        <w:spacing w:line="0" w:lineRule="atLeast"/>
        <w:rPr>
          <w:color w:val="000000" w:themeColor="text1"/>
          <w14:textFill>
            <w14:solidFill>
              <w14:schemeClr w14:val="tx1"/>
            </w14:solidFill>
          </w14:textFill>
        </w:rPr>
      </w:pPr>
    </w:p>
    <w:p w14:paraId="5DECAF68">
      <w:pPr>
        <w:pStyle w:val="25"/>
        <w:numPr>
          <w:ilvl w:val="2"/>
          <w:numId w:val="4"/>
        </w:numPr>
        <w:spacing w:after="0" w:line="0" w:lineRule="atLeast"/>
        <w:jc w:val="both"/>
        <w:rPr>
          <w:rFonts w:ascii="Calibri" w:hAnsi="Calibri"/>
          <w:color w:val="000000" w:themeColor="text1"/>
          <w:sz w:val="24"/>
          <w:szCs w:val="24"/>
          <w:highlight w:val="yellow"/>
          <w14:textFill>
            <w14:solidFill>
              <w14:schemeClr w14:val="tx1"/>
            </w14:solidFill>
          </w14:textFill>
        </w:rPr>
      </w:pPr>
      <w:r>
        <w:rPr>
          <w:rFonts w:ascii="Calibri" w:hAnsi="Calibri"/>
          <w:color w:val="000000" w:themeColor="text1"/>
          <w:sz w:val="24"/>
          <w:szCs w:val="24"/>
          <w:highlight w:val="yellow"/>
          <w14:textFill>
            <w14:solidFill>
              <w14:schemeClr w14:val="tx1"/>
            </w14:solidFill>
          </w14:textFill>
        </w:rPr>
        <w:t>Insert the needle at a 30° angle to the skin and advance until the needle tip reaches the subcutaneous layer superficial to the A1 pulley (approximately 2–3 mm in depth). Aspirate for 2–3 seconds to confirm the absence of blood return.</w:t>
      </w:r>
    </w:p>
    <w:p w14:paraId="5C122084">
      <w:pPr>
        <w:spacing w:line="0" w:lineRule="atLeast"/>
        <w:rPr>
          <w:color w:val="000000" w:themeColor="text1"/>
          <w:highlight w:val="yellow"/>
          <w14:textFill>
            <w14:solidFill>
              <w14:schemeClr w14:val="tx1"/>
            </w14:solidFill>
          </w14:textFill>
        </w:rPr>
      </w:pPr>
    </w:p>
    <w:p w14:paraId="3E764BD5">
      <w:pPr>
        <w:pStyle w:val="25"/>
        <w:numPr>
          <w:ilvl w:val="2"/>
          <w:numId w:val="4"/>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olor w:val="000000" w:themeColor="text1"/>
          <w:sz w:val="24"/>
          <w:szCs w:val="24"/>
          <w:highlight w:val="yellow"/>
          <w14:textFill>
            <w14:solidFill>
              <w14:schemeClr w14:val="tx1"/>
            </w14:solidFill>
          </w14:textFill>
        </w:rPr>
        <w:t>Inject 0.2–0.3 mL of anesthetic solution to form a small skin wheal (0.5–1 cm in diameter).</w:t>
      </w:r>
    </w:p>
    <w:p w14:paraId="5B480916">
      <w:pPr>
        <w:spacing w:line="0" w:lineRule="atLeast"/>
        <w:rPr>
          <w:color w:val="000000" w:themeColor="text1"/>
          <w14:textFill>
            <w14:solidFill>
              <w14:schemeClr w14:val="tx1"/>
            </w14:solidFill>
          </w14:textFill>
        </w:rPr>
      </w:pPr>
    </w:p>
    <w:p w14:paraId="7591819B">
      <w:pPr>
        <w:pStyle w:val="25"/>
        <w:numPr>
          <w:ilvl w:val="2"/>
          <w:numId w:val="4"/>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Adjust the needle to a perpendicular position and advance until the needle tip reaches the level of the A1 pulley (approximately 5–8 mm in depth).</w:t>
      </w:r>
    </w:p>
    <w:p w14:paraId="6A2617BC">
      <w:pPr>
        <w:spacing w:line="0" w:lineRule="atLeast"/>
        <w:rPr>
          <w:color w:val="000000" w:themeColor="text1"/>
          <w14:textFill>
            <w14:solidFill>
              <w14:schemeClr w14:val="tx1"/>
            </w14:solidFill>
          </w14:textFill>
        </w:rPr>
      </w:pPr>
    </w:p>
    <w:p w14:paraId="52696E06">
      <w:pPr>
        <w:pStyle w:val="25"/>
        <w:numPr>
          <w:ilvl w:val="2"/>
          <w:numId w:val="4"/>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 xml:space="preserve">Aspirate for 2–3 s. If no blood return is observed, inject 1 mL of anesthetic solution </w:t>
      </w:r>
      <w:r>
        <w:rPr>
          <w:rFonts w:ascii="Calibri" w:hAnsi="Calibri" w:cs="Calibri"/>
          <w:color w:val="000000" w:themeColor="text1"/>
          <w:sz w:val="24"/>
          <w:szCs w:val="24"/>
          <w14:textFill>
            <w14:solidFill>
              <w14:schemeClr w14:val="tx1"/>
            </w14:solidFill>
          </w14:textFill>
        </w:rPr>
        <w:t>(</w:t>
      </w:r>
      <w:r>
        <w:rPr>
          <w:rFonts w:ascii="Calibri" w:hAnsi="Calibri" w:cs="Calibri"/>
          <w:b/>
          <w:bCs/>
          <w:color w:val="000000" w:themeColor="text1"/>
          <w:sz w:val="24"/>
          <w:szCs w:val="24"/>
          <w14:textFill>
            <w14:solidFill>
              <w14:schemeClr w14:val="tx1"/>
            </w14:solidFill>
          </w14:textFill>
        </w:rPr>
        <w:t>Figure 2B</w:t>
      </w:r>
      <w:r>
        <w:rPr>
          <w:rFonts w:ascii="Calibri" w:hAnsi="Calibri" w:cs="Calibri"/>
          <w:color w:val="000000" w:themeColor="text1"/>
          <w:sz w:val="24"/>
          <w:szCs w:val="24"/>
          <w14:textFill>
            <w14:solidFill>
              <w14:schemeClr w14:val="tx1"/>
            </w14:solidFill>
          </w14:textFill>
        </w:rPr>
        <w:t>). Ensure that the total anesthetic volume does not exceed 5 mL per patient.</w:t>
      </w:r>
    </w:p>
    <w:p w14:paraId="31AEB725">
      <w:pPr>
        <w:spacing w:line="0" w:lineRule="atLeast"/>
        <w:rPr>
          <w:color w:val="000000" w:themeColor="text1"/>
          <w14:textFill>
            <w14:solidFill>
              <w14:schemeClr w14:val="tx1"/>
            </w14:solidFill>
          </w14:textFill>
        </w:rPr>
      </w:pPr>
    </w:p>
    <w:p w14:paraId="16B4CD8D">
      <w:pPr>
        <w:pStyle w:val="25"/>
        <w:numPr>
          <w:ilvl w:val="2"/>
          <w:numId w:val="4"/>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 xml:space="preserve">Wait 5 min after </w:t>
      </w:r>
      <w:r>
        <w:rPr>
          <w:rFonts w:ascii="Calibri" w:hAnsi="Calibri" w:cs="Calibri"/>
          <w:color w:val="000000" w:themeColor="text1"/>
          <w:sz w:val="24"/>
          <w:szCs w:val="24"/>
          <w14:textFill>
            <w14:solidFill>
              <w14:schemeClr w14:val="tx1"/>
            </w14:solidFill>
          </w14:textFill>
        </w:rPr>
        <w:t>injection.</w:t>
      </w:r>
    </w:p>
    <w:p w14:paraId="313E5C29">
      <w:pPr>
        <w:spacing w:line="0" w:lineRule="atLeast"/>
        <w:rPr>
          <w:color w:val="000000" w:themeColor="text1"/>
          <w14:textFill>
            <w14:solidFill>
              <w14:schemeClr w14:val="tx1"/>
            </w14:solidFill>
          </w14:textFill>
        </w:rPr>
      </w:pPr>
    </w:p>
    <w:p w14:paraId="406264BD">
      <w:pPr>
        <w:pStyle w:val="25"/>
        <w:numPr>
          <w:ilvl w:val="2"/>
          <w:numId w:val="4"/>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 xml:space="preserve">Test </w:t>
      </w:r>
      <w:r>
        <w:rPr>
          <w:rFonts w:ascii="Calibri" w:hAnsi="Calibri"/>
          <w:color w:val="000000" w:themeColor="text1"/>
          <w:sz w:val="24"/>
          <w:highlight w:val="yellow"/>
          <w14:textFill>
            <w14:solidFill>
              <w14:schemeClr w14:val="tx1"/>
            </w14:solidFill>
          </w14:textFill>
        </w:rPr>
        <w:t xml:space="preserve">anesthesia </w:t>
      </w:r>
      <w:r>
        <w:rPr>
          <w:rFonts w:ascii="Calibri" w:hAnsi="Calibri" w:cs="Calibri"/>
          <w:color w:val="000000" w:themeColor="text1"/>
          <w:sz w:val="24"/>
          <w:szCs w:val="24"/>
          <w:highlight w:val="yellow"/>
          <w14:textFill>
            <w14:solidFill>
              <w14:schemeClr w14:val="tx1"/>
            </w14:solidFill>
          </w14:textFill>
        </w:rPr>
        <w:t>using</w:t>
      </w:r>
      <w:r>
        <w:rPr>
          <w:rFonts w:ascii="Calibri" w:hAnsi="Calibri"/>
          <w:color w:val="000000" w:themeColor="text1"/>
          <w:sz w:val="24"/>
          <w:highlight w:val="yellow"/>
          <w14:textFill>
            <w14:solidFill>
              <w14:schemeClr w14:val="tx1"/>
            </w14:solidFill>
          </w14:textFill>
        </w:rPr>
        <w:t xml:space="preserve"> light touch with a sterile cotton swab and pinprick with a sterile needle tip.</w:t>
      </w:r>
    </w:p>
    <w:p w14:paraId="19BF8A51">
      <w:pPr>
        <w:spacing w:line="0" w:lineRule="atLeast"/>
        <w:rPr>
          <w:color w:val="000000" w:themeColor="text1"/>
          <w14:textFill>
            <w14:solidFill>
              <w14:schemeClr w14:val="tx1"/>
            </w14:solidFill>
          </w14:textFill>
        </w:rPr>
      </w:pPr>
    </w:p>
    <w:p w14:paraId="40CC26B7">
      <w:pPr>
        <w:pStyle w:val="25"/>
        <w:numPr>
          <w:ilvl w:val="2"/>
          <w:numId w:val="4"/>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Administer an additional </w:t>
      </w:r>
      <w:r>
        <w:rPr>
          <w:rFonts w:ascii="Calibri" w:hAnsi="Calibri"/>
          <w:color w:val="000000" w:themeColor="text1"/>
          <w:sz w:val="24"/>
          <w14:textFill>
            <w14:solidFill>
              <w14:schemeClr w14:val="tx1"/>
            </w14:solidFill>
          </w14:textFill>
        </w:rPr>
        <w:t>0.</w:t>
      </w:r>
      <w:r>
        <w:rPr>
          <w:rFonts w:ascii="Calibri" w:hAnsi="Calibri" w:cs="Calibri"/>
          <w:color w:val="000000" w:themeColor="text1"/>
          <w:sz w:val="24"/>
          <w:szCs w:val="24"/>
          <w14:textFill>
            <w14:solidFill>
              <w14:schemeClr w14:val="tx1"/>
            </w14:solidFill>
          </w14:textFill>
        </w:rPr>
        <w:t>5 mL</w:t>
      </w:r>
      <w:r>
        <w:rPr>
          <w:rFonts w:ascii="Calibri" w:hAnsi="Calibri"/>
          <w:color w:val="000000" w:themeColor="text1"/>
          <w:sz w:val="24"/>
          <w14:textFill>
            <w14:solidFill>
              <w14:schemeClr w14:val="tx1"/>
            </w14:solidFill>
          </w14:textFill>
        </w:rPr>
        <w:t xml:space="preserve"> of anesthetic </w:t>
      </w:r>
      <w:r>
        <w:rPr>
          <w:rFonts w:ascii="Calibri" w:hAnsi="Calibri" w:cs="Calibri"/>
          <w:color w:val="000000" w:themeColor="text1"/>
          <w:sz w:val="24"/>
          <w:szCs w:val="24"/>
          <w14:textFill>
            <w14:solidFill>
              <w14:schemeClr w14:val="tx1"/>
            </w14:solidFill>
          </w14:textFill>
        </w:rPr>
        <w:t>if</w:t>
      </w:r>
      <w:r>
        <w:rPr>
          <w:rFonts w:ascii="Calibri" w:hAnsi="Calibri"/>
          <w:color w:val="000000" w:themeColor="text1"/>
          <w:sz w:val="24"/>
          <w14:textFill>
            <w14:solidFill>
              <w14:schemeClr w14:val="tx1"/>
            </w14:solidFill>
          </w14:textFill>
        </w:rPr>
        <w:t xml:space="preserve"> sensation </w:t>
      </w:r>
      <w:r>
        <w:rPr>
          <w:rFonts w:ascii="Calibri" w:hAnsi="Calibri" w:cs="Calibri"/>
          <w:color w:val="000000" w:themeColor="text1"/>
          <w:sz w:val="24"/>
          <w:szCs w:val="24"/>
          <w14:textFill>
            <w14:solidFill>
              <w14:schemeClr w14:val="tx1"/>
            </w14:solidFill>
          </w14:textFill>
        </w:rPr>
        <w:t>persists. Reassess</w:t>
      </w:r>
      <w:r>
        <w:rPr>
          <w:rFonts w:ascii="Calibri" w:hAnsi="Calibri"/>
          <w:color w:val="000000" w:themeColor="text1"/>
          <w:sz w:val="24"/>
          <w14:textFill>
            <w14:solidFill>
              <w14:schemeClr w14:val="tx1"/>
            </w14:solidFill>
          </w14:textFill>
        </w:rPr>
        <w:t xml:space="preserve"> after 3 </w:t>
      </w:r>
      <w:r>
        <w:rPr>
          <w:rFonts w:ascii="Calibri" w:hAnsi="Calibri" w:cs="Calibri"/>
          <w:color w:val="000000" w:themeColor="text1"/>
          <w:sz w:val="24"/>
          <w:szCs w:val="24"/>
          <w14:textFill>
            <w14:solidFill>
              <w14:schemeClr w14:val="tx1"/>
            </w14:solidFill>
          </w14:textFill>
        </w:rPr>
        <w:t>min</w:t>
      </w:r>
      <w:r>
        <w:rPr>
          <w:rFonts w:ascii="Calibri" w:hAnsi="Calibri"/>
          <w:color w:val="000000" w:themeColor="text1"/>
          <w:sz w:val="24"/>
          <w14:textFill>
            <w14:solidFill>
              <w14:schemeClr w14:val="tx1"/>
            </w14:solidFill>
          </w14:textFill>
        </w:rPr>
        <w:t>.</w:t>
      </w:r>
    </w:p>
    <w:p w14:paraId="724780C6">
      <w:pPr>
        <w:spacing w:line="0" w:lineRule="atLeast"/>
        <w:rPr>
          <w:color w:val="000000" w:themeColor="text1"/>
          <w14:textFill>
            <w14:solidFill>
              <w14:schemeClr w14:val="tx1"/>
            </w14:solidFill>
          </w14:textFill>
        </w:rPr>
      </w:pPr>
    </w:p>
    <w:p w14:paraId="3B2C1922">
      <w:pPr>
        <w:spacing w:line="0" w:lineRule="atLeast"/>
        <w:rPr>
          <w:color w:val="000000" w:themeColor="text1"/>
          <w:lang w:eastAsia="zh-CN"/>
          <w14:textFill>
            <w14:solidFill>
              <w14:schemeClr w14:val="tx1"/>
            </w14:solidFill>
          </w14:textFill>
        </w:rPr>
      </w:pPr>
      <w:r>
        <w:rPr>
          <w:b/>
          <w:bCs/>
          <w:color w:val="000000" w:themeColor="text1"/>
          <w:lang w:eastAsia="zh-CN"/>
          <w14:textFill>
            <w14:solidFill>
              <w14:schemeClr w14:val="tx1"/>
            </w14:solidFill>
          </w14:textFill>
        </w:rPr>
        <w:t>CAUTION:</w:t>
      </w:r>
      <w:r>
        <w:rPr>
          <w:color w:val="000000" w:themeColor="text1"/>
          <w:lang w:eastAsia="zh-CN"/>
          <w14:textFill>
            <w14:solidFill>
              <w14:schemeClr w14:val="tx1"/>
            </w14:solidFill>
          </w14:textFill>
        </w:rPr>
        <w:t xml:space="preserve"> Avoid intravascular injection and excessive</w:t>
      </w:r>
      <w:r>
        <w:rPr>
          <w:color w:val="000000" w:themeColor="text1"/>
          <w14:textFill>
            <w14:solidFill>
              <w14:schemeClr w14:val="tx1"/>
            </w14:solidFill>
          </w14:textFill>
        </w:rPr>
        <w:t xml:space="preserve"> anesthetic </w:t>
      </w:r>
      <w:r>
        <w:rPr>
          <w:color w:val="000000" w:themeColor="text1"/>
          <w:lang w:eastAsia="zh-CN"/>
          <w14:textFill>
            <w14:solidFill>
              <w14:schemeClr w14:val="tx1"/>
            </w14:solidFill>
          </w14:textFill>
        </w:rPr>
        <w:t>dosing. Monitor for adverse reactions.</w:t>
      </w:r>
    </w:p>
    <w:p w14:paraId="25CCFA01">
      <w:pPr>
        <w:spacing w:line="0" w:lineRule="atLeast"/>
        <w:rPr>
          <w:color w:val="000000" w:themeColor="text1"/>
          <w:lang w:eastAsia="zh-CN"/>
          <w14:textFill>
            <w14:solidFill>
              <w14:schemeClr w14:val="tx1"/>
            </w14:solidFill>
          </w14:textFill>
        </w:rPr>
      </w:pPr>
    </w:p>
    <w:p w14:paraId="35B883DF">
      <w:pPr>
        <w:spacing w:line="0" w:lineRule="atLeast"/>
        <w:rPr>
          <w:color w:val="000000" w:themeColor="text1"/>
          <w:lang w:eastAsia="zh-CN"/>
          <w14:textFill>
            <w14:solidFill>
              <w14:schemeClr w14:val="tx1"/>
            </w14:solidFill>
          </w14:textFill>
        </w:rPr>
      </w:pPr>
      <w:r>
        <w:rPr>
          <w:b/>
          <w:bCs/>
          <w:color w:val="000000" w:themeColor="text1"/>
          <w:lang w:eastAsia="zh-CN"/>
          <w14:textFill>
            <w14:solidFill>
              <w14:schemeClr w14:val="tx1"/>
            </w14:solidFill>
          </w14:textFill>
        </w:rPr>
        <w:t>PAUSE POINT:</w:t>
      </w:r>
      <w:r>
        <w:rPr>
          <w:color w:val="000000" w:themeColor="text1"/>
          <w:lang w:eastAsia="zh-CN"/>
          <w14:textFill>
            <w14:solidFill>
              <w14:schemeClr w14:val="tx1"/>
            </w14:solidFill>
          </w14:textFill>
        </w:rPr>
        <w:t xml:space="preserve"> The procedure may be paused after anesthesia administration once adequate anesthesia is confirmed.</w:t>
      </w:r>
    </w:p>
    <w:p w14:paraId="54D24BA6">
      <w:pPr>
        <w:spacing w:line="0" w:lineRule="atLeast"/>
        <w:rPr>
          <w:color w:val="000000" w:themeColor="text1"/>
          <w:lang w:eastAsia="zh-CN"/>
          <w14:textFill>
            <w14:solidFill>
              <w14:schemeClr w14:val="tx1"/>
            </w14:solidFill>
          </w14:textFill>
        </w:rPr>
      </w:pPr>
    </w:p>
    <w:p w14:paraId="40CC26B8">
      <w:pPr>
        <w:spacing w:line="0" w:lineRule="atLeast"/>
        <w:rPr>
          <w:color w:val="000000" w:themeColor="text1"/>
          <w14:textFill>
            <w14:solidFill>
              <w14:schemeClr w14:val="tx1"/>
            </w14:solidFill>
          </w14:textFill>
        </w:rPr>
      </w:pPr>
      <w:r>
        <w:rPr>
          <w:b/>
          <w:bCs/>
          <w:color w:val="000000" w:themeColor="text1"/>
          <w:lang w:eastAsia="zh-CN"/>
          <w14:textFill>
            <w14:solidFill>
              <w14:schemeClr w14:val="tx1"/>
            </w14:solidFill>
          </w14:textFill>
        </w:rPr>
        <w:t>NOTE:</w:t>
      </w:r>
      <w:r>
        <w:rPr>
          <w:color w:val="000000" w:themeColor="text1"/>
          <w:lang w:eastAsia="zh-CN"/>
          <w14:textFill>
            <w14:solidFill>
              <w14:schemeClr w14:val="tx1"/>
            </w14:solidFill>
          </w14:textFill>
        </w:rPr>
        <w:t xml:space="preserve"> Avoid injecting anesthetic</w:t>
      </w:r>
      <w:r>
        <w:rPr>
          <w:color w:val="000000" w:themeColor="text1"/>
          <w14:textFill>
            <w14:solidFill>
              <w14:schemeClr w14:val="tx1"/>
            </w14:solidFill>
          </w14:textFill>
        </w:rPr>
        <w:t xml:space="preserve"> into the tendon sheath lumen, as this may </w:t>
      </w:r>
      <w:r>
        <w:rPr>
          <w:color w:val="000000" w:themeColor="text1"/>
          <w:lang w:eastAsia="zh-CN"/>
          <w14:textFill>
            <w14:solidFill>
              <w14:schemeClr w14:val="tx1"/>
            </w14:solidFill>
          </w14:textFill>
        </w:rPr>
        <w:t xml:space="preserve">interfere with </w:t>
      </w:r>
      <w:r>
        <w:rPr>
          <w:color w:val="000000" w:themeColor="text1"/>
          <w14:textFill>
            <w14:solidFill>
              <w14:schemeClr w14:val="tx1"/>
            </w14:solidFill>
          </w14:textFill>
        </w:rPr>
        <w:t>intraoperative assessment of tendon gliding.</w:t>
      </w:r>
    </w:p>
    <w:p w14:paraId="40CC26B9">
      <w:pPr>
        <w:spacing w:line="0" w:lineRule="atLeast"/>
        <w:rPr>
          <w:color w:val="000000" w:themeColor="text1"/>
          <w14:textFill>
            <w14:solidFill>
              <w14:schemeClr w14:val="tx1"/>
            </w14:solidFill>
          </w14:textFill>
        </w:rPr>
      </w:pPr>
    </w:p>
    <w:p w14:paraId="07B721B2">
      <w:pPr>
        <w:spacing w:line="0" w:lineRule="atLeast"/>
        <w:rPr>
          <w:b/>
          <w:bCs/>
          <w:color w:val="000000" w:themeColor="text1"/>
          <w:highlight w:val="yellow"/>
          <w14:textFill>
            <w14:solidFill>
              <w14:schemeClr w14:val="tx1"/>
            </w14:solidFill>
          </w14:textFill>
        </w:rPr>
      </w:pPr>
      <w:r>
        <w:rPr>
          <w:b/>
          <w:bCs/>
          <w:color w:val="000000" w:themeColor="text1"/>
          <w14:textFill>
            <w14:solidFill>
              <w14:schemeClr w14:val="tx1"/>
            </w14:solidFill>
          </w14:textFill>
        </w:rPr>
        <w:t>3.</w:t>
      </w:r>
      <w:r>
        <w:rPr>
          <w:b/>
          <w:bCs/>
          <w:color w:val="000000" w:themeColor="text1"/>
          <w:highlight w:val="yellow"/>
          <w14:textFill>
            <w14:solidFill>
              <w14:schemeClr w14:val="tx1"/>
            </w14:solidFill>
          </w14:textFill>
        </w:rPr>
        <w:t xml:space="preserve"> Perform the acupotomy procedure</w:t>
      </w:r>
    </w:p>
    <w:p w14:paraId="0D065745">
      <w:pPr>
        <w:spacing w:line="0" w:lineRule="atLeast"/>
        <w:rPr>
          <w:color w:val="000000" w:themeColor="text1"/>
          <w14:textFill>
            <w14:solidFill>
              <w14:schemeClr w14:val="tx1"/>
            </w14:solidFill>
          </w14:textFill>
        </w:rPr>
      </w:pPr>
    </w:p>
    <w:p w14:paraId="5466CA5F">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Insert the acupotomy</w:t>
      </w:r>
    </w:p>
    <w:p w14:paraId="066E7DF9">
      <w:pPr>
        <w:spacing w:line="0" w:lineRule="atLeast"/>
        <w:rPr>
          <w:color w:val="000000" w:themeColor="text1"/>
          <w14:textFill>
            <w14:solidFill>
              <w14:schemeClr w14:val="tx1"/>
            </w14:solidFill>
          </w14:textFill>
        </w:rPr>
      </w:pPr>
    </w:p>
    <w:p w14:paraId="57E37CAB">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Wear sterile surgical gloves</w:t>
      </w:r>
      <w:r>
        <w:rPr>
          <w:rFonts w:ascii="Calibri" w:hAnsi="Calibri" w:cs="Calibri"/>
          <w:color w:val="000000" w:themeColor="text1"/>
          <w:sz w:val="24"/>
          <w:szCs w:val="24"/>
          <w14:textFill>
            <w14:solidFill>
              <w14:schemeClr w14:val="tx1"/>
            </w14:solidFill>
          </w14:textFill>
        </w:rPr>
        <w:t>.</w:t>
      </w:r>
    </w:p>
    <w:p w14:paraId="4D328356">
      <w:pPr>
        <w:spacing w:line="0" w:lineRule="atLeast"/>
        <w:rPr>
          <w:color w:val="000000" w:themeColor="text1"/>
          <w14:textFill>
            <w14:solidFill>
              <w14:schemeClr w14:val="tx1"/>
            </w14:solidFill>
          </w14:textFill>
        </w:rPr>
      </w:pPr>
    </w:p>
    <w:p w14:paraId="25E56491">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Remove</w:t>
      </w:r>
      <w:r>
        <w:rPr>
          <w:rFonts w:ascii="Calibri" w:hAnsi="Calibri"/>
          <w:color w:val="000000" w:themeColor="text1"/>
          <w:sz w:val="24"/>
          <w14:textFill>
            <w14:solidFill>
              <w14:schemeClr w14:val="tx1"/>
            </w14:solidFill>
          </w14:textFill>
        </w:rPr>
        <w:t xml:space="preserve"> the acupotomy from sterile packaging</w:t>
      </w:r>
      <w:r>
        <w:rPr>
          <w:rFonts w:ascii="Calibri" w:hAnsi="Calibri" w:cs="Calibri"/>
          <w:color w:val="000000" w:themeColor="text1"/>
          <w:sz w:val="24"/>
          <w:szCs w:val="24"/>
          <w14:textFill>
            <w14:solidFill>
              <w14:schemeClr w14:val="tx1"/>
            </w14:solidFill>
          </w14:textFill>
        </w:rPr>
        <w:t>.</w:t>
      </w:r>
    </w:p>
    <w:p w14:paraId="6C4FDED9">
      <w:pPr>
        <w:spacing w:line="0" w:lineRule="atLeast"/>
        <w:rPr>
          <w:color w:val="000000" w:themeColor="text1"/>
          <w14:textFill>
            <w14:solidFill>
              <w14:schemeClr w14:val="tx1"/>
            </w14:solidFill>
          </w14:textFill>
        </w:rPr>
      </w:pPr>
    </w:p>
    <w:p w14:paraId="4F25124F">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Inspect</w:t>
      </w:r>
      <w:r>
        <w:rPr>
          <w:rFonts w:ascii="Calibri" w:hAnsi="Calibri"/>
          <w:color w:val="000000" w:themeColor="text1"/>
          <w:sz w:val="24"/>
          <w14:textFill>
            <w14:solidFill>
              <w14:schemeClr w14:val="tx1"/>
            </w14:solidFill>
          </w14:textFill>
        </w:rPr>
        <w:t xml:space="preserve"> the blade tip under natural light</w:t>
      </w:r>
      <w:r>
        <w:rPr>
          <w:rFonts w:ascii="Calibri" w:hAnsi="Calibri" w:cs="Calibri"/>
          <w:color w:val="000000" w:themeColor="text1"/>
          <w:sz w:val="24"/>
          <w:szCs w:val="24"/>
          <w14:textFill>
            <w14:solidFill>
              <w14:schemeClr w14:val="tx1"/>
            </w14:solidFill>
          </w14:textFill>
        </w:rPr>
        <w:t xml:space="preserve"> to ensure it </w:t>
      </w:r>
      <w:r>
        <w:rPr>
          <w:rFonts w:ascii="Calibri" w:hAnsi="Calibri"/>
          <w:color w:val="000000" w:themeColor="text1"/>
          <w:sz w:val="24"/>
          <w14:textFill>
            <w14:solidFill>
              <w14:schemeClr w14:val="tx1"/>
            </w14:solidFill>
          </w14:textFill>
        </w:rPr>
        <w:t xml:space="preserve">is sharp, intact, and </w:t>
      </w:r>
      <w:r>
        <w:rPr>
          <w:rFonts w:ascii="Calibri" w:hAnsi="Calibri" w:cs="Calibri"/>
          <w:color w:val="000000" w:themeColor="text1"/>
          <w:sz w:val="24"/>
          <w:szCs w:val="24"/>
          <w14:textFill>
            <w14:solidFill>
              <w14:schemeClr w14:val="tx1"/>
            </w14:solidFill>
          </w14:textFill>
        </w:rPr>
        <w:t xml:space="preserve">free of </w:t>
      </w:r>
      <w:r>
        <w:rPr>
          <w:rFonts w:ascii="Calibri" w:hAnsi="Calibri"/>
          <w:color w:val="000000" w:themeColor="text1"/>
          <w:sz w:val="24"/>
          <w14:textFill>
            <w14:solidFill>
              <w14:schemeClr w14:val="tx1"/>
            </w14:solidFill>
          </w14:textFill>
        </w:rPr>
        <w:t>damage</w:t>
      </w:r>
      <w:r>
        <w:rPr>
          <w:rFonts w:ascii="Calibri" w:hAnsi="Calibri" w:cs="Calibri"/>
          <w:color w:val="000000" w:themeColor="text1"/>
          <w:sz w:val="24"/>
          <w:szCs w:val="24"/>
          <w14:textFill>
            <w14:solidFill>
              <w14:schemeClr w14:val="tx1"/>
            </w14:solidFill>
          </w14:textFill>
        </w:rPr>
        <w:t>. Replace the instrument if defects are present</w:t>
      </w:r>
      <w:r>
        <w:rPr>
          <w:rFonts w:ascii="Calibri" w:hAnsi="Calibri"/>
          <w:color w:val="000000" w:themeColor="text1"/>
          <w:sz w:val="24"/>
          <w14:textFill>
            <w14:solidFill>
              <w14:schemeClr w14:val="tx1"/>
            </w14:solidFill>
          </w14:textFill>
        </w:rPr>
        <w:t>.</w:t>
      </w:r>
    </w:p>
    <w:p w14:paraId="5C3C34B1">
      <w:pPr>
        <w:spacing w:line="0" w:lineRule="atLeast"/>
        <w:rPr>
          <w:color w:val="000000" w:themeColor="text1"/>
          <w14:textFill>
            <w14:solidFill>
              <w14:schemeClr w14:val="tx1"/>
            </w14:solidFill>
          </w14:textFill>
        </w:rPr>
      </w:pPr>
    </w:p>
    <w:p w14:paraId="0CBE5BE5">
      <w:pPr>
        <w:pStyle w:val="25"/>
        <w:numPr>
          <w:ilvl w:val="2"/>
          <w:numId w:val="5"/>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Apply pressure with the non-dominant thumb 1 cm proximal to the marked nodule, sufficient to stabilize the tendon without causing patient discomfort or tissue blanching.</w:t>
      </w:r>
    </w:p>
    <w:p w14:paraId="7DD821C0">
      <w:pPr>
        <w:spacing w:line="0" w:lineRule="atLeast"/>
        <w:rPr>
          <w:color w:val="000000" w:themeColor="text1"/>
          <w14:textFill>
            <w14:solidFill>
              <w14:schemeClr w14:val="tx1"/>
            </w14:solidFill>
          </w14:textFill>
        </w:rPr>
      </w:pPr>
    </w:p>
    <w:p w14:paraId="6793C07A">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Tension</w:t>
      </w:r>
      <w:r>
        <w:rPr>
          <w:rFonts w:ascii="Calibri" w:hAnsi="Calibri"/>
          <w:color w:val="000000" w:themeColor="text1"/>
          <w:sz w:val="24"/>
          <w14:textFill>
            <w14:solidFill>
              <w14:schemeClr w14:val="tx1"/>
            </w14:solidFill>
          </w14:textFill>
        </w:rPr>
        <w:t xml:space="preserve"> the skin </w:t>
      </w:r>
      <w:r>
        <w:rPr>
          <w:rFonts w:ascii="Calibri" w:hAnsi="Calibri" w:cs="Calibri"/>
          <w:color w:val="000000" w:themeColor="text1"/>
          <w:sz w:val="24"/>
          <w:szCs w:val="24"/>
          <w14:textFill>
            <w14:solidFill>
              <w14:schemeClr w14:val="tx1"/>
            </w14:solidFill>
          </w14:textFill>
        </w:rPr>
        <w:t>distally using</w:t>
      </w:r>
      <w:r>
        <w:rPr>
          <w:rFonts w:ascii="Calibri" w:hAnsi="Calibri"/>
          <w:color w:val="000000" w:themeColor="text1"/>
          <w:sz w:val="24"/>
          <w14:textFill>
            <w14:solidFill>
              <w14:schemeClr w14:val="tx1"/>
            </w14:solidFill>
          </w14:textFill>
        </w:rPr>
        <w:t xml:space="preserve"> the index finger to </w:t>
      </w:r>
      <w:r>
        <w:rPr>
          <w:rFonts w:ascii="Calibri" w:hAnsi="Calibri" w:cs="Calibri"/>
          <w:color w:val="000000" w:themeColor="text1"/>
          <w:sz w:val="24"/>
          <w:szCs w:val="24"/>
          <w14:textFill>
            <w14:solidFill>
              <w14:schemeClr w14:val="tx1"/>
            </w14:solidFill>
          </w14:textFill>
        </w:rPr>
        <w:t>create a</w:t>
      </w:r>
      <w:r>
        <w:rPr>
          <w:rFonts w:ascii="Calibri" w:hAnsi="Calibri"/>
          <w:color w:val="000000" w:themeColor="text1"/>
          <w:sz w:val="24"/>
          <w14:textFill>
            <w14:solidFill>
              <w14:schemeClr w14:val="tx1"/>
            </w14:solidFill>
          </w14:textFill>
        </w:rPr>
        <w:t xml:space="preserve"> flat </w:t>
      </w:r>
      <w:r>
        <w:rPr>
          <w:rFonts w:ascii="Calibri" w:hAnsi="Calibri" w:cs="Calibri"/>
          <w:color w:val="000000" w:themeColor="text1"/>
          <w:sz w:val="24"/>
          <w:szCs w:val="24"/>
          <w14:textFill>
            <w14:solidFill>
              <w14:schemeClr w14:val="tx1"/>
            </w14:solidFill>
          </w14:textFill>
        </w:rPr>
        <w:t>surface.</w:t>
      </w:r>
    </w:p>
    <w:p w14:paraId="2A4C00BB">
      <w:pPr>
        <w:spacing w:line="0" w:lineRule="atLeast"/>
        <w:rPr>
          <w:color w:val="000000" w:themeColor="text1"/>
          <w14:textFill>
            <w14:solidFill>
              <w14:schemeClr w14:val="tx1"/>
            </w14:solidFill>
          </w14:textFill>
        </w:rPr>
      </w:pPr>
    </w:p>
    <w:p w14:paraId="40C4DBCD">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Hold the acupotomy with the dominant hand</w:t>
      </w:r>
      <w:r>
        <w:rPr>
          <w:rFonts w:ascii="Calibri" w:hAnsi="Calibri" w:cs="Calibri"/>
          <w:color w:val="000000" w:themeColor="text1"/>
          <w:sz w:val="24"/>
          <w:szCs w:val="24"/>
          <w14:textFill>
            <w14:solidFill>
              <w14:schemeClr w14:val="tx1"/>
            </w14:solidFill>
          </w14:textFill>
        </w:rPr>
        <w:t>.</w:t>
      </w:r>
    </w:p>
    <w:p w14:paraId="5B312774">
      <w:pPr>
        <w:spacing w:line="0" w:lineRule="atLeast"/>
        <w:rPr>
          <w:color w:val="000000" w:themeColor="text1"/>
          <w14:textFill>
            <w14:solidFill>
              <w14:schemeClr w14:val="tx1"/>
            </w14:solidFill>
          </w14:textFill>
        </w:rPr>
      </w:pPr>
    </w:p>
    <w:p w14:paraId="07C38122">
      <w:pPr>
        <w:pStyle w:val="25"/>
        <w:numPr>
          <w:ilvl w:val="2"/>
          <w:numId w:val="5"/>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Align</w:t>
      </w:r>
      <w:r>
        <w:rPr>
          <w:rFonts w:ascii="Calibri" w:hAnsi="Calibri"/>
          <w:color w:val="000000" w:themeColor="text1"/>
          <w:sz w:val="24"/>
          <w:highlight w:val="yellow"/>
          <w14:textFill>
            <w14:solidFill>
              <w14:schemeClr w14:val="tx1"/>
            </w14:solidFill>
          </w14:textFill>
        </w:rPr>
        <w:t xml:space="preserve"> the blade parallel to the flexor tendon and perpendicular to the skin.</w:t>
      </w:r>
    </w:p>
    <w:p w14:paraId="723DAFB8">
      <w:pPr>
        <w:spacing w:line="0" w:lineRule="atLeast"/>
        <w:rPr>
          <w:color w:val="000000" w:themeColor="text1"/>
          <w14:textFill>
            <w14:solidFill>
              <w14:schemeClr w14:val="tx1"/>
            </w14:solidFill>
          </w14:textFill>
        </w:rPr>
      </w:pPr>
    </w:p>
    <w:p w14:paraId="40CC26C2">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Insert the acupotomy through the skin and advance</w:t>
      </w:r>
      <w:r>
        <w:rPr>
          <w:rFonts w:ascii="Calibri" w:hAnsi="Calibri"/>
          <w:color w:val="000000" w:themeColor="text1"/>
          <w:sz w:val="24"/>
          <w:highlight w:val="yellow"/>
          <w14:textFill>
            <w14:solidFill>
              <w14:schemeClr w14:val="tx1"/>
            </w14:solidFill>
          </w14:textFill>
        </w:rPr>
        <w:t xml:space="preserve"> through the epidermis and dermis.</w:t>
      </w:r>
    </w:p>
    <w:p w14:paraId="40CC26C3">
      <w:pPr>
        <w:spacing w:line="0" w:lineRule="atLeast"/>
        <w:rPr>
          <w:color w:val="000000" w:themeColor="text1"/>
          <w14:textFill>
            <w14:solidFill>
              <w14:schemeClr w14:val="tx1"/>
            </w14:solidFill>
          </w14:textFill>
        </w:rPr>
      </w:pPr>
    </w:p>
    <w:p w14:paraId="531A5044">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ml:space="preserve"> Maintain alignment with the tendon axis during insertion to avoid injury to the flexor tendon, digital nerves, and blood vessels.</w:t>
      </w:r>
    </w:p>
    <w:p w14:paraId="701CA4EF">
      <w:pPr>
        <w:spacing w:line="0" w:lineRule="atLeast"/>
        <w:rPr>
          <w:color w:val="000000" w:themeColor="text1"/>
          <w14:textFill>
            <w14:solidFill>
              <w14:schemeClr w14:val="tx1"/>
            </w14:solidFill>
          </w14:textFill>
        </w:rPr>
      </w:pPr>
    </w:p>
    <w:p w14:paraId="7D3B6E63">
      <w:pPr>
        <w:pStyle w:val="25"/>
        <w:numPr>
          <w:ilvl w:val="1"/>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Release</w:t>
      </w:r>
      <w:r>
        <w:rPr>
          <w:rFonts w:ascii="Calibri" w:hAnsi="Calibri" w:cs="Calibri"/>
          <w:color w:val="000000" w:themeColor="text1"/>
          <w:sz w:val="24"/>
          <w:szCs w:val="24"/>
          <w:highlight w:val="yellow"/>
          <w14:textFill>
            <w14:solidFill>
              <w14:schemeClr w14:val="tx1"/>
            </w14:solidFill>
          </w14:textFill>
        </w:rPr>
        <w:t xml:space="preserve"> the tendon sheath</w:t>
      </w:r>
    </w:p>
    <w:p w14:paraId="6C06C0B3">
      <w:pPr>
        <w:spacing w:line="0" w:lineRule="atLeast"/>
        <w:rPr>
          <w:color w:val="000000" w:themeColor="text1"/>
          <w14:textFill>
            <w14:solidFill>
              <w14:schemeClr w14:val="tx1"/>
            </w14:solidFill>
          </w14:textFill>
        </w:rPr>
      </w:pPr>
    </w:p>
    <w:p w14:paraId="5A1B933A">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Incline the acupotomy </w:t>
      </w:r>
      <w:r>
        <w:rPr>
          <w:rFonts w:ascii="Calibri" w:hAnsi="Calibri" w:cs="Calibri"/>
          <w:color w:val="000000" w:themeColor="text1"/>
          <w:sz w:val="24"/>
          <w:szCs w:val="24"/>
          <w:highlight w:val="yellow"/>
          <w14:textFill>
            <w14:solidFill>
              <w14:schemeClr w14:val="tx1"/>
            </w14:solidFill>
          </w14:textFill>
        </w:rPr>
        <w:t>toward</w:t>
      </w:r>
      <w:r>
        <w:rPr>
          <w:rFonts w:ascii="Calibri" w:hAnsi="Calibri"/>
          <w:color w:val="000000" w:themeColor="text1"/>
          <w:sz w:val="24"/>
          <w:highlight w:val="yellow"/>
          <w14:textFill>
            <w14:solidFill>
              <w14:schemeClr w14:val="tx1"/>
            </w14:solidFill>
          </w14:textFill>
        </w:rPr>
        <w:t xml:space="preserve"> the proximal end of the finger</w:t>
      </w:r>
      <w:r>
        <w:rPr>
          <w:rFonts w:ascii="Calibri" w:hAnsi="Calibri" w:cs="Calibri"/>
          <w:color w:val="000000" w:themeColor="text1"/>
          <w:sz w:val="24"/>
          <w:szCs w:val="24"/>
          <w:highlight w:val="yellow"/>
          <w14:textFill>
            <w14:solidFill>
              <w14:schemeClr w14:val="tx1"/>
            </w14:solidFill>
          </w14:textFill>
        </w:rPr>
        <w:t xml:space="preserve"> until it is parallel to</w:t>
      </w:r>
      <w:r>
        <w:rPr>
          <w:rFonts w:ascii="Calibri" w:hAnsi="Calibri"/>
          <w:color w:val="000000" w:themeColor="text1"/>
          <w:sz w:val="24"/>
          <w:highlight w:val="yellow"/>
          <w14:textFill>
            <w14:solidFill>
              <w14:schemeClr w14:val="tx1"/>
            </w14:solidFill>
          </w14:textFill>
        </w:rPr>
        <w:t xml:space="preserve"> the skin surface</w:t>
      </w:r>
      <w:r>
        <w:rPr>
          <w:rFonts w:ascii="Calibri" w:hAnsi="Calibri" w:cs="Calibri"/>
          <w:color w:val="000000" w:themeColor="text1"/>
          <w:sz w:val="24"/>
          <w:szCs w:val="24"/>
          <w:highlight w:val="yellow"/>
          <w14:textFill>
            <w14:solidFill>
              <w14:schemeClr w14:val="tx1"/>
            </w14:solidFill>
          </w14:textFill>
        </w:rPr>
        <w:t>.</w:t>
      </w:r>
    </w:p>
    <w:p w14:paraId="6EEC102E">
      <w:pPr>
        <w:spacing w:line="0" w:lineRule="atLeast"/>
        <w:rPr>
          <w:color w:val="000000" w:themeColor="text1"/>
          <w14:textFill>
            <w14:solidFill>
              <w14:schemeClr w14:val="tx1"/>
            </w14:solidFill>
          </w14:textFill>
        </w:rPr>
      </w:pPr>
    </w:p>
    <w:p w14:paraId="71359511">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Advance the acupotomy until resistance </w:t>
      </w:r>
      <w:r>
        <w:rPr>
          <w:rFonts w:ascii="Calibri" w:hAnsi="Calibri" w:cs="Calibri"/>
          <w:color w:val="000000" w:themeColor="text1"/>
          <w:sz w:val="24"/>
          <w:szCs w:val="24"/>
          <w:highlight w:val="yellow"/>
          <w14:textFill>
            <w14:solidFill>
              <w14:schemeClr w14:val="tx1"/>
            </w14:solidFill>
          </w14:textFill>
        </w:rPr>
        <w:t>from the tendon sheath</w:t>
      </w:r>
      <w:r>
        <w:rPr>
          <w:rFonts w:ascii="Calibri" w:hAnsi="Calibri"/>
          <w:color w:val="000000" w:themeColor="text1"/>
          <w:sz w:val="24"/>
          <w:highlight w:val="yellow"/>
          <w14:textFill>
            <w14:solidFill>
              <w14:schemeClr w14:val="tx1"/>
            </w14:solidFill>
          </w14:textFill>
        </w:rPr>
        <w:t xml:space="preserve"> is felt</w:t>
      </w:r>
      <w:r>
        <w:rPr>
          <w:rFonts w:ascii="Calibri" w:hAnsi="Calibri" w:cs="Calibri"/>
          <w:color w:val="000000" w:themeColor="text1"/>
          <w:sz w:val="24"/>
          <w:szCs w:val="24"/>
          <w:highlight w:val="yellow"/>
          <w14:textFill>
            <w14:solidFill>
              <w14:schemeClr w14:val="tx1"/>
            </w14:solidFill>
          </w14:textFill>
        </w:rPr>
        <w:t>.</w:t>
      </w:r>
    </w:p>
    <w:p w14:paraId="2FA49DCB">
      <w:pPr>
        <w:spacing w:line="0" w:lineRule="atLeast"/>
        <w:rPr>
          <w:color w:val="000000" w:themeColor="text1"/>
          <w14:textFill>
            <w14:solidFill>
              <w14:schemeClr w14:val="tx1"/>
            </w14:solidFill>
          </w14:textFill>
        </w:rPr>
      </w:pPr>
    </w:p>
    <w:p w14:paraId="59464EE2">
      <w:pPr>
        <w:pStyle w:val="25"/>
        <w:numPr>
          <w:ilvl w:val="2"/>
          <w:numId w:val="5"/>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Continue advancing while performing controlled longitudinal cutting.</w:t>
      </w:r>
    </w:p>
    <w:p w14:paraId="794D21A5">
      <w:pPr>
        <w:spacing w:line="0" w:lineRule="atLeast"/>
        <w:rPr>
          <w:color w:val="000000" w:themeColor="text1"/>
          <w:highlight w:val="yellow"/>
          <w14:textFill>
            <w14:solidFill>
              <w14:schemeClr w14:val="tx1"/>
            </w14:solidFill>
          </w14:textFill>
        </w:rPr>
      </w:pPr>
    </w:p>
    <w:p w14:paraId="1F10A636">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Stop advancing when a loss-of-resistance sensation is detected, confirmed by improved tendon gliding and smooth, unrestricted flexion–extension of the finger (</w:t>
      </w:r>
      <w:r>
        <w:rPr>
          <w:rFonts w:ascii="Calibri" w:hAnsi="Calibri" w:cs="Calibri"/>
          <w:b/>
          <w:bCs/>
          <w:color w:val="000000" w:themeColor="text1"/>
          <w:sz w:val="24"/>
          <w:szCs w:val="24"/>
          <w:highlight w:val="yellow"/>
          <w14:textFill>
            <w14:solidFill>
              <w14:schemeClr w14:val="tx1"/>
            </w14:solidFill>
          </w14:textFill>
        </w:rPr>
        <w:t>Figure 2C</w:t>
      </w:r>
      <w:r>
        <w:rPr>
          <w:rFonts w:ascii="Calibri" w:hAnsi="Calibri" w:cs="Calibri"/>
          <w:color w:val="000000" w:themeColor="text1"/>
          <w:sz w:val="24"/>
          <w:szCs w:val="24"/>
          <w:highlight w:val="yellow"/>
          <w14:textFill>
            <w14:solidFill>
              <w14:schemeClr w14:val="tx1"/>
            </w14:solidFill>
          </w14:textFill>
        </w:rPr>
        <w:t>).</w:t>
      </w:r>
    </w:p>
    <w:p w14:paraId="5CC5356A">
      <w:pPr>
        <w:spacing w:line="0" w:lineRule="atLeast"/>
        <w:rPr>
          <w:color w:val="000000" w:themeColor="text1"/>
          <w14:textFill>
            <w14:solidFill>
              <w14:schemeClr w14:val="tx1"/>
            </w14:solidFill>
          </w14:textFill>
        </w:rPr>
      </w:pPr>
    </w:p>
    <w:p w14:paraId="149F0E82">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Confirm release by assessing</w:t>
      </w:r>
      <w:r>
        <w:rPr>
          <w:rFonts w:ascii="Calibri" w:hAnsi="Calibri"/>
          <w:color w:val="000000" w:themeColor="text1"/>
          <w:sz w:val="24"/>
          <w14:textFill>
            <w14:solidFill>
              <w14:schemeClr w14:val="tx1"/>
            </w14:solidFill>
          </w14:textFill>
        </w:rPr>
        <w:t xml:space="preserve"> reduction of </w:t>
      </w:r>
      <w:r>
        <w:rPr>
          <w:rFonts w:ascii="Calibri" w:hAnsi="Calibri" w:cs="Calibri"/>
          <w:color w:val="000000" w:themeColor="text1"/>
          <w:sz w:val="24"/>
          <w:szCs w:val="24"/>
          <w14:textFill>
            <w14:solidFill>
              <w14:schemeClr w14:val="tx1"/>
            </w14:solidFill>
          </w14:textFill>
        </w:rPr>
        <w:t>resistance</w:t>
      </w:r>
      <w:r>
        <w:rPr>
          <w:rFonts w:ascii="Calibri" w:hAnsi="Calibri"/>
          <w:color w:val="000000" w:themeColor="text1"/>
          <w:sz w:val="24"/>
          <w14:textFill>
            <w14:solidFill>
              <w14:schemeClr w14:val="tx1"/>
            </w14:solidFill>
          </w14:textFill>
        </w:rPr>
        <w:t xml:space="preserve"> under the acupotomy</w:t>
      </w:r>
      <w:r>
        <w:rPr>
          <w:rFonts w:ascii="Calibri" w:hAnsi="Calibri" w:cs="Calibri"/>
          <w:color w:val="000000" w:themeColor="text1"/>
          <w:sz w:val="24"/>
          <w:szCs w:val="24"/>
          <w14:textFill>
            <w14:solidFill>
              <w14:schemeClr w14:val="tx1"/>
            </w14:solidFill>
          </w14:textFill>
        </w:rPr>
        <w:t>.</w:t>
      </w:r>
    </w:p>
    <w:p w14:paraId="34FC5364">
      <w:pPr>
        <w:spacing w:line="0" w:lineRule="atLeast"/>
        <w:rPr>
          <w:color w:val="000000" w:themeColor="text1"/>
          <w14:textFill>
            <w14:solidFill>
              <w14:schemeClr w14:val="tx1"/>
            </w14:solidFill>
          </w14:textFill>
        </w:rPr>
      </w:pPr>
    </w:p>
    <w:p w14:paraId="4F17E5B7">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Instruct the patient to actively flex and extend the finger 5</w:t>
      </w:r>
      <w:r>
        <w:rPr>
          <w:rFonts w:ascii="Calibri" w:hAnsi="Calibri" w:cs="Calibri"/>
          <w:color w:val="000000" w:themeColor="text1"/>
          <w:sz w:val="24"/>
          <w:szCs w:val="24"/>
          <w:highlight w:val="yellow"/>
          <w14:textFill>
            <w14:solidFill>
              <w14:schemeClr w14:val="tx1"/>
            </w14:solidFill>
          </w14:textFill>
        </w:rPr>
        <w:t>–</w:t>
      </w:r>
      <w:r>
        <w:rPr>
          <w:rFonts w:ascii="Calibri" w:hAnsi="Calibri"/>
          <w:color w:val="000000" w:themeColor="text1"/>
          <w:sz w:val="24"/>
          <w:highlight w:val="yellow"/>
          <w14:textFill>
            <w14:solidFill>
              <w14:schemeClr w14:val="tx1"/>
            </w14:solidFill>
          </w14:textFill>
        </w:rPr>
        <w:t>10 times</w:t>
      </w:r>
      <w:r>
        <w:rPr>
          <w:rFonts w:ascii="Calibri" w:hAnsi="Calibri" w:cs="Calibri"/>
          <w:color w:val="000000" w:themeColor="text1"/>
          <w:sz w:val="24"/>
          <w:szCs w:val="24"/>
          <w:highlight w:val="yellow"/>
          <w14:textFill>
            <w14:solidFill>
              <w14:schemeClr w14:val="tx1"/>
            </w14:solidFill>
          </w14:textFill>
        </w:rPr>
        <w:t>.</w:t>
      </w:r>
    </w:p>
    <w:p w14:paraId="62D474C5">
      <w:pPr>
        <w:spacing w:line="0" w:lineRule="atLeast"/>
        <w:rPr>
          <w:color w:val="000000" w:themeColor="text1"/>
          <w14:textFill>
            <w14:solidFill>
              <w14:schemeClr w14:val="tx1"/>
            </w14:solidFill>
          </w14:textFill>
        </w:rPr>
      </w:pPr>
    </w:p>
    <w:p w14:paraId="0B909ADD">
      <w:pPr>
        <w:pStyle w:val="25"/>
        <w:numPr>
          <w:ilvl w:val="2"/>
          <w:numId w:val="5"/>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Observe</w:t>
      </w:r>
      <w:r>
        <w:rPr>
          <w:rFonts w:ascii="Calibri" w:hAnsi="Calibri"/>
          <w:color w:val="000000" w:themeColor="text1"/>
          <w:sz w:val="24"/>
          <w:highlight w:val="yellow"/>
          <w14:textFill>
            <w14:solidFill>
              <w14:schemeClr w14:val="tx1"/>
            </w14:solidFill>
          </w14:textFill>
        </w:rPr>
        <w:t xml:space="preserve"> whether tenderness</w:t>
      </w:r>
      <w:r>
        <w:rPr>
          <w:rFonts w:ascii="Calibri" w:hAnsi="Calibri" w:cs="Calibri"/>
          <w:color w:val="000000" w:themeColor="text1"/>
          <w:sz w:val="24"/>
          <w:szCs w:val="24"/>
          <w:highlight w:val="yellow"/>
          <w14:textFill>
            <w14:solidFill>
              <w14:schemeClr w14:val="tx1"/>
            </w14:solidFill>
          </w14:textFill>
        </w:rPr>
        <w:t>,</w:t>
      </w:r>
      <w:r>
        <w:rPr>
          <w:rFonts w:ascii="Calibri" w:hAnsi="Calibri"/>
          <w:color w:val="000000" w:themeColor="text1"/>
          <w:sz w:val="24"/>
          <w:highlight w:val="yellow"/>
          <w14:textFill>
            <w14:solidFill>
              <w14:schemeClr w14:val="tx1"/>
            </w14:solidFill>
          </w14:textFill>
        </w:rPr>
        <w:t xml:space="preserve"> triggering</w:t>
      </w:r>
      <w:r>
        <w:rPr>
          <w:rFonts w:ascii="Calibri" w:hAnsi="Calibri" w:cs="Calibri"/>
          <w:color w:val="000000" w:themeColor="text1"/>
          <w:sz w:val="24"/>
          <w:szCs w:val="24"/>
          <w:highlight w:val="yellow"/>
          <w14:textFill>
            <w14:solidFill>
              <w14:schemeClr w14:val="tx1"/>
            </w14:solidFill>
          </w14:textFill>
        </w:rPr>
        <w:t>,</w:t>
      </w:r>
      <w:r>
        <w:rPr>
          <w:rFonts w:ascii="Calibri" w:hAnsi="Calibri"/>
          <w:color w:val="000000" w:themeColor="text1"/>
          <w:sz w:val="24"/>
          <w:highlight w:val="yellow"/>
          <w14:textFill>
            <w14:solidFill>
              <w14:schemeClr w14:val="tx1"/>
            </w14:solidFill>
          </w14:textFill>
        </w:rPr>
        <w:t xml:space="preserve"> and locking </w:t>
      </w:r>
      <w:r>
        <w:rPr>
          <w:rFonts w:ascii="Calibri" w:hAnsi="Calibri" w:cs="Calibri"/>
          <w:color w:val="000000" w:themeColor="text1"/>
          <w:sz w:val="24"/>
          <w:szCs w:val="24"/>
          <w:highlight w:val="yellow"/>
          <w14:textFill>
            <w14:solidFill>
              <w14:schemeClr w14:val="tx1"/>
            </w14:solidFill>
          </w14:textFill>
        </w:rPr>
        <w:t>are resolved.</w:t>
      </w:r>
    </w:p>
    <w:p w14:paraId="4591B5F9">
      <w:pPr>
        <w:spacing w:line="0" w:lineRule="atLeast"/>
        <w:rPr>
          <w:color w:val="000000" w:themeColor="text1"/>
          <w14:textFill>
            <w14:solidFill>
              <w14:schemeClr w14:val="tx1"/>
            </w14:solidFill>
          </w14:textFill>
        </w:rPr>
      </w:pPr>
    </w:p>
    <w:p w14:paraId="01FEF950">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Confirm smooth</w:t>
      </w:r>
      <w:r>
        <w:rPr>
          <w:rFonts w:ascii="Calibri" w:hAnsi="Calibri"/>
          <w:color w:val="000000" w:themeColor="text1"/>
          <w:sz w:val="24"/>
          <w14:textFill>
            <w14:solidFill>
              <w14:schemeClr w14:val="tx1"/>
            </w14:solidFill>
          </w14:textFill>
        </w:rPr>
        <w:t xml:space="preserve"> and </w:t>
      </w:r>
      <w:r>
        <w:rPr>
          <w:rFonts w:ascii="Calibri" w:hAnsi="Calibri" w:cs="Calibri"/>
          <w:color w:val="000000" w:themeColor="text1"/>
          <w:sz w:val="24"/>
          <w:szCs w:val="24"/>
          <w14:textFill>
            <w14:solidFill>
              <w14:schemeClr w14:val="tx1"/>
            </w14:solidFill>
          </w14:textFill>
        </w:rPr>
        <w:t>unrestricted</w:t>
      </w:r>
      <w:r>
        <w:rPr>
          <w:rFonts w:ascii="Calibri" w:hAnsi="Calibri"/>
          <w:color w:val="000000" w:themeColor="text1"/>
          <w:sz w:val="24"/>
          <w14:textFill>
            <w14:solidFill>
              <w14:schemeClr w14:val="tx1"/>
            </w14:solidFill>
          </w14:textFill>
        </w:rPr>
        <w:t xml:space="preserve"> finger movement</w:t>
      </w:r>
      <w:r>
        <w:rPr>
          <w:rFonts w:ascii="Calibri" w:hAnsi="Calibri" w:cs="Calibri"/>
          <w:color w:val="000000" w:themeColor="text1"/>
          <w:sz w:val="24"/>
          <w:szCs w:val="24"/>
          <w14:textFill>
            <w14:solidFill>
              <w14:schemeClr w14:val="tx1"/>
            </w14:solidFill>
          </w14:textFill>
        </w:rPr>
        <w:t>.</w:t>
      </w:r>
    </w:p>
    <w:p w14:paraId="2DAF1C19">
      <w:pPr>
        <w:spacing w:line="0" w:lineRule="atLeast"/>
        <w:rPr>
          <w:color w:val="000000" w:themeColor="text1"/>
          <w14:textFill>
            <w14:solidFill>
              <w14:schemeClr w14:val="tx1"/>
            </w14:solidFill>
          </w14:textFill>
        </w:rPr>
      </w:pPr>
    </w:p>
    <w:p w14:paraId="31D5C11A">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Perform 1–2 additional longitudinal cuts within an amplitude range of 1–2 mm if minor triggering persists. Maintain blade alignment parallel to the tendon axis.</w:t>
      </w:r>
    </w:p>
    <w:p w14:paraId="705DE101">
      <w:pPr>
        <w:spacing w:line="0" w:lineRule="atLeast"/>
        <w:rPr>
          <w:color w:val="000000" w:themeColor="text1"/>
          <w14:textFill>
            <w14:solidFill>
              <w14:schemeClr w14:val="tx1"/>
            </w14:solidFill>
          </w14:textFill>
        </w:rPr>
      </w:pPr>
    </w:p>
    <w:p w14:paraId="40CC26D4">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Stop</w:t>
      </w:r>
      <w:r>
        <w:rPr>
          <w:rFonts w:ascii="Calibri" w:hAnsi="Calibri"/>
          <w:color w:val="000000" w:themeColor="text1"/>
          <w:sz w:val="24"/>
          <w:highlight w:val="yellow"/>
          <w14:textFill>
            <w14:solidFill>
              <w14:schemeClr w14:val="tx1"/>
            </w14:solidFill>
          </w14:textFill>
        </w:rPr>
        <w:t xml:space="preserve"> the </w:t>
      </w:r>
      <w:r>
        <w:rPr>
          <w:rFonts w:ascii="Calibri" w:hAnsi="Calibri" w:cs="Calibri"/>
          <w:color w:val="000000" w:themeColor="text1"/>
          <w:sz w:val="24"/>
          <w:szCs w:val="24"/>
          <w:highlight w:val="yellow"/>
          <w14:textFill>
            <w14:solidFill>
              <w14:schemeClr w14:val="tx1"/>
            </w14:solidFill>
          </w14:textFill>
        </w:rPr>
        <w:t>procedure once adequate</w:t>
      </w:r>
      <w:r>
        <w:rPr>
          <w:rFonts w:ascii="Calibri" w:hAnsi="Calibri"/>
          <w:color w:val="000000" w:themeColor="text1"/>
          <w:sz w:val="24"/>
          <w:highlight w:val="yellow"/>
          <w14:textFill>
            <w14:solidFill>
              <w14:schemeClr w14:val="tx1"/>
            </w14:solidFill>
          </w14:textFill>
        </w:rPr>
        <w:t xml:space="preserve"> release is </w:t>
      </w:r>
      <w:r>
        <w:rPr>
          <w:rFonts w:ascii="Calibri" w:hAnsi="Calibri" w:cs="Calibri"/>
          <w:color w:val="000000" w:themeColor="text1"/>
          <w:sz w:val="24"/>
          <w:szCs w:val="24"/>
          <w:highlight w:val="yellow"/>
          <w14:textFill>
            <w14:solidFill>
              <w14:schemeClr w14:val="tx1"/>
            </w14:solidFill>
          </w14:textFill>
        </w:rPr>
        <w:t>achieved</w:t>
      </w:r>
      <w:r>
        <w:rPr>
          <w:rFonts w:ascii="Calibri" w:hAnsi="Calibri"/>
          <w:color w:val="000000" w:themeColor="text1"/>
          <w:sz w:val="24"/>
          <w:highlight w:val="yellow"/>
          <w14:textFill>
            <w14:solidFill>
              <w14:schemeClr w14:val="tx1"/>
            </w14:solidFill>
          </w14:textFill>
        </w:rPr>
        <w:t>.</w:t>
      </w:r>
    </w:p>
    <w:p w14:paraId="40CC26D5">
      <w:pPr>
        <w:spacing w:line="0" w:lineRule="atLeast"/>
        <w:rPr>
          <w:color w:val="000000" w:themeColor="text1"/>
          <w14:textFill>
            <w14:solidFill>
              <w14:schemeClr w14:val="tx1"/>
            </w14:solidFill>
          </w14:textFill>
        </w:rPr>
      </w:pPr>
    </w:p>
    <w:p w14:paraId="5E8488CB">
      <w:pPr>
        <w:spacing w:line="0" w:lineRule="atLeast"/>
        <w:rPr>
          <w:color w:val="000000" w:themeColor="text1"/>
          <w14:textFill>
            <w14:solidFill>
              <w14:schemeClr w14:val="tx1"/>
            </w14:solidFill>
          </w14:textFill>
        </w:rPr>
      </w:pPr>
      <w:r>
        <w:rPr>
          <w:b/>
          <w:bCs/>
          <w:color w:val="000000" w:themeColor="text1"/>
          <w:lang w:eastAsia="zh-CN"/>
          <w14:textFill>
            <w14:solidFill>
              <w14:schemeClr w14:val="tx1"/>
            </w14:solidFill>
          </w14:textFill>
        </w:rPr>
        <w:t>CAUTION:</w:t>
      </w:r>
      <w:r>
        <w:rPr>
          <w:color w:val="000000" w:themeColor="text1"/>
          <w:lang w:eastAsia="zh-CN"/>
          <w14:textFill>
            <w14:solidFill>
              <w14:schemeClr w14:val="tx1"/>
            </w14:solidFill>
          </w14:textFill>
        </w:rPr>
        <w:t xml:space="preserve"> Avoid excessive cutting or deviation from the tendon axis, as this may result in tendon rupture or neurovascular injury</w:t>
      </w:r>
      <w:r>
        <w:rPr>
          <w:color w:val="000000" w:themeColor="text1"/>
          <w14:textFill>
            <w14:solidFill>
              <w14:schemeClr w14:val="tx1"/>
            </w14:solidFill>
          </w14:textFill>
        </w:rPr>
        <w:t>.</w:t>
      </w:r>
    </w:p>
    <w:p w14:paraId="5B035CEC">
      <w:pPr>
        <w:spacing w:line="0" w:lineRule="atLeast"/>
        <w:rPr>
          <w:color w:val="000000" w:themeColor="text1"/>
          <w14:textFill>
            <w14:solidFill>
              <w14:schemeClr w14:val="tx1"/>
            </w14:solidFill>
          </w14:textFill>
        </w:rPr>
      </w:pPr>
    </w:p>
    <w:p w14:paraId="40CC26D6">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 xml:space="preserve">NOTE: </w:t>
      </w:r>
      <w:r>
        <w:rPr>
          <w:bCs/>
          <w:color w:val="000000" w:themeColor="text1"/>
          <w14:textFill>
            <w14:solidFill>
              <w14:schemeClr w14:val="tx1"/>
            </w14:solidFill>
          </w14:textFill>
        </w:rPr>
        <w:t>During release of</w:t>
      </w:r>
      <w:r>
        <w:rPr>
          <w:color w:val="000000" w:themeColor="text1"/>
          <w14:textFill>
            <w14:solidFill>
              <w14:schemeClr w14:val="tx1"/>
            </w14:solidFill>
          </w14:textFill>
        </w:rPr>
        <w:t xml:space="preserve"> the fibrous sheath</w:t>
      </w:r>
      <w:r>
        <w:rPr>
          <w:bCs/>
          <w:color w:val="000000" w:themeColor="text1"/>
          <w14:textFill>
            <w14:solidFill>
              <w14:schemeClr w14:val="tx1"/>
            </w14:solidFill>
          </w14:textFill>
        </w:rPr>
        <w:t>, avoid</w:t>
      </w:r>
      <w:r>
        <w:rPr>
          <w:color w:val="000000" w:themeColor="text1"/>
          <w14:textFill>
            <w14:solidFill>
              <w14:schemeClr w14:val="tx1"/>
            </w14:solidFill>
          </w14:textFill>
        </w:rPr>
        <w:t xml:space="preserve"> large-amplitude transverse or rotational </w:t>
      </w:r>
      <w:r>
        <w:rPr>
          <w:bCs/>
          <w:color w:val="000000" w:themeColor="text1"/>
          <w14:textFill>
            <w14:solidFill>
              <w14:schemeClr w14:val="tx1"/>
            </w14:solidFill>
          </w14:textFill>
        </w:rPr>
        <w:t xml:space="preserve">movements. Maintain alignment of the </w:t>
      </w:r>
      <w:r>
        <w:rPr>
          <w:color w:val="000000" w:themeColor="text1"/>
          <w14:textFill>
            <w14:solidFill>
              <w14:schemeClr w14:val="tx1"/>
            </w14:solidFill>
          </w14:textFill>
        </w:rPr>
        <w:t>acupotomy with the tendon</w:t>
      </w:r>
      <w:r>
        <w:rPr>
          <w:bCs/>
          <w:color w:val="000000" w:themeColor="text1"/>
          <w14:textFill>
            <w14:solidFill>
              <w14:schemeClr w14:val="tx1"/>
            </w14:solidFill>
          </w14:textFill>
        </w:rPr>
        <w:t xml:space="preserve"> to prevent tendon injury</w:t>
      </w:r>
      <w:r>
        <w:rPr>
          <w:color w:val="000000" w:themeColor="text1"/>
          <w14:textFill>
            <w14:solidFill>
              <w14:schemeClr w14:val="tx1"/>
            </w14:solidFill>
          </w14:textFill>
        </w:rPr>
        <w:t>.</w:t>
      </w:r>
    </w:p>
    <w:p w14:paraId="40CC26D7">
      <w:pPr>
        <w:spacing w:line="0" w:lineRule="atLeast"/>
        <w:rPr>
          <w:color w:val="000000" w:themeColor="text1"/>
          <w14:textFill>
            <w14:solidFill>
              <w14:schemeClr w14:val="tx1"/>
            </w14:solidFill>
          </w14:textFill>
        </w:rPr>
      </w:pPr>
    </w:p>
    <w:p w14:paraId="7B10EF2A">
      <w:pPr>
        <w:pStyle w:val="25"/>
        <w:numPr>
          <w:ilvl w:val="1"/>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Withdraw the acupotomy</w:t>
      </w:r>
    </w:p>
    <w:p w14:paraId="53B409A1">
      <w:pPr>
        <w:spacing w:line="0" w:lineRule="atLeast"/>
        <w:rPr>
          <w:color w:val="000000" w:themeColor="text1"/>
          <w14:textFill>
            <w14:solidFill>
              <w14:schemeClr w14:val="tx1"/>
            </w14:solidFill>
          </w14:textFill>
        </w:rPr>
      </w:pPr>
    </w:p>
    <w:p w14:paraId="3CE24A91">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Withdraw the acupotomy slowly </w:t>
      </w:r>
      <w:r>
        <w:rPr>
          <w:rFonts w:ascii="Calibri" w:hAnsi="Calibri" w:cs="Calibri"/>
          <w:color w:val="000000" w:themeColor="text1"/>
          <w:sz w:val="24"/>
          <w:szCs w:val="24"/>
          <w:highlight w:val="yellow"/>
          <w14:textFill>
            <w14:solidFill>
              <w14:schemeClr w14:val="tx1"/>
            </w14:solidFill>
          </w14:textFill>
        </w:rPr>
        <w:t>along</w:t>
      </w:r>
      <w:r>
        <w:rPr>
          <w:rFonts w:ascii="Calibri" w:hAnsi="Calibri"/>
          <w:color w:val="000000" w:themeColor="text1"/>
          <w:sz w:val="24"/>
          <w:highlight w:val="yellow"/>
          <w14:textFill>
            <w14:solidFill>
              <w14:schemeClr w14:val="tx1"/>
            </w14:solidFill>
          </w14:textFill>
        </w:rPr>
        <w:t xml:space="preserve"> the </w:t>
      </w:r>
      <w:r>
        <w:rPr>
          <w:rFonts w:ascii="Calibri" w:hAnsi="Calibri" w:cs="Calibri"/>
          <w:color w:val="000000" w:themeColor="text1"/>
          <w:sz w:val="24"/>
          <w:szCs w:val="24"/>
          <w:highlight w:val="yellow"/>
          <w14:textFill>
            <w14:solidFill>
              <w14:schemeClr w14:val="tx1"/>
            </w14:solidFill>
          </w14:textFill>
        </w:rPr>
        <w:t>insertion path.</w:t>
      </w:r>
    </w:p>
    <w:p w14:paraId="505377CA">
      <w:pPr>
        <w:spacing w:line="0" w:lineRule="atLeast"/>
        <w:rPr>
          <w:color w:val="000000" w:themeColor="text1"/>
          <w14:textFill>
            <w14:solidFill>
              <w14:schemeClr w14:val="tx1"/>
            </w14:solidFill>
          </w14:textFill>
        </w:rPr>
      </w:pPr>
    </w:p>
    <w:p w14:paraId="2D27556E">
      <w:pPr>
        <w:pStyle w:val="25"/>
        <w:numPr>
          <w:ilvl w:val="2"/>
          <w:numId w:val="5"/>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Apply pressure to the insertion site with sterile gauze for 3–5 min until visible bleeding ceases and slight local skin blanching is observed, indicating adequate hemostasis.</w:t>
      </w:r>
    </w:p>
    <w:p w14:paraId="590516A8">
      <w:pPr>
        <w:spacing w:line="0" w:lineRule="atLeast"/>
        <w:rPr>
          <w:color w:val="000000" w:themeColor="text1"/>
          <w14:textFill>
            <w14:solidFill>
              <w14:schemeClr w14:val="tx1"/>
            </w14:solidFill>
          </w14:textFill>
        </w:rPr>
      </w:pPr>
    </w:p>
    <w:p w14:paraId="3342FFA0">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Maintain pressure within a 1 cm radius around the insertion site during compression.</w:t>
      </w:r>
    </w:p>
    <w:p w14:paraId="2C5579BD">
      <w:pPr>
        <w:spacing w:line="0" w:lineRule="atLeast"/>
        <w:rPr>
          <w:color w:val="000000" w:themeColor="text1"/>
          <w14:textFill>
            <w14:solidFill>
              <w14:schemeClr w14:val="tx1"/>
            </w14:solidFill>
          </w14:textFill>
        </w:rPr>
      </w:pPr>
    </w:p>
    <w:p w14:paraId="662C0E9E">
      <w:pPr>
        <w:pStyle w:val="25"/>
        <w:numPr>
          <w:ilvl w:val="2"/>
          <w:numId w:val="5"/>
        </w:numPr>
        <w:spacing w:after="0" w:line="0" w:lineRule="atLeast"/>
        <w:jc w:val="both"/>
        <w:rPr>
          <w:rFonts w:ascii="Calibri" w:hAnsi="Calibri" w:cs="Calibri"/>
          <w:color w:val="000000" w:themeColor="text1"/>
          <w:sz w:val="24"/>
          <w:szCs w:val="24"/>
          <w:highlight w:val="yellow"/>
          <w14:textFill>
            <w14:solidFill>
              <w14:schemeClr w14:val="tx1"/>
            </w14:solidFill>
          </w14:textFill>
        </w:rPr>
      </w:pPr>
      <w:r>
        <w:rPr>
          <w:rFonts w:ascii="Calibri" w:hAnsi="Calibri"/>
          <w:color w:val="000000" w:themeColor="text1"/>
          <w:sz w:val="24"/>
          <w:highlight w:val="yellow"/>
          <w14:textFill>
            <w14:solidFill>
              <w14:schemeClr w14:val="tx1"/>
            </w14:solidFill>
          </w14:textFill>
        </w:rPr>
        <w:t xml:space="preserve">Disinfect the </w:t>
      </w:r>
      <w:r>
        <w:rPr>
          <w:rFonts w:ascii="Calibri" w:hAnsi="Calibri" w:cs="Calibri"/>
          <w:color w:val="000000" w:themeColor="text1"/>
          <w:sz w:val="24"/>
          <w:szCs w:val="24"/>
          <w:highlight w:val="yellow"/>
          <w14:textFill>
            <w14:solidFill>
              <w14:schemeClr w14:val="tx1"/>
            </w14:solidFill>
          </w14:textFill>
        </w:rPr>
        <w:t xml:space="preserve">insertion site using </w:t>
      </w:r>
      <w:r>
        <w:rPr>
          <w:rFonts w:ascii="Calibri" w:hAnsi="Calibri"/>
          <w:color w:val="000000" w:themeColor="text1"/>
          <w:sz w:val="24"/>
          <w:highlight w:val="yellow"/>
          <w14:textFill>
            <w14:solidFill>
              <w14:schemeClr w14:val="tx1"/>
            </w14:solidFill>
          </w14:textFill>
        </w:rPr>
        <w:t>iodophor</w:t>
      </w:r>
      <w:r>
        <w:rPr>
          <w:rFonts w:ascii="Calibri" w:hAnsi="Calibri" w:cs="Calibri"/>
          <w:color w:val="000000" w:themeColor="text1"/>
          <w:sz w:val="24"/>
          <w:szCs w:val="24"/>
          <w:highlight w:val="yellow"/>
          <w14:textFill>
            <w14:solidFill>
              <w14:schemeClr w14:val="tx1"/>
            </w14:solidFill>
          </w14:textFill>
        </w:rPr>
        <w:t>.</w:t>
      </w:r>
    </w:p>
    <w:p w14:paraId="43399DC3">
      <w:pPr>
        <w:spacing w:line="0" w:lineRule="atLeast"/>
        <w:rPr>
          <w:color w:val="000000" w:themeColor="text1"/>
          <w14:textFill>
            <w14:solidFill>
              <w14:schemeClr w14:val="tx1"/>
            </w14:solidFill>
          </w14:textFill>
        </w:rPr>
      </w:pPr>
    </w:p>
    <w:p w14:paraId="40CC26DE">
      <w:pPr>
        <w:pStyle w:val="25"/>
        <w:numPr>
          <w:ilvl w:val="2"/>
          <w:numId w:val="5"/>
        </w:numPr>
        <w:spacing w:after="0" w:line="0" w:lineRule="atLeast"/>
        <w:jc w:val="both"/>
        <w:rPr>
          <w:rFonts w:ascii="Calibri" w:hAnsi="Calibri"/>
          <w:color w:val="000000" w:themeColor="text1"/>
          <w:sz w:val="24"/>
          <w:highlight w:val="yellow"/>
          <w14:textFill>
            <w14:solidFill>
              <w14:schemeClr w14:val="tx1"/>
            </w14:solidFill>
          </w14:textFill>
        </w:rPr>
      </w:pPr>
      <w:r>
        <w:rPr>
          <w:rFonts w:ascii="Calibri" w:hAnsi="Calibri" w:cs="Calibri"/>
          <w:color w:val="000000" w:themeColor="text1"/>
          <w:sz w:val="24"/>
          <w:szCs w:val="24"/>
          <w:highlight w:val="yellow"/>
          <w14:textFill>
            <w14:solidFill>
              <w14:schemeClr w14:val="tx1"/>
            </w14:solidFill>
          </w14:textFill>
        </w:rPr>
        <w:t>Apply</w:t>
      </w:r>
      <w:r>
        <w:rPr>
          <w:rFonts w:ascii="Calibri" w:hAnsi="Calibri"/>
          <w:color w:val="000000" w:themeColor="text1"/>
          <w:sz w:val="24"/>
          <w:highlight w:val="yellow"/>
          <w14:textFill>
            <w14:solidFill>
              <w14:schemeClr w14:val="tx1"/>
            </w14:solidFill>
          </w14:textFill>
        </w:rPr>
        <w:t xml:space="preserve"> a sterile adhesive dressing after confirming the </w:t>
      </w:r>
      <w:r>
        <w:rPr>
          <w:rFonts w:ascii="Calibri" w:hAnsi="Calibri" w:cs="Calibri"/>
          <w:color w:val="000000" w:themeColor="text1"/>
          <w:sz w:val="24"/>
          <w:szCs w:val="24"/>
          <w:highlight w:val="yellow"/>
          <w14:textFill>
            <w14:solidFill>
              <w14:schemeClr w14:val="tx1"/>
            </w14:solidFill>
          </w14:textFill>
        </w:rPr>
        <w:t>absence of</w:t>
      </w:r>
      <w:r>
        <w:rPr>
          <w:rFonts w:ascii="Calibri" w:hAnsi="Calibri"/>
          <w:color w:val="000000" w:themeColor="text1"/>
          <w:sz w:val="24"/>
          <w:highlight w:val="yellow"/>
          <w14:textFill>
            <w14:solidFill>
              <w14:schemeClr w14:val="tx1"/>
            </w14:solidFill>
          </w14:textFill>
        </w:rPr>
        <w:t xml:space="preserve"> active bleeding</w:t>
      </w:r>
      <w:r>
        <w:rPr>
          <w:rFonts w:ascii="Calibri" w:hAnsi="Calibri" w:cs="Calibri"/>
          <w:color w:val="000000" w:themeColor="text1"/>
          <w:sz w:val="24"/>
          <w:szCs w:val="24"/>
          <w:highlight w:val="yellow"/>
          <w14:textFill>
            <w14:solidFill>
              <w14:schemeClr w14:val="tx1"/>
            </w14:solidFill>
          </w14:textFill>
        </w:rPr>
        <w:t>.</w:t>
      </w:r>
    </w:p>
    <w:p w14:paraId="1A5A571F">
      <w:pPr>
        <w:spacing w:line="0" w:lineRule="atLeast"/>
        <w:rPr>
          <w:b/>
          <w:color w:val="000000" w:themeColor="text1"/>
          <w14:textFill>
            <w14:solidFill>
              <w14:schemeClr w14:val="tx1"/>
            </w14:solidFill>
          </w14:textFill>
        </w:rPr>
      </w:pPr>
    </w:p>
    <w:p w14:paraId="40CC26DF">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ml:space="preserve"> Monitor for bleeding or hematoma formation. Apply sustained pressure if bleeding persists.</w:t>
      </w:r>
    </w:p>
    <w:p w14:paraId="61C13CFB">
      <w:pPr>
        <w:spacing w:line="0" w:lineRule="atLeast"/>
        <w:rPr>
          <w:color w:val="000000" w:themeColor="text1"/>
          <w14:textFill>
            <w14:solidFill>
              <w14:schemeClr w14:val="tx1"/>
            </w14:solidFill>
          </w14:textFill>
        </w:rPr>
      </w:pPr>
    </w:p>
    <w:p w14:paraId="031305EF">
      <w:pPr>
        <w:pStyle w:val="25"/>
        <w:numPr>
          <w:ilvl w:val="0"/>
          <w:numId w:val="5"/>
        </w:numPr>
        <w:spacing w:after="0" w:line="0" w:lineRule="atLeast"/>
        <w:jc w:val="both"/>
        <w:rPr>
          <w:rFonts w:ascii="Calibri" w:hAnsi="Calibri"/>
          <w:b/>
          <w:bCs/>
          <w:color w:val="000000" w:themeColor="text1"/>
          <w:sz w:val="24"/>
          <w14:textFill>
            <w14:solidFill>
              <w14:schemeClr w14:val="tx1"/>
            </w14:solidFill>
          </w14:textFill>
        </w:rPr>
      </w:pPr>
      <w:r>
        <w:rPr>
          <w:rFonts w:ascii="Calibri" w:hAnsi="Calibri"/>
          <w:b/>
          <w:bCs/>
          <w:color w:val="000000" w:themeColor="text1"/>
          <w:sz w:val="24"/>
          <w14:textFill>
            <w14:solidFill>
              <w14:schemeClr w14:val="tx1"/>
            </w14:solidFill>
          </w14:textFill>
        </w:rPr>
        <w:t>Provide postoperative management</w:t>
      </w:r>
    </w:p>
    <w:p w14:paraId="1DDE115A">
      <w:pPr>
        <w:spacing w:line="0" w:lineRule="atLeast"/>
        <w:rPr>
          <w:color w:val="000000" w:themeColor="text1"/>
          <w14:textFill>
            <w14:solidFill>
              <w14:schemeClr w14:val="tx1"/>
            </w14:solidFill>
          </w14:textFill>
        </w:rPr>
      </w:pPr>
    </w:p>
    <w:p w14:paraId="0BD753F4">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Provide immediate care</w:t>
      </w:r>
    </w:p>
    <w:p w14:paraId="5EBC7EF9">
      <w:pPr>
        <w:spacing w:line="0" w:lineRule="atLeast"/>
        <w:rPr>
          <w:color w:val="000000" w:themeColor="text1"/>
          <w14:textFill>
            <w14:solidFill>
              <w14:schemeClr w14:val="tx1"/>
            </w14:solidFill>
          </w14:textFill>
        </w:rPr>
      </w:pPr>
    </w:p>
    <w:p w14:paraId="0060044C">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Apply moderate compression bandaging to the palm and affected finger using an elastic bandage, ensuring uniform pressure that provides mild compression without impairing tissue perfusion or causing patient discomfort.</w:t>
      </w:r>
    </w:p>
    <w:p w14:paraId="7E9186BC">
      <w:pPr>
        <w:spacing w:line="0" w:lineRule="atLeast"/>
        <w:rPr>
          <w:color w:val="000000" w:themeColor="text1"/>
          <w14:textFill>
            <w14:solidFill>
              <w14:schemeClr w14:val="tx1"/>
            </w14:solidFill>
          </w14:textFill>
        </w:rPr>
      </w:pPr>
    </w:p>
    <w:p w14:paraId="2FEAE42B">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Assess fingertip blood circulation by evaluating finger color, skin temperature, and capillary refill time. Assess capillary refill by pressing the fingertip firmly for 2 s and observing recovery of color within 2 s.</w:t>
      </w:r>
    </w:p>
    <w:p w14:paraId="61400FE0">
      <w:pPr>
        <w:spacing w:line="0" w:lineRule="atLeast"/>
        <w:rPr>
          <w:color w:val="000000" w:themeColor="text1"/>
          <w14:textFill>
            <w14:solidFill>
              <w14:schemeClr w14:val="tx1"/>
            </w14:solidFill>
          </w14:textFill>
        </w:rPr>
      </w:pPr>
    </w:p>
    <w:p w14:paraId="40CC26EB">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 xml:space="preserve">Assess sensory function using </w:t>
      </w:r>
      <w:r>
        <w:rPr>
          <w:rFonts w:ascii="Calibri" w:hAnsi="Calibri"/>
          <w:color w:val="000000" w:themeColor="text1"/>
          <w:sz w:val="24"/>
          <w14:textFill>
            <w14:solidFill>
              <w14:schemeClr w14:val="tx1"/>
            </w14:solidFill>
          </w14:textFill>
        </w:rPr>
        <w:t>light touch</w:t>
      </w:r>
      <w:r>
        <w:rPr>
          <w:rFonts w:ascii="Calibri" w:hAnsi="Calibri" w:cs="Calibri"/>
          <w:color w:val="000000" w:themeColor="text1"/>
          <w:sz w:val="24"/>
          <w:szCs w:val="24"/>
          <w14:textFill>
            <w14:solidFill>
              <w14:schemeClr w14:val="tx1"/>
            </w14:solidFill>
          </w14:textFill>
        </w:rPr>
        <w:t>. Confirm absence of</w:t>
      </w:r>
      <w:r>
        <w:rPr>
          <w:rFonts w:ascii="Calibri" w:hAnsi="Calibri"/>
          <w:color w:val="000000" w:themeColor="text1"/>
          <w:sz w:val="24"/>
          <w14:textFill>
            <w14:solidFill>
              <w14:schemeClr w14:val="tx1"/>
            </w14:solidFill>
          </w14:textFill>
        </w:rPr>
        <w:t xml:space="preserve"> numbness.</w:t>
      </w:r>
    </w:p>
    <w:p w14:paraId="45FF833E">
      <w:pPr>
        <w:spacing w:line="0" w:lineRule="atLeast"/>
        <w:rPr>
          <w:b/>
          <w:color w:val="000000" w:themeColor="text1"/>
          <w14:textFill>
            <w14:solidFill>
              <w14:schemeClr w14:val="tx1"/>
            </w14:solidFill>
          </w14:textFill>
        </w:rPr>
      </w:pPr>
    </w:p>
    <w:p w14:paraId="3C03E7B5">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ml:space="preserve"> Ensure that bandaging does not impair circulation. Loosen the bandage if signs of ischemia are observed.</w:t>
      </w:r>
    </w:p>
    <w:p w14:paraId="0F724AE2">
      <w:pPr>
        <w:spacing w:line="0" w:lineRule="atLeast"/>
        <w:rPr>
          <w:color w:val="000000" w:themeColor="text1"/>
          <w14:textFill>
            <w14:solidFill>
              <w14:schemeClr w14:val="tx1"/>
            </w14:solidFill>
          </w14:textFill>
        </w:rPr>
      </w:pPr>
    </w:p>
    <w:p w14:paraId="03A06086">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Guide activity</w:t>
      </w:r>
    </w:p>
    <w:p w14:paraId="3AA39A26">
      <w:pPr>
        <w:spacing w:line="0" w:lineRule="atLeast"/>
        <w:rPr>
          <w:color w:val="000000" w:themeColor="text1"/>
          <w14:textFill>
            <w14:solidFill>
              <w14:schemeClr w14:val="tx1"/>
            </w14:solidFill>
          </w14:textFill>
        </w:rPr>
      </w:pPr>
    </w:p>
    <w:p w14:paraId="315D6762">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 xml:space="preserve">Instruct the patient </w:t>
      </w:r>
      <w:r>
        <w:rPr>
          <w:rFonts w:ascii="Calibri" w:hAnsi="Calibri" w:cs="Calibri"/>
          <w:color w:val="000000" w:themeColor="text1"/>
          <w:sz w:val="24"/>
          <w:szCs w:val="24"/>
          <w14:textFill>
            <w14:solidFill>
              <w14:schemeClr w14:val="tx1"/>
            </w14:solidFill>
          </w14:textFill>
        </w:rPr>
        <w:t>to perform</w:t>
      </w:r>
      <w:r>
        <w:rPr>
          <w:rFonts w:ascii="Calibri" w:hAnsi="Calibri"/>
          <w:color w:val="000000" w:themeColor="text1"/>
          <w:sz w:val="24"/>
          <w14:textFill>
            <w14:solidFill>
              <w14:schemeClr w14:val="tx1"/>
            </w14:solidFill>
          </w14:textFill>
        </w:rPr>
        <w:t xml:space="preserve"> gentle </w:t>
      </w:r>
      <w:r>
        <w:rPr>
          <w:rFonts w:ascii="Calibri" w:hAnsi="Calibri" w:cs="Calibri"/>
          <w:color w:val="000000" w:themeColor="text1"/>
          <w:sz w:val="24"/>
          <w:szCs w:val="24"/>
          <w14:textFill>
            <w14:solidFill>
              <w14:schemeClr w14:val="tx1"/>
            </w14:solidFill>
          </w14:textFill>
        </w:rPr>
        <w:t xml:space="preserve">finger </w:t>
      </w:r>
      <w:r>
        <w:rPr>
          <w:rFonts w:ascii="Calibri" w:hAnsi="Calibri"/>
          <w:color w:val="000000" w:themeColor="text1"/>
          <w:sz w:val="24"/>
          <w14:textFill>
            <w14:solidFill>
              <w14:schemeClr w14:val="tx1"/>
            </w14:solidFill>
          </w14:textFill>
        </w:rPr>
        <w:t xml:space="preserve">flexion and extension </w:t>
      </w:r>
      <w:r>
        <w:rPr>
          <w:rFonts w:ascii="Calibri" w:hAnsi="Calibri" w:cs="Calibri"/>
          <w:color w:val="000000" w:themeColor="text1"/>
          <w:sz w:val="24"/>
          <w:szCs w:val="24"/>
          <w14:textFill>
            <w14:solidFill>
              <w14:schemeClr w14:val="tx1"/>
            </w14:solidFill>
          </w14:textFill>
        </w:rPr>
        <w:t>exercises.</w:t>
      </w:r>
    </w:p>
    <w:p w14:paraId="6753DF02">
      <w:pPr>
        <w:spacing w:line="0" w:lineRule="atLeast"/>
        <w:rPr>
          <w:color w:val="000000" w:themeColor="text1"/>
          <w14:textFill>
            <w14:solidFill>
              <w14:schemeClr w14:val="tx1"/>
            </w14:solidFill>
          </w14:textFill>
        </w:rPr>
      </w:pPr>
    </w:p>
    <w:p w14:paraId="40CC26EF">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eastAsia="Segoe UI Emoji" w:cs="Calibri"/>
          <w:color w:val="000000" w:themeColor="text1"/>
          <w:sz w:val="24"/>
          <w:szCs w:val="24"/>
          <w14:textFill>
            <w14:solidFill>
              <w14:schemeClr w14:val="tx1"/>
            </w14:solidFill>
          </w14:textFill>
        </w:rPr>
        <w:t>Gradually increase the range of motion and frequency of exercises. Perform active finger flexion and extension exercises 3–4 times daily, with 10–15 repetitions per session, to promote circulation and prevent tendon adhesion.</w:t>
      </w:r>
    </w:p>
    <w:p w14:paraId="11E08445">
      <w:pPr>
        <w:spacing w:line="0" w:lineRule="atLeast"/>
        <w:rPr>
          <w:color w:val="000000" w:themeColor="text1"/>
          <w14:textFill>
            <w14:solidFill>
              <w14:schemeClr w14:val="tx1"/>
            </w14:solidFill>
          </w14:textFill>
        </w:rPr>
      </w:pPr>
    </w:p>
    <w:p w14:paraId="40CC26F0">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NOTE:</w:t>
      </w:r>
      <w:r>
        <w:rPr>
          <w:color w:val="000000" w:themeColor="text1"/>
          <w14:textFill>
            <w14:solidFill>
              <w14:schemeClr w14:val="tx1"/>
            </w14:solidFill>
          </w14:textFill>
        </w:rPr>
        <w:t xml:space="preserve"> Avoid excessive force or vigorous movements during early rehabilitation.</w:t>
      </w:r>
    </w:p>
    <w:p w14:paraId="40CC26F1">
      <w:pPr>
        <w:spacing w:line="0" w:lineRule="atLeast"/>
        <w:rPr>
          <w:color w:val="000000" w:themeColor="text1"/>
          <w14:textFill>
            <w14:solidFill>
              <w14:schemeClr w14:val="tx1"/>
            </w14:solidFill>
          </w14:textFill>
        </w:rPr>
      </w:pPr>
    </w:p>
    <w:p w14:paraId="7293ACCE">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Manage</w:t>
      </w:r>
      <w:r>
        <w:rPr>
          <w:rFonts w:ascii="Calibri" w:hAnsi="Calibri"/>
          <w:color w:val="000000" w:themeColor="text1"/>
          <w:sz w:val="24"/>
          <w14:textFill>
            <w14:solidFill>
              <w14:schemeClr w14:val="tx1"/>
            </w14:solidFill>
          </w14:textFill>
        </w:rPr>
        <w:t xml:space="preserve"> the wound</w:t>
      </w:r>
    </w:p>
    <w:p w14:paraId="26595D5D">
      <w:pPr>
        <w:spacing w:line="0" w:lineRule="atLeast"/>
        <w:rPr>
          <w:color w:val="000000" w:themeColor="text1"/>
          <w14:textFill>
            <w14:solidFill>
              <w14:schemeClr w14:val="tx1"/>
            </w14:solidFill>
          </w14:textFill>
        </w:rPr>
      </w:pPr>
    </w:p>
    <w:p w14:paraId="4D5F7C72">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Keep</w:t>
      </w:r>
      <w:r>
        <w:rPr>
          <w:rFonts w:ascii="Calibri" w:hAnsi="Calibri"/>
          <w:color w:val="000000" w:themeColor="text1"/>
          <w:sz w:val="24"/>
          <w14:textFill>
            <w14:solidFill>
              <w14:schemeClr w14:val="tx1"/>
            </w14:solidFill>
          </w14:textFill>
        </w:rPr>
        <w:t xml:space="preserve"> the wound clean and dry</w:t>
      </w:r>
      <w:r>
        <w:rPr>
          <w:rFonts w:ascii="Calibri" w:hAnsi="Calibri" w:cs="Calibri"/>
          <w:color w:val="000000" w:themeColor="text1"/>
          <w:sz w:val="24"/>
          <w:szCs w:val="24"/>
          <w14:textFill>
            <w14:solidFill>
              <w14:schemeClr w14:val="tx1"/>
            </w14:solidFill>
          </w14:textFill>
        </w:rPr>
        <w:t>. Avoid</w:t>
      </w:r>
      <w:r>
        <w:rPr>
          <w:rFonts w:ascii="Calibri" w:hAnsi="Calibri"/>
          <w:color w:val="000000" w:themeColor="text1"/>
          <w:sz w:val="24"/>
          <w14:textFill>
            <w14:solidFill>
              <w14:schemeClr w14:val="tx1"/>
            </w14:solidFill>
          </w14:textFill>
        </w:rPr>
        <w:t xml:space="preserve"> water </w:t>
      </w:r>
      <w:r>
        <w:rPr>
          <w:rFonts w:ascii="Calibri" w:hAnsi="Calibri" w:cs="Calibri"/>
          <w:color w:val="000000" w:themeColor="text1"/>
          <w:sz w:val="24"/>
          <w:szCs w:val="24"/>
          <w14:textFill>
            <w14:solidFill>
              <w14:schemeClr w14:val="tx1"/>
            </w14:solidFill>
          </w14:textFill>
        </w:rPr>
        <w:t>exposure and</w:t>
      </w:r>
      <w:r>
        <w:rPr>
          <w:rFonts w:ascii="Calibri" w:hAnsi="Calibri"/>
          <w:color w:val="000000" w:themeColor="text1"/>
          <w:sz w:val="24"/>
          <w14:textFill>
            <w14:solidFill>
              <w14:schemeClr w14:val="tx1"/>
            </w14:solidFill>
          </w14:textFill>
        </w:rPr>
        <w:t xml:space="preserve"> contamination.</w:t>
      </w:r>
    </w:p>
    <w:p w14:paraId="6335FC13">
      <w:pPr>
        <w:spacing w:line="0" w:lineRule="atLeast"/>
        <w:rPr>
          <w:color w:val="000000" w:themeColor="text1"/>
          <w14:textFill>
            <w14:solidFill>
              <w14:schemeClr w14:val="tx1"/>
            </w14:solidFill>
          </w14:textFill>
        </w:rPr>
      </w:pPr>
    </w:p>
    <w:p w14:paraId="29145CDD">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eastAsia="Segoe UI Emoji" w:cs="Calibri"/>
          <w:color w:val="000000" w:themeColor="text1"/>
          <w:sz w:val="24"/>
          <w:szCs w:val="24"/>
          <w14:textFill>
            <w14:solidFill>
              <w14:schemeClr w14:val="tx1"/>
            </w14:solidFill>
          </w14:textFill>
        </w:rPr>
        <w:t>Replace the sterile adhesive dressing daily or when it becomes wet, contaminated, or loosened.</w:t>
      </w:r>
    </w:p>
    <w:p w14:paraId="0D3B5CB6">
      <w:pPr>
        <w:spacing w:line="0" w:lineRule="atLeast"/>
        <w:rPr>
          <w:color w:val="000000" w:themeColor="text1"/>
          <w14:textFill>
            <w14:solidFill>
              <w14:schemeClr w14:val="tx1"/>
            </w14:solidFill>
          </w14:textFill>
        </w:rPr>
      </w:pPr>
    </w:p>
    <w:p w14:paraId="39605E1A">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Monitor</w:t>
      </w:r>
      <w:r>
        <w:rPr>
          <w:rFonts w:ascii="Calibri" w:hAnsi="Calibri"/>
          <w:color w:val="000000" w:themeColor="text1"/>
          <w:sz w:val="24"/>
          <w14:textFill>
            <w14:solidFill>
              <w14:schemeClr w14:val="tx1"/>
            </w14:solidFill>
          </w14:textFill>
        </w:rPr>
        <w:t xml:space="preserve"> for </w:t>
      </w:r>
      <w:r>
        <w:rPr>
          <w:rFonts w:ascii="Calibri" w:hAnsi="Calibri" w:cs="Calibri"/>
          <w:color w:val="000000" w:themeColor="text1"/>
          <w:sz w:val="24"/>
          <w:szCs w:val="24"/>
          <w14:textFill>
            <w14:solidFill>
              <w14:schemeClr w14:val="tx1"/>
            </w14:solidFill>
          </w14:textFill>
        </w:rPr>
        <w:t>signs of</w:t>
      </w:r>
      <w:r>
        <w:rPr>
          <w:rFonts w:ascii="Calibri" w:hAnsi="Calibri"/>
          <w:color w:val="000000" w:themeColor="text1"/>
          <w:sz w:val="24"/>
          <w14:textFill>
            <w14:solidFill>
              <w14:schemeClr w14:val="tx1"/>
            </w14:solidFill>
          </w14:textFill>
        </w:rPr>
        <w:t xml:space="preserve"> redness, swelling, exudation</w:t>
      </w:r>
      <w:r>
        <w:rPr>
          <w:rFonts w:ascii="Calibri" w:hAnsi="Calibri" w:cs="Calibri"/>
          <w:color w:val="000000" w:themeColor="text1"/>
          <w:sz w:val="24"/>
          <w:szCs w:val="24"/>
          <w14:textFill>
            <w14:solidFill>
              <w14:schemeClr w14:val="tx1"/>
            </w14:solidFill>
          </w14:textFill>
        </w:rPr>
        <w:t>,</w:t>
      </w:r>
      <w:r>
        <w:rPr>
          <w:rFonts w:ascii="Calibri" w:hAnsi="Calibri"/>
          <w:color w:val="000000" w:themeColor="text1"/>
          <w:sz w:val="24"/>
          <w14:textFill>
            <w14:solidFill>
              <w14:schemeClr w14:val="tx1"/>
            </w14:solidFill>
          </w14:textFill>
        </w:rPr>
        <w:t xml:space="preserve"> or </w:t>
      </w:r>
      <w:r>
        <w:rPr>
          <w:rFonts w:ascii="Calibri" w:hAnsi="Calibri" w:cs="Calibri"/>
          <w:color w:val="000000" w:themeColor="text1"/>
          <w:sz w:val="24"/>
          <w:szCs w:val="24"/>
          <w14:textFill>
            <w14:solidFill>
              <w14:schemeClr w14:val="tx1"/>
            </w14:solidFill>
          </w14:textFill>
        </w:rPr>
        <w:t xml:space="preserve">wound </w:t>
      </w:r>
      <w:r>
        <w:rPr>
          <w:rFonts w:ascii="Calibri" w:hAnsi="Calibri"/>
          <w:color w:val="000000" w:themeColor="text1"/>
          <w:sz w:val="24"/>
          <w14:textFill>
            <w14:solidFill>
              <w14:schemeClr w14:val="tx1"/>
            </w14:solidFill>
          </w14:textFill>
        </w:rPr>
        <w:t>dehiscence</w:t>
      </w:r>
      <w:r>
        <w:rPr>
          <w:rFonts w:ascii="Calibri" w:hAnsi="Calibri" w:cs="Calibri"/>
          <w:color w:val="000000" w:themeColor="text1"/>
          <w:sz w:val="24"/>
          <w:szCs w:val="24"/>
          <w14:textFill>
            <w14:solidFill>
              <w14:schemeClr w14:val="tx1"/>
            </w14:solidFill>
          </w14:textFill>
        </w:rPr>
        <w:t>.</w:t>
      </w:r>
    </w:p>
    <w:p w14:paraId="4106D6D3">
      <w:pPr>
        <w:spacing w:line="0" w:lineRule="atLeast"/>
        <w:rPr>
          <w:color w:val="000000" w:themeColor="text1"/>
          <w14:textFill>
            <w14:solidFill>
              <w14:schemeClr w14:val="tx1"/>
            </w14:solidFill>
          </w14:textFill>
        </w:rPr>
      </w:pPr>
    </w:p>
    <w:p w14:paraId="3E6C2C27">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Seek medical attention</w:t>
      </w:r>
      <w:r>
        <w:rPr>
          <w:rFonts w:ascii="Calibri" w:hAnsi="Calibri"/>
          <w:color w:val="000000" w:themeColor="text1"/>
          <w:sz w:val="24"/>
          <w14:textFill>
            <w14:solidFill>
              <w14:schemeClr w14:val="tx1"/>
            </w14:solidFill>
          </w14:textFill>
        </w:rPr>
        <w:t xml:space="preserve"> if signs of infection </w:t>
      </w:r>
      <w:r>
        <w:rPr>
          <w:rFonts w:ascii="Calibri" w:hAnsi="Calibri" w:cs="Calibri"/>
          <w:color w:val="000000" w:themeColor="text1"/>
          <w:sz w:val="24"/>
          <w:szCs w:val="24"/>
          <w14:textFill>
            <w14:solidFill>
              <w14:schemeClr w14:val="tx1"/>
            </w14:solidFill>
          </w14:textFill>
        </w:rPr>
        <w:t>occur, including</w:t>
      </w:r>
      <w:r>
        <w:rPr>
          <w:rFonts w:ascii="Calibri" w:hAnsi="Calibri"/>
          <w:color w:val="000000" w:themeColor="text1"/>
          <w:sz w:val="24"/>
          <w14:textFill>
            <w14:solidFill>
              <w14:schemeClr w14:val="tx1"/>
            </w14:solidFill>
          </w14:textFill>
        </w:rPr>
        <w:t xml:space="preserve"> redness, swelling, heat, pain</w:t>
      </w:r>
      <w:r>
        <w:rPr>
          <w:rFonts w:ascii="Calibri" w:hAnsi="Calibri" w:cs="Calibri"/>
          <w:color w:val="000000" w:themeColor="text1"/>
          <w:sz w:val="24"/>
          <w:szCs w:val="24"/>
          <w14:textFill>
            <w14:solidFill>
              <w14:schemeClr w14:val="tx1"/>
            </w14:solidFill>
          </w14:textFill>
        </w:rPr>
        <w:t>,</w:t>
      </w:r>
      <w:r>
        <w:rPr>
          <w:rFonts w:ascii="Calibri" w:hAnsi="Calibri"/>
          <w:color w:val="000000" w:themeColor="text1"/>
          <w:sz w:val="24"/>
          <w14:textFill>
            <w14:solidFill>
              <w14:schemeClr w14:val="tx1"/>
            </w14:solidFill>
          </w14:textFill>
        </w:rPr>
        <w:t xml:space="preserve"> or purulent discharge.</w:t>
      </w:r>
    </w:p>
    <w:p w14:paraId="56E6A34B">
      <w:pPr>
        <w:spacing w:line="0" w:lineRule="atLeast"/>
        <w:rPr>
          <w:color w:val="000000" w:themeColor="text1"/>
          <w14:textFill>
            <w14:solidFill>
              <w14:schemeClr w14:val="tx1"/>
            </w14:solidFill>
          </w14:textFill>
        </w:rPr>
      </w:pPr>
    </w:p>
    <w:p w14:paraId="691346E4">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Maintain</w:t>
      </w:r>
      <w:r>
        <w:rPr>
          <w:rFonts w:ascii="Calibri" w:hAnsi="Calibri"/>
          <w:color w:val="000000" w:themeColor="text1"/>
          <w:sz w:val="24"/>
          <w14:textFill>
            <w14:solidFill>
              <w14:schemeClr w14:val="tx1"/>
            </w14:solidFill>
          </w14:textFill>
        </w:rPr>
        <w:t xml:space="preserve"> a light diet</w:t>
      </w:r>
      <w:r>
        <w:rPr>
          <w:rFonts w:ascii="Calibri" w:hAnsi="Calibri" w:cs="Calibri"/>
          <w:color w:val="000000" w:themeColor="text1"/>
          <w:sz w:val="24"/>
          <w:szCs w:val="24"/>
          <w14:textFill>
            <w14:solidFill>
              <w14:schemeClr w14:val="tx1"/>
            </w14:solidFill>
          </w14:textFill>
        </w:rPr>
        <w:t>.</w:t>
      </w:r>
      <w:r>
        <w:rPr>
          <w:rFonts w:ascii="Calibri" w:hAnsi="Calibri"/>
          <w:color w:val="000000" w:themeColor="text1"/>
          <w:sz w:val="24"/>
          <w14:textFill>
            <w14:solidFill>
              <w14:schemeClr w14:val="tx1"/>
            </w14:solidFill>
          </w14:textFill>
        </w:rPr>
        <w:t xml:space="preserve"> </w:t>
      </w:r>
      <w:r>
        <w:rPr>
          <w:rFonts w:ascii="Calibri" w:hAnsi="Calibri" w:cs="Calibri"/>
          <w:color w:val="000000" w:themeColor="text1"/>
          <w:sz w:val="24"/>
          <w:szCs w:val="24"/>
          <w14:textFill>
            <w14:solidFill>
              <w14:schemeClr w14:val="tx1"/>
            </w14:solidFill>
          </w14:textFill>
        </w:rPr>
        <w:t>A</w:t>
      </w:r>
      <w:r>
        <w:rPr>
          <w:rFonts w:ascii="Calibri" w:hAnsi="Calibri"/>
          <w:color w:val="000000" w:themeColor="text1"/>
          <w:sz w:val="24"/>
          <w14:textFill>
            <w14:solidFill>
              <w14:schemeClr w14:val="tx1"/>
            </w14:solidFill>
          </w14:textFill>
        </w:rPr>
        <w:t xml:space="preserve">void spicy </w:t>
      </w:r>
      <w:r>
        <w:rPr>
          <w:rFonts w:ascii="Calibri" w:hAnsi="Calibri" w:cs="Calibri"/>
          <w:color w:val="000000" w:themeColor="text1"/>
          <w:sz w:val="24"/>
          <w:szCs w:val="24"/>
          <w14:textFill>
            <w14:solidFill>
              <w14:schemeClr w14:val="tx1"/>
            </w14:solidFill>
          </w14:textFill>
        </w:rPr>
        <w:t>or irritating</w:t>
      </w:r>
      <w:r>
        <w:rPr>
          <w:rFonts w:ascii="Calibri" w:hAnsi="Calibri"/>
          <w:color w:val="000000" w:themeColor="text1"/>
          <w:sz w:val="24"/>
          <w14:textFill>
            <w14:solidFill>
              <w14:schemeClr w14:val="tx1"/>
            </w14:solidFill>
          </w14:textFill>
        </w:rPr>
        <w:t xml:space="preserve"> foods.</w:t>
      </w:r>
    </w:p>
    <w:p w14:paraId="23938015">
      <w:pPr>
        <w:spacing w:line="0" w:lineRule="atLeast"/>
        <w:rPr>
          <w:color w:val="000000" w:themeColor="text1"/>
          <w14:textFill>
            <w14:solidFill>
              <w14:schemeClr w14:val="tx1"/>
            </w14:solidFill>
          </w14:textFill>
        </w:rPr>
      </w:pPr>
    </w:p>
    <w:p w14:paraId="40CC26FA">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Avoid</w:t>
      </w:r>
      <w:r>
        <w:rPr>
          <w:rFonts w:ascii="Calibri" w:hAnsi="Calibri"/>
          <w:color w:val="000000" w:themeColor="text1"/>
          <w:sz w:val="24"/>
          <w14:textFill>
            <w14:solidFill>
              <w14:schemeClr w14:val="tx1"/>
            </w14:solidFill>
          </w14:textFill>
        </w:rPr>
        <w:t xml:space="preserve"> smoking and </w:t>
      </w:r>
      <w:r>
        <w:rPr>
          <w:rFonts w:ascii="Calibri" w:hAnsi="Calibri" w:cs="Calibri"/>
          <w:color w:val="000000" w:themeColor="text1"/>
          <w:sz w:val="24"/>
          <w:szCs w:val="24"/>
          <w14:textFill>
            <w14:solidFill>
              <w14:schemeClr w14:val="tx1"/>
            </w14:solidFill>
          </w14:textFill>
        </w:rPr>
        <w:t xml:space="preserve">limit </w:t>
      </w:r>
      <w:r>
        <w:rPr>
          <w:rFonts w:ascii="Calibri" w:hAnsi="Calibri"/>
          <w:color w:val="000000" w:themeColor="text1"/>
          <w:sz w:val="24"/>
          <w14:textFill>
            <w14:solidFill>
              <w14:schemeClr w14:val="tx1"/>
            </w14:solidFill>
          </w14:textFill>
        </w:rPr>
        <w:t xml:space="preserve">alcohol </w:t>
      </w:r>
      <w:r>
        <w:rPr>
          <w:rFonts w:ascii="Calibri" w:hAnsi="Calibri" w:cs="Calibri"/>
          <w:color w:val="000000" w:themeColor="text1"/>
          <w:sz w:val="24"/>
          <w:szCs w:val="24"/>
          <w14:textFill>
            <w14:solidFill>
              <w14:schemeClr w14:val="tx1"/>
            </w14:solidFill>
          </w14:textFill>
        </w:rPr>
        <w:t xml:space="preserve">consumption. Maintain regular </w:t>
      </w:r>
      <w:r>
        <w:rPr>
          <w:rFonts w:ascii="Calibri" w:hAnsi="Calibri"/>
          <w:color w:val="000000" w:themeColor="text1"/>
          <w:sz w:val="24"/>
          <w14:textFill>
            <w14:solidFill>
              <w14:schemeClr w14:val="tx1"/>
            </w14:solidFill>
          </w14:textFill>
        </w:rPr>
        <w:t xml:space="preserve">sleep </w:t>
      </w:r>
      <w:r>
        <w:rPr>
          <w:rFonts w:ascii="Calibri" w:hAnsi="Calibri" w:cs="Calibri"/>
          <w:color w:val="000000" w:themeColor="text1"/>
          <w:sz w:val="24"/>
          <w:szCs w:val="24"/>
          <w14:textFill>
            <w14:solidFill>
              <w14:schemeClr w14:val="tx1"/>
            </w14:solidFill>
          </w14:textFill>
        </w:rPr>
        <w:t>patterns</w:t>
      </w:r>
      <w:r>
        <w:rPr>
          <w:rFonts w:ascii="Calibri" w:hAnsi="Calibri"/>
          <w:color w:val="000000" w:themeColor="text1"/>
          <w:sz w:val="24"/>
          <w14:textFill>
            <w14:solidFill>
              <w14:schemeClr w14:val="tx1"/>
            </w14:solidFill>
          </w14:textFill>
        </w:rPr>
        <w:t xml:space="preserve"> to </w:t>
      </w:r>
      <w:r>
        <w:rPr>
          <w:rFonts w:ascii="Calibri" w:hAnsi="Calibri" w:cs="Calibri"/>
          <w:color w:val="000000" w:themeColor="text1"/>
          <w:sz w:val="24"/>
          <w:szCs w:val="24"/>
          <w14:textFill>
            <w14:solidFill>
              <w14:schemeClr w14:val="tx1"/>
            </w14:solidFill>
          </w14:textFill>
        </w:rPr>
        <w:t>support</w:t>
      </w:r>
      <w:r>
        <w:rPr>
          <w:rFonts w:ascii="Calibri" w:hAnsi="Calibri"/>
          <w:color w:val="000000" w:themeColor="text1"/>
          <w:sz w:val="24"/>
          <w14:textFill>
            <w14:solidFill>
              <w14:schemeClr w14:val="tx1"/>
            </w14:solidFill>
          </w14:textFill>
        </w:rPr>
        <w:t xml:space="preserve"> recovery.</w:t>
      </w:r>
    </w:p>
    <w:p w14:paraId="042AA5D4">
      <w:pPr>
        <w:spacing w:line="0" w:lineRule="atLeast"/>
        <w:rPr>
          <w:b/>
          <w:color w:val="000000" w:themeColor="text1"/>
          <w14:textFill>
            <w14:solidFill>
              <w14:schemeClr w14:val="tx1"/>
            </w14:solidFill>
          </w14:textFill>
        </w:rPr>
      </w:pPr>
    </w:p>
    <w:p w14:paraId="40CC26FB">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CAUTION:</w:t>
      </w:r>
      <w:r>
        <w:rPr>
          <w:color w:val="000000" w:themeColor="text1"/>
          <w14:textFill>
            <w14:solidFill>
              <w14:schemeClr w14:val="tx1"/>
            </w14:solidFill>
          </w14:textFill>
        </w:rPr>
        <w:t xml:space="preserve"> Monitor for signs of infection and delayed wound healing. Initiate medical evaluation if symptoms worsen.</w:t>
      </w:r>
    </w:p>
    <w:p w14:paraId="79F716B2">
      <w:pPr>
        <w:spacing w:line="0" w:lineRule="atLeast"/>
        <w:rPr>
          <w:color w:val="000000" w:themeColor="text1"/>
          <w14:textFill>
            <w14:solidFill>
              <w14:schemeClr w14:val="tx1"/>
            </w14:solidFill>
          </w14:textFill>
        </w:rPr>
      </w:pPr>
    </w:p>
    <w:p w14:paraId="67D72E59">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Perform</w:t>
      </w:r>
      <w:r>
        <w:rPr>
          <w:rFonts w:ascii="Calibri" w:hAnsi="Calibri"/>
          <w:color w:val="000000" w:themeColor="text1"/>
          <w:sz w:val="24"/>
          <w14:textFill>
            <w14:solidFill>
              <w14:schemeClr w14:val="tx1"/>
            </w14:solidFill>
          </w14:textFill>
        </w:rPr>
        <w:t xml:space="preserve"> postoperative </w:t>
      </w:r>
      <w:r>
        <w:rPr>
          <w:rFonts w:ascii="Calibri" w:hAnsi="Calibri" w:cs="Calibri"/>
          <w:color w:val="000000" w:themeColor="text1"/>
          <w:sz w:val="24"/>
          <w:szCs w:val="24"/>
          <w14:textFill>
            <w14:solidFill>
              <w14:schemeClr w14:val="tx1"/>
            </w14:solidFill>
          </w14:textFill>
        </w:rPr>
        <w:t>a</w:t>
      </w:r>
      <w:r>
        <w:rPr>
          <w:rFonts w:ascii="Calibri" w:hAnsi="Calibri"/>
          <w:color w:val="000000" w:themeColor="text1"/>
          <w:sz w:val="24"/>
          <w14:textFill>
            <w14:solidFill>
              <w14:schemeClr w14:val="tx1"/>
            </w14:solidFill>
          </w14:textFill>
        </w:rPr>
        <w:t>ssessment</w:t>
      </w:r>
    </w:p>
    <w:p w14:paraId="451A05CA">
      <w:pPr>
        <w:spacing w:line="0" w:lineRule="atLeast"/>
        <w:rPr>
          <w:color w:val="000000" w:themeColor="text1"/>
          <w14:textFill>
            <w14:solidFill>
              <w14:schemeClr w14:val="tx1"/>
            </w14:solidFill>
          </w14:textFill>
        </w:rPr>
      </w:pPr>
    </w:p>
    <w:p w14:paraId="125D0115">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14:textFill>
            <w14:solidFill>
              <w14:schemeClr w14:val="tx1"/>
            </w14:solidFill>
          </w14:textFill>
        </w:rPr>
        <w:t>Schedule in-person follow-up evaluations at 1 week, 2 weeks, and 1 month postoperatively.</w:t>
      </w:r>
    </w:p>
    <w:p w14:paraId="14FF4F49">
      <w:pPr>
        <w:spacing w:line="0" w:lineRule="atLeast"/>
        <w:rPr>
          <w:color w:val="000000" w:themeColor="text1"/>
          <w14:textFill>
            <w14:solidFill>
              <w14:schemeClr w14:val="tx1"/>
            </w14:solidFill>
          </w14:textFill>
        </w:rPr>
      </w:pPr>
    </w:p>
    <w:p w14:paraId="21915007">
      <w:pPr>
        <w:pStyle w:val="25"/>
        <w:numPr>
          <w:ilvl w:val="2"/>
          <w:numId w:val="5"/>
        </w:numPr>
        <w:spacing w:after="0" w:line="0" w:lineRule="atLeast"/>
        <w:jc w:val="both"/>
        <w:rPr>
          <w:rFonts w:ascii="Calibri" w:hAnsi="Calibri" w:cs="Calibri"/>
          <w:color w:val="000000" w:themeColor="text1"/>
          <w:sz w:val="24"/>
          <w:szCs w:val="24"/>
          <w14:textFill>
            <w14:solidFill>
              <w14:schemeClr w14:val="tx1"/>
            </w14:solidFill>
          </w14:textFill>
        </w:rPr>
      </w:pPr>
      <w:r>
        <w:rPr>
          <w:rFonts w:ascii="Calibri" w:hAnsi="Calibri"/>
          <w:color w:val="000000" w:themeColor="text1"/>
          <w:sz w:val="24"/>
          <w14:textFill>
            <w14:solidFill>
              <w14:schemeClr w14:val="tx1"/>
            </w14:solidFill>
          </w14:textFill>
        </w:rPr>
        <w:t xml:space="preserve">Assess treatment </w:t>
      </w:r>
      <w:r>
        <w:rPr>
          <w:rFonts w:ascii="Calibri" w:hAnsi="Calibri" w:cs="Calibri"/>
          <w:color w:val="000000" w:themeColor="text1"/>
          <w:sz w:val="24"/>
          <w:szCs w:val="24"/>
          <w14:textFill>
            <w14:solidFill>
              <w14:schemeClr w14:val="tx1"/>
            </w14:solidFill>
          </w14:textFill>
        </w:rPr>
        <w:t>outcomes</w:t>
      </w:r>
      <w:r>
        <w:rPr>
          <w:rFonts w:ascii="Calibri" w:hAnsi="Calibri"/>
          <w:color w:val="000000" w:themeColor="text1"/>
          <w:sz w:val="24"/>
          <w14:textFill>
            <w14:solidFill>
              <w14:schemeClr w14:val="tx1"/>
            </w14:solidFill>
          </w14:textFill>
        </w:rPr>
        <w:t xml:space="preserve"> using VAS and </w:t>
      </w:r>
      <w:r>
        <w:rPr>
          <w:rFonts w:ascii="Calibri" w:hAnsi="Calibri" w:cs="Calibri"/>
          <w:color w:val="000000" w:themeColor="text1"/>
          <w:sz w:val="24"/>
          <w:szCs w:val="24"/>
          <w14:textFill>
            <w14:solidFill>
              <w14:schemeClr w14:val="tx1"/>
            </w14:solidFill>
          </w14:textFill>
        </w:rPr>
        <w:t>Quinnell grading</w:t>
      </w:r>
      <w:r>
        <w:rPr>
          <w:rFonts w:ascii="Calibri" w:hAnsi="Calibri"/>
          <w:color w:val="000000" w:themeColor="text1"/>
          <w:sz w:val="24"/>
          <w14:textFill>
            <w14:solidFill>
              <w14:schemeClr w14:val="tx1"/>
            </w14:solidFill>
          </w14:textFill>
        </w:rPr>
        <w:t xml:space="preserve"> at 1 month</w:t>
      </w:r>
      <w:r>
        <w:rPr>
          <w:rFonts w:ascii="Calibri" w:hAnsi="Calibri" w:cs="Calibri"/>
          <w:color w:val="000000" w:themeColor="text1"/>
          <w:sz w:val="24"/>
          <w:szCs w:val="24"/>
          <w14:textFill>
            <w14:solidFill>
              <w14:schemeClr w14:val="tx1"/>
            </w14:solidFill>
          </w14:textFill>
        </w:rPr>
        <w:t>.</w:t>
      </w:r>
    </w:p>
    <w:p w14:paraId="5EB7F256">
      <w:pPr>
        <w:spacing w:line="0" w:lineRule="atLeast"/>
        <w:rPr>
          <w:color w:val="000000" w:themeColor="text1"/>
          <w14:textFill>
            <w14:solidFill>
              <w14:schemeClr w14:val="tx1"/>
            </w14:solidFill>
          </w14:textFill>
        </w:rPr>
      </w:pPr>
    </w:p>
    <w:p w14:paraId="40CC2703">
      <w:pPr>
        <w:pStyle w:val="25"/>
        <w:numPr>
          <w:ilvl w:val="2"/>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eastAsia="Segoe UI Emoji" w:cs="Calibri"/>
          <w:color w:val="000000" w:themeColor="text1"/>
          <w:sz w:val="24"/>
          <w:szCs w:val="24"/>
          <w14:textFill>
            <w14:solidFill>
              <w14:schemeClr w14:val="tx1"/>
            </w14:solidFill>
          </w14:textFill>
        </w:rPr>
        <w:t>Perform ultrasound re-examination if recurrent triggering or pain (VAS score ≥ 3) is observed.</w:t>
      </w:r>
    </w:p>
    <w:p w14:paraId="34133C3D">
      <w:pPr>
        <w:pStyle w:val="25"/>
        <w:spacing w:after="0" w:line="0" w:lineRule="atLeast"/>
        <w:jc w:val="both"/>
        <w:rPr>
          <w:rFonts w:ascii="Calibri" w:hAnsi="Calibri"/>
          <w:color w:val="000000" w:themeColor="text1"/>
          <w:sz w:val="24"/>
          <w14:textFill>
            <w14:solidFill>
              <w14:schemeClr w14:val="tx1"/>
            </w14:solidFill>
          </w14:textFill>
        </w:rPr>
      </w:pPr>
    </w:p>
    <w:p w14:paraId="72D7FAC2">
      <w:pPr>
        <w:spacing w:line="0" w:lineRule="atLeast"/>
        <w:rPr>
          <w:color w:val="000000" w:themeColor="text1"/>
          <w14:textFill>
            <w14:solidFill>
              <w14:schemeClr w14:val="tx1"/>
            </w14:solidFill>
          </w14:textFill>
        </w:rPr>
      </w:pPr>
      <w:r>
        <w:rPr>
          <w:b/>
          <w:bCs/>
          <w:color w:val="000000" w:themeColor="text1"/>
          <w14:textFill>
            <w14:solidFill>
              <w14:schemeClr w14:val="tx1"/>
            </w14:solidFill>
          </w14:textFill>
        </w:rPr>
        <w:t>PAUSE POINT:</w:t>
      </w:r>
      <w:r>
        <w:rPr>
          <w:color w:val="000000" w:themeColor="text1"/>
          <w14:textFill>
            <w14:solidFill>
              <w14:schemeClr w14:val="tx1"/>
            </w14:solidFill>
          </w14:textFill>
        </w:rPr>
        <w:t xml:space="preserve"> Follow-up assessments may be conducted at scheduled outpatient visits.</w:t>
      </w:r>
    </w:p>
    <w:p w14:paraId="62CB0C8F">
      <w:pPr>
        <w:spacing w:line="0" w:lineRule="atLeast"/>
        <w:rPr>
          <w:color w:val="000000" w:themeColor="text1"/>
          <w14:textFill>
            <w14:solidFill>
              <w14:schemeClr w14:val="tx1"/>
            </w14:solidFill>
          </w14:textFill>
        </w:rPr>
      </w:pPr>
    </w:p>
    <w:p w14:paraId="1C7848B3">
      <w:pPr>
        <w:pStyle w:val="25"/>
        <w:numPr>
          <w:ilvl w:val="0"/>
          <w:numId w:val="5"/>
        </w:numPr>
        <w:spacing w:after="0" w:line="0" w:lineRule="atLeast"/>
        <w:jc w:val="both"/>
        <w:rPr>
          <w:rFonts w:ascii="Calibri" w:hAnsi="Calibri"/>
          <w:b/>
          <w:bCs/>
          <w:color w:val="000000" w:themeColor="text1"/>
          <w:sz w:val="24"/>
          <w14:textFill>
            <w14:solidFill>
              <w14:schemeClr w14:val="tx1"/>
            </w14:solidFill>
          </w14:textFill>
        </w:rPr>
      </w:pPr>
      <w:r>
        <w:rPr>
          <w:rFonts w:ascii="Calibri" w:hAnsi="Calibri" w:cs="Calibri"/>
          <w:b/>
          <w:bCs/>
          <w:color w:val="000000" w:themeColor="text1"/>
          <w:sz w:val="24"/>
          <w:szCs w:val="24"/>
          <w:lang w:eastAsia="zh-CN"/>
          <w14:textFill>
            <w14:solidFill>
              <w14:schemeClr w14:val="tx1"/>
            </w14:solidFill>
          </w14:textFill>
        </w:rPr>
        <w:t>Perform statistical</w:t>
      </w:r>
      <w:r>
        <w:rPr>
          <w:rFonts w:ascii="Calibri" w:hAnsi="Calibri"/>
          <w:b/>
          <w:bCs/>
          <w:color w:val="000000" w:themeColor="text1"/>
          <w:sz w:val="24"/>
          <w14:textFill>
            <w14:solidFill>
              <w14:schemeClr w14:val="tx1"/>
            </w14:solidFill>
          </w14:textFill>
        </w:rPr>
        <w:t xml:space="preserve"> analysis</w:t>
      </w:r>
    </w:p>
    <w:p w14:paraId="4D89B64C">
      <w:pPr>
        <w:spacing w:line="0" w:lineRule="atLeast"/>
        <w:rPr>
          <w:color w:val="000000" w:themeColor="text1"/>
          <w14:textFill>
            <w14:solidFill>
              <w14:schemeClr w14:val="tx1"/>
            </w14:solidFill>
          </w14:textFill>
        </w:rPr>
      </w:pPr>
    </w:p>
    <w:p w14:paraId="37234F16">
      <w:pPr>
        <w:pStyle w:val="25"/>
        <w:numPr>
          <w:ilvl w:val="1"/>
          <w:numId w:val="5"/>
        </w:numPr>
        <w:spacing w:after="0" w:line="0" w:lineRule="atLeast"/>
        <w:jc w:val="both"/>
        <w:rPr>
          <w:rFonts w:ascii="Calibri" w:hAnsi="Calibri" w:cs="Calibri"/>
          <w:color w:val="000000" w:themeColor="text1"/>
          <w:sz w:val="24"/>
          <w:szCs w:val="24"/>
          <w:lang w:eastAsia="zh-CN"/>
          <w14:textFill>
            <w14:solidFill>
              <w14:schemeClr w14:val="tx1"/>
            </w14:solidFill>
          </w14:textFill>
        </w:rPr>
      </w:pPr>
      <w:r>
        <w:rPr>
          <w:rFonts w:ascii="Calibri" w:hAnsi="Calibri" w:cs="Calibri"/>
          <w:color w:val="000000" w:themeColor="text1"/>
          <w:sz w:val="24"/>
          <w:szCs w:val="24"/>
          <w:lang w:eastAsia="zh-CN"/>
          <w14:textFill>
            <w14:solidFill>
              <w14:schemeClr w14:val="tx1"/>
            </w14:solidFill>
          </w14:textFill>
        </w:rPr>
        <w:t>Collect VAS scores and Quinnell’s grades from patients before treatment and at 1 month postoperatively using in-person visits or telephone follow-up. For telephone follow-up, use a standardized structured questionnaire (</w:t>
      </w:r>
      <w:r>
        <w:rPr>
          <w:rFonts w:ascii="Calibri" w:hAnsi="Calibri" w:cs="Calibri"/>
          <w:b/>
          <w:bCs/>
          <w:color w:val="000000" w:themeColor="text1"/>
          <w:sz w:val="24"/>
          <w:szCs w:val="24"/>
          <w:lang w:eastAsia="zh-CN"/>
          <w14:textFill>
            <w14:solidFill>
              <w14:schemeClr w14:val="tx1"/>
            </w14:solidFill>
          </w14:textFill>
        </w:rPr>
        <w:t>Supplementary File 1</w:t>
      </w:r>
      <w:r>
        <w:rPr>
          <w:rFonts w:ascii="Calibri" w:hAnsi="Calibri" w:cs="Calibri"/>
          <w:color w:val="000000" w:themeColor="text1"/>
          <w:sz w:val="24"/>
          <w:szCs w:val="24"/>
          <w:lang w:eastAsia="zh-CN"/>
          <w14:textFill>
            <w14:solidFill>
              <w14:schemeClr w14:val="tx1"/>
            </w14:solidFill>
          </w14:textFill>
        </w:rPr>
        <w:t>) to assess pain (VAS) and finger function (Quinnell grading).</w:t>
      </w:r>
    </w:p>
    <w:p w14:paraId="6DF10113">
      <w:pPr>
        <w:spacing w:line="0" w:lineRule="atLeast"/>
        <w:rPr>
          <w:color w:val="000000" w:themeColor="text1"/>
          <w:lang w:eastAsia="zh-CN"/>
          <w14:textFill>
            <w14:solidFill>
              <w14:schemeClr w14:val="tx1"/>
            </w14:solidFill>
          </w14:textFill>
        </w:rPr>
      </w:pPr>
    </w:p>
    <w:p w14:paraId="21860136">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s="Calibri"/>
          <w:color w:val="000000" w:themeColor="text1"/>
          <w:sz w:val="24"/>
          <w:szCs w:val="24"/>
          <w:lang w:eastAsia="zh-CN"/>
          <w14:textFill>
            <w14:solidFill>
              <w14:schemeClr w14:val="tx1"/>
            </w14:solidFill>
          </w14:textFill>
        </w:rPr>
        <w:t>Perform a</w:t>
      </w:r>
      <w:r>
        <w:rPr>
          <w:rFonts w:ascii="Calibri" w:hAnsi="Calibri"/>
          <w:color w:val="000000" w:themeColor="text1"/>
          <w:sz w:val="24"/>
          <w14:textFill>
            <w14:solidFill>
              <w14:schemeClr w14:val="tx1"/>
            </w14:solidFill>
          </w14:textFill>
        </w:rPr>
        <w:t xml:space="preserve"> paired-sample t-test to </w:t>
      </w:r>
      <w:r>
        <w:rPr>
          <w:rFonts w:ascii="Calibri" w:hAnsi="Calibri" w:cs="Calibri"/>
          <w:color w:val="000000" w:themeColor="text1"/>
          <w:sz w:val="24"/>
          <w:szCs w:val="24"/>
          <w:lang w:eastAsia="zh-CN"/>
          <w14:textFill>
            <w14:solidFill>
              <w14:schemeClr w14:val="tx1"/>
            </w14:solidFill>
          </w14:textFill>
        </w:rPr>
        <w:t>evaluate</w:t>
      </w:r>
      <w:r>
        <w:rPr>
          <w:rFonts w:ascii="Calibri" w:hAnsi="Calibri"/>
          <w:color w:val="000000" w:themeColor="text1"/>
          <w:sz w:val="24"/>
          <w14:textFill>
            <w14:solidFill>
              <w14:schemeClr w14:val="tx1"/>
            </w14:solidFill>
          </w14:textFill>
        </w:rPr>
        <w:t xml:space="preserve"> statistical significance. </w:t>
      </w:r>
      <w:r>
        <w:rPr>
          <w:rFonts w:ascii="Calibri" w:hAnsi="Calibri" w:cs="Calibri"/>
          <w:color w:val="000000" w:themeColor="text1"/>
          <w:sz w:val="24"/>
          <w:szCs w:val="24"/>
          <w:lang w:eastAsia="zh-CN"/>
          <w14:textFill>
            <w14:solidFill>
              <w14:schemeClr w14:val="tx1"/>
            </w14:solidFill>
          </w14:textFill>
        </w:rPr>
        <w:t>Define</w:t>
      </w:r>
      <w:r>
        <w:rPr>
          <w:rFonts w:ascii="Calibri" w:hAnsi="Calibri"/>
          <w:color w:val="000000" w:themeColor="text1"/>
          <w:sz w:val="24"/>
          <w14:textFill>
            <w14:solidFill>
              <w14:schemeClr w14:val="tx1"/>
            </w14:solidFill>
          </w14:textFill>
        </w:rPr>
        <w:t xml:space="preserve"> statistical significance as P &lt; 0.05.</w:t>
      </w:r>
    </w:p>
    <w:p w14:paraId="2CE92B64">
      <w:pPr>
        <w:spacing w:line="0" w:lineRule="atLeast"/>
        <w:rPr>
          <w:color w:val="000000" w:themeColor="text1"/>
          <w14:textFill>
            <w14:solidFill>
              <w14:schemeClr w14:val="tx1"/>
            </w14:solidFill>
          </w14:textFill>
        </w:rPr>
      </w:pPr>
    </w:p>
    <w:p w14:paraId="08326CB4">
      <w:pPr>
        <w:pStyle w:val="25"/>
        <w:numPr>
          <w:ilvl w:val="1"/>
          <w:numId w:val="5"/>
        </w:numPr>
        <w:spacing w:after="0" w:line="0" w:lineRule="atLeast"/>
        <w:jc w:val="both"/>
        <w:rPr>
          <w:rFonts w:ascii="Calibri" w:hAnsi="Calibri" w:cs="Calibri"/>
          <w:color w:val="000000" w:themeColor="text1"/>
          <w:sz w:val="24"/>
          <w:szCs w:val="24"/>
          <w:lang w:eastAsia="zh-CN"/>
          <w14:textFill>
            <w14:solidFill>
              <w14:schemeClr w14:val="tx1"/>
            </w14:solidFill>
          </w14:textFill>
        </w:rPr>
      </w:pPr>
      <w:r>
        <w:rPr>
          <w:rFonts w:ascii="Calibri" w:hAnsi="Calibri" w:cs="Calibri"/>
          <w:color w:val="000000" w:themeColor="text1"/>
          <w:sz w:val="24"/>
          <w:szCs w:val="24"/>
          <w:lang w:eastAsia="zh-CN"/>
          <w14:textFill>
            <w14:solidFill>
              <w14:schemeClr w14:val="tx1"/>
            </w14:solidFill>
          </w14:textFill>
        </w:rPr>
        <w:t>Ensure that data quantification is performed by assistants blinded to the experimental conditions by masking patient identifiers and pre- and post-treatment labels prior to analysis, with all group and time-point information concealed throughout the measurement process.</w:t>
      </w:r>
    </w:p>
    <w:p w14:paraId="1180F2E9">
      <w:pPr>
        <w:spacing w:line="0" w:lineRule="atLeast"/>
        <w:rPr>
          <w:color w:val="000000" w:themeColor="text1"/>
          <w:lang w:eastAsia="zh-CN"/>
          <w14:textFill>
            <w14:solidFill>
              <w14:schemeClr w14:val="tx1"/>
            </w14:solidFill>
          </w14:textFill>
        </w:rPr>
      </w:pPr>
    </w:p>
    <w:p w14:paraId="40CC270A">
      <w:pPr>
        <w:pStyle w:val="25"/>
        <w:numPr>
          <w:ilvl w:val="1"/>
          <w:numId w:val="5"/>
        </w:numPr>
        <w:spacing w:after="0" w:line="0" w:lineRule="atLeast"/>
        <w:jc w:val="both"/>
        <w:rPr>
          <w:rFonts w:ascii="Calibri" w:hAnsi="Calibri"/>
          <w:color w:val="000000" w:themeColor="text1"/>
          <w:sz w:val="24"/>
          <w14:textFill>
            <w14:solidFill>
              <w14:schemeClr w14:val="tx1"/>
            </w14:solidFill>
          </w14:textFill>
        </w:rPr>
      </w:pPr>
      <w:r>
        <w:rPr>
          <w:rFonts w:ascii="Calibri" w:hAnsi="Calibri"/>
          <w:color w:val="000000" w:themeColor="text1"/>
          <w:sz w:val="24"/>
          <w14:textFill>
            <w14:solidFill>
              <w14:schemeClr w14:val="tx1"/>
            </w14:solidFill>
          </w14:textFill>
        </w:rPr>
        <w:t>Express data as mean ± standard deviation.</w:t>
      </w:r>
    </w:p>
    <w:p w14:paraId="76E23476">
      <w:pPr>
        <w:spacing w:line="0" w:lineRule="atLeast"/>
        <w:rPr>
          <w:color w:val="000000" w:themeColor="text1"/>
          <w14:textFill>
            <w14:solidFill>
              <w14:schemeClr w14:val="tx1"/>
            </w14:solidFill>
          </w14:textFill>
        </w:rPr>
      </w:pPr>
    </w:p>
    <w:p w14:paraId="280DC4D4">
      <w:pPr>
        <w:spacing w:line="0" w:lineRule="atLeast"/>
        <w:rPr>
          <w:rFonts w:ascii="Arial" w:hAnsi="Arial" w:eastAsia="宋体" w:cs="Arial"/>
          <w:color w:val="000000" w:themeColor="text1"/>
          <w:lang w:eastAsia="zh-CN"/>
          <w14:textFill>
            <w14:solidFill>
              <w14:schemeClr w14:val="tx1"/>
            </w14:solidFill>
          </w14:textFill>
        </w:rPr>
      </w:pPr>
      <w:r>
        <w:rPr>
          <w:b/>
          <w:bCs/>
          <w:color w:val="000000" w:themeColor="text1"/>
          <w14:textFill>
            <w14:solidFill>
              <w14:schemeClr w14:val="tx1"/>
            </w14:solidFill>
          </w14:textFill>
        </w:rPr>
        <w:t>NOTE:</w:t>
      </w:r>
      <w:r>
        <w:rPr>
          <w:b/>
          <w:color w:val="000000" w:themeColor="text1"/>
          <w14:textFill>
            <w14:solidFill>
              <w14:schemeClr w14:val="tx1"/>
            </w14:solidFill>
          </w14:textFill>
        </w:rPr>
        <w:t xml:space="preserve"> </w:t>
      </w:r>
      <w:r>
        <w:rPr>
          <w:bCs/>
          <w:color w:val="000000" w:themeColor="text1"/>
          <w14:textFill>
            <w14:solidFill>
              <w14:schemeClr w14:val="tx1"/>
            </w14:solidFill>
          </w14:textFill>
        </w:rPr>
        <w:t>This study is a standardized protocol study rather than a confirmatory clinical trial; therefore, no formal sample size calculation was performed. A total of 16 patients were enrolled to preliminarily verify the feasibility, safety, and operational procedures of the protocol.</w:t>
      </w:r>
    </w:p>
    <w:p w14:paraId="58E39F69">
      <w:pPr>
        <w:spacing w:line="0" w:lineRule="atLeast"/>
        <w:rPr>
          <w:color w:val="000000" w:themeColor="text1"/>
          <w14:textFill>
            <w14:solidFill>
              <w14:schemeClr w14:val="tx1"/>
            </w14:solidFill>
          </w14:textFill>
        </w:rPr>
      </w:pPr>
    </w:p>
    <w:p w14:paraId="40CC270B">
      <w:pPr>
        <w:spacing w:line="0" w:lineRule="atLeast"/>
        <w:rPr>
          <w:b/>
          <w:color w:val="000000" w:themeColor="text1"/>
          <w14:textFill>
            <w14:solidFill>
              <w14:schemeClr w14:val="tx1"/>
            </w14:solidFill>
          </w14:textFill>
        </w:rPr>
      </w:pPr>
      <w:r>
        <w:rPr>
          <w:b/>
          <w:bCs/>
          <w:color w:val="000000" w:themeColor="text1"/>
          <w14:textFill>
            <w14:solidFill>
              <w14:schemeClr w14:val="tx1"/>
            </w14:solidFill>
          </w14:textFill>
        </w:rPr>
        <w:t xml:space="preserve">REPRESENTATIVE </w:t>
      </w:r>
      <w:r>
        <w:rPr>
          <w:b/>
          <w:color w:val="000000" w:themeColor="text1"/>
          <w14:textFill>
            <w14:solidFill>
              <w14:schemeClr w14:val="tx1"/>
            </w14:solidFill>
          </w14:textFill>
        </w:rPr>
        <w:t>RESULTS:</w:t>
      </w:r>
    </w:p>
    <w:p w14:paraId="40CC270C">
      <w:pPr>
        <w:spacing w:line="0" w:lineRule="atLeast"/>
        <w:rPr>
          <w:b/>
          <w:color w:val="000000" w:themeColor="text1"/>
          <w14:textFill>
            <w14:solidFill>
              <w14:schemeClr w14:val="tx1"/>
            </w14:solidFill>
          </w14:textFill>
        </w:rPr>
      </w:pPr>
    </w:p>
    <w:p w14:paraId="40CC270D">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Sixteen patients with THFT were treated using the protocol, and no adverse events were observed. VAS scores and Quinnell’s grades showed improvement following the procedure. These findings indicate that the protocol can be implemented safely and provides a structured approach for performing the procedure, with consistent short-term clinical outcomes observed.</w:t>
      </w:r>
    </w:p>
    <w:p w14:paraId="40CC270E">
      <w:pPr>
        <w:spacing w:line="0" w:lineRule="atLeast"/>
        <w:rPr>
          <w:color w:val="000000" w:themeColor="text1"/>
          <w14:textFill>
            <w14:solidFill>
              <w14:schemeClr w14:val="tx1"/>
            </w14:solidFill>
          </w14:textFill>
        </w:rPr>
      </w:pPr>
    </w:p>
    <w:p w14:paraId="40CC270F">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Pain outcome (VAS scores):</w:t>
      </w:r>
    </w:p>
    <w:p w14:paraId="40CC2710">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The mean preoperative VAS score was 6.</w:t>
      </w:r>
      <w:r>
        <w:rPr>
          <w:rFonts w:eastAsia="宋体"/>
          <w:color w:val="000000" w:themeColor="text1"/>
          <w:lang w:eastAsia="zh-CN"/>
          <w14:textFill>
            <w14:solidFill>
              <w14:schemeClr w14:val="tx1"/>
            </w14:solidFill>
          </w14:textFill>
        </w:rPr>
        <w:t>31 ± 1</w:t>
      </w:r>
      <w:r>
        <w:rPr>
          <w:color w:val="000000" w:themeColor="text1"/>
          <w14:textFill>
            <w14:solidFill>
              <w14:schemeClr w14:val="tx1"/>
            </w14:solidFill>
          </w14:textFill>
        </w:rPr>
        <w:t>.01, which decreased to 0.</w:t>
      </w:r>
      <w:r>
        <w:rPr>
          <w:rFonts w:eastAsia="宋体"/>
          <w:color w:val="000000" w:themeColor="text1"/>
          <w:lang w:eastAsia="zh-CN"/>
          <w14:textFill>
            <w14:solidFill>
              <w14:schemeClr w14:val="tx1"/>
            </w14:solidFill>
          </w14:textFill>
        </w:rPr>
        <w:t>81 ± 1</w:t>
      </w:r>
      <w:r>
        <w:rPr>
          <w:color w:val="000000" w:themeColor="text1"/>
          <w14:textFill>
            <w14:solidFill>
              <w14:schemeClr w14:val="tx1"/>
            </w14:solidFill>
          </w14:textFill>
        </w:rPr>
        <w:t>.10 after treatment (</w:t>
      </w:r>
      <w:r>
        <w:rPr>
          <w:b/>
          <w:color w:val="000000" w:themeColor="text1"/>
          <w14:textFill>
            <w14:solidFill>
              <w14:schemeClr w14:val="tx1"/>
            </w14:solidFill>
          </w14:textFill>
        </w:rPr>
        <w:t>Figure 3A</w:t>
      </w:r>
      <w:r>
        <w:rPr>
          <w:color w:val="000000" w:themeColor="text1"/>
          <w14:textFill>
            <w14:solidFill>
              <w14:schemeClr w14:val="tx1"/>
            </w14:solidFill>
          </w14:textFill>
        </w:rPr>
        <w:t xml:space="preserve">). Compared with </w:t>
      </w:r>
      <w:r>
        <w:rPr>
          <w:rFonts w:eastAsia="宋体"/>
          <w:color w:val="000000" w:themeColor="text1"/>
          <w:lang w:eastAsia="zh-CN"/>
          <w14:textFill>
            <w14:solidFill>
              <w14:schemeClr w14:val="tx1"/>
            </w14:solidFill>
          </w14:textFill>
        </w:rPr>
        <w:t>preoperative values</w:t>
      </w:r>
      <w:r>
        <w:rPr>
          <w:color w:val="000000" w:themeColor="text1"/>
          <w14:textFill>
            <w14:solidFill>
              <w14:schemeClr w14:val="tx1"/>
            </w14:solidFill>
          </w14:textFill>
        </w:rPr>
        <w:t xml:space="preserve">, VAS scores were significantly reduced </w:t>
      </w:r>
      <w:r>
        <w:rPr>
          <w:rFonts w:eastAsia="宋体"/>
          <w:color w:val="000000" w:themeColor="text1"/>
          <w:lang w:eastAsia="zh-CN"/>
          <w14:textFill>
            <w14:solidFill>
              <w14:schemeClr w14:val="tx1"/>
            </w14:solidFill>
          </w14:textFill>
        </w:rPr>
        <w:t xml:space="preserve">after treatment </w:t>
      </w:r>
      <w:r>
        <w:rPr>
          <w:color w:val="000000" w:themeColor="text1"/>
          <w14:textFill>
            <w14:solidFill>
              <w14:schemeClr w14:val="tx1"/>
            </w14:solidFill>
          </w14:textFill>
        </w:rPr>
        <w:t>(</w:t>
      </w:r>
      <w:r>
        <w:rPr>
          <w:rFonts w:eastAsia="宋体"/>
          <w:i/>
          <w:iCs/>
          <w:color w:val="000000" w:themeColor="text1"/>
          <w:lang w:eastAsia="zh-CN"/>
          <w14:textFill>
            <w14:solidFill>
              <w14:schemeClr w14:val="tx1"/>
            </w14:solidFill>
          </w14:textFill>
        </w:rPr>
        <w:t>P</w:t>
      </w:r>
      <w:r>
        <w:rPr>
          <w:rFonts w:eastAsia="宋体"/>
          <w:color w:val="000000" w:themeColor="text1"/>
          <w:lang w:eastAsia="zh-CN"/>
          <w14:textFill>
            <w14:solidFill>
              <w14:schemeClr w14:val="tx1"/>
            </w14:solidFill>
          </w14:textFill>
        </w:rPr>
        <w:t xml:space="preserve"> &lt; 0</w:t>
      </w:r>
      <w:r>
        <w:rPr>
          <w:color w:val="000000" w:themeColor="text1"/>
          <w14:textFill>
            <w14:solidFill>
              <w14:schemeClr w14:val="tx1"/>
            </w14:solidFill>
          </w14:textFill>
        </w:rPr>
        <w:t xml:space="preserve">.01). </w:t>
      </w:r>
      <w:r>
        <w:rPr>
          <w:rFonts w:eastAsia="宋体"/>
          <w:color w:val="000000" w:themeColor="text1"/>
          <w:lang w:eastAsia="zh-CN"/>
          <w14:textFill>
            <w14:solidFill>
              <w14:schemeClr w14:val="tx1"/>
            </w14:solidFill>
          </w14:textFill>
        </w:rPr>
        <w:t xml:space="preserve">These results indicate a substantial reduction in </w:t>
      </w:r>
      <w:r>
        <w:rPr>
          <w:color w:val="000000" w:themeColor="text1"/>
          <w14:textFill>
            <w14:solidFill>
              <w14:schemeClr w14:val="tx1"/>
            </w14:solidFill>
          </w14:textFill>
        </w:rPr>
        <w:t>pain</w:t>
      </w:r>
      <w:r>
        <w:rPr>
          <w:rFonts w:eastAsia="宋体"/>
          <w:color w:val="000000" w:themeColor="text1"/>
          <w:lang w:eastAsia="zh-CN"/>
          <w14:textFill>
            <w14:solidFill>
              <w14:schemeClr w14:val="tx1"/>
            </w14:solidFill>
          </w14:textFill>
        </w:rPr>
        <w:t xml:space="preserve"> following the procedure</w:t>
      </w:r>
      <w:r>
        <w:rPr>
          <w:color w:val="000000" w:themeColor="text1"/>
          <w14:textFill>
            <w14:solidFill>
              <w14:schemeClr w14:val="tx1"/>
            </w14:solidFill>
          </w14:textFill>
        </w:rPr>
        <w:t xml:space="preserve">. Thirteen patients (81.25%) achieved VAS ≤1, including eight cases (50%) with complete pain resolution. No patient experienced worsening pain. The greatest improvement was observed in several cases where the VAS score decreased from 8 to 0. Individual patient VAS data are provided in </w:t>
      </w:r>
      <w:r>
        <w:rPr>
          <w:b/>
          <w:bCs/>
          <w:color w:val="000000" w:themeColor="text1"/>
          <w14:textFill>
            <w14:solidFill>
              <w14:schemeClr w14:val="tx1"/>
            </w14:solidFill>
          </w14:textFill>
        </w:rPr>
        <w:t>Supplementary Table 1</w:t>
      </w:r>
      <w:r>
        <w:rPr>
          <w:color w:val="000000" w:themeColor="text1"/>
          <w14:textFill>
            <w14:solidFill>
              <w14:schemeClr w14:val="tx1"/>
            </w14:solidFill>
          </w14:textFill>
        </w:rPr>
        <w:t>.</w:t>
      </w:r>
    </w:p>
    <w:p w14:paraId="02FC4843">
      <w:pPr>
        <w:spacing w:line="0" w:lineRule="atLeast"/>
        <w:rPr>
          <w:color w:val="000000" w:themeColor="text1"/>
          <w:lang w:eastAsia="zh-CN"/>
          <w14:textFill>
            <w14:solidFill>
              <w14:schemeClr w14:val="tx1"/>
            </w14:solidFill>
          </w14:textFill>
        </w:rPr>
      </w:pPr>
    </w:p>
    <w:p w14:paraId="7DB6A69F">
      <w:pPr>
        <w:spacing w:line="0" w:lineRule="atLeast"/>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[Place Figure 3 here]</w:t>
      </w:r>
    </w:p>
    <w:p w14:paraId="115231B6">
      <w:pPr>
        <w:spacing w:line="0" w:lineRule="atLeast"/>
        <w:rPr>
          <w:color w:val="000000" w:themeColor="text1"/>
          <w14:textFill>
            <w14:solidFill>
              <w14:schemeClr w14:val="tx1"/>
            </w14:solidFill>
          </w14:textFill>
        </w:rPr>
      </w:pPr>
    </w:p>
    <w:p w14:paraId="4865EDE1">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Functional outcome (Quinnell’s grades):</w:t>
      </w:r>
    </w:p>
    <w:p w14:paraId="40CC2712">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The mean preoperative Quinnell’s grade was 3.19 ± 0.75, which decreased to 0.75 ± 0.93 after treatment (</w:t>
      </w:r>
      <w:r>
        <w:rPr>
          <w:b/>
          <w:color w:val="000000" w:themeColor="text1"/>
          <w14:textFill>
            <w14:solidFill>
              <w14:schemeClr w14:val="tx1"/>
            </w14:solidFill>
          </w14:textFill>
        </w:rPr>
        <w:t>Figure 3B</w:t>
      </w:r>
      <w:r>
        <w:rPr>
          <w:color w:val="000000" w:themeColor="text1"/>
          <w14:textFill>
            <w14:solidFill>
              <w14:schemeClr w14:val="tx1"/>
            </w14:solidFill>
          </w14:textFill>
        </w:rPr>
        <w:t>). Compared with preoperative values, Quinnell’s grades were significantly reduced after treatment (</w:t>
      </w:r>
      <w:r>
        <w:rPr>
          <w:i/>
          <w:iCs/>
          <w:color w:val="000000" w:themeColor="text1"/>
          <w14:textFill>
            <w14:solidFill>
              <w14:schemeClr w14:val="tx1"/>
            </w14:solidFill>
          </w14:textFill>
        </w:rPr>
        <w:t>P</w:t>
      </w:r>
      <w:r>
        <w:rPr>
          <w:color w:val="000000" w:themeColor="text1"/>
          <w14:textFill>
            <w14:solidFill>
              <w14:schemeClr w14:val="tx1"/>
            </w14:solidFill>
          </w14:textFill>
        </w:rPr>
        <w:t xml:space="preserve"> &lt; 0.01). These findings indicate an improvement in functional mobility following the procedure. Thirteen patients (81.25%) achieved Quinnell’s grades ≤1, including eight cases with complete symptom resolution. Individual patient Quinnell grade data are provided in </w:t>
      </w:r>
      <w:r>
        <w:rPr>
          <w:b/>
          <w:bCs/>
          <w:color w:val="000000" w:themeColor="text1"/>
          <w14:textFill>
            <w14:solidFill>
              <w14:schemeClr w14:val="tx1"/>
            </w14:solidFill>
          </w14:textFill>
        </w:rPr>
        <w:t>Supplementary Table 2</w:t>
      </w:r>
      <w:r>
        <w:rPr>
          <w:color w:val="000000" w:themeColor="text1"/>
          <w14:textFill>
            <w14:solidFill>
              <w14:schemeClr w14:val="tx1"/>
            </w14:solidFill>
          </w14:textFill>
        </w:rPr>
        <w:t>.</w:t>
      </w:r>
    </w:p>
    <w:p w14:paraId="40CC2713">
      <w:pPr>
        <w:spacing w:line="0" w:lineRule="atLeast"/>
        <w:rPr>
          <w:color w:val="000000" w:themeColor="text1"/>
          <w14:textFill>
            <w14:solidFill>
              <w14:schemeClr w14:val="tx1"/>
            </w14:solidFill>
          </w14:textFill>
        </w:rPr>
      </w:pPr>
    </w:p>
    <w:p w14:paraId="2946F833">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Safety and recovery:</w:t>
      </w:r>
    </w:p>
    <w:p w14:paraId="40CC2714">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No neurovascular injury, tendon rupture, or infection was reported. These observations suggest that the procedure is well tolerated under the conditions described in this protocol.</w:t>
      </w:r>
    </w:p>
    <w:p w14:paraId="40CC2715">
      <w:pPr>
        <w:spacing w:line="0" w:lineRule="atLeast"/>
        <w:rPr>
          <w:color w:val="000000" w:themeColor="text1"/>
          <w14:textFill>
            <w14:solidFill>
              <w14:schemeClr w14:val="tx1"/>
            </w14:solidFill>
          </w14:textFill>
        </w:rPr>
      </w:pPr>
    </w:p>
    <w:p w14:paraId="40CC2716">
      <w:pPr>
        <w:spacing w:line="0" w:lineRule="atLeast"/>
        <w:rPr>
          <w:b/>
          <w:color w:val="000000" w:themeColor="text1"/>
          <w14:textFill>
            <w14:solidFill>
              <w14:schemeClr w14:val="tx1"/>
            </w14:solidFill>
          </w14:textFill>
        </w:rPr>
      </w:pPr>
      <w:r>
        <w:rPr>
          <w:b/>
          <w:color w:val="000000" w:themeColor="text1"/>
          <w14:textFill>
            <w14:solidFill>
              <w14:schemeClr w14:val="tx1"/>
            </w14:solidFill>
          </w14:textFill>
        </w:rPr>
        <w:t>FIGURE AND TABLE LEGENDS:</w:t>
      </w:r>
    </w:p>
    <w:p w14:paraId="40CC2717">
      <w:pPr>
        <w:spacing w:line="0" w:lineRule="atLeast"/>
        <w:rPr>
          <w:b/>
          <w:color w:val="000000" w:themeColor="text1"/>
          <w14:textFill>
            <w14:solidFill>
              <w14:schemeClr w14:val="tx1"/>
            </w14:solidFill>
          </w14:textFill>
        </w:rPr>
      </w:pPr>
    </w:p>
    <w:p w14:paraId="40CC2718">
      <w:pPr>
        <w:spacing w:line="0" w:lineRule="atLeast"/>
        <w:rPr>
          <w:bCs/>
          <w:color w:val="000000" w:themeColor="text1"/>
          <w14:textFill>
            <w14:solidFill>
              <w14:schemeClr w14:val="tx1"/>
            </w14:solidFill>
          </w14:textFill>
        </w:rPr>
      </w:pPr>
      <w:r>
        <w:rPr>
          <w:b/>
          <w:color w:val="000000" w:themeColor="text1"/>
          <w14:textFill>
            <w14:solidFill>
              <w14:schemeClr w14:val="tx1"/>
            </w14:solidFill>
          </w14:textFill>
        </w:rPr>
        <w:t xml:space="preserve">Figure 1. Materials used for acupotomy. </w:t>
      </w:r>
      <w:r>
        <w:rPr>
          <w:bCs/>
          <w:color w:val="000000" w:themeColor="text1"/>
          <w14:textFill>
            <w14:solidFill>
              <w14:schemeClr w14:val="tx1"/>
            </w14:solidFill>
          </w14:textFill>
        </w:rPr>
        <w:t>(</w:t>
      </w:r>
      <w:r>
        <w:rPr>
          <w:b/>
          <w:bCs/>
          <w:color w:val="000000" w:themeColor="text1"/>
          <w14:textFill>
            <w14:solidFill>
              <w14:schemeClr w14:val="tx1"/>
            </w14:solidFill>
          </w14:textFill>
        </w:rPr>
        <w:t>A</w:t>
      </w:r>
      <w:r>
        <w:rPr>
          <w:bCs/>
          <w:color w:val="000000" w:themeColor="text1"/>
          <w14:textFill>
            <w14:solidFill>
              <w14:schemeClr w14:val="tx1"/>
            </w14:solidFill>
          </w14:textFill>
        </w:rPr>
        <w:t>) Sterile disposable syringe; (</w:t>
      </w:r>
      <w:r>
        <w:rPr>
          <w:b/>
          <w:bCs/>
          <w:color w:val="000000" w:themeColor="text1"/>
          <w14:textFill>
            <w14:solidFill>
              <w14:schemeClr w14:val="tx1"/>
            </w14:solidFill>
          </w14:textFill>
        </w:rPr>
        <w:t>B</w:t>
      </w:r>
      <w:r>
        <w:rPr>
          <w:bCs/>
          <w:color w:val="000000" w:themeColor="text1"/>
          <w14:textFill>
            <w14:solidFill>
              <w14:schemeClr w14:val="tx1"/>
            </w14:solidFill>
          </w14:textFill>
        </w:rPr>
        <w:t>) Lidocaine hydrochloride and sodium chloride injection; (C) Medical cotton swabs; (</w:t>
      </w:r>
      <w:r>
        <w:rPr>
          <w:b/>
          <w:bCs/>
          <w:color w:val="000000" w:themeColor="text1"/>
          <w14:textFill>
            <w14:solidFill>
              <w14:schemeClr w14:val="tx1"/>
            </w14:solidFill>
          </w14:textFill>
        </w:rPr>
        <w:t>D</w:t>
      </w:r>
      <w:r>
        <w:rPr>
          <w:bCs/>
          <w:color w:val="000000" w:themeColor="text1"/>
          <w14:textFill>
            <w14:solidFill>
              <w14:schemeClr w14:val="tx1"/>
            </w14:solidFill>
          </w14:textFill>
        </w:rPr>
        <w:t>) Iodophor disinfectant; (</w:t>
      </w:r>
      <w:r>
        <w:rPr>
          <w:b/>
          <w:bCs/>
          <w:color w:val="000000" w:themeColor="text1"/>
          <w14:textFill>
            <w14:solidFill>
              <w14:schemeClr w14:val="tx1"/>
            </w14:solidFill>
          </w14:textFill>
        </w:rPr>
        <w:t>E</w:t>
      </w:r>
      <w:r>
        <w:rPr>
          <w:bCs/>
          <w:color w:val="000000" w:themeColor="text1"/>
          <w14:textFill>
            <w14:solidFill>
              <w14:schemeClr w14:val="tx1"/>
            </w14:solidFill>
          </w14:textFill>
        </w:rPr>
        <w:t>) Sterile drape; (</w:t>
      </w:r>
      <w:r>
        <w:rPr>
          <w:b/>
          <w:bCs/>
          <w:color w:val="000000" w:themeColor="text1"/>
          <w14:textFill>
            <w14:solidFill>
              <w14:schemeClr w14:val="tx1"/>
            </w14:solidFill>
          </w14:textFill>
        </w:rPr>
        <w:t>F</w:t>
      </w:r>
      <w:r>
        <w:rPr>
          <w:bCs/>
          <w:color w:val="000000" w:themeColor="text1"/>
          <w14:textFill>
            <w14:solidFill>
              <w14:schemeClr w14:val="tx1"/>
            </w14:solidFill>
          </w14:textFill>
        </w:rPr>
        <w:t>) Surgical gloves; (</w:t>
      </w:r>
      <w:r>
        <w:rPr>
          <w:b/>
          <w:bCs/>
          <w:color w:val="000000" w:themeColor="text1"/>
          <w14:textFill>
            <w14:solidFill>
              <w14:schemeClr w14:val="tx1"/>
            </w14:solidFill>
          </w14:textFill>
        </w:rPr>
        <w:t>G</w:t>
      </w:r>
      <w:r>
        <w:rPr>
          <w:bCs/>
          <w:color w:val="000000" w:themeColor="text1"/>
          <w14:textFill>
            <w14:solidFill>
              <w14:schemeClr w14:val="tx1"/>
            </w14:solidFill>
          </w14:textFill>
        </w:rPr>
        <w:t>) Acupotomy instrument; (</w:t>
      </w:r>
      <w:r>
        <w:rPr>
          <w:b/>
          <w:bCs/>
          <w:color w:val="000000" w:themeColor="text1"/>
          <w14:textFill>
            <w14:solidFill>
              <w14:schemeClr w14:val="tx1"/>
            </w14:solidFill>
          </w14:textFill>
        </w:rPr>
        <w:t>H</w:t>
      </w:r>
      <w:r>
        <w:rPr>
          <w:bCs/>
          <w:color w:val="000000" w:themeColor="text1"/>
          <w14:textFill>
            <w14:solidFill>
              <w14:schemeClr w14:val="tx1"/>
            </w14:solidFill>
          </w14:textFill>
        </w:rPr>
        <w:t>) Surgical gauze dressing.</w:t>
      </w:r>
    </w:p>
    <w:p w14:paraId="40CC2719">
      <w:pPr>
        <w:spacing w:line="0" w:lineRule="atLeast"/>
        <w:rPr>
          <w:b/>
          <w:color w:val="000000" w:themeColor="text1"/>
          <w14:textFill>
            <w14:solidFill>
              <w14:schemeClr w14:val="tx1"/>
            </w14:solidFill>
          </w14:textFill>
        </w:rPr>
      </w:pPr>
    </w:p>
    <w:p w14:paraId="40CC271B">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Figure 2. Acupotomy procedure.</w:t>
      </w:r>
      <w:r>
        <w:rPr>
          <w:color w:val="000000" w:themeColor="text1"/>
          <w14:textFill>
            <w14:solidFill>
              <w14:schemeClr w14:val="tx1"/>
            </w14:solidFill>
          </w14:textFill>
        </w:rPr>
        <w:t xml:space="preserve"> </w:t>
      </w:r>
      <w:r>
        <w:rPr>
          <w:bCs/>
          <w:color w:val="000000" w:themeColor="text1"/>
          <w14:textFill>
            <w14:solidFill>
              <w14:schemeClr w14:val="tx1"/>
            </w14:solidFill>
          </w14:textFill>
        </w:rPr>
        <w:t>(</w:t>
      </w:r>
      <w:r>
        <w:rPr>
          <w:b/>
          <w:bCs/>
          <w:color w:val="000000" w:themeColor="text1"/>
          <w14:textFill>
            <w14:solidFill>
              <w14:schemeClr w14:val="tx1"/>
            </w14:solidFill>
          </w14:textFill>
        </w:rPr>
        <w:t>A</w:t>
      </w:r>
      <w:r>
        <w:rPr>
          <w:bCs/>
          <w:color w:val="000000" w:themeColor="text1"/>
          <w14:textFill>
            <w14:solidFill>
              <w14:schemeClr w14:val="tx1"/>
            </w14:solidFill>
          </w14:textFill>
        </w:rPr>
        <w:t>)</w:t>
      </w:r>
      <w:r>
        <w:rPr>
          <w:color w:val="000000" w:themeColor="text1"/>
          <w14:textFill>
            <w14:solidFill>
              <w14:schemeClr w14:val="tx1"/>
            </w14:solidFill>
          </w14:textFill>
        </w:rPr>
        <w:t xml:space="preserve"> Surface localization</w:t>
      </w:r>
      <w:r>
        <w:rPr>
          <w:bCs/>
          <w:color w:val="000000" w:themeColor="text1"/>
          <w14:textFill>
            <w14:solidFill>
              <w14:schemeClr w14:val="tx1"/>
            </w14:solidFill>
          </w14:textFill>
        </w:rPr>
        <w:t xml:space="preserve"> of the A1 pulley region by identifying and marking the tender point on the palmar aspect of the metacarpophalangeal joint. (</w:t>
      </w:r>
      <w:r>
        <w:rPr>
          <w:b/>
          <w:bCs/>
          <w:color w:val="000000" w:themeColor="text1"/>
          <w14:textFill>
            <w14:solidFill>
              <w14:schemeClr w14:val="tx1"/>
            </w14:solidFill>
          </w14:textFill>
        </w:rPr>
        <w:t>B</w:t>
      </w:r>
      <w:r>
        <w:rPr>
          <w:bCs/>
          <w:color w:val="000000" w:themeColor="text1"/>
          <w14:textFill>
            <w14:solidFill>
              <w14:schemeClr w14:val="tx1"/>
            </w14:solidFill>
          </w14:textFill>
        </w:rPr>
        <w:t>) Administration of</w:t>
      </w:r>
      <w:r>
        <w:rPr>
          <w:color w:val="000000" w:themeColor="text1"/>
          <w14:textFill>
            <w14:solidFill>
              <w14:schemeClr w14:val="tx1"/>
            </w14:solidFill>
          </w14:textFill>
        </w:rPr>
        <w:t xml:space="preserve"> local </w:t>
      </w:r>
      <w:r>
        <w:rPr>
          <w:bCs/>
          <w:color w:val="000000" w:themeColor="text1"/>
          <w14:textFill>
            <w14:solidFill>
              <w14:schemeClr w14:val="tx1"/>
            </w14:solidFill>
          </w14:textFill>
        </w:rPr>
        <w:t>anesthesia using a sterile syringe at the marked site. (</w:t>
      </w:r>
      <w:r>
        <w:rPr>
          <w:b/>
          <w:bCs/>
          <w:color w:val="000000" w:themeColor="text1"/>
          <w14:textFill>
            <w14:solidFill>
              <w14:schemeClr w14:val="tx1"/>
            </w14:solidFill>
          </w14:textFill>
        </w:rPr>
        <w:t>C</w:t>
      </w:r>
      <w:r>
        <w:rPr>
          <w:bCs/>
          <w:color w:val="000000" w:themeColor="text1"/>
          <w14:textFill>
            <w14:solidFill>
              <w14:schemeClr w14:val="tx1"/>
            </w14:solidFill>
          </w14:textFill>
        </w:rPr>
        <w:t>)</w:t>
      </w:r>
      <w:r>
        <w:rPr>
          <w:color w:val="000000" w:themeColor="text1"/>
          <w14:textFill>
            <w14:solidFill>
              <w14:schemeClr w14:val="tx1"/>
            </w14:solidFill>
          </w14:textFill>
        </w:rPr>
        <w:t xml:space="preserve"> Acupotomy </w:t>
      </w:r>
      <w:r>
        <w:rPr>
          <w:bCs/>
          <w:color w:val="000000" w:themeColor="text1"/>
          <w14:textFill>
            <w14:solidFill>
              <w14:schemeClr w14:val="tx1"/>
            </w14:solidFill>
          </w14:textFill>
        </w:rPr>
        <w:t xml:space="preserve">insertion and longitudinal </w:t>
      </w:r>
      <w:r>
        <w:rPr>
          <w:color w:val="000000" w:themeColor="text1"/>
          <w14:textFill>
            <w14:solidFill>
              <w14:schemeClr w14:val="tx1"/>
            </w14:solidFill>
          </w14:textFill>
        </w:rPr>
        <w:t>release</w:t>
      </w:r>
      <w:r>
        <w:rPr>
          <w:bCs/>
          <w:color w:val="000000" w:themeColor="text1"/>
          <w14:textFill>
            <w14:solidFill>
              <w14:schemeClr w14:val="tx1"/>
            </w14:solidFill>
          </w14:textFill>
        </w:rPr>
        <w:t xml:space="preserve"> of the stenotic tendon sheath</w:t>
      </w:r>
      <w:r>
        <w:rPr>
          <w:color w:val="000000" w:themeColor="text1"/>
          <w14:textFill>
            <w14:solidFill>
              <w14:schemeClr w14:val="tx1"/>
            </w14:solidFill>
          </w14:textFill>
        </w:rPr>
        <w:t>.</w:t>
      </w:r>
    </w:p>
    <w:p w14:paraId="27ABC9B7">
      <w:pPr>
        <w:spacing w:line="0" w:lineRule="atLeast"/>
        <w:rPr>
          <w:color w:val="000000" w:themeColor="text1"/>
          <w14:textFill>
            <w14:solidFill>
              <w14:schemeClr w14:val="tx1"/>
            </w14:solidFill>
          </w14:textFill>
        </w:rPr>
      </w:pPr>
    </w:p>
    <w:p w14:paraId="40CC271D">
      <w:pPr>
        <w:spacing w:line="0" w:lineRule="atLeast"/>
        <w:rPr>
          <w:b/>
          <w:color w:val="000000" w:themeColor="text1"/>
          <w14:textFill>
            <w14:solidFill>
              <w14:schemeClr w14:val="tx1"/>
            </w14:solidFill>
          </w14:textFill>
        </w:rPr>
      </w:pPr>
      <w:r>
        <w:rPr>
          <w:b/>
          <w:color w:val="000000" w:themeColor="text1"/>
          <w14:textFill>
            <w14:solidFill>
              <w14:schemeClr w14:val="tx1"/>
            </w14:solidFill>
          </w14:textFill>
        </w:rPr>
        <w:t>Figure 3. VAS scores and Quinnell grades.</w:t>
      </w:r>
      <w:r>
        <w:rPr>
          <w:color w:val="000000" w:themeColor="text1"/>
          <w14:textFill>
            <w14:solidFill>
              <w14:schemeClr w14:val="tx1"/>
            </w14:solidFill>
          </w14:textFill>
        </w:rPr>
        <w:t xml:space="preserve"> </w:t>
      </w:r>
      <w:r>
        <w:rPr>
          <w:bCs/>
          <w:color w:val="000000" w:themeColor="text1"/>
          <w14:textFill>
            <w14:solidFill>
              <w14:schemeClr w14:val="tx1"/>
            </w14:solidFill>
          </w14:textFill>
        </w:rPr>
        <w:t>(</w:t>
      </w:r>
      <w:r>
        <w:rPr>
          <w:b/>
          <w:bCs/>
          <w:color w:val="000000" w:themeColor="text1"/>
          <w14:textFill>
            <w14:solidFill>
              <w14:schemeClr w14:val="tx1"/>
            </w14:solidFill>
          </w14:textFill>
        </w:rPr>
        <w:t>A</w:t>
      </w:r>
      <w:r>
        <w:rPr>
          <w:bCs/>
          <w:color w:val="000000" w:themeColor="text1"/>
          <w14:textFill>
            <w14:solidFill>
              <w14:schemeClr w14:val="tx1"/>
            </w14:solidFill>
          </w14:textFill>
        </w:rPr>
        <w:t>)</w:t>
      </w:r>
      <w:r>
        <w:rPr>
          <w:color w:val="000000" w:themeColor="text1"/>
          <w14:textFill>
            <w14:solidFill>
              <w14:schemeClr w14:val="tx1"/>
            </w14:solidFill>
          </w14:textFill>
        </w:rPr>
        <w:t xml:space="preserve"> VAS scores; </w:t>
      </w:r>
      <w:r>
        <w:rPr>
          <w:bCs/>
          <w:color w:val="000000" w:themeColor="text1"/>
          <w14:textFill>
            <w14:solidFill>
              <w14:schemeClr w14:val="tx1"/>
            </w14:solidFill>
          </w14:textFill>
        </w:rPr>
        <w:t>(</w:t>
      </w:r>
      <w:r>
        <w:rPr>
          <w:b/>
          <w:bCs/>
          <w:color w:val="000000" w:themeColor="text1"/>
          <w14:textFill>
            <w14:solidFill>
              <w14:schemeClr w14:val="tx1"/>
            </w14:solidFill>
          </w14:textFill>
        </w:rPr>
        <w:t>B</w:t>
      </w:r>
      <w:r>
        <w:rPr>
          <w:bCs/>
          <w:color w:val="000000" w:themeColor="text1"/>
          <w14:textFill>
            <w14:solidFill>
              <w14:schemeClr w14:val="tx1"/>
            </w14:solidFill>
          </w14:textFill>
        </w:rPr>
        <w:t>)</w:t>
      </w:r>
      <w:r>
        <w:rPr>
          <w:color w:val="000000" w:themeColor="text1"/>
          <w14:textFill>
            <w14:solidFill>
              <w14:schemeClr w14:val="tx1"/>
            </w14:solidFill>
          </w14:textFill>
        </w:rPr>
        <w:t xml:space="preserve"> Quinnell grades. </w:t>
      </w:r>
      <w:r>
        <w:rPr>
          <w:bCs/>
          <w:color w:val="000000" w:themeColor="text1"/>
          <w14:textFill>
            <w14:solidFill>
              <w14:schemeClr w14:val="tx1"/>
            </w14:solidFill>
          </w14:textFill>
        </w:rPr>
        <w:t>Data are presented as</w:t>
      </w:r>
      <w:r>
        <w:rPr>
          <w:color w:val="000000" w:themeColor="text1"/>
          <w14:textFill>
            <w14:solidFill>
              <w14:schemeClr w14:val="tx1"/>
            </w14:solidFill>
          </w14:textFill>
        </w:rPr>
        <w:t xml:space="preserve"> mean ± standard deviation (</w:t>
      </w:r>
      <w:r>
        <w:rPr>
          <w:i/>
          <w:color w:val="000000" w:themeColor="text1"/>
          <w14:textFill>
            <w14:solidFill>
              <w14:schemeClr w14:val="tx1"/>
            </w14:solidFill>
          </w14:textFill>
        </w:rPr>
        <w:t>n</w:t>
      </w:r>
      <w:r>
        <w:rPr>
          <w:color w:val="000000" w:themeColor="text1"/>
          <w14:textFill>
            <w14:solidFill>
              <w14:schemeClr w14:val="tx1"/>
            </w14:solidFill>
          </w14:textFill>
        </w:rPr>
        <w:t xml:space="preserve"> = 16). Statistical significance was </w:t>
      </w:r>
      <w:r>
        <w:rPr>
          <w:bCs/>
          <w:color w:val="000000" w:themeColor="text1"/>
          <w14:textFill>
            <w14:solidFill>
              <w14:schemeClr w14:val="tx1"/>
            </w14:solidFill>
          </w14:textFill>
        </w:rPr>
        <w:t>determined</w:t>
      </w:r>
      <w:r>
        <w:rPr>
          <w:color w:val="000000" w:themeColor="text1"/>
          <w14:textFill>
            <w14:solidFill>
              <w14:schemeClr w14:val="tx1"/>
            </w14:solidFill>
          </w14:textFill>
        </w:rPr>
        <w:t xml:space="preserve"> using a paired-sample t-test</w:t>
      </w:r>
      <w:r>
        <w:rPr>
          <w:bCs/>
          <w:color w:val="000000" w:themeColor="text1"/>
          <w14:textFill>
            <w14:solidFill>
              <w14:schemeClr w14:val="tx1"/>
            </w14:solidFill>
          </w14:textFill>
        </w:rPr>
        <w:t>;</w:t>
      </w:r>
      <w:r>
        <w:rPr>
          <w:color w:val="000000" w:themeColor="text1"/>
          <w14:textFill>
            <w14:solidFill>
              <w14:schemeClr w14:val="tx1"/>
            </w14:solidFill>
          </w14:textFill>
        </w:rPr>
        <w:t xml:space="preserve"> **</w:t>
      </w:r>
      <w:r>
        <w:rPr>
          <w:i/>
          <w:color w:val="000000" w:themeColor="text1"/>
          <w14:textFill>
            <w14:solidFill>
              <w14:schemeClr w14:val="tx1"/>
            </w14:solidFill>
          </w14:textFill>
        </w:rPr>
        <w:t>P</w:t>
      </w:r>
      <w:r>
        <w:rPr>
          <w:color w:val="000000" w:themeColor="text1"/>
          <w14:textFill>
            <w14:solidFill>
              <w14:schemeClr w14:val="tx1"/>
            </w14:solidFill>
          </w14:textFill>
        </w:rPr>
        <w:t xml:space="preserve"> &lt; 0.01.</w:t>
      </w:r>
    </w:p>
    <w:p w14:paraId="3D3DFDFF">
      <w:pPr>
        <w:pStyle w:val="8"/>
        <w:spacing w:line="0" w:lineRule="atLeast"/>
        <w:rPr>
          <w:b/>
          <w:color w:val="000000" w:themeColor="text1"/>
          <w:sz w:val="24"/>
          <w14:textFill>
            <w14:solidFill>
              <w14:schemeClr w14:val="tx1"/>
            </w14:solidFill>
          </w14:textFill>
        </w:rPr>
      </w:pPr>
    </w:p>
    <w:p w14:paraId="5CD763BE">
      <w:pPr>
        <w:rPr>
          <w:rFonts w:asciiTheme="majorHAnsi" w:hAnsiTheme="majorHAnsi" w:cstheme="majorHAnsi"/>
          <w:b/>
          <w:color w:val="000000" w:themeColor="text1"/>
          <w14:textFill>
            <w14:solidFill>
              <w14:schemeClr w14:val="tx1"/>
            </w14:solidFill>
          </w14:textFill>
        </w:rPr>
      </w:pPr>
      <w:r>
        <w:rPr>
          <w:rFonts w:asciiTheme="majorHAnsi" w:hAnsiTheme="majorHAnsi" w:cstheme="majorHAnsi"/>
          <w:b/>
          <w:color w:val="000000" w:themeColor="text1"/>
          <w14:textFill>
            <w14:solidFill>
              <w14:schemeClr w14:val="tx1"/>
            </w14:solidFill>
          </w14:textFill>
        </w:rPr>
        <w:t>SUPPLEMENTAL FILES:</w:t>
      </w:r>
    </w:p>
    <w:p w14:paraId="6ADB5728">
      <w:pPr>
        <w:pStyle w:val="8"/>
        <w:spacing w:line="0" w:lineRule="atLeast"/>
        <w:rPr>
          <w:bCs/>
          <w:color w:val="000000" w:themeColor="text1"/>
          <w:sz w:val="24"/>
          <w14:textFill>
            <w14:solidFill>
              <w14:schemeClr w14:val="tx1"/>
            </w14:solidFill>
          </w14:textFill>
        </w:rPr>
      </w:pPr>
    </w:p>
    <w:p w14:paraId="7BAB8460">
      <w:pPr>
        <w:pStyle w:val="8"/>
        <w:spacing w:line="0" w:lineRule="atLeast"/>
        <w:rPr>
          <w:bCs/>
          <w:color w:val="000000" w:themeColor="text1"/>
          <w:sz w:val="24"/>
          <w14:textFill>
            <w14:solidFill>
              <w14:schemeClr w14:val="tx1"/>
            </w14:solidFill>
          </w14:textFill>
        </w:rPr>
      </w:pPr>
      <w:r>
        <w:rPr>
          <w:b/>
          <w:color w:val="000000" w:themeColor="text1"/>
          <w:sz w:val="24"/>
          <w14:textFill>
            <w14:solidFill>
              <w14:schemeClr w14:val="tx1"/>
            </w14:solidFill>
          </w14:textFill>
        </w:rPr>
        <w:t>Supplementary File 1. Patient clinical assessment questionnaire.</w:t>
      </w:r>
      <w:r>
        <w:rPr>
          <w:bCs/>
          <w:color w:val="000000" w:themeColor="text1"/>
          <w:sz w:val="24"/>
          <w14:textFill>
            <w14:solidFill>
              <w14:schemeClr w14:val="tx1"/>
            </w14:solidFill>
          </w14:textFill>
        </w:rPr>
        <w:t xml:space="preserve"> Standardized medical record questionnaire used for patient data collection, including patient demographics, clinical symptoms, VAS scoring, Quinnell grading, and functional assessment.</w:t>
      </w:r>
    </w:p>
    <w:p w14:paraId="47CA70AE">
      <w:pPr>
        <w:pStyle w:val="8"/>
        <w:spacing w:line="0" w:lineRule="atLeast"/>
        <w:rPr>
          <w:bCs/>
          <w:color w:val="000000" w:themeColor="text1"/>
          <w:sz w:val="24"/>
          <w14:textFill>
            <w14:solidFill>
              <w14:schemeClr w14:val="tx1"/>
            </w14:solidFill>
          </w14:textFill>
        </w:rPr>
      </w:pPr>
    </w:p>
    <w:p w14:paraId="74B5B585">
      <w:pPr>
        <w:pStyle w:val="8"/>
        <w:spacing w:line="0" w:lineRule="atLeast"/>
        <w:rPr>
          <w:bCs/>
          <w:color w:val="000000" w:themeColor="text1"/>
          <w:sz w:val="24"/>
          <w14:textFill>
            <w14:solidFill>
              <w14:schemeClr w14:val="tx1"/>
            </w14:solidFill>
          </w14:textFill>
        </w:rPr>
      </w:pPr>
      <w:r>
        <w:rPr>
          <w:b/>
          <w:color w:val="000000" w:themeColor="text1"/>
          <w:sz w:val="24"/>
          <w14:textFill>
            <w14:solidFill>
              <w14:schemeClr w14:val="tx1"/>
            </w14:solidFill>
          </w14:textFill>
        </w:rPr>
        <w:t xml:space="preserve">Supplementary Table 1. Individual patient VAS scores before and after treatment. </w:t>
      </w:r>
      <w:r>
        <w:rPr>
          <w:bCs/>
          <w:color w:val="000000" w:themeColor="text1"/>
          <w:sz w:val="24"/>
          <w14:textFill>
            <w14:solidFill>
              <w14:schemeClr w14:val="tx1"/>
            </w14:solidFill>
          </w14:textFill>
        </w:rPr>
        <w:t>VAS scores for each patient before and after acupotomy treatment. Data are presented as individual values for all participants (</w:t>
      </w:r>
      <w:r>
        <w:rPr>
          <w:bCs/>
          <w:i/>
          <w:iCs/>
          <w:color w:val="000000" w:themeColor="text1"/>
          <w:sz w:val="24"/>
          <w14:textFill>
            <w14:solidFill>
              <w14:schemeClr w14:val="tx1"/>
            </w14:solidFill>
          </w14:textFill>
        </w:rPr>
        <w:t>n</w:t>
      </w:r>
      <w:r>
        <w:rPr>
          <w:bCs/>
          <w:color w:val="000000" w:themeColor="text1"/>
          <w:sz w:val="24"/>
          <w14:textFill>
            <w14:solidFill>
              <w14:schemeClr w14:val="tx1"/>
            </w14:solidFill>
          </w14:textFill>
        </w:rPr>
        <w:t xml:space="preserve"> = 16). These data were used to calculate the mean, standard deviation, and statistical significance reported in the main results.</w:t>
      </w:r>
    </w:p>
    <w:p w14:paraId="7A01AACC">
      <w:pPr>
        <w:pStyle w:val="8"/>
        <w:spacing w:line="0" w:lineRule="atLeast"/>
        <w:rPr>
          <w:b/>
          <w:color w:val="000000" w:themeColor="text1"/>
          <w:sz w:val="24"/>
          <w14:textFill>
            <w14:solidFill>
              <w14:schemeClr w14:val="tx1"/>
            </w14:solidFill>
          </w14:textFill>
        </w:rPr>
      </w:pPr>
    </w:p>
    <w:p w14:paraId="40CC271E">
      <w:pPr>
        <w:pStyle w:val="8"/>
        <w:spacing w:line="0" w:lineRule="atLeast"/>
        <w:rPr>
          <w:bCs/>
          <w:color w:val="000000" w:themeColor="text1"/>
          <w:sz w:val="24"/>
          <w14:textFill>
            <w14:solidFill>
              <w14:schemeClr w14:val="tx1"/>
            </w14:solidFill>
          </w14:textFill>
        </w:rPr>
      </w:pPr>
      <w:r>
        <w:rPr>
          <w:b/>
          <w:color w:val="000000" w:themeColor="text1"/>
          <w:sz w:val="24"/>
          <w14:textFill>
            <w14:solidFill>
              <w14:schemeClr w14:val="tx1"/>
            </w14:solidFill>
          </w14:textFill>
        </w:rPr>
        <w:t xml:space="preserve">Supplementary Table 2. Individual patient Quinnell grades before and after treatment. </w:t>
      </w:r>
      <w:r>
        <w:rPr>
          <w:bCs/>
          <w:color w:val="000000" w:themeColor="text1"/>
          <w:sz w:val="24"/>
          <w14:textFill>
            <w14:solidFill>
              <w14:schemeClr w14:val="tx1"/>
            </w14:solidFill>
          </w14:textFill>
        </w:rPr>
        <w:t>Quinnell grades for each patient before and after acupotomy treatment. Data are presented as individual values for all participants (</w:t>
      </w:r>
      <w:r>
        <w:rPr>
          <w:bCs/>
          <w:i/>
          <w:iCs/>
          <w:color w:val="000000" w:themeColor="text1"/>
          <w:sz w:val="24"/>
          <w14:textFill>
            <w14:solidFill>
              <w14:schemeClr w14:val="tx1"/>
            </w14:solidFill>
          </w14:textFill>
        </w:rPr>
        <w:t>n</w:t>
      </w:r>
      <w:r>
        <w:rPr>
          <w:bCs/>
          <w:color w:val="000000" w:themeColor="text1"/>
          <w:sz w:val="24"/>
          <w14:textFill>
            <w14:solidFill>
              <w14:schemeClr w14:val="tx1"/>
            </w14:solidFill>
          </w14:textFill>
        </w:rPr>
        <w:t xml:space="preserve"> = 16). These data were used to calculate the mean, standard deviation, and statistical significance reported in the main results.</w:t>
      </w:r>
    </w:p>
    <w:p w14:paraId="40CC271F">
      <w:pPr>
        <w:spacing w:line="0" w:lineRule="atLeast"/>
        <w:rPr>
          <w:color w:val="000000" w:themeColor="text1"/>
          <w14:textFill>
            <w14:solidFill>
              <w14:schemeClr w14:val="tx1"/>
            </w14:solidFill>
          </w14:textFill>
        </w:rPr>
      </w:pPr>
    </w:p>
    <w:p w14:paraId="40CC2720">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DISCUSSION:</w:t>
      </w:r>
    </w:p>
    <w:p w14:paraId="40CC2723">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This study presents a standardized protocol for acupotomy in the treatment of THFT and demonstrates that the procedure can be performed safely, with favorable short-term clinical outcomes. Improvements in pain and functional mobility were observed following the procedure, suggesting that the protocol is feasible under the conditions described. THFT has a high incidence in the population</w:t>
      </w:r>
      <w:r>
        <w:rPr>
          <w:color w:val="000000" w:themeColor="text1"/>
          <w14:textFill>
            <w14:solidFill>
              <w14:schemeClr w14:val="tx1"/>
            </w14:solidFill>
          </w14:textFill>
        </w:rPr>
        <w:fldChar w:fldCharType="begin">
          <w:fldData xml:space="preserve">PEVuZE5vdGU+PENpdGU+PEF1dGhvcj5BdHRoYWtvbW9sPC9BdXRob3I+PFllYXI+MjAyMzwvWWVh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</w:fldData>
        </w:fldChar>
      </w:r>
      <w:r>
        <w:rPr>
          <w:color w:val="000000" w:themeColor="text1"/>
          <w14:textFill>
            <w14:solidFill>
              <w14:schemeClr w14:val="tx1"/>
            </w14:solidFill>
          </w14:textFill>
        </w:rPr>
        <w:instrText xml:space="preserve"> ADDIN EN.CITE </w:instrText>
      </w:r>
      <w:r>
        <w:rPr>
          <w:color w:val="000000" w:themeColor="text1"/>
          <w14:textFill>
            <w14:solidFill>
              <w14:schemeClr w14:val="tx1"/>
            </w14:solidFill>
          </w14:textFill>
        </w:rPr>
        <w:fldChar w:fldCharType="begin">
          <w:fldData xml:space="preserve">PEVuZE5vdGU+PENpdGU+PEF1dGhvcj5BdHRoYWtvbW9sPC9BdXRob3I+PFllYXI+MjAyMzwvWWVh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</w:fldData>
        </w:fldChar>
      </w:r>
      <w:r>
        <w:rPr>
          <w:color w:val="000000" w:themeColor="text1"/>
          <w14:textFill>
            <w14:solidFill>
              <w14:schemeClr w14:val="tx1"/>
            </w14:solidFill>
          </w14:textFill>
        </w:rPr>
        <w:instrText xml:space="preserve"> ADDIN EN.CITE.DATA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being particularly common among individuals who frequently use their hands for fine motor tasks. Patients often experience impaired daily life and work due to pain and limited movement. The anatomical basis for its symptoms is the repeated excessive friction of the tendon within the sheath, leading to local aseptic inflammation, causing edema, exudation, adhesion, and A1 pulley thickening, forming a stenotic constricting ring that impedes tendon movement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&lt;EndNote&gt;&lt;Cite&gt;&lt;Author&gt;Yang&lt;/Author&gt;&lt;Year&gt;2022&lt;/Year&gt;&lt;RecNum&gt;21&lt;/RecNum&gt;&lt;DisplayText&gt;&lt;style face="superscript"&gt;23&lt;/style&gt;&lt;/DisplayText&gt;&lt;record&gt;&lt;rec-number&gt;21&lt;/rec-number&gt;&lt;foreign-keys&gt;&lt;key app="EN" db-id="29xrpfsv7wefssefze45xzdpwsdddvp5zfa5" timestamp="1763488952"&gt;21&lt;/key&gt;&lt;/foreign-keys&gt;&lt;ref-type name="Journal Article"&gt;17&lt;/ref-type&gt;&lt;contributors&gt;&lt;authors&gt;&lt;author&gt;Yang, J.&lt;/author&gt;&lt;author&gt;Ma, B.&lt;/author&gt;&lt;author&gt;Zhong, H.&lt;/author&gt;&lt;author&gt;Zhang, Y.&lt;/author&gt;&lt;author&gt;Zhu, J.&lt;/author&gt;&lt;author&gt;Ni, Y.&lt;/author&gt;&lt;/authors&gt;&lt;/contributors&gt;&lt;auth-address&gt;Pain Department, The Second Affiliated Hospital of Soochow University, Suzhou, Jiangsu, People&amp;apos;s Republic of China.&amp;#xD;Medical College, Soochow University, Suzhou, Jiangsu, People&amp;apos;s Republic of China.&lt;/auth-address&gt;&lt;titles&gt;&lt;title&gt;Ultrasound-Guided Percutaneous A1 Pulley Release by Acupotomy (Needle-Knife): A Cadaveric Study of Safety and Efficacy&lt;/title&gt;&lt;secondary-title&gt;J Pain Res&lt;/secondary-title&gt;&lt;alt-title&gt;Journal of pain research&lt;/alt-title&gt;&lt;/titles&gt;&lt;periodical&gt;&lt;full-title&gt;J Pain Res&lt;/full-title&gt;&lt;abbr-1&gt;Journal of pain research&lt;/abbr-1&gt;&lt;/periodical&gt;&lt;alt-periodical&gt;&lt;full-title&gt;J Pain Res&lt;/full-title&gt;&lt;abbr-1&gt;Journal of pain research&lt;/abbr-1&gt;&lt;/alt-periodical&gt;&lt;pages&gt;413-422&lt;/pages&gt;&lt;volume&gt;15&lt;/volume&gt;&lt;edition&gt;2022/02/18&lt;/edition&gt;&lt;keywords&gt;&lt;keyword&gt;acupotomy&lt;/keyword&gt;&lt;keyword&gt;anatomical study&lt;/keyword&gt;&lt;keyword&gt;trigger finger&lt;/keyword&gt;&lt;keyword&gt;ultrasonography&lt;/keyword&gt;&lt;/keywords&gt;&lt;dates&gt;&lt;year&gt;2022&lt;/year&gt;&lt;/dates&gt;&lt;isbn&gt;1178-7090 (Print)&amp;#xD;1178-7090&lt;/isbn&gt;&lt;accession-num&gt;35173479&lt;/accession-num&gt;&lt;urls&gt;&lt;/urls&gt;&lt;custom2&gt;PMC8842668&lt;/custom2&gt;&lt;electronic-resource-num&gt;10.2147/jpr.S349869&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23</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Traditional treatments like medication and corticosteroid injections, while somewhat effective, are prone to recurrence, and long-term use carries side effects</w:t>
      </w:r>
      <w:r>
        <w:rPr>
          <w:color w:val="000000" w:themeColor="text1"/>
          <w14:textFill>
            <w14:solidFill>
              <w14:schemeClr w14:val="tx1"/>
            </w14:solidFill>
          </w14:textFill>
        </w:rPr>
        <w:fldChar w:fldCharType="begin">
          <w:fldData xml:space="preserve">PEVuZE5vdGU+PENpdGU+PEF1dGhvcj5TYXRvPC9BdXRob3I+PFllYXI+MjAxMjwvWWVhcj48UmVj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</w:fldData>
        </w:fldChar>
      </w:r>
      <w:r>
        <w:rPr>
          <w:color w:val="000000" w:themeColor="text1"/>
          <w14:textFill>
            <w14:solidFill>
              <w14:schemeClr w14:val="tx1"/>
            </w14:solidFill>
          </w14:textFill>
        </w:rPr>
        <w:instrText xml:space="preserve"> ADDIN EN.CITE </w:instrText>
      </w:r>
      <w:r>
        <w:rPr>
          <w:color w:val="000000" w:themeColor="text1"/>
          <w14:textFill>
            <w14:solidFill>
              <w14:schemeClr w14:val="tx1"/>
            </w14:solidFill>
          </w14:textFill>
        </w:rPr>
        <w:fldChar w:fldCharType="begin">
          <w:fldData xml:space="preserve">PEVuZE5vdGU+PENpdGU+PEF1dGhvcj5TYXRvPC9BdXRob3I+PFllYXI+MjAxMjwvWWVhcj48UmVj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</w:fldData>
        </w:fldChar>
      </w:r>
      <w:r>
        <w:rPr>
          <w:color w:val="000000" w:themeColor="text1"/>
          <w14:textFill>
            <w14:solidFill>
              <w14:schemeClr w14:val="tx1"/>
            </w14:solidFill>
          </w14:textFill>
        </w:rPr>
        <w:instrText xml:space="preserve"> ADDIN EN.CITE.DATA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24</w:t>
      </w:r>
      <w:r>
        <w:rPr>
          <w:color w:val="000000" w:themeColor="text1"/>
          <w14:textFill>
            <w14:solidFill>
              <w14:schemeClr w14:val="tx1"/>
            </w14:solidFill>
          </w14:textFill>
        </w:rPr>
        <w:fldChar w:fldCharType="end"/>
      </w:r>
      <w:r>
        <w:rPr>
          <w:color w:val="000000" w:themeColor="text1"/>
          <w14:textFill>
            <w14:solidFill>
              <w14:schemeClr w14:val="tx1"/>
            </w14:solidFill>
          </w14:textFill>
        </w:rPr>
        <w:t>. In recent years, acupotomy therapy has shown significant advantages in treating THFT with its unique minimally invasive treatment concept</w:t>
      </w:r>
      <w:r>
        <w:rPr>
          <w:color w:val="000000" w:themeColor="text1"/>
          <w14:textFill>
            <w14:solidFill>
              <w14:schemeClr w14:val="tx1"/>
            </w14:solidFill>
          </w14:textFill>
        </w:rPr>
        <w:fldChar w:fldCharType="begin">
          <w:fldData xml:space="preserve">PEVuZE5vdGU+PENpdGU+PEF1dGhvcj5aaGFuZzwvQXV0aG9yPjxZZWFyPjIwMTY8L1llYXI+PFJl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</w:fldData>
        </w:fldChar>
      </w:r>
      <w:r>
        <w:rPr>
          <w:color w:val="000000" w:themeColor="text1"/>
          <w14:textFill>
            <w14:solidFill>
              <w14:schemeClr w14:val="tx1"/>
            </w14:solidFill>
          </w14:textFill>
        </w:rPr>
        <w:instrText xml:space="preserve"> ADDIN EN.CITE </w:instrText>
      </w:r>
      <w:r>
        <w:rPr>
          <w:color w:val="000000" w:themeColor="text1"/>
          <w14:textFill>
            <w14:solidFill>
              <w14:schemeClr w14:val="tx1"/>
            </w14:solidFill>
          </w14:textFill>
        </w:rPr>
        <w:fldChar w:fldCharType="begin">
          <w:fldData xml:space="preserve">PEVuZE5vdGU+PENpdGU+PEF1dGhvcj5aaGFuZzwvQXV0aG9yPjxZZWFyPjIwMTY8L1llYXI+PFJl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</w:fldData>
        </w:fldChar>
      </w:r>
      <w:r>
        <w:rPr>
          <w:color w:val="000000" w:themeColor="text1"/>
          <w14:textFill>
            <w14:solidFill>
              <w14:schemeClr w14:val="tx1"/>
            </w14:solidFill>
          </w14:textFill>
        </w:rPr>
        <w:instrText xml:space="preserve"> ADDIN EN.CITE.DATA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25</w:t>
      </w:r>
      <w:r>
        <w:rPr>
          <w:color w:val="000000" w:themeColor="text1"/>
          <w14:textFill>
            <w14:solidFill>
              <w14:schemeClr w14:val="tx1"/>
            </w14:solidFill>
          </w14:textFill>
        </w:rPr>
        <w:fldChar w:fldCharType="end"/>
      </w:r>
      <w:r>
        <w:rPr>
          <w:color w:val="000000" w:themeColor="text1"/>
          <w14:textFill>
            <w14:solidFill>
              <w14:schemeClr w14:val="tx1"/>
            </w14:solidFill>
          </w14:textFill>
        </w:rPr>
        <w:t>. Its high efficiency has been confirmed by a large number of clinical studies, with short-term (immediately after surgery to several weeks) and medium-term (3 months to 1 year) effectiveness rates as high as 85</w:t>
      </w:r>
      <w:r>
        <w:rPr>
          <w:color w:val="000000" w:themeColor="text1"/>
          <w:lang w:eastAsia="zh-CN"/>
          <w14:textFill>
            <w14:solidFill>
              <w14:schemeClr w14:val="tx1"/>
            </w14:solidFill>
          </w14:textFill>
        </w:rPr>
        <w:t>%–95</w:t>
      </w:r>
      <w:r>
        <w:rPr>
          <w:color w:val="000000" w:themeColor="text1"/>
          <w14:textFill>
            <w14:solidFill>
              <w14:schemeClr w14:val="tx1"/>
            </w14:solidFill>
          </w14:textFill>
        </w:rPr>
        <w:t>%</w:t>
      </w:r>
      <w:r>
        <w:rPr>
          <w:color w:val="000000" w:themeColor="text1"/>
          <w14:textFill>
            <w14:solidFill>
              <w14:schemeClr w14:val="tx1"/>
            </w14:solidFill>
          </w14:textFill>
        </w:rPr>
        <w:fldChar w:fldCharType="begin">
          <w:fldData xml:space="preserve">PEVuZE5vdGU+PENpdGU+PEF1dGhvcj5QYW48L0F1dGhvcj48WWVhcj4yMDE5PC9ZZWFyPjxSZWNO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PEVuZE5vdGU+PENpdGU+PEF1dGhvcj5QYW48L0F1dGhvcj48WWVhcj4yMDE5PC9ZZWFyPjxSZWNO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12,26,27</w:t>
      </w:r>
      <w:r>
        <w:rPr>
          <w:color w:val="000000" w:themeColor="text1"/>
          <w14:textFill>
            <w14:solidFill>
              <w14:schemeClr w14:val="tx1"/>
            </w14:solidFill>
          </w14:textFill>
        </w:rPr>
        <w:fldChar w:fldCharType="end"/>
      </w:r>
      <w:r>
        <w:rPr>
          <w:color w:val="000000" w:themeColor="text1"/>
          <w14:textFill>
            <w14:solidFill>
              <w14:schemeClr w14:val="tx1"/>
            </w14:solidFill>
          </w14:textFill>
        </w:rPr>
        <w:t>, which is comparable to open surgery. The therapeutic effect is rapid, with intraoperative observation of disappeared triggering/locking and significantly improved finger movement. As a minimally invasive treatment, it leaves only a needle-prick entrance, causing minimal tissue damage</w:t>
      </w:r>
      <w:r>
        <w:rPr>
          <w:color w:val="000000" w:themeColor="text1"/>
          <w:lang w:eastAsia="zh-CN"/>
          <w14:textFill>
            <w14:solidFill>
              <w14:schemeClr w14:val="tx1"/>
            </w14:solidFill>
          </w14:textFill>
        </w:rPr>
        <w:t xml:space="preserve"> and</w:t>
      </w:r>
      <w:r>
        <w:rPr>
          <w:color w:val="000000" w:themeColor="text1"/>
          <w14:textFill>
            <w14:solidFill>
              <w14:schemeClr w14:val="tx1"/>
            </w14:solidFill>
          </w14:textFill>
        </w:rPr>
        <w:t xml:space="preserve"> resulting in milder postoperative pain. Furthermore, due to minimal trauma, patients do not require strict immobilization and can typically resume daily activities and non-strenuous work within days, significantly shortening recovery time. Under standardized operation, the incidence of serious complications </w:t>
      </w:r>
      <w:r>
        <w:rPr>
          <w:color w:val="000000" w:themeColor="text1"/>
          <w:lang w:eastAsia="zh-CN"/>
          <w14:textFill>
            <w14:solidFill>
              <w14:schemeClr w14:val="tx1"/>
            </w14:solidFill>
          </w14:textFill>
        </w:rPr>
        <w:t xml:space="preserve">such </w:t>
      </w:r>
      <w:r>
        <w:rPr>
          <w:color w:val="000000" w:themeColor="text1"/>
          <w14:textFill>
            <w14:solidFill>
              <w14:schemeClr w14:val="tx1"/>
            </w14:solidFill>
          </w14:textFill>
        </w:rPr>
        <w:t>as nerve injury</w:t>
      </w:r>
      <w:r>
        <w:rPr>
          <w:color w:val="000000" w:themeColor="text1"/>
          <w:lang w:eastAsia="zh-CN"/>
          <w14:textFill>
            <w14:solidFill>
              <w14:schemeClr w14:val="tx1"/>
            </w14:solidFill>
          </w14:textFill>
        </w:rPr>
        <w:t xml:space="preserve"> and</w:t>
      </w:r>
      <w:r>
        <w:rPr>
          <w:color w:val="000000" w:themeColor="text1"/>
          <w14:textFill>
            <w14:solidFill>
              <w14:schemeClr w14:val="tx1"/>
            </w14:solidFill>
          </w14:textFill>
        </w:rPr>
        <w:t xml:space="preserve"> tendon rupture is reported to be low</w:t>
      </w:r>
      <w:r>
        <w:rPr>
          <w:color w:val="000000" w:themeColor="text1"/>
          <w14:textFill>
            <w14:solidFill>
              <w14:schemeClr w14:val="tx1"/>
            </w14:solidFill>
          </w14:textFill>
        </w:rPr>
        <w:fldChar w:fldCharType="begin">
          <w:fldData xml:space="preserve">PEVuZE5vdGU+PENpdGU+PEF1dGhvcj5Ld29uPC9BdXRob3I+PFllYXI+MjAxOTwvWWVhcj48UmVj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</w:fldData>
        </w:fldChar>
      </w:r>
      <w:r>
        <w:rPr>
          <w:color w:val="000000" w:themeColor="text1"/>
          <w:lang w:eastAsia="zh-CN"/>
          <w14:textFill>
            <w14:solidFill>
              <w14:schemeClr w14:val="tx1"/>
            </w14:solidFill>
          </w14:textFill>
        </w:rPr>
        <w:instrText xml:space="preserve"> ADDIN EN.CITE </w:instrText>
      </w:r>
      <w:r>
        <w:rPr>
          <w:color w:val="000000" w:themeColor="text1"/>
          <w:lang w:eastAsia="zh-CN"/>
          <w14:textFill>
            <w14:solidFill>
              <w14:schemeClr w14:val="tx1"/>
            </w14:solidFill>
          </w14:textFill>
        </w:rPr>
        <w:fldChar w:fldCharType="begin">
          <w:fldData xml:space="preserve">PEVuZE5vdGU+PENpdGU+PEF1dGhvcj5Ld29uPC9BdXRob3I+PFllYXI+MjAxOTwvWWVhcj48UmVj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</w:fldData>
        </w:fldChar>
      </w:r>
      <w:r>
        <w:rPr>
          <w:color w:val="000000" w:themeColor="text1"/>
          <w:lang w:eastAsia="zh-CN"/>
          <w14:textFill>
            <w14:solidFill>
              <w14:schemeClr w14:val="tx1"/>
            </w14:solidFill>
          </w14:textFill>
        </w:rPr>
        <w:instrText xml:space="preserve"> ADDIN EN.CITE.DATA </w:instrText>
      </w:r>
      <w:r>
        <w:rPr>
          <w:color w:val="000000" w:themeColor="text1"/>
          <w:lang w:eastAsia="zh-CN"/>
          <w14:textFill>
            <w14:solidFill>
              <w14:schemeClr w14:val="tx1"/>
            </w14:solidFill>
          </w14:textFill>
        </w:rPr>
        <w:fldChar w:fldCharType="separate"/>
      </w:r>
      <w:r>
        <w:rPr>
          <w:color w:val="000000" w:themeColor="text1"/>
          <w:lang w:eastAsia="zh-CN"/>
          <w14:textFill>
            <w14:solidFill>
              <w14:schemeClr w14:val="tx1"/>
            </w14:solidFill>
          </w14:textFill>
        </w:rPr>
        <w:fldChar w:fldCharType="end"/>
      </w:r>
      <w:r>
        <w:rPr>
          <w:color w:val="000000" w:themeColor="text1"/>
          <w14:textFill>
            <w14:solidFill>
              <w14:schemeClr w14:val="tx1"/>
            </w14:solidFill>
          </w14:textFill>
        </w:rPr>
        <w:fldChar w:fldCharType="separate"/>
      </w:r>
      <w:r>
        <w:rPr>
          <w:rFonts w:eastAsiaTheme="minorEastAsia"/>
          <w:color w:val="000000" w:themeColor="text1"/>
          <w:kern w:val="2"/>
          <w:vertAlign w:val="superscript"/>
          <w:lang w:eastAsia="zh-CN"/>
          <w14:textFill>
            <w14:solidFill>
              <w14:schemeClr w14:val="tx1"/>
            </w14:solidFill>
          </w14:textFill>
        </w:rPr>
        <w:t>28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The procedure is straightforward, requires no complex equipment, can be completed in 10</w:t>
      </w:r>
      <w:r>
        <w:rPr>
          <w:color w:val="000000" w:themeColor="text1"/>
          <w:lang w:eastAsia="zh-CN"/>
          <w14:textFill>
            <w14:solidFill>
              <w14:schemeClr w14:val="tx1"/>
            </w14:solidFill>
          </w14:textFill>
        </w:rPr>
        <w:t>–</w:t>
      </w:r>
      <w:r>
        <w:rPr>
          <w:color w:val="000000" w:themeColor="text1"/>
          <w14:textFill>
            <w14:solidFill>
              <w14:schemeClr w14:val="tx1"/>
            </w14:solidFill>
          </w14:textFill>
        </w:rPr>
        <w:t xml:space="preserve">20 min in an outpatient setting, and is low-cost. Post-treatment scarring is almost negligible, offering </w:t>
      </w:r>
      <w:r>
        <w:rPr>
          <w:color w:val="000000" w:themeColor="text1"/>
          <w:lang w:eastAsia="zh-CN"/>
          <w14:textFill>
            <w14:solidFill>
              <w14:schemeClr w14:val="tx1"/>
            </w14:solidFill>
          </w14:textFill>
        </w:rPr>
        <w:t>excellent</w:t>
      </w:r>
      <w:r>
        <w:rPr>
          <w:color w:val="000000" w:themeColor="text1"/>
          <w14:textFill>
            <w14:solidFill>
              <w14:schemeClr w14:val="tx1"/>
            </w14:solidFill>
          </w14:textFill>
        </w:rPr>
        <w:t xml:space="preserve"> cosmesis. Coupled with less patient fear towards minimally invasive procedures, acceptance is generally high.</w:t>
      </w:r>
    </w:p>
    <w:p w14:paraId="40CC2724">
      <w:pPr>
        <w:spacing w:line="0" w:lineRule="atLeast"/>
        <w:rPr>
          <w:color w:val="000000" w:themeColor="text1"/>
          <w14:textFill>
            <w14:solidFill>
              <w14:schemeClr w14:val="tx1"/>
            </w14:solidFill>
          </w14:textFill>
        </w:rPr>
      </w:pPr>
    </w:p>
    <w:p w14:paraId="40CC2725">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The core of acupotomy’s mechanical release lies in its direct action on the thickened, stenotic A1 pulley. Through longitudinal incision, it transects part of the annular fibers, enlarging the tendon sheath volume, relieving mechanical entrapment of the flexor tendon, and restoring smooth tendon gliding</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&lt;EndNote&gt;&lt;Cite&gt;&lt;Author&gt;Zhong&lt;/Author&gt;&lt;Year&gt;2022&lt;/Year&gt;&lt;RecNum&gt;263&lt;/RecNum&gt;&lt;DisplayText&gt;&lt;style face="superscript"&gt;29&lt;/style&gt;&lt;/DisplayText&gt;&lt;record&gt;&lt;rec-number&gt;263&lt;/rec-number&gt;&lt;foreign-keys&gt;&lt;key app="EN" db-id="zw2wv2wtjw9swfex2emv2sx0s0fwsvwvtf2z" timestamp="1763530167"&gt;263&lt;/key&gt;&lt;/foreign-keys&gt;&lt;ref-type name="Journal Article"&gt;17&lt;/ref-type&gt;&lt;contributors&gt;&lt;authors&gt;&lt;author&gt;Zhong, W. X.&lt;/author&gt;&lt;author&gt;Chen, Z. J.&lt;/author&gt;&lt;author&gt;Peng, W. J.&lt;/author&gt;&lt;author&gt;Gu, R. B.&lt;/author&gt;&lt;author&gt;Li, J. H.&lt;/author&gt;&lt;author&gt;Li, Y. K.&lt;/author&gt;&lt;/authors&gt;&lt;/contributors&gt;&lt;auth-address&gt;School of Traditional Chinese Medicine, Southern Medical University, Guangzhou, Guangdong, China.&amp;#xD;School of Traditional Chinese Medicine, Southern Medical University, Guangzhou, Guangdong, China. ortho@smu.edu.cn.&lt;/auth-address&gt;&lt;titles&gt;&lt;title&gt;Morphometric study of percutaneous A1 pulley of thumb release&lt;/title&gt;&lt;secondary-title&gt;Sci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reports&lt;/abbr-1&gt;&lt;/alt-periodical&gt;&lt;pages&gt;20944&lt;/pages&gt;&lt;volume&gt;12&lt;/volume&gt;&lt;number&gt;1&lt;/number&gt;&lt;edition&gt;2022/12/06&lt;/edition&gt;&lt;keywords&gt;&lt;keyword&gt;*Thumb/surgery/anatomy &amp;amp; histology&lt;/keyword&gt;&lt;keyword&gt;*Fingers/anatomy &amp;amp; histology&lt;/keyword&gt;&lt;keyword&gt;Tendons/anatomy &amp;amp; histology&lt;/keyword&gt;&lt;keyword&gt;Surgical Instruments&lt;/keyword&gt;&lt;keyword&gt;Needles&lt;/keyword&gt;&lt;/keywords&gt;&lt;dates&gt;&lt;year&gt;2022&lt;/year&gt;&lt;pub-dates&gt;&lt;date&gt;Dec 5&lt;/date&gt;&lt;/pub-dates&gt;&lt;/dates&gt;&lt;isbn&gt;2045-2322&lt;/isbn&gt;&lt;accession-num&gt;36470935&lt;/accession-num&gt;&lt;urls&gt;&lt;/urls&gt;&lt;custom2&gt;PMC9722786&lt;/custom2&gt;&lt;electronic-resource-num&gt;10.1038/s41598-022-24759-5&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29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This is considered an important mechanism underlying symptom improvement. Furthermore, the insertion and cutting stimuli of acupotomy may induce local microvascular dilation, promoting blood circulation, accelerating the clearance of inflammatory mediators such as Substance P, prostaglandins, and cytokines, and facilitating the transport of metabolic products, thereby reducing inflammation and pain</w:t>
      </w:r>
      <w:r>
        <w:rPr>
          <w:color w:val="000000" w:themeColor="text1"/>
          <w:vertAlign w:val="superscript"/>
          <w14:textFill>
            <w14:solidFill>
              <w14:schemeClr w14:val="tx1"/>
            </w14:solidFill>
          </w14:textFill>
        </w:rPr>
        <w:t>30</w:t>
      </w:r>
      <w:r>
        <w:rPr>
          <w:color w:val="000000" w:themeColor="text1"/>
          <w14:textFill>
            <w14:solidFill>
              <w14:schemeClr w14:val="tx1"/>
            </w14:solidFill>
          </w14:textFill>
        </w:rPr>
        <w:t>. It is noteworthy that the role of acupotomy is not merely simple mechanical cutting. It acts on multiple levels. From a biomechanical perspective, by releasing the A1 pulley, acupotomy reconstructs the dynamic balance of the tendon-sheath system, which may help reduce abnormal friction</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&lt;EndNote&gt;&lt;Cite&gt;&lt;Author&gt;Merry&lt;/Author&gt;&lt;Year&gt;2020&lt;/Year&gt;&lt;RecNum&gt;272&lt;/RecNum&gt;&lt;DisplayText&gt;&lt;style face="superscript"&gt;30&lt;/style&gt;&lt;/DisplayText&gt;&lt;record&gt;&lt;rec-number&gt;272&lt;/rec-number&gt;&lt;foreign-keys&gt;&lt;key app="EN" db-id="zw2wv2wtjw9swfex2emv2sx0s0fwsvwvtf2z" timestamp="1763537271"&gt;272&lt;/key&gt;&lt;/foreign-keys&gt;&lt;ref-type name="Journal Article"&gt;17&lt;/ref-type&gt;&lt;contributors&gt;&lt;authors&gt;&lt;author&gt;Merry, S. P.&lt;/author&gt;&lt;author&gt;O&amp;apos;Grady, J. S.&lt;/author&gt;&lt;author&gt;Boswell, C. L.&lt;/author&gt;&lt;/authors&gt;&lt;/contributors&gt;&lt;auth-address&gt;Mayo Clinic, Rochester, MN, USA.&lt;/auth-address&gt;&lt;titles&gt;&lt;title&gt;Trigger Finger? Just Shoot!&lt;/title&gt;&lt;secondary-title&gt;J Prim Care Community Health&lt;/secondary-title&gt;&lt;alt-title&gt;Journal of primary care &amp;amp; community health&lt;/alt-title&gt;&lt;/titles&gt;&lt;periodical&gt;&lt;full-title&gt;J Prim Care Community Health&lt;/full-title&gt;&lt;abbr-1&gt;Journal of primary care &amp;amp; community health&lt;/abbr-1&gt;&lt;/periodical&gt;&lt;alt-periodical&gt;&lt;full-title&gt;J Prim Care Community Health&lt;/full-title&gt;&lt;abbr-1&gt;Journal of primary care &amp;amp; community health&lt;/abbr-1&gt;&lt;/alt-periodical&gt;&lt;pages&gt;2150132720943345&lt;/pages&gt;&lt;volume&gt;11&lt;/volume&gt;&lt;edition&gt;2020/07/21&lt;/edition&gt;&lt;keywords&gt;&lt;keyword&gt;Adrenal Cortex Hormones&lt;/keyword&gt;&lt;keyword&gt;*Diabetes Mellitus&lt;/keyword&gt;&lt;keyword&gt;Humans&lt;/keyword&gt;&lt;keyword&gt;*Trigger Finger Disorder/therapy&lt;/keyword&gt;&lt;keyword&gt;corticosteroid injection&lt;/keyword&gt;&lt;keyword&gt;stenosing flexor tenosynovitis&lt;/keyword&gt;&lt;keyword&gt;stenosing tenosynovitis&lt;/keyword&gt;&lt;keyword&gt;steroid injection&lt;/keyword&gt;&lt;keyword&gt;trigger finger&lt;/keyword&gt;&lt;keyword&gt;trigger thumb&lt;/keyword&gt;&lt;keyword&gt;conflicts of interest with respect to the research, authorship, and/or&lt;/keyword&gt;&lt;keyword&gt;publication of this article.&lt;/keyword&gt;&lt;/keywords&gt;&lt;dates&gt;&lt;year&gt;2020&lt;/year&gt;&lt;pub-dates&gt;&lt;date&gt;Jan-Dec&lt;/date&gt;&lt;/pub-dates&gt;&lt;/dates&gt;&lt;isbn&gt;2150-1319 (Print)&amp;#xD;2150-1319&lt;/isbn&gt;&lt;accession-num&gt;32686570&lt;/accession-num&gt;&lt;urls&gt;&lt;/urls&gt;&lt;custom2&gt;PMC7372603&lt;/custom2&gt;&lt;electronic-resource-num&gt;10.1177/2150132720943345&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This balance reconstruction may help restore normal tendon function and improve symptoms. From a histological perspective, the appropriate minimally invasive stimulus of the acupotomy can activate local repair responses, promoting the clearance of inflammatory substances</w:t>
      </w:r>
      <w:r>
        <w:rPr>
          <w:color w:val="000000" w:themeColor="text1"/>
          <w:vertAlign w:val="superscript"/>
          <w14:textFill>
            <w14:solidFill>
              <w14:schemeClr w14:val="tx1"/>
            </w14:solidFill>
          </w14:textFill>
        </w:rPr>
        <w:t>10</w:t>
      </w:r>
      <w:r>
        <w:rPr>
          <w:color w:val="000000" w:themeColor="text1"/>
          <w14:textFill>
            <w14:solidFill>
              <w14:schemeClr w14:val="tx1"/>
            </w14:solidFill>
          </w14:textFill>
        </w:rPr>
        <w:t>. This repair response may contribute to tissue healing. In TCM theory, the action of acupotomy is understood as “dredging sinew nodules and harmonizing Qi and Blood,” which aligns with the modern medical mechanism of “reducing intrathecal pressure and breaking the inflammation-fibrosis vicious cycle.” TCM believes that by dredging sinew nodules and harmonizing Qi and Blood, the body's internal balance can be restored, thereby achieving therapeutic goals. Modern medicine, by reducing intrathecal pressure and breaking the inflammation-fibrosis cycle, aims to restore normal tissue function and structure</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&lt;EndNote&gt;&lt;Cite&gt;&lt;Author&gt;Li&lt;/Author&gt;&lt;Year&gt;2022&lt;/Year&gt;&lt;RecNum&gt;273&lt;/RecNum&gt;&lt;DisplayText&gt;&lt;style face="superscript"&gt;6&lt;/style&gt;&lt;/DisplayText&gt;&lt;record&gt;&lt;rec-number&gt;273&lt;/rec-number&gt;&lt;foreign-keys&gt;&lt;key app="EN" db-id="zw2wv2wtjw9swfex2emv2sx0s0fwsvwvtf2z" timestamp="1763539857"&gt;273&lt;/key&gt;&lt;/foreign-keys&gt;&lt;ref-type name="Journal Article"&gt;17&lt;/ref-type&gt;&lt;contributors&gt;&lt;authors&gt;&lt;author&gt;Li, D.&lt;/author&gt;&lt;author&gt;Wang, X.&lt;/author&gt;&lt;author&gt;Fang, T.&lt;/author&gt;&lt;author&gt;Chen, Y.&lt;/author&gt;&lt;author&gt;Xiang, S.&lt;/author&gt;&lt;author&gt;Qi, J.&lt;/author&gt;&lt;author&gt;Liang, C.&lt;/author&gt;&lt;author&gt;Ren, C.&lt;/author&gt;&lt;author&gt;Zhao, X.&lt;/author&gt;&lt;author&gt;Qiu, Z.&lt;/author&gt;&lt;author&gt;Liu, F.&lt;/author&gt;&lt;author&gt;Yan, X.&lt;/author&gt;&lt;/authors&gt;&lt;/contributors&gt;&lt;auth-address&gt;Jiangxi University of Chinese Medicine, Nanchang, China.&amp;#xD;The Affiliated Hospital of Jiangxi University of Chinese Medicine, Nanchang, China.&amp;#xD;The Affiliated Hospital of Shangrao Health School, Shangrao, China.&lt;/auth-address&gt;&lt;titles&gt;&lt;title&gt;Acupotomy in the treatment of tenosynovitis of hand flexor tendons: A systematic review and meta-analysis&lt;/title&gt;&lt;secondary-title&gt;Medicine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31504&lt;/pages&gt;&lt;volume&gt;101&lt;/volume&gt;&lt;number&gt;45&lt;/number&gt;&lt;edition&gt;2022/11/19&lt;/edition&gt;&lt;keywords&gt;&lt;keyword&gt;Humans&lt;/keyword&gt;&lt;keyword&gt;*Tenosynovitis/therapy&lt;/keyword&gt;&lt;keyword&gt;*Acupuncture Therapy/methods&lt;/keyword&gt;&lt;keyword&gt;Research Design&lt;/keyword&gt;&lt;keyword&gt;Tendons&lt;/keyword&gt;&lt;keyword&gt;China&lt;/keyword&gt;&lt;/keywords&gt;&lt;dates&gt;&lt;year&gt;2022&lt;/year&gt;&lt;pub-dates&gt;&lt;date&gt;Nov 11&lt;/date&gt;&lt;/pub-dates&gt;&lt;/dates&gt;&lt;isbn&gt;0025-7974 (Print)&amp;#xD;0025-7974&lt;/isbn&gt;&lt;accession-num&gt;36397432&lt;/accession-num&gt;&lt;urls&gt;&lt;/urls&gt;&lt;custom2&gt;PMC9666098&lt;/custom2&gt;&lt;electronic-resource-num&gt;10.1097/md.0000000000031504&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6</w:t>
      </w:r>
      <w:r>
        <w:rPr>
          <w:color w:val="000000" w:themeColor="text1"/>
          <w14:textFill>
            <w14:solidFill>
              <w14:schemeClr w14:val="tx1"/>
            </w14:solidFill>
          </w14:textFill>
        </w:rPr>
        <w:fldChar w:fldCharType="end"/>
      </w:r>
      <w:r>
        <w:rPr>
          <w:color w:val="000000" w:themeColor="text1"/>
          <w14:textFill>
            <w14:solidFill>
              <w14:schemeClr w14:val="tx1"/>
            </w14:solidFill>
          </w14:textFill>
        </w:rPr>
        <w:t>.</w:t>
      </w:r>
    </w:p>
    <w:p w14:paraId="40CC2726">
      <w:pPr>
        <w:spacing w:line="0" w:lineRule="atLeast"/>
        <w:rPr>
          <w:color w:val="000000" w:themeColor="text1"/>
          <w14:textFill>
            <w14:solidFill>
              <w14:schemeClr w14:val="tx1"/>
            </w14:solidFill>
          </w14:textFill>
        </w:rPr>
      </w:pPr>
    </w:p>
    <w:p w14:paraId="40CC2728">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Although acupotomy offers distinct clinical advantages for THFT, its safe and effective implementation depends heavily on standardized operational protocols and targeted troubleshooting of intraoperative and postoperative adverse events, both of which are key to avoiding procedural disruptions and improving treatment consistency. Intraoperative problems are predominantly associated with inadequate anatomical localization, improper operative techniques, or individual patient differences, and prompt, standardized interventions can effectively prevent minor issues from progressing to serious complications. Difficulty in acupotomy insertion and unclear resistance sensation, one of the most common intraoperative challenges, is mainly caused by insufficient skin tautening or inaccurate nodule localization; immediate cessation of insertion, re-palpation for precise A1 pulley nodule positioning, enhanced tendon fixation, and strict maintenance of the acupotomy body perpendicular to the skin allow operators to judge tissue layers through tactile feedback (epidermis: slight resistance; dermis: moderate resistance; tendon sheath: hard resistance), thus avoiding blind puncture. Persistent triggering/locking after initial release is mostly due to incomplete longitudinal incision of the stenotic A1 pulley or residual peritendinous adhesive tissue; keeping the acupotomy blade parallel to the flexor tendon and performing 1–2 small-amplitude proximal supplementary incisions (blade adjustment ≤ 10°) can achieve sufficient release while strictly avoiding excessive cutting that may cause tendon or nerve damage. Intraoperative mild needle hole bleeding, resulting from accidental puncture of superficial subcutaneous blood vessels, can be controlled by immediate acupotomy withdrawal and firm compression hemostasis for 5–10 min; severe bleeding requires immediate procedure termination, compressive bandaging, and ultrasonic examination to rule out deep vascular injury, adhering to the principle of “safety first” in the operation. Severe intraoperative pain despite adequate anesthesia is commonly due to anesthetic solution failing to reach the deep A1 pulley or individual pain hypersensitivity; supplementary injection of 0.3–0.5 mL 1% lidocaine at the edge of the original anesthetic point (avoiding tendon sheath lumen injection) and 3 min of waiting for anesthesia to take effect can relieve pain, and suspension of the operation for patients with persistent pain prevents adverse physical and psychological reactions from forced treatment.</w:t>
      </w:r>
    </w:p>
    <w:p w14:paraId="07D9146B">
      <w:pPr>
        <w:spacing w:line="0" w:lineRule="atLeast"/>
        <w:rPr>
          <w:color w:val="000000" w:themeColor="text1"/>
          <w14:textFill>
            <w14:solidFill>
              <w14:schemeClr w14:val="tx1"/>
            </w14:solidFill>
          </w14:textFill>
        </w:rPr>
      </w:pPr>
    </w:p>
    <w:p w14:paraId="40CC272A">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Postoperative complications of acupotomy for THFT are mostly mild and manageable, primarily involving inflammatory reactions, insufficient functional exercise, or improper wound care, and personalized and targeted management strategies are critical to accelerating postoperative recovery and reducing symptom recurrence. Postoperative local mild swelling and pain of the affected finger is a normal acute inflammatory response within 24–48 h post-surgery; elevating the affected limb above heart level for 15 min hourly, cold compressing with a towel-wrapped ice pack for 10 min three times a day within 48 h, and avoiding hot compress can effectively alleviate swelling, and oral non-steroidal anti-inflammatory drugs (ibuprofen 0.2 g twice daily for 3 days) can be administered for obvious pain. Tendon adhesion with limited finger flexion and extension at 1 week postoperatively is mainly associated with insufficient functional exercise or excessive local inflammation; appropriate functional exercise and rehabilitation may help improve tendon gliding function. Wound redness and slight exudation without purulent discharge is generally considered a mild irritative reaction; appropriate wound care and monitoring can support healing. Recurrence of THFT symptoms at 1 month postoperatively is a key clinical challenge, mainly associated with incomplete intraoperative release, persistent overuse of the affected hand, or poor glycemic control in diabetic patients.</w:t>
      </w:r>
    </w:p>
    <w:p w14:paraId="17CEA99E">
      <w:pPr>
        <w:spacing w:line="0" w:lineRule="atLeast"/>
        <w:rPr>
          <w:color w:val="000000" w:themeColor="text1"/>
          <w14:textFill>
            <w14:solidFill>
              <w14:schemeClr w14:val="tx1"/>
            </w14:solidFill>
          </w14:textFill>
        </w:rPr>
      </w:pPr>
    </w:p>
    <w:p w14:paraId="111FAC64">
      <w:pPr>
        <w:rPr>
          <w:color w:val="000000" w:themeColor="text1"/>
          <w:lang w:eastAsia="zh-CN"/>
          <w14:textFill>
            <w14:solidFill>
              <w14:schemeClr w14:val="tx1"/>
            </w14:solidFill>
          </w14:textFill>
        </w:rPr>
      </w:pPr>
      <w:r>
        <w:rPr>
          <w:color w:val="000000" w:themeColor="text1"/>
          <w14:textFill>
            <w14:solidFill>
              <w14:schemeClr w14:val="tx1"/>
            </w14:solidFill>
          </w14:textFill>
        </w:rPr>
        <w:t>Although acupotomy demonstrates advantages in treating conditions like THFT, its clinical application still faces certain limitations</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&lt;EndNote&gt;&lt;Cite&gt;&lt;Author&gt;Wei&lt;/Author&gt;&lt;Year&gt;2022&lt;/Year&gt;&lt;RecNum&gt;274&lt;/RecNum&gt;&lt;DisplayText&gt;&lt;style face="superscript"&gt;1&lt;/style&gt;&lt;/DisplayText&gt;&lt;record&gt;&lt;rec-number&gt;274&lt;/rec-number&gt;&lt;foreign-keys&gt;&lt;key app="EN" db-id="zw2wv2wtjw9swfex2emv2sx0s0fwsvwvtf2z" timestamp="1763540226"&gt;274&lt;/key&gt;&lt;/foreign-keys&gt;&lt;ref-type name="Journal Article"&gt;17&lt;/ref-type&gt;&lt;contributors&gt;&lt;authors&gt;&lt;author&gt;Wei, L.&lt;/author&gt;&lt;author&gt;Tong, Q.&lt;/author&gt;&lt;author&gt;Liu, Y.&lt;/author&gt;&lt;author&gt;Hou, X.&lt;/author&gt;&lt;author&gt;Zhi, F.&lt;/author&gt;&lt;/authors&gt;&lt;/contributors&gt;&lt;auth-address&gt;Nanchang Hongdu Hospital of Traditional Chinese Medicine, Jiangxi Province, China.&amp;#xD;Jiangxi Health Vocational College, Jiangxi Province, China.&lt;/auth-address&gt;&lt;titles&gt;&lt;title&gt;Different acupotomy for stenosing tenosynovitis: A protocol for systematic review and network meta-analysis&lt;/title&gt;&lt;secondary-title&gt;Medicine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(Baltimore)&lt;/full-title&gt;&lt;abbr-1&gt;Medicine&lt;/abbr-1&gt;&lt;/alt-periodical&gt;&lt;pages&gt;e28050&lt;/pages&gt;&lt;volume&gt;101&lt;/volume&gt;&lt;number&gt;1&lt;/number&gt;&lt;edition&gt;2022/01/15&lt;/edition&gt;&lt;keywords&gt;&lt;keyword&gt;Acupuncture Therapy/*methods&lt;/keyword&gt;&lt;keyword&gt;Humans&lt;/keyword&gt;&lt;keyword&gt;Quality of Life&lt;/keyword&gt;&lt;keyword&gt;Research Design&lt;/keyword&gt;&lt;keyword&gt;Systematic Reviews as Topic&lt;/keyword&gt;&lt;keyword&gt;Tendon Entrapment/*therapy&lt;/keyword&gt;&lt;keyword&gt;Network Meta-Analysis as Topic&lt;/keyword&gt;&lt;/keywords&gt;&lt;dates&gt;&lt;year&gt;2022&lt;/year&gt;&lt;pub-dates&gt;&lt;date&gt;Jan 7&lt;/date&gt;&lt;/pub-dates&gt;&lt;/dates&gt;&lt;isbn&gt;0025-7974 (Print)&amp;#xD;0025-7974&lt;/isbn&gt;&lt;accession-num&gt;35029874&lt;/accession-num&gt;&lt;urls&gt;&lt;/urls&gt;&lt;custom2&gt;PMC8735810&lt;/custom2&gt;&lt;electronic-resource-num&gt;10.1097/md.0000000000028050&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First, the technique requires a high level of operator skill, including anatomical knowledge and precise localization ability. Therefore, adequate training is necessary to ensure procedural standardization and safety. The standardized protocol proposed in this study outlines key components of preoperative evaluation, intraoperative technique, and postoperative management, providing a structured approach to the procedure. In addition, the inclusion of intra- and postoperative troubleshooting strategies may support consistent implementation and help address potential procedural challenges. Although the recurrence rate for acupotomy is lower than for corticosteroid injection, if patients have persistent causative factors like occupational habits or poor glycemic control, the durability of the therapeutic effect might still be affected</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ADDIN EN.CITE &lt;EndNote&gt;&lt;Cite&gt;&lt;Author&gt;Merry&lt;/Author&gt;&lt;Year&gt;2020&lt;/Year&gt;&lt;RecNum&gt;275&lt;/RecNum&gt;&lt;DisplayText&gt;&lt;style face="superscript"&gt;30&lt;/style&gt;&lt;/DisplayText&gt;&lt;record&gt;&lt;rec-number&gt;275&lt;/rec-number&gt;&lt;foreign-keys&gt;&lt;key app="EN" db-id="zw2wv2wtjw9swfex2emv2sx0s0fwsvwvtf2z" timestamp="1763540643"&gt;275&lt;/key&gt;&lt;/foreign-keys&gt;&lt;ref-type name="Journal Article"&gt;17&lt;/ref-type&gt;&lt;contributors&gt;&lt;authors&gt;&lt;author&gt;Merry, S. P.&lt;/author&gt;&lt;author&gt;O&amp;apos;Grady, J. S.&lt;/author&gt;&lt;author&gt;Boswell, C. L.&lt;/author&gt;&lt;/authors&gt;&lt;/contributors&gt;&lt;auth-address&gt;Mayo Clinic, Rochester, MN, USA.&lt;/auth-address&gt;&lt;titles&gt;&lt;title&gt;Trigger Finger? Just Shoot!&lt;/title&gt;&lt;secondary-title&gt;J Prim Care Community Health&lt;/secondary-title&gt;&lt;alt-title&gt;Journal of primary care &amp;amp; community health&lt;/alt-title&gt;&lt;/titles&gt;&lt;periodical&gt;&lt;full-title&gt;J Prim Care Community Health&lt;/full-title&gt;&lt;abbr-1&gt;Journal of primary care &amp;amp; community health&lt;/abbr-1&gt;&lt;/periodical&gt;&lt;alt-periodical&gt;&lt;full-title&gt;J Prim Care Community Health&lt;/full-title&gt;&lt;abbr-1&gt;Journal of primary care &amp;amp; community health&lt;/abbr-1&gt;&lt;/alt-periodical&gt;&lt;pages&gt;2150132720943345&lt;/pages&gt;&lt;volume&gt;11&lt;/volume&gt;&lt;edition&gt;2020/07/21&lt;/edition&gt;&lt;keywords&gt;&lt;keyword&gt;Adrenal Cortex Hormones&lt;/keyword&gt;&lt;keyword&gt;*Diabetes Mellitus&lt;/keyword&gt;&lt;keyword&gt;Humans&lt;/keyword&gt;&lt;keyword&gt;*Trigger Finger Disorder/therapy&lt;/keyword&gt;&lt;keyword&gt;corticosteroid injection&lt;/keyword&gt;&lt;keyword&gt;stenosing flexor tenosynovitis&lt;/keyword&gt;&lt;keyword&gt;stenosing tenosynovitis&lt;/keyword&gt;&lt;keyword&gt;steroid injection&lt;/keyword&gt;&lt;keyword&gt;trigger finger&lt;/keyword&gt;&lt;keyword&gt;trigger thumb&lt;/keyword&gt;&lt;keyword&gt;conflicts of interest with respect to the research, authorship, and/or&lt;/keyword&gt;&lt;keyword&gt;publication of this article.&lt;/keyword&gt;&lt;/keywords&gt;&lt;dates&gt;&lt;year&gt;2020&lt;/year&gt;&lt;pub-dates&gt;&lt;date&gt;Jan-Dec&lt;/date&gt;&lt;/pub-dates&gt;&lt;/dates&gt;&lt;isbn&gt;2150-1319 (Print)&amp;#xD;2150-1319&lt;/isbn&gt;&lt;accession-num&gt;32686570&lt;/accession-num&gt;&lt;urls&gt;&lt;/urls&gt;&lt;custom2&gt;PMC7372603&lt;/custom2&gt;&lt;electronic-resource-num&gt;10.1177/2150132720943345&lt;/electronic-resource-num&gt;&lt;remote-database-provider&gt;NLM&lt;/remote-database-provider&gt;&lt;language&gt;eng&lt;/language&gt;&lt;/record&gt;&lt;/Cite&gt;&lt;/EndNote&gt;</w:instrText>
      </w:r>
      <w:r>
        <w:rPr>
          <w:color w:val="000000" w:themeColor="text1"/>
          <w14:textFill>
            <w14:solidFill>
              <w14:schemeClr w14:val="tx1"/>
            </w14:solidFill>
          </w14:textFill>
        </w:rPr>
        <w:fldChar w:fldCharType="separate"/>
      </w:r>
      <w:r>
        <w:rPr>
          <w:color w:val="000000" w:themeColor="text1"/>
          <w:kern w:val="2"/>
          <w:vertAlign w:val="superscript"/>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Therefore, postoperative functional exercise and management of predisposing factors are indispensable. The postoperative care, activity guidance, and follow-up described in this protocol provide a structured approach to postoperative management and monitoring. </w:t>
      </w:r>
      <w:r>
        <w:rPr>
          <w:rFonts w:eastAsia="Segoe UI Emoji"/>
          <w:color w:val="000000" w:themeColor="text1"/>
          <w14:textFill>
            <w14:solidFill>
              <w14:schemeClr w14:val="tx1"/>
            </w14:solidFill>
          </w14:textFill>
        </w:rPr>
        <w:t>Furthermore, the follow-up period in this study was limited to 1 month postoperatively, which is insufficient to evaluate long-term clinical outcomes and late recurrence. Future studies should extend the follow-up duration to at least 3–6 months to obtain more comprehensive data. It should be noted that the primary purpose of this study is to standardize operational procedures rather than evaluate efficacy. Accordingly, a pre–post self-controlled design was adopted, which inherently limits causal inference regarding treatment effects.</w:t>
      </w:r>
    </w:p>
    <w:p w14:paraId="3FB3E94B">
      <w:pPr>
        <w:spacing w:line="0" w:lineRule="atLeast"/>
        <w:rPr>
          <w:color w:val="000000" w:themeColor="text1"/>
          <w14:textFill>
            <w14:solidFill>
              <w14:schemeClr w14:val="tx1"/>
            </w14:solidFill>
          </w14:textFill>
        </w:rPr>
      </w:pPr>
    </w:p>
    <w:p w14:paraId="40CC272E">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Notably, the intraoperative assessment of release effectiveness primarily relies on the operator’s subjective judgment and the patient’s immediate feedback. Future incorporation of technologies such as real-time intraoperative ultrasound guidance could provide more objective assessment methods. Furthermore, although existing research suggests its potential effectiveness, more large-sample, long-term follow-up, multicenter randomized controlled trials are needed to further optimize indication selection and operational standards, and to verify its long-term efficacy and safety.</w:t>
      </w:r>
    </w:p>
    <w:p w14:paraId="40CC272F">
      <w:pPr>
        <w:spacing w:line="0" w:lineRule="atLeast"/>
        <w:rPr>
          <w:color w:val="000000" w:themeColor="text1"/>
          <w14:textFill>
            <w14:solidFill>
              <w14:schemeClr w14:val="tx1"/>
            </w14:solidFill>
          </w14:textFill>
        </w:rPr>
      </w:pPr>
    </w:p>
    <w:p w14:paraId="40CC2730">
      <w:pPr>
        <w:spacing w:line="0" w:lineRule="atLeast"/>
        <w:rPr>
          <w:b/>
          <w:color w:val="000000" w:themeColor="text1"/>
          <w14:textFill>
            <w14:solidFill>
              <w14:schemeClr w14:val="tx1"/>
            </w14:solidFill>
          </w14:textFill>
        </w:rPr>
      </w:pPr>
      <w:r>
        <w:rPr>
          <w:b/>
          <w:color w:val="000000" w:themeColor="text1"/>
          <w14:textFill>
            <w14:solidFill>
              <w14:schemeClr w14:val="tx1"/>
            </w14:solidFill>
          </w14:textFill>
        </w:rPr>
        <w:t>ACKNOWLEDGMENTS:</w:t>
      </w:r>
    </w:p>
    <w:p w14:paraId="40CC2731">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This work was supported by the Hubei Provincial Natural Science Foundation Joint Key Project (2022CFD024, 2025AFD520); Hubei University of Chinese Medicine 2023 “Double First-Class” Construction Key Special Research Project (2023ZZXT005); and Research Project of Traditional Chinese Medicine of the Administration of Traditional Chinese Medicine of Hubei Province (ZY2025Q040, ZY2025D001).</w:t>
      </w:r>
    </w:p>
    <w:p w14:paraId="40CC2732">
      <w:pPr>
        <w:spacing w:line="0" w:lineRule="atLeast"/>
        <w:rPr>
          <w:b/>
          <w:color w:val="000000" w:themeColor="text1"/>
          <w14:textFill>
            <w14:solidFill>
              <w14:schemeClr w14:val="tx1"/>
            </w14:solidFill>
          </w14:textFill>
        </w:rPr>
      </w:pPr>
    </w:p>
    <w:p w14:paraId="40CC2733">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 xml:space="preserve">DISCLOSURES: </w:t>
      </w:r>
    </w:p>
    <w:p w14:paraId="40CC2734">
      <w:pPr>
        <w:spacing w:line="0" w:lineRule="atLeast"/>
        <w:rPr>
          <w:color w:val="000000" w:themeColor="text1"/>
          <w14:textFill>
            <w14:solidFill>
              <w14:schemeClr w14:val="tx1"/>
            </w14:solidFill>
          </w14:textFill>
        </w:rPr>
      </w:pPr>
      <w:r>
        <w:rPr>
          <w:color w:val="000000" w:themeColor="text1"/>
          <w14:textFill>
            <w14:solidFill>
              <w14:schemeClr w14:val="tx1"/>
            </w14:solidFill>
          </w14:textFill>
        </w:rPr>
        <w:t>The authors have nothing to disclose.</w:t>
      </w:r>
    </w:p>
    <w:p w14:paraId="40CC2735">
      <w:pPr>
        <w:spacing w:line="0" w:lineRule="atLeast"/>
        <w:rPr>
          <w:color w:val="000000" w:themeColor="text1"/>
          <w14:textFill>
            <w14:solidFill>
              <w14:schemeClr w14:val="tx1"/>
            </w14:solidFill>
          </w14:textFill>
        </w:rPr>
      </w:pPr>
    </w:p>
    <w:p w14:paraId="40CC2736">
      <w:pPr>
        <w:spacing w:line="0" w:lineRule="atLeast"/>
        <w:rPr>
          <w:color w:val="000000" w:themeColor="text1"/>
          <w14:textFill>
            <w14:solidFill>
              <w14:schemeClr w14:val="tx1"/>
            </w14:solidFill>
          </w14:textFill>
        </w:rPr>
      </w:pPr>
      <w:r>
        <w:rPr>
          <w:b/>
          <w:color w:val="000000" w:themeColor="text1"/>
          <w14:textFill>
            <w14:solidFill>
              <w14:schemeClr w14:val="tx1"/>
            </w14:solidFill>
          </w14:textFill>
        </w:rPr>
        <w:t>REFERENCES:</w:t>
      </w:r>
      <w:r>
        <w:rPr>
          <w:color w:val="000000" w:themeColor="text1"/>
          <w14:textFill>
            <w14:solidFill>
              <w14:schemeClr w14:val="tx1"/>
            </w14:solidFill>
          </w14:textFill>
        </w:rPr>
        <w:t xml:space="preserve"> </w:t>
      </w:r>
    </w:p>
    <w:p w14:paraId="752130D5">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Wei L, Tong Q, Liu Y, Hou X, Zhi F, et al. Different acupotomy for stenosing tenosynovitis: A protocol for systematic review and network meta-analysis. Medicine. 2022;101(1):e28050.</w:t>
      </w:r>
    </w:p>
    <w:p w14:paraId="155B422F">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Löfgren JP, Zimmerman M, Dahlin LB, Nilsson PM, Rydberg M, et al. Diabetes mellitus as a risk factor for trigger finger: A longitudinal cohort study over more than 20 years. Front Clin Diabetes Healthc. 2021;2:708721.</w:t>
      </w:r>
    </w:p>
    <w:p w14:paraId="6906C0A4">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Muthu S, Annamalai S, Kandasamy V. Tenosynovitis of hand: Causes and complications. World J Clin Cases. 2024;12(4):671-676.</w:t>
      </w:r>
    </w:p>
    <w:p w14:paraId="43193CED">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Gonzalez-Espino P, Meyer Zu Reckendorf G. An unusual case of trigger finger. Hand Surg Rehabil. 2024;43(5):101771.</w:t>
      </w:r>
    </w:p>
    <w:p w14:paraId="3A4338C6">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Belloti JC, Sato ES, Faloppa F. Trigger finger treatment. Rev Bras Ortop. 2022;57(6):911-916.</w:t>
      </w:r>
    </w:p>
    <w:p w14:paraId="3FE5D441">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Li D, Wang X, Fang T, Chen Y, Xiang S, et al. Acupotomy in the treatment of tenosynovitis of hand flexor tendons: A systematic review and meta-analysis. Medicine. 2022;101(45):e31504.</w:t>
      </w:r>
    </w:p>
    <w:p w14:paraId="6F0C90A9">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Ou J, Liu C, Liu L, Han P. Ultrasound-guided acupotomy release of A1 pulley in the treatment of trigger thumb: A case report. Medicine. 2025;104(24):e42877.</w:t>
      </w:r>
    </w:p>
    <w:p w14:paraId="5016956F">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Li S. Clinical application of visual minimally invasive acupotomy. Zhongguo Zhen Jiu. 2025;45(1):47-52.</w:t>
      </w:r>
    </w:p>
    <w:p w14:paraId="0D6FAEDA">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Liu Y, Shang J, Zhang Y, Liu L, Zhang W, et al. A clinical study of ultrasound-guided acupotomy combined with mindfulness meditation to improve lumbar myofascial pain syndrome. Front Neurol. 2025;16:1627376.</w:t>
      </w:r>
    </w:p>
    <w:p w14:paraId="10938769">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Jia Y, Qiu Z, Sun X, Shen Y, Zhou Q, et al. Acupotomy for patients with trigger finger: A systematic review protocol. Medicine. 2019;98(42):e17402.</w:t>
      </w:r>
    </w:p>
    <w:p w14:paraId="06BE930D">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Velmurugan BK, Huang CY, Ding DC, Wu KC. An innovation percutaneous needle knife use for trigger finger: A retrospective cohort study. Tzu Chi Med J. 2023;35(3):242-246.</w:t>
      </w:r>
    </w:p>
    <w:p w14:paraId="581C0D46">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Pan M, Sheng S, Fan Z, Lu H, Yang H, et al. Ultrasound-guided percutaneous release of A1 pulley by using a needle knife: A prospective study of 41 cases. Front Pharmacol. 2019;10:267.</w:t>
      </w:r>
    </w:p>
    <w:p w14:paraId="47360F12">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Lan X, Xiao L, Chen B, Xiong Y, Zou L, et al. A comparison of the outcomes of open trigger release versus ultrasound-guided modified small needle-knife percutaneous release for treatment of trigger digits. J Hand Surg Asian Pac Vol. 2023;28(1):69-74.</w:t>
      </w:r>
    </w:p>
    <w:p w14:paraId="7FECFACE">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Liang YS, Chen LY, Cui YY, Du CX, Xu YX, et al. Ultrasound-guided acupotomy for trigger finger: A systematic review and meta-analysis. J Orthop Surg Res. 2023;18(1):678.</w:t>
      </w:r>
    </w:p>
    <w:p w14:paraId="415EA5CD">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Inoue M, Nakajima M, Hojo T, Itoi M, Kitakoji H. Acupuncture for the treatment of trigger finger in adults: A prospective case series. Acupunct Med. 2016;34(5):392-397.</w:t>
      </w:r>
    </w:p>
    <w:p w14:paraId="670B71C7">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Qiu Z, Li H, Shen Y, Jia Y, Sun X, et al. Safety and efficacy of ultrasound-guided percutaneous A1 pulley release using a needle knife: An anatomical study. Front Surg. 2022;9:967400.</w:t>
      </w:r>
    </w:p>
    <w:p w14:paraId="3D18C3FF">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Gil JA, Hresko AM, Weiss AC. Current concepts in the management of trigger finger in adults. J Am Acad Orthop Surg. 2020;28(15):e642-e650.</w:t>
      </w:r>
    </w:p>
    <w:p w14:paraId="7A23EC45">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Fiorini HJ, Tamaoki MJ, Lenza M, Gomes Dos Santos JB, Faloppa F, et al. Surgery for trigger finger. Cochrane Database Syst Rev. 2018;2(2):CD009860.</w:t>
      </w:r>
    </w:p>
    <w:p w14:paraId="4F2BFCB7">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Amro S, Kashbour M, Shaaban Abdelgalil M, Qafesha RM, Eldeeb H, et al. Efficacy of ultrasound-guided tendon release for trigger finger compared with open surgery: A systematic review and meta-analysis. J Ultrasound Med. 2024;43(4):657-669.</w:t>
      </w:r>
    </w:p>
    <w:p w14:paraId="658AD6D0">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Li SM, Chen P, Yan MZ, Du WS, Guo R, et al. Modified acupotomy versus percutaneous release for trigger thumb: A retrospective study. J Pain Res. 2022;15:1141-1148.</w:t>
      </w:r>
    </w:p>
    <w:p w14:paraId="1A5FDDB4">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Zhang K, Liu P, Geng Z, Zhang B. Acupuncture for trigger finger: A case report. Acupunct Med. 2023;41(3):195-196.</w:t>
      </w:r>
    </w:p>
    <w:p w14:paraId="6AC90AB2">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Atthakomol P, Wangtrakunchai V, Chanthana P, Phinyo P, Manosroi W, et al. Differences in pain reduction and functional improvement among splint, steroid, and combination treatments for trigger finger. Clin Orthop Relat Res. 2023;481(11):2281-2294.</w:t>
      </w:r>
    </w:p>
    <w:p w14:paraId="3DAC335E">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Yang J, Ma B, Zhong H, Zhang Y, Zhu J, et al. Ultrasound-guided percutaneous A1 pulley release by acupotomy: A cadaveric study of safety and efficacy. J Pain Res. 2022;15:413-422.</w:t>
      </w:r>
    </w:p>
    <w:p w14:paraId="123B7BC9">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Sato ES, Gomes Dos Santos JB, Belloti JC, Albertoni WM, Faloppa F, et al. Treatment of trigger finger: Randomized clinical trial comparing corticosteroid injection, percutaneous release and open surgery. Rheumatology (Oxford). 2012;51(1):93-99.</w:t>
      </w:r>
    </w:p>
    <w:p w14:paraId="0F08914F">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Zhang QF, Yang J, Xi SH. Treatment of trigger finger with located needle knife. Zhongguo Gu Shang. 2016;29(7):648-650.</w:t>
      </w:r>
    </w:p>
    <w:p w14:paraId="56BB3B85">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Zhang WB, Yao DW, Wu WX. Ultrasound-guided needle-knife for trigger finger. Zhongguo Zhen Jiu. 2019;39(8):867-870.</w:t>
      </w:r>
    </w:p>
    <w:p w14:paraId="67E74384">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Shin H, Woo H, Han Y, Choi S, Jo J, et al. Analysis of research trends in ultrasound-guided acupuncture and dry-needling: A scoping review. J Clin Med. 2024;13(16):4962.</w:t>
      </w:r>
    </w:p>
    <w:p w14:paraId="2E1615DE">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Kwon CY, Yoon SH, Lee B. Clinical effectiveness and safety of acupotomy: An overview of systematic reviews. Complement Ther Clin Pract. 2019;36:142-152.</w:t>
      </w:r>
    </w:p>
    <w:p w14:paraId="2051A33E">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Zhong WX, Chen ZJ, Peng WJ, Gu RB, Li JH, et al. Morphometric study of percutaneous A1 pulley of thumb release. Sci Rep. 2022;12(1):20944.</w:t>
      </w:r>
    </w:p>
    <w:p w14:paraId="76F040D6">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Qian YY, et al. Research progress on the molecular biological mechanism of acupotomy in treating cervical spondylosis. CJTCMP. 2025;40(8):4145-4150.</w:t>
      </w:r>
    </w:p>
    <w:p w14:paraId="40CC2773">
      <w:pPr>
        <w:pStyle w:val="28"/>
        <w:numPr>
          <w:ilvl w:val="0"/>
          <w:numId w:val="6"/>
        </w:numPr>
        <w:spacing w:line="0" w:lineRule="atLeast"/>
        <w:rPr>
          <w:color w:val="000000" w:themeColor="text1"/>
          <w:sz w:val="24"/>
          <w14:textFill>
            <w14:solidFill>
              <w14:schemeClr w14:val="tx1"/>
            </w14:solidFill>
          </w14:textFill>
        </w:rPr>
      </w:pPr>
      <w:r>
        <w:rPr>
          <w:color w:val="000000" w:themeColor="text1"/>
          <w:sz w:val="24"/>
          <w14:textFill>
            <w14:solidFill>
              <w14:schemeClr w14:val="tx1"/>
            </w14:solidFill>
          </w14:textFill>
        </w:rPr>
        <w:t>Merry SP, O'Grady JS, Boswell CL. Trigger finger? Just shoot! J Prim Care Community Health. 2020;11:2150132720943345.</w:t>
      </w:r>
    </w:p>
    <w:sectPr>
      <w:headerReference r:id="rId5" w:type="first"/>
      <w:footerReference r:id="rId8" w:type="first"/>
      <w:headerReference r:id="rId3" w:type="default"/>
      <w:footerReference r:id="rId6" w:type="default"/>
      <w:headerReference r:id="rId4" w:type="even"/>
      <w:footerReference r:id="rId7"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Emoji">
    <w:panose1 w:val="020B0502040204020203"/>
    <w:charset w:val="00"/>
    <w:family w:val="swiss"/>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4176063"/>
    </w:sdtPr>
    <w:sdtEndPr>
      <w:rPr>
        <w:sz w:val="22"/>
        <w:szCs w:val="22"/>
      </w:rPr>
    </w:sdtEndPr>
    <w:sdtContent>
      <w:p w14:paraId="15E23FD7">
        <w:pPr>
          <w:pStyle w:val="9"/>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2</w:t>
        </w:r>
        <w:r>
          <w:rPr>
            <w:sz w:val="22"/>
            <w:szCs w:val="22"/>
          </w:rPr>
          <w:fldChar w:fldCharType="end"/>
        </w:r>
      </w:p>
    </w:sdtContent>
  </w:sdt>
  <w:p w14:paraId="4ACDD59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C2776">
    <w:pP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2123523"/>
    </w:sdtPr>
    <w:sdtContent>
      <w:p w14:paraId="5588621D">
        <w:pPr>
          <w:pStyle w:val="9"/>
          <w:jc w:val="center"/>
        </w:pPr>
        <w:r>
          <w:fldChar w:fldCharType="begin"/>
        </w:r>
        <w:r>
          <w:instrText xml:space="preserve"> PAGE   \* MERGEFORMAT </w:instrText>
        </w:r>
        <w:r>
          <w:fldChar w:fldCharType="separate"/>
        </w:r>
        <w:r>
          <w:t>2</w:t>
        </w:r>
        <w:r>
          <w:fldChar w:fldCharType="end"/>
        </w:r>
      </w:p>
    </w:sdtContent>
  </w:sdt>
  <w:p w14:paraId="40B8BA38">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B6747">
    <w:pPr>
      <w:tabs>
        <w:tab w:val="center" w:pos="4680"/>
        <w:tab w:val="right" w:pos="9360"/>
      </w:tabs>
      <w:jc w:val="right"/>
      <w:rPr>
        <w:b/>
        <w:color w:val="1F497D"/>
        <w:sz w:val="32"/>
        <w:szCs w:val="32"/>
      </w:rPr>
    </w:pPr>
    <w:r>
      <w:rPr>
        <w:b/>
        <w:color w:val="1F497D"/>
        <w:sz w:val="32"/>
        <w:szCs w:val="32"/>
      </w:rPr>
      <w:drawing>
        <wp:anchor distT="0" distB="0" distL="114300" distR="114300" simplePos="0" relativeHeight="251660288" behindDoc="0" locked="0" layoutInCell="1" allowOverlap="1">
          <wp:simplePos x="0" y="0"/>
          <wp:positionH relativeFrom="column">
            <wp:posOffset>0</wp:posOffset>
          </wp:positionH>
          <wp:positionV relativeFrom="paragraph">
            <wp:posOffset>-158750</wp:posOffset>
          </wp:positionV>
          <wp:extent cx="1441450" cy="822325"/>
          <wp:effectExtent l="0" t="0" r="6350" b="0"/>
          <wp:wrapSquare wrapText="bothSides"/>
          <wp:docPr id="721786551" name="image1.png"/>
          <wp:cNvGraphicFramePr/>
          <a:graphic xmlns:a="http://schemas.openxmlformats.org/drawingml/2006/main">
            <a:graphicData uri="http://schemas.openxmlformats.org/drawingml/2006/picture">
              <pic:pic xmlns:pic="http://schemas.openxmlformats.org/drawingml/2006/picture">
                <pic:nvPicPr>
                  <pic:cNvPr id="721786551" name="image1.png"/>
                  <pic:cNvPicPr/>
                </pic:nvPicPr>
                <pic:blipFill>
                  <a:blip r:embed="rId1">
                    <a:extLst>
                      <a:ext uri="{28A0092B-C50C-407E-A947-70E740481C1C}">
                        <a14:useLocalDpi xmlns:a14="http://schemas.microsoft.com/office/drawing/2010/main" val="0"/>
                      </a:ext>
                    </a:extLst>
                  </a:blip>
                  <a:srcRect l="491" r="491"/>
                  <a:stretch>
                    <a:fillRect/>
                  </a:stretch>
                </pic:blipFill>
                <pic:spPr>
                  <a:xfrm>
                    <a:off x="0" y="0"/>
                    <a:ext cx="1441450" cy="822325"/>
                  </a:xfrm>
                  <a:prstGeom prst="rect">
                    <a:avLst/>
                  </a:prstGeom>
                  <a:ln>
                    <a:noFill/>
                  </a:ln>
                </pic:spPr>
              </pic:pic>
            </a:graphicData>
          </a:graphic>
        </wp:anchor>
      </w:drawing>
    </w:r>
  </w:p>
  <w:p w14:paraId="40CC2775">
    <w:pPr>
      <w:tabs>
        <w:tab w:val="center" w:pos="4680"/>
        <w:tab w:val="right" w:pos="9360"/>
      </w:tabs>
      <w:jc w:val="right"/>
      <w:rPr>
        <w:b/>
        <w:color w:val="1F497D"/>
        <w:sz w:val="32"/>
        <w:szCs w:val="32"/>
      </w:rPr>
    </w:pPr>
    <w:r>
      <w:rPr>
        <w:b/>
        <w:color w:val="1F497D"/>
        <w:sz w:val="32"/>
        <w:szCs w:val="32"/>
      </w:rPr>
      <w:t>Method Article Template</w:t>
    </w:r>
  </w:p>
  <w:p w14:paraId="1267F785">
    <w:pPr>
      <w:tabs>
        <w:tab w:val="center" w:pos="4680"/>
        <w:tab w:val="right" w:pos="9360"/>
      </w:tabs>
      <w:jc w:val="right"/>
      <w:rPr>
        <w:b/>
        <w:color w:val="1F497D"/>
        <w:sz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C2774">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BC908">
    <w:pPr>
      <w:tabs>
        <w:tab w:val="center" w:pos="4680"/>
        <w:tab w:val="right" w:pos="9360"/>
      </w:tabs>
      <w:jc w:val="right"/>
      <w:rPr>
        <w:b/>
        <w:color w:val="1F497D"/>
        <w:sz w:val="32"/>
        <w:szCs w:val="32"/>
      </w:rPr>
    </w:pPr>
    <w:r>
      <w:rPr>
        <w:b/>
        <w:color w:val="1F497D"/>
        <w:sz w:val="32"/>
        <w:szCs w:val="32"/>
      </w:rPr>
      <w:drawing>
        <wp:anchor distT="0" distB="0" distL="114300" distR="114300" simplePos="0" relativeHeight="251659264" behindDoc="0" locked="0" layoutInCell="1" allowOverlap="1">
          <wp:simplePos x="0" y="0"/>
          <wp:positionH relativeFrom="column">
            <wp:posOffset>0</wp:posOffset>
          </wp:positionH>
          <wp:positionV relativeFrom="paragraph">
            <wp:posOffset>-158750</wp:posOffset>
          </wp:positionV>
          <wp:extent cx="1441450" cy="822325"/>
          <wp:effectExtent l="0" t="0" r="6350" b="0"/>
          <wp:wrapSquare wrapText="bothSides"/>
          <wp:docPr id="803579395" name="image1.png"/>
          <wp:cNvGraphicFramePr/>
          <a:graphic xmlns:a="http://schemas.openxmlformats.org/drawingml/2006/main">
            <a:graphicData uri="http://schemas.openxmlformats.org/drawingml/2006/picture">
              <pic:pic xmlns:pic="http://schemas.openxmlformats.org/drawingml/2006/picture">
                <pic:nvPicPr>
                  <pic:cNvPr id="803579395" name="image1.png"/>
                  <pic:cNvPicPr/>
                </pic:nvPicPr>
                <pic:blipFill>
                  <a:blip r:embed="rId1">
                    <a:extLst>
                      <a:ext uri="{28A0092B-C50C-407E-A947-70E740481C1C}">
                        <a14:useLocalDpi xmlns:a14="http://schemas.microsoft.com/office/drawing/2010/main" val="0"/>
                      </a:ext>
                    </a:extLst>
                  </a:blip>
                  <a:srcRect l="491" r="491"/>
                  <a:stretch>
                    <a:fillRect/>
                  </a:stretch>
                </pic:blipFill>
                <pic:spPr>
                  <a:xfrm>
                    <a:off x="0" y="0"/>
                    <a:ext cx="1441450" cy="822325"/>
                  </a:xfrm>
                  <a:prstGeom prst="rect">
                    <a:avLst/>
                  </a:prstGeom>
                  <a:ln>
                    <a:noFill/>
                  </a:ln>
                </pic:spPr>
              </pic:pic>
            </a:graphicData>
          </a:graphic>
        </wp:anchor>
      </w:drawing>
    </w:r>
  </w:p>
  <w:p w14:paraId="40CC2777">
    <w:pPr>
      <w:tabs>
        <w:tab w:val="center" w:pos="4680"/>
        <w:tab w:val="right" w:pos="9360"/>
      </w:tabs>
      <w:jc w:val="right"/>
      <w:rPr>
        <w:b/>
        <w:color w:val="1F497D"/>
        <w:sz w:val="32"/>
        <w:szCs w:val="32"/>
      </w:rPr>
    </w:pPr>
    <w:r>
      <w:rPr>
        <w:b/>
        <w:color w:val="1F497D"/>
        <w:sz w:val="32"/>
        <w:szCs w:val="32"/>
      </w:rPr>
      <w:t>Method Article Template</w:t>
    </w:r>
  </w:p>
  <w:p w14:paraId="2946A427">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5584"/>
    <w:multiLevelType w:val="multilevel"/>
    <w:tmpl w:val="117F5584"/>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nsid w:val="35995B7B"/>
    <w:multiLevelType w:val="multilevel"/>
    <w:tmpl w:val="35995B7B"/>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4D3D6A78"/>
    <w:multiLevelType w:val="multilevel"/>
    <w:tmpl w:val="4D3D6A78"/>
    <w:lvl w:ilvl="0" w:tentative="0">
      <w:start w:val="3"/>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6ACF58D3"/>
    <w:multiLevelType w:val="multilevel"/>
    <w:tmpl w:val="6ACF58D3"/>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6DBE710F"/>
    <w:multiLevelType w:val="multilevel"/>
    <w:tmpl w:val="6DBE710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C121CCD"/>
    <w:multiLevelType w:val="multilevel"/>
    <w:tmpl w:val="7C121CCD"/>
    <w:lvl w:ilvl="0" w:tentative="0">
      <w:start w:val="1"/>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141FE"/>
    <w:rsid w:val="000142E5"/>
    <w:rsid w:val="00025F41"/>
    <w:rsid w:val="000264AA"/>
    <w:rsid w:val="00033E56"/>
    <w:rsid w:val="00034C6D"/>
    <w:rsid w:val="0004355D"/>
    <w:rsid w:val="00045EB0"/>
    <w:rsid w:val="000517F3"/>
    <w:rsid w:val="00056916"/>
    <w:rsid w:val="00061E0E"/>
    <w:rsid w:val="00066381"/>
    <w:rsid w:val="00073517"/>
    <w:rsid w:val="0007506F"/>
    <w:rsid w:val="00076815"/>
    <w:rsid w:val="0007745B"/>
    <w:rsid w:val="00082A5F"/>
    <w:rsid w:val="000844B8"/>
    <w:rsid w:val="00093979"/>
    <w:rsid w:val="000958AF"/>
    <w:rsid w:val="000A00A8"/>
    <w:rsid w:val="000A45D1"/>
    <w:rsid w:val="000A57E7"/>
    <w:rsid w:val="000B361D"/>
    <w:rsid w:val="000B41B6"/>
    <w:rsid w:val="000B5026"/>
    <w:rsid w:val="000C50B2"/>
    <w:rsid w:val="000D5822"/>
    <w:rsid w:val="000E2ABF"/>
    <w:rsid w:val="000E3F21"/>
    <w:rsid w:val="000E4C51"/>
    <w:rsid w:val="000E7958"/>
    <w:rsid w:val="001035E5"/>
    <w:rsid w:val="00106196"/>
    <w:rsid w:val="0011086B"/>
    <w:rsid w:val="0013030C"/>
    <w:rsid w:val="00134197"/>
    <w:rsid w:val="001355F1"/>
    <w:rsid w:val="001372B4"/>
    <w:rsid w:val="00143D21"/>
    <w:rsid w:val="00144D33"/>
    <w:rsid w:val="00145CF2"/>
    <w:rsid w:val="00147CBA"/>
    <w:rsid w:val="00152250"/>
    <w:rsid w:val="001642EA"/>
    <w:rsid w:val="00164C5D"/>
    <w:rsid w:val="00171C1B"/>
    <w:rsid w:val="00172740"/>
    <w:rsid w:val="001742D6"/>
    <w:rsid w:val="00194C04"/>
    <w:rsid w:val="001959A2"/>
    <w:rsid w:val="001A178C"/>
    <w:rsid w:val="001A32D8"/>
    <w:rsid w:val="001C4844"/>
    <w:rsid w:val="001D2F22"/>
    <w:rsid w:val="001D4848"/>
    <w:rsid w:val="001D4FAD"/>
    <w:rsid w:val="001E0976"/>
    <w:rsid w:val="002004D8"/>
    <w:rsid w:val="00210DD6"/>
    <w:rsid w:val="00225ADC"/>
    <w:rsid w:val="0022788A"/>
    <w:rsid w:val="0023296D"/>
    <w:rsid w:val="00237056"/>
    <w:rsid w:val="00240A85"/>
    <w:rsid w:val="0024545B"/>
    <w:rsid w:val="00246411"/>
    <w:rsid w:val="002465CD"/>
    <w:rsid w:val="002469AA"/>
    <w:rsid w:val="00252077"/>
    <w:rsid w:val="002526FE"/>
    <w:rsid w:val="00265B0B"/>
    <w:rsid w:val="00267E1C"/>
    <w:rsid w:val="0028503F"/>
    <w:rsid w:val="002908D4"/>
    <w:rsid w:val="002961C2"/>
    <w:rsid w:val="002A2091"/>
    <w:rsid w:val="002A70E6"/>
    <w:rsid w:val="002A7765"/>
    <w:rsid w:val="002C7D8C"/>
    <w:rsid w:val="002D42B0"/>
    <w:rsid w:val="002D46BF"/>
    <w:rsid w:val="002E1D4F"/>
    <w:rsid w:val="0031658E"/>
    <w:rsid w:val="003266D7"/>
    <w:rsid w:val="003467A8"/>
    <w:rsid w:val="00351087"/>
    <w:rsid w:val="0035483C"/>
    <w:rsid w:val="00366CE7"/>
    <w:rsid w:val="003777B2"/>
    <w:rsid w:val="00386891"/>
    <w:rsid w:val="003A5BCA"/>
    <w:rsid w:val="003D23DE"/>
    <w:rsid w:val="003F23DE"/>
    <w:rsid w:val="003F2A24"/>
    <w:rsid w:val="004028C8"/>
    <w:rsid w:val="0040579A"/>
    <w:rsid w:val="004152A9"/>
    <w:rsid w:val="00483AC2"/>
    <w:rsid w:val="00485A43"/>
    <w:rsid w:val="00485F94"/>
    <w:rsid w:val="004A4012"/>
    <w:rsid w:val="004B4E43"/>
    <w:rsid w:val="004C0985"/>
    <w:rsid w:val="004D362E"/>
    <w:rsid w:val="004D7F9A"/>
    <w:rsid w:val="004F399F"/>
    <w:rsid w:val="004F615D"/>
    <w:rsid w:val="00501C4E"/>
    <w:rsid w:val="00505551"/>
    <w:rsid w:val="00511261"/>
    <w:rsid w:val="00512B39"/>
    <w:rsid w:val="00513CCF"/>
    <w:rsid w:val="005158FE"/>
    <w:rsid w:val="0051763F"/>
    <w:rsid w:val="00522794"/>
    <w:rsid w:val="00522DBF"/>
    <w:rsid w:val="00525EB6"/>
    <w:rsid w:val="00540ABD"/>
    <w:rsid w:val="005465CE"/>
    <w:rsid w:val="00551D82"/>
    <w:rsid w:val="005742A0"/>
    <w:rsid w:val="00575E55"/>
    <w:rsid w:val="00585FA3"/>
    <w:rsid w:val="0059294F"/>
    <w:rsid w:val="00594726"/>
    <w:rsid w:val="00595430"/>
    <w:rsid w:val="005A0BD0"/>
    <w:rsid w:val="005A3DAC"/>
    <w:rsid w:val="005B07FA"/>
    <w:rsid w:val="005B18A4"/>
    <w:rsid w:val="005B41A2"/>
    <w:rsid w:val="005E1FD6"/>
    <w:rsid w:val="005F0598"/>
    <w:rsid w:val="005F6758"/>
    <w:rsid w:val="00605433"/>
    <w:rsid w:val="00606E69"/>
    <w:rsid w:val="006070A7"/>
    <w:rsid w:val="00615035"/>
    <w:rsid w:val="00615CD3"/>
    <w:rsid w:val="00622578"/>
    <w:rsid w:val="00624EA5"/>
    <w:rsid w:val="006317A5"/>
    <w:rsid w:val="00632DE5"/>
    <w:rsid w:val="00634672"/>
    <w:rsid w:val="0065016A"/>
    <w:rsid w:val="006505BE"/>
    <w:rsid w:val="00661210"/>
    <w:rsid w:val="006657D0"/>
    <w:rsid w:val="006755EE"/>
    <w:rsid w:val="00676B3C"/>
    <w:rsid w:val="00682278"/>
    <w:rsid w:val="006824BF"/>
    <w:rsid w:val="00697E55"/>
    <w:rsid w:val="006A39FD"/>
    <w:rsid w:val="006B0479"/>
    <w:rsid w:val="006B2760"/>
    <w:rsid w:val="006B7BF4"/>
    <w:rsid w:val="006D0F24"/>
    <w:rsid w:val="006E27C2"/>
    <w:rsid w:val="006E4797"/>
    <w:rsid w:val="0070444F"/>
    <w:rsid w:val="00714BE0"/>
    <w:rsid w:val="007203AA"/>
    <w:rsid w:val="00730598"/>
    <w:rsid w:val="00736371"/>
    <w:rsid w:val="007369BE"/>
    <w:rsid w:val="007750D9"/>
    <w:rsid w:val="00780B66"/>
    <w:rsid w:val="00792EB7"/>
    <w:rsid w:val="00794040"/>
    <w:rsid w:val="007A034E"/>
    <w:rsid w:val="007A44DF"/>
    <w:rsid w:val="007B32EF"/>
    <w:rsid w:val="007B5F2C"/>
    <w:rsid w:val="007C30E2"/>
    <w:rsid w:val="007C6DA0"/>
    <w:rsid w:val="007D1E93"/>
    <w:rsid w:val="007D6545"/>
    <w:rsid w:val="007D6BE0"/>
    <w:rsid w:val="007E30F0"/>
    <w:rsid w:val="007F0710"/>
    <w:rsid w:val="007F2030"/>
    <w:rsid w:val="007F5A13"/>
    <w:rsid w:val="007F779C"/>
    <w:rsid w:val="0080650E"/>
    <w:rsid w:val="008071D8"/>
    <w:rsid w:val="00814A9A"/>
    <w:rsid w:val="008461C6"/>
    <w:rsid w:val="00857B5B"/>
    <w:rsid w:val="008658F3"/>
    <w:rsid w:val="00867950"/>
    <w:rsid w:val="008740E8"/>
    <w:rsid w:val="00874589"/>
    <w:rsid w:val="0088519A"/>
    <w:rsid w:val="00893DA4"/>
    <w:rsid w:val="008A4859"/>
    <w:rsid w:val="008B2D50"/>
    <w:rsid w:val="008B35D2"/>
    <w:rsid w:val="008B6235"/>
    <w:rsid w:val="008D7C0A"/>
    <w:rsid w:val="008E6411"/>
    <w:rsid w:val="008F1D7E"/>
    <w:rsid w:val="008F7A71"/>
    <w:rsid w:val="00901AE4"/>
    <w:rsid w:val="009223EA"/>
    <w:rsid w:val="00936A64"/>
    <w:rsid w:val="00944D52"/>
    <w:rsid w:val="00947CDB"/>
    <w:rsid w:val="009577C9"/>
    <w:rsid w:val="00963AD3"/>
    <w:rsid w:val="00967E1D"/>
    <w:rsid w:val="00970C80"/>
    <w:rsid w:val="009826FF"/>
    <w:rsid w:val="009839BE"/>
    <w:rsid w:val="00992077"/>
    <w:rsid w:val="00994F50"/>
    <w:rsid w:val="00995D45"/>
    <w:rsid w:val="009B1372"/>
    <w:rsid w:val="009B47D5"/>
    <w:rsid w:val="009C5A65"/>
    <w:rsid w:val="009D0E55"/>
    <w:rsid w:val="009D5BA9"/>
    <w:rsid w:val="009E3AB5"/>
    <w:rsid w:val="00A021B3"/>
    <w:rsid w:val="00A06B63"/>
    <w:rsid w:val="00A1168D"/>
    <w:rsid w:val="00A12213"/>
    <w:rsid w:val="00A1684A"/>
    <w:rsid w:val="00A30ECA"/>
    <w:rsid w:val="00A37558"/>
    <w:rsid w:val="00A379C7"/>
    <w:rsid w:val="00A4195F"/>
    <w:rsid w:val="00A52DFB"/>
    <w:rsid w:val="00A53158"/>
    <w:rsid w:val="00A576BD"/>
    <w:rsid w:val="00A73125"/>
    <w:rsid w:val="00A73EB0"/>
    <w:rsid w:val="00A81AE7"/>
    <w:rsid w:val="00A973F5"/>
    <w:rsid w:val="00AA06BE"/>
    <w:rsid w:val="00AA1E41"/>
    <w:rsid w:val="00AA1EDD"/>
    <w:rsid w:val="00B1433B"/>
    <w:rsid w:val="00B154E6"/>
    <w:rsid w:val="00B20A16"/>
    <w:rsid w:val="00B51729"/>
    <w:rsid w:val="00B555FD"/>
    <w:rsid w:val="00B65845"/>
    <w:rsid w:val="00B73597"/>
    <w:rsid w:val="00B74D63"/>
    <w:rsid w:val="00B9088B"/>
    <w:rsid w:val="00BC26FE"/>
    <w:rsid w:val="00BC5222"/>
    <w:rsid w:val="00BC7838"/>
    <w:rsid w:val="00BC7A17"/>
    <w:rsid w:val="00BE22A2"/>
    <w:rsid w:val="00BF0583"/>
    <w:rsid w:val="00C03FF6"/>
    <w:rsid w:val="00C06246"/>
    <w:rsid w:val="00C11784"/>
    <w:rsid w:val="00C11D93"/>
    <w:rsid w:val="00C235B8"/>
    <w:rsid w:val="00C25AAA"/>
    <w:rsid w:val="00C27C71"/>
    <w:rsid w:val="00C40238"/>
    <w:rsid w:val="00C40BC1"/>
    <w:rsid w:val="00C53BB5"/>
    <w:rsid w:val="00C550F3"/>
    <w:rsid w:val="00C652D8"/>
    <w:rsid w:val="00CA28D9"/>
    <w:rsid w:val="00CA71D6"/>
    <w:rsid w:val="00CB1713"/>
    <w:rsid w:val="00CE6B38"/>
    <w:rsid w:val="00CE7EB9"/>
    <w:rsid w:val="00CF6B4F"/>
    <w:rsid w:val="00D016B4"/>
    <w:rsid w:val="00D07A90"/>
    <w:rsid w:val="00D166E8"/>
    <w:rsid w:val="00D22F5F"/>
    <w:rsid w:val="00D3358E"/>
    <w:rsid w:val="00D54166"/>
    <w:rsid w:val="00D62A69"/>
    <w:rsid w:val="00D65DD8"/>
    <w:rsid w:val="00D66FA3"/>
    <w:rsid w:val="00D82F5B"/>
    <w:rsid w:val="00D959E7"/>
    <w:rsid w:val="00D95AA3"/>
    <w:rsid w:val="00D9605B"/>
    <w:rsid w:val="00D9718E"/>
    <w:rsid w:val="00DA4EF5"/>
    <w:rsid w:val="00DD0D2A"/>
    <w:rsid w:val="00DD1EB2"/>
    <w:rsid w:val="00DE330F"/>
    <w:rsid w:val="00DE4C0B"/>
    <w:rsid w:val="00E00AF3"/>
    <w:rsid w:val="00E05032"/>
    <w:rsid w:val="00E063F7"/>
    <w:rsid w:val="00E165F0"/>
    <w:rsid w:val="00E2091B"/>
    <w:rsid w:val="00E401D5"/>
    <w:rsid w:val="00E46597"/>
    <w:rsid w:val="00E47F66"/>
    <w:rsid w:val="00E60907"/>
    <w:rsid w:val="00E8723E"/>
    <w:rsid w:val="00E87DD8"/>
    <w:rsid w:val="00EB1E68"/>
    <w:rsid w:val="00EB4AD7"/>
    <w:rsid w:val="00EC0649"/>
    <w:rsid w:val="00EC1BC6"/>
    <w:rsid w:val="00ED1B29"/>
    <w:rsid w:val="00ED498C"/>
    <w:rsid w:val="00EE687B"/>
    <w:rsid w:val="00EF5BAF"/>
    <w:rsid w:val="00F0268D"/>
    <w:rsid w:val="00F143C6"/>
    <w:rsid w:val="00F24C08"/>
    <w:rsid w:val="00F3213F"/>
    <w:rsid w:val="00F4424F"/>
    <w:rsid w:val="00F44A15"/>
    <w:rsid w:val="00F57A79"/>
    <w:rsid w:val="00F6170A"/>
    <w:rsid w:val="00F66527"/>
    <w:rsid w:val="00F72213"/>
    <w:rsid w:val="00F754E2"/>
    <w:rsid w:val="00F759D7"/>
    <w:rsid w:val="00F76B55"/>
    <w:rsid w:val="00F85B34"/>
    <w:rsid w:val="00F86C1D"/>
    <w:rsid w:val="00FA0C76"/>
    <w:rsid w:val="00FA6C9C"/>
    <w:rsid w:val="00FC0C8C"/>
    <w:rsid w:val="00FD3359"/>
    <w:rsid w:val="00FF0D66"/>
    <w:rsid w:val="00FF4D4F"/>
    <w:rsid w:val="0B79237D"/>
    <w:rsid w:val="0C104C1F"/>
    <w:rsid w:val="0C8907AA"/>
    <w:rsid w:val="0E1F739B"/>
    <w:rsid w:val="0FFB3F6A"/>
    <w:rsid w:val="11A32C15"/>
    <w:rsid w:val="11C63D00"/>
    <w:rsid w:val="135456FD"/>
    <w:rsid w:val="15E76ACB"/>
    <w:rsid w:val="1DFD083E"/>
    <w:rsid w:val="20B35E4D"/>
    <w:rsid w:val="22805DCE"/>
    <w:rsid w:val="25B371F8"/>
    <w:rsid w:val="281762FB"/>
    <w:rsid w:val="2A091C60"/>
    <w:rsid w:val="2A356934"/>
    <w:rsid w:val="2E100F1A"/>
    <w:rsid w:val="2F8323DE"/>
    <w:rsid w:val="35AB313F"/>
    <w:rsid w:val="35D22B2F"/>
    <w:rsid w:val="373A6E70"/>
    <w:rsid w:val="3CD70CBD"/>
    <w:rsid w:val="4021358D"/>
    <w:rsid w:val="47B72F23"/>
    <w:rsid w:val="48311232"/>
    <w:rsid w:val="49971940"/>
    <w:rsid w:val="4B0C4228"/>
    <w:rsid w:val="4BBD5522"/>
    <w:rsid w:val="4FC67D5B"/>
    <w:rsid w:val="507C4CF5"/>
    <w:rsid w:val="525F1EF8"/>
    <w:rsid w:val="5453333F"/>
    <w:rsid w:val="594810D7"/>
    <w:rsid w:val="5D705294"/>
    <w:rsid w:val="5E0474D8"/>
    <w:rsid w:val="648064E0"/>
    <w:rsid w:val="6CBB01CD"/>
    <w:rsid w:val="6DF3526A"/>
    <w:rsid w:val="748C3B60"/>
    <w:rsid w:val="77B4381F"/>
    <w:rsid w:val="79F4094C"/>
    <w:rsid w:val="7F920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6"/>
    <w:unhideWhenUsed/>
    <w:qFormat/>
    <w:uiPriority w:val="99"/>
    <w:rPr>
      <w:sz w:val="20"/>
      <w:szCs w:val="20"/>
    </w:rPr>
  </w:style>
  <w:style w:type="paragraph" w:styleId="9">
    <w:name w:val="footer"/>
    <w:basedOn w:val="1"/>
    <w:link w:val="23"/>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qFormat/>
    <w:uiPriority w:val="0"/>
    <w:pPr>
      <w:spacing w:beforeAutospacing="1" w:afterAutospacing="1"/>
      <w:jc w:val="left"/>
    </w:pPr>
    <w:rPr>
      <w:rFonts w:cs="Times New Roman"/>
      <w:lang w:eastAsia="zh-CN"/>
    </w:rPr>
  </w:style>
  <w:style w:type="paragraph" w:styleId="12">
    <w:name w:val="Title"/>
    <w:basedOn w:val="1"/>
    <w:next w:val="1"/>
    <w:qFormat/>
    <w:uiPriority w:val="10"/>
    <w:pPr>
      <w:keepNext/>
      <w:keepLines/>
      <w:spacing w:before="480" w:after="120"/>
    </w:pPr>
    <w:rPr>
      <w:b/>
      <w:sz w:val="72"/>
      <w:szCs w:val="72"/>
    </w:rPr>
  </w:style>
  <w:style w:type="paragraph" w:styleId="13">
    <w:name w:val="annotation subject"/>
    <w:basedOn w:val="8"/>
    <w:next w:val="8"/>
    <w:link w:val="27"/>
    <w:semiHidden/>
    <w:unhideWhenUsed/>
    <w:qFormat/>
    <w:uiPriority w:val="99"/>
    <w:rPr>
      <w:b/>
      <w:bCs/>
    </w:rPr>
  </w:style>
  <w:style w:type="character" w:styleId="16">
    <w:name w:val="Strong"/>
    <w:basedOn w:val="15"/>
    <w:qFormat/>
    <w:uiPriority w:val="0"/>
    <w:rPr>
      <w:b/>
    </w:rPr>
  </w:style>
  <w:style w:type="character" w:styleId="17">
    <w:name w:val="FollowedHyperlink"/>
    <w:basedOn w:val="15"/>
    <w:semiHidden/>
    <w:unhideWhenUsed/>
    <w:qFormat/>
    <w:uiPriority w:val="99"/>
    <w:rPr>
      <w:color w:val="800080" w:themeColor="followedHyperlink"/>
      <w:u w:val="single"/>
      <w14:textFill>
        <w14:solidFill>
          <w14:schemeClr w14:val="folHlink"/>
        </w14:solidFill>
      </w14:textFill>
    </w:rPr>
  </w:style>
  <w:style w:type="character" w:styleId="18">
    <w:name w:val="Emphasis"/>
    <w:basedOn w:val="15"/>
    <w:qFormat/>
    <w:uiPriority w:val="0"/>
    <w:rPr>
      <w:i/>
    </w:rPr>
  </w:style>
  <w:style w:type="character" w:styleId="19">
    <w:name w:val="line number"/>
    <w:basedOn w:val="15"/>
    <w:semiHidden/>
    <w:unhideWhenUsed/>
    <w:qFormat/>
    <w:uiPriority w:val="99"/>
  </w:style>
  <w:style w:type="character" w:styleId="20">
    <w:name w:val="Hyperlink"/>
    <w:basedOn w:val="15"/>
    <w:unhideWhenUsed/>
    <w:qFormat/>
    <w:uiPriority w:val="99"/>
    <w:rPr>
      <w:color w:val="0000FF" w:themeColor="hyperlink"/>
      <w:u w:val="single"/>
      <w14:textFill>
        <w14:solidFill>
          <w14:schemeClr w14:val="hlink"/>
        </w14:solidFill>
      </w14:textFill>
    </w:rPr>
  </w:style>
  <w:style w:type="character" w:styleId="21">
    <w:name w:val="annotation reference"/>
    <w:basedOn w:val="15"/>
    <w:semiHidden/>
    <w:unhideWhenUsed/>
    <w:qFormat/>
    <w:uiPriority w:val="99"/>
    <w:rPr>
      <w:sz w:val="16"/>
      <w:szCs w:val="16"/>
    </w:rPr>
  </w:style>
  <w:style w:type="character" w:customStyle="1" w:styleId="22">
    <w:name w:val="Unresolved Mention1"/>
    <w:basedOn w:val="15"/>
    <w:semiHidden/>
    <w:unhideWhenUsed/>
    <w:qFormat/>
    <w:uiPriority w:val="99"/>
    <w:rPr>
      <w:color w:val="605E5C"/>
      <w:shd w:val="clear" w:color="auto" w:fill="E1DFDD"/>
    </w:rPr>
  </w:style>
  <w:style w:type="character" w:customStyle="1" w:styleId="23">
    <w:name w:val="Footer Char"/>
    <w:basedOn w:val="15"/>
    <w:link w:val="9"/>
    <w:qFormat/>
    <w:uiPriority w:val="99"/>
  </w:style>
  <w:style w:type="paragraph" w:customStyle="1" w:styleId="24">
    <w:name w:val="Revision1"/>
    <w:hidden/>
    <w:semiHidden/>
    <w:qFormat/>
    <w:uiPriority w:val="99"/>
    <w:rPr>
      <w:rFonts w:ascii="Calibri" w:hAnsi="Calibri" w:eastAsia="Calibri" w:cs="Calibri"/>
      <w:sz w:val="24"/>
      <w:szCs w:val="24"/>
      <w:lang w:val="en-US" w:eastAsia="en-US" w:bidi="ar-SA"/>
    </w:rPr>
  </w:style>
  <w:style w:type="paragraph" w:styleId="25">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6">
    <w:name w:val="Comment Text Char"/>
    <w:basedOn w:val="15"/>
    <w:link w:val="8"/>
    <w:qFormat/>
    <w:uiPriority w:val="99"/>
    <w:rPr>
      <w:sz w:val="20"/>
      <w:szCs w:val="20"/>
    </w:rPr>
  </w:style>
  <w:style w:type="character" w:customStyle="1" w:styleId="27">
    <w:name w:val="Comment Subject Char"/>
    <w:basedOn w:val="26"/>
    <w:link w:val="13"/>
    <w:semiHidden/>
    <w:qFormat/>
    <w:uiPriority w:val="99"/>
    <w:rPr>
      <w:b/>
      <w:bCs/>
      <w:sz w:val="20"/>
      <w:szCs w:val="20"/>
    </w:rPr>
  </w:style>
  <w:style w:type="paragraph" w:customStyle="1" w:styleId="28">
    <w:name w:val="EndNote Bibliography"/>
    <w:qFormat/>
    <w:uiPriority w:val="0"/>
    <w:pPr>
      <w:jc w:val="both"/>
    </w:pPr>
    <w:rPr>
      <w:rFonts w:ascii="Calibri" w:hAnsi="Calibri" w:cs="Calibri" w:eastAsiaTheme="minorEastAsia"/>
      <w:kern w:val="2"/>
      <w:szCs w:val="24"/>
      <w:lang w:val="en-US" w:eastAsia="zh-CN" w:bidi="ar-SA"/>
    </w:rPr>
  </w:style>
  <w:style w:type="paragraph" w:customStyle="1" w:styleId="29">
    <w:name w:val="Revision2"/>
    <w:hidden/>
    <w:unhideWhenUsed/>
    <w:qFormat/>
    <w:uiPriority w:val="99"/>
    <w:rPr>
      <w:rFonts w:ascii="Calibri" w:hAnsi="Calibri" w:eastAsia="Calibri" w:cs="Calibri"/>
      <w:sz w:val="24"/>
      <w:szCs w:val="24"/>
      <w:lang w:val="en-US" w:eastAsia="en-US" w:bidi="ar-SA"/>
    </w:rPr>
  </w:style>
  <w:style w:type="paragraph" w:customStyle="1" w:styleId="30">
    <w:name w:val="Revision"/>
    <w:hidden/>
    <w:unhideWhenUsed/>
    <w:qFormat/>
    <w:uiPriority w:val="99"/>
    <w:rPr>
      <w:rFonts w:ascii="Calibri" w:hAnsi="Calibri" w:eastAsia="Calibri" w:cs="Calibri"/>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C6705-BFA3-4A55-8BD7-EBFCA4A24D18}">
  <ds:schemaRefs/>
</ds:datastoreItem>
</file>

<file path=docProps/app.xml><?xml version="1.0" encoding="utf-8"?>
<Properties xmlns="http://schemas.openxmlformats.org/officeDocument/2006/extended-properties" xmlns:vt="http://schemas.openxmlformats.org/officeDocument/2006/docPropsVTypes">
  <Template>Normal</Template>
  <Pages>18</Pages>
  <Words>3976</Words>
  <Characters>24201</Characters>
  <Lines>532</Lines>
  <Paragraphs>149</Paragraphs>
  <TotalTime>35</TotalTime>
  <ScaleCrop>false</ScaleCrop>
  <LinksUpToDate>false</LinksUpToDate>
  <CharactersWithSpaces>28008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2026-04-16T17:42:00Z</dcterms:created>
  <dcterms:modified xsi:type="dcterms:W3CDTF">2026-04-24T09:26:49Z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1A2176FFEF6346009B3C5430A28244DA_13</vt:lpwstr>
  </property>
  <property fmtid="{D5CDD505-2E9C-101B-9397-08002B2CF9AE}" pid="4" name="KSOTemplateDocerSaveRecord">
    <vt:lpwstr>eyJoZGlkIjoiODViY2JkMjU3NGYzZTEwMzZmMGFkZWViYmNkYWU3NDIiLCJ1c2VySWQiOiIxMjYxNDUyNTI5In0=</vt:lpwstr>
  </property>
  <property fmtid="{D5CDD505-2E9C-101B-9397-08002B2CF9AE}" pid="5" name="GrammarlyDocumentId">
    <vt:lpwstr>5cc933e0-15e7-48e1-84e9-f0a2afbdccb3</vt:lpwstr>
  </property>
</Properties>
</file>