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EADDC">
      <w:r>
        <w:rPr>
          <w:b/>
        </w:rPr>
        <w:t>TITLE:</w:t>
      </w:r>
      <w:r>
        <w:t xml:space="preserve"> </w:t>
      </w:r>
    </w:p>
    <w:p w14:paraId="7FDD52C0">
      <w:pPr>
        <w:rPr>
          <w:rFonts w:eastAsiaTheme="minorEastAsia"/>
          <w:lang w:eastAsia="zh-CN"/>
        </w:rPr>
      </w:pPr>
      <w:r>
        <w:rPr>
          <w:rFonts w:eastAsiaTheme="minorEastAsia"/>
          <w:lang w:eastAsia="zh-CN"/>
        </w:rPr>
        <w:t xml:space="preserve">Enhancement of Intestinal Recombinant Adeno-Associated Virus Absorption by a Traditional Chinese Medicine Formula </w:t>
      </w:r>
    </w:p>
    <w:p w14:paraId="55A459AD">
      <w:pPr>
        <w:rPr>
          <w:rFonts w:eastAsiaTheme="minorEastAsia"/>
          <w:lang w:eastAsia="zh-CN"/>
        </w:rPr>
      </w:pPr>
    </w:p>
    <w:p w14:paraId="2E3EADDF">
      <w:r>
        <w:rPr>
          <w:b/>
        </w:rPr>
        <w:t xml:space="preserve">AUTHORS AND AFFILIATIONS: </w:t>
      </w:r>
    </w:p>
    <w:p w14:paraId="794B4183">
      <w:pPr>
        <w:rPr>
          <w:rFonts w:eastAsiaTheme="minorEastAsia"/>
          <w:vertAlign w:val="superscript"/>
          <w:lang w:eastAsia="zh-CN"/>
        </w:rPr>
      </w:pPr>
      <w:r>
        <w:rPr>
          <w:rFonts w:hint="eastAsia" w:eastAsiaTheme="minorEastAsia"/>
          <w:lang w:eastAsia="zh-CN"/>
        </w:rPr>
        <w:t>Enze Cui</w:t>
      </w:r>
      <w:r>
        <w:rPr>
          <w:rFonts w:eastAsiaTheme="minorEastAsia"/>
          <w:vertAlign w:val="superscript"/>
          <w:lang w:eastAsia="zh-CN"/>
        </w:rPr>
        <w:t>1,2*</w:t>
      </w:r>
      <w:r>
        <w:rPr>
          <w:rFonts w:hint="eastAsia" w:eastAsiaTheme="minorEastAsia"/>
          <w:lang w:eastAsia="zh-CN"/>
        </w:rPr>
        <w:t>, Huawei Xu</w:t>
      </w:r>
      <w:r>
        <w:rPr>
          <w:rFonts w:eastAsiaTheme="minorEastAsia"/>
          <w:vertAlign w:val="superscript"/>
          <w:lang w:eastAsia="zh-CN"/>
        </w:rPr>
        <w:t>3*</w:t>
      </w:r>
      <w:r>
        <w:rPr>
          <w:rFonts w:hint="eastAsia" w:eastAsiaTheme="minorEastAsia"/>
          <w:lang w:eastAsia="zh-CN"/>
        </w:rPr>
        <w:t>, Jingjing Fang</w:t>
      </w:r>
      <w:r>
        <w:rPr>
          <w:rFonts w:eastAsiaTheme="minorEastAsia"/>
          <w:vertAlign w:val="superscript"/>
          <w:lang w:eastAsia="zh-CN"/>
        </w:rPr>
        <w:t>1,2</w:t>
      </w:r>
      <w:r>
        <w:rPr>
          <w:rFonts w:hint="eastAsia" w:eastAsiaTheme="minorEastAsia"/>
          <w:lang w:eastAsia="zh-CN"/>
        </w:rPr>
        <w:t>, Tianxiao Zheng</w:t>
      </w:r>
      <w:r>
        <w:rPr>
          <w:rFonts w:eastAsiaTheme="minorEastAsia"/>
          <w:vertAlign w:val="superscript"/>
          <w:lang w:eastAsia="zh-CN"/>
        </w:rPr>
        <w:t>1,2</w:t>
      </w:r>
      <w:r>
        <w:rPr>
          <w:rFonts w:hint="eastAsia" w:eastAsiaTheme="minorEastAsia"/>
          <w:lang w:eastAsia="zh-CN"/>
        </w:rPr>
        <w:t>, Ying Zhu</w:t>
      </w:r>
      <w:r>
        <w:rPr>
          <w:rFonts w:eastAsiaTheme="minorEastAsia"/>
          <w:vertAlign w:val="superscript"/>
          <w:lang w:eastAsia="zh-CN"/>
        </w:rPr>
        <w:t>1,2</w:t>
      </w:r>
      <w:r>
        <w:rPr>
          <w:rFonts w:hint="eastAsia" w:eastAsiaTheme="minorEastAsia"/>
          <w:lang w:eastAsia="zh-CN"/>
        </w:rPr>
        <w:t>, Huida Tong</w:t>
      </w:r>
      <w:r>
        <w:rPr>
          <w:rFonts w:eastAsiaTheme="minorEastAsia"/>
          <w:vertAlign w:val="superscript"/>
          <w:lang w:eastAsia="zh-CN"/>
        </w:rPr>
        <w:t>3</w:t>
      </w:r>
      <w:r>
        <w:rPr>
          <w:rFonts w:hint="eastAsia" w:eastAsiaTheme="minorEastAsia"/>
          <w:lang w:eastAsia="zh-CN"/>
        </w:rPr>
        <w:t>, Changquan Ling</w:t>
      </w:r>
      <w:r>
        <w:rPr>
          <w:rFonts w:eastAsiaTheme="minorEastAsia"/>
          <w:vertAlign w:val="superscript"/>
          <w:lang w:eastAsia="zh-CN"/>
        </w:rPr>
        <w:t>1,2#</w:t>
      </w:r>
      <w:r>
        <w:rPr>
          <w:rFonts w:hint="eastAsia" w:eastAsiaTheme="minorEastAsia"/>
          <w:lang w:eastAsia="zh-CN"/>
        </w:rPr>
        <w:t>, Chen Ling</w:t>
      </w:r>
      <w:r>
        <w:rPr>
          <w:rFonts w:eastAsiaTheme="minorEastAsia"/>
          <w:vertAlign w:val="superscript"/>
          <w:lang w:eastAsia="zh-CN"/>
        </w:rPr>
        <w:t>3,4,5#</w:t>
      </w:r>
    </w:p>
    <w:p w14:paraId="0FAC1108">
      <w:pPr>
        <w:rPr>
          <w:rFonts w:eastAsiaTheme="minorEastAsia"/>
          <w:lang w:eastAsia="zh-CN"/>
        </w:rPr>
      </w:pPr>
    </w:p>
    <w:p w14:paraId="6498563D">
      <w:pPr>
        <w:rPr>
          <w:rFonts w:eastAsia="宋体"/>
          <w:lang w:eastAsia="zh-CN"/>
        </w:rPr>
      </w:pPr>
      <w:r>
        <w:rPr>
          <w:rFonts w:eastAsia="宋体"/>
          <w:vertAlign w:val="superscript"/>
          <w:lang w:eastAsia="zh-CN"/>
        </w:rPr>
        <w:t>1</w:t>
      </w:r>
      <w:r>
        <w:rPr>
          <w:rFonts w:eastAsia="宋体"/>
          <w:lang w:eastAsia="zh-CN"/>
        </w:rPr>
        <w:t>Faculty of Traditional Chinese Medicine, Naval Medical University, Shanghai, China.</w:t>
      </w:r>
    </w:p>
    <w:p w14:paraId="06A07CE1">
      <w:pPr>
        <w:rPr>
          <w:rFonts w:eastAsia="宋体"/>
          <w:lang w:eastAsia="zh-CN"/>
        </w:rPr>
      </w:pPr>
      <w:r>
        <w:rPr>
          <w:rFonts w:eastAsia="宋体"/>
          <w:vertAlign w:val="superscript"/>
          <w:lang w:eastAsia="zh-CN"/>
        </w:rPr>
        <w:t>2</w:t>
      </w:r>
      <w:r>
        <w:rPr>
          <w:rFonts w:eastAsia="宋体"/>
          <w:lang w:eastAsia="zh-CN"/>
        </w:rPr>
        <w:t>Oncology Department of Traditional Chinese Medicine, Changhai Hospital, Naval Medical University, Shanghai, China.</w:t>
      </w:r>
    </w:p>
    <w:p w14:paraId="4B4BF0A2">
      <w:pPr>
        <w:rPr>
          <w:rFonts w:eastAsia="宋体"/>
          <w:lang w:eastAsia="zh-CN"/>
        </w:rPr>
      </w:pPr>
      <w:r>
        <w:rPr>
          <w:rFonts w:eastAsia="宋体"/>
          <w:vertAlign w:val="superscript"/>
          <w:lang w:eastAsia="zh-CN"/>
        </w:rPr>
        <w:t>3</w:t>
      </w:r>
      <w:r>
        <w:rPr>
          <w:rFonts w:eastAsia="宋体"/>
          <w:lang w:eastAsia="zh-CN"/>
        </w:rPr>
        <w:t>State Key Laboratory of Genetics and Development of Complex Phenotypes, School of Life Sciences, Zhongshan Hospital, Fudan University, Shanghai, China</w:t>
      </w:r>
      <w:r>
        <w:rPr>
          <w:rFonts w:hint="eastAsia" w:eastAsia="宋体"/>
          <w:lang w:eastAsia="zh-CN"/>
        </w:rPr>
        <w:t>.</w:t>
      </w:r>
    </w:p>
    <w:p w14:paraId="59AC2B03">
      <w:pPr>
        <w:rPr>
          <w:rFonts w:eastAsia="宋体"/>
          <w:lang w:eastAsia="zh-CN"/>
        </w:rPr>
      </w:pPr>
      <w:r>
        <w:rPr>
          <w:rFonts w:eastAsia="宋体"/>
          <w:vertAlign w:val="superscript"/>
          <w:lang w:eastAsia="zh-CN"/>
        </w:rPr>
        <w:t>4</w:t>
      </w:r>
      <w:r>
        <w:rPr>
          <w:rFonts w:eastAsia="宋体"/>
          <w:lang w:eastAsia="zh-CN"/>
        </w:rPr>
        <w:t>Shanghai Key Laboratory of Gene Editing and Cell Therapy for Rare Diseases, Engineering Research Center of Gene Technology (Ministry of Education), Fudan University, Shanghai, China</w:t>
      </w:r>
    </w:p>
    <w:p w14:paraId="5F890F20">
      <w:pPr>
        <w:rPr>
          <w:rFonts w:eastAsia="宋体"/>
          <w:lang w:eastAsia="zh-CN"/>
        </w:rPr>
      </w:pPr>
      <w:r>
        <w:rPr>
          <w:rFonts w:eastAsia="宋体"/>
          <w:vertAlign w:val="superscript"/>
          <w:lang w:eastAsia="zh-CN"/>
        </w:rPr>
        <w:t>5</w:t>
      </w:r>
      <w:r>
        <w:rPr>
          <w:rFonts w:eastAsia="宋体"/>
          <w:lang w:eastAsia="zh-CN"/>
        </w:rPr>
        <w:t>Institutes of Integrative Medicine, Fudan University, Shanghai, China</w:t>
      </w:r>
      <w:r>
        <w:rPr>
          <w:rFonts w:hint="eastAsia" w:eastAsia="宋体"/>
          <w:lang w:eastAsia="zh-CN"/>
        </w:rPr>
        <w:t>.</w:t>
      </w:r>
    </w:p>
    <w:p w14:paraId="270D34C7">
      <w:pPr>
        <w:rPr>
          <w:rFonts w:eastAsia="宋体"/>
          <w:lang w:eastAsia="zh-CN"/>
        </w:rPr>
      </w:pPr>
    </w:p>
    <w:p w14:paraId="2E3EADE4">
      <w:pPr>
        <w:rPr>
          <w:rFonts w:eastAsia="宋体"/>
          <w:lang w:eastAsia="zh-CN"/>
        </w:rPr>
      </w:pPr>
      <w:r>
        <w:rPr>
          <w:rFonts w:eastAsia="宋体"/>
          <w:lang w:eastAsia="zh-CN"/>
        </w:rPr>
        <w:t>*These authors contributed equally to this work.</w:t>
      </w:r>
    </w:p>
    <w:p w14:paraId="3F84D321">
      <w:pPr>
        <w:rPr>
          <w:rFonts w:eastAsia="宋体"/>
          <w:lang w:eastAsia="zh-CN"/>
        </w:rPr>
      </w:pPr>
    </w:p>
    <w:p w14:paraId="7C2422AD">
      <w:pPr>
        <w:rPr>
          <w:rFonts w:eastAsia="宋体"/>
          <w:b/>
          <w:bCs/>
          <w:lang w:eastAsia="zh-CN"/>
        </w:rPr>
      </w:pPr>
      <w:r>
        <w:rPr>
          <w:rFonts w:eastAsia="宋体"/>
          <w:b/>
          <w:bCs/>
          <w:lang w:eastAsia="zh-CN"/>
        </w:rPr>
        <w:t>E-mail addresses of co-authors:</w:t>
      </w:r>
    </w:p>
    <w:p w14:paraId="0D7C446C">
      <w:pPr>
        <w:widowControl/>
        <w:spacing w:line="210" w:lineRule="atLeast"/>
        <w:rPr>
          <w:rFonts w:eastAsia="Times New Roman"/>
          <w:color w:val="000033"/>
          <w:lang w:val="en-IN" w:eastAsia="en-IN"/>
        </w:rPr>
      </w:pPr>
      <w:r>
        <w:rPr>
          <w:rFonts w:hint="eastAsia" w:eastAsia="宋体"/>
          <w:lang w:eastAsia="zh-CN"/>
        </w:rPr>
        <w:t>Enze Cui</w:t>
      </w:r>
      <w:r>
        <w:rPr>
          <w:rFonts w:eastAsia="宋体"/>
          <w:lang w:eastAsia="zh-CN"/>
        </w:rPr>
        <w:tab/>
      </w:r>
      <w:r>
        <w:rPr>
          <w:rFonts w:eastAsia="宋体"/>
          <w:lang w:eastAsia="zh-CN"/>
        </w:rPr>
        <w:tab/>
      </w:r>
      <w:r>
        <w:rPr>
          <w:rFonts w:eastAsia="宋体"/>
          <w:lang w:eastAsia="zh-CN"/>
        </w:rPr>
        <w:tab/>
      </w:r>
      <w:r>
        <w:rPr>
          <w:rFonts w:hint="eastAsia" w:eastAsiaTheme="minorEastAsia"/>
          <w:color w:val="000033"/>
          <w:lang w:val="en-IN" w:eastAsia="zh-CN"/>
        </w:rPr>
        <w:t>17340700003</w:t>
      </w:r>
      <w:r>
        <w:rPr>
          <w:rFonts w:eastAsia="Times New Roman"/>
          <w:color w:val="000033"/>
          <w:lang w:val="en-IN" w:eastAsia="en-IN"/>
        </w:rPr>
        <w:t>@fudan.edu.cn</w:t>
      </w:r>
    </w:p>
    <w:p w14:paraId="31260661">
      <w:pPr>
        <w:rPr>
          <w:rFonts w:eastAsia="宋体"/>
          <w:vertAlign w:val="superscript"/>
          <w:lang w:eastAsia="zh-CN"/>
        </w:rPr>
      </w:pPr>
      <w:r>
        <w:rPr>
          <w:rFonts w:eastAsia="宋体"/>
          <w:lang w:eastAsia="zh-CN"/>
        </w:rPr>
        <w:t>Huawei Xu</w:t>
      </w:r>
      <w:r>
        <w:rPr>
          <w:rFonts w:eastAsia="宋体"/>
          <w:lang w:eastAsia="zh-CN"/>
        </w:rPr>
        <w:tab/>
      </w:r>
      <w:r>
        <w:rPr>
          <w:rFonts w:eastAsia="宋体"/>
          <w:lang w:eastAsia="zh-CN"/>
        </w:rPr>
        <w:tab/>
      </w:r>
      <w:r>
        <w:rPr>
          <w:rFonts w:eastAsia="宋体"/>
          <w:lang w:eastAsia="zh-CN"/>
        </w:rPr>
        <w:tab/>
      </w:r>
      <w:r>
        <w:rPr>
          <w:rFonts w:eastAsia="宋体"/>
          <w:lang w:eastAsia="zh-CN"/>
        </w:rPr>
        <w:t>25210700138@m.fudan.edu.cn</w:t>
      </w:r>
    </w:p>
    <w:p w14:paraId="6C5C3BA4">
      <w:pPr>
        <w:widowControl/>
        <w:spacing w:line="210" w:lineRule="atLeast"/>
        <w:rPr>
          <w:rFonts w:eastAsia="Times New Roman"/>
          <w:color w:val="000033"/>
          <w:lang w:val="en-IN" w:eastAsia="en-IN"/>
        </w:rPr>
      </w:pPr>
      <w:r>
        <w:rPr>
          <w:rFonts w:eastAsia="宋体"/>
          <w:lang w:eastAsia="zh-CN"/>
        </w:rPr>
        <w:t>Jingjing Fang</w:t>
      </w:r>
      <w:r>
        <w:rPr>
          <w:rFonts w:eastAsia="宋体"/>
          <w:lang w:eastAsia="zh-CN"/>
        </w:rPr>
        <w:tab/>
      </w:r>
      <w:r>
        <w:rPr>
          <w:rFonts w:eastAsia="宋体"/>
          <w:lang w:eastAsia="zh-CN"/>
        </w:rPr>
        <w:tab/>
      </w:r>
      <w:r>
        <w:rPr>
          <w:rFonts w:eastAsia="宋体"/>
          <w:lang w:eastAsia="zh-CN"/>
        </w:rPr>
        <w:tab/>
      </w:r>
      <w:r>
        <w:rPr>
          <w:color w:val="000033"/>
        </w:rPr>
        <w:t>jyj2018@smmu.edu.cn</w:t>
      </w:r>
    </w:p>
    <w:p w14:paraId="0F645AE2">
      <w:pPr>
        <w:widowControl/>
        <w:spacing w:line="210" w:lineRule="atLeast"/>
        <w:rPr>
          <w:rFonts w:eastAsiaTheme="minorEastAsia"/>
          <w:color w:val="000033"/>
          <w:lang w:val="en-IN" w:eastAsia="zh-CN"/>
        </w:rPr>
      </w:pPr>
      <w:r>
        <w:rPr>
          <w:rFonts w:eastAsia="宋体"/>
          <w:lang w:eastAsia="zh-CN"/>
        </w:rPr>
        <w:t>Tianxiao Zheng</w:t>
      </w:r>
      <w:r>
        <w:rPr>
          <w:rFonts w:eastAsia="宋体"/>
          <w:lang w:eastAsia="zh-CN"/>
        </w:rPr>
        <w:tab/>
      </w:r>
      <w:r>
        <w:rPr>
          <w:rFonts w:eastAsia="宋体"/>
          <w:lang w:eastAsia="zh-CN"/>
        </w:rPr>
        <w:tab/>
      </w:r>
      <w:r>
        <w:rPr>
          <w:rFonts w:eastAsia="Times New Roman"/>
          <w:color w:val="000033"/>
          <w:lang w:val="en-IN" w:eastAsia="en-IN"/>
        </w:rPr>
        <w:t>zhengtianxiao@smmu.edu.cn</w:t>
      </w:r>
    </w:p>
    <w:p w14:paraId="63D3FA4D">
      <w:pPr>
        <w:widowControl/>
        <w:spacing w:line="210" w:lineRule="atLeast"/>
        <w:rPr>
          <w:rFonts w:eastAsiaTheme="minorEastAsia"/>
          <w:color w:val="000033"/>
          <w:lang w:val="en-IN" w:eastAsia="zh-CN"/>
        </w:rPr>
      </w:pPr>
      <w:r>
        <w:rPr>
          <w:rFonts w:hint="eastAsia" w:eastAsiaTheme="minorEastAsia"/>
          <w:color w:val="000033"/>
          <w:lang w:val="en-IN" w:eastAsia="zh-CN"/>
        </w:rPr>
        <w:t>Ying Zhu</w:t>
      </w:r>
      <w:r>
        <w:rPr>
          <w:rFonts w:eastAsiaTheme="minorEastAsia"/>
          <w:color w:val="000033"/>
          <w:lang w:val="en-IN" w:eastAsia="zh-CN"/>
        </w:rPr>
        <w:tab/>
      </w:r>
      <w:r>
        <w:rPr>
          <w:rFonts w:eastAsiaTheme="minorEastAsia"/>
          <w:color w:val="000033"/>
          <w:lang w:val="en-IN" w:eastAsia="zh-CN"/>
        </w:rPr>
        <w:tab/>
      </w:r>
      <w:r>
        <w:rPr>
          <w:rFonts w:eastAsiaTheme="minorEastAsia"/>
          <w:color w:val="000033"/>
          <w:lang w:val="en-IN" w:eastAsia="zh-CN"/>
        </w:rPr>
        <w:tab/>
      </w:r>
      <w:r>
        <w:rPr>
          <w:rFonts w:eastAsiaTheme="minorEastAsia"/>
          <w:color w:val="000033"/>
          <w:lang w:val="en-IN" w:eastAsia="zh-CN"/>
        </w:rPr>
        <w:t>mengkh@smmu.edu.cn</w:t>
      </w:r>
    </w:p>
    <w:p w14:paraId="0CD7E819">
      <w:pPr>
        <w:widowControl/>
        <w:spacing w:line="210" w:lineRule="atLeast"/>
        <w:rPr>
          <w:rFonts w:eastAsiaTheme="minorEastAsia"/>
          <w:color w:val="000033"/>
          <w:lang w:val="en-IN" w:eastAsia="zh-CN"/>
        </w:rPr>
      </w:pPr>
      <w:r>
        <w:rPr>
          <w:rFonts w:hint="eastAsia" w:eastAsiaTheme="minorEastAsia"/>
          <w:color w:val="000033"/>
          <w:lang w:val="en-IN" w:eastAsia="zh-CN"/>
        </w:rPr>
        <w:t>Huida Tong</w:t>
      </w:r>
      <w:r>
        <w:rPr>
          <w:rFonts w:eastAsiaTheme="minorEastAsia"/>
          <w:color w:val="000033"/>
          <w:lang w:val="en-IN" w:eastAsia="zh-CN"/>
        </w:rPr>
        <w:tab/>
      </w:r>
      <w:r>
        <w:rPr>
          <w:rFonts w:eastAsiaTheme="minorEastAsia"/>
          <w:color w:val="000033"/>
          <w:lang w:val="en-IN" w:eastAsia="zh-CN"/>
        </w:rPr>
        <w:tab/>
      </w:r>
      <w:r>
        <w:rPr>
          <w:rFonts w:eastAsiaTheme="minorEastAsia"/>
          <w:color w:val="000033"/>
          <w:lang w:val="en-IN" w:eastAsia="zh-CN"/>
        </w:rPr>
        <w:tab/>
      </w:r>
      <w:r>
        <w:rPr>
          <w:rFonts w:eastAsiaTheme="minorEastAsia"/>
          <w:color w:val="000033"/>
          <w:lang w:val="en-IN" w:eastAsia="zh-CN"/>
        </w:rPr>
        <w:t>25110700097@m.fudan.edu.cn</w:t>
      </w:r>
    </w:p>
    <w:p w14:paraId="3DC5D5E4">
      <w:pPr>
        <w:rPr>
          <w:rFonts w:eastAsia="宋体"/>
          <w:vertAlign w:val="superscript"/>
          <w:lang w:eastAsia="zh-CN"/>
        </w:rPr>
      </w:pPr>
    </w:p>
    <w:p w14:paraId="4A06CE0E">
      <w:pPr>
        <w:rPr>
          <w:rFonts w:eastAsia="宋体"/>
          <w:b/>
          <w:bCs/>
          <w:lang w:eastAsia="zh-CN"/>
        </w:rPr>
      </w:pPr>
      <w:r>
        <w:rPr>
          <w:rFonts w:eastAsia="宋体"/>
          <w:b/>
          <w:bCs/>
          <w:lang w:eastAsia="zh-CN"/>
        </w:rPr>
        <w:t>Corresponding author:</w:t>
      </w:r>
    </w:p>
    <w:p w14:paraId="7983DFD7">
      <w:pPr>
        <w:rPr>
          <w:rFonts w:eastAsiaTheme="minorEastAsia"/>
          <w:color w:val="000033"/>
          <w:lang w:val="en-IN" w:eastAsia="zh-CN"/>
        </w:rPr>
      </w:pPr>
      <w:r>
        <w:rPr>
          <w:rFonts w:eastAsia="宋体"/>
          <w:lang w:eastAsia="zh-CN"/>
        </w:rPr>
        <w:t>Changquan Ling</w:t>
      </w:r>
      <w:r>
        <w:rPr>
          <w:rFonts w:eastAsia="宋体"/>
          <w:lang w:eastAsia="zh-CN"/>
        </w:rPr>
        <w:tab/>
      </w:r>
      <w:r>
        <w:rPr>
          <w:rFonts w:eastAsia="宋体"/>
          <w:lang w:eastAsia="zh-CN"/>
        </w:rPr>
        <w:tab/>
      </w:r>
      <w:r>
        <w:rPr>
          <w:rFonts w:eastAsia="宋体"/>
          <w:lang w:eastAsia="zh-CN"/>
        </w:rPr>
        <w:t>changquanling@smmu.edu.cn</w:t>
      </w:r>
      <w:r>
        <w:rPr>
          <w:rFonts w:eastAsia="宋体"/>
          <w:lang w:eastAsia="zh-CN"/>
        </w:rPr>
        <w:br w:type="textWrapping"/>
      </w:r>
      <w:r>
        <w:rPr>
          <w:rFonts w:eastAsia="宋体"/>
          <w:lang w:eastAsia="zh-CN"/>
        </w:rPr>
        <w:t>Chen Ling</w:t>
      </w:r>
      <w:r>
        <w:rPr>
          <w:rFonts w:eastAsia="宋体"/>
          <w:lang w:eastAsia="zh-CN"/>
        </w:rPr>
        <w:tab/>
      </w:r>
      <w:r>
        <w:rPr>
          <w:rFonts w:eastAsia="宋体"/>
          <w:lang w:eastAsia="zh-CN"/>
        </w:rPr>
        <w:tab/>
      </w:r>
      <w:r>
        <w:rPr>
          <w:rFonts w:eastAsia="宋体"/>
          <w:lang w:eastAsia="zh-CN"/>
        </w:rPr>
        <w:tab/>
      </w:r>
      <w:r>
        <w:rPr>
          <w:rFonts w:eastAsia="Times New Roman"/>
          <w:color w:val="000033"/>
          <w:lang w:val="en-IN" w:eastAsia="en-IN"/>
        </w:rPr>
        <w:t>lingchenchina@fudan.edu.cn</w:t>
      </w:r>
    </w:p>
    <w:p w14:paraId="48C68007">
      <w:pPr>
        <w:rPr>
          <w:rFonts w:eastAsiaTheme="minorEastAsia"/>
          <w:lang w:val="en-IN" w:eastAsia="zh-CN"/>
        </w:rPr>
      </w:pPr>
    </w:p>
    <w:p w14:paraId="2E3EADE5">
      <w:r>
        <w:rPr>
          <w:b/>
        </w:rPr>
        <w:t>SUMMARY:</w:t>
      </w:r>
      <w:r>
        <w:t xml:space="preserve"> </w:t>
      </w:r>
    </w:p>
    <w:p w14:paraId="7FDCA618">
      <w:r>
        <w:t xml:space="preserve">Here, we present a protocol for establishing an everted gut sac model to evaluate interactions between Traditional Chinese Medicine (TCM) and recombinant adeno-associated virus (rAAV) during intestinal absorption, providing an </w:t>
      </w:r>
      <w:r>
        <w:rPr>
          <w:i/>
          <w:iCs/>
        </w:rPr>
        <w:t>ex vivo</w:t>
      </w:r>
      <w:r>
        <w:t xml:space="preserve"> platform for optimizing oral gene delivery strategies.</w:t>
      </w:r>
    </w:p>
    <w:p w14:paraId="3300E938">
      <w:pPr>
        <w:rPr>
          <w:b/>
        </w:rPr>
      </w:pPr>
    </w:p>
    <w:p w14:paraId="2E3EADE8">
      <w:r>
        <w:rPr>
          <w:b/>
        </w:rPr>
        <w:t>ABSTRACT:</w:t>
      </w:r>
      <w:r>
        <w:t xml:space="preserve"> </w:t>
      </w:r>
    </w:p>
    <w:p w14:paraId="2E3EADE9">
      <w:pPr>
        <w:rPr>
          <w:rFonts w:eastAsiaTheme="minorEastAsia"/>
          <w:lang w:eastAsia="zh-CN"/>
        </w:rPr>
      </w:pPr>
      <w:r>
        <w:rPr>
          <w:rFonts w:hint="eastAsia" w:asciiTheme="majorHAnsi" w:hAnsiTheme="majorHAnsi" w:eastAsiaTheme="minorEastAsia" w:cstheme="majorHAnsi"/>
          <w:lang w:eastAsia="zh-CN"/>
        </w:rPr>
        <w:t>Oral recombinant adeno-associated virus (rAAV) delivery holds significant therapeutic potential but is limited by inefficient intestinal absorption. Traditional Chinese Medicine (TCM), widely used in oral formulations, represents a promising source of absorption enhancers</w:t>
      </w:r>
      <w:r>
        <w:rPr>
          <w:rFonts w:asciiTheme="majorHAnsi" w:hAnsiTheme="majorHAnsi" w:eastAsiaTheme="minorEastAsia" w:cstheme="majorHAnsi"/>
          <w:lang w:eastAsia="zh-CN"/>
        </w:rPr>
        <w:t>.</w:t>
      </w:r>
      <w:r>
        <w:rPr>
          <w:rFonts w:hint="eastAsia" w:asciiTheme="majorHAnsi" w:hAnsiTheme="majorHAnsi" w:eastAsiaTheme="minorEastAsia" w:cstheme="majorHAnsi"/>
          <w:lang w:eastAsia="zh-CN"/>
        </w:rPr>
        <w:t xml:space="preserve"> However, its potential effects on rAAV uptake and transduction remain largely unexplored. The everted gut sac model provides a quantitative </w:t>
      </w:r>
      <w:r>
        <w:rPr>
          <w:rFonts w:asciiTheme="majorHAnsi" w:hAnsiTheme="majorHAnsi" w:eastAsiaTheme="minorEastAsia" w:cstheme="majorHAnsi"/>
          <w:i/>
          <w:iCs/>
          <w:lang w:eastAsia="zh-CN"/>
        </w:rPr>
        <w:t>ex vivo</w:t>
      </w:r>
      <w:r>
        <w:rPr>
          <w:rFonts w:hint="eastAsia" w:asciiTheme="majorHAnsi" w:hAnsiTheme="majorHAnsi" w:eastAsiaTheme="minorEastAsia" w:cstheme="majorHAnsi"/>
          <w:lang w:eastAsia="zh-CN"/>
        </w:rPr>
        <w:t xml:space="preserve"> platform to investigate these interactions.</w:t>
      </w:r>
      <w:r>
        <w:rPr>
          <w:rFonts w:asciiTheme="majorHAnsi" w:hAnsiTheme="majorHAnsi" w:eastAsiaTheme="minorEastAsia" w:cstheme="majorHAnsi"/>
          <w:lang w:eastAsia="zh-CN"/>
        </w:rPr>
        <w:t xml:space="preserve"> A detailed protocol is presented here utilizing </w:t>
      </w:r>
      <w:r>
        <w:rPr>
          <w:rFonts w:hint="eastAsia" w:asciiTheme="majorHAnsi" w:hAnsiTheme="majorHAnsi" w:eastAsiaTheme="minorEastAsia" w:cstheme="majorHAnsi"/>
          <w:lang w:eastAsia="zh-CN"/>
        </w:rPr>
        <w:t xml:space="preserve">the </w:t>
      </w:r>
      <w:r>
        <w:rPr>
          <w:rFonts w:asciiTheme="majorHAnsi" w:hAnsiTheme="majorHAnsi" w:eastAsiaTheme="minorEastAsia" w:cstheme="majorHAnsi"/>
          <w:lang w:eastAsia="zh-CN"/>
        </w:rPr>
        <w:t xml:space="preserve">everted gut sac model </w:t>
      </w:r>
      <w:r>
        <w:rPr>
          <w:rFonts w:hint="eastAsia" w:asciiTheme="majorHAnsi" w:hAnsiTheme="majorHAnsi" w:eastAsiaTheme="minorEastAsia" w:cstheme="majorHAnsi"/>
          <w:lang w:eastAsia="zh-CN"/>
        </w:rPr>
        <w:t xml:space="preserve">to </w:t>
      </w:r>
      <w:r>
        <w:rPr>
          <w:rFonts w:asciiTheme="majorHAnsi" w:hAnsiTheme="majorHAnsi" w:eastAsiaTheme="minorEastAsia" w:cstheme="majorHAnsi"/>
          <w:lang w:eastAsia="zh-CN"/>
        </w:rPr>
        <w:t>quantitatively assess</w:t>
      </w:r>
      <w:r>
        <w:rPr>
          <w:rFonts w:hint="eastAsia" w:asciiTheme="majorHAnsi" w:hAnsiTheme="majorHAnsi" w:eastAsiaTheme="minorEastAsia" w:cstheme="majorHAnsi"/>
          <w:lang w:eastAsia="zh-CN"/>
        </w:rPr>
        <w:t xml:space="preserve"> </w:t>
      </w:r>
      <w:r>
        <w:rPr>
          <w:rFonts w:asciiTheme="majorHAnsi" w:hAnsiTheme="majorHAnsi" w:eastAsiaTheme="minorEastAsia" w:cstheme="majorHAnsi"/>
          <w:lang w:eastAsia="zh-CN"/>
        </w:rPr>
        <w:t>adeno-associated virus (rAAV)</w:t>
      </w:r>
      <w:r>
        <w:rPr>
          <w:rFonts w:hint="eastAsia" w:asciiTheme="majorHAnsi" w:hAnsiTheme="majorHAnsi" w:eastAsiaTheme="minorEastAsia" w:cstheme="majorHAnsi"/>
          <w:lang w:eastAsia="zh-CN"/>
        </w:rPr>
        <w:t xml:space="preserve"> translocation </w:t>
      </w:r>
      <w:r>
        <w:rPr>
          <w:rFonts w:asciiTheme="majorHAnsi" w:hAnsiTheme="majorHAnsi" w:eastAsiaTheme="minorEastAsia" w:cstheme="majorHAnsi"/>
          <w:lang w:eastAsia="zh-CN"/>
        </w:rPr>
        <w:t xml:space="preserve">across the intestinal </w:t>
      </w:r>
      <w:r>
        <w:rPr>
          <w:rFonts w:hint="eastAsia" w:asciiTheme="majorHAnsi" w:hAnsiTheme="majorHAnsi" w:eastAsiaTheme="minorEastAsia" w:cstheme="majorHAnsi"/>
          <w:lang w:eastAsia="zh-CN"/>
        </w:rPr>
        <w:t xml:space="preserve">epithelium </w:t>
      </w:r>
      <w:r>
        <w:rPr>
          <w:rFonts w:asciiTheme="majorHAnsi" w:hAnsiTheme="majorHAnsi" w:eastAsiaTheme="minorEastAsia" w:cstheme="majorHAnsi"/>
          <w:lang w:eastAsia="zh-CN"/>
        </w:rPr>
        <w:t xml:space="preserve">and </w:t>
      </w:r>
      <w:r>
        <w:rPr>
          <w:rFonts w:hint="eastAsia" w:asciiTheme="majorHAnsi" w:hAnsiTheme="majorHAnsi" w:eastAsiaTheme="minorEastAsia" w:cstheme="majorHAnsi"/>
          <w:lang w:eastAsia="zh-CN"/>
        </w:rPr>
        <w:t xml:space="preserve">subsequent </w:t>
      </w:r>
      <w:r>
        <w:rPr>
          <w:rFonts w:asciiTheme="majorHAnsi" w:hAnsiTheme="majorHAnsi" w:eastAsiaTheme="minorEastAsia" w:cstheme="majorHAnsi"/>
          <w:lang w:eastAsia="zh-CN"/>
        </w:rPr>
        <w:t xml:space="preserve">gene transduction within </w:t>
      </w:r>
      <w:r>
        <w:rPr>
          <w:rFonts w:hint="eastAsia" w:asciiTheme="majorHAnsi" w:hAnsiTheme="majorHAnsi" w:eastAsiaTheme="minorEastAsia" w:cstheme="majorHAnsi"/>
          <w:lang w:eastAsia="zh-CN"/>
        </w:rPr>
        <w:t xml:space="preserve">intestinal </w:t>
      </w:r>
      <w:r>
        <w:rPr>
          <w:rFonts w:asciiTheme="majorHAnsi" w:hAnsiTheme="majorHAnsi" w:eastAsiaTheme="minorEastAsia" w:cstheme="majorHAnsi"/>
          <w:lang w:eastAsia="zh-CN"/>
        </w:rPr>
        <w:t xml:space="preserve">tissue under controlled </w:t>
      </w:r>
      <w:r>
        <w:rPr>
          <w:rFonts w:hint="eastAsia" w:asciiTheme="majorHAnsi" w:hAnsiTheme="majorHAnsi" w:eastAsiaTheme="minorEastAsia" w:cstheme="majorHAnsi"/>
          <w:lang w:eastAsia="zh-CN"/>
        </w:rPr>
        <w:t xml:space="preserve">experimental </w:t>
      </w:r>
      <w:r>
        <w:rPr>
          <w:rFonts w:asciiTheme="majorHAnsi" w:hAnsiTheme="majorHAnsi" w:eastAsiaTheme="minorEastAsia" w:cstheme="majorHAnsi"/>
          <w:lang w:eastAsia="zh-CN"/>
        </w:rPr>
        <w:t xml:space="preserve">conditions. </w:t>
      </w:r>
      <w:r>
        <w:rPr>
          <w:rFonts w:eastAsiaTheme="minorEastAsia"/>
          <w:lang w:eastAsia="zh-CN"/>
        </w:rPr>
        <w:t xml:space="preserve">Key steps include harvesting small intestinal segments from laboratory rodents, everting the segments to form sacs, and filling each sac with oxygenated buffer. The everted sacs are immersed in an oxygenated buffer containing rAAV particles and incubated at 37 °C to allow luminal exposure and vector transport. Endpoint analyses involve sampling the internal (serosal) fluid to measure rAAV particles that have crossed the epithelium, as well as analyzing the sac tissue for transgene expression to determine transduction efficiency. By testing multiple intestinal regions, the protocol provides insight into segment-specific differences in rAAV uptake. Moreover, the inclusion of GZNG, a classic TCM formula, during incubation enables evaluation of its impact on vector uptake and transduction. </w:t>
      </w:r>
      <w:r>
        <w:rPr>
          <w:rFonts w:hint="eastAsia" w:asciiTheme="majorHAnsi" w:hAnsiTheme="majorHAnsi" w:eastAsiaTheme="minorEastAsia" w:cstheme="majorHAnsi"/>
          <w:lang w:eastAsia="zh-CN"/>
        </w:rPr>
        <w:t xml:space="preserve">The everted gut sac approach provides a valuable platform for screening rAAV serotypes, delivery enhancers, and interactions between rAAV vectors and TCM components. </w:t>
      </w:r>
      <w:r>
        <w:rPr>
          <w:rFonts w:asciiTheme="majorHAnsi" w:hAnsiTheme="majorHAnsi" w:eastAsiaTheme="minorEastAsia" w:cstheme="majorHAnsi"/>
          <w:lang w:eastAsia="zh-CN"/>
        </w:rPr>
        <w:t>It’s</w:t>
      </w:r>
      <w:r>
        <w:rPr>
          <w:rFonts w:hint="eastAsia" w:asciiTheme="majorHAnsi" w:hAnsiTheme="majorHAnsi" w:eastAsiaTheme="minorEastAsia" w:cstheme="majorHAnsi"/>
          <w:lang w:eastAsia="zh-CN"/>
        </w:rPr>
        <w:t xml:space="preserve"> simple and parallelizable design also enables high-throughput screening in preclinical studies.</w:t>
      </w:r>
    </w:p>
    <w:p w14:paraId="4BB5B0B4"/>
    <w:p w14:paraId="2E3EADEA">
      <w:r>
        <w:rPr>
          <w:b/>
        </w:rPr>
        <w:t>INTRODUCTION:</w:t>
      </w:r>
      <w:r>
        <w:t xml:space="preserve"> </w:t>
      </w:r>
    </w:p>
    <w:p w14:paraId="2E3EADEB">
      <w:pPr>
        <w:rPr>
          <w:rFonts w:eastAsiaTheme="minorEastAsia"/>
          <w:lang w:eastAsia="zh-CN"/>
        </w:rPr>
      </w:pPr>
      <w:r>
        <w:rPr>
          <w:rFonts w:eastAsiaTheme="minorEastAsia"/>
          <w:lang w:eastAsia="zh-CN"/>
        </w:rPr>
        <w:t>Recombinant adeno-associated virus (rAAV) represents a promising platform for systemic gene therapy, with three primary delivery routes currently being explored: intravenous injection</w:t>
      </w:r>
      <w:r>
        <w:rPr>
          <w:rFonts w:eastAsiaTheme="minorEastAsia"/>
          <w:vertAlign w:val="superscript"/>
          <w:lang w:eastAsia="zh-CN"/>
        </w:rPr>
        <w:t>1</w:t>
      </w:r>
      <w:r>
        <w:rPr>
          <w:rFonts w:eastAsiaTheme="minorEastAsia"/>
          <w:lang w:eastAsia="zh-CN"/>
        </w:rPr>
        <w:t>, intraperitoneal injection</w:t>
      </w:r>
      <w:r>
        <w:rPr>
          <w:rFonts w:eastAsiaTheme="minorEastAsia"/>
          <w:vertAlign w:val="superscript"/>
          <w:lang w:eastAsia="zh-CN"/>
        </w:rPr>
        <w:t>2</w:t>
      </w:r>
      <w:r>
        <w:rPr>
          <w:rFonts w:eastAsiaTheme="minorEastAsia"/>
          <w:lang w:eastAsia="zh-CN"/>
        </w:rPr>
        <w:t>, and oral administration</w:t>
      </w:r>
      <w:r>
        <w:rPr>
          <w:rFonts w:eastAsiaTheme="minorEastAsia"/>
          <w:vertAlign w:val="superscript"/>
          <w:lang w:eastAsia="zh-CN"/>
        </w:rPr>
        <w:t>3</w:t>
      </w:r>
      <w:r>
        <w:rPr>
          <w:rFonts w:eastAsiaTheme="minorEastAsia"/>
          <w:lang w:eastAsia="zh-CN"/>
        </w:rPr>
        <w:t>. While routes of intravenous and intraperitoneal injections have been extensively studied, oral administration, a non-invasive approach, remains comparatively underexplored. The feasibility of oral rAAV delivery was first demonstrated by Xin et al.</w:t>
      </w:r>
      <w:r>
        <w:rPr>
          <w:rFonts w:eastAsiaTheme="minorEastAsia"/>
          <w:vertAlign w:val="superscript"/>
          <w:lang w:eastAsia="zh-CN"/>
        </w:rPr>
        <w:t>4</w:t>
      </w:r>
      <w:r>
        <w:rPr>
          <w:rFonts w:eastAsiaTheme="minorEastAsia"/>
          <w:lang w:eastAsia="zh-CN"/>
        </w:rPr>
        <w:t>, who reported successful transduction of intestinal mucosa and induction of an anti-HIV immune response following oral administration of rAAV2. Similarly, Hara et al.</w:t>
      </w:r>
      <w:r>
        <w:rPr>
          <w:rFonts w:eastAsiaTheme="minorEastAsia"/>
          <w:vertAlign w:val="superscript"/>
          <w:lang w:eastAsia="zh-CN"/>
        </w:rPr>
        <w:t>3,5</w:t>
      </w:r>
      <w:r>
        <w:rPr>
          <w:rFonts w:eastAsiaTheme="minorEastAsia"/>
          <w:lang w:eastAsia="zh-CN"/>
        </w:rPr>
        <w:t>, demonstrated that oral rAAV/Aβ can transduce gastrointestinal mucosa and reduce brain amyloid deposition, whereas Steel et al.</w:t>
      </w:r>
      <w:r>
        <w:rPr>
          <w:rFonts w:eastAsiaTheme="minorEastAsia"/>
          <w:vertAlign w:val="superscript"/>
          <w:lang w:eastAsia="zh-CN"/>
        </w:rPr>
        <w:t>6</w:t>
      </w:r>
      <w:r>
        <w:rPr>
          <w:rFonts w:eastAsiaTheme="minorEastAsia"/>
          <w:lang w:eastAsia="zh-CN"/>
        </w:rPr>
        <w:t xml:space="preserve"> found that oral vaccination demonstrated superior survival and anti-tumor immunity compared with intramuscular injection. The same study reported that rAAV6 exhibited stronger intestinal tropism than rAAV5. Beyond vaccine applications, therapeutic potential has been achieved in other disease models. Ma et al.</w:t>
      </w:r>
      <w:r>
        <w:rPr>
          <w:rFonts w:eastAsiaTheme="minorEastAsia"/>
          <w:vertAlign w:val="superscript"/>
          <w:lang w:eastAsia="zh-CN"/>
        </w:rPr>
        <w:t>7</w:t>
      </w:r>
      <w:r>
        <w:rPr>
          <w:rFonts w:eastAsiaTheme="minorEastAsia"/>
          <w:lang w:eastAsia="zh-CN"/>
        </w:rPr>
        <w:t xml:space="preserve"> and Hao et al.</w:t>
      </w:r>
      <w:r>
        <w:rPr>
          <w:rFonts w:eastAsiaTheme="minorEastAsia"/>
          <w:vertAlign w:val="superscript"/>
          <w:lang w:eastAsia="zh-CN"/>
        </w:rPr>
        <w:t>8</w:t>
      </w:r>
      <w:r>
        <w:rPr>
          <w:rFonts w:eastAsiaTheme="minorEastAsia"/>
          <w:lang w:eastAsia="zh-CN"/>
        </w:rPr>
        <w:t xml:space="preserve"> proved that oral rAAV led to tumor suppression and anti-fibrotic therapy in the liver and stomach, respectively, following gastrointestinal transduction. Huang et al.</w:t>
      </w:r>
      <w:r>
        <w:rPr>
          <w:rFonts w:eastAsiaTheme="minorEastAsia"/>
          <w:vertAlign w:val="superscript"/>
          <w:lang w:eastAsia="zh-CN"/>
        </w:rPr>
        <w:t>9</w:t>
      </w:r>
      <w:r>
        <w:rPr>
          <w:rFonts w:eastAsiaTheme="minorEastAsia"/>
          <w:lang w:eastAsia="zh-CN"/>
        </w:rPr>
        <w:t xml:space="preserve"> identified the engineered serotype Rec2 as selectively transducing brown adipose tissue after oral administration, in contrast to the predominant liver tropism observed with intravenous delivery</w:t>
      </w:r>
      <w:r>
        <w:rPr>
          <w:rFonts w:eastAsiaTheme="minorEastAsia"/>
          <w:vertAlign w:val="superscript"/>
          <w:lang w:eastAsia="zh-CN"/>
        </w:rPr>
        <w:t>10</w:t>
      </w:r>
      <w:r>
        <w:rPr>
          <w:rFonts w:eastAsiaTheme="minorEastAsia"/>
          <w:lang w:eastAsia="zh-CN"/>
        </w:rPr>
        <w:t xml:space="preserve">. Despite these pioneering findings, research on oral rAAV delivery remains limited, in part due to the lack of </w:t>
      </w:r>
      <w:r>
        <w:rPr>
          <w:rFonts w:eastAsiaTheme="minorEastAsia"/>
          <w:i/>
          <w:iCs/>
          <w:lang w:eastAsia="zh-CN"/>
        </w:rPr>
        <w:t>in vitro</w:t>
      </w:r>
      <w:r>
        <w:rPr>
          <w:rFonts w:eastAsiaTheme="minorEastAsia"/>
          <w:lang w:eastAsia="zh-CN"/>
        </w:rPr>
        <w:t xml:space="preserve"> screening systems for large-scale evaluation.</w:t>
      </w:r>
    </w:p>
    <w:p w14:paraId="0D6E5F28">
      <w:pPr>
        <w:rPr>
          <w:rFonts w:eastAsiaTheme="minorEastAsia"/>
          <w:lang w:eastAsia="zh-CN"/>
        </w:rPr>
      </w:pPr>
    </w:p>
    <w:p w14:paraId="2E3EADED">
      <w:pPr>
        <w:rPr>
          <w:rFonts w:eastAsiaTheme="minorEastAsia"/>
          <w:lang w:eastAsia="zh-CN"/>
        </w:rPr>
      </w:pPr>
      <w:r>
        <w:rPr>
          <w:rFonts w:eastAsiaTheme="minorEastAsia"/>
          <w:lang w:eastAsia="zh-CN"/>
        </w:rPr>
        <w:t>The everted gut sac model, developed by Wilson and Wiseman in 1954</w:t>
      </w:r>
      <w:r>
        <w:rPr>
          <w:rFonts w:eastAsiaTheme="minorEastAsia"/>
          <w:vertAlign w:val="superscript"/>
          <w:lang w:eastAsia="zh-CN"/>
        </w:rPr>
        <w:t>11</w:t>
      </w:r>
      <w:r>
        <w:rPr>
          <w:rFonts w:eastAsiaTheme="minorEastAsia"/>
          <w:lang w:eastAsia="zh-CN"/>
        </w:rPr>
        <w:t xml:space="preserve">, remains a valuable </w:t>
      </w:r>
      <w:r>
        <w:rPr>
          <w:rFonts w:eastAsiaTheme="minorEastAsia"/>
          <w:i/>
          <w:iCs/>
          <w:lang w:eastAsia="zh-CN"/>
        </w:rPr>
        <w:t>in vitro</w:t>
      </w:r>
      <w:r>
        <w:rPr>
          <w:rFonts w:eastAsiaTheme="minorEastAsia"/>
          <w:lang w:eastAsia="zh-CN"/>
        </w:rPr>
        <w:t xml:space="preserve"> platform for investigating intestinal drug absorption mechanisms. Unlike other absorption simulator apparatus, this system uniquely accounts for multiple physiological processes beyond simple passive diffusion</w:t>
      </w:r>
      <w:r>
        <w:rPr>
          <w:rFonts w:eastAsiaTheme="minorEastAsia"/>
          <w:vertAlign w:val="superscript"/>
          <w:lang w:eastAsia="zh-CN"/>
        </w:rPr>
        <w:t>12</w:t>
      </w:r>
      <w:r>
        <w:rPr>
          <w:rFonts w:eastAsiaTheme="minorEastAsia"/>
          <w:lang w:eastAsia="zh-CN"/>
        </w:rPr>
        <w:t>. This characteristic makes it particularly advantageous for studying TCM</w:t>
      </w:r>
      <w:r>
        <w:rPr>
          <w:rFonts w:hint="eastAsia" w:eastAsiaTheme="minorEastAsia"/>
          <w:vertAlign w:val="superscript"/>
          <w:lang w:eastAsia="zh-CN"/>
        </w:rPr>
        <w:t>13</w:t>
      </w:r>
      <w:r>
        <w:rPr>
          <w:rFonts w:eastAsiaTheme="minorEastAsia"/>
          <w:lang w:eastAsia="zh-CN"/>
        </w:rPr>
        <w:t>. Using this system, it is documented that TCM compounds often exhibit segment-dependent intestinal absorption patterns throughout the gastrointestinal tract. For example, one study demonstrated that multiple alkaloids from Wuwei Qingzhuo San are selectively absorbed in different intestinal segments, with the jejunum and ileum showing the most active uptake</w:t>
      </w:r>
      <w:r>
        <w:rPr>
          <w:rFonts w:hint="eastAsia" w:eastAsiaTheme="minorEastAsia"/>
          <w:vertAlign w:val="superscript"/>
          <w:lang w:eastAsia="zh-CN"/>
        </w:rPr>
        <w:t>14</w:t>
      </w:r>
      <w:r>
        <w:rPr>
          <w:rFonts w:eastAsiaTheme="minorEastAsia"/>
          <w:lang w:eastAsia="zh-CN"/>
        </w:rPr>
        <w:t>. Additionally, co-administration of TCM constituents can modulate intestinal absorption. Liao et al.</w:t>
      </w:r>
      <w:r>
        <w:rPr>
          <w:rFonts w:hint="eastAsia" w:eastAsiaTheme="minorEastAsia"/>
          <w:vertAlign w:val="superscript"/>
          <w:lang w:eastAsia="zh-CN"/>
        </w:rPr>
        <w:t>15</w:t>
      </w:r>
      <w:r>
        <w:rPr>
          <w:rFonts w:eastAsiaTheme="minorEastAsia"/>
          <w:lang w:eastAsia="zh-CN"/>
        </w:rPr>
        <w:t xml:space="preserve"> reported that co-administration with Radix Angelicae dahuricae extract significantly enhanced the intestinal absorption of puerarin, highlighting the influence of TCM interactions on segmental uptake. Therefore, the everted gut sac model serves as an ideal tool for elucidating the complex absorption behaviors and synergistic interactions inherent in TCM formulations and other drugs.</w:t>
      </w:r>
    </w:p>
    <w:p w14:paraId="46803CAF">
      <w:pPr>
        <w:rPr>
          <w:rFonts w:eastAsiaTheme="minorEastAsia"/>
          <w:lang w:eastAsia="zh-CN"/>
        </w:rPr>
      </w:pPr>
    </w:p>
    <w:p w14:paraId="55A56CB5">
      <w:pPr>
        <w:rPr>
          <w:rFonts w:eastAsiaTheme="minorEastAsia"/>
          <w:lang w:eastAsia="zh-CN"/>
        </w:rPr>
      </w:pPr>
      <w:r>
        <w:rPr>
          <w:rFonts w:eastAsiaTheme="minorEastAsia"/>
          <w:lang w:eastAsia="zh-CN"/>
        </w:rPr>
        <w:t>Selecting an appropriate model for rAAV absorption research requires a nuanced understanding of the trade-offs among physiological accuracy, technical complexity, and throughput. The table below summarizes the primary experimental models used to study intestinal absorption.</w:t>
      </w:r>
    </w:p>
    <w:p w14:paraId="2E3EADEE">
      <w:pPr>
        <w:rPr>
          <w:rFonts w:eastAsiaTheme="minorEastAsia"/>
          <w:lang w:eastAsia="zh-CN"/>
        </w:rPr>
      </w:pPr>
    </w:p>
    <w:p w14:paraId="2E3EADEF">
      <w:pPr>
        <w:rPr>
          <w:rFonts w:eastAsiaTheme="minorEastAsia"/>
          <w:lang w:eastAsia="zh-CN"/>
        </w:rPr>
      </w:pPr>
      <w:r>
        <w:rPr>
          <w:rFonts w:eastAsiaTheme="minorEastAsia"/>
          <w:lang w:eastAsia="zh-CN"/>
        </w:rPr>
        <w:t>This study provides proof of concept that the everted gut sac model can be used to investigate the intestinal absorption of recombinant adeno-associated virus (rAAV) vectors. It provides valuable insights into how co-administration of TCM influences the intestinal absorption of rAAV vectors, underscoring the need for further characterization of their mechanistic interactions under physiologically relevant conditions. Optimizing TCM-enhanced oral delivery strategies through this approach may facilitate the development of non-invasive rAAV therapeutics, thereby improving patient compliance and treatment accessibility.</w:t>
      </w:r>
    </w:p>
    <w:p w14:paraId="11166ABD">
      <w:pPr>
        <w:rPr>
          <w:rFonts w:eastAsiaTheme="minorEastAsia"/>
          <w:lang w:eastAsia="zh-CN"/>
        </w:rPr>
      </w:pPr>
    </w:p>
    <w:p w14:paraId="0B9E3DD0">
      <w:pPr>
        <w:rPr>
          <w:rFonts w:eastAsiaTheme="minorEastAsia"/>
          <w:lang w:eastAsia="zh-CN"/>
        </w:rPr>
      </w:pPr>
      <w:r>
        <w:rPr>
          <w:rFonts w:eastAsiaTheme="minorEastAsia"/>
          <w:lang w:eastAsia="zh-CN"/>
        </w:rPr>
        <w:t>Researchers should evaluate the everted gut sac model based on the following criteria to ensure it aligns with their experimental objectives. Appropriate applications include rapid screening of serotypes, adjuvant/enhancer evaluation, and regional kinetics, while inappropriate applications and limitations include long-term expression studies (&gt;48 h) and systemic pharmacology.</w:t>
      </w:r>
    </w:p>
    <w:p w14:paraId="4412F2D1">
      <w:pPr>
        <w:rPr>
          <w:rFonts w:eastAsiaTheme="minorEastAsia"/>
          <w:lang w:eastAsia="zh-CN"/>
        </w:rPr>
      </w:pPr>
    </w:p>
    <w:p w14:paraId="2E3EADF0">
      <w:r>
        <w:rPr>
          <w:b/>
        </w:rPr>
        <w:t>PROTOCOL:</w:t>
      </w:r>
      <w:r>
        <w:t xml:space="preserve"> </w:t>
      </w:r>
    </w:p>
    <w:p w14:paraId="2E3EADF1">
      <w:pPr>
        <w:rPr>
          <w:rFonts w:eastAsiaTheme="minorEastAsia"/>
          <w:lang w:eastAsia="zh-CN"/>
        </w:rPr>
      </w:pPr>
      <w:r>
        <w:rPr>
          <w:rFonts w:eastAsiaTheme="minorEastAsia"/>
          <w:lang w:eastAsia="zh-CN"/>
        </w:rPr>
        <w:t>All animal procedures were conducted in strict accordance with the Naval Medical University Animal Ethics Committee–approved guidelines</w:t>
      </w:r>
      <w:r>
        <w:rPr>
          <w:rFonts w:hint="eastAsia" w:eastAsiaTheme="minorEastAsia"/>
          <w:lang w:eastAsia="zh-CN"/>
        </w:rPr>
        <w:t xml:space="preserve"> (</w:t>
      </w:r>
      <w:r>
        <w:rPr>
          <w:rFonts w:eastAsiaTheme="minorEastAsia"/>
          <w:lang w:eastAsia="zh-CN"/>
        </w:rPr>
        <w:t>approval CHEC (A.E)-2025011</w:t>
      </w:r>
      <w:r>
        <w:rPr>
          <w:rFonts w:hint="eastAsia" w:eastAsiaTheme="minorEastAsia"/>
          <w:lang w:eastAsia="zh-CN"/>
        </w:rPr>
        <w:t>)</w:t>
      </w:r>
      <w:r>
        <w:rPr>
          <w:rFonts w:eastAsiaTheme="minorEastAsia"/>
          <w:lang w:eastAsia="zh-CN"/>
        </w:rPr>
        <w:t>.</w:t>
      </w:r>
    </w:p>
    <w:p w14:paraId="2E3EADF2">
      <w:pPr>
        <w:jc w:val="center"/>
        <w:rPr>
          <w:rFonts w:eastAsiaTheme="minorEastAsia"/>
          <w:b/>
          <w:bCs/>
          <w:lang w:eastAsia="zh-CN"/>
        </w:rPr>
      </w:pPr>
    </w:p>
    <w:p w14:paraId="0499A82B">
      <w:pPr>
        <w:numPr>
          <w:ilvl w:val="0"/>
          <w:numId w:val="1"/>
        </w:numPr>
        <w:rPr>
          <w:rFonts w:eastAsiaTheme="minorEastAsia"/>
          <w:b/>
          <w:bCs/>
          <w:lang w:eastAsia="zh-CN"/>
        </w:rPr>
      </w:pPr>
      <w:r>
        <w:rPr>
          <w:rFonts w:eastAsiaTheme="minorEastAsia"/>
          <w:b/>
          <w:bCs/>
          <w:lang w:eastAsia="zh-CN"/>
        </w:rPr>
        <w:t>Preparation of Tyrode's solution and viral solutions</w:t>
      </w:r>
    </w:p>
    <w:p w14:paraId="21360B45">
      <w:pPr>
        <w:rPr>
          <w:rFonts w:eastAsiaTheme="minorEastAsia"/>
          <w:b/>
          <w:bCs/>
          <w:lang w:eastAsia="zh-CN"/>
        </w:rPr>
      </w:pPr>
    </w:p>
    <w:p w14:paraId="00B3D43C">
      <w:pPr>
        <w:numPr>
          <w:ilvl w:val="1"/>
          <w:numId w:val="1"/>
        </w:numPr>
        <w:rPr>
          <w:rFonts w:eastAsiaTheme="minorEastAsia"/>
          <w:b/>
          <w:bCs/>
          <w:lang w:eastAsia="zh-CN"/>
        </w:rPr>
      </w:pPr>
      <w:r>
        <w:rPr>
          <w:rFonts w:eastAsiaTheme="minorEastAsia"/>
          <w:lang w:eastAsia="zh-CN"/>
        </w:rPr>
        <w:t xml:space="preserve">Tyrode's solution preconditioning: </w:t>
      </w:r>
    </w:p>
    <w:p w14:paraId="7F2F78DC">
      <w:pPr>
        <w:rPr>
          <w:rFonts w:eastAsiaTheme="minorEastAsia"/>
          <w:b/>
          <w:bCs/>
          <w:lang w:eastAsia="zh-CN"/>
        </w:rPr>
      </w:pPr>
    </w:p>
    <w:p w14:paraId="396F6A13">
      <w:pPr>
        <w:numPr>
          <w:ilvl w:val="2"/>
          <w:numId w:val="1"/>
        </w:numPr>
        <w:rPr>
          <w:rFonts w:eastAsiaTheme="minorEastAsia"/>
          <w:b/>
          <w:bCs/>
          <w:lang w:eastAsia="zh-CN"/>
        </w:rPr>
      </w:pPr>
      <w:r>
        <w:rPr>
          <w:rFonts w:eastAsiaTheme="minorEastAsia"/>
          <w:lang w:eastAsia="zh-CN"/>
        </w:rPr>
        <w:t>Prepare two 500 mL aliquots of Tyrode's solution</w:t>
      </w:r>
      <w:r>
        <w:rPr>
          <w:rFonts w:hint="eastAsia" w:eastAsiaTheme="minorEastAsia"/>
          <w:lang w:eastAsia="zh-CN"/>
        </w:rPr>
        <w:t xml:space="preserve"> (pH</w:t>
      </w:r>
      <w:r>
        <w:rPr>
          <w:rFonts w:eastAsiaTheme="minorEastAsia"/>
          <w:lang w:eastAsia="zh-CN"/>
        </w:rPr>
        <w:t xml:space="preserve"> </w:t>
      </w:r>
      <w:r>
        <w:rPr>
          <w:rFonts w:hint="eastAsia" w:eastAsiaTheme="minorEastAsia"/>
          <w:lang w:eastAsia="zh-CN"/>
        </w:rPr>
        <w:t>7.4)</w:t>
      </w:r>
      <w:r>
        <w:rPr>
          <w:rFonts w:eastAsiaTheme="minorEastAsia"/>
          <w:lang w:eastAsia="zh-CN"/>
        </w:rPr>
        <w:t xml:space="preserve"> (See </w:t>
      </w:r>
      <w:r>
        <w:rPr>
          <w:rFonts w:eastAsiaTheme="minorEastAsia"/>
          <w:b/>
          <w:bCs/>
          <w:lang w:eastAsia="zh-CN"/>
        </w:rPr>
        <w:t>Table of Materials</w:t>
      </w:r>
      <w:r>
        <w:rPr>
          <w:rFonts w:eastAsiaTheme="minorEastAsia"/>
          <w:lang w:eastAsia="zh-CN"/>
        </w:rPr>
        <w:t xml:space="preserve">). </w:t>
      </w:r>
    </w:p>
    <w:p w14:paraId="36C45E3A">
      <w:pPr>
        <w:rPr>
          <w:rFonts w:eastAsiaTheme="minorEastAsia"/>
          <w:lang w:eastAsia="zh-CN"/>
        </w:rPr>
      </w:pPr>
    </w:p>
    <w:p w14:paraId="4514C9BC">
      <w:pPr>
        <w:numPr>
          <w:ilvl w:val="2"/>
          <w:numId w:val="1"/>
        </w:numPr>
        <w:rPr>
          <w:rFonts w:eastAsiaTheme="minorEastAsia"/>
          <w:lang w:eastAsia="zh-CN"/>
        </w:rPr>
      </w:pPr>
      <w:r>
        <w:rPr>
          <w:rFonts w:eastAsiaTheme="minorEastAsia"/>
          <w:lang w:eastAsia="zh-CN"/>
        </w:rPr>
        <w:t xml:space="preserve">Cool one aliquot to 4 </w:t>
      </w:r>
      <w:r>
        <w:rPr>
          <w:rFonts w:ascii="Cambria Math" w:hAnsi="Cambria Math" w:cs="Cambria Math" w:eastAsiaTheme="minorEastAsia"/>
          <w:lang w:eastAsia="zh-CN"/>
        </w:rPr>
        <w:t>℃</w:t>
      </w:r>
      <w:r>
        <w:rPr>
          <w:rFonts w:eastAsiaTheme="minorEastAsia"/>
          <w:lang w:eastAsia="zh-CN"/>
        </w:rPr>
        <w:t xml:space="preserve"> and warm the other to 37 °C. </w:t>
      </w:r>
    </w:p>
    <w:p w14:paraId="042759A9">
      <w:pPr>
        <w:rPr>
          <w:rFonts w:eastAsiaTheme="minorEastAsia"/>
          <w:lang w:eastAsia="zh-CN"/>
        </w:rPr>
      </w:pPr>
    </w:p>
    <w:p w14:paraId="2E3EADF4">
      <w:pPr>
        <w:numPr>
          <w:ilvl w:val="2"/>
          <w:numId w:val="1"/>
        </w:numPr>
        <w:rPr>
          <w:rFonts w:eastAsiaTheme="minorEastAsia"/>
          <w:lang w:eastAsia="zh-CN"/>
        </w:rPr>
      </w:pPr>
      <w:r>
        <w:rPr>
          <w:rFonts w:eastAsiaTheme="minorEastAsia"/>
          <w:lang w:eastAsia="zh-CN"/>
        </w:rPr>
        <w:t>Bubble each aliquot with 95% O₂/5% CO₂.</w:t>
      </w:r>
    </w:p>
    <w:p w14:paraId="27AB3D2C">
      <w:pPr>
        <w:rPr>
          <w:rFonts w:eastAsiaTheme="minorEastAsia"/>
          <w:lang w:eastAsia="zh-CN"/>
        </w:rPr>
      </w:pPr>
    </w:p>
    <w:p w14:paraId="7AF5CEE1">
      <w:pPr>
        <w:numPr>
          <w:ilvl w:val="1"/>
          <w:numId w:val="1"/>
        </w:numPr>
        <w:rPr>
          <w:rFonts w:eastAsiaTheme="minorEastAsia"/>
          <w:lang w:eastAsia="zh-CN"/>
        </w:rPr>
      </w:pPr>
      <w:r>
        <w:rPr>
          <w:rFonts w:eastAsiaTheme="minorEastAsia"/>
          <w:lang w:eastAsia="zh-CN"/>
        </w:rPr>
        <w:t xml:space="preserve">Viral solution preparation: </w:t>
      </w:r>
    </w:p>
    <w:p w14:paraId="22BCFC63">
      <w:pPr>
        <w:rPr>
          <w:rFonts w:eastAsiaTheme="minorEastAsia"/>
          <w:lang w:eastAsia="zh-CN"/>
        </w:rPr>
      </w:pPr>
    </w:p>
    <w:p w14:paraId="364864DF">
      <w:pPr>
        <w:numPr>
          <w:ilvl w:val="2"/>
          <w:numId w:val="1"/>
        </w:numPr>
        <w:rPr>
          <w:rFonts w:eastAsiaTheme="minorEastAsia"/>
          <w:lang w:eastAsia="zh-CN"/>
        </w:rPr>
      </w:pPr>
      <w:r>
        <w:rPr>
          <w:rFonts w:eastAsiaTheme="minorEastAsia"/>
          <w:lang w:eastAsia="zh-CN"/>
        </w:rPr>
        <w:t>Add recombinant AAV9-CMV-EGFP to the 37 °C Tyrode's solution to achieve a final concentration of 1 x 10</w:t>
      </w:r>
      <w:r>
        <w:rPr>
          <w:rFonts w:eastAsiaTheme="minorEastAsia"/>
          <w:vertAlign w:val="superscript"/>
          <w:lang w:eastAsia="zh-CN"/>
        </w:rPr>
        <w:t>11</w:t>
      </w:r>
      <w:r>
        <w:rPr>
          <w:rFonts w:eastAsiaTheme="minorEastAsia"/>
          <w:lang w:eastAsia="zh-CN"/>
        </w:rPr>
        <w:t xml:space="preserve"> vg/mL (Control condition). </w:t>
      </w:r>
    </w:p>
    <w:p w14:paraId="463268E0">
      <w:pPr>
        <w:rPr>
          <w:rFonts w:eastAsiaTheme="minorEastAsia"/>
          <w:lang w:eastAsia="zh-CN"/>
        </w:rPr>
      </w:pPr>
    </w:p>
    <w:p w14:paraId="0891D73A">
      <w:pPr>
        <w:numPr>
          <w:ilvl w:val="2"/>
          <w:numId w:val="1"/>
        </w:numPr>
        <w:rPr>
          <w:rFonts w:eastAsiaTheme="minorEastAsia"/>
          <w:lang w:eastAsia="zh-CN"/>
        </w:rPr>
      </w:pPr>
      <w:r>
        <w:rPr>
          <w:rFonts w:eastAsiaTheme="minorEastAsia"/>
          <w:lang w:eastAsia="zh-CN"/>
        </w:rPr>
        <w:t>For the experimental condition, supplement the AAV9-CMV-EGFP preparation with a TCM formula GZNG (</w:t>
      </w:r>
      <w:r>
        <w:rPr>
          <w:rFonts w:eastAsiaTheme="minorEastAsia"/>
          <w:b/>
          <w:bCs/>
          <w:lang w:eastAsia="zh-CN"/>
        </w:rPr>
        <w:t>Table 2</w:t>
      </w:r>
      <w:r>
        <w:rPr>
          <w:rFonts w:eastAsiaTheme="minorEastAsia"/>
          <w:lang w:eastAsia="zh-CN"/>
        </w:rPr>
        <w:t xml:space="preserve">) dissolved in vehicle to a final concentration of 200 mg/mL. </w:t>
      </w:r>
    </w:p>
    <w:p w14:paraId="5D33ABB5">
      <w:pPr>
        <w:jc w:val="center"/>
        <w:rPr>
          <w:b/>
          <w:bCs/>
        </w:rPr>
      </w:pPr>
    </w:p>
    <w:p w14:paraId="2E3EADF5">
      <w:pPr>
        <w:numPr>
          <w:ilvl w:val="2"/>
          <w:numId w:val="1"/>
        </w:numPr>
        <w:rPr>
          <w:rFonts w:eastAsiaTheme="minorEastAsia"/>
          <w:lang w:eastAsia="zh-CN"/>
        </w:rPr>
      </w:pPr>
      <w:r>
        <w:rPr>
          <w:rFonts w:eastAsiaTheme="minorEastAsia"/>
          <w:lang w:eastAsia="zh-CN"/>
        </w:rPr>
        <w:t>For the GZNG-only control, add GZNG (200 mg/mL) to Tyrode’s solution without AAV9-CMV-EGFP.</w:t>
      </w:r>
    </w:p>
    <w:p w14:paraId="24298F4F">
      <w:pPr>
        <w:pStyle w:val="27"/>
        <w:spacing w:after="0"/>
        <w:rPr>
          <w:rFonts w:ascii="Calibri" w:hAnsi="Calibri" w:cs="Calibri" w:eastAsiaTheme="minorEastAsia"/>
          <w:sz w:val="24"/>
          <w:szCs w:val="24"/>
          <w:lang w:eastAsia="zh-CN"/>
        </w:rPr>
      </w:pPr>
    </w:p>
    <w:p w14:paraId="2E3EADF7">
      <w:pPr>
        <w:rPr>
          <w:rFonts w:eastAsiaTheme="minorEastAsia"/>
          <w:lang w:eastAsia="zh-CN"/>
        </w:rPr>
      </w:pPr>
      <w:r>
        <w:rPr>
          <w:rFonts w:eastAsiaTheme="minorEastAsia"/>
          <w:lang w:eastAsia="zh-CN"/>
        </w:rPr>
        <w:t>NOTE: Prepare viral dilutions immediately before use to preserve infectivity. The pH of the GZNG solution is approximately 5.0–6.0.</w:t>
      </w:r>
    </w:p>
    <w:p w14:paraId="2E3EADF8">
      <w:pPr>
        <w:rPr>
          <w:rFonts w:eastAsiaTheme="minorEastAsia"/>
          <w:lang w:eastAsia="zh-CN"/>
        </w:rPr>
      </w:pPr>
    </w:p>
    <w:p w14:paraId="2E3EADF9">
      <w:pPr>
        <w:pStyle w:val="27"/>
        <w:numPr>
          <w:ilvl w:val="0"/>
          <w:numId w:val="1"/>
        </w:numPr>
        <w:spacing w:after="0"/>
        <w:rPr>
          <w:rFonts w:ascii="Calibri" w:hAnsi="Calibri" w:cs="Calibri" w:eastAsiaTheme="minorEastAsia"/>
          <w:b/>
          <w:bCs/>
          <w:sz w:val="24"/>
          <w:szCs w:val="24"/>
          <w:lang w:eastAsia="zh-CN"/>
        </w:rPr>
      </w:pPr>
      <w:r>
        <w:rPr>
          <w:rFonts w:ascii="Calibri" w:hAnsi="Calibri" w:cs="Calibri" w:eastAsiaTheme="minorEastAsia"/>
          <w:b/>
          <w:bCs/>
          <w:sz w:val="24"/>
          <w:szCs w:val="24"/>
          <w:lang w:eastAsia="zh-CN"/>
        </w:rPr>
        <w:t>Animal preparation and intestinal tissue harvesting</w:t>
      </w:r>
    </w:p>
    <w:p w14:paraId="60B9D81D">
      <w:pPr>
        <w:rPr>
          <w:rFonts w:eastAsiaTheme="minorEastAsia"/>
          <w:lang w:eastAsia="zh-CN"/>
        </w:rPr>
      </w:pPr>
    </w:p>
    <w:p w14:paraId="12B49111">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Fasting: Fast the</w:t>
      </w:r>
      <w:r>
        <w:rPr>
          <w:rFonts w:hint="eastAsia" w:ascii="Calibri" w:hAnsi="Calibri" w:cs="Calibri" w:eastAsiaTheme="minorEastAsia"/>
          <w:sz w:val="24"/>
          <w:szCs w:val="24"/>
          <w:lang w:eastAsia="zh-CN"/>
        </w:rPr>
        <w:t xml:space="preserve"> 8-week-old </w:t>
      </w:r>
      <w:r>
        <w:rPr>
          <w:rFonts w:ascii="Calibri" w:hAnsi="Calibri" w:cs="Calibri" w:eastAsiaTheme="minorEastAsia"/>
          <w:sz w:val="24"/>
          <w:szCs w:val="24"/>
          <w:lang w:eastAsia="zh-CN"/>
        </w:rPr>
        <w:t>Sprague–Dawley rats for 24 h prior to surgery. Ensure free access to water during this period to maintain hydration.</w:t>
      </w:r>
    </w:p>
    <w:p w14:paraId="273B9829">
      <w:pPr>
        <w:rPr>
          <w:rFonts w:eastAsiaTheme="minorEastAsia"/>
          <w:lang w:eastAsia="zh-CN"/>
        </w:rPr>
      </w:pPr>
    </w:p>
    <w:p w14:paraId="1B8FF456">
      <w:pPr>
        <w:rPr>
          <w:rFonts w:eastAsiaTheme="minorEastAsia"/>
          <w:lang w:eastAsia="zh-CN"/>
        </w:rPr>
      </w:pPr>
      <w:r>
        <w:rPr>
          <w:rFonts w:eastAsiaTheme="minorEastAsia"/>
          <w:lang w:eastAsia="zh-CN"/>
        </w:rPr>
        <w:t>NOTE: Fasting helps minimize gut content and ensures accurate measurement of intestinal absorption during ex vivo experiments.</w:t>
      </w:r>
    </w:p>
    <w:p w14:paraId="231A3CED">
      <w:pPr>
        <w:rPr>
          <w:rFonts w:eastAsiaTheme="minorEastAsia"/>
          <w:lang w:eastAsia="zh-CN"/>
        </w:rPr>
      </w:pPr>
    </w:p>
    <w:p w14:paraId="2E3EADFD">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Check animal health before fasting and ensure that they are in good condition. Exclude animals with signs of distress or illness from the study.</w:t>
      </w:r>
    </w:p>
    <w:p w14:paraId="5723AE8C">
      <w:pPr>
        <w:rPr>
          <w:rFonts w:eastAsiaTheme="minorEastAsia"/>
          <w:lang w:eastAsia="zh-CN"/>
        </w:rPr>
      </w:pPr>
    </w:p>
    <w:p w14:paraId="0D9DB425">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 xml:space="preserve">Administer sodium pentobarbital (200 mg/kg, intraperitoneally) to induce deep anesthesia. Verify that the animal is fully anesthetized by checking for a lack of reflexes and steady respiration. </w:t>
      </w:r>
    </w:p>
    <w:p w14:paraId="3CEF0064">
      <w:pPr>
        <w:rPr>
          <w:rFonts w:eastAsiaTheme="minorEastAsia"/>
          <w:lang w:eastAsia="zh-CN"/>
        </w:rPr>
      </w:pPr>
    </w:p>
    <w:p w14:paraId="2E3EADFF">
      <w:pPr>
        <w:rPr>
          <w:rFonts w:eastAsiaTheme="minorEastAsia"/>
          <w:lang w:eastAsia="zh-CN"/>
        </w:rPr>
      </w:pPr>
      <w:r>
        <w:rPr>
          <w:rFonts w:eastAsiaTheme="minorEastAsia"/>
          <w:lang w:eastAsia="zh-CN"/>
        </w:rPr>
        <w:t>CAUTION: Pentobarbital is a hazardous controlled substance; handle with gloves and PPE in a fume hood to avoid skin contact/inhalation and follow institutional guidelines for safe disposal and emergency response.</w:t>
      </w:r>
    </w:p>
    <w:p w14:paraId="4FC60133">
      <w:pPr>
        <w:rPr>
          <w:rFonts w:eastAsiaTheme="minorEastAsia"/>
          <w:lang w:eastAsia="zh-CN"/>
        </w:rPr>
      </w:pPr>
    </w:p>
    <w:p w14:paraId="57795994">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Perform euthanasia by cervical dislocation once deep anesthesia has been confirmed.</w:t>
      </w:r>
    </w:p>
    <w:p w14:paraId="467C8CD5">
      <w:pPr>
        <w:pStyle w:val="27"/>
        <w:spacing w:after="0"/>
        <w:ind w:left="0"/>
        <w:rPr>
          <w:rFonts w:ascii="Calibri" w:hAnsi="Calibri" w:cs="Calibri" w:eastAsiaTheme="minorEastAsia"/>
          <w:sz w:val="24"/>
          <w:szCs w:val="24"/>
          <w:lang w:eastAsia="zh-CN"/>
        </w:rPr>
      </w:pPr>
    </w:p>
    <w:p w14:paraId="2E3EAE01">
      <w:pPr>
        <w:pStyle w:val="27"/>
        <w:numPr>
          <w:ilvl w:val="1"/>
          <w:numId w:val="2"/>
        </w:numPr>
        <w:spacing w:after="0"/>
        <w:ind w:left="0" w:firstLine="0"/>
        <w:rPr>
          <w:rFonts w:ascii="Calibri" w:hAnsi="Calibri" w:cs="Calibri" w:eastAsiaTheme="minorEastAsia"/>
          <w:sz w:val="28"/>
          <w:szCs w:val="28"/>
          <w:lang w:eastAsia="zh-CN"/>
        </w:rPr>
      </w:pPr>
      <w:r>
        <w:rPr>
          <w:rFonts w:ascii="Calibri" w:hAnsi="Calibri" w:cs="Calibri" w:eastAsiaTheme="minorEastAsia"/>
          <w:sz w:val="24"/>
          <w:szCs w:val="24"/>
          <w:lang w:eastAsia="zh-CN"/>
        </w:rPr>
        <w:t>Swab the abdominal and thoracic areas with 75% ethanol to disinfect the skin and reduce microbial contamination during surgery.</w:t>
      </w:r>
    </w:p>
    <w:p w14:paraId="7F937530">
      <w:pPr>
        <w:rPr>
          <w:rFonts w:eastAsiaTheme="minorEastAsia"/>
          <w:lang w:eastAsia="zh-CN"/>
        </w:rPr>
      </w:pPr>
    </w:p>
    <w:p w14:paraId="2E3EAE03">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 xml:space="preserve">Make a midline incision along the abdominal region using sterile surgical scissors to expose the peritoneal cavity. </w:t>
      </w:r>
    </w:p>
    <w:p w14:paraId="01B5E70F">
      <w:pPr>
        <w:rPr>
          <w:rFonts w:eastAsiaTheme="minorEastAsia"/>
          <w:lang w:eastAsia="zh-CN"/>
        </w:rPr>
      </w:pPr>
    </w:p>
    <w:p w14:paraId="2E3EAE04">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Gently separate and expose the stomach and intestines. Use a sterile drape to protect surrounding tissues and organs during the procedure.</w:t>
      </w:r>
    </w:p>
    <w:p w14:paraId="6A849630">
      <w:pPr>
        <w:rPr>
          <w:rFonts w:eastAsiaTheme="minorEastAsia"/>
          <w:lang w:eastAsia="zh-CN"/>
        </w:rPr>
      </w:pPr>
    </w:p>
    <w:p w14:paraId="2E3EAE06">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Carefully transect the pyloric sphincter to separate the stomach from the proximal duodenum. Ensure the duodenum remains intact for subsequent procedures.</w:t>
      </w:r>
    </w:p>
    <w:p w14:paraId="4DC988D2">
      <w:pPr>
        <w:rPr>
          <w:rFonts w:eastAsiaTheme="minorEastAsia"/>
          <w:lang w:eastAsia="zh-CN"/>
        </w:rPr>
      </w:pPr>
    </w:p>
    <w:p w14:paraId="214608D1">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Dissect the distal colon at the recto-anal junction while avoiding any damage to the surrounding tissues.</w:t>
      </w:r>
    </w:p>
    <w:p w14:paraId="7F0F85CB">
      <w:pPr>
        <w:pStyle w:val="27"/>
        <w:spacing w:after="0"/>
        <w:rPr>
          <w:rFonts w:ascii="Calibri" w:hAnsi="Calibri" w:cs="Calibri" w:eastAsiaTheme="minorEastAsia"/>
          <w:sz w:val="24"/>
          <w:szCs w:val="24"/>
          <w:lang w:eastAsia="zh-CN"/>
        </w:rPr>
      </w:pPr>
    </w:p>
    <w:p w14:paraId="2E3EAE08">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Gently free the mesenteric attachments from the small intestine using fine forceps or scissors. Be cautious not to stretch or tear the mesentery.</w:t>
      </w:r>
    </w:p>
    <w:p w14:paraId="42F3C3C1">
      <w:pPr>
        <w:rPr>
          <w:rFonts w:eastAsiaTheme="minorEastAsia"/>
          <w:lang w:eastAsia="zh-CN"/>
        </w:rPr>
      </w:pPr>
    </w:p>
    <w:p w14:paraId="2E3EAE09">
      <w:pPr>
        <w:pStyle w:val="27"/>
        <w:numPr>
          <w:ilvl w:val="1"/>
          <w:numId w:val="2"/>
        </w:numPr>
        <w:spacing w:after="0"/>
        <w:ind w:left="0" w:firstLine="0"/>
        <w:rPr>
          <w:rFonts w:ascii="Calibri" w:hAnsi="Calibri" w:cs="Calibri" w:eastAsiaTheme="minorEastAsia"/>
          <w:sz w:val="24"/>
          <w:szCs w:val="24"/>
          <w:lang w:eastAsia="zh-CN"/>
        </w:rPr>
      </w:pPr>
      <w:r>
        <w:rPr>
          <w:rFonts w:ascii="Calibri" w:hAnsi="Calibri" w:cs="Calibri" w:eastAsiaTheme="minorEastAsia"/>
          <w:sz w:val="24"/>
          <w:szCs w:val="24"/>
          <w:lang w:eastAsia="zh-CN"/>
        </w:rPr>
        <w:t xml:space="preserve">Immediately transfer the intact small intestine to an ice-cold solution of oxygenated Krebs-Ringer Buffer (Tyrode's solution, 4 </w:t>
      </w:r>
      <w:r>
        <w:rPr>
          <w:rFonts w:ascii="Cambria Math" w:hAnsi="Cambria Math" w:cs="Cambria Math" w:eastAsiaTheme="minorEastAsia"/>
          <w:sz w:val="24"/>
          <w:szCs w:val="24"/>
          <w:lang w:eastAsia="zh-CN"/>
        </w:rPr>
        <w:t>℃</w:t>
      </w:r>
      <w:r>
        <w:rPr>
          <w:rFonts w:ascii="Calibri" w:hAnsi="Calibri" w:cs="Calibri" w:eastAsiaTheme="minorEastAsia"/>
          <w:sz w:val="24"/>
          <w:szCs w:val="24"/>
          <w:lang w:eastAsia="zh-CN"/>
        </w:rPr>
        <w:t xml:space="preserve">). </w:t>
      </w:r>
    </w:p>
    <w:p w14:paraId="2E3EAE0A">
      <w:pPr>
        <w:rPr>
          <w:rFonts w:eastAsiaTheme="minorEastAsia"/>
          <w:lang w:eastAsia="zh-CN"/>
        </w:rPr>
      </w:pPr>
    </w:p>
    <w:p w14:paraId="2E3EAE0B">
      <w:pPr>
        <w:pStyle w:val="27"/>
        <w:numPr>
          <w:ilvl w:val="0"/>
          <w:numId w:val="1"/>
        </w:numPr>
        <w:spacing w:after="0"/>
        <w:rPr>
          <w:rFonts w:ascii="Calibri" w:hAnsi="Calibri" w:cs="Calibri" w:eastAsiaTheme="minorEastAsia"/>
          <w:b/>
          <w:bCs/>
          <w:sz w:val="24"/>
          <w:szCs w:val="24"/>
          <w:highlight w:val="yellow"/>
          <w:lang w:eastAsia="zh-CN"/>
        </w:rPr>
      </w:pPr>
      <w:r>
        <w:rPr>
          <w:rFonts w:ascii="Calibri" w:hAnsi="Calibri" w:cs="Calibri" w:eastAsiaTheme="minorEastAsia"/>
          <w:b/>
          <w:bCs/>
          <w:i/>
          <w:iCs/>
          <w:sz w:val="24"/>
          <w:szCs w:val="24"/>
          <w:highlight w:val="yellow"/>
          <w:lang w:eastAsia="zh-CN"/>
        </w:rPr>
        <w:t>Ex vivo</w:t>
      </w:r>
      <w:r>
        <w:rPr>
          <w:rFonts w:ascii="Calibri" w:hAnsi="Calibri" w:cs="Calibri" w:eastAsiaTheme="minorEastAsia"/>
          <w:b/>
          <w:bCs/>
          <w:sz w:val="24"/>
          <w:szCs w:val="24"/>
          <w:highlight w:val="yellow"/>
          <w:lang w:eastAsia="zh-CN"/>
        </w:rPr>
        <w:t xml:space="preserve"> everted gut-sac preparation</w:t>
      </w:r>
    </w:p>
    <w:p w14:paraId="020AAA37">
      <w:pPr>
        <w:rPr>
          <w:rFonts w:eastAsiaTheme="minorEastAsia"/>
          <w:highlight w:val="yellow"/>
          <w:lang w:eastAsia="zh-CN"/>
        </w:rPr>
      </w:pPr>
    </w:p>
    <w:p w14:paraId="5DDA0D7F">
      <w:pPr>
        <w:numPr>
          <w:ilvl w:val="1"/>
          <w:numId w:val="1"/>
        </w:numPr>
        <w:rPr>
          <w:rFonts w:eastAsiaTheme="minorEastAsia"/>
          <w:highlight w:val="yellow"/>
          <w:lang w:eastAsia="zh-CN"/>
        </w:rPr>
      </w:pPr>
      <w:r>
        <w:rPr>
          <w:rFonts w:eastAsiaTheme="minorEastAsia"/>
          <w:highlight w:val="yellow"/>
          <w:lang w:eastAsia="zh-CN"/>
        </w:rPr>
        <w:t xml:space="preserve">Select intestinal segments as follows: an 8 cm segment located 10 cm distal to the pylorus was designated the duodenal segment. </w:t>
      </w:r>
    </w:p>
    <w:p w14:paraId="546866EA">
      <w:pPr>
        <w:rPr>
          <w:rFonts w:eastAsiaTheme="minorEastAsia"/>
          <w:highlight w:val="yellow"/>
          <w:lang w:eastAsia="zh-CN"/>
        </w:rPr>
      </w:pPr>
    </w:p>
    <w:p w14:paraId="6635BA2B">
      <w:pPr>
        <w:numPr>
          <w:ilvl w:val="1"/>
          <w:numId w:val="1"/>
        </w:numPr>
        <w:rPr>
          <w:rFonts w:eastAsiaTheme="minorEastAsia"/>
          <w:highlight w:val="yellow"/>
          <w:lang w:eastAsia="zh-CN"/>
        </w:rPr>
      </w:pPr>
      <w:r>
        <w:rPr>
          <w:rFonts w:eastAsiaTheme="minorEastAsia"/>
          <w:highlight w:val="yellow"/>
          <w:lang w:eastAsia="zh-CN"/>
        </w:rPr>
        <w:t>Collect an 8 cm jejunal segment starting 16 cm distal to the duodenal segment.</w:t>
      </w:r>
    </w:p>
    <w:p w14:paraId="5B1A1406">
      <w:pPr>
        <w:rPr>
          <w:rFonts w:eastAsiaTheme="minorEastAsia"/>
          <w:highlight w:val="yellow"/>
          <w:lang w:eastAsia="zh-CN"/>
        </w:rPr>
      </w:pPr>
    </w:p>
    <w:p w14:paraId="67BFB437">
      <w:pPr>
        <w:numPr>
          <w:ilvl w:val="1"/>
          <w:numId w:val="1"/>
        </w:numPr>
        <w:rPr>
          <w:rFonts w:eastAsiaTheme="minorEastAsia"/>
          <w:highlight w:val="yellow"/>
          <w:lang w:eastAsia="zh-CN"/>
        </w:rPr>
      </w:pPr>
      <w:r>
        <w:rPr>
          <w:rFonts w:eastAsiaTheme="minorEastAsia"/>
          <w:highlight w:val="yellow"/>
          <w:lang w:eastAsia="zh-CN"/>
        </w:rPr>
        <w:t>Obtain an 8 cm ileal segment starting a further 16 cm distal to the jejunal segment.</w:t>
      </w:r>
    </w:p>
    <w:p w14:paraId="3CD82639">
      <w:pPr>
        <w:rPr>
          <w:rFonts w:eastAsiaTheme="minorEastAsia"/>
          <w:highlight w:val="yellow"/>
          <w:lang w:eastAsia="zh-CN"/>
        </w:rPr>
      </w:pPr>
    </w:p>
    <w:p w14:paraId="3DEDB751">
      <w:pPr>
        <w:numPr>
          <w:ilvl w:val="1"/>
          <w:numId w:val="1"/>
        </w:numPr>
        <w:rPr>
          <w:rFonts w:eastAsiaTheme="minorEastAsia"/>
          <w:highlight w:val="yellow"/>
          <w:lang w:eastAsia="zh-CN"/>
        </w:rPr>
      </w:pPr>
      <w:r>
        <w:rPr>
          <w:rFonts w:eastAsiaTheme="minorEastAsia"/>
          <w:highlight w:val="yellow"/>
          <w:lang w:eastAsia="zh-CN"/>
        </w:rPr>
        <w:t>For the colon, collect an 8 cm segment located 5 cm proximal to the cecal blind end.</w:t>
      </w:r>
    </w:p>
    <w:p w14:paraId="335A36E2">
      <w:pPr>
        <w:pStyle w:val="27"/>
        <w:spacing w:after="0"/>
        <w:rPr>
          <w:rFonts w:ascii="Calibri" w:hAnsi="Calibri" w:cs="Calibri" w:eastAsiaTheme="minorEastAsia"/>
          <w:sz w:val="24"/>
          <w:szCs w:val="24"/>
          <w:highlight w:val="yellow"/>
          <w:lang w:eastAsia="zh-CN"/>
        </w:rPr>
      </w:pPr>
    </w:p>
    <w:p w14:paraId="2E3EAE0F">
      <w:pPr>
        <w:rPr>
          <w:rFonts w:eastAsiaTheme="minorEastAsia"/>
          <w:highlight w:val="yellow"/>
          <w:lang w:eastAsia="zh-CN"/>
        </w:rPr>
      </w:pPr>
      <w:r>
        <w:rPr>
          <w:rFonts w:eastAsiaTheme="minorEastAsia"/>
          <w:highlight w:val="yellow"/>
          <w:lang w:eastAsia="zh-CN"/>
        </w:rPr>
        <w:t>NOTE: Ensure the tissue is elastic and intact, suitable for inversion during preparation.</w:t>
      </w:r>
    </w:p>
    <w:p w14:paraId="13BD9E03">
      <w:pPr>
        <w:rPr>
          <w:rFonts w:eastAsiaTheme="minorEastAsia"/>
          <w:highlight w:val="yellow"/>
          <w:lang w:eastAsia="zh-CN"/>
        </w:rPr>
      </w:pPr>
    </w:p>
    <w:p w14:paraId="2E3EAE12">
      <w:pPr>
        <w:numPr>
          <w:ilvl w:val="1"/>
          <w:numId w:val="1"/>
        </w:numPr>
        <w:rPr>
          <w:rFonts w:eastAsiaTheme="minorEastAsia"/>
          <w:highlight w:val="yellow"/>
          <w:lang w:eastAsia="zh-CN"/>
        </w:rPr>
      </w:pPr>
      <w:r>
        <w:rPr>
          <w:rFonts w:eastAsiaTheme="minorEastAsia"/>
          <w:highlight w:val="yellow"/>
          <w:lang w:eastAsia="zh-CN"/>
        </w:rPr>
        <w:t>Rinse the intestinal lumen using a 2 mL syringe filled with ice-cold, oxygenated Tyrode's solution.</w:t>
      </w:r>
    </w:p>
    <w:p w14:paraId="7223DA4A">
      <w:pPr>
        <w:rPr>
          <w:rFonts w:eastAsiaTheme="minorEastAsia"/>
          <w:highlight w:val="yellow"/>
          <w:lang w:eastAsia="zh-CN"/>
        </w:rPr>
      </w:pPr>
    </w:p>
    <w:p w14:paraId="2E3EAE13">
      <w:pPr>
        <w:numPr>
          <w:ilvl w:val="1"/>
          <w:numId w:val="1"/>
        </w:numPr>
        <w:rPr>
          <w:rFonts w:eastAsiaTheme="minorEastAsia"/>
          <w:highlight w:val="yellow"/>
          <w:lang w:eastAsia="zh-CN"/>
        </w:rPr>
      </w:pPr>
      <w:r>
        <w:rPr>
          <w:rFonts w:eastAsiaTheme="minorEastAsia"/>
          <w:highlight w:val="yellow"/>
          <w:lang w:eastAsia="zh-CN"/>
        </w:rPr>
        <w:t>Dispose of the effluent following institutional biohazard waste protocols to maintain sterility and prevent contamination.</w:t>
      </w:r>
    </w:p>
    <w:p w14:paraId="1BF40421">
      <w:pPr>
        <w:rPr>
          <w:rFonts w:eastAsiaTheme="minorEastAsia"/>
          <w:highlight w:val="yellow"/>
          <w:lang w:eastAsia="zh-CN"/>
        </w:rPr>
      </w:pPr>
    </w:p>
    <w:p w14:paraId="2E3EAE14">
      <w:pPr>
        <w:rPr>
          <w:rFonts w:eastAsiaTheme="minorEastAsia"/>
          <w:highlight w:val="yellow"/>
          <w:lang w:eastAsia="zh-CN"/>
        </w:rPr>
      </w:pPr>
      <w:r>
        <w:rPr>
          <w:rFonts w:eastAsiaTheme="minorEastAsia"/>
          <w:highlight w:val="yellow"/>
          <w:lang w:eastAsia="zh-CN"/>
        </w:rPr>
        <w:t>CAUTION: Handle biological waste using gloves and appropriate protective equipment to avoid exposure to potentially infectious material. Dispose of all biological waste and effluent following institutional biohazard safety guidelines to prevent environmental contamination.</w:t>
      </w:r>
    </w:p>
    <w:p w14:paraId="11614693">
      <w:pPr>
        <w:rPr>
          <w:rFonts w:eastAsiaTheme="minorEastAsia"/>
          <w:highlight w:val="yellow"/>
          <w:lang w:eastAsia="zh-CN"/>
        </w:rPr>
      </w:pPr>
    </w:p>
    <w:p w14:paraId="122A825B">
      <w:pPr>
        <w:numPr>
          <w:ilvl w:val="1"/>
          <w:numId w:val="1"/>
        </w:numPr>
        <w:rPr>
          <w:rFonts w:eastAsiaTheme="minorEastAsia"/>
          <w:highlight w:val="yellow"/>
          <w:lang w:eastAsia="zh-CN"/>
        </w:rPr>
      </w:pPr>
      <w:r>
        <w:rPr>
          <w:rFonts w:eastAsiaTheme="minorEastAsia"/>
          <w:highlight w:val="yellow"/>
          <w:lang w:eastAsia="zh-CN"/>
        </w:rPr>
        <w:t>Insert the proximal end of the intestinal segment onto a 4 mm polished glass rod. Ensure the rod surface is smooth to prevent mucosal tearing.</w:t>
      </w:r>
    </w:p>
    <w:p w14:paraId="426C84C1">
      <w:pPr>
        <w:rPr>
          <w:rFonts w:eastAsiaTheme="minorEastAsia"/>
          <w:highlight w:val="yellow"/>
          <w:lang w:eastAsia="zh-CN"/>
        </w:rPr>
      </w:pPr>
    </w:p>
    <w:p w14:paraId="2E3EAE19">
      <w:pPr>
        <w:numPr>
          <w:ilvl w:val="1"/>
          <w:numId w:val="1"/>
        </w:numPr>
        <w:rPr>
          <w:rFonts w:eastAsiaTheme="minorEastAsia"/>
          <w:highlight w:val="yellow"/>
          <w:lang w:eastAsia="zh-CN"/>
        </w:rPr>
      </w:pPr>
      <w:r>
        <w:rPr>
          <w:rFonts w:eastAsiaTheme="minorEastAsia"/>
          <w:highlight w:val="yellow"/>
          <w:lang w:eastAsia="zh-CN"/>
        </w:rPr>
        <w:t>Tie the distal end of the segment with a 2-0 silk suture to secure the tissue onto the rod. Confirm that the tissue remains stable during inversion.</w:t>
      </w:r>
    </w:p>
    <w:p w14:paraId="7F9E2152">
      <w:pPr>
        <w:rPr>
          <w:rFonts w:eastAsiaTheme="minorEastAsia"/>
          <w:highlight w:val="yellow"/>
          <w:lang w:eastAsia="zh-CN"/>
        </w:rPr>
      </w:pPr>
    </w:p>
    <w:p w14:paraId="2E3EAE1B">
      <w:pPr>
        <w:numPr>
          <w:ilvl w:val="1"/>
          <w:numId w:val="1"/>
        </w:numPr>
        <w:rPr>
          <w:rFonts w:eastAsiaTheme="minorEastAsia"/>
          <w:highlight w:val="yellow"/>
          <w:lang w:eastAsia="zh-CN"/>
        </w:rPr>
      </w:pPr>
      <w:r>
        <w:rPr>
          <w:rFonts w:eastAsiaTheme="minorEastAsia"/>
          <w:highlight w:val="yellow"/>
          <w:lang w:eastAsia="zh-CN"/>
        </w:rPr>
        <w:t>Gently evert the intestinal segment by sliding the tissue along the rod until the mucosa is completely exposed. Avoid excessive stretching or twisting to maintain tissue integrity.</w:t>
      </w:r>
    </w:p>
    <w:p w14:paraId="04CB0F39">
      <w:pPr>
        <w:rPr>
          <w:rFonts w:eastAsiaTheme="minorEastAsia"/>
          <w:highlight w:val="yellow"/>
          <w:lang w:eastAsia="zh-CN"/>
        </w:rPr>
      </w:pPr>
    </w:p>
    <w:p w14:paraId="2E3EAE1D">
      <w:pPr>
        <w:numPr>
          <w:ilvl w:val="1"/>
          <w:numId w:val="1"/>
        </w:numPr>
        <w:rPr>
          <w:rFonts w:eastAsiaTheme="minorEastAsia"/>
          <w:highlight w:val="yellow"/>
          <w:lang w:eastAsia="zh-CN"/>
        </w:rPr>
      </w:pPr>
      <w:r>
        <w:rPr>
          <w:rFonts w:eastAsiaTheme="minorEastAsia"/>
          <w:highlight w:val="yellow"/>
          <w:lang w:eastAsia="zh-CN"/>
        </w:rPr>
        <w:t>Instill 2 mL of ice-cold Tyrode's solution into the lumen to check for leakage. Acceptable leakage should be &lt;5% within 1 min. If leakage is detected, adjust the sutures and verify complete inversion of the mucosal surface.</w:t>
      </w:r>
    </w:p>
    <w:p w14:paraId="5E003CA2">
      <w:pPr>
        <w:rPr>
          <w:rFonts w:eastAsiaTheme="minorEastAsia"/>
          <w:highlight w:val="yellow"/>
          <w:lang w:eastAsia="zh-CN"/>
        </w:rPr>
      </w:pPr>
    </w:p>
    <w:p w14:paraId="2E3EAE1E">
      <w:pPr>
        <w:rPr>
          <w:rFonts w:eastAsiaTheme="minorEastAsia"/>
          <w:highlight w:val="yellow"/>
          <w:lang w:eastAsia="zh-CN"/>
        </w:rPr>
      </w:pPr>
      <w:r>
        <w:rPr>
          <w:rFonts w:eastAsiaTheme="minorEastAsia"/>
          <w:highlight w:val="yellow"/>
          <w:lang w:eastAsia="zh-CN"/>
        </w:rPr>
        <w:t>NOTE: Perform the eversion in a cold environment to minimize enzymatic degradation and preserve tissue viability.</w:t>
      </w:r>
    </w:p>
    <w:p w14:paraId="55AF78AB">
      <w:pPr>
        <w:rPr>
          <w:rFonts w:eastAsiaTheme="minorEastAsia"/>
          <w:highlight w:val="yellow"/>
          <w:lang w:eastAsia="zh-CN"/>
        </w:rPr>
      </w:pPr>
    </w:p>
    <w:p w14:paraId="2E3EAE21">
      <w:pPr>
        <w:numPr>
          <w:ilvl w:val="1"/>
          <w:numId w:val="1"/>
        </w:numPr>
        <w:rPr>
          <w:rFonts w:eastAsiaTheme="minorEastAsia"/>
          <w:highlight w:val="yellow"/>
          <w:lang w:eastAsia="zh-CN"/>
        </w:rPr>
      </w:pPr>
      <w:r>
        <w:rPr>
          <w:rFonts w:eastAsiaTheme="minorEastAsia"/>
          <w:highlight w:val="yellow"/>
          <w:lang w:eastAsia="zh-CN"/>
        </w:rPr>
        <w:t>Insert a 5 cm length of 3 mm glass capillary into the open end of the everted segment to serve as the inlet for perfusion. Advance the cannula gently to avoid mucosal tears.</w:t>
      </w:r>
    </w:p>
    <w:p w14:paraId="4F617969">
      <w:pPr>
        <w:rPr>
          <w:rFonts w:eastAsiaTheme="minorEastAsia"/>
          <w:highlight w:val="yellow"/>
          <w:lang w:eastAsia="zh-CN"/>
        </w:rPr>
      </w:pPr>
    </w:p>
    <w:p w14:paraId="2E3EAE23">
      <w:pPr>
        <w:numPr>
          <w:ilvl w:val="1"/>
          <w:numId w:val="1"/>
        </w:numPr>
        <w:rPr>
          <w:rFonts w:eastAsiaTheme="minorEastAsia"/>
          <w:highlight w:val="yellow"/>
          <w:lang w:eastAsia="zh-CN"/>
        </w:rPr>
      </w:pPr>
      <w:r>
        <w:rPr>
          <w:rFonts w:eastAsiaTheme="minorEastAsia"/>
          <w:highlight w:val="yellow"/>
          <w:lang w:eastAsia="zh-CN"/>
        </w:rPr>
        <w:t>Secure the cannula using 2-0 silk sutures. Ensure that the cannula remains fixed in position without collapsing or obstructing fluid flow.</w:t>
      </w:r>
    </w:p>
    <w:p w14:paraId="573155E9">
      <w:pPr>
        <w:rPr>
          <w:rFonts w:eastAsiaTheme="minorEastAsia"/>
          <w:highlight w:val="yellow"/>
          <w:lang w:eastAsia="zh-CN"/>
        </w:rPr>
      </w:pPr>
    </w:p>
    <w:p w14:paraId="78C6F1FE">
      <w:pPr>
        <w:numPr>
          <w:ilvl w:val="1"/>
          <w:numId w:val="1"/>
        </w:numPr>
        <w:rPr>
          <w:rFonts w:eastAsiaTheme="minorEastAsia"/>
          <w:highlight w:val="yellow"/>
          <w:lang w:eastAsia="zh-CN"/>
        </w:rPr>
      </w:pPr>
      <w:r>
        <w:rPr>
          <w:rFonts w:eastAsiaTheme="minorEastAsia"/>
          <w:highlight w:val="yellow"/>
          <w:lang w:eastAsia="zh-CN"/>
        </w:rPr>
        <w:t>Apply gentle tension to the sutures to maintain the proper shape of the gut sac. Prevent kinking or twisting, as these may disrupt perfusion and alter absorption results.</w:t>
      </w:r>
    </w:p>
    <w:p w14:paraId="6ADCD1D1">
      <w:pPr>
        <w:pStyle w:val="27"/>
        <w:spacing w:after="0"/>
        <w:rPr>
          <w:rFonts w:eastAsiaTheme="minorEastAsia"/>
          <w:highlight w:val="yellow"/>
          <w:lang w:eastAsia="zh-CN"/>
        </w:rPr>
      </w:pPr>
    </w:p>
    <w:p w14:paraId="2E3EAE28">
      <w:pPr>
        <w:numPr>
          <w:ilvl w:val="1"/>
          <w:numId w:val="1"/>
        </w:numPr>
        <w:rPr>
          <w:rFonts w:eastAsiaTheme="minorEastAsia"/>
          <w:highlight w:val="yellow"/>
          <w:lang w:eastAsia="zh-CN"/>
        </w:rPr>
      </w:pPr>
      <w:r>
        <w:rPr>
          <w:rFonts w:eastAsiaTheme="minorEastAsia"/>
          <w:highlight w:val="yellow"/>
          <w:lang w:eastAsia="zh-CN"/>
        </w:rPr>
        <w:t>Avoid excessive tightening, as this could damage the tissue or deform the sac. Maintain uniform tension throughout the experiment. Regularly examine the everted gut sac for leakage or structural damage. If leakage exceeds 5%, repair or replace the segment before continuing.</w:t>
      </w:r>
    </w:p>
    <w:p w14:paraId="2E3EAE29">
      <w:pPr>
        <w:rPr>
          <w:rFonts w:eastAsiaTheme="minorEastAsia"/>
          <w:lang w:eastAsia="zh-CN"/>
        </w:rPr>
      </w:pPr>
    </w:p>
    <w:p w14:paraId="2E3EAE2A">
      <w:pPr>
        <w:pStyle w:val="27"/>
        <w:numPr>
          <w:ilvl w:val="0"/>
          <w:numId w:val="1"/>
        </w:numPr>
        <w:spacing w:after="0"/>
        <w:rPr>
          <w:rFonts w:ascii="Calibri" w:hAnsi="Calibri" w:cs="Calibri" w:eastAsiaTheme="minorEastAsia"/>
          <w:b/>
          <w:bCs/>
          <w:sz w:val="24"/>
          <w:szCs w:val="24"/>
          <w:highlight w:val="yellow"/>
          <w:lang w:eastAsia="zh-CN"/>
        </w:rPr>
      </w:pPr>
      <w:r>
        <w:rPr>
          <w:rFonts w:ascii="Calibri" w:hAnsi="Calibri" w:cs="Calibri" w:eastAsiaTheme="minorEastAsia"/>
          <w:b/>
          <w:bCs/>
          <w:sz w:val="24"/>
          <w:szCs w:val="24"/>
          <w:highlight w:val="yellow"/>
          <w:lang w:eastAsia="zh-CN"/>
        </w:rPr>
        <w:t>AAV transduction and incubation</w:t>
      </w:r>
    </w:p>
    <w:p w14:paraId="32609191">
      <w:pPr>
        <w:pStyle w:val="27"/>
        <w:spacing w:after="0"/>
        <w:ind w:left="0"/>
        <w:rPr>
          <w:rFonts w:ascii="Calibri" w:hAnsi="Calibri" w:cs="Calibri" w:eastAsiaTheme="minorEastAsia"/>
          <w:b/>
          <w:bCs/>
          <w:sz w:val="24"/>
          <w:szCs w:val="24"/>
          <w:highlight w:val="yellow"/>
          <w:lang w:eastAsia="zh-CN"/>
        </w:rPr>
      </w:pPr>
    </w:p>
    <w:p w14:paraId="6846DCF0">
      <w:pPr>
        <w:numPr>
          <w:ilvl w:val="1"/>
          <w:numId w:val="1"/>
        </w:numPr>
        <w:rPr>
          <w:rFonts w:eastAsiaTheme="minorEastAsia"/>
          <w:highlight w:val="yellow"/>
          <w:lang w:eastAsia="zh-CN"/>
        </w:rPr>
      </w:pPr>
      <w:r>
        <w:rPr>
          <w:rFonts w:eastAsiaTheme="minorEastAsia"/>
          <w:highlight w:val="yellow"/>
          <w:lang w:eastAsia="zh-CN"/>
        </w:rPr>
        <w:t xml:space="preserve">Place each everted sac into a 7 mL conical tube containing 4 mL of 37 °C oxygenated Tyrode's solution. </w:t>
      </w:r>
    </w:p>
    <w:p w14:paraId="352F448C">
      <w:pPr>
        <w:rPr>
          <w:rFonts w:eastAsiaTheme="minorEastAsia"/>
          <w:highlight w:val="yellow"/>
          <w:lang w:eastAsia="zh-CN"/>
        </w:rPr>
      </w:pPr>
    </w:p>
    <w:p w14:paraId="7894D191">
      <w:pPr>
        <w:numPr>
          <w:ilvl w:val="1"/>
          <w:numId w:val="1"/>
        </w:numPr>
        <w:rPr>
          <w:rFonts w:eastAsiaTheme="minorEastAsia"/>
          <w:highlight w:val="yellow"/>
          <w:lang w:eastAsia="zh-CN"/>
        </w:rPr>
      </w:pPr>
      <w:r>
        <w:rPr>
          <w:rFonts w:eastAsiaTheme="minorEastAsia"/>
          <w:highlight w:val="yellow"/>
          <w:lang w:eastAsia="zh-CN"/>
        </w:rPr>
        <w:t xml:space="preserve">Add viral solution as follows: Control: AAV9-CMV-EGFP alone; Experimental: AAV9-CMV-EGFP + GZNG. </w:t>
      </w:r>
    </w:p>
    <w:p w14:paraId="13F0ED42">
      <w:pPr>
        <w:pStyle w:val="27"/>
        <w:spacing w:after="0"/>
        <w:rPr>
          <w:rFonts w:eastAsiaTheme="minorEastAsia"/>
          <w:highlight w:val="yellow"/>
          <w:lang w:eastAsia="zh-CN"/>
        </w:rPr>
      </w:pPr>
    </w:p>
    <w:p w14:paraId="2E3EAE2B">
      <w:pPr>
        <w:numPr>
          <w:ilvl w:val="1"/>
          <w:numId w:val="1"/>
        </w:numPr>
        <w:rPr>
          <w:rFonts w:eastAsiaTheme="minorEastAsia"/>
          <w:highlight w:val="yellow"/>
          <w:lang w:eastAsia="zh-CN"/>
        </w:rPr>
      </w:pPr>
      <w:r>
        <w:rPr>
          <w:rFonts w:eastAsiaTheme="minorEastAsia"/>
          <w:highlight w:val="yellow"/>
          <w:lang w:eastAsia="zh-CN"/>
        </w:rPr>
        <w:t xml:space="preserve">Incubate </w:t>
      </w:r>
      <w:r>
        <w:rPr>
          <w:rFonts w:hint="eastAsia" w:eastAsiaTheme="minorEastAsia"/>
          <w:highlight w:val="yellow"/>
          <w:lang w:eastAsia="zh-CN"/>
        </w:rPr>
        <w:t xml:space="preserve">statically </w:t>
      </w:r>
      <w:r>
        <w:rPr>
          <w:rFonts w:eastAsiaTheme="minorEastAsia"/>
          <w:highlight w:val="yellow"/>
          <w:lang w:eastAsia="zh-CN"/>
        </w:rPr>
        <w:t>at 37 °C for 2 h</w:t>
      </w:r>
      <w:r>
        <w:rPr>
          <w:rFonts w:hint="eastAsia" w:eastAsiaTheme="minorEastAsia"/>
          <w:highlight w:val="yellow"/>
          <w:lang w:eastAsia="zh-CN"/>
        </w:rPr>
        <w:t xml:space="preserve">, </w:t>
      </w:r>
      <w:r>
        <w:rPr>
          <w:rFonts w:eastAsiaTheme="minorEastAsia"/>
          <w:highlight w:val="yellow"/>
          <w:lang w:eastAsia="zh-CN"/>
        </w:rPr>
        <w:t>during which a gas mixture of 95% O</w:t>
      </w:r>
      <w:r>
        <w:rPr>
          <w:rFonts w:eastAsiaTheme="minorEastAsia"/>
          <w:highlight w:val="yellow"/>
          <w:vertAlign w:val="subscript"/>
          <w:lang w:eastAsia="zh-CN"/>
        </w:rPr>
        <w:t>2</w:t>
      </w:r>
      <w:r>
        <w:rPr>
          <w:rFonts w:eastAsiaTheme="minorEastAsia"/>
          <w:highlight w:val="yellow"/>
          <w:lang w:eastAsia="zh-CN"/>
        </w:rPr>
        <w:t>/5% CO</w:t>
      </w:r>
      <w:r>
        <w:rPr>
          <w:rFonts w:eastAsiaTheme="minorEastAsia"/>
          <w:highlight w:val="yellow"/>
          <w:vertAlign w:val="subscript"/>
          <w:lang w:eastAsia="zh-CN"/>
        </w:rPr>
        <w:t>2</w:t>
      </w:r>
      <w:r>
        <w:rPr>
          <w:rFonts w:eastAsiaTheme="minorEastAsia"/>
          <w:highlight w:val="yellow"/>
          <w:lang w:eastAsia="zh-CN"/>
        </w:rPr>
        <w:t xml:space="preserve"> was continuously bubbled into the solution.</w:t>
      </w:r>
    </w:p>
    <w:p w14:paraId="2E3EAE2C">
      <w:pPr>
        <w:rPr>
          <w:rFonts w:eastAsiaTheme="minorEastAsia"/>
          <w:lang w:eastAsia="zh-CN"/>
        </w:rPr>
      </w:pPr>
    </w:p>
    <w:p w14:paraId="2E3EAE2D">
      <w:pPr>
        <w:pStyle w:val="27"/>
        <w:numPr>
          <w:ilvl w:val="0"/>
          <w:numId w:val="1"/>
        </w:numPr>
        <w:spacing w:after="0"/>
        <w:rPr>
          <w:rFonts w:ascii="Calibri" w:hAnsi="Calibri" w:cs="Calibri" w:eastAsiaTheme="minorEastAsia"/>
          <w:b/>
          <w:bCs/>
          <w:sz w:val="24"/>
          <w:szCs w:val="24"/>
          <w:highlight w:val="yellow"/>
          <w:lang w:eastAsia="zh-CN"/>
        </w:rPr>
      </w:pPr>
      <w:r>
        <w:rPr>
          <w:rFonts w:ascii="Calibri" w:hAnsi="Calibri" w:cs="Calibri" w:eastAsiaTheme="minorEastAsia"/>
          <w:b/>
          <w:bCs/>
          <w:sz w:val="24"/>
          <w:szCs w:val="24"/>
          <w:highlight w:val="yellow"/>
          <w:lang w:eastAsia="zh-CN"/>
        </w:rPr>
        <w:t>Sampling, endpoint processing, and analysis</w:t>
      </w:r>
    </w:p>
    <w:p w14:paraId="13D772B8">
      <w:pPr>
        <w:rPr>
          <w:rFonts w:eastAsiaTheme="minorEastAsia"/>
          <w:highlight w:val="yellow"/>
          <w:lang w:eastAsia="zh-CN"/>
        </w:rPr>
      </w:pPr>
    </w:p>
    <w:p w14:paraId="2E3EAE2F">
      <w:pPr>
        <w:numPr>
          <w:ilvl w:val="1"/>
          <w:numId w:val="1"/>
        </w:numPr>
        <w:rPr>
          <w:rFonts w:eastAsiaTheme="minorEastAsia"/>
          <w:highlight w:val="yellow"/>
          <w:lang w:eastAsia="zh-CN"/>
        </w:rPr>
      </w:pPr>
      <w:r>
        <w:rPr>
          <w:rFonts w:eastAsiaTheme="minorEastAsia"/>
          <w:highlight w:val="yellow"/>
          <w:lang w:eastAsia="zh-CN"/>
        </w:rPr>
        <w:t>Time-course sampling</w:t>
      </w:r>
    </w:p>
    <w:p w14:paraId="1FA8FD5E">
      <w:pPr>
        <w:rPr>
          <w:rFonts w:eastAsiaTheme="minorEastAsia"/>
          <w:highlight w:val="yellow"/>
          <w:lang w:eastAsia="zh-CN"/>
        </w:rPr>
      </w:pPr>
    </w:p>
    <w:p w14:paraId="2E3EAE31">
      <w:pPr>
        <w:numPr>
          <w:ilvl w:val="2"/>
          <w:numId w:val="1"/>
        </w:numPr>
        <w:rPr>
          <w:rFonts w:eastAsiaTheme="minorEastAsia"/>
          <w:highlight w:val="yellow"/>
          <w:lang w:eastAsia="zh-CN"/>
        </w:rPr>
      </w:pPr>
      <w:r>
        <w:rPr>
          <w:rFonts w:eastAsiaTheme="minorEastAsia"/>
          <w:highlight w:val="yellow"/>
          <w:lang w:eastAsia="zh-CN"/>
        </w:rPr>
        <w:t>Withdraw 50 μL of serosal fluid from each gut sac at 0, 30, 60, 90, and 120 min using a calibrated microsyringe. Ensure accurate sampling without introducing air bubbles.</w:t>
      </w:r>
    </w:p>
    <w:p w14:paraId="33712933">
      <w:pPr>
        <w:rPr>
          <w:rFonts w:eastAsiaTheme="minorEastAsia"/>
          <w:highlight w:val="yellow"/>
          <w:lang w:eastAsia="zh-CN"/>
        </w:rPr>
      </w:pPr>
    </w:p>
    <w:p w14:paraId="2E3EAE33">
      <w:pPr>
        <w:numPr>
          <w:ilvl w:val="2"/>
          <w:numId w:val="1"/>
        </w:numPr>
        <w:rPr>
          <w:rFonts w:eastAsiaTheme="minorEastAsia"/>
          <w:highlight w:val="yellow"/>
          <w:lang w:eastAsia="zh-CN"/>
        </w:rPr>
      </w:pPr>
      <w:r>
        <w:rPr>
          <w:rFonts w:eastAsiaTheme="minorEastAsia"/>
          <w:highlight w:val="yellow"/>
          <w:lang w:eastAsia="zh-CN"/>
        </w:rPr>
        <w:t>Immediately replace the withdrawn fluid with 50 μL of prewarmed (37 °C) Tyrode's solution to maintain osmotic balance and internal volume. Minimize the time between withdrawal and replacement to preserve consistent experimental conditions.</w:t>
      </w:r>
    </w:p>
    <w:p w14:paraId="78E2BA47">
      <w:pPr>
        <w:rPr>
          <w:rFonts w:eastAsiaTheme="minorEastAsia"/>
          <w:highlight w:val="yellow"/>
          <w:lang w:eastAsia="zh-CN"/>
        </w:rPr>
      </w:pPr>
    </w:p>
    <w:p w14:paraId="2E3EAE35">
      <w:pPr>
        <w:rPr>
          <w:rFonts w:eastAsiaTheme="minorEastAsia"/>
          <w:highlight w:val="yellow"/>
          <w:lang w:eastAsia="zh-CN"/>
        </w:rPr>
      </w:pPr>
      <w:r>
        <w:rPr>
          <w:rFonts w:eastAsiaTheme="minorEastAsia"/>
          <w:highlight w:val="yellow"/>
          <w:lang w:eastAsia="zh-CN"/>
        </w:rPr>
        <w:t>NOTE: When using a microsyringe (e.g., Hamilton syringe), maintain sterility and handle gently to prevent damage to the gut sac membrane.</w:t>
      </w:r>
    </w:p>
    <w:p w14:paraId="6AB0F9F3">
      <w:pPr>
        <w:rPr>
          <w:rFonts w:eastAsiaTheme="minorEastAsia"/>
          <w:lang w:eastAsia="zh-CN"/>
        </w:rPr>
      </w:pPr>
    </w:p>
    <w:p w14:paraId="5F3F2630">
      <w:pPr>
        <w:numPr>
          <w:ilvl w:val="2"/>
          <w:numId w:val="1"/>
        </w:numPr>
        <w:rPr>
          <w:rFonts w:eastAsiaTheme="minorEastAsia"/>
          <w:highlight w:val="yellow"/>
          <w:lang w:eastAsia="zh-CN"/>
        </w:rPr>
      </w:pPr>
      <w:bookmarkStart w:id="0" w:name="_GoBack"/>
      <w:r>
        <w:rPr>
          <w:rFonts w:eastAsiaTheme="minorEastAsia"/>
          <w:highlight w:val="yellow"/>
          <w:lang w:eastAsia="zh-CN"/>
        </w:rPr>
        <w:t>Perform sampling promptly at each time point to minimize disturbance of the incubation environment.</w:t>
      </w:r>
    </w:p>
    <w:bookmarkEnd w:id="0"/>
    <w:p w14:paraId="38281FCD">
      <w:pPr>
        <w:rPr>
          <w:rFonts w:eastAsiaTheme="minorEastAsia"/>
          <w:lang w:eastAsia="zh-CN"/>
        </w:rPr>
      </w:pPr>
    </w:p>
    <w:p w14:paraId="2E3EAE36">
      <w:pPr>
        <w:numPr>
          <w:ilvl w:val="1"/>
          <w:numId w:val="1"/>
        </w:numPr>
        <w:rPr>
          <w:rFonts w:eastAsiaTheme="minorEastAsia"/>
          <w:lang w:eastAsia="zh-CN"/>
        </w:rPr>
      </w:pPr>
      <w:r>
        <w:rPr>
          <w:rFonts w:eastAsiaTheme="minorEastAsia"/>
          <w:lang w:eastAsia="zh-CN"/>
        </w:rPr>
        <w:t>Virus titer determination</w:t>
      </w:r>
    </w:p>
    <w:p w14:paraId="290D226B">
      <w:pPr>
        <w:rPr>
          <w:rFonts w:eastAsiaTheme="minorEastAsia"/>
          <w:lang w:eastAsia="zh-CN"/>
        </w:rPr>
      </w:pPr>
    </w:p>
    <w:p w14:paraId="2E3EAE39">
      <w:pPr>
        <w:numPr>
          <w:ilvl w:val="2"/>
          <w:numId w:val="1"/>
        </w:numPr>
        <w:rPr>
          <w:rFonts w:eastAsiaTheme="minorEastAsia"/>
          <w:lang w:eastAsia="zh-CN"/>
        </w:rPr>
      </w:pPr>
      <w:r>
        <w:rPr>
          <w:rFonts w:eastAsiaTheme="minorEastAsia"/>
          <w:lang w:eastAsia="zh-CN"/>
        </w:rPr>
        <w:t>Extract total DNA from the serosal fluid using a commercially available Animal Genomic DNA Extraction Kit according to the manufacturer's instructions.</w:t>
      </w:r>
    </w:p>
    <w:p w14:paraId="0CFBB9AF">
      <w:pPr>
        <w:rPr>
          <w:rFonts w:eastAsiaTheme="minorEastAsia"/>
          <w:lang w:eastAsia="zh-CN"/>
        </w:rPr>
      </w:pPr>
    </w:p>
    <w:p w14:paraId="2E3EAE3F">
      <w:pPr>
        <w:numPr>
          <w:ilvl w:val="2"/>
          <w:numId w:val="1"/>
        </w:numPr>
        <w:rPr>
          <w:rFonts w:eastAsiaTheme="minorEastAsia"/>
          <w:lang w:eastAsia="zh-CN"/>
        </w:rPr>
      </w:pPr>
      <w:r>
        <w:rPr>
          <w:rFonts w:eastAsiaTheme="minorEastAsia"/>
          <w:lang w:eastAsia="zh-CN"/>
        </w:rPr>
        <w:t>Perform absolute quantification of the rAAV vector genome copy number by qPCR. Use a SYBR Green Kit with ITR primers. Carry out the qPCR amplification in a standard 96-well plate using a thermal cycler with the following cycling conditions: Initial denaturation: 95°C for 10 min; Denaturation: 95°C for 15 s; Annealing and extension: 60°C for 1 min; 40 cycles in total</w:t>
      </w:r>
    </w:p>
    <w:p w14:paraId="3BDB293C">
      <w:pPr>
        <w:rPr>
          <w:rFonts w:eastAsiaTheme="minorEastAsia"/>
          <w:lang w:eastAsia="zh-CN"/>
        </w:rPr>
      </w:pPr>
    </w:p>
    <w:p w14:paraId="2E3EAE41">
      <w:pPr>
        <w:numPr>
          <w:ilvl w:val="2"/>
          <w:numId w:val="1"/>
        </w:numPr>
        <w:rPr>
          <w:rFonts w:eastAsiaTheme="minorEastAsia"/>
          <w:lang w:eastAsia="zh-CN"/>
        </w:rPr>
      </w:pPr>
      <w:r>
        <w:rPr>
          <w:rFonts w:eastAsiaTheme="minorEastAsia"/>
          <w:lang w:eastAsia="zh-CN"/>
        </w:rPr>
        <w:t>To quantify the genome copy number, generate a standard curve using serial dilutions of plasmid rAAV-CMVp-gfp (1 ng, 0.1 ng, and 0.01 ng). Use these dilutions to calculate the viral genome copy number based on their corresponding cycle threshold (Ct) values.</w:t>
      </w:r>
    </w:p>
    <w:p w14:paraId="17BB8358">
      <w:pPr>
        <w:rPr>
          <w:rFonts w:eastAsiaTheme="minorEastAsia"/>
          <w:lang w:eastAsia="zh-CN"/>
        </w:rPr>
      </w:pPr>
    </w:p>
    <w:p w14:paraId="2E3EAE43">
      <w:pPr>
        <w:numPr>
          <w:ilvl w:val="2"/>
          <w:numId w:val="1"/>
        </w:numPr>
        <w:rPr>
          <w:rFonts w:eastAsiaTheme="minorEastAsia"/>
          <w:lang w:eastAsia="zh-CN"/>
        </w:rPr>
      </w:pPr>
      <w:r>
        <w:rPr>
          <w:rFonts w:eastAsiaTheme="minorEastAsia"/>
          <w:lang w:eastAsia="zh-CN"/>
        </w:rPr>
        <w:t>Determine the vector genome copy number in the collected serosal fluid using the standard curve. The results were reported as genome copies per 100 ng of extracted DNA.</w:t>
      </w:r>
    </w:p>
    <w:p w14:paraId="576BB4F0">
      <w:pPr>
        <w:rPr>
          <w:rFonts w:eastAsiaTheme="minorEastAsia"/>
          <w:lang w:eastAsia="zh-CN"/>
        </w:rPr>
      </w:pPr>
    </w:p>
    <w:p w14:paraId="2E3EAE46">
      <w:pPr>
        <w:rPr>
          <w:rFonts w:eastAsiaTheme="minorEastAsia"/>
          <w:lang w:eastAsia="zh-CN"/>
        </w:rPr>
      </w:pPr>
      <w:r>
        <w:rPr>
          <w:rFonts w:eastAsiaTheme="minorEastAsia"/>
          <w:lang w:eastAsia="zh-CN"/>
        </w:rPr>
        <w:t>NOTE: Ensure that all reagents and equipment are sterile to prevent contamination during DNA extraction and qPCR analysis. Use appropriate controls to verify qPCR accuracy, including no-template controls (NTC) and plasmid standards.</w:t>
      </w:r>
    </w:p>
    <w:p w14:paraId="2E3EAE47">
      <w:pPr>
        <w:rPr>
          <w:rFonts w:eastAsiaTheme="minorEastAsia"/>
          <w:lang w:eastAsia="zh-CN"/>
        </w:rPr>
      </w:pPr>
    </w:p>
    <w:p w14:paraId="2E3EAE48">
      <w:pPr>
        <w:numPr>
          <w:ilvl w:val="2"/>
          <w:numId w:val="1"/>
        </w:numPr>
        <w:rPr>
          <w:rFonts w:eastAsiaTheme="minorEastAsia"/>
          <w:lang w:eastAsia="zh-CN"/>
        </w:rPr>
      </w:pPr>
      <w:r>
        <w:rPr>
          <w:rFonts w:eastAsiaTheme="minorEastAsia"/>
          <w:lang w:eastAsia="zh-CN"/>
        </w:rPr>
        <w:t>Perform qPCR in triplicate for each sample to ensure reproducibility and reliability of the results.</w:t>
      </w:r>
    </w:p>
    <w:p w14:paraId="112D71DE">
      <w:pPr>
        <w:rPr>
          <w:rFonts w:eastAsiaTheme="minorEastAsia"/>
          <w:lang w:eastAsia="zh-CN"/>
        </w:rPr>
      </w:pPr>
    </w:p>
    <w:p w14:paraId="2E3EAE49">
      <w:pPr>
        <w:numPr>
          <w:ilvl w:val="1"/>
          <w:numId w:val="1"/>
        </w:numPr>
        <w:rPr>
          <w:rFonts w:eastAsiaTheme="minorEastAsia"/>
          <w:lang w:eastAsia="zh-CN"/>
        </w:rPr>
      </w:pPr>
      <w:r>
        <w:rPr>
          <w:rFonts w:eastAsiaTheme="minorEastAsia"/>
          <w:lang w:eastAsia="zh-CN"/>
        </w:rPr>
        <w:t>Terminal tissue processing</w:t>
      </w:r>
    </w:p>
    <w:p w14:paraId="460F0A21">
      <w:pPr>
        <w:rPr>
          <w:rFonts w:eastAsiaTheme="minorEastAsia"/>
          <w:lang w:eastAsia="zh-CN"/>
        </w:rPr>
      </w:pPr>
    </w:p>
    <w:p w14:paraId="2E3EAE4B">
      <w:pPr>
        <w:numPr>
          <w:ilvl w:val="2"/>
          <w:numId w:val="1"/>
        </w:numPr>
        <w:rPr>
          <w:rFonts w:eastAsiaTheme="minorEastAsia"/>
          <w:lang w:eastAsia="zh-CN"/>
        </w:rPr>
      </w:pPr>
      <w:r>
        <w:rPr>
          <w:rFonts w:eastAsiaTheme="minorEastAsia"/>
          <w:lang w:eastAsia="zh-CN"/>
        </w:rPr>
        <w:t>Aspirate all residual luminal fluid from each gut sac using a sterile pipette. Handle gently to avoid rupturing the tissue.</w:t>
      </w:r>
    </w:p>
    <w:p w14:paraId="420964A9">
      <w:pPr>
        <w:rPr>
          <w:rFonts w:eastAsiaTheme="minorEastAsia"/>
          <w:lang w:eastAsia="zh-CN"/>
        </w:rPr>
      </w:pPr>
    </w:p>
    <w:p w14:paraId="2E3EAE4D">
      <w:pPr>
        <w:numPr>
          <w:ilvl w:val="2"/>
          <w:numId w:val="1"/>
        </w:numPr>
        <w:rPr>
          <w:rFonts w:eastAsiaTheme="minorEastAsia"/>
          <w:lang w:eastAsia="zh-CN"/>
        </w:rPr>
      </w:pPr>
      <w:r>
        <w:rPr>
          <w:rFonts w:eastAsiaTheme="minorEastAsia"/>
          <w:lang w:eastAsia="zh-CN"/>
        </w:rPr>
        <w:t>Rinse each sac three times with phosphate-buffered saline (PBS) containing 1% penicillin–streptomycin (P/S) to remove residual medium, bacteria, and impurities. Ensure thorough washing to maintain sterility for downstream applications.</w:t>
      </w:r>
    </w:p>
    <w:p w14:paraId="4A769ACA">
      <w:pPr>
        <w:rPr>
          <w:rFonts w:eastAsiaTheme="minorEastAsia"/>
          <w:lang w:eastAsia="zh-CN"/>
        </w:rPr>
      </w:pPr>
    </w:p>
    <w:p w14:paraId="2E3EAE4F">
      <w:pPr>
        <w:numPr>
          <w:ilvl w:val="2"/>
          <w:numId w:val="1"/>
        </w:numPr>
        <w:rPr>
          <w:rFonts w:eastAsiaTheme="minorEastAsia"/>
          <w:lang w:eastAsia="zh-CN"/>
        </w:rPr>
      </w:pPr>
      <w:r>
        <w:rPr>
          <w:rFonts w:eastAsiaTheme="minorEastAsia"/>
          <w:lang w:eastAsia="zh-CN"/>
        </w:rPr>
        <w:t>Cut the intestinal tissue into 2 mm³ (2 mm * 2 mm * 0.5 mm) fragments using sterile surgical scissors or blades. Keep the fragments uniformly sized for consistent incubation.</w:t>
      </w:r>
    </w:p>
    <w:p w14:paraId="26071106">
      <w:pPr>
        <w:rPr>
          <w:rFonts w:eastAsiaTheme="minorEastAsia"/>
          <w:lang w:eastAsia="zh-CN"/>
        </w:rPr>
      </w:pPr>
    </w:p>
    <w:p w14:paraId="2E3EAE50">
      <w:pPr>
        <w:numPr>
          <w:ilvl w:val="2"/>
          <w:numId w:val="1"/>
        </w:numPr>
        <w:rPr>
          <w:rFonts w:eastAsiaTheme="minorEastAsia"/>
          <w:lang w:eastAsia="zh-CN"/>
        </w:rPr>
      </w:pPr>
      <w:r>
        <w:rPr>
          <w:rFonts w:eastAsiaTheme="minorEastAsia"/>
          <w:lang w:eastAsia="zh-CN"/>
        </w:rPr>
        <w:t>Incubate the tissue fragments in 10 mL of DMEM supplemented with 10% FBS and 1%</w:t>
      </w:r>
      <w:r>
        <w:rPr>
          <w:rFonts w:hint="eastAsia" w:eastAsiaTheme="minorEastAsia"/>
          <w:lang w:eastAsia="zh-CN"/>
        </w:rPr>
        <w:t xml:space="preserve"> (v/v)</w:t>
      </w:r>
      <w:r>
        <w:rPr>
          <w:rFonts w:eastAsiaTheme="minorEastAsia"/>
          <w:lang w:eastAsia="zh-CN"/>
        </w:rPr>
        <w:t xml:space="preserve"> P/S at 37 °C for 48 h in a humidified incubator with 5% CO₂. The culture medium should be refreshed every 12 h during incubation.</w:t>
      </w:r>
    </w:p>
    <w:p w14:paraId="469C0109">
      <w:pPr>
        <w:rPr>
          <w:rFonts w:eastAsiaTheme="minorEastAsia"/>
          <w:lang w:eastAsia="zh-CN"/>
        </w:rPr>
      </w:pPr>
    </w:p>
    <w:p w14:paraId="2E3EAE51">
      <w:pPr>
        <w:rPr>
          <w:rFonts w:eastAsiaTheme="minorEastAsia"/>
          <w:lang w:eastAsia="zh-CN"/>
        </w:rPr>
      </w:pPr>
      <w:r>
        <w:rPr>
          <w:rFonts w:eastAsiaTheme="minorEastAsia"/>
          <w:lang w:eastAsia="zh-CN"/>
        </w:rPr>
        <w:t>NOTE: This step maintains tissue viability and allows cell recovery post-experiment. Ensure the mucosa remains intact during cutting and washing. Perform three complete PBS washes to eliminate debris and microbial contaminants. Maintain constant temperature (37 °C) and high humidity to support metabolic activity and tissue health.</w:t>
      </w:r>
    </w:p>
    <w:p w14:paraId="012FF3CB">
      <w:pPr>
        <w:rPr>
          <w:rFonts w:eastAsiaTheme="minorEastAsia"/>
          <w:lang w:eastAsia="zh-CN"/>
        </w:rPr>
      </w:pPr>
    </w:p>
    <w:p w14:paraId="2E3EAE52">
      <w:pPr>
        <w:rPr>
          <w:rFonts w:eastAsiaTheme="minorEastAsia"/>
          <w:lang w:eastAsia="zh-CN"/>
        </w:rPr>
      </w:pPr>
      <w:r>
        <w:rPr>
          <w:rFonts w:eastAsiaTheme="minorEastAsia"/>
          <w:lang w:eastAsia="zh-CN"/>
        </w:rPr>
        <w:t>CAUTION: Handle tissue fragments with sterile tools and avoid mechanical stress to preserve epithelial integrity.</w:t>
      </w:r>
    </w:p>
    <w:p w14:paraId="6ECF090D">
      <w:pPr>
        <w:rPr>
          <w:rFonts w:eastAsiaTheme="minorEastAsia"/>
          <w:lang w:eastAsia="zh-CN"/>
        </w:rPr>
      </w:pPr>
    </w:p>
    <w:p w14:paraId="2E3EAE57">
      <w:pPr>
        <w:numPr>
          <w:ilvl w:val="1"/>
          <w:numId w:val="1"/>
        </w:numPr>
        <w:rPr>
          <w:rFonts w:eastAsiaTheme="minorEastAsia"/>
          <w:lang w:eastAsia="zh-CN"/>
        </w:rPr>
      </w:pPr>
      <w:r>
        <w:rPr>
          <w:rFonts w:eastAsiaTheme="minorEastAsia"/>
          <w:lang w:eastAsia="zh-CN"/>
        </w:rPr>
        <w:t>Post-incubation analyses</w:t>
      </w:r>
    </w:p>
    <w:p w14:paraId="29443CCA">
      <w:pPr>
        <w:rPr>
          <w:rFonts w:eastAsiaTheme="minorEastAsia"/>
          <w:lang w:eastAsia="zh-CN"/>
        </w:rPr>
      </w:pPr>
    </w:p>
    <w:p w14:paraId="685246E2">
      <w:pPr>
        <w:numPr>
          <w:ilvl w:val="2"/>
          <w:numId w:val="1"/>
        </w:numPr>
        <w:rPr>
          <w:rFonts w:eastAsiaTheme="minorEastAsia"/>
          <w:lang w:eastAsia="zh-CN"/>
        </w:rPr>
      </w:pPr>
      <w:r>
        <w:rPr>
          <w:rFonts w:eastAsiaTheme="minorEastAsia"/>
          <w:lang w:eastAsia="zh-CN"/>
        </w:rPr>
        <w:t>Aliquot A (Histological analysis):</w:t>
      </w:r>
    </w:p>
    <w:p w14:paraId="26CF1FC8">
      <w:pPr>
        <w:rPr>
          <w:rFonts w:eastAsiaTheme="minorEastAsia"/>
          <w:lang w:eastAsia="zh-CN"/>
        </w:rPr>
      </w:pPr>
    </w:p>
    <w:p w14:paraId="2E3EAE59">
      <w:pPr>
        <w:numPr>
          <w:ilvl w:val="3"/>
          <w:numId w:val="1"/>
        </w:numPr>
        <w:rPr>
          <w:rFonts w:eastAsiaTheme="minorEastAsia"/>
          <w:lang w:eastAsia="zh-CN"/>
        </w:rPr>
      </w:pPr>
      <w:r>
        <w:rPr>
          <w:rFonts w:eastAsiaTheme="minorEastAsia"/>
          <w:lang w:eastAsia="zh-CN"/>
        </w:rPr>
        <w:t>Fix the tissue samples in 4% paraformaldehyde (PFA) for 24 h at 4 °C to preserve cellular architecture.</w:t>
      </w:r>
    </w:p>
    <w:p w14:paraId="34961430">
      <w:pPr>
        <w:rPr>
          <w:rFonts w:eastAsiaTheme="minorEastAsia"/>
          <w:lang w:eastAsia="zh-CN"/>
        </w:rPr>
      </w:pPr>
    </w:p>
    <w:p w14:paraId="7A28C386">
      <w:pPr>
        <w:pStyle w:val="27"/>
        <w:numPr>
          <w:ilvl w:val="3"/>
          <w:numId w:val="1"/>
        </w:numPr>
        <w:spacing w:after="0"/>
        <w:rPr>
          <w:rFonts w:ascii="Calibri" w:hAnsi="Calibri" w:cs="Calibri" w:eastAsiaTheme="minorEastAsia"/>
          <w:sz w:val="24"/>
          <w:szCs w:val="24"/>
          <w:lang w:eastAsia="zh-CN"/>
        </w:rPr>
      </w:pPr>
      <w:r>
        <w:rPr>
          <w:rFonts w:ascii="Calibri" w:hAnsi="Calibri" w:cs="Calibri" w:eastAsiaTheme="minorEastAsia"/>
          <w:sz w:val="24"/>
          <w:szCs w:val="24"/>
          <w:lang w:eastAsia="zh-CN"/>
        </w:rPr>
        <w:t xml:space="preserve">After fixation, embed the tissues in OCT compound and perform Hematoxylin and Eosin (H&amp;E) staining to assess tissue integrity and morphology. </w:t>
      </w:r>
    </w:p>
    <w:p w14:paraId="4DF50E51">
      <w:pPr>
        <w:pStyle w:val="27"/>
        <w:spacing w:after="0"/>
        <w:ind w:left="0"/>
        <w:rPr>
          <w:rFonts w:ascii="Calibri" w:hAnsi="Calibri" w:cs="Calibri" w:eastAsiaTheme="minorEastAsia"/>
          <w:sz w:val="24"/>
          <w:szCs w:val="24"/>
          <w:lang w:eastAsia="zh-CN"/>
        </w:rPr>
      </w:pPr>
    </w:p>
    <w:p w14:paraId="4DCB4DD9">
      <w:pPr>
        <w:rPr>
          <w:rFonts w:eastAsiaTheme="minorEastAsia"/>
          <w:lang w:eastAsia="zh-CN"/>
        </w:rPr>
      </w:pPr>
      <w:r>
        <w:rPr>
          <w:rFonts w:eastAsiaTheme="minorEastAsia"/>
          <w:lang w:eastAsia="zh-CN"/>
        </w:rPr>
        <w:t>CAUTION: Paraformaldehyde is a hazardous fixative; handle it within a fume hood using appropriate personal protective equipment</w:t>
      </w:r>
    </w:p>
    <w:p w14:paraId="3D44AE8C">
      <w:pPr>
        <w:rPr>
          <w:rFonts w:eastAsiaTheme="minorEastAsia"/>
          <w:lang w:eastAsia="zh-CN"/>
        </w:rPr>
      </w:pPr>
    </w:p>
    <w:p w14:paraId="0019F6D1">
      <w:pPr>
        <w:numPr>
          <w:ilvl w:val="2"/>
          <w:numId w:val="1"/>
        </w:numPr>
        <w:rPr>
          <w:rFonts w:eastAsiaTheme="minorEastAsia"/>
          <w:lang w:eastAsia="zh-CN"/>
        </w:rPr>
      </w:pPr>
      <w:r>
        <w:rPr>
          <w:rFonts w:eastAsiaTheme="minorEastAsia"/>
          <w:lang w:eastAsia="zh-CN"/>
        </w:rPr>
        <w:t>Aliquot B (Fluorescence analysis and genome quantification):</w:t>
      </w:r>
    </w:p>
    <w:p w14:paraId="53A4A80B">
      <w:pPr>
        <w:rPr>
          <w:rFonts w:eastAsiaTheme="minorEastAsia"/>
          <w:lang w:eastAsia="zh-CN"/>
        </w:rPr>
      </w:pPr>
    </w:p>
    <w:p w14:paraId="135478B5">
      <w:pPr>
        <w:numPr>
          <w:ilvl w:val="3"/>
          <w:numId w:val="1"/>
        </w:numPr>
        <w:rPr>
          <w:rFonts w:eastAsiaTheme="minorEastAsia"/>
          <w:lang w:eastAsia="zh-CN"/>
        </w:rPr>
      </w:pPr>
      <w:r>
        <w:rPr>
          <w:rFonts w:eastAsiaTheme="minorEastAsia"/>
          <w:lang w:eastAsia="zh-CN"/>
        </w:rPr>
        <w:t>Snap-freeze the remaining tissue in liquid nitrogen and store at -80 °C until further processing.</w:t>
      </w:r>
    </w:p>
    <w:p w14:paraId="0516DE91">
      <w:pPr>
        <w:rPr>
          <w:rFonts w:eastAsiaTheme="minorEastAsia"/>
          <w:lang w:eastAsia="zh-CN"/>
        </w:rPr>
      </w:pPr>
    </w:p>
    <w:p w14:paraId="07D40B41">
      <w:pPr>
        <w:numPr>
          <w:ilvl w:val="3"/>
          <w:numId w:val="1"/>
        </w:numPr>
        <w:rPr>
          <w:rFonts w:eastAsiaTheme="minorEastAsia"/>
          <w:lang w:eastAsia="zh-CN"/>
        </w:rPr>
      </w:pPr>
      <w:r>
        <w:rPr>
          <w:rFonts w:eastAsiaTheme="minorEastAsia"/>
          <w:lang w:eastAsia="zh-CN"/>
        </w:rPr>
        <w:t>Use the frozen samples for fluorescence microscopy to detect EGFP expression, assessing transfection efficiency or viral uptake.</w:t>
      </w:r>
    </w:p>
    <w:p w14:paraId="32DD989C">
      <w:pPr>
        <w:rPr>
          <w:rFonts w:eastAsiaTheme="minorEastAsia"/>
          <w:lang w:eastAsia="zh-CN"/>
        </w:rPr>
      </w:pPr>
    </w:p>
    <w:p w14:paraId="2E3EAE5E">
      <w:pPr>
        <w:numPr>
          <w:ilvl w:val="3"/>
          <w:numId w:val="1"/>
        </w:numPr>
        <w:rPr>
          <w:rFonts w:eastAsiaTheme="minorEastAsia"/>
          <w:lang w:eastAsia="zh-CN"/>
        </w:rPr>
      </w:pPr>
      <w:r>
        <w:rPr>
          <w:rFonts w:eastAsiaTheme="minorEastAsia"/>
          <w:lang w:eastAsia="zh-CN"/>
        </w:rPr>
        <w:t>Perform DNA extraction followed by qPCR to determine viral genome copy number or transgene expression.</w:t>
      </w:r>
    </w:p>
    <w:p w14:paraId="2E3EAE5F">
      <w:pPr>
        <w:rPr>
          <w:rFonts w:eastAsiaTheme="minorEastAsia"/>
          <w:b/>
          <w:bCs/>
          <w:lang w:eastAsia="zh-CN"/>
        </w:rPr>
      </w:pPr>
    </w:p>
    <w:p w14:paraId="2E3EAE60">
      <w:pPr>
        <w:rPr>
          <w:rFonts w:eastAsiaTheme="minorEastAsia"/>
          <w:lang w:eastAsia="zh-CN"/>
        </w:rPr>
      </w:pPr>
      <w:r>
        <w:rPr>
          <w:b/>
        </w:rPr>
        <w:t xml:space="preserve">REPRESENTATIVE RESULTS: </w:t>
      </w:r>
    </w:p>
    <w:p w14:paraId="2E3EAE62">
      <w:pPr>
        <w:rPr>
          <w:rFonts w:eastAsiaTheme="minorEastAsia"/>
          <w:lang w:eastAsia="zh-CN"/>
        </w:rPr>
      </w:pPr>
      <w:r>
        <w:rPr>
          <w:rFonts w:eastAsiaTheme="minorEastAsia"/>
          <w:lang w:eastAsia="zh-CN"/>
        </w:rPr>
        <w:t>This protocol was used to assess the efficiency of AAV9-mediated gene delivery across different segments of the small intestine, as well as the impact of the GZNG treatment on enhancing gene transfer and expression. Several key outcomes were observed, demonstrating both the successful application of the protocol and some variability that can arise under certain conditions.</w:t>
      </w:r>
    </w:p>
    <w:p w14:paraId="2E3EAE63">
      <w:pPr>
        <w:rPr>
          <w:rFonts w:eastAsiaTheme="minorEastAsia"/>
          <w:lang w:eastAsia="zh-CN"/>
        </w:rPr>
      </w:pPr>
    </w:p>
    <w:p w14:paraId="2E3EAE64">
      <w:pPr>
        <w:rPr>
          <w:rFonts w:eastAsiaTheme="minorEastAsia"/>
          <w:lang w:eastAsia="zh-CN"/>
        </w:rPr>
      </w:pPr>
      <w:r>
        <w:rPr>
          <w:rFonts w:eastAsiaTheme="minorEastAsia"/>
          <w:lang w:eastAsia="zh-CN"/>
        </w:rPr>
        <w:t>The assessment of AAV9-mediated EGFP expression by histological (H&amp;E staining) and fluorescence (EGFP) analysis across the small intestine (duodenum, jejunum, ileum, and colon) revealed successful transduction in all tissues tested (</w:t>
      </w:r>
      <w:r>
        <w:rPr>
          <w:rFonts w:eastAsiaTheme="minorEastAsia"/>
          <w:b/>
          <w:bCs/>
          <w:lang w:eastAsia="zh-CN"/>
        </w:rPr>
        <w:t>Figure 1</w:t>
      </w:r>
      <w:r>
        <w:rPr>
          <w:rFonts w:eastAsiaTheme="minorEastAsia"/>
          <w:lang w:eastAsia="zh-CN"/>
        </w:rPr>
        <w:t>). Brightfield images (</w:t>
      </w:r>
      <w:r>
        <w:rPr>
          <w:rFonts w:eastAsiaTheme="minorEastAsia"/>
          <w:b/>
          <w:bCs/>
          <w:lang w:eastAsia="zh-CN"/>
        </w:rPr>
        <w:t>Figure 1A–D</w:t>
      </w:r>
      <w:r>
        <w:rPr>
          <w:rFonts w:eastAsiaTheme="minorEastAsia"/>
          <w:lang w:eastAsia="zh-CN"/>
        </w:rPr>
        <w:t>) suggested the structural integrity of these tissues, showing normal histological architecture. Corresponding fluorescence images (</w:t>
      </w:r>
      <w:r>
        <w:rPr>
          <w:rFonts w:eastAsiaTheme="minorEastAsia"/>
          <w:b/>
          <w:bCs/>
          <w:lang w:eastAsia="zh-CN"/>
        </w:rPr>
        <w:t>Figure 1E–H</w:t>
      </w:r>
      <w:r>
        <w:rPr>
          <w:rFonts w:eastAsiaTheme="minorEastAsia"/>
          <w:lang w:eastAsia="zh-CN"/>
        </w:rPr>
        <w:t xml:space="preserve">) demonstrated clear EGFP expression in all regions, with green fluorescence indicating effective viral delivery and transduction. These results indicate the success of the AAV9 vector in transducing small intestine tissues. </w:t>
      </w:r>
      <w:r>
        <w:rPr>
          <w:rFonts w:hint="eastAsia" w:eastAsiaTheme="minorEastAsia"/>
          <w:lang w:eastAsia="zh-CN"/>
        </w:rPr>
        <w:t xml:space="preserve">Notably, </w:t>
      </w:r>
      <w:r>
        <w:rPr>
          <w:rFonts w:eastAsiaTheme="minorEastAsia"/>
          <w:lang w:eastAsia="zh-CN"/>
        </w:rPr>
        <w:t>the rAAV-mediated transgene was predominantly expressed in intestinal epithelial cells lining the lumen. This localization is consistent with the known tropism of AAV for gut delivery: an early oral AAV study demonstrated that the transgene</w:t>
      </w:r>
      <w:r>
        <w:rPr>
          <w:rFonts w:hint="eastAsia" w:eastAsiaTheme="minorEastAsia"/>
          <w:lang w:eastAsia="zh-CN"/>
        </w:rPr>
        <w:t xml:space="preserve"> was </w:t>
      </w:r>
      <w:r>
        <w:rPr>
          <w:rFonts w:eastAsiaTheme="minorEastAsia"/>
          <w:lang w:eastAsia="zh-CN"/>
        </w:rPr>
        <w:t>express</w:t>
      </w:r>
      <w:r>
        <w:rPr>
          <w:rFonts w:hint="eastAsia" w:eastAsiaTheme="minorEastAsia"/>
          <w:lang w:eastAsia="zh-CN"/>
        </w:rPr>
        <w:t>ed</w:t>
      </w:r>
      <w:r>
        <w:rPr>
          <w:rFonts w:eastAsiaTheme="minorEastAsia"/>
          <w:lang w:eastAsia="zh-CN"/>
        </w:rPr>
        <w:t xml:space="preserve"> </w:t>
      </w:r>
      <w:r>
        <w:rPr>
          <w:rFonts w:hint="eastAsia" w:eastAsiaTheme="minorEastAsia"/>
          <w:lang w:eastAsia="zh-CN"/>
        </w:rPr>
        <w:t xml:space="preserve">in </w:t>
      </w:r>
      <w:r>
        <w:rPr>
          <w:rFonts w:eastAsiaTheme="minorEastAsia"/>
          <w:lang w:eastAsia="zh-CN"/>
        </w:rPr>
        <w:t>both gut epithelial and lamina propria cells</w:t>
      </w:r>
      <w:r>
        <w:rPr>
          <w:rFonts w:hint="eastAsia" w:eastAsiaTheme="minorEastAsia"/>
          <w:vertAlign w:val="superscript"/>
          <w:lang w:eastAsia="zh-CN"/>
        </w:rPr>
        <w:t>16</w:t>
      </w:r>
      <w:r>
        <w:rPr>
          <w:rFonts w:hint="eastAsia" w:eastAsiaTheme="minorEastAsia"/>
          <w:lang w:eastAsia="zh-CN"/>
        </w:rPr>
        <w:t xml:space="preserve">. </w:t>
      </w:r>
      <w:r>
        <w:rPr>
          <w:rFonts w:eastAsiaTheme="minorEastAsia"/>
          <w:lang w:eastAsia="zh-CN"/>
        </w:rPr>
        <w:t xml:space="preserve">Similarly, Hao </w:t>
      </w:r>
      <w:r>
        <w:rPr>
          <w:rFonts w:eastAsiaTheme="minorEastAsia"/>
          <w:i/>
          <w:iCs/>
          <w:lang w:eastAsia="zh-CN"/>
        </w:rPr>
        <w:t>et al.</w:t>
      </w:r>
      <w:r>
        <w:rPr>
          <w:rFonts w:eastAsiaTheme="minorEastAsia"/>
          <w:lang w:eastAsia="zh-CN"/>
        </w:rPr>
        <w:t xml:space="preserve"> showed that intracolonically administered rAAV2 efficiently transduced the colonic mucosa</w:t>
      </w:r>
      <w:r>
        <w:rPr>
          <w:rFonts w:hint="eastAsia" w:eastAsiaTheme="minorEastAsia"/>
          <w:vertAlign w:val="superscript"/>
          <w:lang w:eastAsia="zh-CN"/>
        </w:rPr>
        <w:t>17</w:t>
      </w:r>
      <w:r>
        <w:rPr>
          <w:rFonts w:hint="eastAsia" w:eastAsiaTheme="minorEastAsia"/>
          <w:lang w:eastAsia="zh-CN"/>
        </w:rPr>
        <w:t xml:space="preserve">. </w:t>
      </w:r>
      <w:r>
        <w:rPr>
          <w:rFonts w:eastAsiaTheme="minorEastAsia"/>
          <w:lang w:eastAsia="zh-CN"/>
        </w:rPr>
        <w:t xml:space="preserve">In contrast, negative control tissues </w:t>
      </w:r>
      <w:r>
        <w:rPr>
          <w:rFonts w:hint="eastAsia" w:eastAsiaTheme="minorEastAsia"/>
          <w:lang w:eastAsia="zh-CN"/>
        </w:rPr>
        <w:t>with (</w:t>
      </w:r>
      <w:r>
        <w:rPr>
          <w:rFonts w:eastAsiaTheme="minorEastAsia"/>
          <w:b/>
          <w:bCs/>
          <w:lang w:eastAsia="zh-CN"/>
        </w:rPr>
        <w:t>Supplementary</w:t>
      </w:r>
      <w:r>
        <w:rPr>
          <w:rFonts w:eastAsiaTheme="minorEastAsia"/>
          <w:lang w:eastAsia="zh-CN"/>
        </w:rPr>
        <w:t xml:space="preserve"> </w:t>
      </w:r>
      <w:r>
        <w:rPr>
          <w:rFonts w:hint="eastAsia" w:eastAsiaTheme="minorEastAsia"/>
          <w:b/>
          <w:bCs/>
          <w:lang w:eastAsia="zh-CN"/>
        </w:rPr>
        <w:t>Figure 1</w:t>
      </w:r>
      <w:r>
        <w:rPr>
          <w:rFonts w:hint="eastAsia" w:eastAsiaTheme="minorEastAsia"/>
          <w:lang w:eastAsia="zh-CN"/>
        </w:rPr>
        <w:t xml:space="preserve">) or without GZNG </w:t>
      </w:r>
      <w:r>
        <w:rPr>
          <w:rFonts w:eastAsiaTheme="minorEastAsia"/>
          <w:lang w:eastAsia="zh-CN"/>
        </w:rPr>
        <w:t>(</w:t>
      </w:r>
      <w:r>
        <w:rPr>
          <w:rFonts w:eastAsiaTheme="minorEastAsia"/>
          <w:b/>
          <w:bCs/>
          <w:lang w:eastAsia="zh-CN"/>
        </w:rPr>
        <w:t>Figure 1I–L</w:t>
      </w:r>
      <w:r>
        <w:rPr>
          <w:rFonts w:eastAsiaTheme="minorEastAsia"/>
          <w:lang w:eastAsia="zh-CN"/>
        </w:rPr>
        <w:t>), which received no viral vector, showed no EGFP expression, suggesting the specificity and success of the method in targeted gene delivery. The consistency of EGFP expression across different intestinal regions supports the robustness of the protocol in achieving transgene expression in diverse tissues of the gastrointestinal tract.</w:t>
      </w:r>
    </w:p>
    <w:p w14:paraId="2E3EAE65">
      <w:pPr>
        <w:rPr>
          <w:rFonts w:eastAsiaTheme="minorEastAsia"/>
          <w:lang w:eastAsia="zh-CN"/>
        </w:rPr>
      </w:pPr>
    </w:p>
    <w:p w14:paraId="2E3EAE66">
      <w:pPr>
        <w:rPr>
          <w:rFonts w:eastAsiaTheme="minorEastAsia"/>
          <w:lang w:eastAsia="zh-CN"/>
        </w:rPr>
      </w:pPr>
      <w:r>
        <w:rPr>
          <w:rFonts w:eastAsiaTheme="minorEastAsia"/>
          <w:lang w:eastAsia="zh-CN"/>
        </w:rPr>
        <w:t>The kinetics of AAV9 uptake in the jejunum and duodenum revealed that the optimal time point for peak viral titers in the jejunum occurs at 90 min post-administration (</w:t>
      </w:r>
      <w:r>
        <w:rPr>
          <w:rFonts w:eastAsiaTheme="minorEastAsia"/>
          <w:b/>
          <w:bCs/>
          <w:lang w:eastAsia="zh-CN"/>
        </w:rPr>
        <w:t>Figure 2</w:t>
      </w:r>
      <w:r>
        <w:rPr>
          <w:rFonts w:eastAsiaTheme="minorEastAsia"/>
          <w:lang w:eastAsia="zh-CN"/>
        </w:rPr>
        <w:t>). This is highlighted by the time-course profiling of AAV9-CMV-EGFP titers in the perfusates of both the duodenum (red line) and jejunum (blue line). The jejunal titers clearly surpass those of the duodenum, suggesting that the jejunum is a more efficient site for viral uptake. Notably, increasing the external viral concentration (green line) increased peak titers in the jejunum, indicating that the transduction rate can be modulated by adjusting the viral dose. These findings suggest that the method can be adapted to optimize transduction efficiency based on regional characteristics and external conditions.</w:t>
      </w:r>
    </w:p>
    <w:p w14:paraId="2FAD984A">
      <w:pPr>
        <w:rPr>
          <w:rFonts w:eastAsiaTheme="minorEastAsia"/>
          <w:lang w:eastAsia="zh-CN"/>
        </w:rPr>
      </w:pPr>
    </w:p>
    <w:p w14:paraId="2E3EAE67">
      <w:pPr>
        <w:rPr>
          <w:rFonts w:eastAsiaTheme="minorEastAsia"/>
          <w:lang w:eastAsia="zh-CN"/>
        </w:rPr>
      </w:pPr>
      <w:r>
        <w:rPr>
          <w:rFonts w:eastAsiaTheme="minorEastAsia"/>
          <w:lang w:eastAsia="zh-CN"/>
        </w:rPr>
        <w:t>The observation that the jejunum exhibits the highest absorption efficiency for rAAV9 is a cornerstone finding of this research, necessitating an in-depth exploration of the segment’s unique physiological characteristics. Unlike the duodenum, which is primarily specialized for neutralizing gastric acid and initiating enzymatic digestion, or the ileum, which focuses on the recovery of bile salts and vitamin B12, the jejunum is the principal site of nutrient and exogenous drug absorption. This functional dominance is structurally supported by an elaborate villus architecture that maximizes the effective surface area for absorption.</w:t>
      </w:r>
    </w:p>
    <w:p w14:paraId="175BD26C">
      <w:pPr>
        <w:rPr>
          <w:rFonts w:eastAsiaTheme="minorEastAsia"/>
          <w:lang w:eastAsia="zh-CN"/>
        </w:rPr>
      </w:pPr>
    </w:p>
    <w:p w14:paraId="2E3EAE68">
      <w:pPr>
        <w:rPr>
          <w:rFonts w:eastAsiaTheme="minorEastAsia"/>
          <w:lang w:eastAsia="zh-CN"/>
        </w:rPr>
      </w:pPr>
      <w:r>
        <w:rPr>
          <w:rFonts w:eastAsiaTheme="minorEastAsia"/>
          <w:lang w:eastAsia="zh-CN"/>
        </w:rPr>
        <w:t xml:space="preserve">However, </w:t>
      </w:r>
      <w:r>
        <w:rPr>
          <w:rFonts w:eastAsiaTheme="minorEastAsia"/>
          <w:b/>
          <w:bCs/>
          <w:lang w:eastAsia="zh-CN"/>
        </w:rPr>
        <w:t>Figure 2</w:t>
      </w:r>
      <w:r>
        <w:rPr>
          <w:rFonts w:eastAsiaTheme="minorEastAsia"/>
          <w:lang w:eastAsia="zh-CN"/>
        </w:rPr>
        <w:t xml:space="preserve"> also illustrates the impact of ileal barrier disruption. Panel B demonstrates that the intentional disruption of the ileal barrier at 30 min (black arrow) resulted in the equilibration of intra- and extraluminal titers. In </w:t>
      </w:r>
      <w:r>
        <w:rPr>
          <w:rFonts w:eastAsiaTheme="minorEastAsia"/>
          <w:b/>
          <w:bCs/>
          <w:lang w:eastAsia="zh-CN"/>
        </w:rPr>
        <w:t>Figure 3</w:t>
      </w:r>
      <w:r>
        <w:rPr>
          <w:rFonts w:eastAsiaTheme="minorEastAsia"/>
          <w:lang w:eastAsia="zh-CN"/>
        </w:rPr>
        <w:t>, the assessment of GZNG's effect on intestinal absorption through liquid chromatography-high-resolution mass spectrometry (LC-HRMS) base-peak chromatograms (BPCs) reveals further insights into the compound's interaction with the intestinal environment. Analysis of GZNG lyophilized powder (</w:t>
      </w:r>
      <w:r>
        <w:rPr>
          <w:rFonts w:eastAsiaTheme="minorEastAsia"/>
          <w:b/>
          <w:bCs/>
          <w:lang w:eastAsia="zh-CN"/>
        </w:rPr>
        <w:t>Figure 3A,B</w:t>
      </w:r>
      <w:r>
        <w:rPr>
          <w:rFonts w:eastAsiaTheme="minorEastAsia"/>
          <w:lang w:eastAsia="zh-CN"/>
        </w:rPr>
        <w:t>) and its intestinal absorption solution (</w:t>
      </w:r>
      <w:r>
        <w:rPr>
          <w:rFonts w:eastAsiaTheme="minorEastAsia"/>
          <w:b/>
          <w:bCs/>
          <w:lang w:eastAsia="zh-CN"/>
        </w:rPr>
        <w:t xml:space="preserve">Figure </w:t>
      </w:r>
      <w:r>
        <w:rPr>
          <w:rFonts w:hint="eastAsia" w:eastAsiaTheme="minorEastAsia"/>
          <w:b/>
          <w:bCs/>
          <w:lang w:eastAsia="zh-CN"/>
        </w:rPr>
        <w:t>3</w:t>
      </w:r>
      <w:r>
        <w:rPr>
          <w:rFonts w:eastAsiaTheme="minorEastAsia"/>
          <w:b/>
          <w:bCs/>
          <w:lang w:eastAsia="zh-CN"/>
        </w:rPr>
        <w:t>C,D</w:t>
      </w:r>
      <w:r>
        <w:rPr>
          <w:rFonts w:eastAsiaTheme="minorEastAsia"/>
          <w:lang w:eastAsia="zh-CN"/>
        </w:rPr>
        <w:t>) demonstrates distinct peak patterns in both negative and positive ion modes. These chromatograms reveal the molecular alterations GZNG undergoes as it interacts with the intestinal tissues. The early-eluting peaks in negative ion mode (0–2 min) and the pronounced peaks in positive ion mode (4–6 min) suggest that GZNG is absorbed and undergoes modification during intestinal absorption, providing deeper insight into its behavior in the intestinal environment.</w:t>
      </w:r>
    </w:p>
    <w:p w14:paraId="2E3EAE69">
      <w:pPr>
        <w:rPr>
          <w:rFonts w:eastAsiaTheme="minorEastAsia"/>
          <w:lang w:eastAsia="zh-CN"/>
        </w:rPr>
      </w:pPr>
    </w:p>
    <w:p w14:paraId="2E3EAE6A">
      <w:pPr>
        <w:rPr>
          <w:rFonts w:eastAsiaTheme="minorEastAsia"/>
          <w:lang w:eastAsia="zh-CN"/>
        </w:rPr>
      </w:pPr>
      <w:r>
        <w:rPr>
          <w:rFonts w:eastAsiaTheme="minorEastAsia"/>
          <w:lang w:eastAsia="zh-CN"/>
        </w:rPr>
        <w:t xml:space="preserve">Lastly, </w:t>
      </w:r>
      <w:r>
        <w:rPr>
          <w:rFonts w:eastAsiaTheme="minorEastAsia"/>
          <w:b/>
          <w:bCs/>
          <w:lang w:eastAsia="zh-CN"/>
        </w:rPr>
        <w:t>Figure 4</w:t>
      </w:r>
      <w:r>
        <w:rPr>
          <w:rFonts w:eastAsiaTheme="minorEastAsia"/>
          <w:lang w:eastAsia="zh-CN"/>
        </w:rPr>
        <w:t xml:space="preserve"> demonstrates the effect of GZNG treatment on AAV9 absorption and gene expression in the jejunum. The qPCR analysis shows that co-treatment with GZNG significantly increases the number of EGFP DNA copies in jejunal tissues, with a tenfold increase compared to controls (*P&lt;0.05) (</w:t>
      </w:r>
      <w:r>
        <w:rPr>
          <w:rFonts w:eastAsiaTheme="minorEastAsia"/>
          <w:b/>
          <w:bCs/>
          <w:lang w:eastAsia="zh-CN"/>
        </w:rPr>
        <w:t>Figure 4A</w:t>
      </w:r>
      <w:r>
        <w:rPr>
          <w:rFonts w:eastAsiaTheme="minorEastAsia"/>
          <w:lang w:eastAsia="zh-CN"/>
        </w:rPr>
        <w:t>). This suggests that GZNG enhances AAV9 vector uptake, resulting in greater transgene expression in the jejunum. Additionally, data from the everted gut sac model further support this finding, showing that co-incubation with GZNG significantly enhances the absorption of AAV9-CMV-EGFP in jejunal sacs over time (</w:t>
      </w:r>
      <w:r>
        <w:rPr>
          <w:rFonts w:eastAsiaTheme="minorEastAsia"/>
          <w:b/>
          <w:bCs/>
          <w:lang w:eastAsia="zh-CN"/>
        </w:rPr>
        <w:t>Figure 4B</w:t>
      </w:r>
      <w:r>
        <w:rPr>
          <w:rFonts w:eastAsiaTheme="minorEastAsia"/>
          <w:lang w:eastAsia="zh-CN"/>
        </w:rPr>
        <w:t>). This evidence highlights GZNG's potential as an effective adjuvant for gene delivery applications.</w:t>
      </w:r>
    </w:p>
    <w:p w14:paraId="3FD64029">
      <w:pPr>
        <w:rPr>
          <w:rFonts w:eastAsiaTheme="minorEastAsia"/>
          <w:lang w:eastAsia="zh-CN"/>
        </w:rPr>
      </w:pPr>
    </w:p>
    <w:p w14:paraId="2E3EAE6C">
      <w:pPr>
        <w:rPr>
          <w:rFonts w:eastAsiaTheme="minorEastAsia"/>
          <w:lang w:eastAsia="zh-CN"/>
        </w:rPr>
      </w:pPr>
      <w:r>
        <w:rPr>
          <w:rFonts w:eastAsiaTheme="minorEastAsia"/>
          <w:lang w:eastAsia="zh-CN"/>
        </w:rPr>
        <w:t xml:space="preserve">Together, these results provide a comprehensive view of the protocol's success in facilitating gene delivery to the small intestine, particularly the jejunum. The data show that AAV9 can effectively transduce intestinal tissues, with variations in absorption rates observed across intestinal segments and under different external conditions. GZNG treatment further enhances AAV9 absorption, suggesting its potential as a gene-delivery enhancer. </w:t>
      </w:r>
    </w:p>
    <w:p w14:paraId="2F237798">
      <w:pPr>
        <w:rPr>
          <w:rFonts w:eastAsiaTheme="minorEastAsia"/>
          <w:lang w:eastAsia="zh-CN"/>
        </w:rPr>
      </w:pPr>
    </w:p>
    <w:p w14:paraId="25B901AD">
      <w:pPr>
        <w:rPr>
          <w:rFonts w:eastAsiaTheme="minorEastAsia"/>
          <w:lang w:eastAsia="zh-CN"/>
        </w:rPr>
      </w:pPr>
      <w:r>
        <w:rPr>
          <w:rFonts w:eastAsiaTheme="minorEastAsia"/>
          <w:lang w:eastAsia="zh-CN"/>
        </w:rPr>
        <w:t xml:space="preserve">Alongside these positive outcomes, a few non-ideal results were encountered, providing insight into methodological limitations. Occasionally, an everted sac would develop a leak or tear during the experiment, resulting in immediate mixing of the luminal and serosal contents and a collapse of the usual absorption gradient (similar to the intentional ileal disruption in </w:t>
      </w:r>
      <w:r>
        <w:rPr>
          <w:rFonts w:eastAsiaTheme="minorEastAsia"/>
          <w:b/>
          <w:bCs/>
          <w:lang w:eastAsia="zh-CN"/>
        </w:rPr>
        <w:t>Figure 2B</w:t>
      </w:r>
      <w:r>
        <w:rPr>
          <w:rFonts w:eastAsiaTheme="minorEastAsia"/>
          <w:lang w:eastAsia="zh-CN"/>
        </w:rPr>
        <w:t>). Such leakage events rendered those samples unusable and highlight the importance of gentle tissue handling and secure sac closures. In some runs, some sacs failed to exhibit EGFP fluorescence despite receiving the virus, likely due to tissue viability loss (e.g., from ischemia) or an insufficient effective viral dose in that sac. Similarly, a few sacs yielded serosal AAV titers much lower than those in the vehicle, reflecting variability in factors such as tissue health, segment length, or perfusion efficiency. These suboptimal outcomes emphasize that strict attention to protocol details (ensuring tissue viability, oxygenation, correct viral dosing, and intact sac structure) is required to obtain reliable and reproducible data.</w:t>
      </w:r>
    </w:p>
    <w:p w14:paraId="6E4CC5B6">
      <w:pPr>
        <w:rPr>
          <w:rFonts w:eastAsiaTheme="minorEastAsia"/>
          <w:lang w:eastAsia="zh-CN"/>
        </w:rPr>
      </w:pPr>
    </w:p>
    <w:p w14:paraId="2EA755A8">
      <w:pPr>
        <w:rPr>
          <w:rFonts w:eastAsiaTheme="minorEastAsia"/>
          <w:lang w:eastAsia="zh-CN"/>
        </w:rPr>
      </w:pPr>
      <w:r>
        <w:rPr>
          <w:rFonts w:eastAsiaTheme="minorEastAsia"/>
          <w:lang w:eastAsia="zh-CN"/>
        </w:rPr>
        <w:t xml:space="preserve">Future efforts to advance oral rAAV therapy could benefit from integrating insights from recent advances in rAAV vector engineering. For instance, Meng </w:t>
      </w:r>
      <w:r>
        <w:rPr>
          <w:rFonts w:eastAsiaTheme="minorEastAsia"/>
          <w:i/>
          <w:iCs/>
          <w:lang w:eastAsia="zh-CN"/>
        </w:rPr>
        <w:t>et al.</w:t>
      </w:r>
      <w:r>
        <w:rPr>
          <w:rFonts w:hint="eastAsia" w:eastAsiaTheme="minorEastAsia"/>
          <w:vertAlign w:val="superscript"/>
          <w:lang w:eastAsia="zh-CN"/>
        </w:rPr>
        <w:t>18</w:t>
      </w:r>
      <w:r>
        <w:rPr>
          <w:rFonts w:eastAsiaTheme="minorEastAsia"/>
          <w:lang w:eastAsia="zh-CN"/>
        </w:rPr>
        <w:t xml:space="preserve"> demonstrated that incorporating the melittin analog p5RHH into the rAAV capsid significantly enhances transduction efficiency by promoting endosomal escape. The mechanism may be particularly relevant for overcoming the intestinal epithelial barrier, and provides a framework for understanding how pharmacological adjuvants like GZNG might enhance AAV-mediated gene delivery to the gut.</w:t>
      </w:r>
    </w:p>
    <w:p w14:paraId="2E3EAE6D">
      <w:pPr>
        <w:rPr>
          <w:rFonts w:eastAsiaTheme="minorEastAsia"/>
          <w:lang w:eastAsia="zh-CN"/>
        </w:rPr>
      </w:pPr>
    </w:p>
    <w:p w14:paraId="2E3EAE6E">
      <w:pPr>
        <w:rPr>
          <w:rFonts w:eastAsiaTheme="minorEastAsia"/>
          <w:lang w:eastAsia="zh-CN"/>
        </w:rPr>
      </w:pPr>
      <w:r>
        <w:rPr>
          <w:b/>
        </w:rPr>
        <w:t>FIGURE AND TABLE LEGENDS:</w:t>
      </w:r>
      <w:r>
        <w:t xml:space="preserve"> </w:t>
      </w:r>
    </w:p>
    <w:p w14:paraId="2E3EAE70">
      <w:pPr>
        <w:numPr>
          <w:ilvl w:val="255"/>
          <w:numId w:val="0"/>
        </w:numPr>
        <w:rPr>
          <w:rFonts w:eastAsiaTheme="minorEastAsia"/>
          <w:lang w:eastAsia="zh-CN"/>
        </w:rPr>
      </w:pPr>
    </w:p>
    <w:p w14:paraId="2E3EAE73">
      <w:pPr>
        <w:numPr>
          <w:ilvl w:val="255"/>
          <w:numId w:val="0"/>
        </w:numPr>
        <w:rPr>
          <w:rFonts w:eastAsiaTheme="minorEastAsia"/>
          <w:lang w:eastAsia="zh-CN"/>
        </w:rPr>
      </w:pPr>
      <w:r>
        <w:rPr>
          <w:rFonts w:eastAsiaTheme="minorEastAsia"/>
          <w:b/>
          <w:bCs/>
          <w:lang w:eastAsia="zh-CN"/>
        </w:rPr>
        <w:t xml:space="preserve">Figure 1: H &amp; E staining and EGFP expression across different small intestine tissues. </w:t>
      </w:r>
      <w:r>
        <w:rPr>
          <w:rFonts w:eastAsiaTheme="minorEastAsia"/>
          <w:lang w:eastAsia="zh-CN"/>
        </w:rPr>
        <w:t>(</w:t>
      </w:r>
      <w:r>
        <w:rPr>
          <w:rFonts w:eastAsiaTheme="minorEastAsia"/>
          <w:b/>
          <w:bCs/>
          <w:lang w:eastAsia="zh-CN"/>
        </w:rPr>
        <w:t>A–D</w:t>
      </w:r>
      <w:r>
        <w:rPr>
          <w:rFonts w:eastAsiaTheme="minorEastAsia"/>
          <w:lang w:eastAsia="zh-CN"/>
        </w:rPr>
        <w:t>) Brightfield images of hematoxylin–eosin staining of (</w:t>
      </w:r>
      <w:r>
        <w:rPr>
          <w:rFonts w:eastAsiaTheme="minorEastAsia"/>
          <w:b/>
          <w:bCs/>
          <w:lang w:eastAsia="zh-CN"/>
        </w:rPr>
        <w:t>A</w:t>
      </w:r>
      <w:r>
        <w:rPr>
          <w:rFonts w:eastAsiaTheme="minorEastAsia"/>
          <w:lang w:eastAsia="zh-CN"/>
        </w:rPr>
        <w:t>) duodenum, (</w:t>
      </w:r>
      <w:r>
        <w:rPr>
          <w:rFonts w:eastAsiaTheme="minorEastAsia"/>
          <w:b/>
          <w:bCs/>
          <w:lang w:eastAsia="zh-CN"/>
        </w:rPr>
        <w:t>B</w:t>
      </w:r>
      <w:r>
        <w:rPr>
          <w:rFonts w:eastAsiaTheme="minorEastAsia"/>
          <w:lang w:eastAsia="zh-CN"/>
        </w:rPr>
        <w:t>) jejunum, (</w:t>
      </w:r>
      <w:r>
        <w:rPr>
          <w:rFonts w:eastAsiaTheme="minorEastAsia"/>
          <w:b/>
          <w:bCs/>
          <w:lang w:eastAsia="zh-CN"/>
        </w:rPr>
        <w:t>C</w:t>
      </w:r>
      <w:r>
        <w:rPr>
          <w:rFonts w:eastAsiaTheme="minorEastAsia"/>
          <w:lang w:eastAsia="zh-CN"/>
        </w:rPr>
        <w:t>) ileum, and (</w:t>
      </w:r>
      <w:r>
        <w:rPr>
          <w:rFonts w:eastAsiaTheme="minorEastAsia"/>
          <w:b/>
          <w:bCs/>
          <w:lang w:eastAsia="zh-CN"/>
        </w:rPr>
        <w:t>D</w:t>
      </w:r>
      <w:r>
        <w:rPr>
          <w:rFonts w:eastAsiaTheme="minorEastAsia"/>
          <w:lang w:eastAsia="zh-CN"/>
        </w:rPr>
        <w:t>) colon. (</w:t>
      </w:r>
      <w:r>
        <w:rPr>
          <w:rFonts w:eastAsiaTheme="minorEastAsia"/>
          <w:b/>
          <w:bCs/>
          <w:lang w:eastAsia="zh-CN"/>
        </w:rPr>
        <w:t>E–H</w:t>
      </w:r>
      <w:r>
        <w:rPr>
          <w:rFonts w:eastAsiaTheme="minorEastAsia"/>
          <w:lang w:eastAsia="zh-CN"/>
        </w:rPr>
        <w:t>) Confocal micrographs (488 nm excitation) showing EGFP fluorescence (green) merged with the nuclear counterstain DAPI (blue) in the corresponding tissues—(E) duodenum, (</w:t>
      </w:r>
      <w:r>
        <w:rPr>
          <w:rFonts w:eastAsiaTheme="minorEastAsia"/>
          <w:b/>
          <w:bCs/>
          <w:lang w:eastAsia="zh-CN"/>
        </w:rPr>
        <w:t>F</w:t>
      </w:r>
      <w:r>
        <w:rPr>
          <w:rFonts w:eastAsiaTheme="minorEastAsia"/>
          <w:lang w:eastAsia="zh-CN"/>
        </w:rPr>
        <w:t>) jejunum, (</w:t>
      </w:r>
      <w:r>
        <w:rPr>
          <w:rFonts w:eastAsiaTheme="minorEastAsia"/>
          <w:b/>
          <w:bCs/>
          <w:lang w:eastAsia="zh-CN"/>
        </w:rPr>
        <w:t>G</w:t>
      </w:r>
      <w:r>
        <w:rPr>
          <w:rFonts w:eastAsiaTheme="minorEastAsia"/>
          <w:lang w:eastAsia="zh-CN"/>
        </w:rPr>
        <w:t>) ileum, and (</w:t>
      </w:r>
      <w:r>
        <w:rPr>
          <w:rFonts w:eastAsiaTheme="minorEastAsia"/>
          <w:b/>
          <w:bCs/>
          <w:lang w:eastAsia="zh-CN"/>
        </w:rPr>
        <w:t>H</w:t>
      </w:r>
      <w:r>
        <w:rPr>
          <w:rFonts w:eastAsiaTheme="minorEastAsia"/>
          <w:lang w:eastAsia="zh-CN"/>
        </w:rPr>
        <w:t>) colon. (</w:t>
      </w:r>
      <w:r>
        <w:rPr>
          <w:rFonts w:eastAsiaTheme="minorEastAsia"/>
          <w:b/>
          <w:bCs/>
          <w:lang w:eastAsia="zh-CN"/>
        </w:rPr>
        <w:t>I–L</w:t>
      </w:r>
      <w:r>
        <w:rPr>
          <w:rFonts w:eastAsiaTheme="minorEastAsia"/>
          <w:lang w:eastAsia="zh-CN"/>
        </w:rPr>
        <w:t>) rAAV9-negative control tissues (no vector administered) for the same intestinal segments—(</w:t>
      </w:r>
      <w:r>
        <w:rPr>
          <w:rFonts w:eastAsiaTheme="minorEastAsia"/>
          <w:b/>
          <w:bCs/>
          <w:lang w:eastAsia="zh-CN"/>
        </w:rPr>
        <w:t>I</w:t>
      </w:r>
      <w:r>
        <w:rPr>
          <w:rFonts w:eastAsiaTheme="minorEastAsia"/>
          <w:lang w:eastAsia="zh-CN"/>
        </w:rPr>
        <w:t>) duodenum, (</w:t>
      </w:r>
      <w:r>
        <w:rPr>
          <w:rFonts w:eastAsiaTheme="minorEastAsia"/>
          <w:b/>
          <w:bCs/>
          <w:lang w:eastAsia="zh-CN"/>
        </w:rPr>
        <w:t>J</w:t>
      </w:r>
      <w:r>
        <w:rPr>
          <w:rFonts w:eastAsiaTheme="minorEastAsia"/>
          <w:lang w:eastAsia="zh-CN"/>
        </w:rPr>
        <w:t>) jejunum, (</w:t>
      </w:r>
      <w:r>
        <w:rPr>
          <w:rFonts w:eastAsiaTheme="minorEastAsia"/>
          <w:b/>
          <w:bCs/>
          <w:lang w:eastAsia="zh-CN"/>
        </w:rPr>
        <w:t>K</w:t>
      </w:r>
      <w:r>
        <w:rPr>
          <w:rFonts w:eastAsiaTheme="minorEastAsia"/>
          <w:lang w:eastAsia="zh-CN"/>
        </w:rPr>
        <w:t>) ileum, and (</w:t>
      </w:r>
      <w:r>
        <w:rPr>
          <w:rFonts w:eastAsiaTheme="minorEastAsia"/>
          <w:b/>
          <w:bCs/>
          <w:lang w:eastAsia="zh-CN"/>
        </w:rPr>
        <w:t>L</w:t>
      </w:r>
      <w:r>
        <w:rPr>
          <w:rFonts w:eastAsiaTheme="minorEastAsia"/>
          <w:lang w:eastAsia="zh-CN"/>
        </w:rPr>
        <w:t xml:space="preserve">) colon —shown with the EGFP channel together with DAPI to illustrate the absence of a specific green signal. Scale bars = 500 μm (as indicated in each panel). </w:t>
      </w:r>
      <w:r>
        <w:rPr>
          <w:rFonts w:eastAsiaTheme="minorEastAsia"/>
          <w:lang w:eastAsia="zh-CN"/>
        </w:rPr>
        <w:cr/>
      </w:r>
    </w:p>
    <w:p w14:paraId="2E3EAE76">
      <w:pPr>
        <w:rPr>
          <w:rFonts w:eastAsia="宋体"/>
          <w:lang w:eastAsia="zh-CN"/>
        </w:rPr>
      </w:pPr>
      <w:r>
        <w:rPr>
          <w:rFonts w:eastAsia="宋体"/>
          <w:b/>
          <w:bCs/>
          <w:lang w:eastAsia="zh-CN"/>
        </w:rPr>
        <w:t>Figure 2: Jejunal AAV titers peak at 90 min among small intestinal segments.</w:t>
      </w:r>
      <w:r>
        <w:rPr>
          <w:rFonts w:eastAsia="宋体"/>
          <w:lang w:eastAsia="zh-CN"/>
        </w:rPr>
        <w:t xml:space="preserve"> (</w:t>
      </w:r>
      <w:r>
        <w:rPr>
          <w:rFonts w:eastAsia="宋体"/>
          <w:b/>
          <w:bCs/>
          <w:lang w:eastAsia="zh-CN"/>
        </w:rPr>
        <w:t>A</w:t>
      </w:r>
      <w:r>
        <w:rPr>
          <w:rFonts w:eastAsia="宋体"/>
          <w:lang w:eastAsia="zh-CN"/>
        </w:rPr>
        <w:t>) Time-course profiling of AAV9-CMV-EGFP titers (vg/mL) in duodenal (red) and jejunal (blue) perfusates, as well as jejunal perfusates following a 10-fold increase in extraluminal viral concentration (green). Jejunal titers peaked at 90 min, surpassing duodenal titers, and showed further enhancement under elevated external concentration. (</w:t>
      </w:r>
      <w:r>
        <w:rPr>
          <w:rFonts w:eastAsia="宋体"/>
          <w:b/>
          <w:bCs/>
          <w:lang w:eastAsia="zh-CN"/>
        </w:rPr>
        <w:t>B</w:t>
      </w:r>
      <w:r>
        <w:rPr>
          <w:rFonts w:eastAsia="宋体"/>
          <w:lang w:eastAsia="zh-CN"/>
        </w:rPr>
        <w:t xml:space="preserve">) Comparative analysis of ileal (yellow) and extraluminal (brown) titers. Intentional disruption of the ileal barrier at 30 min (black arrow) led to equilibration of intra- and extraluminal titers thereafter. </w:t>
      </w:r>
      <w:r>
        <w:rPr>
          <w:rFonts w:eastAsiaTheme="minorEastAsia"/>
          <w:lang w:eastAsia="zh-CN"/>
        </w:rPr>
        <w:t>MOCK represents vehicle control without rAAV administration.</w:t>
      </w:r>
      <w:r>
        <w:rPr>
          <w:rFonts w:eastAsia="宋体"/>
          <w:lang w:eastAsia="zh-CN"/>
        </w:rPr>
        <w:cr/>
      </w:r>
    </w:p>
    <w:p w14:paraId="2E3EAE77">
      <w:pPr>
        <w:rPr>
          <w:rFonts w:eastAsia="宋体"/>
          <w:lang w:eastAsia="zh-CN"/>
        </w:rPr>
      </w:pPr>
      <w:r>
        <w:rPr>
          <w:rFonts w:eastAsia="宋体"/>
          <w:b/>
          <w:bCs/>
          <w:lang w:eastAsia="zh-CN"/>
        </w:rPr>
        <w:t xml:space="preserve">Figure 3: LC-HRMS base-peak chromatograms (BPCs) of GZNG lyophilized powder and its intestinal absorption solution. </w:t>
      </w:r>
      <w:r>
        <w:rPr>
          <w:rFonts w:eastAsia="宋体"/>
          <w:lang w:eastAsia="zh-CN"/>
        </w:rPr>
        <w:t>(</w:t>
      </w:r>
      <w:r>
        <w:rPr>
          <w:rFonts w:eastAsia="宋体"/>
          <w:b/>
          <w:bCs/>
          <w:lang w:eastAsia="zh-CN"/>
        </w:rPr>
        <w:t>A</w:t>
      </w:r>
      <w:r>
        <w:rPr>
          <w:rFonts w:eastAsia="宋体"/>
          <w:lang w:eastAsia="zh-CN"/>
        </w:rPr>
        <w:t>) Lyophilized powder, negative ion mode (ESI–). (</w:t>
      </w:r>
      <w:r>
        <w:rPr>
          <w:rFonts w:eastAsia="宋体"/>
          <w:b/>
          <w:bCs/>
          <w:lang w:eastAsia="zh-CN"/>
        </w:rPr>
        <w:t>B</w:t>
      </w:r>
      <w:r>
        <w:rPr>
          <w:rFonts w:eastAsia="宋体"/>
          <w:lang w:eastAsia="zh-CN"/>
        </w:rPr>
        <w:t>) Lyophilized powder, positive ion mode (ESI+). (</w:t>
      </w:r>
      <w:r>
        <w:rPr>
          <w:rFonts w:eastAsia="宋体"/>
          <w:b/>
          <w:bCs/>
          <w:lang w:eastAsia="zh-CN"/>
        </w:rPr>
        <w:t>C</w:t>
      </w:r>
      <w:r>
        <w:rPr>
          <w:rFonts w:eastAsia="宋体"/>
          <w:lang w:eastAsia="zh-CN"/>
        </w:rPr>
        <w:t>) Intestinal absorption solution, negative ion mode (ESI–). (</w:t>
      </w:r>
      <w:r>
        <w:rPr>
          <w:rFonts w:eastAsia="宋体"/>
          <w:b/>
          <w:bCs/>
          <w:lang w:eastAsia="zh-CN"/>
        </w:rPr>
        <w:t>D</w:t>
      </w:r>
      <w:r>
        <w:rPr>
          <w:rFonts w:eastAsia="宋体"/>
          <w:lang w:eastAsia="zh-CN"/>
        </w:rPr>
        <w:t>) Intestinal absorption solution, positive ion mode (ESI+). Samples were separated by UHPLC and acquired under electrospray ionization in both negative and positive modes. Traces are displayed as base-peak chromatograms (the most intense ion per time point). The x-axis denotes retention time (min), and the y-axis denotes signal abundance (a.u.). A pronounced peak cluster is observed at ~4–6 min in ESI+, while multiple early-eluting peaks (0–2 min) are evident in ESI–.</w:t>
      </w:r>
    </w:p>
    <w:p w14:paraId="2E3EAE7B">
      <w:pPr>
        <w:rPr>
          <w:rFonts w:eastAsiaTheme="minorEastAsia"/>
          <w:lang w:eastAsia="zh-CN"/>
        </w:rPr>
      </w:pPr>
    </w:p>
    <w:p w14:paraId="2E3EAE7D">
      <w:pPr>
        <w:rPr>
          <w:rFonts w:eastAsiaTheme="minorEastAsia"/>
          <w:lang w:eastAsia="zh-CN"/>
        </w:rPr>
      </w:pPr>
      <w:r>
        <w:rPr>
          <w:rFonts w:eastAsia="宋体"/>
          <w:b/>
          <w:bCs/>
          <w:lang w:eastAsia="zh-CN"/>
        </w:rPr>
        <w:t xml:space="preserve">Figure 4: GZNG increases EGFP DNA copies in jejunum tissues and rAAV titers. </w:t>
      </w:r>
      <w:r>
        <w:rPr>
          <w:rFonts w:eastAsia="宋体"/>
          <w:lang w:eastAsia="zh-CN"/>
        </w:rPr>
        <w:t>(</w:t>
      </w:r>
      <w:r>
        <w:rPr>
          <w:rFonts w:eastAsia="宋体"/>
          <w:b/>
          <w:bCs/>
          <w:lang w:eastAsia="zh-CN"/>
        </w:rPr>
        <w:t>A</w:t>
      </w:r>
      <w:r>
        <w:rPr>
          <w:rFonts w:eastAsia="宋体"/>
          <w:lang w:eastAsia="zh-CN"/>
        </w:rPr>
        <w:t>) qPCR analysis shows that GZNG treatment significantly increases EGFP DNA copy numbers in the jejunum compared with controls, by 10-fold. EGFP amplification was performed using primers targeting the CDS region, with β-actin as the internal control</w:t>
      </w:r>
      <w:r>
        <w:rPr>
          <w:rFonts w:eastAsiaTheme="minorEastAsia"/>
          <w:lang w:eastAsia="zh-CN"/>
        </w:rPr>
        <w:t xml:space="preserve"> (n = 3)</w:t>
      </w:r>
      <w:r>
        <w:rPr>
          <w:rFonts w:eastAsia="宋体"/>
          <w:lang w:eastAsia="zh-CN"/>
        </w:rPr>
        <w:t>.</w:t>
      </w:r>
      <w:r>
        <w:rPr>
          <w:rFonts w:eastAsiaTheme="minorEastAsia"/>
          <w:lang w:eastAsia="zh-CN"/>
        </w:rPr>
        <w:t xml:space="preserve"> Data are presented as mean ± SD. Statistical significance was determined using Student's t-test, * = P &lt; 0.05. </w:t>
      </w:r>
      <w:r>
        <w:rPr>
          <w:rFonts w:eastAsia="宋体"/>
          <w:lang w:eastAsia="zh-CN"/>
        </w:rPr>
        <w:t>(</w:t>
      </w:r>
      <w:r>
        <w:rPr>
          <w:rFonts w:eastAsia="宋体"/>
          <w:b/>
          <w:bCs/>
          <w:lang w:eastAsia="zh-CN"/>
        </w:rPr>
        <w:t>B</w:t>
      </w:r>
      <w:r>
        <w:rPr>
          <w:rFonts w:eastAsia="宋体"/>
          <w:lang w:eastAsia="zh-CN"/>
        </w:rPr>
        <w:t>) The intestinal uptake of rAAV9 was evaluated using the everted gut sac model. Jejunal sacs were incubated with rAAV9-CMV-EGFP alone (Control, red line) or co-incubated with GZNG and rAAV9-CMV-EGFP (blue line). Viral titers in the serosal fluid were quantified at the indicated time points. Co-incubation with GZNG significantly enhanced the absorption of rAAV9 across the jejunal segment compared to controls.</w:t>
      </w:r>
      <w:r>
        <w:rPr>
          <w:rFonts w:eastAsiaTheme="minorEastAsia"/>
          <w:lang w:eastAsia="zh-CN"/>
        </w:rPr>
        <w:t xml:space="preserve"> MOCK represents vehicle control without rAAV administration.</w:t>
      </w:r>
    </w:p>
    <w:p w14:paraId="7E6D0B2F">
      <w:pPr>
        <w:rPr>
          <w:rFonts w:eastAsiaTheme="minorEastAsia"/>
          <w:lang w:eastAsia="zh-CN"/>
        </w:rPr>
      </w:pPr>
    </w:p>
    <w:p w14:paraId="0022595C">
      <w:pPr>
        <w:rPr>
          <w:rFonts w:eastAsiaTheme="minorEastAsia"/>
          <w:b/>
          <w:bCs/>
          <w:lang w:eastAsia="zh-CN"/>
        </w:rPr>
      </w:pPr>
      <w:r>
        <w:rPr>
          <w:rFonts w:eastAsiaTheme="minorEastAsia"/>
          <w:b/>
          <w:bCs/>
          <w:lang w:eastAsia="zh-CN"/>
        </w:rPr>
        <w:t>Supplementary Figure 1</w:t>
      </w:r>
      <w:r>
        <w:rPr>
          <w:rFonts w:hint="eastAsia" w:eastAsiaTheme="minorEastAsia"/>
          <w:b/>
          <w:bCs/>
          <w:lang w:eastAsia="zh-CN"/>
        </w:rPr>
        <w:t>:</w:t>
      </w:r>
      <w:r>
        <w:rPr>
          <w:rFonts w:eastAsiaTheme="minorEastAsia"/>
          <w:b/>
          <w:bCs/>
          <w:lang w:eastAsia="zh-CN"/>
        </w:rPr>
        <w:t xml:space="preserve"> EGFP expression </w:t>
      </w:r>
      <w:r>
        <w:rPr>
          <w:rFonts w:hint="eastAsia" w:eastAsiaTheme="minorEastAsia"/>
          <w:b/>
          <w:bCs/>
          <w:lang w:eastAsia="zh-CN"/>
        </w:rPr>
        <w:t xml:space="preserve">of </w:t>
      </w:r>
      <w:r>
        <w:rPr>
          <w:rFonts w:eastAsiaTheme="minorEastAsia"/>
          <w:b/>
          <w:bCs/>
          <w:lang w:eastAsia="zh-CN"/>
        </w:rPr>
        <w:t>GZNG-only</w:t>
      </w:r>
      <w:r>
        <w:rPr>
          <w:rFonts w:hint="eastAsia" w:eastAsiaTheme="minorEastAsia"/>
          <w:b/>
          <w:bCs/>
          <w:lang w:eastAsia="zh-CN"/>
        </w:rPr>
        <w:t xml:space="preserve"> treated jejunum tissues.</w:t>
      </w:r>
    </w:p>
    <w:p w14:paraId="12C66D9A">
      <w:pPr>
        <w:rPr>
          <w:rFonts w:eastAsiaTheme="minorEastAsia"/>
          <w:b/>
          <w:bCs/>
          <w:lang w:eastAsia="zh-CN"/>
        </w:rPr>
      </w:pPr>
      <w:r>
        <w:rPr>
          <w:rFonts w:eastAsiaTheme="minorEastAsia"/>
          <w:lang w:eastAsia="zh-CN"/>
        </w:rPr>
        <w:t>Confocal micrographs (488 nm excitation) showing EGFP fluorescence (green) merged with the nuclear counterstain DAPI (blue) in the</w:t>
      </w:r>
      <w:r>
        <w:rPr>
          <w:rFonts w:hint="eastAsia" w:eastAsiaTheme="minorEastAsia"/>
          <w:lang w:eastAsia="zh-CN"/>
        </w:rPr>
        <w:t xml:space="preserve"> </w:t>
      </w:r>
      <w:r>
        <w:rPr>
          <w:rFonts w:eastAsiaTheme="minorEastAsia"/>
          <w:lang w:eastAsia="zh-CN"/>
        </w:rPr>
        <w:t>GZNG-only treated jejunum tissue</w:t>
      </w:r>
      <w:r>
        <w:rPr>
          <w:rFonts w:hint="eastAsia" w:eastAsiaTheme="minorEastAsia"/>
          <w:lang w:eastAsia="zh-CN"/>
        </w:rPr>
        <w:t xml:space="preserve">. </w:t>
      </w:r>
      <w:r>
        <w:rPr>
          <w:rFonts w:eastAsiaTheme="minorEastAsia"/>
          <w:lang w:eastAsia="zh-CN"/>
        </w:rPr>
        <w:t>Scale bars = 500 μm (as indicated in each panel).</w:t>
      </w:r>
    </w:p>
    <w:p w14:paraId="09DA5257">
      <w:pPr>
        <w:rPr>
          <w:rFonts w:eastAsiaTheme="minorEastAsia"/>
          <w:lang w:eastAsia="zh-CN"/>
        </w:rPr>
      </w:pPr>
    </w:p>
    <w:p w14:paraId="5FD5DEB6">
      <w:pPr>
        <w:rPr>
          <w:rFonts w:eastAsiaTheme="minorEastAsia"/>
          <w:b/>
          <w:bCs/>
          <w:lang w:eastAsia="zh-CN"/>
        </w:rPr>
      </w:pPr>
      <w:r>
        <w:rPr>
          <w:rFonts w:eastAsiaTheme="minorEastAsia"/>
          <w:b/>
          <w:bCs/>
          <w:lang w:eastAsia="zh-CN"/>
        </w:rPr>
        <w:t>Table 1. Comparative analysis of intestinal absorption models</w:t>
      </w:r>
      <w:r>
        <w:rPr>
          <w:rFonts w:eastAsiaTheme="minorEastAsia"/>
          <w:b/>
          <w:bCs/>
          <w:vertAlign w:val="superscript"/>
          <w:lang w:eastAsia="zh-CN"/>
        </w:rPr>
        <w:t>19–23</w:t>
      </w:r>
      <w:r>
        <w:rPr>
          <w:rFonts w:eastAsiaTheme="minorEastAsia"/>
          <w:b/>
          <w:bCs/>
          <w:lang w:eastAsia="zh-CN"/>
        </w:rPr>
        <w:t>.</w:t>
      </w:r>
    </w:p>
    <w:p w14:paraId="5BD3DCD2">
      <w:pPr>
        <w:rPr>
          <w:rFonts w:eastAsiaTheme="minorEastAsia"/>
          <w:b/>
          <w:bCs/>
          <w:lang w:eastAsia="zh-CN"/>
        </w:rPr>
      </w:pPr>
    </w:p>
    <w:p w14:paraId="61DE8A93">
      <w:pPr>
        <w:rPr>
          <w:b/>
          <w:bCs/>
        </w:rPr>
      </w:pPr>
      <w:r>
        <w:rPr>
          <w:b/>
          <w:bCs/>
        </w:rPr>
        <w:t xml:space="preserve">Table </w:t>
      </w:r>
      <w:r>
        <w:rPr>
          <w:rFonts w:eastAsiaTheme="minorEastAsia"/>
          <w:b/>
          <w:bCs/>
          <w:lang w:eastAsia="zh-CN"/>
        </w:rPr>
        <w:t>2</w:t>
      </w:r>
      <w:r>
        <w:rPr>
          <w:b/>
          <w:bCs/>
        </w:rPr>
        <w:t>. Composition of GZNG.</w:t>
      </w:r>
    </w:p>
    <w:p w14:paraId="20A6D08A">
      <w:pPr>
        <w:rPr>
          <w:rFonts w:eastAsiaTheme="minorEastAsia"/>
          <w:lang w:eastAsia="zh-CN"/>
        </w:rPr>
      </w:pPr>
    </w:p>
    <w:p w14:paraId="2E3EAE7F">
      <w:pPr>
        <w:rPr>
          <w:rFonts w:eastAsiaTheme="minorEastAsia"/>
          <w:lang w:eastAsia="zh-CN"/>
        </w:rPr>
      </w:pPr>
      <w:r>
        <w:rPr>
          <w:b/>
        </w:rPr>
        <w:t xml:space="preserve">DISCUSSION: </w:t>
      </w:r>
    </w:p>
    <w:p w14:paraId="2E3EAE81">
      <w:pPr>
        <w:rPr>
          <w:rFonts w:eastAsiaTheme="minorEastAsia"/>
          <w:lang w:eastAsia="zh-CN"/>
        </w:rPr>
      </w:pPr>
      <w:r>
        <w:rPr>
          <w:rFonts w:eastAsiaTheme="minorEastAsia"/>
          <w:lang w:eastAsia="zh-CN"/>
        </w:rPr>
        <w:t xml:space="preserve">In this study, a novel </w:t>
      </w:r>
      <w:r>
        <w:rPr>
          <w:rFonts w:eastAsiaTheme="minorEastAsia"/>
          <w:i/>
          <w:iCs/>
          <w:lang w:eastAsia="zh-CN"/>
        </w:rPr>
        <w:t>in vitro</w:t>
      </w:r>
      <w:r>
        <w:rPr>
          <w:rFonts w:eastAsiaTheme="minorEastAsia"/>
          <w:lang w:eastAsia="zh-CN"/>
        </w:rPr>
        <w:t xml:space="preserve"> approach to evaluate intestinal rAAV absorption by adapting the classic everted gut sac model was established. This method allows segment-specific analysis of AAV transduction efficiency across the small intestine under controlled conditions and evaluation of the synergistic effects between TCM and rAAV. Here, the critical steps, troubleshooting and modifications, limitations, and their broad applications in gene therapy and drug delivery are discussed.</w:t>
      </w:r>
    </w:p>
    <w:p w14:paraId="7633609C">
      <w:pPr>
        <w:rPr>
          <w:rFonts w:eastAsiaTheme="minorEastAsia"/>
          <w:lang w:eastAsia="zh-CN"/>
        </w:rPr>
      </w:pPr>
    </w:p>
    <w:p w14:paraId="2E3EAE82">
      <w:pPr>
        <w:rPr>
          <w:rFonts w:eastAsiaTheme="minorEastAsia"/>
          <w:lang w:eastAsia="zh-CN"/>
        </w:rPr>
      </w:pPr>
      <w:r>
        <w:rPr>
          <w:rFonts w:eastAsiaTheme="minorEastAsia"/>
          <w:b/>
          <w:bCs/>
          <w:lang w:eastAsia="zh-CN"/>
        </w:rPr>
        <w:t>Critical technical steps</w:t>
      </w:r>
    </w:p>
    <w:p w14:paraId="2E3EAE83">
      <w:pPr>
        <w:rPr>
          <w:rFonts w:eastAsiaTheme="minorEastAsia"/>
          <w:lang w:eastAsia="zh-CN"/>
        </w:rPr>
      </w:pPr>
      <w:r>
        <w:rPr>
          <w:rFonts w:eastAsiaTheme="minorEastAsia"/>
          <w:lang w:eastAsia="zh-CN"/>
        </w:rPr>
        <w:t>Implementing the everted gut sac model for rAAV transduction studies requires careful attention to several technical steps that are critical to the protocol's success. Tissue selection and preparation are paramount. Intestinal segments should be harvested consistently (e.g., defined lengths of duodenum, jejunum, ileum, or colon identified relative to anatomical landmarks) to ensure reproducible results</w:t>
      </w:r>
      <w:r>
        <w:rPr>
          <w:rFonts w:hint="eastAsia" w:eastAsiaTheme="minorEastAsia"/>
          <w:vertAlign w:val="superscript"/>
          <w:lang w:eastAsia="zh-CN"/>
        </w:rPr>
        <w:t>24</w:t>
      </w:r>
      <w:r>
        <w:rPr>
          <w:rFonts w:eastAsiaTheme="minorEastAsia"/>
          <w:lang w:eastAsia="zh-CN"/>
        </w:rPr>
        <w:t>. The sac eversion process itself is a critical step that demands technical finesse. Using a lubricated glass rod or similar tool, the excised intestinal segment is carefully turned inside-out</w:t>
      </w:r>
      <w:r>
        <w:rPr>
          <w:rFonts w:hint="eastAsia" w:eastAsiaTheme="minorEastAsia"/>
          <w:vertAlign w:val="superscript"/>
          <w:lang w:eastAsia="zh-CN"/>
        </w:rPr>
        <w:t>25</w:t>
      </w:r>
      <w:r>
        <w:rPr>
          <w:rFonts w:eastAsiaTheme="minorEastAsia"/>
          <w:lang w:eastAsia="zh-CN"/>
        </w:rPr>
        <w:t xml:space="preserve">. It is crucial to avoid twisting or excessive stretching of the tissue during this maneuver, as rough handling can cause microscopic tears or overt mucosal rupture. Equally important is the viral incubation step under controlled conditions. Once everted sacs are prepared and submerged in the rAAV-containing medium, the system must mimic physiological conditions as closely as possible to maintain tissue viability. The incubation medium should be pre-warmed to 37 °C and continuously oxygenated (95% O₂/5% CO₂) throughout the experiment to supply the tissue with oxygen and maintain pH. Temperature control is critical: even mild hypothermia can rapidly impair tissue metabolism, compromising tight junction integrity and active transport processes. </w:t>
      </w:r>
    </w:p>
    <w:p w14:paraId="67D9A29A">
      <w:pPr>
        <w:rPr>
          <w:rFonts w:eastAsiaTheme="minorEastAsia"/>
          <w:lang w:eastAsia="zh-CN"/>
        </w:rPr>
      </w:pPr>
    </w:p>
    <w:p w14:paraId="2EDCD7A5">
      <w:pPr>
        <w:rPr>
          <w:rFonts w:eastAsiaTheme="minorEastAsia"/>
          <w:lang w:eastAsia="zh-CN"/>
        </w:rPr>
      </w:pPr>
      <w:r>
        <w:rPr>
          <w:rFonts w:eastAsiaTheme="minorEastAsia"/>
          <w:lang w:eastAsia="zh-CN"/>
        </w:rPr>
        <w:t>It is also important to consider pH as an experimental parameter when applying the everted gut sac model to different intestinal segments. Luminal pH varies along the small intestine and may influence the behavior of orally delivered agents. In the present study, the sacs were incubated in a neutral physiological buffer (approximately pH 7.4), which falls within the physiological range of the small intestine and provides a stable environment for vector exposure. This is unlikely to compromise vector integrity, as rAAV has been reported to remain stable over a broad pH range of approximately 4</w:t>
      </w:r>
      <w:r>
        <w:rPr>
          <w:rFonts w:hint="eastAsia" w:eastAsiaTheme="minorEastAsia"/>
          <w:lang w:eastAsia="zh-CN"/>
        </w:rPr>
        <w:t>–</w:t>
      </w:r>
      <w:r>
        <w:rPr>
          <w:rFonts w:eastAsiaTheme="minorEastAsia"/>
          <w:lang w:eastAsia="zh-CN"/>
        </w:rPr>
        <w:t>8</w:t>
      </w:r>
      <w:r>
        <w:rPr>
          <w:rFonts w:hint="eastAsia" w:eastAsiaTheme="minorEastAsia"/>
          <w:lang w:eastAsia="zh-CN"/>
        </w:rPr>
        <w:t>.52</w:t>
      </w:r>
      <w:r>
        <w:rPr>
          <w:rFonts w:hint="eastAsia" w:eastAsiaTheme="minorEastAsia"/>
          <w:vertAlign w:val="superscript"/>
          <w:lang w:eastAsia="zh-CN"/>
        </w:rPr>
        <w:t>26</w:t>
      </w:r>
      <w:r>
        <w:rPr>
          <w:rFonts w:eastAsiaTheme="minorEastAsia"/>
          <w:lang w:eastAsia="zh-CN"/>
        </w:rPr>
        <w:t>. Therefore, although segment-specific luminal pH values were not separately reproduced in our ex vivo setup, the incubation conditions remained compatible with both intestinal physiology and rAAV stability.</w:t>
      </w:r>
    </w:p>
    <w:p w14:paraId="34F5440E">
      <w:pPr>
        <w:rPr>
          <w:rFonts w:eastAsiaTheme="minorEastAsia"/>
          <w:lang w:eastAsia="zh-CN"/>
        </w:rPr>
      </w:pPr>
    </w:p>
    <w:p w14:paraId="19DB0D60">
      <w:pPr>
        <w:rPr>
          <w:rFonts w:eastAsiaTheme="minorEastAsia"/>
          <w:lang w:eastAsia="zh-CN"/>
        </w:rPr>
      </w:pPr>
      <w:r>
        <w:rPr>
          <w:rFonts w:eastAsiaTheme="minorEastAsia"/>
          <w:lang w:eastAsia="zh-CN"/>
        </w:rPr>
        <w:t xml:space="preserve">It should be noted that viral transduction in an </w:t>
      </w:r>
      <w:r>
        <w:rPr>
          <w:rFonts w:eastAsiaTheme="minorEastAsia"/>
          <w:i/>
          <w:iCs/>
          <w:lang w:eastAsia="zh-CN"/>
        </w:rPr>
        <w:t>ex vivo</w:t>
      </w:r>
      <w:r>
        <w:rPr>
          <w:rFonts w:eastAsiaTheme="minorEastAsia"/>
          <w:lang w:eastAsia="zh-CN"/>
        </w:rPr>
        <w:t xml:space="preserve"> sac may progress more slowly than </w:t>
      </w:r>
      <w:r>
        <w:rPr>
          <w:rFonts w:eastAsiaTheme="minorEastAsia"/>
          <w:i/>
          <w:iCs/>
          <w:lang w:eastAsia="zh-CN"/>
        </w:rPr>
        <w:t>in vivo</w:t>
      </w:r>
      <w:r>
        <w:rPr>
          <w:rFonts w:eastAsiaTheme="minorEastAsia"/>
          <w:lang w:eastAsia="zh-CN"/>
        </w:rPr>
        <w:t>, in part because the lack of blood flow or lymphatic drainage leads to a stagnant serosal environment</w:t>
      </w:r>
      <w:r>
        <w:rPr>
          <w:rFonts w:eastAsiaTheme="minorEastAsia"/>
          <w:vertAlign w:val="superscript"/>
          <w:lang w:eastAsia="zh-CN"/>
        </w:rPr>
        <w:t>11</w:t>
      </w:r>
      <w:r>
        <w:rPr>
          <w:rFonts w:eastAsiaTheme="minorEastAsia"/>
          <w:lang w:eastAsia="zh-CN"/>
        </w:rPr>
        <w:t>. Accordingly, incubations are often run for 1–2 h, and samples can be taken at multiple time points to track the progression of viral genome uptake.</w:t>
      </w:r>
      <w:r>
        <w:t xml:space="preserve"> </w:t>
      </w:r>
      <w:r>
        <w:rPr>
          <w:rFonts w:eastAsiaTheme="minorEastAsia"/>
          <w:lang w:eastAsia="zh-CN"/>
        </w:rPr>
        <w:t xml:space="preserve">In many cases, the tissue may be incubated with the virus for a set period, then washed and either cultured further </w:t>
      </w:r>
      <w:r>
        <w:rPr>
          <w:rFonts w:eastAsiaTheme="minorEastAsia"/>
          <w:i/>
          <w:iCs/>
          <w:lang w:eastAsia="zh-CN"/>
        </w:rPr>
        <w:t>ex vivo</w:t>
      </w:r>
      <w:r>
        <w:rPr>
          <w:rFonts w:eastAsiaTheme="minorEastAsia"/>
          <w:lang w:eastAsia="zh-CN"/>
        </w:rPr>
        <w:t xml:space="preserve"> or analyzed at a molecular level (e.g., via qPCR for vector genomes) to quantify transduction. Maintaining sterility during incubation (by using antibiotics or antifungals in the medium, if necessary) can be beneficial for longer culture or when the intestinal segment carries a high microbial load. In summary, careful control of the incubation environment (medium composition, oxygenation, temperature, and timing) is essential to maximize rAAV transduction while the tissue is viable.</w:t>
      </w:r>
    </w:p>
    <w:p w14:paraId="07436CB0">
      <w:pPr>
        <w:rPr>
          <w:rFonts w:eastAsiaTheme="minorEastAsia"/>
          <w:lang w:eastAsia="zh-CN"/>
        </w:rPr>
      </w:pPr>
    </w:p>
    <w:p w14:paraId="1A5BC268">
      <w:pPr>
        <w:rPr>
          <w:rFonts w:eastAsiaTheme="minorEastAsia"/>
          <w:b/>
          <w:bCs/>
          <w:lang w:eastAsia="zh-CN"/>
        </w:rPr>
      </w:pPr>
      <w:r>
        <w:rPr>
          <w:rFonts w:eastAsiaTheme="minorEastAsia"/>
          <w:b/>
          <w:bCs/>
          <w:lang w:eastAsia="zh-CN"/>
        </w:rPr>
        <w:t>Troubleshooting and modifications</w:t>
      </w:r>
    </w:p>
    <w:p w14:paraId="356777C8">
      <w:pPr>
        <w:rPr>
          <w:rFonts w:eastAsiaTheme="minorEastAsia"/>
          <w:lang w:eastAsia="zh-CN"/>
        </w:rPr>
      </w:pPr>
      <w:r>
        <w:rPr>
          <w:rFonts w:eastAsiaTheme="minorEastAsia"/>
          <w:lang w:eastAsia="zh-CN"/>
        </w:rPr>
        <w:t>When using the everted gut sac model, certain challenges may arise, but these can often be addressed by adjusting the protocol. If tissue viability is a concern (for instance, if sacs consistently show minimal transduction or obvious tissue damage), one can shorten the incubation duration or ensure the tissue is used immediately after harvesting to reduce time ex vivo. Improving oxygenation – for example, verifying adequate gas flow or gently agitating the medium to enhance gas exchange – can also help sustain the sac for the full 2 h period. When viral uptake signals are lower than expected, increasing the viral dose or titer may be beneficial, though it is important to avoid excessively high concentrations that could saturate or damage the tissue. The length of the intestinal segment can also be modified: using a slightly longer segment provides more surface area for absorption (potentially increasing the signal). Proper sac closure is crucial; consider double-ligating the sac ends or inspecting for inadvertent tears before starting the experiment. Finally, including replicate sacs for each condition is recommended. By fine-tuning parameters such as incubation time, aeration, segment size, viral dose, and replication, investigators can optimize the protocol for reliable performance under their specific experimental conditions.</w:t>
      </w:r>
    </w:p>
    <w:p w14:paraId="38261163">
      <w:pPr>
        <w:rPr>
          <w:rFonts w:eastAsiaTheme="minorEastAsia"/>
          <w:lang w:eastAsia="zh-CN"/>
        </w:rPr>
      </w:pPr>
    </w:p>
    <w:p w14:paraId="2E3EAE85">
      <w:pPr>
        <w:rPr>
          <w:rFonts w:eastAsiaTheme="minorEastAsia"/>
          <w:b/>
          <w:bCs/>
          <w:lang w:eastAsia="zh-CN"/>
        </w:rPr>
      </w:pPr>
      <w:r>
        <w:rPr>
          <w:rFonts w:eastAsiaTheme="minorEastAsia"/>
          <w:b/>
          <w:bCs/>
          <w:lang w:eastAsia="zh-CN"/>
        </w:rPr>
        <w:t xml:space="preserve">Advantages and limitations </w:t>
      </w:r>
    </w:p>
    <w:p w14:paraId="2E3EAE86">
      <w:pPr>
        <w:rPr>
          <w:rFonts w:eastAsiaTheme="minorEastAsia"/>
          <w:lang w:eastAsia="zh-CN"/>
        </w:rPr>
      </w:pPr>
      <w:r>
        <w:rPr>
          <w:rFonts w:eastAsiaTheme="minorEastAsia"/>
          <w:lang w:eastAsia="zh-CN"/>
        </w:rPr>
        <w:t xml:space="preserve">The everted gut sac model offers several notable advantages over other experimental approaches, making it especially useful for oral AAV transduction research. Compared to </w:t>
      </w:r>
      <w:r>
        <w:rPr>
          <w:rFonts w:eastAsiaTheme="minorEastAsia"/>
          <w:i/>
          <w:iCs/>
          <w:lang w:eastAsia="zh-CN"/>
        </w:rPr>
        <w:t>in vivo</w:t>
      </w:r>
      <w:r>
        <w:rPr>
          <w:rFonts w:eastAsiaTheme="minorEastAsia"/>
          <w:lang w:eastAsia="zh-CN"/>
        </w:rPr>
        <w:t xml:space="preserve"> oral gavage, the </w:t>
      </w:r>
      <w:r>
        <w:rPr>
          <w:rFonts w:eastAsiaTheme="minorEastAsia"/>
          <w:i/>
          <w:iCs/>
          <w:lang w:eastAsia="zh-CN"/>
        </w:rPr>
        <w:t>ex vivo</w:t>
      </w:r>
      <w:r>
        <w:rPr>
          <w:rFonts w:eastAsiaTheme="minorEastAsia"/>
          <w:lang w:eastAsia="zh-CN"/>
        </w:rPr>
        <w:t xml:space="preserve"> sac provides far more control and resolution. In an </w:t>
      </w:r>
      <w:r>
        <w:rPr>
          <w:rFonts w:eastAsiaTheme="minorEastAsia"/>
          <w:i/>
          <w:iCs/>
          <w:lang w:eastAsia="zh-CN"/>
        </w:rPr>
        <w:t>in vivo</w:t>
      </w:r>
      <w:r>
        <w:rPr>
          <w:rFonts w:eastAsiaTheme="minorEastAsia"/>
          <w:lang w:eastAsia="zh-CN"/>
        </w:rPr>
        <w:t xml:space="preserve"> oral dosing experiment, the administered vector would encounter variable gastric residence time, pH changes, bile, proteases, and then mixed transit through the entire intestine, with any readout reflecting a composite of all these processes. In contrast, the everted sac allows one to isolate and examine specific regions of the gut under defined conditions. In sum, for screening and mechanistic studies, the sac is a faster, more controllable system than oral gavage, while still using real tissue that responds more naturally than cell cultures.</w:t>
      </w:r>
    </w:p>
    <w:p w14:paraId="66A68D52">
      <w:pPr>
        <w:rPr>
          <w:rFonts w:eastAsiaTheme="minorEastAsia"/>
          <w:lang w:eastAsia="zh-CN"/>
        </w:rPr>
      </w:pPr>
    </w:p>
    <w:p w14:paraId="2E3EAE87">
      <w:pPr>
        <w:rPr>
          <w:rFonts w:eastAsiaTheme="minorEastAsia"/>
          <w:lang w:eastAsia="zh-CN"/>
        </w:rPr>
      </w:pPr>
      <w:r>
        <w:rPr>
          <w:rFonts w:eastAsiaTheme="minorEastAsia"/>
          <w:lang w:eastAsia="zh-CN"/>
        </w:rPr>
        <w:t xml:space="preserve">While the everted gut sac model is a powerful </w:t>
      </w:r>
      <w:r>
        <w:rPr>
          <w:rFonts w:eastAsiaTheme="minorEastAsia"/>
          <w:i/>
          <w:iCs/>
          <w:lang w:eastAsia="zh-CN"/>
        </w:rPr>
        <w:t>ex vivo</w:t>
      </w:r>
      <w:r>
        <w:rPr>
          <w:rFonts w:eastAsiaTheme="minorEastAsia"/>
          <w:lang w:eastAsia="zh-CN"/>
        </w:rPr>
        <w:t xml:space="preserve"> tool, it has several important limitations. Tissue viability is the foremost constraint – the excised intestinal segments have a limited lifespan outside the body. Even with oxygenated, nutrient-rich media, the sacs are typically only viable for around 2 h</w:t>
      </w:r>
      <w:r>
        <w:rPr>
          <w:rFonts w:eastAsiaTheme="minorEastAsia"/>
          <w:vertAlign w:val="superscript"/>
          <w:lang w:eastAsia="zh-CN"/>
        </w:rPr>
        <w:t>11</w:t>
      </w:r>
      <w:r>
        <w:rPr>
          <w:rFonts w:eastAsiaTheme="minorEastAsia"/>
          <w:lang w:eastAsia="zh-CN"/>
        </w:rPr>
        <w:t>. Beyond this, the epithelial cells begin to suffer hypoxia and nutrient deprivation, leading to compromised barrier function. This short viable window means the method is best suited for studying initial binding, uptake, and early transduction events of rAAV, rather than long-term gene expression or cell turnover. It also necessitates working efficiently and potentially staggering experiments so that each sac is used promptly after dissection. Attempts to prolong viability often encounter the trade-off that lowering temperature preserves tissue but slows down metabolic processes. As a result, 1–2 h is a practical upper limit for meaningful data from each sac.</w:t>
      </w:r>
    </w:p>
    <w:p w14:paraId="4018DAE6">
      <w:pPr>
        <w:rPr>
          <w:rFonts w:eastAsiaTheme="minorEastAsia"/>
          <w:lang w:eastAsia="zh-CN"/>
        </w:rPr>
      </w:pPr>
    </w:p>
    <w:p w14:paraId="2E3EAE88">
      <w:pPr>
        <w:rPr>
          <w:rFonts w:eastAsiaTheme="minorEastAsia"/>
          <w:lang w:eastAsia="zh-CN"/>
        </w:rPr>
      </w:pPr>
      <w:r>
        <w:rPr>
          <w:rFonts w:eastAsiaTheme="minorEastAsia"/>
          <w:lang w:eastAsia="zh-CN"/>
        </w:rPr>
        <w:t xml:space="preserve">Another limitation is the absence of an </w:t>
      </w:r>
      <w:r>
        <w:rPr>
          <w:rFonts w:eastAsiaTheme="minorEastAsia"/>
          <w:i/>
          <w:iCs/>
          <w:lang w:eastAsia="zh-CN"/>
        </w:rPr>
        <w:t>in vivo</w:t>
      </w:r>
      <w:r>
        <w:rPr>
          <w:rFonts w:eastAsiaTheme="minorEastAsia"/>
          <w:lang w:eastAsia="zh-CN"/>
        </w:rPr>
        <w:t xml:space="preserve">–like dynamic environment. In a living organism, intestinal contents are propelled by peristalsis, and there is a constant flux of nutrients, enzymes, and local blood flow that can wash away toxins or distribute absorbed substances. In the static sac incubation, however, the external solution is stagnant (aside from whatever mixing the experimenter provides), and there is no blood circulation to carry away absorbed virus or reporter gene product. Consequently, transport kinetics observed </w:t>
      </w:r>
      <w:r>
        <w:rPr>
          <w:rFonts w:eastAsiaTheme="minorEastAsia"/>
          <w:i/>
          <w:iCs/>
          <w:lang w:eastAsia="zh-CN"/>
        </w:rPr>
        <w:t>ex vivo</w:t>
      </w:r>
      <w:r>
        <w:rPr>
          <w:rFonts w:eastAsiaTheme="minorEastAsia"/>
          <w:lang w:eastAsia="zh-CN"/>
        </w:rPr>
        <w:t xml:space="preserve"> may not perfectly match </w:t>
      </w:r>
      <w:r>
        <w:rPr>
          <w:rFonts w:eastAsiaTheme="minorEastAsia"/>
          <w:i/>
          <w:iCs/>
          <w:lang w:eastAsia="zh-CN"/>
        </w:rPr>
        <w:t>in vivo</w:t>
      </w:r>
      <w:r>
        <w:rPr>
          <w:rFonts w:eastAsiaTheme="minorEastAsia"/>
          <w:lang w:eastAsia="zh-CN"/>
        </w:rPr>
        <w:t xml:space="preserve"> rates – indeed, the absorption or transduction might appear slower in the sac. The lack of blood flow also means that systemic factors, such as circulating immune cells or antibodies that might react to the vector in vivo, are absent. This simplifies interpretation but also overlooks any such interactions. </w:t>
      </w:r>
    </w:p>
    <w:p w14:paraId="4570F7EA">
      <w:pPr>
        <w:rPr>
          <w:rFonts w:eastAsiaTheme="minorEastAsia"/>
          <w:lang w:eastAsia="zh-CN"/>
        </w:rPr>
      </w:pPr>
    </w:p>
    <w:p w14:paraId="00298C25">
      <w:pPr>
        <w:rPr>
          <w:rFonts w:eastAsiaTheme="minorEastAsia"/>
          <w:lang w:eastAsia="zh-CN"/>
        </w:rPr>
      </w:pPr>
      <w:r>
        <w:rPr>
          <w:rFonts w:eastAsiaTheme="minorEastAsia"/>
          <w:lang w:eastAsia="zh-CN"/>
        </w:rPr>
        <w:t>Besides, the current study demonstrates an association between GZNG administration and increased rAAV9 absorption but lacks direct evidence for the exact molecular mechanism of action. While we hypothesize that GZNG modulates tight junctions or endocytic kinetics, the study did not utilize specific inhibitors to block these pathways. For instance, the use of chlorpromazine or dynasore to inhibit clathrin-mediated endocytosis would have confirmed whether GZNG’s effect is dependent on the CME pathway. Without such interventional data, the proposed synergy remains a theoretical construct derived from literature on the individual components rather than a demonstrated reality for the whole formula.</w:t>
      </w:r>
    </w:p>
    <w:p w14:paraId="2AFE6331">
      <w:pPr>
        <w:rPr>
          <w:rFonts w:eastAsiaTheme="minorEastAsia"/>
          <w:lang w:eastAsia="zh-CN"/>
        </w:rPr>
      </w:pPr>
    </w:p>
    <w:p w14:paraId="18851CE6">
      <w:pPr>
        <w:rPr>
          <w:rFonts w:eastAsiaTheme="minorEastAsia"/>
          <w:lang w:eastAsia="zh-CN"/>
        </w:rPr>
      </w:pPr>
      <w:r>
        <w:rPr>
          <w:rFonts w:eastAsiaTheme="minorEastAsia"/>
          <w:lang w:eastAsia="zh-CN"/>
        </w:rPr>
        <w:t xml:space="preserve">In terms of experimental throughput, the everted gut sac falls between simpler </w:t>
      </w:r>
      <w:r>
        <w:rPr>
          <w:rFonts w:eastAsiaTheme="minorEastAsia"/>
          <w:i/>
          <w:iCs/>
          <w:lang w:eastAsia="zh-CN"/>
        </w:rPr>
        <w:t>in vitro</w:t>
      </w:r>
      <w:r>
        <w:rPr>
          <w:rFonts w:eastAsiaTheme="minorEastAsia"/>
          <w:lang w:eastAsia="zh-CN"/>
        </w:rPr>
        <w:t xml:space="preserve"> systems and full animal studies. It is less scalable than plate-based cell cultures—preparing and maintaining multiple tissue sacs in parallel is labor-intensive, which inherently restricts throughput</w:t>
      </w:r>
      <w:r>
        <w:rPr>
          <w:rFonts w:eastAsiaTheme="minorEastAsia"/>
          <w:vertAlign w:val="superscript"/>
          <w:lang w:eastAsia="zh-CN"/>
        </w:rPr>
        <w:t>11</w:t>
      </w:r>
      <w:r>
        <w:rPr>
          <w:rFonts w:eastAsiaTheme="minorEastAsia"/>
          <w:lang w:eastAsia="zh-CN"/>
        </w:rPr>
        <w:t>. However, the method can still accommodate a moderate number of conditions by using multiple sacs from a single animal, and advances in apparatus design may further improve throughput in the future. Researchers should be aware of this trade-off: the sac model sacrifices some of the high-throughput capabilities of cell culture assays in exchange for greater physiological relevance.</w:t>
      </w:r>
      <w:r>
        <w:t xml:space="preserve"> </w:t>
      </w:r>
      <w:r>
        <w:rPr>
          <w:rFonts w:eastAsiaTheme="minorEastAsia"/>
          <w:lang w:eastAsia="zh-CN"/>
        </w:rPr>
        <w:t xml:space="preserve">Nonetheless, these </w:t>
      </w:r>
      <w:r>
        <w:rPr>
          <w:rFonts w:eastAsiaTheme="minorEastAsia"/>
          <w:i/>
          <w:iCs/>
          <w:lang w:eastAsia="zh-CN"/>
        </w:rPr>
        <w:t>ex vivo</w:t>
      </w:r>
      <w:r>
        <w:rPr>
          <w:rFonts w:eastAsiaTheme="minorEastAsia"/>
          <w:lang w:eastAsia="zh-CN"/>
        </w:rPr>
        <w:t xml:space="preserve"> findings should still be validated </w:t>
      </w:r>
      <w:r>
        <w:rPr>
          <w:rFonts w:eastAsiaTheme="minorEastAsia"/>
          <w:i/>
          <w:iCs/>
          <w:lang w:eastAsia="zh-CN"/>
        </w:rPr>
        <w:t>in vivo</w:t>
      </w:r>
      <w:r>
        <w:rPr>
          <w:rFonts w:eastAsiaTheme="minorEastAsia"/>
          <w:lang w:eastAsia="zh-CN"/>
        </w:rPr>
        <w:t xml:space="preserve"> to ensure their translational accuracy.</w:t>
      </w:r>
    </w:p>
    <w:p w14:paraId="78C63D6A">
      <w:pPr>
        <w:rPr>
          <w:rFonts w:eastAsiaTheme="minorEastAsia"/>
          <w:lang w:eastAsia="zh-CN"/>
        </w:rPr>
      </w:pPr>
    </w:p>
    <w:p w14:paraId="2E3EAE89">
      <w:pPr>
        <w:rPr>
          <w:rFonts w:eastAsiaTheme="minorEastAsia"/>
          <w:b/>
          <w:bCs/>
          <w:lang w:eastAsia="zh-CN"/>
        </w:rPr>
      </w:pPr>
      <w:r>
        <w:rPr>
          <w:rFonts w:eastAsiaTheme="minorEastAsia"/>
          <w:b/>
          <w:bCs/>
          <w:lang w:eastAsia="zh-CN"/>
        </w:rPr>
        <w:t>Significance and application potential</w:t>
      </w:r>
    </w:p>
    <w:p w14:paraId="2E3EAE8A">
      <w:pPr>
        <w:rPr>
          <w:rFonts w:eastAsiaTheme="minorEastAsia"/>
          <w:lang w:eastAsia="zh-CN"/>
        </w:rPr>
      </w:pPr>
      <w:r>
        <w:rPr>
          <w:rFonts w:eastAsiaTheme="minorEastAsia"/>
          <w:lang w:eastAsia="zh-CN"/>
        </w:rPr>
        <w:t>The successful adaptation of the everted gut sac model to rAAV transduction studies holds significant promise for advancing oral gene therapy research. Historically, delivering genes via oral administration has faced challenges, such as low vector uptake and degradation in the GI tract</w:t>
      </w:r>
      <w:r>
        <w:rPr>
          <w:rFonts w:hint="eastAsia" w:eastAsiaTheme="minorEastAsia"/>
          <w:vertAlign w:val="superscript"/>
          <w:lang w:eastAsia="zh-CN"/>
        </w:rPr>
        <w:t>27</w:t>
      </w:r>
      <w:r>
        <w:rPr>
          <w:rFonts w:eastAsiaTheme="minorEastAsia"/>
          <w:lang w:eastAsia="zh-CN"/>
        </w:rPr>
        <w:t>. Using ex vivo intestinal sacs, researchers can directly observe and quantify transduction events across intestinal sections, helping identify which AAV serotypes or engineered capsids are best suited for infecting intestinal cells. For example, Polyak et al.</w:t>
      </w:r>
      <w:r>
        <w:rPr>
          <w:rFonts w:hint="eastAsia" w:eastAsiaTheme="minorEastAsia"/>
          <w:vertAlign w:val="superscript"/>
          <w:lang w:eastAsia="zh-CN"/>
        </w:rPr>
        <w:t>28</w:t>
      </w:r>
      <w:r>
        <w:rPr>
          <w:rFonts w:eastAsiaTheme="minorEastAsia"/>
          <w:lang w:eastAsia="zh-CN"/>
        </w:rPr>
        <w:t xml:space="preserve"> demonstrated that certain AAV types can efficiently transduce intestinal epithelial cells </w:t>
      </w:r>
      <w:r>
        <w:rPr>
          <w:rFonts w:eastAsiaTheme="minorEastAsia"/>
          <w:i/>
          <w:iCs/>
          <w:lang w:eastAsia="zh-CN"/>
        </w:rPr>
        <w:t>ex vivo</w:t>
      </w:r>
      <w:r>
        <w:rPr>
          <w:rFonts w:eastAsiaTheme="minorEastAsia"/>
          <w:lang w:eastAsia="zh-CN"/>
        </w:rPr>
        <w:t xml:space="preserve">, supporting the feasibility of gut-directed gene delivery. Building on such findings, the everted sac method allows rapid screening of novel AAV variants or formulations across different intestinal regions to see where they perform optimally. </w:t>
      </w:r>
    </w:p>
    <w:p w14:paraId="304DC510">
      <w:pPr>
        <w:rPr>
          <w:rFonts w:eastAsiaTheme="minorEastAsia"/>
          <w:lang w:eastAsia="zh-CN"/>
        </w:rPr>
      </w:pPr>
    </w:p>
    <w:p w14:paraId="2E3EAE8B">
      <w:pPr>
        <w:rPr>
          <w:rFonts w:eastAsiaTheme="minorEastAsia"/>
          <w:lang w:eastAsia="zh-CN"/>
        </w:rPr>
      </w:pPr>
      <w:r>
        <w:rPr>
          <w:rFonts w:eastAsiaTheme="minorEastAsia"/>
          <w:lang w:eastAsia="zh-CN"/>
        </w:rPr>
        <w:t>In addition, the model is highly amenable to evaluating adjuvants or absorption enhancers that could boost oral gene delivery. Co-administering candidate compounds with the viral vector in the sac can reveal their impact on transduction efficiency. This is particularly relevant for screening TCM- derived compounds or other natural products for bioenhancer activity. Many herbal compounds – such as quercetin, genistein, naringin, and glycyrrhizin, among others – are known to improve drug absorption or loosen tight junctions</w:t>
      </w:r>
      <w:r>
        <w:rPr>
          <w:rFonts w:hint="eastAsia" w:eastAsiaTheme="minorEastAsia"/>
          <w:vertAlign w:val="superscript"/>
          <w:lang w:eastAsia="zh-CN"/>
        </w:rPr>
        <w:t>29</w:t>
      </w:r>
      <w:r>
        <w:rPr>
          <w:rFonts w:eastAsiaTheme="minorEastAsia"/>
          <w:lang w:eastAsia="zh-CN"/>
        </w:rPr>
        <w:t>. By testing such compounds (e.g., a TCM extract such as GZNG) in combination with rAAV, one can identify which substances significantly enhance mucosal uptake of the virus. Positive results would suggest that those compounds modulate the intestinal barrier or endocytic pathways to favor gene delivery.</w:t>
      </w:r>
    </w:p>
    <w:p w14:paraId="165B3C93">
      <w:pPr>
        <w:rPr>
          <w:rFonts w:eastAsiaTheme="minorEastAsia"/>
          <w:lang w:eastAsia="zh-CN"/>
        </w:rPr>
      </w:pPr>
    </w:p>
    <w:p w14:paraId="22B12747">
      <w:pPr>
        <w:rPr>
          <w:rFonts w:eastAsiaTheme="minorEastAsia"/>
          <w:b/>
          <w:bCs/>
          <w:lang w:eastAsia="zh-CN"/>
        </w:rPr>
      </w:pPr>
      <w:r>
        <w:rPr>
          <w:rFonts w:eastAsiaTheme="minorEastAsia"/>
          <w:b/>
          <w:bCs/>
          <w:lang w:eastAsia="zh-CN"/>
        </w:rPr>
        <w:t>Future work</w:t>
      </w:r>
    </w:p>
    <w:p w14:paraId="0D19C897">
      <w:pPr>
        <w:rPr>
          <w:rFonts w:eastAsiaTheme="minorEastAsia"/>
          <w:lang w:eastAsia="zh-CN"/>
        </w:rPr>
      </w:pPr>
      <w:r>
        <w:rPr>
          <w:rFonts w:eastAsiaTheme="minorEastAsia"/>
          <w:lang w:eastAsia="zh-CN"/>
        </w:rPr>
        <w:t xml:space="preserve">Looking ahead, the everted gut sac technique can be expanded and refined in several ways. One direction is to incorporate more physiologically dynamic elements into the model. For example, integrating the sac into a perfused bioreactor or microfluidic “gut-on-a-chip” device could provide a continuous flow of oxygenated medium and potentially extend tissue viability beyond 2 h. Such modifications would help capture absorption dynamics more akin to in vivo conditions. Another area for development is increasing throughput: designing multi-chamber systems or automating the processing of multiple sacs simultaneously would enable larger-scale screening of vectors or conditions, making the model more high-throughput while retaining its ex vivo advantages. The sac model could also be adapted to evaluate other intestinal delivery modalities beyond rAAV. For instance, it could be used to study the gut uptake of nanoparticle-based gene carriers, oral mRNA therapeutics, or even recombinant microbial vectors, thereby broadening its applicability. Additionally, future studies might apply this </w:t>
      </w:r>
      <w:r>
        <w:rPr>
          <w:rFonts w:eastAsiaTheme="minorEastAsia"/>
          <w:i/>
          <w:iCs/>
          <w:lang w:eastAsia="zh-CN"/>
        </w:rPr>
        <w:t>ex vivo</w:t>
      </w:r>
      <w:r>
        <w:rPr>
          <w:rFonts w:eastAsiaTheme="minorEastAsia"/>
          <w:lang w:eastAsia="zh-CN"/>
        </w:rPr>
        <w:t xml:space="preserve"> approach to intestinal tissues from larger animal models or human donors to improve the translation of findings toward clinical use. Each of these enhancements presents technical challenges, but together they point to a more versatile and predictive experimental platform for advancing oral gene delivery strategies.</w:t>
      </w:r>
    </w:p>
    <w:p w14:paraId="39101520">
      <w:pPr>
        <w:rPr>
          <w:rFonts w:eastAsiaTheme="minorEastAsia"/>
          <w:lang w:eastAsia="zh-CN"/>
        </w:rPr>
      </w:pPr>
    </w:p>
    <w:p w14:paraId="2E3EAE8C">
      <w:pPr>
        <w:rPr>
          <w:rFonts w:eastAsiaTheme="minorEastAsia"/>
          <w:lang w:eastAsia="zh-CN"/>
        </w:rPr>
      </w:pPr>
      <w:r>
        <w:rPr>
          <w:rFonts w:eastAsiaTheme="minorEastAsia"/>
          <w:lang w:eastAsia="zh-CN"/>
        </w:rPr>
        <w:t xml:space="preserve">In conclusion, the everted gut sac model provides a robust and insightful </w:t>
      </w:r>
      <w:r>
        <w:rPr>
          <w:rFonts w:eastAsiaTheme="minorEastAsia"/>
          <w:i/>
          <w:iCs/>
          <w:lang w:eastAsia="zh-CN"/>
        </w:rPr>
        <w:t>ex vivo</w:t>
      </w:r>
      <w:r>
        <w:rPr>
          <w:rFonts w:eastAsiaTheme="minorEastAsia"/>
          <w:lang w:eastAsia="zh-CN"/>
        </w:rPr>
        <w:t xml:space="preserve"> proxy for rAAV research. It emphasizes critical technical steps – from careful tissue handling and sac formation to controlled viral incubation – that collectively ensure reliable assessments of transduction. Its limitations, notably short tissue viability and the lack of systemic factors, are offset by distinct advantages in experimental control and physiological relevance relative to cell cultures or whole-animal studies. This model stands out as an excellent compromise: it preserves the complex features of the gut necessary for realistic evaluation while enabling reproducibility and throughput for screening studies. The knowledge gained from everted sac experiments – whether in optimizing vector design, identifying effective oral adjuvants, or predicting regional uptake differences – is highly valuable for pushing the frontiers of oral gene therapy.</w:t>
      </w:r>
    </w:p>
    <w:p w14:paraId="2E3EAE8E"/>
    <w:p w14:paraId="2E3EAE8F">
      <w:r>
        <w:rPr>
          <w:b/>
        </w:rPr>
        <w:t xml:space="preserve">ACKNOWLEDGMENTS: </w:t>
      </w:r>
    </w:p>
    <w:p w14:paraId="247E83ED">
      <w:pPr>
        <w:rPr>
          <w:rFonts w:eastAsia="宋体"/>
          <w:bCs/>
          <w:lang w:eastAsia="zh-CN"/>
        </w:rPr>
      </w:pPr>
      <w:r>
        <w:rPr>
          <w:rFonts w:eastAsia="宋体"/>
          <w:bCs/>
          <w:lang w:eastAsia="zh-CN"/>
        </w:rPr>
        <w:t>The authors would like to thank all colleagues and collaborators who provided valuable discussions and technical assistance throughout this study. We also appreciate the institutional support that made this work possible. This work was financially supported by grant #82474349 from the National Natural Science Foundation of China (to CL).</w:t>
      </w:r>
    </w:p>
    <w:p w14:paraId="28898E0B">
      <w:pPr>
        <w:rPr>
          <w:b/>
        </w:rPr>
      </w:pPr>
    </w:p>
    <w:p w14:paraId="2E3EAE92">
      <w:r>
        <w:rPr>
          <w:b/>
        </w:rPr>
        <w:t xml:space="preserve">DISCLOSURES: </w:t>
      </w:r>
    </w:p>
    <w:p w14:paraId="125165B2">
      <w:r>
        <w:t xml:space="preserve">The authors have no conflicts of interest to declare. </w:t>
      </w:r>
    </w:p>
    <w:p w14:paraId="4C27985E"/>
    <w:p w14:paraId="6A738D67">
      <w:pPr>
        <w:rPr>
          <w:rFonts w:eastAsiaTheme="minorEastAsia"/>
          <w:lang w:eastAsia="zh-CN"/>
        </w:rPr>
      </w:pPr>
      <w:r>
        <w:rPr>
          <w:b/>
        </w:rPr>
        <w:t>REFERENCES:</w:t>
      </w:r>
      <w:r>
        <w:t xml:space="preserve"> </w:t>
      </w:r>
    </w:p>
    <w:p w14:paraId="044B0671">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Wang, J. H. et al. Adeno-associated virus as a delivery vector for gene therapy of human diseases. </w:t>
      </w:r>
      <w:r>
        <w:rPr>
          <w:rFonts w:ascii="Calibri" w:hAnsi="Calibri" w:eastAsia="宋体" w:cs="Calibri"/>
          <w:bCs/>
          <w:i/>
          <w:iCs/>
          <w:sz w:val="24"/>
          <w:szCs w:val="24"/>
          <w:lang w:val="en-IN" w:eastAsia="zh-CN"/>
        </w:rPr>
        <w:t>Signal Transduct Target Ther.</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9</w:t>
      </w:r>
      <w:r>
        <w:rPr>
          <w:rFonts w:ascii="Calibri" w:hAnsi="Calibri" w:eastAsia="宋体" w:cs="Calibri"/>
          <w:bCs/>
          <w:sz w:val="24"/>
          <w:szCs w:val="24"/>
          <w:lang w:val="en-IN" w:eastAsia="zh-CN"/>
        </w:rPr>
        <w:t xml:space="preserve"> (1), 78 (2024).</w:t>
      </w:r>
    </w:p>
    <w:p w14:paraId="4D42DF36">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Durbacz, M. Z. et al. Optimized genomic editing of a common Duchenne muscular dystrophy mutation in patient-derived muscle cells and a new humanized mouse model. </w:t>
      </w:r>
      <w:r>
        <w:rPr>
          <w:rFonts w:ascii="Calibri" w:hAnsi="Calibri" w:eastAsia="宋体" w:cs="Calibri"/>
          <w:bCs/>
          <w:i/>
          <w:iCs/>
          <w:sz w:val="24"/>
          <w:szCs w:val="24"/>
          <w:lang w:val="en-IN" w:eastAsia="zh-CN"/>
        </w:rPr>
        <w:t>Mol Ther Nucleic Acids.</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36</w:t>
      </w:r>
      <w:r>
        <w:rPr>
          <w:rFonts w:ascii="Calibri" w:hAnsi="Calibri" w:eastAsia="宋体" w:cs="Calibri"/>
          <w:bCs/>
          <w:sz w:val="24"/>
          <w:szCs w:val="24"/>
          <w:lang w:val="en-IN" w:eastAsia="zh-CN"/>
        </w:rPr>
        <w:t xml:space="preserve"> (2), 102569 (2025).</w:t>
      </w:r>
    </w:p>
    <w:p w14:paraId="197A035F">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Hara, H. et al. An oral Aβ vaccine using a recombinant adeno-associated virus vector in aged monkeys: reduction in plaque amyloid and increase in Aβ oligomers. </w:t>
      </w:r>
      <w:r>
        <w:rPr>
          <w:rFonts w:ascii="Calibri" w:hAnsi="Calibri" w:eastAsia="宋体" w:cs="Calibri"/>
          <w:bCs/>
          <w:i/>
          <w:iCs/>
          <w:sz w:val="24"/>
          <w:szCs w:val="24"/>
          <w:lang w:val="en-IN" w:eastAsia="zh-CN"/>
        </w:rPr>
        <w:t>J Alzheimers Dis.</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54</w:t>
      </w:r>
      <w:r>
        <w:rPr>
          <w:rFonts w:ascii="Calibri" w:hAnsi="Calibri" w:eastAsia="宋体" w:cs="Calibri"/>
          <w:bCs/>
          <w:sz w:val="24"/>
          <w:szCs w:val="24"/>
          <w:lang w:val="en-IN" w:eastAsia="zh-CN"/>
        </w:rPr>
        <w:t xml:space="preserve"> (3), 1047-1059 (2016).</w:t>
      </w:r>
    </w:p>
    <w:p w14:paraId="78E00470">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Xin, K. Q. et al. Oral administration of recombinant adeno-associated virus elicits human immunodeficiency virus-specific immune responses. </w:t>
      </w:r>
      <w:r>
        <w:rPr>
          <w:rFonts w:ascii="Calibri" w:hAnsi="Calibri" w:eastAsia="宋体" w:cs="Calibri"/>
          <w:bCs/>
          <w:i/>
          <w:iCs/>
          <w:sz w:val="24"/>
          <w:szCs w:val="24"/>
          <w:lang w:val="en-IN" w:eastAsia="zh-CN"/>
        </w:rPr>
        <w:t>Hum Gene Ther.</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13</w:t>
      </w:r>
      <w:r>
        <w:rPr>
          <w:rFonts w:ascii="Calibri" w:hAnsi="Calibri" w:eastAsia="宋体" w:cs="Calibri"/>
          <w:bCs/>
          <w:sz w:val="24"/>
          <w:szCs w:val="24"/>
          <w:lang w:val="en-IN" w:eastAsia="zh-CN"/>
        </w:rPr>
        <w:t xml:space="preserve"> (13), 1571-1581 (2002).</w:t>
      </w:r>
    </w:p>
    <w:p w14:paraId="45172DFB">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Hara, H. et al. Development of a safe oral Abeta vaccine using recombinant adeno-associated virus vector for Alzheimer's disease. </w:t>
      </w:r>
      <w:r>
        <w:rPr>
          <w:rFonts w:ascii="Calibri" w:hAnsi="Calibri" w:eastAsia="宋体" w:cs="Calibri"/>
          <w:bCs/>
          <w:i/>
          <w:iCs/>
          <w:sz w:val="24"/>
          <w:szCs w:val="24"/>
          <w:lang w:val="en-IN" w:eastAsia="zh-CN"/>
        </w:rPr>
        <w:t>J Alzheimers Dis.</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6</w:t>
      </w:r>
      <w:r>
        <w:rPr>
          <w:rFonts w:ascii="Calibri" w:hAnsi="Calibri" w:eastAsia="宋体" w:cs="Calibri"/>
          <w:bCs/>
          <w:sz w:val="24"/>
          <w:szCs w:val="24"/>
          <w:lang w:val="en-IN" w:eastAsia="zh-CN"/>
        </w:rPr>
        <w:t xml:space="preserve"> (5), 483-488 (2004).</w:t>
      </w:r>
    </w:p>
    <w:p w14:paraId="254BC23D">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Steel, J. C. et al. Oral vaccination with adeno-associated virus vectors expressing the neu oncogene inhibits the growth of murine breast cancer. </w:t>
      </w:r>
      <w:r>
        <w:rPr>
          <w:rFonts w:ascii="Calibri" w:hAnsi="Calibri" w:eastAsia="宋体" w:cs="Calibri"/>
          <w:bCs/>
          <w:i/>
          <w:iCs/>
          <w:sz w:val="24"/>
          <w:szCs w:val="24"/>
          <w:lang w:val="en-IN" w:eastAsia="zh-CN"/>
        </w:rPr>
        <w:t>Mol Ther.</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21</w:t>
      </w:r>
      <w:r>
        <w:rPr>
          <w:rFonts w:ascii="Calibri" w:hAnsi="Calibri" w:eastAsia="宋体" w:cs="Calibri"/>
          <w:bCs/>
          <w:sz w:val="24"/>
          <w:szCs w:val="24"/>
          <w:lang w:val="en-IN" w:eastAsia="zh-CN"/>
        </w:rPr>
        <w:t xml:space="preserve"> (3), 680-687 (2013).</w:t>
      </w:r>
    </w:p>
    <w:p w14:paraId="66675FA5">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Ma, H. et al. Oral adeno-associated virus-sTRAIL gene therapy suppresses human hepatocellular carcinoma growth in mice. </w:t>
      </w:r>
      <w:r>
        <w:rPr>
          <w:rFonts w:ascii="Calibri" w:hAnsi="Calibri" w:eastAsia="宋体" w:cs="Calibri"/>
          <w:bCs/>
          <w:i/>
          <w:iCs/>
          <w:sz w:val="24"/>
          <w:szCs w:val="24"/>
          <w:lang w:val="en-IN" w:eastAsia="zh-CN"/>
        </w:rPr>
        <w:t>Hepatology.</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42</w:t>
      </w:r>
      <w:r>
        <w:rPr>
          <w:rFonts w:ascii="Calibri" w:hAnsi="Calibri" w:eastAsia="宋体" w:cs="Calibri"/>
          <w:bCs/>
          <w:sz w:val="24"/>
          <w:szCs w:val="24"/>
          <w:lang w:val="en-IN" w:eastAsia="zh-CN"/>
        </w:rPr>
        <w:t xml:space="preserve"> (6), 1355-1363 (2005).</w:t>
      </w:r>
    </w:p>
    <w:p w14:paraId="26CD33B4">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Hao, Z. M. et al. Oral administration of recombinant adeno-associated virus-mediated bone morphogenetic protein-7 suppresses CCl4-induced hepatic fibrosis in mice. </w:t>
      </w:r>
      <w:r>
        <w:rPr>
          <w:rFonts w:ascii="Calibri" w:hAnsi="Calibri" w:eastAsia="宋体" w:cs="Calibri"/>
          <w:bCs/>
          <w:i/>
          <w:iCs/>
          <w:sz w:val="24"/>
          <w:szCs w:val="24"/>
          <w:lang w:val="en-IN" w:eastAsia="zh-CN"/>
        </w:rPr>
        <w:t>Mol Ther.</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20</w:t>
      </w:r>
      <w:r>
        <w:rPr>
          <w:rFonts w:ascii="Calibri" w:hAnsi="Calibri" w:eastAsia="宋体" w:cs="Calibri"/>
          <w:bCs/>
          <w:sz w:val="24"/>
          <w:szCs w:val="24"/>
          <w:lang w:val="en-IN" w:eastAsia="zh-CN"/>
        </w:rPr>
        <w:t xml:space="preserve"> (11), 2043-2051 (2012).</w:t>
      </w:r>
    </w:p>
    <w:p w14:paraId="29455669">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Huang, W. et al. Genetic manipulation of brown fat via oral administration of an engineered recombinant adeno-associated viral serotype vector. </w:t>
      </w:r>
      <w:r>
        <w:rPr>
          <w:rFonts w:ascii="Calibri" w:hAnsi="Calibri" w:eastAsia="宋体" w:cs="Calibri"/>
          <w:bCs/>
          <w:i/>
          <w:iCs/>
          <w:sz w:val="24"/>
          <w:szCs w:val="24"/>
          <w:lang w:val="en-IN" w:eastAsia="zh-CN"/>
        </w:rPr>
        <w:t>Mol Ther.</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24</w:t>
      </w:r>
      <w:r>
        <w:rPr>
          <w:rFonts w:ascii="Calibri" w:hAnsi="Calibri" w:eastAsia="宋体" w:cs="Calibri"/>
          <w:bCs/>
          <w:sz w:val="24"/>
          <w:szCs w:val="24"/>
          <w:lang w:val="en-IN" w:eastAsia="zh-CN"/>
        </w:rPr>
        <w:t xml:space="preserve"> (6), 1062-1069 (2016).</w:t>
      </w:r>
    </w:p>
    <w:p w14:paraId="6410C1B3">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Liu, X. et al. Adipose tissue insulin receptor knockdown via a new primate-derived hybrid recombinant AAV serotype. </w:t>
      </w:r>
      <w:r>
        <w:rPr>
          <w:rFonts w:ascii="Calibri" w:hAnsi="Calibri" w:eastAsia="宋体" w:cs="Calibri"/>
          <w:bCs/>
          <w:i/>
          <w:iCs/>
          <w:sz w:val="24"/>
          <w:szCs w:val="24"/>
          <w:lang w:val="en-IN" w:eastAsia="zh-CN"/>
        </w:rPr>
        <w:t>Mol Ther Methods Clin Dev.</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1</w:t>
      </w:r>
      <w:r>
        <w:rPr>
          <w:rFonts w:ascii="Calibri" w:hAnsi="Calibri" w:eastAsia="宋体" w:cs="Calibri"/>
          <w:bCs/>
          <w:sz w:val="24"/>
          <w:szCs w:val="24"/>
          <w:lang w:val="en-IN" w:eastAsia="zh-CN"/>
        </w:rPr>
        <w:t>, 8 (2014).</w:t>
      </w:r>
    </w:p>
    <w:p w14:paraId="71E3DBC6">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Alam, M. A., Al-Jenoobi, F. I., Al-Mohizea, A. M. Everted gut sac model as a tool in pharmaceutical research: limitations and applications. </w:t>
      </w:r>
      <w:r>
        <w:rPr>
          <w:rFonts w:ascii="Calibri" w:hAnsi="Calibri" w:eastAsia="宋体" w:cs="Calibri"/>
          <w:bCs/>
          <w:i/>
          <w:iCs/>
          <w:sz w:val="24"/>
          <w:szCs w:val="24"/>
          <w:lang w:val="en-IN" w:eastAsia="zh-CN"/>
        </w:rPr>
        <w:t>J Pharm Pharmacol.</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64</w:t>
      </w:r>
      <w:r>
        <w:rPr>
          <w:rFonts w:ascii="Calibri" w:hAnsi="Calibri" w:eastAsia="宋体" w:cs="Calibri"/>
          <w:bCs/>
          <w:sz w:val="24"/>
          <w:szCs w:val="24"/>
          <w:lang w:val="en-IN" w:eastAsia="zh-CN"/>
        </w:rPr>
        <w:t xml:space="preserve"> (3), 326-336 (2012).</w:t>
      </w:r>
    </w:p>
    <w:p w14:paraId="4D731C69">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Lassoued, M. A., Khemiss, F., Sfar, S. Comparative study of two in vitro methods for assessing drug absorption: Sartorius SM 16750 apparatus versus everted gut sac. </w:t>
      </w:r>
      <w:r>
        <w:rPr>
          <w:rFonts w:ascii="Calibri" w:hAnsi="Calibri" w:eastAsia="宋体" w:cs="Calibri"/>
          <w:bCs/>
          <w:i/>
          <w:iCs/>
          <w:sz w:val="24"/>
          <w:szCs w:val="24"/>
          <w:lang w:val="en-IN" w:eastAsia="zh-CN"/>
        </w:rPr>
        <w:t>J Pharm Pharm Sci.</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14</w:t>
      </w:r>
      <w:r>
        <w:rPr>
          <w:rFonts w:ascii="Calibri" w:hAnsi="Calibri" w:eastAsia="宋体" w:cs="Calibri"/>
          <w:bCs/>
          <w:sz w:val="24"/>
          <w:szCs w:val="24"/>
          <w:lang w:val="en-IN" w:eastAsia="zh-CN"/>
        </w:rPr>
        <w:t xml:space="preserve"> (1), 117-127 (2011).</w:t>
      </w:r>
    </w:p>
    <w:p w14:paraId="5C051FFA">
      <w:pPr>
        <w:pStyle w:val="37"/>
        <w:numPr>
          <w:ilvl w:val="0"/>
          <w:numId w:val="3"/>
        </w:numPr>
      </w:pPr>
      <w:r>
        <w:t xml:space="preserve">Yang, Y.-N., Zhan, J.-G., Cao, Y., Wu, C.-M. From ancient wisdom to modern science: Gut microbiota sheds light on property theory of traditional Chinese medicine. </w:t>
      </w:r>
      <w:r>
        <w:rPr>
          <w:i/>
          <w:iCs/>
        </w:rPr>
        <w:t>J. Integr. Med</w:t>
      </w:r>
      <w:r>
        <w:t xml:space="preserve">. </w:t>
      </w:r>
      <w:r>
        <w:rPr>
          <w:b/>
          <w:bCs/>
        </w:rPr>
        <w:t>22</w:t>
      </w:r>
      <w:r>
        <w:t xml:space="preserve"> (4), 413–444</w:t>
      </w:r>
      <w:r>
        <w:rPr>
          <w:rFonts w:hint="eastAsia" w:eastAsiaTheme="minorEastAsia"/>
          <w:lang w:eastAsia="zh-CN"/>
        </w:rPr>
        <w:t xml:space="preserve"> </w:t>
      </w:r>
      <w:r>
        <w:t>(2024).</w:t>
      </w:r>
    </w:p>
    <w:p w14:paraId="5415CE1F">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Liao, C. P. et al. Intestinal absorption components and absorption characteristics of Wuwei Qingzhuo San by everted intestinal sac models. </w:t>
      </w:r>
      <w:r>
        <w:rPr>
          <w:rFonts w:ascii="Calibri" w:hAnsi="Calibri" w:eastAsia="宋体" w:cs="Calibri"/>
          <w:bCs/>
          <w:i/>
          <w:iCs/>
          <w:sz w:val="24"/>
          <w:szCs w:val="24"/>
          <w:lang w:val="en-IN" w:eastAsia="zh-CN"/>
        </w:rPr>
        <w:t>Zhongguo Zhong Yao Za Zhi.</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49</w:t>
      </w:r>
      <w:r>
        <w:rPr>
          <w:rFonts w:ascii="Calibri" w:hAnsi="Calibri" w:eastAsia="宋体" w:cs="Calibri"/>
          <w:bCs/>
          <w:sz w:val="24"/>
          <w:szCs w:val="24"/>
          <w:lang w:val="en-IN" w:eastAsia="zh-CN"/>
        </w:rPr>
        <w:t xml:space="preserve"> (2), 509-517 (2024).</w:t>
      </w:r>
    </w:p>
    <w:p w14:paraId="63915D44">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Liao, Z. G. et al. Transport properties of puerarin and effect of extract of Radix Angelicae Dahuricae on puerarin intestinal absorption using in situ and in vitro models. </w:t>
      </w:r>
      <w:r>
        <w:rPr>
          <w:rFonts w:ascii="Calibri" w:hAnsi="Calibri" w:eastAsia="宋体" w:cs="Calibri"/>
          <w:bCs/>
          <w:i/>
          <w:iCs/>
          <w:sz w:val="24"/>
          <w:szCs w:val="24"/>
          <w:lang w:val="en-IN" w:eastAsia="zh-CN"/>
        </w:rPr>
        <w:t>Phytother Res.</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28</w:t>
      </w:r>
      <w:r>
        <w:rPr>
          <w:rFonts w:ascii="Calibri" w:hAnsi="Calibri" w:eastAsia="宋体" w:cs="Calibri"/>
          <w:bCs/>
          <w:sz w:val="24"/>
          <w:szCs w:val="24"/>
          <w:lang w:val="en-IN" w:eastAsia="zh-CN"/>
        </w:rPr>
        <w:t xml:space="preserve"> (9), 1288-1294 (2014).</w:t>
      </w:r>
    </w:p>
    <w:p w14:paraId="06FEF1FF">
      <w:pPr>
        <w:pStyle w:val="37"/>
        <w:numPr>
          <w:ilvl w:val="0"/>
          <w:numId w:val="3"/>
        </w:numPr>
      </w:pPr>
      <w:r>
        <w:t xml:space="preserve">During, M.J., Xu, R., Young, D., Kaplitt, M.G., Sherwin, R.S., Leone, P. Peroral gene therapy of lactose intolerance using an adeno-associated virus vector. </w:t>
      </w:r>
      <w:r>
        <w:rPr>
          <w:i/>
          <w:iCs/>
        </w:rPr>
        <w:t>Nat. Med</w:t>
      </w:r>
      <w:r>
        <w:t xml:space="preserve">. </w:t>
      </w:r>
      <w:r>
        <w:rPr>
          <w:b/>
          <w:bCs/>
        </w:rPr>
        <w:t>4</w:t>
      </w:r>
      <w:r>
        <w:t xml:space="preserve"> (10), 1131–1135 (1998).</w:t>
      </w:r>
    </w:p>
    <w:p w14:paraId="7D967250">
      <w:pPr>
        <w:pStyle w:val="37"/>
        <w:numPr>
          <w:ilvl w:val="0"/>
          <w:numId w:val="3"/>
        </w:numPr>
        <w:rPr>
          <w:rFonts w:eastAsiaTheme="minorEastAsia"/>
          <w:lang w:eastAsia="zh-CN"/>
        </w:rPr>
      </w:pPr>
      <w:r>
        <w:t xml:space="preserve">Hao, Z., Yang, X., Lv, Y., Li, S., Purbey, B.K., Su, H. Intracolonically administered adeno-associated virus-bone morphogenetic protein-7 ameliorates dextran sulphate sodium-induced acute colitis in rats. </w:t>
      </w:r>
      <w:r>
        <w:rPr>
          <w:i/>
          <w:iCs/>
        </w:rPr>
        <w:t>J. Gene Med</w:t>
      </w:r>
      <w:r>
        <w:t xml:space="preserve">. </w:t>
      </w:r>
      <w:r>
        <w:rPr>
          <w:b/>
          <w:bCs/>
        </w:rPr>
        <w:t>14</w:t>
      </w:r>
      <w:r>
        <w:t xml:space="preserve"> (7), 482–490 (2012).</w:t>
      </w:r>
    </w:p>
    <w:p w14:paraId="11FFE952">
      <w:pPr>
        <w:pStyle w:val="37"/>
        <w:numPr>
          <w:ilvl w:val="0"/>
          <w:numId w:val="3"/>
        </w:numPr>
      </w:pPr>
      <w:r>
        <w:t xml:space="preserve">Meng, J.-S. </w:t>
      </w:r>
      <w:r>
        <w:rPr>
          <w:i/>
          <w:iCs/>
        </w:rPr>
        <w:t>et al.</w:t>
      </w:r>
      <w:r>
        <w:t xml:space="preserve"> Melittin analog p5RHH enhances recombinant adeno-associated virus transduction efficiency. </w:t>
      </w:r>
      <w:r>
        <w:rPr>
          <w:i/>
          <w:iCs/>
        </w:rPr>
        <w:t>J. Integr. Med</w:t>
      </w:r>
      <w:r>
        <w:t xml:space="preserve">. </w:t>
      </w:r>
      <w:r>
        <w:rPr>
          <w:b/>
          <w:bCs/>
        </w:rPr>
        <w:t>22</w:t>
      </w:r>
      <w:r>
        <w:t xml:space="preserve"> (1), 72–82 (2024).</w:t>
      </w:r>
    </w:p>
    <w:p w14:paraId="5AB3EA05">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Sun, H. et al. The Caco-2 cell monolayer: usefulness and limitations. </w:t>
      </w:r>
      <w:r>
        <w:rPr>
          <w:rFonts w:ascii="Calibri" w:hAnsi="Calibri" w:eastAsia="宋体" w:cs="Calibri"/>
          <w:bCs/>
          <w:i/>
          <w:iCs/>
          <w:sz w:val="24"/>
          <w:szCs w:val="24"/>
          <w:lang w:val="en-IN" w:eastAsia="zh-CN"/>
        </w:rPr>
        <w:t>Expert Opin Drug Metab Toxicol.</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4</w:t>
      </w:r>
      <w:r>
        <w:rPr>
          <w:rFonts w:ascii="Calibri" w:hAnsi="Calibri" w:eastAsia="宋体" w:cs="Calibri"/>
          <w:bCs/>
          <w:sz w:val="24"/>
          <w:szCs w:val="24"/>
          <w:lang w:val="en-IN" w:eastAsia="zh-CN"/>
        </w:rPr>
        <w:t xml:space="preserve"> (4), 395-411 (2008).</w:t>
      </w:r>
    </w:p>
    <w:p w14:paraId="4325A65F">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Meneses, A. M. C. et al. Intestinal organoids—current and future applications. </w:t>
      </w:r>
      <w:r>
        <w:rPr>
          <w:rFonts w:ascii="Calibri" w:hAnsi="Calibri" w:eastAsia="宋体" w:cs="Calibri"/>
          <w:bCs/>
          <w:i/>
          <w:iCs/>
          <w:sz w:val="24"/>
          <w:szCs w:val="24"/>
          <w:lang w:val="en-IN" w:eastAsia="zh-CN"/>
        </w:rPr>
        <w:t>Vet Sci.</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3</w:t>
      </w:r>
      <w:r>
        <w:rPr>
          <w:rFonts w:ascii="Calibri" w:hAnsi="Calibri" w:eastAsia="宋体" w:cs="Calibri"/>
          <w:bCs/>
          <w:sz w:val="24"/>
          <w:szCs w:val="24"/>
          <w:lang w:val="en-IN" w:eastAsia="zh-CN"/>
        </w:rPr>
        <w:t xml:space="preserve"> (4), 31 (2016).</w:t>
      </w:r>
    </w:p>
    <w:p w14:paraId="166C5B36">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Thomson, A. et al. The Ussing chamber system for measuring intestinal permeability in health and disease. </w:t>
      </w:r>
      <w:r>
        <w:rPr>
          <w:rFonts w:ascii="Calibri" w:hAnsi="Calibri" w:eastAsia="宋体" w:cs="Calibri"/>
          <w:bCs/>
          <w:i/>
          <w:iCs/>
          <w:sz w:val="24"/>
          <w:szCs w:val="24"/>
          <w:lang w:val="en-IN" w:eastAsia="zh-CN"/>
        </w:rPr>
        <w:t>BMC Gastroenterol.</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19</w:t>
      </w:r>
      <w:r>
        <w:rPr>
          <w:rFonts w:ascii="Calibri" w:hAnsi="Calibri" w:eastAsia="宋体" w:cs="Calibri"/>
          <w:bCs/>
          <w:sz w:val="24"/>
          <w:szCs w:val="24"/>
          <w:lang w:val="en-IN" w:eastAsia="zh-CN"/>
        </w:rPr>
        <w:t xml:space="preserve"> (1), 98 (2019).</w:t>
      </w:r>
    </w:p>
    <w:p w14:paraId="55F3F225">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Caldeira, T. G. et al. Determination of intestinal permeability using in situ perfusion model in rats: challenges and advantages to BCS classification applied to digoxin. </w:t>
      </w:r>
      <w:r>
        <w:rPr>
          <w:rFonts w:ascii="Calibri" w:hAnsi="Calibri" w:eastAsia="宋体" w:cs="Calibri"/>
          <w:bCs/>
          <w:i/>
          <w:iCs/>
          <w:sz w:val="24"/>
          <w:szCs w:val="24"/>
          <w:lang w:val="en-IN" w:eastAsia="zh-CN"/>
        </w:rPr>
        <w:t>Int J Pharm.</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551</w:t>
      </w:r>
      <w:r>
        <w:rPr>
          <w:rFonts w:ascii="Calibri" w:hAnsi="Calibri" w:eastAsia="宋体" w:cs="Calibri"/>
          <w:bCs/>
          <w:sz w:val="24"/>
          <w:szCs w:val="24"/>
          <w:lang w:val="en-IN" w:eastAsia="zh-CN"/>
        </w:rPr>
        <w:t xml:space="preserve"> (1-2), 148-157 (2018).</w:t>
      </w:r>
    </w:p>
    <w:p w14:paraId="4C33DC6F">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Dahlgren, D., Lennernäs, H. Intestinal permeability and drug absorption: predictive experimental, computational and in vivo approaches. </w:t>
      </w:r>
      <w:r>
        <w:rPr>
          <w:rFonts w:ascii="Calibri" w:hAnsi="Calibri" w:eastAsia="宋体" w:cs="Calibri"/>
          <w:bCs/>
          <w:i/>
          <w:iCs/>
          <w:sz w:val="24"/>
          <w:szCs w:val="24"/>
          <w:lang w:val="en-IN" w:eastAsia="zh-CN"/>
        </w:rPr>
        <w:t>Pharmaceutics.</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11</w:t>
      </w:r>
      <w:r>
        <w:rPr>
          <w:rFonts w:ascii="Calibri" w:hAnsi="Calibri" w:eastAsia="宋体" w:cs="Calibri"/>
          <w:bCs/>
          <w:sz w:val="24"/>
          <w:szCs w:val="24"/>
          <w:lang w:val="en-IN" w:eastAsia="zh-CN"/>
        </w:rPr>
        <w:t xml:space="preserve"> (8), 411 (2019).</w:t>
      </w:r>
    </w:p>
    <w:p w14:paraId="5081489F">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Mateer, S. W. et al. Ex vivo intestinal sacs to assess mucosal permeability in models of gastrointestinal disease. </w:t>
      </w:r>
      <w:r>
        <w:rPr>
          <w:rFonts w:ascii="Calibri" w:hAnsi="Calibri" w:eastAsia="宋体" w:cs="Calibri"/>
          <w:bCs/>
          <w:i/>
          <w:iCs/>
          <w:sz w:val="24"/>
          <w:szCs w:val="24"/>
          <w:lang w:val="en-IN" w:eastAsia="zh-CN"/>
        </w:rPr>
        <w:t>J Vis Exp.</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(108)</w:t>
      </w:r>
      <w:r>
        <w:rPr>
          <w:rFonts w:ascii="Calibri" w:hAnsi="Calibri" w:eastAsia="宋体" w:cs="Calibri"/>
          <w:bCs/>
          <w:sz w:val="24"/>
          <w:szCs w:val="24"/>
          <w:lang w:val="en-IN" w:eastAsia="zh-CN"/>
        </w:rPr>
        <w:t>, e53250 (2016).</w:t>
      </w:r>
    </w:p>
    <w:p w14:paraId="0ACBCF29">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Liu, W. et al. Developments in methods for measuring the intestinal absorption of nanoparticle-bound drugs. </w:t>
      </w:r>
      <w:r>
        <w:rPr>
          <w:rFonts w:ascii="Calibri" w:hAnsi="Calibri" w:eastAsia="宋体" w:cs="Calibri"/>
          <w:bCs/>
          <w:i/>
          <w:iCs/>
          <w:sz w:val="24"/>
          <w:szCs w:val="24"/>
          <w:lang w:val="en-IN" w:eastAsia="zh-CN"/>
        </w:rPr>
        <w:t>Int J Mol Sci.</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17</w:t>
      </w:r>
      <w:r>
        <w:rPr>
          <w:rFonts w:ascii="Calibri" w:hAnsi="Calibri" w:eastAsia="宋体" w:cs="Calibri"/>
          <w:bCs/>
          <w:sz w:val="24"/>
          <w:szCs w:val="24"/>
          <w:lang w:val="en-IN" w:eastAsia="zh-CN"/>
        </w:rPr>
        <w:t xml:space="preserve"> (7), 1171 (2016).</w:t>
      </w:r>
    </w:p>
    <w:p w14:paraId="7FF782B4">
      <w:pPr>
        <w:pStyle w:val="27"/>
        <w:numPr>
          <w:ilvl w:val="0"/>
          <w:numId w:val="3"/>
        </w:numPr>
        <w:spacing w:after="0"/>
        <w:rPr>
          <w:rFonts w:ascii="Calibri" w:hAnsi="Calibri" w:eastAsia="宋体" w:cs="Calibri"/>
          <w:bCs/>
          <w:sz w:val="24"/>
          <w:szCs w:val="24"/>
          <w:lang w:val="en-IN" w:eastAsia="zh-CN"/>
        </w:rPr>
      </w:pPr>
      <w:r>
        <w:rPr>
          <w:rFonts w:ascii="Calibri" w:hAnsi="Calibri" w:eastAsia="Calibri" w:cs="Calibri"/>
          <w:sz w:val="24"/>
          <w:szCs w:val="24"/>
        </w:rPr>
        <w:t xml:space="preserve">Lengler, J. et al. Crucial aspects for maintaining rAAV stability. </w:t>
      </w:r>
      <w:r>
        <w:rPr>
          <w:rFonts w:ascii="Calibri" w:hAnsi="Calibri" w:eastAsia="Calibri" w:cs="Calibri"/>
          <w:i/>
          <w:iCs/>
          <w:sz w:val="24"/>
          <w:szCs w:val="24"/>
        </w:rPr>
        <w:t>Sci Rep.</w:t>
      </w:r>
      <w:r>
        <w:rPr>
          <w:rFonts w:ascii="Calibri" w:hAnsi="Calibri" w:eastAsia="Calibri" w:cs="Calibri"/>
          <w:sz w:val="24"/>
          <w:szCs w:val="24"/>
        </w:rPr>
        <w:t xml:space="preserve"> </w:t>
      </w:r>
      <w:r>
        <w:rPr>
          <w:rFonts w:ascii="Calibri" w:hAnsi="Calibri" w:eastAsia="Calibri" w:cs="Calibri"/>
          <w:b/>
          <w:bCs/>
          <w:sz w:val="24"/>
          <w:szCs w:val="24"/>
        </w:rPr>
        <w:t>14</w:t>
      </w:r>
      <w:r>
        <w:rPr>
          <w:rFonts w:ascii="Calibri" w:hAnsi="Calibri" w:eastAsia="Calibri" w:cs="Calibri"/>
          <w:sz w:val="24"/>
          <w:szCs w:val="24"/>
        </w:rPr>
        <w:t>, 27923. doi:10.1038/s41598-024-79369-0 (2024).</w:t>
      </w:r>
    </w:p>
    <w:p w14:paraId="47D711BD">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Benskey, M. J. et al. Targeted gene delivery to the enteric nervous system using AAV: a comparison across serotypes and capsid mutants. </w:t>
      </w:r>
      <w:r>
        <w:rPr>
          <w:rFonts w:ascii="Calibri" w:hAnsi="Calibri" w:eastAsia="宋体" w:cs="Calibri"/>
          <w:bCs/>
          <w:i/>
          <w:iCs/>
          <w:sz w:val="24"/>
          <w:szCs w:val="24"/>
          <w:lang w:val="en-IN" w:eastAsia="zh-CN"/>
        </w:rPr>
        <w:t>Mol Ther.</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23</w:t>
      </w:r>
      <w:r>
        <w:rPr>
          <w:rFonts w:ascii="Calibri" w:hAnsi="Calibri" w:eastAsia="宋体" w:cs="Calibri"/>
          <w:bCs/>
          <w:sz w:val="24"/>
          <w:szCs w:val="24"/>
          <w:lang w:val="en-IN" w:eastAsia="zh-CN"/>
        </w:rPr>
        <w:t xml:space="preserve"> (3), 488-500 (2015).</w:t>
      </w:r>
    </w:p>
    <w:p w14:paraId="20D06231">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Polyak, S. et al. Gene delivery to intestinal epithelial cells in vitro and in vivo with recombinant adeno-associated virus types 1, 2, and 5. </w:t>
      </w:r>
      <w:r>
        <w:rPr>
          <w:rFonts w:ascii="Calibri" w:hAnsi="Calibri" w:eastAsia="宋体" w:cs="Calibri"/>
          <w:bCs/>
          <w:i/>
          <w:iCs/>
          <w:sz w:val="24"/>
          <w:szCs w:val="24"/>
          <w:lang w:val="en-IN" w:eastAsia="zh-CN"/>
        </w:rPr>
        <w:t>Dig Dis Sci.</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53</w:t>
      </w:r>
      <w:r>
        <w:rPr>
          <w:rFonts w:ascii="Calibri" w:hAnsi="Calibri" w:eastAsia="宋体" w:cs="Calibri"/>
          <w:bCs/>
          <w:sz w:val="24"/>
          <w:szCs w:val="24"/>
          <w:lang w:val="en-IN" w:eastAsia="zh-CN"/>
        </w:rPr>
        <w:t xml:space="preserve"> (5), 1261-1270 (2008).</w:t>
      </w:r>
    </w:p>
    <w:p w14:paraId="7553C62B">
      <w:pPr>
        <w:pStyle w:val="27"/>
        <w:numPr>
          <w:ilvl w:val="0"/>
          <w:numId w:val="3"/>
        </w:numPr>
        <w:spacing w:after="0"/>
        <w:rPr>
          <w:rFonts w:ascii="Calibri" w:hAnsi="Calibri" w:eastAsia="宋体" w:cs="Calibri"/>
          <w:bCs/>
          <w:sz w:val="24"/>
          <w:szCs w:val="24"/>
          <w:lang w:val="en-IN" w:eastAsia="zh-CN"/>
        </w:rPr>
      </w:pPr>
      <w:r>
        <w:rPr>
          <w:rFonts w:ascii="Calibri" w:hAnsi="Calibri" w:eastAsia="宋体" w:cs="Calibri"/>
          <w:bCs/>
          <w:sz w:val="24"/>
          <w:szCs w:val="24"/>
          <w:lang w:val="en-IN" w:eastAsia="zh-CN"/>
        </w:rPr>
        <w:t xml:space="preserve">Dudhatra, G. B. et al. A comprehensive review on pharmacotherapeutics of herbal bioenhancers. </w:t>
      </w:r>
      <w:r>
        <w:rPr>
          <w:rFonts w:ascii="Calibri" w:hAnsi="Calibri" w:eastAsia="宋体" w:cs="Calibri"/>
          <w:bCs/>
          <w:i/>
          <w:iCs/>
          <w:sz w:val="24"/>
          <w:szCs w:val="24"/>
          <w:lang w:val="en-IN" w:eastAsia="zh-CN"/>
        </w:rPr>
        <w:t>Scientific World Journal.</w:t>
      </w:r>
      <w:r>
        <w:rPr>
          <w:rFonts w:ascii="Calibri" w:hAnsi="Calibri" w:eastAsia="宋体" w:cs="Calibri"/>
          <w:bCs/>
          <w:sz w:val="24"/>
          <w:szCs w:val="24"/>
          <w:lang w:val="en-IN" w:eastAsia="zh-CN"/>
        </w:rPr>
        <w:t xml:space="preserve"> </w:t>
      </w:r>
      <w:r>
        <w:rPr>
          <w:rFonts w:ascii="Calibri" w:hAnsi="Calibri" w:eastAsia="宋体" w:cs="Calibri"/>
          <w:b/>
          <w:bCs/>
          <w:sz w:val="24"/>
          <w:szCs w:val="24"/>
          <w:lang w:val="en-IN" w:eastAsia="zh-CN"/>
        </w:rPr>
        <w:t>2012</w:t>
      </w:r>
      <w:r>
        <w:rPr>
          <w:rFonts w:ascii="Calibri" w:hAnsi="Calibri" w:eastAsia="宋体" w:cs="Calibri"/>
          <w:bCs/>
          <w:sz w:val="24"/>
          <w:szCs w:val="24"/>
          <w:lang w:val="en-IN" w:eastAsia="zh-CN"/>
        </w:rPr>
        <w:t>, 637953 (2012).</w:t>
      </w:r>
    </w:p>
    <w:p w14:paraId="2E3EAF24">
      <w:pPr>
        <w:rPr>
          <w:rFonts w:eastAsiaTheme="minorEastAsia"/>
          <w:bCs/>
          <w:lang w:eastAsia="zh-CN"/>
        </w:rPr>
      </w:pPr>
    </w:p>
    <w:sectPr>
      <w:headerReference r:id="rId5" w:type="first"/>
      <w:headerReference r:id="rId3" w:type="default"/>
      <w:headerReference r:id="rId4" w:type="even"/>
      <w:footerReference r:id="rId6" w:type="even"/>
      <w:pgSz w:w="12240" w:h="15840"/>
      <w:pgMar w:top="1440" w:right="1440" w:bottom="1440" w:left="1440" w:header="720" w:footer="607" w:gutter="0"/>
      <w:lnNumType w:countBy="1" w:restart="continuous"/>
      <w:pgNumType w:start="1"/>
      <w:cols w:space="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0000019F" w:csb1="00000000"/>
  </w:font>
  <w:font w:name="黑体">
    <w:altName w:val="汉仪中黑KW"/>
    <w:panose1 w:val="02010600030101010101"/>
    <w:charset w:val="86"/>
    <w:family w:val="modern"/>
    <w:pitch w:val="default"/>
    <w:sig w:usb0="00000000" w:usb1="00000000" w:usb2="00000016" w:usb3="00000000" w:csb0="00040001" w:csb1="00000000"/>
  </w:font>
  <w:font w:name="Georgia">
    <w:panose1 w:val="02040502050405090303"/>
    <w:charset w:val="00"/>
    <w:family w:val="roman"/>
    <w:pitch w:val="default"/>
    <w:sig w:usb0="00000287" w:usb1="00000000" w:usb2="00000000" w:usb3="00000000" w:csb0="2000009F" w:csb1="00000000"/>
  </w:font>
  <w:font w:name="Segoe UI">
    <w:altName w:val="苹方-简"/>
    <w:panose1 w:val="020B0502040204020203"/>
    <w:charset w:val="00"/>
    <w:family w:val="swiss"/>
    <w:pitch w:val="default"/>
    <w:sig w:usb0="00000000" w:usb1="00000000" w:usb2="00000029" w:usb3="00000000" w:csb0="000001FF" w:csb1="00000000"/>
  </w:font>
  <w:font w:name="Cambria Math">
    <w:altName w:val="Kingsoft Math"/>
    <w:panose1 w:val="02040503050406030204"/>
    <w:charset w:val="00"/>
    <w:family w:val="roman"/>
    <w:pitch w:val="default"/>
    <w:sig w:usb0="00000000" w:usb1="00000000" w:usb2="02000000"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Math">
    <w:panose1 w:val="02040503050406030204"/>
    <w:charset w:val="00"/>
    <w:family w:val="auto"/>
    <w:pitch w:val="default"/>
    <w:sig w:usb0="80000087" w:usb1="00002068" w:usb2="00000000" w:usb3="00000000" w:csb0="2000019F"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EAF2F">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EAF2E">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EAF2D">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EAF30">
    <w:pPr>
      <w:tabs>
        <w:tab w:val="center" w:pos="4680"/>
        <w:tab w:val="right" w:pos="9360"/>
      </w:tabs>
      <w:jc w:val="right"/>
      <w:rPr>
        <w:b/>
        <w:color w:val="1F497D"/>
        <w:sz w:val="32"/>
        <w:szCs w:val="32"/>
      </w:rPr>
    </w:pPr>
    <w:r>
      <w:rPr>
        <w:b/>
        <w:color w:val="1F497D"/>
        <w:sz w:val="32"/>
        <w:szCs w:val="32"/>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C10EB"/>
    <w:multiLevelType w:val="multilevel"/>
    <w:tmpl w:val="0E5C10EB"/>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47F12325"/>
    <w:multiLevelType w:val="multilevel"/>
    <w:tmpl w:val="47F12325"/>
    <w:lvl w:ilvl="0" w:tentative="0">
      <w:start w:val="2"/>
      <w:numFmt w:val="decimal"/>
      <w:lvlText w:val="%1."/>
      <w:lvlJc w:val="left"/>
      <w:pPr>
        <w:ind w:left="360" w:hanging="360"/>
      </w:pPr>
      <w:rPr>
        <w:rFonts w:hint="default"/>
      </w:rPr>
    </w:lvl>
    <w:lvl w:ilvl="1" w:tentative="0">
      <w:start w:val="1"/>
      <w:numFmt w:val="decimal"/>
      <w:suff w:val="space"/>
      <w:lvlText w:val="%1.%2."/>
      <w:lvlJc w:val="left"/>
      <w:pPr>
        <w:ind w:left="360" w:hanging="360"/>
      </w:pPr>
      <w:rPr>
        <w:rFonts w:hint="default"/>
        <w:sz w:val="24"/>
        <w:szCs w:val="24"/>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
    <w:nsid w:val="7D5B6B8D"/>
    <w:multiLevelType w:val="multilevel"/>
    <w:tmpl w:val="7D5B6B8D"/>
    <w:lvl w:ilvl="0" w:tentative="0">
      <w:start w:val="1"/>
      <w:numFmt w:val="decimal"/>
      <w:suff w:val="space"/>
      <w:lvlText w:val="%1."/>
      <w:lvlJc w:val="left"/>
      <w:pPr>
        <w:ind w:left="0" w:firstLine="0"/>
      </w:pPr>
      <w:rPr>
        <w:rFonts w:hint="default"/>
      </w:rPr>
    </w:lvl>
    <w:lvl w:ilvl="1" w:tentative="0">
      <w:start w:val="1"/>
      <w:numFmt w:val="decimal"/>
      <w:isLgl/>
      <w:suff w:val="space"/>
      <w:lvlText w:val="%1.%2"/>
      <w:lvlJc w:val="left"/>
      <w:pPr>
        <w:ind w:left="0" w:firstLine="0"/>
      </w:pPr>
      <w:rPr>
        <w:rFonts w:hint="default"/>
        <w:b w:val="0"/>
        <w:bCs w:val="0"/>
      </w:rPr>
    </w:lvl>
    <w:lvl w:ilvl="2" w:tentative="0">
      <w:start w:val="1"/>
      <w:numFmt w:val="decimal"/>
      <w:isLgl/>
      <w:suff w:val="space"/>
      <w:lvlText w:val="%1.%2.%3"/>
      <w:lvlJc w:val="left"/>
      <w:pPr>
        <w:ind w:left="0" w:firstLine="0"/>
      </w:pPr>
      <w:rPr>
        <w:rFonts w:hint="default"/>
        <w:b w:val="0"/>
        <w:bCs w:val="0"/>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1"/>
  <w:bordersDoNotSurroundFooter w:val="1"/>
  <w:documentProtection w:enforcement="0"/>
  <w:defaultTabStop w:val="720"/>
  <w:noPunctuationKerning w:val="1"/>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commondata" w:val="eyJoZGlkIjoiZmE5YzE5MGVjZGQ1OWY3OTdkZjlkY2Q1YTcxODRlMDkifQ=="/>
    <w:docVar w:name="KSO_WPS_MARK_KEY" w:val="728b4b8c-4fbb-485a-8f8d-ba9bf482b1f0"/>
  </w:docVars>
  <w:rsids>
    <w:rsidRoot w:val="006E4797"/>
    <w:rsid w:val="0000129C"/>
    <w:rsid w:val="0000515B"/>
    <w:rsid w:val="00005D85"/>
    <w:rsid w:val="00006D76"/>
    <w:rsid w:val="0000703F"/>
    <w:rsid w:val="00011457"/>
    <w:rsid w:val="000114BF"/>
    <w:rsid w:val="00013652"/>
    <w:rsid w:val="00017A33"/>
    <w:rsid w:val="00020676"/>
    <w:rsid w:val="00025BE1"/>
    <w:rsid w:val="00027783"/>
    <w:rsid w:val="000277A1"/>
    <w:rsid w:val="00033C88"/>
    <w:rsid w:val="00033F0B"/>
    <w:rsid w:val="00034DD1"/>
    <w:rsid w:val="00035DA2"/>
    <w:rsid w:val="00036F6B"/>
    <w:rsid w:val="00042021"/>
    <w:rsid w:val="00043273"/>
    <w:rsid w:val="0004355D"/>
    <w:rsid w:val="00043875"/>
    <w:rsid w:val="00043C08"/>
    <w:rsid w:val="00043EAF"/>
    <w:rsid w:val="00046375"/>
    <w:rsid w:val="0005005D"/>
    <w:rsid w:val="000513CA"/>
    <w:rsid w:val="00053468"/>
    <w:rsid w:val="00054F43"/>
    <w:rsid w:val="00057B67"/>
    <w:rsid w:val="00061E0E"/>
    <w:rsid w:val="00066346"/>
    <w:rsid w:val="000723B1"/>
    <w:rsid w:val="0007506F"/>
    <w:rsid w:val="00076815"/>
    <w:rsid w:val="000800B9"/>
    <w:rsid w:val="00081F44"/>
    <w:rsid w:val="00082764"/>
    <w:rsid w:val="00082A5F"/>
    <w:rsid w:val="00082A8A"/>
    <w:rsid w:val="00083717"/>
    <w:rsid w:val="00086965"/>
    <w:rsid w:val="00086AC5"/>
    <w:rsid w:val="000910C9"/>
    <w:rsid w:val="0009224B"/>
    <w:rsid w:val="00092787"/>
    <w:rsid w:val="00097513"/>
    <w:rsid w:val="000A245A"/>
    <w:rsid w:val="000B282E"/>
    <w:rsid w:val="000B2BD0"/>
    <w:rsid w:val="000B41B6"/>
    <w:rsid w:val="000B4404"/>
    <w:rsid w:val="000C0550"/>
    <w:rsid w:val="000C4064"/>
    <w:rsid w:val="000C5756"/>
    <w:rsid w:val="000C7AED"/>
    <w:rsid w:val="000D0A4B"/>
    <w:rsid w:val="000D15A3"/>
    <w:rsid w:val="000D25AA"/>
    <w:rsid w:val="000D61EB"/>
    <w:rsid w:val="000D6966"/>
    <w:rsid w:val="000D7F4F"/>
    <w:rsid w:val="000E096E"/>
    <w:rsid w:val="000E16BC"/>
    <w:rsid w:val="000E18B9"/>
    <w:rsid w:val="000E21E4"/>
    <w:rsid w:val="000E2ABF"/>
    <w:rsid w:val="000E3F21"/>
    <w:rsid w:val="000E4C51"/>
    <w:rsid w:val="000E6119"/>
    <w:rsid w:val="000F3C91"/>
    <w:rsid w:val="000F4AEE"/>
    <w:rsid w:val="000F7063"/>
    <w:rsid w:val="00100AA6"/>
    <w:rsid w:val="00102DDB"/>
    <w:rsid w:val="00110024"/>
    <w:rsid w:val="001211C0"/>
    <w:rsid w:val="001300B8"/>
    <w:rsid w:val="0013306B"/>
    <w:rsid w:val="001350D6"/>
    <w:rsid w:val="001370C0"/>
    <w:rsid w:val="00146F75"/>
    <w:rsid w:val="001471C7"/>
    <w:rsid w:val="00147CBA"/>
    <w:rsid w:val="0015327B"/>
    <w:rsid w:val="001533A2"/>
    <w:rsid w:val="00155C2B"/>
    <w:rsid w:val="00157446"/>
    <w:rsid w:val="001624E4"/>
    <w:rsid w:val="00162FD9"/>
    <w:rsid w:val="00164340"/>
    <w:rsid w:val="00165814"/>
    <w:rsid w:val="001667B6"/>
    <w:rsid w:val="00166C51"/>
    <w:rsid w:val="00170B2F"/>
    <w:rsid w:val="00173415"/>
    <w:rsid w:val="00173E88"/>
    <w:rsid w:val="00181A81"/>
    <w:rsid w:val="0018773B"/>
    <w:rsid w:val="00187F92"/>
    <w:rsid w:val="00194C04"/>
    <w:rsid w:val="00194CE8"/>
    <w:rsid w:val="001959A2"/>
    <w:rsid w:val="00195C8F"/>
    <w:rsid w:val="001A0FAF"/>
    <w:rsid w:val="001A1CA1"/>
    <w:rsid w:val="001A1F24"/>
    <w:rsid w:val="001A5718"/>
    <w:rsid w:val="001A66E6"/>
    <w:rsid w:val="001B13B2"/>
    <w:rsid w:val="001B2905"/>
    <w:rsid w:val="001B2ECC"/>
    <w:rsid w:val="001C1FC3"/>
    <w:rsid w:val="001C2389"/>
    <w:rsid w:val="001C372A"/>
    <w:rsid w:val="001C6350"/>
    <w:rsid w:val="001D2D2E"/>
    <w:rsid w:val="001D4EC8"/>
    <w:rsid w:val="001D6250"/>
    <w:rsid w:val="001D7136"/>
    <w:rsid w:val="001D77A7"/>
    <w:rsid w:val="001E47AC"/>
    <w:rsid w:val="001E4D03"/>
    <w:rsid w:val="001E7A5D"/>
    <w:rsid w:val="001F08F6"/>
    <w:rsid w:val="001F1263"/>
    <w:rsid w:val="001F3109"/>
    <w:rsid w:val="00203963"/>
    <w:rsid w:val="00210935"/>
    <w:rsid w:val="00210DD6"/>
    <w:rsid w:val="00211985"/>
    <w:rsid w:val="00212199"/>
    <w:rsid w:val="00214319"/>
    <w:rsid w:val="002200E4"/>
    <w:rsid w:val="0022085D"/>
    <w:rsid w:val="00222365"/>
    <w:rsid w:val="00222847"/>
    <w:rsid w:val="00222A21"/>
    <w:rsid w:val="00224855"/>
    <w:rsid w:val="0023233F"/>
    <w:rsid w:val="0023267C"/>
    <w:rsid w:val="0023296D"/>
    <w:rsid w:val="00232DDC"/>
    <w:rsid w:val="002377A6"/>
    <w:rsid w:val="00240844"/>
    <w:rsid w:val="00244A0D"/>
    <w:rsid w:val="00247B3E"/>
    <w:rsid w:val="00252077"/>
    <w:rsid w:val="00253526"/>
    <w:rsid w:val="00253696"/>
    <w:rsid w:val="00253A3B"/>
    <w:rsid w:val="002554B4"/>
    <w:rsid w:val="00260A2C"/>
    <w:rsid w:val="002643D5"/>
    <w:rsid w:val="00265DA6"/>
    <w:rsid w:val="00273EDD"/>
    <w:rsid w:val="00274B27"/>
    <w:rsid w:val="00276B0E"/>
    <w:rsid w:val="00277C30"/>
    <w:rsid w:val="00280F64"/>
    <w:rsid w:val="00281424"/>
    <w:rsid w:val="002858FD"/>
    <w:rsid w:val="002866C5"/>
    <w:rsid w:val="00286986"/>
    <w:rsid w:val="002903EE"/>
    <w:rsid w:val="00296D51"/>
    <w:rsid w:val="002A0F86"/>
    <w:rsid w:val="002A11C4"/>
    <w:rsid w:val="002A3657"/>
    <w:rsid w:val="002A66B2"/>
    <w:rsid w:val="002A7D5B"/>
    <w:rsid w:val="002B7F16"/>
    <w:rsid w:val="002C208F"/>
    <w:rsid w:val="002C2D83"/>
    <w:rsid w:val="002D3DE9"/>
    <w:rsid w:val="002D60D1"/>
    <w:rsid w:val="002D61AF"/>
    <w:rsid w:val="002E2CB8"/>
    <w:rsid w:val="002E51B7"/>
    <w:rsid w:val="002E78FF"/>
    <w:rsid w:val="002F1338"/>
    <w:rsid w:val="003009F6"/>
    <w:rsid w:val="00302C13"/>
    <w:rsid w:val="003042EB"/>
    <w:rsid w:val="0031392D"/>
    <w:rsid w:val="0031658E"/>
    <w:rsid w:val="00327F75"/>
    <w:rsid w:val="00331C3E"/>
    <w:rsid w:val="003321F2"/>
    <w:rsid w:val="00332520"/>
    <w:rsid w:val="0033687C"/>
    <w:rsid w:val="0034285D"/>
    <w:rsid w:val="00345C4A"/>
    <w:rsid w:val="00351087"/>
    <w:rsid w:val="003548DA"/>
    <w:rsid w:val="00354FC8"/>
    <w:rsid w:val="00356764"/>
    <w:rsid w:val="003633BB"/>
    <w:rsid w:val="00364540"/>
    <w:rsid w:val="00370028"/>
    <w:rsid w:val="00372E83"/>
    <w:rsid w:val="00374EE4"/>
    <w:rsid w:val="0037664D"/>
    <w:rsid w:val="0037772C"/>
    <w:rsid w:val="00377C38"/>
    <w:rsid w:val="003843D3"/>
    <w:rsid w:val="00387818"/>
    <w:rsid w:val="00387CDA"/>
    <w:rsid w:val="00390D18"/>
    <w:rsid w:val="00394CA1"/>
    <w:rsid w:val="00396B3C"/>
    <w:rsid w:val="003A3468"/>
    <w:rsid w:val="003A5297"/>
    <w:rsid w:val="003A6613"/>
    <w:rsid w:val="003B2F10"/>
    <w:rsid w:val="003B6E77"/>
    <w:rsid w:val="003C275F"/>
    <w:rsid w:val="003C4A54"/>
    <w:rsid w:val="003C56A1"/>
    <w:rsid w:val="003C5DDC"/>
    <w:rsid w:val="003D237C"/>
    <w:rsid w:val="003D24FE"/>
    <w:rsid w:val="003D3E63"/>
    <w:rsid w:val="003D5986"/>
    <w:rsid w:val="003D67E2"/>
    <w:rsid w:val="003E26D4"/>
    <w:rsid w:val="003E6557"/>
    <w:rsid w:val="003F0208"/>
    <w:rsid w:val="003F74AE"/>
    <w:rsid w:val="00401AE1"/>
    <w:rsid w:val="0040277D"/>
    <w:rsid w:val="0040367E"/>
    <w:rsid w:val="0040579A"/>
    <w:rsid w:val="00407ED1"/>
    <w:rsid w:val="00412428"/>
    <w:rsid w:val="00414ADE"/>
    <w:rsid w:val="00414C15"/>
    <w:rsid w:val="00416D54"/>
    <w:rsid w:val="00421398"/>
    <w:rsid w:val="00421E34"/>
    <w:rsid w:val="00425CC9"/>
    <w:rsid w:val="004261C1"/>
    <w:rsid w:val="004361C8"/>
    <w:rsid w:val="00436F4D"/>
    <w:rsid w:val="004418F0"/>
    <w:rsid w:val="004428DB"/>
    <w:rsid w:val="004500D7"/>
    <w:rsid w:val="00454281"/>
    <w:rsid w:val="00457E03"/>
    <w:rsid w:val="004620C9"/>
    <w:rsid w:val="0046325A"/>
    <w:rsid w:val="004660FA"/>
    <w:rsid w:val="00471090"/>
    <w:rsid w:val="0047164A"/>
    <w:rsid w:val="004769D3"/>
    <w:rsid w:val="00476C8A"/>
    <w:rsid w:val="004827B9"/>
    <w:rsid w:val="00484223"/>
    <w:rsid w:val="00491FB1"/>
    <w:rsid w:val="004939EE"/>
    <w:rsid w:val="00495001"/>
    <w:rsid w:val="004969D3"/>
    <w:rsid w:val="00496C91"/>
    <w:rsid w:val="0049734E"/>
    <w:rsid w:val="004A0353"/>
    <w:rsid w:val="004A1DA2"/>
    <w:rsid w:val="004A2000"/>
    <w:rsid w:val="004A2706"/>
    <w:rsid w:val="004A4100"/>
    <w:rsid w:val="004A4381"/>
    <w:rsid w:val="004A5FBF"/>
    <w:rsid w:val="004C0985"/>
    <w:rsid w:val="004C4F66"/>
    <w:rsid w:val="004C5F4C"/>
    <w:rsid w:val="004C6450"/>
    <w:rsid w:val="004D362E"/>
    <w:rsid w:val="004D55C1"/>
    <w:rsid w:val="004D5854"/>
    <w:rsid w:val="004D73DB"/>
    <w:rsid w:val="004F3F7E"/>
    <w:rsid w:val="004F41B7"/>
    <w:rsid w:val="004F6AD9"/>
    <w:rsid w:val="004F75E8"/>
    <w:rsid w:val="005019F2"/>
    <w:rsid w:val="00502E5D"/>
    <w:rsid w:val="0050493A"/>
    <w:rsid w:val="00505B5B"/>
    <w:rsid w:val="00507EF3"/>
    <w:rsid w:val="005112A8"/>
    <w:rsid w:val="00513CCF"/>
    <w:rsid w:val="00516914"/>
    <w:rsid w:val="005318D7"/>
    <w:rsid w:val="005404E9"/>
    <w:rsid w:val="0054748A"/>
    <w:rsid w:val="005477F9"/>
    <w:rsid w:val="00551D82"/>
    <w:rsid w:val="00556B6A"/>
    <w:rsid w:val="00556D7C"/>
    <w:rsid w:val="005606B1"/>
    <w:rsid w:val="00565472"/>
    <w:rsid w:val="00570E82"/>
    <w:rsid w:val="00570F0C"/>
    <w:rsid w:val="00572456"/>
    <w:rsid w:val="005734D7"/>
    <w:rsid w:val="005739A0"/>
    <w:rsid w:val="0057414E"/>
    <w:rsid w:val="00574EE0"/>
    <w:rsid w:val="00575E55"/>
    <w:rsid w:val="00576E51"/>
    <w:rsid w:val="005778E2"/>
    <w:rsid w:val="005809CF"/>
    <w:rsid w:val="00580D2B"/>
    <w:rsid w:val="0058352B"/>
    <w:rsid w:val="005848BB"/>
    <w:rsid w:val="00585BF5"/>
    <w:rsid w:val="005923F7"/>
    <w:rsid w:val="005A0DEE"/>
    <w:rsid w:val="005A2827"/>
    <w:rsid w:val="005A637B"/>
    <w:rsid w:val="005B2F8F"/>
    <w:rsid w:val="005B4412"/>
    <w:rsid w:val="005C4879"/>
    <w:rsid w:val="005D401D"/>
    <w:rsid w:val="005D5335"/>
    <w:rsid w:val="005D6F13"/>
    <w:rsid w:val="005E07CC"/>
    <w:rsid w:val="005E1E6E"/>
    <w:rsid w:val="005E1EE7"/>
    <w:rsid w:val="005F2D80"/>
    <w:rsid w:val="005F6A21"/>
    <w:rsid w:val="005F73DA"/>
    <w:rsid w:val="005F7530"/>
    <w:rsid w:val="006021B1"/>
    <w:rsid w:val="0060261C"/>
    <w:rsid w:val="00602628"/>
    <w:rsid w:val="00603FB3"/>
    <w:rsid w:val="00604000"/>
    <w:rsid w:val="00604100"/>
    <w:rsid w:val="00606B9F"/>
    <w:rsid w:val="00611BFA"/>
    <w:rsid w:val="006128A7"/>
    <w:rsid w:val="00612DFB"/>
    <w:rsid w:val="00613A93"/>
    <w:rsid w:val="00615035"/>
    <w:rsid w:val="00616081"/>
    <w:rsid w:val="006161F0"/>
    <w:rsid w:val="00622578"/>
    <w:rsid w:val="0062306C"/>
    <w:rsid w:val="006239A1"/>
    <w:rsid w:val="006254A7"/>
    <w:rsid w:val="006257C4"/>
    <w:rsid w:val="006257E8"/>
    <w:rsid w:val="00626A2D"/>
    <w:rsid w:val="00634672"/>
    <w:rsid w:val="006369D4"/>
    <w:rsid w:val="0064092F"/>
    <w:rsid w:val="006423E4"/>
    <w:rsid w:val="00643DC4"/>
    <w:rsid w:val="00646BE6"/>
    <w:rsid w:val="00650B9C"/>
    <w:rsid w:val="00652C91"/>
    <w:rsid w:val="0065350F"/>
    <w:rsid w:val="00667A2C"/>
    <w:rsid w:val="00667F35"/>
    <w:rsid w:val="006722CE"/>
    <w:rsid w:val="00673DA1"/>
    <w:rsid w:val="006755EE"/>
    <w:rsid w:val="00680155"/>
    <w:rsid w:val="006809EA"/>
    <w:rsid w:val="006820B5"/>
    <w:rsid w:val="006824BF"/>
    <w:rsid w:val="006828FB"/>
    <w:rsid w:val="00686DB7"/>
    <w:rsid w:val="00687919"/>
    <w:rsid w:val="0069152E"/>
    <w:rsid w:val="00692573"/>
    <w:rsid w:val="00694468"/>
    <w:rsid w:val="00694DFE"/>
    <w:rsid w:val="00696906"/>
    <w:rsid w:val="006A5020"/>
    <w:rsid w:val="006B4AB0"/>
    <w:rsid w:val="006B6EF7"/>
    <w:rsid w:val="006C48C3"/>
    <w:rsid w:val="006C57C5"/>
    <w:rsid w:val="006E0AC4"/>
    <w:rsid w:val="006E176E"/>
    <w:rsid w:val="006E19E1"/>
    <w:rsid w:val="006E40B3"/>
    <w:rsid w:val="006E4797"/>
    <w:rsid w:val="006E62B5"/>
    <w:rsid w:val="006E7C64"/>
    <w:rsid w:val="006F0B57"/>
    <w:rsid w:val="006F670A"/>
    <w:rsid w:val="007006CE"/>
    <w:rsid w:val="00702ADE"/>
    <w:rsid w:val="00703FC9"/>
    <w:rsid w:val="007041AB"/>
    <w:rsid w:val="0070444F"/>
    <w:rsid w:val="00711314"/>
    <w:rsid w:val="007124E5"/>
    <w:rsid w:val="00714BE0"/>
    <w:rsid w:val="00715907"/>
    <w:rsid w:val="00721BDA"/>
    <w:rsid w:val="0072463D"/>
    <w:rsid w:val="00726C18"/>
    <w:rsid w:val="0073207E"/>
    <w:rsid w:val="00736371"/>
    <w:rsid w:val="00736959"/>
    <w:rsid w:val="007369BA"/>
    <w:rsid w:val="00736B1E"/>
    <w:rsid w:val="007451F3"/>
    <w:rsid w:val="00751D3D"/>
    <w:rsid w:val="00754721"/>
    <w:rsid w:val="007575F2"/>
    <w:rsid w:val="00760853"/>
    <w:rsid w:val="00771DD5"/>
    <w:rsid w:val="00774D37"/>
    <w:rsid w:val="00775481"/>
    <w:rsid w:val="007852E0"/>
    <w:rsid w:val="00786E21"/>
    <w:rsid w:val="00794F14"/>
    <w:rsid w:val="007A4BBA"/>
    <w:rsid w:val="007A6968"/>
    <w:rsid w:val="007A75B4"/>
    <w:rsid w:val="007A7A0D"/>
    <w:rsid w:val="007B416E"/>
    <w:rsid w:val="007B488F"/>
    <w:rsid w:val="007B72A4"/>
    <w:rsid w:val="007C1D0B"/>
    <w:rsid w:val="007C2468"/>
    <w:rsid w:val="007C789F"/>
    <w:rsid w:val="007D18EC"/>
    <w:rsid w:val="007D63F0"/>
    <w:rsid w:val="007D6BE0"/>
    <w:rsid w:val="007E0559"/>
    <w:rsid w:val="007E1A63"/>
    <w:rsid w:val="007E207F"/>
    <w:rsid w:val="007E651B"/>
    <w:rsid w:val="007F13E9"/>
    <w:rsid w:val="007F1EBC"/>
    <w:rsid w:val="007F2030"/>
    <w:rsid w:val="007F624A"/>
    <w:rsid w:val="00800328"/>
    <w:rsid w:val="00800E21"/>
    <w:rsid w:val="00803D29"/>
    <w:rsid w:val="00806DA8"/>
    <w:rsid w:val="008123B2"/>
    <w:rsid w:val="00813C03"/>
    <w:rsid w:val="00816DE2"/>
    <w:rsid w:val="008171F1"/>
    <w:rsid w:val="0081726F"/>
    <w:rsid w:val="00822892"/>
    <w:rsid w:val="00823360"/>
    <w:rsid w:val="00833120"/>
    <w:rsid w:val="00833B96"/>
    <w:rsid w:val="00840309"/>
    <w:rsid w:val="008425A4"/>
    <w:rsid w:val="00843813"/>
    <w:rsid w:val="00845BFA"/>
    <w:rsid w:val="008461C6"/>
    <w:rsid w:val="0085028A"/>
    <w:rsid w:val="0085421A"/>
    <w:rsid w:val="0085548D"/>
    <w:rsid w:val="00857CA1"/>
    <w:rsid w:val="0086231F"/>
    <w:rsid w:val="0086293F"/>
    <w:rsid w:val="00871DF6"/>
    <w:rsid w:val="00873DE0"/>
    <w:rsid w:val="008771D0"/>
    <w:rsid w:val="008839BD"/>
    <w:rsid w:val="0089164B"/>
    <w:rsid w:val="008963D0"/>
    <w:rsid w:val="008A25DE"/>
    <w:rsid w:val="008A4859"/>
    <w:rsid w:val="008A779F"/>
    <w:rsid w:val="008A7C6F"/>
    <w:rsid w:val="008B2D50"/>
    <w:rsid w:val="008B35D2"/>
    <w:rsid w:val="008B3B88"/>
    <w:rsid w:val="008B5226"/>
    <w:rsid w:val="008C12CE"/>
    <w:rsid w:val="008C25A4"/>
    <w:rsid w:val="008C2B1C"/>
    <w:rsid w:val="008D293E"/>
    <w:rsid w:val="008D71FC"/>
    <w:rsid w:val="008E04B4"/>
    <w:rsid w:val="008E19AC"/>
    <w:rsid w:val="008E4D58"/>
    <w:rsid w:val="008F15DB"/>
    <w:rsid w:val="008F4CB3"/>
    <w:rsid w:val="00901E93"/>
    <w:rsid w:val="00902A33"/>
    <w:rsid w:val="009032AD"/>
    <w:rsid w:val="009033B7"/>
    <w:rsid w:val="00904E7A"/>
    <w:rsid w:val="00905517"/>
    <w:rsid w:val="009058DC"/>
    <w:rsid w:val="00906BD1"/>
    <w:rsid w:val="00906F55"/>
    <w:rsid w:val="009116FD"/>
    <w:rsid w:val="00911E23"/>
    <w:rsid w:val="0091722F"/>
    <w:rsid w:val="00921678"/>
    <w:rsid w:val="00921DFC"/>
    <w:rsid w:val="0092618B"/>
    <w:rsid w:val="0092628B"/>
    <w:rsid w:val="009409EA"/>
    <w:rsid w:val="00942B27"/>
    <w:rsid w:val="009462E0"/>
    <w:rsid w:val="00947252"/>
    <w:rsid w:val="00950AED"/>
    <w:rsid w:val="009514CB"/>
    <w:rsid w:val="00955B2F"/>
    <w:rsid w:val="00956136"/>
    <w:rsid w:val="00964BA9"/>
    <w:rsid w:val="00966387"/>
    <w:rsid w:val="00967689"/>
    <w:rsid w:val="009678F0"/>
    <w:rsid w:val="00967CB4"/>
    <w:rsid w:val="0097302C"/>
    <w:rsid w:val="009741E1"/>
    <w:rsid w:val="00987331"/>
    <w:rsid w:val="00990CF7"/>
    <w:rsid w:val="00991943"/>
    <w:rsid w:val="009921B7"/>
    <w:rsid w:val="009945BC"/>
    <w:rsid w:val="00994F50"/>
    <w:rsid w:val="00995106"/>
    <w:rsid w:val="009A1C16"/>
    <w:rsid w:val="009A2241"/>
    <w:rsid w:val="009A2538"/>
    <w:rsid w:val="009A47A1"/>
    <w:rsid w:val="009A4EE9"/>
    <w:rsid w:val="009B1008"/>
    <w:rsid w:val="009B1352"/>
    <w:rsid w:val="009B59BC"/>
    <w:rsid w:val="009C246A"/>
    <w:rsid w:val="009C5477"/>
    <w:rsid w:val="009D4DB8"/>
    <w:rsid w:val="009D7BDA"/>
    <w:rsid w:val="009E0FF8"/>
    <w:rsid w:val="009E2032"/>
    <w:rsid w:val="009E5438"/>
    <w:rsid w:val="009F1AC4"/>
    <w:rsid w:val="009F5D23"/>
    <w:rsid w:val="009F5EEE"/>
    <w:rsid w:val="00A05D15"/>
    <w:rsid w:val="00A111FA"/>
    <w:rsid w:val="00A11DFD"/>
    <w:rsid w:val="00A13A68"/>
    <w:rsid w:val="00A14FFD"/>
    <w:rsid w:val="00A1684A"/>
    <w:rsid w:val="00A178D3"/>
    <w:rsid w:val="00A210BB"/>
    <w:rsid w:val="00A228EB"/>
    <w:rsid w:val="00A251E6"/>
    <w:rsid w:val="00A25FA2"/>
    <w:rsid w:val="00A31BC8"/>
    <w:rsid w:val="00A3565F"/>
    <w:rsid w:val="00A508E7"/>
    <w:rsid w:val="00A531B6"/>
    <w:rsid w:val="00A56887"/>
    <w:rsid w:val="00A61636"/>
    <w:rsid w:val="00A624BE"/>
    <w:rsid w:val="00A65228"/>
    <w:rsid w:val="00A66732"/>
    <w:rsid w:val="00A7351D"/>
    <w:rsid w:val="00A74305"/>
    <w:rsid w:val="00A74992"/>
    <w:rsid w:val="00A77D6F"/>
    <w:rsid w:val="00A814C0"/>
    <w:rsid w:val="00A81E6B"/>
    <w:rsid w:val="00A826DA"/>
    <w:rsid w:val="00A90B7E"/>
    <w:rsid w:val="00A95537"/>
    <w:rsid w:val="00AA0AB1"/>
    <w:rsid w:val="00AA6721"/>
    <w:rsid w:val="00AB275A"/>
    <w:rsid w:val="00AB4038"/>
    <w:rsid w:val="00AB4125"/>
    <w:rsid w:val="00AB66C6"/>
    <w:rsid w:val="00AC0831"/>
    <w:rsid w:val="00AC16DC"/>
    <w:rsid w:val="00AC2961"/>
    <w:rsid w:val="00AC7B05"/>
    <w:rsid w:val="00AD37E6"/>
    <w:rsid w:val="00AE0487"/>
    <w:rsid w:val="00AE15D0"/>
    <w:rsid w:val="00AE241B"/>
    <w:rsid w:val="00AE264B"/>
    <w:rsid w:val="00AF435F"/>
    <w:rsid w:val="00B02E88"/>
    <w:rsid w:val="00B03765"/>
    <w:rsid w:val="00B0516F"/>
    <w:rsid w:val="00B10205"/>
    <w:rsid w:val="00B114B0"/>
    <w:rsid w:val="00B15A01"/>
    <w:rsid w:val="00B160D8"/>
    <w:rsid w:val="00B20CC6"/>
    <w:rsid w:val="00B24EEA"/>
    <w:rsid w:val="00B253F6"/>
    <w:rsid w:val="00B42F80"/>
    <w:rsid w:val="00B43FFA"/>
    <w:rsid w:val="00B466C3"/>
    <w:rsid w:val="00B50B6A"/>
    <w:rsid w:val="00B514CC"/>
    <w:rsid w:val="00B5316A"/>
    <w:rsid w:val="00B53B0C"/>
    <w:rsid w:val="00B53CF0"/>
    <w:rsid w:val="00B54E9E"/>
    <w:rsid w:val="00B55BE2"/>
    <w:rsid w:val="00B6143E"/>
    <w:rsid w:val="00B6254D"/>
    <w:rsid w:val="00B62A1C"/>
    <w:rsid w:val="00B63C5C"/>
    <w:rsid w:val="00B64A69"/>
    <w:rsid w:val="00B66177"/>
    <w:rsid w:val="00B66DDA"/>
    <w:rsid w:val="00B731FE"/>
    <w:rsid w:val="00B7409E"/>
    <w:rsid w:val="00B77A23"/>
    <w:rsid w:val="00B81064"/>
    <w:rsid w:val="00B87681"/>
    <w:rsid w:val="00B90616"/>
    <w:rsid w:val="00B924E5"/>
    <w:rsid w:val="00B93733"/>
    <w:rsid w:val="00BA119A"/>
    <w:rsid w:val="00BA11AF"/>
    <w:rsid w:val="00BA3EA5"/>
    <w:rsid w:val="00BA712E"/>
    <w:rsid w:val="00BB5A4B"/>
    <w:rsid w:val="00BC15BB"/>
    <w:rsid w:val="00BC1C04"/>
    <w:rsid w:val="00BD3767"/>
    <w:rsid w:val="00BD66E1"/>
    <w:rsid w:val="00BE22A2"/>
    <w:rsid w:val="00BE2769"/>
    <w:rsid w:val="00BE2BB3"/>
    <w:rsid w:val="00BE6D4E"/>
    <w:rsid w:val="00BF3AF0"/>
    <w:rsid w:val="00C058F5"/>
    <w:rsid w:val="00C05CFD"/>
    <w:rsid w:val="00C10BD0"/>
    <w:rsid w:val="00C11D93"/>
    <w:rsid w:val="00C166C2"/>
    <w:rsid w:val="00C16CC2"/>
    <w:rsid w:val="00C27C71"/>
    <w:rsid w:val="00C318E4"/>
    <w:rsid w:val="00C31A4E"/>
    <w:rsid w:val="00C34FBA"/>
    <w:rsid w:val="00C366E0"/>
    <w:rsid w:val="00C46824"/>
    <w:rsid w:val="00C478C4"/>
    <w:rsid w:val="00C47FB4"/>
    <w:rsid w:val="00C50CDE"/>
    <w:rsid w:val="00C52B50"/>
    <w:rsid w:val="00C550F3"/>
    <w:rsid w:val="00C56C1D"/>
    <w:rsid w:val="00C62FC3"/>
    <w:rsid w:val="00C652D8"/>
    <w:rsid w:val="00C67DE1"/>
    <w:rsid w:val="00C713D6"/>
    <w:rsid w:val="00C72C9C"/>
    <w:rsid w:val="00C73A81"/>
    <w:rsid w:val="00C74E79"/>
    <w:rsid w:val="00C84676"/>
    <w:rsid w:val="00C87214"/>
    <w:rsid w:val="00C875D1"/>
    <w:rsid w:val="00CA11BF"/>
    <w:rsid w:val="00CA322C"/>
    <w:rsid w:val="00CA524F"/>
    <w:rsid w:val="00CA6E2D"/>
    <w:rsid w:val="00CB1713"/>
    <w:rsid w:val="00CB1783"/>
    <w:rsid w:val="00CB1860"/>
    <w:rsid w:val="00CB7A2B"/>
    <w:rsid w:val="00CC1055"/>
    <w:rsid w:val="00CC3A63"/>
    <w:rsid w:val="00CC3B9C"/>
    <w:rsid w:val="00CD2A45"/>
    <w:rsid w:val="00CD6FA9"/>
    <w:rsid w:val="00CD7D6D"/>
    <w:rsid w:val="00CE07BB"/>
    <w:rsid w:val="00CE50EF"/>
    <w:rsid w:val="00CE57BA"/>
    <w:rsid w:val="00CF0B50"/>
    <w:rsid w:val="00D03411"/>
    <w:rsid w:val="00D035D7"/>
    <w:rsid w:val="00D04255"/>
    <w:rsid w:val="00D0684D"/>
    <w:rsid w:val="00D07A90"/>
    <w:rsid w:val="00D1495C"/>
    <w:rsid w:val="00D178B9"/>
    <w:rsid w:val="00D2510B"/>
    <w:rsid w:val="00D263BE"/>
    <w:rsid w:val="00D331FB"/>
    <w:rsid w:val="00D40879"/>
    <w:rsid w:val="00D45CA8"/>
    <w:rsid w:val="00D47320"/>
    <w:rsid w:val="00D47915"/>
    <w:rsid w:val="00D51B62"/>
    <w:rsid w:val="00D57F1F"/>
    <w:rsid w:val="00D6156F"/>
    <w:rsid w:val="00D62857"/>
    <w:rsid w:val="00D63AB9"/>
    <w:rsid w:val="00D64776"/>
    <w:rsid w:val="00D647AA"/>
    <w:rsid w:val="00D661BB"/>
    <w:rsid w:val="00D66DF0"/>
    <w:rsid w:val="00D70A3F"/>
    <w:rsid w:val="00D727C8"/>
    <w:rsid w:val="00D73AC3"/>
    <w:rsid w:val="00D77C02"/>
    <w:rsid w:val="00D77E65"/>
    <w:rsid w:val="00D85ACC"/>
    <w:rsid w:val="00D86D57"/>
    <w:rsid w:val="00D959E7"/>
    <w:rsid w:val="00DA154A"/>
    <w:rsid w:val="00DA3C5C"/>
    <w:rsid w:val="00DA5B6A"/>
    <w:rsid w:val="00DA620F"/>
    <w:rsid w:val="00DA64BB"/>
    <w:rsid w:val="00DA7C46"/>
    <w:rsid w:val="00DB03CB"/>
    <w:rsid w:val="00DB7CA0"/>
    <w:rsid w:val="00DC0E61"/>
    <w:rsid w:val="00DC18A7"/>
    <w:rsid w:val="00DC2BA5"/>
    <w:rsid w:val="00DC48A4"/>
    <w:rsid w:val="00DC49EA"/>
    <w:rsid w:val="00DC5A9A"/>
    <w:rsid w:val="00DD0D2A"/>
    <w:rsid w:val="00DD2601"/>
    <w:rsid w:val="00DD4D18"/>
    <w:rsid w:val="00DE30CB"/>
    <w:rsid w:val="00DE313E"/>
    <w:rsid w:val="00DE59DA"/>
    <w:rsid w:val="00DE7ADE"/>
    <w:rsid w:val="00DF00D4"/>
    <w:rsid w:val="00DF5679"/>
    <w:rsid w:val="00DF5A66"/>
    <w:rsid w:val="00DF6E7B"/>
    <w:rsid w:val="00DF7107"/>
    <w:rsid w:val="00E0031D"/>
    <w:rsid w:val="00E03054"/>
    <w:rsid w:val="00E05068"/>
    <w:rsid w:val="00E13A0F"/>
    <w:rsid w:val="00E15FE4"/>
    <w:rsid w:val="00E179EB"/>
    <w:rsid w:val="00E34E13"/>
    <w:rsid w:val="00E35FD8"/>
    <w:rsid w:val="00E37456"/>
    <w:rsid w:val="00E401D5"/>
    <w:rsid w:val="00E44B77"/>
    <w:rsid w:val="00E56B4B"/>
    <w:rsid w:val="00E63ECE"/>
    <w:rsid w:val="00E64377"/>
    <w:rsid w:val="00E64E1A"/>
    <w:rsid w:val="00E75C2A"/>
    <w:rsid w:val="00E76798"/>
    <w:rsid w:val="00E8497D"/>
    <w:rsid w:val="00E85777"/>
    <w:rsid w:val="00E935AE"/>
    <w:rsid w:val="00E948A1"/>
    <w:rsid w:val="00E959AA"/>
    <w:rsid w:val="00EA4CAB"/>
    <w:rsid w:val="00EA5411"/>
    <w:rsid w:val="00EA65C5"/>
    <w:rsid w:val="00EA787F"/>
    <w:rsid w:val="00EA7C43"/>
    <w:rsid w:val="00EB1E68"/>
    <w:rsid w:val="00EB289E"/>
    <w:rsid w:val="00EB3F3F"/>
    <w:rsid w:val="00EC0649"/>
    <w:rsid w:val="00EC0FB9"/>
    <w:rsid w:val="00EC11F3"/>
    <w:rsid w:val="00EC515E"/>
    <w:rsid w:val="00EC57F0"/>
    <w:rsid w:val="00ED0F8B"/>
    <w:rsid w:val="00ED62DA"/>
    <w:rsid w:val="00ED7B9F"/>
    <w:rsid w:val="00EE0704"/>
    <w:rsid w:val="00EE1D6A"/>
    <w:rsid w:val="00EE3061"/>
    <w:rsid w:val="00EE58E0"/>
    <w:rsid w:val="00EE5DCB"/>
    <w:rsid w:val="00EE7936"/>
    <w:rsid w:val="00EF1C88"/>
    <w:rsid w:val="00EF2047"/>
    <w:rsid w:val="00F011CE"/>
    <w:rsid w:val="00F1253B"/>
    <w:rsid w:val="00F16261"/>
    <w:rsid w:val="00F20BB5"/>
    <w:rsid w:val="00F22FB1"/>
    <w:rsid w:val="00F23091"/>
    <w:rsid w:val="00F2332F"/>
    <w:rsid w:val="00F36869"/>
    <w:rsid w:val="00F371AA"/>
    <w:rsid w:val="00F41DE1"/>
    <w:rsid w:val="00F43227"/>
    <w:rsid w:val="00F45F71"/>
    <w:rsid w:val="00F47864"/>
    <w:rsid w:val="00F5486F"/>
    <w:rsid w:val="00F605D3"/>
    <w:rsid w:val="00F60DF7"/>
    <w:rsid w:val="00F625E5"/>
    <w:rsid w:val="00F62BF6"/>
    <w:rsid w:val="00F72213"/>
    <w:rsid w:val="00F821AC"/>
    <w:rsid w:val="00F85117"/>
    <w:rsid w:val="00F9206D"/>
    <w:rsid w:val="00F9215F"/>
    <w:rsid w:val="00F93FE2"/>
    <w:rsid w:val="00F96D71"/>
    <w:rsid w:val="00F973DB"/>
    <w:rsid w:val="00FA3B53"/>
    <w:rsid w:val="00FA4A98"/>
    <w:rsid w:val="00FA5DEA"/>
    <w:rsid w:val="00FA6C9C"/>
    <w:rsid w:val="00FB1447"/>
    <w:rsid w:val="00FB1A44"/>
    <w:rsid w:val="00FB490D"/>
    <w:rsid w:val="00FB4F36"/>
    <w:rsid w:val="00FB51C8"/>
    <w:rsid w:val="00FC08CF"/>
    <w:rsid w:val="00FC4F1C"/>
    <w:rsid w:val="00FD04FD"/>
    <w:rsid w:val="00FD2082"/>
    <w:rsid w:val="00FD6CA0"/>
    <w:rsid w:val="00FE1219"/>
    <w:rsid w:val="00FE62A2"/>
    <w:rsid w:val="00FE7218"/>
    <w:rsid w:val="00FE7F1F"/>
    <w:rsid w:val="00FF009E"/>
    <w:rsid w:val="00FF5153"/>
    <w:rsid w:val="00FF662C"/>
    <w:rsid w:val="00FF7686"/>
    <w:rsid w:val="03201EA2"/>
    <w:rsid w:val="03540BB6"/>
    <w:rsid w:val="057519A0"/>
    <w:rsid w:val="13F775F0"/>
    <w:rsid w:val="18392C19"/>
    <w:rsid w:val="1BFC10C4"/>
    <w:rsid w:val="1EC94F48"/>
    <w:rsid w:val="1EE2244B"/>
    <w:rsid w:val="1F96375F"/>
    <w:rsid w:val="23B4085A"/>
    <w:rsid w:val="25557807"/>
    <w:rsid w:val="26976211"/>
    <w:rsid w:val="27856069"/>
    <w:rsid w:val="2EBD6DA8"/>
    <w:rsid w:val="3D0A11C2"/>
    <w:rsid w:val="3DCC7BE6"/>
    <w:rsid w:val="3E5F3EE3"/>
    <w:rsid w:val="3EC05EAD"/>
    <w:rsid w:val="3F1668EE"/>
    <w:rsid w:val="3F5A01FC"/>
    <w:rsid w:val="46002F8A"/>
    <w:rsid w:val="4631143E"/>
    <w:rsid w:val="49393AD6"/>
    <w:rsid w:val="4B35170D"/>
    <w:rsid w:val="4B9F430E"/>
    <w:rsid w:val="4D481A4E"/>
    <w:rsid w:val="4F4E4E0F"/>
    <w:rsid w:val="4F9547EC"/>
    <w:rsid w:val="521A5747"/>
    <w:rsid w:val="57B03AA1"/>
    <w:rsid w:val="63212B0F"/>
    <w:rsid w:val="63A870AE"/>
    <w:rsid w:val="668A2779"/>
    <w:rsid w:val="68490412"/>
    <w:rsid w:val="6A5A4CBC"/>
    <w:rsid w:val="715F29F3"/>
    <w:rsid w:val="73EE3D52"/>
    <w:rsid w:val="74EE1B23"/>
    <w:rsid w:val="75E967B5"/>
    <w:rsid w:val="76A33DDB"/>
    <w:rsid w:val="77911C96"/>
    <w:rsid w:val="78231A37"/>
    <w:rsid w:val="784433B6"/>
    <w:rsid w:val="7907328A"/>
    <w:rsid w:val="ABD3211F"/>
    <w:rsid w:val="B7DE4007"/>
    <w:rsid w:val="BF8A3CC8"/>
    <w:rsid w:val="BFE77404"/>
    <w:rsid w:val="F5FE65CD"/>
    <w:rsid w:val="F7FF3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8">
    <w:name w:val="caption"/>
    <w:basedOn w:val="1"/>
    <w:next w:val="1"/>
    <w:unhideWhenUsed/>
    <w:qFormat/>
    <w:uiPriority w:val="35"/>
    <w:rPr>
      <w:rFonts w:eastAsia="黑体" w:asciiTheme="majorHAnsi" w:hAnsiTheme="majorHAnsi" w:cstheme="majorBidi"/>
      <w:sz w:val="20"/>
      <w:szCs w:val="20"/>
    </w:rPr>
  </w:style>
  <w:style w:type="paragraph" w:styleId="9">
    <w:name w:val="annotation text"/>
    <w:basedOn w:val="1"/>
    <w:link w:val="28"/>
    <w:unhideWhenUsed/>
    <w:qFormat/>
    <w:uiPriority w:val="99"/>
    <w:rPr>
      <w:sz w:val="20"/>
      <w:szCs w:val="20"/>
    </w:rPr>
  </w:style>
  <w:style w:type="paragraph" w:styleId="10">
    <w:name w:val="Balloon Text"/>
    <w:basedOn w:val="1"/>
    <w:link w:val="38"/>
    <w:semiHidden/>
    <w:unhideWhenUsed/>
    <w:uiPriority w:val="99"/>
    <w:rPr>
      <w:rFonts w:ascii="Segoe UI" w:hAnsi="Segoe UI" w:cs="Segoe UI"/>
      <w:sz w:val="18"/>
      <w:szCs w:val="18"/>
    </w:rPr>
  </w:style>
  <w:style w:type="paragraph" w:styleId="11">
    <w:name w:val="footer"/>
    <w:basedOn w:val="1"/>
    <w:link w:val="25"/>
    <w:unhideWhenUsed/>
    <w:qFormat/>
    <w:uiPriority w:val="99"/>
    <w:pPr>
      <w:tabs>
        <w:tab w:val="center" w:pos="4680"/>
        <w:tab w:val="right" w:pos="9360"/>
      </w:tabs>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semiHidden/>
    <w:unhideWhenUsed/>
    <w:qFormat/>
    <w:uiPriority w:val="99"/>
    <w:pPr>
      <w:spacing w:beforeAutospacing="1" w:afterAutospacing="1"/>
      <w:jc w:val="left"/>
    </w:pPr>
    <w:rPr>
      <w:rFonts w:cs="Times New Roman"/>
      <w:lang w:eastAsia="zh-CN"/>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9"/>
    <w:next w:val="9"/>
    <w:link w:val="29"/>
    <w:semiHidden/>
    <w:unhideWhenUsed/>
    <w:qFormat/>
    <w:uiPriority w:val="99"/>
    <w:rPr>
      <w:b/>
      <w:bCs/>
    </w:rPr>
  </w:style>
  <w:style w:type="table" w:styleId="17">
    <w:name w:val="Table Grid"/>
    <w:basedOn w:val="1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1">
    <w:name w:val="line number"/>
    <w:basedOn w:val="18"/>
    <w:semiHidden/>
    <w:unhideWhenUsed/>
    <w:qFormat/>
    <w:uiPriority w:val="99"/>
  </w:style>
  <w:style w:type="character" w:styleId="22">
    <w:name w:val="Hyperlink"/>
    <w:basedOn w:val="18"/>
    <w:unhideWhenUsed/>
    <w:qFormat/>
    <w:uiPriority w:val="99"/>
    <w:rPr>
      <w:color w:val="0000FF" w:themeColor="hyperlink"/>
      <w:u w:val="single"/>
      <w14:textFill>
        <w14:solidFill>
          <w14:schemeClr w14:val="hlink"/>
        </w14:solidFill>
      </w14:textFill>
    </w:rPr>
  </w:style>
  <w:style w:type="character" w:styleId="23">
    <w:name w:val="annotation reference"/>
    <w:basedOn w:val="18"/>
    <w:semiHidden/>
    <w:unhideWhenUsed/>
    <w:qFormat/>
    <w:uiPriority w:val="99"/>
    <w:rPr>
      <w:sz w:val="16"/>
      <w:szCs w:val="16"/>
    </w:rPr>
  </w:style>
  <w:style w:type="character" w:customStyle="1" w:styleId="24">
    <w:name w:val="未处理的提及1"/>
    <w:basedOn w:val="18"/>
    <w:semiHidden/>
    <w:unhideWhenUsed/>
    <w:qFormat/>
    <w:uiPriority w:val="99"/>
    <w:rPr>
      <w:color w:val="605E5C"/>
      <w:shd w:val="clear" w:color="auto" w:fill="E1DFDD"/>
    </w:rPr>
  </w:style>
  <w:style w:type="character" w:customStyle="1" w:styleId="25">
    <w:name w:val="Footer Char"/>
    <w:basedOn w:val="18"/>
    <w:link w:val="11"/>
    <w:qFormat/>
    <w:uiPriority w:val="99"/>
  </w:style>
  <w:style w:type="paragraph" w:customStyle="1" w:styleId="26">
    <w:name w:val="修订1"/>
    <w:hidden/>
    <w:semiHidden/>
    <w:qFormat/>
    <w:uiPriority w:val="99"/>
    <w:rPr>
      <w:rFonts w:ascii="Calibri" w:hAnsi="Calibri" w:eastAsia="Calibri" w:cs="Calibri"/>
      <w:sz w:val="24"/>
      <w:szCs w:val="24"/>
      <w:lang w:val="en-US" w:eastAsia="en-US" w:bidi="ar-SA"/>
    </w:rPr>
  </w:style>
  <w:style w:type="paragraph" w:styleId="27">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8">
    <w:name w:val="Comment Text Char"/>
    <w:basedOn w:val="18"/>
    <w:link w:val="9"/>
    <w:qFormat/>
    <w:uiPriority w:val="99"/>
    <w:rPr>
      <w:sz w:val="20"/>
      <w:szCs w:val="20"/>
    </w:rPr>
  </w:style>
  <w:style w:type="character" w:customStyle="1" w:styleId="29">
    <w:name w:val="Comment Subject Char"/>
    <w:basedOn w:val="28"/>
    <w:link w:val="15"/>
    <w:semiHidden/>
    <w:qFormat/>
    <w:uiPriority w:val="99"/>
    <w:rPr>
      <w:b/>
      <w:bCs/>
      <w:sz w:val="20"/>
      <w:szCs w:val="20"/>
    </w:rPr>
  </w:style>
  <w:style w:type="character" w:customStyle="1" w:styleId="30">
    <w:name w:val="cf01"/>
    <w:basedOn w:val="18"/>
    <w:qFormat/>
    <w:uiPriority w:val="0"/>
    <w:rPr>
      <w:rFonts w:hint="default" w:ascii="Segoe UI" w:hAnsi="Segoe UI" w:cs="Segoe UI"/>
      <w:sz w:val="18"/>
      <w:szCs w:val="18"/>
    </w:rPr>
  </w:style>
  <w:style w:type="paragraph" w:customStyle="1" w:styleId="31">
    <w:name w:val="书目1"/>
    <w:basedOn w:val="1"/>
    <w:next w:val="1"/>
    <w:unhideWhenUsed/>
    <w:qFormat/>
    <w:uiPriority w:val="37"/>
    <w:pPr>
      <w:tabs>
        <w:tab w:val="left" w:pos="264"/>
      </w:tabs>
      <w:ind w:left="264" w:hanging="264"/>
    </w:pPr>
  </w:style>
  <w:style w:type="paragraph" w:customStyle="1" w:styleId="32">
    <w:name w:val="修订2"/>
    <w:hidden/>
    <w:unhideWhenUsed/>
    <w:uiPriority w:val="99"/>
    <w:rPr>
      <w:rFonts w:ascii="Calibri" w:hAnsi="Calibri" w:eastAsia="Calibri" w:cs="Calibri"/>
      <w:sz w:val="24"/>
      <w:szCs w:val="24"/>
      <w:lang w:val="en-US" w:eastAsia="en-US" w:bidi="ar-SA"/>
    </w:rPr>
  </w:style>
  <w:style w:type="paragraph" w:customStyle="1" w:styleId="33">
    <w:name w:val="修订3"/>
    <w:hidden/>
    <w:unhideWhenUsed/>
    <w:uiPriority w:val="99"/>
    <w:rPr>
      <w:rFonts w:ascii="Calibri" w:hAnsi="Calibri" w:eastAsia="Calibri" w:cs="Calibri"/>
      <w:sz w:val="24"/>
      <w:szCs w:val="24"/>
      <w:lang w:val="en-US" w:eastAsia="en-US" w:bidi="ar-SA"/>
    </w:rPr>
  </w:style>
  <w:style w:type="paragraph" w:customStyle="1" w:styleId="34">
    <w:name w:val="修订4"/>
    <w:hidden/>
    <w:unhideWhenUsed/>
    <w:uiPriority w:val="99"/>
    <w:rPr>
      <w:rFonts w:ascii="Calibri" w:hAnsi="Calibri" w:eastAsia="Calibri" w:cs="Calibri"/>
      <w:sz w:val="24"/>
      <w:szCs w:val="24"/>
      <w:lang w:val="en-US" w:eastAsia="en-US" w:bidi="ar-SA"/>
    </w:rPr>
  </w:style>
  <w:style w:type="paragraph" w:customStyle="1" w:styleId="35">
    <w:name w:val="修订5"/>
    <w:hidden/>
    <w:unhideWhenUsed/>
    <w:uiPriority w:val="99"/>
    <w:rPr>
      <w:rFonts w:ascii="Calibri" w:hAnsi="Calibri" w:eastAsia="Calibri" w:cs="Calibri"/>
      <w:sz w:val="24"/>
      <w:szCs w:val="24"/>
      <w:lang w:val="en-US" w:eastAsia="en-US" w:bidi="ar-SA"/>
    </w:rPr>
  </w:style>
  <w:style w:type="paragraph" w:customStyle="1" w:styleId="36">
    <w:name w:val="Revision"/>
    <w:hidden/>
    <w:unhideWhenUsed/>
    <w:uiPriority w:val="99"/>
    <w:rPr>
      <w:rFonts w:ascii="Calibri" w:hAnsi="Calibri" w:eastAsia="Calibri" w:cs="Calibri"/>
      <w:sz w:val="24"/>
      <w:szCs w:val="24"/>
      <w:lang w:val="en-US" w:eastAsia="en-US" w:bidi="ar-SA"/>
    </w:rPr>
  </w:style>
  <w:style w:type="paragraph" w:customStyle="1" w:styleId="37">
    <w:name w:val="Bibliography"/>
    <w:basedOn w:val="1"/>
    <w:next w:val="1"/>
    <w:unhideWhenUsed/>
    <w:uiPriority w:val="37"/>
  </w:style>
  <w:style w:type="character" w:customStyle="1" w:styleId="38">
    <w:name w:val="Balloon Text Char"/>
    <w:basedOn w:val="18"/>
    <w:link w:val="10"/>
    <w:semiHidden/>
    <w:uiPriority w:val="99"/>
    <w:rPr>
      <w:rFonts w:ascii="Segoe UI" w:hAnsi="Segoe UI" w:eastAsia="Calibri" w:cs="Segoe UI"/>
      <w:sz w:val="18"/>
      <w:szCs w:val="18"/>
      <w:lang w:eastAsia="en-US"/>
    </w:rPr>
  </w:style>
  <w:style w:type="character" w:customStyle="1" w:styleId="39">
    <w:name w:val="Unresolved Mention"/>
    <w:basedOn w:val="1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575B6-26D0-4136-9501-89F4BCA522BD}">
  <ds:schemaRefs/>
</ds:datastoreItem>
</file>

<file path=docProps/app.xml><?xml version="1.0" encoding="utf-8"?>
<Properties xmlns="http://schemas.openxmlformats.org/officeDocument/2006/extended-properties" xmlns:vt="http://schemas.openxmlformats.org/officeDocument/2006/docPropsVTypes">
  <Template>Normal</Template>
  <Pages>18</Pages>
  <Words>6584</Words>
  <Characters>40627</Characters>
  <Lines>738</Lines>
  <Paragraphs>224</Paragraphs>
  <TotalTime>114</TotalTime>
  <ScaleCrop>false</ScaleCrop>
  <LinksUpToDate>false</LinksUpToDate>
  <CharactersWithSpaces>46987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2026-03-19T01:14:00Z</dcterms:created>
  <dc:creator>Enzo Cui</dc:creator>
  <cp:lastModifiedBy>xuhuawei</cp:lastModifiedBy>
  <dcterms:modified xsi:type="dcterms:W3CDTF">2026-03-30T23:59:43Z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eyJoZGlkIjoiMjJkNGFiNGU4YjI3OGI1ZWEyM2EzYjQxODY3MDk5NWUiLCJ1c2VySWQiOiIzMzY3MTg2ODgifQ==</vt:lpwstr>
  </property>
  <property fmtid="{D5CDD505-2E9C-101B-9397-08002B2CF9AE}" pid="4" name="KSOProductBuildVer">
    <vt:lpwstr>2052-12.1.24031.24031</vt:lpwstr>
  </property>
  <property fmtid="{D5CDD505-2E9C-101B-9397-08002B2CF9AE}" pid="5" name="ICV">
    <vt:lpwstr>74C77D672A7EB2CAEF9DCA69F3B6126E_43</vt:lpwstr>
  </property>
  <property fmtid="{D5CDD505-2E9C-101B-9397-08002B2CF9AE}" pid="6" name="ZOTERO_PREF_1">
    <vt:lpwstr>&lt;data data-version="3" zotero-version="8.0.4"&gt;&lt;session id="ww1o9zle"/&gt;&lt;style id="http://www.zotero.org/styles/journal-of-visualized-experiments" hasBibliography="1" bibliographyStyleHasBeenSet="1"/&gt;&lt;prefs&gt;&lt;pref name="fieldType" value="Field"/&gt;&lt;/prefs&gt;&lt;/da</vt:lpwstr>
  </property>
  <property fmtid="{D5CDD505-2E9C-101B-9397-08002B2CF9AE}" pid="7" name="ZOTERO_PREF_2">
    <vt:lpwstr>ta&gt;</vt:lpwstr>
  </property>
</Properties>
</file>