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6D668ED9" w14:textId="5FC773FA" w:rsidR="002C155E" w:rsidRPr="002C155E" w:rsidRDefault="00000000">
      <w:pPr>
        <w:spacing w:after="0"/>
        <w:rPr>
          <w:rFonts w:ascii="Calibri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</w:t>
      </w:r>
      <w:r w:rsidRPr="002C155E">
        <w:rPr>
          <w:rFonts w:ascii="Calibri" w:eastAsia="Times New Roman" w:hAnsi="Calibri" w:cs="Calibri"/>
          <w:b/>
          <w:sz w:val="24"/>
          <w:szCs w:val="24"/>
        </w:rPr>
        <w:t>ext: </w:t>
      </w:r>
      <w:hyperlink r:id="rId6" w:history="1">
        <w:r w:rsidR="002C155E" w:rsidRPr="002C155E">
          <w:rPr>
            <w:rStyle w:val="Hyperlink"/>
            <w:rFonts w:ascii="Calibri" w:hAnsi="Calibri" w:cs="Calibri"/>
            <w:sz w:val="24"/>
            <w:szCs w:val="24"/>
          </w:rPr>
          <w:t>https://review.jove.com/t/70396?status=a72402k</w:t>
        </w:r>
      </w:hyperlink>
    </w:p>
    <w:p w14:paraId="69E03457" w14:textId="06DACE82" w:rsidR="002C155E" w:rsidRPr="002C155E" w:rsidRDefault="002C155E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2C155E">
        <w:rPr>
          <w:rFonts w:ascii="Calibri" w:hAnsi="Calibri" w:cs="Calibri"/>
          <w:sz w:val="24"/>
          <w:szCs w:val="24"/>
        </w:rPr>
        <w:t xml:space="preserve"> </w:t>
      </w:r>
      <w:r w:rsidR="006411A0" w:rsidRPr="002C155E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2C15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https://review.jove.com/v/70396?status=a72402k</w:t>
        </w:r>
      </w:hyperlink>
    </w:p>
    <w:p w14:paraId="0000000B" w14:textId="510DDBB5" w:rsidR="00C74D7E" w:rsidRPr="002C155E" w:rsidRDefault="006411A0" w:rsidP="002C155E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E17C9A" w:rsidRDefault="00000000" w:rsidP="00E17C9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E17C9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29B7DA78" w14:textId="09EF8C18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F122F0">
        <w:rPr>
          <w:rFonts w:ascii="Calibri" w:hAnsi="Calibri" w:cs="Calibri"/>
          <w:b/>
          <w:bCs/>
          <w:sz w:val="24"/>
          <w:szCs w:val="24"/>
        </w:rPr>
        <w:t>V</w:t>
      </w:r>
      <w:r w:rsidRPr="00E17C9A">
        <w:rPr>
          <w:rFonts w:ascii="Calibri" w:hAnsi="Calibri" w:cs="Calibri"/>
          <w:b/>
          <w:bCs/>
          <w:sz w:val="24"/>
          <w:szCs w:val="24"/>
        </w:rPr>
        <w:t>ideo</w:t>
      </w:r>
      <w:r w:rsidRPr="00E17C9A">
        <w:rPr>
          <w:rFonts w:ascii="Calibri" w:hAnsi="Calibri" w:cs="Calibri"/>
          <w:sz w:val="24"/>
          <w:szCs w:val="24"/>
        </w:rPr>
        <w:t>: 00:39 – 00:42; 00:44 – 00:56; 01:00 – 01:25; 11:31 – 12:15; 2:34 – 2:43</w:t>
      </w:r>
    </w:p>
    <w:p w14:paraId="2980956D" w14:textId="4BDB1CBF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b/>
          <w:bCs/>
          <w:sz w:val="24"/>
          <w:szCs w:val="24"/>
        </w:rPr>
        <w:t>Comment</w:t>
      </w:r>
      <w:r w:rsidRPr="00E17C9A">
        <w:rPr>
          <w:rFonts w:ascii="Calibri" w:hAnsi="Calibri" w:cs="Calibri"/>
          <w:sz w:val="24"/>
          <w:szCs w:val="24"/>
        </w:rPr>
        <w:t xml:space="preserve">: </w:t>
      </w:r>
      <w:r w:rsidR="00F122F0">
        <w:rPr>
          <w:rFonts w:ascii="Calibri" w:hAnsi="Calibri" w:cs="Calibri"/>
          <w:sz w:val="24"/>
          <w:szCs w:val="24"/>
        </w:rPr>
        <w:t>P</w:t>
      </w:r>
      <w:r w:rsidRPr="00E17C9A">
        <w:rPr>
          <w:rFonts w:ascii="Calibri" w:hAnsi="Calibri" w:cs="Calibri"/>
          <w:sz w:val="24"/>
          <w:szCs w:val="24"/>
        </w:rPr>
        <w:t>ublic sensitivity considerations</w:t>
      </w:r>
      <w:r w:rsidR="00F122F0">
        <w:rPr>
          <w:rFonts w:ascii="Calibri" w:hAnsi="Calibri" w:cs="Calibri"/>
          <w:sz w:val="24"/>
          <w:szCs w:val="24"/>
        </w:rPr>
        <w:t>:</w:t>
      </w:r>
    </w:p>
    <w:p w14:paraId="44F14AE4" w14:textId="77777777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sz w:val="24"/>
          <w:szCs w:val="24"/>
        </w:rPr>
        <w:t>(1) The entire mouse was shown with four needles used to pin the mouse extremities to the background.</w:t>
      </w:r>
    </w:p>
    <w:p w14:paraId="77D2F3ED" w14:textId="2FEAB8EF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E17C9A">
        <w:rPr>
          <w:rFonts w:ascii="Calibri" w:hAnsi="Calibri" w:cs="Calibri"/>
          <w:sz w:val="24"/>
          <w:szCs w:val="24"/>
        </w:rPr>
        <w:t>(2) The entire mouse was shown with an open abdomen to demonstrate procedures.</w:t>
      </w:r>
    </w:p>
    <w:p w14:paraId="4DFC1EDB" w14:textId="6CD72684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b/>
          <w:bCs/>
          <w:sz w:val="24"/>
          <w:szCs w:val="24"/>
        </w:rPr>
        <w:t>Suggested change</w:t>
      </w:r>
      <w:r w:rsidRPr="00E17C9A">
        <w:rPr>
          <w:rFonts w:ascii="Calibri" w:hAnsi="Calibri" w:cs="Calibri"/>
          <w:sz w:val="24"/>
          <w:szCs w:val="24"/>
        </w:rPr>
        <w:t>:</w:t>
      </w:r>
      <w:r w:rsidR="00F122F0">
        <w:rPr>
          <w:rFonts w:ascii="Calibri" w:hAnsi="Calibri" w:cs="Calibri"/>
          <w:sz w:val="24"/>
          <w:szCs w:val="24"/>
        </w:rPr>
        <w:t xml:space="preserve"> Wherever possible</w:t>
      </w:r>
      <w:r w:rsidR="00F122F0" w:rsidRPr="00F122F0">
        <w:rPr>
          <w:rFonts w:ascii="Calibri" w:hAnsi="Calibri" w:cs="Calibri"/>
          <w:sz w:val="24"/>
          <w:szCs w:val="24"/>
        </w:rPr>
        <w:t>, o</w:t>
      </w:r>
      <w:r w:rsidRPr="00F122F0">
        <w:rPr>
          <w:rFonts w:ascii="Calibri" w:hAnsi="Calibri" w:cs="Calibri"/>
          <w:sz w:val="24"/>
          <w:szCs w:val="24"/>
        </w:rPr>
        <w:t>nly show the portion of the animal necessary for the procedure rather than the entire animal</w:t>
      </w:r>
      <w:r w:rsidR="00F122F0" w:rsidRPr="00F122F0">
        <w:rPr>
          <w:rFonts w:ascii="Calibri" w:hAnsi="Calibri" w:cs="Calibri"/>
          <w:sz w:val="24"/>
          <w:szCs w:val="24"/>
        </w:rPr>
        <w:t>.</w:t>
      </w:r>
    </w:p>
    <w:p w14:paraId="0549B53D" w14:textId="77777777" w:rsidR="00E17C9A" w:rsidRPr="00D97AC3" w:rsidRDefault="00E17C9A" w:rsidP="0004482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7BAA72B" w14:textId="1C09238C" w:rsidR="00E17C9A" w:rsidRPr="00DB0836" w:rsidRDefault="00E17C9A" w:rsidP="00DB083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B083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B0836">
        <w:rPr>
          <w:rFonts w:ascii="Calibri" w:hAnsi="Calibri" w:cs="Calibri"/>
          <w:b/>
          <w:bCs/>
          <w:sz w:val="24"/>
          <w:szCs w:val="24"/>
        </w:rPr>
        <w:t>T</w:t>
      </w:r>
      <w:r w:rsidRPr="00DB0836">
        <w:rPr>
          <w:rFonts w:ascii="Calibri" w:hAnsi="Calibri" w:cs="Calibri"/>
          <w:b/>
          <w:bCs/>
          <w:sz w:val="24"/>
          <w:szCs w:val="24"/>
        </w:rPr>
        <w:t>ext</w:t>
      </w:r>
      <w:r w:rsidRPr="00DB0836">
        <w:rPr>
          <w:rFonts w:ascii="Calibri" w:hAnsi="Calibri" w:cs="Calibri"/>
          <w:sz w:val="24"/>
          <w:szCs w:val="24"/>
        </w:rPr>
        <w:t>: Representative Results; Figure 1</w:t>
      </w:r>
    </w:p>
    <w:p w14:paraId="4EAC1DCC" w14:textId="1F357A54" w:rsidR="00E17C9A" w:rsidRPr="00DB0836" w:rsidRDefault="00E17C9A" w:rsidP="00DB083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B0836">
        <w:rPr>
          <w:rFonts w:ascii="Calibri" w:hAnsi="Calibri" w:cs="Calibri"/>
          <w:b/>
          <w:bCs/>
          <w:sz w:val="24"/>
          <w:szCs w:val="24"/>
        </w:rPr>
        <w:t>Comment</w:t>
      </w:r>
      <w:r w:rsidRPr="00DB0836">
        <w:rPr>
          <w:rFonts w:ascii="Calibri" w:hAnsi="Calibri" w:cs="Calibri"/>
          <w:sz w:val="24"/>
          <w:szCs w:val="24"/>
        </w:rPr>
        <w:t xml:space="preserve">: The entire mouse with an open abdominal cavity was shown with a background </w:t>
      </w:r>
      <w:r w:rsidR="00DB0836">
        <w:rPr>
          <w:rFonts w:ascii="Calibri" w:hAnsi="Calibri" w:cs="Calibri"/>
          <w:sz w:val="24"/>
          <w:szCs w:val="24"/>
        </w:rPr>
        <w:t>that</w:t>
      </w:r>
      <w:r w:rsidRPr="00DB0836">
        <w:rPr>
          <w:rFonts w:ascii="Calibri" w:hAnsi="Calibri" w:cs="Calibri"/>
          <w:sz w:val="24"/>
          <w:szCs w:val="24"/>
        </w:rPr>
        <w:t xml:space="preserve"> appeared to be stained with blood.</w:t>
      </w:r>
      <w:r w:rsidR="00DB0836">
        <w:rPr>
          <w:rFonts w:ascii="Calibri" w:hAnsi="Calibri" w:cs="Calibri"/>
          <w:sz w:val="24"/>
          <w:szCs w:val="24"/>
        </w:rPr>
        <w:t xml:space="preserve"> </w:t>
      </w:r>
      <w:r w:rsidR="00DB0836" w:rsidRPr="00DB0836">
        <w:rPr>
          <w:rFonts w:ascii="Calibri" w:hAnsi="Calibri" w:cs="Calibri"/>
          <w:sz w:val="24"/>
          <w:szCs w:val="24"/>
        </w:rPr>
        <w:t xml:space="preserve">According to </w:t>
      </w:r>
      <w:r w:rsidR="00DB0836" w:rsidRPr="00DB0836">
        <w:rPr>
          <w:rFonts w:ascii="Calibri" w:hAnsi="Calibri" w:cs="Calibri"/>
          <w:b/>
          <w:bCs/>
          <w:sz w:val="24"/>
          <w:szCs w:val="24"/>
        </w:rPr>
        <w:t>JOVE’s Animal Use Guideline, please consider “Public Sensitivity Considerations; Only show the portion of the animal necessary for the procedure rather than the entire animal”</w:t>
      </w:r>
      <w:r w:rsidR="00DB0836" w:rsidRPr="00DB0836">
        <w:rPr>
          <w:rFonts w:ascii="Calibri" w:hAnsi="Calibri" w:cs="Calibri"/>
          <w:sz w:val="24"/>
          <w:szCs w:val="24"/>
        </w:rPr>
        <w:t xml:space="preserve"> – I would like to suggest covering most of the mouse and only showing the anatomic site of interest (e.g. open abdominal cavity) for Figure 1A.</w:t>
      </w:r>
    </w:p>
    <w:p w14:paraId="0000000F" w14:textId="5A5DF0E7" w:rsidR="00C74D7E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B0836">
        <w:rPr>
          <w:rFonts w:ascii="Calibri" w:hAnsi="Calibri" w:cs="Calibri"/>
          <w:b/>
          <w:bCs/>
          <w:sz w:val="24"/>
          <w:szCs w:val="24"/>
        </w:rPr>
        <w:t>Suggested change</w:t>
      </w:r>
      <w:r w:rsidRPr="00DB0836">
        <w:rPr>
          <w:rFonts w:ascii="Calibri" w:hAnsi="Calibri" w:cs="Calibri"/>
          <w:sz w:val="24"/>
          <w:szCs w:val="24"/>
        </w:rPr>
        <w:t>:</w:t>
      </w:r>
      <w:r w:rsidR="00DB0836">
        <w:rPr>
          <w:rFonts w:ascii="Calibri" w:hAnsi="Calibri" w:cs="Calibri"/>
          <w:sz w:val="24"/>
          <w:szCs w:val="24"/>
        </w:rPr>
        <w:t xml:space="preserve"> Submit revised Figure 1, considering the above.</w:t>
      </w:r>
    </w:p>
    <w:p w14:paraId="2A8937C3" w14:textId="77777777" w:rsidR="00DB0836" w:rsidRPr="00DB0836" w:rsidRDefault="00DB0836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D59C9A6" w14:textId="4506BF90" w:rsidR="009005AE" w:rsidRPr="00E17C9A" w:rsidRDefault="00000000" w:rsidP="00E17C9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E17C9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48CCCF" w14:textId="32BE81ED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E17C9A">
        <w:rPr>
          <w:rFonts w:ascii="Calibri" w:hAnsi="Calibri" w:cs="Calibri"/>
          <w:b/>
          <w:bCs/>
          <w:sz w:val="24"/>
          <w:szCs w:val="24"/>
        </w:rPr>
        <w:t>ideo</w:t>
      </w:r>
      <w:r w:rsidRPr="00E17C9A">
        <w:rPr>
          <w:rFonts w:ascii="Calibri" w:hAnsi="Calibri" w:cs="Calibri"/>
          <w:sz w:val="24"/>
          <w:szCs w:val="24"/>
        </w:rPr>
        <w:t>: 2:57</w:t>
      </w:r>
    </w:p>
    <w:p w14:paraId="03E5E098" w14:textId="17D905D7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b/>
          <w:bCs/>
          <w:sz w:val="24"/>
          <w:szCs w:val="24"/>
        </w:rPr>
        <w:t>Comment</w:t>
      </w:r>
      <w:r w:rsidRPr="00E17C9A">
        <w:rPr>
          <w:rFonts w:ascii="Calibri" w:hAnsi="Calibri" w:cs="Calibri"/>
          <w:sz w:val="24"/>
          <w:szCs w:val="24"/>
        </w:rPr>
        <w:t>: The video notes rocking at 4 degrees overnight</w:t>
      </w:r>
      <w:r>
        <w:rPr>
          <w:rFonts w:ascii="Calibri" w:hAnsi="Calibri" w:cs="Calibri"/>
          <w:sz w:val="24"/>
          <w:szCs w:val="24"/>
        </w:rPr>
        <w:t>,</w:t>
      </w:r>
      <w:r w:rsidRPr="00E17C9A">
        <w:rPr>
          <w:rFonts w:ascii="Calibri" w:hAnsi="Calibri" w:cs="Calibri"/>
          <w:sz w:val="24"/>
          <w:szCs w:val="24"/>
        </w:rPr>
        <w:t xml:space="preserve"> but the rocker appears to be on a bench top and not in a cold environment.</w:t>
      </w:r>
    </w:p>
    <w:p w14:paraId="24E5CDF6" w14:textId="52D9B7DA" w:rsidR="00E17C9A" w:rsidRPr="00E17C9A" w:rsidRDefault="00E17C9A" w:rsidP="00E17C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E17C9A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E17C9A">
        <w:rPr>
          <w:rFonts w:ascii="Calibri" w:hAnsi="Calibri" w:cs="Calibri"/>
          <w:sz w:val="24"/>
          <w:szCs w:val="24"/>
        </w:rPr>
        <w:t xml:space="preserve">: </w:t>
      </w:r>
      <w:r w:rsidR="00DB0836">
        <w:rPr>
          <w:rFonts w:ascii="Calibri" w:hAnsi="Calibri" w:cs="Calibri"/>
          <w:sz w:val="24"/>
          <w:szCs w:val="24"/>
        </w:rPr>
        <w:t>Modify the voiceover to clarify that this procedure is done in a cold room.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C4683A6-8C3E-41D3-AC72-81E6DA1CD2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4B40FAB-4A4E-4B54-9D67-8C4F4CAAA021}"/>
    <w:embedBold r:id="rId3" w:fontKey="{82C2F5A1-CEF2-4149-AC1A-D152DF678174}"/>
    <w:embedItalic r:id="rId4" w:fontKey="{1536B4FD-79BA-455E-98FE-A3DFC586FFB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6575FDF-7FAB-4AEA-9288-6F32C72B1A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783FE55-1BF6-4517-80DF-EFF4F290C8B9}"/>
    <w:embedBold r:id="rId7" w:fontKey="{D2AB3F2C-0F0C-44FB-A8C9-7A19BE33D91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E05720"/>
    <w:multiLevelType w:val="hybridMultilevel"/>
    <w:tmpl w:val="3820AF8A"/>
    <w:lvl w:ilvl="0" w:tplc="F0E88A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248646">
    <w:abstractNumId w:val="0"/>
  </w:num>
  <w:num w:numId="2" w16cid:durableId="1758792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44827"/>
    <w:rsid w:val="000A14E4"/>
    <w:rsid w:val="002C155E"/>
    <w:rsid w:val="00325025"/>
    <w:rsid w:val="00325F33"/>
    <w:rsid w:val="003760AF"/>
    <w:rsid w:val="00413DA0"/>
    <w:rsid w:val="00542BFA"/>
    <w:rsid w:val="005F7138"/>
    <w:rsid w:val="006411A0"/>
    <w:rsid w:val="006714B7"/>
    <w:rsid w:val="00744D7E"/>
    <w:rsid w:val="007D3FB3"/>
    <w:rsid w:val="00882B75"/>
    <w:rsid w:val="009005AE"/>
    <w:rsid w:val="009F6584"/>
    <w:rsid w:val="00C74D7E"/>
    <w:rsid w:val="00D118E8"/>
    <w:rsid w:val="00D97AC3"/>
    <w:rsid w:val="00DB0836"/>
    <w:rsid w:val="00DC6097"/>
    <w:rsid w:val="00E17C9A"/>
    <w:rsid w:val="00F1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396?status=a7240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396?status=a7240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2026-05-27T02:08:00Z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