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FB375C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51A24">
        <w:rPr>
          <w:rFonts w:eastAsia="Times New Roman" w:cstheme="minorHAnsi"/>
          <w:b/>
        </w:rPr>
        <w:t>70311</w:t>
      </w:r>
    </w:p>
    <w:p w14:paraId="2F6924E5" w14:textId="236A541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830A8">
        <w:rPr>
          <w:rFonts w:eastAsia="Times New Roman" w:cstheme="minorHAnsi"/>
          <w:b/>
        </w:rPr>
        <w:t>Kathyayani Sridharan</w:t>
      </w:r>
    </w:p>
    <w:p w14:paraId="6FB9233B" w14:textId="19707C9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830A8" w:rsidRPr="00EE5FE4">
          <w:rPr>
            <w:rStyle w:val="Hyperlink"/>
            <w:rFonts w:eastAsia="Times New Roman" w:cstheme="minorHAnsi"/>
            <w:b/>
          </w:rPr>
          <w:t>https://review.jove.com/account/file-uploader?src=21444903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6A38CC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51A24" w:rsidRPr="00F51A24">
        <w:rPr>
          <w:rFonts w:eastAsia="Times New Roman" w:cstheme="minorHAnsi"/>
          <w:b/>
          <w:sz w:val="32"/>
          <w:szCs w:val="32"/>
        </w:rPr>
        <w:t>Measurement of Nitric Oxide Production in Mouse Tracheal Epithelial Cell Cultures Differentiated at the Air Liquid Interface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8606677" w14:textId="7E8F5A03" w:rsidR="002830A8" w:rsidRPr="002830A8" w:rsidRDefault="002830A8" w:rsidP="002830A8">
      <w:pPr>
        <w:outlineLvl w:val="0"/>
        <w:rPr>
          <w:rFonts w:eastAsia="Times New Roman" w:cstheme="minorHAnsi"/>
          <w:b/>
          <w:sz w:val="28"/>
          <w:szCs w:val="28"/>
        </w:rPr>
      </w:pPr>
      <w:r w:rsidRPr="002830A8">
        <w:rPr>
          <w:rFonts w:eastAsia="Times New Roman" w:cstheme="minorHAnsi"/>
          <w:b/>
          <w:sz w:val="28"/>
          <w:szCs w:val="28"/>
        </w:rPr>
        <w:t>Muddassar Iqbal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830A8">
        <w:rPr>
          <w:rFonts w:eastAsia="Times New Roman" w:cstheme="minorHAnsi"/>
          <w:b/>
          <w:sz w:val="28"/>
          <w:szCs w:val="28"/>
        </w:rPr>
        <w:t>, David Mahan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830A8">
        <w:rPr>
          <w:rFonts w:eastAsia="Times New Roman" w:cstheme="minorHAnsi"/>
          <w:b/>
          <w:sz w:val="28"/>
          <w:szCs w:val="28"/>
        </w:rPr>
        <w:t>, Adam Clark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830A8">
        <w:rPr>
          <w:rFonts w:eastAsia="Times New Roman" w:cstheme="minorHAnsi"/>
          <w:b/>
          <w:sz w:val="28"/>
          <w:szCs w:val="28"/>
        </w:rPr>
        <w:t>, Akueba Bruce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830A8">
        <w:rPr>
          <w:rFonts w:eastAsia="Times New Roman" w:cstheme="minorHAnsi"/>
          <w:b/>
          <w:sz w:val="28"/>
          <w:szCs w:val="28"/>
        </w:rPr>
        <w:t>, Anthony W. DeMartino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830A8">
        <w:rPr>
          <w:rFonts w:eastAsia="Times New Roman" w:cstheme="minorHAnsi"/>
          <w:b/>
          <w:sz w:val="28"/>
          <w:szCs w:val="28"/>
        </w:rPr>
        <w:t>, Paola Corti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</w:p>
    <w:p w14:paraId="7547A264" w14:textId="77777777" w:rsidR="002830A8" w:rsidRPr="002830A8" w:rsidRDefault="002830A8" w:rsidP="002830A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6249703" w14:textId="77777777" w:rsidR="002830A8" w:rsidRDefault="002830A8" w:rsidP="002830A8">
      <w:pPr>
        <w:outlineLvl w:val="0"/>
        <w:rPr>
          <w:rFonts w:eastAsia="Times New Roman" w:cstheme="minorHAnsi"/>
          <w:bCs/>
        </w:rPr>
      </w:pPr>
      <w:r w:rsidRPr="002830A8">
        <w:rPr>
          <w:rFonts w:eastAsia="Times New Roman" w:cstheme="minorHAnsi"/>
          <w:bCs/>
          <w:vertAlign w:val="superscript"/>
        </w:rPr>
        <w:t>1</w:t>
      </w:r>
      <w:r w:rsidRPr="002830A8">
        <w:rPr>
          <w:rFonts w:eastAsia="Times New Roman" w:cstheme="minorHAnsi"/>
          <w:bCs/>
        </w:rPr>
        <w:t xml:space="preserve">Department of Medicine, University of Maryland School of Medicine, Baltimore </w:t>
      </w:r>
    </w:p>
    <w:p w14:paraId="33CD999C" w14:textId="23C921DB" w:rsidR="00D6314B" w:rsidRPr="002830A8" w:rsidRDefault="002830A8" w:rsidP="002830A8">
      <w:pPr>
        <w:outlineLvl w:val="0"/>
        <w:rPr>
          <w:rFonts w:eastAsia="Times New Roman" w:cstheme="minorHAnsi"/>
          <w:bCs/>
        </w:rPr>
      </w:pPr>
      <w:r w:rsidRPr="002830A8">
        <w:rPr>
          <w:rFonts w:eastAsia="Times New Roman" w:cstheme="minorHAnsi"/>
          <w:bCs/>
          <w:vertAlign w:val="superscript"/>
        </w:rPr>
        <w:t>2</w:t>
      </w:r>
      <w:r w:rsidRPr="002830A8">
        <w:rPr>
          <w:rFonts w:eastAsia="Times New Roman" w:cstheme="minorHAnsi"/>
          <w:bCs/>
        </w:rPr>
        <w:t>Department of Biochemistry and Molecular Biology, University of Maryland School of Medicine, Baltimore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6421404A" w:rsidR="00D6314B" w:rsidRPr="00B07A3B" w:rsidRDefault="002830A8" w:rsidP="004E0C5A">
      <w:pPr>
        <w:outlineLvl w:val="0"/>
        <w:rPr>
          <w:rFonts w:eastAsia="Times New Roman" w:cstheme="minorHAnsi"/>
        </w:rPr>
      </w:pPr>
      <w:r w:rsidRPr="00DE0318">
        <w:rPr>
          <w:rFonts w:asciiTheme="majorHAnsi" w:hAnsiTheme="majorHAnsi" w:cstheme="majorHAnsi"/>
        </w:rPr>
        <w:t>Paola Corti</w:t>
      </w:r>
      <w:r w:rsidRPr="00DE0318">
        <w:rPr>
          <w:rFonts w:asciiTheme="majorHAnsi" w:hAnsiTheme="majorHAnsi" w:cstheme="majorHAnsi" w:hint="eastAsia"/>
          <w:lang w:eastAsia="zh-CN"/>
        </w:rPr>
        <w:t xml:space="preserve">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PCorti@som.umaryland.edu</w:t>
      </w:r>
      <w:r w:rsidRPr="00DE0318">
        <w:rPr>
          <w:rFonts w:asciiTheme="majorHAnsi" w:hAnsiTheme="majorHAnsi" w:cstheme="majorHAnsi" w:hint="eastAsia"/>
          <w:lang w:eastAsia="zh-CN"/>
        </w:rPr>
        <w:t xml:space="preserve">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4EF2967" w14:textId="7C55D245" w:rsidR="002830A8" w:rsidRPr="00DE0318" w:rsidRDefault="002830A8" w:rsidP="002830A8">
      <w:pPr>
        <w:rPr>
          <w:rFonts w:asciiTheme="majorHAnsi" w:hAnsiTheme="majorHAnsi" w:cstheme="majorHAnsi"/>
          <w:lang w:eastAsia="zh-CN"/>
        </w:rPr>
      </w:pPr>
      <w:r w:rsidRPr="00DE0318">
        <w:rPr>
          <w:rFonts w:asciiTheme="majorHAnsi" w:hAnsiTheme="majorHAnsi" w:cstheme="majorHAnsi"/>
        </w:rPr>
        <w:t>Muddassar Iqbal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 w:hint="eastAsia"/>
          <w:lang w:eastAsia="zh-CN"/>
        </w:rPr>
        <w:t xml:space="preserve"> </w:t>
      </w:r>
      <w:r w:rsidRPr="00EE37BB">
        <w:rPr>
          <w:rFonts w:asciiTheme="majorHAnsi" w:hAnsiTheme="majorHAnsi" w:cstheme="majorHAnsi"/>
          <w:lang w:eastAsia="zh-CN"/>
        </w:rPr>
        <w:t>miqbal@som.umaryland.edu</w:t>
      </w:r>
    </w:p>
    <w:p w14:paraId="66140B7D" w14:textId="6AAC37EA" w:rsidR="002830A8" w:rsidRPr="00DE0318" w:rsidRDefault="002830A8" w:rsidP="002830A8">
      <w:pPr>
        <w:rPr>
          <w:rFonts w:asciiTheme="majorHAnsi" w:hAnsiTheme="majorHAnsi" w:cstheme="majorHAnsi"/>
          <w:lang w:eastAsia="zh-CN"/>
        </w:rPr>
      </w:pPr>
      <w:r w:rsidRPr="00DE0318">
        <w:rPr>
          <w:rFonts w:asciiTheme="majorHAnsi" w:hAnsiTheme="majorHAnsi" w:cstheme="majorHAnsi"/>
        </w:rPr>
        <w:t>David Mahan</w:t>
      </w:r>
      <w:r>
        <w:rPr>
          <w:rFonts w:asciiTheme="majorHAnsi" w:hAnsiTheme="majorHAnsi" w:cstheme="majorHAnsi" w:hint="eastAsia"/>
          <w:lang w:eastAsia="zh-CN"/>
        </w:rPr>
        <w:t xml:space="preserve">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dmahan@fpi.umaryland.edu</w:t>
      </w:r>
    </w:p>
    <w:p w14:paraId="2A09A7A8" w14:textId="086E18A3" w:rsidR="002830A8" w:rsidRPr="00DE0318" w:rsidRDefault="002830A8" w:rsidP="002830A8">
      <w:pPr>
        <w:rPr>
          <w:rFonts w:asciiTheme="majorHAnsi" w:hAnsiTheme="majorHAnsi" w:cstheme="majorHAnsi"/>
          <w:lang w:eastAsia="zh-CN"/>
        </w:rPr>
      </w:pPr>
      <w:r w:rsidRPr="00DE0318">
        <w:rPr>
          <w:rFonts w:asciiTheme="majorHAnsi" w:hAnsiTheme="majorHAnsi" w:cstheme="majorHAnsi"/>
        </w:rPr>
        <w:t>Adam Clark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Adam.Clark@som.umaryland.edu</w:t>
      </w:r>
    </w:p>
    <w:p w14:paraId="4F71AB6D" w14:textId="369F744A" w:rsidR="002830A8" w:rsidRPr="00DE0318" w:rsidRDefault="002830A8" w:rsidP="002830A8">
      <w:pPr>
        <w:rPr>
          <w:rFonts w:asciiTheme="majorHAnsi" w:hAnsiTheme="majorHAnsi" w:cstheme="majorHAnsi"/>
          <w:lang w:eastAsia="zh-CN"/>
        </w:rPr>
      </w:pPr>
      <w:r w:rsidRPr="00DE0318">
        <w:rPr>
          <w:rFonts w:asciiTheme="majorHAnsi" w:hAnsiTheme="majorHAnsi" w:cstheme="majorHAnsi"/>
        </w:rPr>
        <w:t>Akueba Bruce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="0037220A"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Akueba.Bruce@som.umaryland.edu</w:t>
      </w:r>
    </w:p>
    <w:p w14:paraId="56CA54CE" w14:textId="3DEA6D30" w:rsidR="002830A8" w:rsidRPr="00DE0318" w:rsidRDefault="002830A8" w:rsidP="002830A8">
      <w:pPr>
        <w:rPr>
          <w:rFonts w:asciiTheme="majorHAnsi" w:hAnsiTheme="majorHAnsi" w:cstheme="majorHAnsi"/>
          <w:lang w:eastAsia="zh-CN"/>
        </w:rPr>
      </w:pPr>
      <w:r w:rsidRPr="00DE0318">
        <w:rPr>
          <w:rFonts w:asciiTheme="majorHAnsi" w:hAnsiTheme="majorHAnsi" w:cstheme="majorHAnsi"/>
        </w:rPr>
        <w:t>Anthony W. DeMartino</w:t>
      </w:r>
      <w:r>
        <w:rPr>
          <w:rFonts w:asciiTheme="majorHAnsi" w:hAnsiTheme="majorHAnsi" w:cstheme="majorHAnsi" w:hint="eastAsia"/>
          <w:lang w:eastAsia="zh-CN"/>
        </w:rPr>
        <w:t xml:space="preserve">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ADeMartino@som.umaryland.edu</w:t>
      </w:r>
    </w:p>
    <w:p w14:paraId="2B24455E" w14:textId="33D4714C" w:rsidR="002830A8" w:rsidRDefault="002830A8" w:rsidP="002830A8">
      <w:r w:rsidRPr="00DE0318">
        <w:rPr>
          <w:rFonts w:asciiTheme="majorHAnsi" w:hAnsiTheme="majorHAnsi" w:cstheme="majorHAnsi"/>
        </w:rPr>
        <w:t>Paola Corti</w:t>
      </w:r>
      <w:r w:rsidRPr="00DE0318">
        <w:rPr>
          <w:rFonts w:asciiTheme="majorHAnsi" w:hAnsiTheme="majorHAnsi" w:cstheme="majorHAnsi" w:hint="eastAsia"/>
          <w:lang w:eastAsia="zh-CN"/>
        </w:rPr>
        <w:t xml:space="preserve">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PCorti@som.umaryland.edu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4A9EF9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F7CEF">
        <w:rPr>
          <w:rFonts w:cstheme="minorHAnsi"/>
          <w:bCs/>
          <w:sz w:val="22"/>
          <w:szCs w:val="22"/>
        </w:rPr>
        <w:t>15</w:t>
      </w:r>
    </w:p>
    <w:p w14:paraId="5AAC9C6C" w14:textId="5AF79BB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210DA">
        <w:rPr>
          <w:rFonts w:cstheme="minorHAnsi"/>
          <w:bCs/>
          <w:sz w:val="22"/>
          <w:szCs w:val="22"/>
        </w:rPr>
        <w:t>6</w:t>
      </w:r>
      <w:r w:rsidR="00B57D61">
        <w:rPr>
          <w:rFonts w:cstheme="minorHAnsi"/>
          <w:bCs/>
          <w:sz w:val="22"/>
          <w:szCs w:val="22"/>
        </w:rPr>
        <w:t>2</w:t>
      </w:r>
      <w:r w:rsidR="00DF7CEF">
        <w:rPr>
          <w:rFonts w:cstheme="minorHAnsi"/>
          <w:bCs/>
          <w:sz w:val="22"/>
          <w:szCs w:val="22"/>
        </w:rPr>
        <w:t xml:space="preserve"> (25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3E2B254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FF667D" w:rsidRPr="00DE0318">
        <w:rPr>
          <w:rFonts w:asciiTheme="majorHAnsi" w:hAnsiTheme="majorHAnsi" w:cstheme="majorHAnsi"/>
        </w:rPr>
        <w:t>University of Maryland</w:t>
      </w:r>
      <w:r w:rsidR="00FF667D">
        <w:rPr>
          <w:rFonts w:asciiTheme="majorHAnsi" w:hAnsiTheme="majorHAnsi" w:cstheme="majorHAnsi"/>
        </w:rPr>
        <w:t xml:space="preserve">, </w:t>
      </w:r>
      <w:r w:rsidR="006602B4" w:rsidRPr="002830A8">
        <w:rPr>
          <w:rFonts w:eastAsia="Times New Roman" w:cstheme="minorHAnsi"/>
          <w:bCs/>
        </w:rPr>
        <w:t>Baltimore</w:t>
      </w:r>
    </w:p>
    <w:p w14:paraId="3C78C807" w14:textId="1E10BE28" w:rsidR="00A13CC3" w:rsidRDefault="00E33F23">
      <w:pPr>
        <w:rPr>
          <w:rFonts w:cstheme="minorHAnsi"/>
          <w:b/>
          <w:i/>
          <w:color w:val="0000FF"/>
        </w:rPr>
      </w:pPr>
      <w:r w:rsidRPr="00104332">
        <w:rPr>
          <w:rFonts w:eastAsia="Times New Roman" w:cstheme="minorHAnsi"/>
          <w:b/>
          <w:highlight w:val="yellow"/>
        </w:rPr>
        <w:t>Authors:</w:t>
      </w:r>
      <w:r>
        <w:rPr>
          <w:rFonts w:eastAsia="Times New Roman" w:cstheme="minorHAnsi"/>
          <w:b/>
        </w:rPr>
        <w:t xml:space="preserve"> </w:t>
      </w:r>
      <w:r w:rsidRPr="00104332">
        <w:rPr>
          <w:rFonts w:eastAsia="Times New Roman" w:cstheme="minorHAnsi"/>
          <w:bCs/>
          <w:highlight w:val="yellow"/>
        </w:rPr>
        <w:t xml:space="preserve">Please </w:t>
      </w:r>
      <w:r>
        <w:rPr>
          <w:rFonts w:eastAsia="Times New Roman" w:cstheme="minorHAnsi"/>
          <w:bCs/>
          <w:highlight w:val="yellow"/>
        </w:rPr>
        <w:t>verify if</w:t>
      </w:r>
      <w:r w:rsidRPr="00104332">
        <w:rPr>
          <w:rFonts w:eastAsia="Times New Roman" w:cstheme="minorHAnsi"/>
          <w:bCs/>
          <w:highlight w:val="yellow"/>
        </w:rPr>
        <w:t xml:space="preserve"> the full name of the ethics board and the specific institution responsible for the ethical oversight of the </w:t>
      </w:r>
      <w:r w:rsidRPr="00E33F23">
        <w:rPr>
          <w:rFonts w:eastAsia="Times New Roman" w:cstheme="minorHAnsi"/>
          <w:bCs/>
          <w:highlight w:val="yellow"/>
        </w:rPr>
        <w:t>study</w:t>
      </w:r>
      <w:r w:rsidRPr="00E33F23">
        <w:rPr>
          <w:rFonts w:eastAsia="Times New Roman" w:cstheme="minorHAnsi"/>
          <w:bCs/>
          <w:highlight w:val="yellow"/>
        </w:rPr>
        <w:t xml:space="preserve"> are appropriate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51F4485" w:rsidR="00CE10F2" w:rsidRDefault="0053354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Sample Collection from ALI Cultures for Nitric Oxide Quantification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4C6B477" w14:textId="56E6AFF2" w:rsidR="00125924" w:rsidRPr="00B07A3B" w:rsidRDefault="0053354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57D61">
        <w:rPr>
          <w:color w:val="7030A0"/>
        </w:rPr>
        <w:t xml:space="preserve">To begin, remove the Transwell plates </w:t>
      </w:r>
      <w:r w:rsidRPr="003D763E">
        <w:rPr>
          <w:b/>
          <w:bCs/>
          <w:color w:val="7030A0"/>
        </w:rPr>
        <w:t>[1]</w:t>
      </w:r>
      <w:r>
        <w:rPr>
          <w:color w:val="7030A0"/>
        </w:rPr>
        <w:t xml:space="preserve"> </w:t>
      </w:r>
      <w:r w:rsidRPr="0007430E">
        <w:rPr>
          <w:color w:val="7030A0"/>
        </w:rPr>
        <w:t xml:space="preserve">containing drug-treated, differentiating airway epithelial cells at air-liquid interface, or ALI </w:t>
      </w:r>
      <w:r w:rsidRPr="0007430E">
        <w:rPr>
          <w:i/>
          <w:iCs/>
          <w:color w:val="EE0000"/>
        </w:rPr>
        <w:t>(A-L-I)</w:t>
      </w:r>
      <w:r w:rsidRPr="0007430E">
        <w:rPr>
          <w:color w:val="7030A0"/>
        </w:rPr>
        <w:t xml:space="preserve"> from the incubator </w:t>
      </w:r>
      <w:r w:rsidRPr="0007430E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0007430E">
        <w:rPr>
          <w:b/>
          <w:bCs/>
          <w:color w:val="7030A0"/>
        </w:rPr>
        <w:t>]</w:t>
      </w:r>
      <w:r w:rsidRPr="0007430E">
        <w:rPr>
          <w:color w:val="7030A0"/>
        </w:rPr>
        <w:t xml:space="preserve">. </w:t>
      </w:r>
      <w:r>
        <w:rPr>
          <w:color w:val="7030A0"/>
        </w:rPr>
        <w:t>C</w:t>
      </w:r>
      <w:r w:rsidRPr="0007430E">
        <w:rPr>
          <w:color w:val="7030A0"/>
        </w:rPr>
        <w:t>ollect 750 microliters of basal media</w:t>
      </w:r>
      <w:r>
        <w:rPr>
          <w:color w:val="7030A0"/>
        </w:rPr>
        <w:t xml:space="preserve"> sample</w:t>
      </w:r>
      <w:r w:rsidRPr="0007430E">
        <w:rPr>
          <w:color w:val="7030A0"/>
        </w:rPr>
        <w:t xml:space="preserve"> </w:t>
      </w:r>
      <w:r w:rsidRPr="003D763E">
        <w:rPr>
          <w:b/>
          <w:bCs/>
          <w:color w:val="7030A0"/>
        </w:rPr>
        <w:t>[3]</w:t>
      </w:r>
      <w:r>
        <w:rPr>
          <w:color w:val="7030A0"/>
        </w:rPr>
        <w:t xml:space="preserve"> and blank control </w:t>
      </w:r>
      <w:r w:rsidRPr="0007430E">
        <w:rPr>
          <w:color w:val="7030A0"/>
        </w:rPr>
        <w:t xml:space="preserve">from each of the triplicates </w:t>
      </w:r>
      <w:r w:rsidR="004D2292">
        <w:rPr>
          <w:color w:val="7030A0"/>
        </w:rPr>
        <w:t xml:space="preserve">per experimental group </w:t>
      </w:r>
      <w:r>
        <w:rPr>
          <w:color w:val="7030A0"/>
        </w:rPr>
        <w:t xml:space="preserve">into a single tube </w:t>
      </w:r>
      <w:r w:rsidRPr="0007430E">
        <w:rPr>
          <w:b/>
          <w:bCs/>
          <w:color w:val="7030A0"/>
        </w:rPr>
        <w:t>[</w:t>
      </w:r>
      <w:r>
        <w:rPr>
          <w:b/>
          <w:bCs/>
          <w:color w:val="7030A0"/>
        </w:rPr>
        <w:t>4</w:t>
      </w:r>
      <w:r w:rsidRPr="0007430E">
        <w:rPr>
          <w:b/>
          <w:bCs/>
          <w:color w:val="7030A0"/>
        </w:rPr>
        <w:t>]</w:t>
      </w:r>
      <w:r w:rsidRPr="0007430E">
        <w:rPr>
          <w:color w:val="7030A0"/>
        </w:rPr>
        <w:t xml:space="preserve">. </w:t>
      </w:r>
      <w:r>
        <w:rPr>
          <w:color w:val="7030A0"/>
        </w:rPr>
        <w:t>S</w:t>
      </w:r>
      <w:r w:rsidRPr="0007430E">
        <w:rPr>
          <w:color w:val="7030A0"/>
        </w:rPr>
        <w:t xml:space="preserve">tore </w:t>
      </w:r>
      <w:r>
        <w:rPr>
          <w:color w:val="7030A0"/>
        </w:rPr>
        <w:t xml:space="preserve">the </w:t>
      </w:r>
      <w:r w:rsidR="004D2292">
        <w:rPr>
          <w:color w:val="7030A0"/>
        </w:rPr>
        <w:t>labeled</w:t>
      </w:r>
      <w:r>
        <w:rPr>
          <w:color w:val="7030A0"/>
        </w:rPr>
        <w:t xml:space="preserve"> basal media and blank samples</w:t>
      </w:r>
      <w:r w:rsidRPr="0007430E">
        <w:rPr>
          <w:color w:val="7030A0"/>
        </w:rPr>
        <w:t xml:space="preserve"> at minus 20 degrees Celsius until </w:t>
      </w:r>
      <w:r w:rsidR="00E21FD2">
        <w:rPr>
          <w:color w:val="7030A0"/>
        </w:rPr>
        <w:t xml:space="preserve">nitric oxide quantification by </w:t>
      </w:r>
      <w:r w:rsidRPr="0007430E">
        <w:rPr>
          <w:color w:val="7030A0"/>
        </w:rPr>
        <w:t xml:space="preserve">injection into the nitric oxide analyzer, or NOA </w:t>
      </w:r>
      <w:r w:rsidRPr="0007430E">
        <w:rPr>
          <w:i/>
          <w:iCs/>
          <w:color w:val="EE0000"/>
        </w:rPr>
        <w:t>(N-O-A)</w:t>
      </w:r>
      <w:r w:rsidRPr="0007430E">
        <w:rPr>
          <w:color w:val="7030A0"/>
        </w:rPr>
        <w:t xml:space="preserve"> </w:t>
      </w:r>
      <w:r w:rsidRPr="0007430E">
        <w:rPr>
          <w:b/>
          <w:bCs/>
          <w:color w:val="7030A0"/>
        </w:rPr>
        <w:t>[5]</w:t>
      </w:r>
      <w:r w:rsidRPr="0007430E">
        <w:rPr>
          <w:color w:val="7030A0"/>
        </w:rPr>
        <w:t>.</w:t>
      </w:r>
    </w:p>
    <w:p w14:paraId="7605F9E4" w14:textId="7AF06854" w:rsidR="00C34F4C" w:rsidRPr="00533543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533543">
        <w:rPr>
          <w:lang w:val="en-IN"/>
        </w:rPr>
        <w:t xml:space="preserve">Talent removing the Transwell plates with cells from the incubator. 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  <w:r w:rsidR="00533543">
        <w:rPr>
          <w:rFonts w:cstheme="minorHAnsi"/>
          <w:i/>
          <w:iCs/>
          <w:color w:val="0000FF"/>
          <w:lang w:val="en-IN"/>
        </w:rPr>
        <w:t xml:space="preserve"> </w:t>
      </w:r>
      <w:r w:rsidR="00533543" w:rsidRPr="00A426B1">
        <w:rPr>
          <w:highlight w:val="yellow"/>
          <w:lang w:val="en-IN"/>
        </w:rPr>
        <w:t>(</w:t>
      </w:r>
      <w:r w:rsidR="00533543" w:rsidRPr="00A426B1">
        <w:rPr>
          <w:b/>
          <w:bCs/>
          <w:highlight w:val="yellow"/>
          <w:lang w:val="en-IN"/>
        </w:rPr>
        <w:t>Authors:</w:t>
      </w:r>
      <w:r w:rsidR="00533543" w:rsidRPr="00A426B1">
        <w:rPr>
          <w:highlight w:val="yellow"/>
          <w:lang w:val="en-IN"/>
        </w:rPr>
        <w:t xml:space="preserve"> We have added this step to provide an introductory context. Please specify if this is appropriate.)</w:t>
      </w:r>
      <w:r w:rsidR="00533543">
        <w:rPr>
          <w:rFonts w:cstheme="minorHAnsi"/>
        </w:rPr>
        <w:t xml:space="preserve"> </w:t>
      </w:r>
      <w:r w:rsidR="00533543"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11E3C949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6AADA433" w14:textId="77777777" w:rsidR="00533543" w:rsidRDefault="00533543" w:rsidP="00533543">
      <w:pPr>
        <w:pStyle w:val="ShotDescription"/>
        <w:ind w:firstLine="0"/>
        <w:rPr>
          <w:lang w:val="en-IN"/>
        </w:rPr>
      </w:pPr>
      <w:r>
        <w:rPr>
          <w:lang w:val="en-IN"/>
        </w:rPr>
        <w:t>Samples for NO Analysis:</w:t>
      </w:r>
    </w:p>
    <w:p w14:paraId="22811896" w14:textId="77777777" w:rsidR="00533543" w:rsidRDefault="00533543" w:rsidP="00533543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>Untreated Control</w:t>
      </w:r>
    </w:p>
    <w:p w14:paraId="4D990716" w14:textId="77777777" w:rsidR="00533543" w:rsidRDefault="00533543" w:rsidP="00533543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 xml:space="preserve">250 </w:t>
      </w:r>
      <w:r w:rsidRPr="00DE0318">
        <w:rPr>
          <w:rFonts w:asciiTheme="majorHAnsi" w:hAnsiTheme="majorHAnsi" w:cstheme="majorHAnsi"/>
        </w:rPr>
        <w:t>μM</w:t>
      </w:r>
      <w:r>
        <w:rPr>
          <w:rFonts w:asciiTheme="majorHAnsi" w:hAnsiTheme="majorHAnsi" w:cstheme="majorHAnsi"/>
        </w:rPr>
        <w:t xml:space="preserve"> </w:t>
      </w:r>
      <w:r w:rsidRPr="00521A38">
        <w:rPr>
          <w:lang w:val="en-IN"/>
        </w:rPr>
        <w:t xml:space="preserve">Diethylene triamine–NONOate or DETA/NO </w:t>
      </w:r>
      <w:r>
        <w:rPr>
          <w:lang w:val="en-IN"/>
        </w:rPr>
        <w:t>(NO donor)</w:t>
      </w:r>
    </w:p>
    <w:p w14:paraId="02B1B39C" w14:textId="77777777" w:rsidR="00533543" w:rsidRPr="00D22A49" w:rsidRDefault="00533543" w:rsidP="00533543">
      <w:pPr>
        <w:pStyle w:val="ShotDescription"/>
        <w:numPr>
          <w:ilvl w:val="0"/>
          <w:numId w:val="45"/>
        </w:numPr>
        <w:rPr>
          <w:lang w:val="en-IN"/>
        </w:rPr>
      </w:pPr>
      <w:r w:rsidRPr="00521A38">
        <w:t>1 mM Nω–Nitro–L–Arginine Methyl Ester or L–NAME (NOS inhibitor)</w:t>
      </w:r>
    </w:p>
    <w:p w14:paraId="76440843" w14:textId="4DB444BD" w:rsidR="00533543" w:rsidRPr="003D763E" w:rsidRDefault="00533543" w:rsidP="00533543">
      <w:pPr>
        <w:pStyle w:val="ShotDescription"/>
        <w:numPr>
          <w:ilvl w:val="0"/>
          <w:numId w:val="45"/>
        </w:numPr>
        <w:rPr>
          <w:lang w:val="en-IN"/>
        </w:rPr>
      </w:pPr>
      <w:r>
        <w:t>Blank Control (</w:t>
      </w:r>
      <w:r w:rsidR="009C741F">
        <w:t>Media w</w:t>
      </w:r>
      <w:r>
        <w:t>ithout cells)</w:t>
      </w:r>
    </w:p>
    <w:p w14:paraId="2AFDF312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lastRenderedPageBreak/>
        <w:t xml:space="preserve">Talent </w:t>
      </w:r>
      <w:r>
        <w:rPr>
          <w:lang w:val="en-IN"/>
        </w:rPr>
        <w:t>collecting 750 µL basal media from the transwell insert into a tube.</w:t>
      </w:r>
    </w:p>
    <w:p w14:paraId="6B62C657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750 µL of blank media into a</w:t>
      </w:r>
      <w:r w:rsidRPr="00A426B1">
        <w:rPr>
          <w:lang w:val="en-IN"/>
        </w:rPr>
        <w:t xml:space="preserve"> single tube.</w:t>
      </w:r>
    </w:p>
    <w:p w14:paraId="5AEE2E6A" w14:textId="440F1BA9" w:rsidR="00533543" w:rsidRP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placing the </w:t>
      </w:r>
      <w:r>
        <w:rPr>
          <w:lang w:val="en-IN"/>
        </w:rPr>
        <w:t>labelled blank and sample tubes</w:t>
      </w:r>
      <w:r w:rsidRPr="00A426B1">
        <w:rPr>
          <w:lang w:val="en-IN"/>
        </w:rPr>
        <w:t xml:space="preserve"> into a </w:t>
      </w:r>
      <w:r>
        <w:rPr>
          <w:lang w:val="en-IN"/>
        </w:rPr>
        <w:t>-</w:t>
      </w:r>
      <w:r w:rsidRPr="00A426B1">
        <w:rPr>
          <w:lang w:val="en-IN"/>
        </w:rPr>
        <w:t>20 degrees Celsius freezer.</w:t>
      </w:r>
    </w:p>
    <w:p w14:paraId="694B6957" w14:textId="500ED6BC" w:rsidR="00533543" w:rsidRDefault="00533543" w:rsidP="00533543">
      <w:pPr>
        <w:pStyle w:val="Narration"/>
        <w:numPr>
          <w:ilvl w:val="1"/>
          <w:numId w:val="3"/>
        </w:numPr>
      </w:pPr>
      <w:r>
        <w:t>Next</w:t>
      </w:r>
      <w:r w:rsidR="00E21FD2">
        <w:t xml:space="preserve">, to </w:t>
      </w:r>
      <w:r w:rsidR="004D2292">
        <w:t>determine</w:t>
      </w:r>
      <w:r w:rsidR="00E21FD2">
        <w:t xml:space="preserve"> the NO in apical mucus of the epithelium</w:t>
      </w:r>
      <w:r>
        <w:t>, a</w:t>
      </w:r>
      <w:r w:rsidRPr="00A426B1">
        <w:t xml:space="preserve">dd 50 microliters of prewarmed </w:t>
      </w:r>
      <w:r>
        <w:t xml:space="preserve">1X </w:t>
      </w:r>
      <w:r w:rsidRPr="00A426B1">
        <w:t>phosphate-buffered saline</w:t>
      </w:r>
      <w:r>
        <w:t xml:space="preserve">, or PBS </w:t>
      </w:r>
      <w:r w:rsidRPr="00517118">
        <w:rPr>
          <w:i/>
          <w:iCs/>
          <w:color w:val="EE0000"/>
        </w:rPr>
        <w:t>(P-B-S)</w:t>
      </w:r>
      <w:r w:rsidRPr="00517118">
        <w:rPr>
          <w:color w:val="EE0000"/>
        </w:rPr>
        <w:t xml:space="preserve"> </w:t>
      </w:r>
      <w:r w:rsidRPr="00A426B1">
        <w:t xml:space="preserve">to the cells in each insert </w:t>
      </w:r>
      <w:r w:rsidRPr="00A426B1">
        <w:rPr>
          <w:b/>
          <w:bCs/>
        </w:rPr>
        <w:t>[1]</w:t>
      </w:r>
      <w:r w:rsidRPr="00A426B1">
        <w:t>. Incubate the cells at 37 degrees Celsius</w:t>
      </w:r>
      <w:r>
        <w:t xml:space="preserve"> </w:t>
      </w:r>
      <w:r w:rsidRPr="00A426B1">
        <w:t>for 30 minutes</w:t>
      </w:r>
      <w:r>
        <w:t xml:space="preserve"> </w:t>
      </w:r>
      <w:r w:rsidRPr="00A426B1">
        <w:rPr>
          <w:b/>
          <w:bCs/>
        </w:rPr>
        <w:t>[2]</w:t>
      </w:r>
      <w:r w:rsidRPr="00A426B1">
        <w:t xml:space="preserve">. Collect the </w:t>
      </w:r>
      <w:r>
        <w:t>PBS</w:t>
      </w:r>
      <w:r w:rsidRPr="00A426B1">
        <w:t xml:space="preserve"> from </w:t>
      </w:r>
      <w:r>
        <w:t xml:space="preserve">the apical side of </w:t>
      </w:r>
      <w:r w:rsidRPr="00A426B1">
        <w:t xml:space="preserve">three inserts </w:t>
      </w:r>
      <w:r>
        <w:t xml:space="preserve">into a single tube </w:t>
      </w:r>
      <w:r w:rsidRPr="00A426B1">
        <w:t>to obtain approximately 150 microliters</w:t>
      </w:r>
      <w:r>
        <w:t xml:space="preserve"> of </w:t>
      </w:r>
      <w:r w:rsidR="00E21FD2">
        <w:t>sample</w:t>
      </w:r>
      <w:r w:rsidRPr="00A426B1">
        <w:t xml:space="preserve"> </w:t>
      </w:r>
      <w:r w:rsidRPr="00A426B1">
        <w:rPr>
          <w:b/>
          <w:bCs/>
        </w:rPr>
        <w:t>[</w:t>
      </w:r>
      <w:r>
        <w:rPr>
          <w:b/>
          <w:bCs/>
        </w:rPr>
        <w:t>3</w:t>
      </w:r>
      <w:r w:rsidRPr="00A426B1">
        <w:rPr>
          <w:b/>
          <w:bCs/>
        </w:rPr>
        <w:t>]</w:t>
      </w:r>
      <w:r w:rsidRPr="00A426B1">
        <w:t xml:space="preserve">. </w:t>
      </w:r>
      <w:r>
        <w:t xml:space="preserve">Store the PBS-mucus sample and a PBS blank solution at </w:t>
      </w:r>
      <w:r w:rsidRPr="00A426B1">
        <w:t xml:space="preserve">minus 20 degrees Celsius </w:t>
      </w:r>
      <w:r w:rsidRPr="00980BCA">
        <w:rPr>
          <w:b/>
          <w:bCs/>
        </w:rPr>
        <w:t>[</w:t>
      </w:r>
      <w:r>
        <w:rPr>
          <w:b/>
          <w:bCs/>
        </w:rPr>
        <w:t>4</w:t>
      </w:r>
      <w:r w:rsidRPr="00980BCA">
        <w:rPr>
          <w:b/>
          <w:bCs/>
        </w:rPr>
        <w:t>]</w:t>
      </w:r>
      <w:r>
        <w:t>.</w:t>
      </w:r>
    </w:p>
    <w:p w14:paraId="0D1512F0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adding prewarmed </w:t>
      </w:r>
      <w:r>
        <w:rPr>
          <w:lang w:val="en-IN"/>
        </w:rPr>
        <w:t>PBS</w:t>
      </w:r>
      <w:r w:rsidRPr="00A426B1">
        <w:rPr>
          <w:lang w:val="en-IN"/>
        </w:rPr>
        <w:t xml:space="preserve"> onto the cells in each insert.</w:t>
      </w:r>
    </w:p>
    <w:p w14:paraId="7C843CF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placing the </w:t>
      </w:r>
      <w:r>
        <w:rPr>
          <w:lang w:val="en-IN"/>
        </w:rPr>
        <w:t xml:space="preserve">plate with </w:t>
      </w:r>
      <w:r w:rsidRPr="00A426B1">
        <w:rPr>
          <w:lang w:val="en-IN"/>
        </w:rPr>
        <w:t>inserts in the incubator.</w:t>
      </w:r>
    </w:p>
    <w:p w14:paraId="78244112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collecting the </w:t>
      </w:r>
      <w:r>
        <w:rPr>
          <w:lang w:val="en-IN"/>
        </w:rPr>
        <w:t>PBS</w:t>
      </w:r>
      <w:r w:rsidRPr="00A426B1">
        <w:rPr>
          <w:lang w:val="en-IN"/>
        </w:rPr>
        <w:t xml:space="preserve"> containing mucus from the apical side of the inserts</w:t>
      </w:r>
      <w:r>
        <w:rPr>
          <w:lang w:val="en-IN"/>
        </w:rPr>
        <w:t xml:space="preserve"> into a single tube</w:t>
      </w:r>
      <w:r w:rsidRPr="00A426B1">
        <w:rPr>
          <w:lang w:val="en-IN"/>
        </w:rPr>
        <w:t>.</w:t>
      </w:r>
    </w:p>
    <w:p w14:paraId="21E1524B" w14:textId="77777777" w:rsidR="00533543" w:rsidRPr="00980BCA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placing the </w:t>
      </w:r>
      <w:r>
        <w:rPr>
          <w:lang w:val="en-IN"/>
        </w:rPr>
        <w:t xml:space="preserve">labelled </w:t>
      </w:r>
      <w:r w:rsidRPr="00A426B1">
        <w:rPr>
          <w:lang w:val="en-IN"/>
        </w:rPr>
        <w:t>apical wash sample</w:t>
      </w:r>
      <w:r>
        <w:rPr>
          <w:lang w:val="en-IN"/>
        </w:rPr>
        <w:t xml:space="preserve"> tube and PBS blank</w:t>
      </w:r>
      <w:r w:rsidRPr="00A426B1">
        <w:rPr>
          <w:lang w:val="en-IN"/>
        </w:rPr>
        <w:t xml:space="preserve"> </w:t>
      </w:r>
      <w:r>
        <w:rPr>
          <w:lang w:val="en-IN"/>
        </w:rPr>
        <w:t xml:space="preserve">tube </w:t>
      </w:r>
      <w:r w:rsidRPr="00A426B1">
        <w:rPr>
          <w:lang w:val="en-IN"/>
        </w:rPr>
        <w:t xml:space="preserve">into a </w:t>
      </w:r>
      <w:r w:rsidRPr="00FB49E8">
        <w:rPr>
          <w:lang w:val="en-IN"/>
        </w:rPr>
        <w:t xml:space="preserve">−20 °C </w:t>
      </w:r>
      <w:r w:rsidRPr="00A426B1">
        <w:rPr>
          <w:lang w:val="en-IN"/>
        </w:rPr>
        <w:t>freezer.</w:t>
      </w:r>
    </w:p>
    <w:p w14:paraId="5C1EB95F" w14:textId="654C75F2" w:rsidR="00533543" w:rsidRDefault="00533543" w:rsidP="00533543">
      <w:pPr>
        <w:pStyle w:val="Narration"/>
        <w:numPr>
          <w:ilvl w:val="1"/>
          <w:numId w:val="3"/>
        </w:numPr>
      </w:pPr>
      <w:r>
        <w:t xml:space="preserve">To obtain the </w:t>
      </w:r>
      <w:r w:rsidR="004D2292">
        <w:t xml:space="preserve">NO measurement from </w:t>
      </w:r>
      <w:r>
        <w:t>cell lysate sample, w</w:t>
      </w:r>
      <w:r w:rsidRPr="00A426B1">
        <w:t xml:space="preserve">ash the apical and basal sides of the cells in three inserts twice with 500 microliters of prewarmed </w:t>
      </w:r>
      <w:r>
        <w:t>PBS</w:t>
      </w:r>
      <w:r w:rsidRPr="00A426B1">
        <w:t xml:space="preserve"> </w:t>
      </w:r>
      <w:r w:rsidRPr="00A426B1">
        <w:rPr>
          <w:b/>
          <w:bCs/>
        </w:rPr>
        <w:t>[</w:t>
      </w:r>
      <w:r>
        <w:rPr>
          <w:b/>
          <w:bCs/>
        </w:rPr>
        <w:t>1</w:t>
      </w:r>
      <w:r w:rsidRPr="00A426B1">
        <w:rPr>
          <w:b/>
          <w:bCs/>
        </w:rPr>
        <w:t>]</w:t>
      </w:r>
      <w:r w:rsidRPr="00A426B1">
        <w:t xml:space="preserve">. Add 500 microliters of Accutase solution to the apical side of the inserts </w:t>
      </w:r>
      <w:r w:rsidRPr="00A426B1">
        <w:rPr>
          <w:b/>
          <w:bCs/>
        </w:rPr>
        <w:t>[</w:t>
      </w:r>
      <w:r>
        <w:rPr>
          <w:b/>
          <w:bCs/>
        </w:rPr>
        <w:t>2</w:t>
      </w:r>
      <w:r w:rsidRPr="00A426B1">
        <w:rPr>
          <w:b/>
          <w:bCs/>
        </w:rPr>
        <w:t>]</w:t>
      </w:r>
      <w:r w:rsidRPr="00A426B1">
        <w:t xml:space="preserve"> and incubate until the cells completely detach from the membranes </w:t>
      </w:r>
      <w:r w:rsidRPr="00A426B1">
        <w:rPr>
          <w:b/>
          <w:bCs/>
        </w:rPr>
        <w:t>[</w:t>
      </w:r>
      <w:r>
        <w:rPr>
          <w:b/>
          <w:bCs/>
        </w:rPr>
        <w:t>3</w:t>
      </w:r>
      <w:r w:rsidRPr="00A426B1">
        <w:rPr>
          <w:b/>
          <w:bCs/>
        </w:rPr>
        <w:t>]</w:t>
      </w:r>
      <w:r w:rsidRPr="00A426B1">
        <w:t>.</w:t>
      </w:r>
      <w:r>
        <w:t xml:space="preserve"> </w:t>
      </w:r>
      <w:r w:rsidRPr="00207E39">
        <w:rPr>
          <w:color w:val="000000" w:themeColor="text1"/>
          <w:highlight w:val="yellow"/>
        </w:rPr>
        <w:t>(</w:t>
      </w:r>
      <w:r w:rsidRPr="00207E39">
        <w:rPr>
          <w:b/>
          <w:bCs/>
          <w:color w:val="000000" w:themeColor="text1"/>
          <w:highlight w:val="yellow"/>
        </w:rPr>
        <w:t>Authors:</w:t>
      </w:r>
      <w:r w:rsidRPr="00207E39">
        <w:rPr>
          <w:color w:val="000000" w:themeColor="text1"/>
          <w:highlight w:val="yellow"/>
        </w:rPr>
        <w:t xml:space="preserve"> Please confirm if 500 </w:t>
      </w:r>
      <w:r w:rsidRPr="00207E39">
        <w:rPr>
          <w:color w:val="000000" w:themeColor="text1"/>
          <w:highlight w:val="yellow"/>
          <w:lang w:val="en-IN"/>
        </w:rPr>
        <w:t>µL of accutase is added to each transwell?</w:t>
      </w:r>
      <w:r>
        <w:rPr>
          <w:color w:val="000000" w:themeColor="text1"/>
          <w:highlight w:val="yellow"/>
          <w:lang w:val="en-IN"/>
        </w:rPr>
        <w:t xml:space="preserve"> Also, please specify if the plate is placed inside the incubator after accutase addition?</w:t>
      </w:r>
      <w:r w:rsidRPr="00207E39">
        <w:rPr>
          <w:color w:val="000000" w:themeColor="text1"/>
          <w:highlight w:val="yellow"/>
          <w:lang w:val="en-IN"/>
        </w:rPr>
        <w:t>)</w:t>
      </w:r>
    </w:p>
    <w:p w14:paraId="21BA5F35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washing the apical and basal sides of the inserts with phosphate-buffered saline.</w:t>
      </w:r>
    </w:p>
    <w:p w14:paraId="05E34B1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adding Accutase solution onto the apical side of the inserts.</w:t>
      </w:r>
    </w:p>
    <w:p w14:paraId="7BC4C58F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placing the inserts </w:t>
      </w:r>
      <w:r>
        <w:rPr>
          <w:lang w:val="en-IN"/>
        </w:rPr>
        <w:t>in the incubator</w:t>
      </w:r>
      <w:r w:rsidRPr="00A426B1">
        <w:rPr>
          <w:lang w:val="en-IN"/>
        </w:rPr>
        <w:t xml:space="preserve"> until cell detachment.</w:t>
      </w:r>
    </w:p>
    <w:p w14:paraId="46DC0A17" w14:textId="0C712BF9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Add </w:t>
      </w:r>
      <w:r>
        <w:t xml:space="preserve">1.5 milliliters of </w:t>
      </w:r>
      <w:r w:rsidRPr="00A426B1">
        <w:t xml:space="preserve">serum-free RPMI-1640 media to the detached cells </w:t>
      </w:r>
      <w:r w:rsidRPr="00A426B1">
        <w:rPr>
          <w:b/>
          <w:bCs/>
        </w:rPr>
        <w:t>[1]</w:t>
      </w:r>
      <w:r w:rsidRPr="00A426B1">
        <w:t xml:space="preserve">. Pool the detached cells from the three inserts into a single tube </w:t>
      </w:r>
      <w:r w:rsidRPr="00A426B1">
        <w:rPr>
          <w:b/>
          <w:bCs/>
        </w:rPr>
        <w:t>[2]</w:t>
      </w:r>
      <w:r w:rsidRPr="00A426B1">
        <w:t xml:space="preserve">. Spin the cells at 360 </w:t>
      </w:r>
      <w:r w:rsidRPr="00980BCA">
        <w:rPr>
          <w:i/>
          <w:iCs/>
        </w:rPr>
        <w:t>g</w:t>
      </w:r>
      <w:r w:rsidRPr="00A426B1">
        <w:t xml:space="preserve"> for 5 minutes at 4 degrees Celsius </w:t>
      </w:r>
      <w:r w:rsidRPr="00A426B1">
        <w:rPr>
          <w:b/>
          <w:bCs/>
        </w:rPr>
        <w:t>[3]</w:t>
      </w:r>
      <w:r w:rsidRPr="00A426B1">
        <w:t>. Resuspend the cell pellet in 50 microliters of lysis solution containing RIPA</w:t>
      </w:r>
      <w:r w:rsidR="004D2292">
        <w:t xml:space="preserve"> </w:t>
      </w:r>
      <w:r w:rsidR="004D2292" w:rsidRPr="004D2292">
        <w:rPr>
          <w:i/>
          <w:iCs/>
          <w:color w:val="EE0000"/>
        </w:rPr>
        <w:t>(</w:t>
      </w:r>
      <w:r w:rsidR="004D2292" w:rsidRPr="004D2292">
        <w:rPr>
          <w:i/>
          <w:iCs/>
          <w:color w:val="EE0000"/>
          <w:lang w:val="en-US"/>
        </w:rPr>
        <w:t>REE-pah</w:t>
      </w:r>
      <w:r w:rsidR="004D2292" w:rsidRPr="004D2292">
        <w:rPr>
          <w:i/>
          <w:iCs/>
          <w:color w:val="EE0000"/>
          <w:lang w:val="en-US"/>
        </w:rPr>
        <w:t>)</w:t>
      </w:r>
      <w:r w:rsidRPr="00A426B1">
        <w:t xml:space="preserve"> buffer and Halt 1X</w:t>
      </w:r>
      <w:r w:rsidR="004D2292">
        <w:t xml:space="preserve"> </w:t>
      </w:r>
      <w:r w:rsidR="004D2292" w:rsidRPr="004D2292">
        <w:rPr>
          <w:i/>
          <w:iCs/>
          <w:color w:val="EE0000"/>
        </w:rPr>
        <w:t>(Halt-one-X)</w:t>
      </w:r>
      <w:r w:rsidRPr="00A426B1">
        <w:t xml:space="preserve"> protease inhibitor cocktail </w:t>
      </w:r>
      <w:r w:rsidRPr="00A426B1">
        <w:rPr>
          <w:b/>
          <w:bCs/>
        </w:rPr>
        <w:t>[4]</w:t>
      </w:r>
      <w:r w:rsidRPr="00A426B1">
        <w:t xml:space="preserve">. Incubate the lysate on ice for 45 minutes </w:t>
      </w:r>
      <w:r w:rsidRPr="00A426B1">
        <w:rPr>
          <w:b/>
          <w:bCs/>
        </w:rPr>
        <w:t>[5]</w:t>
      </w:r>
      <w:r w:rsidRPr="00A426B1">
        <w:t>.</w:t>
      </w:r>
    </w:p>
    <w:p w14:paraId="027BFA0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adding serum-free RPMI-1640 media to the detached cells.</w:t>
      </w:r>
    </w:p>
    <w:p w14:paraId="6933F166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pooling detached cells from three inserts into one tube.</w:t>
      </w:r>
    </w:p>
    <w:p w14:paraId="08C0D6D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tube into a centrifuge.</w:t>
      </w:r>
    </w:p>
    <w:p w14:paraId="68FF899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resuspending the cell pellet in lysis solution.</w:t>
      </w:r>
    </w:p>
    <w:p w14:paraId="2E4F481E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lysate tube on ice.</w:t>
      </w:r>
    </w:p>
    <w:p w14:paraId="328E78F2" w14:textId="26A8E8C1" w:rsidR="00533543" w:rsidRDefault="00533543" w:rsidP="00533543">
      <w:pPr>
        <w:pStyle w:val="Narration"/>
        <w:numPr>
          <w:ilvl w:val="1"/>
          <w:numId w:val="3"/>
        </w:numPr>
      </w:pPr>
      <w:r w:rsidRPr="00A426B1">
        <w:lastRenderedPageBreak/>
        <w:t xml:space="preserve">Spin the lysate at 14,800 </w:t>
      </w:r>
      <w:r w:rsidRPr="00980BCA">
        <w:rPr>
          <w:i/>
          <w:iCs/>
        </w:rPr>
        <w:t>g</w:t>
      </w:r>
      <w:r w:rsidRPr="00A426B1">
        <w:t xml:space="preserve"> for 20 minutes at 4 degrees Celsius </w:t>
      </w:r>
      <w:r w:rsidRPr="00A426B1">
        <w:rPr>
          <w:b/>
          <w:bCs/>
        </w:rPr>
        <w:t>[1]</w:t>
      </w:r>
      <w:r w:rsidRPr="00A426B1">
        <w:t xml:space="preserve">. </w:t>
      </w:r>
      <w:r>
        <w:t>After c</w:t>
      </w:r>
      <w:r w:rsidRPr="00A426B1">
        <w:t>ollect</w:t>
      </w:r>
      <w:r>
        <w:t>ing</w:t>
      </w:r>
      <w:r w:rsidRPr="00A426B1">
        <w:t xml:space="preserve"> the supernatant</w:t>
      </w:r>
      <w:r w:rsidR="009D2A1D">
        <w:t xml:space="preserve">, </w:t>
      </w:r>
      <w:r>
        <w:t xml:space="preserve">determining the </w:t>
      </w:r>
      <w:r w:rsidRPr="00A426B1">
        <w:t>protein concentration</w:t>
      </w:r>
      <w:r w:rsidR="009D2A1D">
        <w:t xml:space="preserve"> of lysate using bicinchonic acid assay </w:t>
      </w:r>
      <w:r w:rsidR="009D2A1D" w:rsidRPr="009D2A1D">
        <w:rPr>
          <w:b/>
          <w:bCs/>
        </w:rPr>
        <w:t>[2]</w:t>
      </w:r>
      <w:r w:rsidR="009D2A1D">
        <w:t>.</w:t>
      </w:r>
      <w:r>
        <w:t xml:space="preserve"> </w:t>
      </w:r>
      <w:r w:rsidR="009D2A1D">
        <w:t>D</w:t>
      </w:r>
      <w:r w:rsidRPr="00A426B1">
        <w:t xml:space="preserve">ilute the remaining lysate </w:t>
      </w:r>
      <w:r>
        <w:t xml:space="preserve">at </w:t>
      </w:r>
      <w:r w:rsidR="009D2A1D">
        <w:t>a one-to-one</w:t>
      </w:r>
      <w:r w:rsidRPr="00A426B1">
        <w:t xml:space="preserve"> </w:t>
      </w:r>
      <w:r>
        <w:t xml:space="preserve">ratio </w:t>
      </w:r>
      <w:r w:rsidRPr="00A426B1">
        <w:t xml:space="preserve">in RIPA buffer to obtain </w:t>
      </w:r>
      <w:r>
        <w:t>100 microliters of cell lysate sample</w:t>
      </w:r>
      <w:r w:rsidRPr="00A426B1">
        <w:t xml:space="preserve"> </w:t>
      </w:r>
      <w:r w:rsidRPr="00A426B1">
        <w:rPr>
          <w:b/>
          <w:bCs/>
        </w:rPr>
        <w:t>[</w:t>
      </w:r>
      <w:r w:rsidR="009D2A1D">
        <w:rPr>
          <w:b/>
          <w:bCs/>
        </w:rPr>
        <w:t>3</w:t>
      </w:r>
      <w:r w:rsidRPr="00A426B1">
        <w:rPr>
          <w:b/>
          <w:bCs/>
        </w:rPr>
        <w:t>]</w:t>
      </w:r>
      <w:r w:rsidRPr="00A426B1">
        <w:t>. Store the lysates at minus 80 degrees Celsius and the</w:t>
      </w:r>
      <w:r>
        <w:t xml:space="preserve"> blank</w:t>
      </w:r>
      <w:r w:rsidRPr="00A426B1">
        <w:t xml:space="preserve"> RIPA buffer at minus 20 degrees Celsius</w:t>
      </w:r>
      <w:r>
        <w:t xml:space="preserve"> </w:t>
      </w:r>
      <w:r w:rsidRPr="00A426B1">
        <w:rPr>
          <w:b/>
          <w:bCs/>
        </w:rPr>
        <w:t>[</w:t>
      </w:r>
      <w:r w:rsidR="009D2A1D">
        <w:rPr>
          <w:b/>
          <w:bCs/>
        </w:rPr>
        <w:t>4</w:t>
      </w:r>
      <w:r w:rsidRPr="00A426B1">
        <w:rPr>
          <w:b/>
          <w:bCs/>
        </w:rPr>
        <w:t>]</w:t>
      </w:r>
      <w:r w:rsidRPr="00A426B1">
        <w:t>.</w:t>
      </w:r>
    </w:p>
    <w:p w14:paraId="1EC2B1C9" w14:textId="77777777" w:rsidR="00533543" w:rsidRPr="009D2A1D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lysate tube into a centrifuge.</w:t>
      </w:r>
      <w:r>
        <w:rPr>
          <w:lang w:val="en-IN"/>
        </w:rPr>
        <w:t xml:space="preserve"> </w:t>
      </w:r>
      <w:r w:rsidRPr="0093296E">
        <w:rPr>
          <w:rFonts w:cstheme="minorHAnsi"/>
          <w:i/>
          <w:iCs/>
          <w:color w:val="3333FF"/>
        </w:rPr>
        <w:t>Videographer: Please capture the digital meter on the centrifuge showing the centrifuge speed</w:t>
      </w:r>
      <w:r>
        <w:rPr>
          <w:rFonts w:cstheme="minorHAnsi"/>
          <w:i/>
          <w:iCs/>
          <w:color w:val="3333FF"/>
        </w:rPr>
        <w:t xml:space="preserve"> and time</w:t>
      </w:r>
    </w:p>
    <w:p w14:paraId="4FA7FC29" w14:textId="51E2597B" w:rsidR="009D2A1D" w:rsidRPr="009D2A1D" w:rsidRDefault="009D2A1D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9D2A1D">
        <w:rPr>
          <w:rFonts w:cstheme="minorHAnsi"/>
        </w:rPr>
        <w:t>Representative shot of talent analyzing the protein concentrations</w:t>
      </w:r>
      <w:r>
        <w:rPr>
          <w:rFonts w:cstheme="minorHAnsi"/>
        </w:rPr>
        <w:t>.</w:t>
      </w:r>
    </w:p>
    <w:p w14:paraId="2E2B25A4" w14:textId="2598958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diluting the lysate solution with RIPA buffer.</w:t>
      </w:r>
    </w:p>
    <w:p w14:paraId="484FD23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lysates and RIPA buffer into designated freezers.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C6EE4BA" w:rsidR="000F326F" w:rsidRDefault="00533543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Nitric Oxide Measurement by Nitric Oxide Analyzer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53D981B" w14:textId="77777777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Prepare </w:t>
      </w:r>
      <w:r>
        <w:t xml:space="preserve">and store </w:t>
      </w:r>
      <w:r w:rsidRPr="00A426B1">
        <w:t>triiodide reagent in a chemical fume hood</w:t>
      </w:r>
      <w:r>
        <w:t xml:space="preserve"> </w:t>
      </w:r>
      <w:r w:rsidRPr="009A16DF">
        <w:rPr>
          <w:b/>
          <w:bCs/>
        </w:rPr>
        <w:t>[1]</w:t>
      </w:r>
      <w:r>
        <w:t xml:space="preserve"> for</w:t>
      </w:r>
      <w:r w:rsidRPr="00A426B1">
        <w:t xml:space="preserve"> use within two weeks of preparation </w:t>
      </w:r>
      <w:r w:rsidRPr="009A16DF">
        <w:rPr>
          <w:b/>
          <w:bCs/>
        </w:rPr>
        <w:t>[2]</w:t>
      </w:r>
      <w:r>
        <w:t>.</w:t>
      </w:r>
      <w:r w:rsidRPr="00A426B1">
        <w:t xml:space="preserve"> </w:t>
      </w:r>
      <w:r>
        <w:t>To generate a standard curve, p</w:t>
      </w:r>
      <w:r w:rsidRPr="00A426B1">
        <w:t xml:space="preserve">repare a 1 millimolar stock solution of sodium nitrite in nitrite-free water </w:t>
      </w:r>
      <w:r w:rsidRPr="00A426B1">
        <w:rPr>
          <w:b/>
          <w:bCs/>
        </w:rPr>
        <w:t>[</w:t>
      </w:r>
      <w:r>
        <w:rPr>
          <w:b/>
          <w:bCs/>
        </w:rPr>
        <w:t>3</w:t>
      </w:r>
      <w:r w:rsidRPr="00A426B1">
        <w:rPr>
          <w:b/>
          <w:bCs/>
        </w:rPr>
        <w:t>]</w:t>
      </w:r>
      <w:r w:rsidRPr="00A426B1">
        <w:t>.</w:t>
      </w:r>
      <w:r>
        <w:t xml:space="preserve"> Store at </w:t>
      </w:r>
      <w:r w:rsidRPr="00A426B1">
        <w:t xml:space="preserve">minus 20 degrees Celsius until use </w:t>
      </w:r>
      <w:r w:rsidRPr="00A426B1">
        <w:rPr>
          <w:b/>
          <w:bCs/>
        </w:rPr>
        <w:t>[</w:t>
      </w:r>
      <w:r>
        <w:rPr>
          <w:b/>
          <w:bCs/>
        </w:rPr>
        <w:t>4</w:t>
      </w:r>
      <w:r w:rsidRPr="00A426B1">
        <w:rPr>
          <w:b/>
          <w:bCs/>
        </w:rPr>
        <w:t>]</w:t>
      </w:r>
      <w:r w:rsidRPr="00A426B1">
        <w:t>.</w:t>
      </w:r>
    </w:p>
    <w:p w14:paraId="070123F2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Pr="00A426B1">
        <w:rPr>
          <w:lang w:val="en-IN"/>
        </w:rPr>
        <w:t>Talent preparing the triiodide reagent inside a chemical fume hood while wearing personal protective equipment.</w:t>
      </w:r>
    </w:p>
    <w:p w14:paraId="51CCB01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348D2107" w14:textId="6BFB9A22" w:rsidR="00533543" w:rsidRDefault="00533543" w:rsidP="00533543">
      <w:pPr>
        <w:pStyle w:val="ShotDescription"/>
        <w:ind w:firstLine="0"/>
        <w:rPr>
          <w:lang w:val="en-IN"/>
        </w:rPr>
      </w:pPr>
      <w:r>
        <w:rPr>
          <w:lang w:val="en-IN"/>
        </w:rPr>
        <w:t>Triiodide Reagent</w:t>
      </w:r>
      <w:r w:rsidR="00203235">
        <w:rPr>
          <w:lang w:val="en-IN"/>
        </w:rPr>
        <w:t xml:space="preserve"> Composition</w:t>
      </w:r>
    </w:p>
    <w:p w14:paraId="2538D0E0" w14:textId="77777777" w:rsidR="00533543" w:rsidRDefault="00533543" w:rsidP="00533543">
      <w:pPr>
        <w:pStyle w:val="ShotDescription"/>
        <w:ind w:firstLine="0"/>
      </w:pPr>
      <w:r>
        <w:t>Potassium Iodide</w:t>
      </w:r>
      <w:r>
        <w:tab/>
      </w:r>
      <w:r>
        <w:tab/>
      </w:r>
      <w:r w:rsidRPr="00A426B1">
        <w:t>400</w:t>
      </w:r>
      <w:r>
        <w:t xml:space="preserve"> mg</w:t>
      </w:r>
    </w:p>
    <w:p w14:paraId="0FB1F838" w14:textId="77777777" w:rsidR="00533543" w:rsidRDefault="00533543" w:rsidP="00533543">
      <w:pPr>
        <w:pStyle w:val="ShotDescription"/>
        <w:ind w:firstLine="0"/>
      </w:pPr>
      <w:r>
        <w:t>Iodine</w:t>
      </w:r>
      <w:r>
        <w:tab/>
      </w:r>
      <w:r>
        <w:tab/>
      </w:r>
      <w:r>
        <w:tab/>
        <w:t>2</w:t>
      </w:r>
      <w:r w:rsidRPr="00A426B1">
        <w:t>50 m</w:t>
      </w:r>
      <w:r>
        <w:t>g</w:t>
      </w:r>
    </w:p>
    <w:p w14:paraId="398C43D3" w14:textId="77777777" w:rsidR="00533543" w:rsidRDefault="00533543" w:rsidP="00533543">
      <w:pPr>
        <w:pStyle w:val="ShotDescription"/>
        <w:ind w:firstLine="0"/>
      </w:pPr>
      <w:r>
        <w:t>Glacial Acetic Acid</w:t>
      </w:r>
      <w:r>
        <w:tab/>
      </w:r>
      <w:r>
        <w:tab/>
      </w:r>
      <w:r w:rsidRPr="00A426B1">
        <w:t>28 m</w:t>
      </w:r>
      <w:r>
        <w:t>L</w:t>
      </w:r>
    </w:p>
    <w:p w14:paraId="5512DA6E" w14:textId="77777777" w:rsidR="00533543" w:rsidRDefault="00533543" w:rsidP="00533543">
      <w:pPr>
        <w:pStyle w:val="ShotDescription"/>
        <w:ind w:firstLine="0"/>
        <w:rPr>
          <w:lang w:val="en-IN"/>
        </w:rPr>
      </w:pPr>
      <w:r>
        <w:t>U</w:t>
      </w:r>
      <w:r w:rsidRPr="00A426B1">
        <w:t xml:space="preserve">ltrapure water </w:t>
      </w:r>
      <w:r>
        <w:tab/>
      </w:r>
      <w:r>
        <w:tab/>
      </w:r>
      <w:r w:rsidRPr="00A426B1">
        <w:t>8 m</w:t>
      </w:r>
      <w:r>
        <w:t>L</w:t>
      </w:r>
    </w:p>
    <w:p w14:paraId="4F529390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preparing the sodium nitrite stock solution in a tube.</w:t>
      </w:r>
    </w:p>
    <w:p w14:paraId="2DF3E0D7" w14:textId="77777777" w:rsidR="00533543" w:rsidRPr="00AC7832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sodium nitrite stock solution into a minus 20 degrees Celsius freezer.</w:t>
      </w:r>
    </w:p>
    <w:p w14:paraId="000576AB" w14:textId="77777777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Prepare fresh working standards in </w:t>
      </w:r>
      <w:r>
        <w:t>PBS</w:t>
      </w:r>
      <w:r w:rsidRPr="00A426B1">
        <w:t xml:space="preserve"> immediately before injections </w:t>
      </w:r>
      <w:r w:rsidRPr="00A426B1">
        <w:rPr>
          <w:b/>
          <w:bCs/>
        </w:rPr>
        <w:t>[</w:t>
      </w:r>
      <w:r>
        <w:rPr>
          <w:b/>
          <w:bCs/>
        </w:rPr>
        <w:t>1-TXT</w:t>
      </w:r>
      <w:r w:rsidRPr="00A426B1">
        <w:rPr>
          <w:b/>
          <w:bCs/>
        </w:rPr>
        <w:t>]</w:t>
      </w:r>
      <w:r w:rsidRPr="00A426B1">
        <w:t xml:space="preserve">. Turn on the nitrogen carrier gas and initiate gas flow through the system </w:t>
      </w:r>
      <w:r w:rsidRPr="00A426B1">
        <w:rPr>
          <w:b/>
          <w:bCs/>
        </w:rPr>
        <w:t>[</w:t>
      </w:r>
      <w:r>
        <w:rPr>
          <w:b/>
          <w:bCs/>
        </w:rPr>
        <w:t>2</w:t>
      </w:r>
      <w:r w:rsidRPr="00A426B1">
        <w:rPr>
          <w:b/>
          <w:bCs/>
        </w:rPr>
        <w:t>]</w:t>
      </w:r>
      <w:r w:rsidRPr="00A426B1">
        <w:t xml:space="preserve">. Assemble the glass purge vessel and add 4 milliliters of triiodide reagent with 20 microliters of diluted anti-foam solution into the vessel </w:t>
      </w:r>
      <w:r w:rsidRPr="00A426B1">
        <w:rPr>
          <w:b/>
          <w:bCs/>
        </w:rPr>
        <w:t>[</w:t>
      </w:r>
      <w:r>
        <w:rPr>
          <w:b/>
          <w:bCs/>
        </w:rPr>
        <w:t>3</w:t>
      </w:r>
      <w:r w:rsidRPr="00A426B1">
        <w:rPr>
          <w:b/>
          <w:bCs/>
        </w:rPr>
        <w:t>]</w:t>
      </w:r>
      <w:r w:rsidRPr="00A426B1">
        <w:t xml:space="preserve">. Secure the vessel with a septum and screw cap to ensure an airtight seal </w:t>
      </w:r>
      <w:r w:rsidRPr="00A426B1">
        <w:rPr>
          <w:b/>
          <w:bCs/>
        </w:rPr>
        <w:t>[</w:t>
      </w:r>
      <w:r>
        <w:rPr>
          <w:b/>
          <w:bCs/>
        </w:rPr>
        <w:t>4</w:t>
      </w:r>
      <w:r w:rsidRPr="00A426B1">
        <w:rPr>
          <w:b/>
          <w:bCs/>
        </w:rPr>
        <w:t>]</w:t>
      </w:r>
      <w:r w:rsidRPr="00A426B1">
        <w:t>.</w:t>
      </w:r>
    </w:p>
    <w:p w14:paraId="6CA63A70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preparing working standards in labeled tubes.</w:t>
      </w:r>
      <w:r>
        <w:rPr>
          <w:lang w:val="en-IN"/>
        </w:rPr>
        <w:t xml:space="preserve"> </w:t>
      </w:r>
      <w:r w:rsidRPr="00416A49">
        <w:rPr>
          <w:b/>
          <w:bCs/>
          <w:lang w:val="en-IN"/>
        </w:rPr>
        <w:t xml:space="preserve">TXT: Concentration </w:t>
      </w:r>
      <w:r w:rsidRPr="00416A49">
        <w:rPr>
          <w:b/>
          <w:bCs/>
        </w:rPr>
        <w:t xml:space="preserve">range: </w:t>
      </w:r>
      <w:r w:rsidRPr="00416A49">
        <w:rPr>
          <w:b/>
          <w:bCs/>
        </w:rPr>
        <w:lastRenderedPageBreak/>
        <w:t>0.125 µM to 4.0 µM</w:t>
      </w:r>
      <w:r w:rsidRPr="00A426B1">
        <w:t xml:space="preserve"> </w:t>
      </w:r>
    </w:p>
    <w:p w14:paraId="401CBCFF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turning on the nitrogen gas supply connected to the system.</w:t>
      </w:r>
    </w:p>
    <w:p w14:paraId="298B500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adding triiodide reagent and anti-foam solution into the glass purge vessel.</w:t>
      </w:r>
    </w:p>
    <w:p w14:paraId="608A5B75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securing the purge vessel with a septum and screw cap.</w:t>
      </w:r>
    </w:p>
    <w:p w14:paraId="36E390D0" w14:textId="77777777" w:rsidR="00533543" w:rsidRDefault="00533543" w:rsidP="00533543">
      <w:pPr>
        <w:pStyle w:val="Narration"/>
        <w:numPr>
          <w:ilvl w:val="1"/>
          <w:numId w:val="3"/>
        </w:numPr>
      </w:pPr>
      <w:r w:rsidRPr="00A426B1">
        <w:t>Pour 10 milliliters of sodium hydroxide into the trap</w:t>
      </w:r>
      <w:r>
        <w:t xml:space="preserve"> chamber</w:t>
      </w:r>
      <w:r w:rsidRPr="00A426B1">
        <w:t xml:space="preserve"> </w:t>
      </w:r>
      <w:r w:rsidRPr="00A426B1">
        <w:rPr>
          <w:b/>
          <w:bCs/>
        </w:rPr>
        <w:t>[1]</w:t>
      </w:r>
      <w:r w:rsidRPr="00A426B1">
        <w:t xml:space="preserve">. On the </w:t>
      </w:r>
      <w:r>
        <w:t>NOA</w:t>
      </w:r>
      <w:r w:rsidRPr="00A426B1">
        <w:t xml:space="preserve"> display screen, </w:t>
      </w:r>
      <w:r>
        <w:t>click on</w:t>
      </w:r>
      <w:r w:rsidRPr="00A426B1">
        <w:t xml:space="preserve"> </w:t>
      </w:r>
      <w:r w:rsidRPr="00A426B1">
        <w:rPr>
          <w:b/>
          <w:bCs/>
        </w:rPr>
        <w:t>Measurement</w:t>
      </w:r>
      <w:r w:rsidRPr="00A426B1">
        <w:t xml:space="preserve">, then </w:t>
      </w:r>
      <w:r w:rsidRPr="00A426B1">
        <w:rPr>
          <w:b/>
          <w:bCs/>
        </w:rPr>
        <w:t>Select Gas and Range</w:t>
      </w:r>
      <w:r w:rsidRPr="00A426B1">
        <w:t xml:space="preserve"> </w:t>
      </w:r>
      <w:r w:rsidRPr="00A426B1">
        <w:rPr>
          <w:b/>
          <w:bCs/>
        </w:rPr>
        <w:t>[2]</w:t>
      </w:r>
      <w:r w:rsidRPr="00A426B1">
        <w:t xml:space="preserve">. Set the instrument to </w:t>
      </w:r>
      <w:r w:rsidRPr="00A426B1">
        <w:rPr>
          <w:b/>
          <w:bCs/>
        </w:rPr>
        <w:t>MR2:50.00</w:t>
      </w:r>
      <w:r w:rsidRPr="00A426B1">
        <w:t xml:space="preserve"> and select </w:t>
      </w:r>
      <w:r w:rsidRPr="00A426B1">
        <w:rPr>
          <w:b/>
          <w:bCs/>
        </w:rPr>
        <w:t>Fast</w:t>
      </w:r>
      <w:r w:rsidRPr="00A426B1">
        <w:t xml:space="preserve"> for the filter setting </w:t>
      </w:r>
      <w:r w:rsidRPr="00A426B1">
        <w:rPr>
          <w:b/>
          <w:bCs/>
        </w:rPr>
        <w:t>[3]</w:t>
      </w:r>
      <w:r w:rsidRPr="00A426B1">
        <w:t xml:space="preserve">. Adjust the nitrogen gas pressure until the reactor pressure stabilizes between 27 and 29 pounds per square inch </w:t>
      </w:r>
      <w:r w:rsidRPr="00A426B1">
        <w:rPr>
          <w:b/>
          <w:bCs/>
        </w:rPr>
        <w:t>[4]</w:t>
      </w:r>
      <w:r w:rsidRPr="00A426B1">
        <w:t xml:space="preserve">. Open the eDAQ chart software on the computer connected to the </w:t>
      </w:r>
      <w:r>
        <w:t>NOA</w:t>
      </w:r>
      <w:r w:rsidRPr="00A426B1">
        <w:t xml:space="preserve"> </w:t>
      </w:r>
      <w:r w:rsidRPr="00A426B1">
        <w:rPr>
          <w:b/>
          <w:bCs/>
        </w:rPr>
        <w:t>[5]</w:t>
      </w:r>
      <w:r w:rsidRPr="00A426B1">
        <w:t>.</w:t>
      </w:r>
    </w:p>
    <w:p w14:paraId="53375853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pouring sodium hydroxide solution into the trap.</w:t>
      </w:r>
    </w:p>
    <w:p w14:paraId="0D443D0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</w:t>
      </w:r>
      <w:r>
        <w:rPr>
          <w:lang w:val="en-IN"/>
        </w:rPr>
        <w:t>NOA</w:t>
      </w:r>
      <w:r w:rsidRPr="00A426B1">
        <w:rPr>
          <w:lang w:val="en-IN"/>
        </w:rPr>
        <w:t xml:space="preserve"> display screen and select </w:t>
      </w:r>
      <w:r w:rsidRPr="00A426B1">
        <w:rPr>
          <w:b/>
          <w:bCs/>
          <w:lang w:val="en-IN"/>
        </w:rPr>
        <w:t>Measurement</w:t>
      </w:r>
      <w:r w:rsidRPr="00A426B1">
        <w:rPr>
          <w:lang w:val="en-IN"/>
        </w:rPr>
        <w:t xml:space="preserve"> followed by </w:t>
      </w:r>
      <w:r w:rsidRPr="00A426B1">
        <w:rPr>
          <w:b/>
          <w:bCs/>
          <w:lang w:val="en-IN"/>
        </w:rPr>
        <w:t>Select Gas and Range</w:t>
      </w:r>
      <w:r w:rsidRPr="00A426B1">
        <w:rPr>
          <w:lang w:val="en-IN"/>
        </w:rPr>
        <w:t>.</w:t>
      </w:r>
    </w:p>
    <w:p w14:paraId="0DE6C77C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operator setting </w:t>
      </w:r>
      <w:r w:rsidRPr="00A426B1">
        <w:rPr>
          <w:b/>
          <w:bCs/>
          <w:lang w:val="en-IN"/>
        </w:rPr>
        <w:t>MR2:50.00</w:t>
      </w:r>
      <w:r w:rsidRPr="00A426B1">
        <w:rPr>
          <w:lang w:val="en-IN"/>
        </w:rPr>
        <w:t xml:space="preserve"> and selecting </w:t>
      </w:r>
      <w:r w:rsidRPr="00A426B1">
        <w:rPr>
          <w:b/>
          <w:bCs/>
          <w:lang w:val="en-IN"/>
        </w:rPr>
        <w:t>Fast</w:t>
      </w:r>
      <w:r w:rsidRPr="00A426B1">
        <w:rPr>
          <w:lang w:val="en-IN"/>
        </w:rPr>
        <w:t xml:space="preserve"> on the </w:t>
      </w:r>
      <w:r>
        <w:rPr>
          <w:lang w:val="en-IN"/>
        </w:rPr>
        <w:t>NOA</w:t>
      </w:r>
      <w:r w:rsidRPr="00A426B1">
        <w:rPr>
          <w:lang w:val="en-IN"/>
        </w:rPr>
        <w:t xml:space="preserve"> screen.</w:t>
      </w:r>
    </w:p>
    <w:p w14:paraId="697F968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adjusting the nitrogen gas pressure regulator while monitoring the pressure reading.</w:t>
      </w:r>
      <w:r>
        <w:rPr>
          <w:lang w:val="en-IN"/>
        </w:rPr>
        <w:t xml:space="preserve"> </w:t>
      </w:r>
      <w:r w:rsidRPr="00416A49">
        <w:rPr>
          <w:i/>
          <w:iCs/>
          <w:color w:val="3333FF"/>
          <w:lang w:val="en-IN"/>
        </w:rPr>
        <w:t>Videographer: Please capture the pressure reading on nitrogen gas pressure guage</w:t>
      </w:r>
      <w:r>
        <w:rPr>
          <w:lang w:val="en-IN"/>
        </w:rPr>
        <w:t xml:space="preserve"> </w:t>
      </w:r>
    </w:p>
    <w:p w14:paraId="5EBE482D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eDAQ chart software opening on the connected computer.</w:t>
      </w:r>
    </w:p>
    <w:p w14:paraId="44E3DAB6" w14:textId="77777777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Set the acquisition range to 10 per second and the voltage to 10 volts in the software </w:t>
      </w:r>
      <w:r w:rsidRPr="00A426B1">
        <w:rPr>
          <w:b/>
          <w:bCs/>
        </w:rPr>
        <w:t>[1]</w:t>
      </w:r>
      <w:r w:rsidRPr="00A426B1">
        <w:t xml:space="preserve">. Navigate to </w:t>
      </w:r>
      <w:r w:rsidRPr="00A426B1">
        <w:rPr>
          <w:b/>
          <w:bCs/>
        </w:rPr>
        <w:t>Setup &gt; Channel Settings</w:t>
      </w:r>
      <w:r w:rsidRPr="00A426B1">
        <w:t xml:space="preserve"> and select </w:t>
      </w:r>
      <w:r w:rsidRPr="00A426B1">
        <w:rPr>
          <w:b/>
          <w:bCs/>
        </w:rPr>
        <w:t>Channel 1</w:t>
      </w:r>
      <w:r w:rsidRPr="00A426B1">
        <w:t xml:space="preserve"> </w:t>
      </w:r>
      <w:r w:rsidRPr="00A426B1">
        <w:rPr>
          <w:b/>
          <w:bCs/>
        </w:rPr>
        <w:t>[2]</w:t>
      </w:r>
      <w:r w:rsidRPr="00A426B1">
        <w:t xml:space="preserve">. Set the display scale to </w:t>
      </w:r>
      <w:r w:rsidRPr="00A508AB">
        <w:rPr>
          <w:b/>
          <w:bCs/>
        </w:rPr>
        <w:t>2:1</w:t>
      </w:r>
      <w:r>
        <w:t xml:space="preserve"> </w:t>
      </w:r>
      <w:r w:rsidRPr="00A508AB">
        <w:rPr>
          <w:i/>
          <w:iCs/>
          <w:color w:val="EE0000"/>
        </w:rPr>
        <w:t>(two-to-one)</w:t>
      </w:r>
      <w:r w:rsidRPr="00A426B1">
        <w:t xml:space="preserve"> on the </w:t>
      </w:r>
      <w:r>
        <w:t>NOA</w:t>
      </w:r>
      <w:r w:rsidRPr="00A426B1">
        <w:t xml:space="preserve"> software </w:t>
      </w:r>
      <w:r w:rsidRPr="00A426B1">
        <w:rPr>
          <w:b/>
          <w:bCs/>
        </w:rPr>
        <w:t>[3]</w:t>
      </w:r>
      <w:r w:rsidRPr="00A426B1">
        <w:t xml:space="preserve">. Start the data acquisition on the </w:t>
      </w:r>
      <w:r>
        <w:t>NOA</w:t>
      </w:r>
      <w:r w:rsidRPr="00A426B1">
        <w:t xml:space="preserve"> instrument and in the software </w:t>
      </w:r>
      <w:r w:rsidRPr="00A426B1">
        <w:rPr>
          <w:b/>
          <w:bCs/>
        </w:rPr>
        <w:t>[4]</w:t>
      </w:r>
      <w:r w:rsidRPr="00A426B1">
        <w:t xml:space="preserve">. Monitor the baseline until it stabilizes </w:t>
      </w:r>
      <w:r w:rsidRPr="00A426B1">
        <w:rPr>
          <w:b/>
          <w:bCs/>
        </w:rPr>
        <w:t>[5]</w:t>
      </w:r>
      <w:r w:rsidRPr="00A426B1">
        <w:t>.</w:t>
      </w:r>
    </w:p>
    <w:p w14:paraId="744A5553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acquisition settings panel with acquisition range and voltage values being entered.</w:t>
      </w:r>
    </w:p>
    <w:p w14:paraId="62B84FDB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navigation to </w:t>
      </w:r>
      <w:r w:rsidRPr="00A426B1">
        <w:rPr>
          <w:b/>
          <w:bCs/>
          <w:lang w:val="en-IN"/>
        </w:rPr>
        <w:t>Setup &gt; Channel Settings</w:t>
      </w:r>
      <w:r w:rsidRPr="00A426B1">
        <w:rPr>
          <w:lang w:val="en-IN"/>
        </w:rPr>
        <w:t xml:space="preserve"> and selection of </w:t>
      </w:r>
      <w:r w:rsidRPr="00A426B1">
        <w:rPr>
          <w:b/>
          <w:bCs/>
          <w:lang w:val="en-IN"/>
        </w:rPr>
        <w:t>Channel 1</w:t>
      </w:r>
      <w:r w:rsidRPr="00A426B1">
        <w:rPr>
          <w:lang w:val="en-IN"/>
        </w:rPr>
        <w:t>.</w:t>
      </w:r>
    </w:p>
    <w:p w14:paraId="53DC646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display scale being changed to 2:1.</w:t>
      </w:r>
    </w:p>
    <w:p w14:paraId="49043661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operator starting data acquisition in the software and on the instrument.</w:t>
      </w:r>
    </w:p>
    <w:p w14:paraId="41A71037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baseline signal stabilizing on the graph display.</w:t>
      </w:r>
    </w:p>
    <w:p w14:paraId="4125D3D0" w14:textId="77777777" w:rsidR="00533543" w:rsidRPr="003776E7" w:rsidRDefault="00533543" w:rsidP="00533543">
      <w:pPr>
        <w:pStyle w:val="Narration"/>
        <w:numPr>
          <w:ilvl w:val="1"/>
          <w:numId w:val="3"/>
        </w:numPr>
      </w:pPr>
      <w:r w:rsidRPr="00A426B1">
        <w:t>Us</w:t>
      </w:r>
      <w:r>
        <w:t>e</w:t>
      </w:r>
      <w:r w:rsidRPr="00A426B1">
        <w:t xml:space="preserve"> a Hamilton syringe</w:t>
      </w:r>
      <w:r>
        <w:t xml:space="preserve"> to</w:t>
      </w:r>
      <w:r w:rsidRPr="00A426B1">
        <w:t xml:space="preserve"> inject 10 microliters of </w:t>
      </w:r>
      <w:r>
        <w:t>PBS</w:t>
      </w:r>
      <w:r w:rsidRPr="00A426B1">
        <w:t xml:space="preserve"> through the septum into the purge vessel to confirm baseline stability </w:t>
      </w:r>
      <w:r w:rsidRPr="00A426B1">
        <w:rPr>
          <w:b/>
          <w:bCs/>
        </w:rPr>
        <w:t>[1]</w:t>
      </w:r>
      <w:r w:rsidRPr="00A426B1">
        <w:t xml:space="preserve">. Record the chemiluminescent signal for each injection </w:t>
      </w:r>
      <w:r w:rsidRPr="00A426B1">
        <w:rPr>
          <w:b/>
          <w:bCs/>
        </w:rPr>
        <w:t>[2]</w:t>
      </w:r>
      <w:r w:rsidRPr="00A426B1">
        <w:t xml:space="preserve">. Allow the signal trace to return fully to baseline before the next injection </w:t>
      </w:r>
      <w:r w:rsidRPr="00A426B1">
        <w:rPr>
          <w:b/>
          <w:bCs/>
        </w:rPr>
        <w:t>[3]</w:t>
      </w:r>
      <w:r w:rsidRPr="00A426B1">
        <w:t xml:space="preserve">. Inject 10 microliters of the 0.125 micromolar nitrite standard </w:t>
      </w:r>
      <w:r>
        <w:t xml:space="preserve">and subsequent standards in duplicates </w:t>
      </w:r>
      <w:r w:rsidRPr="00A426B1">
        <w:t xml:space="preserve">into the purge vessel </w:t>
      </w:r>
      <w:r w:rsidRPr="00A426B1">
        <w:rPr>
          <w:b/>
          <w:bCs/>
        </w:rPr>
        <w:t>[4]</w:t>
      </w:r>
      <w:r w:rsidRPr="00A426B1">
        <w:t xml:space="preserve">. </w:t>
      </w:r>
    </w:p>
    <w:p w14:paraId="633BB77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lastRenderedPageBreak/>
        <w:t xml:space="preserve">Talent injecting </w:t>
      </w:r>
      <w:r>
        <w:rPr>
          <w:lang w:val="en-IN"/>
        </w:rPr>
        <w:t>PBS</w:t>
      </w:r>
      <w:r w:rsidRPr="00A426B1">
        <w:rPr>
          <w:lang w:val="en-IN"/>
        </w:rPr>
        <w:t xml:space="preserve"> into the purge vessel using a Hamilton syringe.</w:t>
      </w:r>
    </w:p>
    <w:p w14:paraId="04FB29F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chemiluminescent signal trace being recorded in the software.</w:t>
      </w:r>
    </w:p>
    <w:p w14:paraId="32852C90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signal trace returning to baseline on the graph.</w:t>
      </w:r>
    </w:p>
    <w:p w14:paraId="3A0B6F9F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injecting the nitrite standard into the purge vessel.</w:t>
      </w:r>
    </w:p>
    <w:p w14:paraId="63C60266" w14:textId="0F82BB56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Annotate each injection in the </w:t>
      </w:r>
      <w:r w:rsidRPr="00A426B1">
        <w:rPr>
          <w:b/>
          <w:bCs/>
        </w:rPr>
        <w:t>Comment</w:t>
      </w:r>
      <w:r w:rsidRPr="00A426B1">
        <w:t xml:space="preserve"> tab with the corresponding sample information </w:t>
      </w:r>
      <w:r w:rsidRPr="00A426B1">
        <w:rPr>
          <w:b/>
          <w:bCs/>
        </w:rPr>
        <w:t>[1]</w:t>
      </w:r>
      <w:r w:rsidRPr="00A426B1">
        <w:t xml:space="preserve">. </w:t>
      </w:r>
      <w:r>
        <w:t xml:space="preserve">Between </w:t>
      </w:r>
      <w:r w:rsidR="00203235">
        <w:t>injections, wipe the syringe with</w:t>
      </w:r>
      <w:r w:rsidRPr="00A426B1">
        <w:t xml:space="preserve"> a lint-free tissue </w:t>
      </w:r>
      <w:r w:rsidRPr="00A426B1">
        <w:rPr>
          <w:b/>
          <w:bCs/>
        </w:rPr>
        <w:t>[2]</w:t>
      </w:r>
      <w:r w:rsidRPr="00A426B1">
        <w:t xml:space="preserve"> and rinse it 3 to 4 times with sterile nitrite-free water to remove excess triiodide </w:t>
      </w:r>
      <w:r w:rsidRPr="00A426B1">
        <w:rPr>
          <w:b/>
          <w:bCs/>
        </w:rPr>
        <w:t>[3]</w:t>
      </w:r>
      <w:r w:rsidRPr="00A426B1">
        <w:t xml:space="preserve">. Allow the signal to return to baseline between injections for 20 to 30 seconds </w:t>
      </w:r>
      <w:r w:rsidRPr="00281AC6">
        <w:rPr>
          <w:b/>
          <w:bCs/>
        </w:rPr>
        <w:t>[</w:t>
      </w:r>
      <w:r>
        <w:rPr>
          <w:b/>
          <w:bCs/>
        </w:rPr>
        <w:t>4</w:t>
      </w:r>
      <w:r w:rsidRPr="00A426B1">
        <w:rPr>
          <w:b/>
          <w:bCs/>
        </w:rPr>
        <w:t>]</w:t>
      </w:r>
      <w:r w:rsidRPr="00A426B1">
        <w:t>.</w:t>
      </w:r>
    </w:p>
    <w:p w14:paraId="3E56E28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operator entering sample information into the </w:t>
      </w:r>
      <w:r w:rsidRPr="00A426B1">
        <w:rPr>
          <w:b/>
          <w:bCs/>
          <w:lang w:val="en-IN"/>
        </w:rPr>
        <w:t>Comment</w:t>
      </w:r>
      <w:r w:rsidRPr="00A426B1">
        <w:rPr>
          <w:lang w:val="en-IN"/>
        </w:rPr>
        <w:t xml:space="preserve"> tab.</w:t>
      </w:r>
    </w:p>
    <w:p w14:paraId="263CA52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wiping the syringe with a lint-free tissue.</w:t>
      </w:r>
    </w:p>
    <w:p w14:paraId="7F991379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rinsing the syringe multiple times with sterile nitrite-free water.</w:t>
      </w:r>
    </w:p>
    <w:p w14:paraId="2E8CF348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signal trace stabilizing at baseline between injections.</w:t>
      </w:r>
    </w:p>
    <w:p w14:paraId="705DE167" w14:textId="77777777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Open the Flow Analysis window </w:t>
      </w:r>
      <w:r w:rsidRPr="00A426B1">
        <w:rPr>
          <w:b/>
          <w:bCs/>
        </w:rPr>
        <w:t>[1]</w:t>
      </w:r>
      <w:r w:rsidRPr="00A426B1">
        <w:t xml:space="preserve">. Review peak height and time values for each injection in the analysis table </w:t>
      </w:r>
      <w:r w:rsidRPr="00A426B1">
        <w:rPr>
          <w:b/>
          <w:bCs/>
        </w:rPr>
        <w:t>[2]</w:t>
      </w:r>
      <w:r w:rsidRPr="00A426B1">
        <w:t xml:space="preserve">. Highlight each peak and adjust the selection to calculate the area under the curve </w:t>
      </w:r>
      <w:r w:rsidRPr="00A426B1">
        <w:rPr>
          <w:b/>
          <w:bCs/>
        </w:rPr>
        <w:t>[3]</w:t>
      </w:r>
      <w:r w:rsidRPr="00A426B1">
        <w:t xml:space="preserve">. Toggle the display from </w:t>
      </w:r>
      <w:r w:rsidRPr="00A426B1">
        <w:rPr>
          <w:b/>
          <w:bCs/>
        </w:rPr>
        <w:t>S</w:t>
      </w:r>
      <w:r w:rsidRPr="00A426B1">
        <w:t xml:space="preserve"> to </w:t>
      </w:r>
      <w:r w:rsidRPr="00A426B1">
        <w:rPr>
          <w:b/>
          <w:bCs/>
        </w:rPr>
        <w:t>C</w:t>
      </w:r>
      <w:r w:rsidRPr="00A426B1">
        <w:t xml:space="preserve"> to enable calibration mode </w:t>
      </w:r>
      <w:r w:rsidRPr="00A426B1">
        <w:rPr>
          <w:b/>
          <w:bCs/>
        </w:rPr>
        <w:t>[4]</w:t>
      </w:r>
      <w:r w:rsidRPr="00A426B1">
        <w:t xml:space="preserve">. Enter the known nitrite amounts for each standard in the </w:t>
      </w:r>
      <w:r w:rsidRPr="00A426B1">
        <w:rPr>
          <w:b/>
          <w:bCs/>
        </w:rPr>
        <w:t>Amount</w:t>
      </w:r>
      <w:r w:rsidRPr="00A426B1">
        <w:t xml:space="preserve"> column </w:t>
      </w:r>
      <w:r w:rsidRPr="00A426B1">
        <w:rPr>
          <w:b/>
          <w:bCs/>
        </w:rPr>
        <w:t>[5]</w:t>
      </w:r>
      <w:r w:rsidRPr="00A426B1">
        <w:t>.</w:t>
      </w:r>
    </w:p>
    <w:p w14:paraId="5C9D1ADC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Flow Analysis window opening in the software.</w:t>
      </w:r>
    </w:p>
    <w:p w14:paraId="121C603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analysis table displaying peak height and time values.</w:t>
      </w:r>
    </w:p>
    <w:p w14:paraId="65A4B05E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individual peaks being highlighted for area under the curve calculation.</w:t>
      </w:r>
    </w:p>
    <w:p w14:paraId="7A0EE66E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display being toggled from </w:t>
      </w:r>
      <w:r w:rsidRPr="00A426B1">
        <w:rPr>
          <w:b/>
          <w:bCs/>
          <w:lang w:val="en-IN"/>
        </w:rPr>
        <w:t>S</w:t>
      </w:r>
      <w:r w:rsidRPr="00A426B1">
        <w:rPr>
          <w:lang w:val="en-IN"/>
        </w:rPr>
        <w:t xml:space="preserve"> to </w:t>
      </w:r>
      <w:r w:rsidRPr="00A426B1">
        <w:rPr>
          <w:b/>
          <w:bCs/>
          <w:lang w:val="en-IN"/>
        </w:rPr>
        <w:t>C</w:t>
      </w:r>
      <w:r w:rsidRPr="00A426B1">
        <w:rPr>
          <w:lang w:val="en-IN"/>
        </w:rPr>
        <w:t>.</w:t>
      </w:r>
    </w:p>
    <w:p w14:paraId="28AAF376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operator entering nitrite standard values into the </w:t>
      </w:r>
      <w:r w:rsidRPr="00A426B1">
        <w:rPr>
          <w:b/>
          <w:bCs/>
          <w:lang w:val="en-IN"/>
        </w:rPr>
        <w:t>Amount</w:t>
      </w:r>
      <w:r w:rsidRPr="00A426B1">
        <w:rPr>
          <w:lang w:val="en-IN"/>
        </w:rPr>
        <w:t xml:space="preserve"> column.</w:t>
      </w:r>
    </w:p>
    <w:p w14:paraId="414AC61E" w14:textId="282B258D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Click the </w:t>
      </w:r>
      <w:r w:rsidRPr="00A426B1">
        <w:rPr>
          <w:b/>
          <w:bCs/>
        </w:rPr>
        <w:t>Calibration curve</w:t>
      </w:r>
      <w:r w:rsidRPr="00A426B1">
        <w:t xml:space="preserve"> button to generate the standard curve</w:t>
      </w:r>
      <w:r>
        <w:t xml:space="preserve"> and verify </w:t>
      </w:r>
      <w:r w:rsidR="00203235">
        <w:t>that the R-squared</w:t>
      </w:r>
      <w:r w:rsidRPr="00A426B1">
        <w:t xml:space="preserve"> value </w:t>
      </w:r>
      <w:r w:rsidR="00203235">
        <w:t xml:space="preserve">is </w:t>
      </w:r>
      <w:r w:rsidRPr="00A426B1">
        <w:t xml:space="preserve">greater than or equal to 0.99 </w:t>
      </w:r>
      <w:r w:rsidRPr="00A426B1">
        <w:rPr>
          <w:b/>
          <w:bCs/>
        </w:rPr>
        <w:t>[1]</w:t>
      </w:r>
      <w:r w:rsidRPr="00A426B1">
        <w:t xml:space="preserve">. </w:t>
      </w:r>
      <w:r w:rsidR="00203235">
        <w:t>Next, t</w:t>
      </w:r>
      <w:r w:rsidRPr="00A426B1">
        <w:t xml:space="preserve">haw the biological samples collected from </w:t>
      </w:r>
      <w:r>
        <w:t>ALI</w:t>
      </w:r>
      <w:r w:rsidRPr="00A426B1">
        <w:t xml:space="preserve"> cultures on ice </w:t>
      </w:r>
      <w:r w:rsidRPr="00A426B1">
        <w:rPr>
          <w:b/>
          <w:bCs/>
        </w:rPr>
        <w:t>[</w:t>
      </w:r>
      <w:r>
        <w:rPr>
          <w:b/>
          <w:bCs/>
        </w:rPr>
        <w:t>2</w:t>
      </w:r>
      <w:r w:rsidRPr="00A426B1">
        <w:rPr>
          <w:b/>
          <w:bCs/>
        </w:rPr>
        <w:t>]</w:t>
      </w:r>
      <w:r w:rsidRPr="00A426B1">
        <w:t xml:space="preserve">. </w:t>
      </w:r>
      <w:r>
        <w:rPr>
          <w:lang w:val="en-US"/>
        </w:rPr>
        <w:t>Inject</w:t>
      </w:r>
      <w:r w:rsidRPr="00D33216">
        <w:rPr>
          <w:lang w:val="en-US"/>
        </w:rPr>
        <w:t xml:space="preserve"> 50 microliter</w:t>
      </w:r>
      <w:r>
        <w:rPr>
          <w:lang w:val="en-US"/>
        </w:rPr>
        <w:t xml:space="preserve">s of each sample into the purge vessel </w:t>
      </w:r>
      <w:r w:rsidRPr="00302FFE">
        <w:rPr>
          <w:b/>
          <w:bCs/>
          <w:lang w:val="en-US"/>
        </w:rPr>
        <w:t>[</w:t>
      </w:r>
      <w:r>
        <w:rPr>
          <w:b/>
          <w:bCs/>
          <w:lang w:val="en-US"/>
        </w:rPr>
        <w:t>3</w:t>
      </w:r>
      <w:r w:rsidRPr="00302FFE">
        <w:rPr>
          <w:b/>
          <w:bCs/>
          <w:lang w:val="en-US"/>
        </w:rPr>
        <w:t>]</w:t>
      </w:r>
      <w:r>
        <w:rPr>
          <w:lang w:val="en-US"/>
        </w:rPr>
        <w:t xml:space="preserve"> and </w:t>
      </w:r>
      <w:r>
        <w:t>r</w:t>
      </w:r>
      <w:r w:rsidRPr="00D33216">
        <w:t xml:space="preserve">ecord the chemiluminescence signal for each </w:t>
      </w:r>
      <w:r>
        <w:t>sample in duplicates</w:t>
      </w:r>
      <w:r w:rsidRPr="00D33216">
        <w:t xml:space="preserve"> </w:t>
      </w:r>
      <w:r>
        <w:t xml:space="preserve">as demonstrated </w:t>
      </w:r>
      <w:r w:rsidR="00E63039">
        <w:t xml:space="preserve">with standard solutions </w:t>
      </w:r>
      <w:r>
        <w:t xml:space="preserve">previously </w:t>
      </w:r>
      <w:r w:rsidRPr="00A426B1">
        <w:rPr>
          <w:b/>
          <w:bCs/>
        </w:rPr>
        <w:t>[</w:t>
      </w:r>
      <w:r>
        <w:rPr>
          <w:b/>
          <w:bCs/>
        </w:rPr>
        <w:t>4</w:t>
      </w:r>
      <w:r w:rsidRPr="00A426B1">
        <w:rPr>
          <w:b/>
          <w:bCs/>
        </w:rPr>
        <w:t>]</w:t>
      </w:r>
      <w:r w:rsidRPr="00A426B1">
        <w:t xml:space="preserve">. </w:t>
      </w:r>
      <w:r w:rsidR="00E63039" w:rsidRPr="00E63039">
        <w:rPr>
          <w:color w:val="000000" w:themeColor="text1"/>
          <w:highlight w:val="yellow"/>
        </w:rPr>
        <w:t>(</w:t>
      </w:r>
      <w:r w:rsidR="00E63039" w:rsidRPr="00E63039">
        <w:rPr>
          <w:b/>
          <w:bCs/>
          <w:color w:val="000000" w:themeColor="text1"/>
          <w:highlight w:val="yellow"/>
        </w:rPr>
        <w:t>Authors:</w:t>
      </w:r>
      <w:r w:rsidR="00E63039" w:rsidRPr="00E63039">
        <w:rPr>
          <w:color w:val="000000" w:themeColor="text1"/>
          <w:highlight w:val="yellow"/>
        </w:rPr>
        <w:t xml:space="preserve"> We have refined this section to avoid redundancy of the steps. Please specify if this is appropriate?)</w:t>
      </w:r>
    </w:p>
    <w:p w14:paraId="6C9F34F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operator clicking the </w:t>
      </w:r>
      <w:r w:rsidRPr="00A426B1">
        <w:rPr>
          <w:b/>
          <w:bCs/>
          <w:lang w:val="en-IN"/>
        </w:rPr>
        <w:t>Calibration curve</w:t>
      </w:r>
      <w:r w:rsidRPr="00A426B1">
        <w:rPr>
          <w:lang w:val="en-IN"/>
        </w:rPr>
        <w:t xml:space="preserve"> button and displaying the generated standard curve</w:t>
      </w:r>
      <w:r>
        <w:rPr>
          <w:lang w:val="en-IN"/>
        </w:rPr>
        <w:t xml:space="preserve"> with R</w:t>
      </w:r>
      <w:r w:rsidRPr="00281AC6">
        <w:rPr>
          <w:vertAlign w:val="superscript"/>
          <w:lang w:val="en-IN"/>
        </w:rPr>
        <w:t>2</w:t>
      </w:r>
      <w:r>
        <w:rPr>
          <w:lang w:val="en-IN"/>
        </w:rPr>
        <w:t xml:space="preserve"> &gt; 0.99</w:t>
      </w:r>
      <w:r w:rsidRPr="00A426B1">
        <w:rPr>
          <w:lang w:val="en-IN"/>
        </w:rPr>
        <w:t>.</w:t>
      </w:r>
    </w:p>
    <w:p w14:paraId="32C050FC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thawing biological samples on ice.</w:t>
      </w:r>
    </w:p>
    <w:p w14:paraId="16EF9842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injecting blank cell-free medium into the purge vessel.</w:t>
      </w:r>
    </w:p>
    <w:p w14:paraId="00B0E51C" w14:textId="77777777" w:rsidR="00533543" w:rsidRPr="00302FFE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lastRenderedPageBreak/>
        <w:t>SCREEN:</w:t>
      </w:r>
      <w:r w:rsidRPr="00A426B1">
        <w:rPr>
          <w:lang w:val="en-IN"/>
        </w:rPr>
        <w:t xml:space="preserve"> Show the chemiluminescence signal trace being recorded for sample injections.</w:t>
      </w:r>
    </w:p>
    <w:p w14:paraId="1D522171" w14:textId="77777777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Allow the chemiluminescent trace to return to baseline and stabilize between injections for 20 to 30 seconds </w:t>
      </w:r>
      <w:r w:rsidRPr="00A426B1">
        <w:rPr>
          <w:b/>
          <w:bCs/>
        </w:rPr>
        <w:t>[</w:t>
      </w:r>
      <w:r>
        <w:rPr>
          <w:b/>
          <w:bCs/>
        </w:rPr>
        <w:t>1</w:t>
      </w:r>
      <w:r w:rsidRPr="00A426B1">
        <w:rPr>
          <w:b/>
          <w:bCs/>
        </w:rPr>
        <w:t>]</w:t>
      </w:r>
      <w:r w:rsidRPr="00A426B1">
        <w:t xml:space="preserve">. </w:t>
      </w:r>
      <w:r>
        <w:t>A</w:t>
      </w:r>
      <w:r w:rsidRPr="00A426B1">
        <w:t>t the end of sample injections</w:t>
      </w:r>
      <w:r>
        <w:t>, o</w:t>
      </w:r>
      <w:r w:rsidRPr="00A426B1">
        <w:t xml:space="preserve">pen the </w:t>
      </w:r>
      <w:r w:rsidRPr="00302FFE">
        <w:rPr>
          <w:b/>
          <w:bCs/>
        </w:rPr>
        <w:t>Flow Analysis</w:t>
      </w:r>
      <w:r w:rsidRPr="00A426B1">
        <w:t xml:space="preserve"> window </w:t>
      </w:r>
      <w:r w:rsidRPr="00A426B1">
        <w:rPr>
          <w:b/>
          <w:bCs/>
        </w:rPr>
        <w:t>[</w:t>
      </w:r>
      <w:r>
        <w:rPr>
          <w:b/>
          <w:bCs/>
        </w:rPr>
        <w:t>2</w:t>
      </w:r>
      <w:r w:rsidRPr="00A426B1">
        <w:rPr>
          <w:b/>
          <w:bCs/>
        </w:rPr>
        <w:t>]</w:t>
      </w:r>
      <w:r w:rsidRPr="00A426B1">
        <w:t xml:space="preserve">. Highlight each sample peak to calculate the area under the curve </w:t>
      </w:r>
      <w:r w:rsidRPr="00A426B1">
        <w:rPr>
          <w:b/>
          <w:bCs/>
        </w:rPr>
        <w:t>[</w:t>
      </w:r>
      <w:r>
        <w:rPr>
          <w:b/>
          <w:bCs/>
        </w:rPr>
        <w:t>3</w:t>
      </w:r>
      <w:r w:rsidRPr="00A426B1">
        <w:rPr>
          <w:b/>
          <w:bCs/>
        </w:rPr>
        <w:t>]</w:t>
      </w:r>
      <w:r w:rsidRPr="00A426B1">
        <w:t>.</w:t>
      </w:r>
    </w:p>
    <w:p w14:paraId="72D99D5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chemiluminescent trace returning to baseline between injections.</w:t>
      </w:r>
    </w:p>
    <w:p w14:paraId="21767EF8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Flow Analysis window opening after sample analysis.</w:t>
      </w:r>
    </w:p>
    <w:p w14:paraId="59F1B64D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sample peaks being highlighted for area under the curve calculation.</w:t>
      </w:r>
    </w:p>
    <w:p w14:paraId="28EB8962" w14:textId="77777777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Determine nitrite concentrations for each sample using the calibration curve generated from the standard solutions </w:t>
      </w:r>
      <w:r w:rsidRPr="00A426B1">
        <w:rPr>
          <w:b/>
          <w:bCs/>
        </w:rPr>
        <w:t>[1]</w:t>
      </w:r>
      <w:r w:rsidRPr="00A426B1">
        <w:t xml:space="preserve">. Export the data including peak height, area under the curve, and mean area under the curve from the </w:t>
      </w:r>
      <w:r w:rsidRPr="00A426B1">
        <w:rPr>
          <w:b/>
          <w:bCs/>
        </w:rPr>
        <w:t>Flow Analysis</w:t>
      </w:r>
      <w:r w:rsidRPr="00A426B1">
        <w:t xml:space="preserve"> function in the eDAQ software to an Excel file </w:t>
      </w:r>
      <w:r w:rsidRPr="00A426B1">
        <w:rPr>
          <w:b/>
          <w:bCs/>
        </w:rPr>
        <w:t>[2]</w:t>
      </w:r>
      <w:r w:rsidRPr="00A426B1">
        <w:t xml:space="preserve">. Review the exported file </w:t>
      </w:r>
      <w:r>
        <w:t xml:space="preserve">showing the height versus time of the signal traces </w:t>
      </w:r>
      <w:r w:rsidRPr="00A426B1">
        <w:t xml:space="preserve">for the </w:t>
      </w:r>
      <w:r>
        <w:t>NOA</w:t>
      </w:r>
      <w:r w:rsidRPr="00A426B1">
        <w:t xml:space="preserve"> experiment </w:t>
      </w:r>
      <w:r w:rsidRPr="00A426B1">
        <w:rPr>
          <w:b/>
          <w:bCs/>
        </w:rPr>
        <w:t>[3]</w:t>
      </w:r>
      <w:r w:rsidRPr="00A426B1">
        <w:t>.</w:t>
      </w:r>
    </w:p>
    <w:p w14:paraId="6F022D2B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calculated nitrite concentrations displayed using the calibration curve.</w:t>
      </w:r>
    </w:p>
    <w:p w14:paraId="418BD025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 xml:space="preserve">SCREEN: </w:t>
      </w:r>
      <w:r w:rsidRPr="00A426B1">
        <w:rPr>
          <w:lang w:val="en-IN"/>
        </w:rPr>
        <w:t xml:space="preserve">Show the operator exporting data from the </w:t>
      </w:r>
      <w:r w:rsidRPr="00A426B1">
        <w:rPr>
          <w:b/>
          <w:bCs/>
          <w:lang w:val="en-IN"/>
        </w:rPr>
        <w:t>Flow Analysis</w:t>
      </w:r>
      <w:r w:rsidRPr="00A426B1">
        <w:rPr>
          <w:lang w:val="en-IN"/>
        </w:rPr>
        <w:t xml:space="preserve"> function to an Excel file.</w:t>
      </w:r>
    </w:p>
    <w:p w14:paraId="2BBCE94B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 xml:space="preserve">SCREEN: </w:t>
      </w:r>
      <w:r w:rsidRPr="00A426B1">
        <w:rPr>
          <w:lang w:val="en-IN"/>
        </w:rPr>
        <w:t>Show the exported Excel file containing height versus time signal trace data.</w:t>
      </w:r>
    </w:p>
    <w:p w14:paraId="09689C4F" w14:textId="2FE0F8B4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B19D71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F5ABC">
        <w:rPr>
          <w:rFonts w:eastAsia="Times New Roman" w:cstheme="minorHAnsi"/>
          <w:bCs/>
        </w:rPr>
        <w:t>1</w:t>
      </w:r>
      <w:r w:rsidR="0097210C">
        <w:rPr>
          <w:rFonts w:eastAsia="Times New Roman" w:cstheme="minorHAnsi"/>
          <w:bCs/>
        </w:rPr>
        <w:t>3</w:t>
      </w:r>
      <w:r w:rsidR="002656A6">
        <w:rPr>
          <w:rFonts w:eastAsia="Times New Roman" w:cstheme="minorHAnsi"/>
          <w:bCs/>
        </w:rPr>
        <w:t>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7004A1F" w14:textId="3F91658E" w:rsidR="00B75E36" w:rsidRDefault="00530036" w:rsidP="00B75E3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Triiodide-based</w:t>
      </w:r>
      <w:r w:rsidR="00BD249A" w:rsidRPr="00530036">
        <w:rPr>
          <w:rFonts w:cstheme="minorHAnsi"/>
          <w:color w:val="7030A0"/>
        </w:rPr>
        <w:t xml:space="preserve"> chemiluminescent assay </w:t>
      </w:r>
      <w:r w:rsidR="00BD249A" w:rsidRPr="00530036">
        <w:rPr>
          <w:rFonts w:cstheme="minorHAnsi"/>
          <w:color w:val="7030A0"/>
        </w:rPr>
        <w:t xml:space="preserve">for the </w:t>
      </w:r>
      <w:r w:rsidR="00BD249A" w:rsidRPr="00530036">
        <w:rPr>
          <w:rFonts w:cstheme="minorHAnsi"/>
          <w:color w:val="7030A0"/>
        </w:rPr>
        <w:t>detect</w:t>
      </w:r>
      <w:r w:rsidR="00BD249A" w:rsidRPr="00530036">
        <w:rPr>
          <w:rFonts w:cstheme="minorHAnsi"/>
          <w:color w:val="7030A0"/>
        </w:rPr>
        <w:t>ion of</w:t>
      </w:r>
      <w:r w:rsidR="00BD249A" w:rsidRPr="00530036">
        <w:rPr>
          <w:rFonts w:cstheme="minorHAnsi"/>
          <w:color w:val="7030A0"/>
        </w:rPr>
        <w:t xml:space="preserve"> nitrite</w:t>
      </w:r>
      <w:r w:rsidRPr="00530036">
        <w:rPr>
          <w:rFonts w:cstheme="minorHAnsi"/>
          <w:color w:val="7030A0"/>
        </w:rPr>
        <w:t>-</w:t>
      </w:r>
      <w:r w:rsidR="00BD249A" w:rsidRPr="00530036">
        <w:rPr>
          <w:rFonts w:cstheme="minorHAnsi"/>
          <w:color w:val="7030A0"/>
        </w:rPr>
        <w:t>nitric oxide</w:t>
      </w:r>
      <w:r w:rsidR="00BD249A" w:rsidRPr="00530036">
        <w:rPr>
          <w:rFonts w:cstheme="minorHAnsi"/>
          <w:color w:val="7030A0"/>
        </w:rPr>
        <w:t xml:space="preserve"> </w:t>
      </w:r>
      <w:r w:rsidR="00BD249A" w:rsidRPr="00530036">
        <w:rPr>
          <w:rFonts w:cstheme="minorHAnsi"/>
          <w:color w:val="7030A0"/>
        </w:rPr>
        <w:t>showed th</w:t>
      </w:r>
      <w:r w:rsidR="00B75E36">
        <w:rPr>
          <w:rFonts w:cstheme="minorHAnsi"/>
          <w:color w:val="7030A0"/>
        </w:rPr>
        <w:t xml:space="preserve">e differential levels of baseline NO </w:t>
      </w:r>
      <w:r w:rsidR="00B75E36" w:rsidRPr="00B75E36">
        <w:rPr>
          <w:rFonts w:cstheme="minorHAnsi"/>
          <w:i/>
          <w:iCs/>
          <w:color w:val="EE0000"/>
        </w:rPr>
        <w:t>(N-O)</w:t>
      </w:r>
      <w:r w:rsidR="00B75E36">
        <w:rPr>
          <w:rFonts w:cstheme="minorHAnsi"/>
          <w:color w:val="7030A0"/>
        </w:rPr>
        <w:t xml:space="preserve"> in the basal media </w:t>
      </w:r>
      <w:r w:rsidR="00B75E36" w:rsidRPr="00B75E36">
        <w:rPr>
          <w:rFonts w:cstheme="minorHAnsi"/>
          <w:b/>
          <w:bCs/>
          <w:color w:val="7030A0"/>
        </w:rPr>
        <w:t>[1]</w:t>
      </w:r>
      <w:r w:rsidR="00B75E36">
        <w:rPr>
          <w:rFonts w:cstheme="minorHAnsi"/>
          <w:color w:val="7030A0"/>
        </w:rPr>
        <w:t xml:space="preserve">, lysate </w:t>
      </w:r>
      <w:r w:rsidR="00B75E36" w:rsidRPr="00B75E36">
        <w:rPr>
          <w:rFonts w:cstheme="minorHAnsi"/>
          <w:b/>
          <w:bCs/>
          <w:color w:val="7030A0"/>
        </w:rPr>
        <w:t xml:space="preserve">[2] </w:t>
      </w:r>
      <w:r w:rsidR="00B75E36">
        <w:rPr>
          <w:rFonts w:cstheme="minorHAnsi"/>
          <w:color w:val="7030A0"/>
        </w:rPr>
        <w:t xml:space="preserve">and apical wash </w:t>
      </w:r>
      <w:r w:rsidR="00B75E36" w:rsidRPr="00530036">
        <w:rPr>
          <w:rFonts w:cstheme="minorHAnsi"/>
          <w:color w:val="7030A0"/>
        </w:rPr>
        <w:t xml:space="preserve">samples </w:t>
      </w:r>
      <w:r w:rsidR="00B75E36">
        <w:rPr>
          <w:rFonts w:cstheme="minorHAnsi"/>
          <w:color w:val="7030A0"/>
        </w:rPr>
        <w:t xml:space="preserve">obtained </w:t>
      </w:r>
      <w:r w:rsidR="00B75E36" w:rsidRPr="00530036">
        <w:rPr>
          <w:rFonts w:cstheme="minorHAnsi"/>
          <w:color w:val="7030A0"/>
        </w:rPr>
        <w:t xml:space="preserve">ALI </w:t>
      </w:r>
      <w:r w:rsidR="00B75E36" w:rsidRPr="00B75E36">
        <w:rPr>
          <w:rFonts w:cstheme="minorHAnsi"/>
          <w:i/>
          <w:iCs/>
          <w:color w:val="EE0000"/>
        </w:rPr>
        <w:t>(A-L-I)</w:t>
      </w:r>
      <w:r w:rsidR="00B75E36">
        <w:rPr>
          <w:rFonts w:cstheme="minorHAnsi"/>
          <w:color w:val="7030A0"/>
        </w:rPr>
        <w:t xml:space="preserve"> </w:t>
      </w:r>
      <w:r w:rsidR="00B75E36" w:rsidRPr="00530036">
        <w:rPr>
          <w:rFonts w:cstheme="minorHAnsi"/>
          <w:color w:val="7030A0"/>
        </w:rPr>
        <w:t xml:space="preserve">differentiated airway epithelia </w:t>
      </w:r>
      <w:r w:rsidR="00B75E36" w:rsidRPr="00B75E36">
        <w:rPr>
          <w:rFonts w:cstheme="minorHAnsi"/>
          <w:b/>
          <w:bCs/>
          <w:color w:val="7030A0"/>
        </w:rPr>
        <w:t>[3]</w:t>
      </w:r>
      <w:r w:rsidR="00B75E36">
        <w:rPr>
          <w:rFonts w:cstheme="minorHAnsi"/>
          <w:color w:val="7030A0"/>
        </w:rPr>
        <w:t>.</w:t>
      </w:r>
    </w:p>
    <w:p w14:paraId="63CDE0C8" w14:textId="03BD16C5" w:rsidR="00B75E36" w:rsidRPr="00B75E36" w:rsidRDefault="00B75E36" w:rsidP="00B75E3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75E36">
        <w:rPr>
          <w:rFonts w:cstheme="minorHAnsi"/>
        </w:rPr>
        <w:t xml:space="preserve">LAB MEDIA: Figure 3A. </w:t>
      </w:r>
      <w:r w:rsidRPr="00B75E36">
        <w:rPr>
          <w:rFonts w:cstheme="minorHAnsi"/>
          <w:i/>
          <w:iCs/>
          <w:color w:val="3333FF"/>
        </w:rPr>
        <w:t>Video Editor: In the table, please emphasize the value “</w:t>
      </w:r>
      <w:r w:rsidRPr="00B75E36">
        <w:rPr>
          <w:rFonts w:cstheme="minorHAnsi"/>
          <w:i/>
          <w:iCs/>
          <w:color w:val="3333FF"/>
          <w:lang w:val="en-IN"/>
        </w:rPr>
        <w:t>0.208345</w:t>
      </w:r>
      <w:r w:rsidRPr="00B75E36">
        <w:rPr>
          <w:rFonts w:cstheme="minorHAnsi"/>
          <w:i/>
          <w:iCs/>
          <w:color w:val="3333FF"/>
          <w:lang w:val="en-IN"/>
        </w:rPr>
        <w:t>” in the “Untreated” row and “</w:t>
      </w:r>
      <w:r w:rsidRPr="00B75E36">
        <w:rPr>
          <w:rFonts w:cstheme="minorHAnsi"/>
          <w:i/>
          <w:iCs/>
          <w:color w:val="3333FF"/>
          <w:lang w:val="en-IN"/>
        </w:rPr>
        <w:t>Total Nitrite</w:t>
      </w:r>
      <w:r w:rsidRPr="00B75E36">
        <w:rPr>
          <w:rFonts w:cstheme="minorHAnsi"/>
          <w:i/>
          <w:iCs/>
          <w:color w:val="3333FF"/>
          <w:lang w:val="en-IN"/>
        </w:rPr>
        <w:t>” column.</w:t>
      </w:r>
    </w:p>
    <w:p w14:paraId="538FB644" w14:textId="421044D9" w:rsidR="00B75E36" w:rsidRPr="00B75E36" w:rsidRDefault="00B75E36" w:rsidP="00B75E3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75E36">
        <w:rPr>
          <w:rFonts w:cstheme="minorHAnsi"/>
        </w:rPr>
        <w:t>LAB MEDIA: Figure 3</w:t>
      </w:r>
      <w:r w:rsidR="0064368D">
        <w:rPr>
          <w:rFonts w:cstheme="minorHAnsi"/>
        </w:rPr>
        <w:t>B</w:t>
      </w:r>
      <w:r w:rsidRPr="00B75E36">
        <w:rPr>
          <w:rFonts w:cstheme="minorHAnsi"/>
        </w:rPr>
        <w:t xml:space="preserve">. </w:t>
      </w:r>
      <w:r w:rsidRPr="00B75E36">
        <w:rPr>
          <w:rFonts w:cstheme="minorHAnsi"/>
          <w:i/>
          <w:iCs/>
          <w:color w:val="3333FF"/>
        </w:rPr>
        <w:t>Video Editor: In the table, please emphasize the value “</w:t>
      </w:r>
      <w:r w:rsidR="0064368D" w:rsidRPr="0064368D">
        <w:rPr>
          <w:rFonts w:cstheme="minorHAnsi"/>
          <w:i/>
          <w:iCs/>
          <w:color w:val="3333FF"/>
          <w:lang w:val="en-IN"/>
        </w:rPr>
        <w:t>0.069233</w:t>
      </w:r>
      <w:r w:rsidRPr="00B75E36">
        <w:rPr>
          <w:rFonts w:cstheme="minorHAnsi"/>
          <w:i/>
          <w:iCs/>
          <w:color w:val="3333FF"/>
          <w:lang w:val="en-IN"/>
        </w:rPr>
        <w:t>” in the “Untreated” row and “Total Nitrite” column.</w:t>
      </w:r>
    </w:p>
    <w:p w14:paraId="2742836A" w14:textId="0DA0D452" w:rsidR="00B75E36" w:rsidRPr="00B75E36" w:rsidRDefault="00B75E36" w:rsidP="00B75E3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75E36">
        <w:rPr>
          <w:rFonts w:cstheme="minorHAnsi"/>
        </w:rPr>
        <w:t>LAB MEDIA: Figure 3</w:t>
      </w:r>
      <w:r w:rsidR="0064368D">
        <w:rPr>
          <w:rFonts w:cstheme="minorHAnsi"/>
        </w:rPr>
        <w:t>C</w:t>
      </w:r>
      <w:r w:rsidRPr="00B75E36">
        <w:rPr>
          <w:rFonts w:cstheme="minorHAnsi"/>
        </w:rPr>
        <w:t xml:space="preserve">. </w:t>
      </w:r>
      <w:r w:rsidRPr="00B75E36">
        <w:rPr>
          <w:rFonts w:cstheme="minorHAnsi"/>
          <w:i/>
          <w:iCs/>
          <w:color w:val="3333FF"/>
        </w:rPr>
        <w:t>Video Editor: In the table, please emphasize the value “</w:t>
      </w:r>
      <w:r w:rsidR="0064368D" w:rsidRPr="0064368D">
        <w:rPr>
          <w:rFonts w:cstheme="minorHAnsi"/>
          <w:i/>
          <w:iCs/>
          <w:color w:val="3333FF"/>
          <w:lang w:val="en-IN"/>
        </w:rPr>
        <w:t>0.221424</w:t>
      </w:r>
      <w:r w:rsidRPr="00B75E36">
        <w:rPr>
          <w:rFonts w:cstheme="minorHAnsi"/>
          <w:i/>
          <w:iCs/>
          <w:color w:val="3333FF"/>
          <w:lang w:val="en-IN"/>
        </w:rPr>
        <w:t>” in the “Untreated” row and “Total Nitrite” column.</w:t>
      </w:r>
    </w:p>
    <w:p w14:paraId="2D45FA9E" w14:textId="77777777" w:rsidR="00B75E36" w:rsidRDefault="00B75E36" w:rsidP="00B75E36">
      <w:pPr>
        <w:pStyle w:val="ListParagraph"/>
        <w:spacing w:before="120"/>
        <w:ind w:left="907"/>
        <w:outlineLvl w:val="0"/>
        <w:rPr>
          <w:rFonts w:cstheme="minorHAnsi"/>
          <w:color w:val="7030A0"/>
        </w:rPr>
      </w:pPr>
    </w:p>
    <w:p w14:paraId="2A0085A3" w14:textId="719C04A9" w:rsidR="00495959" w:rsidRPr="00530036" w:rsidRDefault="00B75E36" w:rsidP="00B1067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I</w:t>
      </w:r>
      <w:r w:rsidR="00BD249A" w:rsidRPr="00530036">
        <w:rPr>
          <w:rFonts w:cstheme="minorHAnsi"/>
          <w:color w:val="7030A0"/>
        </w:rPr>
        <w:t>n the basal medium, the amount of nitrite</w:t>
      </w:r>
      <w:r w:rsidR="00B54F49">
        <w:rPr>
          <w:rFonts w:cstheme="minorHAnsi"/>
          <w:color w:val="7030A0"/>
        </w:rPr>
        <w:t xml:space="preserve"> to </w:t>
      </w:r>
      <w:r w:rsidR="00BD249A" w:rsidRPr="00530036">
        <w:rPr>
          <w:rFonts w:cstheme="minorHAnsi"/>
          <w:color w:val="7030A0"/>
        </w:rPr>
        <w:t>nitric oxide</w:t>
      </w:r>
      <w:r w:rsidR="00BD249A" w:rsidRPr="00530036">
        <w:rPr>
          <w:rFonts w:cstheme="minorHAnsi"/>
          <w:color w:val="7030A0"/>
        </w:rPr>
        <w:t xml:space="preserve"> is non-significantly altered</w:t>
      </w:r>
      <w:r w:rsidR="00BD249A" w:rsidRPr="00530036">
        <w:rPr>
          <w:rFonts w:cstheme="minorHAnsi"/>
          <w:color w:val="7030A0"/>
        </w:rPr>
        <w:t xml:space="preserve"> </w:t>
      </w:r>
      <w:r w:rsidR="00BD249A" w:rsidRPr="00530036">
        <w:rPr>
          <w:rFonts w:cstheme="minorHAnsi"/>
          <w:color w:val="7030A0"/>
        </w:rPr>
        <w:t xml:space="preserve">upon </w:t>
      </w:r>
      <w:r w:rsidR="00BD249A" w:rsidRPr="00530036">
        <w:rPr>
          <w:rFonts w:cstheme="minorHAnsi"/>
          <w:color w:val="7030A0"/>
        </w:rPr>
        <w:t>NOS</w:t>
      </w:r>
      <w:r w:rsidR="00B54F49">
        <w:rPr>
          <w:rFonts w:cstheme="minorHAnsi"/>
          <w:color w:val="7030A0"/>
        </w:rPr>
        <w:t xml:space="preserve"> </w:t>
      </w:r>
      <w:r w:rsidR="00B54F49" w:rsidRPr="00B54F49">
        <w:rPr>
          <w:rFonts w:cstheme="minorHAnsi"/>
          <w:i/>
          <w:iCs/>
          <w:color w:val="EE0000"/>
        </w:rPr>
        <w:t>(N-O-S)</w:t>
      </w:r>
      <w:r w:rsidR="00BD249A" w:rsidRPr="00530036">
        <w:rPr>
          <w:rFonts w:cstheme="minorHAnsi"/>
          <w:color w:val="7030A0"/>
        </w:rPr>
        <w:t>-inhibitor</w:t>
      </w:r>
      <w:r w:rsidR="00BD249A" w:rsidRPr="00530036">
        <w:rPr>
          <w:rFonts w:cstheme="minorHAnsi"/>
          <w:color w:val="7030A0"/>
        </w:rPr>
        <w:t xml:space="preserve"> treatment compared to untreated controls</w:t>
      </w:r>
      <w:r w:rsidR="00BD249A" w:rsidRPr="00530036">
        <w:rPr>
          <w:rFonts w:cstheme="minorHAnsi"/>
          <w:color w:val="7030A0"/>
        </w:rPr>
        <w:t xml:space="preserve"> </w:t>
      </w:r>
      <w:r w:rsidR="00BD249A" w:rsidRPr="00530036">
        <w:rPr>
          <w:rFonts w:cstheme="minorHAnsi"/>
          <w:b/>
          <w:bCs/>
          <w:color w:val="7030A0"/>
        </w:rPr>
        <w:t>[1]</w:t>
      </w:r>
      <w:r w:rsidR="00BD249A" w:rsidRPr="00530036">
        <w:rPr>
          <w:rFonts w:cstheme="minorHAnsi"/>
          <w:color w:val="7030A0"/>
        </w:rPr>
        <w:t>. In contrast, the</w:t>
      </w:r>
      <w:r w:rsidR="00BD249A" w:rsidRPr="00530036">
        <w:rPr>
          <w:rFonts w:cstheme="minorHAnsi"/>
          <w:color w:val="7030A0"/>
        </w:rPr>
        <w:t xml:space="preserve"> NO</w:t>
      </w:r>
      <w:r w:rsidR="00B54F49">
        <w:rPr>
          <w:rFonts w:cstheme="minorHAnsi"/>
          <w:color w:val="7030A0"/>
        </w:rPr>
        <w:t xml:space="preserve"> </w:t>
      </w:r>
      <w:r w:rsidR="00B54F49" w:rsidRPr="00B54F49">
        <w:rPr>
          <w:rFonts w:cstheme="minorHAnsi"/>
          <w:i/>
          <w:iCs/>
          <w:color w:val="EE0000"/>
        </w:rPr>
        <w:t>(N-O)</w:t>
      </w:r>
      <w:r w:rsidR="00BD249A" w:rsidRPr="00530036">
        <w:rPr>
          <w:rFonts w:cstheme="minorHAnsi"/>
          <w:color w:val="7030A0"/>
        </w:rPr>
        <w:t>-donor</w:t>
      </w:r>
      <w:r w:rsidR="00BD249A" w:rsidRPr="00530036">
        <w:rPr>
          <w:rFonts w:cstheme="minorHAnsi"/>
          <w:color w:val="7030A0"/>
        </w:rPr>
        <w:t xml:space="preserve"> positive control</w:t>
      </w:r>
      <w:r w:rsidR="00BD249A" w:rsidRPr="00530036">
        <w:rPr>
          <w:rFonts w:cstheme="minorHAnsi"/>
          <w:color w:val="7030A0"/>
        </w:rPr>
        <w:t xml:space="preserve"> </w:t>
      </w:r>
      <w:r w:rsidR="00BD249A" w:rsidRPr="00530036">
        <w:rPr>
          <w:rFonts w:cstheme="minorHAnsi"/>
          <w:color w:val="7030A0"/>
        </w:rPr>
        <w:t xml:space="preserve">treatment shows an expected increase </w:t>
      </w:r>
      <w:r w:rsidR="00BD3364">
        <w:rPr>
          <w:rFonts w:cstheme="minorHAnsi"/>
          <w:color w:val="7030A0"/>
        </w:rPr>
        <w:t xml:space="preserve">in NO release </w:t>
      </w:r>
      <w:r w:rsidR="00BD249A" w:rsidRPr="00530036">
        <w:rPr>
          <w:rFonts w:cstheme="minorHAnsi"/>
          <w:color w:val="7030A0"/>
        </w:rPr>
        <w:t>over the</w:t>
      </w:r>
      <w:r w:rsidR="00BD249A" w:rsidRPr="00530036">
        <w:rPr>
          <w:rFonts w:cstheme="minorHAnsi"/>
          <w:color w:val="7030A0"/>
        </w:rPr>
        <w:t xml:space="preserve"> </w:t>
      </w:r>
      <w:r w:rsidR="00530036">
        <w:rPr>
          <w:rFonts w:cstheme="minorHAnsi"/>
          <w:color w:val="7030A0"/>
        </w:rPr>
        <w:t>24-hour</w:t>
      </w:r>
      <w:r w:rsidR="00BD249A" w:rsidRPr="00530036">
        <w:rPr>
          <w:rFonts w:cstheme="minorHAnsi"/>
          <w:color w:val="7030A0"/>
        </w:rPr>
        <w:t xml:space="preserve"> incubation period </w:t>
      </w:r>
      <w:r w:rsidR="00BD249A" w:rsidRPr="00530036">
        <w:rPr>
          <w:rFonts w:cstheme="minorHAnsi"/>
          <w:b/>
          <w:bCs/>
          <w:color w:val="7030A0"/>
        </w:rPr>
        <w:t>[2]</w:t>
      </w:r>
      <w:r w:rsidR="00BD249A" w:rsidRPr="00530036">
        <w:rPr>
          <w:rFonts w:cstheme="minorHAnsi"/>
          <w:color w:val="7030A0"/>
        </w:rPr>
        <w:t>.</w:t>
      </w:r>
      <w:r w:rsidR="00EB7D30">
        <w:rPr>
          <w:rFonts w:cstheme="minorHAnsi"/>
          <w:color w:val="7030A0"/>
        </w:rPr>
        <w:t xml:space="preserve"> </w:t>
      </w:r>
      <w:r w:rsidR="00EB7D30" w:rsidRPr="0048549B">
        <w:rPr>
          <w:rFonts w:cstheme="minorHAnsi"/>
          <w:highlight w:val="yellow"/>
        </w:rPr>
        <w:t>(</w:t>
      </w:r>
      <w:r w:rsidR="00EB7D30" w:rsidRPr="0048549B">
        <w:rPr>
          <w:rFonts w:cstheme="minorHAnsi"/>
          <w:b/>
          <w:bCs/>
          <w:highlight w:val="yellow"/>
        </w:rPr>
        <w:t>Authors:</w:t>
      </w:r>
      <w:r w:rsidR="00EB7D30" w:rsidRPr="0048549B">
        <w:rPr>
          <w:rFonts w:cstheme="minorHAnsi"/>
          <w:highlight w:val="yellow"/>
        </w:rPr>
        <w:t xml:space="preserve"> Please specify the pronunciations for the words L-NAME and DETA/NO)</w:t>
      </w:r>
    </w:p>
    <w:p w14:paraId="71138099" w14:textId="6E00887F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BD249A">
        <w:rPr>
          <w:rFonts w:cstheme="minorHAnsi"/>
        </w:rPr>
        <w:t xml:space="preserve"> </w:t>
      </w:r>
      <w:r w:rsidR="00BD249A" w:rsidRPr="00BD249A">
        <w:rPr>
          <w:rFonts w:cstheme="minorHAnsi"/>
        </w:rPr>
        <w:t>Figure 3A</w:t>
      </w:r>
      <w:r w:rsidR="00BD249A">
        <w:rPr>
          <w:rFonts w:cstheme="minorHAnsi"/>
        </w:rPr>
        <w:t xml:space="preserve">. </w:t>
      </w:r>
      <w:r w:rsidR="00BD249A" w:rsidRPr="004225DB">
        <w:rPr>
          <w:rFonts w:cstheme="minorHAnsi"/>
          <w:i/>
          <w:iCs/>
          <w:color w:val="3333FF"/>
        </w:rPr>
        <w:t xml:space="preserve">Video Editor: Please show the bar graph on the extreme right side of the figure and emphasize </w:t>
      </w:r>
      <w:r w:rsidR="004225DB" w:rsidRPr="004225DB">
        <w:rPr>
          <w:rFonts w:cstheme="minorHAnsi"/>
          <w:i/>
          <w:iCs/>
          <w:color w:val="3333FF"/>
        </w:rPr>
        <w:t>the heights of orange and blue bars sequentially.</w:t>
      </w:r>
    </w:p>
    <w:p w14:paraId="6C708DE6" w14:textId="0DC9D514" w:rsidR="004225DB" w:rsidRDefault="004225DB" w:rsidP="004225D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BD249A">
        <w:rPr>
          <w:rFonts w:cstheme="minorHAnsi"/>
        </w:rPr>
        <w:t>Figure 3A</w:t>
      </w:r>
      <w:r>
        <w:rPr>
          <w:rFonts w:cstheme="minorHAnsi"/>
        </w:rPr>
        <w:t xml:space="preserve">. </w:t>
      </w:r>
      <w:r w:rsidRPr="004225DB">
        <w:rPr>
          <w:rFonts w:cstheme="minorHAnsi"/>
          <w:i/>
          <w:iCs/>
          <w:color w:val="3333FF"/>
        </w:rPr>
        <w:t xml:space="preserve">Video Editor: Please show the bar graph on the extreme right side of the figure and emphasize the height of </w:t>
      </w:r>
      <w:r w:rsidRPr="004225DB">
        <w:rPr>
          <w:rFonts w:cstheme="minorHAnsi"/>
          <w:i/>
          <w:iCs/>
          <w:color w:val="3333FF"/>
        </w:rPr>
        <w:t xml:space="preserve">pink </w:t>
      </w:r>
      <w:r w:rsidRPr="004225DB">
        <w:rPr>
          <w:rFonts w:cstheme="minorHAnsi"/>
          <w:i/>
          <w:iCs/>
          <w:color w:val="3333FF"/>
        </w:rPr>
        <w:t xml:space="preserve">bar with labels </w:t>
      </w:r>
      <w:r w:rsidRPr="004225DB">
        <w:rPr>
          <w:rFonts w:cstheme="minorHAnsi"/>
          <w:i/>
          <w:iCs/>
          <w:color w:val="3333FF"/>
        </w:rPr>
        <w:t>corresponding to orange bar</w:t>
      </w:r>
      <w:r w:rsidRPr="004225DB">
        <w:rPr>
          <w:rFonts w:cstheme="minorHAnsi"/>
          <w:i/>
          <w:iCs/>
          <w:color w:val="3333FF"/>
        </w:rPr>
        <w:t>.</w:t>
      </w:r>
    </w:p>
    <w:p w14:paraId="79D3CE29" w14:textId="06E2D3A6" w:rsidR="00495959" w:rsidRDefault="000B676B" w:rsidP="00F73BDE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F3300C">
        <w:rPr>
          <w:rFonts w:cstheme="minorHAnsi"/>
          <w:color w:val="7030A0"/>
        </w:rPr>
        <w:t>In the cell lysate samples, nitrite-nitric oxide levels were similar across</w:t>
      </w:r>
      <w:r w:rsidRPr="00F3300C">
        <w:rPr>
          <w:rFonts w:cstheme="minorHAnsi"/>
          <w:color w:val="7030A0"/>
        </w:rPr>
        <w:t xml:space="preserve"> </w:t>
      </w:r>
      <w:r w:rsidRPr="00F3300C">
        <w:rPr>
          <w:rFonts w:cstheme="minorHAnsi"/>
          <w:color w:val="7030A0"/>
        </w:rPr>
        <w:t>untreated cells, the NOS-inhibitor -treated cells</w:t>
      </w:r>
      <w:r w:rsidRPr="00F3300C">
        <w:rPr>
          <w:rFonts w:cstheme="minorHAnsi"/>
          <w:color w:val="7030A0"/>
        </w:rPr>
        <w:t xml:space="preserve"> and </w:t>
      </w:r>
      <w:r w:rsidRPr="00F3300C">
        <w:rPr>
          <w:rFonts w:cstheme="minorHAnsi"/>
          <w:color w:val="7030A0"/>
        </w:rPr>
        <w:t>the NO-donor</w:t>
      </w:r>
      <w:r w:rsidRPr="00F3300C">
        <w:rPr>
          <w:rFonts w:cstheme="minorHAnsi"/>
          <w:color w:val="7030A0"/>
        </w:rPr>
        <w:t>-</w:t>
      </w:r>
      <w:r w:rsidRPr="00F3300C">
        <w:rPr>
          <w:rFonts w:cstheme="minorHAnsi"/>
          <w:color w:val="7030A0"/>
        </w:rPr>
        <w:t>treated cells</w:t>
      </w:r>
      <w:r w:rsidR="00495959" w:rsidRPr="00F3300C">
        <w:rPr>
          <w:rFonts w:cstheme="minorHAnsi"/>
          <w:color w:val="7030A0"/>
        </w:rPr>
        <w:t xml:space="preserve"> </w:t>
      </w:r>
      <w:r w:rsidRPr="00F3300C">
        <w:rPr>
          <w:rFonts w:cstheme="minorHAnsi"/>
          <w:b/>
          <w:bCs/>
          <w:color w:val="7030A0"/>
        </w:rPr>
        <w:t>[</w:t>
      </w:r>
      <w:r w:rsidR="00F3300C" w:rsidRPr="00F3300C">
        <w:rPr>
          <w:rFonts w:cstheme="minorHAnsi"/>
          <w:b/>
          <w:bCs/>
          <w:color w:val="7030A0"/>
        </w:rPr>
        <w:t>1</w:t>
      </w:r>
      <w:r w:rsidRPr="00F3300C">
        <w:rPr>
          <w:rFonts w:cstheme="minorHAnsi"/>
          <w:b/>
          <w:bCs/>
          <w:color w:val="7030A0"/>
        </w:rPr>
        <w:t>]</w:t>
      </w:r>
      <w:r w:rsidRPr="00F3300C">
        <w:rPr>
          <w:rFonts w:cstheme="minorHAnsi"/>
          <w:color w:val="7030A0"/>
        </w:rPr>
        <w:t>.</w:t>
      </w:r>
    </w:p>
    <w:p w14:paraId="4FD5DC87" w14:textId="78F93AD6" w:rsidR="000B676B" w:rsidRPr="00F3300C" w:rsidRDefault="000B676B" w:rsidP="000B676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 w:rsidRPr="00B1407B">
        <w:rPr>
          <w:rFonts w:cstheme="minorHAnsi"/>
          <w:i/>
          <w:iCs/>
          <w:color w:val="3333FF"/>
        </w:rPr>
        <w:t xml:space="preserve">Video Editor: In </w:t>
      </w:r>
      <w:r w:rsidRPr="004225DB">
        <w:rPr>
          <w:rFonts w:cstheme="minorHAnsi"/>
          <w:i/>
          <w:iCs/>
          <w:color w:val="3333FF"/>
        </w:rPr>
        <w:t>the bar graph on the extreme right side of the figur</w:t>
      </w:r>
      <w:r>
        <w:rPr>
          <w:rFonts w:cstheme="minorHAnsi"/>
          <w:i/>
          <w:iCs/>
          <w:color w:val="3333FF"/>
        </w:rPr>
        <w:t xml:space="preserve">e, please emphasize the </w:t>
      </w:r>
      <w:r w:rsidR="00F3300C">
        <w:rPr>
          <w:rFonts w:cstheme="minorHAnsi"/>
          <w:i/>
          <w:iCs/>
          <w:color w:val="3333FF"/>
        </w:rPr>
        <w:t xml:space="preserve">heights of </w:t>
      </w:r>
      <w:r>
        <w:rPr>
          <w:rFonts w:cstheme="minorHAnsi"/>
          <w:i/>
          <w:iCs/>
          <w:color w:val="3333FF"/>
        </w:rPr>
        <w:t>orange bar</w:t>
      </w:r>
      <w:r w:rsidR="00F3300C">
        <w:rPr>
          <w:rFonts w:cstheme="minorHAnsi"/>
          <w:i/>
          <w:iCs/>
          <w:color w:val="3333FF"/>
        </w:rPr>
        <w:t>, followed by blue bar and then the purple bar</w:t>
      </w:r>
      <w:r>
        <w:rPr>
          <w:rFonts w:cstheme="minorHAnsi"/>
          <w:i/>
          <w:iCs/>
          <w:color w:val="3333FF"/>
        </w:rPr>
        <w:t>.</w:t>
      </w:r>
    </w:p>
    <w:p w14:paraId="0ACC2290" w14:textId="32FCE5DD" w:rsidR="000B676B" w:rsidRPr="00B1407B" w:rsidRDefault="00F3300C" w:rsidP="00826CA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</w:rPr>
      </w:pPr>
      <w:r w:rsidRPr="00F3300C">
        <w:rPr>
          <w:rFonts w:cstheme="minorHAnsi"/>
          <w:color w:val="7030A0"/>
        </w:rPr>
        <w:t xml:space="preserve">A </w:t>
      </w:r>
      <w:r w:rsidRPr="00F3300C">
        <w:rPr>
          <w:rFonts w:cstheme="minorHAnsi"/>
          <w:color w:val="7030A0"/>
        </w:rPr>
        <w:t>significant decrease in nitrite</w:t>
      </w:r>
      <w:r w:rsidRPr="00F3300C">
        <w:rPr>
          <w:rFonts w:cstheme="minorHAnsi"/>
          <w:color w:val="7030A0"/>
        </w:rPr>
        <w:t>-nitric oxide</w:t>
      </w:r>
      <w:r w:rsidRPr="00F3300C">
        <w:rPr>
          <w:rFonts w:cstheme="minorHAnsi"/>
          <w:color w:val="7030A0"/>
        </w:rPr>
        <w:t xml:space="preserve"> levels </w:t>
      </w:r>
      <w:r>
        <w:rPr>
          <w:rFonts w:cstheme="minorHAnsi"/>
          <w:color w:val="7030A0"/>
        </w:rPr>
        <w:t>was</w:t>
      </w:r>
      <w:r w:rsidRPr="00F3300C">
        <w:rPr>
          <w:rFonts w:cstheme="minorHAnsi"/>
          <w:color w:val="7030A0"/>
        </w:rPr>
        <w:t xml:space="preserve"> observed </w:t>
      </w:r>
      <w:r w:rsidRPr="00F3300C">
        <w:rPr>
          <w:rFonts w:cstheme="minorHAnsi"/>
          <w:color w:val="7030A0"/>
        </w:rPr>
        <w:t xml:space="preserve">in the apical washes from NOS-inhibitor -treated cells as compared to the untreated cells </w:t>
      </w:r>
      <w:r w:rsidRPr="00F3300C">
        <w:rPr>
          <w:rFonts w:cstheme="minorHAnsi"/>
          <w:b/>
          <w:bCs/>
          <w:color w:val="7030A0"/>
        </w:rPr>
        <w:t>[1]</w:t>
      </w:r>
      <w:r w:rsidRPr="00F3300C">
        <w:rPr>
          <w:rFonts w:cstheme="minorHAnsi"/>
          <w:color w:val="7030A0"/>
        </w:rPr>
        <w:t xml:space="preserve">. </w:t>
      </w:r>
      <w:r w:rsidRPr="00F3300C">
        <w:rPr>
          <w:rFonts w:cstheme="minorHAnsi"/>
          <w:color w:val="7030A0"/>
        </w:rPr>
        <w:t xml:space="preserve">Additionally, </w:t>
      </w:r>
      <w:r>
        <w:rPr>
          <w:rFonts w:cstheme="minorHAnsi"/>
          <w:color w:val="7030A0"/>
        </w:rPr>
        <w:lastRenderedPageBreak/>
        <w:t>NO-donor treatment</w:t>
      </w:r>
      <w:r w:rsidRPr="00F3300C">
        <w:rPr>
          <w:rFonts w:cstheme="minorHAnsi"/>
          <w:color w:val="7030A0"/>
        </w:rPr>
        <w:t xml:space="preserve"> </w:t>
      </w:r>
      <w:r w:rsidRPr="00F3300C">
        <w:rPr>
          <w:rFonts w:cstheme="minorHAnsi"/>
          <w:color w:val="7030A0"/>
        </w:rPr>
        <w:t>resulted in more than 6.5–fold increase in detected nitrite</w:t>
      </w:r>
      <w:r w:rsidRPr="00F3300C">
        <w:rPr>
          <w:rFonts w:cstheme="minorHAnsi"/>
          <w:color w:val="7030A0"/>
        </w:rPr>
        <w:t xml:space="preserve">-nitric oxide </w:t>
      </w:r>
      <w:r w:rsidRPr="00F3300C">
        <w:rPr>
          <w:rFonts w:cstheme="minorHAnsi"/>
          <w:b/>
          <w:bCs/>
          <w:color w:val="7030A0"/>
        </w:rPr>
        <w:t>[2]</w:t>
      </w:r>
      <w:r w:rsidRPr="00F3300C">
        <w:rPr>
          <w:rFonts w:cstheme="minorHAnsi"/>
          <w:color w:val="7030A0"/>
        </w:rPr>
        <w:t xml:space="preserve">. </w:t>
      </w:r>
    </w:p>
    <w:p w14:paraId="53161E51" w14:textId="27220C6E" w:rsidR="00B1407B" w:rsidRPr="002C75F5" w:rsidRDefault="00B1407B" w:rsidP="00B1407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>
        <w:rPr>
          <w:rFonts w:cstheme="minorHAnsi"/>
        </w:rPr>
        <w:t xml:space="preserve">LAB MEDIA: Figure 3C. </w:t>
      </w:r>
      <w:r w:rsidRPr="00B1407B">
        <w:rPr>
          <w:rFonts w:cstheme="minorHAnsi"/>
          <w:i/>
          <w:iCs/>
          <w:color w:val="3333FF"/>
        </w:rPr>
        <w:t xml:space="preserve">Video Editor: In </w:t>
      </w:r>
      <w:r w:rsidRPr="004225DB">
        <w:rPr>
          <w:rFonts w:cstheme="minorHAnsi"/>
          <w:i/>
          <w:iCs/>
          <w:color w:val="3333FF"/>
        </w:rPr>
        <w:t>the bar graph on the extreme right side of the figur</w:t>
      </w:r>
      <w:r>
        <w:rPr>
          <w:rFonts w:cstheme="minorHAnsi"/>
          <w:i/>
          <w:iCs/>
          <w:color w:val="3333FF"/>
        </w:rPr>
        <w:t>e, please emphasize the heights of orange bar</w:t>
      </w:r>
      <w:r>
        <w:rPr>
          <w:rFonts w:cstheme="minorHAnsi"/>
          <w:i/>
          <w:iCs/>
          <w:color w:val="3333FF"/>
        </w:rPr>
        <w:t xml:space="preserve"> and blue bars simultaneously. </w:t>
      </w:r>
    </w:p>
    <w:p w14:paraId="08A66B95" w14:textId="73530D3E" w:rsidR="0048549B" w:rsidRPr="0048549B" w:rsidRDefault="002C75F5" w:rsidP="0048549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>
        <w:rPr>
          <w:rFonts w:cstheme="minorHAnsi"/>
        </w:rPr>
        <w:t xml:space="preserve">LAB MEDIA: Figure 3C. </w:t>
      </w:r>
      <w:r w:rsidRPr="00B1407B">
        <w:rPr>
          <w:rFonts w:cstheme="minorHAnsi"/>
          <w:i/>
          <w:iCs/>
          <w:color w:val="3333FF"/>
        </w:rPr>
        <w:t xml:space="preserve">Video Editor: In </w:t>
      </w:r>
      <w:r w:rsidRPr="004225DB">
        <w:rPr>
          <w:rFonts w:cstheme="minorHAnsi"/>
          <w:i/>
          <w:iCs/>
          <w:color w:val="3333FF"/>
        </w:rPr>
        <w:t>the bar graph on the extreme right side of the figur</w:t>
      </w:r>
      <w:r>
        <w:rPr>
          <w:rFonts w:cstheme="minorHAnsi"/>
          <w:i/>
          <w:iCs/>
          <w:color w:val="3333FF"/>
        </w:rPr>
        <w:t xml:space="preserve">e, please emphasize the height of </w:t>
      </w:r>
      <w:r>
        <w:rPr>
          <w:rFonts w:cstheme="minorHAnsi"/>
          <w:i/>
          <w:iCs/>
          <w:color w:val="3333FF"/>
        </w:rPr>
        <w:t xml:space="preserve">purple bar relative to the </w:t>
      </w:r>
      <w:r>
        <w:rPr>
          <w:rFonts w:cstheme="minorHAnsi"/>
          <w:i/>
          <w:iCs/>
          <w:color w:val="3333FF"/>
        </w:rPr>
        <w:t>orange bar</w:t>
      </w:r>
      <w:r>
        <w:rPr>
          <w:rFonts w:cstheme="minorHAnsi"/>
          <w:i/>
          <w:iCs/>
          <w:color w:val="3333FF"/>
        </w:rPr>
        <w:t>.</w:t>
      </w:r>
      <w:r>
        <w:rPr>
          <w:rFonts w:cstheme="minorHAnsi"/>
          <w:i/>
          <w:iCs/>
          <w:color w:val="3333FF"/>
        </w:rPr>
        <w:t xml:space="preserve">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040F1" w14:textId="77777777" w:rsidR="008B2897" w:rsidRDefault="008B2897">
      <w:r>
        <w:separator/>
      </w:r>
    </w:p>
    <w:p w14:paraId="4DC82721" w14:textId="77777777" w:rsidR="008B2897" w:rsidRDefault="008B2897"/>
  </w:endnote>
  <w:endnote w:type="continuationSeparator" w:id="0">
    <w:p w14:paraId="06D91C1F" w14:textId="77777777" w:rsidR="008B2897" w:rsidRDefault="008B2897">
      <w:r>
        <w:continuationSeparator/>
      </w:r>
    </w:p>
    <w:p w14:paraId="5218748D" w14:textId="77777777" w:rsidR="008B2897" w:rsidRDefault="008B28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864EA3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51A2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F3B0A" w14:textId="77777777" w:rsidR="008B2897" w:rsidRDefault="008B2897">
      <w:r>
        <w:separator/>
      </w:r>
    </w:p>
    <w:p w14:paraId="7388DD86" w14:textId="77777777" w:rsidR="008B2897" w:rsidRDefault="008B2897"/>
  </w:footnote>
  <w:footnote w:type="continuationSeparator" w:id="0">
    <w:p w14:paraId="02CC843C" w14:textId="77777777" w:rsidR="008B2897" w:rsidRDefault="008B2897">
      <w:r>
        <w:continuationSeparator/>
      </w:r>
    </w:p>
    <w:p w14:paraId="7AF996CF" w14:textId="77777777" w:rsidR="008B2897" w:rsidRDefault="008B28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5D0214"/>
    <w:multiLevelType w:val="hybridMultilevel"/>
    <w:tmpl w:val="EFDC61E2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1682E77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714161200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676B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3235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6A6"/>
    <w:rsid w:val="00265C44"/>
    <w:rsid w:val="00265EAD"/>
    <w:rsid w:val="00265F76"/>
    <w:rsid w:val="002773BA"/>
    <w:rsid w:val="00277C90"/>
    <w:rsid w:val="00277F11"/>
    <w:rsid w:val="002830A8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5F5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220A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0DA"/>
    <w:rsid w:val="00421271"/>
    <w:rsid w:val="004225DB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549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2292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036"/>
    <w:rsid w:val="00530DD9"/>
    <w:rsid w:val="005320E4"/>
    <w:rsid w:val="00533543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368D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2B4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2897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10C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41F"/>
    <w:rsid w:val="009C7B9A"/>
    <w:rsid w:val="009D21B9"/>
    <w:rsid w:val="009D2A1D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407B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4F49"/>
    <w:rsid w:val="00B57D61"/>
    <w:rsid w:val="00B60E0A"/>
    <w:rsid w:val="00B6201D"/>
    <w:rsid w:val="00B653B7"/>
    <w:rsid w:val="00B66A14"/>
    <w:rsid w:val="00B7250F"/>
    <w:rsid w:val="00B75E36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249A"/>
    <w:rsid w:val="00BD3364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ABC"/>
    <w:rsid w:val="00DF6EE3"/>
    <w:rsid w:val="00DF7CEF"/>
    <w:rsid w:val="00E04EFB"/>
    <w:rsid w:val="00E072C2"/>
    <w:rsid w:val="00E21FD2"/>
    <w:rsid w:val="00E24673"/>
    <w:rsid w:val="00E24898"/>
    <w:rsid w:val="00E27EF5"/>
    <w:rsid w:val="00E33F23"/>
    <w:rsid w:val="00E355EE"/>
    <w:rsid w:val="00E35FB3"/>
    <w:rsid w:val="00E44C46"/>
    <w:rsid w:val="00E4663E"/>
    <w:rsid w:val="00E52377"/>
    <w:rsid w:val="00E55496"/>
    <w:rsid w:val="00E55F56"/>
    <w:rsid w:val="00E63039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D30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00C"/>
    <w:rsid w:val="00F35094"/>
    <w:rsid w:val="00F35B29"/>
    <w:rsid w:val="00F3618A"/>
    <w:rsid w:val="00F4412A"/>
    <w:rsid w:val="00F51A24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67D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ShotDescription">
    <w:name w:val="Shot Description"/>
    <w:basedOn w:val="TemplateShot"/>
    <w:link w:val="ShotDescriptionChar"/>
    <w:qFormat/>
    <w:rsid w:val="0053354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3354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3354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3354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Narration">
    <w:name w:val="Narration"/>
    <w:basedOn w:val="TemplateNarration"/>
    <w:link w:val="NarrationChar"/>
    <w:qFormat/>
    <w:rsid w:val="00533543"/>
    <w:pPr>
      <w:numPr>
        <w:ilvl w:val="1"/>
        <w:numId w:val="8"/>
      </w:numPr>
      <w:ind w:left="907"/>
    </w:pPr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33543"/>
    <w:rPr>
      <w:rFonts w:ascii="Calibri" w:hAnsi="Calibri" w:cs="Calibri"/>
      <w:color w:val="7030A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44903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57FAC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BF752E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14</Pages>
  <Words>3337</Words>
  <Characters>18389</Characters>
  <Application>Microsoft Office Word</Application>
  <DocSecurity>0</DocSecurity>
  <Lines>334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21555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92</cp:revision>
  <dcterms:created xsi:type="dcterms:W3CDTF">2025-01-20T00:16:00Z</dcterms:created>
  <dcterms:modified xsi:type="dcterms:W3CDTF">2026-05-15T11:47:00Z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