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10BB4" w14:textId="77777777" w:rsidR="00340830" w:rsidRPr="006E11D6" w:rsidRDefault="00340830" w:rsidP="006E11D6">
      <w:pPr>
        <w:pBdr>
          <w:top w:val="nil"/>
          <w:left w:val="nil"/>
          <w:bottom w:val="nil"/>
          <w:right w:val="nil"/>
          <w:between w:val="nil"/>
        </w:pBdr>
        <w:rPr>
          <w:color w:val="000000"/>
        </w:rPr>
      </w:pPr>
      <w:r w:rsidRPr="006E11D6">
        <w:rPr>
          <w:b/>
          <w:color w:val="000000"/>
        </w:rPr>
        <w:t>TITLE:</w:t>
      </w:r>
    </w:p>
    <w:p w14:paraId="195AE783" w14:textId="760E5D27" w:rsidR="00340830" w:rsidRPr="006E11D6" w:rsidRDefault="00340830" w:rsidP="006E11D6">
      <w:pPr>
        <w:rPr>
          <w:color w:val="808080"/>
        </w:rPr>
      </w:pPr>
      <w:r w:rsidRPr="006E11D6">
        <w:t xml:space="preserve">Intradermal </w:t>
      </w:r>
      <w:r w:rsidR="002B69AA" w:rsidRPr="006E11D6">
        <w:t>Tumor Implantation as a Robust Model for Murine Cancer Intratumoral Immunotherapy Studies</w:t>
      </w:r>
    </w:p>
    <w:p w14:paraId="4F704E74" w14:textId="77777777" w:rsidR="00340830" w:rsidRPr="006E11D6" w:rsidRDefault="00340830" w:rsidP="006E11D6">
      <w:pPr>
        <w:rPr>
          <w:b/>
        </w:rPr>
      </w:pPr>
    </w:p>
    <w:p w14:paraId="227E8505" w14:textId="77777777" w:rsidR="00340830" w:rsidRPr="006E11D6" w:rsidRDefault="00340830" w:rsidP="006E11D6">
      <w:pPr>
        <w:rPr>
          <w:color w:val="808080"/>
        </w:rPr>
      </w:pPr>
      <w:r w:rsidRPr="006E11D6">
        <w:rPr>
          <w:b/>
        </w:rPr>
        <w:t>AUTHORS AND AFFILIATIONS:</w:t>
      </w:r>
    </w:p>
    <w:p w14:paraId="6AC1D23A" w14:textId="6B0CF633" w:rsidR="00340830" w:rsidRPr="006E11D6" w:rsidRDefault="00340830" w:rsidP="006E11D6">
      <w:r w:rsidRPr="006E11D6">
        <w:t xml:space="preserve">Kevine </w:t>
      </w:r>
      <w:proofErr w:type="spellStart"/>
      <w:r w:rsidRPr="006E11D6">
        <w:t>Silihe</w:t>
      </w:r>
      <w:proofErr w:type="spellEnd"/>
      <w:r w:rsidRPr="006E11D6">
        <w:t xml:space="preserve"> Kamga</w:t>
      </w:r>
      <w:r w:rsidRPr="006E11D6">
        <w:rPr>
          <w:vertAlign w:val="superscript"/>
        </w:rPr>
        <w:t>1</w:t>
      </w:r>
      <w:r w:rsidRPr="006E11D6">
        <w:t>, Alicia M. Santos</w:t>
      </w:r>
      <w:r w:rsidRPr="006E11D6">
        <w:rPr>
          <w:vertAlign w:val="superscript"/>
        </w:rPr>
        <w:t>1</w:t>
      </w:r>
      <w:r w:rsidRPr="006E11D6">
        <w:t>, Steven Fiering</w:t>
      </w:r>
      <w:r w:rsidRPr="006E11D6">
        <w:rPr>
          <w:vertAlign w:val="superscript"/>
        </w:rPr>
        <w:t>1</w:t>
      </w:r>
      <w:r w:rsidR="009F06D9" w:rsidRPr="006E11D6">
        <w:t>*</w:t>
      </w:r>
    </w:p>
    <w:p w14:paraId="563820DA" w14:textId="77777777" w:rsidR="009F06D9" w:rsidRPr="006E11D6" w:rsidRDefault="009F06D9" w:rsidP="006E11D6">
      <w:pPr>
        <w:rPr>
          <w:vertAlign w:val="superscript"/>
        </w:rPr>
      </w:pPr>
    </w:p>
    <w:p w14:paraId="28AAEADD" w14:textId="77777777" w:rsidR="00340830" w:rsidRPr="006E11D6" w:rsidRDefault="00340830" w:rsidP="006E11D6">
      <w:pPr>
        <w:rPr>
          <w:vertAlign w:val="superscript"/>
        </w:rPr>
      </w:pPr>
      <w:r w:rsidRPr="006E11D6">
        <w:rPr>
          <w:vertAlign w:val="superscript"/>
        </w:rPr>
        <w:t>1</w:t>
      </w:r>
      <w:r w:rsidRPr="006E11D6">
        <w:t>Department of Microbiology and Immunology, Dartmouth Geisel School of Medicine, Hanover,</w:t>
      </w:r>
    </w:p>
    <w:p w14:paraId="4000FA6D" w14:textId="77777777" w:rsidR="00340830" w:rsidRPr="006E11D6" w:rsidRDefault="00340830" w:rsidP="006E11D6">
      <w:r w:rsidRPr="006E11D6">
        <w:t>NH, United States</w:t>
      </w:r>
    </w:p>
    <w:p w14:paraId="0093EEC9" w14:textId="77777777" w:rsidR="00340830" w:rsidRPr="006E11D6" w:rsidRDefault="00340830" w:rsidP="006E11D6">
      <w:pPr>
        <w:pBdr>
          <w:top w:val="nil"/>
          <w:left w:val="nil"/>
          <w:bottom w:val="nil"/>
          <w:right w:val="nil"/>
          <w:between w:val="nil"/>
        </w:pBdr>
        <w:rPr>
          <w:color w:val="000000"/>
        </w:rPr>
      </w:pPr>
    </w:p>
    <w:p w14:paraId="18E6E928" w14:textId="5D65C784" w:rsidR="009F06D9" w:rsidRPr="006E11D6" w:rsidRDefault="009F06D9" w:rsidP="006E11D6">
      <w:pPr>
        <w:pBdr>
          <w:top w:val="nil"/>
          <w:left w:val="nil"/>
          <w:bottom w:val="nil"/>
          <w:right w:val="nil"/>
          <w:between w:val="nil"/>
        </w:pBdr>
        <w:rPr>
          <w:color w:val="000000"/>
        </w:rPr>
      </w:pPr>
      <w:r w:rsidRPr="006E11D6">
        <w:rPr>
          <w:color w:val="000000"/>
        </w:rPr>
        <w:t>Email addresses of the co-authors:</w:t>
      </w:r>
    </w:p>
    <w:p w14:paraId="3787629C" w14:textId="65A76BC6" w:rsidR="009F06D9" w:rsidRPr="006E11D6" w:rsidRDefault="009F06D9" w:rsidP="006E11D6">
      <w:pPr>
        <w:pBdr>
          <w:top w:val="nil"/>
          <w:left w:val="nil"/>
          <w:bottom w:val="nil"/>
          <w:right w:val="nil"/>
          <w:between w:val="nil"/>
        </w:pBdr>
      </w:pPr>
      <w:r w:rsidRPr="006E11D6">
        <w:t xml:space="preserve">Kevine </w:t>
      </w:r>
      <w:proofErr w:type="spellStart"/>
      <w:r w:rsidRPr="006E11D6">
        <w:t>Silihe</w:t>
      </w:r>
      <w:proofErr w:type="spellEnd"/>
      <w:r w:rsidRPr="006E11D6">
        <w:t xml:space="preserve"> Kamga</w:t>
      </w:r>
      <w:r w:rsidR="00162CD5" w:rsidRPr="006E11D6">
        <w:tab/>
      </w:r>
      <w:r w:rsidR="00162CD5" w:rsidRPr="006E11D6">
        <w:tab/>
        <w:t>(</w:t>
      </w:r>
      <w:hyperlink r:id="rId8" w:history="1">
        <w:r w:rsidR="00162CD5" w:rsidRPr="006E11D6">
          <w:rPr>
            <w:rStyle w:val="Hyperlink"/>
          </w:rPr>
          <w:t>kevine.silihe.kamga@dartmouth.edu</w:t>
        </w:r>
      </w:hyperlink>
      <w:r w:rsidR="00162CD5" w:rsidRPr="006E11D6">
        <w:t>)</w:t>
      </w:r>
      <w:r w:rsidR="00410887" w:rsidRPr="006E11D6">
        <w:t xml:space="preserve"> </w:t>
      </w:r>
    </w:p>
    <w:p w14:paraId="463A1650" w14:textId="788F75DA" w:rsidR="009F06D9" w:rsidRPr="006E11D6" w:rsidRDefault="009F06D9" w:rsidP="006E11D6">
      <w:pPr>
        <w:pBdr>
          <w:top w:val="nil"/>
          <w:left w:val="nil"/>
          <w:bottom w:val="nil"/>
          <w:right w:val="nil"/>
          <w:between w:val="nil"/>
        </w:pBdr>
      </w:pPr>
      <w:r w:rsidRPr="006E11D6">
        <w:t>Alicia M. Santos</w:t>
      </w:r>
      <w:r w:rsidR="00162CD5" w:rsidRPr="006E11D6">
        <w:tab/>
      </w:r>
      <w:r w:rsidR="00162CD5" w:rsidRPr="006E11D6">
        <w:tab/>
        <w:t>(</w:t>
      </w:r>
      <w:hyperlink r:id="rId9" w:history="1">
        <w:r w:rsidR="00162CD5" w:rsidRPr="006E11D6">
          <w:rPr>
            <w:rStyle w:val="Hyperlink"/>
          </w:rPr>
          <w:t>alicia.santos.gr@dartmouth.edu</w:t>
        </w:r>
      </w:hyperlink>
      <w:r w:rsidR="00162CD5" w:rsidRPr="006E11D6">
        <w:t>)</w:t>
      </w:r>
      <w:r w:rsidR="00410887" w:rsidRPr="006E11D6">
        <w:t xml:space="preserve"> </w:t>
      </w:r>
    </w:p>
    <w:p w14:paraId="7D6F78D4" w14:textId="77777777" w:rsidR="009F06D9" w:rsidRPr="006E11D6" w:rsidRDefault="009F06D9" w:rsidP="006E11D6">
      <w:pPr>
        <w:pBdr>
          <w:top w:val="nil"/>
          <w:left w:val="nil"/>
          <w:bottom w:val="nil"/>
          <w:right w:val="nil"/>
          <w:between w:val="nil"/>
        </w:pBdr>
        <w:rPr>
          <w:color w:val="000000"/>
        </w:rPr>
      </w:pPr>
    </w:p>
    <w:p w14:paraId="3B4A9C40" w14:textId="124889F1" w:rsidR="009F06D9" w:rsidRPr="006E11D6" w:rsidRDefault="009F06D9" w:rsidP="006E11D6">
      <w:pPr>
        <w:pBdr>
          <w:top w:val="nil"/>
          <w:left w:val="nil"/>
          <w:bottom w:val="nil"/>
          <w:right w:val="nil"/>
          <w:between w:val="nil"/>
        </w:pBdr>
        <w:rPr>
          <w:color w:val="000000"/>
        </w:rPr>
      </w:pPr>
      <w:r w:rsidRPr="006E11D6">
        <w:rPr>
          <w:color w:val="000000"/>
        </w:rPr>
        <w:t>*Corresponding author:</w:t>
      </w:r>
    </w:p>
    <w:p w14:paraId="401DFB72" w14:textId="569C7E4E" w:rsidR="009F06D9" w:rsidRPr="006E11D6" w:rsidRDefault="009F06D9" w:rsidP="006E11D6">
      <w:pPr>
        <w:pBdr>
          <w:top w:val="nil"/>
          <w:left w:val="nil"/>
          <w:bottom w:val="nil"/>
          <w:right w:val="nil"/>
          <w:between w:val="nil"/>
        </w:pBdr>
        <w:rPr>
          <w:color w:val="000000"/>
        </w:rPr>
      </w:pPr>
      <w:r w:rsidRPr="006E11D6">
        <w:t xml:space="preserve">Steven </w:t>
      </w:r>
      <w:proofErr w:type="spellStart"/>
      <w:r w:rsidRPr="006E11D6">
        <w:t>Fiering</w:t>
      </w:r>
      <w:proofErr w:type="spellEnd"/>
      <w:r w:rsidR="00162CD5" w:rsidRPr="006E11D6">
        <w:tab/>
      </w:r>
      <w:r w:rsidR="00162CD5" w:rsidRPr="006E11D6">
        <w:tab/>
      </w:r>
      <w:r w:rsidR="00162CD5" w:rsidRPr="006E11D6">
        <w:tab/>
        <w:t>(</w:t>
      </w:r>
      <w:hyperlink r:id="rId10" w:history="1">
        <w:r w:rsidR="00162CD5" w:rsidRPr="006E11D6">
          <w:rPr>
            <w:rStyle w:val="Hyperlink"/>
          </w:rPr>
          <w:t>steven.fiering@dartmouth.edu</w:t>
        </w:r>
      </w:hyperlink>
      <w:r w:rsidR="00162CD5" w:rsidRPr="006E11D6">
        <w:t>)</w:t>
      </w:r>
      <w:r w:rsidR="00410887" w:rsidRPr="006E11D6">
        <w:t xml:space="preserve"> </w:t>
      </w:r>
    </w:p>
    <w:p w14:paraId="73A68409" w14:textId="77777777" w:rsidR="009F06D9" w:rsidRPr="006E11D6" w:rsidRDefault="009F06D9" w:rsidP="006E11D6">
      <w:pPr>
        <w:pBdr>
          <w:top w:val="nil"/>
          <w:left w:val="nil"/>
          <w:bottom w:val="nil"/>
          <w:right w:val="nil"/>
          <w:between w:val="nil"/>
        </w:pBdr>
        <w:rPr>
          <w:color w:val="000000"/>
        </w:rPr>
      </w:pPr>
    </w:p>
    <w:p w14:paraId="463C3790" w14:textId="77777777" w:rsidR="00340830" w:rsidRPr="006E11D6" w:rsidRDefault="00340830" w:rsidP="006E11D6">
      <w:pPr>
        <w:rPr>
          <w:b/>
        </w:rPr>
      </w:pPr>
      <w:r w:rsidRPr="006E11D6">
        <w:rPr>
          <w:b/>
        </w:rPr>
        <w:t>SUMMARY:</w:t>
      </w:r>
    </w:p>
    <w:p w14:paraId="0F2C5F0A" w14:textId="483EC7AC" w:rsidR="00340830" w:rsidRPr="006E11D6" w:rsidRDefault="00340830" w:rsidP="006E11D6">
      <w:r w:rsidRPr="006E11D6">
        <w:t>With increasing interest in intratumoral immunotherapy, selecting tumor models that are accessible and practical is essential. Subcutaneous tumors are easy to establish but difficult to visualize and manipulate. In this protocol, we describe methods for generating intradermal tumors</w:t>
      </w:r>
      <w:r w:rsidR="002D4E50" w:rsidRPr="006E11D6">
        <w:t xml:space="preserve"> that provide</w:t>
      </w:r>
      <w:r w:rsidRPr="006E11D6">
        <w:t xml:space="preserve"> improved visibility and accessibility.</w:t>
      </w:r>
    </w:p>
    <w:p w14:paraId="3446CBC4" w14:textId="77777777" w:rsidR="00340830" w:rsidRPr="006E11D6" w:rsidRDefault="00340830" w:rsidP="006E11D6"/>
    <w:p w14:paraId="1B03DC79" w14:textId="77777777" w:rsidR="00340830" w:rsidRPr="006E11D6" w:rsidRDefault="00340830" w:rsidP="006E11D6">
      <w:pPr>
        <w:rPr>
          <w:color w:val="808080"/>
        </w:rPr>
      </w:pPr>
      <w:r w:rsidRPr="006E11D6">
        <w:rPr>
          <w:b/>
        </w:rPr>
        <w:t>ABSTRACT:</w:t>
      </w:r>
    </w:p>
    <w:p w14:paraId="2E676146" w14:textId="15B7007A" w:rsidR="00340830" w:rsidRPr="006E11D6" w:rsidRDefault="00340830" w:rsidP="006E11D6">
      <w:r w:rsidRPr="006E11D6">
        <w:t>Establishing reproducible murine tumor models is essential for evaluating cancer biology and immunotherapy strategies. Intratumoral immunotherapy treats established tumors with immune</w:t>
      </w:r>
      <w:r w:rsidR="00DC27AB" w:rsidRPr="006E11D6">
        <w:t>-</w:t>
      </w:r>
      <w:r w:rsidRPr="006E11D6">
        <w:t>stimulating reagents to reverse local immune suppression and stimulate systemic antitumor immunity. Most cancer studies in mice establish the tumors in the subcutaneous space, which has inherent challenges for experimental intratumoral immunotherapy due to the inability to visualize intratumoral injections. Intradermal injection of tumor cells provides a reliable approach to generate visualizable tumors that support accurate and reproducible intratumoral injection and monitoring of growth kinetics and therapeutic responses.</w:t>
      </w:r>
      <w:r w:rsidR="00977DD2" w:rsidRPr="006E11D6">
        <w:t xml:space="preserve"> </w:t>
      </w:r>
      <w:r w:rsidRPr="006E11D6">
        <w:t>Here, we present a reproducible methodology for establishing and treating intradermal tumors using the murine B16F10 melanoma model in C57BL/6 mice as our example. Tumor cell suspensions are injected intradermally</w:t>
      </w:r>
      <w:r w:rsidR="00DC27AB" w:rsidRPr="006E11D6">
        <w:t>,</w:t>
      </w:r>
      <w:r w:rsidRPr="006E11D6">
        <w:t xml:space="preserve"> and 7</w:t>
      </w:r>
      <w:r w:rsidR="00DC27AB" w:rsidRPr="006E11D6">
        <w:t>–</w:t>
      </w:r>
      <w:r w:rsidRPr="006E11D6">
        <w:t xml:space="preserve">10 days after tumor implantation, once tumors reach </w:t>
      </w:r>
      <w:r w:rsidRPr="006E11D6">
        <w:sym w:font="Symbol" w:char="F07E"/>
      </w:r>
      <w:r w:rsidRPr="006E11D6">
        <w:t>60 mm</w:t>
      </w:r>
      <w:r w:rsidRPr="006E11D6">
        <w:rPr>
          <w:vertAlign w:val="superscript"/>
        </w:rPr>
        <w:t>3</w:t>
      </w:r>
      <w:r w:rsidRPr="006E11D6">
        <w:t xml:space="preserve">, an intratumoral injection of immune-stimulating agents or a physical treatment like electroporation or heating can be directly applied. This allows precise delivery of treatments and measurement of tumor growth with calipers and avoids the challenge of </w:t>
      </w:r>
      <w:r w:rsidR="00DC27AB" w:rsidRPr="006E11D6">
        <w:t xml:space="preserve">the </w:t>
      </w:r>
      <w:r w:rsidRPr="006E11D6">
        <w:t>inherent variability of multiple treatments of subcutaneous tumors that cannot be visualized.</w:t>
      </w:r>
      <w:r w:rsidR="00E556D5" w:rsidRPr="006E11D6">
        <w:t xml:space="preserve"> </w:t>
      </w:r>
      <w:r w:rsidRPr="006E11D6">
        <w:t>By providing detailed insight into this technique, this article aims to support reproducibility and advance pre</w:t>
      </w:r>
      <w:r w:rsidR="00DC27AB" w:rsidRPr="006E11D6">
        <w:t>-</w:t>
      </w:r>
      <w:r w:rsidRPr="006E11D6">
        <w:t>clinical research in intratumoral immunotherapy.</w:t>
      </w:r>
    </w:p>
    <w:p w14:paraId="5A07215F" w14:textId="77777777" w:rsidR="00CB79CD" w:rsidRPr="006E11D6" w:rsidRDefault="00CB79CD" w:rsidP="006E11D6">
      <w:pPr>
        <w:rPr>
          <w:b/>
          <w:bCs/>
        </w:rPr>
      </w:pPr>
    </w:p>
    <w:p w14:paraId="4F0B84C2" w14:textId="42DAAC0C" w:rsidR="00340830" w:rsidRPr="006E11D6" w:rsidRDefault="00340830" w:rsidP="006E11D6">
      <w:pPr>
        <w:rPr>
          <w:b/>
          <w:bCs/>
          <w:color w:val="808080"/>
        </w:rPr>
      </w:pPr>
      <w:r w:rsidRPr="006E11D6">
        <w:rPr>
          <w:b/>
          <w:bCs/>
        </w:rPr>
        <w:t>INTRODUCTION:</w:t>
      </w:r>
    </w:p>
    <w:p w14:paraId="07F0E783" w14:textId="7D0F1A48" w:rsidR="00340830" w:rsidRPr="006E11D6" w:rsidRDefault="00340830" w:rsidP="006E11D6">
      <w:pPr>
        <w:rPr>
          <w:rFonts w:eastAsia="Aptos"/>
          <w:kern w:val="2"/>
          <w14:ligatures w14:val="standardContextual"/>
        </w:rPr>
      </w:pPr>
      <w:r w:rsidRPr="006E11D6">
        <w:rPr>
          <w:rFonts w:eastAsia="Aptos"/>
          <w:kern w:val="2"/>
          <w14:ligatures w14:val="standardContextual"/>
        </w:rPr>
        <w:lastRenderedPageBreak/>
        <w:t>Murine tumor models constitute an indispensable tool in cancer research. In an optimal mouse model, it would be possible to induce tumors that closely mimic human tumors at both genetic and morphologic level</w:t>
      </w:r>
      <w:r w:rsidR="0058219D" w:rsidRPr="006E11D6">
        <w:rPr>
          <w:rFonts w:eastAsia="Aptos"/>
          <w:kern w:val="2"/>
          <w14:ligatures w14:val="standardContextual"/>
        </w:rPr>
        <w:t>s</w:t>
      </w:r>
      <w:sdt>
        <w:sdtPr>
          <w:rPr>
            <w:rFonts w:eastAsia="Aptos"/>
            <w:color w:val="000000"/>
            <w:kern w:val="2"/>
            <w:vertAlign w:val="superscript"/>
            <w14:ligatures w14:val="standardContextual"/>
          </w:rPr>
          <w:tag w:val="MENDELEY_CITATION_v3_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"/>
          <w:id w:val="2093504160"/>
          <w:placeholder>
            <w:docPart w:val="DefaultPlaceholder_-1854013440"/>
          </w:placeholder>
        </w:sdtPr>
        <w:sdtContent>
          <w:r w:rsidR="00AF59B5" w:rsidRPr="006E11D6">
            <w:rPr>
              <w:rFonts w:eastAsia="Aptos"/>
              <w:color w:val="000000"/>
              <w:kern w:val="2"/>
              <w:vertAlign w:val="superscript"/>
              <w14:ligatures w14:val="standardContextual"/>
            </w:rPr>
            <w:t>1</w:t>
          </w:r>
        </w:sdtContent>
      </w:sdt>
      <w:r w:rsidRPr="006E11D6">
        <w:rPr>
          <w:rFonts w:eastAsia="Aptos"/>
          <w:kern w:val="2"/>
          <w14:ligatures w14:val="standardContextual"/>
        </w:rPr>
        <w:t xml:space="preserve">. This enables the assessment and efficiency of novel therapeutic approaches in different fields, including intratumoral immunotherapy (ITIT). ITIT is an emerging field in cancer treatment </w:t>
      </w:r>
      <w:r w:rsidR="002F6466" w:rsidRPr="006E11D6">
        <w:rPr>
          <w:rFonts w:eastAsia="Aptos"/>
          <w:kern w:val="2"/>
          <w14:ligatures w14:val="standardContextual"/>
        </w:rPr>
        <w:t>that</w:t>
      </w:r>
      <w:r w:rsidRPr="006E11D6">
        <w:rPr>
          <w:rFonts w:eastAsia="Aptos"/>
          <w:kern w:val="2"/>
          <w14:ligatures w14:val="standardContextual"/>
        </w:rPr>
        <w:t xml:space="preserve"> consists of directly administering immune-stimulating agents into the tumor micro-environment (TME). This localized delivery can enhance local immune activation, reverse the immunosuppressive tumor micro-environment</w:t>
      </w:r>
      <w:r w:rsidR="002F6466" w:rsidRPr="006E11D6">
        <w:rPr>
          <w:rFonts w:eastAsia="Aptos"/>
          <w:kern w:val="2"/>
          <w14:ligatures w14:val="standardContextual"/>
        </w:rPr>
        <w:t>,</w:t>
      </w:r>
      <w:r w:rsidRPr="006E11D6">
        <w:rPr>
          <w:rFonts w:eastAsia="Aptos"/>
          <w:kern w:val="2"/>
          <w14:ligatures w14:val="standardContextual"/>
        </w:rPr>
        <w:t xml:space="preserve"> and trigger systemic antitumor immune responses, known as the abscopal effect</w:t>
      </w:r>
      <w:sdt>
        <w:sdtPr>
          <w:rPr>
            <w:rFonts w:eastAsia="Aptos"/>
            <w:color w:val="000000"/>
            <w:kern w:val="2"/>
            <w:vertAlign w:val="superscript"/>
            <w14:ligatures w14:val="standardContextual"/>
          </w:rPr>
          <w:tag w:val="MENDELEY_CITATION_v3_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"/>
          <w:id w:val="-326364113"/>
          <w:placeholder>
            <w:docPart w:val="DefaultPlaceholder_-1854013440"/>
          </w:placeholder>
        </w:sdtPr>
        <w:sdtContent>
          <w:r w:rsidR="00AF59B5" w:rsidRPr="006E11D6">
            <w:rPr>
              <w:rFonts w:eastAsia="Aptos"/>
              <w:color w:val="000000"/>
              <w:kern w:val="2"/>
              <w:vertAlign w:val="superscript"/>
              <w14:ligatures w14:val="standardContextual"/>
            </w:rPr>
            <w:t>2</w:t>
          </w:r>
        </w:sdtContent>
      </w:sdt>
      <w:r w:rsidRPr="006E11D6">
        <w:rPr>
          <w:rFonts w:eastAsia="Aptos"/>
          <w:kern w:val="2"/>
          <w14:ligatures w14:val="standardContextual"/>
        </w:rPr>
        <w:t>. However, the efficiency, accuracy</w:t>
      </w:r>
      <w:r w:rsidR="002F6466" w:rsidRPr="006E11D6">
        <w:rPr>
          <w:rFonts w:eastAsia="Aptos"/>
          <w:kern w:val="2"/>
          <w14:ligatures w14:val="standardContextual"/>
        </w:rPr>
        <w:t>,</w:t>
      </w:r>
      <w:r w:rsidRPr="006E11D6">
        <w:rPr>
          <w:rFonts w:eastAsia="Aptos"/>
          <w:kern w:val="2"/>
          <w14:ligatures w14:val="standardContextual"/>
        </w:rPr>
        <w:t xml:space="preserve"> and consistency of intratumoral administration depend on the ability to visualize and control injection parameters in different tumor models. </w:t>
      </w:r>
    </w:p>
    <w:p w14:paraId="20AEE99A" w14:textId="77777777" w:rsidR="00CB3FAF" w:rsidRPr="006E11D6" w:rsidRDefault="00CB3FAF" w:rsidP="006E11D6">
      <w:pPr>
        <w:rPr>
          <w:rFonts w:eastAsia="Aptos"/>
          <w:kern w:val="2"/>
          <w14:ligatures w14:val="standardContextual"/>
        </w:rPr>
      </w:pPr>
    </w:p>
    <w:p w14:paraId="50CE5F67" w14:textId="289A0FBB" w:rsidR="00CB3FAF" w:rsidRPr="006E11D6" w:rsidRDefault="00CB3FAF" w:rsidP="006E11D6">
      <w:pPr>
        <w:rPr>
          <w:rFonts w:eastAsiaTheme="minorHAnsi"/>
          <w:kern w:val="2"/>
          <w14:ligatures w14:val="standardContextual"/>
        </w:rPr>
      </w:pPr>
      <w:r w:rsidRPr="006E11D6">
        <w:t>Most pre</w:t>
      </w:r>
      <w:r w:rsidR="00DC27AB" w:rsidRPr="006E11D6">
        <w:t>-</w:t>
      </w:r>
      <w:r w:rsidRPr="006E11D6">
        <w:t xml:space="preserve">clinical cancer studies use </w:t>
      </w:r>
      <w:r w:rsidRPr="006E11D6">
        <w:rPr>
          <w:rStyle w:val="Strong"/>
          <w:b w:val="0"/>
          <w:bCs w:val="0"/>
        </w:rPr>
        <w:t>subcutaneous tumor implantation</w:t>
      </w:r>
      <w:r w:rsidRPr="006E11D6">
        <w:t xml:space="preserve">. However, this approach has limitations for </w:t>
      </w:r>
      <w:r w:rsidRPr="006E11D6">
        <w:rPr>
          <w:rStyle w:val="Strong"/>
          <w:b w:val="0"/>
          <w:bCs w:val="0"/>
        </w:rPr>
        <w:t>intratumoral therapies</w:t>
      </w:r>
      <w:r w:rsidRPr="006E11D6">
        <w:t xml:space="preserve"> because the tumor cannot be directly visualized during injection unless surgery is performed. Many intratumoral immunotherapy strategies require precise delivery of reagents into small mouse tumors</w:t>
      </w:r>
      <w:r w:rsidR="00DD78EF" w:rsidRPr="006E11D6">
        <w:t xml:space="preserve"> and often entail accomplishing that task multiple times</w:t>
      </w:r>
      <w:r w:rsidRPr="006E11D6">
        <w:t xml:space="preserve">. Without visual confirmation, injection accuracy and reagent retention within subcutaneous tumors become poorly controlled variables. </w:t>
      </w:r>
      <w:r w:rsidRPr="006E11D6">
        <w:rPr>
          <w:rFonts w:eastAsia="Aptos"/>
          <w:kern w:val="2"/>
          <w14:ligatures w14:val="standardContextual"/>
        </w:rPr>
        <w:t>This could result in misinterpretation/variation of experimental data</w:t>
      </w:r>
      <w:sdt>
        <w:sdtPr>
          <w:rPr>
            <w:rFonts w:eastAsia="Aptos"/>
            <w:color w:val="000000"/>
            <w:kern w:val="2"/>
            <w:vertAlign w:val="superscript"/>
            <w14:ligatures w14:val="standardContextual"/>
          </w:rPr>
          <w:tag w:val="MENDELEY_CITATION_v3_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"/>
          <w:id w:val="1414198156"/>
          <w:placeholder>
            <w:docPart w:val="26D567C5EF8B8E45AE132E2FDB2AB3E3"/>
          </w:placeholder>
        </w:sdtPr>
        <w:sdtContent>
          <w:r w:rsidR="00AF59B5" w:rsidRPr="006E11D6">
            <w:rPr>
              <w:rFonts w:eastAsia="Aptos"/>
              <w:color w:val="000000"/>
              <w:kern w:val="2"/>
              <w:vertAlign w:val="superscript"/>
              <w14:ligatures w14:val="standardContextual"/>
            </w:rPr>
            <w:t>3</w:t>
          </w:r>
        </w:sdtContent>
      </w:sdt>
      <w:r w:rsidRPr="006E11D6">
        <w:rPr>
          <w:rFonts w:eastAsia="Aptos"/>
          <w:kern w:val="2"/>
          <w14:ligatures w14:val="standardContextual"/>
        </w:rPr>
        <w:t>.</w:t>
      </w:r>
    </w:p>
    <w:p w14:paraId="398AB5BC" w14:textId="77777777" w:rsidR="00CB3FAF" w:rsidRPr="006E11D6" w:rsidRDefault="00CB3FAF" w:rsidP="006E11D6">
      <w:pPr>
        <w:rPr>
          <w:rFonts w:eastAsia="Aptos"/>
          <w:kern w:val="2"/>
          <w14:ligatures w14:val="standardContextual"/>
        </w:rPr>
      </w:pPr>
    </w:p>
    <w:p w14:paraId="33672EFA" w14:textId="5AA8608A" w:rsidR="00340830" w:rsidRPr="006E11D6" w:rsidRDefault="00CB3FAF" w:rsidP="006E11D6">
      <w:pPr>
        <w:rPr>
          <w:rFonts w:eastAsia="Aptos"/>
          <w:kern w:val="2"/>
          <w14:ligatures w14:val="standardContextual"/>
        </w:rPr>
      </w:pPr>
      <w:r w:rsidRPr="006E11D6">
        <w:rPr>
          <w:rFonts w:eastAsia="Aptos"/>
          <w:kern w:val="2"/>
          <w14:ligatures w14:val="standardContextual"/>
        </w:rPr>
        <w:t>Intr</w:t>
      </w:r>
      <w:r w:rsidR="00340830" w:rsidRPr="006E11D6">
        <w:rPr>
          <w:rFonts w:eastAsia="Aptos"/>
          <w:kern w:val="2"/>
          <w14:ligatures w14:val="standardContextual"/>
        </w:rPr>
        <w:t>adermal tumor implantation provides a direct</w:t>
      </w:r>
      <w:r w:rsidRPr="006E11D6">
        <w:rPr>
          <w:rFonts w:eastAsia="Aptos"/>
          <w:kern w:val="2"/>
          <w14:ligatures w14:val="standardContextual"/>
        </w:rPr>
        <w:t>,</w:t>
      </w:r>
      <w:r w:rsidR="00340830" w:rsidRPr="006E11D6">
        <w:rPr>
          <w:rFonts w:eastAsia="Aptos"/>
          <w:kern w:val="2"/>
          <w14:ligatures w14:val="standardContextual"/>
        </w:rPr>
        <w:t xml:space="preserve"> accessible, visualizable</w:t>
      </w:r>
      <w:r w:rsidRPr="006E11D6">
        <w:rPr>
          <w:rFonts w:eastAsia="Aptos"/>
          <w:kern w:val="2"/>
          <w14:ligatures w14:val="standardContextual"/>
        </w:rPr>
        <w:t>,</w:t>
      </w:r>
      <w:r w:rsidR="00340830" w:rsidRPr="006E11D6">
        <w:rPr>
          <w:rFonts w:eastAsia="Aptos"/>
          <w:kern w:val="2"/>
          <w14:ligatures w14:val="standardContextual"/>
        </w:rPr>
        <w:t xml:space="preserve"> and reproducible alternative for tumor observation, measurement, and intratumoral injection</w:t>
      </w:r>
      <w:r w:rsidR="00BC6BCB" w:rsidRPr="006E11D6">
        <w:rPr>
          <w:rFonts w:eastAsia="Aptos"/>
          <w:kern w:val="2"/>
          <w14:ligatures w14:val="standardContextual"/>
        </w:rPr>
        <w:t>,</w:t>
      </w:r>
      <w:r w:rsidR="00340830" w:rsidRPr="006E11D6">
        <w:rPr>
          <w:rFonts w:eastAsia="Aptos"/>
          <w:kern w:val="2"/>
          <w14:ligatures w14:val="standardContextual"/>
        </w:rPr>
        <w:t xml:space="preserve"> thus enhancing consistency. Moreover, studies have shown that tumors implanted intradermally, as opposed to subcutaneous injections, enhance immunogenicity and suppress</w:t>
      </w:r>
      <w:r w:rsidR="00BC6BCB" w:rsidRPr="006E11D6">
        <w:rPr>
          <w:rFonts w:eastAsia="Aptos"/>
          <w:kern w:val="2"/>
          <w14:ligatures w14:val="standardContextual"/>
        </w:rPr>
        <w:t xml:space="preserve"> the</w:t>
      </w:r>
      <w:r w:rsidR="00340830" w:rsidRPr="006E11D6">
        <w:rPr>
          <w:rFonts w:eastAsia="Aptos"/>
          <w:kern w:val="2"/>
          <w14:ligatures w14:val="standardContextual"/>
        </w:rPr>
        <w:t xml:space="preserve"> tumorigenicity of tumor cell</w:t>
      </w:r>
      <w:r w:rsidR="007D262B" w:rsidRPr="006E11D6">
        <w:rPr>
          <w:rFonts w:eastAsia="Aptos"/>
          <w:kern w:val="2"/>
          <w14:ligatures w14:val="standardContextual"/>
        </w:rPr>
        <w:t>s</w:t>
      </w:r>
      <w:sdt>
        <w:sdtPr>
          <w:rPr>
            <w:rFonts w:eastAsia="Aptos"/>
            <w:color w:val="000000"/>
            <w:kern w:val="2"/>
            <w:vertAlign w:val="superscript"/>
            <w14:ligatures w14:val="standardContextual"/>
          </w:rPr>
          <w:tag w:val="MENDELEY_CITATION_v3_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"/>
          <w:id w:val="1972709423"/>
          <w:placeholder>
            <w:docPart w:val="DefaultPlaceholder_-1854013440"/>
          </w:placeholder>
        </w:sdtPr>
        <w:sdtContent>
          <w:r w:rsidR="00AF59B5" w:rsidRPr="006E11D6">
            <w:rPr>
              <w:rFonts w:eastAsia="Aptos"/>
              <w:color w:val="000000"/>
              <w:kern w:val="2"/>
              <w:vertAlign w:val="superscript"/>
              <w14:ligatures w14:val="standardContextual"/>
            </w:rPr>
            <w:t>4</w:t>
          </w:r>
        </w:sdtContent>
      </w:sdt>
      <w:r w:rsidR="007D262B" w:rsidRPr="006E11D6">
        <w:rPr>
          <w:rFonts w:eastAsia="Aptos"/>
          <w:kern w:val="2"/>
          <w14:ligatures w14:val="standardContextual"/>
        </w:rPr>
        <w:t>.</w:t>
      </w:r>
      <w:r w:rsidR="00340830" w:rsidRPr="006E11D6">
        <w:rPr>
          <w:rFonts w:eastAsia="Aptos"/>
          <w:kern w:val="2"/>
          <w14:ligatures w14:val="standardContextual"/>
        </w:rPr>
        <w:t xml:space="preserve"> Intradermally injected tumors induced rapid and strong dendritic cell trafficking to lymph nodes, resulting in earlier and more robust activation of tumor-specific cytotoxic T cell</w:t>
      </w:r>
      <w:r w:rsidR="007D262B" w:rsidRPr="006E11D6">
        <w:rPr>
          <w:rFonts w:eastAsia="Aptos"/>
          <w:kern w:val="2"/>
          <w14:ligatures w14:val="standardContextual"/>
        </w:rPr>
        <w:t>s</w:t>
      </w:r>
      <w:sdt>
        <w:sdtPr>
          <w:rPr>
            <w:rFonts w:eastAsia="Aptos"/>
            <w:color w:val="000000"/>
            <w:kern w:val="2"/>
            <w:vertAlign w:val="superscript"/>
            <w14:ligatures w14:val="standardContextual"/>
          </w:rPr>
          <w:tag w:val="MENDELEY_CITATION_v3_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"/>
          <w:id w:val="517587884"/>
          <w:placeholder>
            <w:docPart w:val="DefaultPlaceholder_-1854013440"/>
          </w:placeholder>
        </w:sdtPr>
        <w:sdtContent>
          <w:r w:rsidR="00AF59B5" w:rsidRPr="006E11D6">
            <w:rPr>
              <w:rFonts w:eastAsia="Aptos"/>
              <w:color w:val="000000"/>
              <w:kern w:val="2"/>
              <w:vertAlign w:val="superscript"/>
              <w14:ligatures w14:val="standardContextual"/>
            </w:rPr>
            <w:t>4</w:t>
          </w:r>
        </w:sdtContent>
      </w:sdt>
      <w:r w:rsidR="007D262B" w:rsidRPr="006E11D6">
        <w:rPr>
          <w:rFonts w:eastAsia="Aptos"/>
          <w:kern w:val="2"/>
          <w14:ligatures w14:val="standardContextual"/>
        </w:rPr>
        <w:t>.</w:t>
      </w:r>
      <w:r w:rsidR="00340830" w:rsidRPr="006E11D6">
        <w:rPr>
          <w:rFonts w:eastAsia="Aptos"/>
          <w:kern w:val="2"/>
          <w14:ligatures w14:val="standardContextual"/>
        </w:rPr>
        <w:t xml:space="preserve"> </w:t>
      </w:r>
      <w:r w:rsidR="005B00ED" w:rsidRPr="006E11D6">
        <w:rPr>
          <w:rFonts w:eastAsia="Aptos"/>
          <w:kern w:val="2"/>
          <w14:ligatures w14:val="standardContextual"/>
        </w:rPr>
        <w:t xml:space="preserve">The present study </w:t>
      </w:r>
      <w:r w:rsidR="00340830" w:rsidRPr="006E11D6">
        <w:rPr>
          <w:rFonts w:eastAsia="Aptos"/>
          <w:kern w:val="2"/>
          <w14:ligatures w14:val="standardContextual"/>
        </w:rPr>
        <w:t>describe</w:t>
      </w:r>
      <w:r w:rsidR="005B00ED" w:rsidRPr="006E11D6">
        <w:rPr>
          <w:rFonts w:eastAsia="Aptos"/>
          <w:kern w:val="2"/>
          <w14:ligatures w14:val="standardContextual"/>
        </w:rPr>
        <w:t>s</w:t>
      </w:r>
      <w:r w:rsidR="00340830" w:rsidRPr="006E11D6">
        <w:rPr>
          <w:rFonts w:eastAsia="Aptos"/>
          <w:kern w:val="2"/>
          <w14:ligatures w14:val="standardContextual"/>
        </w:rPr>
        <w:t xml:space="preserve"> a detailed and reproducible protocol for establishing intradermal B16F10 melanoma tumors in C57BL/6 mice and performing subsequent intratumoral treatments.</w:t>
      </w:r>
    </w:p>
    <w:p w14:paraId="1881F8A7" w14:textId="77777777" w:rsidR="00340830" w:rsidRPr="006E11D6" w:rsidRDefault="00340830" w:rsidP="006E11D6">
      <w:pPr>
        <w:rPr>
          <w:b/>
        </w:rPr>
      </w:pPr>
    </w:p>
    <w:p w14:paraId="4D2CCB40" w14:textId="77777777" w:rsidR="00340830" w:rsidRPr="006E11D6" w:rsidRDefault="00340830" w:rsidP="006E11D6">
      <w:pPr>
        <w:rPr>
          <w:color w:val="808080"/>
        </w:rPr>
      </w:pPr>
      <w:r w:rsidRPr="006E11D6">
        <w:rPr>
          <w:b/>
        </w:rPr>
        <w:t>PROTOCOL:</w:t>
      </w:r>
    </w:p>
    <w:p w14:paraId="62FF7213" w14:textId="674ED80D" w:rsidR="00CB3FAF" w:rsidRPr="006E11D6" w:rsidRDefault="00340830" w:rsidP="006E11D6">
      <w:r w:rsidRPr="006E11D6">
        <w:t>All procedures were conducted with the approval of, and in compliance with, the Institutional Animal Care and Use Committee (IACUC) guideline</w:t>
      </w:r>
      <w:r w:rsidR="007351A8" w:rsidRPr="006E11D6">
        <w:t>s</w:t>
      </w:r>
      <w:sdt>
        <w:sdtPr>
          <w:rPr>
            <w:color w:val="000000"/>
            <w:vertAlign w:val="superscript"/>
          </w:rPr>
          <w:tag w:val="MENDELEY_CITATION_v3_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"/>
          <w:id w:val="428004616"/>
          <w:placeholder>
            <w:docPart w:val="DefaultPlaceholder_-1854013440"/>
          </w:placeholder>
        </w:sdtPr>
        <w:sdtContent>
          <w:r w:rsidR="00AF59B5" w:rsidRPr="006E11D6">
            <w:rPr>
              <w:color w:val="000000"/>
              <w:vertAlign w:val="superscript"/>
            </w:rPr>
            <w:t>5</w:t>
          </w:r>
        </w:sdtContent>
      </w:sdt>
      <w:r w:rsidR="007351A8" w:rsidRPr="006E11D6">
        <w:t>.</w:t>
      </w:r>
      <w:r w:rsidR="00E556D5" w:rsidRPr="006E11D6">
        <w:t xml:space="preserve"> All </w:t>
      </w:r>
      <w:r w:rsidRPr="006E11D6">
        <w:t>animal procedures were performed in Dartmouth’s Animal Facility. Female C57BL/6 mice, 6–8 weeks of age, were housed under standard conditions on ventilated racks with food and water.</w:t>
      </w:r>
      <w:r w:rsidR="00BC6BCB" w:rsidRPr="006E11D6">
        <w:t xml:space="preserve"> The reagents and the equipment used </w:t>
      </w:r>
      <w:r w:rsidR="00B7298E" w:rsidRPr="006E11D6">
        <w:t xml:space="preserve">are listed in the </w:t>
      </w:r>
      <w:r w:rsidR="00B7298E" w:rsidRPr="006E11D6">
        <w:rPr>
          <w:b/>
          <w:bCs/>
        </w:rPr>
        <w:t>Table of Materials</w:t>
      </w:r>
      <w:r w:rsidR="00B7298E" w:rsidRPr="006E11D6">
        <w:t>.</w:t>
      </w:r>
    </w:p>
    <w:p w14:paraId="0A44DA58" w14:textId="77777777" w:rsidR="00340830" w:rsidRPr="006E11D6" w:rsidRDefault="00340830" w:rsidP="006E11D6"/>
    <w:p w14:paraId="1D4C6BAC" w14:textId="77777777" w:rsidR="00340830" w:rsidRPr="006E11D6" w:rsidRDefault="00340830" w:rsidP="006E11D6">
      <w:pPr>
        <w:pStyle w:val="ListParagraph"/>
        <w:numPr>
          <w:ilvl w:val="0"/>
          <w:numId w:val="14"/>
        </w:numPr>
        <w:spacing w:after="0" w:line="240" w:lineRule="auto"/>
        <w:ind w:left="0" w:firstLine="0"/>
        <w:jc w:val="both"/>
        <w:rPr>
          <w:rFonts w:ascii="Calibri" w:hAnsi="Calibri" w:cs="Calibri"/>
          <w:b/>
          <w:bCs/>
          <w:sz w:val="24"/>
          <w:szCs w:val="24"/>
        </w:rPr>
      </w:pPr>
      <w:r w:rsidRPr="006E11D6">
        <w:rPr>
          <w:rFonts w:ascii="Calibri" w:hAnsi="Calibri" w:cs="Calibri"/>
          <w:b/>
          <w:bCs/>
          <w:sz w:val="24"/>
          <w:szCs w:val="24"/>
        </w:rPr>
        <w:t xml:space="preserve">Shaving mice </w:t>
      </w:r>
      <w:r w:rsidRPr="006E11D6">
        <w:rPr>
          <w:rFonts w:ascii="Calibri" w:hAnsi="Calibri" w:cs="Calibri"/>
          <w:sz w:val="24"/>
          <w:szCs w:val="24"/>
        </w:rPr>
        <w:t xml:space="preserve"> </w:t>
      </w:r>
    </w:p>
    <w:p w14:paraId="19E5998D" w14:textId="77777777" w:rsidR="00664DB9" w:rsidRPr="006E11D6" w:rsidRDefault="00664DB9" w:rsidP="006E11D6">
      <w:pPr>
        <w:pStyle w:val="ListParagraph"/>
        <w:spacing w:after="0" w:line="240" w:lineRule="auto"/>
        <w:ind w:left="0"/>
        <w:jc w:val="both"/>
        <w:rPr>
          <w:rStyle w:val="Strong"/>
          <w:rFonts w:ascii="Calibri" w:hAnsi="Calibri" w:cs="Calibri"/>
          <w:color w:val="EE0000"/>
          <w:sz w:val="24"/>
          <w:szCs w:val="24"/>
        </w:rPr>
      </w:pPr>
    </w:p>
    <w:p w14:paraId="17CB5BF6" w14:textId="20B9C872" w:rsidR="00340830" w:rsidRPr="006E11D6" w:rsidRDefault="00DC708B" w:rsidP="006E11D6">
      <w:pPr>
        <w:pStyle w:val="ListParagraph"/>
        <w:spacing w:after="0" w:line="240" w:lineRule="auto"/>
        <w:ind w:left="0"/>
        <w:jc w:val="both"/>
        <w:rPr>
          <w:rFonts w:ascii="Calibri" w:hAnsi="Calibri" w:cs="Calibri"/>
          <w:sz w:val="24"/>
          <w:szCs w:val="24"/>
        </w:rPr>
      </w:pPr>
      <w:r w:rsidRPr="006E11D6">
        <w:rPr>
          <w:rStyle w:val="Strong"/>
          <w:rFonts w:ascii="Calibri" w:hAnsi="Calibri" w:cs="Calibri"/>
          <w:b w:val="0"/>
          <w:bCs w:val="0"/>
          <w:sz w:val="24"/>
          <w:szCs w:val="24"/>
        </w:rPr>
        <w:t>NOTE:</w:t>
      </w:r>
      <w:r w:rsidRPr="006E11D6">
        <w:rPr>
          <w:rFonts w:ascii="Calibri" w:hAnsi="Calibri" w:cs="Calibri"/>
          <w:sz w:val="24"/>
          <w:szCs w:val="24"/>
        </w:rPr>
        <w:t xml:space="preserve"> </w:t>
      </w:r>
      <w:r w:rsidR="00340830" w:rsidRPr="006E11D6">
        <w:rPr>
          <w:rFonts w:ascii="Calibri" w:hAnsi="Calibri" w:cs="Calibri"/>
          <w:sz w:val="24"/>
          <w:szCs w:val="24"/>
        </w:rPr>
        <w:t>All personnel must complete institutional training in live animal handling and anesthesia prior to performing these procedures.</w:t>
      </w:r>
    </w:p>
    <w:p w14:paraId="0E44A4CF" w14:textId="77777777" w:rsidR="001A0AE0" w:rsidRPr="006E11D6" w:rsidRDefault="001A0AE0" w:rsidP="006E11D6">
      <w:pPr>
        <w:pStyle w:val="ListParagraph"/>
        <w:spacing w:after="0" w:line="240" w:lineRule="auto"/>
        <w:ind w:left="0"/>
        <w:jc w:val="both"/>
        <w:rPr>
          <w:rFonts w:ascii="Calibri" w:hAnsi="Calibri" w:cs="Calibri"/>
          <w:sz w:val="24"/>
          <w:szCs w:val="24"/>
        </w:rPr>
      </w:pPr>
    </w:p>
    <w:p w14:paraId="4BC18199" w14:textId="6D304616" w:rsidR="00977DD2" w:rsidRPr="006E11D6" w:rsidRDefault="00340830" w:rsidP="006E11D6">
      <w:pPr>
        <w:pStyle w:val="NormalWeb"/>
        <w:numPr>
          <w:ilvl w:val="1"/>
          <w:numId w:val="14"/>
        </w:numPr>
        <w:spacing w:before="0" w:beforeAutospacing="0" w:after="0" w:afterAutospacing="0"/>
        <w:ind w:left="0" w:firstLine="0"/>
        <w:jc w:val="both"/>
        <w:rPr>
          <w:rFonts w:ascii="Calibri" w:hAnsi="Calibri" w:cs="Calibri"/>
        </w:rPr>
      </w:pPr>
      <w:r w:rsidRPr="006E11D6">
        <w:rPr>
          <w:rFonts w:ascii="Calibri" w:hAnsi="Calibri" w:cs="Calibri"/>
        </w:rPr>
        <w:t>Prior to intradermal injection</w:t>
      </w:r>
      <w:r w:rsidR="00DC708B" w:rsidRPr="006E11D6">
        <w:rPr>
          <w:rFonts w:ascii="Calibri" w:hAnsi="Calibri" w:cs="Calibri"/>
        </w:rPr>
        <w:t>,</w:t>
      </w:r>
      <w:r w:rsidRPr="006E11D6">
        <w:rPr>
          <w:rFonts w:ascii="Calibri" w:hAnsi="Calibri" w:cs="Calibri"/>
        </w:rPr>
        <w:t xml:space="preserve"> shave the flank of each mouse as described below;</w:t>
      </w:r>
      <w:r w:rsidR="00977DD2" w:rsidRPr="006E11D6">
        <w:rPr>
          <w:rFonts w:ascii="Calibri" w:hAnsi="Calibri" w:cs="Calibri"/>
        </w:rPr>
        <w:t xml:space="preserve"> t</w:t>
      </w:r>
      <w:r w:rsidRPr="006E11D6">
        <w:rPr>
          <w:rFonts w:ascii="Calibri" w:hAnsi="Calibri" w:cs="Calibri"/>
        </w:rPr>
        <w:t xml:space="preserve">he right flank </w:t>
      </w:r>
      <w:r w:rsidR="00977DD2" w:rsidRPr="006E11D6">
        <w:rPr>
          <w:rFonts w:ascii="Calibri" w:hAnsi="Calibri" w:cs="Calibri"/>
        </w:rPr>
        <w:t xml:space="preserve">was used </w:t>
      </w:r>
      <w:r w:rsidRPr="006E11D6">
        <w:rPr>
          <w:rFonts w:ascii="Calibri" w:hAnsi="Calibri" w:cs="Calibri"/>
        </w:rPr>
        <w:t>for</w:t>
      </w:r>
      <w:r w:rsidR="00977DD2" w:rsidRPr="006E11D6">
        <w:rPr>
          <w:rFonts w:ascii="Calibri" w:hAnsi="Calibri" w:cs="Calibri"/>
        </w:rPr>
        <w:t xml:space="preserve"> </w:t>
      </w:r>
      <w:r w:rsidRPr="006E11D6">
        <w:rPr>
          <w:rFonts w:ascii="Calibri" w:hAnsi="Calibri" w:cs="Calibri"/>
        </w:rPr>
        <w:t>injection</w:t>
      </w:r>
      <w:r w:rsidR="00977DD2" w:rsidRPr="006E11D6">
        <w:rPr>
          <w:rFonts w:ascii="Calibri" w:hAnsi="Calibri" w:cs="Calibri"/>
        </w:rPr>
        <w:t>s</w:t>
      </w:r>
      <w:r w:rsidRPr="006E11D6">
        <w:rPr>
          <w:rFonts w:ascii="Calibri" w:hAnsi="Calibri" w:cs="Calibri"/>
        </w:rPr>
        <w:t xml:space="preserve"> and </w:t>
      </w:r>
      <w:r w:rsidR="00977DD2" w:rsidRPr="006E11D6">
        <w:rPr>
          <w:rFonts w:ascii="Calibri" w:hAnsi="Calibri" w:cs="Calibri"/>
        </w:rPr>
        <w:t xml:space="preserve">the </w:t>
      </w:r>
      <w:r w:rsidRPr="006E11D6">
        <w:rPr>
          <w:rFonts w:ascii="Calibri" w:hAnsi="Calibri" w:cs="Calibri"/>
        </w:rPr>
        <w:t>describe</w:t>
      </w:r>
      <w:r w:rsidR="00977DD2" w:rsidRPr="006E11D6">
        <w:rPr>
          <w:rFonts w:ascii="Calibri" w:hAnsi="Calibri" w:cs="Calibri"/>
        </w:rPr>
        <w:t>d</w:t>
      </w:r>
      <w:r w:rsidRPr="006E11D6">
        <w:rPr>
          <w:rFonts w:ascii="Calibri" w:hAnsi="Calibri" w:cs="Calibri"/>
        </w:rPr>
        <w:t xml:space="preserve"> procedures</w:t>
      </w:r>
      <w:r w:rsidR="00977DD2" w:rsidRPr="006E11D6">
        <w:rPr>
          <w:rFonts w:ascii="Calibri" w:hAnsi="Calibri" w:cs="Calibri"/>
        </w:rPr>
        <w:t>. S</w:t>
      </w:r>
      <w:r w:rsidRPr="006E11D6">
        <w:rPr>
          <w:rFonts w:ascii="Calibri" w:hAnsi="Calibri" w:cs="Calibri"/>
        </w:rPr>
        <w:t xml:space="preserve">have the mice the day prior to injecting tumor </w:t>
      </w:r>
      <w:r w:rsidR="00977DD2" w:rsidRPr="006E11D6">
        <w:rPr>
          <w:rFonts w:ascii="Calibri" w:hAnsi="Calibri" w:cs="Calibri"/>
        </w:rPr>
        <w:t>cells</w:t>
      </w:r>
      <w:r w:rsidR="00CB3FAF" w:rsidRPr="006E11D6">
        <w:rPr>
          <w:rFonts w:ascii="Calibri" w:hAnsi="Calibri" w:cs="Calibri"/>
        </w:rPr>
        <w:t>.</w:t>
      </w:r>
    </w:p>
    <w:p w14:paraId="4E9B8D0A" w14:textId="77777777" w:rsidR="000A5B4D" w:rsidRPr="006E11D6" w:rsidRDefault="000A5B4D" w:rsidP="006E11D6">
      <w:pPr>
        <w:pStyle w:val="NormalWeb"/>
        <w:spacing w:before="0" w:beforeAutospacing="0" w:after="0" w:afterAutospacing="0"/>
        <w:jc w:val="both"/>
        <w:rPr>
          <w:rFonts w:ascii="Calibri" w:hAnsi="Calibri" w:cs="Calibri"/>
        </w:rPr>
      </w:pPr>
    </w:p>
    <w:p w14:paraId="2B393887" w14:textId="490EE048" w:rsidR="00977DD2" w:rsidRPr="006E11D6" w:rsidRDefault="000A5B4D" w:rsidP="006E11D6">
      <w:pPr>
        <w:pStyle w:val="NormalWeb"/>
        <w:numPr>
          <w:ilvl w:val="1"/>
          <w:numId w:val="14"/>
        </w:numPr>
        <w:spacing w:before="0" w:beforeAutospacing="0" w:after="0" w:afterAutospacing="0"/>
        <w:ind w:left="0" w:firstLine="0"/>
        <w:jc w:val="both"/>
        <w:rPr>
          <w:rFonts w:ascii="Calibri" w:hAnsi="Calibri" w:cs="Calibri"/>
        </w:rPr>
      </w:pPr>
      <w:r w:rsidRPr="006E11D6">
        <w:rPr>
          <w:rFonts w:ascii="Calibri" w:hAnsi="Calibri" w:cs="Calibri"/>
        </w:rPr>
        <w:lastRenderedPageBreak/>
        <w:t>Anesthetize mice according to institutional guidelines</w:t>
      </w:r>
      <w:r w:rsidR="00340830" w:rsidRPr="006E11D6">
        <w:rPr>
          <w:rFonts w:ascii="Calibri" w:hAnsi="Calibri" w:cs="Calibri"/>
        </w:rPr>
        <w:t xml:space="preserve"> (</w:t>
      </w:r>
      <w:r w:rsidR="003B6F93" w:rsidRPr="006E11D6">
        <w:rPr>
          <w:rFonts w:ascii="Calibri" w:hAnsi="Calibri" w:cs="Calibri"/>
        </w:rPr>
        <w:t xml:space="preserve">the lab uses </w:t>
      </w:r>
      <w:r w:rsidR="00340830" w:rsidRPr="006E11D6">
        <w:rPr>
          <w:rFonts w:ascii="Calibri" w:hAnsi="Calibri" w:cs="Calibri"/>
        </w:rPr>
        <w:t>2</w:t>
      </w:r>
      <w:r w:rsidR="00DC708B" w:rsidRPr="006E11D6">
        <w:rPr>
          <w:rFonts w:ascii="Calibri" w:hAnsi="Calibri" w:cs="Calibri"/>
        </w:rPr>
        <w:t>%</w:t>
      </w:r>
      <w:r w:rsidR="00340830" w:rsidRPr="006E11D6">
        <w:rPr>
          <w:rFonts w:ascii="Calibri" w:hAnsi="Calibri" w:cs="Calibri"/>
        </w:rPr>
        <w:t>–2.5% isoflurane mixed with air).</w:t>
      </w:r>
    </w:p>
    <w:p w14:paraId="60AA6D4D" w14:textId="77777777" w:rsidR="000A5B4D" w:rsidRPr="006E11D6" w:rsidRDefault="000A5B4D" w:rsidP="006E11D6">
      <w:pPr>
        <w:pStyle w:val="NormalWeb"/>
        <w:spacing w:before="0" w:beforeAutospacing="0" w:after="0" w:afterAutospacing="0"/>
        <w:jc w:val="both"/>
        <w:rPr>
          <w:rFonts w:ascii="Calibri" w:hAnsi="Calibri" w:cs="Calibri"/>
        </w:rPr>
      </w:pPr>
    </w:p>
    <w:p w14:paraId="4D79F474" w14:textId="7E37BF52" w:rsidR="00977DD2" w:rsidRPr="006E11D6" w:rsidRDefault="00340830" w:rsidP="006E11D6">
      <w:pPr>
        <w:pStyle w:val="NormalWeb"/>
        <w:numPr>
          <w:ilvl w:val="1"/>
          <w:numId w:val="14"/>
        </w:numPr>
        <w:spacing w:before="0" w:beforeAutospacing="0" w:after="0" w:afterAutospacing="0"/>
        <w:ind w:left="0" w:firstLine="0"/>
        <w:jc w:val="both"/>
        <w:rPr>
          <w:rFonts w:ascii="Calibri" w:hAnsi="Calibri" w:cs="Calibri"/>
        </w:rPr>
      </w:pPr>
      <w:r w:rsidRPr="006E11D6">
        <w:rPr>
          <w:rFonts w:ascii="Calibri" w:hAnsi="Calibri" w:cs="Calibri"/>
        </w:rPr>
        <w:t>Once anesthetized, position the mouse on a stable surface. Scruff the mouse by the skin</w:t>
      </w:r>
      <w:r w:rsidR="00790705" w:rsidRPr="006E11D6">
        <w:rPr>
          <w:rFonts w:ascii="Calibri" w:hAnsi="Calibri" w:cs="Calibri"/>
        </w:rPr>
        <w:t xml:space="preserve"> of</w:t>
      </w:r>
      <w:r w:rsidRPr="006E11D6">
        <w:rPr>
          <w:rFonts w:ascii="Calibri" w:hAnsi="Calibri" w:cs="Calibri"/>
        </w:rPr>
        <w:t xml:space="preserve"> the nape with the left thumb and index finger</w:t>
      </w:r>
      <w:r w:rsidR="00DC708B" w:rsidRPr="006E11D6">
        <w:rPr>
          <w:rFonts w:ascii="Calibri" w:hAnsi="Calibri" w:cs="Calibri"/>
        </w:rPr>
        <w:t>,</w:t>
      </w:r>
      <w:r w:rsidRPr="006E11D6">
        <w:rPr>
          <w:rFonts w:ascii="Calibri" w:hAnsi="Calibri" w:cs="Calibri"/>
        </w:rPr>
        <w:t xml:space="preserve"> and gently tuck the left side of the body into the palm </w:t>
      </w:r>
      <w:r w:rsidR="00790705" w:rsidRPr="006E11D6">
        <w:rPr>
          <w:rFonts w:ascii="Calibri" w:hAnsi="Calibri" w:cs="Calibri"/>
        </w:rPr>
        <w:t>to expose the right side</w:t>
      </w:r>
      <w:r w:rsidRPr="006E11D6">
        <w:rPr>
          <w:rFonts w:ascii="Calibri" w:hAnsi="Calibri" w:cs="Calibri"/>
        </w:rPr>
        <w:t>. Use the ring and/or pinky fingers to hold the left leg and tail, ensuring the right flank is fully exposed.</w:t>
      </w:r>
    </w:p>
    <w:p w14:paraId="049F8258" w14:textId="77777777" w:rsidR="00DC708B" w:rsidRPr="006E11D6" w:rsidRDefault="00DC708B" w:rsidP="006E11D6">
      <w:pPr>
        <w:pStyle w:val="NormalWeb"/>
        <w:spacing w:before="0" w:beforeAutospacing="0" w:after="0" w:afterAutospacing="0"/>
        <w:jc w:val="both"/>
        <w:rPr>
          <w:rStyle w:val="Strong"/>
          <w:rFonts w:ascii="Calibri" w:hAnsi="Calibri" w:cs="Calibri"/>
          <w:color w:val="EE0000"/>
        </w:rPr>
      </w:pPr>
    </w:p>
    <w:p w14:paraId="2C421535" w14:textId="260BC9E8" w:rsidR="00977DD2" w:rsidRPr="006E11D6" w:rsidRDefault="00DC708B" w:rsidP="006E11D6">
      <w:pPr>
        <w:pStyle w:val="NormalWeb"/>
        <w:spacing w:before="0" w:beforeAutospacing="0" w:after="0" w:afterAutospacing="0"/>
        <w:jc w:val="both"/>
        <w:rPr>
          <w:rFonts w:ascii="Calibri" w:hAnsi="Calibri" w:cs="Calibri"/>
        </w:rPr>
      </w:pPr>
      <w:r w:rsidRPr="006E11D6">
        <w:rPr>
          <w:rStyle w:val="Strong"/>
          <w:rFonts w:ascii="Calibri" w:hAnsi="Calibri" w:cs="Calibri"/>
          <w:b w:val="0"/>
          <w:bCs w:val="0"/>
        </w:rPr>
        <w:t>NOTE:</w:t>
      </w:r>
      <w:r w:rsidRPr="006E11D6">
        <w:rPr>
          <w:rFonts w:ascii="Calibri" w:hAnsi="Calibri" w:cs="Calibri"/>
        </w:rPr>
        <w:t xml:space="preserve"> </w:t>
      </w:r>
      <w:r w:rsidR="00340830" w:rsidRPr="006E11D6">
        <w:rPr>
          <w:rFonts w:ascii="Calibri" w:hAnsi="Calibri" w:cs="Calibri"/>
        </w:rPr>
        <w:t>Mice that are not fully anesthetized may move or attempt to escape—handle carefully.</w:t>
      </w:r>
    </w:p>
    <w:p w14:paraId="286DB573" w14:textId="77777777" w:rsidR="001A0AE0" w:rsidRPr="006E11D6" w:rsidRDefault="001A0AE0" w:rsidP="006E11D6">
      <w:pPr>
        <w:pStyle w:val="NormalWeb"/>
        <w:spacing w:before="0" w:beforeAutospacing="0" w:after="0" w:afterAutospacing="0"/>
        <w:jc w:val="both"/>
        <w:rPr>
          <w:rFonts w:ascii="Calibri" w:hAnsi="Calibri" w:cs="Calibri"/>
        </w:rPr>
      </w:pPr>
    </w:p>
    <w:p w14:paraId="3A737FCB" w14:textId="360A55C4" w:rsidR="00977DD2" w:rsidRPr="006E11D6" w:rsidRDefault="00340830" w:rsidP="006E11D6">
      <w:pPr>
        <w:pStyle w:val="NormalWeb"/>
        <w:numPr>
          <w:ilvl w:val="1"/>
          <w:numId w:val="14"/>
        </w:numPr>
        <w:spacing w:before="0" w:beforeAutospacing="0" w:after="0" w:afterAutospacing="0"/>
        <w:ind w:left="0" w:firstLine="0"/>
        <w:jc w:val="both"/>
        <w:rPr>
          <w:rFonts w:ascii="Calibri" w:hAnsi="Calibri" w:cs="Calibri"/>
        </w:rPr>
      </w:pPr>
      <w:r w:rsidRPr="006E11D6">
        <w:rPr>
          <w:rFonts w:ascii="Calibri" w:hAnsi="Calibri" w:cs="Calibri"/>
        </w:rPr>
        <w:t>Shave the fur from the hind leg up to the lower ribs to create a clear area for injection.</w:t>
      </w:r>
    </w:p>
    <w:p w14:paraId="7A74863F" w14:textId="77777777" w:rsidR="001A0AE0" w:rsidRPr="006E11D6" w:rsidRDefault="001A0AE0" w:rsidP="006E11D6">
      <w:pPr>
        <w:pStyle w:val="NormalWeb"/>
        <w:spacing w:before="0" w:beforeAutospacing="0" w:after="0" w:afterAutospacing="0"/>
        <w:jc w:val="both"/>
        <w:rPr>
          <w:rFonts w:ascii="Calibri" w:hAnsi="Calibri" w:cs="Calibri"/>
        </w:rPr>
      </w:pPr>
    </w:p>
    <w:p w14:paraId="17C27892" w14:textId="52395C3C" w:rsidR="00977DD2" w:rsidRPr="006E11D6" w:rsidRDefault="00340830" w:rsidP="006E11D6">
      <w:pPr>
        <w:pStyle w:val="NormalWeb"/>
        <w:numPr>
          <w:ilvl w:val="1"/>
          <w:numId w:val="14"/>
        </w:numPr>
        <w:spacing w:before="0" w:beforeAutospacing="0" w:after="0" w:afterAutospacing="0"/>
        <w:ind w:left="0" w:firstLine="0"/>
        <w:jc w:val="both"/>
        <w:rPr>
          <w:rFonts w:ascii="Calibri" w:hAnsi="Calibri" w:cs="Calibri"/>
        </w:rPr>
      </w:pPr>
      <w:r w:rsidRPr="006E11D6">
        <w:rPr>
          <w:rFonts w:ascii="Calibri" w:hAnsi="Calibri" w:cs="Calibri"/>
        </w:rPr>
        <w:t>Both flanks may be shaved if additional practice space is needed.</w:t>
      </w:r>
    </w:p>
    <w:p w14:paraId="0FF8A832" w14:textId="77777777" w:rsidR="001A0AE0" w:rsidRPr="006E11D6" w:rsidRDefault="001A0AE0" w:rsidP="006E11D6">
      <w:pPr>
        <w:pStyle w:val="NormalWeb"/>
        <w:spacing w:before="0" w:beforeAutospacing="0" w:after="0" w:afterAutospacing="0"/>
        <w:jc w:val="both"/>
        <w:rPr>
          <w:rFonts w:ascii="Calibri" w:hAnsi="Calibri" w:cs="Calibri"/>
        </w:rPr>
      </w:pPr>
    </w:p>
    <w:p w14:paraId="7AACBB97" w14:textId="77777777" w:rsidR="00DC708B" w:rsidRPr="006E11D6" w:rsidRDefault="00340830" w:rsidP="006E11D6">
      <w:pPr>
        <w:pStyle w:val="NormalWeb"/>
        <w:numPr>
          <w:ilvl w:val="1"/>
          <w:numId w:val="14"/>
        </w:numPr>
        <w:spacing w:before="0" w:beforeAutospacing="0" w:after="0" w:afterAutospacing="0"/>
        <w:ind w:left="0" w:firstLine="0"/>
        <w:jc w:val="both"/>
        <w:rPr>
          <w:rStyle w:val="Strong"/>
          <w:rFonts w:ascii="Calibri" w:hAnsi="Calibri" w:cs="Calibri"/>
          <w:b w:val="0"/>
          <w:bCs w:val="0"/>
        </w:rPr>
      </w:pPr>
      <w:r w:rsidRPr="006E11D6">
        <w:rPr>
          <w:rFonts w:ascii="Calibri" w:hAnsi="Calibri" w:cs="Calibri"/>
        </w:rPr>
        <w:t>After shaving, monitor all mice until they are fully recovered from anesthesia.</w:t>
      </w:r>
      <w:r w:rsidRPr="006E11D6">
        <w:rPr>
          <w:rFonts w:ascii="Calibri" w:hAnsi="Calibri" w:cs="Calibri"/>
        </w:rPr>
        <w:br/>
      </w:r>
    </w:p>
    <w:p w14:paraId="354EEEA7" w14:textId="36368D2C" w:rsidR="00340830" w:rsidRPr="006E11D6" w:rsidRDefault="00DC708B" w:rsidP="006E11D6">
      <w:pPr>
        <w:pStyle w:val="NormalWeb"/>
        <w:spacing w:before="0" w:beforeAutospacing="0" w:after="0" w:afterAutospacing="0"/>
        <w:jc w:val="both"/>
        <w:rPr>
          <w:rFonts w:ascii="Calibri" w:hAnsi="Calibri" w:cs="Calibri"/>
        </w:rPr>
      </w:pPr>
      <w:r w:rsidRPr="006E11D6">
        <w:rPr>
          <w:rStyle w:val="Strong"/>
          <w:rFonts w:ascii="Calibri" w:hAnsi="Calibri" w:cs="Calibri"/>
          <w:b w:val="0"/>
          <w:bCs w:val="0"/>
        </w:rPr>
        <w:t>NOTE:</w:t>
      </w:r>
      <w:r w:rsidRPr="006E11D6">
        <w:rPr>
          <w:rFonts w:ascii="Calibri" w:hAnsi="Calibri" w:cs="Calibri"/>
        </w:rPr>
        <w:t xml:space="preserve"> </w:t>
      </w:r>
      <w:r w:rsidR="00340830" w:rsidRPr="006E11D6">
        <w:rPr>
          <w:rFonts w:ascii="Calibri" w:hAnsi="Calibri" w:cs="Calibri"/>
        </w:rPr>
        <w:t xml:space="preserve">With sufficient experience in </w:t>
      </w:r>
      <w:proofErr w:type="spellStart"/>
      <w:r w:rsidR="00340830" w:rsidRPr="006E11D6">
        <w:rPr>
          <w:rFonts w:ascii="Calibri" w:hAnsi="Calibri" w:cs="Calibri"/>
        </w:rPr>
        <w:t>scruffing</w:t>
      </w:r>
      <w:proofErr w:type="spellEnd"/>
      <w:r w:rsidR="00340830" w:rsidRPr="006E11D6">
        <w:rPr>
          <w:rFonts w:ascii="Calibri" w:hAnsi="Calibri" w:cs="Calibri"/>
        </w:rPr>
        <w:t>, mice can be shaved without anesthesia to reduce anesthesia exposure for mice and researchers.</w:t>
      </w:r>
    </w:p>
    <w:p w14:paraId="30263FE1" w14:textId="77777777" w:rsidR="00340830" w:rsidRPr="006E11D6" w:rsidRDefault="00340830" w:rsidP="006E11D6"/>
    <w:p w14:paraId="0E3542ED" w14:textId="4796E223" w:rsidR="00977DD2" w:rsidRPr="006B0315" w:rsidRDefault="00340830" w:rsidP="006E11D6">
      <w:pPr>
        <w:pStyle w:val="ListParagraph"/>
        <w:numPr>
          <w:ilvl w:val="0"/>
          <w:numId w:val="14"/>
        </w:numPr>
        <w:spacing w:after="0" w:line="240" w:lineRule="auto"/>
        <w:ind w:left="0" w:firstLine="0"/>
        <w:jc w:val="both"/>
        <w:rPr>
          <w:rFonts w:ascii="Calibri" w:hAnsi="Calibri" w:cs="Calibri"/>
          <w:b/>
          <w:bCs/>
          <w:sz w:val="24"/>
          <w:szCs w:val="24"/>
          <w:highlight w:val="yellow"/>
        </w:rPr>
      </w:pPr>
      <w:r w:rsidRPr="006B0315">
        <w:rPr>
          <w:rFonts w:ascii="Calibri" w:hAnsi="Calibri" w:cs="Calibri"/>
          <w:b/>
          <w:bCs/>
          <w:sz w:val="24"/>
          <w:szCs w:val="24"/>
          <w:highlight w:val="yellow"/>
        </w:rPr>
        <w:t xml:space="preserve">Practice </w:t>
      </w:r>
      <w:r w:rsidR="00DC708B" w:rsidRPr="006B0315">
        <w:rPr>
          <w:rFonts w:ascii="Calibri" w:hAnsi="Calibri" w:cs="Calibri"/>
          <w:b/>
          <w:bCs/>
          <w:sz w:val="24"/>
          <w:szCs w:val="24"/>
          <w:highlight w:val="yellow"/>
        </w:rPr>
        <w:t>injections with dye</w:t>
      </w:r>
    </w:p>
    <w:p w14:paraId="792A67F5" w14:textId="77777777" w:rsidR="00664DB9" w:rsidRPr="006B0315" w:rsidRDefault="00664DB9" w:rsidP="006E11D6">
      <w:pPr>
        <w:pStyle w:val="ListParagraph"/>
        <w:spacing w:after="0" w:line="240" w:lineRule="auto"/>
        <w:ind w:left="0"/>
        <w:jc w:val="both"/>
        <w:rPr>
          <w:rFonts w:ascii="Calibri" w:hAnsi="Calibri" w:cs="Calibri"/>
          <w:b/>
          <w:bCs/>
          <w:color w:val="EE0000"/>
          <w:sz w:val="24"/>
          <w:szCs w:val="24"/>
          <w:highlight w:val="yellow"/>
        </w:rPr>
      </w:pPr>
    </w:p>
    <w:p w14:paraId="10CC5C70" w14:textId="6B31997D" w:rsidR="00977DD2" w:rsidRPr="006B0315" w:rsidRDefault="00DC708B" w:rsidP="006E11D6">
      <w:pPr>
        <w:pStyle w:val="ListParagraph"/>
        <w:spacing w:after="0" w:line="240" w:lineRule="auto"/>
        <w:ind w:left="0"/>
        <w:jc w:val="both"/>
        <w:rPr>
          <w:rFonts w:ascii="Calibri" w:hAnsi="Calibri" w:cs="Calibri"/>
          <w:sz w:val="24"/>
          <w:szCs w:val="24"/>
          <w:highlight w:val="yellow"/>
        </w:rPr>
      </w:pPr>
      <w:r w:rsidRPr="006B0315">
        <w:rPr>
          <w:rFonts w:ascii="Calibri" w:hAnsi="Calibri" w:cs="Calibri"/>
          <w:sz w:val="24"/>
          <w:szCs w:val="24"/>
          <w:highlight w:val="yellow"/>
        </w:rPr>
        <w:t xml:space="preserve">NOTE: </w:t>
      </w:r>
      <w:r w:rsidR="00340830" w:rsidRPr="006B0315">
        <w:rPr>
          <w:rFonts w:ascii="Calibri" w:hAnsi="Calibri" w:cs="Calibri"/>
          <w:sz w:val="24"/>
          <w:szCs w:val="24"/>
          <w:highlight w:val="yellow"/>
        </w:rPr>
        <w:t>Practice can be performed on both live and euthanized mice, and on either sex. Male mice typically have thicker and less pliable skin compared to females, making the procedure more technically challenging. For this reason, practicing on males is useful for developing proficiency.</w:t>
      </w:r>
    </w:p>
    <w:p w14:paraId="74EAF0DF"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3239EA4A" w14:textId="54A97B80" w:rsidR="00977DD2" w:rsidRPr="006B0315" w:rsidRDefault="0034083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Mix food coloring with phosphate-buffered saline (PBS) in a 1.5 mL Eppendorf tube until the solution appears dark</w:t>
      </w:r>
      <w:r w:rsidR="006D1A06" w:rsidRPr="006B0315">
        <w:rPr>
          <w:rFonts w:ascii="Calibri" w:hAnsi="Calibri" w:cs="Calibri"/>
          <w:sz w:val="24"/>
          <w:szCs w:val="24"/>
          <w:highlight w:val="yellow"/>
        </w:rPr>
        <w:t xml:space="preserve"> </w:t>
      </w:r>
      <w:r w:rsidRPr="006B0315">
        <w:rPr>
          <w:rFonts w:ascii="Calibri" w:hAnsi="Calibri" w:cs="Calibri"/>
          <w:sz w:val="24"/>
          <w:szCs w:val="24"/>
          <w:highlight w:val="yellow"/>
        </w:rPr>
        <w:t>(</w:t>
      </w:r>
      <w:r w:rsidR="006D1A06" w:rsidRPr="006B0315">
        <w:rPr>
          <w:rFonts w:ascii="Calibri" w:hAnsi="Calibri" w:cs="Calibri"/>
          <w:sz w:val="24"/>
          <w:szCs w:val="24"/>
          <w:highlight w:val="yellow"/>
        </w:rPr>
        <w:t>b</w:t>
      </w:r>
      <w:r w:rsidRPr="006B0315">
        <w:rPr>
          <w:rFonts w:ascii="Calibri" w:hAnsi="Calibri" w:cs="Calibri"/>
          <w:sz w:val="24"/>
          <w:szCs w:val="24"/>
          <w:highlight w:val="yellow"/>
        </w:rPr>
        <w:t>lue food coloring was used in this study)</w:t>
      </w:r>
      <w:r w:rsidR="006D1A06" w:rsidRPr="006B0315">
        <w:rPr>
          <w:rFonts w:ascii="Calibri" w:hAnsi="Calibri" w:cs="Calibri"/>
          <w:sz w:val="24"/>
          <w:szCs w:val="24"/>
          <w:highlight w:val="yellow"/>
        </w:rPr>
        <w:t>.</w:t>
      </w:r>
    </w:p>
    <w:p w14:paraId="5DB44AEF"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2E7B07DC" w14:textId="77777777" w:rsidR="00790705" w:rsidRPr="006B0315" w:rsidRDefault="0034083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Obtain</w:t>
      </w:r>
      <w:r w:rsidR="00790705" w:rsidRPr="006B0315">
        <w:rPr>
          <w:rFonts w:ascii="Calibri" w:hAnsi="Calibri" w:cs="Calibri"/>
          <w:sz w:val="24"/>
          <w:szCs w:val="24"/>
          <w:highlight w:val="yellow"/>
        </w:rPr>
        <w:t xml:space="preserve"> </w:t>
      </w:r>
      <w:r w:rsidRPr="006B0315">
        <w:rPr>
          <w:rFonts w:ascii="Calibri" w:hAnsi="Calibri" w:cs="Calibri"/>
          <w:sz w:val="24"/>
          <w:szCs w:val="24"/>
          <w:highlight w:val="yellow"/>
        </w:rPr>
        <w:t>practice mice and anesthetize them according to institutional animal care guidelines.</w:t>
      </w:r>
    </w:p>
    <w:p w14:paraId="0667A297" w14:textId="77777777" w:rsidR="00790705" w:rsidRPr="006B0315" w:rsidRDefault="00790705" w:rsidP="006E11D6">
      <w:pPr>
        <w:pStyle w:val="ListParagraph"/>
        <w:spacing w:after="0" w:line="240" w:lineRule="auto"/>
        <w:ind w:left="0"/>
        <w:jc w:val="both"/>
        <w:rPr>
          <w:rFonts w:ascii="Calibri" w:hAnsi="Calibri" w:cs="Calibri"/>
          <w:sz w:val="24"/>
          <w:szCs w:val="24"/>
          <w:highlight w:val="yellow"/>
        </w:rPr>
      </w:pPr>
    </w:p>
    <w:p w14:paraId="4F97B4A8" w14:textId="77777777" w:rsidR="00790705" w:rsidRPr="006B0315" w:rsidRDefault="0034083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Place the anesthetized mouse under a nose cone and</w:t>
      </w:r>
      <w:r w:rsidR="003B6F93" w:rsidRPr="006B0315">
        <w:rPr>
          <w:rFonts w:ascii="Calibri" w:hAnsi="Calibri" w:cs="Calibri"/>
          <w:sz w:val="24"/>
          <w:szCs w:val="24"/>
          <w:highlight w:val="yellow"/>
        </w:rPr>
        <w:t xml:space="preserve"> </w:t>
      </w:r>
      <w:r w:rsidRPr="006B0315">
        <w:rPr>
          <w:rFonts w:ascii="Calibri" w:hAnsi="Calibri" w:cs="Calibri"/>
          <w:sz w:val="24"/>
          <w:szCs w:val="24"/>
          <w:highlight w:val="yellow"/>
        </w:rPr>
        <w:t>tilt the body to expose the right flank.</w:t>
      </w:r>
      <w:r w:rsidR="00790705" w:rsidRPr="006B0315">
        <w:rPr>
          <w:rFonts w:ascii="Calibri" w:hAnsi="Calibri" w:cs="Calibri"/>
          <w:sz w:val="24"/>
          <w:szCs w:val="24"/>
          <w:highlight w:val="yellow"/>
        </w:rPr>
        <w:t xml:space="preserve"> Confirm adequate anesthesia by gently pinching the footpad and observing no response.</w:t>
      </w:r>
    </w:p>
    <w:p w14:paraId="2936B637" w14:textId="77777777" w:rsidR="00790705" w:rsidRPr="006B0315" w:rsidRDefault="00790705" w:rsidP="006E11D6">
      <w:pPr>
        <w:pStyle w:val="ListParagraph"/>
        <w:spacing w:after="0" w:line="240" w:lineRule="auto"/>
        <w:ind w:left="0"/>
        <w:jc w:val="both"/>
        <w:rPr>
          <w:rFonts w:ascii="Calibri" w:hAnsi="Calibri" w:cs="Calibri"/>
          <w:sz w:val="24"/>
          <w:szCs w:val="24"/>
          <w:highlight w:val="yellow"/>
        </w:rPr>
      </w:pPr>
    </w:p>
    <w:p w14:paraId="570EFB98" w14:textId="23AAFC45" w:rsidR="00790705" w:rsidRPr="006B0315" w:rsidRDefault="0034083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Load 30 µL of dye solution into a 0.3 mL insulin syringe</w:t>
      </w:r>
      <w:r w:rsidR="00790705" w:rsidRPr="006B0315">
        <w:rPr>
          <w:rFonts w:ascii="Calibri" w:hAnsi="Calibri" w:cs="Calibri"/>
          <w:sz w:val="24"/>
          <w:szCs w:val="24"/>
          <w:highlight w:val="yellow"/>
        </w:rPr>
        <w:t xml:space="preserve"> </w:t>
      </w:r>
      <w:r w:rsidRPr="006B0315">
        <w:rPr>
          <w:rFonts w:ascii="Calibri" w:hAnsi="Calibri" w:cs="Calibri"/>
          <w:sz w:val="24"/>
          <w:szCs w:val="24"/>
          <w:highlight w:val="yellow"/>
        </w:rPr>
        <w:t>with a 29 G, ½” needle.</w:t>
      </w:r>
      <w:r w:rsidR="00790705" w:rsidRPr="006B0315">
        <w:rPr>
          <w:rFonts w:ascii="Calibri" w:hAnsi="Calibri" w:cs="Calibri"/>
          <w:sz w:val="24"/>
          <w:szCs w:val="24"/>
          <w:highlight w:val="yellow"/>
        </w:rPr>
        <w:t xml:space="preserve"> Remove all air bubbles.</w:t>
      </w:r>
    </w:p>
    <w:p w14:paraId="35865540"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2F2DCC6D" w14:textId="6E23E217" w:rsidR="00977DD2" w:rsidRPr="006B0315" w:rsidRDefault="0034083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 xml:space="preserve">Using the non-dominant hand, gently pinch and stretch the leg/skin to create a smooth, taut surface (avoid lifting the skin upward). Insert the needle </w:t>
      </w:r>
      <w:r w:rsidRPr="006B0315">
        <w:rPr>
          <w:rStyle w:val="Strong"/>
          <w:rFonts w:ascii="Calibri" w:hAnsi="Calibri" w:cs="Calibri"/>
          <w:b w:val="0"/>
          <w:bCs w:val="0"/>
          <w:sz w:val="24"/>
          <w:szCs w:val="24"/>
          <w:highlight w:val="yellow"/>
        </w:rPr>
        <w:t>bevel-up</w:t>
      </w:r>
      <w:r w:rsidRPr="006B0315">
        <w:rPr>
          <w:rFonts w:ascii="Calibri" w:hAnsi="Calibri" w:cs="Calibri"/>
          <w:sz w:val="24"/>
          <w:szCs w:val="24"/>
          <w:highlight w:val="yellow"/>
        </w:rPr>
        <w:t xml:space="preserve"> into the dermis at a shallow</w:t>
      </w:r>
      <w:r w:rsidR="003B6F93" w:rsidRPr="006B0315">
        <w:rPr>
          <w:rFonts w:ascii="Calibri" w:hAnsi="Calibri" w:cs="Calibri"/>
          <w:sz w:val="24"/>
          <w:szCs w:val="24"/>
          <w:highlight w:val="yellow"/>
        </w:rPr>
        <w:t xml:space="preserve"> </w:t>
      </w:r>
      <w:r w:rsidRPr="006B0315">
        <w:rPr>
          <w:rFonts w:ascii="Calibri" w:hAnsi="Calibri" w:cs="Calibri"/>
          <w:sz w:val="24"/>
          <w:szCs w:val="24"/>
          <w:highlight w:val="yellow"/>
        </w:rPr>
        <w:t xml:space="preserve">parallel angle to the skin. </w:t>
      </w:r>
      <w:r w:rsidR="00761259" w:rsidRPr="006B0315">
        <w:rPr>
          <w:rFonts w:ascii="Calibri" w:hAnsi="Calibri" w:cs="Calibri"/>
          <w:sz w:val="24"/>
          <w:szCs w:val="24"/>
          <w:highlight w:val="yellow"/>
        </w:rPr>
        <w:t>Keep the needle visible beneath the surface to confirm dermal placement.</w:t>
      </w:r>
    </w:p>
    <w:p w14:paraId="0C63F4C9" w14:textId="77777777" w:rsidR="00DC708B" w:rsidRPr="006B0315" w:rsidRDefault="00DC708B" w:rsidP="006E11D6">
      <w:pPr>
        <w:pStyle w:val="ListParagraph"/>
        <w:spacing w:after="0" w:line="240" w:lineRule="auto"/>
        <w:ind w:left="0"/>
        <w:jc w:val="both"/>
        <w:rPr>
          <w:rStyle w:val="Strong"/>
          <w:rFonts w:ascii="Calibri" w:hAnsi="Calibri" w:cs="Calibri"/>
          <w:color w:val="EE0000"/>
          <w:sz w:val="24"/>
          <w:szCs w:val="24"/>
          <w:highlight w:val="yellow"/>
        </w:rPr>
      </w:pPr>
    </w:p>
    <w:p w14:paraId="2B20DFF6" w14:textId="2141879B" w:rsidR="001A0AE0" w:rsidRPr="006B0315" w:rsidRDefault="00DC708B" w:rsidP="006E11D6">
      <w:pPr>
        <w:pStyle w:val="ListParagraph"/>
        <w:spacing w:after="0" w:line="240" w:lineRule="auto"/>
        <w:ind w:left="0"/>
        <w:jc w:val="both"/>
        <w:rPr>
          <w:rFonts w:ascii="Calibri" w:hAnsi="Calibri" w:cs="Calibri"/>
          <w:sz w:val="24"/>
          <w:szCs w:val="24"/>
          <w:highlight w:val="yellow"/>
        </w:rPr>
      </w:pPr>
      <w:r w:rsidRPr="006B0315">
        <w:rPr>
          <w:rStyle w:val="Strong"/>
          <w:rFonts w:ascii="Calibri" w:hAnsi="Calibri" w:cs="Calibri"/>
          <w:b w:val="0"/>
          <w:bCs w:val="0"/>
          <w:sz w:val="24"/>
          <w:szCs w:val="24"/>
          <w:highlight w:val="yellow"/>
        </w:rPr>
        <w:t>NOTE:</w:t>
      </w:r>
      <w:r w:rsidRPr="006B0315">
        <w:rPr>
          <w:rStyle w:val="Strong"/>
          <w:rFonts w:ascii="Calibri" w:hAnsi="Calibri" w:cs="Calibri"/>
          <w:sz w:val="24"/>
          <w:szCs w:val="24"/>
          <w:highlight w:val="yellow"/>
        </w:rPr>
        <w:t xml:space="preserve"> </w:t>
      </w:r>
      <w:r w:rsidR="006D1A06" w:rsidRPr="006B0315">
        <w:rPr>
          <w:rFonts w:ascii="Calibri" w:hAnsi="Calibri" w:cs="Calibri"/>
          <w:sz w:val="24"/>
          <w:szCs w:val="24"/>
          <w:highlight w:val="yellow"/>
        </w:rPr>
        <w:t>During practice, test different hand grip positions to maintain stable skin tension while keeping</w:t>
      </w:r>
      <w:r w:rsidR="005B00ED" w:rsidRPr="006B0315">
        <w:rPr>
          <w:rFonts w:ascii="Calibri" w:hAnsi="Calibri" w:cs="Calibri"/>
          <w:sz w:val="24"/>
          <w:szCs w:val="24"/>
          <w:highlight w:val="yellow"/>
        </w:rPr>
        <w:t xml:space="preserve"> </w:t>
      </w:r>
      <w:r w:rsidR="006D1A06" w:rsidRPr="006B0315">
        <w:rPr>
          <w:rFonts w:ascii="Calibri" w:hAnsi="Calibri" w:cs="Calibri"/>
          <w:sz w:val="24"/>
          <w:szCs w:val="24"/>
          <w:highlight w:val="yellow"/>
        </w:rPr>
        <w:t xml:space="preserve">fingers clear of the needle path. Insert the needle </w:t>
      </w:r>
      <w:r w:rsidR="006D1A06" w:rsidRPr="006B0315">
        <w:rPr>
          <w:rStyle w:val="Strong"/>
          <w:rFonts w:ascii="Calibri" w:hAnsi="Calibri" w:cs="Calibri"/>
          <w:b w:val="0"/>
          <w:bCs w:val="0"/>
          <w:sz w:val="24"/>
          <w:szCs w:val="24"/>
          <w:highlight w:val="yellow"/>
        </w:rPr>
        <w:t>~2 mm</w:t>
      </w:r>
      <w:r w:rsidR="006D1A06" w:rsidRPr="006B0315">
        <w:rPr>
          <w:rFonts w:ascii="Calibri" w:hAnsi="Calibri" w:cs="Calibri"/>
          <w:sz w:val="24"/>
          <w:szCs w:val="24"/>
          <w:highlight w:val="yellow"/>
        </w:rPr>
        <w:t xml:space="preserve"> into the skin. To reduce</w:t>
      </w:r>
      <w:r w:rsidR="006D1A06" w:rsidRPr="006E11D6">
        <w:rPr>
          <w:rFonts w:ascii="Calibri" w:hAnsi="Calibri" w:cs="Calibri"/>
          <w:sz w:val="24"/>
          <w:szCs w:val="24"/>
        </w:rPr>
        <w:t xml:space="preserve"> </w:t>
      </w:r>
      <w:r w:rsidR="006D1A06" w:rsidRPr="006B0315">
        <w:rPr>
          <w:rFonts w:ascii="Calibri" w:hAnsi="Calibri" w:cs="Calibri"/>
          <w:sz w:val="24"/>
          <w:szCs w:val="24"/>
          <w:highlight w:val="yellow"/>
        </w:rPr>
        <w:lastRenderedPageBreak/>
        <w:t>backflow, insert the needle</w:t>
      </w:r>
      <w:r w:rsidR="00761259" w:rsidRPr="006B0315">
        <w:rPr>
          <w:rFonts w:ascii="Calibri" w:hAnsi="Calibri" w:cs="Calibri"/>
          <w:sz w:val="24"/>
          <w:szCs w:val="24"/>
          <w:highlight w:val="yellow"/>
        </w:rPr>
        <w:t xml:space="preserve"> </w:t>
      </w:r>
      <w:r w:rsidR="006D1A06" w:rsidRPr="006B0315">
        <w:rPr>
          <w:rStyle w:val="Strong"/>
          <w:rFonts w:ascii="Calibri" w:hAnsi="Calibri" w:cs="Calibri"/>
          <w:b w:val="0"/>
          <w:bCs w:val="0"/>
          <w:sz w:val="24"/>
          <w:szCs w:val="24"/>
          <w:highlight w:val="yellow"/>
        </w:rPr>
        <w:t>~3 mm</w:t>
      </w:r>
      <w:r w:rsidR="006D1A06" w:rsidRPr="006B0315">
        <w:rPr>
          <w:rFonts w:ascii="Calibri" w:hAnsi="Calibri" w:cs="Calibri"/>
          <w:sz w:val="24"/>
          <w:szCs w:val="24"/>
          <w:highlight w:val="yellow"/>
        </w:rPr>
        <w:t>, then withdraw</w:t>
      </w:r>
      <w:r w:rsidR="00761259" w:rsidRPr="006B0315">
        <w:rPr>
          <w:rFonts w:ascii="Calibri" w:hAnsi="Calibri" w:cs="Calibri"/>
          <w:sz w:val="24"/>
          <w:szCs w:val="24"/>
          <w:highlight w:val="yellow"/>
        </w:rPr>
        <w:t xml:space="preserve"> </w:t>
      </w:r>
      <w:r w:rsidR="006D1A06" w:rsidRPr="006B0315">
        <w:rPr>
          <w:rFonts w:ascii="Calibri" w:hAnsi="Calibri" w:cs="Calibri"/>
          <w:sz w:val="24"/>
          <w:szCs w:val="24"/>
          <w:highlight w:val="yellow"/>
        </w:rPr>
        <w:t>slightly to create a</w:t>
      </w:r>
      <w:r w:rsidR="00761259" w:rsidRPr="006B0315">
        <w:rPr>
          <w:rFonts w:ascii="Calibri" w:hAnsi="Calibri" w:cs="Calibri"/>
          <w:sz w:val="24"/>
          <w:szCs w:val="24"/>
          <w:highlight w:val="yellow"/>
        </w:rPr>
        <w:t xml:space="preserve"> </w:t>
      </w:r>
      <w:r w:rsidR="006D1A06" w:rsidRPr="006B0315">
        <w:rPr>
          <w:rFonts w:ascii="Calibri" w:hAnsi="Calibri" w:cs="Calibri"/>
          <w:sz w:val="24"/>
          <w:szCs w:val="24"/>
          <w:highlight w:val="yellow"/>
        </w:rPr>
        <w:t xml:space="preserve">“pocket” before </w:t>
      </w:r>
      <w:r w:rsidR="00761259" w:rsidRPr="006B0315">
        <w:rPr>
          <w:rFonts w:ascii="Calibri" w:hAnsi="Calibri" w:cs="Calibri"/>
          <w:sz w:val="24"/>
          <w:szCs w:val="24"/>
          <w:highlight w:val="yellow"/>
        </w:rPr>
        <w:t xml:space="preserve">injection. </w:t>
      </w:r>
      <w:r w:rsidR="006D1A06" w:rsidRPr="006B0315">
        <w:rPr>
          <w:rFonts w:ascii="Calibri" w:hAnsi="Calibri" w:cs="Calibri"/>
          <w:sz w:val="24"/>
          <w:szCs w:val="24"/>
          <w:highlight w:val="yellow"/>
        </w:rPr>
        <w:t>This helps retain the dye at the injection site.</w:t>
      </w:r>
    </w:p>
    <w:p w14:paraId="617EFC91" w14:textId="77777777" w:rsidR="00761259" w:rsidRPr="006B0315" w:rsidRDefault="00761259" w:rsidP="006E11D6">
      <w:pPr>
        <w:pStyle w:val="ListParagraph"/>
        <w:spacing w:after="0" w:line="240" w:lineRule="auto"/>
        <w:ind w:left="0"/>
        <w:jc w:val="both"/>
        <w:rPr>
          <w:rFonts w:ascii="Calibri" w:hAnsi="Calibri" w:cs="Calibri"/>
          <w:sz w:val="24"/>
          <w:szCs w:val="24"/>
          <w:highlight w:val="yellow"/>
        </w:rPr>
      </w:pPr>
    </w:p>
    <w:p w14:paraId="32AAA7D3" w14:textId="3C721242" w:rsidR="00977DD2" w:rsidRPr="006B0315" w:rsidRDefault="0034083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 xml:space="preserve">Slowly inject </w:t>
      </w:r>
      <w:r w:rsidR="00977DD2" w:rsidRPr="006B0315">
        <w:rPr>
          <w:rFonts w:ascii="Calibri" w:hAnsi="Calibri" w:cs="Calibri"/>
          <w:sz w:val="24"/>
          <w:szCs w:val="24"/>
          <w:highlight w:val="yellow"/>
        </w:rPr>
        <w:t xml:space="preserve">all 30 µL of </w:t>
      </w:r>
      <w:r w:rsidRPr="006B0315">
        <w:rPr>
          <w:rFonts w:ascii="Calibri" w:hAnsi="Calibri" w:cs="Calibri"/>
          <w:sz w:val="24"/>
          <w:szCs w:val="24"/>
          <w:highlight w:val="yellow"/>
        </w:rPr>
        <w:t>the dye solution until a small, distinct “bubble” forms under the skin surface.</w:t>
      </w:r>
    </w:p>
    <w:p w14:paraId="0DA03C47" w14:textId="77777777" w:rsidR="00ED4CD8" w:rsidRPr="006B0315" w:rsidRDefault="00ED4CD8" w:rsidP="006E11D6">
      <w:pPr>
        <w:pStyle w:val="ListParagraph"/>
        <w:spacing w:after="0" w:line="240" w:lineRule="auto"/>
        <w:ind w:left="0"/>
        <w:jc w:val="both"/>
        <w:rPr>
          <w:rStyle w:val="Strong"/>
          <w:rFonts w:ascii="Calibri" w:hAnsi="Calibri" w:cs="Calibri"/>
          <w:color w:val="EE0000"/>
          <w:sz w:val="24"/>
          <w:szCs w:val="24"/>
          <w:highlight w:val="yellow"/>
        </w:rPr>
      </w:pPr>
    </w:p>
    <w:p w14:paraId="063716FE" w14:textId="19FDF27F" w:rsidR="00977DD2" w:rsidRPr="006B0315" w:rsidRDefault="00ED4CD8" w:rsidP="006E11D6">
      <w:pPr>
        <w:pStyle w:val="ListParagraph"/>
        <w:spacing w:after="0" w:line="240" w:lineRule="auto"/>
        <w:ind w:left="0"/>
        <w:jc w:val="both"/>
        <w:rPr>
          <w:rFonts w:ascii="Calibri" w:hAnsi="Calibri" w:cs="Calibri"/>
          <w:sz w:val="24"/>
          <w:szCs w:val="24"/>
          <w:highlight w:val="yellow"/>
        </w:rPr>
      </w:pPr>
      <w:r w:rsidRPr="006B0315">
        <w:rPr>
          <w:rStyle w:val="Strong"/>
          <w:rFonts w:ascii="Calibri" w:hAnsi="Calibri" w:cs="Calibri"/>
          <w:b w:val="0"/>
          <w:bCs w:val="0"/>
          <w:sz w:val="24"/>
          <w:szCs w:val="24"/>
          <w:highlight w:val="yellow"/>
        </w:rPr>
        <w:t>NOTE:</w:t>
      </w:r>
      <w:r w:rsidRPr="006B0315">
        <w:rPr>
          <w:rFonts w:ascii="Calibri" w:hAnsi="Calibri" w:cs="Calibri"/>
          <w:sz w:val="24"/>
          <w:szCs w:val="24"/>
          <w:highlight w:val="yellow"/>
        </w:rPr>
        <w:t xml:space="preserve"> </w:t>
      </w:r>
      <w:r w:rsidR="00340830" w:rsidRPr="006B0315">
        <w:rPr>
          <w:rFonts w:ascii="Calibri" w:hAnsi="Calibri" w:cs="Calibri"/>
          <w:sz w:val="24"/>
          <w:szCs w:val="24"/>
          <w:highlight w:val="yellow"/>
        </w:rPr>
        <w:t>The absence of visible bubbles suggests that the injection was delivered subcutaneously rather than intradermally. Maintaining the bevel in an upward position helps ensure accurate dermal placement and prevents overly deep injection.</w:t>
      </w:r>
    </w:p>
    <w:p w14:paraId="4D36F01D" w14:textId="77777777" w:rsidR="00761259" w:rsidRPr="006B0315" w:rsidRDefault="00761259" w:rsidP="006E11D6">
      <w:pPr>
        <w:pStyle w:val="ListParagraph"/>
        <w:spacing w:after="0" w:line="240" w:lineRule="auto"/>
        <w:ind w:left="0"/>
        <w:jc w:val="both"/>
        <w:rPr>
          <w:rFonts w:ascii="Calibri" w:hAnsi="Calibri" w:cs="Calibri"/>
          <w:sz w:val="24"/>
          <w:szCs w:val="24"/>
          <w:highlight w:val="yellow"/>
        </w:rPr>
      </w:pPr>
    </w:p>
    <w:p w14:paraId="458D0038" w14:textId="06E4773F" w:rsidR="00977DD2" w:rsidRPr="006B0315" w:rsidRDefault="00761259"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 xml:space="preserve">Continue practicing until consistently forming intradermal bubbles. </w:t>
      </w:r>
      <w:r w:rsidR="00340830" w:rsidRPr="006B0315">
        <w:rPr>
          <w:rFonts w:ascii="Calibri" w:hAnsi="Calibri" w:cs="Calibri"/>
          <w:sz w:val="24"/>
          <w:szCs w:val="24"/>
          <w:highlight w:val="yellow"/>
        </w:rPr>
        <w:t>Up to six to eight injections can be performed per side.</w:t>
      </w:r>
    </w:p>
    <w:p w14:paraId="58B32AFF"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12ADCD8C" w14:textId="4B899757" w:rsidR="00340830" w:rsidRPr="006B0315" w:rsidRDefault="0034083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 xml:space="preserve">After completing practice injections, euthanize the mice in accordance with approved </w:t>
      </w:r>
      <w:r w:rsidR="007E38B1" w:rsidRPr="006B0315">
        <w:rPr>
          <w:rFonts w:ascii="Calibri" w:hAnsi="Calibri" w:cs="Calibri"/>
          <w:sz w:val="24"/>
          <w:szCs w:val="24"/>
          <w:highlight w:val="yellow"/>
        </w:rPr>
        <w:t>I</w:t>
      </w:r>
      <w:r w:rsidRPr="006B0315">
        <w:rPr>
          <w:rFonts w:ascii="Calibri" w:hAnsi="Calibri" w:cs="Calibri"/>
          <w:sz w:val="24"/>
          <w:szCs w:val="24"/>
          <w:highlight w:val="yellow"/>
        </w:rPr>
        <w:t xml:space="preserve">nstitutional </w:t>
      </w:r>
      <w:r w:rsidR="007E38B1" w:rsidRPr="006B0315">
        <w:rPr>
          <w:rFonts w:ascii="Calibri" w:hAnsi="Calibri" w:cs="Calibri"/>
          <w:sz w:val="24"/>
          <w:szCs w:val="24"/>
          <w:highlight w:val="yellow"/>
        </w:rPr>
        <w:t>A</w:t>
      </w:r>
      <w:r w:rsidR="00DD78EF" w:rsidRPr="006B0315">
        <w:rPr>
          <w:rFonts w:ascii="Calibri" w:hAnsi="Calibri" w:cs="Calibri"/>
          <w:sz w:val="24"/>
          <w:szCs w:val="24"/>
          <w:highlight w:val="yellow"/>
        </w:rPr>
        <w:t xml:space="preserve">nimal </w:t>
      </w:r>
      <w:r w:rsidR="007E38B1" w:rsidRPr="006B0315">
        <w:rPr>
          <w:rFonts w:ascii="Calibri" w:hAnsi="Calibri" w:cs="Calibri"/>
          <w:sz w:val="24"/>
          <w:szCs w:val="24"/>
          <w:highlight w:val="yellow"/>
        </w:rPr>
        <w:t>C</w:t>
      </w:r>
      <w:r w:rsidR="00DD78EF" w:rsidRPr="006B0315">
        <w:rPr>
          <w:rFonts w:ascii="Calibri" w:hAnsi="Calibri" w:cs="Calibri"/>
          <w:sz w:val="24"/>
          <w:szCs w:val="24"/>
          <w:highlight w:val="yellow"/>
        </w:rPr>
        <w:t xml:space="preserve">are and </w:t>
      </w:r>
      <w:r w:rsidR="007E38B1" w:rsidRPr="006B0315">
        <w:rPr>
          <w:rFonts w:ascii="Calibri" w:hAnsi="Calibri" w:cs="Calibri"/>
          <w:sz w:val="24"/>
          <w:szCs w:val="24"/>
          <w:highlight w:val="yellow"/>
        </w:rPr>
        <w:t>U</w:t>
      </w:r>
      <w:r w:rsidR="00DD78EF" w:rsidRPr="006B0315">
        <w:rPr>
          <w:rFonts w:ascii="Calibri" w:hAnsi="Calibri" w:cs="Calibri"/>
          <w:sz w:val="24"/>
          <w:szCs w:val="24"/>
          <w:highlight w:val="yellow"/>
        </w:rPr>
        <w:t xml:space="preserve">se </w:t>
      </w:r>
      <w:r w:rsidR="007E38B1" w:rsidRPr="006B0315">
        <w:rPr>
          <w:rFonts w:ascii="Calibri" w:hAnsi="Calibri" w:cs="Calibri"/>
          <w:sz w:val="24"/>
          <w:szCs w:val="24"/>
          <w:highlight w:val="yellow"/>
        </w:rPr>
        <w:t>C</w:t>
      </w:r>
      <w:r w:rsidR="00DD78EF" w:rsidRPr="006B0315">
        <w:rPr>
          <w:rFonts w:ascii="Calibri" w:hAnsi="Calibri" w:cs="Calibri"/>
          <w:sz w:val="24"/>
          <w:szCs w:val="24"/>
          <w:highlight w:val="yellow"/>
        </w:rPr>
        <w:t xml:space="preserve">ommittee (IACUC) </w:t>
      </w:r>
      <w:r w:rsidRPr="006B0315">
        <w:rPr>
          <w:rFonts w:ascii="Calibri" w:hAnsi="Calibri" w:cs="Calibri"/>
          <w:sz w:val="24"/>
          <w:szCs w:val="24"/>
          <w:highlight w:val="yellow"/>
        </w:rPr>
        <w:t>protocols</w:t>
      </w:r>
      <w:r w:rsidR="007E38B1" w:rsidRPr="006B0315">
        <w:rPr>
          <w:rFonts w:ascii="Calibri" w:hAnsi="Calibri" w:cs="Calibri"/>
          <w:sz w:val="24"/>
          <w:szCs w:val="24"/>
          <w:highlight w:val="yellow"/>
          <w:vertAlign w:val="superscript"/>
        </w:rPr>
        <w:t>5</w:t>
      </w:r>
      <w:r w:rsidRPr="006B0315">
        <w:rPr>
          <w:rFonts w:ascii="Calibri" w:hAnsi="Calibri" w:cs="Calibri"/>
          <w:sz w:val="24"/>
          <w:szCs w:val="24"/>
          <w:highlight w:val="yellow"/>
        </w:rPr>
        <w:t>.</w:t>
      </w:r>
    </w:p>
    <w:p w14:paraId="30B32B15" w14:textId="77777777" w:rsidR="00340830" w:rsidRPr="006E11D6" w:rsidRDefault="00340830" w:rsidP="006E11D6"/>
    <w:p w14:paraId="1D37CD20" w14:textId="6C0B1EF7" w:rsidR="00F31E87" w:rsidRPr="006E11D6" w:rsidRDefault="00340830" w:rsidP="006E11D6">
      <w:pPr>
        <w:pStyle w:val="ListParagraph"/>
        <w:numPr>
          <w:ilvl w:val="0"/>
          <w:numId w:val="14"/>
        </w:numPr>
        <w:spacing w:after="0" w:line="240" w:lineRule="auto"/>
        <w:ind w:left="0" w:firstLine="0"/>
        <w:jc w:val="both"/>
        <w:rPr>
          <w:rFonts w:ascii="Calibri" w:hAnsi="Calibri" w:cs="Calibri"/>
          <w:b/>
          <w:bCs/>
          <w:sz w:val="24"/>
          <w:szCs w:val="24"/>
        </w:rPr>
      </w:pPr>
      <w:r w:rsidRPr="006E11D6">
        <w:rPr>
          <w:rFonts w:ascii="Calibri" w:hAnsi="Calibri" w:cs="Calibri"/>
          <w:b/>
          <w:bCs/>
          <w:sz w:val="24"/>
          <w:szCs w:val="24"/>
        </w:rPr>
        <w:t xml:space="preserve">Preparation of </w:t>
      </w:r>
      <w:r w:rsidR="00ED4CD8" w:rsidRPr="006E11D6">
        <w:rPr>
          <w:rFonts w:ascii="Calibri" w:hAnsi="Calibri" w:cs="Calibri"/>
          <w:b/>
          <w:bCs/>
          <w:sz w:val="24"/>
          <w:szCs w:val="24"/>
        </w:rPr>
        <w:t>tumor cells for injection</w:t>
      </w:r>
    </w:p>
    <w:p w14:paraId="5E1D7337" w14:textId="77777777" w:rsidR="00664DB9" w:rsidRPr="006E11D6" w:rsidRDefault="00664DB9" w:rsidP="006E11D6">
      <w:pPr>
        <w:pStyle w:val="ListParagraph"/>
        <w:spacing w:after="0" w:line="240" w:lineRule="auto"/>
        <w:ind w:left="0"/>
        <w:jc w:val="both"/>
        <w:rPr>
          <w:rFonts w:ascii="Calibri" w:hAnsi="Calibri" w:cs="Calibri"/>
          <w:b/>
          <w:bCs/>
          <w:color w:val="EE0000"/>
          <w:sz w:val="24"/>
          <w:szCs w:val="24"/>
        </w:rPr>
      </w:pPr>
    </w:p>
    <w:p w14:paraId="49208300" w14:textId="64BABE6A" w:rsidR="00F31E87" w:rsidRPr="006E11D6" w:rsidRDefault="00ED4CD8" w:rsidP="006E11D6">
      <w:pPr>
        <w:pStyle w:val="ListParagraph"/>
        <w:spacing w:after="0" w:line="240" w:lineRule="auto"/>
        <w:ind w:left="0"/>
        <w:jc w:val="both"/>
        <w:rPr>
          <w:rFonts w:ascii="Calibri" w:hAnsi="Calibri" w:cs="Calibri"/>
          <w:sz w:val="24"/>
          <w:szCs w:val="24"/>
        </w:rPr>
      </w:pPr>
      <w:r w:rsidRPr="006E11D6">
        <w:rPr>
          <w:rFonts w:ascii="Calibri" w:hAnsi="Calibri" w:cs="Calibri"/>
          <w:sz w:val="24"/>
          <w:szCs w:val="24"/>
        </w:rPr>
        <w:t xml:space="preserve">NOTE: </w:t>
      </w:r>
      <w:r w:rsidR="00761259" w:rsidRPr="006E11D6">
        <w:rPr>
          <w:rFonts w:ascii="Calibri" w:hAnsi="Calibri" w:cs="Calibri"/>
          <w:sz w:val="24"/>
          <w:szCs w:val="24"/>
        </w:rPr>
        <w:t xml:space="preserve">Perform all cell-related steps in a sterile hood. </w:t>
      </w:r>
      <w:r w:rsidR="00EF7684" w:rsidRPr="006E11D6">
        <w:rPr>
          <w:rFonts w:ascii="Calibri" w:hAnsi="Calibri" w:cs="Calibri"/>
          <w:sz w:val="24"/>
          <w:szCs w:val="24"/>
        </w:rPr>
        <w:t>Be mindful that different murine tumor lines grow differently</w:t>
      </w:r>
      <w:r w:rsidR="005A4A77" w:rsidRPr="006E11D6">
        <w:rPr>
          <w:rFonts w:ascii="Calibri" w:hAnsi="Calibri" w:cs="Calibri"/>
          <w:sz w:val="24"/>
          <w:szCs w:val="24"/>
        </w:rPr>
        <w:t xml:space="preserve">. </w:t>
      </w:r>
    </w:p>
    <w:p w14:paraId="484FCAD3" w14:textId="77777777" w:rsidR="001A0AE0" w:rsidRPr="006E11D6" w:rsidRDefault="001A0AE0" w:rsidP="006E11D6">
      <w:pPr>
        <w:pStyle w:val="ListParagraph"/>
        <w:spacing w:after="0" w:line="240" w:lineRule="auto"/>
        <w:ind w:left="0"/>
        <w:jc w:val="both"/>
        <w:rPr>
          <w:rFonts w:ascii="Calibri" w:hAnsi="Calibri" w:cs="Calibri"/>
          <w:b/>
          <w:bCs/>
          <w:sz w:val="24"/>
          <w:szCs w:val="24"/>
        </w:rPr>
      </w:pPr>
    </w:p>
    <w:p w14:paraId="58FDDBC9" w14:textId="1DF92A4A" w:rsidR="00F31E87" w:rsidRPr="006E11D6" w:rsidRDefault="00340830" w:rsidP="006E11D6">
      <w:pPr>
        <w:pStyle w:val="ListParagraph"/>
        <w:numPr>
          <w:ilvl w:val="1"/>
          <w:numId w:val="14"/>
        </w:numPr>
        <w:spacing w:after="0" w:line="240" w:lineRule="auto"/>
        <w:ind w:left="0" w:firstLine="0"/>
        <w:jc w:val="both"/>
        <w:rPr>
          <w:rFonts w:ascii="Calibri" w:hAnsi="Calibri" w:cs="Calibri"/>
          <w:sz w:val="24"/>
          <w:szCs w:val="24"/>
        </w:rPr>
      </w:pPr>
      <w:r w:rsidRPr="006E11D6">
        <w:rPr>
          <w:rFonts w:ascii="Calibri" w:hAnsi="Calibri" w:cs="Calibri"/>
          <w:sz w:val="24"/>
          <w:szCs w:val="24"/>
        </w:rPr>
        <w:t>Thaw tumor cells (B16F10 used in this study) several days before intradermal injections.</w:t>
      </w:r>
    </w:p>
    <w:p w14:paraId="7DF59159" w14:textId="77777777" w:rsidR="001A0AE0" w:rsidRPr="006E11D6" w:rsidRDefault="001A0AE0" w:rsidP="006E11D6">
      <w:pPr>
        <w:pStyle w:val="ListParagraph"/>
        <w:spacing w:after="0" w:line="240" w:lineRule="auto"/>
        <w:ind w:left="0"/>
        <w:jc w:val="both"/>
        <w:rPr>
          <w:rFonts w:ascii="Calibri" w:hAnsi="Calibri" w:cs="Calibri"/>
          <w:sz w:val="24"/>
          <w:szCs w:val="24"/>
        </w:rPr>
      </w:pPr>
    </w:p>
    <w:p w14:paraId="1A5828D3" w14:textId="77777777" w:rsidR="00ED4CD8" w:rsidRPr="006E11D6" w:rsidRDefault="00761259" w:rsidP="006E11D6">
      <w:pPr>
        <w:pStyle w:val="ListParagraph"/>
        <w:numPr>
          <w:ilvl w:val="1"/>
          <w:numId w:val="14"/>
        </w:numPr>
        <w:spacing w:after="0" w:line="240" w:lineRule="auto"/>
        <w:ind w:left="0" w:firstLine="0"/>
        <w:jc w:val="both"/>
        <w:rPr>
          <w:rStyle w:val="Strong"/>
          <w:rFonts w:ascii="Calibri" w:hAnsi="Calibri" w:cs="Calibri"/>
          <w:b w:val="0"/>
          <w:bCs w:val="0"/>
          <w:sz w:val="24"/>
          <w:szCs w:val="24"/>
        </w:rPr>
      </w:pPr>
      <w:r w:rsidRPr="006E11D6">
        <w:rPr>
          <w:rFonts w:ascii="Calibri" w:hAnsi="Calibri" w:cs="Calibri"/>
          <w:sz w:val="24"/>
          <w:szCs w:val="24"/>
        </w:rPr>
        <w:t>Culture cells to 70</w:t>
      </w:r>
      <w:r w:rsidR="00ED4CD8" w:rsidRPr="006E11D6">
        <w:rPr>
          <w:rFonts w:ascii="Calibri" w:hAnsi="Calibri" w:cs="Calibri"/>
          <w:sz w:val="24"/>
          <w:szCs w:val="24"/>
        </w:rPr>
        <w:t>%</w:t>
      </w:r>
      <w:r w:rsidRPr="006E11D6">
        <w:rPr>
          <w:rFonts w:ascii="Calibri" w:hAnsi="Calibri" w:cs="Calibri"/>
          <w:sz w:val="24"/>
          <w:szCs w:val="24"/>
        </w:rPr>
        <w:t>–80% confluence while maintaining adequate fresh media</w:t>
      </w:r>
      <w:r w:rsidR="00340830" w:rsidRPr="006E11D6">
        <w:rPr>
          <w:rFonts w:ascii="Calibri" w:hAnsi="Calibri" w:cs="Calibri"/>
          <w:sz w:val="24"/>
          <w:szCs w:val="24"/>
        </w:rPr>
        <w:br/>
      </w:r>
    </w:p>
    <w:p w14:paraId="01A64E84" w14:textId="30093E54" w:rsidR="00F31E87" w:rsidRPr="006E11D6" w:rsidRDefault="00ED4CD8" w:rsidP="006E11D6">
      <w:pPr>
        <w:pStyle w:val="ListParagraph"/>
        <w:spacing w:after="0" w:line="240" w:lineRule="auto"/>
        <w:ind w:left="0"/>
        <w:jc w:val="both"/>
        <w:rPr>
          <w:rFonts w:ascii="Calibri" w:hAnsi="Calibri" w:cs="Calibri"/>
          <w:sz w:val="24"/>
          <w:szCs w:val="24"/>
        </w:rPr>
      </w:pPr>
      <w:r w:rsidRPr="006E11D6">
        <w:rPr>
          <w:rStyle w:val="Strong"/>
          <w:rFonts w:ascii="Calibri" w:hAnsi="Calibri" w:cs="Calibri"/>
          <w:b w:val="0"/>
          <w:bCs w:val="0"/>
          <w:sz w:val="24"/>
          <w:szCs w:val="24"/>
        </w:rPr>
        <w:t>NOTE:</w:t>
      </w:r>
      <w:r w:rsidRPr="006E11D6">
        <w:rPr>
          <w:rFonts w:ascii="Calibri" w:hAnsi="Calibri" w:cs="Calibri"/>
          <w:sz w:val="24"/>
          <w:szCs w:val="24"/>
        </w:rPr>
        <w:t xml:space="preserve"> </w:t>
      </w:r>
      <w:r w:rsidR="00340830" w:rsidRPr="006E11D6">
        <w:rPr>
          <w:rFonts w:ascii="Calibri" w:hAnsi="Calibri" w:cs="Calibri"/>
          <w:sz w:val="24"/>
          <w:szCs w:val="24"/>
        </w:rPr>
        <w:t>Avoid 100% confluence, which halts proliferation and impairs tumor growth.</w:t>
      </w:r>
    </w:p>
    <w:p w14:paraId="142B460F" w14:textId="77777777" w:rsidR="001A0AE0" w:rsidRPr="006E11D6" w:rsidRDefault="001A0AE0" w:rsidP="006E11D6">
      <w:pPr>
        <w:pStyle w:val="ListParagraph"/>
        <w:spacing w:after="0" w:line="240" w:lineRule="auto"/>
        <w:ind w:left="0"/>
        <w:jc w:val="both"/>
        <w:rPr>
          <w:rFonts w:ascii="Calibri" w:hAnsi="Calibri" w:cs="Calibri"/>
          <w:sz w:val="24"/>
          <w:szCs w:val="24"/>
        </w:rPr>
      </w:pPr>
    </w:p>
    <w:p w14:paraId="2D28D13F" w14:textId="77777777" w:rsidR="00A826F3" w:rsidRPr="006E11D6" w:rsidRDefault="00340830" w:rsidP="006E11D6">
      <w:pPr>
        <w:pStyle w:val="ListParagraph"/>
        <w:numPr>
          <w:ilvl w:val="1"/>
          <w:numId w:val="14"/>
        </w:numPr>
        <w:spacing w:after="0" w:line="240" w:lineRule="auto"/>
        <w:ind w:left="0" w:firstLine="0"/>
        <w:jc w:val="both"/>
        <w:rPr>
          <w:rFonts w:ascii="Calibri" w:hAnsi="Calibri" w:cs="Calibri"/>
          <w:sz w:val="24"/>
          <w:szCs w:val="24"/>
        </w:rPr>
      </w:pPr>
      <w:r w:rsidRPr="006E11D6">
        <w:rPr>
          <w:rFonts w:ascii="Calibri" w:hAnsi="Calibri" w:cs="Calibri"/>
          <w:sz w:val="24"/>
          <w:szCs w:val="24"/>
        </w:rPr>
        <w:t>Harvest</w:t>
      </w:r>
      <w:r w:rsidR="00A75C82" w:rsidRPr="006E11D6">
        <w:rPr>
          <w:rFonts w:ascii="Calibri" w:hAnsi="Calibri" w:cs="Calibri"/>
          <w:sz w:val="24"/>
          <w:szCs w:val="24"/>
        </w:rPr>
        <w:t xml:space="preserve"> </w:t>
      </w:r>
      <w:r w:rsidRPr="006E11D6">
        <w:rPr>
          <w:rFonts w:ascii="Calibri" w:hAnsi="Calibri" w:cs="Calibri"/>
          <w:sz w:val="24"/>
          <w:szCs w:val="24"/>
        </w:rPr>
        <w:t xml:space="preserve">and prepare cells at </w:t>
      </w:r>
      <w:r w:rsidRPr="006E11D6">
        <w:rPr>
          <w:rStyle w:val="Strong"/>
          <w:rFonts w:ascii="Calibri" w:hAnsi="Calibri" w:cs="Calibri"/>
          <w:b w:val="0"/>
          <w:bCs w:val="0"/>
          <w:sz w:val="24"/>
          <w:szCs w:val="24"/>
        </w:rPr>
        <w:t>7</w:t>
      </w:r>
      <w:r w:rsidR="00ED4CD8" w:rsidRPr="006E11D6">
        <w:rPr>
          <w:rStyle w:val="Strong"/>
          <w:rFonts w:ascii="Calibri" w:hAnsi="Calibri" w:cs="Calibri"/>
          <w:b w:val="0"/>
          <w:bCs w:val="0"/>
          <w:sz w:val="24"/>
          <w:szCs w:val="24"/>
        </w:rPr>
        <w:t xml:space="preserve"> </w:t>
      </w:r>
      <w:r w:rsidR="00977DD2" w:rsidRPr="006E11D6">
        <w:rPr>
          <w:rStyle w:val="Strong"/>
          <w:rFonts w:ascii="Calibri" w:hAnsi="Calibri" w:cs="Calibri"/>
          <w:b w:val="0"/>
          <w:bCs w:val="0"/>
          <w:sz w:val="24"/>
          <w:szCs w:val="24"/>
        </w:rPr>
        <w:t>x</w:t>
      </w:r>
      <w:r w:rsidR="00ED4CD8" w:rsidRPr="006E11D6">
        <w:rPr>
          <w:rStyle w:val="Strong"/>
          <w:rFonts w:ascii="Calibri" w:hAnsi="Calibri" w:cs="Calibri"/>
          <w:b w:val="0"/>
          <w:bCs w:val="0"/>
          <w:sz w:val="24"/>
          <w:szCs w:val="24"/>
        </w:rPr>
        <w:t xml:space="preserve"> </w:t>
      </w:r>
      <w:r w:rsidRPr="006E11D6">
        <w:rPr>
          <w:rStyle w:val="Strong"/>
          <w:rFonts w:ascii="Calibri" w:hAnsi="Calibri" w:cs="Calibri"/>
          <w:b w:val="0"/>
          <w:bCs w:val="0"/>
          <w:sz w:val="24"/>
          <w:szCs w:val="24"/>
        </w:rPr>
        <w:t>10⁶ cells/mL</w:t>
      </w:r>
      <w:r w:rsidRPr="006E11D6">
        <w:rPr>
          <w:rFonts w:ascii="Calibri" w:hAnsi="Calibri" w:cs="Calibri"/>
          <w:sz w:val="24"/>
          <w:szCs w:val="24"/>
        </w:rPr>
        <w:t xml:space="preserve"> in either </w:t>
      </w:r>
      <w:r w:rsidR="00A75C82" w:rsidRPr="006E11D6">
        <w:rPr>
          <w:rFonts w:ascii="Calibri" w:hAnsi="Calibri" w:cs="Calibri"/>
          <w:sz w:val="24"/>
          <w:szCs w:val="24"/>
        </w:rPr>
        <w:t>1</w:t>
      </w:r>
      <w:r w:rsidR="00ED4CD8" w:rsidRPr="006E11D6">
        <w:rPr>
          <w:rFonts w:ascii="Calibri" w:hAnsi="Calibri" w:cs="Calibri"/>
          <w:sz w:val="24"/>
          <w:szCs w:val="24"/>
        </w:rPr>
        <w:t>x</w:t>
      </w:r>
      <w:r w:rsidR="00A75C82" w:rsidRPr="006E11D6">
        <w:rPr>
          <w:rFonts w:ascii="Calibri" w:hAnsi="Calibri" w:cs="Calibri"/>
          <w:sz w:val="24"/>
          <w:szCs w:val="24"/>
        </w:rPr>
        <w:t xml:space="preserve"> </w:t>
      </w:r>
      <w:r w:rsidRPr="006E11D6">
        <w:rPr>
          <w:rFonts w:ascii="Calibri" w:hAnsi="Calibri" w:cs="Calibri"/>
          <w:sz w:val="24"/>
          <w:szCs w:val="24"/>
        </w:rPr>
        <w:t>PBS</w:t>
      </w:r>
      <w:r w:rsidR="005E48A5" w:rsidRPr="006E11D6">
        <w:rPr>
          <w:rFonts w:ascii="Calibri" w:hAnsi="Calibri" w:cs="Calibri"/>
          <w:sz w:val="24"/>
          <w:szCs w:val="24"/>
        </w:rPr>
        <w:t xml:space="preserve">, </w:t>
      </w:r>
      <w:r w:rsidRPr="006E11D6">
        <w:rPr>
          <w:rFonts w:ascii="Calibri" w:hAnsi="Calibri" w:cs="Calibri"/>
          <w:sz w:val="24"/>
          <w:szCs w:val="24"/>
        </w:rPr>
        <w:t>serum-free RPMI</w:t>
      </w:r>
      <w:r w:rsidR="005E48A5" w:rsidRPr="006E11D6">
        <w:rPr>
          <w:rFonts w:ascii="Calibri" w:hAnsi="Calibri" w:cs="Calibri"/>
          <w:sz w:val="24"/>
          <w:szCs w:val="24"/>
        </w:rPr>
        <w:t>,</w:t>
      </w:r>
      <w:r w:rsidR="00557735" w:rsidRPr="006E11D6">
        <w:rPr>
          <w:rFonts w:ascii="Calibri" w:hAnsi="Calibri" w:cs="Calibri"/>
          <w:sz w:val="24"/>
          <w:szCs w:val="24"/>
        </w:rPr>
        <w:t xml:space="preserve"> or other </w:t>
      </w:r>
      <w:r w:rsidR="00697A8C" w:rsidRPr="006E11D6">
        <w:rPr>
          <w:rFonts w:ascii="Calibri" w:hAnsi="Calibri" w:cs="Calibri"/>
          <w:sz w:val="24"/>
          <w:szCs w:val="24"/>
        </w:rPr>
        <w:t>media used</w:t>
      </w:r>
      <w:r w:rsidR="00557735" w:rsidRPr="006E11D6">
        <w:rPr>
          <w:rFonts w:ascii="Calibri" w:hAnsi="Calibri" w:cs="Calibri"/>
          <w:sz w:val="24"/>
          <w:szCs w:val="24"/>
        </w:rPr>
        <w:t xml:space="preserve"> for growing the cells</w:t>
      </w:r>
      <w:r w:rsidRPr="006E11D6">
        <w:rPr>
          <w:rFonts w:ascii="Calibri" w:hAnsi="Calibri" w:cs="Calibri"/>
          <w:sz w:val="24"/>
          <w:szCs w:val="24"/>
        </w:rPr>
        <w:t>.</w:t>
      </w:r>
      <w:r w:rsidR="00A2474E" w:rsidRPr="006E11D6">
        <w:rPr>
          <w:rFonts w:ascii="Calibri" w:hAnsi="Calibri" w:cs="Calibri"/>
          <w:sz w:val="24"/>
          <w:szCs w:val="24"/>
        </w:rPr>
        <w:t xml:space="preserve"> </w:t>
      </w:r>
    </w:p>
    <w:p w14:paraId="5CD6074C" w14:textId="77777777" w:rsidR="00A826F3" w:rsidRPr="006E11D6" w:rsidRDefault="00A826F3" w:rsidP="006E11D6">
      <w:pPr>
        <w:pStyle w:val="ListParagraph"/>
        <w:spacing w:after="0" w:line="240" w:lineRule="auto"/>
        <w:ind w:left="0"/>
        <w:jc w:val="both"/>
        <w:rPr>
          <w:rFonts w:ascii="Calibri" w:hAnsi="Calibri" w:cs="Calibri"/>
          <w:sz w:val="24"/>
          <w:szCs w:val="24"/>
        </w:rPr>
      </w:pPr>
    </w:p>
    <w:p w14:paraId="0CEC7A0B" w14:textId="4D2A38AD" w:rsidR="00F31E87" w:rsidRPr="006E11D6" w:rsidRDefault="00A826F3" w:rsidP="006E11D6">
      <w:pPr>
        <w:pStyle w:val="ListParagraph"/>
        <w:spacing w:after="0" w:line="240" w:lineRule="auto"/>
        <w:ind w:left="0"/>
        <w:jc w:val="both"/>
        <w:rPr>
          <w:rFonts w:ascii="Calibri" w:hAnsi="Calibri" w:cs="Calibri"/>
          <w:sz w:val="24"/>
          <w:szCs w:val="24"/>
        </w:rPr>
      </w:pPr>
      <w:r w:rsidRPr="006E11D6">
        <w:rPr>
          <w:rFonts w:ascii="Calibri" w:hAnsi="Calibri" w:cs="Calibri"/>
          <w:sz w:val="24"/>
          <w:szCs w:val="24"/>
        </w:rPr>
        <w:t xml:space="preserve">NOTE: </w:t>
      </w:r>
      <w:r w:rsidR="00A2474E" w:rsidRPr="006E11D6">
        <w:rPr>
          <w:rFonts w:ascii="Calibri" w:hAnsi="Calibri" w:cs="Calibri"/>
          <w:sz w:val="24"/>
          <w:szCs w:val="24"/>
        </w:rPr>
        <w:t xml:space="preserve">The </w:t>
      </w:r>
      <w:r w:rsidR="00340830" w:rsidRPr="006E11D6">
        <w:rPr>
          <w:rFonts w:ascii="Calibri" w:hAnsi="Calibri" w:cs="Calibri"/>
          <w:sz w:val="24"/>
          <w:szCs w:val="24"/>
        </w:rPr>
        <w:t>B16F10 tumor</w:t>
      </w:r>
      <w:r w:rsidR="00A75C82" w:rsidRPr="006E11D6">
        <w:rPr>
          <w:rFonts w:ascii="Calibri" w:hAnsi="Calibri" w:cs="Calibri"/>
          <w:sz w:val="24"/>
          <w:szCs w:val="24"/>
        </w:rPr>
        <w:t xml:space="preserve"> model</w:t>
      </w:r>
      <w:r w:rsidR="00A2474E" w:rsidRPr="006E11D6">
        <w:rPr>
          <w:rFonts w:ascii="Calibri" w:hAnsi="Calibri" w:cs="Calibri"/>
          <w:sz w:val="24"/>
          <w:szCs w:val="24"/>
        </w:rPr>
        <w:t xml:space="preserve"> used in the lab </w:t>
      </w:r>
      <w:r w:rsidR="00557735" w:rsidRPr="006E11D6">
        <w:rPr>
          <w:rFonts w:ascii="Calibri" w:hAnsi="Calibri" w:cs="Calibri"/>
          <w:sz w:val="24"/>
          <w:szCs w:val="24"/>
        </w:rPr>
        <w:t>uses</w:t>
      </w:r>
      <w:r w:rsidR="00340830" w:rsidRPr="006E11D6">
        <w:rPr>
          <w:rFonts w:ascii="Calibri" w:hAnsi="Calibri" w:cs="Calibri"/>
          <w:sz w:val="24"/>
          <w:szCs w:val="24"/>
        </w:rPr>
        <w:t xml:space="preserve"> 2</w:t>
      </w:r>
      <w:r w:rsidR="00ED4CD8" w:rsidRPr="006E11D6">
        <w:rPr>
          <w:rFonts w:ascii="Calibri" w:hAnsi="Calibri" w:cs="Calibri"/>
          <w:sz w:val="24"/>
          <w:szCs w:val="24"/>
        </w:rPr>
        <w:t xml:space="preserve"> </w:t>
      </w:r>
      <w:r w:rsidR="00340830" w:rsidRPr="006E11D6">
        <w:rPr>
          <w:rFonts w:ascii="Calibri" w:hAnsi="Calibri" w:cs="Calibri"/>
          <w:sz w:val="24"/>
          <w:szCs w:val="24"/>
        </w:rPr>
        <w:t>x</w:t>
      </w:r>
      <w:r w:rsidR="00ED4CD8" w:rsidRPr="006E11D6">
        <w:rPr>
          <w:rFonts w:ascii="Calibri" w:hAnsi="Calibri" w:cs="Calibri"/>
          <w:sz w:val="24"/>
          <w:szCs w:val="24"/>
        </w:rPr>
        <w:t xml:space="preserve"> </w:t>
      </w:r>
      <w:r w:rsidR="00340830" w:rsidRPr="006E11D6">
        <w:rPr>
          <w:rFonts w:ascii="Calibri" w:hAnsi="Calibri" w:cs="Calibri"/>
          <w:sz w:val="24"/>
          <w:szCs w:val="24"/>
        </w:rPr>
        <w:t>10</w:t>
      </w:r>
      <w:r w:rsidR="00340830" w:rsidRPr="006E11D6">
        <w:rPr>
          <w:rFonts w:ascii="Calibri" w:hAnsi="Calibri" w:cs="Calibri"/>
          <w:sz w:val="24"/>
          <w:szCs w:val="24"/>
          <w:vertAlign w:val="superscript"/>
        </w:rPr>
        <w:t>5</w:t>
      </w:r>
      <w:r w:rsidR="00340830" w:rsidRPr="006E11D6">
        <w:rPr>
          <w:rFonts w:ascii="Calibri" w:hAnsi="Calibri" w:cs="Calibri"/>
          <w:sz w:val="24"/>
          <w:szCs w:val="24"/>
        </w:rPr>
        <w:t xml:space="preserve"> cells in</w:t>
      </w:r>
      <w:r w:rsidR="00977DD2" w:rsidRPr="006E11D6">
        <w:rPr>
          <w:rFonts w:ascii="Calibri" w:hAnsi="Calibri" w:cs="Calibri"/>
          <w:sz w:val="24"/>
          <w:szCs w:val="24"/>
        </w:rPr>
        <w:t xml:space="preserve"> 30 µL. </w:t>
      </w:r>
      <w:r w:rsidR="00340830" w:rsidRPr="006E11D6">
        <w:rPr>
          <w:rFonts w:ascii="Calibri" w:hAnsi="Calibri" w:cs="Calibri"/>
          <w:sz w:val="24"/>
          <w:szCs w:val="24"/>
        </w:rPr>
        <w:t>The</w:t>
      </w:r>
      <w:r w:rsidR="00A75C82" w:rsidRPr="006E11D6">
        <w:rPr>
          <w:rFonts w:ascii="Calibri" w:hAnsi="Calibri" w:cs="Calibri"/>
          <w:sz w:val="24"/>
          <w:szCs w:val="24"/>
        </w:rPr>
        <w:t xml:space="preserve"> </w:t>
      </w:r>
      <w:r w:rsidR="00A75C82" w:rsidRPr="006E11D6">
        <w:rPr>
          <w:rStyle w:val="Strong"/>
          <w:rFonts w:ascii="Calibri" w:hAnsi="Calibri" w:cs="Calibri"/>
          <w:b w:val="0"/>
          <w:bCs w:val="0"/>
          <w:sz w:val="24"/>
          <w:szCs w:val="24"/>
        </w:rPr>
        <w:t>30 µL</w:t>
      </w:r>
      <w:r w:rsidR="00A75C82" w:rsidRPr="006E11D6">
        <w:rPr>
          <w:rFonts w:ascii="Calibri" w:hAnsi="Calibri" w:cs="Calibri"/>
          <w:sz w:val="24"/>
          <w:szCs w:val="24"/>
        </w:rPr>
        <w:t xml:space="preserve"> injection volume is appropriate, but the number of cells can be adjusted as needed to establish the desired tumor mode</w:t>
      </w:r>
      <w:r w:rsidR="00697A8C" w:rsidRPr="006E11D6">
        <w:rPr>
          <w:rFonts w:ascii="Calibri" w:hAnsi="Calibri" w:cs="Calibri"/>
          <w:sz w:val="24"/>
          <w:szCs w:val="24"/>
        </w:rPr>
        <w:t xml:space="preserve">l. </w:t>
      </w:r>
      <w:r w:rsidR="000A5763" w:rsidRPr="006E11D6">
        <w:rPr>
          <w:rFonts w:ascii="Calibri" w:hAnsi="Calibri" w:cs="Calibri"/>
          <w:sz w:val="24"/>
          <w:szCs w:val="24"/>
        </w:rPr>
        <w:t xml:space="preserve">Cells will settle and collect </w:t>
      </w:r>
      <w:r w:rsidRPr="006E11D6">
        <w:rPr>
          <w:rFonts w:ascii="Calibri" w:hAnsi="Calibri" w:cs="Calibri"/>
          <w:sz w:val="24"/>
          <w:szCs w:val="24"/>
        </w:rPr>
        <w:t>at</w:t>
      </w:r>
      <w:r w:rsidR="000A5763" w:rsidRPr="006E11D6">
        <w:rPr>
          <w:rFonts w:ascii="Calibri" w:hAnsi="Calibri" w:cs="Calibri"/>
          <w:sz w:val="24"/>
          <w:szCs w:val="24"/>
        </w:rPr>
        <w:t xml:space="preserve"> the bottom of the tube, so to ensure the concentration of cells is constant</w:t>
      </w:r>
      <w:r w:rsidRPr="006E11D6">
        <w:rPr>
          <w:rFonts w:ascii="Calibri" w:hAnsi="Calibri" w:cs="Calibri"/>
          <w:sz w:val="24"/>
          <w:szCs w:val="24"/>
        </w:rPr>
        <w:t>,</w:t>
      </w:r>
      <w:r w:rsidR="000A5763" w:rsidRPr="006E11D6">
        <w:rPr>
          <w:rFonts w:ascii="Calibri" w:hAnsi="Calibri" w:cs="Calibri"/>
          <w:sz w:val="24"/>
          <w:szCs w:val="24"/>
        </w:rPr>
        <w:t xml:space="preserve"> periodically </w:t>
      </w:r>
      <w:r w:rsidR="002B7E3C" w:rsidRPr="006E11D6">
        <w:rPr>
          <w:rFonts w:ascii="Calibri" w:hAnsi="Calibri" w:cs="Calibri"/>
          <w:sz w:val="24"/>
          <w:szCs w:val="24"/>
        </w:rPr>
        <w:t>gently</w:t>
      </w:r>
      <w:r w:rsidR="000A5763" w:rsidRPr="006E11D6">
        <w:rPr>
          <w:rFonts w:ascii="Calibri" w:hAnsi="Calibri" w:cs="Calibri"/>
          <w:sz w:val="24"/>
          <w:szCs w:val="24"/>
        </w:rPr>
        <w:t xml:space="preserve"> mix the cells to keep them suspended.</w:t>
      </w:r>
    </w:p>
    <w:p w14:paraId="6DC1A7DF" w14:textId="77777777" w:rsidR="001A0AE0" w:rsidRPr="006E11D6" w:rsidRDefault="001A0AE0" w:rsidP="006E11D6">
      <w:pPr>
        <w:pStyle w:val="ListParagraph"/>
        <w:spacing w:after="0" w:line="240" w:lineRule="auto"/>
        <w:ind w:left="0"/>
        <w:jc w:val="both"/>
        <w:rPr>
          <w:rFonts w:ascii="Calibri" w:hAnsi="Calibri" w:cs="Calibri"/>
          <w:sz w:val="24"/>
          <w:szCs w:val="24"/>
        </w:rPr>
      </w:pPr>
    </w:p>
    <w:p w14:paraId="31F07E1C" w14:textId="5CEE3035" w:rsidR="005E48A5" w:rsidRPr="006E11D6" w:rsidRDefault="005E48A5" w:rsidP="006E11D6">
      <w:pPr>
        <w:pStyle w:val="ListParagraph"/>
        <w:numPr>
          <w:ilvl w:val="1"/>
          <w:numId w:val="14"/>
        </w:numPr>
        <w:spacing w:after="0" w:line="240" w:lineRule="auto"/>
        <w:ind w:left="0" w:firstLine="0"/>
        <w:jc w:val="both"/>
        <w:rPr>
          <w:rFonts w:ascii="Calibri" w:hAnsi="Calibri" w:cs="Calibri"/>
          <w:sz w:val="24"/>
          <w:szCs w:val="24"/>
        </w:rPr>
      </w:pPr>
      <w:r w:rsidRPr="006E11D6">
        <w:rPr>
          <w:rFonts w:ascii="Calibri" w:hAnsi="Calibri" w:cs="Calibri"/>
          <w:sz w:val="24"/>
          <w:szCs w:val="24"/>
        </w:rPr>
        <w:t xml:space="preserve">Keep cells on ice after harvest and proceed quickly to inject. </w:t>
      </w:r>
      <w:r w:rsidR="00340830" w:rsidRPr="006E11D6">
        <w:rPr>
          <w:rFonts w:ascii="Calibri" w:hAnsi="Calibri" w:cs="Calibri"/>
          <w:sz w:val="24"/>
          <w:szCs w:val="24"/>
        </w:rPr>
        <w:t>Prolonged storage on ice reduces cell viability, which can decrease the number of live cells delivered and negatively impact tumor establishment</w:t>
      </w:r>
      <w:sdt>
        <w:sdtPr>
          <w:rPr>
            <w:rFonts w:ascii="Calibri" w:hAnsi="Calibri" w:cs="Calibri"/>
            <w:color w:val="000000"/>
            <w:sz w:val="24"/>
            <w:szCs w:val="24"/>
            <w:vertAlign w:val="superscript"/>
          </w:rPr>
          <w:tag w:val="MENDELEY_CITATION_v3_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"/>
          <w:id w:val="386230390"/>
          <w:placeholder>
            <w:docPart w:val="DefaultPlaceholder_-1854013440"/>
          </w:placeholder>
        </w:sdtPr>
        <w:sdtContent>
          <w:r w:rsidR="00AF59B5" w:rsidRPr="006E11D6">
            <w:rPr>
              <w:rFonts w:ascii="Calibri" w:hAnsi="Calibri" w:cs="Calibri"/>
              <w:color w:val="000000"/>
              <w:sz w:val="24"/>
              <w:szCs w:val="24"/>
              <w:vertAlign w:val="superscript"/>
            </w:rPr>
            <w:t>6</w:t>
          </w:r>
        </w:sdtContent>
      </w:sdt>
      <w:r w:rsidR="00340830" w:rsidRPr="006E11D6">
        <w:rPr>
          <w:rFonts w:ascii="Calibri" w:hAnsi="Calibri" w:cs="Calibri"/>
          <w:sz w:val="24"/>
          <w:szCs w:val="24"/>
        </w:rPr>
        <w:t>.</w:t>
      </w:r>
    </w:p>
    <w:p w14:paraId="327D51C0" w14:textId="77777777" w:rsidR="00A826F3" w:rsidRPr="006E11D6" w:rsidRDefault="00A826F3" w:rsidP="006E11D6">
      <w:pPr>
        <w:pStyle w:val="ListParagraph"/>
        <w:spacing w:after="0" w:line="240" w:lineRule="auto"/>
        <w:ind w:left="0"/>
        <w:jc w:val="both"/>
        <w:rPr>
          <w:rStyle w:val="Strong"/>
          <w:rFonts w:ascii="Calibri" w:hAnsi="Calibri" w:cs="Calibri"/>
          <w:color w:val="EE0000"/>
          <w:sz w:val="24"/>
          <w:szCs w:val="24"/>
        </w:rPr>
      </w:pPr>
    </w:p>
    <w:p w14:paraId="0D4EAA9E" w14:textId="68F03578" w:rsidR="005E48A5" w:rsidRPr="006E11D6" w:rsidRDefault="00A826F3" w:rsidP="006E11D6">
      <w:pPr>
        <w:pStyle w:val="ListParagraph"/>
        <w:spacing w:after="0" w:line="240" w:lineRule="auto"/>
        <w:ind w:left="0"/>
        <w:jc w:val="both"/>
        <w:rPr>
          <w:rFonts w:ascii="Calibri" w:hAnsi="Calibri" w:cs="Calibri"/>
          <w:sz w:val="24"/>
          <w:szCs w:val="24"/>
        </w:rPr>
      </w:pPr>
      <w:r w:rsidRPr="006E11D6">
        <w:rPr>
          <w:rStyle w:val="Strong"/>
          <w:rFonts w:ascii="Calibri" w:hAnsi="Calibri" w:cs="Calibri"/>
          <w:b w:val="0"/>
          <w:bCs w:val="0"/>
          <w:sz w:val="24"/>
          <w:szCs w:val="24"/>
        </w:rPr>
        <w:t>NOTE:</w:t>
      </w:r>
      <w:r w:rsidRPr="006E11D6">
        <w:rPr>
          <w:rStyle w:val="Strong"/>
          <w:rFonts w:ascii="Calibri" w:hAnsi="Calibri" w:cs="Calibri"/>
          <w:sz w:val="24"/>
          <w:szCs w:val="24"/>
        </w:rPr>
        <w:t xml:space="preserve"> </w:t>
      </w:r>
      <w:r w:rsidR="00A23CC5" w:rsidRPr="006E11D6">
        <w:rPr>
          <w:rStyle w:val="Strong"/>
          <w:rFonts w:ascii="Calibri" w:hAnsi="Calibri" w:cs="Calibri"/>
          <w:b w:val="0"/>
          <w:bCs w:val="0"/>
          <w:color w:val="000000" w:themeColor="text1"/>
          <w:sz w:val="24"/>
          <w:szCs w:val="24"/>
        </w:rPr>
        <w:t>Cells are harvested and used right away in the lab. Injections are done within</w:t>
      </w:r>
      <w:r w:rsidR="00A2474E" w:rsidRPr="006E11D6">
        <w:rPr>
          <w:rStyle w:val="Strong"/>
          <w:rFonts w:ascii="Calibri" w:hAnsi="Calibri" w:cs="Calibri"/>
          <w:b w:val="0"/>
          <w:bCs w:val="0"/>
          <w:color w:val="000000" w:themeColor="text1"/>
          <w:sz w:val="24"/>
          <w:szCs w:val="24"/>
        </w:rPr>
        <w:t xml:space="preserve"> </w:t>
      </w:r>
      <w:r w:rsidR="00697A8C" w:rsidRPr="006E11D6">
        <w:rPr>
          <w:rStyle w:val="Strong"/>
          <w:rFonts w:ascii="Calibri" w:hAnsi="Calibri" w:cs="Calibri"/>
          <w:b w:val="0"/>
          <w:bCs w:val="0"/>
          <w:color w:val="000000" w:themeColor="text1"/>
          <w:sz w:val="24"/>
          <w:szCs w:val="24"/>
        </w:rPr>
        <w:t>20</w:t>
      </w:r>
      <w:r w:rsidR="00F01572" w:rsidRPr="006E11D6">
        <w:rPr>
          <w:rStyle w:val="Strong"/>
          <w:rFonts w:ascii="Calibri" w:hAnsi="Calibri" w:cs="Calibri"/>
          <w:b w:val="0"/>
          <w:bCs w:val="0"/>
          <w:color w:val="000000" w:themeColor="text1"/>
          <w:sz w:val="24"/>
          <w:szCs w:val="24"/>
        </w:rPr>
        <w:t>–</w:t>
      </w:r>
      <w:r w:rsidR="00697A8C" w:rsidRPr="006E11D6">
        <w:rPr>
          <w:rStyle w:val="Strong"/>
          <w:rFonts w:ascii="Calibri" w:hAnsi="Calibri" w:cs="Calibri"/>
          <w:b w:val="0"/>
          <w:bCs w:val="0"/>
          <w:color w:val="000000" w:themeColor="text1"/>
          <w:sz w:val="24"/>
          <w:szCs w:val="24"/>
        </w:rPr>
        <w:t xml:space="preserve">60 min </w:t>
      </w:r>
      <w:r w:rsidR="00A23CC5" w:rsidRPr="006E11D6">
        <w:rPr>
          <w:rStyle w:val="Strong"/>
          <w:rFonts w:ascii="Calibri" w:hAnsi="Calibri" w:cs="Calibri"/>
          <w:b w:val="0"/>
          <w:bCs w:val="0"/>
          <w:color w:val="000000" w:themeColor="text1"/>
          <w:sz w:val="24"/>
          <w:szCs w:val="24"/>
        </w:rPr>
        <w:t>of processing the cells and putting them on ice.</w:t>
      </w:r>
      <w:r w:rsidR="005E48A5" w:rsidRPr="006E11D6">
        <w:rPr>
          <w:rStyle w:val="Strong"/>
          <w:rFonts w:ascii="Calibri" w:hAnsi="Calibri" w:cs="Calibri"/>
          <w:b w:val="0"/>
          <w:bCs w:val="0"/>
          <w:color w:val="000000" w:themeColor="text1"/>
          <w:sz w:val="24"/>
          <w:szCs w:val="24"/>
        </w:rPr>
        <w:t xml:space="preserve"> </w:t>
      </w:r>
      <w:r w:rsidR="005E48A5" w:rsidRPr="006E11D6">
        <w:rPr>
          <w:rFonts w:ascii="Calibri" w:hAnsi="Calibri" w:cs="Calibri"/>
          <w:sz w:val="24"/>
          <w:szCs w:val="24"/>
        </w:rPr>
        <w:t>Use a partner when working with large cohorts to minimize time on ice.</w:t>
      </w:r>
    </w:p>
    <w:p w14:paraId="5520CB04" w14:textId="025D43A2" w:rsidR="00340830" w:rsidRPr="006E11D6" w:rsidRDefault="00697A8C" w:rsidP="006E11D6">
      <w:pPr>
        <w:pStyle w:val="ListParagraph"/>
        <w:spacing w:after="0" w:line="240" w:lineRule="auto"/>
        <w:ind w:left="0"/>
        <w:jc w:val="both"/>
        <w:rPr>
          <w:rFonts w:ascii="Calibri" w:hAnsi="Calibri" w:cs="Calibri"/>
          <w:color w:val="000000" w:themeColor="text1"/>
          <w:sz w:val="24"/>
          <w:szCs w:val="24"/>
        </w:rPr>
      </w:pPr>
      <w:r w:rsidRPr="006E11D6">
        <w:rPr>
          <w:rStyle w:val="Strong"/>
          <w:rFonts w:ascii="Calibri" w:hAnsi="Calibri" w:cs="Calibri"/>
          <w:b w:val="0"/>
          <w:bCs w:val="0"/>
          <w:color w:val="000000" w:themeColor="text1"/>
          <w:sz w:val="24"/>
          <w:szCs w:val="24"/>
        </w:rPr>
        <w:t xml:space="preserve"> </w:t>
      </w:r>
    </w:p>
    <w:p w14:paraId="7791A1DA" w14:textId="0CFA5B7C" w:rsidR="00F31E87" w:rsidRPr="006B0315" w:rsidRDefault="00340830" w:rsidP="006E11D6">
      <w:pPr>
        <w:pStyle w:val="ListParagraph"/>
        <w:numPr>
          <w:ilvl w:val="0"/>
          <w:numId w:val="14"/>
        </w:numPr>
        <w:spacing w:after="0" w:line="240" w:lineRule="auto"/>
        <w:ind w:left="0" w:firstLine="0"/>
        <w:jc w:val="both"/>
        <w:rPr>
          <w:rFonts w:ascii="Calibri" w:hAnsi="Calibri" w:cs="Calibri"/>
          <w:b/>
          <w:bCs/>
          <w:sz w:val="24"/>
          <w:szCs w:val="24"/>
          <w:highlight w:val="yellow"/>
        </w:rPr>
      </w:pPr>
      <w:r w:rsidRPr="006B0315">
        <w:rPr>
          <w:rFonts w:ascii="Calibri" w:hAnsi="Calibri" w:cs="Calibri"/>
          <w:b/>
          <w:bCs/>
          <w:sz w:val="24"/>
          <w:szCs w:val="24"/>
          <w:highlight w:val="yellow"/>
        </w:rPr>
        <w:t xml:space="preserve">Intradermal injections </w:t>
      </w:r>
    </w:p>
    <w:p w14:paraId="5D54C1FB" w14:textId="77777777" w:rsidR="001A0AE0" w:rsidRPr="006B0315" w:rsidRDefault="001A0AE0" w:rsidP="006E11D6">
      <w:pPr>
        <w:pStyle w:val="ListParagraph"/>
        <w:spacing w:after="0" w:line="240" w:lineRule="auto"/>
        <w:ind w:left="0"/>
        <w:jc w:val="both"/>
        <w:rPr>
          <w:rFonts w:ascii="Calibri" w:hAnsi="Calibri" w:cs="Calibri"/>
          <w:b/>
          <w:bCs/>
          <w:sz w:val="24"/>
          <w:szCs w:val="24"/>
          <w:highlight w:val="yellow"/>
        </w:rPr>
      </w:pPr>
    </w:p>
    <w:p w14:paraId="374293C8" w14:textId="77777777" w:rsidR="00A75C82" w:rsidRPr="006B0315" w:rsidRDefault="0034083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Anesthetize experimental mice.</w:t>
      </w:r>
    </w:p>
    <w:p w14:paraId="25258743" w14:textId="77777777" w:rsidR="00F01572" w:rsidRPr="006B0315" w:rsidRDefault="00F01572" w:rsidP="006E11D6">
      <w:pPr>
        <w:pStyle w:val="ListParagraph"/>
        <w:spacing w:after="0" w:line="240" w:lineRule="auto"/>
        <w:ind w:left="0"/>
        <w:jc w:val="both"/>
        <w:rPr>
          <w:rStyle w:val="Strong"/>
          <w:rFonts w:ascii="Calibri" w:hAnsi="Calibri" w:cs="Calibri"/>
          <w:color w:val="EE0000"/>
          <w:sz w:val="24"/>
          <w:szCs w:val="24"/>
          <w:highlight w:val="yellow"/>
        </w:rPr>
      </w:pPr>
    </w:p>
    <w:p w14:paraId="6F01E8F8" w14:textId="4E6D3080" w:rsidR="00F31E87" w:rsidRPr="006B0315" w:rsidRDefault="00963E34" w:rsidP="006E11D6">
      <w:pPr>
        <w:pStyle w:val="ListParagraph"/>
        <w:spacing w:after="0" w:line="240" w:lineRule="auto"/>
        <w:ind w:left="0"/>
        <w:jc w:val="both"/>
        <w:rPr>
          <w:rFonts w:ascii="Calibri" w:hAnsi="Calibri" w:cs="Calibri"/>
          <w:sz w:val="24"/>
          <w:szCs w:val="24"/>
          <w:highlight w:val="yellow"/>
        </w:rPr>
      </w:pPr>
      <w:r w:rsidRPr="006B0315">
        <w:rPr>
          <w:rStyle w:val="Strong"/>
          <w:rFonts w:ascii="Calibri" w:hAnsi="Calibri" w:cs="Calibri"/>
          <w:b w:val="0"/>
          <w:bCs w:val="0"/>
          <w:sz w:val="24"/>
          <w:szCs w:val="24"/>
          <w:highlight w:val="yellow"/>
        </w:rPr>
        <w:t>NOTE:</w:t>
      </w:r>
      <w:r w:rsidRPr="006B0315">
        <w:rPr>
          <w:rFonts w:ascii="Calibri" w:hAnsi="Calibri" w:cs="Calibri"/>
          <w:sz w:val="24"/>
          <w:szCs w:val="24"/>
          <w:highlight w:val="yellow"/>
        </w:rPr>
        <w:t xml:space="preserve"> </w:t>
      </w:r>
      <w:r w:rsidR="00A2474E" w:rsidRPr="006B0315">
        <w:rPr>
          <w:rFonts w:ascii="Calibri" w:hAnsi="Calibri" w:cs="Calibri"/>
          <w:sz w:val="24"/>
          <w:szCs w:val="24"/>
          <w:highlight w:val="yellow"/>
        </w:rPr>
        <w:t>A</w:t>
      </w:r>
      <w:r w:rsidR="00340830" w:rsidRPr="006B0315">
        <w:rPr>
          <w:rFonts w:ascii="Calibri" w:hAnsi="Calibri" w:cs="Calibri"/>
          <w:sz w:val="24"/>
          <w:szCs w:val="24"/>
          <w:highlight w:val="yellow"/>
        </w:rPr>
        <w:t>nesthesia with isoflurane gas</w:t>
      </w:r>
      <w:r w:rsidR="00A2474E" w:rsidRPr="006B0315">
        <w:rPr>
          <w:rFonts w:ascii="Calibri" w:hAnsi="Calibri" w:cs="Calibri"/>
          <w:sz w:val="24"/>
          <w:szCs w:val="24"/>
          <w:highlight w:val="yellow"/>
        </w:rPr>
        <w:t xml:space="preserve"> is used by the lab</w:t>
      </w:r>
      <w:r w:rsidR="00340830" w:rsidRPr="006B0315">
        <w:rPr>
          <w:rFonts w:ascii="Calibri" w:hAnsi="Calibri" w:cs="Calibri"/>
          <w:sz w:val="24"/>
          <w:szCs w:val="24"/>
          <w:highlight w:val="yellow"/>
        </w:rPr>
        <w:t>, but injectable anesthetics can be used.</w:t>
      </w:r>
    </w:p>
    <w:p w14:paraId="1ED2CD6E"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5795BC63" w14:textId="77777777" w:rsidR="005E48A5" w:rsidRPr="006B0315" w:rsidRDefault="0034083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Following anesthesia</w:t>
      </w:r>
      <w:r w:rsidR="005E48A5" w:rsidRPr="006B0315">
        <w:rPr>
          <w:rFonts w:ascii="Calibri" w:hAnsi="Calibri" w:cs="Calibri"/>
          <w:sz w:val="24"/>
          <w:szCs w:val="24"/>
          <w:highlight w:val="yellow"/>
        </w:rPr>
        <w:t xml:space="preserve"> induction, p</w:t>
      </w:r>
      <w:r w:rsidRPr="006B0315">
        <w:rPr>
          <w:rFonts w:ascii="Calibri" w:hAnsi="Calibri" w:cs="Calibri"/>
          <w:sz w:val="24"/>
          <w:szCs w:val="24"/>
          <w:highlight w:val="yellow"/>
        </w:rPr>
        <w:t xml:space="preserve">lace the mouse under </w:t>
      </w:r>
      <w:r w:rsidR="005E48A5" w:rsidRPr="006B0315">
        <w:rPr>
          <w:rFonts w:ascii="Calibri" w:hAnsi="Calibri" w:cs="Calibri"/>
          <w:sz w:val="24"/>
          <w:szCs w:val="24"/>
          <w:highlight w:val="yellow"/>
        </w:rPr>
        <w:t>a</w:t>
      </w:r>
      <w:r w:rsidRPr="006B0315">
        <w:rPr>
          <w:rFonts w:ascii="Calibri" w:hAnsi="Calibri" w:cs="Calibri"/>
          <w:sz w:val="24"/>
          <w:szCs w:val="24"/>
          <w:highlight w:val="yellow"/>
        </w:rPr>
        <w:t xml:space="preserve"> nose cone and position the body to fully expose the right flank.</w:t>
      </w:r>
    </w:p>
    <w:p w14:paraId="5F3846F7" w14:textId="77777777" w:rsidR="005E48A5" w:rsidRPr="006B0315" w:rsidRDefault="005E48A5" w:rsidP="006E11D6">
      <w:pPr>
        <w:pStyle w:val="ListParagraph"/>
        <w:spacing w:after="0" w:line="240" w:lineRule="auto"/>
        <w:ind w:left="0"/>
        <w:jc w:val="both"/>
        <w:rPr>
          <w:rFonts w:ascii="Calibri" w:hAnsi="Calibri" w:cs="Calibri"/>
          <w:sz w:val="24"/>
          <w:szCs w:val="24"/>
          <w:highlight w:val="yellow"/>
        </w:rPr>
      </w:pPr>
    </w:p>
    <w:p w14:paraId="068FFD37" w14:textId="77777777" w:rsidR="005E48A5" w:rsidRPr="006B0315" w:rsidRDefault="005E48A5"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Gently invert the cell suspension to ensure even mixing.</w:t>
      </w:r>
    </w:p>
    <w:p w14:paraId="6B301EDD" w14:textId="77777777" w:rsidR="005E48A5" w:rsidRPr="006B0315" w:rsidRDefault="005E48A5" w:rsidP="006E11D6">
      <w:pPr>
        <w:pStyle w:val="ListParagraph"/>
        <w:spacing w:after="0" w:line="240" w:lineRule="auto"/>
        <w:ind w:left="0"/>
        <w:jc w:val="both"/>
        <w:rPr>
          <w:rFonts w:ascii="Calibri" w:hAnsi="Calibri" w:cs="Calibri"/>
          <w:sz w:val="24"/>
          <w:szCs w:val="24"/>
          <w:highlight w:val="yellow"/>
        </w:rPr>
      </w:pPr>
    </w:p>
    <w:p w14:paraId="6BFA19BC" w14:textId="454F1972" w:rsidR="005E48A5" w:rsidRPr="006B0315" w:rsidRDefault="005E48A5"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Draw 30 µL of cell suspension into a 0.3 mL syringe with a 29 G, ½” needle. Remove air bubbles.</w:t>
      </w:r>
    </w:p>
    <w:p w14:paraId="4C2E4F2E"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1BD35E82" w14:textId="235DFA5A" w:rsidR="00A2474E" w:rsidRPr="006B0315" w:rsidRDefault="0034083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Using</w:t>
      </w:r>
      <w:r w:rsidR="005B00ED" w:rsidRPr="006B0315">
        <w:rPr>
          <w:rFonts w:ascii="Calibri" w:hAnsi="Calibri" w:cs="Calibri"/>
          <w:sz w:val="24"/>
          <w:szCs w:val="24"/>
          <w:highlight w:val="yellow"/>
        </w:rPr>
        <w:t xml:space="preserve"> the </w:t>
      </w:r>
      <w:r w:rsidRPr="006B0315">
        <w:rPr>
          <w:rFonts w:ascii="Calibri" w:hAnsi="Calibri" w:cs="Calibri"/>
          <w:sz w:val="24"/>
          <w:szCs w:val="24"/>
          <w:highlight w:val="yellow"/>
        </w:rPr>
        <w:t xml:space="preserve">non-dominant hand, gently stretch the leg/skin to the side to make it smooth and tight (do not lift it upward). Insert the needle </w:t>
      </w:r>
      <w:r w:rsidRPr="006B0315">
        <w:rPr>
          <w:rStyle w:val="Strong"/>
          <w:rFonts w:ascii="Calibri" w:hAnsi="Calibri" w:cs="Calibri"/>
          <w:b w:val="0"/>
          <w:bCs w:val="0"/>
          <w:sz w:val="24"/>
          <w:szCs w:val="24"/>
          <w:highlight w:val="yellow"/>
        </w:rPr>
        <w:t>bevel-up</w:t>
      </w:r>
      <w:r w:rsidRPr="006B0315">
        <w:rPr>
          <w:rFonts w:ascii="Calibri" w:hAnsi="Calibri" w:cs="Calibri"/>
          <w:sz w:val="24"/>
          <w:szCs w:val="24"/>
          <w:highlight w:val="yellow"/>
        </w:rPr>
        <w:t xml:space="preserve"> into the dermis at a shallow</w:t>
      </w:r>
      <w:r w:rsidR="00A2474E" w:rsidRPr="006B0315">
        <w:rPr>
          <w:rFonts w:ascii="Calibri" w:hAnsi="Calibri" w:cs="Calibri"/>
          <w:sz w:val="24"/>
          <w:szCs w:val="24"/>
          <w:highlight w:val="yellow"/>
        </w:rPr>
        <w:t xml:space="preserve"> </w:t>
      </w:r>
      <w:r w:rsidRPr="006B0315">
        <w:rPr>
          <w:rFonts w:ascii="Calibri" w:hAnsi="Calibri" w:cs="Calibri"/>
          <w:sz w:val="24"/>
          <w:szCs w:val="24"/>
          <w:highlight w:val="yellow"/>
        </w:rPr>
        <w:t>parallel angle. The needle should stay visible under the skin, showing it’s not too deep.</w:t>
      </w:r>
    </w:p>
    <w:p w14:paraId="0F62DDEA" w14:textId="77777777" w:rsidR="00963E34" w:rsidRPr="006B0315" w:rsidRDefault="00963E34" w:rsidP="006E11D6">
      <w:pPr>
        <w:pStyle w:val="ListParagraph"/>
        <w:spacing w:after="0" w:line="240" w:lineRule="auto"/>
        <w:ind w:left="0"/>
        <w:jc w:val="both"/>
        <w:rPr>
          <w:rFonts w:ascii="Calibri" w:hAnsi="Calibri" w:cs="Calibri"/>
          <w:sz w:val="24"/>
          <w:szCs w:val="24"/>
          <w:highlight w:val="yellow"/>
        </w:rPr>
      </w:pPr>
    </w:p>
    <w:p w14:paraId="03DF585A" w14:textId="37DF7CA0" w:rsidR="00F31E87" w:rsidRPr="006B0315" w:rsidRDefault="00963E34" w:rsidP="006E11D6">
      <w:pPr>
        <w:pStyle w:val="ListParagraph"/>
        <w:spacing w:after="0" w:line="240" w:lineRule="auto"/>
        <w:ind w:left="0"/>
        <w:jc w:val="both"/>
        <w:rPr>
          <w:rFonts w:ascii="Calibri" w:hAnsi="Calibri" w:cs="Calibri"/>
          <w:sz w:val="24"/>
          <w:szCs w:val="24"/>
          <w:highlight w:val="yellow"/>
        </w:rPr>
      </w:pPr>
      <w:r w:rsidRPr="006B0315">
        <w:rPr>
          <w:rFonts w:ascii="Calibri" w:hAnsi="Calibri" w:cs="Calibri"/>
          <w:sz w:val="24"/>
          <w:szCs w:val="24"/>
          <w:highlight w:val="yellow"/>
        </w:rPr>
        <w:t xml:space="preserve">NOTE: </w:t>
      </w:r>
      <w:r w:rsidR="00A2474E" w:rsidRPr="006B0315">
        <w:rPr>
          <w:rFonts w:ascii="Calibri" w:hAnsi="Calibri" w:cs="Calibri"/>
          <w:sz w:val="24"/>
          <w:szCs w:val="24"/>
          <w:highlight w:val="yellow"/>
        </w:rPr>
        <w:t>The needle depth should be</w:t>
      </w:r>
      <w:r w:rsidR="005E48A5" w:rsidRPr="006B0315">
        <w:rPr>
          <w:rFonts w:ascii="Calibri" w:hAnsi="Calibri" w:cs="Calibri"/>
          <w:sz w:val="24"/>
          <w:szCs w:val="24"/>
          <w:highlight w:val="yellow"/>
        </w:rPr>
        <w:t xml:space="preserve"> </w:t>
      </w:r>
      <w:r w:rsidR="006D1A06" w:rsidRPr="006B0315">
        <w:rPr>
          <w:rFonts w:ascii="Calibri" w:hAnsi="Calibri" w:cs="Calibri"/>
          <w:sz w:val="24"/>
          <w:szCs w:val="24"/>
          <w:highlight w:val="yellow"/>
        </w:rPr>
        <w:sym w:font="Symbol" w:char="F07E"/>
      </w:r>
      <w:r w:rsidR="006D1A06" w:rsidRPr="006B0315">
        <w:rPr>
          <w:rFonts w:ascii="Calibri" w:hAnsi="Calibri" w:cs="Calibri"/>
          <w:sz w:val="24"/>
          <w:szCs w:val="24"/>
          <w:highlight w:val="yellow"/>
        </w:rPr>
        <w:t xml:space="preserve">2 </w:t>
      </w:r>
      <w:r w:rsidR="0004775A" w:rsidRPr="006B0315">
        <w:rPr>
          <w:rFonts w:ascii="Calibri" w:hAnsi="Calibri" w:cs="Calibri"/>
          <w:sz w:val="24"/>
          <w:szCs w:val="24"/>
          <w:highlight w:val="yellow"/>
        </w:rPr>
        <w:t>mm into the skin. To avoid backflow of the cells</w:t>
      </w:r>
      <w:r w:rsidR="00824912" w:rsidRPr="006B0315">
        <w:rPr>
          <w:rFonts w:ascii="Calibri" w:hAnsi="Calibri" w:cs="Calibri"/>
          <w:sz w:val="24"/>
          <w:szCs w:val="24"/>
          <w:highlight w:val="yellow"/>
        </w:rPr>
        <w:t xml:space="preserve">, insert the needle </w:t>
      </w:r>
      <w:r w:rsidR="006D1A06" w:rsidRPr="006B0315">
        <w:rPr>
          <w:rFonts w:ascii="Calibri" w:hAnsi="Calibri" w:cs="Calibri"/>
          <w:sz w:val="24"/>
          <w:szCs w:val="24"/>
          <w:highlight w:val="yellow"/>
        </w:rPr>
        <w:sym w:font="Symbol" w:char="F07E"/>
      </w:r>
      <w:r w:rsidR="006D1A06" w:rsidRPr="006B0315">
        <w:rPr>
          <w:rFonts w:ascii="Calibri" w:hAnsi="Calibri" w:cs="Calibri"/>
          <w:sz w:val="24"/>
          <w:szCs w:val="24"/>
          <w:highlight w:val="yellow"/>
        </w:rPr>
        <w:t xml:space="preserve">3 </w:t>
      </w:r>
      <w:r w:rsidR="00824912" w:rsidRPr="006B0315">
        <w:rPr>
          <w:rFonts w:ascii="Calibri" w:hAnsi="Calibri" w:cs="Calibri"/>
          <w:sz w:val="24"/>
          <w:szCs w:val="24"/>
          <w:highlight w:val="yellow"/>
        </w:rPr>
        <w:t>mm in the skin</w:t>
      </w:r>
      <w:r w:rsidR="005E48A5" w:rsidRPr="006B0315">
        <w:rPr>
          <w:rFonts w:ascii="Calibri" w:hAnsi="Calibri" w:cs="Calibri"/>
          <w:sz w:val="24"/>
          <w:szCs w:val="24"/>
          <w:highlight w:val="yellow"/>
        </w:rPr>
        <w:t xml:space="preserve">, </w:t>
      </w:r>
      <w:r w:rsidR="00824912" w:rsidRPr="006B0315">
        <w:rPr>
          <w:rFonts w:ascii="Calibri" w:hAnsi="Calibri" w:cs="Calibri"/>
          <w:sz w:val="24"/>
          <w:szCs w:val="24"/>
          <w:highlight w:val="yellow"/>
        </w:rPr>
        <w:t xml:space="preserve">pull the needle back slightly to create a “pocket” for the cells to be injected into. This reduces backflow significantly. </w:t>
      </w:r>
    </w:p>
    <w:p w14:paraId="65D765C4"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77570674" w14:textId="4DA71C56" w:rsidR="00F31E87" w:rsidRPr="006B0315" w:rsidRDefault="0034083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Very slowly inject</w:t>
      </w:r>
      <w:r w:rsidR="00A2474E" w:rsidRPr="006B0315">
        <w:rPr>
          <w:rFonts w:ascii="Calibri" w:hAnsi="Calibri" w:cs="Calibri"/>
          <w:sz w:val="24"/>
          <w:szCs w:val="24"/>
          <w:highlight w:val="yellow"/>
        </w:rPr>
        <w:t xml:space="preserve"> all </w:t>
      </w:r>
      <w:r w:rsidR="00A2474E" w:rsidRPr="006B0315">
        <w:rPr>
          <w:rStyle w:val="Strong"/>
          <w:rFonts w:ascii="Calibri" w:hAnsi="Calibri" w:cs="Calibri"/>
          <w:b w:val="0"/>
          <w:bCs w:val="0"/>
          <w:sz w:val="24"/>
          <w:szCs w:val="24"/>
          <w:highlight w:val="yellow"/>
        </w:rPr>
        <w:t xml:space="preserve">30 </w:t>
      </w:r>
      <w:proofErr w:type="spellStart"/>
      <w:r w:rsidR="00A2474E" w:rsidRPr="006B0315">
        <w:rPr>
          <w:rStyle w:val="Strong"/>
          <w:rFonts w:ascii="Calibri" w:hAnsi="Calibri" w:cs="Calibri"/>
          <w:b w:val="0"/>
          <w:bCs w:val="0"/>
          <w:sz w:val="24"/>
          <w:szCs w:val="24"/>
          <w:highlight w:val="yellow"/>
        </w:rPr>
        <w:t>μL</w:t>
      </w:r>
      <w:proofErr w:type="spellEnd"/>
      <w:r w:rsidR="00A2474E" w:rsidRPr="006B0315">
        <w:rPr>
          <w:rStyle w:val="Strong"/>
          <w:rFonts w:ascii="Calibri" w:hAnsi="Calibri" w:cs="Calibri"/>
          <w:b w:val="0"/>
          <w:bCs w:val="0"/>
          <w:sz w:val="24"/>
          <w:szCs w:val="24"/>
          <w:highlight w:val="yellow"/>
        </w:rPr>
        <w:t xml:space="preserve"> of cell suspension</w:t>
      </w:r>
      <w:r w:rsidR="00A2474E" w:rsidRPr="006B0315">
        <w:rPr>
          <w:rFonts w:ascii="Calibri" w:hAnsi="Calibri" w:cs="Calibri"/>
          <w:sz w:val="24"/>
          <w:szCs w:val="24"/>
          <w:highlight w:val="yellow"/>
        </w:rPr>
        <w:t xml:space="preserve"> </w:t>
      </w:r>
      <w:r w:rsidRPr="006B0315">
        <w:rPr>
          <w:rFonts w:ascii="Calibri" w:hAnsi="Calibri" w:cs="Calibri"/>
          <w:sz w:val="24"/>
          <w:szCs w:val="24"/>
          <w:highlight w:val="yellow"/>
        </w:rPr>
        <w:t>until a small, visible “bubble” forms under the skin. Wait 5</w:t>
      </w:r>
      <w:r w:rsidR="00963E34" w:rsidRPr="006B0315">
        <w:rPr>
          <w:rFonts w:ascii="Calibri" w:hAnsi="Calibri" w:cs="Calibri"/>
          <w:sz w:val="24"/>
          <w:szCs w:val="24"/>
          <w:highlight w:val="yellow"/>
        </w:rPr>
        <w:t>–</w:t>
      </w:r>
      <w:r w:rsidRPr="006B0315">
        <w:rPr>
          <w:rFonts w:ascii="Calibri" w:hAnsi="Calibri" w:cs="Calibri"/>
          <w:sz w:val="24"/>
          <w:szCs w:val="24"/>
          <w:highlight w:val="yellow"/>
        </w:rPr>
        <w:t>10 s before removing the needle.</w:t>
      </w:r>
    </w:p>
    <w:p w14:paraId="64F400DC" w14:textId="77777777" w:rsidR="00963E34" w:rsidRPr="006B0315" w:rsidRDefault="00963E34" w:rsidP="006E11D6">
      <w:pPr>
        <w:pStyle w:val="ListParagraph"/>
        <w:spacing w:after="0" w:line="240" w:lineRule="auto"/>
        <w:ind w:left="0"/>
        <w:jc w:val="both"/>
        <w:rPr>
          <w:rFonts w:ascii="Calibri" w:hAnsi="Calibri" w:cs="Calibri"/>
          <w:sz w:val="24"/>
          <w:szCs w:val="24"/>
          <w:highlight w:val="yellow"/>
        </w:rPr>
      </w:pPr>
    </w:p>
    <w:p w14:paraId="626D1C56" w14:textId="6756F6D1" w:rsidR="00F31E87" w:rsidRPr="006B0315" w:rsidRDefault="00963E34" w:rsidP="006E11D6">
      <w:pPr>
        <w:pStyle w:val="ListParagraph"/>
        <w:spacing w:after="0" w:line="240" w:lineRule="auto"/>
        <w:ind w:left="0"/>
        <w:jc w:val="both"/>
        <w:rPr>
          <w:rFonts w:ascii="Calibri" w:hAnsi="Calibri" w:cs="Calibri"/>
          <w:sz w:val="24"/>
          <w:szCs w:val="24"/>
          <w:highlight w:val="yellow"/>
        </w:rPr>
      </w:pPr>
      <w:r w:rsidRPr="006B0315">
        <w:rPr>
          <w:rFonts w:ascii="Calibri" w:hAnsi="Calibri" w:cs="Calibri"/>
          <w:sz w:val="24"/>
          <w:szCs w:val="24"/>
          <w:highlight w:val="yellow"/>
        </w:rPr>
        <w:t xml:space="preserve">NOTE: </w:t>
      </w:r>
      <w:r w:rsidR="00340830" w:rsidRPr="006B0315">
        <w:rPr>
          <w:rFonts w:ascii="Calibri" w:hAnsi="Calibri" w:cs="Calibri"/>
          <w:sz w:val="24"/>
          <w:szCs w:val="24"/>
          <w:highlight w:val="yellow"/>
        </w:rPr>
        <w:t>Remov</w:t>
      </w:r>
      <w:r w:rsidRPr="006B0315">
        <w:rPr>
          <w:rFonts w:ascii="Calibri" w:hAnsi="Calibri" w:cs="Calibri"/>
          <w:sz w:val="24"/>
          <w:szCs w:val="24"/>
          <w:highlight w:val="yellow"/>
        </w:rPr>
        <w:t>ing the needle too quickly can</w:t>
      </w:r>
      <w:r w:rsidR="00340830" w:rsidRPr="006B0315">
        <w:rPr>
          <w:rFonts w:ascii="Calibri" w:hAnsi="Calibri" w:cs="Calibri"/>
          <w:sz w:val="24"/>
          <w:szCs w:val="24"/>
          <w:highlight w:val="yellow"/>
        </w:rPr>
        <w:t xml:space="preserve"> cause the</w:t>
      </w:r>
      <w:r w:rsidR="00A2474E" w:rsidRPr="006B0315">
        <w:rPr>
          <w:rFonts w:ascii="Calibri" w:hAnsi="Calibri" w:cs="Calibri"/>
          <w:sz w:val="24"/>
          <w:szCs w:val="24"/>
          <w:highlight w:val="yellow"/>
        </w:rPr>
        <w:t xml:space="preserve"> </w:t>
      </w:r>
      <w:r w:rsidR="00340830" w:rsidRPr="006B0315">
        <w:rPr>
          <w:rFonts w:ascii="Calibri" w:hAnsi="Calibri" w:cs="Calibri"/>
          <w:sz w:val="24"/>
          <w:szCs w:val="24"/>
          <w:highlight w:val="yellow"/>
        </w:rPr>
        <w:t xml:space="preserve">solution to come out of the skin due to the pressure. </w:t>
      </w:r>
    </w:p>
    <w:p w14:paraId="1823C415" w14:textId="6B6207B0"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235C3DB1" w14:textId="214A3A50" w:rsidR="001A0AE0" w:rsidRPr="006B0315" w:rsidRDefault="005E48A5"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 xml:space="preserve">Repeat for each mouse. Replace syringes after each cage (4–5 mice) </w:t>
      </w:r>
      <w:r w:rsidR="00340830" w:rsidRPr="006B0315">
        <w:rPr>
          <w:rFonts w:ascii="Calibri" w:hAnsi="Calibri" w:cs="Calibri"/>
          <w:sz w:val="24"/>
          <w:szCs w:val="24"/>
          <w:highlight w:val="yellow"/>
        </w:rPr>
        <w:t>to prevent needle dulling.</w:t>
      </w:r>
    </w:p>
    <w:p w14:paraId="5F923085"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5F97A7F2" w14:textId="0C081339" w:rsidR="00F31E87" w:rsidRPr="006B0315" w:rsidRDefault="0034083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Monitor all mice until they have fully recovered from anesthesia.</w:t>
      </w:r>
    </w:p>
    <w:p w14:paraId="5A3DE358"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2F0BD7C5" w14:textId="2CD62EED" w:rsidR="00340830" w:rsidRPr="006B0315" w:rsidRDefault="00A75C82"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 xml:space="preserve">Monitor mice </w:t>
      </w:r>
      <w:r w:rsidR="00340830" w:rsidRPr="006B0315">
        <w:rPr>
          <w:rFonts w:ascii="Calibri" w:hAnsi="Calibri" w:cs="Calibri"/>
          <w:sz w:val="24"/>
          <w:szCs w:val="24"/>
          <w:highlight w:val="yellow"/>
        </w:rPr>
        <w:t>for tumor establishment.</w:t>
      </w:r>
    </w:p>
    <w:p w14:paraId="5B32411E" w14:textId="77777777" w:rsidR="00A75C82" w:rsidRPr="006B0315" w:rsidRDefault="00A75C82" w:rsidP="006E11D6">
      <w:pPr>
        <w:pStyle w:val="NormalWeb"/>
        <w:spacing w:before="0" w:beforeAutospacing="0" w:after="0" w:afterAutospacing="0"/>
        <w:jc w:val="both"/>
        <w:rPr>
          <w:rFonts w:ascii="Calibri" w:hAnsi="Calibri" w:cs="Calibri"/>
          <w:highlight w:val="yellow"/>
        </w:rPr>
      </w:pPr>
    </w:p>
    <w:p w14:paraId="118B73D9" w14:textId="09E667E2" w:rsidR="00F31E87" w:rsidRPr="006B0315" w:rsidRDefault="00340830" w:rsidP="006E11D6">
      <w:pPr>
        <w:pStyle w:val="ListParagraph"/>
        <w:numPr>
          <w:ilvl w:val="0"/>
          <w:numId w:val="14"/>
        </w:numPr>
        <w:spacing w:after="0" w:line="240" w:lineRule="auto"/>
        <w:ind w:left="0" w:firstLine="0"/>
        <w:jc w:val="both"/>
        <w:rPr>
          <w:rFonts w:ascii="Calibri" w:hAnsi="Calibri" w:cs="Calibri"/>
          <w:b/>
          <w:bCs/>
          <w:sz w:val="24"/>
          <w:szCs w:val="24"/>
          <w:highlight w:val="yellow"/>
        </w:rPr>
      </w:pPr>
      <w:r w:rsidRPr="006B0315">
        <w:rPr>
          <w:rFonts w:ascii="Calibri" w:hAnsi="Calibri" w:cs="Calibri"/>
          <w:b/>
          <w:bCs/>
          <w:sz w:val="24"/>
          <w:szCs w:val="24"/>
          <w:highlight w:val="yellow"/>
        </w:rPr>
        <w:t xml:space="preserve">Intratumoral injections </w:t>
      </w:r>
    </w:p>
    <w:p w14:paraId="3BF1AFBE" w14:textId="77777777" w:rsidR="00664DB9" w:rsidRPr="006B0315" w:rsidRDefault="00664DB9" w:rsidP="006E11D6">
      <w:pPr>
        <w:pStyle w:val="ListParagraph"/>
        <w:spacing w:after="0" w:line="240" w:lineRule="auto"/>
        <w:ind w:left="0"/>
        <w:jc w:val="both"/>
        <w:rPr>
          <w:rFonts w:ascii="Calibri" w:hAnsi="Calibri" w:cs="Calibri"/>
          <w:sz w:val="24"/>
          <w:szCs w:val="24"/>
          <w:highlight w:val="yellow"/>
        </w:rPr>
      </w:pPr>
    </w:p>
    <w:p w14:paraId="7A551BC2" w14:textId="70AC83CD" w:rsidR="00F31E87" w:rsidRPr="006B0315" w:rsidRDefault="009D0BE5" w:rsidP="006E11D6">
      <w:pPr>
        <w:pStyle w:val="ListParagraph"/>
        <w:spacing w:after="0" w:line="240" w:lineRule="auto"/>
        <w:ind w:left="0"/>
        <w:jc w:val="both"/>
        <w:rPr>
          <w:rFonts w:ascii="Calibri" w:hAnsi="Calibri" w:cs="Calibri"/>
          <w:sz w:val="24"/>
          <w:szCs w:val="24"/>
          <w:highlight w:val="yellow"/>
        </w:rPr>
      </w:pPr>
      <w:r w:rsidRPr="006B0315">
        <w:rPr>
          <w:rFonts w:ascii="Calibri" w:hAnsi="Calibri" w:cs="Calibri"/>
          <w:sz w:val="24"/>
          <w:szCs w:val="24"/>
          <w:highlight w:val="yellow"/>
        </w:rPr>
        <w:t xml:space="preserve">NOTE: </w:t>
      </w:r>
      <w:r w:rsidR="00024960" w:rsidRPr="006B0315">
        <w:rPr>
          <w:rFonts w:ascii="Calibri" w:hAnsi="Calibri" w:cs="Calibri"/>
          <w:sz w:val="24"/>
          <w:szCs w:val="24"/>
          <w:highlight w:val="yellow"/>
        </w:rPr>
        <w:t xml:space="preserve">Tumors are typically ready for treatment </w:t>
      </w:r>
      <w:r w:rsidR="00024960" w:rsidRPr="006B0315">
        <w:rPr>
          <w:rStyle w:val="Strong"/>
          <w:rFonts w:ascii="Calibri" w:hAnsi="Calibri" w:cs="Calibri"/>
          <w:b w:val="0"/>
          <w:bCs w:val="0"/>
          <w:sz w:val="24"/>
          <w:szCs w:val="24"/>
          <w:highlight w:val="yellow"/>
        </w:rPr>
        <w:t>7–10 days post-implantation</w:t>
      </w:r>
      <w:r w:rsidR="00024960" w:rsidRPr="006B0315">
        <w:rPr>
          <w:rFonts w:ascii="Calibri" w:hAnsi="Calibri" w:cs="Calibri"/>
          <w:sz w:val="24"/>
          <w:szCs w:val="24"/>
          <w:highlight w:val="yellow"/>
        </w:rPr>
        <w:t>, once they reach the appropriate size.</w:t>
      </w:r>
      <w:r w:rsidR="00A23CC5" w:rsidRPr="006B0315">
        <w:rPr>
          <w:rFonts w:ascii="Calibri" w:hAnsi="Calibri" w:cs="Calibri"/>
          <w:sz w:val="24"/>
          <w:szCs w:val="24"/>
          <w:highlight w:val="yellow"/>
        </w:rPr>
        <w:t xml:space="preserve"> Appropriate size used in the lab is </w:t>
      </w:r>
      <w:r w:rsidR="00E816AE" w:rsidRPr="006B0315">
        <w:rPr>
          <w:rFonts w:ascii="Calibri" w:hAnsi="Calibri" w:cs="Calibri"/>
          <w:sz w:val="24"/>
          <w:szCs w:val="24"/>
          <w:highlight w:val="yellow"/>
        </w:rPr>
        <w:sym w:font="Symbol" w:char="F07E"/>
      </w:r>
      <w:r w:rsidR="00A23CC5" w:rsidRPr="006B0315">
        <w:rPr>
          <w:rFonts w:ascii="Calibri" w:hAnsi="Calibri" w:cs="Calibri"/>
          <w:sz w:val="24"/>
          <w:szCs w:val="24"/>
          <w:highlight w:val="yellow"/>
        </w:rPr>
        <w:t>50 mm</w:t>
      </w:r>
      <w:r w:rsidR="00A23CC5" w:rsidRPr="006B0315">
        <w:rPr>
          <w:rFonts w:ascii="Calibri" w:hAnsi="Calibri" w:cs="Calibri"/>
          <w:sz w:val="24"/>
          <w:szCs w:val="24"/>
          <w:highlight w:val="yellow"/>
          <w:vertAlign w:val="superscript"/>
        </w:rPr>
        <w:t>3</w:t>
      </w:r>
      <w:r w:rsidR="00A23CC5" w:rsidRPr="006B0315">
        <w:rPr>
          <w:rFonts w:ascii="Calibri" w:hAnsi="Calibri" w:cs="Calibri"/>
          <w:sz w:val="24"/>
          <w:szCs w:val="24"/>
          <w:highlight w:val="yellow"/>
        </w:rPr>
        <w:t xml:space="preserve"> </w:t>
      </w:r>
      <w:r w:rsidR="00D75CBC" w:rsidRPr="006B0315">
        <w:rPr>
          <w:rFonts w:ascii="Calibri" w:hAnsi="Calibri" w:cs="Calibri"/>
          <w:sz w:val="24"/>
          <w:szCs w:val="24"/>
          <w:highlight w:val="yellow"/>
        </w:rPr>
        <w:t xml:space="preserve">or higher </w:t>
      </w:r>
      <w:r w:rsidR="00A23CC5" w:rsidRPr="006B0315">
        <w:rPr>
          <w:rFonts w:ascii="Calibri" w:hAnsi="Calibri" w:cs="Calibri"/>
          <w:sz w:val="24"/>
          <w:szCs w:val="24"/>
          <w:highlight w:val="yellow"/>
        </w:rPr>
        <w:t>using the formula</w:t>
      </w:r>
      <w:r w:rsidR="00387C19" w:rsidRPr="006B0315">
        <w:rPr>
          <w:rFonts w:ascii="Calibri" w:hAnsi="Calibri" w:cs="Calibri"/>
          <w:sz w:val="24"/>
          <w:szCs w:val="24"/>
          <w:highlight w:val="yellow"/>
        </w:rPr>
        <w:t>:</w:t>
      </w:r>
      <w:r w:rsidR="00A23CC5" w:rsidRPr="006B0315">
        <w:rPr>
          <w:rFonts w:ascii="Calibri" w:hAnsi="Calibri" w:cs="Calibri"/>
          <w:sz w:val="24"/>
          <w:szCs w:val="24"/>
          <w:highlight w:val="yellow"/>
        </w:rPr>
        <w:t xml:space="preserve"> V</w:t>
      </w:r>
      <w:r w:rsidR="0027316A" w:rsidRPr="006B0315">
        <w:rPr>
          <w:rFonts w:ascii="Calibri" w:hAnsi="Calibri" w:cs="Calibri"/>
          <w:sz w:val="24"/>
          <w:szCs w:val="24"/>
          <w:highlight w:val="yellow"/>
        </w:rPr>
        <w:t>olume</w:t>
      </w:r>
      <w:r w:rsidR="00A23CC5" w:rsidRPr="006B0315">
        <w:rPr>
          <w:rFonts w:ascii="Calibri" w:hAnsi="Calibri" w:cs="Calibri"/>
          <w:sz w:val="24"/>
          <w:szCs w:val="24"/>
          <w:highlight w:val="yellow"/>
        </w:rPr>
        <w:t xml:space="preserve"> = (L</w:t>
      </w:r>
      <w:r w:rsidR="0027316A" w:rsidRPr="006B0315">
        <w:rPr>
          <w:rFonts w:ascii="Calibri" w:hAnsi="Calibri" w:cs="Calibri"/>
          <w:sz w:val="24"/>
          <w:szCs w:val="24"/>
          <w:highlight w:val="yellow"/>
        </w:rPr>
        <w:t>ength</w:t>
      </w:r>
      <w:r w:rsidR="00A23CC5" w:rsidRPr="006B0315">
        <w:rPr>
          <w:rFonts w:ascii="Calibri" w:hAnsi="Calibri" w:cs="Calibri"/>
          <w:sz w:val="24"/>
          <w:szCs w:val="24"/>
          <w:highlight w:val="yellow"/>
        </w:rPr>
        <w:t>/2) *</w:t>
      </w:r>
      <w:r w:rsidR="00E816AE" w:rsidRPr="006B0315">
        <w:rPr>
          <w:rFonts w:ascii="Calibri" w:hAnsi="Calibri" w:cs="Calibri"/>
          <w:sz w:val="24"/>
          <w:szCs w:val="24"/>
          <w:highlight w:val="yellow"/>
        </w:rPr>
        <w:t xml:space="preserve"> (W</w:t>
      </w:r>
      <w:r w:rsidR="0027316A" w:rsidRPr="006B0315">
        <w:rPr>
          <w:rFonts w:ascii="Calibri" w:hAnsi="Calibri" w:cs="Calibri"/>
          <w:sz w:val="24"/>
          <w:szCs w:val="24"/>
          <w:highlight w:val="yellow"/>
        </w:rPr>
        <w:t>idth</w:t>
      </w:r>
      <w:r w:rsidR="00E816AE" w:rsidRPr="006B0315">
        <w:rPr>
          <w:rFonts w:ascii="Calibri" w:hAnsi="Calibri" w:cs="Calibri"/>
          <w:sz w:val="24"/>
          <w:szCs w:val="24"/>
          <w:highlight w:val="yellow"/>
        </w:rPr>
        <w:t>*</w:t>
      </w:r>
      <w:r w:rsidR="00A23CC5" w:rsidRPr="006B0315">
        <w:rPr>
          <w:rFonts w:ascii="Calibri" w:hAnsi="Calibri" w:cs="Calibri"/>
          <w:sz w:val="24"/>
          <w:szCs w:val="24"/>
          <w:highlight w:val="yellow"/>
        </w:rPr>
        <w:t>W</w:t>
      </w:r>
      <w:r w:rsidR="0027316A" w:rsidRPr="006B0315">
        <w:rPr>
          <w:rFonts w:ascii="Calibri" w:hAnsi="Calibri" w:cs="Calibri"/>
          <w:sz w:val="24"/>
          <w:szCs w:val="24"/>
          <w:highlight w:val="yellow"/>
        </w:rPr>
        <w:t>idth</w:t>
      </w:r>
      <w:r w:rsidR="00E816AE" w:rsidRPr="006B0315">
        <w:rPr>
          <w:rFonts w:ascii="Calibri" w:hAnsi="Calibri" w:cs="Calibri"/>
          <w:sz w:val="24"/>
          <w:szCs w:val="24"/>
          <w:highlight w:val="yellow"/>
        </w:rPr>
        <w:t>)</w:t>
      </w:r>
      <w:sdt>
        <w:sdtPr>
          <w:rPr>
            <w:rFonts w:ascii="Calibri" w:hAnsi="Calibri" w:cs="Calibri"/>
            <w:color w:val="000000"/>
            <w:sz w:val="24"/>
            <w:szCs w:val="24"/>
            <w:highlight w:val="yellow"/>
            <w:vertAlign w:val="superscript"/>
          </w:rPr>
          <w:tag w:val="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"/>
          <w:id w:val="-2062703287"/>
          <w:placeholder>
            <w:docPart w:val="DefaultPlaceholder_-1854013440"/>
          </w:placeholder>
        </w:sdtPr>
        <w:sdtContent>
          <w:r w:rsidR="00AF59B5" w:rsidRPr="006B0315">
            <w:rPr>
              <w:rFonts w:ascii="Calibri" w:hAnsi="Calibri" w:cs="Calibri"/>
              <w:color w:val="000000"/>
              <w:sz w:val="24"/>
              <w:szCs w:val="24"/>
              <w:highlight w:val="yellow"/>
              <w:vertAlign w:val="superscript"/>
            </w:rPr>
            <w:t>7,8</w:t>
          </w:r>
        </w:sdtContent>
      </w:sdt>
      <w:r w:rsidR="00A23CC5" w:rsidRPr="006B0315">
        <w:rPr>
          <w:rFonts w:ascii="Calibri" w:hAnsi="Calibri" w:cs="Calibri"/>
          <w:sz w:val="24"/>
          <w:szCs w:val="24"/>
          <w:highlight w:val="yellow"/>
        </w:rPr>
        <w:t>.</w:t>
      </w:r>
    </w:p>
    <w:p w14:paraId="6298D6C4" w14:textId="77777777" w:rsidR="001A0AE0" w:rsidRPr="006B0315" w:rsidRDefault="001A0AE0" w:rsidP="006E11D6">
      <w:pPr>
        <w:pStyle w:val="ListParagraph"/>
        <w:spacing w:after="0" w:line="240" w:lineRule="auto"/>
        <w:ind w:left="0"/>
        <w:jc w:val="both"/>
        <w:rPr>
          <w:rFonts w:ascii="Calibri" w:eastAsia="Times New Roman" w:hAnsi="Calibri" w:cs="Calibri"/>
          <w:sz w:val="24"/>
          <w:szCs w:val="24"/>
          <w:highlight w:val="yellow"/>
        </w:rPr>
      </w:pPr>
    </w:p>
    <w:p w14:paraId="5615CFBE" w14:textId="3BEFDD8B" w:rsidR="00F31E87" w:rsidRPr="006B0315" w:rsidRDefault="0002496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 xml:space="preserve">Prepare all treatment solutions in advance (e.g., </w:t>
      </w:r>
      <w:r w:rsidRPr="006B0315">
        <w:rPr>
          <w:rStyle w:val="Strong"/>
          <w:rFonts w:ascii="Calibri" w:hAnsi="Calibri" w:cs="Calibri"/>
          <w:b w:val="0"/>
          <w:bCs w:val="0"/>
          <w:sz w:val="24"/>
          <w:szCs w:val="24"/>
          <w:highlight w:val="yellow"/>
        </w:rPr>
        <w:t>1</w:t>
      </w:r>
      <w:r w:rsidR="00602E7B" w:rsidRPr="006B0315">
        <w:rPr>
          <w:rStyle w:val="Strong"/>
          <w:rFonts w:ascii="Calibri" w:hAnsi="Calibri" w:cs="Calibri"/>
          <w:b w:val="0"/>
          <w:bCs w:val="0"/>
          <w:sz w:val="24"/>
          <w:szCs w:val="24"/>
          <w:highlight w:val="yellow"/>
        </w:rPr>
        <w:t>x</w:t>
      </w:r>
      <w:r w:rsidR="00977DD2" w:rsidRPr="006B0315">
        <w:rPr>
          <w:rStyle w:val="Strong"/>
          <w:rFonts w:ascii="Calibri" w:hAnsi="Calibri" w:cs="Calibri"/>
          <w:b w:val="0"/>
          <w:bCs w:val="0"/>
          <w:sz w:val="24"/>
          <w:szCs w:val="24"/>
          <w:highlight w:val="yellow"/>
        </w:rPr>
        <w:t xml:space="preserve"> </w:t>
      </w:r>
      <w:r w:rsidRPr="006B0315">
        <w:rPr>
          <w:rStyle w:val="Strong"/>
          <w:rFonts w:ascii="Calibri" w:hAnsi="Calibri" w:cs="Calibri"/>
          <w:b w:val="0"/>
          <w:bCs w:val="0"/>
          <w:sz w:val="24"/>
          <w:szCs w:val="24"/>
          <w:highlight w:val="yellow"/>
        </w:rPr>
        <w:t>PBS</w:t>
      </w:r>
      <w:r w:rsidRPr="006B0315">
        <w:rPr>
          <w:rFonts w:ascii="Calibri" w:hAnsi="Calibri" w:cs="Calibri"/>
          <w:sz w:val="24"/>
          <w:szCs w:val="24"/>
          <w:highlight w:val="yellow"/>
        </w:rPr>
        <w:t xml:space="preserve"> </w:t>
      </w:r>
      <w:r w:rsidR="0027316A" w:rsidRPr="006B0315">
        <w:rPr>
          <w:rFonts w:ascii="Calibri" w:hAnsi="Calibri" w:cs="Calibri"/>
          <w:sz w:val="24"/>
          <w:szCs w:val="24"/>
          <w:highlight w:val="yellow"/>
        </w:rPr>
        <w:t xml:space="preserve">was used </w:t>
      </w:r>
      <w:r w:rsidRPr="006B0315">
        <w:rPr>
          <w:rFonts w:ascii="Calibri" w:hAnsi="Calibri" w:cs="Calibri"/>
          <w:sz w:val="24"/>
          <w:szCs w:val="24"/>
          <w:highlight w:val="yellow"/>
        </w:rPr>
        <w:t xml:space="preserve">in this study). Keep solutions on ice or at room temperature as required by the specific treatment. </w:t>
      </w:r>
    </w:p>
    <w:p w14:paraId="4BE3BDE8"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56BDA0AC" w14:textId="750674ED" w:rsidR="00F31E87" w:rsidRPr="006B0315" w:rsidRDefault="007C303E"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Induce anesthesia according to institutional guidelines</w:t>
      </w:r>
      <w:r w:rsidR="0027316A" w:rsidRPr="006B0315">
        <w:rPr>
          <w:rFonts w:ascii="Calibri" w:hAnsi="Calibri" w:cs="Calibri"/>
          <w:sz w:val="24"/>
          <w:szCs w:val="24"/>
          <w:highlight w:val="yellow"/>
        </w:rPr>
        <w:t>.</w:t>
      </w:r>
    </w:p>
    <w:p w14:paraId="0C02B7F7"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145931A7" w14:textId="79E163B8" w:rsidR="007C303E" w:rsidRPr="006B0315" w:rsidRDefault="0002496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Place the mouse under a nose cone to maintain anesthesia</w:t>
      </w:r>
      <w:r w:rsidR="00602E7B" w:rsidRPr="006B0315">
        <w:rPr>
          <w:rFonts w:ascii="Calibri" w:hAnsi="Calibri" w:cs="Calibri"/>
          <w:sz w:val="24"/>
          <w:szCs w:val="24"/>
          <w:highlight w:val="yellow"/>
        </w:rPr>
        <w:t>, and position it so the tumor is exposed</w:t>
      </w:r>
      <w:r w:rsidR="007C303E" w:rsidRPr="006B0315">
        <w:rPr>
          <w:rFonts w:ascii="Calibri" w:hAnsi="Calibri" w:cs="Calibri"/>
          <w:sz w:val="24"/>
          <w:szCs w:val="24"/>
          <w:highlight w:val="yellow"/>
        </w:rPr>
        <w:t>.</w:t>
      </w:r>
    </w:p>
    <w:p w14:paraId="3C08C003"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22273788" w14:textId="0EDAF6F8" w:rsidR="00F31E87" w:rsidRPr="006B0315" w:rsidRDefault="007C303E"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Draw the required volume (e.g., 30 µL used here) into a 0.3 mL insulin syringe with a 29 G, ½” needle. Remove air bubbles.</w:t>
      </w:r>
    </w:p>
    <w:p w14:paraId="43C23A5F" w14:textId="77777777" w:rsidR="00602E7B" w:rsidRPr="006B0315" w:rsidRDefault="00602E7B" w:rsidP="006E11D6">
      <w:pPr>
        <w:pStyle w:val="ListParagraph"/>
        <w:spacing w:after="0" w:line="240" w:lineRule="auto"/>
        <w:ind w:left="0"/>
        <w:jc w:val="both"/>
        <w:rPr>
          <w:rFonts w:ascii="Calibri" w:hAnsi="Calibri" w:cs="Calibri"/>
          <w:b/>
          <w:bCs/>
          <w:color w:val="EE0000"/>
          <w:sz w:val="24"/>
          <w:szCs w:val="24"/>
          <w:highlight w:val="yellow"/>
        </w:rPr>
      </w:pPr>
    </w:p>
    <w:p w14:paraId="2F601E98" w14:textId="3FCE6657" w:rsidR="00F31E87" w:rsidRPr="006B0315" w:rsidRDefault="00602E7B" w:rsidP="006E11D6">
      <w:pPr>
        <w:pStyle w:val="ListParagraph"/>
        <w:spacing w:after="0" w:line="240" w:lineRule="auto"/>
        <w:ind w:left="0"/>
        <w:jc w:val="both"/>
        <w:rPr>
          <w:rFonts w:ascii="Calibri" w:hAnsi="Calibri" w:cs="Calibri"/>
          <w:sz w:val="24"/>
          <w:szCs w:val="24"/>
          <w:highlight w:val="yellow"/>
        </w:rPr>
      </w:pPr>
      <w:r w:rsidRPr="006B0315">
        <w:rPr>
          <w:rFonts w:ascii="Calibri" w:hAnsi="Calibri" w:cs="Calibri"/>
          <w:sz w:val="24"/>
          <w:szCs w:val="24"/>
          <w:highlight w:val="yellow"/>
        </w:rPr>
        <w:t xml:space="preserve">NOTE: </w:t>
      </w:r>
      <w:r w:rsidR="00024960" w:rsidRPr="006B0315">
        <w:rPr>
          <w:rFonts w:ascii="Calibri" w:hAnsi="Calibri" w:cs="Calibri"/>
          <w:sz w:val="24"/>
          <w:szCs w:val="24"/>
          <w:highlight w:val="yellow"/>
        </w:rPr>
        <w:t>Volume will differ based o</w:t>
      </w:r>
      <w:r w:rsidRPr="006B0315">
        <w:rPr>
          <w:rFonts w:ascii="Calibri" w:hAnsi="Calibri" w:cs="Calibri"/>
          <w:sz w:val="24"/>
          <w:szCs w:val="24"/>
          <w:highlight w:val="yellow"/>
        </w:rPr>
        <w:t>n the</w:t>
      </w:r>
      <w:r w:rsidR="001A0AE0" w:rsidRPr="006B0315">
        <w:rPr>
          <w:rFonts w:ascii="Calibri" w:hAnsi="Calibri" w:cs="Calibri"/>
          <w:sz w:val="24"/>
          <w:szCs w:val="24"/>
          <w:highlight w:val="yellow"/>
        </w:rPr>
        <w:t xml:space="preserve"> </w:t>
      </w:r>
      <w:r w:rsidR="00024960" w:rsidRPr="006B0315">
        <w:rPr>
          <w:rFonts w:ascii="Calibri" w:hAnsi="Calibri" w:cs="Calibri"/>
          <w:sz w:val="24"/>
          <w:szCs w:val="24"/>
          <w:highlight w:val="yellow"/>
        </w:rPr>
        <w:t xml:space="preserve">treatment of choice and optimized conditions. </w:t>
      </w:r>
    </w:p>
    <w:p w14:paraId="4AE2BEB3"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76393617" w14:textId="2526BA4C" w:rsidR="00F10C90" w:rsidRPr="006B0315" w:rsidRDefault="007C303E"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 xml:space="preserve">Insert the needle horizontally into the tumor and advance toward the center of the tumor mass. </w:t>
      </w:r>
    </w:p>
    <w:p w14:paraId="5986F011" w14:textId="77777777" w:rsidR="00602E7B" w:rsidRPr="006B0315" w:rsidRDefault="00602E7B" w:rsidP="006E11D6">
      <w:pPr>
        <w:pStyle w:val="ListParagraph"/>
        <w:spacing w:after="0" w:line="240" w:lineRule="auto"/>
        <w:ind w:left="0"/>
        <w:jc w:val="both"/>
        <w:rPr>
          <w:rFonts w:ascii="Calibri" w:hAnsi="Calibri" w:cs="Calibri"/>
          <w:sz w:val="24"/>
          <w:szCs w:val="24"/>
          <w:highlight w:val="yellow"/>
        </w:rPr>
      </w:pPr>
    </w:p>
    <w:p w14:paraId="02A4C678" w14:textId="5AB09A7C" w:rsidR="00F10C90" w:rsidRPr="006B0315" w:rsidRDefault="00602E7B" w:rsidP="006E11D6">
      <w:pPr>
        <w:pStyle w:val="ListParagraph"/>
        <w:spacing w:after="0" w:line="240" w:lineRule="auto"/>
        <w:ind w:left="0"/>
        <w:jc w:val="both"/>
        <w:rPr>
          <w:rFonts w:ascii="Calibri" w:hAnsi="Calibri" w:cs="Calibri"/>
          <w:sz w:val="24"/>
          <w:szCs w:val="24"/>
          <w:highlight w:val="yellow"/>
        </w:rPr>
      </w:pPr>
      <w:r w:rsidRPr="006B0315">
        <w:rPr>
          <w:rStyle w:val="Strong"/>
          <w:rFonts w:ascii="Calibri" w:hAnsi="Calibri" w:cs="Calibri"/>
          <w:b w:val="0"/>
          <w:bCs w:val="0"/>
          <w:sz w:val="24"/>
          <w:szCs w:val="24"/>
          <w:highlight w:val="yellow"/>
        </w:rPr>
        <w:t>NOTE:</w:t>
      </w:r>
      <w:r w:rsidRPr="006B0315">
        <w:rPr>
          <w:rFonts w:ascii="Calibri" w:hAnsi="Calibri" w:cs="Calibri"/>
          <w:sz w:val="24"/>
          <w:szCs w:val="24"/>
          <w:highlight w:val="yellow"/>
        </w:rPr>
        <w:t xml:space="preserve"> </w:t>
      </w:r>
      <w:r w:rsidR="00024960" w:rsidRPr="006B0315">
        <w:rPr>
          <w:rFonts w:ascii="Calibri" w:hAnsi="Calibri" w:cs="Calibri"/>
          <w:sz w:val="24"/>
          <w:szCs w:val="24"/>
          <w:highlight w:val="yellow"/>
        </w:rPr>
        <w:t xml:space="preserve">Avoid inserting from the top or at a steep angle, as this can result in the injection being delivered </w:t>
      </w:r>
      <w:r w:rsidR="00024960" w:rsidRPr="006B0315">
        <w:rPr>
          <w:rStyle w:val="Strong"/>
          <w:rFonts w:ascii="Calibri" w:hAnsi="Calibri" w:cs="Calibri"/>
          <w:b w:val="0"/>
          <w:bCs w:val="0"/>
          <w:sz w:val="24"/>
          <w:szCs w:val="24"/>
          <w:highlight w:val="yellow"/>
        </w:rPr>
        <w:t>too deep</w:t>
      </w:r>
      <w:r w:rsidR="00024960" w:rsidRPr="006B0315">
        <w:rPr>
          <w:rFonts w:ascii="Calibri" w:hAnsi="Calibri" w:cs="Calibri"/>
          <w:sz w:val="24"/>
          <w:szCs w:val="24"/>
          <w:highlight w:val="yellow"/>
        </w:rPr>
        <w:t xml:space="preserve"> or into surrounding tissue.</w:t>
      </w:r>
      <w:r w:rsidR="00824912" w:rsidRPr="006B0315">
        <w:rPr>
          <w:rFonts w:ascii="Calibri" w:hAnsi="Calibri" w:cs="Calibri"/>
          <w:sz w:val="24"/>
          <w:szCs w:val="24"/>
          <w:highlight w:val="yellow"/>
        </w:rPr>
        <w:t xml:space="preserve"> T</w:t>
      </w:r>
      <w:r w:rsidRPr="006B0315">
        <w:rPr>
          <w:rFonts w:ascii="Calibri" w:hAnsi="Calibri" w:cs="Calibri"/>
          <w:sz w:val="24"/>
          <w:szCs w:val="24"/>
          <w:highlight w:val="yellow"/>
        </w:rPr>
        <w:t>he t</w:t>
      </w:r>
      <w:r w:rsidR="00824912" w:rsidRPr="006B0315">
        <w:rPr>
          <w:rFonts w:ascii="Calibri" w:hAnsi="Calibri" w:cs="Calibri"/>
          <w:sz w:val="24"/>
          <w:szCs w:val="24"/>
          <w:highlight w:val="yellow"/>
        </w:rPr>
        <w:t>reatment described was administered as a single injection</w:t>
      </w:r>
      <w:r w:rsidR="007E16BA" w:rsidRPr="006B0315">
        <w:rPr>
          <w:rFonts w:ascii="Calibri" w:hAnsi="Calibri" w:cs="Calibri"/>
          <w:sz w:val="24"/>
          <w:szCs w:val="24"/>
          <w:highlight w:val="yellow"/>
        </w:rPr>
        <w:t xml:space="preserve">. The doses and frequency </w:t>
      </w:r>
      <w:r w:rsidR="00984D7F" w:rsidRPr="006B0315">
        <w:rPr>
          <w:rFonts w:ascii="Calibri" w:hAnsi="Calibri" w:cs="Calibri"/>
          <w:sz w:val="24"/>
          <w:szCs w:val="24"/>
          <w:highlight w:val="yellow"/>
        </w:rPr>
        <w:t>are</w:t>
      </w:r>
      <w:r w:rsidR="007E16BA" w:rsidRPr="006B0315">
        <w:rPr>
          <w:rFonts w:ascii="Calibri" w:hAnsi="Calibri" w:cs="Calibri"/>
          <w:sz w:val="24"/>
          <w:szCs w:val="24"/>
          <w:highlight w:val="yellow"/>
        </w:rPr>
        <w:t xml:space="preserve"> all dependent on</w:t>
      </w:r>
      <w:r w:rsidR="001A0AE0" w:rsidRPr="006B0315">
        <w:rPr>
          <w:rFonts w:ascii="Calibri" w:hAnsi="Calibri" w:cs="Calibri"/>
          <w:sz w:val="24"/>
          <w:szCs w:val="24"/>
          <w:highlight w:val="yellow"/>
        </w:rPr>
        <w:t xml:space="preserve"> </w:t>
      </w:r>
      <w:r w:rsidRPr="006B0315">
        <w:rPr>
          <w:rFonts w:ascii="Calibri" w:hAnsi="Calibri" w:cs="Calibri"/>
          <w:sz w:val="24"/>
          <w:szCs w:val="24"/>
          <w:highlight w:val="yellow"/>
        </w:rPr>
        <w:t xml:space="preserve">the </w:t>
      </w:r>
      <w:r w:rsidR="007E16BA" w:rsidRPr="006B0315">
        <w:rPr>
          <w:rFonts w:ascii="Calibri" w:hAnsi="Calibri" w:cs="Calibri"/>
          <w:sz w:val="24"/>
          <w:szCs w:val="24"/>
          <w:highlight w:val="yellow"/>
        </w:rPr>
        <w:t>treatment of choice and optimized conditions.</w:t>
      </w:r>
      <w:r w:rsidR="0056255F" w:rsidRPr="006B0315">
        <w:rPr>
          <w:rFonts w:ascii="Calibri" w:hAnsi="Calibri" w:cs="Calibri"/>
          <w:sz w:val="24"/>
          <w:szCs w:val="24"/>
          <w:highlight w:val="yellow"/>
        </w:rPr>
        <w:t xml:space="preserve"> With small tumors</w:t>
      </w:r>
      <w:r w:rsidRPr="006B0315">
        <w:rPr>
          <w:rFonts w:ascii="Calibri" w:hAnsi="Calibri" w:cs="Calibri"/>
          <w:sz w:val="24"/>
          <w:szCs w:val="24"/>
          <w:highlight w:val="yellow"/>
        </w:rPr>
        <w:t>,</w:t>
      </w:r>
      <w:r w:rsidR="0056255F" w:rsidRPr="006B0315">
        <w:rPr>
          <w:rFonts w:ascii="Calibri" w:hAnsi="Calibri" w:cs="Calibri"/>
          <w:sz w:val="24"/>
          <w:szCs w:val="24"/>
          <w:highlight w:val="yellow"/>
        </w:rPr>
        <w:t xml:space="preserve"> a single dose is adequate in distributing the treatment</w:t>
      </w:r>
      <w:r w:rsidRPr="006B0315">
        <w:rPr>
          <w:rFonts w:ascii="Calibri" w:hAnsi="Calibri" w:cs="Calibri"/>
          <w:sz w:val="24"/>
          <w:szCs w:val="24"/>
          <w:highlight w:val="yellow"/>
        </w:rPr>
        <w:t>,</w:t>
      </w:r>
      <w:r w:rsidR="0056255F" w:rsidRPr="006B0315">
        <w:rPr>
          <w:rFonts w:ascii="Calibri" w:hAnsi="Calibri" w:cs="Calibri"/>
          <w:sz w:val="24"/>
          <w:szCs w:val="24"/>
          <w:highlight w:val="yellow"/>
        </w:rPr>
        <w:t xml:space="preserve"> but with larger tumors</w:t>
      </w:r>
      <w:r w:rsidRPr="006B0315">
        <w:rPr>
          <w:rFonts w:ascii="Calibri" w:hAnsi="Calibri" w:cs="Calibri"/>
          <w:sz w:val="24"/>
          <w:szCs w:val="24"/>
          <w:highlight w:val="yellow"/>
        </w:rPr>
        <w:t>,</w:t>
      </w:r>
      <w:r w:rsidR="0056255F" w:rsidRPr="006B0315">
        <w:rPr>
          <w:rFonts w:ascii="Calibri" w:hAnsi="Calibri" w:cs="Calibri"/>
          <w:sz w:val="24"/>
          <w:szCs w:val="24"/>
          <w:highlight w:val="yellow"/>
        </w:rPr>
        <w:t xml:space="preserve"> multiple injections may be needed to distribute the treatment equally</w:t>
      </w:r>
      <w:r w:rsidR="004E7923" w:rsidRPr="006B0315">
        <w:rPr>
          <w:rFonts w:ascii="Calibri" w:hAnsi="Calibri" w:cs="Calibri"/>
          <w:sz w:val="24"/>
          <w:szCs w:val="24"/>
          <w:highlight w:val="yellow"/>
        </w:rPr>
        <w:t xml:space="preserve"> through the tumor mass.</w:t>
      </w:r>
    </w:p>
    <w:p w14:paraId="4393CF83"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26D35304" w14:textId="30A2E509" w:rsidR="00F31E87" w:rsidRPr="006B0315" w:rsidRDefault="0002496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 xml:space="preserve">Inject the treatment </w:t>
      </w:r>
      <w:r w:rsidRPr="006B0315">
        <w:rPr>
          <w:rStyle w:val="Strong"/>
          <w:rFonts w:ascii="Calibri" w:hAnsi="Calibri" w:cs="Calibri"/>
          <w:b w:val="0"/>
          <w:bCs w:val="0"/>
          <w:sz w:val="24"/>
          <w:szCs w:val="24"/>
          <w:highlight w:val="yellow"/>
        </w:rPr>
        <w:t>slowly and steadily.</w:t>
      </w:r>
      <w:r w:rsidRPr="006B0315">
        <w:rPr>
          <w:rFonts w:ascii="Calibri" w:hAnsi="Calibri" w:cs="Calibri"/>
          <w:sz w:val="24"/>
          <w:szCs w:val="24"/>
          <w:highlight w:val="yellow"/>
        </w:rPr>
        <w:t xml:space="preserve"> Pause for </w:t>
      </w:r>
      <w:r w:rsidRPr="006B0315">
        <w:rPr>
          <w:rStyle w:val="Strong"/>
          <w:rFonts w:ascii="Calibri" w:hAnsi="Calibri" w:cs="Calibri"/>
          <w:b w:val="0"/>
          <w:bCs w:val="0"/>
          <w:sz w:val="24"/>
          <w:szCs w:val="24"/>
          <w:highlight w:val="yellow"/>
        </w:rPr>
        <w:t>10 s</w:t>
      </w:r>
      <w:r w:rsidRPr="006B0315">
        <w:rPr>
          <w:rFonts w:ascii="Calibri" w:hAnsi="Calibri" w:cs="Calibri"/>
          <w:sz w:val="24"/>
          <w:szCs w:val="24"/>
          <w:highlight w:val="yellow"/>
        </w:rPr>
        <w:t xml:space="preserve"> before </w:t>
      </w:r>
      <w:r w:rsidR="00762F2A" w:rsidRPr="006B0315">
        <w:rPr>
          <w:rFonts w:ascii="Calibri" w:hAnsi="Calibri" w:cs="Calibri"/>
          <w:sz w:val="24"/>
          <w:szCs w:val="24"/>
          <w:highlight w:val="yellow"/>
        </w:rPr>
        <w:t xml:space="preserve">slowly </w:t>
      </w:r>
      <w:r w:rsidRPr="006B0315">
        <w:rPr>
          <w:rFonts w:ascii="Calibri" w:hAnsi="Calibri" w:cs="Calibri"/>
          <w:sz w:val="24"/>
          <w:szCs w:val="24"/>
          <w:highlight w:val="yellow"/>
        </w:rPr>
        <w:t>withdrawing the needle to minimize backflow or leakage.</w:t>
      </w:r>
      <w:r w:rsidR="00F10C90" w:rsidRPr="006B0315">
        <w:rPr>
          <w:rFonts w:ascii="Calibri" w:hAnsi="Calibri" w:cs="Calibri"/>
          <w:sz w:val="24"/>
          <w:szCs w:val="24"/>
          <w:highlight w:val="yellow"/>
        </w:rPr>
        <w:t xml:space="preserve"> Some tumors have high internal pressure, and care should be taken to ensure the injection does not leak out through the needle hole.</w:t>
      </w:r>
    </w:p>
    <w:p w14:paraId="4E1D7F87"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4EF3DD68" w14:textId="4435C943" w:rsidR="00F31E87" w:rsidRPr="006B0315" w:rsidRDefault="0002496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 xml:space="preserve">Repeat the procedure for each mouse. Replace syringes </w:t>
      </w:r>
      <w:r w:rsidRPr="006B0315">
        <w:rPr>
          <w:rStyle w:val="Strong"/>
          <w:rFonts w:ascii="Calibri" w:hAnsi="Calibri" w:cs="Calibri"/>
          <w:b w:val="0"/>
          <w:bCs w:val="0"/>
          <w:sz w:val="24"/>
          <w:szCs w:val="24"/>
          <w:highlight w:val="yellow"/>
        </w:rPr>
        <w:t>after each cage of 4–5 mice</w:t>
      </w:r>
      <w:r w:rsidRPr="006B0315">
        <w:rPr>
          <w:rFonts w:ascii="Calibri" w:hAnsi="Calibri" w:cs="Calibri"/>
          <w:sz w:val="24"/>
          <w:szCs w:val="24"/>
          <w:highlight w:val="yellow"/>
        </w:rPr>
        <w:t xml:space="preserve"> and when switching treatment groups to prevent cross-contamination.</w:t>
      </w:r>
    </w:p>
    <w:p w14:paraId="3672054E"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794465D3" w14:textId="1EAF9D9C" w:rsidR="00024960" w:rsidRPr="006B0315" w:rsidRDefault="0002496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Monitor mice post-anesthesia until they regain mobility and normal respiration.</w:t>
      </w:r>
      <w:r w:rsidR="00664DB9" w:rsidRPr="006B0315">
        <w:rPr>
          <w:rFonts w:ascii="Calibri" w:hAnsi="Calibri" w:cs="Calibri"/>
          <w:sz w:val="24"/>
          <w:szCs w:val="24"/>
          <w:highlight w:val="yellow"/>
        </w:rPr>
        <w:t xml:space="preserve"> </w:t>
      </w:r>
      <w:r w:rsidR="0027316A" w:rsidRPr="006B0315">
        <w:rPr>
          <w:rFonts w:ascii="Calibri" w:hAnsi="Calibri" w:cs="Calibri"/>
          <w:sz w:val="24"/>
          <w:szCs w:val="24"/>
          <w:highlight w:val="yellow"/>
        </w:rPr>
        <w:t xml:space="preserve">Continue </w:t>
      </w:r>
      <w:r w:rsidRPr="006B0315">
        <w:rPr>
          <w:rStyle w:val="Strong"/>
          <w:rFonts w:ascii="Calibri" w:hAnsi="Calibri" w:cs="Calibri"/>
          <w:b w:val="0"/>
          <w:bCs w:val="0"/>
          <w:sz w:val="24"/>
          <w:szCs w:val="24"/>
          <w:highlight w:val="yellow"/>
        </w:rPr>
        <w:t>daily monitoring</w:t>
      </w:r>
      <w:r w:rsidRPr="006B0315">
        <w:rPr>
          <w:rFonts w:ascii="Calibri" w:hAnsi="Calibri" w:cs="Calibri"/>
          <w:sz w:val="24"/>
          <w:szCs w:val="24"/>
          <w:highlight w:val="yellow"/>
        </w:rPr>
        <w:t xml:space="preserve"> for treatment response and overall health.</w:t>
      </w:r>
    </w:p>
    <w:p w14:paraId="186AD653" w14:textId="77777777" w:rsidR="006B7F30" w:rsidRPr="006B0315" w:rsidRDefault="006B7F30" w:rsidP="006E11D6">
      <w:pPr>
        <w:pStyle w:val="ListParagraph"/>
        <w:spacing w:after="0" w:line="240" w:lineRule="auto"/>
        <w:ind w:left="0"/>
        <w:jc w:val="both"/>
        <w:rPr>
          <w:rStyle w:val="Strong"/>
          <w:rFonts w:ascii="Calibri" w:hAnsi="Calibri" w:cs="Calibri"/>
          <w:color w:val="EE0000"/>
          <w:sz w:val="24"/>
          <w:szCs w:val="24"/>
          <w:highlight w:val="yellow"/>
        </w:rPr>
      </w:pPr>
    </w:p>
    <w:p w14:paraId="15B1CCF7" w14:textId="7B7475FD" w:rsidR="004E7923" w:rsidRPr="006E11D6" w:rsidRDefault="006B7F30" w:rsidP="006E11D6">
      <w:pPr>
        <w:pStyle w:val="ListParagraph"/>
        <w:spacing w:after="0" w:line="240" w:lineRule="auto"/>
        <w:ind w:left="0"/>
        <w:jc w:val="both"/>
        <w:rPr>
          <w:rFonts w:ascii="Calibri" w:eastAsia="Times New Roman" w:hAnsi="Calibri" w:cs="Calibri"/>
          <w:sz w:val="24"/>
          <w:szCs w:val="24"/>
        </w:rPr>
      </w:pPr>
      <w:r w:rsidRPr="006B0315">
        <w:rPr>
          <w:rStyle w:val="Strong"/>
          <w:rFonts w:ascii="Calibri" w:hAnsi="Calibri" w:cs="Calibri"/>
          <w:b w:val="0"/>
          <w:bCs w:val="0"/>
          <w:sz w:val="24"/>
          <w:szCs w:val="24"/>
          <w:highlight w:val="yellow"/>
        </w:rPr>
        <w:t>NOTE:</w:t>
      </w:r>
      <w:r w:rsidRPr="006B0315">
        <w:rPr>
          <w:rStyle w:val="Strong"/>
          <w:rFonts w:ascii="Calibri" w:hAnsi="Calibri" w:cs="Calibri"/>
          <w:sz w:val="24"/>
          <w:szCs w:val="24"/>
          <w:highlight w:val="yellow"/>
        </w:rPr>
        <w:t xml:space="preserve"> </w:t>
      </w:r>
      <w:r w:rsidR="005A4A77" w:rsidRPr="006B0315">
        <w:rPr>
          <w:rFonts w:ascii="Calibri" w:eastAsia="Times New Roman" w:hAnsi="Calibri" w:cs="Calibri"/>
          <w:sz w:val="24"/>
          <w:szCs w:val="24"/>
          <w:highlight w:val="yellow"/>
        </w:rPr>
        <w:t>Be mindful that different cell lines may cause tumors to ulcerate at different times. E</w:t>
      </w:r>
      <w:r w:rsidR="003B1CE0" w:rsidRPr="006B0315">
        <w:rPr>
          <w:rFonts w:ascii="Calibri" w:eastAsia="Times New Roman" w:hAnsi="Calibri" w:cs="Calibri"/>
          <w:sz w:val="24"/>
          <w:szCs w:val="24"/>
          <w:highlight w:val="yellow"/>
        </w:rPr>
        <w:t>ach experiment and each IACUC protocol has clearly stated endpoints and exclusion criteria. In the lab, endpoints for mouse experiments are 1500 mm</w:t>
      </w:r>
      <w:r w:rsidR="005D16B3" w:rsidRPr="006B0315">
        <w:rPr>
          <w:rFonts w:ascii="Calibri" w:eastAsia="Times New Roman" w:hAnsi="Calibri" w:cs="Calibri"/>
          <w:sz w:val="24"/>
          <w:szCs w:val="24"/>
          <w:highlight w:val="yellow"/>
          <w:vertAlign w:val="superscript"/>
        </w:rPr>
        <w:t>3</w:t>
      </w:r>
      <w:r w:rsidRPr="006B0315">
        <w:rPr>
          <w:rFonts w:ascii="Calibri" w:eastAsia="Times New Roman" w:hAnsi="Calibri" w:cs="Calibri"/>
          <w:sz w:val="24"/>
          <w:szCs w:val="24"/>
          <w:highlight w:val="yellow"/>
          <w:vertAlign w:val="superscript"/>
        </w:rPr>
        <w:t>,</w:t>
      </w:r>
      <w:r w:rsidR="003B1CE0" w:rsidRPr="006B0315">
        <w:rPr>
          <w:rFonts w:ascii="Calibri" w:eastAsia="Times New Roman" w:hAnsi="Calibri" w:cs="Calibri"/>
          <w:sz w:val="24"/>
          <w:szCs w:val="24"/>
          <w:highlight w:val="yellow"/>
        </w:rPr>
        <w:t xml:space="preserve"> and ulcerations that occur are accepted</w:t>
      </w:r>
      <w:r w:rsidR="001A0AE0" w:rsidRPr="006B0315">
        <w:rPr>
          <w:rFonts w:ascii="Calibri" w:eastAsia="Times New Roman" w:hAnsi="Calibri" w:cs="Calibri"/>
          <w:sz w:val="24"/>
          <w:szCs w:val="24"/>
          <w:highlight w:val="yellow"/>
        </w:rPr>
        <w:t xml:space="preserve"> </w:t>
      </w:r>
      <w:r w:rsidR="003B1CE0" w:rsidRPr="006B0315">
        <w:rPr>
          <w:rFonts w:ascii="Calibri" w:eastAsia="Times New Roman" w:hAnsi="Calibri" w:cs="Calibri"/>
          <w:sz w:val="24"/>
          <w:szCs w:val="24"/>
          <w:highlight w:val="yellow"/>
        </w:rPr>
        <w:t>and not excluded</w:t>
      </w:r>
      <w:r w:rsidR="007C303E" w:rsidRPr="006B0315">
        <w:rPr>
          <w:rFonts w:ascii="Calibri" w:eastAsia="Times New Roman" w:hAnsi="Calibri" w:cs="Calibri"/>
          <w:sz w:val="24"/>
          <w:szCs w:val="24"/>
          <w:highlight w:val="yellow"/>
        </w:rPr>
        <w:t xml:space="preserve"> from the study</w:t>
      </w:r>
      <w:r w:rsidR="003B1CE0" w:rsidRPr="006B0315">
        <w:rPr>
          <w:rFonts w:ascii="Calibri" w:eastAsia="Times New Roman" w:hAnsi="Calibri" w:cs="Calibri"/>
          <w:sz w:val="24"/>
          <w:szCs w:val="24"/>
          <w:highlight w:val="yellow"/>
        </w:rPr>
        <w:t>.</w:t>
      </w:r>
      <w:r w:rsidR="003B1CE0" w:rsidRPr="006E11D6">
        <w:rPr>
          <w:rFonts w:ascii="Calibri" w:eastAsia="Times New Roman" w:hAnsi="Calibri" w:cs="Calibri"/>
          <w:sz w:val="24"/>
          <w:szCs w:val="24"/>
        </w:rPr>
        <w:t xml:space="preserve"> </w:t>
      </w:r>
    </w:p>
    <w:p w14:paraId="74615A2F" w14:textId="77777777" w:rsidR="00340830" w:rsidRPr="006E11D6" w:rsidRDefault="00340830" w:rsidP="006E11D6">
      <w:pPr>
        <w:pStyle w:val="NormalWeb"/>
        <w:spacing w:before="0" w:beforeAutospacing="0" w:after="0" w:afterAutospacing="0"/>
        <w:jc w:val="both"/>
        <w:rPr>
          <w:rFonts w:ascii="Calibri" w:hAnsi="Calibri" w:cs="Calibri"/>
        </w:rPr>
      </w:pPr>
    </w:p>
    <w:p w14:paraId="55CDB110" w14:textId="77777777" w:rsidR="00340830" w:rsidRPr="006E11D6" w:rsidRDefault="00340830" w:rsidP="006E11D6">
      <w:pPr>
        <w:pBdr>
          <w:top w:val="nil"/>
          <w:left w:val="nil"/>
          <w:bottom w:val="nil"/>
          <w:right w:val="nil"/>
          <w:between w:val="nil"/>
        </w:pBdr>
        <w:rPr>
          <w:color w:val="808080"/>
        </w:rPr>
      </w:pPr>
      <w:r w:rsidRPr="006E11D6">
        <w:rPr>
          <w:b/>
          <w:color w:val="000000"/>
        </w:rPr>
        <w:t>REPRESENTATIVE RESULTS:</w:t>
      </w:r>
    </w:p>
    <w:p w14:paraId="7799961D" w14:textId="13F5F7E7" w:rsidR="0027316A" w:rsidRPr="006E11D6" w:rsidRDefault="00340830" w:rsidP="006E11D6">
      <w:r w:rsidRPr="006E11D6">
        <w:t>When practicing injections with dye, successful intradermal delivery can be verified without euthanizing the mouse by observing the formation of a visible “bubble” at the injection site. A properly performed intradermal injection produces a large, well-defined, and raised “bubble” (</w:t>
      </w:r>
      <w:r w:rsidRPr="006E11D6">
        <w:rPr>
          <w:b/>
          <w:bCs/>
        </w:rPr>
        <w:t>Fig</w:t>
      </w:r>
      <w:r w:rsidR="00435614" w:rsidRPr="006E11D6">
        <w:rPr>
          <w:b/>
          <w:bCs/>
        </w:rPr>
        <w:t>ure</w:t>
      </w:r>
      <w:r w:rsidRPr="006E11D6">
        <w:rPr>
          <w:b/>
          <w:bCs/>
        </w:rPr>
        <w:t xml:space="preserve"> 1A</w:t>
      </w:r>
      <w:r w:rsidR="00435614" w:rsidRPr="006E11D6">
        <w:rPr>
          <w:b/>
          <w:bCs/>
        </w:rPr>
        <w:t>–</w:t>
      </w:r>
      <w:r w:rsidR="00842ED5" w:rsidRPr="006E11D6">
        <w:rPr>
          <w:b/>
          <w:bCs/>
        </w:rPr>
        <w:t>F</w:t>
      </w:r>
      <w:r w:rsidRPr="006E11D6">
        <w:t>). Small or flat bubbles suggest that the injection may be partially subcutaneous. If no “bubble” forms and the dye</w:t>
      </w:r>
      <w:r w:rsidR="00F10C90" w:rsidRPr="006E11D6">
        <w:t xml:space="preserve"> or cells</w:t>
      </w:r>
      <w:r w:rsidRPr="006E11D6">
        <w:t xml:space="preserve"> spread beneath the skin, the injection was likely subcutaneous (</w:t>
      </w:r>
      <w:r w:rsidRPr="006E11D6">
        <w:rPr>
          <w:b/>
          <w:bCs/>
        </w:rPr>
        <w:t>Fig</w:t>
      </w:r>
      <w:r w:rsidR="00435614" w:rsidRPr="006E11D6">
        <w:rPr>
          <w:b/>
          <w:bCs/>
        </w:rPr>
        <w:t>ure</w:t>
      </w:r>
      <w:r w:rsidRPr="006E11D6">
        <w:rPr>
          <w:b/>
          <w:bCs/>
        </w:rPr>
        <w:t xml:space="preserve"> 1</w:t>
      </w:r>
      <w:r w:rsidR="00842ED5" w:rsidRPr="006E11D6">
        <w:rPr>
          <w:b/>
          <w:bCs/>
        </w:rPr>
        <w:t>G</w:t>
      </w:r>
      <w:r w:rsidR="00435614" w:rsidRPr="006E11D6">
        <w:rPr>
          <w:b/>
          <w:bCs/>
        </w:rPr>
        <w:t>–</w:t>
      </w:r>
      <w:r w:rsidR="00F10C90" w:rsidRPr="006E11D6">
        <w:rPr>
          <w:b/>
          <w:bCs/>
        </w:rPr>
        <w:t>J</w:t>
      </w:r>
      <w:r w:rsidRPr="006E11D6">
        <w:rPr>
          <w:b/>
          <w:bCs/>
        </w:rPr>
        <w:t>)</w:t>
      </w:r>
      <w:r w:rsidRPr="006E11D6">
        <w:t>. If the animals are euthanized after practice injections</w:t>
      </w:r>
      <w:r w:rsidR="00435614" w:rsidRPr="006E11D6">
        <w:t>,</w:t>
      </w:r>
      <w:r w:rsidRPr="006E11D6">
        <w:t xml:space="preserve"> the skin can be opened to identify any injections that leaked into the subcutaneous space</w:t>
      </w:r>
      <w:r w:rsidR="0027316A" w:rsidRPr="006E11D6">
        <w:t xml:space="preserve">. </w:t>
      </w:r>
    </w:p>
    <w:p w14:paraId="32A06E1A" w14:textId="77777777" w:rsidR="0027316A" w:rsidRPr="006E11D6" w:rsidRDefault="0027316A" w:rsidP="006E11D6"/>
    <w:p w14:paraId="7AFF54EF" w14:textId="3632E998" w:rsidR="00340830" w:rsidRPr="006E11D6" w:rsidRDefault="00340830" w:rsidP="006E11D6">
      <w:r w:rsidRPr="006E11D6">
        <w:t>Approximately 5 days after intradermal injection</w:t>
      </w:r>
      <w:r w:rsidR="004350D8" w:rsidRPr="006E11D6">
        <w:t>,</w:t>
      </w:r>
      <w:r w:rsidRPr="006E11D6">
        <w:t xml:space="preserve"> tumors should become visible, and after 7</w:t>
      </w:r>
      <w:r w:rsidR="00435614" w:rsidRPr="006E11D6">
        <w:t>–</w:t>
      </w:r>
      <w:r w:rsidRPr="006E11D6">
        <w:t xml:space="preserve">10 </w:t>
      </w:r>
      <w:r w:rsidRPr="006E11D6">
        <w:lastRenderedPageBreak/>
        <w:t>days</w:t>
      </w:r>
      <w:r w:rsidR="00BC2F37" w:rsidRPr="006E11D6">
        <w:t>, they</w:t>
      </w:r>
      <w:r w:rsidRPr="006E11D6">
        <w:t xml:space="preserve"> should be suitable for treatment. To confirm that the tumors are intradermal rather than subcutaneous, two verification methods can be used. First, </w:t>
      </w:r>
      <w:r w:rsidRPr="006E11D6">
        <w:rPr>
          <w:rStyle w:val="Strong"/>
          <w:b w:val="0"/>
          <w:bCs w:val="0"/>
        </w:rPr>
        <w:t>palpation</w:t>
      </w:r>
      <w:r w:rsidRPr="006E11D6">
        <w:t xml:space="preserve"> can be performed by gently </w:t>
      </w:r>
      <w:proofErr w:type="spellStart"/>
      <w:r w:rsidRPr="006E11D6">
        <w:t>scruffing</w:t>
      </w:r>
      <w:proofErr w:type="spellEnd"/>
      <w:r w:rsidRPr="006E11D6">
        <w:t xml:space="preserve"> the mouse with the non-dominant hand and feeling the tumor with the dominant hand. Intradermal tumors typically feel firm, fixed, and immobile under the skin (</w:t>
      </w:r>
      <w:r w:rsidRPr="006E11D6">
        <w:rPr>
          <w:b/>
          <w:bCs/>
        </w:rPr>
        <w:t>Fig</w:t>
      </w:r>
      <w:r w:rsidR="00BC2F37" w:rsidRPr="006E11D6">
        <w:rPr>
          <w:b/>
          <w:bCs/>
        </w:rPr>
        <w:t>ure</w:t>
      </w:r>
      <w:r w:rsidRPr="006E11D6">
        <w:rPr>
          <w:b/>
          <w:bCs/>
        </w:rPr>
        <w:t xml:space="preserve"> 2</w:t>
      </w:r>
      <w:proofErr w:type="gramStart"/>
      <w:r w:rsidRPr="006E11D6">
        <w:rPr>
          <w:b/>
          <w:bCs/>
        </w:rPr>
        <w:t>A</w:t>
      </w:r>
      <w:r w:rsidR="00BC2F37" w:rsidRPr="006E11D6">
        <w:rPr>
          <w:b/>
          <w:bCs/>
        </w:rPr>
        <w:t>,</w:t>
      </w:r>
      <w:r w:rsidR="00842ED5" w:rsidRPr="006E11D6">
        <w:rPr>
          <w:b/>
          <w:bCs/>
        </w:rPr>
        <w:t>B</w:t>
      </w:r>
      <w:proofErr w:type="gramEnd"/>
      <w:r w:rsidRPr="006E11D6">
        <w:t>), while subcutaneous tumors feel softer or “squishy” and tend to move freely, making their borders less distinct (</w:t>
      </w:r>
      <w:r w:rsidRPr="006E11D6">
        <w:rPr>
          <w:b/>
          <w:bCs/>
        </w:rPr>
        <w:t>Fig</w:t>
      </w:r>
      <w:r w:rsidR="00BC2F37" w:rsidRPr="006E11D6">
        <w:rPr>
          <w:b/>
          <w:bCs/>
        </w:rPr>
        <w:t>ure</w:t>
      </w:r>
      <w:r w:rsidRPr="006E11D6">
        <w:rPr>
          <w:b/>
          <w:bCs/>
        </w:rPr>
        <w:t xml:space="preserve"> 2</w:t>
      </w:r>
      <w:r w:rsidR="00842ED5" w:rsidRPr="006E11D6">
        <w:rPr>
          <w:b/>
          <w:bCs/>
        </w:rPr>
        <w:t>C</w:t>
      </w:r>
      <w:r w:rsidRPr="006E11D6">
        <w:t xml:space="preserve">). </w:t>
      </w:r>
    </w:p>
    <w:p w14:paraId="306A4598" w14:textId="77777777" w:rsidR="00340830" w:rsidRPr="006E11D6" w:rsidRDefault="00340830" w:rsidP="006E11D6"/>
    <w:p w14:paraId="06A6318D" w14:textId="2524B1B3" w:rsidR="00820523" w:rsidRPr="006E11D6" w:rsidRDefault="00340830" w:rsidP="006E11D6">
      <w:r w:rsidRPr="006E11D6">
        <w:t xml:space="preserve">If palpation results are uncertain, </w:t>
      </w:r>
      <w:r w:rsidRPr="006E11D6">
        <w:rPr>
          <w:rStyle w:val="Strong"/>
          <w:b w:val="0"/>
          <w:bCs w:val="0"/>
        </w:rPr>
        <w:t>post-mortem verification</w:t>
      </w:r>
      <w:r w:rsidRPr="006E11D6">
        <w:t xml:space="preserve"> can be performed. After euthanizing the mouse following institutional protocols, place it on its back and make a small incision through the skin of the abdomen, remaining above the muscle layer. Using scissors or forceps, gently separate the skin from the underlying muscle. Intradermal tumors will be confined within the skin layer (</w:t>
      </w:r>
      <w:r w:rsidRPr="006E11D6">
        <w:rPr>
          <w:b/>
          <w:bCs/>
        </w:rPr>
        <w:t>Fig</w:t>
      </w:r>
      <w:r w:rsidR="00416C17" w:rsidRPr="006E11D6">
        <w:rPr>
          <w:b/>
          <w:bCs/>
        </w:rPr>
        <w:t>ure</w:t>
      </w:r>
      <w:r w:rsidRPr="006E11D6">
        <w:rPr>
          <w:b/>
          <w:bCs/>
        </w:rPr>
        <w:t xml:space="preserve"> 2</w:t>
      </w:r>
      <w:r w:rsidR="00842ED5" w:rsidRPr="006E11D6">
        <w:rPr>
          <w:b/>
          <w:bCs/>
        </w:rPr>
        <w:t>D</w:t>
      </w:r>
      <w:r w:rsidRPr="006E11D6">
        <w:t>), whereas subcutaneous tumors will extend deeper, involving both the skin and underlying muscle tissue (</w:t>
      </w:r>
      <w:r w:rsidRPr="006E11D6">
        <w:rPr>
          <w:b/>
          <w:bCs/>
        </w:rPr>
        <w:t>Fig</w:t>
      </w:r>
      <w:r w:rsidR="00416C17" w:rsidRPr="006E11D6">
        <w:rPr>
          <w:b/>
          <w:bCs/>
        </w:rPr>
        <w:t>ure</w:t>
      </w:r>
      <w:r w:rsidRPr="006E11D6">
        <w:rPr>
          <w:b/>
          <w:bCs/>
        </w:rPr>
        <w:t xml:space="preserve"> 2</w:t>
      </w:r>
      <w:proofErr w:type="gramStart"/>
      <w:r w:rsidRPr="006E11D6">
        <w:rPr>
          <w:b/>
          <w:bCs/>
        </w:rPr>
        <w:t>E</w:t>
      </w:r>
      <w:r w:rsidR="00416C17" w:rsidRPr="006E11D6">
        <w:rPr>
          <w:b/>
          <w:bCs/>
        </w:rPr>
        <w:t>,</w:t>
      </w:r>
      <w:r w:rsidR="00842ED5" w:rsidRPr="006E11D6">
        <w:rPr>
          <w:b/>
          <w:bCs/>
        </w:rPr>
        <w:t>F</w:t>
      </w:r>
      <w:proofErr w:type="gramEnd"/>
      <w:r w:rsidRPr="006E11D6">
        <w:t>).</w:t>
      </w:r>
      <w:r w:rsidR="00024960" w:rsidRPr="006E11D6">
        <w:t xml:space="preserve"> </w:t>
      </w:r>
      <w:r w:rsidRPr="006E11D6">
        <w:t>Generally, in</w:t>
      </w:r>
      <w:r w:rsidR="00984D7F" w:rsidRPr="006E11D6">
        <w:t xml:space="preserve"> the</w:t>
      </w:r>
      <w:r w:rsidRPr="006E11D6">
        <w:t xml:space="preserve"> lab</w:t>
      </w:r>
      <w:r w:rsidR="00416C17" w:rsidRPr="006E11D6">
        <w:t>,</w:t>
      </w:r>
      <w:r w:rsidRPr="006E11D6">
        <w:t xml:space="preserve"> a skilled researcher generates 90% of tumors with discrete</w:t>
      </w:r>
      <w:r w:rsidR="00416C17" w:rsidRPr="006E11D6">
        <w:t>,</w:t>
      </w:r>
      <w:r w:rsidRPr="006E11D6">
        <w:t xml:space="preserve"> generally round tumors that do not break through the</w:t>
      </w:r>
      <w:r w:rsidR="00541F12" w:rsidRPr="006E11D6">
        <w:t xml:space="preserve"> dermal layer</w:t>
      </w:r>
      <w:r w:rsidRPr="006E11D6">
        <w:t xml:space="preserve"> and are usable experimentally.</w:t>
      </w:r>
    </w:p>
    <w:p w14:paraId="70170314" w14:textId="77777777" w:rsidR="00820523" w:rsidRPr="006E11D6" w:rsidRDefault="00820523" w:rsidP="006E11D6"/>
    <w:p w14:paraId="2A634F02" w14:textId="447F0E02" w:rsidR="00FC12E3" w:rsidRPr="006E11D6" w:rsidRDefault="00820523" w:rsidP="006E11D6">
      <w:r w:rsidRPr="006E11D6">
        <w:t xml:space="preserve">When tumors reach the treatment stage, their sizes can vary even if they were injected at the same time. To minimize bias, tumors are distributed across experimental groups so that the average volume is comparable. Tumor size is measured using calipers, and volume is calculated using the </w:t>
      </w:r>
      <w:r w:rsidR="00FC12E3" w:rsidRPr="006E11D6">
        <w:t>formula V = (Length/2) × (Width²)</w:t>
      </w:r>
      <w:sdt>
        <w:sdtPr>
          <w:rPr>
            <w:color w:val="000000"/>
            <w:vertAlign w:val="superscript"/>
          </w:rPr>
          <w:tag w:val="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"/>
          <w:id w:val="1258868862"/>
          <w:placeholder>
            <w:docPart w:val="DefaultPlaceholder_-1854013440"/>
          </w:placeholder>
        </w:sdtPr>
        <w:sdtContent>
          <w:r w:rsidR="00AF59B5" w:rsidRPr="006E11D6">
            <w:rPr>
              <w:color w:val="000000"/>
              <w:vertAlign w:val="superscript"/>
            </w:rPr>
            <w:t>7,8</w:t>
          </w:r>
        </w:sdtContent>
      </w:sdt>
      <w:r w:rsidR="00FC12E3" w:rsidRPr="006E11D6">
        <w:t>.</w:t>
      </w:r>
      <w:r w:rsidRPr="006E11D6">
        <w:t xml:space="preserve"> Different tumor cell lines exhibit distinct growth rates; for example, CT26 (</w:t>
      </w:r>
      <w:r w:rsidRPr="006E11D6">
        <w:rPr>
          <w:b/>
          <w:bCs/>
        </w:rPr>
        <w:t>Fig</w:t>
      </w:r>
      <w:r w:rsidR="00416C17" w:rsidRPr="006E11D6">
        <w:rPr>
          <w:b/>
          <w:bCs/>
        </w:rPr>
        <w:t>ure</w:t>
      </w:r>
      <w:r w:rsidRPr="006E11D6">
        <w:rPr>
          <w:b/>
          <w:bCs/>
        </w:rPr>
        <w:t xml:space="preserve"> 3A</w:t>
      </w:r>
      <w:r w:rsidRPr="006E11D6">
        <w:t>) and B16F10 (</w:t>
      </w:r>
      <w:r w:rsidRPr="006E11D6">
        <w:rPr>
          <w:b/>
          <w:bCs/>
        </w:rPr>
        <w:t>Fig</w:t>
      </w:r>
      <w:r w:rsidR="00416C17" w:rsidRPr="006E11D6">
        <w:rPr>
          <w:b/>
          <w:bCs/>
        </w:rPr>
        <w:t>ure</w:t>
      </w:r>
      <w:r w:rsidRPr="006E11D6">
        <w:rPr>
          <w:b/>
          <w:bCs/>
        </w:rPr>
        <w:t xml:space="preserve"> 3D)</w:t>
      </w:r>
      <w:r w:rsidRPr="006E11D6">
        <w:t xml:space="preserve"> show noticeable differences in size approximately 7 days after intradermal injection. To account for variability in tumor growth (e.g., tumors growing too quickly, too slowly, or failing to establish), an additional</w:t>
      </w:r>
      <w:r w:rsidR="009C3F41" w:rsidRPr="006E11D6">
        <w:t xml:space="preserve"> 5 </w:t>
      </w:r>
      <w:r w:rsidRPr="006E11D6">
        <w:t>mice</w:t>
      </w:r>
      <w:r w:rsidR="009C3F41" w:rsidRPr="006E11D6">
        <w:t xml:space="preserve"> </w:t>
      </w:r>
      <w:r w:rsidR="00050460" w:rsidRPr="006E11D6">
        <w:t>are</w:t>
      </w:r>
      <w:r w:rsidR="009C3F41" w:rsidRPr="006E11D6">
        <w:t xml:space="preserve"> recommended to add to </w:t>
      </w:r>
      <w:r w:rsidR="00050460" w:rsidRPr="006E11D6">
        <w:t xml:space="preserve">the </w:t>
      </w:r>
      <w:r w:rsidRPr="006E11D6">
        <w:t xml:space="preserve">experiments. Based on volume measurements and excluding </w:t>
      </w:r>
      <w:proofErr w:type="gramStart"/>
      <w:r w:rsidRPr="006E11D6">
        <w:t>mice</w:t>
      </w:r>
      <w:proofErr w:type="gramEnd"/>
      <w:r w:rsidRPr="006E11D6">
        <w:t xml:space="preserve"> when necessary, tumors are then assigned to groups to achieve similar average sizes (</w:t>
      </w:r>
      <w:r w:rsidRPr="006E11D6">
        <w:rPr>
          <w:b/>
          <w:bCs/>
        </w:rPr>
        <w:t>Fig</w:t>
      </w:r>
      <w:r w:rsidR="00F1499E" w:rsidRPr="006E11D6">
        <w:rPr>
          <w:b/>
          <w:bCs/>
        </w:rPr>
        <w:t>ure</w:t>
      </w:r>
      <w:r w:rsidRPr="006E11D6">
        <w:rPr>
          <w:b/>
          <w:bCs/>
        </w:rPr>
        <w:t xml:space="preserve"> 3B</w:t>
      </w:r>
      <w:r w:rsidRPr="006E11D6">
        <w:t xml:space="preserve"> and </w:t>
      </w:r>
      <w:r w:rsidR="00F1499E" w:rsidRPr="006E11D6">
        <w:rPr>
          <w:b/>
          <w:bCs/>
        </w:rPr>
        <w:t xml:space="preserve">Figure </w:t>
      </w:r>
      <w:r w:rsidRPr="006E11D6">
        <w:rPr>
          <w:b/>
          <w:bCs/>
        </w:rPr>
        <w:t>3E</w:t>
      </w:r>
      <w:r w:rsidRPr="006E11D6">
        <w:t>). Once groups are balanced, treatments can be administered (</w:t>
      </w:r>
      <w:r w:rsidRPr="006E11D6">
        <w:rPr>
          <w:b/>
          <w:bCs/>
        </w:rPr>
        <w:t>Fig</w:t>
      </w:r>
      <w:r w:rsidR="00F1499E" w:rsidRPr="006E11D6">
        <w:rPr>
          <w:b/>
          <w:bCs/>
        </w:rPr>
        <w:t xml:space="preserve">ure </w:t>
      </w:r>
      <w:r w:rsidRPr="006E11D6">
        <w:rPr>
          <w:b/>
          <w:bCs/>
        </w:rPr>
        <w:t>3C</w:t>
      </w:r>
      <w:r w:rsidRPr="006E11D6">
        <w:t xml:space="preserve"> and </w:t>
      </w:r>
      <w:r w:rsidR="00F1499E" w:rsidRPr="006E11D6">
        <w:rPr>
          <w:b/>
          <w:bCs/>
        </w:rPr>
        <w:t xml:space="preserve">Figure </w:t>
      </w:r>
      <w:r w:rsidRPr="006E11D6">
        <w:rPr>
          <w:b/>
          <w:bCs/>
        </w:rPr>
        <w:t>3F</w:t>
      </w:r>
      <w:r w:rsidRPr="006E11D6">
        <w:t>). In the lab, intratumoral delivery of plant viruses</w:t>
      </w:r>
      <w:r w:rsidR="009C3F41" w:rsidRPr="006E11D6">
        <w:t xml:space="preserve"> and plasmid </w:t>
      </w:r>
      <w:r w:rsidRPr="006E11D6">
        <w:t>electroporation ha</w:t>
      </w:r>
      <w:r w:rsidR="009C3F41" w:rsidRPr="006E11D6">
        <w:t>ve</w:t>
      </w:r>
      <w:r w:rsidRPr="006E11D6">
        <w:t xml:space="preserve"> been used and </w:t>
      </w:r>
      <w:r w:rsidR="007F6323" w:rsidRPr="006E11D6">
        <w:t>shown to be effective</w:t>
      </w:r>
      <w:sdt>
        <w:sdtPr>
          <w:rPr>
            <w:color w:val="000000"/>
            <w:vertAlign w:val="superscript"/>
          </w:rPr>
          <w:tag w:val="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"/>
          <w:id w:val="-191071225"/>
          <w:placeholder>
            <w:docPart w:val="DefaultPlaceholder_-1854013440"/>
          </w:placeholder>
        </w:sdtPr>
        <w:sdtContent>
          <w:r w:rsidR="00AF59B5" w:rsidRPr="006E11D6">
            <w:rPr>
              <w:color w:val="000000"/>
              <w:vertAlign w:val="superscript"/>
            </w:rPr>
            <w:t>7,8</w:t>
          </w:r>
        </w:sdtContent>
      </w:sdt>
      <w:r w:rsidR="007F6323" w:rsidRPr="006E11D6">
        <w:rPr>
          <w:color w:val="000000"/>
        </w:rPr>
        <w:t>.</w:t>
      </w:r>
    </w:p>
    <w:p w14:paraId="69988C9A" w14:textId="77777777" w:rsidR="00340830" w:rsidRPr="006E11D6" w:rsidRDefault="00340830" w:rsidP="006E11D6">
      <w:pPr>
        <w:rPr>
          <w:color w:val="808080"/>
        </w:rPr>
      </w:pPr>
    </w:p>
    <w:p w14:paraId="705F04E5" w14:textId="6BD3F9BC" w:rsidR="00340830" w:rsidRPr="006E11D6" w:rsidRDefault="00340830" w:rsidP="006E11D6">
      <w:pPr>
        <w:pBdr>
          <w:top w:val="nil"/>
          <w:left w:val="nil"/>
          <w:bottom w:val="nil"/>
          <w:right w:val="nil"/>
          <w:between w:val="nil"/>
        </w:pBdr>
        <w:rPr>
          <w:b/>
        </w:rPr>
      </w:pPr>
      <w:r w:rsidRPr="006E11D6">
        <w:rPr>
          <w:b/>
        </w:rPr>
        <w:t>FIGURE LEGENDS:</w:t>
      </w:r>
    </w:p>
    <w:p w14:paraId="084BC699" w14:textId="77777777" w:rsidR="00340830" w:rsidRPr="006E11D6" w:rsidRDefault="00340830" w:rsidP="006E11D6">
      <w:pPr>
        <w:pBdr>
          <w:top w:val="nil"/>
          <w:left w:val="nil"/>
          <w:bottom w:val="nil"/>
          <w:right w:val="nil"/>
          <w:between w:val="nil"/>
        </w:pBdr>
        <w:rPr>
          <w:b/>
        </w:rPr>
      </w:pPr>
    </w:p>
    <w:p w14:paraId="2250EBBF" w14:textId="5B001E5F" w:rsidR="00E556D5" w:rsidRPr="006E11D6" w:rsidRDefault="00842ED5" w:rsidP="006E11D6">
      <w:r w:rsidRPr="006E11D6">
        <w:rPr>
          <w:rStyle w:val="Strong"/>
        </w:rPr>
        <w:t>Figure 1</w:t>
      </w:r>
      <w:r w:rsidR="00872CC9" w:rsidRPr="006E11D6">
        <w:rPr>
          <w:rStyle w:val="Strong"/>
        </w:rPr>
        <w:t xml:space="preserve">: </w:t>
      </w:r>
      <w:r w:rsidRPr="006E11D6">
        <w:rPr>
          <w:rStyle w:val="Strong"/>
        </w:rPr>
        <w:t>Intradermal injections of tumor cells and dye.</w:t>
      </w:r>
      <w:r w:rsidR="00872CC9" w:rsidRPr="006E11D6">
        <w:t xml:space="preserve"> </w:t>
      </w:r>
      <w:r w:rsidRPr="006E11D6">
        <w:rPr>
          <w:rStyle w:val="Strong"/>
          <w:b w:val="0"/>
          <w:bCs w:val="0"/>
        </w:rPr>
        <w:t>(</w:t>
      </w:r>
      <w:proofErr w:type="gramStart"/>
      <w:r w:rsidRPr="006E11D6">
        <w:rPr>
          <w:rStyle w:val="Strong"/>
        </w:rPr>
        <w:t>A,B</w:t>
      </w:r>
      <w:proofErr w:type="gramEnd"/>
      <w:r w:rsidRPr="006E11D6">
        <w:rPr>
          <w:rStyle w:val="Strong"/>
          <w:b w:val="0"/>
          <w:bCs w:val="0"/>
        </w:rPr>
        <w:t>)</w:t>
      </w:r>
      <w:r w:rsidRPr="006E11D6">
        <w:t xml:space="preserve"> Representative image of a mouse immediately following intradermal injection of tumor cells into the right flank. A raised, well-defined “bubble” is visible at the injection site.</w:t>
      </w:r>
      <w:r w:rsidR="00872CC9" w:rsidRPr="006E11D6">
        <w:t xml:space="preserve"> </w:t>
      </w:r>
      <w:r w:rsidRPr="006E11D6">
        <w:rPr>
          <w:rStyle w:val="Strong"/>
          <w:b w:val="0"/>
          <w:bCs w:val="0"/>
        </w:rPr>
        <w:t>(</w:t>
      </w:r>
      <w:proofErr w:type="gramStart"/>
      <w:r w:rsidRPr="006E11D6">
        <w:rPr>
          <w:rStyle w:val="Strong"/>
        </w:rPr>
        <w:t>C,D</w:t>
      </w:r>
      <w:proofErr w:type="gramEnd"/>
      <w:r w:rsidRPr="006E11D6">
        <w:rPr>
          <w:rStyle w:val="Strong"/>
          <w:b w:val="0"/>
          <w:bCs w:val="0"/>
        </w:rPr>
        <w:t>)</w:t>
      </w:r>
      <w:r w:rsidRPr="006E11D6">
        <w:t xml:space="preserve"> Close-up view of the resulting dermal “bubble” formed after tumor cell injection.</w:t>
      </w:r>
      <w:r w:rsidR="00872CC9" w:rsidRPr="006E11D6">
        <w:t xml:space="preserve"> </w:t>
      </w:r>
      <w:r w:rsidRPr="006E11D6">
        <w:rPr>
          <w:rStyle w:val="Strong"/>
          <w:b w:val="0"/>
          <w:bCs w:val="0"/>
        </w:rPr>
        <w:t>(</w:t>
      </w:r>
      <w:proofErr w:type="gramStart"/>
      <w:r w:rsidRPr="006E11D6">
        <w:rPr>
          <w:rStyle w:val="Strong"/>
        </w:rPr>
        <w:t>E,F</w:t>
      </w:r>
      <w:proofErr w:type="gramEnd"/>
      <w:r w:rsidRPr="006E11D6">
        <w:rPr>
          <w:rStyle w:val="Strong"/>
          <w:b w:val="0"/>
          <w:bCs w:val="0"/>
        </w:rPr>
        <w:t>)</w:t>
      </w:r>
      <w:r w:rsidRPr="006E11D6">
        <w:t xml:space="preserve"> Example of a successful intradermal injection using blue dye.</w:t>
      </w:r>
      <w:r w:rsidR="00872CC9" w:rsidRPr="006E11D6">
        <w:t xml:space="preserve"> </w:t>
      </w:r>
      <w:r w:rsidRPr="006E11D6">
        <w:rPr>
          <w:rStyle w:val="Strong"/>
          <w:b w:val="0"/>
          <w:bCs w:val="0"/>
        </w:rPr>
        <w:t>(</w:t>
      </w:r>
      <w:proofErr w:type="gramStart"/>
      <w:r w:rsidRPr="006E11D6">
        <w:rPr>
          <w:rStyle w:val="Strong"/>
        </w:rPr>
        <w:t>G,H</w:t>
      </w:r>
      <w:proofErr w:type="gramEnd"/>
      <w:r w:rsidRPr="006E11D6">
        <w:rPr>
          <w:rStyle w:val="Strong"/>
          <w:b w:val="0"/>
          <w:bCs w:val="0"/>
        </w:rPr>
        <w:t>)</w:t>
      </w:r>
      <w:r w:rsidRPr="006E11D6">
        <w:t xml:space="preserve"> Example of an injection placed too deeply, where no visible “bubble” was formed, indicating subcutaneous rather than intradermal delivery.</w:t>
      </w:r>
      <w:r w:rsidR="00872CC9" w:rsidRPr="006E11D6">
        <w:t xml:space="preserve"> </w:t>
      </w:r>
      <w:r w:rsidR="00E556D5" w:rsidRPr="006E11D6">
        <w:t>(</w:t>
      </w:r>
      <w:proofErr w:type="gramStart"/>
      <w:r w:rsidR="00E556D5" w:rsidRPr="006E11D6">
        <w:rPr>
          <w:b/>
          <w:bCs/>
        </w:rPr>
        <w:t>I,J</w:t>
      </w:r>
      <w:proofErr w:type="gramEnd"/>
      <w:r w:rsidR="00E556D5" w:rsidRPr="006E11D6">
        <w:t xml:space="preserve">) Example of an injection with cells where a flat, barely visible “bubble” formed, likely indicating subcutaneous rather than intradermal delivery. </w:t>
      </w:r>
    </w:p>
    <w:p w14:paraId="43296BB5" w14:textId="77777777" w:rsidR="00340830" w:rsidRPr="006E11D6" w:rsidRDefault="00340830" w:rsidP="006E11D6">
      <w:pPr>
        <w:rPr>
          <w:i/>
          <w:color w:val="808080"/>
        </w:rPr>
      </w:pPr>
    </w:p>
    <w:p w14:paraId="09906F63" w14:textId="474AC30B" w:rsidR="00842ED5" w:rsidRPr="006E11D6" w:rsidRDefault="00842ED5" w:rsidP="006E11D6">
      <w:r w:rsidRPr="006E11D6">
        <w:rPr>
          <w:rStyle w:val="Strong"/>
        </w:rPr>
        <w:t>Figure 2</w:t>
      </w:r>
      <w:r w:rsidR="005D583D" w:rsidRPr="006E11D6">
        <w:rPr>
          <w:rStyle w:val="Strong"/>
        </w:rPr>
        <w:t xml:space="preserve">: </w:t>
      </w:r>
      <w:r w:rsidRPr="006E11D6">
        <w:rPr>
          <w:b/>
          <w:bCs/>
        </w:rPr>
        <w:t>Confirmation of intradermal versus subcutaneous tumors.</w:t>
      </w:r>
      <w:r w:rsidR="005D583D" w:rsidRPr="006E11D6">
        <w:t xml:space="preserve"> </w:t>
      </w:r>
      <w:r w:rsidRPr="006E11D6">
        <w:t>(</w:t>
      </w:r>
      <w:proofErr w:type="gramStart"/>
      <w:r w:rsidRPr="006E11D6">
        <w:rPr>
          <w:b/>
          <w:bCs/>
        </w:rPr>
        <w:t>A,B</w:t>
      </w:r>
      <w:proofErr w:type="gramEnd"/>
      <w:r w:rsidRPr="006E11D6">
        <w:t>) Example of a tumor growing within the dermis 7</w:t>
      </w:r>
      <w:r w:rsidR="005D583D" w:rsidRPr="006E11D6">
        <w:t>–</w:t>
      </w:r>
      <w:r w:rsidRPr="006E11D6">
        <w:t>10 days after intradermal injection.</w:t>
      </w:r>
      <w:r w:rsidR="009B5892" w:rsidRPr="006E11D6">
        <w:t xml:space="preserve"> </w:t>
      </w:r>
      <w:r w:rsidRPr="006E11D6">
        <w:t>(</w:t>
      </w:r>
      <w:r w:rsidRPr="006E11D6">
        <w:rPr>
          <w:b/>
          <w:bCs/>
        </w:rPr>
        <w:t>C</w:t>
      </w:r>
      <w:r w:rsidRPr="006E11D6">
        <w:t>) Example of a tumor that developed subcutaneously, marked by the red circle.</w:t>
      </w:r>
      <w:r w:rsidR="009B5892" w:rsidRPr="006E11D6">
        <w:t xml:space="preserve"> </w:t>
      </w:r>
      <w:r w:rsidRPr="006E11D6">
        <w:t>(</w:t>
      </w:r>
      <w:r w:rsidRPr="006E11D6">
        <w:rPr>
          <w:b/>
          <w:bCs/>
        </w:rPr>
        <w:t>D</w:t>
      </w:r>
      <w:r w:rsidRPr="006E11D6">
        <w:t xml:space="preserve">) Dissection showing an intradermal tumor remaining within the skin layer; marked by the red circle. Multiple tumors </w:t>
      </w:r>
      <w:r w:rsidR="009B5892" w:rsidRPr="006E11D6">
        <w:t xml:space="preserve">were </w:t>
      </w:r>
      <w:r w:rsidRPr="006E11D6">
        <w:t xml:space="preserve">found on </w:t>
      </w:r>
      <w:r w:rsidRPr="006E11D6">
        <w:lastRenderedPageBreak/>
        <w:t>this mouse</w:t>
      </w:r>
      <w:r w:rsidR="009B5892" w:rsidRPr="006E11D6">
        <w:t>,</w:t>
      </w:r>
      <w:r w:rsidRPr="006E11D6">
        <w:t xml:space="preserve"> as it was for practice.</w:t>
      </w:r>
      <w:r w:rsidR="009B5892" w:rsidRPr="006E11D6">
        <w:t xml:space="preserve"> </w:t>
      </w:r>
      <w:r w:rsidRPr="006E11D6">
        <w:t>(</w:t>
      </w:r>
      <w:proofErr w:type="gramStart"/>
      <w:r w:rsidRPr="006E11D6">
        <w:rPr>
          <w:b/>
          <w:bCs/>
        </w:rPr>
        <w:t>E,F</w:t>
      </w:r>
      <w:proofErr w:type="gramEnd"/>
      <w:r w:rsidRPr="006E11D6">
        <w:t>) Tumors resulting from deeper injections are located below the dermis and in direct contact with the muscle layer.</w:t>
      </w:r>
    </w:p>
    <w:p w14:paraId="45169E18" w14:textId="77777777" w:rsidR="00820523" w:rsidRPr="006E11D6" w:rsidRDefault="00820523" w:rsidP="006E11D6"/>
    <w:p w14:paraId="6D5BD44F" w14:textId="3E5BFB5F" w:rsidR="003175AB" w:rsidRPr="006E11D6" w:rsidRDefault="003A0697" w:rsidP="006E11D6">
      <w:r w:rsidRPr="006E11D6">
        <w:rPr>
          <w:rStyle w:val="Strong"/>
        </w:rPr>
        <w:t>Figure 3: T</w:t>
      </w:r>
      <w:r w:rsidR="00564FDD" w:rsidRPr="006E11D6">
        <w:rPr>
          <w:b/>
          <w:bCs/>
        </w:rPr>
        <w:t>umor size heterogeneity, normalization, and growth in CT26 and B16F10 models.</w:t>
      </w:r>
      <w:r w:rsidR="00756025" w:rsidRPr="006E11D6">
        <w:rPr>
          <w:b/>
          <w:bCs/>
        </w:rPr>
        <w:t xml:space="preserve"> </w:t>
      </w:r>
      <w:r w:rsidRPr="006E11D6">
        <w:t>(</w:t>
      </w:r>
      <w:proofErr w:type="gramStart"/>
      <w:r w:rsidRPr="006E11D6">
        <w:rPr>
          <w:b/>
          <w:bCs/>
        </w:rPr>
        <w:t>A</w:t>
      </w:r>
      <w:r w:rsidR="00952D14" w:rsidRPr="006E11D6">
        <w:rPr>
          <w:b/>
          <w:bCs/>
        </w:rPr>
        <w:t>,</w:t>
      </w:r>
      <w:r w:rsidR="00820523" w:rsidRPr="006E11D6">
        <w:rPr>
          <w:b/>
          <w:bCs/>
        </w:rPr>
        <w:t>D</w:t>
      </w:r>
      <w:proofErr w:type="gramEnd"/>
      <w:r w:rsidRPr="006E11D6">
        <w:t xml:space="preserve">) </w:t>
      </w:r>
      <w:r w:rsidR="00222342" w:rsidRPr="006E11D6">
        <w:t xml:space="preserve">Tumor size variation </w:t>
      </w:r>
      <w:r w:rsidR="00222342" w:rsidRPr="006E11D6">
        <w:sym w:font="Symbol" w:char="F07E"/>
      </w:r>
      <w:r w:rsidR="00222342" w:rsidRPr="006E11D6">
        <w:t>7 days after intradermal injection of CT26 and B16F10 cells.</w:t>
      </w:r>
      <w:r w:rsidR="00756025" w:rsidRPr="006E11D6">
        <w:t xml:space="preserve"> </w:t>
      </w:r>
      <w:r w:rsidR="00820523" w:rsidRPr="006E11D6">
        <w:t>(</w:t>
      </w:r>
      <w:proofErr w:type="gramStart"/>
      <w:r w:rsidR="00820523" w:rsidRPr="006E11D6">
        <w:rPr>
          <w:b/>
          <w:bCs/>
        </w:rPr>
        <w:t>B,E</w:t>
      </w:r>
      <w:proofErr w:type="gramEnd"/>
      <w:r w:rsidR="00820523" w:rsidRPr="006E11D6">
        <w:t>)</w:t>
      </w:r>
      <w:r w:rsidR="00EF697C" w:rsidRPr="006E11D6">
        <w:t xml:space="preserve"> </w:t>
      </w:r>
      <w:r w:rsidR="00564FDD" w:rsidRPr="006E11D6">
        <w:t>Tumors were assigned to treatment groups such that average tumor volumes were comparable across groups for both CT26 and B16F10.</w:t>
      </w:r>
      <w:r w:rsidR="00756025" w:rsidRPr="006E11D6">
        <w:t xml:space="preserve"> </w:t>
      </w:r>
      <w:r w:rsidR="00820523" w:rsidRPr="006E11D6">
        <w:t>(</w:t>
      </w:r>
      <w:proofErr w:type="gramStart"/>
      <w:r w:rsidR="00820523" w:rsidRPr="006E11D6">
        <w:rPr>
          <w:b/>
          <w:bCs/>
        </w:rPr>
        <w:t>C,F</w:t>
      </w:r>
      <w:proofErr w:type="gramEnd"/>
      <w:r w:rsidR="00820523" w:rsidRPr="006E11D6">
        <w:t>)</w:t>
      </w:r>
      <w:r w:rsidR="0099074F" w:rsidRPr="006E11D6">
        <w:t xml:space="preserve"> </w:t>
      </w:r>
      <w:r w:rsidR="00222342" w:rsidRPr="006E11D6">
        <w:t xml:space="preserve">Individual tumor growth curves of untreated mice (n = </w:t>
      </w:r>
      <w:r w:rsidR="00073AA5" w:rsidRPr="006E11D6">
        <w:t>4</w:t>
      </w:r>
      <w:r w:rsidR="00222342" w:rsidRPr="006E11D6">
        <w:t>) for CT26 and B16F10</w:t>
      </w:r>
      <w:r w:rsidR="00073AA5" w:rsidRPr="006E11D6">
        <w:t xml:space="preserve"> </w:t>
      </w:r>
      <w:r w:rsidR="00222342" w:rsidRPr="006E11D6">
        <w:t>until reaching endpoint (~1500 mm³).</w:t>
      </w:r>
      <w:r w:rsidR="00623897" w:rsidRPr="006E11D6">
        <w:t xml:space="preserve"> </w:t>
      </w:r>
    </w:p>
    <w:p w14:paraId="04E5E40D" w14:textId="77777777" w:rsidR="00BC73B4" w:rsidRPr="006E11D6" w:rsidRDefault="00BC73B4" w:rsidP="006E11D6">
      <w:pPr>
        <w:rPr>
          <w:b/>
          <w:bCs/>
        </w:rPr>
      </w:pPr>
    </w:p>
    <w:p w14:paraId="095B63E6" w14:textId="2CC49C5F" w:rsidR="00842ED5" w:rsidRPr="006E11D6" w:rsidRDefault="00842ED5" w:rsidP="006E11D6">
      <w:r w:rsidRPr="006E11D6">
        <w:rPr>
          <w:b/>
          <w:bCs/>
        </w:rPr>
        <w:t xml:space="preserve">Figure </w:t>
      </w:r>
      <w:r w:rsidR="00541F12" w:rsidRPr="006E11D6">
        <w:rPr>
          <w:b/>
          <w:bCs/>
        </w:rPr>
        <w:t>4</w:t>
      </w:r>
      <w:r w:rsidRPr="006E11D6">
        <w:rPr>
          <w:b/>
          <w:bCs/>
        </w:rPr>
        <w:t xml:space="preserve">: </w:t>
      </w:r>
      <w:r w:rsidRPr="006E11D6">
        <w:rPr>
          <w:rStyle w:val="Strong"/>
        </w:rPr>
        <w:t>Overview of the intradermal injection workflow.</w:t>
      </w:r>
      <w:r w:rsidRPr="006E11D6">
        <w:t xml:space="preserve"> (</w:t>
      </w:r>
      <w:r w:rsidRPr="006E11D6">
        <w:rPr>
          <w:b/>
          <w:bCs/>
        </w:rPr>
        <w:t>A</w:t>
      </w:r>
      <w:r w:rsidRPr="006E11D6">
        <w:t>) Schematic of practice injections using dye to optimize intradermal injection technique. (</w:t>
      </w:r>
      <w:r w:rsidRPr="006E11D6">
        <w:rPr>
          <w:b/>
          <w:bCs/>
        </w:rPr>
        <w:t>B</w:t>
      </w:r>
      <w:r w:rsidRPr="006E11D6">
        <w:t>) Preparation of mice for intradermal injection.</w:t>
      </w:r>
    </w:p>
    <w:p w14:paraId="086E2DB7" w14:textId="77777777" w:rsidR="00340830" w:rsidRPr="006E11D6" w:rsidRDefault="00340830" w:rsidP="006E11D6">
      <w:pPr>
        <w:rPr>
          <w:b/>
        </w:rPr>
      </w:pPr>
    </w:p>
    <w:p w14:paraId="1C56D121" w14:textId="089F2C04" w:rsidR="00340830" w:rsidRPr="006E11D6" w:rsidRDefault="00340830" w:rsidP="006E11D6">
      <w:pPr>
        <w:rPr>
          <w:b/>
        </w:rPr>
      </w:pPr>
      <w:r w:rsidRPr="006E11D6">
        <w:rPr>
          <w:b/>
        </w:rPr>
        <w:t>DISCUSSION:</w:t>
      </w:r>
    </w:p>
    <w:p w14:paraId="3165E866" w14:textId="67635B32" w:rsidR="00340830" w:rsidRPr="006E11D6" w:rsidRDefault="00340830" w:rsidP="006E11D6">
      <w:pPr>
        <w:pStyle w:val="NormalWeb"/>
        <w:spacing w:before="0" w:beforeAutospacing="0" w:after="0" w:afterAutospacing="0"/>
        <w:jc w:val="both"/>
        <w:rPr>
          <w:rFonts w:ascii="Calibri" w:hAnsi="Calibri" w:cs="Calibri"/>
        </w:rPr>
      </w:pPr>
      <w:r w:rsidRPr="006E11D6">
        <w:rPr>
          <w:rFonts w:ascii="Calibri" w:hAnsi="Calibri" w:cs="Calibri"/>
        </w:rPr>
        <w:t>The success of this protocol (</w:t>
      </w:r>
      <w:r w:rsidRPr="006E11D6">
        <w:rPr>
          <w:rFonts w:ascii="Calibri" w:hAnsi="Calibri" w:cs="Calibri"/>
          <w:b/>
          <w:bCs/>
        </w:rPr>
        <w:t>Fig</w:t>
      </w:r>
      <w:r w:rsidR="00816DE5" w:rsidRPr="006E11D6">
        <w:rPr>
          <w:rFonts w:ascii="Calibri" w:hAnsi="Calibri" w:cs="Calibri"/>
          <w:b/>
          <w:bCs/>
        </w:rPr>
        <w:t>ure</w:t>
      </w:r>
      <w:r w:rsidRPr="006E11D6">
        <w:rPr>
          <w:rFonts w:ascii="Calibri" w:hAnsi="Calibri" w:cs="Calibri"/>
          <w:b/>
          <w:bCs/>
        </w:rPr>
        <w:t xml:space="preserve"> </w:t>
      </w:r>
      <w:r w:rsidR="00541F12" w:rsidRPr="006E11D6">
        <w:rPr>
          <w:rFonts w:ascii="Calibri" w:hAnsi="Calibri" w:cs="Calibri"/>
          <w:b/>
          <w:bCs/>
        </w:rPr>
        <w:t>4</w:t>
      </w:r>
      <w:r w:rsidRPr="006E11D6">
        <w:rPr>
          <w:rFonts w:ascii="Calibri" w:hAnsi="Calibri" w:cs="Calibri"/>
        </w:rPr>
        <w:t xml:space="preserve">) depends on maintaining a consistent intradermal injection depth and precise needle placement to ensure delivery into the dermis rather than the subcutaneous layer. If the needle angle is too steep or </w:t>
      </w:r>
      <w:r w:rsidR="00816DE5" w:rsidRPr="006E11D6">
        <w:rPr>
          <w:rFonts w:ascii="Calibri" w:hAnsi="Calibri" w:cs="Calibri"/>
        </w:rPr>
        <w:t xml:space="preserve">the </w:t>
      </w:r>
      <w:r w:rsidRPr="006E11D6">
        <w:rPr>
          <w:rFonts w:ascii="Calibri" w:hAnsi="Calibri" w:cs="Calibri"/>
        </w:rPr>
        <w:t>injection pressure is too high, the dye or tumor cells may be deposited through the skin into the subcutaneous space. After injection, pausing briefly before slowly withdrawing the needle helps prevent leakage or formation of doublet tumors (“snowman” appearance) on the flank. When practicing injections and handling mice, always maintain a secure grip that minimizes the risk of accidental needle-stick.</w:t>
      </w:r>
      <w:r w:rsidR="00567512" w:rsidRPr="006E11D6">
        <w:rPr>
          <w:rFonts w:ascii="Calibri" w:hAnsi="Calibri" w:cs="Calibri"/>
        </w:rPr>
        <w:t xml:space="preserve"> </w:t>
      </w:r>
      <w:r w:rsidRPr="006E11D6">
        <w:rPr>
          <w:rFonts w:ascii="Calibri" w:hAnsi="Calibri" w:cs="Calibri"/>
        </w:rPr>
        <w:t xml:space="preserve">To troubleshoot, confirm the presence of a visible “bubble”, which indicates correct intradermal placement, and ensure syringes are free of air bubbles before use. Maintaining firm skin tension improves accuracy, while replacing syringes regularly prevents needle dullness that can reduce precision. Practicing on male mice, which have thicker and less flexible skin, can help develop </w:t>
      </w:r>
      <w:r w:rsidR="00816DE5" w:rsidRPr="006E11D6">
        <w:rPr>
          <w:rFonts w:ascii="Calibri" w:hAnsi="Calibri" w:cs="Calibri"/>
        </w:rPr>
        <w:t xml:space="preserve">a </w:t>
      </w:r>
      <w:r w:rsidRPr="006E11D6">
        <w:rPr>
          <w:rFonts w:ascii="Calibri" w:hAnsi="Calibri" w:cs="Calibri"/>
        </w:rPr>
        <w:t>consistent technique.</w:t>
      </w:r>
    </w:p>
    <w:p w14:paraId="2D915CF5" w14:textId="77777777" w:rsidR="00340830" w:rsidRPr="006E11D6" w:rsidRDefault="00340830" w:rsidP="006E11D6">
      <w:pPr>
        <w:pStyle w:val="NormalWeb"/>
        <w:spacing w:before="0" w:beforeAutospacing="0" w:after="0" w:afterAutospacing="0"/>
        <w:jc w:val="both"/>
        <w:rPr>
          <w:rFonts w:ascii="Calibri" w:hAnsi="Calibri" w:cs="Calibri"/>
        </w:rPr>
      </w:pPr>
    </w:p>
    <w:p w14:paraId="245EDF73" w14:textId="32E7E854" w:rsidR="00024960" w:rsidRPr="006E11D6" w:rsidRDefault="00340830" w:rsidP="006E11D6">
      <w:pPr>
        <w:pStyle w:val="NormalWeb"/>
        <w:spacing w:before="0" w:beforeAutospacing="0" w:after="0" w:afterAutospacing="0"/>
        <w:jc w:val="both"/>
        <w:rPr>
          <w:rFonts w:ascii="Calibri" w:hAnsi="Calibri" w:cs="Calibri"/>
        </w:rPr>
      </w:pPr>
      <w:r w:rsidRPr="006E11D6">
        <w:rPr>
          <w:rFonts w:ascii="Calibri" w:hAnsi="Calibri" w:cs="Calibri"/>
        </w:rPr>
        <w:t>Using freshly prepared tumor cell suspensions is also critical, as extended storage on ice decreases cell viability and tumor take rates. Gently inverting the suspension between injections maintains even cell distribution, ensuring uniform tumor growth among mice.</w:t>
      </w:r>
      <w:r w:rsidR="00024960" w:rsidRPr="006E11D6">
        <w:rPr>
          <w:rFonts w:ascii="Calibri" w:hAnsi="Calibri" w:cs="Calibri"/>
        </w:rPr>
        <w:t xml:space="preserve"> Attention to these technical details is essential when comparing tumor growth dynamics or immune responses between experimental groups.</w:t>
      </w:r>
      <w:r w:rsidR="00567512" w:rsidRPr="006E11D6">
        <w:rPr>
          <w:rFonts w:ascii="Calibri" w:hAnsi="Calibri" w:cs="Calibri"/>
        </w:rPr>
        <w:t xml:space="preserve"> </w:t>
      </w:r>
      <w:r w:rsidR="00024960" w:rsidRPr="006E11D6">
        <w:rPr>
          <w:rFonts w:ascii="Calibri" w:hAnsi="Calibri" w:cs="Calibri"/>
        </w:rPr>
        <w:t xml:space="preserve">When tumors have reached the appropriate size for intratumoral injection, handle all treatment solutions carefully. Ensure each solution is </w:t>
      </w:r>
      <w:r w:rsidR="00024960" w:rsidRPr="006E11D6">
        <w:rPr>
          <w:rStyle w:val="Strong"/>
          <w:rFonts w:ascii="Calibri" w:hAnsi="Calibri" w:cs="Calibri"/>
          <w:b w:val="0"/>
          <w:bCs w:val="0"/>
        </w:rPr>
        <w:t>well-mixed</w:t>
      </w:r>
      <w:r w:rsidR="00024960" w:rsidRPr="006E11D6">
        <w:rPr>
          <w:rFonts w:ascii="Calibri" w:hAnsi="Calibri" w:cs="Calibri"/>
        </w:rPr>
        <w:t xml:space="preserve"> and maintained at the </w:t>
      </w:r>
      <w:r w:rsidR="00024960" w:rsidRPr="006E11D6">
        <w:rPr>
          <w:rStyle w:val="Strong"/>
          <w:rFonts w:ascii="Calibri" w:hAnsi="Calibri" w:cs="Calibri"/>
          <w:b w:val="0"/>
          <w:bCs w:val="0"/>
        </w:rPr>
        <w:t>appropriate temperature</w:t>
      </w:r>
      <w:r w:rsidR="00024960" w:rsidRPr="006E11D6">
        <w:rPr>
          <w:rFonts w:ascii="Calibri" w:hAnsi="Calibri" w:cs="Calibri"/>
        </w:rPr>
        <w:t xml:space="preserve"> (either on ice or at room temperature, depending on the reagent's requirements).</w:t>
      </w:r>
    </w:p>
    <w:p w14:paraId="2BD214FF" w14:textId="77777777" w:rsidR="00567512" w:rsidRPr="006E11D6" w:rsidRDefault="00567512" w:rsidP="006E11D6">
      <w:pPr>
        <w:pStyle w:val="NormalWeb"/>
        <w:spacing w:before="0" w:beforeAutospacing="0" w:after="0" w:afterAutospacing="0"/>
        <w:jc w:val="both"/>
        <w:rPr>
          <w:rFonts w:ascii="Calibri" w:hAnsi="Calibri" w:cs="Calibri"/>
        </w:rPr>
      </w:pPr>
    </w:p>
    <w:p w14:paraId="62314688" w14:textId="336D5E90" w:rsidR="00024960" w:rsidRPr="006E11D6" w:rsidRDefault="00024960" w:rsidP="006E11D6">
      <w:pPr>
        <w:pStyle w:val="NormalWeb"/>
        <w:spacing w:before="0" w:beforeAutospacing="0" w:after="0" w:afterAutospacing="0"/>
        <w:jc w:val="both"/>
        <w:rPr>
          <w:rFonts w:ascii="Calibri" w:hAnsi="Calibri" w:cs="Calibri"/>
        </w:rPr>
      </w:pPr>
      <w:r w:rsidRPr="006E11D6">
        <w:rPr>
          <w:rFonts w:ascii="Calibri" w:hAnsi="Calibri" w:cs="Calibri"/>
        </w:rPr>
        <w:t xml:space="preserve">Small, early-stage tumors generally tolerate injection well, and </w:t>
      </w:r>
      <w:r w:rsidRPr="006E11D6">
        <w:rPr>
          <w:rStyle w:val="Strong"/>
          <w:rFonts w:ascii="Calibri" w:hAnsi="Calibri" w:cs="Calibri"/>
          <w:b w:val="0"/>
          <w:bCs w:val="0"/>
        </w:rPr>
        <w:t>leakage is minimal</w:t>
      </w:r>
      <w:r w:rsidRPr="006E11D6">
        <w:rPr>
          <w:rFonts w:ascii="Calibri" w:hAnsi="Calibri" w:cs="Calibri"/>
        </w:rPr>
        <w:t xml:space="preserve"> when the injection is performed correctly. However, as tumors enlarge</w:t>
      </w:r>
      <w:r w:rsidR="00816DE5" w:rsidRPr="006E11D6">
        <w:rPr>
          <w:rFonts w:ascii="Calibri" w:hAnsi="Calibri" w:cs="Calibri"/>
        </w:rPr>
        <w:t>,</w:t>
      </w:r>
      <w:r w:rsidRPr="006E11D6">
        <w:rPr>
          <w:rFonts w:ascii="Calibri" w:hAnsi="Calibri" w:cs="Calibri"/>
        </w:rPr>
        <w:t xml:space="preserve"> particularly in control groups, they may develop </w:t>
      </w:r>
      <w:r w:rsidRPr="006E11D6">
        <w:rPr>
          <w:rStyle w:val="Strong"/>
          <w:rFonts w:ascii="Calibri" w:hAnsi="Calibri" w:cs="Calibri"/>
          <w:b w:val="0"/>
          <w:bCs w:val="0"/>
        </w:rPr>
        <w:t>necrotic centers, ulceration</w:t>
      </w:r>
      <w:r w:rsidRPr="006E11D6">
        <w:rPr>
          <w:rFonts w:ascii="Calibri" w:hAnsi="Calibri" w:cs="Calibri"/>
        </w:rPr>
        <w:t xml:space="preserve">, or areas where the mouse has caused tissue damage. These changes increase the likelihood of </w:t>
      </w:r>
      <w:r w:rsidRPr="006E11D6">
        <w:rPr>
          <w:rStyle w:val="Strong"/>
          <w:rFonts w:ascii="Calibri" w:hAnsi="Calibri" w:cs="Calibri"/>
          <w:b w:val="0"/>
          <w:bCs w:val="0"/>
        </w:rPr>
        <w:t>solution leakage</w:t>
      </w:r>
      <w:r w:rsidRPr="006E11D6">
        <w:rPr>
          <w:rFonts w:ascii="Calibri" w:hAnsi="Calibri" w:cs="Calibri"/>
        </w:rPr>
        <w:t xml:space="preserve"> during injection. In these cases, administer injections </w:t>
      </w:r>
      <w:r w:rsidRPr="006E11D6">
        <w:rPr>
          <w:rStyle w:val="Strong"/>
          <w:rFonts w:ascii="Calibri" w:hAnsi="Calibri" w:cs="Calibri"/>
          <w:b w:val="0"/>
          <w:bCs w:val="0"/>
        </w:rPr>
        <w:t>slowly</w:t>
      </w:r>
      <w:r w:rsidRPr="006E11D6">
        <w:rPr>
          <w:rFonts w:ascii="Calibri" w:hAnsi="Calibri" w:cs="Calibri"/>
        </w:rPr>
        <w:t xml:space="preserve"> and allow </w:t>
      </w:r>
      <w:r w:rsidRPr="006E11D6">
        <w:rPr>
          <w:rStyle w:val="Strong"/>
          <w:rFonts w:ascii="Calibri" w:hAnsi="Calibri" w:cs="Calibri"/>
          <w:b w:val="0"/>
          <w:bCs w:val="0"/>
        </w:rPr>
        <w:t>additional time</w:t>
      </w:r>
      <w:r w:rsidRPr="006E11D6">
        <w:rPr>
          <w:rFonts w:ascii="Calibri" w:hAnsi="Calibri" w:cs="Calibri"/>
        </w:rPr>
        <w:t xml:space="preserve"> before withdrawing the needle to reduce backflow. If the tumor surface contains visible openings or weakened tissue, angle the injection </w:t>
      </w:r>
      <w:r w:rsidRPr="006E11D6">
        <w:rPr>
          <w:rStyle w:val="Strong"/>
          <w:rFonts w:ascii="Calibri" w:hAnsi="Calibri" w:cs="Calibri"/>
          <w:b w:val="0"/>
          <w:bCs w:val="0"/>
        </w:rPr>
        <w:t>into the side of the tumor</w:t>
      </w:r>
      <w:r w:rsidRPr="006E11D6">
        <w:rPr>
          <w:rFonts w:ascii="Calibri" w:hAnsi="Calibri" w:cs="Calibri"/>
        </w:rPr>
        <w:t xml:space="preserve">, positioning the needle </w:t>
      </w:r>
      <w:r w:rsidRPr="006E11D6">
        <w:rPr>
          <w:rStyle w:val="Strong"/>
          <w:rFonts w:ascii="Calibri" w:hAnsi="Calibri" w:cs="Calibri"/>
          <w:b w:val="0"/>
          <w:bCs w:val="0"/>
        </w:rPr>
        <w:t>closer to the tumor-skin interface</w:t>
      </w:r>
      <w:r w:rsidRPr="006E11D6">
        <w:rPr>
          <w:rFonts w:ascii="Calibri" w:hAnsi="Calibri" w:cs="Calibri"/>
        </w:rPr>
        <w:t xml:space="preserve">. This </w:t>
      </w:r>
      <w:r w:rsidRPr="006E11D6">
        <w:rPr>
          <w:rFonts w:ascii="Calibri" w:hAnsi="Calibri" w:cs="Calibri"/>
        </w:rPr>
        <w:lastRenderedPageBreak/>
        <w:t>approach helps ensure that the treatment remains within the tumor mass and minimizes loss of material.</w:t>
      </w:r>
    </w:p>
    <w:p w14:paraId="14034ABD" w14:textId="77777777" w:rsidR="00567512" w:rsidRPr="006E11D6" w:rsidRDefault="00567512" w:rsidP="006E11D6">
      <w:pPr>
        <w:pStyle w:val="NormalWeb"/>
        <w:spacing w:before="0" w:beforeAutospacing="0" w:after="0" w:afterAutospacing="0"/>
        <w:jc w:val="both"/>
        <w:rPr>
          <w:rFonts w:ascii="Calibri" w:hAnsi="Calibri" w:cs="Calibri"/>
        </w:rPr>
      </w:pPr>
    </w:p>
    <w:p w14:paraId="6C09EAD7" w14:textId="4D17EA80" w:rsidR="00465F82" w:rsidRPr="006E11D6" w:rsidRDefault="00465F82" w:rsidP="006E11D6">
      <w:r w:rsidRPr="006E11D6">
        <w:t xml:space="preserve">With growing interest in </w:t>
      </w:r>
      <w:r w:rsidRPr="006E11D6">
        <w:rPr>
          <w:rStyle w:val="Strong"/>
          <w:b w:val="0"/>
          <w:bCs w:val="0"/>
        </w:rPr>
        <w:t>intratumoral immunotherapy</w:t>
      </w:r>
      <w:r w:rsidRPr="006E11D6">
        <w:t xml:space="preserve">, proficiency in </w:t>
      </w:r>
      <w:r w:rsidRPr="006E11D6">
        <w:rPr>
          <w:rStyle w:val="Strong"/>
          <w:b w:val="0"/>
          <w:bCs w:val="0"/>
        </w:rPr>
        <w:t>intradermal (ID) injection</w:t>
      </w:r>
      <w:r w:rsidRPr="006E11D6">
        <w:t xml:space="preserve"> techniques can benefit many research laboratories developing new treatments. Intradermal delivery is also gaining attention beyond immunotherapy</w:t>
      </w:r>
      <w:r w:rsidR="00816DE5" w:rsidRPr="006E11D6">
        <w:t>,</w:t>
      </w:r>
      <w:r w:rsidRPr="006E11D6">
        <w:t xml:space="preserve"> such as in vaccine studies. The skin contains a high density of </w:t>
      </w:r>
      <w:r w:rsidRPr="006E11D6">
        <w:rPr>
          <w:rStyle w:val="Strong"/>
          <w:b w:val="0"/>
          <w:bCs w:val="0"/>
        </w:rPr>
        <w:t>antigen-presenting cells</w:t>
      </w:r>
      <w:r w:rsidRPr="006E11D6">
        <w:t xml:space="preserve">, and ID delivery can stimulate local innate immune responses, leading to the release of </w:t>
      </w:r>
      <w:r w:rsidRPr="006E11D6">
        <w:rPr>
          <w:rStyle w:val="Strong"/>
          <w:b w:val="0"/>
          <w:bCs w:val="0"/>
        </w:rPr>
        <w:t>chemokines and cytokines</w:t>
      </w:r>
      <w:sdt>
        <w:sdtPr>
          <w:rPr>
            <w:rStyle w:val="Strong"/>
            <w:b w:val="0"/>
            <w:bCs w:val="0"/>
            <w:color w:val="000000"/>
            <w:vertAlign w:val="superscript"/>
          </w:rPr>
          <w:tag w:val="MENDELEY_CITATION_v3_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"/>
          <w:id w:val="1607931875"/>
          <w:placeholder>
            <w:docPart w:val="DefaultPlaceholder_-1854013440"/>
          </w:placeholder>
        </w:sdtPr>
        <w:sdtContent>
          <w:r w:rsidR="00AF59B5" w:rsidRPr="006E11D6">
            <w:rPr>
              <w:rStyle w:val="Strong"/>
              <w:b w:val="0"/>
              <w:bCs w:val="0"/>
              <w:color w:val="000000"/>
              <w:vertAlign w:val="superscript"/>
            </w:rPr>
            <w:t>9,10</w:t>
          </w:r>
        </w:sdtContent>
      </w:sdt>
      <w:r w:rsidRPr="006E11D6">
        <w:t xml:space="preserve">. Despite these advantages, many vaccines are still administered </w:t>
      </w:r>
      <w:r w:rsidRPr="006E11D6">
        <w:rPr>
          <w:rStyle w:val="Strong"/>
          <w:b w:val="0"/>
          <w:bCs w:val="0"/>
        </w:rPr>
        <w:t>subcutaneously</w:t>
      </w:r>
      <w:r w:rsidRPr="006E11D6">
        <w:t xml:space="preserve"> because the technique is simpler. In clinical settings, intradermal injections are typically performed using the </w:t>
      </w:r>
      <w:r w:rsidRPr="006E11D6">
        <w:rPr>
          <w:rStyle w:val="Strong"/>
          <w:b w:val="0"/>
          <w:bCs w:val="0"/>
        </w:rPr>
        <w:t>Mantoux technique</w:t>
      </w:r>
      <w:r w:rsidRPr="006E11D6">
        <w:t>, which requires specialized training and can vary between practitioners</w:t>
      </w:r>
      <w:sdt>
        <w:sdtPr>
          <w:rPr>
            <w:color w:val="000000"/>
            <w:vertAlign w:val="superscript"/>
          </w:rPr>
          <w:tag w:val="MENDELEY_CITATION_v3_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"/>
          <w:id w:val="1676995842"/>
          <w:placeholder>
            <w:docPart w:val="DefaultPlaceholder_-1854013440"/>
          </w:placeholder>
        </w:sdtPr>
        <w:sdtContent>
          <w:r w:rsidR="00AF59B5" w:rsidRPr="006E11D6">
            <w:rPr>
              <w:color w:val="000000"/>
              <w:vertAlign w:val="superscript"/>
            </w:rPr>
            <w:t>10</w:t>
          </w:r>
        </w:sdtContent>
      </w:sdt>
      <w:r w:rsidRPr="006E11D6">
        <w:t>. Nevertheless, interest in ID delivery continues to grow, and several vaccines</w:t>
      </w:r>
      <w:r w:rsidR="00AD273D" w:rsidRPr="006E11D6">
        <w:t>,</w:t>
      </w:r>
      <w:r w:rsidRPr="006E11D6">
        <w:t xml:space="preserve"> such as </w:t>
      </w:r>
      <w:r w:rsidRPr="006E11D6">
        <w:rPr>
          <w:rStyle w:val="Strong"/>
          <w:b w:val="0"/>
          <w:bCs w:val="0"/>
        </w:rPr>
        <w:t>influenza</w:t>
      </w:r>
      <w:r w:rsidRPr="006E11D6">
        <w:t xml:space="preserve"> and </w:t>
      </w:r>
      <w:r w:rsidRPr="006E11D6">
        <w:rPr>
          <w:rStyle w:val="Strong"/>
          <w:b w:val="0"/>
          <w:bCs w:val="0"/>
        </w:rPr>
        <w:t>hepatitis A/B</w:t>
      </w:r>
      <w:r w:rsidR="00AD273D" w:rsidRPr="006E11D6">
        <w:rPr>
          <w:rStyle w:val="Strong"/>
          <w:b w:val="0"/>
          <w:bCs w:val="0"/>
        </w:rPr>
        <w:t>,</w:t>
      </w:r>
      <w:r w:rsidRPr="006E11D6">
        <w:t xml:space="preserve"> are being explored or adapted for intradermal administration</w:t>
      </w:r>
      <w:sdt>
        <w:sdtPr>
          <w:rPr>
            <w:color w:val="000000"/>
            <w:vertAlign w:val="superscript"/>
          </w:rPr>
          <w:tag w:val="MENDELEY_CITATION_v3_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"/>
          <w:id w:val="-113135434"/>
          <w:placeholder>
            <w:docPart w:val="DefaultPlaceholder_-1854013440"/>
          </w:placeholder>
        </w:sdtPr>
        <w:sdtContent>
          <w:r w:rsidR="00AF59B5" w:rsidRPr="006E11D6">
            <w:rPr>
              <w:color w:val="000000"/>
              <w:vertAlign w:val="superscript"/>
            </w:rPr>
            <w:t>9,11</w:t>
          </w:r>
        </w:sdtContent>
      </w:sdt>
      <w:r w:rsidRPr="006E11D6">
        <w:t>.</w:t>
      </w:r>
    </w:p>
    <w:p w14:paraId="139E9C04" w14:textId="77777777" w:rsidR="00340830" w:rsidRPr="006E11D6" w:rsidRDefault="00340830" w:rsidP="006E11D6">
      <w:pPr>
        <w:pStyle w:val="NormalWeb"/>
        <w:spacing w:before="0" w:beforeAutospacing="0" w:after="0" w:afterAutospacing="0"/>
        <w:jc w:val="both"/>
        <w:rPr>
          <w:rFonts w:ascii="Calibri" w:hAnsi="Calibri" w:cs="Calibri"/>
        </w:rPr>
      </w:pPr>
    </w:p>
    <w:p w14:paraId="46D3F45C" w14:textId="77777777" w:rsidR="00340830" w:rsidRPr="006E11D6" w:rsidRDefault="00340830" w:rsidP="006E11D6">
      <w:pPr>
        <w:pBdr>
          <w:top w:val="nil"/>
          <w:left w:val="nil"/>
          <w:bottom w:val="nil"/>
          <w:right w:val="nil"/>
          <w:between w:val="nil"/>
        </w:pBdr>
        <w:rPr>
          <w:color w:val="808080"/>
        </w:rPr>
      </w:pPr>
      <w:r w:rsidRPr="006E11D6">
        <w:rPr>
          <w:b/>
          <w:color w:val="000000"/>
        </w:rPr>
        <w:t>ACKNOWLEDGMENTS:</w:t>
      </w:r>
    </w:p>
    <w:p w14:paraId="4C523C05" w14:textId="29C54CFC" w:rsidR="00340830" w:rsidRPr="006E11D6" w:rsidRDefault="00340830" w:rsidP="006E11D6">
      <w:pPr>
        <w:pStyle w:val="p1"/>
        <w:jc w:val="both"/>
        <w:rPr>
          <w:rFonts w:ascii="Calibri" w:hAnsi="Calibri" w:cs="Calibri"/>
          <w:sz w:val="24"/>
          <w:szCs w:val="24"/>
        </w:rPr>
      </w:pPr>
      <w:r w:rsidRPr="006E11D6">
        <w:rPr>
          <w:rFonts w:ascii="Calibri" w:hAnsi="Calibri" w:cs="Calibri"/>
          <w:sz w:val="24"/>
          <w:szCs w:val="24"/>
        </w:rPr>
        <w:t>AS acknowledges the Immunology Training Grant</w:t>
      </w:r>
      <w:r w:rsidR="001A11F3" w:rsidRPr="006E11D6">
        <w:rPr>
          <w:rFonts w:ascii="Calibri" w:hAnsi="Calibri" w:cs="Calibri"/>
          <w:sz w:val="24"/>
          <w:szCs w:val="24"/>
        </w:rPr>
        <w:t>,</w:t>
      </w:r>
      <w:r w:rsidRPr="006E11D6">
        <w:rPr>
          <w:rFonts w:ascii="Calibri" w:hAnsi="Calibri" w:cs="Calibri"/>
          <w:sz w:val="24"/>
          <w:szCs w:val="24"/>
        </w:rPr>
        <w:t xml:space="preserve"> T32 AI007363. </w:t>
      </w:r>
      <w:r w:rsidRPr="006E11D6">
        <w:rPr>
          <w:rFonts w:ascii="Calibri" w:hAnsi="Calibri" w:cs="Calibri"/>
          <w:bCs/>
          <w:sz w:val="24"/>
          <w:szCs w:val="24"/>
        </w:rPr>
        <w:t>KSK gratefully acknowledges the Schlumberger Foundation for supporting her through the Faculty for the Future program.</w:t>
      </w:r>
    </w:p>
    <w:p w14:paraId="0F5656A9" w14:textId="77777777" w:rsidR="0027316A" w:rsidRPr="006E11D6" w:rsidRDefault="0027316A" w:rsidP="006E11D6"/>
    <w:p w14:paraId="5DC5EBE1" w14:textId="77777777" w:rsidR="00340830" w:rsidRPr="006E11D6" w:rsidRDefault="00340830" w:rsidP="006E11D6">
      <w:pPr>
        <w:pBdr>
          <w:top w:val="nil"/>
          <w:left w:val="nil"/>
          <w:bottom w:val="nil"/>
          <w:right w:val="nil"/>
          <w:between w:val="nil"/>
        </w:pBdr>
        <w:rPr>
          <w:color w:val="808080"/>
        </w:rPr>
      </w:pPr>
      <w:r w:rsidRPr="006E11D6">
        <w:rPr>
          <w:b/>
          <w:color w:val="000000"/>
        </w:rPr>
        <w:t>DISCLOSURES:</w:t>
      </w:r>
    </w:p>
    <w:p w14:paraId="0CF6F97F" w14:textId="77777777" w:rsidR="00340830" w:rsidRPr="006E11D6" w:rsidRDefault="00340830" w:rsidP="006E11D6">
      <w:r w:rsidRPr="006E11D6">
        <w:t xml:space="preserve">The authors have no conflicts of interest to disclose. </w:t>
      </w:r>
    </w:p>
    <w:p w14:paraId="79CE400B" w14:textId="77777777" w:rsidR="00340830" w:rsidRPr="006E11D6" w:rsidRDefault="00340830" w:rsidP="006E11D6">
      <w:pPr>
        <w:rPr>
          <w:color w:val="000000"/>
        </w:rPr>
      </w:pPr>
    </w:p>
    <w:p w14:paraId="4EA02AD8" w14:textId="520A0543" w:rsidR="00535DCE" w:rsidRPr="006E11D6" w:rsidRDefault="00340830" w:rsidP="006E11D6">
      <w:pPr>
        <w:rPr>
          <w:color w:val="0000FF"/>
          <w:u w:val="single"/>
        </w:rPr>
      </w:pPr>
      <w:r w:rsidRPr="006E11D6">
        <w:rPr>
          <w:b/>
        </w:rPr>
        <w:t>REFERENCES:</w:t>
      </w:r>
      <w:r w:rsidRPr="006E11D6">
        <w:rPr>
          <w:color w:val="0000FF"/>
          <w:u w:val="single"/>
        </w:rPr>
        <w:t xml:space="preserve"> </w:t>
      </w:r>
    </w:p>
    <w:p w14:paraId="5AC1BA72" w14:textId="099EF7DE" w:rsidR="00B32BCA" w:rsidRPr="006E11D6" w:rsidRDefault="00B32BCA" w:rsidP="006E11D6">
      <w:pPr>
        <w:pStyle w:val="ListParagraph"/>
        <w:numPr>
          <w:ilvl w:val="0"/>
          <w:numId w:val="30"/>
        </w:numPr>
        <w:spacing w:after="0" w:line="240" w:lineRule="auto"/>
        <w:ind w:left="0" w:firstLine="0"/>
        <w:jc w:val="both"/>
        <w:rPr>
          <w:rFonts w:ascii="Calibri" w:eastAsia="Times New Roman" w:hAnsi="Calibri" w:cs="Calibri"/>
          <w:sz w:val="24"/>
          <w:szCs w:val="24"/>
          <w:lang w:val="en-IN" w:eastAsia="en-IN"/>
        </w:rPr>
      </w:pPr>
      <w:r w:rsidRPr="006E11D6">
        <w:rPr>
          <w:rFonts w:ascii="Calibri" w:eastAsia="Times New Roman" w:hAnsi="Calibri" w:cs="Calibri"/>
          <w:sz w:val="24"/>
          <w:szCs w:val="24"/>
          <w:lang w:val="en-IN" w:eastAsia="en-IN"/>
        </w:rPr>
        <w:t xml:space="preserve">Zhang W, Moore L, Ji P. Mouse models for cancer research. Chin J Cancer. 2011;30(3):149–152. </w:t>
      </w:r>
    </w:p>
    <w:p w14:paraId="551A89B8" w14:textId="2216D48D" w:rsidR="00B32BCA" w:rsidRPr="006E11D6" w:rsidRDefault="00B32BCA" w:rsidP="006E11D6">
      <w:pPr>
        <w:pStyle w:val="ListParagraph"/>
        <w:numPr>
          <w:ilvl w:val="0"/>
          <w:numId w:val="30"/>
        </w:numPr>
        <w:spacing w:after="0" w:line="240" w:lineRule="auto"/>
        <w:ind w:left="0" w:firstLine="0"/>
        <w:jc w:val="both"/>
        <w:rPr>
          <w:rFonts w:ascii="Calibri" w:eastAsia="Times New Roman" w:hAnsi="Calibri" w:cs="Calibri"/>
          <w:sz w:val="24"/>
          <w:szCs w:val="24"/>
          <w:lang w:val="en-IN" w:eastAsia="en-IN"/>
        </w:rPr>
      </w:pPr>
      <w:proofErr w:type="spellStart"/>
      <w:r w:rsidRPr="006E11D6">
        <w:rPr>
          <w:rFonts w:ascii="Calibri" w:eastAsia="Times New Roman" w:hAnsi="Calibri" w:cs="Calibri"/>
          <w:sz w:val="24"/>
          <w:szCs w:val="24"/>
          <w:lang w:val="en-IN" w:eastAsia="en-IN"/>
        </w:rPr>
        <w:t>Silihe</w:t>
      </w:r>
      <w:proofErr w:type="spellEnd"/>
      <w:r w:rsidRPr="006E11D6">
        <w:rPr>
          <w:rFonts w:ascii="Calibri" w:eastAsia="Times New Roman" w:hAnsi="Calibri" w:cs="Calibri"/>
          <w:sz w:val="24"/>
          <w:szCs w:val="24"/>
          <w:lang w:val="en-IN" w:eastAsia="en-IN"/>
        </w:rPr>
        <w:t xml:space="preserve"> Kamga K, </w:t>
      </w:r>
      <w:proofErr w:type="spellStart"/>
      <w:r w:rsidRPr="006E11D6">
        <w:rPr>
          <w:rFonts w:ascii="Calibri" w:eastAsia="Times New Roman" w:hAnsi="Calibri" w:cs="Calibri"/>
          <w:sz w:val="24"/>
          <w:szCs w:val="24"/>
          <w:lang w:val="en-IN" w:eastAsia="en-IN"/>
        </w:rPr>
        <w:t>Fiering</w:t>
      </w:r>
      <w:proofErr w:type="spellEnd"/>
      <w:r w:rsidRPr="006E11D6">
        <w:rPr>
          <w:rFonts w:ascii="Calibri" w:eastAsia="Times New Roman" w:hAnsi="Calibri" w:cs="Calibri"/>
          <w:sz w:val="24"/>
          <w:szCs w:val="24"/>
          <w:lang w:val="en-IN" w:eastAsia="en-IN"/>
        </w:rPr>
        <w:t xml:space="preserve"> S. Intratumoral immunotherapy prior to cancer surgery a promising therapeutic approach. Front Immunol. 2025;16: </w:t>
      </w:r>
      <w:r w:rsidR="00095CAC" w:rsidRPr="006E11D6">
        <w:rPr>
          <w:rFonts w:ascii="Calibri" w:eastAsia="Times New Roman" w:hAnsi="Calibri" w:cs="Calibri"/>
          <w:sz w:val="24"/>
          <w:szCs w:val="24"/>
          <w:lang w:val="en-IN" w:eastAsia="en-IN"/>
        </w:rPr>
        <w:t>1545000</w:t>
      </w:r>
      <w:r w:rsidRPr="006E11D6">
        <w:rPr>
          <w:rFonts w:ascii="Calibri" w:eastAsia="Times New Roman" w:hAnsi="Calibri" w:cs="Calibri"/>
          <w:sz w:val="24"/>
          <w:szCs w:val="24"/>
          <w:lang w:val="en-IN" w:eastAsia="en-IN"/>
        </w:rPr>
        <w:t xml:space="preserve">. </w:t>
      </w:r>
    </w:p>
    <w:p w14:paraId="76223DAB" w14:textId="1DABE324" w:rsidR="00B32BCA" w:rsidRPr="006E11D6" w:rsidRDefault="00B32BCA" w:rsidP="006E11D6">
      <w:pPr>
        <w:pStyle w:val="ListParagraph"/>
        <w:numPr>
          <w:ilvl w:val="0"/>
          <w:numId w:val="30"/>
        </w:numPr>
        <w:spacing w:after="0" w:line="240" w:lineRule="auto"/>
        <w:ind w:left="0" w:firstLine="0"/>
        <w:jc w:val="both"/>
        <w:rPr>
          <w:rFonts w:ascii="Calibri" w:eastAsia="Times New Roman" w:hAnsi="Calibri" w:cs="Calibri"/>
          <w:sz w:val="24"/>
          <w:szCs w:val="24"/>
          <w:lang w:val="en-IN" w:eastAsia="en-IN"/>
        </w:rPr>
      </w:pPr>
      <w:r w:rsidRPr="006E11D6">
        <w:rPr>
          <w:rFonts w:ascii="Calibri" w:eastAsia="Times New Roman" w:hAnsi="Calibri" w:cs="Calibri"/>
          <w:sz w:val="24"/>
          <w:szCs w:val="24"/>
          <w:lang w:val="en-IN" w:eastAsia="en-IN"/>
        </w:rPr>
        <w:t xml:space="preserve">Carlson PM, et al. Depth of </w:t>
      </w:r>
      <w:proofErr w:type="spellStart"/>
      <w:r w:rsidRPr="006E11D6">
        <w:rPr>
          <w:rFonts w:ascii="Calibri" w:eastAsia="Times New Roman" w:hAnsi="Calibri" w:cs="Calibri"/>
          <w:sz w:val="24"/>
          <w:szCs w:val="24"/>
          <w:lang w:val="en-IN" w:eastAsia="en-IN"/>
        </w:rPr>
        <w:t>tumor</w:t>
      </w:r>
      <w:proofErr w:type="spellEnd"/>
      <w:r w:rsidRPr="006E11D6">
        <w:rPr>
          <w:rFonts w:ascii="Calibri" w:eastAsia="Times New Roman" w:hAnsi="Calibri" w:cs="Calibri"/>
          <w:sz w:val="24"/>
          <w:szCs w:val="24"/>
          <w:lang w:val="en-IN" w:eastAsia="en-IN"/>
        </w:rPr>
        <w:t xml:space="preserve"> implantation affects response to in situ vaccination in a syngeneic murine melanoma model. J </w:t>
      </w:r>
      <w:proofErr w:type="spellStart"/>
      <w:r w:rsidRPr="006E11D6">
        <w:rPr>
          <w:rFonts w:ascii="Calibri" w:eastAsia="Times New Roman" w:hAnsi="Calibri" w:cs="Calibri"/>
          <w:sz w:val="24"/>
          <w:szCs w:val="24"/>
          <w:lang w:val="en-IN" w:eastAsia="en-IN"/>
        </w:rPr>
        <w:t>Immunother</w:t>
      </w:r>
      <w:proofErr w:type="spellEnd"/>
      <w:r w:rsidRPr="006E11D6">
        <w:rPr>
          <w:rFonts w:ascii="Calibri" w:eastAsia="Times New Roman" w:hAnsi="Calibri" w:cs="Calibri"/>
          <w:sz w:val="24"/>
          <w:szCs w:val="24"/>
          <w:lang w:val="en-IN" w:eastAsia="en-IN"/>
        </w:rPr>
        <w:t xml:space="preserve"> Cancer. 2021;9(4):</w:t>
      </w:r>
      <w:r w:rsidR="00CC30BD" w:rsidRPr="006E11D6">
        <w:rPr>
          <w:rFonts w:ascii="Calibri" w:eastAsia="Times New Roman" w:hAnsi="Calibri" w:cs="Calibri"/>
          <w:sz w:val="24"/>
          <w:szCs w:val="24"/>
          <w:lang w:val="en-IN" w:eastAsia="en-IN"/>
        </w:rPr>
        <w:t>e002107</w:t>
      </w:r>
      <w:r w:rsidRPr="006E11D6">
        <w:rPr>
          <w:rFonts w:ascii="Calibri" w:eastAsia="Times New Roman" w:hAnsi="Calibri" w:cs="Calibri"/>
          <w:sz w:val="24"/>
          <w:szCs w:val="24"/>
          <w:lang w:val="en-IN" w:eastAsia="en-IN"/>
        </w:rPr>
        <w:t xml:space="preserve">. </w:t>
      </w:r>
    </w:p>
    <w:p w14:paraId="1AA4C38E" w14:textId="5B581F3E" w:rsidR="00B32BCA" w:rsidRPr="006E11D6" w:rsidRDefault="00B32BCA" w:rsidP="006E11D6">
      <w:pPr>
        <w:pStyle w:val="ListParagraph"/>
        <w:numPr>
          <w:ilvl w:val="0"/>
          <w:numId w:val="30"/>
        </w:numPr>
        <w:spacing w:after="0" w:line="240" w:lineRule="auto"/>
        <w:ind w:left="0" w:firstLine="0"/>
        <w:jc w:val="both"/>
        <w:rPr>
          <w:rFonts w:ascii="Calibri" w:eastAsia="Times New Roman" w:hAnsi="Calibri" w:cs="Calibri"/>
          <w:sz w:val="24"/>
          <w:szCs w:val="24"/>
          <w:lang w:val="en-IN" w:eastAsia="en-IN"/>
        </w:rPr>
      </w:pPr>
      <w:proofErr w:type="spellStart"/>
      <w:r w:rsidRPr="006E11D6">
        <w:rPr>
          <w:rFonts w:ascii="Calibri" w:eastAsia="Times New Roman" w:hAnsi="Calibri" w:cs="Calibri"/>
          <w:sz w:val="24"/>
          <w:szCs w:val="24"/>
          <w:lang w:val="en-IN" w:eastAsia="en-IN"/>
        </w:rPr>
        <w:t>Bonnotte</w:t>
      </w:r>
      <w:proofErr w:type="spellEnd"/>
      <w:r w:rsidRPr="006E11D6">
        <w:rPr>
          <w:rFonts w:ascii="Calibri" w:eastAsia="Times New Roman" w:hAnsi="Calibri" w:cs="Calibri"/>
          <w:sz w:val="24"/>
          <w:szCs w:val="24"/>
          <w:lang w:val="en-IN" w:eastAsia="en-IN"/>
        </w:rPr>
        <w:t xml:space="preserve"> B, et al. Intradermal injection as opposed to subcutaneous injection enhances immunogenicity and suppresses tumorigenicity of </w:t>
      </w:r>
      <w:proofErr w:type="spellStart"/>
      <w:r w:rsidRPr="006E11D6">
        <w:rPr>
          <w:rFonts w:ascii="Calibri" w:eastAsia="Times New Roman" w:hAnsi="Calibri" w:cs="Calibri"/>
          <w:sz w:val="24"/>
          <w:szCs w:val="24"/>
          <w:lang w:val="en-IN" w:eastAsia="en-IN"/>
        </w:rPr>
        <w:t>tumor</w:t>
      </w:r>
      <w:proofErr w:type="spellEnd"/>
      <w:r w:rsidRPr="006E11D6">
        <w:rPr>
          <w:rFonts w:ascii="Calibri" w:eastAsia="Times New Roman" w:hAnsi="Calibri" w:cs="Calibri"/>
          <w:sz w:val="24"/>
          <w:szCs w:val="24"/>
          <w:lang w:val="en-IN" w:eastAsia="en-IN"/>
        </w:rPr>
        <w:t xml:space="preserve"> cells. Cancer Res. 2003;63(9):2145–2149. </w:t>
      </w:r>
    </w:p>
    <w:p w14:paraId="3DEEF0EF" w14:textId="01C109DF" w:rsidR="00B32BCA" w:rsidRPr="006E11D6" w:rsidRDefault="00B32BCA" w:rsidP="006E11D6">
      <w:pPr>
        <w:pStyle w:val="ListParagraph"/>
        <w:numPr>
          <w:ilvl w:val="0"/>
          <w:numId w:val="30"/>
        </w:numPr>
        <w:spacing w:after="0" w:line="240" w:lineRule="auto"/>
        <w:ind w:left="0" w:firstLine="0"/>
        <w:jc w:val="both"/>
        <w:rPr>
          <w:rFonts w:ascii="Calibri" w:eastAsia="Times New Roman" w:hAnsi="Calibri" w:cs="Calibri"/>
          <w:sz w:val="24"/>
          <w:szCs w:val="24"/>
          <w:lang w:val="en-IN" w:eastAsia="en-IN"/>
        </w:rPr>
      </w:pPr>
      <w:r w:rsidRPr="006E11D6">
        <w:rPr>
          <w:rFonts w:ascii="Calibri" w:eastAsia="Times New Roman" w:hAnsi="Calibri" w:cs="Calibri"/>
          <w:sz w:val="24"/>
          <w:szCs w:val="24"/>
          <w:lang w:val="en-IN" w:eastAsia="en-IN"/>
        </w:rPr>
        <w:t xml:space="preserve">Garber JC, et al. Guide for the care and use of laboratory animals. 8th ed. Washington (DC): National Academies Press; 2011. </w:t>
      </w:r>
    </w:p>
    <w:p w14:paraId="129DCC35" w14:textId="6C970F94" w:rsidR="00B32BCA" w:rsidRPr="006E11D6" w:rsidRDefault="00B32BCA" w:rsidP="006E11D6">
      <w:pPr>
        <w:pStyle w:val="ListParagraph"/>
        <w:numPr>
          <w:ilvl w:val="0"/>
          <w:numId w:val="30"/>
        </w:numPr>
        <w:spacing w:after="0" w:line="240" w:lineRule="auto"/>
        <w:ind w:left="0" w:firstLine="0"/>
        <w:jc w:val="both"/>
        <w:rPr>
          <w:rFonts w:ascii="Calibri" w:eastAsia="Times New Roman" w:hAnsi="Calibri" w:cs="Calibri"/>
          <w:sz w:val="24"/>
          <w:szCs w:val="24"/>
          <w:lang w:val="en-IN" w:eastAsia="en-IN"/>
        </w:rPr>
      </w:pPr>
      <w:r w:rsidRPr="006E11D6">
        <w:rPr>
          <w:rFonts w:ascii="Calibri" w:eastAsia="Times New Roman" w:hAnsi="Calibri" w:cs="Calibri"/>
          <w:sz w:val="24"/>
          <w:szCs w:val="24"/>
          <w:lang w:val="en-IN" w:eastAsia="en-IN"/>
        </w:rPr>
        <w:t xml:space="preserve">Ya Z, Hailemichael Y, </w:t>
      </w:r>
      <w:proofErr w:type="spellStart"/>
      <w:r w:rsidRPr="006E11D6">
        <w:rPr>
          <w:rFonts w:ascii="Calibri" w:eastAsia="Times New Roman" w:hAnsi="Calibri" w:cs="Calibri"/>
          <w:sz w:val="24"/>
          <w:szCs w:val="24"/>
          <w:lang w:val="en-IN" w:eastAsia="en-IN"/>
        </w:rPr>
        <w:t>Overwijk</w:t>
      </w:r>
      <w:proofErr w:type="spellEnd"/>
      <w:r w:rsidRPr="006E11D6">
        <w:rPr>
          <w:rFonts w:ascii="Calibri" w:eastAsia="Times New Roman" w:hAnsi="Calibri" w:cs="Calibri"/>
          <w:sz w:val="24"/>
          <w:szCs w:val="24"/>
          <w:lang w:val="en-IN" w:eastAsia="en-IN"/>
        </w:rPr>
        <w:t xml:space="preserve"> W, Restifo NP. Mouse model for pre-clinical study of human cancer immunotherapy. Curr </w:t>
      </w:r>
      <w:proofErr w:type="spellStart"/>
      <w:r w:rsidRPr="006E11D6">
        <w:rPr>
          <w:rFonts w:ascii="Calibri" w:eastAsia="Times New Roman" w:hAnsi="Calibri" w:cs="Calibri"/>
          <w:sz w:val="24"/>
          <w:szCs w:val="24"/>
          <w:lang w:val="en-IN" w:eastAsia="en-IN"/>
        </w:rPr>
        <w:t>Protoc</w:t>
      </w:r>
      <w:proofErr w:type="spellEnd"/>
      <w:r w:rsidRPr="006E11D6">
        <w:rPr>
          <w:rFonts w:ascii="Calibri" w:eastAsia="Times New Roman" w:hAnsi="Calibri" w:cs="Calibri"/>
          <w:sz w:val="24"/>
          <w:szCs w:val="24"/>
          <w:lang w:val="en-IN" w:eastAsia="en-IN"/>
        </w:rPr>
        <w:t xml:space="preserve"> Immunol. 2015;109:20.1.1–20.1.43. </w:t>
      </w:r>
    </w:p>
    <w:p w14:paraId="4AAFB664" w14:textId="4C4D9610" w:rsidR="00B32BCA" w:rsidRPr="006E11D6" w:rsidRDefault="00B32BCA" w:rsidP="006E11D6">
      <w:pPr>
        <w:pStyle w:val="ListParagraph"/>
        <w:numPr>
          <w:ilvl w:val="0"/>
          <w:numId w:val="30"/>
        </w:numPr>
        <w:spacing w:after="0" w:line="240" w:lineRule="auto"/>
        <w:ind w:left="0" w:firstLine="0"/>
        <w:jc w:val="both"/>
        <w:rPr>
          <w:rFonts w:ascii="Calibri" w:eastAsia="Times New Roman" w:hAnsi="Calibri" w:cs="Calibri"/>
          <w:sz w:val="24"/>
          <w:szCs w:val="24"/>
          <w:lang w:val="en-IN" w:eastAsia="en-IN"/>
        </w:rPr>
      </w:pPr>
      <w:r w:rsidRPr="006E11D6">
        <w:rPr>
          <w:rFonts w:ascii="Calibri" w:eastAsia="Times New Roman" w:hAnsi="Calibri" w:cs="Calibri"/>
          <w:sz w:val="24"/>
          <w:szCs w:val="24"/>
          <w:lang w:val="en-IN" w:eastAsia="en-IN"/>
        </w:rPr>
        <w:t xml:space="preserve">Mao C, </w:t>
      </w:r>
      <w:proofErr w:type="spellStart"/>
      <w:r w:rsidRPr="006E11D6">
        <w:rPr>
          <w:rFonts w:ascii="Calibri" w:eastAsia="Times New Roman" w:hAnsi="Calibri" w:cs="Calibri"/>
          <w:sz w:val="24"/>
          <w:szCs w:val="24"/>
          <w:lang w:val="en-IN" w:eastAsia="en-IN"/>
        </w:rPr>
        <w:t>Beiss</w:t>
      </w:r>
      <w:proofErr w:type="spellEnd"/>
      <w:r w:rsidRPr="006E11D6">
        <w:rPr>
          <w:rFonts w:ascii="Calibri" w:eastAsia="Times New Roman" w:hAnsi="Calibri" w:cs="Calibri"/>
          <w:sz w:val="24"/>
          <w:szCs w:val="24"/>
          <w:lang w:val="en-IN" w:eastAsia="en-IN"/>
        </w:rPr>
        <w:t xml:space="preserve"> V, Ho GW, Fields J, Steinmetz NF, </w:t>
      </w:r>
      <w:proofErr w:type="spellStart"/>
      <w:r w:rsidRPr="006E11D6">
        <w:rPr>
          <w:rFonts w:ascii="Calibri" w:eastAsia="Times New Roman" w:hAnsi="Calibri" w:cs="Calibri"/>
          <w:sz w:val="24"/>
          <w:szCs w:val="24"/>
          <w:lang w:val="en-IN" w:eastAsia="en-IN"/>
        </w:rPr>
        <w:t>Fiering</w:t>
      </w:r>
      <w:proofErr w:type="spellEnd"/>
      <w:r w:rsidRPr="006E11D6">
        <w:rPr>
          <w:rFonts w:ascii="Calibri" w:eastAsia="Times New Roman" w:hAnsi="Calibri" w:cs="Calibri"/>
          <w:sz w:val="24"/>
          <w:szCs w:val="24"/>
          <w:lang w:val="en-IN" w:eastAsia="en-IN"/>
        </w:rPr>
        <w:t xml:space="preserve"> S. </w:t>
      </w:r>
      <w:r w:rsidRPr="006E11D6">
        <w:rPr>
          <w:rFonts w:ascii="Calibri" w:eastAsia="Times New Roman" w:hAnsi="Calibri" w:cs="Calibri"/>
          <w:i/>
          <w:iCs/>
          <w:sz w:val="24"/>
          <w:szCs w:val="24"/>
          <w:lang w:val="en-IN" w:eastAsia="en-IN"/>
        </w:rPr>
        <w:t>In situ</w:t>
      </w:r>
      <w:r w:rsidRPr="006E11D6">
        <w:rPr>
          <w:rFonts w:ascii="Calibri" w:eastAsia="Times New Roman" w:hAnsi="Calibri" w:cs="Calibri"/>
          <w:sz w:val="24"/>
          <w:szCs w:val="24"/>
          <w:lang w:val="en-IN" w:eastAsia="en-IN"/>
        </w:rPr>
        <w:t xml:space="preserve"> vaccination with cowpea mosaic virus elicits systemic antitumor immunity and potentiates immune checkpoint blockade. J </w:t>
      </w:r>
      <w:proofErr w:type="spellStart"/>
      <w:r w:rsidRPr="006E11D6">
        <w:rPr>
          <w:rFonts w:ascii="Calibri" w:eastAsia="Times New Roman" w:hAnsi="Calibri" w:cs="Calibri"/>
          <w:sz w:val="24"/>
          <w:szCs w:val="24"/>
          <w:lang w:val="en-IN" w:eastAsia="en-IN"/>
        </w:rPr>
        <w:t>Immunother</w:t>
      </w:r>
      <w:proofErr w:type="spellEnd"/>
      <w:r w:rsidRPr="006E11D6">
        <w:rPr>
          <w:rFonts w:ascii="Calibri" w:eastAsia="Times New Roman" w:hAnsi="Calibri" w:cs="Calibri"/>
          <w:sz w:val="24"/>
          <w:szCs w:val="24"/>
          <w:lang w:val="en-IN" w:eastAsia="en-IN"/>
        </w:rPr>
        <w:t xml:space="preserve"> Cancer. 2022;10(12):</w:t>
      </w:r>
      <w:r w:rsidR="00B37C7B" w:rsidRPr="006E11D6">
        <w:rPr>
          <w:rFonts w:ascii="Calibri" w:eastAsia="Times New Roman" w:hAnsi="Calibri" w:cs="Calibri"/>
          <w:sz w:val="24"/>
          <w:szCs w:val="24"/>
          <w:lang w:val="en-IN" w:eastAsia="en-IN"/>
        </w:rPr>
        <w:t>e005834</w:t>
      </w:r>
      <w:r w:rsidRPr="006E11D6">
        <w:rPr>
          <w:rFonts w:ascii="Calibri" w:eastAsia="Times New Roman" w:hAnsi="Calibri" w:cs="Calibri"/>
          <w:sz w:val="24"/>
          <w:szCs w:val="24"/>
          <w:lang w:val="en-IN" w:eastAsia="en-IN"/>
        </w:rPr>
        <w:t xml:space="preserve">. </w:t>
      </w:r>
    </w:p>
    <w:p w14:paraId="51F4E974" w14:textId="6607FD5F" w:rsidR="00B32BCA" w:rsidRPr="006E11D6" w:rsidRDefault="00B32BCA" w:rsidP="006E11D6">
      <w:pPr>
        <w:pStyle w:val="ListParagraph"/>
        <w:numPr>
          <w:ilvl w:val="0"/>
          <w:numId w:val="30"/>
        </w:numPr>
        <w:spacing w:after="0" w:line="240" w:lineRule="auto"/>
        <w:ind w:left="0" w:firstLine="0"/>
        <w:jc w:val="both"/>
        <w:rPr>
          <w:rFonts w:ascii="Calibri" w:eastAsia="Times New Roman" w:hAnsi="Calibri" w:cs="Calibri"/>
          <w:sz w:val="24"/>
          <w:szCs w:val="24"/>
          <w:lang w:val="en-IN" w:eastAsia="en-IN"/>
        </w:rPr>
      </w:pPr>
      <w:r w:rsidRPr="006E11D6">
        <w:rPr>
          <w:rFonts w:ascii="Calibri" w:eastAsia="Times New Roman" w:hAnsi="Calibri" w:cs="Calibri"/>
          <w:sz w:val="24"/>
          <w:szCs w:val="24"/>
          <w:lang w:val="en-IN" w:eastAsia="en-IN"/>
        </w:rPr>
        <w:t>Ho GW, et al. Intratumoral expression of IL-12 and CD40 ligand (CD154) from plasmids generates antitumor responses that eliminate tumoral T regs. Sci Rep. 2025;15(1):</w:t>
      </w:r>
      <w:r w:rsidR="00832CFB" w:rsidRPr="006E11D6">
        <w:rPr>
          <w:rFonts w:ascii="Calibri" w:eastAsia="Times New Roman" w:hAnsi="Calibri" w:cs="Calibri"/>
          <w:sz w:val="24"/>
          <w:szCs w:val="24"/>
          <w:lang w:val="en-IN" w:eastAsia="en-IN"/>
        </w:rPr>
        <w:t>24439</w:t>
      </w:r>
      <w:r w:rsidRPr="006E11D6">
        <w:rPr>
          <w:rFonts w:ascii="Calibri" w:eastAsia="Times New Roman" w:hAnsi="Calibri" w:cs="Calibri"/>
          <w:sz w:val="24"/>
          <w:szCs w:val="24"/>
          <w:lang w:val="en-IN" w:eastAsia="en-IN"/>
        </w:rPr>
        <w:t xml:space="preserve">. </w:t>
      </w:r>
    </w:p>
    <w:p w14:paraId="3BACD9CA" w14:textId="62463253" w:rsidR="00B32BCA" w:rsidRPr="006E11D6" w:rsidRDefault="00B32BCA" w:rsidP="006E11D6">
      <w:pPr>
        <w:pStyle w:val="ListParagraph"/>
        <w:numPr>
          <w:ilvl w:val="0"/>
          <w:numId w:val="30"/>
        </w:numPr>
        <w:spacing w:after="0" w:line="240" w:lineRule="auto"/>
        <w:ind w:left="0" w:firstLine="0"/>
        <w:jc w:val="both"/>
        <w:rPr>
          <w:rFonts w:ascii="Calibri" w:eastAsia="Times New Roman" w:hAnsi="Calibri" w:cs="Calibri"/>
          <w:sz w:val="24"/>
          <w:szCs w:val="24"/>
          <w:lang w:val="en-IN" w:eastAsia="en-IN"/>
        </w:rPr>
      </w:pPr>
      <w:r w:rsidRPr="006E11D6">
        <w:rPr>
          <w:rFonts w:ascii="Calibri" w:eastAsia="Times New Roman" w:hAnsi="Calibri" w:cs="Calibri"/>
          <w:sz w:val="24"/>
          <w:szCs w:val="24"/>
          <w:lang w:val="en-IN" w:eastAsia="en-IN"/>
        </w:rPr>
        <w:t xml:space="preserve">Kim YC, Jarrahian C, Zehrung D, Mitragotri S, </w:t>
      </w:r>
      <w:proofErr w:type="spellStart"/>
      <w:r w:rsidRPr="006E11D6">
        <w:rPr>
          <w:rFonts w:ascii="Calibri" w:eastAsia="Times New Roman" w:hAnsi="Calibri" w:cs="Calibri"/>
          <w:sz w:val="24"/>
          <w:szCs w:val="24"/>
          <w:lang w:val="en-IN" w:eastAsia="en-IN"/>
        </w:rPr>
        <w:t>Prausnitz</w:t>
      </w:r>
      <w:proofErr w:type="spellEnd"/>
      <w:r w:rsidRPr="006E11D6">
        <w:rPr>
          <w:rFonts w:ascii="Calibri" w:eastAsia="Times New Roman" w:hAnsi="Calibri" w:cs="Calibri"/>
          <w:sz w:val="24"/>
          <w:szCs w:val="24"/>
          <w:lang w:val="en-IN" w:eastAsia="en-IN"/>
        </w:rPr>
        <w:t xml:space="preserve"> MR. Delivery systems for intradermal vaccination. Curr Top </w:t>
      </w:r>
      <w:proofErr w:type="spellStart"/>
      <w:r w:rsidRPr="006E11D6">
        <w:rPr>
          <w:rFonts w:ascii="Calibri" w:eastAsia="Times New Roman" w:hAnsi="Calibri" w:cs="Calibri"/>
          <w:sz w:val="24"/>
          <w:szCs w:val="24"/>
          <w:lang w:val="en-IN" w:eastAsia="en-IN"/>
        </w:rPr>
        <w:t>Microbiol</w:t>
      </w:r>
      <w:proofErr w:type="spellEnd"/>
      <w:r w:rsidRPr="006E11D6">
        <w:rPr>
          <w:rFonts w:ascii="Calibri" w:eastAsia="Times New Roman" w:hAnsi="Calibri" w:cs="Calibri"/>
          <w:sz w:val="24"/>
          <w:szCs w:val="24"/>
          <w:lang w:val="en-IN" w:eastAsia="en-IN"/>
        </w:rPr>
        <w:t xml:space="preserve"> Immunol. 2012;351:77–112. </w:t>
      </w:r>
    </w:p>
    <w:p w14:paraId="712BDB45" w14:textId="2600D4DA" w:rsidR="00B32BCA" w:rsidRPr="006E11D6" w:rsidRDefault="00B32BCA" w:rsidP="006E11D6">
      <w:pPr>
        <w:pStyle w:val="ListParagraph"/>
        <w:numPr>
          <w:ilvl w:val="0"/>
          <w:numId w:val="30"/>
        </w:numPr>
        <w:spacing w:after="0" w:line="240" w:lineRule="auto"/>
        <w:ind w:left="0" w:firstLine="0"/>
        <w:jc w:val="both"/>
        <w:rPr>
          <w:rFonts w:ascii="Calibri" w:eastAsia="Times New Roman" w:hAnsi="Calibri" w:cs="Calibri"/>
          <w:sz w:val="24"/>
          <w:szCs w:val="24"/>
          <w:lang w:val="en-IN" w:eastAsia="en-IN"/>
        </w:rPr>
      </w:pPr>
      <w:r w:rsidRPr="006E11D6">
        <w:rPr>
          <w:rFonts w:ascii="Calibri" w:eastAsia="Times New Roman" w:hAnsi="Calibri" w:cs="Calibri"/>
          <w:sz w:val="24"/>
          <w:szCs w:val="24"/>
          <w:lang w:val="en-IN" w:eastAsia="en-IN"/>
        </w:rPr>
        <w:t>Chen X. Emerging adjuvants for intradermal vaccination. Int J Pharm. 2023;632:</w:t>
      </w:r>
      <w:r w:rsidR="004C64B6" w:rsidRPr="006E11D6">
        <w:rPr>
          <w:rFonts w:ascii="Calibri" w:eastAsia="Times New Roman" w:hAnsi="Calibri" w:cs="Calibri"/>
          <w:sz w:val="24"/>
          <w:szCs w:val="24"/>
          <w:lang w:val="en-IN" w:eastAsia="en-IN"/>
        </w:rPr>
        <w:t>122559</w:t>
      </w:r>
      <w:r w:rsidRPr="006E11D6">
        <w:rPr>
          <w:rFonts w:ascii="Calibri" w:eastAsia="Times New Roman" w:hAnsi="Calibri" w:cs="Calibri"/>
          <w:sz w:val="24"/>
          <w:szCs w:val="24"/>
          <w:lang w:val="en-IN" w:eastAsia="en-IN"/>
        </w:rPr>
        <w:t xml:space="preserve">. </w:t>
      </w:r>
    </w:p>
    <w:p w14:paraId="2D107E3A" w14:textId="40F38B4B" w:rsidR="00B32BCA" w:rsidRPr="006E11D6" w:rsidRDefault="00B32BCA" w:rsidP="006E11D6">
      <w:pPr>
        <w:pStyle w:val="ListParagraph"/>
        <w:numPr>
          <w:ilvl w:val="0"/>
          <w:numId w:val="30"/>
        </w:numPr>
        <w:autoSpaceDE w:val="0"/>
        <w:autoSpaceDN w:val="0"/>
        <w:spacing w:after="0" w:line="240" w:lineRule="auto"/>
        <w:ind w:left="0" w:firstLine="0"/>
        <w:jc w:val="both"/>
        <w:rPr>
          <w:rFonts w:ascii="Calibri" w:eastAsia="Times New Roman" w:hAnsi="Calibri" w:cs="Calibri"/>
          <w:color w:val="C0504D" w:themeColor="accent2"/>
          <w:sz w:val="24"/>
          <w:szCs w:val="24"/>
        </w:rPr>
      </w:pPr>
      <w:r w:rsidRPr="006E11D6">
        <w:rPr>
          <w:rFonts w:ascii="Calibri" w:eastAsia="Times New Roman" w:hAnsi="Calibri" w:cs="Calibri"/>
          <w:sz w:val="24"/>
          <w:szCs w:val="24"/>
          <w:lang w:val="en-IN" w:eastAsia="en-IN"/>
        </w:rPr>
        <w:lastRenderedPageBreak/>
        <w:t>Hickling JK, Jones KR, Friede M, Zehrung D, Chen D, Kristensen D. Intradermal delivery of vaccines potential benefits and current challenges. Bull World Health Organ. 2011;89(3):221–226.</w:t>
      </w:r>
    </w:p>
    <w:sectPr w:rsidR="00B32BCA" w:rsidRPr="006E11D6" w:rsidSect="006E11D6">
      <w:headerReference w:type="even" r:id="rId11"/>
      <w:headerReference w:type="default" r:id="rId12"/>
      <w:footerReference w:type="even" r:id="rId13"/>
      <w:headerReference w:type="first" r:id="rId14"/>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0A0EC" w14:textId="77777777" w:rsidR="009B0804" w:rsidRDefault="009B0804">
      <w:r>
        <w:separator/>
      </w:r>
    </w:p>
  </w:endnote>
  <w:endnote w:type="continuationSeparator" w:id="0">
    <w:p w14:paraId="7C475E67" w14:textId="77777777" w:rsidR="009B0804" w:rsidRDefault="009B0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decorative"/>
    <w:pitch w:val="variable"/>
    <w:sig w:usb0="00000000" w:usb1="10000000" w:usb2="00000000" w:usb3="00000000" w:csb0="80000000"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AA90F" w14:textId="77777777" w:rsidR="009B0804" w:rsidRDefault="009B0804">
      <w:r>
        <w:separator/>
      </w:r>
    </w:p>
  </w:footnote>
  <w:footnote w:type="continuationSeparator" w:id="0">
    <w:p w14:paraId="626182EE" w14:textId="77777777" w:rsidR="009B0804" w:rsidRDefault="009B08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13D41694" w:rsidR="006E4797" w:rsidRDefault="00223811">
    <w:pPr>
      <w:pBdr>
        <w:top w:val="nil"/>
        <w:left w:val="nil"/>
        <w:bottom w:val="nil"/>
        <w:right w:val="nil"/>
        <w:between w:val="nil"/>
      </w:pBdr>
      <w:tabs>
        <w:tab w:val="center" w:pos="4680"/>
        <w:tab w:val="right" w:pos="9360"/>
      </w:tabs>
      <w:jc w:val="right"/>
      <w:rPr>
        <w:b/>
        <w:color w:val="1F497D"/>
        <w:sz w:val="32"/>
        <w:szCs w:val="32"/>
      </w:rPr>
    </w:pPr>
    <w:r w:rsidDel="00223811">
      <w:rPr>
        <w:b/>
        <w:color w:val="1F497D"/>
        <w:sz w:val="32"/>
        <w:szCs w:val="32"/>
      </w:rPr>
      <w:t xml:space="preserve"> </w:t>
    </w:r>
    <w:r w:rsidR="00551D82">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4125"/>
    <w:multiLevelType w:val="hybridMultilevel"/>
    <w:tmpl w:val="7B7E1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46EED"/>
    <w:multiLevelType w:val="multilevel"/>
    <w:tmpl w:val="AFDAE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46260A"/>
    <w:multiLevelType w:val="hybridMultilevel"/>
    <w:tmpl w:val="95C2E23E"/>
    <w:lvl w:ilvl="0" w:tplc="89B0CF9E">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2C24C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5DA7756"/>
    <w:multiLevelType w:val="multilevel"/>
    <w:tmpl w:val="AC90A89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CC6FE4"/>
    <w:multiLevelType w:val="multilevel"/>
    <w:tmpl w:val="32266076"/>
    <w:lvl w:ilvl="0">
      <w:start w:val="1"/>
      <w:numFmt w:val="lowerLetter"/>
      <w:lvlText w:val="(%1)"/>
      <w:lvlJc w:val="left"/>
      <w:pPr>
        <w:tabs>
          <w:tab w:val="num" w:pos="720"/>
        </w:tabs>
        <w:ind w:left="720" w:hanging="360"/>
      </w:pPr>
      <w:rPr>
        <w:rFonts w:hint="default"/>
      </w:rPr>
    </w:lvl>
    <w:lvl w:ilvl="1">
      <w:start w:val="16"/>
      <w:numFmt w:val="decimal"/>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rPr>
        <w:rFonts w:ascii="Calibri" w:eastAsiaTheme="minorHAnsi" w:hAnsi="Calibri" w:cs="Calibri"/>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bullet"/>
      <w:lvlText w:val=""/>
      <w:lvlJc w:val="left"/>
      <w:pPr>
        <w:ind w:left="5760" w:hanging="360"/>
      </w:pPr>
      <w:rPr>
        <w:rFonts w:ascii="Symbol" w:hAnsi="Symbol"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24B73891"/>
    <w:multiLevelType w:val="multilevel"/>
    <w:tmpl w:val="0409001F"/>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A8B4752"/>
    <w:multiLevelType w:val="hybridMultilevel"/>
    <w:tmpl w:val="6100CF9A"/>
    <w:lvl w:ilvl="0" w:tplc="D902D538">
      <w:start w:val="1"/>
      <w:numFmt w:val="decimal"/>
      <w:lvlText w:val="%1."/>
      <w:lvlJc w:val="left"/>
      <w:pPr>
        <w:ind w:left="720" w:hanging="360"/>
      </w:pPr>
      <w:rPr>
        <w:rFonts w:ascii="Calibri" w:hAnsi="Calibri" w:cs="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B64FF2"/>
    <w:multiLevelType w:val="hybridMultilevel"/>
    <w:tmpl w:val="37F8963C"/>
    <w:lvl w:ilvl="0" w:tplc="D9E82984">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4"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B486D4A"/>
    <w:multiLevelType w:val="multilevel"/>
    <w:tmpl w:val="FD323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0D90802"/>
    <w:multiLevelType w:val="hybridMultilevel"/>
    <w:tmpl w:val="71A2D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644A1A"/>
    <w:multiLevelType w:val="hybridMultilevel"/>
    <w:tmpl w:val="A91C1CA0"/>
    <w:lvl w:ilvl="0" w:tplc="FFFFFFFF">
      <w:start w:val="1"/>
      <w:numFmt w:val="decimal"/>
      <w:lvlText w:val="%1."/>
      <w:lvlJc w:val="left"/>
      <w:pPr>
        <w:ind w:left="1164" w:hanging="80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35308C9"/>
    <w:multiLevelType w:val="multilevel"/>
    <w:tmpl w:val="3DD22FC4"/>
    <w:lvl w:ilvl="0">
      <w:start w:val="1"/>
      <w:numFmt w:val="lowerLetter"/>
      <w:lvlText w:val="(%1)"/>
      <w:lvlJc w:val="left"/>
      <w:pPr>
        <w:tabs>
          <w:tab w:val="num" w:pos="720"/>
        </w:tabs>
        <w:ind w:left="720" w:hanging="360"/>
      </w:pPr>
      <w:rPr>
        <w:rFonts w:hint="default"/>
      </w:rPr>
    </w:lvl>
    <w:lvl w:ilvl="1">
      <w:start w:val="16"/>
      <w:numFmt w:val="decimal"/>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rPr>
        <w:rFonts w:ascii="Calibri" w:eastAsiaTheme="minorHAnsi" w:hAnsi="Calibri" w:cs="Calibri"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bullet"/>
      <w:lvlText w:val=""/>
      <w:lvlJc w:val="left"/>
      <w:pPr>
        <w:ind w:left="5760" w:hanging="360"/>
      </w:pPr>
      <w:rPr>
        <w:rFonts w:ascii="Symbol" w:hAnsi="Symbol"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E331B42"/>
    <w:multiLevelType w:val="hybridMultilevel"/>
    <w:tmpl w:val="FEBCFE30"/>
    <w:lvl w:ilvl="0" w:tplc="12187D08">
      <w:numFmt w:val="bullet"/>
      <w:lvlText w:val=""/>
      <w:lvlJc w:val="left"/>
      <w:pPr>
        <w:ind w:left="720" w:hanging="360"/>
      </w:pPr>
      <w:rPr>
        <w:rFonts w:ascii="Calibri" w:eastAsia="Times New Roman"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636306E0"/>
    <w:multiLevelType w:val="hybridMultilevel"/>
    <w:tmpl w:val="85545366"/>
    <w:lvl w:ilvl="0" w:tplc="EFAA05D8">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66FB0A5B"/>
    <w:multiLevelType w:val="hybridMultilevel"/>
    <w:tmpl w:val="A91C1CA0"/>
    <w:lvl w:ilvl="0" w:tplc="2258F452">
      <w:start w:val="1"/>
      <w:numFmt w:val="decimal"/>
      <w:lvlText w:val="%1."/>
      <w:lvlJc w:val="left"/>
      <w:pPr>
        <w:ind w:left="1164" w:hanging="8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30312B5"/>
    <w:multiLevelType w:val="multilevel"/>
    <w:tmpl w:val="9DDEF6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7CA546B"/>
    <w:multiLevelType w:val="hybridMultilevel"/>
    <w:tmpl w:val="83AA8094"/>
    <w:lvl w:ilvl="0" w:tplc="FFFFFFFF">
      <w:start w:val="1"/>
      <w:numFmt w:val="decimal"/>
      <w:lvlText w:val="%1."/>
      <w:lvlJc w:val="left"/>
      <w:pPr>
        <w:ind w:left="1164" w:hanging="8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9442795">
    <w:abstractNumId w:val="12"/>
  </w:num>
  <w:num w:numId="2" w16cid:durableId="1476675797">
    <w:abstractNumId w:val="19"/>
  </w:num>
  <w:num w:numId="3" w16cid:durableId="417796100">
    <w:abstractNumId w:val="27"/>
  </w:num>
  <w:num w:numId="4" w16cid:durableId="1488129271">
    <w:abstractNumId w:val="7"/>
  </w:num>
  <w:num w:numId="5" w16cid:durableId="1303998248">
    <w:abstractNumId w:val="22"/>
  </w:num>
  <w:num w:numId="6" w16cid:durableId="264962582">
    <w:abstractNumId w:val="26"/>
  </w:num>
  <w:num w:numId="7" w16cid:durableId="393698750">
    <w:abstractNumId w:val="13"/>
  </w:num>
  <w:num w:numId="8" w16cid:durableId="371882787">
    <w:abstractNumId w:val="16"/>
  </w:num>
  <w:num w:numId="9" w16cid:durableId="1531649936">
    <w:abstractNumId w:val="8"/>
  </w:num>
  <w:num w:numId="10" w16cid:durableId="820853492">
    <w:abstractNumId w:val="14"/>
  </w:num>
  <w:num w:numId="11" w16cid:durableId="813833941">
    <w:abstractNumId w:val="21"/>
  </w:num>
  <w:num w:numId="12" w16cid:durableId="1375690405">
    <w:abstractNumId w:val="11"/>
  </w:num>
  <w:num w:numId="13" w16cid:durableId="388457467">
    <w:abstractNumId w:val="30"/>
  </w:num>
  <w:num w:numId="14" w16cid:durableId="380715100">
    <w:abstractNumId w:val="6"/>
  </w:num>
  <w:num w:numId="15" w16cid:durableId="1518158933">
    <w:abstractNumId w:val="3"/>
  </w:num>
  <w:num w:numId="16" w16cid:durableId="1485201601">
    <w:abstractNumId w:val="2"/>
  </w:num>
  <w:num w:numId="17" w16cid:durableId="1595670593">
    <w:abstractNumId w:val="28"/>
  </w:num>
  <w:num w:numId="18" w16cid:durableId="710036131">
    <w:abstractNumId w:val="15"/>
  </w:num>
  <w:num w:numId="19" w16cid:durableId="714160087">
    <w:abstractNumId w:val="17"/>
  </w:num>
  <w:num w:numId="20" w16cid:durableId="2145586111">
    <w:abstractNumId w:val="0"/>
  </w:num>
  <w:num w:numId="21" w16cid:durableId="2003894721">
    <w:abstractNumId w:val="4"/>
  </w:num>
  <w:num w:numId="22" w16cid:durableId="1577549606">
    <w:abstractNumId w:val="20"/>
  </w:num>
  <w:num w:numId="23" w16cid:durableId="262300863">
    <w:abstractNumId w:val="5"/>
  </w:num>
  <w:num w:numId="24" w16cid:durableId="404500778">
    <w:abstractNumId w:val="1"/>
  </w:num>
  <w:num w:numId="25" w16cid:durableId="18970989">
    <w:abstractNumId w:val="9"/>
  </w:num>
  <w:num w:numId="26" w16cid:durableId="1306198933">
    <w:abstractNumId w:val="25"/>
  </w:num>
  <w:num w:numId="27" w16cid:durableId="183400240">
    <w:abstractNumId w:val="18"/>
  </w:num>
  <w:num w:numId="28" w16cid:durableId="927929377">
    <w:abstractNumId w:val="29"/>
  </w:num>
  <w:num w:numId="29" w16cid:durableId="299698148">
    <w:abstractNumId w:val="10"/>
  </w:num>
  <w:num w:numId="30" w16cid:durableId="605036471">
    <w:abstractNumId w:val="24"/>
  </w:num>
  <w:num w:numId="31" w16cid:durableId="8722351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removePersonalInformation/>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08DC"/>
    <w:rsid w:val="00004416"/>
    <w:rsid w:val="00023829"/>
    <w:rsid w:val="00024960"/>
    <w:rsid w:val="00034BC5"/>
    <w:rsid w:val="0004355D"/>
    <w:rsid w:val="0004775A"/>
    <w:rsid w:val="00050460"/>
    <w:rsid w:val="00052EF6"/>
    <w:rsid w:val="00061E0E"/>
    <w:rsid w:val="00073AA5"/>
    <w:rsid w:val="0007506F"/>
    <w:rsid w:val="00076815"/>
    <w:rsid w:val="00082A5F"/>
    <w:rsid w:val="00084B9D"/>
    <w:rsid w:val="00095CAC"/>
    <w:rsid w:val="000A0AC2"/>
    <w:rsid w:val="000A5763"/>
    <w:rsid w:val="000A5B4D"/>
    <w:rsid w:val="000B41B6"/>
    <w:rsid w:val="000B4DFE"/>
    <w:rsid w:val="000C7A43"/>
    <w:rsid w:val="000E2ABF"/>
    <w:rsid w:val="000E3F21"/>
    <w:rsid w:val="000E4C51"/>
    <w:rsid w:val="00115D87"/>
    <w:rsid w:val="00122514"/>
    <w:rsid w:val="0013138A"/>
    <w:rsid w:val="00134EC5"/>
    <w:rsid w:val="00147CBA"/>
    <w:rsid w:val="00162CD5"/>
    <w:rsid w:val="00170537"/>
    <w:rsid w:val="00194C04"/>
    <w:rsid w:val="001959A2"/>
    <w:rsid w:val="001A0AE0"/>
    <w:rsid w:val="001A11F3"/>
    <w:rsid w:val="001C0D9D"/>
    <w:rsid w:val="001F225A"/>
    <w:rsid w:val="002019E4"/>
    <w:rsid w:val="00210DD6"/>
    <w:rsid w:val="00222342"/>
    <w:rsid w:val="00223811"/>
    <w:rsid w:val="0023296D"/>
    <w:rsid w:val="00252077"/>
    <w:rsid w:val="002618BF"/>
    <w:rsid w:val="00261931"/>
    <w:rsid w:val="0027316A"/>
    <w:rsid w:val="002851E8"/>
    <w:rsid w:val="002B043B"/>
    <w:rsid w:val="002B69AA"/>
    <w:rsid w:val="002B7E3C"/>
    <w:rsid w:val="002D4E50"/>
    <w:rsid w:val="002F6466"/>
    <w:rsid w:val="0031658E"/>
    <w:rsid w:val="003175AB"/>
    <w:rsid w:val="00340830"/>
    <w:rsid w:val="00341BD0"/>
    <w:rsid w:val="003433B6"/>
    <w:rsid w:val="00345313"/>
    <w:rsid w:val="00351087"/>
    <w:rsid w:val="00352F47"/>
    <w:rsid w:val="0035712A"/>
    <w:rsid w:val="00362A4E"/>
    <w:rsid w:val="00385060"/>
    <w:rsid w:val="00387C19"/>
    <w:rsid w:val="0039207F"/>
    <w:rsid w:val="003A0697"/>
    <w:rsid w:val="003B1CE0"/>
    <w:rsid w:val="003B6F93"/>
    <w:rsid w:val="003D2B1C"/>
    <w:rsid w:val="003E3FEC"/>
    <w:rsid w:val="00402F35"/>
    <w:rsid w:val="004053AB"/>
    <w:rsid w:val="0040579A"/>
    <w:rsid w:val="00410887"/>
    <w:rsid w:val="00416C17"/>
    <w:rsid w:val="004350D8"/>
    <w:rsid w:val="00435614"/>
    <w:rsid w:val="00457D93"/>
    <w:rsid w:val="00465F82"/>
    <w:rsid w:val="004710BF"/>
    <w:rsid w:val="004738F0"/>
    <w:rsid w:val="00490BE8"/>
    <w:rsid w:val="004A1BF3"/>
    <w:rsid w:val="004B33EE"/>
    <w:rsid w:val="004C0985"/>
    <w:rsid w:val="004C64B6"/>
    <w:rsid w:val="004D3520"/>
    <w:rsid w:val="004D362E"/>
    <w:rsid w:val="004E7923"/>
    <w:rsid w:val="0051368A"/>
    <w:rsid w:val="00513CCF"/>
    <w:rsid w:val="00535DCE"/>
    <w:rsid w:val="00541F12"/>
    <w:rsid w:val="00545E3D"/>
    <w:rsid w:val="00551D82"/>
    <w:rsid w:val="00557735"/>
    <w:rsid w:val="00560250"/>
    <w:rsid w:val="0056255F"/>
    <w:rsid w:val="00563F13"/>
    <w:rsid w:val="00564FDD"/>
    <w:rsid w:val="00567512"/>
    <w:rsid w:val="00574F14"/>
    <w:rsid w:val="00575E55"/>
    <w:rsid w:val="00576BAB"/>
    <w:rsid w:val="00580326"/>
    <w:rsid w:val="00581F97"/>
    <w:rsid w:val="0058219D"/>
    <w:rsid w:val="005A4A77"/>
    <w:rsid w:val="005B00ED"/>
    <w:rsid w:val="005D0797"/>
    <w:rsid w:val="005D16B3"/>
    <w:rsid w:val="005D583D"/>
    <w:rsid w:val="005E48A5"/>
    <w:rsid w:val="005F2A66"/>
    <w:rsid w:val="00600BFD"/>
    <w:rsid w:val="00602E7B"/>
    <w:rsid w:val="00615035"/>
    <w:rsid w:val="00622578"/>
    <w:rsid w:val="00623897"/>
    <w:rsid w:val="00634672"/>
    <w:rsid w:val="006615EF"/>
    <w:rsid w:val="00664DB9"/>
    <w:rsid w:val="006650DB"/>
    <w:rsid w:val="006755EE"/>
    <w:rsid w:val="00681A5F"/>
    <w:rsid w:val="006824BF"/>
    <w:rsid w:val="00697A8C"/>
    <w:rsid w:val="006B0315"/>
    <w:rsid w:val="006B3F92"/>
    <w:rsid w:val="006B7F30"/>
    <w:rsid w:val="006C1240"/>
    <w:rsid w:val="006C124F"/>
    <w:rsid w:val="006C3DA8"/>
    <w:rsid w:val="006D04E9"/>
    <w:rsid w:val="006D1A06"/>
    <w:rsid w:val="006D240F"/>
    <w:rsid w:val="006E11D6"/>
    <w:rsid w:val="006E44C6"/>
    <w:rsid w:val="006E4797"/>
    <w:rsid w:val="0070444F"/>
    <w:rsid w:val="00714BE0"/>
    <w:rsid w:val="00734B77"/>
    <w:rsid w:val="00734DA5"/>
    <w:rsid w:val="007351A8"/>
    <w:rsid w:val="00736371"/>
    <w:rsid w:val="00746107"/>
    <w:rsid w:val="00756025"/>
    <w:rsid w:val="00761259"/>
    <w:rsid w:val="00762F2A"/>
    <w:rsid w:val="00771D71"/>
    <w:rsid w:val="00790705"/>
    <w:rsid w:val="007A5001"/>
    <w:rsid w:val="007B0DD7"/>
    <w:rsid w:val="007C2A2B"/>
    <w:rsid w:val="007C303E"/>
    <w:rsid w:val="007C4BFB"/>
    <w:rsid w:val="007C5982"/>
    <w:rsid w:val="007D254F"/>
    <w:rsid w:val="007D262B"/>
    <w:rsid w:val="007D6BE0"/>
    <w:rsid w:val="007E16BA"/>
    <w:rsid w:val="007E38B1"/>
    <w:rsid w:val="007F201A"/>
    <w:rsid w:val="007F2030"/>
    <w:rsid w:val="007F6323"/>
    <w:rsid w:val="00812D0B"/>
    <w:rsid w:val="008155F1"/>
    <w:rsid w:val="00816DE5"/>
    <w:rsid w:val="0081732C"/>
    <w:rsid w:val="00820523"/>
    <w:rsid w:val="0082441C"/>
    <w:rsid w:val="00824912"/>
    <w:rsid w:val="00832CFB"/>
    <w:rsid w:val="00842ED5"/>
    <w:rsid w:val="008461C6"/>
    <w:rsid w:val="0084767C"/>
    <w:rsid w:val="00872C83"/>
    <w:rsid w:val="00872CC9"/>
    <w:rsid w:val="008A4859"/>
    <w:rsid w:val="008B094B"/>
    <w:rsid w:val="008B2D50"/>
    <w:rsid w:val="008B35D2"/>
    <w:rsid w:val="008B504F"/>
    <w:rsid w:val="008C5CB2"/>
    <w:rsid w:val="008F58DC"/>
    <w:rsid w:val="00902A10"/>
    <w:rsid w:val="00904215"/>
    <w:rsid w:val="0091659E"/>
    <w:rsid w:val="00926330"/>
    <w:rsid w:val="00952D14"/>
    <w:rsid w:val="00953CE6"/>
    <w:rsid w:val="00963E34"/>
    <w:rsid w:val="00964947"/>
    <w:rsid w:val="00970946"/>
    <w:rsid w:val="00977756"/>
    <w:rsid w:val="00977DD2"/>
    <w:rsid w:val="00984D7F"/>
    <w:rsid w:val="0099074F"/>
    <w:rsid w:val="00994F50"/>
    <w:rsid w:val="009B0804"/>
    <w:rsid w:val="009B5892"/>
    <w:rsid w:val="009C3F41"/>
    <w:rsid w:val="009D0BE5"/>
    <w:rsid w:val="009E17B4"/>
    <w:rsid w:val="009E3DDA"/>
    <w:rsid w:val="009F06D9"/>
    <w:rsid w:val="00A117EA"/>
    <w:rsid w:val="00A1684A"/>
    <w:rsid w:val="00A23CC5"/>
    <w:rsid w:val="00A23E2B"/>
    <w:rsid w:val="00A2474E"/>
    <w:rsid w:val="00A31967"/>
    <w:rsid w:val="00A75C82"/>
    <w:rsid w:val="00A826F3"/>
    <w:rsid w:val="00AA1831"/>
    <w:rsid w:val="00AB74AC"/>
    <w:rsid w:val="00AD273D"/>
    <w:rsid w:val="00AF59B5"/>
    <w:rsid w:val="00B223C1"/>
    <w:rsid w:val="00B308C6"/>
    <w:rsid w:val="00B32BCA"/>
    <w:rsid w:val="00B37C28"/>
    <w:rsid w:val="00B37C7B"/>
    <w:rsid w:val="00B52352"/>
    <w:rsid w:val="00B55394"/>
    <w:rsid w:val="00B7298E"/>
    <w:rsid w:val="00B75518"/>
    <w:rsid w:val="00BA122D"/>
    <w:rsid w:val="00BC2F37"/>
    <w:rsid w:val="00BC6BCB"/>
    <w:rsid w:val="00BC73B4"/>
    <w:rsid w:val="00BD7E4A"/>
    <w:rsid w:val="00BD7F31"/>
    <w:rsid w:val="00BE0721"/>
    <w:rsid w:val="00BE22A2"/>
    <w:rsid w:val="00BE366D"/>
    <w:rsid w:val="00C11D93"/>
    <w:rsid w:val="00C23E0C"/>
    <w:rsid w:val="00C27C71"/>
    <w:rsid w:val="00C4439C"/>
    <w:rsid w:val="00C4632D"/>
    <w:rsid w:val="00C550F3"/>
    <w:rsid w:val="00C652D8"/>
    <w:rsid w:val="00C65D39"/>
    <w:rsid w:val="00C73ADD"/>
    <w:rsid w:val="00CA65C9"/>
    <w:rsid w:val="00CB1713"/>
    <w:rsid w:val="00CB3FAF"/>
    <w:rsid w:val="00CB79CD"/>
    <w:rsid w:val="00CC30BD"/>
    <w:rsid w:val="00CC5D76"/>
    <w:rsid w:val="00CD452C"/>
    <w:rsid w:val="00D07A90"/>
    <w:rsid w:val="00D07C58"/>
    <w:rsid w:val="00D12379"/>
    <w:rsid w:val="00D1453C"/>
    <w:rsid w:val="00D36730"/>
    <w:rsid w:val="00D53006"/>
    <w:rsid w:val="00D53C1D"/>
    <w:rsid w:val="00D75CBC"/>
    <w:rsid w:val="00D90D5A"/>
    <w:rsid w:val="00D959E7"/>
    <w:rsid w:val="00DA61B5"/>
    <w:rsid w:val="00DC0BD3"/>
    <w:rsid w:val="00DC27AB"/>
    <w:rsid w:val="00DC3255"/>
    <w:rsid w:val="00DC708B"/>
    <w:rsid w:val="00DD0D2A"/>
    <w:rsid w:val="00DD78EF"/>
    <w:rsid w:val="00DE1DF8"/>
    <w:rsid w:val="00DE2FC9"/>
    <w:rsid w:val="00E11A59"/>
    <w:rsid w:val="00E174A8"/>
    <w:rsid w:val="00E20BD6"/>
    <w:rsid w:val="00E401D5"/>
    <w:rsid w:val="00E556D5"/>
    <w:rsid w:val="00E56B8A"/>
    <w:rsid w:val="00E816AE"/>
    <w:rsid w:val="00EA7865"/>
    <w:rsid w:val="00EB1E68"/>
    <w:rsid w:val="00EC0649"/>
    <w:rsid w:val="00ED4CD8"/>
    <w:rsid w:val="00EF697C"/>
    <w:rsid w:val="00EF7684"/>
    <w:rsid w:val="00F01572"/>
    <w:rsid w:val="00F0223C"/>
    <w:rsid w:val="00F10C90"/>
    <w:rsid w:val="00F1499E"/>
    <w:rsid w:val="00F31E87"/>
    <w:rsid w:val="00F347AD"/>
    <w:rsid w:val="00F462C3"/>
    <w:rsid w:val="00F65EAE"/>
    <w:rsid w:val="00F833A9"/>
    <w:rsid w:val="00F97C01"/>
    <w:rsid w:val="00FA32C2"/>
    <w:rsid w:val="00FA6C9C"/>
    <w:rsid w:val="00FB2E5A"/>
    <w:rsid w:val="00FC12E3"/>
    <w:rsid w:val="00FF041F"/>
    <w:rsid w:val="00FF5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link w:val="ListParagraphChar"/>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styleId="Emphasis">
    <w:name w:val="Emphasis"/>
    <w:basedOn w:val="DefaultParagraphFont"/>
    <w:uiPriority w:val="20"/>
    <w:qFormat/>
    <w:rsid w:val="00340830"/>
    <w:rPr>
      <w:i/>
      <w:iCs/>
    </w:rPr>
  </w:style>
  <w:style w:type="paragraph" w:styleId="NormalWeb">
    <w:name w:val="Normal (Web)"/>
    <w:basedOn w:val="Normal"/>
    <w:uiPriority w:val="99"/>
    <w:unhideWhenUsed/>
    <w:rsid w:val="00340830"/>
    <w:pPr>
      <w:widowControl/>
      <w:spacing w:before="100" w:beforeAutospacing="1" w:after="100" w:afterAutospacing="1"/>
      <w:jc w:val="left"/>
    </w:pPr>
    <w:rPr>
      <w:rFonts w:ascii="Times New Roman" w:eastAsia="Times New Roman" w:hAnsi="Times New Roman" w:cs="Times New Roman"/>
    </w:rPr>
  </w:style>
  <w:style w:type="character" w:styleId="Strong">
    <w:name w:val="Strong"/>
    <w:basedOn w:val="DefaultParagraphFont"/>
    <w:uiPriority w:val="22"/>
    <w:qFormat/>
    <w:rsid w:val="00340830"/>
    <w:rPr>
      <w:b/>
      <w:bCs/>
    </w:rPr>
  </w:style>
  <w:style w:type="paragraph" w:customStyle="1" w:styleId="p1">
    <w:name w:val="p1"/>
    <w:basedOn w:val="Normal"/>
    <w:rsid w:val="00340830"/>
    <w:pPr>
      <w:widowControl/>
      <w:jc w:val="left"/>
    </w:pPr>
    <w:rPr>
      <w:rFonts w:ascii="Times New Roman" w:eastAsia="Times New Roman" w:hAnsi="Times New Roman" w:cs="Times New Roman"/>
      <w:color w:val="000000"/>
      <w:sz w:val="18"/>
      <w:szCs w:val="18"/>
    </w:rPr>
  </w:style>
  <w:style w:type="character" w:styleId="PlaceholderText">
    <w:name w:val="Placeholder Text"/>
    <w:basedOn w:val="DefaultParagraphFont"/>
    <w:uiPriority w:val="99"/>
    <w:semiHidden/>
    <w:rsid w:val="0058219D"/>
    <w:rPr>
      <w:color w:val="666666"/>
    </w:rPr>
  </w:style>
  <w:style w:type="character" w:customStyle="1" w:styleId="ListParagraphChar">
    <w:name w:val="List Paragraph Char"/>
    <w:basedOn w:val="DefaultParagraphFont"/>
    <w:link w:val="ListParagraph"/>
    <w:uiPriority w:val="34"/>
    <w:rsid w:val="00052EF6"/>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BD7F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7F31"/>
    <w:rPr>
      <w:rFonts w:ascii="Segoe UI" w:hAnsi="Segoe UI" w:cs="Segoe UI"/>
      <w:sz w:val="18"/>
      <w:szCs w:val="18"/>
    </w:rPr>
  </w:style>
  <w:style w:type="character" w:styleId="UnresolvedMention">
    <w:name w:val="Unresolved Mention"/>
    <w:basedOn w:val="DefaultParagraphFont"/>
    <w:uiPriority w:val="99"/>
    <w:semiHidden/>
    <w:unhideWhenUsed/>
    <w:rsid w:val="004108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2859">
      <w:marLeft w:val="640"/>
      <w:marRight w:val="0"/>
      <w:marTop w:val="0"/>
      <w:marBottom w:val="0"/>
      <w:divBdr>
        <w:top w:val="none" w:sz="0" w:space="0" w:color="auto"/>
        <w:left w:val="none" w:sz="0" w:space="0" w:color="auto"/>
        <w:bottom w:val="none" w:sz="0" w:space="0" w:color="auto"/>
        <w:right w:val="none" w:sz="0" w:space="0" w:color="auto"/>
      </w:divBdr>
    </w:div>
    <w:div w:id="38360659">
      <w:marLeft w:val="640"/>
      <w:marRight w:val="0"/>
      <w:marTop w:val="0"/>
      <w:marBottom w:val="0"/>
      <w:divBdr>
        <w:top w:val="none" w:sz="0" w:space="0" w:color="auto"/>
        <w:left w:val="none" w:sz="0" w:space="0" w:color="auto"/>
        <w:bottom w:val="none" w:sz="0" w:space="0" w:color="auto"/>
        <w:right w:val="none" w:sz="0" w:space="0" w:color="auto"/>
      </w:divBdr>
    </w:div>
    <w:div w:id="43525898">
      <w:marLeft w:val="640"/>
      <w:marRight w:val="0"/>
      <w:marTop w:val="0"/>
      <w:marBottom w:val="0"/>
      <w:divBdr>
        <w:top w:val="none" w:sz="0" w:space="0" w:color="auto"/>
        <w:left w:val="none" w:sz="0" w:space="0" w:color="auto"/>
        <w:bottom w:val="none" w:sz="0" w:space="0" w:color="auto"/>
        <w:right w:val="none" w:sz="0" w:space="0" w:color="auto"/>
      </w:divBdr>
    </w:div>
    <w:div w:id="53160117">
      <w:marLeft w:val="640"/>
      <w:marRight w:val="0"/>
      <w:marTop w:val="0"/>
      <w:marBottom w:val="0"/>
      <w:divBdr>
        <w:top w:val="none" w:sz="0" w:space="0" w:color="auto"/>
        <w:left w:val="none" w:sz="0" w:space="0" w:color="auto"/>
        <w:bottom w:val="none" w:sz="0" w:space="0" w:color="auto"/>
        <w:right w:val="none" w:sz="0" w:space="0" w:color="auto"/>
      </w:divBdr>
    </w:div>
    <w:div w:id="70126271">
      <w:marLeft w:val="640"/>
      <w:marRight w:val="0"/>
      <w:marTop w:val="0"/>
      <w:marBottom w:val="0"/>
      <w:divBdr>
        <w:top w:val="none" w:sz="0" w:space="0" w:color="auto"/>
        <w:left w:val="none" w:sz="0" w:space="0" w:color="auto"/>
        <w:bottom w:val="none" w:sz="0" w:space="0" w:color="auto"/>
        <w:right w:val="none" w:sz="0" w:space="0" w:color="auto"/>
      </w:divBdr>
    </w:div>
    <w:div w:id="82528570">
      <w:marLeft w:val="640"/>
      <w:marRight w:val="0"/>
      <w:marTop w:val="0"/>
      <w:marBottom w:val="0"/>
      <w:divBdr>
        <w:top w:val="none" w:sz="0" w:space="0" w:color="auto"/>
        <w:left w:val="none" w:sz="0" w:space="0" w:color="auto"/>
        <w:bottom w:val="none" w:sz="0" w:space="0" w:color="auto"/>
        <w:right w:val="none" w:sz="0" w:space="0" w:color="auto"/>
      </w:divBdr>
    </w:div>
    <w:div w:id="86735453">
      <w:marLeft w:val="640"/>
      <w:marRight w:val="0"/>
      <w:marTop w:val="0"/>
      <w:marBottom w:val="0"/>
      <w:divBdr>
        <w:top w:val="none" w:sz="0" w:space="0" w:color="auto"/>
        <w:left w:val="none" w:sz="0" w:space="0" w:color="auto"/>
        <w:bottom w:val="none" w:sz="0" w:space="0" w:color="auto"/>
        <w:right w:val="none" w:sz="0" w:space="0" w:color="auto"/>
      </w:divBdr>
    </w:div>
    <w:div w:id="116916263">
      <w:marLeft w:val="640"/>
      <w:marRight w:val="0"/>
      <w:marTop w:val="0"/>
      <w:marBottom w:val="0"/>
      <w:divBdr>
        <w:top w:val="none" w:sz="0" w:space="0" w:color="auto"/>
        <w:left w:val="none" w:sz="0" w:space="0" w:color="auto"/>
        <w:bottom w:val="none" w:sz="0" w:space="0" w:color="auto"/>
        <w:right w:val="none" w:sz="0" w:space="0" w:color="auto"/>
      </w:divBdr>
    </w:div>
    <w:div w:id="126821192">
      <w:marLeft w:val="640"/>
      <w:marRight w:val="0"/>
      <w:marTop w:val="0"/>
      <w:marBottom w:val="0"/>
      <w:divBdr>
        <w:top w:val="none" w:sz="0" w:space="0" w:color="auto"/>
        <w:left w:val="none" w:sz="0" w:space="0" w:color="auto"/>
        <w:bottom w:val="none" w:sz="0" w:space="0" w:color="auto"/>
        <w:right w:val="none" w:sz="0" w:space="0" w:color="auto"/>
      </w:divBdr>
    </w:div>
    <w:div w:id="137766661">
      <w:marLeft w:val="640"/>
      <w:marRight w:val="0"/>
      <w:marTop w:val="0"/>
      <w:marBottom w:val="0"/>
      <w:divBdr>
        <w:top w:val="none" w:sz="0" w:space="0" w:color="auto"/>
        <w:left w:val="none" w:sz="0" w:space="0" w:color="auto"/>
        <w:bottom w:val="none" w:sz="0" w:space="0" w:color="auto"/>
        <w:right w:val="none" w:sz="0" w:space="0" w:color="auto"/>
      </w:divBdr>
    </w:div>
    <w:div w:id="187178340">
      <w:marLeft w:val="640"/>
      <w:marRight w:val="0"/>
      <w:marTop w:val="0"/>
      <w:marBottom w:val="0"/>
      <w:divBdr>
        <w:top w:val="none" w:sz="0" w:space="0" w:color="auto"/>
        <w:left w:val="none" w:sz="0" w:space="0" w:color="auto"/>
        <w:bottom w:val="none" w:sz="0" w:space="0" w:color="auto"/>
        <w:right w:val="none" w:sz="0" w:space="0" w:color="auto"/>
      </w:divBdr>
    </w:div>
    <w:div w:id="187451877">
      <w:marLeft w:val="640"/>
      <w:marRight w:val="0"/>
      <w:marTop w:val="0"/>
      <w:marBottom w:val="0"/>
      <w:divBdr>
        <w:top w:val="none" w:sz="0" w:space="0" w:color="auto"/>
        <w:left w:val="none" w:sz="0" w:space="0" w:color="auto"/>
        <w:bottom w:val="none" w:sz="0" w:space="0" w:color="auto"/>
        <w:right w:val="none" w:sz="0" w:space="0" w:color="auto"/>
      </w:divBdr>
    </w:div>
    <w:div w:id="189759116">
      <w:marLeft w:val="640"/>
      <w:marRight w:val="0"/>
      <w:marTop w:val="0"/>
      <w:marBottom w:val="0"/>
      <w:divBdr>
        <w:top w:val="none" w:sz="0" w:space="0" w:color="auto"/>
        <w:left w:val="none" w:sz="0" w:space="0" w:color="auto"/>
        <w:bottom w:val="none" w:sz="0" w:space="0" w:color="auto"/>
        <w:right w:val="none" w:sz="0" w:space="0" w:color="auto"/>
      </w:divBdr>
    </w:div>
    <w:div w:id="199368503">
      <w:marLeft w:val="640"/>
      <w:marRight w:val="0"/>
      <w:marTop w:val="0"/>
      <w:marBottom w:val="0"/>
      <w:divBdr>
        <w:top w:val="none" w:sz="0" w:space="0" w:color="auto"/>
        <w:left w:val="none" w:sz="0" w:space="0" w:color="auto"/>
        <w:bottom w:val="none" w:sz="0" w:space="0" w:color="auto"/>
        <w:right w:val="none" w:sz="0" w:space="0" w:color="auto"/>
      </w:divBdr>
    </w:div>
    <w:div w:id="204217469">
      <w:marLeft w:val="640"/>
      <w:marRight w:val="0"/>
      <w:marTop w:val="0"/>
      <w:marBottom w:val="0"/>
      <w:divBdr>
        <w:top w:val="none" w:sz="0" w:space="0" w:color="auto"/>
        <w:left w:val="none" w:sz="0" w:space="0" w:color="auto"/>
        <w:bottom w:val="none" w:sz="0" w:space="0" w:color="auto"/>
        <w:right w:val="none" w:sz="0" w:space="0" w:color="auto"/>
      </w:divBdr>
    </w:div>
    <w:div w:id="220681291">
      <w:marLeft w:val="640"/>
      <w:marRight w:val="0"/>
      <w:marTop w:val="0"/>
      <w:marBottom w:val="0"/>
      <w:divBdr>
        <w:top w:val="none" w:sz="0" w:space="0" w:color="auto"/>
        <w:left w:val="none" w:sz="0" w:space="0" w:color="auto"/>
        <w:bottom w:val="none" w:sz="0" w:space="0" w:color="auto"/>
        <w:right w:val="none" w:sz="0" w:space="0" w:color="auto"/>
      </w:divBdr>
    </w:div>
    <w:div w:id="294675970">
      <w:marLeft w:val="640"/>
      <w:marRight w:val="0"/>
      <w:marTop w:val="0"/>
      <w:marBottom w:val="0"/>
      <w:divBdr>
        <w:top w:val="none" w:sz="0" w:space="0" w:color="auto"/>
        <w:left w:val="none" w:sz="0" w:space="0" w:color="auto"/>
        <w:bottom w:val="none" w:sz="0" w:space="0" w:color="auto"/>
        <w:right w:val="none" w:sz="0" w:space="0" w:color="auto"/>
      </w:divBdr>
    </w:div>
    <w:div w:id="309286557">
      <w:marLeft w:val="640"/>
      <w:marRight w:val="0"/>
      <w:marTop w:val="0"/>
      <w:marBottom w:val="0"/>
      <w:divBdr>
        <w:top w:val="none" w:sz="0" w:space="0" w:color="auto"/>
        <w:left w:val="none" w:sz="0" w:space="0" w:color="auto"/>
        <w:bottom w:val="none" w:sz="0" w:space="0" w:color="auto"/>
        <w:right w:val="none" w:sz="0" w:space="0" w:color="auto"/>
      </w:divBdr>
    </w:div>
    <w:div w:id="323703634">
      <w:marLeft w:val="640"/>
      <w:marRight w:val="0"/>
      <w:marTop w:val="0"/>
      <w:marBottom w:val="0"/>
      <w:divBdr>
        <w:top w:val="none" w:sz="0" w:space="0" w:color="auto"/>
        <w:left w:val="none" w:sz="0" w:space="0" w:color="auto"/>
        <w:bottom w:val="none" w:sz="0" w:space="0" w:color="auto"/>
        <w:right w:val="none" w:sz="0" w:space="0" w:color="auto"/>
      </w:divBdr>
    </w:div>
    <w:div w:id="335380326">
      <w:marLeft w:val="640"/>
      <w:marRight w:val="0"/>
      <w:marTop w:val="0"/>
      <w:marBottom w:val="0"/>
      <w:divBdr>
        <w:top w:val="none" w:sz="0" w:space="0" w:color="auto"/>
        <w:left w:val="none" w:sz="0" w:space="0" w:color="auto"/>
        <w:bottom w:val="none" w:sz="0" w:space="0" w:color="auto"/>
        <w:right w:val="none" w:sz="0" w:space="0" w:color="auto"/>
      </w:divBdr>
    </w:div>
    <w:div w:id="338311799">
      <w:marLeft w:val="640"/>
      <w:marRight w:val="0"/>
      <w:marTop w:val="0"/>
      <w:marBottom w:val="0"/>
      <w:divBdr>
        <w:top w:val="none" w:sz="0" w:space="0" w:color="auto"/>
        <w:left w:val="none" w:sz="0" w:space="0" w:color="auto"/>
        <w:bottom w:val="none" w:sz="0" w:space="0" w:color="auto"/>
        <w:right w:val="none" w:sz="0" w:space="0" w:color="auto"/>
      </w:divBdr>
    </w:div>
    <w:div w:id="342512559">
      <w:marLeft w:val="640"/>
      <w:marRight w:val="0"/>
      <w:marTop w:val="0"/>
      <w:marBottom w:val="0"/>
      <w:divBdr>
        <w:top w:val="none" w:sz="0" w:space="0" w:color="auto"/>
        <w:left w:val="none" w:sz="0" w:space="0" w:color="auto"/>
        <w:bottom w:val="none" w:sz="0" w:space="0" w:color="auto"/>
        <w:right w:val="none" w:sz="0" w:space="0" w:color="auto"/>
      </w:divBdr>
    </w:div>
    <w:div w:id="346323771">
      <w:marLeft w:val="640"/>
      <w:marRight w:val="0"/>
      <w:marTop w:val="0"/>
      <w:marBottom w:val="0"/>
      <w:divBdr>
        <w:top w:val="none" w:sz="0" w:space="0" w:color="auto"/>
        <w:left w:val="none" w:sz="0" w:space="0" w:color="auto"/>
        <w:bottom w:val="none" w:sz="0" w:space="0" w:color="auto"/>
        <w:right w:val="none" w:sz="0" w:space="0" w:color="auto"/>
      </w:divBdr>
    </w:div>
    <w:div w:id="353968808">
      <w:marLeft w:val="640"/>
      <w:marRight w:val="0"/>
      <w:marTop w:val="0"/>
      <w:marBottom w:val="0"/>
      <w:divBdr>
        <w:top w:val="none" w:sz="0" w:space="0" w:color="auto"/>
        <w:left w:val="none" w:sz="0" w:space="0" w:color="auto"/>
        <w:bottom w:val="none" w:sz="0" w:space="0" w:color="auto"/>
        <w:right w:val="none" w:sz="0" w:space="0" w:color="auto"/>
      </w:divBdr>
    </w:div>
    <w:div w:id="390348685">
      <w:marLeft w:val="640"/>
      <w:marRight w:val="0"/>
      <w:marTop w:val="0"/>
      <w:marBottom w:val="0"/>
      <w:divBdr>
        <w:top w:val="none" w:sz="0" w:space="0" w:color="auto"/>
        <w:left w:val="none" w:sz="0" w:space="0" w:color="auto"/>
        <w:bottom w:val="none" w:sz="0" w:space="0" w:color="auto"/>
        <w:right w:val="none" w:sz="0" w:space="0" w:color="auto"/>
      </w:divBdr>
    </w:div>
    <w:div w:id="402263592">
      <w:marLeft w:val="640"/>
      <w:marRight w:val="0"/>
      <w:marTop w:val="0"/>
      <w:marBottom w:val="0"/>
      <w:divBdr>
        <w:top w:val="none" w:sz="0" w:space="0" w:color="auto"/>
        <w:left w:val="none" w:sz="0" w:space="0" w:color="auto"/>
        <w:bottom w:val="none" w:sz="0" w:space="0" w:color="auto"/>
        <w:right w:val="none" w:sz="0" w:space="0" w:color="auto"/>
      </w:divBdr>
    </w:div>
    <w:div w:id="425855511">
      <w:marLeft w:val="640"/>
      <w:marRight w:val="0"/>
      <w:marTop w:val="0"/>
      <w:marBottom w:val="0"/>
      <w:divBdr>
        <w:top w:val="none" w:sz="0" w:space="0" w:color="auto"/>
        <w:left w:val="none" w:sz="0" w:space="0" w:color="auto"/>
        <w:bottom w:val="none" w:sz="0" w:space="0" w:color="auto"/>
        <w:right w:val="none" w:sz="0" w:space="0" w:color="auto"/>
      </w:divBdr>
    </w:div>
    <w:div w:id="431324317">
      <w:marLeft w:val="640"/>
      <w:marRight w:val="0"/>
      <w:marTop w:val="0"/>
      <w:marBottom w:val="0"/>
      <w:divBdr>
        <w:top w:val="none" w:sz="0" w:space="0" w:color="auto"/>
        <w:left w:val="none" w:sz="0" w:space="0" w:color="auto"/>
        <w:bottom w:val="none" w:sz="0" w:space="0" w:color="auto"/>
        <w:right w:val="none" w:sz="0" w:space="0" w:color="auto"/>
      </w:divBdr>
    </w:div>
    <w:div w:id="432163631">
      <w:marLeft w:val="640"/>
      <w:marRight w:val="0"/>
      <w:marTop w:val="0"/>
      <w:marBottom w:val="0"/>
      <w:divBdr>
        <w:top w:val="none" w:sz="0" w:space="0" w:color="auto"/>
        <w:left w:val="none" w:sz="0" w:space="0" w:color="auto"/>
        <w:bottom w:val="none" w:sz="0" w:space="0" w:color="auto"/>
        <w:right w:val="none" w:sz="0" w:space="0" w:color="auto"/>
      </w:divBdr>
    </w:div>
    <w:div w:id="433940552">
      <w:marLeft w:val="640"/>
      <w:marRight w:val="0"/>
      <w:marTop w:val="0"/>
      <w:marBottom w:val="0"/>
      <w:divBdr>
        <w:top w:val="none" w:sz="0" w:space="0" w:color="auto"/>
        <w:left w:val="none" w:sz="0" w:space="0" w:color="auto"/>
        <w:bottom w:val="none" w:sz="0" w:space="0" w:color="auto"/>
        <w:right w:val="none" w:sz="0" w:space="0" w:color="auto"/>
      </w:divBdr>
    </w:div>
    <w:div w:id="457143153">
      <w:marLeft w:val="640"/>
      <w:marRight w:val="0"/>
      <w:marTop w:val="0"/>
      <w:marBottom w:val="0"/>
      <w:divBdr>
        <w:top w:val="none" w:sz="0" w:space="0" w:color="auto"/>
        <w:left w:val="none" w:sz="0" w:space="0" w:color="auto"/>
        <w:bottom w:val="none" w:sz="0" w:space="0" w:color="auto"/>
        <w:right w:val="none" w:sz="0" w:space="0" w:color="auto"/>
      </w:divBdr>
    </w:div>
    <w:div w:id="457189785">
      <w:marLeft w:val="640"/>
      <w:marRight w:val="0"/>
      <w:marTop w:val="0"/>
      <w:marBottom w:val="0"/>
      <w:divBdr>
        <w:top w:val="none" w:sz="0" w:space="0" w:color="auto"/>
        <w:left w:val="none" w:sz="0" w:space="0" w:color="auto"/>
        <w:bottom w:val="none" w:sz="0" w:space="0" w:color="auto"/>
        <w:right w:val="none" w:sz="0" w:space="0" w:color="auto"/>
      </w:divBdr>
    </w:div>
    <w:div w:id="485636238">
      <w:marLeft w:val="640"/>
      <w:marRight w:val="0"/>
      <w:marTop w:val="0"/>
      <w:marBottom w:val="0"/>
      <w:divBdr>
        <w:top w:val="none" w:sz="0" w:space="0" w:color="auto"/>
        <w:left w:val="none" w:sz="0" w:space="0" w:color="auto"/>
        <w:bottom w:val="none" w:sz="0" w:space="0" w:color="auto"/>
        <w:right w:val="none" w:sz="0" w:space="0" w:color="auto"/>
      </w:divBdr>
    </w:div>
    <w:div w:id="487018887">
      <w:marLeft w:val="640"/>
      <w:marRight w:val="0"/>
      <w:marTop w:val="0"/>
      <w:marBottom w:val="0"/>
      <w:divBdr>
        <w:top w:val="none" w:sz="0" w:space="0" w:color="auto"/>
        <w:left w:val="none" w:sz="0" w:space="0" w:color="auto"/>
        <w:bottom w:val="none" w:sz="0" w:space="0" w:color="auto"/>
        <w:right w:val="none" w:sz="0" w:space="0" w:color="auto"/>
      </w:divBdr>
    </w:div>
    <w:div w:id="508909489">
      <w:marLeft w:val="640"/>
      <w:marRight w:val="0"/>
      <w:marTop w:val="0"/>
      <w:marBottom w:val="0"/>
      <w:divBdr>
        <w:top w:val="none" w:sz="0" w:space="0" w:color="auto"/>
        <w:left w:val="none" w:sz="0" w:space="0" w:color="auto"/>
        <w:bottom w:val="none" w:sz="0" w:space="0" w:color="auto"/>
        <w:right w:val="none" w:sz="0" w:space="0" w:color="auto"/>
      </w:divBdr>
    </w:div>
    <w:div w:id="525799060">
      <w:marLeft w:val="640"/>
      <w:marRight w:val="0"/>
      <w:marTop w:val="0"/>
      <w:marBottom w:val="0"/>
      <w:divBdr>
        <w:top w:val="none" w:sz="0" w:space="0" w:color="auto"/>
        <w:left w:val="none" w:sz="0" w:space="0" w:color="auto"/>
        <w:bottom w:val="none" w:sz="0" w:space="0" w:color="auto"/>
        <w:right w:val="none" w:sz="0" w:space="0" w:color="auto"/>
      </w:divBdr>
    </w:div>
    <w:div w:id="552696298">
      <w:marLeft w:val="640"/>
      <w:marRight w:val="0"/>
      <w:marTop w:val="0"/>
      <w:marBottom w:val="0"/>
      <w:divBdr>
        <w:top w:val="none" w:sz="0" w:space="0" w:color="auto"/>
        <w:left w:val="none" w:sz="0" w:space="0" w:color="auto"/>
        <w:bottom w:val="none" w:sz="0" w:space="0" w:color="auto"/>
        <w:right w:val="none" w:sz="0" w:space="0" w:color="auto"/>
      </w:divBdr>
    </w:div>
    <w:div w:id="570581404">
      <w:marLeft w:val="640"/>
      <w:marRight w:val="0"/>
      <w:marTop w:val="0"/>
      <w:marBottom w:val="0"/>
      <w:divBdr>
        <w:top w:val="none" w:sz="0" w:space="0" w:color="auto"/>
        <w:left w:val="none" w:sz="0" w:space="0" w:color="auto"/>
        <w:bottom w:val="none" w:sz="0" w:space="0" w:color="auto"/>
        <w:right w:val="none" w:sz="0" w:space="0" w:color="auto"/>
      </w:divBdr>
    </w:div>
    <w:div w:id="581335272">
      <w:marLeft w:val="640"/>
      <w:marRight w:val="0"/>
      <w:marTop w:val="0"/>
      <w:marBottom w:val="0"/>
      <w:divBdr>
        <w:top w:val="none" w:sz="0" w:space="0" w:color="auto"/>
        <w:left w:val="none" w:sz="0" w:space="0" w:color="auto"/>
        <w:bottom w:val="none" w:sz="0" w:space="0" w:color="auto"/>
        <w:right w:val="none" w:sz="0" w:space="0" w:color="auto"/>
      </w:divBdr>
    </w:div>
    <w:div w:id="588545185">
      <w:marLeft w:val="640"/>
      <w:marRight w:val="0"/>
      <w:marTop w:val="0"/>
      <w:marBottom w:val="0"/>
      <w:divBdr>
        <w:top w:val="none" w:sz="0" w:space="0" w:color="auto"/>
        <w:left w:val="none" w:sz="0" w:space="0" w:color="auto"/>
        <w:bottom w:val="none" w:sz="0" w:space="0" w:color="auto"/>
        <w:right w:val="none" w:sz="0" w:space="0" w:color="auto"/>
      </w:divBdr>
    </w:div>
    <w:div w:id="650138041">
      <w:marLeft w:val="640"/>
      <w:marRight w:val="0"/>
      <w:marTop w:val="0"/>
      <w:marBottom w:val="0"/>
      <w:divBdr>
        <w:top w:val="none" w:sz="0" w:space="0" w:color="auto"/>
        <w:left w:val="none" w:sz="0" w:space="0" w:color="auto"/>
        <w:bottom w:val="none" w:sz="0" w:space="0" w:color="auto"/>
        <w:right w:val="none" w:sz="0" w:space="0" w:color="auto"/>
      </w:divBdr>
    </w:div>
    <w:div w:id="711265636">
      <w:marLeft w:val="640"/>
      <w:marRight w:val="0"/>
      <w:marTop w:val="0"/>
      <w:marBottom w:val="0"/>
      <w:divBdr>
        <w:top w:val="none" w:sz="0" w:space="0" w:color="auto"/>
        <w:left w:val="none" w:sz="0" w:space="0" w:color="auto"/>
        <w:bottom w:val="none" w:sz="0" w:space="0" w:color="auto"/>
        <w:right w:val="none" w:sz="0" w:space="0" w:color="auto"/>
      </w:divBdr>
    </w:div>
    <w:div w:id="712117274">
      <w:marLeft w:val="640"/>
      <w:marRight w:val="0"/>
      <w:marTop w:val="0"/>
      <w:marBottom w:val="0"/>
      <w:divBdr>
        <w:top w:val="none" w:sz="0" w:space="0" w:color="auto"/>
        <w:left w:val="none" w:sz="0" w:space="0" w:color="auto"/>
        <w:bottom w:val="none" w:sz="0" w:space="0" w:color="auto"/>
        <w:right w:val="none" w:sz="0" w:space="0" w:color="auto"/>
      </w:divBdr>
    </w:div>
    <w:div w:id="748187936">
      <w:marLeft w:val="640"/>
      <w:marRight w:val="0"/>
      <w:marTop w:val="0"/>
      <w:marBottom w:val="0"/>
      <w:divBdr>
        <w:top w:val="none" w:sz="0" w:space="0" w:color="auto"/>
        <w:left w:val="none" w:sz="0" w:space="0" w:color="auto"/>
        <w:bottom w:val="none" w:sz="0" w:space="0" w:color="auto"/>
        <w:right w:val="none" w:sz="0" w:space="0" w:color="auto"/>
      </w:divBdr>
    </w:div>
    <w:div w:id="758719168">
      <w:marLeft w:val="640"/>
      <w:marRight w:val="0"/>
      <w:marTop w:val="0"/>
      <w:marBottom w:val="0"/>
      <w:divBdr>
        <w:top w:val="none" w:sz="0" w:space="0" w:color="auto"/>
        <w:left w:val="none" w:sz="0" w:space="0" w:color="auto"/>
        <w:bottom w:val="none" w:sz="0" w:space="0" w:color="auto"/>
        <w:right w:val="none" w:sz="0" w:space="0" w:color="auto"/>
      </w:divBdr>
    </w:div>
    <w:div w:id="782380741">
      <w:marLeft w:val="640"/>
      <w:marRight w:val="0"/>
      <w:marTop w:val="0"/>
      <w:marBottom w:val="0"/>
      <w:divBdr>
        <w:top w:val="none" w:sz="0" w:space="0" w:color="auto"/>
        <w:left w:val="none" w:sz="0" w:space="0" w:color="auto"/>
        <w:bottom w:val="none" w:sz="0" w:space="0" w:color="auto"/>
        <w:right w:val="none" w:sz="0" w:space="0" w:color="auto"/>
      </w:divBdr>
    </w:div>
    <w:div w:id="784497978">
      <w:marLeft w:val="640"/>
      <w:marRight w:val="0"/>
      <w:marTop w:val="0"/>
      <w:marBottom w:val="0"/>
      <w:divBdr>
        <w:top w:val="none" w:sz="0" w:space="0" w:color="auto"/>
        <w:left w:val="none" w:sz="0" w:space="0" w:color="auto"/>
        <w:bottom w:val="none" w:sz="0" w:space="0" w:color="auto"/>
        <w:right w:val="none" w:sz="0" w:space="0" w:color="auto"/>
      </w:divBdr>
    </w:div>
    <w:div w:id="803428665">
      <w:marLeft w:val="640"/>
      <w:marRight w:val="0"/>
      <w:marTop w:val="0"/>
      <w:marBottom w:val="0"/>
      <w:divBdr>
        <w:top w:val="none" w:sz="0" w:space="0" w:color="auto"/>
        <w:left w:val="none" w:sz="0" w:space="0" w:color="auto"/>
        <w:bottom w:val="none" w:sz="0" w:space="0" w:color="auto"/>
        <w:right w:val="none" w:sz="0" w:space="0" w:color="auto"/>
      </w:divBdr>
    </w:div>
    <w:div w:id="804734703">
      <w:marLeft w:val="640"/>
      <w:marRight w:val="0"/>
      <w:marTop w:val="0"/>
      <w:marBottom w:val="0"/>
      <w:divBdr>
        <w:top w:val="none" w:sz="0" w:space="0" w:color="auto"/>
        <w:left w:val="none" w:sz="0" w:space="0" w:color="auto"/>
        <w:bottom w:val="none" w:sz="0" w:space="0" w:color="auto"/>
        <w:right w:val="none" w:sz="0" w:space="0" w:color="auto"/>
      </w:divBdr>
    </w:div>
    <w:div w:id="839078241">
      <w:marLeft w:val="640"/>
      <w:marRight w:val="0"/>
      <w:marTop w:val="0"/>
      <w:marBottom w:val="0"/>
      <w:divBdr>
        <w:top w:val="none" w:sz="0" w:space="0" w:color="auto"/>
        <w:left w:val="none" w:sz="0" w:space="0" w:color="auto"/>
        <w:bottom w:val="none" w:sz="0" w:space="0" w:color="auto"/>
        <w:right w:val="none" w:sz="0" w:space="0" w:color="auto"/>
      </w:divBdr>
    </w:div>
    <w:div w:id="852768547">
      <w:marLeft w:val="640"/>
      <w:marRight w:val="0"/>
      <w:marTop w:val="0"/>
      <w:marBottom w:val="0"/>
      <w:divBdr>
        <w:top w:val="none" w:sz="0" w:space="0" w:color="auto"/>
        <w:left w:val="none" w:sz="0" w:space="0" w:color="auto"/>
        <w:bottom w:val="none" w:sz="0" w:space="0" w:color="auto"/>
        <w:right w:val="none" w:sz="0" w:space="0" w:color="auto"/>
      </w:divBdr>
    </w:div>
    <w:div w:id="868638684">
      <w:marLeft w:val="640"/>
      <w:marRight w:val="0"/>
      <w:marTop w:val="0"/>
      <w:marBottom w:val="0"/>
      <w:divBdr>
        <w:top w:val="none" w:sz="0" w:space="0" w:color="auto"/>
        <w:left w:val="none" w:sz="0" w:space="0" w:color="auto"/>
        <w:bottom w:val="none" w:sz="0" w:space="0" w:color="auto"/>
        <w:right w:val="none" w:sz="0" w:space="0" w:color="auto"/>
      </w:divBdr>
    </w:div>
    <w:div w:id="873612158">
      <w:marLeft w:val="640"/>
      <w:marRight w:val="0"/>
      <w:marTop w:val="0"/>
      <w:marBottom w:val="0"/>
      <w:divBdr>
        <w:top w:val="none" w:sz="0" w:space="0" w:color="auto"/>
        <w:left w:val="none" w:sz="0" w:space="0" w:color="auto"/>
        <w:bottom w:val="none" w:sz="0" w:space="0" w:color="auto"/>
        <w:right w:val="none" w:sz="0" w:space="0" w:color="auto"/>
      </w:divBdr>
    </w:div>
    <w:div w:id="889808309">
      <w:marLeft w:val="640"/>
      <w:marRight w:val="0"/>
      <w:marTop w:val="0"/>
      <w:marBottom w:val="0"/>
      <w:divBdr>
        <w:top w:val="none" w:sz="0" w:space="0" w:color="auto"/>
        <w:left w:val="none" w:sz="0" w:space="0" w:color="auto"/>
        <w:bottom w:val="none" w:sz="0" w:space="0" w:color="auto"/>
        <w:right w:val="none" w:sz="0" w:space="0" w:color="auto"/>
      </w:divBdr>
    </w:div>
    <w:div w:id="894394818">
      <w:marLeft w:val="640"/>
      <w:marRight w:val="0"/>
      <w:marTop w:val="0"/>
      <w:marBottom w:val="0"/>
      <w:divBdr>
        <w:top w:val="none" w:sz="0" w:space="0" w:color="auto"/>
        <w:left w:val="none" w:sz="0" w:space="0" w:color="auto"/>
        <w:bottom w:val="none" w:sz="0" w:space="0" w:color="auto"/>
        <w:right w:val="none" w:sz="0" w:space="0" w:color="auto"/>
      </w:divBdr>
    </w:div>
    <w:div w:id="909272271">
      <w:marLeft w:val="640"/>
      <w:marRight w:val="0"/>
      <w:marTop w:val="0"/>
      <w:marBottom w:val="0"/>
      <w:divBdr>
        <w:top w:val="none" w:sz="0" w:space="0" w:color="auto"/>
        <w:left w:val="none" w:sz="0" w:space="0" w:color="auto"/>
        <w:bottom w:val="none" w:sz="0" w:space="0" w:color="auto"/>
        <w:right w:val="none" w:sz="0" w:space="0" w:color="auto"/>
      </w:divBdr>
    </w:div>
    <w:div w:id="934900823">
      <w:marLeft w:val="640"/>
      <w:marRight w:val="0"/>
      <w:marTop w:val="0"/>
      <w:marBottom w:val="0"/>
      <w:divBdr>
        <w:top w:val="none" w:sz="0" w:space="0" w:color="auto"/>
        <w:left w:val="none" w:sz="0" w:space="0" w:color="auto"/>
        <w:bottom w:val="none" w:sz="0" w:space="0" w:color="auto"/>
        <w:right w:val="none" w:sz="0" w:space="0" w:color="auto"/>
      </w:divBdr>
    </w:div>
    <w:div w:id="969432833">
      <w:marLeft w:val="640"/>
      <w:marRight w:val="0"/>
      <w:marTop w:val="0"/>
      <w:marBottom w:val="0"/>
      <w:divBdr>
        <w:top w:val="none" w:sz="0" w:space="0" w:color="auto"/>
        <w:left w:val="none" w:sz="0" w:space="0" w:color="auto"/>
        <w:bottom w:val="none" w:sz="0" w:space="0" w:color="auto"/>
        <w:right w:val="none" w:sz="0" w:space="0" w:color="auto"/>
      </w:divBdr>
    </w:div>
    <w:div w:id="989597496">
      <w:marLeft w:val="640"/>
      <w:marRight w:val="0"/>
      <w:marTop w:val="0"/>
      <w:marBottom w:val="0"/>
      <w:divBdr>
        <w:top w:val="none" w:sz="0" w:space="0" w:color="auto"/>
        <w:left w:val="none" w:sz="0" w:space="0" w:color="auto"/>
        <w:bottom w:val="none" w:sz="0" w:space="0" w:color="auto"/>
        <w:right w:val="none" w:sz="0" w:space="0" w:color="auto"/>
      </w:divBdr>
    </w:div>
    <w:div w:id="992638783">
      <w:marLeft w:val="640"/>
      <w:marRight w:val="0"/>
      <w:marTop w:val="0"/>
      <w:marBottom w:val="0"/>
      <w:divBdr>
        <w:top w:val="none" w:sz="0" w:space="0" w:color="auto"/>
        <w:left w:val="none" w:sz="0" w:space="0" w:color="auto"/>
        <w:bottom w:val="none" w:sz="0" w:space="0" w:color="auto"/>
        <w:right w:val="none" w:sz="0" w:space="0" w:color="auto"/>
      </w:divBdr>
    </w:div>
    <w:div w:id="1020469864">
      <w:marLeft w:val="640"/>
      <w:marRight w:val="0"/>
      <w:marTop w:val="0"/>
      <w:marBottom w:val="0"/>
      <w:divBdr>
        <w:top w:val="none" w:sz="0" w:space="0" w:color="auto"/>
        <w:left w:val="none" w:sz="0" w:space="0" w:color="auto"/>
        <w:bottom w:val="none" w:sz="0" w:space="0" w:color="auto"/>
        <w:right w:val="none" w:sz="0" w:space="0" w:color="auto"/>
      </w:divBdr>
    </w:div>
    <w:div w:id="1031029147">
      <w:marLeft w:val="640"/>
      <w:marRight w:val="0"/>
      <w:marTop w:val="0"/>
      <w:marBottom w:val="0"/>
      <w:divBdr>
        <w:top w:val="none" w:sz="0" w:space="0" w:color="auto"/>
        <w:left w:val="none" w:sz="0" w:space="0" w:color="auto"/>
        <w:bottom w:val="none" w:sz="0" w:space="0" w:color="auto"/>
        <w:right w:val="none" w:sz="0" w:space="0" w:color="auto"/>
      </w:divBdr>
    </w:div>
    <w:div w:id="1062485856">
      <w:marLeft w:val="640"/>
      <w:marRight w:val="0"/>
      <w:marTop w:val="0"/>
      <w:marBottom w:val="0"/>
      <w:divBdr>
        <w:top w:val="none" w:sz="0" w:space="0" w:color="auto"/>
        <w:left w:val="none" w:sz="0" w:space="0" w:color="auto"/>
        <w:bottom w:val="none" w:sz="0" w:space="0" w:color="auto"/>
        <w:right w:val="none" w:sz="0" w:space="0" w:color="auto"/>
      </w:divBdr>
    </w:div>
    <w:div w:id="1063404844">
      <w:marLeft w:val="640"/>
      <w:marRight w:val="0"/>
      <w:marTop w:val="0"/>
      <w:marBottom w:val="0"/>
      <w:divBdr>
        <w:top w:val="none" w:sz="0" w:space="0" w:color="auto"/>
        <w:left w:val="none" w:sz="0" w:space="0" w:color="auto"/>
        <w:bottom w:val="none" w:sz="0" w:space="0" w:color="auto"/>
        <w:right w:val="none" w:sz="0" w:space="0" w:color="auto"/>
      </w:divBdr>
    </w:div>
    <w:div w:id="1068578452">
      <w:marLeft w:val="640"/>
      <w:marRight w:val="0"/>
      <w:marTop w:val="0"/>
      <w:marBottom w:val="0"/>
      <w:divBdr>
        <w:top w:val="none" w:sz="0" w:space="0" w:color="auto"/>
        <w:left w:val="none" w:sz="0" w:space="0" w:color="auto"/>
        <w:bottom w:val="none" w:sz="0" w:space="0" w:color="auto"/>
        <w:right w:val="none" w:sz="0" w:space="0" w:color="auto"/>
      </w:divBdr>
    </w:div>
    <w:div w:id="1076899230">
      <w:marLeft w:val="640"/>
      <w:marRight w:val="0"/>
      <w:marTop w:val="0"/>
      <w:marBottom w:val="0"/>
      <w:divBdr>
        <w:top w:val="none" w:sz="0" w:space="0" w:color="auto"/>
        <w:left w:val="none" w:sz="0" w:space="0" w:color="auto"/>
        <w:bottom w:val="none" w:sz="0" w:space="0" w:color="auto"/>
        <w:right w:val="none" w:sz="0" w:space="0" w:color="auto"/>
      </w:divBdr>
    </w:div>
    <w:div w:id="1085224261">
      <w:marLeft w:val="640"/>
      <w:marRight w:val="0"/>
      <w:marTop w:val="0"/>
      <w:marBottom w:val="0"/>
      <w:divBdr>
        <w:top w:val="none" w:sz="0" w:space="0" w:color="auto"/>
        <w:left w:val="none" w:sz="0" w:space="0" w:color="auto"/>
        <w:bottom w:val="none" w:sz="0" w:space="0" w:color="auto"/>
        <w:right w:val="none" w:sz="0" w:space="0" w:color="auto"/>
      </w:divBdr>
    </w:div>
    <w:div w:id="1112431928">
      <w:marLeft w:val="640"/>
      <w:marRight w:val="0"/>
      <w:marTop w:val="0"/>
      <w:marBottom w:val="0"/>
      <w:divBdr>
        <w:top w:val="none" w:sz="0" w:space="0" w:color="auto"/>
        <w:left w:val="none" w:sz="0" w:space="0" w:color="auto"/>
        <w:bottom w:val="none" w:sz="0" w:space="0" w:color="auto"/>
        <w:right w:val="none" w:sz="0" w:space="0" w:color="auto"/>
      </w:divBdr>
    </w:div>
    <w:div w:id="1124038176">
      <w:marLeft w:val="640"/>
      <w:marRight w:val="0"/>
      <w:marTop w:val="0"/>
      <w:marBottom w:val="0"/>
      <w:divBdr>
        <w:top w:val="none" w:sz="0" w:space="0" w:color="auto"/>
        <w:left w:val="none" w:sz="0" w:space="0" w:color="auto"/>
        <w:bottom w:val="none" w:sz="0" w:space="0" w:color="auto"/>
        <w:right w:val="none" w:sz="0" w:space="0" w:color="auto"/>
      </w:divBdr>
    </w:div>
    <w:div w:id="1145049159">
      <w:marLeft w:val="640"/>
      <w:marRight w:val="0"/>
      <w:marTop w:val="0"/>
      <w:marBottom w:val="0"/>
      <w:divBdr>
        <w:top w:val="none" w:sz="0" w:space="0" w:color="auto"/>
        <w:left w:val="none" w:sz="0" w:space="0" w:color="auto"/>
        <w:bottom w:val="none" w:sz="0" w:space="0" w:color="auto"/>
        <w:right w:val="none" w:sz="0" w:space="0" w:color="auto"/>
      </w:divBdr>
    </w:div>
    <w:div w:id="1152604993">
      <w:marLeft w:val="640"/>
      <w:marRight w:val="0"/>
      <w:marTop w:val="0"/>
      <w:marBottom w:val="0"/>
      <w:divBdr>
        <w:top w:val="none" w:sz="0" w:space="0" w:color="auto"/>
        <w:left w:val="none" w:sz="0" w:space="0" w:color="auto"/>
        <w:bottom w:val="none" w:sz="0" w:space="0" w:color="auto"/>
        <w:right w:val="none" w:sz="0" w:space="0" w:color="auto"/>
      </w:divBdr>
    </w:div>
    <w:div w:id="1156187383">
      <w:marLeft w:val="640"/>
      <w:marRight w:val="0"/>
      <w:marTop w:val="0"/>
      <w:marBottom w:val="0"/>
      <w:divBdr>
        <w:top w:val="none" w:sz="0" w:space="0" w:color="auto"/>
        <w:left w:val="none" w:sz="0" w:space="0" w:color="auto"/>
        <w:bottom w:val="none" w:sz="0" w:space="0" w:color="auto"/>
        <w:right w:val="none" w:sz="0" w:space="0" w:color="auto"/>
      </w:divBdr>
    </w:div>
    <w:div w:id="1161122706">
      <w:marLeft w:val="640"/>
      <w:marRight w:val="0"/>
      <w:marTop w:val="0"/>
      <w:marBottom w:val="0"/>
      <w:divBdr>
        <w:top w:val="none" w:sz="0" w:space="0" w:color="auto"/>
        <w:left w:val="none" w:sz="0" w:space="0" w:color="auto"/>
        <w:bottom w:val="none" w:sz="0" w:space="0" w:color="auto"/>
        <w:right w:val="none" w:sz="0" w:space="0" w:color="auto"/>
      </w:divBdr>
    </w:div>
    <w:div w:id="1168716223">
      <w:marLeft w:val="640"/>
      <w:marRight w:val="0"/>
      <w:marTop w:val="0"/>
      <w:marBottom w:val="0"/>
      <w:divBdr>
        <w:top w:val="none" w:sz="0" w:space="0" w:color="auto"/>
        <w:left w:val="none" w:sz="0" w:space="0" w:color="auto"/>
        <w:bottom w:val="none" w:sz="0" w:space="0" w:color="auto"/>
        <w:right w:val="none" w:sz="0" w:space="0" w:color="auto"/>
      </w:divBdr>
    </w:div>
    <w:div w:id="1174614698">
      <w:marLeft w:val="640"/>
      <w:marRight w:val="0"/>
      <w:marTop w:val="0"/>
      <w:marBottom w:val="0"/>
      <w:divBdr>
        <w:top w:val="none" w:sz="0" w:space="0" w:color="auto"/>
        <w:left w:val="none" w:sz="0" w:space="0" w:color="auto"/>
        <w:bottom w:val="none" w:sz="0" w:space="0" w:color="auto"/>
        <w:right w:val="none" w:sz="0" w:space="0" w:color="auto"/>
      </w:divBdr>
    </w:div>
    <w:div w:id="1178688869">
      <w:marLeft w:val="640"/>
      <w:marRight w:val="0"/>
      <w:marTop w:val="0"/>
      <w:marBottom w:val="0"/>
      <w:divBdr>
        <w:top w:val="none" w:sz="0" w:space="0" w:color="auto"/>
        <w:left w:val="none" w:sz="0" w:space="0" w:color="auto"/>
        <w:bottom w:val="none" w:sz="0" w:space="0" w:color="auto"/>
        <w:right w:val="none" w:sz="0" w:space="0" w:color="auto"/>
      </w:divBdr>
    </w:div>
    <w:div w:id="1225947791">
      <w:marLeft w:val="640"/>
      <w:marRight w:val="0"/>
      <w:marTop w:val="0"/>
      <w:marBottom w:val="0"/>
      <w:divBdr>
        <w:top w:val="none" w:sz="0" w:space="0" w:color="auto"/>
        <w:left w:val="none" w:sz="0" w:space="0" w:color="auto"/>
        <w:bottom w:val="none" w:sz="0" w:space="0" w:color="auto"/>
        <w:right w:val="none" w:sz="0" w:space="0" w:color="auto"/>
      </w:divBdr>
    </w:div>
    <w:div w:id="1227764599">
      <w:marLeft w:val="640"/>
      <w:marRight w:val="0"/>
      <w:marTop w:val="0"/>
      <w:marBottom w:val="0"/>
      <w:divBdr>
        <w:top w:val="none" w:sz="0" w:space="0" w:color="auto"/>
        <w:left w:val="none" w:sz="0" w:space="0" w:color="auto"/>
        <w:bottom w:val="none" w:sz="0" w:space="0" w:color="auto"/>
        <w:right w:val="none" w:sz="0" w:space="0" w:color="auto"/>
      </w:divBdr>
    </w:div>
    <w:div w:id="1244409445">
      <w:marLeft w:val="640"/>
      <w:marRight w:val="0"/>
      <w:marTop w:val="0"/>
      <w:marBottom w:val="0"/>
      <w:divBdr>
        <w:top w:val="none" w:sz="0" w:space="0" w:color="auto"/>
        <w:left w:val="none" w:sz="0" w:space="0" w:color="auto"/>
        <w:bottom w:val="none" w:sz="0" w:space="0" w:color="auto"/>
        <w:right w:val="none" w:sz="0" w:space="0" w:color="auto"/>
      </w:divBdr>
    </w:div>
    <w:div w:id="1247543549">
      <w:marLeft w:val="640"/>
      <w:marRight w:val="0"/>
      <w:marTop w:val="0"/>
      <w:marBottom w:val="0"/>
      <w:divBdr>
        <w:top w:val="none" w:sz="0" w:space="0" w:color="auto"/>
        <w:left w:val="none" w:sz="0" w:space="0" w:color="auto"/>
        <w:bottom w:val="none" w:sz="0" w:space="0" w:color="auto"/>
        <w:right w:val="none" w:sz="0" w:space="0" w:color="auto"/>
      </w:divBdr>
    </w:div>
    <w:div w:id="1248802461">
      <w:marLeft w:val="640"/>
      <w:marRight w:val="0"/>
      <w:marTop w:val="0"/>
      <w:marBottom w:val="0"/>
      <w:divBdr>
        <w:top w:val="none" w:sz="0" w:space="0" w:color="auto"/>
        <w:left w:val="none" w:sz="0" w:space="0" w:color="auto"/>
        <w:bottom w:val="none" w:sz="0" w:space="0" w:color="auto"/>
        <w:right w:val="none" w:sz="0" w:space="0" w:color="auto"/>
      </w:divBdr>
    </w:div>
    <w:div w:id="1253588307">
      <w:marLeft w:val="640"/>
      <w:marRight w:val="0"/>
      <w:marTop w:val="0"/>
      <w:marBottom w:val="0"/>
      <w:divBdr>
        <w:top w:val="none" w:sz="0" w:space="0" w:color="auto"/>
        <w:left w:val="none" w:sz="0" w:space="0" w:color="auto"/>
        <w:bottom w:val="none" w:sz="0" w:space="0" w:color="auto"/>
        <w:right w:val="none" w:sz="0" w:space="0" w:color="auto"/>
      </w:divBdr>
    </w:div>
    <w:div w:id="1257326781">
      <w:marLeft w:val="640"/>
      <w:marRight w:val="0"/>
      <w:marTop w:val="0"/>
      <w:marBottom w:val="0"/>
      <w:divBdr>
        <w:top w:val="none" w:sz="0" w:space="0" w:color="auto"/>
        <w:left w:val="none" w:sz="0" w:space="0" w:color="auto"/>
        <w:bottom w:val="none" w:sz="0" w:space="0" w:color="auto"/>
        <w:right w:val="none" w:sz="0" w:space="0" w:color="auto"/>
      </w:divBdr>
    </w:div>
    <w:div w:id="1311711673">
      <w:marLeft w:val="640"/>
      <w:marRight w:val="0"/>
      <w:marTop w:val="0"/>
      <w:marBottom w:val="0"/>
      <w:divBdr>
        <w:top w:val="none" w:sz="0" w:space="0" w:color="auto"/>
        <w:left w:val="none" w:sz="0" w:space="0" w:color="auto"/>
        <w:bottom w:val="none" w:sz="0" w:space="0" w:color="auto"/>
        <w:right w:val="none" w:sz="0" w:space="0" w:color="auto"/>
      </w:divBdr>
    </w:div>
    <w:div w:id="1327441870">
      <w:marLeft w:val="640"/>
      <w:marRight w:val="0"/>
      <w:marTop w:val="0"/>
      <w:marBottom w:val="0"/>
      <w:divBdr>
        <w:top w:val="none" w:sz="0" w:space="0" w:color="auto"/>
        <w:left w:val="none" w:sz="0" w:space="0" w:color="auto"/>
        <w:bottom w:val="none" w:sz="0" w:space="0" w:color="auto"/>
        <w:right w:val="none" w:sz="0" w:space="0" w:color="auto"/>
      </w:divBdr>
    </w:div>
    <w:div w:id="1349212284">
      <w:marLeft w:val="640"/>
      <w:marRight w:val="0"/>
      <w:marTop w:val="0"/>
      <w:marBottom w:val="0"/>
      <w:divBdr>
        <w:top w:val="none" w:sz="0" w:space="0" w:color="auto"/>
        <w:left w:val="none" w:sz="0" w:space="0" w:color="auto"/>
        <w:bottom w:val="none" w:sz="0" w:space="0" w:color="auto"/>
        <w:right w:val="none" w:sz="0" w:space="0" w:color="auto"/>
      </w:divBdr>
    </w:div>
    <w:div w:id="1398750010">
      <w:marLeft w:val="640"/>
      <w:marRight w:val="0"/>
      <w:marTop w:val="0"/>
      <w:marBottom w:val="0"/>
      <w:divBdr>
        <w:top w:val="none" w:sz="0" w:space="0" w:color="auto"/>
        <w:left w:val="none" w:sz="0" w:space="0" w:color="auto"/>
        <w:bottom w:val="none" w:sz="0" w:space="0" w:color="auto"/>
        <w:right w:val="none" w:sz="0" w:space="0" w:color="auto"/>
      </w:divBdr>
    </w:div>
    <w:div w:id="1430351136">
      <w:marLeft w:val="640"/>
      <w:marRight w:val="0"/>
      <w:marTop w:val="0"/>
      <w:marBottom w:val="0"/>
      <w:divBdr>
        <w:top w:val="none" w:sz="0" w:space="0" w:color="auto"/>
        <w:left w:val="none" w:sz="0" w:space="0" w:color="auto"/>
        <w:bottom w:val="none" w:sz="0" w:space="0" w:color="auto"/>
        <w:right w:val="none" w:sz="0" w:space="0" w:color="auto"/>
      </w:divBdr>
    </w:div>
    <w:div w:id="1464159136">
      <w:marLeft w:val="640"/>
      <w:marRight w:val="0"/>
      <w:marTop w:val="0"/>
      <w:marBottom w:val="0"/>
      <w:divBdr>
        <w:top w:val="none" w:sz="0" w:space="0" w:color="auto"/>
        <w:left w:val="none" w:sz="0" w:space="0" w:color="auto"/>
        <w:bottom w:val="none" w:sz="0" w:space="0" w:color="auto"/>
        <w:right w:val="none" w:sz="0" w:space="0" w:color="auto"/>
      </w:divBdr>
    </w:div>
    <w:div w:id="1481311123">
      <w:marLeft w:val="640"/>
      <w:marRight w:val="0"/>
      <w:marTop w:val="0"/>
      <w:marBottom w:val="0"/>
      <w:divBdr>
        <w:top w:val="none" w:sz="0" w:space="0" w:color="auto"/>
        <w:left w:val="none" w:sz="0" w:space="0" w:color="auto"/>
        <w:bottom w:val="none" w:sz="0" w:space="0" w:color="auto"/>
        <w:right w:val="none" w:sz="0" w:space="0" w:color="auto"/>
      </w:divBdr>
    </w:div>
    <w:div w:id="1496918158">
      <w:marLeft w:val="640"/>
      <w:marRight w:val="0"/>
      <w:marTop w:val="0"/>
      <w:marBottom w:val="0"/>
      <w:divBdr>
        <w:top w:val="none" w:sz="0" w:space="0" w:color="auto"/>
        <w:left w:val="none" w:sz="0" w:space="0" w:color="auto"/>
        <w:bottom w:val="none" w:sz="0" w:space="0" w:color="auto"/>
        <w:right w:val="none" w:sz="0" w:space="0" w:color="auto"/>
      </w:divBdr>
    </w:div>
    <w:div w:id="1498493418">
      <w:marLeft w:val="640"/>
      <w:marRight w:val="0"/>
      <w:marTop w:val="0"/>
      <w:marBottom w:val="0"/>
      <w:divBdr>
        <w:top w:val="none" w:sz="0" w:space="0" w:color="auto"/>
        <w:left w:val="none" w:sz="0" w:space="0" w:color="auto"/>
        <w:bottom w:val="none" w:sz="0" w:space="0" w:color="auto"/>
        <w:right w:val="none" w:sz="0" w:space="0" w:color="auto"/>
      </w:divBdr>
    </w:div>
    <w:div w:id="1519352694">
      <w:marLeft w:val="640"/>
      <w:marRight w:val="0"/>
      <w:marTop w:val="0"/>
      <w:marBottom w:val="0"/>
      <w:divBdr>
        <w:top w:val="none" w:sz="0" w:space="0" w:color="auto"/>
        <w:left w:val="none" w:sz="0" w:space="0" w:color="auto"/>
        <w:bottom w:val="none" w:sz="0" w:space="0" w:color="auto"/>
        <w:right w:val="none" w:sz="0" w:space="0" w:color="auto"/>
      </w:divBdr>
    </w:div>
    <w:div w:id="1522159070">
      <w:marLeft w:val="640"/>
      <w:marRight w:val="0"/>
      <w:marTop w:val="0"/>
      <w:marBottom w:val="0"/>
      <w:divBdr>
        <w:top w:val="none" w:sz="0" w:space="0" w:color="auto"/>
        <w:left w:val="none" w:sz="0" w:space="0" w:color="auto"/>
        <w:bottom w:val="none" w:sz="0" w:space="0" w:color="auto"/>
        <w:right w:val="none" w:sz="0" w:space="0" w:color="auto"/>
      </w:divBdr>
    </w:div>
    <w:div w:id="1525556220">
      <w:marLeft w:val="640"/>
      <w:marRight w:val="0"/>
      <w:marTop w:val="0"/>
      <w:marBottom w:val="0"/>
      <w:divBdr>
        <w:top w:val="none" w:sz="0" w:space="0" w:color="auto"/>
        <w:left w:val="none" w:sz="0" w:space="0" w:color="auto"/>
        <w:bottom w:val="none" w:sz="0" w:space="0" w:color="auto"/>
        <w:right w:val="none" w:sz="0" w:space="0" w:color="auto"/>
      </w:divBdr>
    </w:div>
    <w:div w:id="1559780387">
      <w:marLeft w:val="640"/>
      <w:marRight w:val="0"/>
      <w:marTop w:val="0"/>
      <w:marBottom w:val="0"/>
      <w:divBdr>
        <w:top w:val="none" w:sz="0" w:space="0" w:color="auto"/>
        <w:left w:val="none" w:sz="0" w:space="0" w:color="auto"/>
        <w:bottom w:val="none" w:sz="0" w:space="0" w:color="auto"/>
        <w:right w:val="none" w:sz="0" w:space="0" w:color="auto"/>
      </w:divBdr>
    </w:div>
    <w:div w:id="1570119667">
      <w:marLeft w:val="640"/>
      <w:marRight w:val="0"/>
      <w:marTop w:val="0"/>
      <w:marBottom w:val="0"/>
      <w:divBdr>
        <w:top w:val="none" w:sz="0" w:space="0" w:color="auto"/>
        <w:left w:val="none" w:sz="0" w:space="0" w:color="auto"/>
        <w:bottom w:val="none" w:sz="0" w:space="0" w:color="auto"/>
        <w:right w:val="none" w:sz="0" w:space="0" w:color="auto"/>
      </w:divBdr>
    </w:div>
    <w:div w:id="1571580279">
      <w:marLeft w:val="640"/>
      <w:marRight w:val="0"/>
      <w:marTop w:val="0"/>
      <w:marBottom w:val="0"/>
      <w:divBdr>
        <w:top w:val="none" w:sz="0" w:space="0" w:color="auto"/>
        <w:left w:val="none" w:sz="0" w:space="0" w:color="auto"/>
        <w:bottom w:val="none" w:sz="0" w:space="0" w:color="auto"/>
        <w:right w:val="none" w:sz="0" w:space="0" w:color="auto"/>
      </w:divBdr>
    </w:div>
    <w:div w:id="1581134211">
      <w:marLeft w:val="640"/>
      <w:marRight w:val="0"/>
      <w:marTop w:val="0"/>
      <w:marBottom w:val="0"/>
      <w:divBdr>
        <w:top w:val="none" w:sz="0" w:space="0" w:color="auto"/>
        <w:left w:val="none" w:sz="0" w:space="0" w:color="auto"/>
        <w:bottom w:val="none" w:sz="0" w:space="0" w:color="auto"/>
        <w:right w:val="none" w:sz="0" w:space="0" w:color="auto"/>
      </w:divBdr>
    </w:div>
    <w:div w:id="1627198741">
      <w:marLeft w:val="640"/>
      <w:marRight w:val="0"/>
      <w:marTop w:val="0"/>
      <w:marBottom w:val="0"/>
      <w:divBdr>
        <w:top w:val="none" w:sz="0" w:space="0" w:color="auto"/>
        <w:left w:val="none" w:sz="0" w:space="0" w:color="auto"/>
        <w:bottom w:val="none" w:sz="0" w:space="0" w:color="auto"/>
        <w:right w:val="none" w:sz="0" w:space="0" w:color="auto"/>
      </w:divBdr>
    </w:div>
    <w:div w:id="1628311133">
      <w:marLeft w:val="640"/>
      <w:marRight w:val="0"/>
      <w:marTop w:val="0"/>
      <w:marBottom w:val="0"/>
      <w:divBdr>
        <w:top w:val="none" w:sz="0" w:space="0" w:color="auto"/>
        <w:left w:val="none" w:sz="0" w:space="0" w:color="auto"/>
        <w:bottom w:val="none" w:sz="0" w:space="0" w:color="auto"/>
        <w:right w:val="none" w:sz="0" w:space="0" w:color="auto"/>
      </w:divBdr>
    </w:div>
    <w:div w:id="1644431217">
      <w:marLeft w:val="640"/>
      <w:marRight w:val="0"/>
      <w:marTop w:val="0"/>
      <w:marBottom w:val="0"/>
      <w:divBdr>
        <w:top w:val="none" w:sz="0" w:space="0" w:color="auto"/>
        <w:left w:val="none" w:sz="0" w:space="0" w:color="auto"/>
        <w:bottom w:val="none" w:sz="0" w:space="0" w:color="auto"/>
        <w:right w:val="none" w:sz="0" w:space="0" w:color="auto"/>
      </w:divBdr>
    </w:div>
    <w:div w:id="1658537083">
      <w:marLeft w:val="640"/>
      <w:marRight w:val="0"/>
      <w:marTop w:val="0"/>
      <w:marBottom w:val="0"/>
      <w:divBdr>
        <w:top w:val="none" w:sz="0" w:space="0" w:color="auto"/>
        <w:left w:val="none" w:sz="0" w:space="0" w:color="auto"/>
        <w:bottom w:val="none" w:sz="0" w:space="0" w:color="auto"/>
        <w:right w:val="none" w:sz="0" w:space="0" w:color="auto"/>
      </w:divBdr>
    </w:div>
    <w:div w:id="1692487461">
      <w:marLeft w:val="640"/>
      <w:marRight w:val="0"/>
      <w:marTop w:val="0"/>
      <w:marBottom w:val="0"/>
      <w:divBdr>
        <w:top w:val="none" w:sz="0" w:space="0" w:color="auto"/>
        <w:left w:val="none" w:sz="0" w:space="0" w:color="auto"/>
        <w:bottom w:val="none" w:sz="0" w:space="0" w:color="auto"/>
        <w:right w:val="none" w:sz="0" w:space="0" w:color="auto"/>
      </w:divBdr>
    </w:div>
    <w:div w:id="1708292979">
      <w:marLeft w:val="640"/>
      <w:marRight w:val="0"/>
      <w:marTop w:val="0"/>
      <w:marBottom w:val="0"/>
      <w:divBdr>
        <w:top w:val="none" w:sz="0" w:space="0" w:color="auto"/>
        <w:left w:val="none" w:sz="0" w:space="0" w:color="auto"/>
        <w:bottom w:val="none" w:sz="0" w:space="0" w:color="auto"/>
        <w:right w:val="none" w:sz="0" w:space="0" w:color="auto"/>
      </w:divBdr>
    </w:div>
    <w:div w:id="1719744891">
      <w:marLeft w:val="640"/>
      <w:marRight w:val="0"/>
      <w:marTop w:val="0"/>
      <w:marBottom w:val="0"/>
      <w:divBdr>
        <w:top w:val="none" w:sz="0" w:space="0" w:color="auto"/>
        <w:left w:val="none" w:sz="0" w:space="0" w:color="auto"/>
        <w:bottom w:val="none" w:sz="0" w:space="0" w:color="auto"/>
        <w:right w:val="none" w:sz="0" w:space="0" w:color="auto"/>
      </w:divBdr>
    </w:div>
    <w:div w:id="1720591700">
      <w:marLeft w:val="640"/>
      <w:marRight w:val="0"/>
      <w:marTop w:val="0"/>
      <w:marBottom w:val="0"/>
      <w:divBdr>
        <w:top w:val="none" w:sz="0" w:space="0" w:color="auto"/>
        <w:left w:val="none" w:sz="0" w:space="0" w:color="auto"/>
        <w:bottom w:val="none" w:sz="0" w:space="0" w:color="auto"/>
        <w:right w:val="none" w:sz="0" w:space="0" w:color="auto"/>
      </w:divBdr>
    </w:div>
    <w:div w:id="1732921622">
      <w:marLeft w:val="640"/>
      <w:marRight w:val="0"/>
      <w:marTop w:val="0"/>
      <w:marBottom w:val="0"/>
      <w:divBdr>
        <w:top w:val="none" w:sz="0" w:space="0" w:color="auto"/>
        <w:left w:val="none" w:sz="0" w:space="0" w:color="auto"/>
        <w:bottom w:val="none" w:sz="0" w:space="0" w:color="auto"/>
        <w:right w:val="none" w:sz="0" w:space="0" w:color="auto"/>
      </w:divBdr>
    </w:div>
    <w:div w:id="1755084625">
      <w:marLeft w:val="640"/>
      <w:marRight w:val="0"/>
      <w:marTop w:val="0"/>
      <w:marBottom w:val="0"/>
      <w:divBdr>
        <w:top w:val="none" w:sz="0" w:space="0" w:color="auto"/>
        <w:left w:val="none" w:sz="0" w:space="0" w:color="auto"/>
        <w:bottom w:val="none" w:sz="0" w:space="0" w:color="auto"/>
        <w:right w:val="none" w:sz="0" w:space="0" w:color="auto"/>
      </w:divBdr>
    </w:div>
    <w:div w:id="1785537140">
      <w:marLeft w:val="640"/>
      <w:marRight w:val="0"/>
      <w:marTop w:val="0"/>
      <w:marBottom w:val="0"/>
      <w:divBdr>
        <w:top w:val="none" w:sz="0" w:space="0" w:color="auto"/>
        <w:left w:val="none" w:sz="0" w:space="0" w:color="auto"/>
        <w:bottom w:val="none" w:sz="0" w:space="0" w:color="auto"/>
        <w:right w:val="none" w:sz="0" w:space="0" w:color="auto"/>
      </w:divBdr>
    </w:div>
    <w:div w:id="1803039447">
      <w:marLeft w:val="640"/>
      <w:marRight w:val="0"/>
      <w:marTop w:val="0"/>
      <w:marBottom w:val="0"/>
      <w:divBdr>
        <w:top w:val="none" w:sz="0" w:space="0" w:color="auto"/>
        <w:left w:val="none" w:sz="0" w:space="0" w:color="auto"/>
        <w:bottom w:val="none" w:sz="0" w:space="0" w:color="auto"/>
        <w:right w:val="none" w:sz="0" w:space="0" w:color="auto"/>
      </w:divBdr>
    </w:div>
    <w:div w:id="1838685840">
      <w:marLeft w:val="640"/>
      <w:marRight w:val="0"/>
      <w:marTop w:val="0"/>
      <w:marBottom w:val="0"/>
      <w:divBdr>
        <w:top w:val="none" w:sz="0" w:space="0" w:color="auto"/>
        <w:left w:val="none" w:sz="0" w:space="0" w:color="auto"/>
        <w:bottom w:val="none" w:sz="0" w:space="0" w:color="auto"/>
        <w:right w:val="none" w:sz="0" w:space="0" w:color="auto"/>
      </w:divBdr>
    </w:div>
    <w:div w:id="1848056635">
      <w:marLeft w:val="640"/>
      <w:marRight w:val="0"/>
      <w:marTop w:val="0"/>
      <w:marBottom w:val="0"/>
      <w:divBdr>
        <w:top w:val="none" w:sz="0" w:space="0" w:color="auto"/>
        <w:left w:val="none" w:sz="0" w:space="0" w:color="auto"/>
        <w:bottom w:val="none" w:sz="0" w:space="0" w:color="auto"/>
        <w:right w:val="none" w:sz="0" w:space="0" w:color="auto"/>
      </w:divBdr>
    </w:div>
    <w:div w:id="1881278816">
      <w:marLeft w:val="640"/>
      <w:marRight w:val="0"/>
      <w:marTop w:val="0"/>
      <w:marBottom w:val="0"/>
      <w:divBdr>
        <w:top w:val="none" w:sz="0" w:space="0" w:color="auto"/>
        <w:left w:val="none" w:sz="0" w:space="0" w:color="auto"/>
        <w:bottom w:val="none" w:sz="0" w:space="0" w:color="auto"/>
        <w:right w:val="none" w:sz="0" w:space="0" w:color="auto"/>
      </w:divBdr>
    </w:div>
    <w:div w:id="1909460364">
      <w:marLeft w:val="640"/>
      <w:marRight w:val="0"/>
      <w:marTop w:val="0"/>
      <w:marBottom w:val="0"/>
      <w:divBdr>
        <w:top w:val="none" w:sz="0" w:space="0" w:color="auto"/>
        <w:left w:val="none" w:sz="0" w:space="0" w:color="auto"/>
        <w:bottom w:val="none" w:sz="0" w:space="0" w:color="auto"/>
        <w:right w:val="none" w:sz="0" w:space="0" w:color="auto"/>
      </w:divBdr>
    </w:div>
    <w:div w:id="1912695472">
      <w:marLeft w:val="640"/>
      <w:marRight w:val="0"/>
      <w:marTop w:val="0"/>
      <w:marBottom w:val="0"/>
      <w:divBdr>
        <w:top w:val="none" w:sz="0" w:space="0" w:color="auto"/>
        <w:left w:val="none" w:sz="0" w:space="0" w:color="auto"/>
        <w:bottom w:val="none" w:sz="0" w:space="0" w:color="auto"/>
        <w:right w:val="none" w:sz="0" w:space="0" w:color="auto"/>
      </w:divBdr>
    </w:div>
    <w:div w:id="1925526233">
      <w:marLeft w:val="640"/>
      <w:marRight w:val="0"/>
      <w:marTop w:val="0"/>
      <w:marBottom w:val="0"/>
      <w:divBdr>
        <w:top w:val="none" w:sz="0" w:space="0" w:color="auto"/>
        <w:left w:val="none" w:sz="0" w:space="0" w:color="auto"/>
        <w:bottom w:val="none" w:sz="0" w:space="0" w:color="auto"/>
        <w:right w:val="none" w:sz="0" w:space="0" w:color="auto"/>
      </w:divBdr>
    </w:div>
    <w:div w:id="1929197293">
      <w:marLeft w:val="640"/>
      <w:marRight w:val="0"/>
      <w:marTop w:val="0"/>
      <w:marBottom w:val="0"/>
      <w:divBdr>
        <w:top w:val="none" w:sz="0" w:space="0" w:color="auto"/>
        <w:left w:val="none" w:sz="0" w:space="0" w:color="auto"/>
        <w:bottom w:val="none" w:sz="0" w:space="0" w:color="auto"/>
        <w:right w:val="none" w:sz="0" w:space="0" w:color="auto"/>
      </w:divBdr>
    </w:div>
    <w:div w:id="1965310529">
      <w:marLeft w:val="640"/>
      <w:marRight w:val="0"/>
      <w:marTop w:val="0"/>
      <w:marBottom w:val="0"/>
      <w:divBdr>
        <w:top w:val="none" w:sz="0" w:space="0" w:color="auto"/>
        <w:left w:val="none" w:sz="0" w:space="0" w:color="auto"/>
        <w:bottom w:val="none" w:sz="0" w:space="0" w:color="auto"/>
        <w:right w:val="none" w:sz="0" w:space="0" w:color="auto"/>
      </w:divBdr>
    </w:div>
    <w:div w:id="1997565391">
      <w:marLeft w:val="640"/>
      <w:marRight w:val="0"/>
      <w:marTop w:val="0"/>
      <w:marBottom w:val="0"/>
      <w:divBdr>
        <w:top w:val="none" w:sz="0" w:space="0" w:color="auto"/>
        <w:left w:val="none" w:sz="0" w:space="0" w:color="auto"/>
        <w:bottom w:val="none" w:sz="0" w:space="0" w:color="auto"/>
        <w:right w:val="none" w:sz="0" w:space="0" w:color="auto"/>
      </w:divBdr>
    </w:div>
    <w:div w:id="2011445353">
      <w:marLeft w:val="640"/>
      <w:marRight w:val="0"/>
      <w:marTop w:val="0"/>
      <w:marBottom w:val="0"/>
      <w:divBdr>
        <w:top w:val="none" w:sz="0" w:space="0" w:color="auto"/>
        <w:left w:val="none" w:sz="0" w:space="0" w:color="auto"/>
        <w:bottom w:val="none" w:sz="0" w:space="0" w:color="auto"/>
        <w:right w:val="none" w:sz="0" w:space="0" w:color="auto"/>
      </w:divBdr>
    </w:div>
    <w:div w:id="2040743636">
      <w:marLeft w:val="640"/>
      <w:marRight w:val="0"/>
      <w:marTop w:val="0"/>
      <w:marBottom w:val="0"/>
      <w:divBdr>
        <w:top w:val="none" w:sz="0" w:space="0" w:color="auto"/>
        <w:left w:val="none" w:sz="0" w:space="0" w:color="auto"/>
        <w:bottom w:val="none" w:sz="0" w:space="0" w:color="auto"/>
        <w:right w:val="none" w:sz="0" w:space="0" w:color="auto"/>
      </w:divBdr>
    </w:div>
    <w:div w:id="2041584575">
      <w:marLeft w:val="640"/>
      <w:marRight w:val="0"/>
      <w:marTop w:val="0"/>
      <w:marBottom w:val="0"/>
      <w:divBdr>
        <w:top w:val="none" w:sz="0" w:space="0" w:color="auto"/>
        <w:left w:val="none" w:sz="0" w:space="0" w:color="auto"/>
        <w:bottom w:val="none" w:sz="0" w:space="0" w:color="auto"/>
        <w:right w:val="none" w:sz="0" w:space="0" w:color="auto"/>
      </w:divBdr>
    </w:div>
    <w:div w:id="2043436126">
      <w:marLeft w:val="640"/>
      <w:marRight w:val="0"/>
      <w:marTop w:val="0"/>
      <w:marBottom w:val="0"/>
      <w:divBdr>
        <w:top w:val="none" w:sz="0" w:space="0" w:color="auto"/>
        <w:left w:val="none" w:sz="0" w:space="0" w:color="auto"/>
        <w:bottom w:val="none" w:sz="0" w:space="0" w:color="auto"/>
        <w:right w:val="none" w:sz="0" w:space="0" w:color="auto"/>
      </w:divBdr>
    </w:div>
    <w:div w:id="2072314596">
      <w:marLeft w:val="640"/>
      <w:marRight w:val="0"/>
      <w:marTop w:val="0"/>
      <w:marBottom w:val="0"/>
      <w:divBdr>
        <w:top w:val="none" w:sz="0" w:space="0" w:color="auto"/>
        <w:left w:val="none" w:sz="0" w:space="0" w:color="auto"/>
        <w:bottom w:val="none" w:sz="0" w:space="0" w:color="auto"/>
        <w:right w:val="none" w:sz="0" w:space="0" w:color="auto"/>
      </w:divBdr>
    </w:div>
    <w:div w:id="2123109170">
      <w:marLeft w:val="640"/>
      <w:marRight w:val="0"/>
      <w:marTop w:val="0"/>
      <w:marBottom w:val="0"/>
      <w:divBdr>
        <w:top w:val="none" w:sz="0" w:space="0" w:color="auto"/>
        <w:left w:val="none" w:sz="0" w:space="0" w:color="auto"/>
        <w:bottom w:val="none" w:sz="0" w:space="0" w:color="auto"/>
        <w:right w:val="none" w:sz="0" w:space="0" w:color="auto"/>
      </w:divBdr>
    </w:div>
    <w:div w:id="2124224968">
      <w:marLeft w:val="640"/>
      <w:marRight w:val="0"/>
      <w:marTop w:val="0"/>
      <w:marBottom w:val="0"/>
      <w:divBdr>
        <w:top w:val="none" w:sz="0" w:space="0" w:color="auto"/>
        <w:left w:val="none" w:sz="0" w:space="0" w:color="auto"/>
        <w:bottom w:val="none" w:sz="0" w:space="0" w:color="auto"/>
        <w:right w:val="none" w:sz="0" w:space="0" w:color="auto"/>
      </w:divBdr>
    </w:div>
    <w:div w:id="2139763477">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evine.silihe.kamga@dartmouth.ed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teven.fiering@dartmouth.edu" TargetMode="External"/><Relationship Id="rId4" Type="http://schemas.openxmlformats.org/officeDocument/2006/relationships/settings" Target="settings.xml"/><Relationship Id="rId9" Type="http://schemas.openxmlformats.org/officeDocument/2006/relationships/hyperlink" Target="mailto:alicia.santos.gr@dartmouth.edu" TargetMode="Externa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7D24135-FA69-194D-B9EC-67E75C2BFB5A}"/>
      </w:docPartPr>
      <w:docPartBody>
        <w:p w:rsidR="002C477D" w:rsidRDefault="00E50440">
          <w:r w:rsidRPr="00A51395">
            <w:rPr>
              <w:rStyle w:val="PlaceholderText"/>
            </w:rPr>
            <w:t>Click or tap here to enter text.</w:t>
          </w:r>
        </w:p>
      </w:docPartBody>
    </w:docPart>
    <w:docPart>
      <w:docPartPr>
        <w:name w:val="26D567C5EF8B8E45AE132E2FDB2AB3E3"/>
        <w:category>
          <w:name w:val="General"/>
          <w:gallery w:val="placeholder"/>
        </w:category>
        <w:types>
          <w:type w:val="bbPlcHdr"/>
        </w:types>
        <w:behaviors>
          <w:behavior w:val="content"/>
        </w:behaviors>
        <w:guid w:val="{30180A4F-35CF-B942-B46C-9AEA1B372BF0}"/>
      </w:docPartPr>
      <w:docPartBody>
        <w:p w:rsidR="00DD305D" w:rsidRDefault="006F5D49" w:rsidP="006F5D49">
          <w:pPr>
            <w:pStyle w:val="26D567C5EF8B8E45AE132E2FDB2AB3E3"/>
          </w:pPr>
          <w:r w:rsidRPr="00A5139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decorative"/>
    <w:pitch w:val="variable"/>
    <w:sig w:usb0="00000000" w:usb1="10000000" w:usb2="00000000" w:usb3="00000000" w:csb0="80000000"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440"/>
    <w:rsid w:val="00004BDB"/>
    <w:rsid w:val="00034BC5"/>
    <w:rsid w:val="00115D87"/>
    <w:rsid w:val="00223A55"/>
    <w:rsid w:val="002771FC"/>
    <w:rsid w:val="002851E8"/>
    <w:rsid w:val="00286BF0"/>
    <w:rsid w:val="002C477D"/>
    <w:rsid w:val="00384E15"/>
    <w:rsid w:val="003E2495"/>
    <w:rsid w:val="0046150F"/>
    <w:rsid w:val="00480172"/>
    <w:rsid w:val="004912EE"/>
    <w:rsid w:val="004A112F"/>
    <w:rsid w:val="004F218A"/>
    <w:rsid w:val="00526B7B"/>
    <w:rsid w:val="00554A3B"/>
    <w:rsid w:val="00581F97"/>
    <w:rsid w:val="005C3408"/>
    <w:rsid w:val="00600BFD"/>
    <w:rsid w:val="006650DB"/>
    <w:rsid w:val="00677A50"/>
    <w:rsid w:val="00681A5F"/>
    <w:rsid w:val="006F5D49"/>
    <w:rsid w:val="00844442"/>
    <w:rsid w:val="00A2181C"/>
    <w:rsid w:val="00AC7FCC"/>
    <w:rsid w:val="00B82133"/>
    <w:rsid w:val="00BA27B0"/>
    <w:rsid w:val="00BE366D"/>
    <w:rsid w:val="00C30456"/>
    <w:rsid w:val="00CB17EA"/>
    <w:rsid w:val="00D10522"/>
    <w:rsid w:val="00D3226A"/>
    <w:rsid w:val="00D775E4"/>
    <w:rsid w:val="00D82803"/>
    <w:rsid w:val="00DD305D"/>
    <w:rsid w:val="00DE2FEF"/>
    <w:rsid w:val="00E20BD6"/>
    <w:rsid w:val="00E50440"/>
    <w:rsid w:val="00EA7865"/>
    <w:rsid w:val="00F0240A"/>
    <w:rsid w:val="00FA32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5D49"/>
    <w:rPr>
      <w:color w:val="666666"/>
    </w:rPr>
  </w:style>
  <w:style w:type="paragraph" w:customStyle="1" w:styleId="26D567C5EF8B8E45AE132E2FDB2AB3E3">
    <w:name w:val="26D567C5EF8B8E45AE132E2FDB2AB3E3"/>
    <w:rsid w:val="006F5D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F503EF7-6B76-CE40-BD96-533924C3FD9D}">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73334938718"/>
    <we:property name="MENDELEY_CITATIONS" value="[{&quot;citationID&quot;:&quot;MENDELEY_CITATION_ba059458-420b-42be-8373-7d4b4edbe33a&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&quot;,&quot;citationItems&quot;:[{&quot;id&quot;:&quot;1efc0736-5d72-3d82-a265-1d0ec9aa8588&quot;,&quot;itemData&quot;:{&quot;type&quot;:&quot;report&quot;,&quot;id&quot;:&quot;1efc0736-5d72-3d82-a265-1d0ec9aa8588&quot;,&quot;title&quot;:&quot;Mouse models for cancer research&quot;,&quot;author&quot;:[{&quot;family&quot;:&quot;Zhang&quot;,&quot;given&quot;:&quot;Wei&quot;,&quot;parse-names&quot;:false,&quot;dropping-particle&quot;:&quot;&quot;,&quot;non-dropping-particle&quot;:&quot;&quot;}],&quot;container-title&quot;:&quot;Chinese Journal of Cancer Chin J Cancer&quot;,&quot;URL&quot;:&quot;www.cjcsysu.com&quot;,&quot;issued&quot;:{&quot;date-parts&quot;:[[2011]]},&quot;volume&quot;:&quot;30&quot;,&quot;container-title-short&quot;:&quot;&quot;},&quot;isTemporary&quot;:false}]},{&quot;citationID&quot;:&quot;MENDELEY_CITATION_be217b2f-5eb9-4880-b27e-ae346515ea9a&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&quot;,&quot;citationItems&quot;:[{&quot;id&quot;:&quot;4a93654e-63d1-3049-b3a9-800747a73842&quot;,&quot;itemData&quot;:{&quot;type&quot;:&quot;article&quot;,&quot;id&quot;:&quot;4a93654e-63d1-3049-b3a9-800747a73842&quot;,&quot;title&quot;:&quot;Intratumoral immunotherapy prior to cancer surgery, a promising therapeutic approach&quot;,&quot;author&quot;:[{&quot;family&quot;:&quot;Silihe Kamga&quot;,&quot;given&quot;:&quot;Kevine&quot;,&quot;parse-names&quot;:false,&quot;dropping-particle&quot;:&quot;&quot;,&quot;non-dropping-particle&quot;:&quot;&quot;},{&quot;family&quot;:&quot;Fiering&quot;,&quot;given&quot;:&quot;Steven&quot;,&quot;parse-names&quot;:false,&quot;dropping-particle&quot;:&quot;&quot;,&quot;non-dropping-particle&quot;:&quot;&quot;}],&quot;container-title&quot;:&quot;Frontiers in Immunology&quot;,&quot;container-title-short&quot;:&quot;Front. Immunol.&quot;,&quot;DOI&quot;:&quot;10.3389/fimmu.2025.1545000&quot;,&quot;ISSN&quot;:&quot;16643224&quot;,&quot;PMID&quot;:&quot;40607406&quot;,&quot;issued&quot;:{&quot;date-parts&quot;:[[2025]]},&quot;abstract&quot;:&quot;Cancer immunotherapy has made astonishing progress in the last 10–15 years, and the rate of progress is accelerating. However, only 20 to 40% of patients benefit from this therapy with most immunotherapy applied post discovery of metastatic disease when therapeutic impact is more difficult to achieve. The first line of treatment for many patients following diagnosis is surgery. Neoadjuvant immunotherapy, i.e. administration of immune therapy prior to surgery, has the potential to improve overall survival rates. Many patients without detectable metastases are diagnosed with a high risk of future metastasis and could benefit from effective neoadjuvant immunotherapy. An ideal neoadjuvant immune therapy will stimulate immune response against the identified tumor as well as undetected metastasis and be safe with minimal adverse events. In addition, the antitumor immune response it generates should not be blocked by subsequent surgery and should not delay the normal timeline of surgery. Finally, it should be relatively inexpensive. These features describe intratumoral immunotherapy (ITIT), a therapeutic approach that directly administers immune stimulatory agents or treatments into the tumor. By delivering the therapy directly into the tumor, it enhances local drug concentration while minimizing nonspecific immune activation and adverse events associated with systemic immunotherapy. ITIT can generate effective local immune response against tumor antigens, which expands the pool of tumor-recognizing effector T cells. ITIT induces and activates tumor specific T cell within days after the treatment, so surgery is not delayed. Tumor-recognizing effector T cells generated locally attack cancer both locally and systemically, targeting metastasis through the “abscopal effect”. Neoadjuvant ITIT options are extensive and expanding and need research into optimal options to combine and associated dosing and timing. With the needed effort, neoadjuvant ITIT will develop into a safe, rapid and effective addition to current cancer therapies.&quot;,&quot;publisher&quot;:&quot;Frontiers Media SA&quot;,&quot;volume&quot;:&quot;16&quot;},&quot;isTemporary&quot;:false}]},{&quot;citationID&quot;:&quot;MENDELEY_CITATION_3457ecd3-0303-47ac-b17c-ebd8a3807765&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&quot;,&quot;citationItems&quot;:[{&quot;id&quot;:&quot;32536a78-99c6-3fa0-9bbd-133786edd42d&quot;,&quot;itemData&quot;:{&quot;type&quot;:&quot;article-journal&quot;,&quot;id&quot;:&quot;32536a78-99c6-3fa0-9bbd-133786edd42d&quot;,&quot;title&quot;:&quot;Depth of tumor implantation affects response to in situ vaccination in a syngeneic murine melanoma model&quot;,&quot;author&quot;:[{&quot;family&quot;:&quot;Carlson&quot;,&quot;given&quot;:&quot;Peter M.&quot;,&quot;parse-names&quot;:false,&quot;dropping-particle&quot;:&quot;&quot;,&quot;non-dropping-particle&quot;:&quot;&quot;},{&quot;family&quot;:&quot;Mohan&quot;,&quot;given&quot;:&quot;Manasi&quot;,&quot;parse-names&quot;:false,&quot;dropping-particle&quot;:&quot;&quot;,&quot;non-dropping-particle&quot;:&quot;&quot;},{&quot;family&quot;:&quot;Rodriguez&quot;,&quot;given&quot;:&quot;Matthew&quot;,&quot;parse-names&quot;:false,&quot;dropping-particle&quot;:&quot;&quot;,&quot;non-dropping-particle&quot;:&quot;&quot;},{&quot;family&quot;:&quot;Subbotin&quot;,&quot;given&quot;:&quot;Vladimir&quot;,&quot;parse-names&quot;:false,&quot;dropping-particle&quot;:&quot;&quot;,&quot;non-dropping-particle&quot;:&quot;&quot;},{&quot;family&quot;:&quot;Sun&quot;,&quot;given&quot;:&quot;Claire X.&quot;,&quot;parse-names&quot;:false,&quot;dropping-particle&quot;:&quot;&quot;,&quot;non-dropping-particle&quot;:&quot;&quot;},{&quot;family&quot;:&quot;Patel&quot;,&quot;given&quot;:&quot;Ravi B.&quot;,&quot;parse-names&quot;:false,&quot;dropping-particle&quot;:&quot;&quot;,&quot;non-dropping-particle&quot;:&quot;&quot;},{&quot;family&quot;:&quot;Birstler&quot;,&quot;given&quot;:&quot;Jen&quot;,&quot;parse-names&quot;:false,&quot;dropping-particle&quot;:&quot;&quot;,&quot;non-dropping-particle&quot;:&quot;&quot;},{&quot;family&quot;:&quot;Hank&quot;,&quot;given&quot;:&quot;Jacquelyn A.&quot;,&quot;parse-names&quot;:false,&quot;dropping-particle&quot;:&quot;&quot;,&quot;non-dropping-particle&quot;:&quot;&quot;},{&quot;family&quot;:&quot;Rakhmilevich&quot;,&quot;given&quot;:&quot;Alexander L.&quot;,&quot;parse-names&quot;:false,&quot;dropping-particle&quot;:&quot;&quot;,&quot;non-dropping-particle&quot;:&quot;&quot;},{&quot;family&quot;:&quot;Morris&quot;,&quot;given&quot;:&quot;Zachary S.&quot;,&quot;parse-names&quot;:false,&quot;dropping-particle&quot;:&quot;&quot;,&quot;non-dropping-particle&quot;:&quot;&quot;},{&quot;family&quot;:&quot;Erbe&quot;,&quot;given&quot;:&quot;Amy K.&quot;,&quot;parse-names&quot;:false,&quot;dropping-particle&quot;:&quot;&quot;,&quot;non-dropping-particle&quot;:&quot;&quot;},{&quot;family&quot;:&quot;Sondel&quot;,&quot;given&quot;:&quot;Paul M.&quot;,&quot;parse-names&quot;:false,&quot;dropping-particle&quot;:&quot;&quot;,&quot;non-dropping-particle&quot;:&quot;&quot;}],&quot;container-title&quot;:&quot;Journal for immunotherapy of cancer&quot;,&quot;container-title-short&quot;:&quot;J. Immunother. Cancer&quot;,&quot;DOI&quot;:&quot;10.1136/jitc-2020-002107&quot;,&quot;ISSN&quot;:&quot;20511426&quot;,&quot;PMID&quot;:&quot;33858849&quot;,&quot;issued&quot;:{&quot;date-parts&quot;:[[2021,4,1]]},&quot;abstract&quot;:&quot;An important component of research using animal models is ensuring rigor and reproducibility. This study was prompted after two experimenters performing virtually identical studies obtained different results when syngeneic B78 murine melanoma cells were implanted into the skin overlying the flank and treated with an in situ vaccine (ISV) immunotherapy. Although both experimenters thought they were using identical technique, we determined that one was implanting the tumors intradermally (ID) and the other was implanting them subcutaneously (SC). Though the baseline in vivo immunogenicity of tumors can depend on depth of their implantation, the response to immunotherapy as a function of tumor depth, particularly in immunologically 'cold' tumors, has not been well studied. The goal of this study was to evaluate the difference in growth kinetics and response to immunotherapy between identically sized melanoma tumors following ID versus SC implantation. We injected C57BL/6 mice with syngeneic B78 melanoma cells either ID or SC in the flank. When tumors reached 190-230 mm3, they were grouped into a 'wave' and treated with our previously published ISV regimen (12 Gy local external beam radiation and intratumoral hu14.18-IL2 immunocytokine). Physical examination demonstrated that ID-implanted tumors were mobile on palpation, while SC-implanted tumors became fixed to the underlying fascia. Histologic examination identified a critical fascial layer, the panniculus carnosus, which separated ID and SC tumors. SC tumors reached the target tumor volume significantly faster compared with ID tumors. Most ID tumors exhibited either partial or complete response to this immunotherapy, whereas most SC tumors did not. Further, the 'mobile' or 'fixed' phenotype of tumors predicted response to therapy, regardless of intended implantation depth. These findings were then extended to additional immunotherapy regimens in four separate tumor models. These data indicate that the physical 'fixed' versus 'mobile' characterization of the tumors may be one simple method of ensuring homogeneity among implanted tumors prior to initiation of treatment. Overall, this short report demonstrates that small differences in depth of tumor implantation can translate to differences in response to immunotherapy, and proposes a simple physical examination technique to ensure consistent tumor depth when conducting implantable tumor immunotherapy experiments.&quot;,&quot;publisher&quot;:&quot;NLM (Medline)&quot;,&quot;issue&quot;:&quot;4&quot;,&quot;volume&quot;:&quot;9&quot;},&quot;isTemporary&quot;:false}]},{&quot;citationID&quot;:&quot;MENDELEY_CITATION_3da3cb0b-666f-476d-ace1-ae324266f7ad&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&quot;,&quot;citationItems&quot;:[{&quot;id&quot;:&quot;e4472392-bfdd-3903-b65f-14ed887a6df5&quot;,&quot;itemData&quot;:{&quot;type&quot;:&quot;report&quot;,&quot;id&quot;:&quot;e4472392-bfdd-3903-b65f-14ed887a6df5&quot;,&quot;title&quot;:&quot;Intradermal Injection, as Opposed to Subcutaneous Injection, Enhances Immunogenicity and Suppresses Tumorigenicity of Tumor Cells&quot;,&quot;author&quot;:[{&quot;family&quot;:&quot;Bonnotte&quot;,&quot;given&quot;:&quot;Bernard&quot;,&quot;parse-names&quot;:false,&quot;dropping-particle&quot;:&quot;&quot;,&quot;non-dropping-particle&quot;:&quot;&quot;},{&quot;family&quot;:&quot;Gough&quot;,&quot;given&quot;:&quot;Michael&quot;,&quot;parse-names&quot;:false,&quot;dropping-particle&quot;:&quot;&quot;,&quot;non-dropping-particle&quot;:&quot;&quot;},{&quot;family&quot;:&quot;Phan&quot;,&quot;given&quot;:&quot;Vy&quot;,&quot;parse-names&quot;:false,&quot;dropping-particle&quot;:&quot;&quot;,&quot;non-dropping-particle&quot;:&quot;&quot;},{&quot;family&quot;:&quot;Ahmed&quot;,&quot;given&quot;:&quot;Atique&quot;,&quot;parse-names&quot;:false,&quot;dropping-particle&quot;:&quot;&quot;,&quot;non-dropping-particle&quot;:&quot;&quot;},{&quot;family&quot;:&quot;Chong&quot;,&quot;given&quot;:&quot;Heung&quot;,&quot;parse-names&quot;:false,&quot;dropping-particle&quot;:&quot;&quot;,&quot;non-dropping-particle&quot;:&quot;&quot;},{&quot;family&quot;:&quot;Martin&quot;,&quot;given&quot;:&quot;François&quot;,&quot;parse-names&quot;:false,&quot;dropping-particle&quot;:&quot;&quot;,&quot;non-dropping-particle&quot;:&quot;&quot;},{&quot;family&quot;:&quot;Vile&quot;,&quot;given&quot;:&quot;Richard G&quot;,&quot;parse-names&quot;:false,&quot;dropping-particle&quot;:&quot;&quot;,&quot;non-dropping-particle&quot;:&quot;&quot;}],&quot;container-title&quot;:&quot;CANCER RESEARCH&quot;,&quot;container-title-short&quot;:&quot;Cancer Res.&quot;,&quot;ISSN&quot;:&quot;1538-7445&quot;,&quot;URL&quot;:&quot;http://aacrjournals.org/cancerres/article-pdf/63/9/2145/2513777/ch0903002145.pdf&quot;,&quot;issued&quot;:{&quot;date-parts&quot;:[[2003]]},&quot;number-of-pages&quot;:&quot;2145-2149&quot;,&quot;abstract&quot;:&quot;Tumor cell immunogenicity depends heavily upon the microenviron-ment in which the cells grow. We have compared the tumorigenicity and immunogenicity of the same tumor cells when injected either into the dermis, a tissue containing numerous dendritic cells (DCs), or s.c., at a site which contains only few DCs. After s.c. injection, progressive tumors were constantly obtained, whereas most intradermal injections did not give rise to tumor and immunized animals against additional challenge. We present evidence that the high density of DCs at dermal sites facilitates the capture of tumor antigens and that local inflammation induces maturation of the DCs and their migration into draining lymph nodes.&quot;,&quot;volume&quot;:&quot;63&quot;},&quot;isTemporary&quot;:false}]},{&quot;citationID&quot;:&quot;MENDELEY_CITATION_4e6c1d28-35d9-4efe-b313-dd3a63aa891f&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&quot;,&quot;citationItems&quot;:[{&quot;id&quot;:&quot;e4472392-bfdd-3903-b65f-14ed887a6df5&quot;,&quot;itemData&quot;:{&quot;type&quot;:&quot;report&quot;,&quot;id&quot;:&quot;e4472392-bfdd-3903-b65f-14ed887a6df5&quot;,&quot;title&quot;:&quot;Intradermal Injection, as Opposed to Subcutaneous Injection, Enhances Immunogenicity and Suppresses Tumorigenicity of Tumor Cells&quot;,&quot;author&quot;:[{&quot;family&quot;:&quot;Bonnotte&quot;,&quot;given&quot;:&quot;Bernard&quot;,&quot;parse-names&quot;:false,&quot;dropping-particle&quot;:&quot;&quot;,&quot;non-dropping-particle&quot;:&quot;&quot;},{&quot;family&quot;:&quot;Gough&quot;,&quot;given&quot;:&quot;Michael&quot;,&quot;parse-names&quot;:false,&quot;dropping-particle&quot;:&quot;&quot;,&quot;non-dropping-particle&quot;:&quot;&quot;},{&quot;family&quot;:&quot;Phan&quot;,&quot;given&quot;:&quot;Vy&quot;,&quot;parse-names&quot;:false,&quot;dropping-particle&quot;:&quot;&quot;,&quot;non-dropping-particle&quot;:&quot;&quot;},{&quot;family&quot;:&quot;Ahmed&quot;,&quot;given&quot;:&quot;Atique&quot;,&quot;parse-names&quot;:false,&quot;dropping-particle&quot;:&quot;&quot;,&quot;non-dropping-particle&quot;:&quot;&quot;},{&quot;family&quot;:&quot;Chong&quot;,&quot;given&quot;:&quot;Heung&quot;,&quot;parse-names&quot;:false,&quot;dropping-particle&quot;:&quot;&quot;,&quot;non-dropping-particle&quot;:&quot;&quot;},{&quot;family&quot;:&quot;Martin&quot;,&quot;given&quot;:&quot;François&quot;,&quot;parse-names&quot;:false,&quot;dropping-particle&quot;:&quot;&quot;,&quot;non-dropping-particle&quot;:&quot;&quot;},{&quot;family&quot;:&quot;Vile&quot;,&quot;given&quot;:&quot;Richard G&quot;,&quot;parse-names&quot;:false,&quot;dropping-particle&quot;:&quot;&quot;,&quot;non-dropping-particle&quot;:&quot;&quot;}],&quot;container-title&quot;:&quot;CANCER RESEARCH&quot;,&quot;container-title-short&quot;:&quot;Cancer Res.&quot;,&quot;ISSN&quot;:&quot;1538-7445&quot;,&quot;URL&quot;:&quot;http://aacrjournals.org/cancerres/article-pdf/63/9/2145/2513777/ch0903002145.pdf&quot;,&quot;issued&quot;:{&quot;date-parts&quot;:[[2003]]},&quot;number-of-pages&quot;:&quot;2145-2149&quot;,&quot;abstract&quot;:&quot;Tumor cell immunogenicity depends heavily upon the microenviron-ment in which the cells grow. We have compared the tumorigenicity and immunogenicity of the same tumor cells when injected either into the dermis, a tissue containing numerous dendritic cells (DCs), or s.c., at a site which contains only few DCs. After s.c. injection, progressive tumors were constantly obtained, whereas most intradermal injections did not give rise to tumor and immunized animals against additional challenge. We present evidence that the high density of DCs at dermal sites facilitates the capture of tumor antigens and that local inflammation induces maturation of the DCs and their migration into draining lymph nodes.&quot;,&quot;volume&quot;:&quot;63&quot;},&quot;isTemporary&quot;:false}]},{&quot;citationID&quot;:&quot;MENDELEY_CITATION_7b8f8284-396e-435b-9d5e-41e8a6f64e69&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&quot;,&quot;citationItems&quot;:[{&quot;id&quot;:&quot;4e841120-d998-33ee-8181-3a1f22f07199&quot;,&quot;itemData&quot;:{&quot;type&quot;:&quot;book&quot;,&quot;id&quot;:&quot;4e841120-d998-33ee-8181-3a1f22f07199&quot;,&quot;title&quot;:&quot;Guide for the care and use of laboratory animals&quot;,&quot;author&quot;:[{&quot;family&quot;:&quot;Garber&quot;,&quot;given&quot;:&quot;Janet C.&quot;,&quot;parse-names&quot;:false,&quot;dropping-particle&quot;:&quot;&quot;,&quot;non-dropping-particle&quot;:&quot;&quot;},{&quot;family&quot;:&quot;Barbee&quot;,&quot;given&quot;:&quot;R Wayne&quot;,&quot;parse-names&quot;:false,&quot;dropping-particle&quot;:&quot;&quot;,&quot;non-dropping-particle&quot;:&quot;&quot;},{&quot;family&quot;:&quot;Bielitzki&quot;,&quot;given&quot;:&quot;Joseph T.&quot;,&quot;parse-names&quot;:false,&quot;dropping-particle&quot;:&quot;&quot;,&quot;non-dropping-particle&quot;:&quot;&quot;},{&quot;family&quot;:&quot;Clayton&quot;,&quot;given&quot;:&quot;Leigh Ann&quot;,&quot;parse-names&quot;:false,&quot;dropping-particle&quot;:&quot;&quot;,&quot;non-dropping-particle&quot;:&quot;&quot;},{&quot;family&quot;:&quot;Donovan&quot;,&quot;given&quot;:&quot;John C.&quot;,&quot;parse-names&quot;:false,&quot;dropping-particle&quot;:&quot;&quot;,&quot;non-dropping-particle&quot;:&quot;&quot;},{&quot;family&quot;:&quot;Hendriksen&quot;,&quot;given&quot;:&quot;Coenraad F. M.&quot;,&quot;parse-names&quot;:false,&quot;dropping-particle&quot;:&quot;&quot;,&quot;non-dropping-particle&quot;:&quot;&quot;},{&quot;family&quot;:&quot;Kohn&quot;,&quot;given&quot;:&quot;Dennis F.&quot;,&quot;parse-names&quot;:false,&quot;dropping-particle&quot;:&quot;&quot;,&quot;non-dropping-particle&quot;:&quot;&quot;},{&quot;family&quot;:&quot;Lipman&quot;,&quot;given&quot;:&quot;Neil S.&quot;,&quot;parse-names&quot;:false,&quot;dropping-particle&quot;:&quot;&quot;,&quot;non-dropping-particle&quot;:&quot;&quot;}],&quot;ISBN&quot;:&quot;9780309154000&quot;,&quot;issued&quot;:{&quot;date-parts&quot;:[[2011]]},&quot;number-of-pages&quot;:&quot;220&quot;,&quot;abstract&quot;:&quot;8th ed. \&quot;A respected resource for decades, the Guide for the Care and Use of Laboratory Animals has been updated by a committee of experts, taking into consideration input from the scientific and laboratory animal communities and the public at large. The Guide incorporates new scientific information on common laboratory animals, including aquatic species, and includes extensive references. It provides a framework for the judgments required in the management of animal facilities. This updated and expanded resource of proven value will be important to scientists and researchers, veterinarians, animal care personnel, facilities managers, institutional administrators, policy makers involved in research issues, and animal welfare advocates.\&quot;--Publisher's description. Key concepts -- Animal care and use program -- Environment, housing, and management -- Veterinary care -- Physical plant -- Appendices -- A. Additional selected references -- B. U.S. government priciples for the utilization and care of vertebrate animals used in testing, research, and training -- C. Statement of task -- D. About the authors.&quot;,&quot;publisher&quot;:&quot;National Academies Press&quot;,&quot;container-title-short&quot;:&quot;&quot;},&quot;isTemporary&quot;:false}]},{&quot;citationID&quot;:&quot;MENDELEY_CITATION_5a48f0f9-9e24-457c-a75b-73fa9f9df339&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&quot;,&quot;citationItems&quot;:[{&quot;id&quot;:&quot;2b4f9270-c2bd-3528-a027-07b88d2cf037&quot;,&quot;itemData&quot;:{&quot;type&quot;:&quot;article-journal&quot;,&quot;id&quot;:&quot;2b4f9270-c2bd-3528-a027-07b88d2cf037&quot;,&quot;title&quot;:&quot;Mouse model for pre-clinical study of human cancer immunotherapy&quot;,&quot;author&quot;:[{&quot;family&quot;:&quot;Ya&quot;,&quot;given&quot;:&quot;Zhiya&quot;,&quot;parse-names&quot;:false,&quot;dropping-particle&quot;:&quot;&quot;,&quot;non-dropping-particle&quot;:&quot;&quot;},{&quot;family&quot;:&quot;Hailemichael&quot;,&quot;given&quot;:&quot;Yared&quot;,&quot;parse-names&quot;:false,&quot;dropping-particle&quot;:&quot;&quot;,&quot;non-dropping-particle&quot;:&quot;&quot;},{&quot;family&quot;:&quot;Overwijk&quot;,&quot;given&quot;:&quot;Willem&quot;,&quot;parse-names&quot;:false,&quot;dropping-particle&quot;:&quot;&quot;,&quot;non-dropping-particle&quot;:&quot;&quot;},{&quot;family&quot;:&quot;Restifo&quot;,&quot;given&quot;:&quot;Nicholas P.&quot;,&quot;parse-names&quot;:false,&quot;dropping-particle&quot;:&quot;&quot;,&quot;non-dropping-particle&quot;:&quot;&quot;}],&quot;container-title&quot;:&quot;Current Protocols in Immunology&quot;,&quot;container-title-short&quot;:&quot;Curr. Protoc. Immunol.&quot;,&quot;DOI&quot;:&quot;10.1002/0471142735.im2001s108&quot;,&quot;ISSN&quot;:&quot;1934368X&quot;,&quot;PMID&quot;:&quot;25640991&quot;,&quot;issued&quot;:{&quot;date-parts&quot;:[[2015]]},&quot;page&quot;:&quot;20.1.1-20.1.43&quot;,&quot;abstract&quot;:&quot;This unit describes protocols for developing tumors in mice, including subcutaneous growth, pulmonary metastases of B16 melanoma, and spontaneous melanoma in B-Raf V600E/PTEN deletion transgenic mouse models. Two immunization methods to prevent B16 tumor growth are described usingB16.GMCSF and recombinant vaccinia virus. A therapeutic approach is also included that uses adoptive transfer of tumor antigen-specific T cells. Methods including CTL induction, isolation, testing, and genetic modification of mouse T cells for adoptive transfer by using retrovirus-expressing genes of interest are provided. Additional sections, including growing B16 melanoma, enumerating pulmonary metastases, tumor imaging technique, and use of recombinant viruses for vaccination, are discussed together with safety concerns.&quot;,&quot;publisher&quot;:&quot;Blackwell Publishing Inc.&quot;,&quot;volume&quot;:&quot;2015&quot;},&quot;isTemporary&quot;:false}]},{&quot;citationID&quot;:&quot;MENDELEY_CITATION_f998a0f5-0adf-4072-a1c0-d83eb393dfc9&quot;,&quot;properties&quot;:{&quot;noteIndex&quot;:0},&quot;isEdited&quot;:false,&quot;manualOverride&quot;:{&quot;isManuallyOverridden&quot;:false,&quot;citeprocText&quot;:&quot;&lt;sup&gt;7, 8&lt;/sup&gt;&quot;,&quot;manualOverrideText&quot;:&quot;&quot;},&quot;citationTag&quot;:&quot;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&quot;,&quot;citationItems&quot;:[{&quot;id&quot;:&quot;ea2bf543-7bbb-3625-8a54-60a1c04e859a&quot;,&quot;itemData&quot;:{&quot;type&quot;:&quot;article-journal&quot;,&quot;id&quot;:&quot;ea2bf543-7bbb-3625-8a54-60a1c04e859a&quot;,&quot;title&quot;:&quot;In situ vaccination with cowpea mosaic virus elicits systemic antitumor immunity and potentiates immune checkpoint blockade&quot;,&quot;author&quot;:[{&quot;family&quot;:&quot;Mao&quot;,&quot;given&quot;:&quot;Chenkai&quot;,&quot;parse-names&quot;:false,&quot;dropping-particle&quot;:&quot;&quot;,&quot;non-dropping-particle&quot;:&quot;&quot;},{&quot;family&quot;:&quot;Beiss&quot;,&quot;given&quot;:&quot;Veronique&quot;,&quot;parse-names&quot;:false,&quot;dropping-particle&quot;:&quot;&quot;,&quot;non-dropping-particle&quot;:&quot;&quot;},{&quot;family&quot;:&quot;Ho&quot;,&quot;given&quot;:&quot;Gregory W.&quot;,&quot;parse-names&quot;:false,&quot;dropping-particle&quot;:&quot;&quot;,&quot;non-dropping-particle&quot;:&quot;&quot;},{&quot;family&quot;:&quot;Fields&quot;,&quot;given&quot;:&quot;Jennifer&quot;,&quot;parse-names&quot;:false,&quot;dropping-particle&quot;:&quot;&quot;,&quot;non-dropping-particle&quot;:&quot;&quot;},{&quot;family&quot;:&quot;Steinmetz&quot;,&quot;given&quot;:&quot;Nicole F.&quot;,&quot;parse-names&quot;:false,&quot;dropping-particle&quot;:&quot;&quot;,&quot;non-dropping-particle&quot;:&quot;&quot;},{&quot;family&quot;:&quot;Fiering&quot;,&quot;given&quot;:&quot;Steven&quot;,&quot;parse-names&quot;:false,&quot;dropping-particle&quot;:&quot;&quot;,&quot;non-dropping-particle&quot;:&quot;&quot;}],&quot;container-title&quot;:&quot;Journal for ImmunoTherapy of Cancer&quot;,&quot;container-title-short&quot;:&quot;J. Immunother. Cancer&quot;,&quot;DOI&quot;:&quot;10.1136/jitc-2022-005834&quot;,&quot;ISSN&quot;:&quot;20511426&quot;,&quot;PMID&quot;:&quot;36460333&quot;,&quot;issued&quot;:{&quot;date-parts&quot;:[[2022,12,2]]},&quot;abstract&quot;:&quot;Background In situ vaccination (ISV) is a cancer immunotherapy strategy in which immunostimulatory reagents are introduced directly into a tumor to stimulate antitumor immunity both against the treated tumor and systemically against untreated tumors. Recently, we showed that cowpea mosaic virus (CPMV) is a potent multi-toll-like receptor (TLR) agonist with potent efficacy for treating tumors in mice and dogs by ISV. However, ISV with CPMV alone does not uniformly treat all mouse tumor models tested, however this can be overcome through strategic combinations. More insight is needed to delineate potency and mechanism of systemic antitumor immunity and abscopal effect. Method We investigated the systemic efficacy (abscopal effect) of CPMV ISV with a two-tumor mouse model using murine tumor lines B16F10, 4T1, CT26 and MC38. Flow cytometry identified changes in cell populations responsible for systemic efficacy of CPMV. Transgenic knockout mice and depleting antibodies validated the role of relevant candidate cell populations and cytokines. We evaluated these findings and engineered a multicomponent combination therapy to specifically target the candidate cell population and investigated its systemic efficacy, acquired resistance and immunological memory in mouse models. Results ISV with CPMV induces systemic antitumor T-cell-mediated immunity that inhibits growth of untreated tumors and requires conventional type-1 dendritic cells (cDC1s). Furthermore, using multiple tumor mouse models resistant to anti-programmed death 1 (PD-1) therapy, we tested the hypothesis that CPMV along with local activation of antigen-presenting cells with agonistic anti-CD40 can synergize and strengthen antitumor efficacy. Indeed, this combination ISV strategy induces an influx of CD8 + T cells, triggers regression in both treated local and untreated distant tumors and potentiates tumor responses to anti-PD-1 therapy. Moreover, serial ISV overcomes resistance to anti-PD-1 therapy and establishes tumor-specific immunological memory. Conclusions These findings provide new insights into in situ TLR activation and cDC1 recruitment as effective strategies to overcome resistance to immunotherapy in treated and untreated tumors.&quot;,&quot;publisher&quot;:&quot;BMJ Publishing Group&quot;,&quot;issue&quot;:&quot;12&quot;,&quot;volume&quot;:&quot;10&quot;},&quot;isTemporary&quot;:false},{&quot;id&quot;:&quot;f2756da9-0300-3337-868c-3ada3be744be&quot;,&quot;itemData&quot;:{&quot;type&quot;:&quot;article-journal&quot;,&quot;id&quot;:&quot;f2756da9-0300-3337-868c-3ada3be744be&quot;,&quot;title&quot;:&quot;Intratumoral expression of IL-12 and CD40 ligand (CD154) from plasmids generates antitumor responses that eliminate tumoral T regs&quot;,&quot;author&quot;:[{&quot;family&quot;:&quot;Ho&quot;,&quot;given&quot;:&quot;Gregory W.&quot;,&quot;parse-names&quot;:false,&quot;dropping-particle&quot;:&quot;&quot;,&quot;non-dropping-particle&quot;:&quot;&quot;},{&quot;family&quot;:&quot;Santos&quot;,&quot;given&quot;:&quot;Alicia&quot;,&quot;parse-names&quot;:false,&quot;dropping-particle&quot;:&quot;&quot;,&quot;non-dropping-particle&quot;:&quot;&quot;},{&quot;family&quot;:&quot;Fields&quot;,&quot;given&quot;:&quot;Jennifer&quot;,&quot;parse-names&quot;:false,&quot;dropping-particle&quot;:&quot;&quot;,&quot;non-dropping-particle&quot;:&quot;&quot;},{&quot;family&quot;:&quot;Rosato&quot;,&quot;given&quot;:&quot;Pamela C.&quot;,&quot;parse-names&quot;:false,&quot;dropping-particle&quot;:&quot;&quot;,&quot;non-dropping-particle&quot;:&quot;&quot;},{&quot;family&quot;:&quot;Turk&quot;,&quot;given&quot;:&quot;Mary Jo&quot;,&quot;parse-names&quot;:false,&quot;dropping-particle&quot;:&quot;&quot;,&quot;non-dropping-particle&quot;:&quot;&quot;},{&quot;family&quot;:&quot;Steinmetz&quot;,&quot;given&quot;:&quot;Nicole F.&quot;,&quot;parse-names&quot;:false,&quot;dropping-particle&quot;:&quot;&quot;,&quot;non-dropping-particle&quot;:&quot;&quot;},{&quot;family&quot;:&quot;Fiering&quot;,&quot;given&quot;:&quot;Steven&quot;,&quot;parse-names&quot;:false,&quot;dropping-particle&quot;:&quot;&quot;,&quot;non-dropping-particle&quot;:&quot;&quot;}],&quot;container-title&quot;:&quot;Scientific Reports&quot;,&quot;container-title-short&quot;:&quot;Sci. Rep.&quot;,&quot;DOI&quot;:&quot;10.1038/s41598-025-09535-5&quot;,&quot;ISSN&quot;:&quot;20452322&quot;,&quot;PMID&quot;:&quot;40628928&quot;,&quot;issued&quot;:{&quot;date-parts&quot;:[[2025,12,1]]},&quot;abstract&quot;:&quot;Intratumoral immunotherapy (ITIT) strives to generate effective antitumor immunity by directly stimulating the immune system in tumors to reverse local tumor-mediated immune suppression. In vivo expression of Interleukin-12 (IL-12) using in vivo plasmid transfection as an intratumoral cancer immunotherapy entered Phase II clinical trials for metastatic melanoma but to limited clinical success. We sought to improve the efficacy of in vivo IL-12 electroporation by the addition of a CD154 (CD40 ligand)- expressing plasmid to the IL-12 encoding plasmid treatment and assessing efficacy against solid tumors. Mice with intradermal B16F10 melanoma or MC38 murine colon carcinoma tumors received 2 weekly intratumoral (IT) injections of plasmids encoding IL-12 and CD154, followed by in vivo electroporation. The addition of CD154 to IL-12 was superior to IL-12 alone and resulted in frequent tumor clearance of treated tumors, marked by an increase in CD8 T cells and a drastic reduction in T regulatory cells in the tumor microenvironment. Tumor treatment responses were abrogated in mice which lack conventional DC1 cells (BatF3 KO) or lack CD8 T cells. These findings highlight the potential of adding CD154 to IL-12 plasmid electroporation as a cancer immunotherapy and suggest that other combinations would be therapeutically valuable.&quot;,&quot;publisher&quot;:&quot;Nature Research&quot;,&quot;issue&quot;:&quot;1&quot;,&quot;volume&quot;:&quot;15&quot;},&quot;isTemporary&quot;:false}]},{&quot;citationID&quot;:&quot;MENDELEY_CITATION_4b980334-d1ae-4c2a-942f-72d227b16fe6&quot;,&quot;properties&quot;:{&quot;noteIndex&quot;:0},&quot;isEdited&quot;:false,&quot;manualOverride&quot;:{&quot;isManuallyOverridden&quot;:false,&quot;citeprocText&quot;:&quot;&lt;sup&gt;7, 8&lt;/sup&gt;&quot;,&quot;manualOverrideText&quot;:&quot;&quot;},&quot;citationTag&quot;:&quot;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&quot;,&quot;citationItems&quot;:[{&quot;id&quot;:&quot;ea2bf543-7bbb-3625-8a54-60a1c04e859a&quot;,&quot;itemData&quot;:{&quot;type&quot;:&quot;article-journal&quot;,&quot;id&quot;:&quot;ea2bf543-7bbb-3625-8a54-60a1c04e859a&quot;,&quot;title&quot;:&quot;In situ vaccination with cowpea mosaic virus elicits systemic antitumor immunity and potentiates immune checkpoint blockade&quot;,&quot;author&quot;:[{&quot;family&quot;:&quot;Mao&quot;,&quot;given&quot;:&quot;Chenkai&quot;,&quot;parse-names&quot;:false,&quot;dropping-particle&quot;:&quot;&quot;,&quot;non-dropping-particle&quot;:&quot;&quot;},{&quot;family&quot;:&quot;Beiss&quot;,&quot;given&quot;:&quot;Veronique&quot;,&quot;parse-names&quot;:false,&quot;dropping-particle&quot;:&quot;&quot;,&quot;non-dropping-particle&quot;:&quot;&quot;},{&quot;family&quot;:&quot;Ho&quot;,&quot;given&quot;:&quot;Gregory W.&quot;,&quot;parse-names&quot;:false,&quot;dropping-particle&quot;:&quot;&quot;,&quot;non-dropping-particle&quot;:&quot;&quot;},{&quot;family&quot;:&quot;Fields&quot;,&quot;given&quot;:&quot;Jennifer&quot;,&quot;parse-names&quot;:false,&quot;dropping-particle&quot;:&quot;&quot;,&quot;non-dropping-particle&quot;:&quot;&quot;},{&quot;family&quot;:&quot;Steinmetz&quot;,&quot;given&quot;:&quot;Nicole F.&quot;,&quot;parse-names&quot;:false,&quot;dropping-particle&quot;:&quot;&quot;,&quot;non-dropping-particle&quot;:&quot;&quot;},{&quot;family&quot;:&quot;Fiering&quot;,&quot;given&quot;:&quot;Steven&quot;,&quot;parse-names&quot;:false,&quot;dropping-particle&quot;:&quot;&quot;,&quot;non-dropping-particle&quot;:&quot;&quot;}],&quot;container-title&quot;:&quot;Journal for ImmunoTherapy of Cancer&quot;,&quot;container-title-short&quot;:&quot;J. Immunother. Cancer&quot;,&quot;DOI&quot;:&quot;10.1136/jitc-2022-005834&quot;,&quot;ISSN&quot;:&quot;20511426&quot;,&quot;PMID&quot;:&quot;36460333&quot;,&quot;issued&quot;:{&quot;date-parts&quot;:[[2022,12,2]]},&quot;abstract&quot;:&quot;Background In situ vaccination (ISV) is a cancer immunotherapy strategy in which immunostimulatory reagents are introduced directly into a tumor to stimulate antitumor immunity both against the treated tumor and systemically against untreated tumors. Recently, we showed that cowpea mosaic virus (CPMV) is a potent multi-toll-like receptor (TLR) agonist with potent efficacy for treating tumors in mice and dogs by ISV. However, ISV with CPMV alone does not uniformly treat all mouse tumor models tested, however this can be overcome through strategic combinations. More insight is needed to delineate potency and mechanism of systemic antitumor immunity and abscopal effect. Method We investigated the systemic efficacy (abscopal effect) of CPMV ISV with a two-tumor mouse model using murine tumor lines B16F10, 4T1, CT26 and MC38. Flow cytometry identified changes in cell populations responsible for systemic efficacy of CPMV. Transgenic knockout mice and depleting antibodies validated the role of relevant candidate cell populations and cytokines. We evaluated these findings and engineered a multicomponent combination therapy to specifically target the candidate cell population and investigated its systemic efficacy, acquired resistance and immunological memory in mouse models. Results ISV with CPMV induces systemic antitumor T-cell-mediated immunity that inhibits growth of untreated tumors and requires conventional type-1 dendritic cells (cDC1s). Furthermore, using multiple tumor mouse models resistant to anti-programmed death 1 (PD-1) therapy, we tested the hypothesis that CPMV along with local activation of antigen-presenting cells with agonistic anti-CD40 can synergize and strengthen antitumor efficacy. Indeed, this combination ISV strategy induces an influx of CD8 + T cells, triggers regression in both treated local and untreated distant tumors and potentiates tumor responses to anti-PD-1 therapy. Moreover, serial ISV overcomes resistance to anti-PD-1 therapy and establishes tumor-specific immunological memory. Conclusions These findings provide new insights into in situ TLR activation and cDC1 recruitment as effective strategies to overcome resistance to immunotherapy in treated and untreated tumors.&quot;,&quot;publisher&quot;:&quot;BMJ Publishing Group&quot;,&quot;issue&quot;:&quot;12&quot;,&quot;volume&quot;:&quot;10&quot;},&quot;isTemporary&quot;:false},{&quot;id&quot;:&quot;f2756da9-0300-3337-868c-3ada3be744be&quot;,&quot;itemData&quot;:{&quot;type&quot;:&quot;article-journal&quot;,&quot;id&quot;:&quot;f2756da9-0300-3337-868c-3ada3be744be&quot;,&quot;title&quot;:&quot;Intratumoral expression of IL-12 and CD40 ligand (CD154) from plasmids generates antitumor responses that eliminate tumoral T regs&quot;,&quot;author&quot;:[{&quot;family&quot;:&quot;Ho&quot;,&quot;given&quot;:&quot;Gregory W.&quot;,&quot;parse-names&quot;:false,&quot;dropping-particle&quot;:&quot;&quot;,&quot;non-dropping-particle&quot;:&quot;&quot;},{&quot;family&quot;:&quot;Santos&quot;,&quot;given&quot;:&quot;Alicia&quot;,&quot;parse-names&quot;:false,&quot;dropping-particle&quot;:&quot;&quot;,&quot;non-dropping-particle&quot;:&quot;&quot;},{&quot;family&quot;:&quot;Fields&quot;,&quot;given&quot;:&quot;Jennifer&quot;,&quot;parse-names&quot;:false,&quot;dropping-particle&quot;:&quot;&quot;,&quot;non-dropping-particle&quot;:&quot;&quot;},{&quot;family&quot;:&quot;Rosato&quot;,&quot;given&quot;:&quot;Pamela C.&quot;,&quot;parse-names&quot;:false,&quot;dropping-particle&quot;:&quot;&quot;,&quot;non-dropping-particle&quot;:&quot;&quot;},{&quot;family&quot;:&quot;Turk&quot;,&quot;given&quot;:&quot;Mary Jo&quot;,&quot;parse-names&quot;:false,&quot;dropping-particle&quot;:&quot;&quot;,&quot;non-dropping-particle&quot;:&quot;&quot;},{&quot;family&quot;:&quot;Steinmetz&quot;,&quot;given&quot;:&quot;Nicole F.&quot;,&quot;parse-names&quot;:false,&quot;dropping-particle&quot;:&quot;&quot;,&quot;non-dropping-particle&quot;:&quot;&quot;},{&quot;family&quot;:&quot;Fiering&quot;,&quot;given&quot;:&quot;Steven&quot;,&quot;parse-names&quot;:false,&quot;dropping-particle&quot;:&quot;&quot;,&quot;non-dropping-particle&quot;:&quot;&quot;}],&quot;container-title&quot;:&quot;Scientific Reports&quot;,&quot;container-title-short&quot;:&quot;Sci. Rep.&quot;,&quot;DOI&quot;:&quot;10.1038/s41598-025-09535-5&quot;,&quot;ISSN&quot;:&quot;20452322&quot;,&quot;PMID&quot;:&quot;40628928&quot;,&quot;issued&quot;:{&quot;date-parts&quot;:[[2025,12,1]]},&quot;abstract&quot;:&quot;Intratumoral immunotherapy (ITIT) strives to generate effective antitumor immunity by directly stimulating the immune system in tumors to reverse local tumor-mediated immune suppression. In vivo expression of Interleukin-12 (IL-12) using in vivo plasmid transfection as an intratumoral cancer immunotherapy entered Phase II clinical trials for metastatic melanoma but to limited clinical success. We sought to improve the efficacy of in vivo IL-12 electroporation by the addition of a CD154 (CD40 ligand)- expressing plasmid to the IL-12 encoding plasmid treatment and assessing efficacy against solid tumors. Mice with intradermal B16F10 melanoma or MC38 murine colon carcinoma tumors received 2 weekly intratumoral (IT) injections of plasmids encoding IL-12 and CD154, followed by in vivo electroporation. The addition of CD154 to IL-12 was superior to IL-12 alone and resulted in frequent tumor clearance of treated tumors, marked by an increase in CD8 T cells and a drastic reduction in T regulatory cells in the tumor microenvironment. Tumor treatment responses were abrogated in mice which lack conventional DC1 cells (BatF3 KO) or lack CD8 T cells. These findings highlight the potential of adding CD154 to IL-12 plasmid electroporation as a cancer immunotherapy and suggest that other combinations would be therapeutically valuable.&quot;,&quot;publisher&quot;:&quot;Nature Research&quot;,&quot;issue&quot;:&quot;1&quot;,&quot;volume&quot;:&quot;15&quot;},&quot;isTemporary&quot;:false}]},{&quot;citationID&quot;:&quot;MENDELEY_CITATION_67ead936-e3e5-41d5-a3da-4fc2cdadc205&quot;,&quot;properties&quot;:{&quot;noteIndex&quot;:0},&quot;isEdited&quot;:false,&quot;manualOverride&quot;:{&quot;isManuallyOverridden&quot;:false,&quot;citeprocText&quot;:&quot;&lt;sup&gt;7, 8&lt;/sup&gt;&quot;,&quot;manualOverrideText&quot;:&quot;&quot;},&quot;citationTag&quot;:&quot;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&quot;,&quot;citationItems&quot;:[{&quot;id&quot;:&quot;f2756da9-0300-3337-868c-3ada3be744be&quot;,&quot;itemData&quot;:{&quot;type&quot;:&quot;article-journal&quot;,&quot;id&quot;:&quot;f2756da9-0300-3337-868c-3ada3be744be&quot;,&quot;title&quot;:&quot;Intratumoral expression of IL-12 and CD40 ligand (CD154) from plasmids generates antitumor responses that eliminate tumoral T regs&quot;,&quot;author&quot;:[{&quot;family&quot;:&quot;Ho&quot;,&quot;given&quot;:&quot;Gregory W.&quot;,&quot;parse-names&quot;:false,&quot;dropping-particle&quot;:&quot;&quot;,&quot;non-dropping-particle&quot;:&quot;&quot;},{&quot;family&quot;:&quot;Santos&quot;,&quot;given&quot;:&quot;Alicia&quot;,&quot;parse-names&quot;:false,&quot;dropping-particle&quot;:&quot;&quot;,&quot;non-dropping-particle&quot;:&quot;&quot;},{&quot;family&quot;:&quot;Fields&quot;,&quot;given&quot;:&quot;Jennifer&quot;,&quot;parse-names&quot;:false,&quot;dropping-particle&quot;:&quot;&quot;,&quot;non-dropping-particle&quot;:&quot;&quot;},{&quot;family&quot;:&quot;Rosato&quot;,&quot;given&quot;:&quot;Pamela C.&quot;,&quot;parse-names&quot;:false,&quot;dropping-particle&quot;:&quot;&quot;,&quot;non-dropping-particle&quot;:&quot;&quot;},{&quot;family&quot;:&quot;Turk&quot;,&quot;given&quot;:&quot;Mary Jo&quot;,&quot;parse-names&quot;:false,&quot;dropping-particle&quot;:&quot;&quot;,&quot;non-dropping-particle&quot;:&quot;&quot;},{&quot;family&quot;:&quot;Steinmetz&quot;,&quot;given&quot;:&quot;Nicole F.&quot;,&quot;parse-names&quot;:false,&quot;dropping-particle&quot;:&quot;&quot;,&quot;non-dropping-particle&quot;:&quot;&quot;},{&quot;family&quot;:&quot;Fiering&quot;,&quot;given&quot;:&quot;Steven&quot;,&quot;parse-names&quot;:false,&quot;dropping-particle&quot;:&quot;&quot;,&quot;non-dropping-particle&quot;:&quot;&quot;}],&quot;container-title&quot;:&quot;Scientific Reports&quot;,&quot;container-title-short&quot;:&quot;Sci. Rep.&quot;,&quot;DOI&quot;:&quot;10.1038/s41598-025-09535-5&quot;,&quot;ISSN&quot;:&quot;20452322&quot;,&quot;PMID&quot;:&quot;40628928&quot;,&quot;issued&quot;:{&quot;date-parts&quot;:[[2025,12,1]]},&quot;abstract&quot;:&quot;Intratumoral immunotherapy (ITIT) strives to generate effective antitumor immunity by directly stimulating the immune system in tumors to reverse local tumor-mediated immune suppression. In vivo expression of Interleukin-12 (IL-12) using in vivo plasmid transfection as an intratumoral cancer immunotherapy entered Phase II clinical trials for metastatic melanoma but to limited clinical success. We sought to improve the efficacy of in vivo IL-12 electroporation by the addition of a CD154 (CD40 ligand)- expressing plasmid to the IL-12 encoding plasmid treatment and assessing efficacy against solid tumors. Mice with intradermal B16F10 melanoma or MC38 murine colon carcinoma tumors received 2 weekly intratumoral (IT) injections of plasmids encoding IL-12 and CD154, followed by in vivo electroporation. The addition of CD154 to IL-12 was superior to IL-12 alone and resulted in frequent tumor clearance of treated tumors, marked by an increase in CD8 T cells and a drastic reduction in T regulatory cells in the tumor microenvironment. Tumor treatment responses were abrogated in mice which lack conventional DC1 cells (BatF3 KO) or lack CD8 T cells. These findings highlight the potential of adding CD154 to IL-12 plasmid electroporation as a cancer immunotherapy and suggest that other combinations would be therapeutically valuable.&quot;,&quot;publisher&quot;:&quot;Nature Research&quot;,&quot;issue&quot;:&quot;1&quot;,&quot;volume&quot;:&quot;15&quot;},&quot;isTemporary&quot;:false},{&quot;id&quot;:&quot;ea2bf543-7bbb-3625-8a54-60a1c04e859a&quot;,&quot;itemData&quot;:{&quot;type&quot;:&quot;article-journal&quot;,&quot;id&quot;:&quot;ea2bf543-7bbb-3625-8a54-60a1c04e859a&quot;,&quot;title&quot;:&quot;In situ vaccination with cowpea mosaic virus elicits systemic antitumor immunity and potentiates immune checkpoint blockade&quot;,&quot;author&quot;:[{&quot;family&quot;:&quot;Mao&quot;,&quot;given&quot;:&quot;Chenkai&quot;,&quot;parse-names&quot;:false,&quot;dropping-particle&quot;:&quot;&quot;,&quot;non-dropping-particle&quot;:&quot;&quot;},{&quot;family&quot;:&quot;Beiss&quot;,&quot;given&quot;:&quot;Veronique&quot;,&quot;parse-names&quot;:false,&quot;dropping-particle&quot;:&quot;&quot;,&quot;non-dropping-particle&quot;:&quot;&quot;},{&quot;family&quot;:&quot;Ho&quot;,&quot;given&quot;:&quot;Gregory W.&quot;,&quot;parse-names&quot;:false,&quot;dropping-particle&quot;:&quot;&quot;,&quot;non-dropping-particle&quot;:&quot;&quot;},{&quot;family&quot;:&quot;Fields&quot;,&quot;given&quot;:&quot;Jennifer&quot;,&quot;parse-names&quot;:false,&quot;dropping-particle&quot;:&quot;&quot;,&quot;non-dropping-particle&quot;:&quot;&quot;},{&quot;family&quot;:&quot;Steinmetz&quot;,&quot;given&quot;:&quot;Nicole F.&quot;,&quot;parse-names&quot;:false,&quot;dropping-particle&quot;:&quot;&quot;,&quot;non-dropping-particle&quot;:&quot;&quot;},{&quot;family&quot;:&quot;Fiering&quot;,&quot;given&quot;:&quot;Steven&quot;,&quot;parse-names&quot;:false,&quot;dropping-particle&quot;:&quot;&quot;,&quot;non-dropping-particle&quot;:&quot;&quot;}],&quot;container-title&quot;:&quot;Journal for ImmunoTherapy of Cancer&quot;,&quot;container-title-short&quot;:&quot;J. Immunother. Cancer&quot;,&quot;DOI&quot;:&quot;10.1136/jitc-2022-005834&quot;,&quot;ISSN&quot;:&quot;20511426&quot;,&quot;PMID&quot;:&quot;36460333&quot;,&quot;issued&quot;:{&quot;date-parts&quot;:[[2022,12,2]]},&quot;abstract&quot;:&quot;Background In situ vaccination (ISV) is a cancer immunotherapy strategy in which immunostimulatory reagents are introduced directly into a tumor to stimulate antitumor immunity both against the treated tumor and systemically against untreated tumors. Recently, we showed that cowpea mosaic virus (CPMV) is a potent multi-toll-like receptor (TLR) agonist with potent efficacy for treating tumors in mice and dogs by ISV. However, ISV with CPMV alone does not uniformly treat all mouse tumor models tested, however this can be overcome through strategic combinations. More insight is needed to delineate potency and mechanism of systemic antitumor immunity and abscopal effect. Method We investigated the systemic efficacy (abscopal effect) of CPMV ISV with a two-tumor mouse model using murine tumor lines B16F10, 4T1, CT26 and MC38. Flow cytometry identified changes in cell populations responsible for systemic efficacy of CPMV. Transgenic knockout mice and depleting antibodies validated the role of relevant candidate cell populations and cytokines. We evaluated these findings and engineered a multicomponent combination therapy to specifically target the candidate cell population and investigated its systemic efficacy, acquired resistance and immunological memory in mouse models. Results ISV with CPMV induces systemic antitumor T-cell-mediated immunity that inhibits growth of untreated tumors and requires conventional type-1 dendritic cells (cDC1s). Furthermore, using multiple tumor mouse models resistant to anti-programmed death 1 (PD-1) therapy, we tested the hypothesis that CPMV along with local activation of antigen-presenting cells with agonistic anti-CD40 can synergize and strengthen antitumor efficacy. Indeed, this combination ISV strategy induces an influx of CD8 + T cells, triggers regression in both treated local and untreated distant tumors and potentiates tumor responses to anti-PD-1 therapy. Moreover, serial ISV overcomes resistance to anti-PD-1 therapy and establishes tumor-specific immunological memory. Conclusions These findings provide new insights into in situ TLR activation and cDC1 recruitment as effective strategies to overcome resistance to immunotherapy in treated and untreated tumors.&quot;,&quot;publisher&quot;:&quot;BMJ Publishing Group&quot;,&quot;issue&quot;:&quot;12&quot;,&quot;volume&quot;:&quot;10&quot;},&quot;isTemporary&quot;:false}]},{&quot;citationID&quot;:&quot;MENDELEY_CITATION_84ccf470-fbfd-4ee9-badb-6d89ca1f7b49&quot;,&quot;properties&quot;:{&quot;noteIndex&quot;:0},&quot;isEdited&quot;:false,&quot;manualOverride&quot;:{&quot;isManuallyOverridden&quot;:false,&quot;citeprocText&quot;:&quot;&lt;sup&gt;9, 10&lt;/sup&gt;&quot;,&quot;manualOverrideText&quot;:&quot;&quot;},&quot;citationTag&quot;:&quot;MENDELEY_CITATION_v3_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&quot;,&quot;citationItems&quot;:[{&quot;id&quot;:&quot;32bcf53a-41d7-330a-89ef-7918c4029594&quot;,&quot;itemData&quot;:{&quot;type&quot;:&quot;article-journal&quot;,&quot;id&quot;:&quot;32bcf53a-41d7-330a-89ef-7918c4029594&quot;,&quot;title&quot;:&quot;Delivery systems for intradermal vaccination&quot;,&quot;author&quot;:[{&quot;family&quot;:&quot;Kim&quot;,&quot;given&quot;:&quot;Y. C.&quot;,&quot;parse-names&quot;:false,&quot;dropping-particle&quot;:&quot;&quot;,&quot;non-dropping-particle&quot;:&quot;&quot;},{&quot;family&quot;:&quot;Jarrahian&quot;,&quot;given&quot;:&quot;C.&quot;,&quot;parse-names&quot;:false,&quot;dropping-particle&quot;:&quot;&quot;,&quot;non-dropping-particle&quot;:&quot;&quot;},{&quot;family&quot;:&quot;Zehrung&quot;,&quot;given&quot;:&quot;D.&quot;,&quot;parse-names&quot;:false,&quot;dropping-particle&quot;:&quot;&quot;,&quot;non-dropping-particle&quot;:&quot;&quot;},{&quot;family&quot;:&quot;Mitragotri&quot;,&quot;given&quot;:&quot;S.&quot;,&quot;parse-names&quot;:false,&quot;dropping-particle&quot;:&quot;&quot;,&quot;non-dropping-particle&quot;:&quot;&quot;},{&quot;family&quot;:&quot;Prausnitz&quot;,&quot;given&quot;:&quot;M. R.&quot;,&quot;parse-names&quot;:false,&quot;dropping-particle&quot;:&quot;&quot;,&quot;non-dropping-particle&quot;:&quot;&quot;}],&quot;container-title&quot;:&quot;Current Topics in Microbiology and Immunology&quot;,&quot;container-title-short&quot;:&quot;Curr. Top. Microbiol. Immunol.&quot;,&quot;DOI&quot;:&quot;10.1007/82_2011_123&quot;,&quot;ISBN&quot;:&quot;9783642236891&quot;,&quot;ISSN&quot;:&quot;0070217X&quot;,&quot;PMID&quot;:&quot;21472533&quot;,&quot;issued&quot;:{&quot;date-parts&quot;:[[2012]]},&quot;page&quot;:&quot;77-112&quot;,&quot;abstract&quot;:&quot;Intradermal (ID) vaccination can offer improved immunity and simpler logistics of delivery, but its use in medicine is limited by the need for simple, reliable methods of ID delivery. ID injection by the Mantoux technique requires special training and may not reliably target skin, but is nonetheless used currently for BCG and rabies vaccination. Scarification using a bifurcated needle was extensively used for smallpox eradication, but provides variable and inefficient delivery into the skin. Recently, ID vaccination has been simplified by introduction of a simple-to-use hollow microneedle that has been approved for ID injection of influenza vaccine in Europe. Various designs of hollow microneedles have been studied preclinically and in humans. Vaccines can also be injected into skin using needle-free devices, such as jet injection, which is receiving renewed clinical attention for ID vaccination. Projectile delivery using powder and gold particles (i.e., gene gun) have also been used clinically for ID vaccination. Building off the scarification approach, a number of preclinical studies have examined solid microneedle patches for use with vaccine coated onto metal microneedles, encapsulated within dissolving microneedles or added topically to skin after microneedle pretreatment, as well as adapting tattoo guns for ID vaccination. Finally, technologies designed to increase skin permeability in combination with a vaccine patch have been studied through the use of skin abrasion, ultrasound, electroporation, chemical enhancers, and thermal ablation. The prospects for bringing ID vaccination into more widespread clinical practice are encouraging, given the large number of technologies for ID delivery under development. © 2011 Springer-Verlag Berlin Heidelberg.&quot;,&quot;issue&quot;:&quot;1&quot;,&quot;volume&quot;:&quot;351&quot;},&quot;isTemporary&quot;:false},{&quot;id&quot;:&quot;72739fe4-0586-3b74-b5e2-4c5cbee28152&quot;,&quot;itemData&quot;:{&quot;type&quot;:&quot;article-journal&quot;,&quot;id&quot;:&quot;72739fe4-0586-3b74-b5e2-4c5cbee28152&quot;,&quot;title&quot;:&quot;Emerging adjuvants for intradermal vaccination&quot;,&quot;author&quot;:[{&quot;family&quot;:&quot;Chen&quot;,&quot;given&quot;:&quot;Xinyuan&quot;,&quot;parse-names&quot;:false,&quot;dropping-particle&quot;:&quot;&quot;,&quot;non-dropping-particle&quot;:&quot;&quot;}],&quot;container-title&quot;:&quot;International Journal of Pharmaceutics&quot;,&quot;container-title-short&quot;:&quot;Int. J. Pharm.&quot;,&quot;DOI&quot;:&quot;10.1016/j.ijpharm.2022.122559&quot;,&quot;ISSN&quot;:&quot;18733476&quot;,&quot;PMID&quot;:&quot;36586639&quot;,&quot;issued&quot;:{&quot;date-parts&quot;:[[2023,2,5]]},&quot;abstract&quot;:&quot;The majority of vaccines have been delivered into the muscular tissue. Skin contains large amounts of antigen-presenting cells and has been recognized as a more immunogenic site for vaccine delivery. Intradermal delivery has been approved to improve influenza vaccine efficacy and spare influenza vaccine doses. In response to the recent monkeypox outbreak, intradermal delivery has been also approved to stretch the limited monkeypox vaccine doses to immunize more people at risk. Incorporation of vaccine adjuvants is promising to further increase intradermal vaccine efficacy and spare more vaccine doses. Yet, intradermal vaccination is associated with more significant local reactions than intramuscular vaccination. Thus, adjuvants suitable to boost intradermal vaccination need to have a good local safety without inducing overt local reactions. This review introduces currently approved adjuvants in licensed human vaccines and their relative reactogenicity for intradermal delivery and then introduces emerging chemical and physical adjuvants with a good local safety to boost intradermal vaccination. The rational to develop physical adjuvants, the types of physical adjuvants, and the unique advantages of physical adjuvants to boost intradermal vaccination are also introduced in this review.&quot;,&quot;publisher&quot;:&quot;Elsevier B.V.&quot;,&quot;volume&quot;:&quot;632&quot;},&quot;isTemporary&quot;:false}]},{&quot;citationID&quot;:&quot;MENDELEY_CITATION_ba727346-00e2-4ce9-ad56-d70179368e6e&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&quot;,&quot;citationItems&quot;:[{&quot;id&quot;:&quot;72739fe4-0586-3b74-b5e2-4c5cbee28152&quot;,&quot;itemData&quot;:{&quot;type&quot;:&quot;article-journal&quot;,&quot;id&quot;:&quot;72739fe4-0586-3b74-b5e2-4c5cbee28152&quot;,&quot;title&quot;:&quot;Emerging adjuvants for intradermal vaccination&quot;,&quot;author&quot;:[{&quot;family&quot;:&quot;Chen&quot;,&quot;given&quot;:&quot;Xinyuan&quot;,&quot;parse-names&quot;:false,&quot;dropping-particle&quot;:&quot;&quot;,&quot;non-dropping-particle&quot;:&quot;&quot;}],&quot;container-title&quot;:&quot;International Journal of Pharmaceutics&quot;,&quot;container-title-short&quot;:&quot;Int. J. Pharm.&quot;,&quot;DOI&quot;:&quot;10.1016/j.ijpharm.2022.122559&quot;,&quot;ISSN&quot;:&quot;18733476&quot;,&quot;PMID&quot;:&quot;36586639&quot;,&quot;issued&quot;:{&quot;date-parts&quot;:[[2023,2,5]]},&quot;abstract&quot;:&quot;The majority of vaccines have been delivered into the muscular tissue. Skin contains large amounts of antigen-presenting cells and has been recognized as a more immunogenic site for vaccine delivery. Intradermal delivery has been approved to improve influenza vaccine efficacy and spare influenza vaccine doses. In response to the recent monkeypox outbreak, intradermal delivery has been also approved to stretch the limited monkeypox vaccine doses to immunize more people at risk. Incorporation of vaccine adjuvants is promising to further increase intradermal vaccine efficacy and spare more vaccine doses. Yet, intradermal vaccination is associated with more significant local reactions than intramuscular vaccination. Thus, adjuvants suitable to boost intradermal vaccination need to have a good local safety without inducing overt local reactions. This review introduces currently approved adjuvants in licensed human vaccines and their relative reactogenicity for intradermal delivery and then introduces emerging chemical and physical adjuvants with a good local safety to boost intradermal vaccination. The rational to develop physical adjuvants, the types of physical adjuvants, and the unique advantages of physical adjuvants to boost intradermal vaccination are also introduced in this review.&quot;,&quot;publisher&quot;:&quot;Elsevier B.V.&quot;,&quot;volume&quot;:&quot;632&quot;},&quot;isTemporary&quot;:false}]},{&quot;citationID&quot;:&quot;MENDELEY_CITATION_3795a428-1e49-46a0-bf72-95fe76f0c8c1&quot;,&quot;properties&quot;:{&quot;noteIndex&quot;:0},&quot;isEdited&quot;:false,&quot;manualOverride&quot;:{&quot;isManuallyOverridden&quot;:false,&quot;citeprocText&quot;:&quot;&lt;sup&gt;9, 11&lt;/sup&gt;&quot;,&quot;manualOverrideText&quot;:&quot;&quot;},&quot;citationTag&quot;:&quot;MENDELEY_CITATION_v3_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&quot;,&quot;citationItems&quot;:[{&quot;id&quot;:&quot;50042a9d-fc7d-30eb-a7d3-2ee8d77521ad&quot;,&quot;itemData&quot;:{&quot;type&quot;:&quot;article-journal&quot;,&quot;id&quot;:&quot;50042a9d-fc7d-30eb-a7d3-2ee8d77521ad&quot;,&quot;title&quot;:&quot;Intradermal delivery of vaccines: Potential benefits and current challenges&quot;,&quot;author&quot;:[{&quot;family&quot;:&quot;Hickling&quot;,&quot;given&quot;:&quot;J. K.&quot;,&quot;parse-names&quot;:false,&quot;dropping-particle&quot;:&quot;&quot;,&quot;non-dropping-particle&quot;:&quot;&quot;},{&quot;family&quot;:&quot;Jones&quot;,&quot;given&quot;:&quot;K. R.&quot;,&quot;parse-names&quot;:false,&quot;dropping-particle&quot;:&quot;&quot;,&quot;non-dropping-particle&quot;:&quot;&quot;},{&quot;family&quot;:&quot;Friede&quot;,&quot;given&quot;:&quot;M.&quot;,&quot;parse-names&quot;:false,&quot;dropping-particle&quot;:&quot;&quot;,&quot;non-dropping-particle&quot;:&quot;&quot;},{&quot;family&quot;:&quot;Zehrung&quot;,&quot;given&quot;:&quot;D.&quot;,&quot;parse-names&quot;:false,&quot;dropping-particle&quot;:&quot;&quot;,&quot;non-dropping-particle&quot;:&quot;&quot;},{&quot;family&quot;:&quot;Chen&quot;,&quot;given&quot;:&quot;D.&quot;,&quot;parse-names&quot;:false,&quot;dropping-particle&quot;:&quot;&quot;,&quot;non-dropping-particle&quot;:&quot;&quot;},{&quot;family&quot;:&quot;Kristensenc&quot;,&quot;given&quot;:&quot;D.&quot;,&quot;parse-names&quot;:false,&quot;dropping-particle&quot;:&quot;&quot;,&quot;non-dropping-particle&quot;:&quot;&quot;}],&quot;container-title&quot;:&quot;Bulletin of the World Health Organization&quot;,&quot;container-title-short&quot;:&quot;Bull. World Health Organ.&quot;,&quot;DOI&quot;:&quot;10.2471/BLT.10.079426&quot;,&quot;ISSN&quot;:&quot;00429686&quot;,&quot;PMID&quot;:&quot;21379418&quot;,&quot;issued&quot;:{&quot;date-parts&quot;:[[2011,3]]},&quot;page&quot;:&quot;221-226&quot;,&quot;abstract&quot;:&quot;Delivery of vaccine antigens to the dermis and/or epidermis of human skin (i.e. intradermal delivery) might be more efficient than injection into the muscle or subcutaneous tissue, thereby reducing the volumes of antigen. This is known as dose-sparing and has been demonstrated in clinical trials with some, but not all, vaccines. Dose-sparing could be beneficial to immunization programmes by potentially reducing the costs of purchase, distribution and storage of vaccines; increasing vaccine availability and effectiveness. The data obtained with intradermal delivery of some vaccines are encouraging and warrant further study and development; however significant gaps in knowledge and operational challenges such as reformulation, optimizing vaccine presentation and development of novel devices to aid intradermal vaccine delivery need to be addressed. Modelling of the costs and potential savings resulting from intradermal delivery should be done to provide realistic expectations of the potential benefits and to support cases for investment. Implementation and uptake of intradermal vaccine delivery requires further research and development, which depends upon collaboration between multiple stakeholders in the field of vaccination.&quot;,&quot;issue&quot;:&quot;3&quot;,&quot;volume&quot;:&quot;89&quot;},&quot;isTemporary&quot;:false},{&quot;id&quot;:&quot;32bcf53a-41d7-330a-89ef-7918c4029594&quot;,&quot;itemData&quot;:{&quot;type&quot;:&quot;article-journal&quot;,&quot;id&quot;:&quot;32bcf53a-41d7-330a-89ef-7918c4029594&quot;,&quot;title&quot;:&quot;Delivery systems for intradermal vaccination&quot;,&quot;author&quot;:[{&quot;family&quot;:&quot;Kim&quot;,&quot;given&quot;:&quot;Y. C.&quot;,&quot;parse-names&quot;:false,&quot;dropping-particle&quot;:&quot;&quot;,&quot;non-dropping-particle&quot;:&quot;&quot;},{&quot;family&quot;:&quot;Jarrahian&quot;,&quot;given&quot;:&quot;C.&quot;,&quot;parse-names&quot;:false,&quot;dropping-particle&quot;:&quot;&quot;,&quot;non-dropping-particle&quot;:&quot;&quot;},{&quot;family&quot;:&quot;Zehrung&quot;,&quot;given&quot;:&quot;D.&quot;,&quot;parse-names&quot;:false,&quot;dropping-particle&quot;:&quot;&quot;,&quot;non-dropping-particle&quot;:&quot;&quot;},{&quot;family&quot;:&quot;Mitragotri&quot;,&quot;given&quot;:&quot;S.&quot;,&quot;parse-names&quot;:false,&quot;dropping-particle&quot;:&quot;&quot;,&quot;non-dropping-particle&quot;:&quot;&quot;},{&quot;family&quot;:&quot;Prausnitz&quot;,&quot;given&quot;:&quot;M. R.&quot;,&quot;parse-names&quot;:false,&quot;dropping-particle&quot;:&quot;&quot;,&quot;non-dropping-particle&quot;:&quot;&quot;}],&quot;container-title&quot;:&quot;Current Topics in Microbiology and Immunology&quot;,&quot;container-title-short&quot;:&quot;Curr. Top. Microbiol. Immunol.&quot;,&quot;DOI&quot;:&quot;10.1007/82_2011_123&quot;,&quot;ISBN&quot;:&quot;9783642236891&quot;,&quot;ISSN&quot;:&quot;0070217X&quot;,&quot;PMID&quot;:&quot;21472533&quot;,&quot;issued&quot;:{&quot;date-parts&quot;:[[2012]]},&quot;page&quot;:&quot;77-112&quot;,&quot;abstract&quot;:&quot;Intradermal (ID) vaccination can offer improved immunity and simpler logistics of delivery, but its use in medicine is limited by the need for simple, reliable methods of ID delivery. ID injection by the Mantoux technique requires special training and may not reliably target skin, but is nonetheless used currently for BCG and rabies vaccination. Scarification using a bifurcated needle was extensively used for smallpox eradication, but provides variable and inefficient delivery into the skin. Recently, ID vaccination has been simplified by introduction of a simple-to-use hollow microneedle that has been approved for ID injection of influenza vaccine in Europe. Various designs of hollow microneedles have been studied preclinically and in humans. Vaccines can also be injected into skin using needle-free devices, such as jet injection, which is receiving renewed clinical attention for ID vaccination. Projectile delivery using powder and gold particles (i.e., gene gun) have also been used clinically for ID vaccination. Building off the scarification approach, a number of preclinical studies have examined solid microneedle patches for use with vaccine coated onto metal microneedles, encapsulated within dissolving microneedles or added topically to skin after microneedle pretreatment, as well as adapting tattoo guns for ID vaccination. Finally, technologies designed to increase skin permeability in combination with a vaccine patch have been studied through the use of skin abrasion, ultrasound, electroporation, chemical enhancers, and thermal ablation. The prospects for bringing ID vaccination into more widespread clinical practice are encouraging, given the large number of technologies for ID delivery under development. © 2011 Springer-Verlag Berlin Heidelberg.&quot;,&quot;issue&quot;:&quot;1&quot;,&quot;volume&quot;:&quot;351&quot;},&quot;isTemporary&quot;:false}]}]"/>
    <we:property name="MENDELEY_CITATIONS_LOCALE_CODE" value="&quot;en-US&quot;"/>
    <we:property name="MENDELEY_CITATIONS_STYLE" value="{&quot;id&quot;:&quot;https://www.zotero.org/styles/journal-of-visualized-experiments&quot;,&quot;title&quot;:&quot;Journal of Visualized Experiment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86F36-A809-44C3-9EF0-F40896786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3573</Words>
  <Characters>20369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2026-04-17T21:31:00Z</dcterms:created>
  <dcterms:modified xsi:type="dcterms:W3CDTF">2026-04-17T21:31:00Z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