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F08F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17BD3">
        <w:rPr>
          <w:rFonts w:eastAsia="Times New Roman" w:cstheme="minorHAnsi"/>
          <w:b/>
        </w:rPr>
        <w:t>70278</w:t>
      </w:r>
    </w:p>
    <w:p w14:paraId="2F6924E5" w14:textId="0390911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17BD3">
        <w:rPr>
          <w:rFonts w:eastAsia="Times New Roman" w:cstheme="minorHAnsi"/>
          <w:b/>
        </w:rPr>
        <w:t>Kathyayani Sridharan</w:t>
      </w:r>
    </w:p>
    <w:p w14:paraId="6FB9233B" w14:textId="1D66D3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17BD3" w:rsidRPr="00F430B2">
          <w:rPr>
            <w:rStyle w:val="Hyperlink"/>
            <w:rFonts w:eastAsia="Times New Roman" w:cstheme="minorHAnsi"/>
            <w:b/>
          </w:rPr>
          <w:t>https://review.jove.com/account/file-up</w:t>
        </w:r>
        <w:r w:rsidR="00C17BD3" w:rsidRPr="00F430B2">
          <w:rPr>
            <w:rStyle w:val="Hyperlink"/>
            <w:rFonts w:eastAsia="Times New Roman" w:cstheme="minorHAnsi"/>
            <w:b/>
          </w:rPr>
          <w:t>l</w:t>
        </w:r>
        <w:r w:rsidR="00C17BD3" w:rsidRPr="00F430B2">
          <w:rPr>
            <w:rStyle w:val="Hyperlink"/>
            <w:rFonts w:eastAsia="Times New Roman" w:cstheme="minorHAnsi"/>
            <w:b/>
          </w:rPr>
          <w:t>oader?src=21434838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DCB5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17BD3" w:rsidRPr="00C17BD3">
        <w:rPr>
          <w:rFonts w:eastAsia="Times New Roman" w:cstheme="minorHAnsi"/>
          <w:b/>
          <w:sz w:val="32"/>
          <w:szCs w:val="32"/>
        </w:rPr>
        <w:t>Cell-of-origin Discovery in Infant Leukemia through Integration of 3D Models and Patient Transcriptomic Data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CB1471" w14:textId="554193E3" w:rsidR="00C17BD3" w:rsidRPr="00183C81" w:rsidRDefault="00C17BD3" w:rsidP="00C17BD3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183C81">
        <w:rPr>
          <w:rFonts w:eastAsia="Times New Roman" w:cstheme="minorHAnsi"/>
          <w:b/>
          <w:sz w:val="28"/>
          <w:szCs w:val="28"/>
          <w:lang w:val="it-IT"/>
        </w:rPr>
        <w:t>Ayona Johns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183C81">
        <w:rPr>
          <w:rFonts w:eastAsia="Times New Roman" w:cstheme="minorHAnsi"/>
          <w:b/>
          <w:sz w:val="28"/>
          <w:szCs w:val="28"/>
          <w:lang w:val="it-IT"/>
        </w:rPr>
        <w:t>, Cristina Pina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3,4</w:t>
      </w:r>
      <w:r w:rsidR="00B479BF"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,5</w:t>
      </w:r>
      <w:r w:rsidRPr="00183C81">
        <w:rPr>
          <w:rFonts w:eastAsia="Times New Roman" w:cstheme="minorHAnsi"/>
          <w:b/>
          <w:sz w:val="28"/>
          <w:szCs w:val="28"/>
          <w:lang w:val="it-IT"/>
        </w:rPr>
        <w:t>, Denise Ragusa</w:t>
      </w:r>
      <w:r w:rsidRPr="00183C81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</w:p>
    <w:p w14:paraId="42DBE57A" w14:textId="77777777" w:rsidR="00C17BD3" w:rsidRPr="00183C81" w:rsidRDefault="00C17BD3" w:rsidP="00C17BD3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</w:p>
    <w:p w14:paraId="08FF5C87" w14:textId="4A6B9DC1" w:rsidR="00C17BD3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1</w:t>
      </w:r>
      <w:r w:rsidRPr="00523CB9">
        <w:rPr>
          <w:rFonts w:eastAsia="Times New Roman" w:cstheme="minorHAnsi"/>
          <w:bCs/>
        </w:rPr>
        <w:t>Department of Biosciences, College of Health, Medicine and Life Sciences, Brunel University of London</w:t>
      </w:r>
    </w:p>
    <w:p w14:paraId="478D6D67" w14:textId="5B9B46E0" w:rsidR="00C17BD3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2</w:t>
      </w:r>
      <w:r w:rsidRPr="00523CB9">
        <w:rPr>
          <w:rFonts w:eastAsia="Times New Roman" w:cstheme="minorHAnsi"/>
          <w:bCs/>
        </w:rPr>
        <w:t>Centre for Genome Engineering and Maintenance, College of Health, Medicine and Life Sciences, Brunel University of London</w:t>
      </w:r>
    </w:p>
    <w:p w14:paraId="6C72253D" w14:textId="172C876D" w:rsidR="00B479BF" w:rsidRPr="00523CB9" w:rsidRDefault="00C17BD3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3</w:t>
      </w:r>
      <w:r w:rsidRPr="00523CB9">
        <w:rPr>
          <w:rFonts w:eastAsia="Times New Roman" w:cstheme="minorHAnsi"/>
          <w:bCs/>
        </w:rPr>
        <w:t>Sanquin Research</w:t>
      </w:r>
      <w:r w:rsidR="002F7D5E" w:rsidRPr="00523CB9">
        <w:rPr>
          <w:rFonts w:eastAsia="Times New Roman" w:cstheme="minorHAnsi"/>
          <w:bCs/>
        </w:rPr>
        <w:t xml:space="preserve">, </w:t>
      </w:r>
      <w:r w:rsidRPr="00523CB9">
        <w:rPr>
          <w:rFonts w:eastAsia="Times New Roman" w:cstheme="minorHAnsi"/>
          <w:bCs/>
        </w:rPr>
        <w:t>Landsteiner Laboratory, Amsterdam University Medical Centre</w:t>
      </w:r>
    </w:p>
    <w:p w14:paraId="0F300CC0" w14:textId="1C38F98B" w:rsidR="00C17BD3" w:rsidRPr="00523CB9" w:rsidRDefault="00B479BF" w:rsidP="00C17BD3">
      <w:pPr>
        <w:outlineLvl w:val="0"/>
        <w:rPr>
          <w:rFonts w:eastAsia="Times New Roman" w:cstheme="minorHAnsi"/>
          <w:bCs/>
        </w:rPr>
      </w:pPr>
      <w:r w:rsidRPr="00183C81">
        <w:rPr>
          <w:rFonts w:eastAsia="Times New Roman" w:cstheme="minorHAnsi"/>
          <w:bCs/>
          <w:vertAlign w:val="superscript"/>
          <w:lang w:val="en-GB"/>
        </w:rPr>
        <w:t>4</w:t>
      </w:r>
      <w:r w:rsidRPr="00523CB9">
        <w:rPr>
          <w:rFonts w:eastAsia="Times New Roman" w:cstheme="minorHAnsi"/>
          <w:bCs/>
          <w:lang w:val="en-GB"/>
        </w:rPr>
        <w:t xml:space="preserve"> Cancer Center Amsterdam, Amsterdam UMC</w:t>
      </w:r>
      <w:r w:rsidR="00C17BD3" w:rsidRPr="00523CB9">
        <w:rPr>
          <w:rFonts w:eastAsia="Times New Roman" w:cstheme="minorHAnsi"/>
          <w:bCs/>
        </w:rPr>
        <w:t xml:space="preserve"> </w:t>
      </w:r>
    </w:p>
    <w:p w14:paraId="33CD999C" w14:textId="25B06850" w:rsidR="00D6314B" w:rsidRPr="00523CB9" w:rsidRDefault="00B479BF" w:rsidP="00C17BD3">
      <w:pPr>
        <w:outlineLvl w:val="0"/>
        <w:rPr>
          <w:rFonts w:eastAsia="Times New Roman" w:cstheme="minorHAnsi"/>
          <w:bCs/>
        </w:rPr>
      </w:pPr>
      <w:r w:rsidRPr="00523CB9">
        <w:rPr>
          <w:rFonts w:eastAsia="Times New Roman" w:cstheme="minorHAnsi"/>
          <w:bCs/>
          <w:vertAlign w:val="superscript"/>
        </w:rPr>
        <w:t>5</w:t>
      </w:r>
      <w:r w:rsidR="002F7D5E" w:rsidRPr="00523CB9">
        <w:rPr>
          <w:rFonts w:eastAsia="Times New Roman" w:cstheme="minorHAnsi"/>
          <w:bCs/>
        </w:rPr>
        <w:t xml:space="preserve">Princess </w:t>
      </w:r>
      <w:r w:rsidR="00C17BD3" w:rsidRPr="00523CB9">
        <w:rPr>
          <w:rFonts w:eastAsia="Times New Roman" w:cstheme="minorHAnsi"/>
          <w:bCs/>
        </w:rPr>
        <w:t>Máxima Centre for Pediatric Oncology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F98FB77" w14:textId="4B5A8644" w:rsidR="00C17BD3" w:rsidRPr="00EE67F4" w:rsidRDefault="00C17BD3" w:rsidP="00C17BD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EE67F4">
        <w:rPr>
          <w:rFonts w:asciiTheme="majorHAnsi" w:hAnsiTheme="majorHAnsi" w:cstheme="majorHAnsi"/>
        </w:rPr>
        <w:t>Denise Ragusa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E67F4">
        <w:rPr>
          <w:rFonts w:asciiTheme="majorHAnsi" w:hAnsiTheme="majorHAnsi" w:cstheme="majorHAnsi"/>
        </w:rPr>
        <w:t xml:space="preserve"> </w:t>
      </w:r>
      <w:hyperlink r:id="rId9" w:history="1">
        <w:r w:rsidR="009A1575" w:rsidRPr="00F430B2">
          <w:rPr>
            <w:rStyle w:val="Hyperlink"/>
            <w:rFonts w:asciiTheme="majorHAnsi" w:hAnsiTheme="majorHAnsi" w:cstheme="majorHAnsi"/>
          </w:rPr>
          <w:t>denise.ragusa@brunel.ac.uk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12F8B65" w14:textId="6D20E70E" w:rsidR="00C17BD3" w:rsidRPr="00C17BD3" w:rsidRDefault="00C17BD3" w:rsidP="00C17BD3">
      <w:pPr>
        <w:pBdr>
          <w:between w:val="nil"/>
        </w:pBdr>
        <w:rPr>
          <w:rFonts w:asciiTheme="majorHAnsi" w:hAnsiTheme="majorHAnsi" w:cstheme="majorHAnsi"/>
        </w:rPr>
      </w:pPr>
      <w:r w:rsidRPr="00C17BD3">
        <w:rPr>
          <w:rFonts w:asciiTheme="majorHAnsi" w:hAnsiTheme="majorHAnsi" w:cstheme="majorHAnsi"/>
        </w:rPr>
        <w:t xml:space="preserve">Ayona Johns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10" w:history="1">
        <w:r w:rsidRPr="00F430B2">
          <w:rPr>
            <w:rStyle w:val="Hyperlink"/>
            <w:rFonts w:asciiTheme="majorHAnsi" w:hAnsiTheme="majorHAnsi" w:cstheme="majorHAnsi"/>
          </w:rPr>
          <w:t>ayona.johns@brunel.ac.uk</w:t>
        </w:r>
      </w:hyperlink>
    </w:p>
    <w:p w14:paraId="2803814D" w14:textId="5CC474D2" w:rsidR="00C17BD3" w:rsidRPr="00C17BD3" w:rsidRDefault="00C17BD3" w:rsidP="00C17BD3">
      <w:pPr>
        <w:pBdr>
          <w:between w:val="nil"/>
        </w:pBdr>
        <w:rPr>
          <w:rFonts w:asciiTheme="majorHAnsi" w:hAnsiTheme="majorHAnsi" w:cstheme="majorHAnsi"/>
          <w:lang w:val="it-IT"/>
        </w:rPr>
      </w:pPr>
      <w:r w:rsidRPr="00C17BD3">
        <w:rPr>
          <w:rFonts w:asciiTheme="majorHAnsi" w:hAnsiTheme="majorHAnsi" w:cstheme="majorHAnsi"/>
          <w:lang w:val="it-IT"/>
        </w:rPr>
        <w:t xml:space="preserve">Cristina Pina </w:t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r>
        <w:rPr>
          <w:rFonts w:asciiTheme="majorHAnsi" w:hAnsiTheme="majorHAnsi" w:cstheme="majorHAnsi"/>
          <w:lang w:val="it-IT"/>
        </w:rPr>
        <w:tab/>
      </w:r>
      <w:hyperlink r:id="rId11" w:history="1">
        <w:r w:rsidRPr="00F430B2">
          <w:rPr>
            <w:rStyle w:val="Hyperlink"/>
            <w:rFonts w:asciiTheme="majorHAnsi" w:hAnsiTheme="majorHAnsi" w:cstheme="majorHAnsi"/>
            <w:lang w:val="it-IT"/>
          </w:rPr>
          <w:t>c.pina@sanquin.nl</w:t>
        </w:r>
      </w:hyperlink>
    </w:p>
    <w:p w14:paraId="2984381F" w14:textId="60EE8138" w:rsidR="00C17BD3" w:rsidRPr="00183C81" w:rsidRDefault="00C17BD3" w:rsidP="00C17BD3">
      <w:pPr>
        <w:pBdr>
          <w:between w:val="nil"/>
        </w:pBdr>
        <w:rPr>
          <w:rFonts w:asciiTheme="majorHAnsi" w:hAnsiTheme="majorHAnsi" w:cstheme="majorHAnsi"/>
          <w:lang w:val="it-IT"/>
        </w:rPr>
      </w:pPr>
      <w:r w:rsidRPr="00183C81">
        <w:rPr>
          <w:rFonts w:asciiTheme="majorHAnsi" w:hAnsiTheme="majorHAnsi" w:cstheme="majorHAnsi"/>
          <w:lang w:val="it-IT"/>
        </w:rPr>
        <w:t xml:space="preserve">Denise Ragusa </w:t>
      </w:r>
      <w:r w:rsidRPr="00183C81">
        <w:rPr>
          <w:rFonts w:asciiTheme="majorHAnsi" w:hAnsiTheme="majorHAnsi" w:cstheme="majorHAnsi"/>
          <w:lang w:val="it-IT"/>
        </w:rPr>
        <w:tab/>
      </w:r>
      <w:r w:rsidRPr="00183C81">
        <w:rPr>
          <w:rFonts w:asciiTheme="majorHAnsi" w:hAnsiTheme="majorHAnsi" w:cstheme="majorHAnsi"/>
          <w:lang w:val="it-IT"/>
        </w:rPr>
        <w:tab/>
      </w:r>
      <w:r w:rsidRPr="00183C81">
        <w:rPr>
          <w:rFonts w:asciiTheme="majorHAnsi" w:hAnsiTheme="majorHAnsi" w:cstheme="majorHAnsi"/>
          <w:lang w:val="it-IT"/>
        </w:rPr>
        <w:tab/>
      </w:r>
      <w:hyperlink r:id="rId12" w:history="1">
        <w:r w:rsidRPr="00183C81">
          <w:rPr>
            <w:rStyle w:val="Hyperlink"/>
            <w:rFonts w:asciiTheme="majorHAnsi" w:hAnsiTheme="majorHAnsi" w:cstheme="majorHAnsi"/>
            <w:lang w:val="it-IT"/>
          </w:rPr>
          <w:t>denise.ragusa@brunel.ac.uk</w:t>
        </w:r>
      </w:hyperlink>
    </w:p>
    <w:p w14:paraId="6F84F159" w14:textId="77777777" w:rsidR="003B5E26" w:rsidRPr="00183C81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5A2BE33C" w14:textId="77777777" w:rsidR="001E230F" w:rsidRPr="00183C81" w:rsidRDefault="001E230F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0B95108" w14:textId="77777777" w:rsidR="00C70C90" w:rsidRPr="00183C81" w:rsidRDefault="00C70C90">
      <w:pPr>
        <w:rPr>
          <w:rFonts w:cstheme="minorHAnsi"/>
          <w:b/>
          <w:sz w:val="22"/>
          <w:szCs w:val="22"/>
          <w:lang w:val="it-IT"/>
        </w:rPr>
      </w:pPr>
      <w:r w:rsidRPr="00183C81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1A8B0C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F0AB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  <w:r w:rsidR="007F0AB7" w:rsidRPr="007F0AB7">
        <w:rPr>
          <w:rFonts w:eastAsia="Times New Roman" w:cstheme="minorHAnsi"/>
          <w:highlight w:val="yellow"/>
        </w:rPr>
        <w:t>(</w:t>
      </w:r>
      <w:r w:rsidR="007F0AB7" w:rsidRPr="007F0AB7">
        <w:rPr>
          <w:rFonts w:eastAsia="Times New Roman" w:cstheme="minorHAnsi"/>
          <w:b/>
          <w:bCs/>
          <w:highlight w:val="yellow"/>
        </w:rPr>
        <w:t>Authors:</w:t>
      </w:r>
      <w:r w:rsidR="007F0AB7" w:rsidRPr="007F0AB7">
        <w:rPr>
          <w:rFonts w:eastAsia="Times New Roman" w:cstheme="minorHAnsi"/>
          <w:highlight w:val="yellow"/>
        </w:rPr>
        <w:t xml:space="preserve"> </w:t>
      </w:r>
      <w:r w:rsidR="007F0AB7" w:rsidRPr="007F0AB7">
        <w:rPr>
          <w:rFonts w:eastAsia="Times New Roman" w:cstheme="minorHAnsi"/>
          <w:highlight w:val="yellow"/>
        </w:rPr>
        <w:t>We have updated this response to align with the actual protocol steps, which do not involve a stereo or dissection microscope</w:t>
      </w:r>
      <w:r w:rsidR="007F0AB7" w:rsidRPr="007F0AB7">
        <w:rPr>
          <w:rFonts w:eastAsia="Times New Roman" w:cstheme="minorHAnsi"/>
          <w:highlight w:val="yellow"/>
        </w:rPr>
        <w:t>).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C2CE6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F7D5E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64AB4A5D" w14:textId="3BC4FC2C" w:rsidR="005F6486" w:rsidRDefault="005F6486" w:rsidP="001331E3">
      <w:pPr>
        <w:spacing w:before="120"/>
        <w:ind w:left="720"/>
        <w:rPr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="000A63B6" w:rsidRPr="00F430B2">
          <w:rPr>
            <w:rStyle w:val="Hyperlink"/>
            <w:b/>
            <w:bCs/>
            <w:highlight w:val="yellow"/>
          </w:rPr>
          <w:t>https://review.jove.com/account/file-uploader?src=21434838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7821E2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053D6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65049A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F7D5E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450F7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60765">
        <w:rPr>
          <w:rFonts w:cstheme="minorHAnsi"/>
          <w:bCs/>
          <w:sz w:val="22"/>
          <w:szCs w:val="22"/>
        </w:rPr>
        <w:t>19</w:t>
      </w:r>
    </w:p>
    <w:p w14:paraId="5AAC9C6C" w14:textId="30E996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3379F">
        <w:rPr>
          <w:rFonts w:cstheme="minorHAnsi"/>
          <w:bCs/>
          <w:sz w:val="22"/>
          <w:szCs w:val="22"/>
        </w:rPr>
        <w:t>44</w:t>
      </w:r>
      <w:r w:rsidR="00006628">
        <w:rPr>
          <w:rFonts w:cstheme="minorHAnsi"/>
          <w:bCs/>
          <w:sz w:val="22"/>
          <w:szCs w:val="22"/>
        </w:rPr>
        <w:t xml:space="preserve"> (</w:t>
      </w:r>
      <w:r w:rsidR="00D3379F">
        <w:rPr>
          <w:rFonts w:cstheme="minorHAnsi"/>
          <w:bCs/>
          <w:sz w:val="22"/>
          <w:szCs w:val="22"/>
        </w:rPr>
        <w:t>29</w:t>
      </w:r>
      <w:r w:rsidR="00006628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23668F6" w14:textId="75226486" w:rsidR="007848EF" w:rsidRPr="007848EF" w:rsidRDefault="007848EF" w:rsidP="007D61A8">
      <w:pPr>
        <w:rPr>
          <w:rFonts w:cstheme="minorHAnsi"/>
          <w:color w:val="EE0000"/>
          <w:shd w:val="clear" w:color="auto" w:fill="FFFFFF"/>
        </w:rPr>
      </w:pPr>
      <w:r w:rsidRPr="007848EF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D34B669" w:rsidR="007D61A8" w:rsidRPr="00EA5742" w:rsidRDefault="002F7D5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Denise Ragusa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="007848EF">
        <w:rPr>
          <w:rFonts w:cstheme="minorHAnsi"/>
        </w:rPr>
        <w:t>uses</w:t>
      </w:r>
      <w:r w:rsidR="00081AE5">
        <w:rPr>
          <w:rFonts w:cstheme="minorHAnsi"/>
        </w:rPr>
        <w:t xml:space="preserve"> a gastruloid </w:t>
      </w:r>
      <w:r w:rsidR="004454E4">
        <w:rPr>
          <w:rFonts w:cstheme="minorHAnsi"/>
        </w:rPr>
        <w:t>embryonic blood formation</w:t>
      </w:r>
      <w:r w:rsidR="004454E4">
        <w:rPr>
          <w:rFonts w:cstheme="minorHAnsi"/>
        </w:rPr>
        <w:t xml:space="preserve"> </w:t>
      </w:r>
      <w:r w:rsidR="00081AE5">
        <w:rPr>
          <w:rFonts w:cstheme="minorHAnsi"/>
        </w:rPr>
        <w:t xml:space="preserve">model </w:t>
      </w:r>
      <w:r w:rsidR="00081AE5">
        <w:rPr>
          <w:rFonts w:cstheme="minorHAnsi"/>
        </w:rPr>
        <w:t xml:space="preserve">for </w:t>
      </w:r>
      <w:r>
        <w:rPr>
          <w:rFonts w:cstheme="minorHAnsi"/>
        </w:rPr>
        <w:t xml:space="preserve">tracking the </w:t>
      </w:r>
      <w:r w:rsidR="00081AE5" w:rsidRPr="00081AE5">
        <w:rPr>
          <w:rFonts w:cstheme="minorHAnsi"/>
          <w:i/>
          <w:iCs/>
        </w:rPr>
        <w:t>in utero</w:t>
      </w:r>
      <w:r w:rsidR="00081AE5">
        <w:rPr>
          <w:rFonts w:cstheme="minorHAnsi"/>
          <w:i/>
          <w:iCs/>
        </w:rPr>
        <w:t xml:space="preserve"> </w:t>
      </w:r>
      <w:r w:rsidR="00081AE5">
        <w:rPr>
          <w:rFonts w:cstheme="minorHAnsi"/>
        </w:rPr>
        <w:t>cell of origin</w:t>
      </w:r>
      <w:r w:rsidR="00081AE5">
        <w:rPr>
          <w:rFonts w:cstheme="minorHAnsi"/>
        </w:rPr>
        <w:t xml:space="preserve"> in </w:t>
      </w:r>
      <w:r w:rsidR="007848EF">
        <w:rPr>
          <w:rFonts w:cstheme="minorHAnsi"/>
        </w:rPr>
        <w:t>pediatric leukemias</w:t>
      </w:r>
      <w:r w:rsidR="00081AE5">
        <w:rPr>
          <w:rFonts w:cstheme="minorHAnsi"/>
        </w:rPr>
        <w:t>.</w:t>
      </w:r>
    </w:p>
    <w:p w14:paraId="53DA5B8A" w14:textId="77777777" w:rsidR="00EA5742" w:rsidRDefault="00EA5742" w:rsidP="00EA5742"/>
    <w:p w14:paraId="79194351" w14:textId="5F52ACB4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D3B4C30" w14:textId="45F14975" w:rsidR="007848EF" w:rsidRDefault="007848EF" w:rsidP="007848EF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rStyle w:val="AuthorName"/>
          <w:rFonts w:eastAsia="Times"/>
        </w:rPr>
        <w:t>Denise Ragusa</w:t>
      </w:r>
      <w:r>
        <w:rPr>
          <w:b/>
          <w:bCs/>
          <w:u w:val="single"/>
        </w:rPr>
        <w:t>:</w:t>
      </w:r>
      <w:r>
        <w:t xml:space="preserve"> Unlike existing methods, t</w:t>
      </w:r>
      <w:r w:rsidRPr="007848EF">
        <w:t>his protocol captures the temporal and spatial complexity of embryonic hematopoiesis, tracking leukemia-mutation targets within developmental niches</w:t>
      </w:r>
      <w:r>
        <w:t>.</w:t>
      </w:r>
    </w:p>
    <w:p w14:paraId="13F9A6E9" w14:textId="77777777" w:rsidR="00EA5742" w:rsidRDefault="00EA5742" w:rsidP="00EA5742"/>
    <w:p w14:paraId="771168C3" w14:textId="5F85C991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8B9CC28" w:rsidR="00D75084" w:rsidRPr="00EA5742" w:rsidRDefault="00D11F69" w:rsidP="00C3094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30945">
        <w:rPr>
          <w:rFonts w:cstheme="minorHAnsi"/>
        </w:rPr>
        <w:t>This protocol aims at exploring</w:t>
      </w:r>
      <w:r w:rsidR="00C30945">
        <w:rPr>
          <w:rFonts w:cstheme="minorHAnsi"/>
        </w:rPr>
        <w:t xml:space="preserve"> </w:t>
      </w:r>
      <w:r w:rsidR="00C30945" w:rsidRPr="00C30945">
        <w:rPr>
          <w:rFonts w:cstheme="minorHAnsi"/>
        </w:rPr>
        <w:t>transcriptional profiles</w:t>
      </w:r>
      <w:r w:rsidR="00C30945">
        <w:rPr>
          <w:rFonts w:cstheme="minorHAnsi"/>
        </w:rPr>
        <w:t xml:space="preserve"> and phenotypes</w:t>
      </w:r>
      <w:r w:rsidR="00C30945" w:rsidRPr="00C30945">
        <w:rPr>
          <w:rFonts w:cstheme="minorHAnsi"/>
        </w:rPr>
        <w:t xml:space="preserve"> of </w:t>
      </w:r>
      <w:r w:rsidR="00431E61">
        <w:rPr>
          <w:rFonts w:cstheme="minorHAnsi"/>
        </w:rPr>
        <w:t>leukemia-associated</w:t>
      </w:r>
      <w:r w:rsidR="00C30945">
        <w:rPr>
          <w:rFonts w:cstheme="minorHAnsi"/>
        </w:rPr>
        <w:t xml:space="preserve"> abnormalities</w:t>
      </w:r>
      <w:r w:rsidR="00C30945" w:rsidRPr="00C30945">
        <w:rPr>
          <w:rFonts w:cstheme="minorHAnsi"/>
        </w:rPr>
        <w:t xml:space="preserve"> within an embryonic context</w:t>
      </w:r>
      <w:r w:rsidR="00390F43">
        <w:rPr>
          <w:rFonts w:cstheme="minorHAnsi"/>
        </w:rPr>
        <w:t>.</w:t>
      </w:r>
    </w:p>
    <w:p w14:paraId="651F9ECD" w14:textId="77777777" w:rsidR="00EA5742" w:rsidRDefault="00EA5742" w:rsidP="00EA5742"/>
    <w:p w14:paraId="5AAB9BE0" w14:textId="377B74C8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45E2804" w:rsidR="007D61A8" w:rsidRDefault="00C3094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9A7EC6">
        <w:rPr>
          <w:rFonts w:cstheme="minorHAnsi"/>
        </w:rPr>
        <w:t xml:space="preserve"> It is crucial to validate the chosen </w:t>
      </w:r>
      <w:r w:rsidR="00431E61">
        <w:rPr>
          <w:rFonts w:cstheme="minorHAnsi"/>
        </w:rPr>
        <w:t>leukemia-associated</w:t>
      </w:r>
      <w:r w:rsidR="009A7EC6">
        <w:rPr>
          <w:rFonts w:cstheme="minorHAnsi"/>
        </w:rPr>
        <w:t xml:space="preserve"> abnormality in the initial cell culture and gastruloid conditions.</w:t>
      </w:r>
    </w:p>
    <w:p w14:paraId="763B8F2C" w14:textId="77777777" w:rsidR="00EA5742" w:rsidRDefault="00EA5742" w:rsidP="00EA5742"/>
    <w:p w14:paraId="47F1A703" w14:textId="015C6066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3096AAA" w:rsidR="00333FA4" w:rsidRDefault="00C3094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Ayona Johns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F11D6">
        <w:rPr>
          <w:rFonts w:eastAsia="Times New Roman" w:cstheme="minorHAnsi"/>
        </w:rPr>
        <w:t>This protocol</w:t>
      </w:r>
      <w:r w:rsidR="009A7EC6">
        <w:rPr>
          <w:rFonts w:cstheme="minorHAnsi"/>
        </w:rPr>
        <w:t xml:space="preserve"> is compatible with</w:t>
      </w:r>
      <w:r w:rsidR="00AA3810">
        <w:rPr>
          <w:rFonts w:cstheme="minorHAnsi"/>
        </w:rPr>
        <w:t xml:space="preserve"> high-throughput methods and</w:t>
      </w:r>
      <w:r w:rsidR="009A7EC6">
        <w:rPr>
          <w:rFonts w:cstheme="minorHAnsi"/>
        </w:rPr>
        <w:t xml:space="preserve"> </w:t>
      </w:r>
      <w:r w:rsidR="00AA3810">
        <w:rPr>
          <w:rFonts w:cstheme="minorHAnsi"/>
        </w:rPr>
        <w:t xml:space="preserve">standard </w:t>
      </w:r>
      <w:r w:rsidR="009A7EC6">
        <w:rPr>
          <w:rFonts w:cstheme="minorHAnsi"/>
        </w:rPr>
        <w:t>d</w:t>
      </w:r>
      <w:r w:rsidR="009A7EC6" w:rsidRPr="009A7EC6">
        <w:rPr>
          <w:rFonts w:cstheme="minorHAnsi"/>
        </w:rPr>
        <w:t>ownstream molecular, functional,</w:t>
      </w:r>
      <w:r w:rsidR="009A7EC6">
        <w:rPr>
          <w:rFonts w:cstheme="minorHAnsi"/>
        </w:rPr>
        <w:t xml:space="preserve"> </w:t>
      </w:r>
      <w:r w:rsidR="009A7EC6" w:rsidRPr="009A7EC6">
        <w:rPr>
          <w:rFonts w:cstheme="minorHAnsi"/>
        </w:rPr>
        <w:t>and biochemical a</w:t>
      </w:r>
      <w:r w:rsidR="00AA3810">
        <w:rPr>
          <w:rFonts w:cstheme="minorHAnsi"/>
        </w:rPr>
        <w:t>ssays</w:t>
      </w:r>
      <w:r w:rsidR="00563BE7">
        <w:rPr>
          <w:rFonts w:cstheme="minorHAnsi"/>
        </w:rPr>
        <w:t>.</w:t>
      </w:r>
    </w:p>
    <w:p w14:paraId="43C2FADA" w14:textId="77777777" w:rsidR="00EA5742" w:rsidRDefault="00EA5742" w:rsidP="00EA5742"/>
    <w:p w14:paraId="37F7CF6E" w14:textId="3C6B5C8E" w:rsidR="00EA5742" w:rsidRPr="00EA5742" w:rsidRDefault="00EA5742" w:rsidP="00EA574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E42653" w14:textId="77777777" w:rsidR="000A63B6" w:rsidRDefault="000A63B6" w:rsidP="00AF3977">
      <w:pPr>
        <w:spacing w:before="120"/>
        <w:rPr>
          <w:rFonts w:cstheme="minorHAnsi"/>
          <w:b/>
          <w:i/>
          <w:color w:val="0000FF"/>
        </w:rPr>
      </w:pPr>
    </w:p>
    <w:p w14:paraId="102DFDE3" w14:textId="77777777" w:rsidR="000A63B6" w:rsidRDefault="000A63B6" w:rsidP="00AF3977">
      <w:pPr>
        <w:spacing w:before="120"/>
        <w:rPr>
          <w:rFonts w:cstheme="minorHAnsi"/>
          <w:b/>
          <w:i/>
          <w:color w:val="0000FF"/>
        </w:rPr>
      </w:pPr>
    </w:p>
    <w:p w14:paraId="6D27AF31" w14:textId="77777777" w:rsidR="000A63B6" w:rsidRDefault="000A63B6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69E26569" w14:textId="316790B8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D594A95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8EFD03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98D2F7C" w14:textId="77777777" w:rsidR="000A63B6" w:rsidRPr="0062081E" w:rsidRDefault="000A63B6" w:rsidP="000A63B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8638841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D6F0825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9847D0" w14:textId="77777777" w:rsidR="000A63B6" w:rsidRPr="0062081E" w:rsidRDefault="000A63B6" w:rsidP="000A63B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807BE44" w14:textId="77777777" w:rsidR="000A63B6" w:rsidRDefault="000A63B6" w:rsidP="000A63B6">
      <w:pPr>
        <w:spacing w:before="120"/>
        <w:rPr>
          <w:rFonts w:ascii="Calibri" w:hAnsi="Calibri" w:cs="Calibri"/>
          <w:lang w:val="en-IN"/>
        </w:rPr>
      </w:pPr>
    </w:p>
    <w:p w14:paraId="73E5F48A" w14:textId="77777777" w:rsidR="000A63B6" w:rsidRPr="002D2798" w:rsidRDefault="000A63B6" w:rsidP="000A63B6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7E34C7D" w14:textId="15D6FF3C" w:rsidR="000A63B6" w:rsidRPr="000A63B6" w:rsidRDefault="000A63B6" w:rsidP="000A63B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Denise Ragusa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Fellow</w:t>
      </w:r>
      <w:r w:rsidRPr="000A63B6">
        <w:rPr>
          <w:rStyle w:val="AuthorName"/>
          <w:rFonts w:eastAsia="Times"/>
          <w:u w:val="none"/>
        </w:rPr>
        <w:t xml:space="preserve">, </w:t>
      </w:r>
      <w:r>
        <w:rPr>
          <w:rStyle w:val="AuthorName"/>
          <w:rFonts w:eastAsia="Times"/>
        </w:rPr>
        <w:t>Brunel University of London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108CA1A" w14:textId="77777777" w:rsidR="000A63B6" w:rsidRDefault="000A63B6" w:rsidP="000A63B6"/>
    <w:p w14:paraId="33900298" w14:textId="1C771C90" w:rsidR="000A63B6" w:rsidRDefault="000A63B6" w:rsidP="000A63B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0B6AE1C" w14:textId="77777777" w:rsidR="000A63B6" w:rsidRPr="000A63B6" w:rsidRDefault="000A63B6" w:rsidP="000A63B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77D9015A" w14:textId="77777777" w:rsidR="000A63B6" w:rsidRPr="00664D59" w:rsidRDefault="000A63B6" w:rsidP="000A63B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B15D254" w14:textId="7D38D814" w:rsidR="000A63B6" w:rsidRPr="000A63B6" w:rsidRDefault="000A63B6" w:rsidP="000A63B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Denise Ragusa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Fellow</w:t>
      </w:r>
      <w:r w:rsidRPr="000A63B6">
        <w:rPr>
          <w:rStyle w:val="AuthorName"/>
          <w:rFonts w:eastAsia="Times"/>
          <w:u w:val="none"/>
        </w:rPr>
        <w:t xml:space="preserve">, </w:t>
      </w:r>
      <w:r>
        <w:rPr>
          <w:rStyle w:val="AuthorName"/>
          <w:rFonts w:eastAsia="Times"/>
        </w:rPr>
        <w:t>Brunel University of London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D0E8DC0" w14:textId="77777777" w:rsidR="000A63B6" w:rsidRDefault="000A63B6" w:rsidP="000A63B6"/>
    <w:p w14:paraId="5260CE06" w14:textId="77777777" w:rsidR="000A63B6" w:rsidRDefault="000A63B6" w:rsidP="000A63B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FB6FAB" w14:textId="79F937AE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F19BBD" w:rsidR="00CE10F2" w:rsidRDefault="00292A7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Pr="00661208">
        <w:rPr>
          <w:rFonts w:ascii="Calibri" w:hAnsi="Calibri" w:cs="Calibri"/>
          <w:b/>
          <w:bCs/>
        </w:rPr>
        <w:t xml:space="preserve">olony Re-plating of </w:t>
      </w:r>
      <w:r w:rsidRPr="00661208">
        <w:rPr>
          <w:rFonts w:ascii="Calibri" w:hAnsi="Calibri" w:cs="Calibri"/>
          <w:b/>
          <w:bCs/>
          <w:i/>
          <w:iCs/>
        </w:rPr>
        <w:t>MNX1</w:t>
      </w:r>
      <w:r w:rsidRPr="00661208">
        <w:rPr>
          <w:rFonts w:ascii="Calibri" w:hAnsi="Calibri" w:cs="Calibri"/>
          <w:b/>
          <w:bCs/>
        </w:rPr>
        <w:t>-Engineered Mouse Hemogenic Gastruloids (haemGx</w:t>
      </w:r>
      <w:r>
        <w:rPr>
          <w:rFonts w:ascii="Calibri" w:hAnsi="Calibri" w:cs="Calibri"/>
          <w:b/>
          <w:bCs/>
        </w:rPr>
        <w:t>)</w:t>
      </w:r>
    </w:p>
    <w:p w14:paraId="314C5FBA" w14:textId="619C25A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53D6">
        <w:rPr>
          <w:rFonts w:cstheme="minorHAnsi"/>
        </w:rPr>
        <w:t>Ayona Johns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54932AD" w:rsidR="00125924" w:rsidRP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To begin, </w:t>
      </w:r>
      <w:r>
        <w:rPr>
          <w:lang w:val="en-IN"/>
        </w:rPr>
        <w:t xml:space="preserve">add </w:t>
      </w:r>
      <w:r w:rsidRPr="00A13041">
        <w:rPr>
          <w:lang w:val="en-IN"/>
        </w:rPr>
        <w:t xml:space="preserve">1.5 milliliters </w:t>
      </w:r>
      <w:r>
        <w:rPr>
          <w:lang w:val="en-IN"/>
        </w:rPr>
        <w:t xml:space="preserve">of </w:t>
      </w:r>
      <w:r w:rsidRPr="00A13041">
        <w:rPr>
          <w:lang w:val="en-IN"/>
        </w:rPr>
        <w:t>prewarm</w:t>
      </w:r>
      <w:r>
        <w:rPr>
          <w:lang w:val="en-IN"/>
        </w:rPr>
        <w:t>ed</w:t>
      </w:r>
      <w:r w:rsidRPr="00A13041">
        <w:rPr>
          <w:lang w:val="en-IN"/>
        </w:rPr>
        <w:t xml:space="preserve"> phosphate-buffered saline</w:t>
      </w:r>
      <w:r>
        <w:rPr>
          <w:lang w:val="en-IN"/>
        </w:rPr>
        <w:t xml:space="preserve">, or PBS </w:t>
      </w:r>
      <w:r w:rsidRPr="00DC69F8">
        <w:rPr>
          <w:i/>
          <w:iCs/>
          <w:color w:val="EE0000"/>
          <w:lang w:val="en-IN"/>
        </w:rPr>
        <w:t>(P-B-S)</w:t>
      </w:r>
      <w:r w:rsidRPr="00A13041">
        <w:rPr>
          <w:lang w:val="en-IN"/>
        </w:rPr>
        <w:t xml:space="preserve"> to </w:t>
      </w:r>
      <w:r>
        <w:rPr>
          <w:lang w:val="en-IN"/>
        </w:rPr>
        <w:t>the</w:t>
      </w:r>
      <w:r w:rsidRPr="00A13041">
        <w:rPr>
          <w:lang w:val="en-IN"/>
        </w:rPr>
        <w:t xml:space="preserve"> well</w:t>
      </w:r>
      <w:r>
        <w:rPr>
          <w:lang w:val="en-IN"/>
        </w:rPr>
        <w:t>s of a 6-well plate containing h</w:t>
      </w:r>
      <w:r w:rsidRPr="00DC69F8">
        <w:t xml:space="preserve">emogenic </w:t>
      </w:r>
      <w:r>
        <w:t>g</w:t>
      </w:r>
      <w:r w:rsidRPr="00DC69F8">
        <w:t>astruloid</w:t>
      </w:r>
      <w:r>
        <w:t xml:space="preserve"> colonies in methylcellulose medium</w:t>
      </w:r>
      <w:r>
        <w:rPr>
          <w:rFonts w:asciiTheme="majorHAnsi" w:hAnsiTheme="majorHAnsi" w:cstheme="majorHAnsi"/>
        </w:rPr>
        <w:t xml:space="preserve"> </w:t>
      </w:r>
      <w:r w:rsidRPr="00A1304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A13041">
        <w:rPr>
          <w:b/>
          <w:bCs/>
          <w:lang w:val="en-IN"/>
        </w:rPr>
        <w:t>]</w:t>
      </w:r>
      <w:r w:rsidRPr="00A13041">
        <w:rPr>
          <w:lang w:val="en-IN"/>
        </w:rPr>
        <w:t>. Us</w:t>
      </w:r>
      <w:r>
        <w:rPr>
          <w:lang w:val="en-IN"/>
        </w:rPr>
        <w:t>e</w:t>
      </w:r>
      <w:r w:rsidRPr="00A13041">
        <w:rPr>
          <w:lang w:val="en-IN"/>
        </w:rPr>
        <w:t xml:space="preserve"> a P1000</w:t>
      </w:r>
      <w:r>
        <w:rPr>
          <w:lang w:val="en-IN"/>
        </w:rPr>
        <w:t xml:space="preserve"> </w:t>
      </w:r>
      <w:r w:rsidRPr="00DC69F8">
        <w:rPr>
          <w:i/>
          <w:iCs/>
          <w:color w:val="EE0000"/>
          <w:lang w:val="en-IN"/>
        </w:rPr>
        <w:t>(P-one thousand)</w:t>
      </w:r>
      <w:r>
        <w:rPr>
          <w:lang w:val="en-IN"/>
        </w:rPr>
        <w:t xml:space="preserve"> </w:t>
      </w:r>
      <w:r w:rsidRPr="00A13041">
        <w:rPr>
          <w:lang w:val="en-IN"/>
        </w:rPr>
        <w:t>pipette set to 500 microliters</w:t>
      </w:r>
      <w:r>
        <w:rPr>
          <w:lang w:val="en-IN"/>
        </w:rPr>
        <w:t xml:space="preserve"> to</w:t>
      </w:r>
      <w:r w:rsidRPr="00A13041">
        <w:rPr>
          <w:lang w:val="en-IN"/>
        </w:rPr>
        <w:t xml:space="preserve"> gently resuspend the methylcellulose by slowly pipetting up and down</w:t>
      </w:r>
      <w:r>
        <w:rPr>
          <w:lang w:val="en-IN"/>
        </w:rPr>
        <w:t xml:space="preserve">, </w:t>
      </w:r>
      <w:r w:rsidRPr="00DC69F8">
        <w:rPr>
          <w:lang w:val="en-IN"/>
        </w:rPr>
        <w:t xml:space="preserve">taking care to avoid foaming </w:t>
      </w:r>
      <w:r w:rsidRPr="00DC69F8">
        <w:rPr>
          <w:b/>
          <w:bCs/>
          <w:lang w:val="en-IN"/>
        </w:rPr>
        <w:t>[2]</w:t>
      </w:r>
      <w:r w:rsidRPr="00DC69F8">
        <w:rPr>
          <w:lang w:val="en-IN"/>
        </w:rPr>
        <w:t xml:space="preserve">. </w:t>
      </w:r>
    </w:p>
    <w:p w14:paraId="7605F9E4" w14:textId="4B5CE425" w:rsidR="00C34F4C" w:rsidRPr="00292A7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92A7D" w:rsidRPr="00DC69F8">
        <w:rPr>
          <w:lang w:val="en-IN"/>
        </w:rPr>
        <w:t xml:space="preserve">Talent pipetting 1.5 milliliters of </w:t>
      </w:r>
      <w:r w:rsidR="00292A7D">
        <w:rPr>
          <w:lang w:val="en-IN"/>
        </w:rPr>
        <w:t>PBS</w:t>
      </w:r>
      <w:r w:rsidR="00292A7D" w:rsidRPr="00DC69F8">
        <w:rPr>
          <w:lang w:val="en-IN"/>
        </w:rPr>
        <w:t xml:space="preserve"> into an individual</w:t>
      </w:r>
      <w:r w:rsidR="00292A7D">
        <w:rPr>
          <w:lang w:val="en-IN"/>
        </w:rPr>
        <w:t xml:space="preserve"> w</w:t>
      </w:r>
      <w:r w:rsidR="00292A7D" w:rsidRPr="00DC69F8">
        <w:rPr>
          <w:lang w:val="en-IN"/>
        </w:rPr>
        <w:t>ell.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F8A39EA" w14:textId="77777777" w:rsidR="00292A7D" w:rsidRPr="005A386F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slowly pipetting the methylcellulose suspension up and down using a P1000 pipette set to 500 microliters.</w:t>
      </w:r>
    </w:p>
    <w:p w14:paraId="24DCAB8A" w14:textId="77777777" w:rsidR="00292A7D" w:rsidRPr="00D65960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5A386F">
        <w:rPr>
          <w:lang w:val="en-IN"/>
        </w:rPr>
        <w:t>Once the methylcellulose is fully dispersed and free of visible clumps, transfer the contents of each well to a 15</w:t>
      </w:r>
      <w:r>
        <w:rPr>
          <w:lang w:val="en-IN"/>
        </w:rPr>
        <w:t xml:space="preserve">-milliliter </w:t>
      </w:r>
      <w:r w:rsidRPr="005A386F">
        <w:rPr>
          <w:lang w:val="en-IN"/>
        </w:rPr>
        <w:t xml:space="preserve">conical tube </w:t>
      </w:r>
      <w:r w:rsidRPr="005A386F">
        <w:rPr>
          <w:b/>
          <w:bCs/>
          <w:lang w:val="en-IN"/>
        </w:rPr>
        <w:t>[1]</w:t>
      </w:r>
      <w:r w:rsidRPr="00A13041">
        <w:rPr>
          <w:lang w:val="en-IN"/>
        </w:rPr>
        <w:t xml:space="preserve">. </w:t>
      </w:r>
      <w:r w:rsidRPr="005A386F">
        <w:rPr>
          <w:lang w:val="en-IN"/>
        </w:rPr>
        <w:t xml:space="preserve">Rinse the well with an additional 1.5 </w:t>
      </w:r>
      <w:r>
        <w:rPr>
          <w:lang w:val="en-IN"/>
        </w:rPr>
        <w:t>milliliters</w:t>
      </w:r>
      <w:r w:rsidRPr="005A386F">
        <w:rPr>
          <w:lang w:val="en-IN"/>
        </w:rPr>
        <w:t xml:space="preserve"> of </w:t>
      </w:r>
      <w:r>
        <w:rPr>
          <w:lang w:val="en-IN"/>
        </w:rPr>
        <w:t>PBS</w:t>
      </w:r>
      <w:r w:rsidRPr="005A386F">
        <w:rPr>
          <w:lang w:val="en-IN"/>
        </w:rPr>
        <w:t xml:space="preserve"> to collect remaining cells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[2]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  <w:r>
        <w:rPr>
          <w:lang w:val="en-IN"/>
        </w:rPr>
        <w:t xml:space="preserve">Pipette slowly to </w:t>
      </w:r>
      <w:r w:rsidRPr="005A386F">
        <w:rPr>
          <w:lang w:val="en-IN"/>
        </w:rPr>
        <w:t>resuspend any residual methylcellulose</w:t>
      </w:r>
      <w:r>
        <w:rPr>
          <w:lang w:val="en-IN"/>
        </w:rPr>
        <w:t xml:space="preserve"> and</w:t>
      </w:r>
      <w:r w:rsidRPr="005A386F">
        <w:rPr>
          <w:lang w:val="en-IN"/>
        </w:rPr>
        <w:t xml:space="preserve"> add the suspension to the same tube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[3]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  <w:r>
        <w:rPr>
          <w:lang w:val="en-IN"/>
        </w:rPr>
        <w:t>After p</w:t>
      </w:r>
      <w:r w:rsidRPr="005A386F">
        <w:rPr>
          <w:lang w:val="en-IN"/>
        </w:rPr>
        <w:t>erform</w:t>
      </w:r>
      <w:r>
        <w:rPr>
          <w:lang w:val="en-IN"/>
        </w:rPr>
        <w:t>ing</w:t>
      </w:r>
      <w:r w:rsidRPr="005A386F">
        <w:rPr>
          <w:lang w:val="en-IN"/>
        </w:rPr>
        <w:t xml:space="preserve"> a final 500</w:t>
      </w:r>
      <w:r>
        <w:rPr>
          <w:lang w:val="en-IN"/>
        </w:rPr>
        <w:t xml:space="preserve"> microliter</w:t>
      </w:r>
      <w:r w:rsidRPr="005A386F">
        <w:rPr>
          <w:lang w:val="en-IN"/>
        </w:rPr>
        <w:t xml:space="preserve"> rinse</w:t>
      </w:r>
      <w:r>
        <w:rPr>
          <w:lang w:val="en-IN"/>
        </w:rPr>
        <w:t xml:space="preserve"> with PBS, </w:t>
      </w:r>
      <w:r w:rsidRPr="005A386F">
        <w:rPr>
          <w:lang w:val="en-IN"/>
        </w:rPr>
        <w:t>pool it with the previous suspensions</w:t>
      </w:r>
      <w:r>
        <w:rPr>
          <w:lang w:val="en-IN"/>
        </w:rPr>
        <w:t xml:space="preserve"> </w:t>
      </w:r>
      <w:r w:rsidRPr="00D65960">
        <w:rPr>
          <w:b/>
          <w:bCs/>
          <w:lang w:val="en-IN"/>
        </w:rPr>
        <w:t>[4]</w:t>
      </w:r>
      <w:r>
        <w:rPr>
          <w:lang w:val="en-IN"/>
        </w:rPr>
        <w:t>.</w:t>
      </w:r>
      <w:r w:rsidRPr="005A386F">
        <w:rPr>
          <w:lang w:val="en-IN"/>
        </w:rPr>
        <w:t xml:space="preserve"> </w:t>
      </w:r>
    </w:p>
    <w:p w14:paraId="40AD8567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transferring the contents of the well into a 1</w:t>
      </w:r>
      <w:r>
        <w:rPr>
          <w:lang w:val="en-IN"/>
        </w:rPr>
        <w:t>5 mL</w:t>
      </w:r>
      <w:r w:rsidRPr="00A13041">
        <w:rPr>
          <w:lang w:val="en-IN"/>
        </w:rPr>
        <w:t xml:space="preserve"> conical tube.</w:t>
      </w:r>
    </w:p>
    <w:p w14:paraId="5BE3AA11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 xml:space="preserve">Talent rinsing the same well with 1.5 </w:t>
      </w:r>
      <w:r>
        <w:rPr>
          <w:lang w:val="en-IN"/>
        </w:rPr>
        <w:t>mL</w:t>
      </w:r>
      <w:r w:rsidRPr="00A13041">
        <w:rPr>
          <w:lang w:val="en-IN"/>
        </w:rPr>
        <w:t xml:space="preserve"> of </w:t>
      </w:r>
      <w:r>
        <w:rPr>
          <w:lang w:val="en-IN"/>
        </w:rPr>
        <w:t>PBS</w:t>
      </w:r>
      <w:r w:rsidRPr="00A13041">
        <w:rPr>
          <w:lang w:val="en-IN"/>
        </w:rPr>
        <w:t>.</w:t>
      </w:r>
    </w:p>
    <w:p w14:paraId="48002C5C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adding the suspension into the same conical tube.</w:t>
      </w:r>
    </w:p>
    <w:p w14:paraId="49B2ABA0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pooling the final wash with the previous collected suspensions in the same tube.</w:t>
      </w:r>
    </w:p>
    <w:p w14:paraId="666EE9AC" w14:textId="77777777" w:rsid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Centrifuge the collected suspension at 400 </w:t>
      </w:r>
      <w:r w:rsidRPr="00D65960">
        <w:rPr>
          <w:i/>
          <w:iCs/>
          <w:lang w:val="en-IN"/>
        </w:rPr>
        <w:t>g</w:t>
      </w:r>
      <w:r w:rsidRPr="00A13041">
        <w:rPr>
          <w:lang w:val="en-IN"/>
        </w:rPr>
        <w:t xml:space="preserve"> for 5 minutes at room temperature to pellet the cells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 xml:space="preserve">. Carefully aspirate the supernatant </w:t>
      </w:r>
      <w:r w:rsidRPr="00A13041">
        <w:rPr>
          <w:b/>
          <w:bCs/>
          <w:lang w:val="en-IN"/>
        </w:rPr>
        <w:t>[2]</w:t>
      </w:r>
      <w:r w:rsidRPr="00A13041">
        <w:rPr>
          <w:lang w:val="en-IN"/>
        </w:rPr>
        <w:t xml:space="preserve">. Wash the pellet with 5 milliliters of </w:t>
      </w:r>
      <w:r>
        <w:rPr>
          <w:lang w:val="en-IN"/>
        </w:rPr>
        <w:t>PBS</w:t>
      </w:r>
      <w:r w:rsidRPr="00A13041">
        <w:rPr>
          <w:lang w:val="en-IN"/>
        </w:rPr>
        <w:t xml:space="preserve"> to remove any remaining methylcellulose </w:t>
      </w:r>
      <w:r w:rsidRPr="00A13041">
        <w:rPr>
          <w:b/>
          <w:bCs/>
          <w:lang w:val="en-IN"/>
        </w:rPr>
        <w:t>[3]</w:t>
      </w:r>
      <w:r w:rsidRPr="00A13041">
        <w:rPr>
          <w:lang w:val="en-IN"/>
        </w:rPr>
        <w:t>.</w:t>
      </w:r>
    </w:p>
    <w:p w14:paraId="48074F70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placing the conical tube into the centrifuge.</w:t>
      </w:r>
    </w:p>
    <w:p w14:paraId="5B7F615D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aspirating the supernatant from the pellet after centrifugation.</w:t>
      </w:r>
    </w:p>
    <w:p w14:paraId="40C71948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adding phosphate-buffered saline to the pellet and resuspending the cells.</w:t>
      </w:r>
    </w:p>
    <w:p w14:paraId="3121B999" w14:textId="039E7F84" w:rsidR="00292A7D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Centrifuge the suspension again at 400 </w:t>
      </w:r>
      <w:r w:rsidRPr="00D65960">
        <w:rPr>
          <w:i/>
          <w:iCs/>
          <w:lang w:val="en-IN"/>
        </w:rPr>
        <w:t>g</w:t>
      </w:r>
      <w:r w:rsidRPr="00A13041">
        <w:rPr>
          <w:lang w:val="en-IN"/>
        </w:rPr>
        <w:t xml:space="preserve"> for 5 minutes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 xml:space="preserve">. Discard the supernatant </w:t>
      </w:r>
      <w:r w:rsidRPr="00A13041">
        <w:rPr>
          <w:b/>
          <w:bCs/>
          <w:lang w:val="en-IN"/>
        </w:rPr>
        <w:t>[2]</w:t>
      </w:r>
      <w:r w:rsidRPr="00A13041">
        <w:rPr>
          <w:lang w:val="en-IN"/>
        </w:rPr>
        <w:t xml:space="preserve"> and resuspend the final cell pellet in 200 to 1000 microliters of N2B27 </w:t>
      </w:r>
      <w:r w:rsidRPr="00D65960">
        <w:rPr>
          <w:i/>
          <w:iCs/>
          <w:color w:val="EE0000"/>
          <w:lang w:val="en-IN"/>
        </w:rPr>
        <w:t xml:space="preserve">(N-two-B-twenty </w:t>
      </w:r>
      <w:r w:rsidRPr="00D65960">
        <w:rPr>
          <w:i/>
          <w:iCs/>
          <w:color w:val="EE0000"/>
          <w:lang w:val="en-IN"/>
        </w:rPr>
        <w:lastRenderedPageBreak/>
        <w:t>seven)</w:t>
      </w:r>
      <w:r>
        <w:rPr>
          <w:lang w:val="en-IN"/>
        </w:rPr>
        <w:t xml:space="preserve"> </w:t>
      </w:r>
      <w:r w:rsidRPr="00A13041">
        <w:rPr>
          <w:lang w:val="en-IN"/>
        </w:rPr>
        <w:t xml:space="preserve">culture medium based on pellet size </w:t>
      </w:r>
      <w:r w:rsidRPr="00A13041">
        <w:rPr>
          <w:b/>
          <w:bCs/>
          <w:lang w:val="en-IN"/>
        </w:rPr>
        <w:t>[3]</w:t>
      </w:r>
      <w:r w:rsidRPr="00A13041">
        <w:rPr>
          <w:lang w:val="en-IN"/>
        </w:rPr>
        <w:t>.</w:t>
      </w:r>
      <w:r w:rsidR="00130DD5">
        <w:rPr>
          <w:lang w:val="en-IN"/>
        </w:rPr>
        <w:t xml:space="preserve"> </w:t>
      </w:r>
      <w:r w:rsidR="00130DD5" w:rsidRPr="00130DD5">
        <w:rPr>
          <w:color w:val="000000" w:themeColor="text1"/>
          <w:highlight w:val="yellow"/>
          <w:lang w:val="en-IN"/>
        </w:rPr>
        <w:t>(</w:t>
      </w:r>
      <w:r w:rsidR="00130DD5" w:rsidRPr="00130DD5">
        <w:rPr>
          <w:b/>
          <w:bCs/>
          <w:color w:val="000000" w:themeColor="text1"/>
          <w:highlight w:val="yellow"/>
          <w:lang w:val="en-IN"/>
        </w:rPr>
        <w:t>Authors:</w:t>
      </w:r>
      <w:r w:rsidR="00130DD5" w:rsidRPr="00130DD5">
        <w:rPr>
          <w:color w:val="000000" w:themeColor="text1"/>
          <w:highlight w:val="yellow"/>
          <w:lang w:val="en-IN"/>
        </w:rPr>
        <w:t xml:space="preserve"> Please specify the exact volume of media added for this step at the time of filming)</w:t>
      </w:r>
    </w:p>
    <w:p w14:paraId="75D9DF45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placing the tube into the centrifuge for the second centrifugation.</w:t>
      </w:r>
    </w:p>
    <w:p w14:paraId="42575F37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discarding the supernatant from the tube.</w:t>
      </w:r>
    </w:p>
    <w:p w14:paraId="2CEC9247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resuspending the final cell pellet in N2B27 culture medium.</w:t>
      </w:r>
    </w:p>
    <w:p w14:paraId="0AB48AB5" w14:textId="069C3550" w:rsidR="00292A7D" w:rsidRPr="00632341" w:rsidRDefault="00292A7D" w:rsidP="00292A7D">
      <w:pPr>
        <w:pStyle w:val="Narration"/>
        <w:numPr>
          <w:ilvl w:val="1"/>
          <w:numId w:val="3"/>
        </w:numPr>
        <w:rPr>
          <w:lang w:val="en-IN"/>
        </w:rPr>
      </w:pPr>
      <w:r w:rsidRPr="00A13041">
        <w:rPr>
          <w:lang w:val="en-IN"/>
        </w:rPr>
        <w:t xml:space="preserve">Count the viable cells using a hemocytometer </w:t>
      </w:r>
      <w:r w:rsidRPr="00A13041">
        <w:rPr>
          <w:b/>
          <w:bCs/>
          <w:lang w:val="en-IN"/>
        </w:rPr>
        <w:t>[1]</w:t>
      </w:r>
      <w:r w:rsidRPr="00A13041">
        <w:rPr>
          <w:lang w:val="en-IN"/>
        </w:rPr>
        <w:t>.</w:t>
      </w:r>
      <w:r>
        <w:rPr>
          <w:lang w:val="en-IN"/>
        </w:rPr>
        <w:t xml:space="preserve"> </w:t>
      </w:r>
      <w:r w:rsidRPr="00D37D2D">
        <w:t>Add the</w:t>
      </w:r>
      <w:r w:rsidRPr="00D37D2D">
        <w:rPr>
          <w:lang w:val="en-US"/>
        </w:rPr>
        <w:t xml:space="preserve"> single-cell suspension containing 100,000 cells in 300 </w:t>
      </w:r>
      <w:r w:rsidR="0023161A">
        <w:rPr>
          <w:lang w:val="en-US"/>
        </w:rPr>
        <w:t>microliters</w:t>
      </w:r>
      <w:r w:rsidRPr="00D37D2D">
        <w:rPr>
          <w:lang w:val="en-US"/>
        </w:rPr>
        <w:t xml:space="preserve"> </w:t>
      </w:r>
      <w:r w:rsidR="00130DD5">
        <w:rPr>
          <w:lang w:val="en-US"/>
        </w:rPr>
        <w:t>to 3 milliliters of thawed, thoroughly mixed methyl cellulose medium,</w:t>
      </w:r>
      <w:r w:rsidRPr="00D37D2D">
        <w:t xml:space="preserve"> free of air bubbles </w:t>
      </w:r>
      <w:r w:rsidRPr="00D37D2D">
        <w:rPr>
          <w:b/>
          <w:bCs/>
        </w:rPr>
        <w:t>[2]</w:t>
      </w:r>
      <w:r w:rsidRPr="00D37D2D">
        <w:t xml:space="preserve">. After vortexing to achieve </w:t>
      </w:r>
      <w:r w:rsidR="00B520AF">
        <w:t xml:space="preserve">uniform cell distribution, use a 5-milliliter serological pipette to dispense the medium into 2 wells of a 6-well plate, </w:t>
      </w:r>
      <w:r w:rsidR="0027645E">
        <w:t>followed by</w:t>
      </w:r>
      <w:r w:rsidR="00B520AF">
        <w:t xml:space="preserve"> endpoint dissociation for downstream characterization</w:t>
      </w:r>
      <w:r w:rsidR="0027645E">
        <w:t xml:space="preserve"> </w:t>
      </w:r>
      <w:r w:rsidRPr="00D37D2D">
        <w:rPr>
          <w:b/>
          <w:bCs/>
        </w:rPr>
        <w:t>[3]</w:t>
      </w:r>
      <w:r w:rsidRPr="00D37D2D">
        <w:t>.</w:t>
      </w:r>
    </w:p>
    <w:p w14:paraId="4B39FE38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 w:rsidRPr="00A13041">
        <w:rPr>
          <w:lang w:val="en-IN"/>
        </w:rPr>
        <w:t>Talent loading the cell suspension onto a hemocytometer and counting viable cells.</w:t>
      </w:r>
    </w:p>
    <w:p w14:paraId="0ADA9A97" w14:textId="77777777" w:rsidR="00292A7D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cell suspension to 3 mL of pre-thawed methyl cellulose medium.</w:t>
      </w:r>
    </w:p>
    <w:p w14:paraId="7F694A13" w14:textId="77777777" w:rsidR="00292A7D" w:rsidRPr="00A13041" w:rsidRDefault="00292A7D" w:rsidP="00292A7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using a 5 mL serological pipette to plate the cells into the wells of 6-well plate.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4347252" w:rsidR="000F326F" w:rsidRDefault="00292A7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1208">
        <w:rPr>
          <w:b/>
          <w:bCs/>
          <w:i/>
          <w:iCs/>
        </w:rPr>
        <w:t>In Silico</w:t>
      </w:r>
      <w:r w:rsidRPr="00661208">
        <w:rPr>
          <w:b/>
          <w:bCs/>
        </w:rPr>
        <w:t xml:space="preserve"> Temporal Mapping of Candidate Cell of Origin (CoO) via </w:t>
      </w:r>
      <w:r>
        <w:rPr>
          <w:b/>
          <w:bCs/>
        </w:rPr>
        <w:t>H</w:t>
      </w:r>
      <w:r w:rsidRPr="00661208">
        <w:rPr>
          <w:b/>
          <w:bCs/>
        </w:rPr>
        <w:t>aemGx and Patient RNA-sequencin</w:t>
      </w:r>
      <w:r>
        <w:rPr>
          <w:b/>
          <w:bCs/>
        </w:rPr>
        <w:t>g</w:t>
      </w:r>
    </w:p>
    <w:p w14:paraId="2E9E5DCE" w14:textId="5A69462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479BF">
        <w:rPr>
          <w:rFonts w:cstheme="minorHAnsi"/>
        </w:rPr>
        <w:t>Denise Ragusa</w:t>
      </w:r>
      <w:r>
        <w:rPr>
          <w:rFonts w:cstheme="minorHAnsi"/>
        </w:rPr>
        <w:t xml:space="preserve"> </w:t>
      </w:r>
    </w:p>
    <w:p w14:paraId="05434DC3" w14:textId="510804AB" w:rsidR="00A823F1" w:rsidRDefault="00A823F1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F430B2">
          <w:rPr>
            <w:rStyle w:val="Hyperlink"/>
            <w:b/>
            <w:bCs/>
            <w:highlight w:val="yellow"/>
          </w:rPr>
          <w:t>https://review.jove.com/account/file-uploader?src=21434838</w:t>
        </w:r>
      </w:hyperlink>
    </w:p>
    <w:p w14:paraId="7FF3E775" w14:textId="62C67AB0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Download patient data from the TARGET data </w:t>
      </w:r>
      <w:r>
        <w:t xml:space="preserve">repository </w:t>
      </w:r>
      <w:r w:rsidRPr="00A13041">
        <w:t>for pediatric acute myeloid leukemia</w:t>
      </w:r>
      <w:r>
        <w:t xml:space="preserve">, or AML </w:t>
      </w:r>
      <w:r w:rsidRPr="00D03E39">
        <w:rPr>
          <w:i/>
          <w:iCs/>
          <w:color w:val="EE0000"/>
        </w:rPr>
        <w:t>(A-M-L)</w:t>
      </w:r>
      <w:r>
        <w:t xml:space="preserve"> </w:t>
      </w:r>
      <w:r w:rsidRPr="00A13041">
        <w:rPr>
          <w:b/>
          <w:bCs/>
        </w:rPr>
        <w:t>[1]</w:t>
      </w:r>
      <w:r w:rsidRPr="00A13041">
        <w:t>. Download clinical data and ribonucleic acid</w:t>
      </w:r>
      <w:r>
        <w:t xml:space="preserve">, or RNA </w:t>
      </w:r>
      <w:r w:rsidRPr="00D03E39">
        <w:rPr>
          <w:i/>
          <w:iCs/>
          <w:color w:val="EE0000"/>
        </w:rPr>
        <w:t>(R-N-A)</w:t>
      </w:r>
      <w:r>
        <w:t xml:space="preserve"> </w:t>
      </w:r>
      <w:r w:rsidRPr="00A13041">
        <w:t>sequencing data in transcripts per million</w:t>
      </w:r>
      <w:r>
        <w:t xml:space="preserve">, or TPM </w:t>
      </w:r>
      <w:r w:rsidRPr="00D03E39">
        <w:rPr>
          <w:i/>
          <w:iCs/>
          <w:color w:val="EE0000"/>
        </w:rPr>
        <w:t>(T-P-M)</w:t>
      </w:r>
      <w:r w:rsidRPr="00A13041">
        <w:t xml:space="preserve"> or normalized counts compatible with gene set enrichment analysis</w:t>
      </w:r>
      <w:r>
        <w:t xml:space="preserve">, or GSEA </w:t>
      </w:r>
      <w:r w:rsidRPr="00D03E39">
        <w:rPr>
          <w:i/>
          <w:iCs/>
          <w:color w:val="EE0000"/>
        </w:rPr>
        <w:t>(G-S-E-A)</w:t>
      </w:r>
      <w:r w:rsidRPr="00A13041">
        <w:t xml:space="preserve"> </w:t>
      </w:r>
      <w:r w:rsidRPr="00A13041">
        <w:rPr>
          <w:b/>
          <w:bCs/>
        </w:rPr>
        <w:t>[2]</w:t>
      </w:r>
      <w:r w:rsidRPr="00A13041">
        <w:t xml:space="preserve">. Select </w:t>
      </w:r>
      <w:r>
        <w:t>patients for the analysis based on</w:t>
      </w:r>
      <w:r w:rsidRPr="00A13041">
        <w:t xml:space="preserve"> phenotype and clinical annotations </w:t>
      </w:r>
      <w:r w:rsidRPr="00A13041">
        <w:rPr>
          <w:b/>
          <w:bCs/>
        </w:rPr>
        <w:t>[3]</w:t>
      </w:r>
      <w:r w:rsidRPr="00A13041">
        <w:t>.</w:t>
      </w:r>
    </w:p>
    <w:p w14:paraId="4B036818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TARGET repository webpage and navigate to the pediatric acute myeloid leukemia dataset download section.</w:t>
      </w:r>
    </w:p>
    <w:p w14:paraId="5CBD2C78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downloading of clinical data and ribonucleic acid sequencing transcripts per million files compatible with gene set enrichment analysis.</w:t>
      </w:r>
    </w:p>
    <w:p w14:paraId="605FE9EF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filtering and selecting patients using phenotype and clinical annotation fields.</w:t>
      </w:r>
    </w:p>
    <w:p w14:paraId="5A9E56B5" w14:textId="77777777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Download cell type gene sets in a compatible format for </w:t>
      </w:r>
      <w:r>
        <w:t>GSEA</w:t>
      </w:r>
      <w:r w:rsidRPr="00A13041">
        <w:t xml:space="preserve"> from the Enrich</w:t>
      </w:r>
      <w:r>
        <w:t xml:space="preserve">R </w:t>
      </w:r>
      <w:r w:rsidRPr="00D03E39">
        <w:rPr>
          <w:i/>
          <w:iCs/>
          <w:color w:val="EE0000"/>
        </w:rPr>
        <w:t>(enrich-R)</w:t>
      </w:r>
      <w:r w:rsidRPr="00A13041">
        <w:t xml:space="preserve"> database </w:t>
      </w:r>
      <w:r w:rsidRPr="00A13041">
        <w:rPr>
          <w:b/>
          <w:bCs/>
        </w:rPr>
        <w:t>[1]</w:t>
      </w:r>
      <w:r w:rsidRPr="00A13041">
        <w:t xml:space="preserve">. Download the PanglaoAugmented 2021 </w:t>
      </w:r>
      <w:r w:rsidRPr="00D03E39">
        <w:rPr>
          <w:i/>
          <w:iCs/>
          <w:color w:val="EE0000"/>
        </w:rPr>
        <w:t>(</w:t>
      </w:r>
      <w:r w:rsidRPr="00D03E39">
        <w:rPr>
          <w:i/>
          <w:iCs/>
          <w:color w:val="EE0000"/>
          <w:lang w:val="en-US"/>
        </w:rPr>
        <w:t>pahng-LAOW- augmented-</w:t>
      </w:r>
      <w:r w:rsidRPr="00D03E39">
        <w:rPr>
          <w:i/>
          <w:iCs/>
          <w:color w:val="EE0000"/>
          <w:lang w:val="en-US"/>
        </w:rPr>
        <w:lastRenderedPageBreak/>
        <w:t>twenty twenty one)</w:t>
      </w:r>
      <w:r>
        <w:rPr>
          <w:b/>
          <w:bCs/>
          <w:lang w:val="en-US"/>
        </w:rPr>
        <w:t xml:space="preserve"> </w:t>
      </w:r>
      <w:r>
        <w:t xml:space="preserve">for cell type </w:t>
      </w:r>
      <w:r w:rsidRPr="00A13041">
        <w:t xml:space="preserve">gene sets from PanglaoDB </w:t>
      </w:r>
      <w:r w:rsidRPr="00D03E39">
        <w:rPr>
          <w:i/>
          <w:iCs/>
          <w:color w:val="EE0000"/>
        </w:rPr>
        <w:t>(</w:t>
      </w:r>
      <w:r w:rsidRPr="00D03E39">
        <w:rPr>
          <w:i/>
          <w:iCs/>
          <w:color w:val="EE0000"/>
          <w:lang w:val="en-US"/>
        </w:rPr>
        <w:t>pahng-LAOW-</w:t>
      </w:r>
      <w:r>
        <w:rPr>
          <w:i/>
          <w:iCs/>
          <w:color w:val="EE0000"/>
          <w:lang w:val="en-US"/>
        </w:rPr>
        <w:t xml:space="preserve">D-B) </w:t>
      </w:r>
      <w:r w:rsidRPr="00A13041">
        <w:rPr>
          <w:b/>
          <w:bCs/>
        </w:rPr>
        <w:t>[2]</w:t>
      </w:r>
      <w:r w:rsidRPr="00A13041">
        <w:t>.</w:t>
      </w:r>
    </w:p>
    <w:p w14:paraId="07713247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Enrichr libraries webpage and the download of compatible gene set files.</w:t>
      </w:r>
    </w:p>
    <w:p w14:paraId="1CA27D13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PanglaoDB webpage and download the PanglaoAugmented 2021 gene set file.</w:t>
      </w:r>
    </w:p>
    <w:p w14:paraId="20A50CFC" w14:textId="77777777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Download and install the </w:t>
      </w:r>
      <w:r>
        <w:t>GSEA</w:t>
      </w:r>
      <w:r w:rsidRPr="00A13041">
        <w:t xml:space="preserve"> software </w:t>
      </w:r>
      <w:r w:rsidRPr="00A13041">
        <w:rPr>
          <w:b/>
          <w:bCs/>
        </w:rPr>
        <w:t>[1]</w:t>
      </w:r>
      <w:r w:rsidRPr="00A13041">
        <w:t>.</w:t>
      </w:r>
      <w:r>
        <w:t xml:space="preserve"> </w:t>
      </w:r>
      <w:r w:rsidRPr="00A13041">
        <w:t xml:space="preserve">Prepare the files required for </w:t>
      </w:r>
      <w:r>
        <w:t>GSEA</w:t>
      </w:r>
      <w:r w:rsidRPr="00A13041">
        <w:t xml:space="preserve"> using a custom gene set</w:t>
      </w:r>
      <w:r>
        <w:t xml:space="preserve"> as per the template populated in spreadsheets and saved as .txt </w:t>
      </w:r>
      <w:r w:rsidRPr="00E64680">
        <w:rPr>
          <w:i/>
          <w:iCs/>
          <w:color w:val="EE0000"/>
        </w:rPr>
        <w:t>(dot-T-X-T)</w:t>
      </w:r>
      <w:r>
        <w:t xml:space="preserve"> files</w:t>
      </w:r>
      <w:r w:rsidRPr="00A13041">
        <w:t xml:space="preserve"> </w:t>
      </w:r>
      <w:r w:rsidRPr="00A13041">
        <w:rPr>
          <w:b/>
          <w:bCs/>
        </w:rPr>
        <w:t>[</w:t>
      </w:r>
      <w:r>
        <w:rPr>
          <w:b/>
          <w:bCs/>
        </w:rPr>
        <w:t>2</w:t>
      </w:r>
      <w:r w:rsidRPr="00A13041">
        <w:rPr>
          <w:b/>
          <w:bCs/>
        </w:rPr>
        <w:t>]</w:t>
      </w:r>
      <w:r w:rsidRPr="00A13041">
        <w:t xml:space="preserve">. </w:t>
      </w:r>
    </w:p>
    <w:p w14:paraId="76EFD32B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gene set enrichment analysis software download webpage and installation process.</w:t>
      </w:r>
    </w:p>
    <w:p w14:paraId="69851E97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>
        <w:rPr>
          <w:lang w:val="en-IN"/>
        </w:rPr>
        <w:t xml:space="preserve"> Show the preparation </w:t>
      </w:r>
      <w:r w:rsidRPr="00A13041">
        <w:rPr>
          <w:lang w:val="en-IN"/>
        </w:rPr>
        <w:t xml:space="preserve">of spreadsheet files for </w:t>
      </w:r>
      <w:r>
        <w:rPr>
          <w:lang w:val="en-IN"/>
        </w:rPr>
        <w:t>GSEA</w:t>
      </w:r>
      <w:r w:rsidRPr="00A13041">
        <w:rPr>
          <w:lang w:val="en-IN"/>
        </w:rPr>
        <w:t xml:space="preserve"> input</w:t>
      </w:r>
      <w:r>
        <w:rPr>
          <w:lang w:val="en-IN"/>
        </w:rPr>
        <w:t xml:space="preserve"> using a custom gene set.</w:t>
      </w:r>
    </w:p>
    <w:p w14:paraId="32F37E5E" w14:textId="440E50E0" w:rsidR="00292A7D" w:rsidRDefault="00292A7D" w:rsidP="00292A7D">
      <w:pPr>
        <w:pStyle w:val="Narration"/>
        <w:numPr>
          <w:ilvl w:val="1"/>
          <w:numId w:val="3"/>
        </w:numPr>
      </w:pPr>
      <w:r>
        <w:t>C</w:t>
      </w:r>
      <w:r w:rsidRPr="00A13041">
        <w:t>hang</w:t>
      </w:r>
      <w:r>
        <w:t>e</w:t>
      </w:r>
      <w:r w:rsidRPr="00A13041">
        <w:t xml:space="preserve"> the </w:t>
      </w:r>
      <w:r>
        <w:t xml:space="preserve">file </w:t>
      </w:r>
      <w:r w:rsidRPr="00A13041">
        <w:t>extensions to. gct</w:t>
      </w:r>
      <w:r>
        <w:t xml:space="preserve"> </w:t>
      </w:r>
      <w:r w:rsidRPr="00726055">
        <w:rPr>
          <w:i/>
          <w:iCs/>
          <w:color w:val="EE0000"/>
        </w:rPr>
        <w:t>(dot-G-C-T)</w:t>
      </w:r>
      <w:r>
        <w:t xml:space="preserve"> for</w:t>
      </w:r>
      <w:r w:rsidRPr="00A13041">
        <w:t xml:space="preserve"> dataset file containing samples, genes, and expression values </w:t>
      </w:r>
      <w:r w:rsidRPr="00A13041">
        <w:rPr>
          <w:b/>
          <w:bCs/>
        </w:rPr>
        <w:t>[1]</w:t>
      </w:r>
      <w:r w:rsidRPr="00A13041">
        <w:t xml:space="preserve">. Prepare the. cls </w:t>
      </w:r>
      <w:r w:rsidRPr="00726055">
        <w:rPr>
          <w:i/>
          <w:iCs/>
          <w:color w:val="EE0000"/>
        </w:rPr>
        <w:t>(dot-C-L-S)</w:t>
      </w:r>
      <w:r>
        <w:t xml:space="preserve"> </w:t>
      </w:r>
      <w:r w:rsidRPr="00A13041">
        <w:t xml:space="preserve">phenotype label file matching the .gct file and containing the phenotype classes to compare </w:t>
      </w:r>
      <w:r w:rsidRPr="00A13041">
        <w:rPr>
          <w:b/>
          <w:bCs/>
        </w:rPr>
        <w:t>[2]</w:t>
      </w:r>
      <w:r w:rsidRPr="00A13041">
        <w:t xml:space="preserve">. Prepare </w:t>
      </w:r>
      <w:r w:rsidR="00A0667C" w:rsidRPr="00A13041">
        <w:t>the. gmt</w:t>
      </w:r>
      <w:r w:rsidRPr="00A13041">
        <w:t xml:space="preserve"> gene set file containing gene set names and corresponding genes </w:t>
      </w:r>
      <w:r w:rsidRPr="00A13041">
        <w:rPr>
          <w:b/>
          <w:bCs/>
        </w:rPr>
        <w:t>[3]</w:t>
      </w:r>
      <w:r w:rsidRPr="00A13041">
        <w:t>.</w:t>
      </w:r>
    </w:p>
    <w:p w14:paraId="4243AB1F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a .gct file containing sample names, gene identifiers, and expression values.</w:t>
      </w:r>
    </w:p>
    <w:p w14:paraId="3908AF56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a .cls file with phenotype labels corresponding to the expression dataset.</w:t>
      </w:r>
    </w:p>
    <w:p w14:paraId="1D3B3F60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a .gmt file containing gene set names and associated genes.</w:t>
      </w:r>
    </w:p>
    <w:p w14:paraId="04FB0425" w14:textId="5CF5FE6A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Use Ensembl identifiers to minimize issues caused by duplicated gene symbols </w:t>
      </w:r>
      <w:r w:rsidRPr="00A13041">
        <w:rPr>
          <w:b/>
          <w:bCs/>
        </w:rPr>
        <w:t>[1]</w:t>
      </w:r>
      <w:r w:rsidRPr="00A13041">
        <w:t>.</w:t>
      </w:r>
    </w:p>
    <w:p w14:paraId="2CDAB0BF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gene identifiers in the prepared files with Ensembl identifiers highlighted.</w:t>
      </w:r>
    </w:p>
    <w:p w14:paraId="5CBB56CB" w14:textId="77777777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Upload all prepared files into </w:t>
      </w:r>
      <w:r>
        <w:t>the GSEA</w:t>
      </w:r>
      <w:r w:rsidRPr="00A13041">
        <w:t xml:space="preserve"> software by selecting </w:t>
      </w:r>
      <w:r w:rsidRPr="00A13041">
        <w:rPr>
          <w:b/>
          <w:bCs/>
        </w:rPr>
        <w:t>Load Data</w:t>
      </w:r>
      <w:r w:rsidRPr="00A13041">
        <w:t xml:space="preserve"> and choosing </w:t>
      </w:r>
      <w:r w:rsidRPr="00A13041">
        <w:rPr>
          <w:b/>
          <w:bCs/>
        </w:rPr>
        <w:t>Method 1</w:t>
      </w:r>
      <w:r w:rsidRPr="00A13041">
        <w:t xml:space="preserve"> </w:t>
      </w:r>
      <w:r>
        <w:t>and click on</w:t>
      </w:r>
      <w:r w:rsidRPr="00A13041">
        <w:t xml:space="preserve"> </w:t>
      </w:r>
      <w:r w:rsidRPr="00A13041">
        <w:rPr>
          <w:b/>
          <w:bCs/>
        </w:rPr>
        <w:t>Browse for Files</w:t>
      </w:r>
      <w:r w:rsidRPr="00A13041">
        <w:t xml:space="preserve"> </w:t>
      </w:r>
      <w:r w:rsidRPr="00A13041">
        <w:rPr>
          <w:b/>
          <w:bCs/>
        </w:rPr>
        <w:t>[1]</w:t>
      </w:r>
      <w:r w:rsidRPr="00A13041">
        <w:t>.</w:t>
      </w:r>
    </w:p>
    <w:p w14:paraId="19FD878F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</w:t>
      </w:r>
      <w:r>
        <w:rPr>
          <w:lang w:val="en-IN"/>
        </w:rPr>
        <w:t>GSEA</w:t>
      </w:r>
      <w:r w:rsidRPr="00A13041">
        <w:rPr>
          <w:lang w:val="en-IN"/>
        </w:rPr>
        <w:t xml:space="preserve"> software interface and select </w:t>
      </w:r>
      <w:r w:rsidRPr="00A13041">
        <w:rPr>
          <w:b/>
          <w:bCs/>
          <w:lang w:val="en-IN"/>
        </w:rPr>
        <w:t>Load Data &gt; Method 1 &gt; Browse for Files</w:t>
      </w:r>
      <w:r w:rsidRPr="00A13041">
        <w:rPr>
          <w:lang w:val="en-IN"/>
        </w:rPr>
        <w:t xml:space="preserve"> to upload files.</w:t>
      </w:r>
    </w:p>
    <w:p w14:paraId="2E463C50" w14:textId="77777777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</w:t>
      </w:r>
      <w:r w:rsidRPr="00A13041">
        <w:rPr>
          <w:b/>
          <w:bCs/>
        </w:rPr>
        <w:t>Run GSEA</w:t>
      </w:r>
      <w:r w:rsidRPr="00A13041">
        <w:t xml:space="preserve"> and populate the required fields </w:t>
      </w:r>
      <w:r w:rsidRPr="007374B1">
        <w:t>to</w:t>
      </w:r>
      <w:r w:rsidRPr="00A13041">
        <w:t xml:space="preserve"> compare two phenotype classes </w:t>
      </w:r>
      <w:r w:rsidRPr="00A13041">
        <w:rPr>
          <w:b/>
          <w:bCs/>
        </w:rPr>
        <w:t>[1]</w:t>
      </w:r>
      <w:r w:rsidRPr="00A13041">
        <w:t>.</w:t>
      </w:r>
      <w:r>
        <w:t xml:space="preserve"> </w:t>
      </w:r>
      <w:r w:rsidRPr="00A13041">
        <w:t xml:space="preserve">Select the </w:t>
      </w:r>
      <w:r w:rsidRPr="007374B1">
        <w:rPr>
          <w:b/>
          <w:bCs/>
        </w:rPr>
        <w:t>Expression dataset</w:t>
      </w:r>
      <w:r w:rsidRPr="00A13041">
        <w:t xml:space="preserve"> </w:t>
      </w:r>
      <w:r>
        <w:t xml:space="preserve">for the </w:t>
      </w:r>
      <w:r w:rsidRPr="00A13041">
        <w:t xml:space="preserve">file containing counts for the desired samples </w:t>
      </w:r>
      <w:r w:rsidRPr="00A13041">
        <w:rPr>
          <w:b/>
          <w:bCs/>
        </w:rPr>
        <w:t>[2]</w:t>
      </w:r>
      <w:r w:rsidRPr="00A13041">
        <w:t xml:space="preserve">. Select the </w:t>
      </w:r>
      <w:r w:rsidRPr="007374B1">
        <w:rPr>
          <w:b/>
          <w:bCs/>
        </w:rPr>
        <w:t>Gene set database</w:t>
      </w:r>
      <w:r>
        <w:rPr>
          <w:b/>
          <w:bCs/>
        </w:rPr>
        <w:t xml:space="preserve"> </w:t>
      </w:r>
      <w:r w:rsidRPr="00A13041">
        <w:t>such as PanglaoAugmented 2021 to compute</w:t>
      </w:r>
      <w:r>
        <w:t xml:space="preserve"> the gene sets</w:t>
      </w:r>
      <w:r w:rsidRPr="00A13041">
        <w:t xml:space="preserve"> </w:t>
      </w:r>
      <w:r w:rsidRPr="00A13041">
        <w:rPr>
          <w:b/>
          <w:bCs/>
        </w:rPr>
        <w:t>[3]</w:t>
      </w:r>
      <w:r w:rsidRPr="00A13041">
        <w:t>.</w:t>
      </w:r>
    </w:p>
    <w:p w14:paraId="578487DA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the </w:t>
      </w:r>
      <w:r w:rsidRPr="00A13041">
        <w:rPr>
          <w:b/>
          <w:bCs/>
          <w:lang w:val="en-IN"/>
        </w:rPr>
        <w:t>Run GSEA</w:t>
      </w:r>
      <w:r w:rsidRPr="00A13041">
        <w:rPr>
          <w:lang w:val="en-IN"/>
        </w:rPr>
        <w:t xml:space="preserve"> option in the software interface.</w:t>
      </w:r>
    </w:p>
    <w:p w14:paraId="125C9848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the expression dataset file from the input menu.</w:t>
      </w:r>
    </w:p>
    <w:p w14:paraId="054AACB8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the PanglaoAugmented 2021 gene set database from the available options.</w:t>
      </w:r>
    </w:p>
    <w:p w14:paraId="1CD0C8EA" w14:textId="10983F04" w:rsidR="00292A7D" w:rsidRDefault="00292A7D" w:rsidP="00292A7D">
      <w:pPr>
        <w:pStyle w:val="Narration"/>
        <w:numPr>
          <w:ilvl w:val="1"/>
          <w:numId w:val="3"/>
        </w:numPr>
      </w:pPr>
      <w:r w:rsidRPr="00A13041">
        <w:lastRenderedPageBreak/>
        <w:t xml:space="preserve">Set the number of permutations to 1000 or higher for increased statistical resolution </w:t>
      </w:r>
      <w:r w:rsidRPr="00A13041">
        <w:rPr>
          <w:b/>
          <w:bCs/>
        </w:rPr>
        <w:t>[1]</w:t>
      </w:r>
      <w:r w:rsidRPr="00A13041">
        <w:t xml:space="preserve">. Select </w:t>
      </w:r>
      <w:r w:rsidR="00A0667C" w:rsidRPr="00A13041">
        <w:t>the. cls</w:t>
      </w:r>
      <w:r w:rsidRPr="00A13041">
        <w:t xml:space="preserve"> phenotype label file </w:t>
      </w:r>
      <w:r>
        <w:t>for</w:t>
      </w:r>
      <w:r w:rsidRPr="00A13041">
        <w:t xml:space="preserve"> the</w:t>
      </w:r>
      <w:r>
        <w:t xml:space="preserve"> comparison of</w:t>
      </w:r>
      <w:r w:rsidRPr="00A13041">
        <w:t xml:space="preserve"> categories </w:t>
      </w:r>
      <w:r w:rsidRPr="00A13041">
        <w:rPr>
          <w:b/>
          <w:bCs/>
        </w:rPr>
        <w:t>[2]</w:t>
      </w:r>
      <w:r w:rsidRPr="00A13041">
        <w:t>.</w:t>
      </w:r>
    </w:p>
    <w:p w14:paraId="10B88A15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number of permutations field populated with 1000.</w:t>
      </w:r>
    </w:p>
    <w:p w14:paraId="12960FA3" w14:textId="22C44A6A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</w:t>
      </w:r>
      <w:r w:rsidR="00A0667C" w:rsidRPr="00A13041">
        <w:rPr>
          <w:lang w:val="en-IN"/>
        </w:rPr>
        <w:t>the</w:t>
      </w:r>
      <w:r w:rsidR="00A0667C">
        <w:rPr>
          <w:lang w:val="en-IN"/>
        </w:rPr>
        <w:t>. cls</w:t>
      </w:r>
      <w:r w:rsidRPr="00A13041">
        <w:rPr>
          <w:lang w:val="en-IN"/>
        </w:rPr>
        <w:t xml:space="preserve"> phenotype label file.</w:t>
      </w:r>
    </w:p>
    <w:p w14:paraId="21E2A90C" w14:textId="53C6E75C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the appropriate option for </w:t>
      </w:r>
      <w:r w:rsidRPr="00A13041">
        <w:rPr>
          <w:b/>
          <w:bCs/>
        </w:rPr>
        <w:t>Collapse/Remap to gene symbols</w:t>
      </w:r>
      <w:r w:rsidRPr="00A13041">
        <w:t xml:space="preserve"> based on the format of the .gct file </w:t>
      </w:r>
      <w:r w:rsidRPr="00A13041">
        <w:rPr>
          <w:b/>
          <w:bCs/>
        </w:rPr>
        <w:t>[1]</w:t>
      </w:r>
      <w:r w:rsidRPr="00A13041">
        <w:t xml:space="preserve">. </w:t>
      </w:r>
      <w:r w:rsidR="00A2364D" w:rsidRPr="00A2364D">
        <w:rPr>
          <w:color w:val="000000" w:themeColor="text1"/>
          <w:highlight w:val="yellow"/>
        </w:rPr>
        <w:t>(</w:t>
      </w:r>
      <w:r w:rsidRPr="00A2364D">
        <w:rPr>
          <w:b/>
          <w:bCs/>
          <w:color w:val="000000" w:themeColor="text1"/>
          <w:highlight w:val="yellow"/>
        </w:rPr>
        <w:t>Authors:</w:t>
      </w:r>
      <w:r w:rsidRPr="00A2364D">
        <w:rPr>
          <w:color w:val="000000" w:themeColor="text1"/>
          <w:highlight w:val="yellow"/>
        </w:rPr>
        <w:t xml:space="preserve"> Please </w:t>
      </w:r>
      <w:r w:rsidR="00A2364D" w:rsidRPr="00A2364D">
        <w:rPr>
          <w:color w:val="000000" w:themeColor="text1"/>
          <w:highlight w:val="yellow"/>
        </w:rPr>
        <w:t>describe the action happening in the screenshot summary for us to align the narrative steps appropriately).</w:t>
      </w:r>
    </w:p>
    <w:p w14:paraId="0F7BFA1E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</w:t>
      </w:r>
      <w:r w:rsidRPr="00A13041">
        <w:rPr>
          <w:b/>
          <w:bCs/>
          <w:lang w:val="en-IN"/>
        </w:rPr>
        <w:t>Collapse/Remap to gene symbols</w:t>
      </w:r>
      <w:r w:rsidRPr="00A13041">
        <w:rPr>
          <w:lang w:val="en-IN"/>
        </w:rPr>
        <w:t xml:space="preserve"> menu within the software settings.</w:t>
      </w:r>
    </w:p>
    <w:p w14:paraId="0DBB2835" w14:textId="3D6F218B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the </w:t>
      </w:r>
      <w:r w:rsidRPr="00650420">
        <w:rPr>
          <w:b/>
          <w:bCs/>
        </w:rPr>
        <w:t>permutation type</w:t>
      </w:r>
      <w:r w:rsidRPr="00A13041">
        <w:t xml:space="preserve"> as phenotype or gene set depending on the dataset characteristics </w:t>
      </w:r>
      <w:r w:rsidRPr="00A13041">
        <w:rPr>
          <w:b/>
          <w:bCs/>
        </w:rPr>
        <w:t>[1]</w:t>
      </w:r>
      <w:r w:rsidRPr="00A13041">
        <w:t xml:space="preserve">. Use the </w:t>
      </w:r>
      <w:r w:rsidRPr="00A2364D">
        <w:rPr>
          <w:b/>
          <w:bCs/>
        </w:rPr>
        <w:t>gene-set permutation</w:t>
      </w:r>
      <w:r>
        <w:t xml:space="preserve"> option for RNA sequencing data with limited replicates to minimize phenotypic</w:t>
      </w:r>
      <w:r w:rsidRPr="00A13041">
        <w:t xml:space="preserve"> variability </w:t>
      </w:r>
      <w:r w:rsidRPr="00A13041">
        <w:rPr>
          <w:b/>
          <w:bCs/>
        </w:rPr>
        <w:t>[2]</w:t>
      </w:r>
      <w:r w:rsidRPr="00A13041">
        <w:t xml:space="preserve">. </w:t>
      </w:r>
      <w:r>
        <w:t>Use</w:t>
      </w:r>
      <w:r w:rsidRPr="00A13041">
        <w:t xml:space="preserve"> the </w:t>
      </w:r>
      <w:r w:rsidRPr="00650420">
        <w:rPr>
          <w:b/>
          <w:bCs/>
        </w:rPr>
        <w:t>Chip platform</w:t>
      </w:r>
      <w:r w:rsidRPr="00A13041">
        <w:t xml:space="preserve"> to</w:t>
      </w:r>
      <w:r>
        <w:t xml:space="preserve"> select</w:t>
      </w:r>
      <w:r w:rsidRPr="00A13041">
        <w:t xml:space="preserve"> the </w:t>
      </w:r>
      <w:r>
        <w:t xml:space="preserve">ID </w:t>
      </w:r>
      <w:r w:rsidRPr="00650420">
        <w:rPr>
          <w:i/>
          <w:iCs/>
          <w:color w:val="EE0000"/>
        </w:rPr>
        <w:t>(I-D)</w:t>
      </w:r>
      <w:r w:rsidRPr="00A13041">
        <w:t xml:space="preserve"> type</w:t>
      </w:r>
      <w:r>
        <w:t xml:space="preserve"> of genes</w:t>
      </w:r>
      <w:r w:rsidRPr="00A13041">
        <w:t xml:space="preserve"> used in the .gct file </w:t>
      </w:r>
      <w:r w:rsidRPr="00A13041">
        <w:rPr>
          <w:b/>
          <w:bCs/>
        </w:rPr>
        <w:t>[3]</w:t>
      </w:r>
      <w:r w:rsidRPr="00A13041">
        <w:t>.</w:t>
      </w:r>
    </w:p>
    <w:p w14:paraId="6002308D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permutation type menu with phenotype and gene set options.</w:t>
      </w:r>
    </w:p>
    <w:p w14:paraId="4F0D6D02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the gene set permutation option for </w:t>
      </w:r>
      <w:r>
        <w:rPr>
          <w:lang w:val="en-IN"/>
        </w:rPr>
        <w:t>RNA</w:t>
      </w:r>
      <w:r w:rsidRPr="00A13041">
        <w:rPr>
          <w:lang w:val="en-IN"/>
        </w:rPr>
        <w:t xml:space="preserve"> sequencing data.</w:t>
      </w:r>
    </w:p>
    <w:p w14:paraId="511BD31F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the chip platform corresponding to the identifier format.</w:t>
      </w:r>
    </w:p>
    <w:p w14:paraId="337F2D98" w14:textId="0786169F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Populate the basic analysis fields </w:t>
      </w:r>
      <w:r w:rsidRPr="00A13041">
        <w:rPr>
          <w:b/>
          <w:bCs/>
        </w:rPr>
        <w:t>[1]</w:t>
      </w:r>
      <w:r w:rsidRPr="00A13041">
        <w:t xml:space="preserve">. For </w:t>
      </w:r>
      <w:r>
        <w:t>RNA</w:t>
      </w:r>
      <w:r w:rsidRPr="00A13041">
        <w:t xml:space="preserve"> sequencing data, choose Ratio_of_classes </w:t>
      </w:r>
      <w:r w:rsidR="00A2364D" w:rsidRPr="00A2364D">
        <w:rPr>
          <w:i/>
          <w:iCs/>
          <w:color w:val="EE0000"/>
        </w:rPr>
        <w:t>(Ratio of classes)</w:t>
      </w:r>
      <w:r w:rsidR="00A2364D">
        <w:t xml:space="preserve"> </w:t>
      </w:r>
      <w:r>
        <w:t xml:space="preserve">to view </w:t>
      </w:r>
      <w:r w:rsidRPr="00650420">
        <w:t>absolute fold change between classes</w:t>
      </w:r>
      <w:r>
        <w:t xml:space="preserve"> </w:t>
      </w:r>
      <w:r w:rsidRPr="00A13041">
        <w:t xml:space="preserve">or log2_Ratio_of_classes </w:t>
      </w:r>
      <w:r w:rsidR="00A2364D" w:rsidRPr="00A2364D">
        <w:rPr>
          <w:i/>
          <w:iCs/>
          <w:color w:val="EE0000"/>
        </w:rPr>
        <w:t>(log-two-ratio of classes)</w:t>
      </w:r>
      <w:r w:rsidR="00A2364D">
        <w:t xml:space="preserve"> </w:t>
      </w:r>
      <w:r>
        <w:t xml:space="preserve">to see </w:t>
      </w:r>
      <w:r w:rsidRPr="00650420">
        <w:t>relative fold change between classes</w:t>
      </w:r>
      <w:r>
        <w:t xml:space="preserve"> </w:t>
      </w:r>
      <w:r w:rsidRPr="00A13041">
        <w:rPr>
          <w:b/>
          <w:bCs/>
        </w:rPr>
        <w:t>[3]</w:t>
      </w:r>
      <w:r w:rsidRPr="00A13041">
        <w:t>.</w:t>
      </w:r>
    </w:p>
    <w:p w14:paraId="3104F830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populated analysis parameter fields in the software interface.</w:t>
      </w:r>
    </w:p>
    <w:p w14:paraId="16AA9E63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selection of Ratio_of_classes or log2_Ratio_of_classes for ribonucleic acid sequencing analysis.</w:t>
      </w:r>
    </w:p>
    <w:p w14:paraId="2A8B00D3" w14:textId="3636F6E8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Select </w:t>
      </w:r>
      <w:r w:rsidRPr="00A13041">
        <w:rPr>
          <w:b/>
          <w:bCs/>
        </w:rPr>
        <w:t>Run</w:t>
      </w:r>
      <w:r w:rsidRPr="00A13041">
        <w:t xml:space="preserve"> to start the analysis </w:t>
      </w:r>
      <w:r w:rsidRPr="00A13041">
        <w:rPr>
          <w:b/>
          <w:bCs/>
        </w:rPr>
        <w:t>[1]</w:t>
      </w:r>
      <w:r w:rsidRPr="00A13041">
        <w:t xml:space="preserve">. Monitor the analysis progress in the </w:t>
      </w:r>
      <w:r>
        <w:t>GSEA</w:t>
      </w:r>
      <w:r w:rsidRPr="00A13041">
        <w:t xml:space="preserve"> reports box </w:t>
      </w:r>
      <w:r w:rsidRPr="00A13041">
        <w:rPr>
          <w:b/>
          <w:bCs/>
        </w:rPr>
        <w:t>[2]</w:t>
      </w:r>
      <w:r w:rsidRPr="00A13041">
        <w:t xml:space="preserve">. </w:t>
      </w:r>
      <w:r>
        <w:t>After analysis completion</w:t>
      </w:r>
      <w:r w:rsidRPr="00A13041">
        <w:t xml:space="preserve">, </w:t>
      </w:r>
      <w:r>
        <w:t>click on</w:t>
      </w:r>
      <w:r w:rsidRPr="00A13041">
        <w:t xml:space="preserve"> </w:t>
      </w:r>
      <w:r w:rsidRPr="00A13041">
        <w:rPr>
          <w:b/>
          <w:bCs/>
        </w:rPr>
        <w:t>COMPLETE</w:t>
      </w:r>
      <w:r w:rsidRPr="00A13041">
        <w:t xml:space="preserve"> to open the analysis summary </w:t>
      </w:r>
      <w:r>
        <w:t>and save the full analysis report in the locally specified folder</w:t>
      </w:r>
      <w:r w:rsidR="00212E7D">
        <w:t xml:space="preserve"> </w:t>
      </w:r>
      <w:r w:rsidRPr="00A13041">
        <w:rPr>
          <w:b/>
          <w:bCs/>
        </w:rPr>
        <w:t>[3]</w:t>
      </w:r>
      <w:r w:rsidRPr="00A13041">
        <w:t>.</w:t>
      </w:r>
    </w:p>
    <w:p w14:paraId="31AB75B8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clicking the </w:t>
      </w:r>
      <w:r w:rsidRPr="00A13041">
        <w:rPr>
          <w:b/>
          <w:bCs/>
          <w:lang w:val="en-IN"/>
        </w:rPr>
        <w:t>Run</w:t>
      </w:r>
      <w:r w:rsidRPr="00A13041">
        <w:rPr>
          <w:lang w:val="en-IN"/>
        </w:rPr>
        <w:t xml:space="preserve"> button to initiate the analysis.</w:t>
      </w:r>
    </w:p>
    <w:p w14:paraId="19CFF03C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</w:t>
      </w:r>
      <w:r>
        <w:rPr>
          <w:lang w:val="en-IN"/>
        </w:rPr>
        <w:t>GSEA</w:t>
      </w:r>
      <w:r w:rsidRPr="00A13041">
        <w:rPr>
          <w:lang w:val="en-IN"/>
        </w:rPr>
        <w:t xml:space="preserve"> reports box updating with analysis progress.</w:t>
      </w:r>
    </w:p>
    <w:p w14:paraId="593FDFD9" w14:textId="77777777" w:rsidR="00292A7D" w:rsidRPr="00A13041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selecting </w:t>
      </w:r>
      <w:r w:rsidRPr="00A13041">
        <w:rPr>
          <w:b/>
          <w:bCs/>
          <w:lang w:val="en-IN"/>
        </w:rPr>
        <w:t>COMPLETE</w:t>
      </w:r>
      <w:r w:rsidRPr="00A13041">
        <w:rPr>
          <w:lang w:val="en-IN"/>
        </w:rPr>
        <w:t xml:space="preserve"> to open the completed analysis summary.</w:t>
      </w:r>
    </w:p>
    <w:p w14:paraId="027B6E90" w14:textId="77777777" w:rsidR="00292A7D" w:rsidRDefault="00292A7D" w:rsidP="00292A7D">
      <w:pPr>
        <w:pStyle w:val="Narration"/>
        <w:numPr>
          <w:ilvl w:val="1"/>
          <w:numId w:val="3"/>
        </w:numPr>
      </w:pPr>
      <w:r w:rsidRPr="00A13041">
        <w:t xml:space="preserve">Open the index.html </w:t>
      </w:r>
      <w:r w:rsidRPr="00650420">
        <w:rPr>
          <w:i/>
          <w:iCs/>
          <w:color w:val="EE0000"/>
        </w:rPr>
        <w:t>(index-dot-H-T-M-L)</w:t>
      </w:r>
      <w:r>
        <w:t xml:space="preserve"> </w:t>
      </w:r>
      <w:r w:rsidRPr="00A13041">
        <w:t xml:space="preserve">file to retrieve the analysis results and summary </w:t>
      </w:r>
      <w:r w:rsidRPr="00A13041">
        <w:rPr>
          <w:b/>
          <w:bCs/>
        </w:rPr>
        <w:t>[1]</w:t>
      </w:r>
      <w:r w:rsidRPr="00A13041">
        <w:t xml:space="preserve">. Review the individual gene set enrichment curves generated by the analysis </w:t>
      </w:r>
      <w:r w:rsidRPr="00A13041">
        <w:rPr>
          <w:b/>
          <w:bCs/>
        </w:rPr>
        <w:t>[2]</w:t>
      </w:r>
      <w:r w:rsidRPr="00A13041">
        <w:t xml:space="preserve">. </w:t>
      </w:r>
      <w:r>
        <w:t xml:space="preserve">Select </w:t>
      </w:r>
      <w:r w:rsidRPr="00A13041">
        <w:t xml:space="preserve">all genes marked as “Yes” in the “core enriched” column for each gene set </w:t>
      </w:r>
      <w:r>
        <w:t>to e</w:t>
      </w:r>
      <w:r w:rsidRPr="00A13041">
        <w:t xml:space="preserve">xtract the leading-edge genes </w:t>
      </w:r>
      <w:r w:rsidRPr="00A13041">
        <w:rPr>
          <w:b/>
          <w:bCs/>
        </w:rPr>
        <w:t>[3]</w:t>
      </w:r>
      <w:r w:rsidRPr="00A13041">
        <w:t>.</w:t>
      </w:r>
    </w:p>
    <w:p w14:paraId="544D3EE9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lastRenderedPageBreak/>
        <w:t>SCREEN:</w:t>
      </w:r>
      <w:r w:rsidRPr="00A13041">
        <w:rPr>
          <w:lang w:val="en-IN"/>
        </w:rPr>
        <w:t xml:space="preserve"> Show opening the index.html results file from the saved analysis folder.</w:t>
      </w:r>
    </w:p>
    <w:p w14:paraId="6F4938AA" w14:textId="77777777" w:rsidR="00292A7D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A13041">
        <w:rPr>
          <w:lang w:val="en-IN"/>
        </w:rPr>
        <w:t xml:space="preserve"> Show the generated enrichment plots and enrichment curves for individual gene sets.</w:t>
      </w:r>
    </w:p>
    <w:p w14:paraId="09689C4F" w14:textId="635A0217" w:rsidR="00495959" w:rsidRDefault="00292A7D" w:rsidP="00292A7D">
      <w:pPr>
        <w:pStyle w:val="ShotDescription"/>
        <w:numPr>
          <w:ilvl w:val="2"/>
          <w:numId w:val="3"/>
        </w:numPr>
        <w:rPr>
          <w:lang w:val="en-IN"/>
        </w:rPr>
      </w:pPr>
      <w:r w:rsidRPr="009C60B2">
        <w:rPr>
          <w:highlight w:val="yellow"/>
          <w:lang w:val="en-IN"/>
        </w:rPr>
        <w:t>SCREEN:</w:t>
      </w:r>
      <w:r w:rsidRPr="00292A7D">
        <w:rPr>
          <w:lang w:val="en-IN"/>
        </w:rPr>
        <w:t xml:space="preserve"> Show selection of genes marked “Yes” in the “core enriched” column for leading-edge analysis.</w:t>
      </w:r>
    </w:p>
    <w:p w14:paraId="203E184B" w14:textId="6E2FDB56" w:rsidR="00A823F1" w:rsidRPr="00292A7D" w:rsidRDefault="00A823F1" w:rsidP="00A823F1">
      <w:pPr>
        <w:pStyle w:val="ShotDescription"/>
        <w:numPr>
          <w:ilvl w:val="0"/>
          <w:numId w:val="0"/>
        </w:numPr>
        <w:ind w:left="1627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F430B2">
          <w:rPr>
            <w:rStyle w:val="Hyperlink"/>
            <w:b/>
            <w:bCs/>
            <w:highlight w:val="yellow"/>
          </w:rPr>
          <w:t>https://review.jove.com/account/file-uploader?src=21434838</w:t>
        </w:r>
      </w:hyperlink>
    </w:p>
    <w:p w14:paraId="5EFECADB" w14:textId="77777777" w:rsidR="0020030C" w:rsidRDefault="0020030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9B9FBD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86D4292" w:rsidR="00495959" w:rsidRPr="00B07A3B" w:rsidRDefault="00A432C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83B52">
        <w:rPr>
          <w:rFonts w:cstheme="minorHAnsi"/>
          <w:color w:val="7030A0"/>
        </w:rPr>
        <w:t>MNX1</w:t>
      </w:r>
      <w:r>
        <w:rPr>
          <w:rFonts w:cstheme="minorHAnsi"/>
        </w:rPr>
        <w:t xml:space="preserve"> </w:t>
      </w:r>
      <w:r w:rsidRPr="00A432C5">
        <w:rPr>
          <w:rFonts w:cstheme="minorHAnsi"/>
          <w:i/>
          <w:iCs/>
          <w:color w:val="EE0000"/>
        </w:rPr>
        <w:t>(M-N-X-one)</w:t>
      </w:r>
      <w:r w:rsidRPr="00583B52">
        <w:rPr>
          <w:rFonts w:cstheme="minorHAnsi"/>
          <w:color w:val="7030A0"/>
        </w:rPr>
        <w:t xml:space="preserve">-overexpressing hemogenic gastruloid cells yield distinct, dense, and scorable hematopoietic colonies </w:t>
      </w:r>
      <w:r w:rsidRPr="00583B52">
        <w:rPr>
          <w:rFonts w:cstheme="minorHAnsi"/>
          <w:b/>
          <w:bCs/>
          <w:color w:val="7030A0"/>
        </w:rPr>
        <w:t>[1]</w:t>
      </w:r>
      <w:r w:rsidRPr="00583B52">
        <w:rPr>
          <w:rFonts w:cstheme="minorHAnsi"/>
          <w:color w:val="7030A0"/>
        </w:rPr>
        <w:t xml:space="preserve">, easily distinguishable from non-colony cell aggregations </w:t>
      </w:r>
      <w:r w:rsidRPr="00583B52">
        <w:rPr>
          <w:rFonts w:cstheme="minorHAnsi"/>
          <w:b/>
          <w:bCs/>
          <w:color w:val="7030A0"/>
        </w:rPr>
        <w:t>[2]</w:t>
      </w:r>
      <w:r w:rsidRPr="00583B52">
        <w:rPr>
          <w:rFonts w:cstheme="minorHAnsi"/>
          <w:color w:val="7030A0"/>
        </w:rPr>
        <w:t>. MNX</w:t>
      </w:r>
      <w:r w:rsidR="00583B52" w:rsidRPr="00583B52">
        <w:rPr>
          <w:rFonts w:cstheme="minorHAnsi"/>
          <w:color w:val="7030A0"/>
        </w:rPr>
        <w:t>1</w:t>
      </w:r>
      <w:r w:rsidRPr="00583B52">
        <w:rPr>
          <w:rFonts w:cstheme="minorHAnsi"/>
          <w:color w:val="7030A0"/>
        </w:rPr>
        <w:t xml:space="preserve">-overexpressing </w:t>
      </w:r>
      <w:r w:rsidR="00583B52" w:rsidRPr="00583B52">
        <w:rPr>
          <w:rFonts w:cstheme="minorHAnsi"/>
          <w:color w:val="7030A0"/>
        </w:rPr>
        <w:t>hemogenic</w:t>
      </w:r>
      <w:r w:rsidRPr="00583B52">
        <w:rPr>
          <w:rFonts w:cstheme="minorHAnsi"/>
          <w:color w:val="7030A0"/>
        </w:rPr>
        <w:t xml:space="preserve"> gastruloids show persistent colony-forming ability across multiple serial passages</w:t>
      </w:r>
      <w:r w:rsidR="00583B52" w:rsidRPr="00583B52">
        <w:rPr>
          <w:rFonts w:cstheme="minorHAnsi"/>
          <w:color w:val="7030A0"/>
        </w:rPr>
        <w:t xml:space="preserve"> </w:t>
      </w:r>
      <w:r w:rsidRPr="00583B52">
        <w:rPr>
          <w:rFonts w:cstheme="minorHAnsi"/>
          <w:b/>
          <w:bCs/>
          <w:color w:val="7030A0"/>
        </w:rPr>
        <w:t>[</w:t>
      </w:r>
      <w:r w:rsidR="00583B52" w:rsidRPr="00583B52">
        <w:rPr>
          <w:rFonts w:cstheme="minorHAnsi"/>
          <w:b/>
          <w:bCs/>
          <w:color w:val="7030A0"/>
        </w:rPr>
        <w:t>3</w:t>
      </w:r>
      <w:r w:rsidRPr="00583B52">
        <w:rPr>
          <w:rFonts w:cstheme="minorHAnsi"/>
          <w:b/>
          <w:bCs/>
          <w:color w:val="7030A0"/>
        </w:rPr>
        <w:t>]</w:t>
      </w:r>
      <w:r w:rsidRPr="00583B52">
        <w:rPr>
          <w:rFonts w:cstheme="minorHAnsi"/>
          <w:color w:val="7030A0"/>
        </w:rPr>
        <w:t xml:space="preserve"> and </w:t>
      </w:r>
      <w:r w:rsidR="00583B52" w:rsidRPr="00583B52">
        <w:rPr>
          <w:rFonts w:cstheme="minorHAnsi"/>
          <w:color w:val="7030A0"/>
        </w:rPr>
        <w:t>enhanced self-renewal potential across both early or 144 hours, and late or 216 hours</w:t>
      </w:r>
      <w:r w:rsidR="00F43532">
        <w:rPr>
          <w:rFonts w:cstheme="minorHAnsi"/>
          <w:color w:val="7030A0"/>
        </w:rPr>
        <w:t xml:space="preserve"> </w:t>
      </w:r>
      <w:r w:rsidR="00583B52" w:rsidRPr="00583B52">
        <w:rPr>
          <w:rFonts w:cstheme="minorHAnsi"/>
          <w:color w:val="7030A0"/>
        </w:rPr>
        <w:t xml:space="preserve">disassembly timepoints </w:t>
      </w:r>
      <w:r w:rsidR="00583B52" w:rsidRPr="00583B52">
        <w:rPr>
          <w:rFonts w:cstheme="minorHAnsi"/>
          <w:b/>
          <w:bCs/>
          <w:color w:val="7030A0"/>
        </w:rPr>
        <w:t>[4]</w:t>
      </w:r>
      <w:r w:rsidR="00583B52" w:rsidRPr="00583B52">
        <w:rPr>
          <w:rFonts w:cstheme="minorHAnsi"/>
          <w:color w:val="7030A0"/>
        </w:rPr>
        <w:t>.</w:t>
      </w:r>
    </w:p>
    <w:p w14:paraId="71138099" w14:textId="562CEFEF" w:rsidR="00495959" w:rsidRPr="00901CA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01CA9">
        <w:rPr>
          <w:rFonts w:cstheme="minorHAnsi"/>
        </w:rPr>
        <w:t xml:space="preserve"> Figure 3F. </w:t>
      </w:r>
      <w:r w:rsidR="00901CA9" w:rsidRPr="006C5B4E">
        <w:rPr>
          <w:rFonts w:cstheme="minorHAnsi"/>
          <w:i/>
          <w:iCs/>
          <w:color w:val="3333FF"/>
        </w:rPr>
        <w:t xml:space="preserve">Video Editor: Please emphasize the cell </w:t>
      </w:r>
      <w:r w:rsidR="00901CA9" w:rsidRPr="006C5B4E">
        <w:rPr>
          <w:rFonts w:asciiTheme="majorHAnsi" w:hAnsiTheme="majorHAnsi" w:cstheme="majorHAnsi"/>
          <w:i/>
          <w:iCs/>
          <w:color w:val="3333FF"/>
        </w:rPr>
        <w:t>colonies pointed by the full arrows.</w:t>
      </w:r>
    </w:p>
    <w:p w14:paraId="3E4DDDC0" w14:textId="5CF886D9" w:rsidR="00901CA9" w:rsidRPr="00901CA9" w:rsidRDefault="00901CA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</w:t>
      </w:r>
      <w:r>
        <w:rPr>
          <w:rFonts w:cstheme="minorHAnsi"/>
        </w:rPr>
        <w:t xml:space="preserve">Figure 3F. </w:t>
      </w:r>
      <w:r w:rsidRPr="006C5B4E">
        <w:rPr>
          <w:rFonts w:cstheme="minorHAnsi"/>
          <w:i/>
          <w:iCs/>
          <w:color w:val="3333FF"/>
        </w:rPr>
        <w:t>Video Editor: Please emphasize the cells</w:t>
      </w:r>
      <w:r w:rsidRPr="006C5B4E">
        <w:rPr>
          <w:rFonts w:asciiTheme="majorHAnsi" w:hAnsiTheme="majorHAnsi" w:cstheme="majorHAnsi"/>
          <w:i/>
          <w:iCs/>
          <w:color w:val="3333FF"/>
        </w:rPr>
        <w:t xml:space="preserve"> pointed by the dashed arrows.</w:t>
      </w:r>
    </w:p>
    <w:p w14:paraId="2EB86536" w14:textId="5AA19862" w:rsidR="00901CA9" w:rsidRPr="00901CA9" w:rsidRDefault="00901CA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Figure 3G. </w:t>
      </w:r>
      <w:r w:rsidRPr="006C5B4E">
        <w:rPr>
          <w:rFonts w:asciiTheme="majorHAnsi" w:hAnsiTheme="majorHAnsi" w:cstheme="majorHAnsi"/>
          <w:i/>
          <w:iCs/>
          <w:color w:val="3333FF"/>
        </w:rPr>
        <w:t>Video Editor: Please emphasize the blue bars and the corresponding X-axis labels PL1, PL2, PL3, PL4, and PL5 sequentially in both graphs.</w:t>
      </w:r>
    </w:p>
    <w:p w14:paraId="2B4E8461" w14:textId="1D9C8C09" w:rsidR="00901CA9" w:rsidRPr="00B07A3B" w:rsidRDefault="00901CA9" w:rsidP="00901C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Theme="majorHAnsi" w:hAnsiTheme="majorHAnsi" w:cstheme="majorHAnsi"/>
        </w:rPr>
        <w:t xml:space="preserve">LAB MEDIA: Figure 3G. </w:t>
      </w:r>
      <w:r w:rsidRPr="006C5B4E">
        <w:rPr>
          <w:rFonts w:asciiTheme="majorHAnsi" w:hAnsiTheme="majorHAnsi" w:cstheme="majorHAnsi"/>
          <w:i/>
          <w:iCs/>
          <w:color w:val="3333FF"/>
        </w:rPr>
        <w:t>Video Editor: Please emphasize the blue bars and the labels “Serial plating 144 h” and “Serial plating 216 h” sequentially in both graphs.</w:t>
      </w:r>
    </w:p>
    <w:p w14:paraId="2B1DA4F8" w14:textId="77777777" w:rsidR="00901CA9" w:rsidRPr="00B07A3B" w:rsidRDefault="00901CA9" w:rsidP="00901C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BB4B8FB" w14:textId="0524539B" w:rsidR="00CA6E82" w:rsidRPr="00E57322" w:rsidRDefault="002D2CBC" w:rsidP="00E14DB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7322">
        <w:rPr>
          <w:rFonts w:cstheme="minorHAnsi"/>
          <w:color w:val="7030A0"/>
        </w:rPr>
        <w:t xml:space="preserve">GSEA analysis </w:t>
      </w:r>
      <w:r w:rsidR="004A1A30" w:rsidRPr="00E57322">
        <w:rPr>
          <w:rFonts w:cstheme="minorHAnsi"/>
          <w:color w:val="7030A0"/>
        </w:rPr>
        <w:t xml:space="preserve">of infant AML with the t-seven-twelve mutation </w:t>
      </w:r>
      <w:r w:rsidRPr="00E57322">
        <w:rPr>
          <w:rFonts w:cstheme="minorHAnsi"/>
          <w:color w:val="7030A0"/>
        </w:rPr>
        <w:t xml:space="preserve">patient transcriptomes </w:t>
      </w:r>
      <w:r w:rsidR="00CA6E82" w:rsidRPr="00E57322">
        <w:rPr>
          <w:rFonts w:cstheme="minorHAnsi"/>
          <w:color w:val="7030A0"/>
        </w:rPr>
        <w:t xml:space="preserve">versus other AML </w:t>
      </w:r>
      <w:r w:rsidR="004A1A30" w:rsidRPr="00E57322">
        <w:rPr>
          <w:rFonts w:cstheme="minorHAnsi"/>
          <w:color w:val="7030A0"/>
        </w:rPr>
        <w:t xml:space="preserve">revealed the enrichment of gene sets corresponding to </w:t>
      </w:r>
      <w:r w:rsidR="0003149A" w:rsidRPr="00E57322">
        <w:rPr>
          <w:rFonts w:cstheme="minorHAnsi"/>
          <w:color w:val="7030A0"/>
        </w:rPr>
        <w:t>hemato-endothelial</w:t>
      </w:r>
      <w:r w:rsidR="004A1A30" w:rsidRPr="00E57322">
        <w:rPr>
          <w:rFonts w:cstheme="minorHAnsi"/>
          <w:color w:val="7030A0"/>
        </w:rPr>
        <w:t xml:space="preserve"> signatures like</w:t>
      </w:r>
      <w:r w:rsidR="00CA6E82" w:rsidRPr="00E57322">
        <w:rPr>
          <w:rFonts w:cstheme="minorHAnsi"/>
          <w:color w:val="7030A0"/>
        </w:rPr>
        <w:t xml:space="preserve"> </w:t>
      </w:r>
      <w:r w:rsidR="004A1A30" w:rsidRPr="00E57322">
        <w:rPr>
          <w:rFonts w:cstheme="minorHAnsi"/>
          <w:color w:val="7030A0"/>
        </w:rPr>
        <w:t>cytotoxic T cells</w:t>
      </w:r>
      <w:r w:rsidR="00687EE8">
        <w:rPr>
          <w:rFonts w:cstheme="minorHAnsi"/>
          <w:color w:val="7030A0"/>
        </w:rPr>
        <w:t xml:space="preserve"> </w:t>
      </w:r>
      <w:r w:rsidR="00CA6E82" w:rsidRPr="00E57322">
        <w:rPr>
          <w:rFonts w:cstheme="minorHAnsi"/>
          <w:b/>
          <w:bCs/>
          <w:color w:val="7030A0"/>
        </w:rPr>
        <w:t>[1]</w:t>
      </w:r>
      <w:r w:rsidR="00CA6E82" w:rsidRPr="00E57322">
        <w:rPr>
          <w:rFonts w:cstheme="minorHAnsi"/>
          <w:color w:val="7030A0"/>
        </w:rPr>
        <w:t xml:space="preserve">, plasma cells </w:t>
      </w:r>
      <w:r w:rsidR="00CA6E82" w:rsidRPr="00E57322">
        <w:rPr>
          <w:rFonts w:cstheme="minorHAnsi"/>
          <w:b/>
          <w:bCs/>
          <w:color w:val="7030A0"/>
        </w:rPr>
        <w:t>[2]</w:t>
      </w:r>
      <w:r w:rsidR="00CA6E82" w:rsidRPr="00E57322">
        <w:rPr>
          <w:rFonts w:cstheme="minorHAnsi"/>
          <w:color w:val="7030A0"/>
        </w:rPr>
        <w:t xml:space="preserve">, natural killer T cells and Nk </w:t>
      </w:r>
      <w:r w:rsidR="00CA6E82" w:rsidRPr="00F43532">
        <w:rPr>
          <w:rFonts w:cstheme="minorHAnsi"/>
          <w:i/>
          <w:iCs/>
          <w:color w:val="EE0000"/>
        </w:rPr>
        <w:t>(N-K)</w:t>
      </w:r>
      <w:r w:rsidR="00CA6E82" w:rsidRPr="00E57322">
        <w:rPr>
          <w:rFonts w:cstheme="minorHAnsi"/>
          <w:color w:val="7030A0"/>
        </w:rPr>
        <w:t xml:space="preserve"> cells </w:t>
      </w:r>
      <w:r w:rsidR="00CA6E82" w:rsidRPr="00E57322">
        <w:rPr>
          <w:rFonts w:cstheme="minorHAnsi"/>
          <w:b/>
          <w:bCs/>
          <w:color w:val="7030A0"/>
        </w:rPr>
        <w:t>[3]</w:t>
      </w:r>
      <w:r w:rsidR="0003149A" w:rsidRPr="00E57322">
        <w:rPr>
          <w:rFonts w:cstheme="minorHAnsi"/>
          <w:color w:val="7030A0"/>
        </w:rPr>
        <w:t>, and aortic</w:t>
      </w:r>
      <w:r w:rsidR="00E57322">
        <w:rPr>
          <w:rFonts w:cstheme="minorHAnsi"/>
          <w:color w:val="7030A0"/>
        </w:rPr>
        <w:t xml:space="preserve"> </w:t>
      </w:r>
      <w:r w:rsidR="0003149A" w:rsidRPr="00E57322">
        <w:rPr>
          <w:rFonts w:cstheme="minorHAnsi"/>
          <w:color w:val="7030A0"/>
        </w:rPr>
        <w:t xml:space="preserve">and other endothelial cells </w:t>
      </w:r>
      <w:r w:rsidR="0003149A" w:rsidRPr="00E57322">
        <w:rPr>
          <w:rFonts w:cstheme="minorHAnsi"/>
          <w:b/>
          <w:bCs/>
          <w:color w:val="7030A0"/>
        </w:rPr>
        <w:t>[4]</w:t>
      </w:r>
      <w:r w:rsidR="00CA6E82" w:rsidRPr="00E57322">
        <w:rPr>
          <w:rFonts w:cstheme="minorHAnsi"/>
          <w:color w:val="7030A0"/>
        </w:rPr>
        <w:t>.</w:t>
      </w:r>
    </w:p>
    <w:p w14:paraId="6371FE47" w14:textId="3343F4CF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 T” and emphasize the dark red dot to the right corresponding to label</w:t>
      </w:r>
      <w:r w:rsidR="0020030C" w:rsidRPr="006C5B4E">
        <w:rPr>
          <w:rFonts w:cstheme="minorHAnsi"/>
          <w:i/>
          <w:iCs/>
          <w:color w:val="3333FF"/>
        </w:rPr>
        <w:t xml:space="preserve"> </w:t>
      </w:r>
      <w:r w:rsidRPr="006C5B4E">
        <w:rPr>
          <w:rFonts w:cstheme="minorHAnsi"/>
          <w:i/>
          <w:iCs/>
          <w:color w:val="3333FF"/>
        </w:rPr>
        <w:t>T cytotoxic cells.”</w:t>
      </w:r>
    </w:p>
    <w:p w14:paraId="1DBD9F00" w14:textId="47683F2C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“Lymph B” and emphasize the dark red dot to the right corresponding to label “Plasma cells.”</w:t>
      </w:r>
    </w:p>
    <w:p w14:paraId="773C135E" w14:textId="04E3605D" w:rsidR="00CA6E82" w:rsidRDefault="00CA6E82" w:rsidP="00CA6E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“Lymph” and emphasize the two dark red dots corresponding to labels “Natural Killer T cells and NK cells.”</w:t>
      </w:r>
    </w:p>
    <w:p w14:paraId="0BB8F0D7" w14:textId="19A6B2E3" w:rsidR="0003149A" w:rsidRDefault="0003149A" w:rsidP="00F30A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4C: </w:t>
      </w:r>
      <w:r w:rsidRPr="006C5B4E">
        <w:rPr>
          <w:rFonts w:cstheme="minorHAnsi"/>
          <w:i/>
          <w:iCs/>
          <w:color w:val="3333FF"/>
        </w:rPr>
        <w:t>Video Editor: Please highlight the top box with title “Endo” and emphasize the two dark red dots corresponding to labels “Endothelial cells (Aorta) and Endothelial cells.”</w:t>
      </w:r>
    </w:p>
    <w:p w14:paraId="205335EF" w14:textId="77777777" w:rsidR="0008214D" w:rsidRPr="00BB3876" w:rsidRDefault="0008214D" w:rsidP="00BB3876">
      <w:pPr>
        <w:spacing w:before="120"/>
        <w:outlineLvl w:val="0"/>
        <w:rPr>
          <w:rFonts w:cstheme="minorHAnsi"/>
          <w:lang w:val="en-IN"/>
        </w:rPr>
      </w:pPr>
    </w:p>
    <w:p w14:paraId="79EC1B77" w14:textId="76033070" w:rsidR="008247EA" w:rsidRPr="00E57322" w:rsidRDefault="008247EA" w:rsidP="008247E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57322">
        <w:rPr>
          <w:rFonts w:cstheme="minorHAnsi"/>
          <w:color w:val="7030A0"/>
        </w:rPr>
        <w:t>Temporal mapping of bulk RNA-sequencing data from MNX1-overexpressing hemogenic gastruloids showed enrichment for hemato-endothelial clusters 5 and 0 and hematopoietic cluster 4 at 144</w:t>
      </w:r>
      <w:r w:rsidR="00E57322">
        <w:rPr>
          <w:rFonts w:cstheme="minorHAnsi"/>
          <w:color w:val="7030A0"/>
        </w:rPr>
        <w:t>-</w:t>
      </w:r>
      <w:r w:rsidRPr="00E57322">
        <w:rPr>
          <w:rFonts w:cstheme="minorHAnsi"/>
          <w:color w:val="7030A0"/>
        </w:rPr>
        <w:t>hour and 192</w:t>
      </w:r>
      <w:r w:rsidR="00E57322">
        <w:rPr>
          <w:rFonts w:cstheme="minorHAnsi"/>
          <w:color w:val="7030A0"/>
        </w:rPr>
        <w:t>-</w:t>
      </w:r>
      <w:r w:rsidRPr="00E57322">
        <w:rPr>
          <w:rFonts w:cstheme="minorHAnsi"/>
          <w:color w:val="7030A0"/>
        </w:rPr>
        <w:t>hour developmental window</w:t>
      </w:r>
      <w:r w:rsidR="00E57322">
        <w:rPr>
          <w:rFonts w:cstheme="minorHAnsi"/>
          <w:color w:val="7030A0"/>
        </w:rPr>
        <w:t>s</w:t>
      </w:r>
      <w:r w:rsidRPr="00E57322">
        <w:rPr>
          <w:rFonts w:cstheme="minorHAnsi"/>
          <w:color w:val="7030A0"/>
        </w:rPr>
        <w:t xml:space="preserve"> </w:t>
      </w:r>
      <w:r w:rsidRPr="00E57322">
        <w:rPr>
          <w:rFonts w:cstheme="minorHAnsi"/>
          <w:b/>
          <w:bCs/>
          <w:color w:val="7030A0"/>
        </w:rPr>
        <w:t>[1]</w:t>
      </w:r>
      <w:r w:rsidRPr="00E57322">
        <w:rPr>
          <w:rFonts w:cstheme="minorHAnsi"/>
          <w:color w:val="7030A0"/>
        </w:rPr>
        <w:t xml:space="preserve">. The </w:t>
      </w:r>
      <w:r w:rsidR="00972F86" w:rsidRPr="00E57322">
        <w:rPr>
          <w:rFonts w:cstheme="minorHAnsi"/>
          <w:color w:val="7030A0"/>
        </w:rPr>
        <w:t>144-hour</w:t>
      </w:r>
      <w:r w:rsidRPr="00E57322">
        <w:rPr>
          <w:rFonts w:cstheme="minorHAnsi"/>
          <w:color w:val="7030A0"/>
        </w:rPr>
        <w:t xml:space="preserve"> and </w:t>
      </w:r>
      <w:r w:rsidR="00972F86" w:rsidRPr="00E57322">
        <w:rPr>
          <w:rFonts w:cstheme="minorHAnsi"/>
          <w:color w:val="7030A0"/>
        </w:rPr>
        <w:t>192-hour</w:t>
      </w:r>
      <w:r w:rsidRPr="00E57322">
        <w:rPr>
          <w:rFonts w:cstheme="minorHAnsi"/>
          <w:color w:val="7030A0"/>
        </w:rPr>
        <w:t xml:space="preserve"> hemato-endothelial populations matched the enrichment observed in </w:t>
      </w:r>
      <w:r w:rsidR="00972F86" w:rsidRPr="00E57322">
        <w:rPr>
          <w:rFonts w:cstheme="minorHAnsi"/>
          <w:color w:val="7030A0"/>
        </w:rPr>
        <w:t>the transcriptome of human T-seven-twelve infant leukemia patients</w:t>
      </w:r>
      <w:r w:rsidRPr="00E57322">
        <w:rPr>
          <w:rFonts w:cstheme="minorHAnsi"/>
          <w:color w:val="7030A0"/>
        </w:rPr>
        <w:t xml:space="preserve"> </w:t>
      </w:r>
      <w:r w:rsidRPr="00E57322">
        <w:rPr>
          <w:rFonts w:cstheme="minorHAnsi"/>
          <w:b/>
          <w:bCs/>
          <w:color w:val="7030A0"/>
        </w:rPr>
        <w:t>[2]</w:t>
      </w:r>
      <w:r w:rsidRPr="00E57322">
        <w:rPr>
          <w:rFonts w:cstheme="minorHAnsi"/>
          <w:color w:val="7030A0"/>
        </w:rPr>
        <w:t>.</w:t>
      </w:r>
      <w:r w:rsidR="00E57322" w:rsidRPr="00E57322">
        <w:rPr>
          <w:rFonts w:cstheme="minorHAnsi"/>
          <w:color w:val="7030A0"/>
        </w:rPr>
        <w:t xml:space="preserve"> The UMAP </w:t>
      </w:r>
      <w:r w:rsidR="00F43532" w:rsidRPr="00F43532">
        <w:rPr>
          <w:rFonts w:cstheme="minorHAnsi"/>
          <w:i/>
          <w:iCs/>
          <w:color w:val="EE0000"/>
        </w:rPr>
        <w:t>(</w:t>
      </w:r>
      <w:r w:rsidR="00F43532" w:rsidRPr="00F43532">
        <w:rPr>
          <w:rFonts w:cstheme="minorHAnsi"/>
          <w:i/>
          <w:iCs/>
          <w:color w:val="EE0000"/>
        </w:rPr>
        <w:t>you-map</w:t>
      </w:r>
      <w:r w:rsidR="00F43532" w:rsidRPr="00F43532">
        <w:rPr>
          <w:rFonts w:cstheme="minorHAnsi"/>
          <w:i/>
          <w:iCs/>
          <w:color w:val="EE0000"/>
        </w:rPr>
        <w:t>)</w:t>
      </w:r>
      <w:r w:rsidR="00F43532">
        <w:rPr>
          <w:rFonts w:cstheme="minorHAnsi"/>
          <w:color w:val="7030A0"/>
        </w:rPr>
        <w:t xml:space="preserve"> </w:t>
      </w:r>
      <w:r w:rsidR="00E57322" w:rsidRPr="00E57322">
        <w:rPr>
          <w:rFonts w:cstheme="minorHAnsi"/>
          <w:color w:val="7030A0"/>
        </w:rPr>
        <w:t xml:space="preserve">of these enrichments showed </w:t>
      </w:r>
      <w:r w:rsidR="00E57322" w:rsidRPr="00E57322">
        <w:rPr>
          <w:rFonts w:asciiTheme="majorHAnsi" w:hAnsiTheme="majorHAnsi" w:cstheme="majorHAnsi"/>
          <w:color w:val="7030A0"/>
        </w:rPr>
        <w:t xml:space="preserve">statistically significant GSEA results superimposed to the corresponding cluster number and the enriched clusters in </w:t>
      </w:r>
      <w:r w:rsidR="00E57322" w:rsidRPr="00E57322">
        <w:rPr>
          <w:rFonts w:cstheme="minorHAnsi"/>
          <w:color w:val="7030A0"/>
        </w:rPr>
        <w:t xml:space="preserve">MNX1-overexpressing hemogenic gastruloids and human T-seven-twelve infant AML </w:t>
      </w:r>
      <w:r w:rsidR="00E57322" w:rsidRPr="00E57322">
        <w:rPr>
          <w:rFonts w:cstheme="minorHAnsi"/>
          <w:b/>
          <w:bCs/>
          <w:color w:val="7030A0"/>
        </w:rPr>
        <w:t>[3]</w:t>
      </w:r>
      <w:r w:rsidR="00E57322" w:rsidRPr="00E57322">
        <w:rPr>
          <w:rFonts w:cstheme="minorHAnsi"/>
          <w:color w:val="7030A0"/>
        </w:rPr>
        <w:t xml:space="preserve">. </w:t>
      </w:r>
    </w:p>
    <w:p w14:paraId="31F59AAF" w14:textId="184ED594" w:rsidR="008247EA" w:rsidRPr="008247EA" w:rsidRDefault="008247EA" w:rsidP="008247E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8247EA">
        <w:rPr>
          <w:rFonts w:cstheme="minorHAnsi"/>
        </w:rPr>
        <w:t xml:space="preserve">LAB MEDIA: Figure 5A. </w:t>
      </w:r>
      <w:r w:rsidRPr="006C5B4E">
        <w:rPr>
          <w:rFonts w:cstheme="minorHAnsi"/>
          <w:i/>
          <w:iCs/>
          <w:color w:val="3333FF"/>
        </w:rPr>
        <w:t>Video editor: Highlight the bubbles corresponding to clusters 5, 0</w:t>
      </w:r>
      <w:r w:rsidR="00BB3876" w:rsidRPr="006C5B4E">
        <w:rPr>
          <w:rFonts w:cstheme="minorHAnsi"/>
          <w:i/>
          <w:iCs/>
          <w:color w:val="3333FF"/>
        </w:rPr>
        <w:t xml:space="preserve"> and</w:t>
      </w:r>
      <w:r w:rsidRPr="006C5B4E">
        <w:rPr>
          <w:rFonts w:cstheme="minorHAnsi"/>
          <w:i/>
          <w:iCs/>
          <w:color w:val="3333FF"/>
        </w:rPr>
        <w:t xml:space="preserve"> 4 in the top comparison panel</w:t>
      </w:r>
      <w:r w:rsidR="00BB3876" w:rsidRPr="006C5B4E">
        <w:rPr>
          <w:rFonts w:cstheme="minorHAnsi"/>
          <w:i/>
          <w:iCs/>
          <w:color w:val="3333FF"/>
        </w:rPr>
        <w:t xml:space="preserve"> along with the legends for red and purple squares in the “Identity” column shown below the bubble plot</w:t>
      </w:r>
      <w:r w:rsidRPr="006C5B4E">
        <w:rPr>
          <w:rFonts w:cstheme="minorHAnsi"/>
          <w:i/>
          <w:iCs/>
          <w:color w:val="3333FF"/>
        </w:rPr>
        <w:t>.</w:t>
      </w:r>
    </w:p>
    <w:p w14:paraId="383AED15" w14:textId="4591830F" w:rsidR="0008214D" w:rsidRPr="008247EA" w:rsidRDefault="008247EA" w:rsidP="008247E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247EA">
        <w:rPr>
          <w:rFonts w:cstheme="minorHAnsi"/>
        </w:rPr>
        <w:t xml:space="preserve"> LAB MEDIA: Figure 5A. </w:t>
      </w:r>
      <w:r w:rsidRPr="006C5B4E">
        <w:rPr>
          <w:rFonts w:cstheme="minorHAnsi"/>
          <w:i/>
          <w:iCs/>
          <w:color w:val="3333FF"/>
        </w:rPr>
        <w:t xml:space="preserve">Video editor: Highlight the bubbles aligned to the </w:t>
      </w:r>
      <w:r w:rsidR="006925C2">
        <w:rPr>
          <w:rFonts w:cstheme="minorHAnsi"/>
          <w:i/>
          <w:iCs/>
          <w:color w:val="3333FF"/>
        </w:rPr>
        <w:t>144-hour</w:t>
      </w:r>
      <w:r w:rsidRPr="006C5B4E">
        <w:rPr>
          <w:rFonts w:cstheme="minorHAnsi"/>
          <w:i/>
          <w:iCs/>
          <w:color w:val="3333FF"/>
        </w:rPr>
        <w:t xml:space="preserve"> and </w:t>
      </w:r>
      <w:r w:rsidR="00550BDC">
        <w:rPr>
          <w:rFonts w:cstheme="minorHAnsi"/>
          <w:i/>
          <w:iCs/>
          <w:color w:val="3333FF"/>
        </w:rPr>
        <w:t>192-hour</w:t>
      </w:r>
      <w:r w:rsidRPr="006C5B4E">
        <w:rPr>
          <w:rFonts w:cstheme="minorHAnsi"/>
          <w:i/>
          <w:iCs/>
          <w:color w:val="3333FF"/>
        </w:rPr>
        <w:t xml:space="preserve"> hemato-endothelial clusters in the middle comparison panel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2769" w14:textId="77777777" w:rsidR="004F32F8" w:rsidRDefault="004F32F8">
      <w:r>
        <w:separator/>
      </w:r>
    </w:p>
    <w:p w14:paraId="63F2DD3B" w14:textId="77777777" w:rsidR="004F32F8" w:rsidRDefault="004F32F8"/>
  </w:endnote>
  <w:endnote w:type="continuationSeparator" w:id="0">
    <w:p w14:paraId="559E0F83" w14:textId="77777777" w:rsidR="004F32F8" w:rsidRDefault="004F32F8">
      <w:r>
        <w:continuationSeparator/>
      </w:r>
    </w:p>
    <w:p w14:paraId="2BC5FD1E" w14:textId="77777777" w:rsidR="004F32F8" w:rsidRDefault="004F32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79C08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3C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30DD5">
      <w:rPr>
        <w:rFonts w:cstheme="minorHAnsi"/>
      </w:rPr>
      <w:t>May 31, 2026</w:t>
    </w:r>
    <w:r w:rsidR="00130DD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C5DE" w14:textId="77777777" w:rsidR="004F32F8" w:rsidRDefault="004F32F8">
      <w:r>
        <w:separator/>
      </w:r>
    </w:p>
    <w:p w14:paraId="3053915E" w14:textId="77777777" w:rsidR="004F32F8" w:rsidRDefault="004F32F8"/>
  </w:footnote>
  <w:footnote w:type="continuationSeparator" w:id="0">
    <w:p w14:paraId="44C956F9" w14:textId="77777777" w:rsidR="004F32F8" w:rsidRDefault="004F32F8">
      <w:r>
        <w:continuationSeparator/>
      </w:r>
    </w:p>
    <w:p w14:paraId="7B1A5F87" w14:textId="77777777" w:rsidR="004F32F8" w:rsidRDefault="004F32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D5DC6FC" w:rsidR="00336C61" w:rsidRPr="006D3AC7" w:rsidRDefault="00336C61" w:rsidP="00130DD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30DD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4D186A"/>
    <w:multiLevelType w:val="multilevel"/>
    <w:tmpl w:val="8D78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107566319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28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149A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845"/>
    <w:rsid w:val="00074929"/>
    <w:rsid w:val="00081AE5"/>
    <w:rsid w:val="0008214D"/>
    <w:rsid w:val="00083792"/>
    <w:rsid w:val="00085F90"/>
    <w:rsid w:val="0008613B"/>
    <w:rsid w:val="00090BAC"/>
    <w:rsid w:val="0009624C"/>
    <w:rsid w:val="000A2498"/>
    <w:rsid w:val="000A63B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DE2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DD5"/>
    <w:rsid w:val="0013319E"/>
    <w:rsid w:val="001331E3"/>
    <w:rsid w:val="00135714"/>
    <w:rsid w:val="00142D32"/>
    <w:rsid w:val="00143557"/>
    <w:rsid w:val="001469E6"/>
    <w:rsid w:val="00151824"/>
    <w:rsid w:val="001528A5"/>
    <w:rsid w:val="0015654C"/>
    <w:rsid w:val="00162D51"/>
    <w:rsid w:val="0016471F"/>
    <w:rsid w:val="00176D6F"/>
    <w:rsid w:val="00177B33"/>
    <w:rsid w:val="001819E3"/>
    <w:rsid w:val="00183C81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E4A"/>
    <w:rsid w:val="001F615E"/>
    <w:rsid w:val="0020030C"/>
    <w:rsid w:val="00212E7D"/>
    <w:rsid w:val="00214268"/>
    <w:rsid w:val="002152AB"/>
    <w:rsid w:val="00226089"/>
    <w:rsid w:val="0023161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45E"/>
    <w:rsid w:val="002773BA"/>
    <w:rsid w:val="00277C90"/>
    <w:rsid w:val="00277F11"/>
    <w:rsid w:val="00283E3E"/>
    <w:rsid w:val="002851C5"/>
    <w:rsid w:val="00287206"/>
    <w:rsid w:val="00292508"/>
    <w:rsid w:val="002929B8"/>
    <w:rsid w:val="00292A7D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CBC"/>
    <w:rsid w:val="002D48BB"/>
    <w:rsid w:val="002D52A1"/>
    <w:rsid w:val="002D7AA6"/>
    <w:rsid w:val="002E7521"/>
    <w:rsid w:val="002F0D42"/>
    <w:rsid w:val="002F3829"/>
    <w:rsid w:val="002F38CF"/>
    <w:rsid w:val="002F7D5E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F4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E61"/>
    <w:rsid w:val="00433BF1"/>
    <w:rsid w:val="00440FFA"/>
    <w:rsid w:val="00441918"/>
    <w:rsid w:val="004425EC"/>
    <w:rsid w:val="00443E8B"/>
    <w:rsid w:val="004454E4"/>
    <w:rsid w:val="00450B27"/>
    <w:rsid w:val="00453116"/>
    <w:rsid w:val="00454D14"/>
    <w:rsid w:val="00455510"/>
    <w:rsid w:val="00455638"/>
    <w:rsid w:val="004566CC"/>
    <w:rsid w:val="00456A5D"/>
    <w:rsid w:val="0046076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476"/>
    <w:rsid w:val="00495959"/>
    <w:rsid w:val="004A1A30"/>
    <w:rsid w:val="004A72BD"/>
    <w:rsid w:val="004C1095"/>
    <w:rsid w:val="004C15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2F8"/>
    <w:rsid w:val="004F664D"/>
    <w:rsid w:val="00500FA1"/>
    <w:rsid w:val="0051075A"/>
    <w:rsid w:val="00511F52"/>
    <w:rsid w:val="00513853"/>
    <w:rsid w:val="0052184A"/>
    <w:rsid w:val="00523CB9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BDC"/>
    <w:rsid w:val="00557116"/>
    <w:rsid w:val="0055763A"/>
    <w:rsid w:val="00557FAC"/>
    <w:rsid w:val="005611F3"/>
    <w:rsid w:val="00563BE7"/>
    <w:rsid w:val="00565757"/>
    <w:rsid w:val="0058214E"/>
    <w:rsid w:val="005829FA"/>
    <w:rsid w:val="00583B5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144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486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83E"/>
    <w:rsid w:val="00687EE8"/>
    <w:rsid w:val="006925C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B4E"/>
    <w:rsid w:val="006D1F9B"/>
    <w:rsid w:val="006D3AC7"/>
    <w:rsid w:val="006D570E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48EF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0AB7"/>
    <w:rsid w:val="007F1168"/>
    <w:rsid w:val="007F11D6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7E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CA9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F86"/>
    <w:rsid w:val="009809C5"/>
    <w:rsid w:val="00985868"/>
    <w:rsid w:val="00985F44"/>
    <w:rsid w:val="00985FE6"/>
    <w:rsid w:val="00987081"/>
    <w:rsid w:val="0098789E"/>
    <w:rsid w:val="00992857"/>
    <w:rsid w:val="00993FB0"/>
    <w:rsid w:val="00997611"/>
    <w:rsid w:val="009A0E7C"/>
    <w:rsid w:val="009A1575"/>
    <w:rsid w:val="009A2C33"/>
    <w:rsid w:val="009A3CBD"/>
    <w:rsid w:val="009A7EC6"/>
    <w:rsid w:val="009B2183"/>
    <w:rsid w:val="009B3807"/>
    <w:rsid w:val="009B4EE3"/>
    <w:rsid w:val="009B671E"/>
    <w:rsid w:val="009C041E"/>
    <w:rsid w:val="009C2062"/>
    <w:rsid w:val="009C60B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3D6"/>
    <w:rsid w:val="00A0667C"/>
    <w:rsid w:val="00A07468"/>
    <w:rsid w:val="00A13CC3"/>
    <w:rsid w:val="00A164F5"/>
    <w:rsid w:val="00A20DA8"/>
    <w:rsid w:val="00A218EC"/>
    <w:rsid w:val="00A2364D"/>
    <w:rsid w:val="00A310D7"/>
    <w:rsid w:val="00A3138F"/>
    <w:rsid w:val="00A319BE"/>
    <w:rsid w:val="00A31F9A"/>
    <w:rsid w:val="00A40760"/>
    <w:rsid w:val="00A4233A"/>
    <w:rsid w:val="00A432C5"/>
    <w:rsid w:val="00A44EFB"/>
    <w:rsid w:val="00A50DAE"/>
    <w:rsid w:val="00A51444"/>
    <w:rsid w:val="00A5213D"/>
    <w:rsid w:val="00A5222C"/>
    <w:rsid w:val="00A56818"/>
    <w:rsid w:val="00A60320"/>
    <w:rsid w:val="00A622CC"/>
    <w:rsid w:val="00A64D8E"/>
    <w:rsid w:val="00A72FC5"/>
    <w:rsid w:val="00A730E3"/>
    <w:rsid w:val="00A77CF6"/>
    <w:rsid w:val="00A823F1"/>
    <w:rsid w:val="00A84BA8"/>
    <w:rsid w:val="00A84C50"/>
    <w:rsid w:val="00A91283"/>
    <w:rsid w:val="00AA132F"/>
    <w:rsid w:val="00AA2236"/>
    <w:rsid w:val="00AA381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9BF"/>
    <w:rsid w:val="00B5116D"/>
    <w:rsid w:val="00B520AF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876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BD3"/>
    <w:rsid w:val="00C2620F"/>
    <w:rsid w:val="00C30945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E8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86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D1"/>
    <w:rsid w:val="00D11F69"/>
    <w:rsid w:val="00D13549"/>
    <w:rsid w:val="00D150D8"/>
    <w:rsid w:val="00D30007"/>
    <w:rsid w:val="00D300CE"/>
    <w:rsid w:val="00D3379F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FF1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322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742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A3E"/>
    <w:rsid w:val="00F35094"/>
    <w:rsid w:val="00F35B29"/>
    <w:rsid w:val="00F3618A"/>
    <w:rsid w:val="00F43532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A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A7D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292A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92A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92A7D"/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292A7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A7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34838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enise.ragusa@brunel.ac.uk" TargetMode="External"/><Relationship Id="rId17" Type="http://schemas.openxmlformats.org/officeDocument/2006/relationships/hyperlink" Target="https://review.jove.com/account/file-uploader?src=2143483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143483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.pina@sanquin.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434838" TargetMode="External"/><Relationship Id="rId10" Type="http://schemas.openxmlformats.org/officeDocument/2006/relationships/hyperlink" Target="mailto:ayona.johns@brunel.ac.u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enise.ragusa@brunel.ac.uk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5AA1-4D62-4AC4-BC7A-1364B799C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12</Pages>
  <Words>2810</Words>
  <Characters>16161</Characters>
  <Application>Microsoft Office Word</Application>
  <DocSecurity>0</DocSecurity>
  <Lines>343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37</cp:revision>
  <dcterms:created xsi:type="dcterms:W3CDTF">2026-05-21T11:00:00Z</dcterms:created>
  <dcterms:modified xsi:type="dcterms:W3CDTF">2026-05-31T05:08:00Z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