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52425">
      <w:r>
        <w:rPr>
          <w:b/>
        </w:rPr>
        <w:t>TITLE:</w:t>
      </w:r>
      <w:r>
        <w:t xml:space="preserve"> </w:t>
      </w:r>
    </w:p>
    <w:p w14:paraId="25652426">
      <w:r>
        <w:rPr>
          <w:lang w:eastAsia="zh-CN"/>
        </w:rPr>
        <w:t xml:space="preserve">Site-Specific Lysine Lactylation via Genetic Code Expansion in </w:t>
      </w:r>
      <w:r>
        <w:rPr>
          <w:i/>
          <w:iCs/>
          <w:lang w:eastAsia="zh-CN"/>
        </w:rPr>
        <w:t xml:space="preserve">E. coli </w:t>
      </w:r>
      <w:r>
        <w:rPr>
          <w:lang w:eastAsia="zh-CN"/>
        </w:rPr>
        <w:t>and Mammalian Cells</w:t>
      </w:r>
    </w:p>
    <w:p w14:paraId="25652427">
      <w:pPr>
        <w:rPr>
          <w:b/>
        </w:rPr>
      </w:pPr>
    </w:p>
    <w:p w14:paraId="25652428">
      <w:r>
        <w:rPr>
          <w:b/>
        </w:rPr>
        <w:t xml:space="preserve">AUTHORS AND AFFILIATIONS: </w:t>
      </w:r>
    </w:p>
    <w:p w14:paraId="25652429">
      <w:pPr>
        <w:rPr>
          <w:rFonts w:eastAsia="宋体"/>
          <w:vertAlign w:val="superscript"/>
          <w:lang w:eastAsia="zh-CN"/>
        </w:rPr>
      </w:pPr>
      <w:r>
        <w:rPr>
          <w:rFonts w:eastAsia="宋体"/>
          <w:lang w:eastAsia="zh-CN"/>
        </w:rPr>
        <w:t>Shihan Wu, Yinxun Lu, Shunyu Yao, Nanxi Wang</w:t>
      </w:r>
    </w:p>
    <w:p w14:paraId="5F74986C">
      <w:pPr>
        <w:rPr>
          <w:rFonts w:eastAsia="宋体"/>
          <w:vertAlign w:val="superscript"/>
          <w:lang w:eastAsia="zh-CN"/>
        </w:rPr>
      </w:pPr>
    </w:p>
    <w:p w14:paraId="2565242A">
      <w:pPr>
        <w:rPr>
          <w:rFonts w:eastAsia="宋体"/>
          <w:lang w:eastAsia="zh-CN"/>
        </w:rPr>
      </w:pPr>
      <w:r>
        <w:rPr>
          <w:rFonts w:eastAsia="宋体"/>
          <w:lang w:eastAsia="zh-CN"/>
        </w:rPr>
        <w:t>Synthetic Biology Center for Chinese Medicine, Department of Pharmacy, Nanjing University of Chinese Medicine, Nanjing, China</w:t>
      </w:r>
    </w:p>
    <w:p w14:paraId="301A400C">
      <w:pPr>
        <w:rPr>
          <w:rFonts w:eastAsia="宋体"/>
          <w:lang w:eastAsia="zh-CN"/>
        </w:rPr>
      </w:pPr>
    </w:p>
    <w:p w14:paraId="5CB12B10">
      <w:pPr>
        <w:rPr>
          <w:rFonts w:eastAsia="宋体"/>
          <w:lang w:eastAsia="zh-CN"/>
        </w:rPr>
      </w:pPr>
      <w:r>
        <w:rPr>
          <w:rFonts w:eastAsia="宋体"/>
          <w:lang w:eastAsia="zh-CN"/>
        </w:rPr>
        <w:t>Email addresses of co-authors:</w:t>
      </w:r>
    </w:p>
    <w:p w14:paraId="2565242C">
      <w:pPr>
        <w:rPr>
          <w:rFonts w:eastAsia="宋体"/>
          <w:lang w:eastAsia="zh-CN"/>
        </w:rPr>
      </w:pPr>
      <w:r>
        <w:rPr>
          <w:rFonts w:eastAsia="宋体"/>
          <w:lang w:eastAsia="zh-CN"/>
        </w:rPr>
        <w:t>Shihan Wu</w:t>
      </w:r>
      <w:r>
        <w:rPr>
          <w:rFonts w:eastAsia="宋体"/>
          <w:lang w:eastAsia="zh-CN"/>
        </w:rPr>
        <w:tab/>
      </w:r>
      <w:r>
        <w:rPr>
          <w:rFonts w:eastAsia="宋体"/>
          <w:lang w:eastAsia="zh-CN"/>
        </w:rPr>
        <w:tab/>
      </w:r>
      <w:r>
        <w:rPr>
          <w:rFonts w:eastAsia="宋体"/>
          <w:lang w:eastAsia="zh-CN"/>
        </w:rPr>
        <w:t>(hhwushihan@163.com)</w:t>
      </w:r>
    </w:p>
    <w:p w14:paraId="2565242D">
      <w:pPr>
        <w:rPr>
          <w:rFonts w:eastAsia="宋体"/>
          <w:lang w:eastAsia="zh-CN"/>
        </w:rPr>
      </w:pPr>
      <w:r>
        <w:rPr>
          <w:rFonts w:eastAsia="宋体"/>
          <w:lang w:eastAsia="zh-CN"/>
        </w:rPr>
        <w:t>Yinxun Lu</w:t>
      </w:r>
      <w:r>
        <w:rPr>
          <w:rFonts w:eastAsia="宋体"/>
          <w:lang w:eastAsia="zh-CN"/>
        </w:rPr>
        <w:tab/>
      </w:r>
      <w:r>
        <w:rPr>
          <w:rFonts w:eastAsia="宋体"/>
          <w:lang w:eastAsia="zh-CN"/>
        </w:rPr>
        <w:tab/>
      </w:r>
      <w:r>
        <w:rPr>
          <w:rFonts w:eastAsia="宋体"/>
          <w:lang w:eastAsia="zh-CN"/>
        </w:rPr>
        <w:t>(20230783@njucm.edu.cn)</w:t>
      </w:r>
    </w:p>
    <w:p w14:paraId="2565242E">
      <w:pPr>
        <w:rPr>
          <w:rFonts w:eastAsia="宋体"/>
          <w:lang w:eastAsia="zh-CN"/>
        </w:rPr>
      </w:pPr>
      <w:r>
        <w:rPr>
          <w:rFonts w:eastAsia="宋体"/>
          <w:lang w:eastAsia="zh-CN"/>
        </w:rPr>
        <w:t>Shunyu Yao</w:t>
      </w:r>
      <w:r>
        <w:rPr>
          <w:rFonts w:eastAsia="宋体"/>
          <w:lang w:eastAsia="zh-CN"/>
        </w:rPr>
        <w:tab/>
      </w:r>
      <w:r>
        <w:rPr>
          <w:rFonts w:eastAsia="宋体"/>
          <w:lang w:eastAsia="zh-CN"/>
        </w:rPr>
        <w:tab/>
      </w:r>
      <w:r>
        <w:rPr>
          <w:rFonts w:eastAsia="宋体"/>
          <w:lang w:eastAsia="zh-CN"/>
        </w:rPr>
        <w:t>(042024302@njucm.edu.cn)</w:t>
      </w:r>
    </w:p>
    <w:p w14:paraId="4A521001">
      <w:pPr>
        <w:rPr>
          <w:rFonts w:eastAsia="宋体"/>
          <w:lang w:eastAsia="zh-CN"/>
        </w:rPr>
      </w:pPr>
    </w:p>
    <w:p w14:paraId="7316E1C1">
      <w:pPr>
        <w:rPr>
          <w:rFonts w:eastAsia="宋体"/>
          <w:lang w:eastAsia="zh-CN"/>
        </w:rPr>
      </w:pPr>
      <w:r>
        <w:rPr>
          <w:rFonts w:eastAsia="宋体"/>
          <w:lang w:eastAsia="zh-CN"/>
        </w:rPr>
        <w:t>Corresponding author:</w:t>
      </w:r>
    </w:p>
    <w:p w14:paraId="1350DD3F">
      <w:pPr>
        <w:rPr>
          <w:rFonts w:eastAsia="宋体"/>
          <w:lang w:eastAsia="zh-CN"/>
        </w:rPr>
      </w:pPr>
      <w:r>
        <w:rPr>
          <w:rFonts w:eastAsia="宋体"/>
          <w:lang w:eastAsia="zh-CN"/>
        </w:rPr>
        <w:t>Nanxi Wang</w:t>
      </w:r>
      <w:r>
        <w:rPr>
          <w:rFonts w:eastAsia="宋体"/>
          <w:lang w:eastAsia="zh-CN"/>
        </w:rPr>
        <w:tab/>
      </w:r>
      <w:r>
        <w:rPr>
          <w:rFonts w:eastAsia="宋体"/>
          <w:lang w:eastAsia="zh-CN"/>
        </w:rPr>
        <w:tab/>
      </w:r>
      <w:r>
        <w:rPr>
          <w:rFonts w:eastAsia="宋体"/>
          <w:lang w:eastAsia="zh-CN"/>
        </w:rPr>
        <w:t>(nanxi.wang@njucm.edu.cn)</w:t>
      </w:r>
    </w:p>
    <w:p w14:paraId="2565242F">
      <w:pPr>
        <w:rPr>
          <w:rFonts w:eastAsia="宋体"/>
          <w:lang w:eastAsia="zh-CN"/>
        </w:rPr>
      </w:pPr>
    </w:p>
    <w:p w14:paraId="25652430">
      <w:r>
        <w:rPr>
          <w:b/>
        </w:rPr>
        <w:t>SUMMARY:</w:t>
      </w:r>
      <w:r>
        <w:t xml:space="preserve"> </w:t>
      </w:r>
    </w:p>
    <w:p w14:paraId="25652431">
      <w:pPr>
        <w:rPr>
          <w:lang w:eastAsia="zh-CN"/>
        </w:rPr>
      </w:pPr>
      <w:r>
        <w:rPr>
          <w:lang w:eastAsia="zh-CN"/>
        </w:rPr>
        <w:t>This study established a method that utilizes genetic code expansion to successfully incorporate lactyl-lysine</w:t>
      </w:r>
      <w:r>
        <w:t xml:space="preserve"> (Klac)</w:t>
      </w:r>
      <w:r>
        <w:rPr>
          <w:lang w:eastAsia="zh-CN"/>
        </w:rPr>
        <w:t xml:space="preserve"> at specific sites of the human enolase-1 (hENO1) and </w:t>
      </w:r>
      <w:r>
        <w:t xml:space="preserve">superfolder GFP </w:t>
      </w:r>
      <w:r>
        <w:rPr>
          <w:lang w:eastAsia="zh-CN"/>
        </w:rPr>
        <w:t xml:space="preserve">(sfGFP) in </w:t>
      </w:r>
      <w:r>
        <w:rPr>
          <w:i/>
          <w:lang w:eastAsia="zh-CN"/>
        </w:rPr>
        <w:t>Escherichia coli</w:t>
      </w:r>
      <w:r>
        <w:rPr>
          <w:lang w:eastAsia="zh-CN"/>
        </w:rPr>
        <w:t xml:space="preserve"> and mammalian cells.</w:t>
      </w:r>
    </w:p>
    <w:p w14:paraId="25652432"/>
    <w:p w14:paraId="25652433">
      <w:r>
        <w:rPr>
          <w:b/>
        </w:rPr>
        <w:t>ABSTRACT:</w:t>
      </w:r>
      <w:r>
        <w:t xml:space="preserve"> </w:t>
      </w:r>
    </w:p>
    <w:p w14:paraId="25652434">
      <w:r>
        <w:t>Lactylation is a recently discovered post-translational modification (PTM) with diverse biological functions. Since its initial identification in 2019 as a regulator of macrophage polarization, histone lactylation has emerged as a pivotal link connecting cellular metabolism to functional regulation. Biochemically, it involves the covalent transfer of a lactyl group to lysine residues, mediated either by lactyltransferases using lactyl-CoA as the acyl donor or by aminoacyl-tRNA synthetases (AARSs) via a lactyl-AMP intermediate. Through these mechanisms, intracellular lactate levels are directly coupled with protein modification and function.</w:t>
      </w:r>
      <w:r>
        <w:rPr>
          <w:rFonts w:eastAsia="宋体"/>
          <w:lang w:eastAsia="zh-CN"/>
        </w:rPr>
        <w:t xml:space="preserve"> Lactylation</w:t>
      </w:r>
      <w:r>
        <w:t xml:space="preserve"> mediates a range of critical </w:t>
      </w:r>
      <w:r>
        <w:rPr>
          <w:rFonts w:eastAsia="宋体"/>
          <w:lang w:eastAsia="zh-CN"/>
        </w:rPr>
        <w:t xml:space="preserve">cellular </w:t>
      </w:r>
      <w:r>
        <w:t>processes, from physiological functions such as gene regulation, DNA repair, metabolic reprogramming</w:t>
      </w:r>
      <w:r>
        <w:rPr>
          <w:rFonts w:eastAsia="宋体"/>
          <w:lang w:eastAsia="zh-CN"/>
        </w:rPr>
        <w:t>,</w:t>
      </w:r>
      <w:r>
        <w:t xml:space="preserve"> </w:t>
      </w:r>
      <w:r>
        <w:rPr>
          <w:rFonts w:eastAsia="宋体"/>
          <w:lang w:eastAsia="zh-CN"/>
        </w:rPr>
        <w:t xml:space="preserve">and </w:t>
      </w:r>
      <w:r>
        <w:t>immune modulation</w:t>
      </w:r>
      <w:r>
        <w:rPr>
          <w:rFonts w:eastAsia="宋体"/>
          <w:lang w:eastAsia="zh-CN"/>
        </w:rPr>
        <w:t xml:space="preserve"> to pathological processes such as tumor progression and metastasis. </w:t>
      </w:r>
      <w:r>
        <w:t xml:space="preserve">Despite the identification of numerous lactylation sites by proteomics, achieving site-specific lysine lactylation through mutagenesis remains challenging. To address this, we employ genetic code expansion technology, using a lactyl-lysine-specific aminoacyl-tRNA synthetase (KlacRS) and its cognate </w:t>
      </w:r>
      <w:r>
        <w:rPr>
          <w:rFonts w:eastAsiaTheme="minorEastAsia"/>
          <w:lang w:eastAsia="zh-CN"/>
        </w:rPr>
        <w:t>tRNA</w:t>
      </w:r>
      <w:r>
        <w:t xml:space="preserve"> to precisely incorporate </w:t>
      </w:r>
      <w:r>
        <w:rPr>
          <w:lang w:eastAsia="zh-CN"/>
        </w:rPr>
        <w:t>lactyl-lysine</w:t>
      </w:r>
      <w:r>
        <w:t xml:space="preserve"> (Klac) at designated residues. This strategy enables the generation of homogeneously lactylated protein variants for direct functional studies. Here, we describe a streamlined protocol for site-specific protein lactylation, validated in both </w:t>
      </w:r>
      <w:r>
        <w:rPr>
          <w:i/>
          <w:iCs/>
        </w:rPr>
        <w:t>Escherichia coli</w:t>
      </w:r>
      <w:r>
        <w:rPr>
          <w:rFonts w:eastAsia="宋体"/>
          <w:i/>
          <w:iCs/>
          <w:lang w:eastAsia="zh-CN"/>
        </w:rPr>
        <w:t xml:space="preserve"> </w:t>
      </w:r>
      <w:r>
        <w:rPr>
          <w:rFonts w:eastAsia="宋体"/>
          <w:lang w:eastAsia="zh-CN"/>
        </w:rPr>
        <w:t>(</w:t>
      </w:r>
      <w:r>
        <w:rPr>
          <w:rFonts w:eastAsia="宋体"/>
          <w:i/>
          <w:iCs/>
          <w:lang w:eastAsia="zh-CN"/>
        </w:rPr>
        <w:t>E. coli</w:t>
      </w:r>
      <w:r>
        <w:rPr>
          <w:rFonts w:eastAsia="宋体"/>
          <w:lang w:eastAsia="zh-CN"/>
        </w:rPr>
        <w:t>)</w:t>
      </w:r>
      <w:r>
        <w:t xml:space="preserve"> and mammalian cells, using human enolase-1 (hENO1) and superfolder GFP (</w:t>
      </w:r>
      <w:r>
        <w:rPr>
          <w:rFonts w:eastAsia="宋体"/>
          <w:lang w:eastAsia="zh-CN"/>
        </w:rPr>
        <w:t>sf</w:t>
      </w:r>
      <w:r>
        <w:t>GFP) as model systems.</w:t>
      </w:r>
    </w:p>
    <w:p w14:paraId="25652435"/>
    <w:p w14:paraId="25652436">
      <w:r>
        <w:rPr>
          <w:b/>
        </w:rPr>
        <w:t>INTRODUCTION:</w:t>
      </w:r>
      <w:r>
        <w:t xml:space="preserve"> </w:t>
      </w:r>
    </w:p>
    <w:p w14:paraId="25652437">
      <w:pPr>
        <w:rPr>
          <w:rFonts w:eastAsia="宋体"/>
          <w:bCs/>
          <w:lang w:eastAsia="zh-CN"/>
        </w:rPr>
      </w:pPr>
      <w:r>
        <w:rPr>
          <w:bCs/>
        </w:rPr>
        <w:t>Lysine lactylation (Klac), originally identified on histones, has emerged as a key node linking aberrant tumor metabolism and epigenetic regulation</w:t>
      </w:r>
      <w:r>
        <w:rPr>
          <w:bCs/>
          <w:vertAlign w:val="superscript"/>
        </w:rPr>
        <w:t>1</w:t>
      </w:r>
      <w:r>
        <w:rPr>
          <w:bCs/>
        </w:rPr>
        <w:t>. The accumulation of lactate resulting from enhanced aerobic glycolysis in tumor cells provides a metabolic basis for lactylation, enabling lactate to act not merely as a metabolic byproduct but as a signaling molecule that directly modulates protein function.</w:t>
      </w:r>
      <w:r>
        <w:rPr>
          <w:rFonts w:eastAsia="宋体"/>
          <w:bCs/>
          <w:lang w:eastAsia="zh-CN"/>
        </w:rPr>
        <w:t xml:space="preserve"> Increasing</w:t>
      </w:r>
      <w:r>
        <w:rPr>
          <w:bCs/>
        </w:rPr>
        <w:t xml:space="preserve"> evidence indicates that lactylation broadly participates in tumor initiation and progression by coordinating cancer cell proliferation</w:t>
      </w:r>
      <w:r>
        <w:rPr>
          <w:bCs/>
          <w:vertAlign w:val="superscript"/>
        </w:rPr>
        <w:t>2–5</w:t>
      </w:r>
      <w:r>
        <w:rPr>
          <w:bCs/>
        </w:rPr>
        <w:t>, metastasis</w:t>
      </w:r>
      <w:r>
        <w:rPr>
          <w:bCs/>
          <w:vertAlign w:val="superscript"/>
        </w:rPr>
        <w:t>6</w:t>
      </w:r>
      <w:r>
        <w:rPr>
          <w:bCs/>
        </w:rPr>
        <w:t>, metabolic reprogramming</w:t>
      </w:r>
      <w:r>
        <w:rPr>
          <w:bCs/>
          <w:vertAlign w:val="superscript"/>
        </w:rPr>
        <w:t>7</w:t>
      </w:r>
      <w:r>
        <w:rPr>
          <w:rFonts w:eastAsia="宋体"/>
          <w:bCs/>
          <w:lang w:val="en-IN" w:eastAsia="zh-CN"/>
        </w:rPr>
        <w:t xml:space="preserve">, </w:t>
      </w:r>
      <w:r>
        <w:rPr>
          <w:rFonts w:eastAsia="宋体"/>
          <w:bCs/>
          <w:lang w:eastAsia="zh-CN"/>
        </w:rPr>
        <w:t xml:space="preserve">and </w:t>
      </w:r>
      <w:r>
        <w:rPr>
          <w:bCs/>
        </w:rPr>
        <w:t>therapeutic resistance</w:t>
      </w:r>
      <w:r>
        <w:rPr>
          <w:bCs/>
          <w:vertAlign w:val="superscript"/>
        </w:rPr>
        <w:t>8,9</w:t>
      </w:r>
      <w:r>
        <w:rPr>
          <w:bCs/>
        </w:rPr>
        <w:t>.</w:t>
      </w:r>
      <w:r>
        <w:rPr>
          <w:rFonts w:eastAsia="宋体"/>
          <w:bCs/>
          <w:lang w:eastAsia="zh-CN"/>
        </w:rPr>
        <w:t xml:space="preserve"> </w:t>
      </w:r>
    </w:p>
    <w:p w14:paraId="25652438">
      <w:pPr>
        <w:rPr>
          <w:rFonts w:eastAsia="宋体"/>
          <w:bCs/>
          <w:lang w:eastAsia="zh-CN"/>
        </w:rPr>
      </w:pPr>
    </w:p>
    <w:p w14:paraId="25652439">
      <w:pPr>
        <w:rPr>
          <w:bCs/>
        </w:rPr>
      </w:pPr>
      <w:r>
        <w:rPr>
          <w:rFonts w:eastAsia="宋体"/>
          <w:bCs/>
          <w:lang w:eastAsia="zh-CN"/>
        </w:rPr>
        <w:t>At the phenotypic level, elevated lactylation is closely associated with enhanced tumor aggressiveness. For example, i</w:t>
      </w:r>
      <w:r>
        <w:rPr>
          <w:bCs/>
        </w:rPr>
        <w:t>n clear cell renal cell carcinoma (ccRCC), H3K18 lactylation promotes proliferation and metastasis by upregulating platelet-derived growth factor receptor β (PDGFRβ), establishing a positive feedback loop</w:t>
      </w:r>
      <w:r>
        <w:rPr>
          <w:rFonts w:eastAsia="宋体"/>
          <w:bCs/>
          <w:lang w:eastAsia="zh-CN"/>
        </w:rPr>
        <w:t xml:space="preserve"> between lactate accumulation and oncogenic signaling</w:t>
      </w:r>
      <w:r>
        <w:rPr>
          <w:bCs/>
          <w:vertAlign w:val="superscript"/>
        </w:rPr>
        <w:t>10</w:t>
      </w:r>
      <w:r>
        <w:rPr>
          <w:bCs/>
        </w:rPr>
        <w:t xml:space="preserve">. </w:t>
      </w:r>
      <w:r>
        <w:rPr>
          <w:rFonts w:eastAsia="宋体"/>
          <w:bCs/>
          <w:lang w:eastAsia="zh-CN"/>
        </w:rPr>
        <w:t>Similarly, i</w:t>
      </w:r>
      <w:r>
        <w:rPr>
          <w:bCs/>
        </w:rPr>
        <w:t xml:space="preserve">n colorectal cancer (CRC), elevated H3K18 lactylation drives </w:t>
      </w:r>
      <w:r>
        <w:rPr>
          <w:rFonts w:eastAsia="宋体"/>
          <w:bCs/>
          <w:lang w:eastAsia="zh-CN"/>
        </w:rPr>
        <w:t xml:space="preserve">tumor </w:t>
      </w:r>
      <w:r>
        <w:rPr>
          <w:bCs/>
        </w:rPr>
        <w:t>progression via enhanced transcription of Rubicon-like autophagy enhancer (RUBCNL), thereby promoting autophagosome maturation</w:t>
      </w:r>
      <w:r>
        <w:rPr>
          <w:rFonts w:eastAsia="宋体"/>
          <w:bCs/>
          <w:lang w:eastAsia="zh-CN"/>
        </w:rPr>
        <w:t xml:space="preserve"> and supporting cancer cell survival</w:t>
      </w:r>
      <w:r>
        <w:rPr>
          <w:bCs/>
          <w:vertAlign w:val="superscript"/>
        </w:rPr>
        <w:t>11</w:t>
      </w:r>
      <w:r>
        <w:rPr>
          <w:bCs/>
        </w:rPr>
        <w:t>.</w:t>
      </w:r>
    </w:p>
    <w:p w14:paraId="2565243A">
      <w:pPr>
        <w:rPr>
          <w:bCs/>
        </w:rPr>
      </w:pPr>
    </w:p>
    <w:p w14:paraId="2565243B">
      <w:pPr>
        <w:rPr>
          <w:bCs/>
        </w:rPr>
      </w:pPr>
      <w:r>
        <w:rPr>
          <w:bCs/>
        </w:rPr>
        <w:t>Beyond direct effects on tumor aggressiveness,</w:t>
      </w:r>
      <w:r>
        <w:rPr>
          <w:rFonts w:eastAsia="宋体"/>
          <w:bCs/>
          <w:lang w:eastAsia="zh-CN"/>
        </w:rPr>
        <w:t xml:space="preserve"> l</w:t>
      </w:r>
      <w:r>
        <w:rPr>
          <w:bCs/>
        </w:rPr>
        <w:t xml:space="preserve">actylation also mediates tumor metabolic reprogramming by modulating the expression </w:t>
      </w:r>
      <w:r>
        <w:rPr>
          <w:rFonts w:eastAsia="宋体"/>
          <w:bCs/>
          <w:lang w:eastAsia="zh-CN"/>
        </w:rPr>
        <w:t xml:space="preserve">and activity </w:t>
      </w:r>
      <w:r>
        <w:rPr>
          <w:bCs/>
        </w:rPr>
        <w:t>of metabolism-related genes</w:t>
      </w:r>
      <w:r>
        <w:rPr>
          <w:rFonts w:eastAsia="宋体"/>
          <w:bCs/>
          <w:vertAlign w:val="superscript"/>
          <w:lang w:eastAsia="zh-CN"/>
        </w:rPr>
        <w:t>7</w:t>
      </w:r>
      <w:r>
        <w:rPr>
          <w:bCs/>
        </w:rPr>
        <w:t>. In non-small cell lung cancer (NSCLC), histone lactylation downregulates glycolysis-related enzymes while upregulating tricarboxylic acid (TCA) cycle enzymes, enhancing tumor cell glucose uptake and exacerbating metabolic dysregulation</w:t>
      </w:r>
      <w:r>
        <w:rPr>
          <w:bCs/>
          <w:vertAlign w:val="superscript"/>
        </w:rPr>
        <w:t>12</w:t>
      </w:r>
      <w:r>
        <w:rPr>
          <w:bCs/>
        </w:rPr>
        <w:t xml:space="preserve">. </w:t>
      </w:r>
      <w:r>
        <w:rPr>
          <w:rFonts w:eastAsia="宋体"/>
          <w:bCs/>
          <w:lang w:eastAsia="zh-CN"/>
        </w:rPr>
        <w:t>Consistently, g</w:t>
      </w:r>
      <w:r>
        <w:rPr>
          <w:bCs/>
        </w:rPr>
        <w:t xml:space="preserve">lobal lactylome </w:t>
      </w:r>
      <w:r>
        <w:rPr>
          <w:rFonts w:eastAsia="宋体"/>
          <w:bCs/>
          <w:lang w:eastAsia="zh-CN"/>
        </w:rPr>
        <w:t>profiling</w:t>
      </w:r>
      <w:r>
        <w:rPr>
          <w:bCs/>
        </w:rPr>
        <w:t xml:space="preserve"> reveals that lactylation preferentially targets enzymes involved in central metabolic pathways</w:t>
      </w:r>
      <w:r>
        <w:rPr>
          <w:rFonts w:eastAsia="宋体"/>
          <w:bCs/>
          <w:lang w:eastAsia="zh-CN"/>
        </w:rPr>
        <w:t xml:space="preserve">, </w:t>
      </w:r>
      <w:r>
        <w:rPr>
          <w:bCs/>
        </w:rPr>
        <w:t xml:space="preserve">including glucose metabolism, TCA cycle, amino acid/fatty acid metabolism, </w:t>
      </w:r>
      <w:r>
        <w:rPr>
          <w:rFonts w:eastAsia="宋体"/>
          <w:bCs/>
          <w:lang w:eastAsia="zh-CN"/>
        </w:rPr>
        <w:t xml:space="preserve">and these modifications </w:t>
      </w:r>
      <w:r>
        <w:rPr>
          <w:bCs/>
        </w:rPr>
        <w:t>correlat</w:t>
      </w:r>
      <w:r>
        <w:rPr>
          <w:rFonts w:eastAsia="宋体"/>
          <w:bCs/>
          <w:lang w:eastAsia="zh-CN"/>
        </w:rPr>
        <w:t xml:space="preserve">e strongly </w:t>
      </w:r>
      <w:r>
        <w:rPr>
          <w:bCs/>
        </w:rPr>
        <w:t>with aggressive tumor phenotypes</w:t>
      </w:r>
      <w:r>
        <w:rPr>
          <w:rFonts w:eastAsia="宋体"/>
          <w:bCs/>
          <w:vertAlign w:val="superscript"/>
          <w:lang w:eastAsia="zh-CN"/>
        </w:rPr>
        <w:t>7</w:t>
      </w:r>
      <w:r>
        <w:rPr>
          <w:bCs/>
        </w:rPr>
        <w:t>.</w:t>
      </w:r>
    </w:p>
    <w:p w14:paraId="2565243C">
      <w:pPr>
        <w:rPr>
          <w:bCs/>
        </w:rPr>
      </w:pPr>
    </w:p>
    <w:p w14:paraId="2565243D">
      <w:pPr>
        <w:rPr>
          <w:bCs/>
        </w:rPr>
      </w:pPr>
      <w:r>
        <w:rPr>
          <w:bCs/>
        </w:rPr>
        <w:t xml:space="preserve">Importantly, the biological consequences of lactylation are highly site-dependent, and this modification has emerged as a key determinant of tumor therapeutic resistance. </w:t>
      </w:r>
      <w:r>
        <w:rPr>
          <w:rFonts w:eastAsia="宋体"/>
          <w:bCs/>
          <w:lang w:eastAsia="zh-CN"/>
        </w:rPr>
        <w:t>In CRC</w:t>
      </w:r>
      <w:r>
        <w:rPr>
          <w:bCs/>
        </w:rPr>
        <w:t xml:space="preserve">, K673 lactylation of meiotic recombination 11 (MRE11) enhances homologous recombination (HR) repair, </w:t>
      </w:r>
      <w:r>
        <w:rPr>
          <w:rFonts w:eastAsia="宋体"/>
          <w:bCs/>
          <w:lang w:eastAsia="zh-CN"/>
        </w:rPr>
        <w:t>thereby conferring resistance to chemotherapy and poly(ADP-ribose) polymerase (PARP) inhibitors</w:t>
      </w:r>
      <w:r>
        <w:rPr>
          <w:bCs/>
          <w:vertAlign w:val="superscript"/>
        </w:rPr>
        <w:t>1</w:t>
      </w:r>
      <w:r>
        <w:rPr>
          <w:rFonts w:eastAsia="宋体"/>
          <w:bCs/>
          <w:vertAlign w:val="superscript"/>
          <w:lang w:eastAsia="zh-CN"/>
        </w:rPr>
        <w:t>3</w:t>
      </w:r>
      <w:r>
        <w:rPr>
          <w:bCs/>
        </w:rPr>
        <w:t xml:space="preserve">. </w:t>
      </w:r>
      <w:r>
        <w:rPr>
          <w:rFonts w:eastAsia="宋体"/>
          <w:bCs/>
          <w:lang w:eastAsia="zh-CN"/>
        </w:rPr>
        <w:t>I</w:t>
      </w:r>
      <w:r>
        <w:rPr>
          <w:bCs/>
        </w:rPr>
        <w:t>n glioblastoma (GBM)</w:t>
      </w:r>
      <w:r>
        <w:rPr>
          <w:rFonts w:eastAsia="宋体"/>
          <w:bCs/>
          <w:lang w:eastAsia="zh-CN"/>
        </w:rPr>
        <w:t xml:space="preserve">, </w:t>
      </w:r>
      <w:r>
        <w:rPr>
          <w:bCs/>
        </w:rPr>
        <w:t>interaction between aldehyde dehydrogenase 1 family member A3 (ALDH1A3) and pyruvate kinase M2 (PKM2) elevates lactate production, subsequently inducing K247 lactylation of X-ray repair cross-complementing protein 1 (XRCC1) to enhance DNA damage repair, thereby driving radioresistance and temozolomide (TMZ) chemoresistance</w:t>
      </w:r>
      <w:r>
        <w:rPr>
          <w:bCs/>
          <w:vertAlign w:val="superscript"/>
        </w:rPr>
        <w:t>14</w:t>
      </w:r>
      <w:r>
        <w:rPr>
          <w:bCs/>
        </w:rPr>
        <w:t>. These studies collectively highlight that precise control of lactylation at defined lysine residues is essential for mechanistic dissection and therapeutic targeting.</w:t>
      </w:r>
    </w:p>
    <w:p w14:paraId="2565243E">
      <w:pPr>
        <w:rPr>
          <w:bCs/>
        </w:rPr>
      </w:pPr>
    </w:p>
    <w:p w14:paraId="2565243F">
      <w:pPr>
        <w:rPr>
          <w:bCs/>
        </w:rPr>
      </w:pPr>
      <w:r>
        <w:rPr>
          <w:bCs/>
        </w:rPr>
        <w:t>Advances in high-resolution mass spectrometry have revealed widespread lactylation across metabolic enzymes, transcription factors, and signaling transducers, underlining its broad role in controlling metabolism, signal transduction, and cellular physiology</w:t>
      </w:r>
      <w:r>
        <w:rPr>
          <w:bCs/>
          <w:vertAlign w:val="superscript"/>
        </w:rPr>
        <w:t>15–18</w:t>
      </w:r>
      <w:r>
        <w:rPr>
          <w:bCs/>
        </w:rPr>
        <w:t>. To date, several writer enzymes catalyzing lactylation have been reported — for example, AARS1 mediates p53 lactylation to promote tumourigenesis</w:t>
      </w:r>
      <w:r>
        <w:rPr>
          <w:bCs/>
          <w:vertAlign w:val="superscript"/>
        </w:rPr>
        <w:t>1</w:t>
      </w:r>
      <w:r>
        <w:rPr>
          <w:rFonts w:eastAsia="宋体"/>
          <w:bCs/>
          <w:vertAlign w:val="superscript"/>
          <w:lang w:eastAsia="zh-CN"/>
        </w:rPr>
        <w:t>9</w:t>
      </w:r>
      <w:r>
        <w:rPr>
          <w:bCs/>
        </w:rPr>
        <w:t>, and AARS1/2 regulate cGAS lactylation to suppress innate immunity — yet these enzymes are substrate-selective and currently cannot achieve fully site-specific lactylation on arbitrary proteins</w:t>
      </w:r>
      <w:r>
        <w:rPr>
          <w:rFonts w:eastAsia="宋体"/>
          <w:bCs/>
          <w:vertAlign w:val="superscript"/>
          <w:lang w:eastAsia="zh-CN"/>
        </w:rPr>
        <w:t>20</w:t>
      </w:r>
      <w:r>
        <w:rPr>
          <w:bCs/>
        </w:rPr>
        <w:t>. Thus, the field remains challenged by how to manipulate Kla</w:t>
      </w:r>
      <w:r>
        <w:rPr>
          <w:rFonts w:eastAsia="宋体"/>
          <w:bCs/>
          <w:lang w:eastAsia="zh-CN"/>
        </w:rPr>
        <w:t>c</w:t>
      </w:r>
      <w:r>
        <w:rPr>
          <w:bCs/>
        </w:rPr>
        <w:t xml:space="preserve"> in a directed manner for research or therapeutic purposes.</w:t>
      </w:r>
    </w:p>
    <w:p w14:paraId="25652440">
      <w:pPr>
        <w:rPr>
          <w:bCs/>
        </w:rPr>
      </w:pPr>
    </w:p>
    <w:p w14:paraId="25652441">
      <w:pPr>
        <w:rPr>
          <w:bCs/>
          <w:highlight w:val="green"/>
        </w:rPr>
      </w:pPr>
      <w:r>
        <w:rPr>
          <w:bCs/>
        </w:rPr>
        <w:t>Functional studies still predominantly rely on site-directed mutagenesis—typically substituting a lysine (K) with glutamine (Q) to mimic the uncharged state of acyl-lysine modifications such as acetylation or lactylation</w:t>
      </w:r>
      <w:r>
        <w:rPr>
          <w:bCs/>
          <w:vertAlign w:val="superscript"/>
        </w:rPr>
        <w:t>21–24</w:t>
      </w:r>
      <w:r>
        <w:rPr>
          <w:bCs/>
        </w:rPr>
        <w:t>. However, this approach has significant limitations in faithfully recapitulating native lactylation: the chemical structure and side-chain geometry of glutamine differ from those of a lactylated lysine, and importantly, a K</w:t>
      </w:r>
      <w:r>
        <w:rPr>
          <w:rFonts w:eastAsia="宋体"/>
          <w:bCs/>
          <w:lang w:eastAsia="zh-CN"/>
        </w:rPr>
        <w:t xml:space="preserve"> to </w:t>
      </w:r>
      <w:r>
        <w:rPr>
          <w:bCs/>
        </w:rPr>
        <w:t xml:space="preserve">Q substitution cannot distinguish between acetylated and lactylated states </w:t>
      </w:r>
      <w:r>
        <w:rPr>
          <w:bCs/>
          <w:highlight w:val="green"/>
        </w:rPr>
        <w:t>when both modifications might occur at the same site.</w:t>
      </w:r>
    </w:p>
    <w:p w14:paraId="25652442">
      <w:pPr>
        <w:rPr>
          <w:bCs/>
        </w:rPr>
      </w:pPr>
    </w:p>
    <w:p w14:paraId="25652443">
      <w:pPr>
        <w:rPr>
          <w:rFonts w:eastAsia="宋体"/>
          <w:bCs/>
          <w:lang w:eastAsia="zh-CN"/>
        </w:rPr>
      </w:pPr>
      <w:r>
        <w:rPr>
          <w:bCs/>
        </w:rPr>
        <w:t xml:space="preserve">Genetic code expansion (GCE) provides a powerful solution to these limitations by enabling the direct incorporation of noncanonical amino acids into proteins at defined sites. Through </w:t>
      </w:r>
      <w:r>
        <w:rPr>
          <w:rFonts w:eastAsia="宋体"/>
          <w:bCs/>
          <w:lang w:eastAsia="zh-CN"/>
        </w:rPr>
        <w:t>positive</w:t>
      </w:r>
      <w:r>
        <w:rPr>
          <w:bCs/>
        </w:rPr>
        <w:t xml:space="preserve"> screening of a </w:t>
      </w:r>
      <w:r>
        <w:rPr>
          <w:bCs/>
          <w:i/>
          <w:iCs/>
        </w:rPr>
        <w:t>Methanosarcina mazei</w:t>
      </w:r>
      <w:r>
        <w:rPr>
          <w:bCs/>
        </w:rPr>
        <w:t xml:space="preserve"> pyrrolysyl-tRNA synthetase (</w:t>
      </w:r>
      <w:r>
        <w:rPr>
          <w:bCs/>
          <w:i/>
          <w:iCs/>
        </w:rPr>
        <w:t>Mm</w:t>
      </w:r>
      <w:r>
        <w:rPr>
          <w:bCs/>
        </w:rPr>
        <w:t>PylRS) mutant library, we previously identified a variant exhibiting Klac-dependent growth.</w:t>
      </w:r>
      <w:r>
        <w:rPr>
          <w:rFonts w:eastAsia="宋体"/>
          <w:bCs/>
          <w:lang w:eastAsia="zh-CN"/>
        </w:rPr>
        <w:t xml:space="preserve"> This mutant,</w:t>
      </w:r>
      <w:r>
        <w:rPr>
          <w:bCs/>
        </w:rPr>
        <w:t xml:space="preserve"> harboring mutations L301M, Y306L, L309A, and C348F, was designated KlacRS1</w:t>
      </w:r>
      <w:r>
        <w:rPr>
          <w:bCs/>
          <w:vertAlign w:val="superscript"/>
        </w:rPr>
        <w:t>25,26</w:t>
      </w:r>
      <w:r>
        <w:rPr>
          <w:bCs/>
        </w:rPr>
        <w:t>. KlacRS1</w:t>
      </w:r>
      <w:r>
        <w:rPr>
          <w:rFonts w:eastAsia="宋体"/>
          <w:bCs/>
          <w:lang w:eastAsia="zh-CN"/>
        </w:rPr>
        <w:t xml:space="preserve"> aminoacylates</w:t>
      </w:r>
      <w:r>
        <w:rPr>
          <w:bCs/>
        </w:rPr>
        <w:t xml:space="preserve"> its cognate orthogonal tRNA</w:t>
      </w:r>
      <w:r>
        <w:rPr>
          <w:rFonts w:eastAsia="宋体"/>
          <w:bCs/>
          <w:lang w:eastAsia="zh-CN"/>
        </w:rPr>
        <w:t xml:space="preserve"> with Klac, suppresses the</w:t>
      </w:r>
      <w:r>
        <w:rPr>
          <w:bCs/>
        </w:rPr>
        <w:t xml:space="preserve"> </w:t>
      </w:r>
      <w:r>
        <w:rPr>
          <w:rFonts w:eastAsia="宋体"/>
          <w:bCs/>
          <w:lang w:eastAsia="zh-CN"/>
        </w:rPr>
        <w:t xml:space="preserve">amber </w:t>
      </w:r>
      <w:r>
        <w:rPr>
          <w:bCs/>
        </w:rPr>
        <w:t>stop codon, and enables efficient, site-specific incorporation of Klac into target proteins.</w:t>
      </w:r>
      <w:r>
        <w:rPr>
          <w:rFonts w:eastAsia="宋体"/>
          <w:bCs/>
          <w:lang w:eastAsia="zh-CN"/>
        </w:rPr>
        <w:t xml:space="preserve"> In addition to</w:t>
      </w:r>
      <w:r>
        <w:rPr>
          <w:bCs/>
        </w:rPr>
        <w:t xml:space="preserve"> KlacRS1, </w:t>
      </w:r>
      <w:r>
        <w:rPr>
          <w:rFonts w:eastAsia="宋体"/>
          <w:bCs/>
          <w:lang w:eastAsia="zh-CN"/>
        </w:rPr>
        <w:t xml:space="preserve">several </w:t>
      </w:r>
      <w:r>
        <w:rPr>
          <w:bCs/>
        </w:rPr>
        <w:t xml:space="preserve">other aaRS variants </w:t>
      </w:r>
      <w:r>
        <w:rPr>
          <w:rFonts w:eastAsia="宋体"/>
          <w:bCs/>
          <w:lang w:eastAsia="zh-CN"/>
        </w:rPr>
        <w:t>capable of</w:t>
      </w:r>
      <w:r>
        <w:rPr>
          <w:bCs/>
        </w:rPr>
        <w:t xml:space="preserve"> Klac incorporation have been reported,</w:t>
      </w:r>
      <w:r>
        <w:rPr>
          <w:lang w:eastAsia="zh-CN"/>
        </w:rPr>
        <w:t xml:space="preserve"> including </w:t>
      </w:r>
      <w:r>
        <w:rPr>
          <w:bCs/>
          <w:i/>
          <w:iCs/>
        </w:rPr>
        <w:t>Mb</w:t>
      </w:r>
      <w:r>
        <w:rPr>
          <w:bCs/>
        </w:rPr>
        <w:t>PylRS</w:t>
      </w:r>
      <w:r>
        <w:rPr>
          <w:rFonts w:eastAsia="宋体"/>
          <w:bCs/>
          <w:lang w:eastAsia="zh-CN"/>
        </w:rPr>
        <w:t>-derived</w:t>
      </w:r>
      <w:r>
        <w:rPr>
          <w:bCs/>
        </w:rPr>
        <w:t xml:space="preserve"> LacKRS (L270I/Y271L/L274A/C313F) and LacKRS3 (Y271M/C313S)</w:t>
      </w:r>
      <w:r>
        <w:rPr>
          <w:rFonts w:eastAsia="宋体"/>
          <w:bCs/>
          <w:vertAlign w:val="superscript"/>
          <w:lang w:eastAsia="zh-CN"/>
        </w:rPr>
        <w:t>19,</w:t>
      </w:r>
      <w:r>
        <w:rPr>
          <w:bCs/>
          <w:vertAlign w:val="superscript"/>
        </w:rPr>
        <w:t>27</w:t>
      </w:r>
      <w:r>
        <w:rPr>
          <w:rFonts w:eastAsia="宋体"/>
          <w:bCs/>
          <w:lang w:eastAsia="zh-CN"/>
        </w:rPr>
        <w:t>,</w:t>
      </w:r>
      <w:r>
        <w:rPr>
          <w:bCs/>
        </w:rPr>
        <w:t xml:space="preserve"> </w:t>
      </w:r>
      <w:r>
        <w:rPr>
          <w:rFonts w:eastAsia="宋体"/>
          <w:bCs/>
          <w:lang w:eastAsia="zh-CN"/>
        </w:rPr>
        <w:t>as well as</w:t>
      </w:r>
      <w:r>
        <w:rPr>
          <w:bCs/>
        </w:rPr>
        <w:t xml:space="preserve"> an </w:t>
      </w:r>
      <w:r>
        <w:rPr>
          <w:bCs/>
          <w:i/>
          <w:iCs/>
        </w:rPr>
        <w:t>Mm</w:t>
      </w:r>
      <w:r>
        <w:rPr>
          <w:bCs/>
        </w:rPr>
        <w:t>PylRS</w:t>
      </w:r>
      <w:r>
        <w:rPr>
          <w:rFonts w:eastAsia="宋体"/>
          <w:bCs/>
          <w:lang w:eastAsia="zh-CN"/>
        </w:rPr>
        <w:t xml:space="preserve">-derived </w:t>
      </w:r>
      <w:r>
        <w:rPr>
          <w:bCs/>
        </w:rPr>
        <w:t>LacKRS (C348T/Y384F)</w:t>
      </w:r>
      <w:r>
        <w:rPr>
          <w:bCs/>
          <w:vertAlign w:val="superscript"/>
        </w:rPr>
        <w:t>28</w:t>
      </w:r>
      <w:r>
        <w:rPr>
          <w:bCs/>
        </w:rPr>
        <w:t>. Together, these tools establish a versatile genetic toolkit for producing</w:t>
      </w:r>
      <w:r>
        <w:rPr>
          <w:rFonts w:eastAsia="宋体"/>
          <w:bCs/>
          <w:lang w:eastAsia="zh-CN"/>
        </w:rPr>
        <w:t xml:space="preserve"> site-specifically lactylated protein variants for understanding the biological consequences of individual lactylation events.</w:t>
      </w:r>
    </w:p>
    <w:p w14:paraId="2E3CC9B8">
      <w:pPr>
        <w:rPr>
          <w:rFonts w:eastAsia="宋体"/>
          <w:bCs/>
          <w:lang w:eastAsia="zh-CN"/>
        </w:rPr>
      </w:pPr>
    </w:p>
    <w:p w14:paraId="25652444">
      <w:pPr>
        <w:pStyle w:val="12"/>
        <w:widowControl/>
        <w:spacing w:beforeAutospacing="0" w:afterAutospacing="0"/>
        <w:jc w:val="both"/>
        <w:rPr>
          <w:rFonts w:cs="Calibri"/>
          <w:bCs/>
        </w:rPr>
      </w:pPr>
      <w:r>
        <w:rPr>
          <w:rFonts w:cs="Calibri"/>
        </w:rPr>
        <w:t xml:space="preserve">In our previous studies, we applied this GCE-based system to express ALDOA proteins bearing site-specific lactylation at Lys147 in both </w:t>
      </w:r>
      <w:r>
        <w:rPr>
          <w:rFonts w:cs="Calibri"/>
          <w:i/>
          <w:iCs/>
        </w:rPr>
        <w:t>E. coli</w:t>
      </w:r>
      <w:r>
        <w:rPr>
          <w:rFonts w:cs="Calibri"/>
        </w:rPr>
        <w:t xml:space="preserve"> and mammalian cells. Functional analyses demonstrated that lactylation at Lys147 exerts a negative feedback effect on glycolysis, enhances the thermal and chemical stability of ALDOA, and promotes its translocation from the cytoplasm to the nucleus. These results not only revealed a previously unrecognized regulatory mechanism of ALDOA but also validated the robustness, versatility, and practical utility of this site-specific lactylation platform</w:t>
      </w:r>
      <w:r>
        <w:rPr>
          <w:rFonts w:cs="Calibri"/>
          <w:vertAlign w:val="superscript"/>
        </w:rPr>
        <w:t>25,26</w:t>
      </w:r>
      <w:r>
        <w:rPr>
          <w:rFonts w:cs="Calibri"/>
        </w:rPr>
        <w:t>.</w:t>
      </w:r>
      <w:r>
        <w:rPr>
          <w:rFonts w:eastAsia="宋体" w:cs="Calibri"/>
        </w:rPr>
        <w:t xml:space="preserve"> Building on this foundation, here we use human enolase-1 (hENO1) and superfolder GFP (sfGFP) as representative examples to describe a streamlined strategy for precise Klac incorporation </w:t>
      </w:r>
      <w:r>
        <w:rPr>
          <w:rFonts w:eastAsia="宋体" w:cs="Calibri"/>
          <w:bCs/>
        </w:rPr>
        <w:t>using our orthogonal KlacRS/</w:t>
      </w:r>
      <w:r>
        <w:rPr>
          <w:rFonts w:cs="Calibri" w:eastAsiaTheme="minorEastAsia"/>
        </w:rPr>
        <w:t>tRNA</w:t>
      </w:r>
      <w:r>
        <w:rPr>
          <w:rFonts w:cs="Calibri"/>
          <w:bCs/>
        </w:rPr>
        <w:t xml:space="preserve"> system.</w:t>
      </w:r>
    </w:p>
    <w:p w14:paraId="25652445">
      <w:pPr>
        <w:rPr>
          <w:bCs/>
        </w:rPr>
      </w:pPr>
    </w:p>
    <w:p w14:paraId="25652446">
      <w:r>
        <w:rPr>
          <w:b/>
        </w:rPr>
        <w:t>PROTOCOL:</w:t>
      </w:r>
      <w:r>
        <w:t xml:space="preserve"> </w:t>
      </w:r>
    </w:p>
    <w:p w14:paraId="00AD58AB"/>
    <w:p w14:paraId="25652447">
      <w:pPr>
        <w:rPr>
          <w:b/>
          <w:bCs/>
          <w:lang w:eastAsia="zh-CN"/>
        </w:rPr>
      </w:pPr>
      <w:r>
        <w:rPr>
          <w:lang w:eastAsia="zh-CN"/>
        </w:rPr>
        <w:t>1</w:t>
      </w:r>
      <w:r>
        <w:rPr>
          <w:b/>
          <w:bCs/>
          <w:lang w:eastAsia="zh-CN"/>
        </w:rPr>
        <w:t>. Amber stop codon mutagenesis for genetic encoding of Lactyllysine into target gene</w:t>
      </w:r>
    </w:p>
    <w:p w14:paraId="5D8EF9DA">
      <w:pPr>
        <w:rPr>
          <w:b/>
          <w:bCs/>
        </w:rPr>
      </w:pPr>
    </w:p>
    <w:p w14:paraId="25652448">
      <w:r>
        <w:t xml:space="preserve">1.1 Introduce a TAG </w:t>
      </w:r>
      <w:r>
        <w:rPr>
          <w:rFonts w:eastAsia="宋体"/>
          <w:lang w:eastAsia="zh-CN"/>
        </w:rPr>
        <w:t xml:space="preserve">amber </w:t>
      </w:r>
      <w:r>
        <w:t xml:space="preserve">stop codon at position </w:t>
      </w:r>
      <w:r>
        <w:rPr>
          <w:rFonts w:eastAsia="宋体"/>
          <w:lang w:eastAsia="zh-CN"/>
        </w:rPr>
        <w:t>89</w:t>
      </w:r>
      <w:r>
        <w:t xml:space="preserve"> of the </w:t>
      </w:r>
      <w:r>
        <w:rPr>
          <w:i/>
          <w:iCs/>
        </w:rPr>
        <w:t>h</w:t>
      </w:r>
      <w:r>
        <w:rPr>
          <w:rFonts w:eastAsia="宋体"/>
          <w:i/>
          <w:iCs/>
          <w:lang w:eastAsia="zh-CN"/>
        </w:rPr>
        <w:t>ENO1</w:t>
      </w:r>
      <w:r>
        <w:rPr>
          <w:rFonts w:eastAsia="宋体"/>
          <w:lang w:eastAsia="zh-CN"/>
        </w:rPr>
        <w:t xml:space="preserve"> </w:t>
      </w:r>
      <w:r>
        <w:t xml:space="preserve">gene </w:t>
      </w:r>
      <w:r>
        <w:rPr>
          <w:rFonts w:eastAsia="宋体"/>
          <w:lang w:eastAsia="zh-CN"/>
        </w:rPr>
        <w:t xml:space="preserve">and </w:t>
      </w:r>
      <w:r>
        <w:t xml:space="preserve">position </w:t>
      </w:r>
      <w:r>
        <w:rPr>
          <w:rFonts w:eastAsia="宋体"/>
          <w:lang w:eastAsia="zh-CN"/>
        </w:rPr>
        <w:t>149</w:t>
      </w:r>
      <w:r>
        <w:t xml:space="preserve"> of the </w:t>
      </w:r>
      <w:r>
        <w:rPr>
          <w:rFonts w:eastAsia="宋体"/>
          <w:lang w:eastAsia="zh-CN"/>
        </w:rPr>
        <w:t>s</w:t>
      </w:r>
      <w:r>
        <w:rPr>
          <w:rFonts w:eastAsia="宋体"/>
          <w:i/>
          <w:iCs/>
          <w:lang w:eastAsia="zh-CN"/>
        </w:rPr>
        <w:t>fGFP</w:t>
      </w:r>
      <w:r>
        <w:rPr>
          <w:rFonts w:eastAsia="宋体"/>
          <w:lang w:eastAsia="zh-CN"/>
        </w:rPr>
        <w:t xml:space="preserve"> </w:t>
      </w:r>
      <w:r>
        <w:t>gene</w:t>
      </w:r>
      <w:r>
        <w:rPr>
          <w:rFonts w:eastAsia="宋体"/>
          <w:lang w:eastAsia="zh-CN"/>
        </w:rPr>
        <w:t xml:space="preserve"> </w:t>
      </w:r>
      <w:r>
        <w:t xml:space="preserve">via </w:t>
      </w:r>
      <w:r>
        <w:rPr>
          <w:rFonts w:eastAsia="宋体"/>
          <w:lang w:eastAsia="zh-CN"/>
        </w:rPr>
        <w:t>site-directed mutagenesis</w:t>
      </w:r>
      <w:r>
        <w:t xml:space="preserve"> </w:t>
      </w:r>
      <w:r>
        <w:rPr>
          <w:rFonts w:eastAsia="宋体"/>
          <w:lang w:eastAsia="zh-CN"/>
        </w:rPr>
        <w:t>following the manufacturer’s protocol, purify the PCR product,</w:t>
      </w:r>
      <w:r>
        <w:t xml:space="preserve"> and perform homologous recombination. Use the following primers:</w:t>
      </w:r>
    </w:p>
    <w:p w14:paraId="25652449">
      <w:r>
        <w:t>ENO1-K89TAG-F CACAGAACAAGAG</w:t>
      </w:r>
      <w:r>
        <w:rPr>
          <w:u w:val="single"/>
        </w:rPr>
        <w:t>tag</w:t>
      </w:r>
      <w:r>
        <w:t>ATTGACAAACTGATGATCGAG</w:t>
      </w:r>
    </w:p>
    <w:p w14:paraId="2565244A">
      <w:r>
        <w:t>ENO1-K89TAG-R T</w:t>
      </w:r>
      <w:r>
        <w:rPr>
          <w:u w:val="single"/>
        </w:rPr>
        <w:t>cta</w:t>
      </w:r>
      <w:r>
        <w:t>CTCTTGTTCTGTGACGTTCAGTTTCTTG</w:t>
      </w:r>
    </w:p>
    <w:p w14:paraId="2565244B">
      <w:r>
        <w:t>sfGFP-N149TAG-F CAACAGCCAT</w:t>
      </w:r>
      <w:r>
        <w:rPr>
          <w:u w:val="single"/>
        </w:rPr>
        <w:t>tag</w:t>
      </w:r>
      <w:r>
        <w:t>GTGTATATCACCGCCGACAAGC</w:t>
      </w:r>
    </w:p>
    <w:p w14:paraId="2565244C">
      <w:r>
        <w:t>sfGFP-N149TAG-R CAC</w:t>
      </w:r>
      <w:r>
        <w:rPr>
          <w:u w:val="single"/>
        </w:rPr>
        <w:t>cta</w:t>
      </w:r>
      <w:r>
        <w:t>ATGGCTGTTGAAGTTATACTCCAGC</w:t>
      </w:r>
    </w:p>
    <w:p w14:paraId="5447DB86"/>
    <w:p w14:paraId="2565244D">
      <w:pPr>
        <w:rPr>
          <w:lang w:eastAsia="zh-CN"/>
        </w:rPr>
      </w:pPr>
      <w:r>
        <w:rPr>
          <w:lang w:eastAsia="zh-CN"/>
        </w:rPr>
        <w:t>NOTE: For site-specific incorporation of lactylated lysine, the target site should be mutated into an amber stop codon (TAG), and TAA or TGA should be used as the genuine stop codon.</w:t>
      </w:r>
    </w:p>
    <w:p w14:paraId="4E9E2330"/>
    <w:p w14:paraId="2565244E">
      <w:pPr>
        <w:numPr>
          <w:ilvl w:val="255"/>
          <w:numId w:val="0"/>
        </w:numPr>
      </w:pPr>
      <w:r>
        <w:t>1.2 Thaw DH5α competent cells on ice, mix 5 µL of the recombination product with 50 µL of cells, and incubate on ice for 30 min. Subject the mixture to a 45 s heat shock at 42 °C, then place it on ice for 2–3 min. Add 3</w:t>
      </w:r>
      <w:r>
        <w:rPr>
          <w:rFonts w:eastAsia="宋体"/>
          <w:lang w:eastAsia="zh-CN"/>
        </w:rPr>
        <w:t>5</w:t>
      </w:r>
      <w:r>
        <w:t xml:space="preserve">0 µL of LB medium and incubate at 37 °C with shaking (220 rpm) for 1 h. </w:t>
      </w:r>
    </w:p>
    <w:p w14:paraId="6C7CB344">
      <w:pPr>
        <w:numPr>
          <w:ilvl w:val="255"/>
          <w:numId w:val="0"/>
        </w:numPr>
      </w:pPr>
    </w:p>
    <w:p w14:paraId="25652450">
      <w:pPr>
        <w:numPr>
          <w:ilvl w:val="255"/>
          <w:numId w:val="0"/>
        </w:numPr>
      </w:pPr>
      <w:r>
        <w:rPr>
          <w:rFonts w:eastAsia="宋体"/>
          <w:lang w:eastAsia="zh-CN"/>
        </w:rPr>
        <w:t xml:space="preserve">1.3 </w:t>
      </w:r>
      <w:r>
        <w:t xml:space="preserve">Spread the cells onto a pre-warmed LB plate containing ampicillin and incubate at 37 °C for 12–16 h. Pick two single colonies for </w:t>
      </w:r>
      <w:r>
        <w:rPr>
          <w:rFonts w:eastAsia="宋体"/>
          <w:lang w:eastAsia="zh-CN"/>
        </w:rPr>
        <w:t>Sanger</w:t>
      </w:r>
      <w:r>
        <w:t xml:space="preserve"> sequencing to confirm the mutation.</w:t>
      </w:r>
    </w:p>
    <w:p w14:paraId="073FB531">
      <w:pPr>
        <w:numPr>
          <w:ilvl w:val="255"/>
          <w:numId w:val="0"/>
        </w:numPr>
      </w:pPr>
    </w:p>
    <w:p w14:paraId="25652451">
      <w:pPr>
        <w:numPr>
          <w:ilvl w:val="0"/>
          <w:numId w:val="1"/>
        </w:numPr>
        <w:rPr>
          <w:b/>
          <w:bCs/>
          <w:highlight w:val="yellow"/>
        </w:rPr>
      </w:pPr>
      <w:r>
        <w:rPr>
          <w:b/>
          <w:bCs/>
          <w:highlight w:val="yellow"/>
        </w:rPr>
        <w:t xml:space="preserve">Expression </w:t>
      </w:r>
      <w:r>
        <w:rPr>
          <w:rFonts w:eastAsia="宋体"/>
          <w:b/>
          <w:bCs/>
          <w:highlight w:val="yellow"/>
          <w:lang w:eastAsia="zh-CN"/>
        </w:rPr>
        <w:t xml:space="preserve">of Lactylated </w:t>
      </w:r>
      <w:r>
        <w:rPr>
          <w:b/>
          <w:bCs/>
          <w:highlight w:val="yellow"/>
        </w:rPr>
        <w:t xml:space="preserve">protein </w:t>
      </w:r>
      <w:r>
        <w:rPr>
          <w:rFonts w:eastAsia="宋体"/>
          <w:b/>
          <w:bCs/>
          <w:highlight w:val="yellow"/>
          <w:lang w:eastAsia="zh-CN"/>
        </w:rPr>
        <w:t xml:space="preserve">in </w:t>
      </w:r>
      <w:r>
        <w:rPr>
          <w:rFonts w:eastAsia="宋体"/>
          <w:b/>
          <w:bCs/>
          <w:i/>
          <w:iCs/>
          <w:highlight w:val="yellow"/>
          <w:lang w:eastAsia="zh-CN"/>
        </w:rPr>
        <w:t>E. coli</w:t>
      </w:r>
      <w:r>
        <w:rPr>
          <w:rFonts w:eastAsia="宋体"/>
          <w:b/>
          <w:bCs/>
          <w:highlight w:val="yellow"/>
          <w:lang w:eastAsia="zh-CN"/>
        </w:rPr>
        <w:t xml:space="preserve"> cells</w:t>
      </w:r>
    </w:p>
    <w:p w14:paraId="63A97633">
      <w:pPr>
        <w:rPr>
          <w:b/>
          <w:bCs/>
          <w:highlight w:val="yellow"/>
        </w:rPr>
      </w:pPr>
    </w:p>
    <w:p w14:paraId="25652452">
      <w:pPr>
        <w:numPr>
          <w:ilvl w:val="1"/>
          <w:numId w:val="1"/>
        </w:numPr>
        <w:rPr>
          <w:rFonts w:eastAsia="宋体"/>
          <w:highlight w:val="yellow"/>
          <w:lang w:eastAsia="zh-CN"/>
        </w:rPr>
      </w:pPr>
      <w:r>
        <w:rPr>
          <w:highlight w:val="yellow"/>
        </w:rPr>
        <w:t>Co-transform</w:t>
      </w:r>
      <w:r>
        <w:rPr>
          <w:rFonts w:eastAsia="宋体"/>
          <w:highlight w:val="yellow"/>
          <w:lang w:eastAsia="zh-CN"/>
        </w:rPr>
        <w:t xml:space="preserve"> 50 </w:t>
      </w:r>
      <w:r>
        <w:rPr>
          <w:highlight w:val="yellow"/>
        </w:rPr>
        <w:t xml:space="preserve">µL of </w:t>
      </w:r>
      <w:r>
        <w:rPr>
          <w:rFonts w:eastAsia="宋体"/>
          <w:i/>
          <w:iCs/>
          <w:highlight w:val="yellow"/>
          <w:lang w:eastAsia="zh-CN"/>
        </w:rPr>
        <w:t>E. coli</w:t>
      </w:r>
      <w:r>
        <w:rPr>
          <w:rFonts w:eastAsia="宋体"/>
          <w:highlight w:val="yellow"/>
          <w:lang w:eastAsia="zh-CN"/>
        </w:rPr>
        <w:t xml:space="preserve"> </w:t>
      </w:r>
      <w:r>
        <w:rPr>
          <w:highlight w:val="yellow"/>
        </w:rPr>
        <w:t xml:space="preserve">DH10B </w:t>
      </w:r>
      <w:r>
        <w:rPr>
          <w:rFonts w:eastAsia="宋体"/>
          <w:highlight w:val="yellow"/>
          <w:lang w:eastAsia="zh-CN"/>
        </w:rPr>
        <w:t xml:space="preserve">chemically competent cells </w:t>
      </w:r>
      <w:r>
        <w:rPr>
          <w:highlight w:val="yellow"/>
        </w:rPr>
        <w:t xml:space="preserve">with </w:t>
      </w:r>
      <w:r>
        <w:rPr>
          <w:rFonts w:eastAsia="宋体"/>
          <w:highlight w:val="yellow"/>
          <w:lang w:eastAsia="zh-CN"/>
        </w:rPr>
        <w:t xml:space="preserve">approximately 100 ng each of </w:t>
      </w:r>
      <w:r>
        <w:rPr>
          <w:highlight w:val="yellow"/>
        </w:rPr>
        <w:t xml:space="preserve">pBad-ENO1-K89TAG, </w:t>
      </w:r>
      <w:r>
        <w:rPr>
          <w:rFonts w:eastAsia="宋体"/>
          <w:highlight w:val="yellow"/>
          <w:lang w:eastAsia="zh-CN"/>
        </w:rPr>
        <w:t>which encodes the target gene</w:t>
      </w:r>
      <w:r>
        <w:rPr>
          <w:highlight w:val="yellow"/>
        </w:rPr>
        <w:t>, and pEvol-MmKlacRS1 (Addgene plasmid # 232157),</w:t>
      </w:r>
      <w:r>
        <w:rPr>
          <w:rFonts w:eastAsia="宋体"/>
          <w:highlight w:val="yellow"/>
          <w:lang w:eastAsia="zh-CN"/>
        </w:rPr>
        <w:t xml:space="preserve"> which encodes the </w:t>
      </w:r>
      <w:r>
        <w:rPr>
          <w:rFonts w:eastAsiaTheme="minorEastAsia"/>
          <w:highlight w:val="yellow"/>
          <w:lang w:eastAsia="zh-CN"/>
        </w:rPr>
        <w:t>KlacRS and tRNA pair</w:t>
      </w:r>
      <w:r>
        <w:rPr>
          <w:highlight w:val="yellow"/>
        </w:rPr>
        <w:t>.</w:t>
      </w:r>
      <w:r>
        <w:rPr>
          <w:rFonts w:eastAsia="宋体"/>
          <w:highlight w:val="yellow"/>
          <w:lang w:eastAsia="zh-CN"/>
        </w:rPr>
        <w:t xml:space="preserve"> </w:t>
      </w:r>
    </w:p>
    <w:p w14:paraId="52BC4434">
      <w:pPr>
        <w:rPr>
          <w:rFonts w:eastAsia="宋体"/>
          <w:highlight w:val="yellow"/>
          <w:lang w:eastAsia="zh-CN"/>
        </w:rPr>
      </w:pPr>
    </w:p>
    <w:p w14:paraId="25652453">
      <w:pPr>
        <w:numPr>
          <w:ilvl w:val="1"/>
          <w:numId w:val="1"/>
        </w:numPr>
        <w:rPr>
          <w:rFonts w:eastAsia="宋体"/>
          <w:highlight w:val="yellow"/>
          <w:lang w:eastAsia="zh-CN"/>
        </w:rPr>
      </w:pPr>
      <w:r>
        <w:rPr>
          <w:highlight w:val="yellow"/>
        </w:rPr>
        <w:t xml:space="preserve">Incubate </w:t>
      </w:r>
      <w:r>
        <w:rPr>
          <w:rFonts w:eastAsia="宋体"/>
          <w:highlight w:val="yellow"/>
          <w:lang w:eastAsia="zh-CN"/>
        </w:rPr>
        <w:t xml:space="preserve">the mixture </w:t>
      </w:r>
      <w:r>
        <w:rPr>
          <w:highlight w:val="yellow"/>
        </w:rPr>
        <w:t xml:space="preserve">on ice for 25 min, heat-shock at 42 °C for 45 s, and return to ice for 3 min. Add 350 μL </w:t>
      </w:r>
      <w:r>
        <w:rPr>
          <w:rFonts w:eastAsia="宋体"/>
          <w:highlight w:val="yellow"/>
          <w:lang w:eastAsia="zh-CN"/>
        </w:rPr>
        <w:t xml:space="preserve">of room temperature </w:t>
      </w:r>
      <w:r>
        <w:rPr>
          <w:highlight w:val="yellow"/>
        </w:rPr>
        <w:t>LB medium, shake vigorously</w:t>
      </w:r>
      <w:r>
        <w:rPr>
          <w:rFonts w:eastAsia="宋体"/>
          <w:highlight w:val="yellow"/>
          <w:lang w:eastAsia="zh-CN"/>
        </w:rPr>
        <w:t xml:space="preserve"> </w:t>
      </w:r>
      <w:r>
        <w:rPr>
          <w:highlight w:val="yellow"/>
        </w:rPr>
        <w:t>at 220 rpm for 1 h at 37 °C</w:t>
      </w:r>
      <w:r>
        <w:rPr>
          <w:rFonts w:eastAsia="宋体"/>
          <w:highlight w:val="yellow"/>
          <w:lang w:eastAsia="zh-CN"/>
        </w:rPr>
        <w:t>.</w:t>
      </w:r>
    </w:p>
    <w:p w14:paraId="4DF5AC01">
      <w:pPr>
        <w:rPr>
          <w:rFonts w:eastAsia="宋体"/>
          <w:highlight w:val="yellow"/>
          <w:lang w:eastAsia="zh-CN"/>
        </w:rPr>
      </w:pPr>
    </w:p>
    <w:p w14:paraId="25652454">
      <w:pPr>
        <w:numPr>
          <w:ilvl w:val="1"/>
          <w:numId w:val="1"/>
        </w:numPr>
        <w:rPr>
          <w:highlight w:val="yellow"/>
        </w:rPr>
      </w:pPr>
      <w:r>
        <w:rPr>
          <w:rFonts w:eastAsia="宋体"/>
          <w:highlight w:val="yellow"/>
          <w:lang w:eastAsia="zh-CN"/>
        </w:rPr>
        <w:t>S</w:t>
      </w:r>
      <w:r>
        <w:rPr>
          <w:highlight w:val="yellow"/>
        </w:rPr>
        <w:t xml:space="preserve">pread </w:t>
      </w:r>
      <w:r>
        <w:rPr>
          <w:rFonts w:eastAsia="宋体"/>
          <w:highlight w:val="yellow"/>
          <w:lang w:eastAsia="zh-CN"/>
        </w:rPr>
        <w:t xml:space="preserve">the cell culture </w:t>
      </w:r>
      <w:r>
        <w:rPr>
          <w:highlight w:val="yellow"/>
        </w:rPr>
        <w:t>onto an LB/plate</w:t>
      </w:r>
      <w:r>
        <w:rPr>
          <w:rFonts w:eastAsia="宋体"/>
          <w:highlight w:val="yellow"/>
          <w:lang w:eastAsia="zh-CN"/>
        </w:rPr>
        <w:t xml:space="preserve"> supplemented with 100 </w:t>
      </w:r>
      <w:r>
        <w:rPr>
          <w:highlight w:val="yellow"/>
        </w:rPr>
        <w:t>µ</w:t>
      </w:r>
      <w:r>
        <w:rPr>
          <w:rFonts w:eastAsia="宋体"/>
          <w:highlight w:val="yellow"/>
          <w:lang w:eastAsia="zh-CN"/>
        </w:rPr>
        <w:t>g/mL of Ampicillin (Amp</w:t>
      </w:r>
      <w:r>
        <w:rPr>
          <w:rFonts w:eastAsia="宋体"/>
          <w:highlight w:val="yellow"/>
          <w:vertAlign w:val="subscript"/>
          <w:lang w:eastAsia="zh-CN"/>
        </w:rPr>
        <w:t>100</w:t>
      </w:r>
      <w:r>
        <w:rPr>
          <w:rFonts w:eastAsia="宋体"/>
          <w:highlight w:val="yellow"/>
          <w:lang w:eastAsia="zh-CN"/>
        </w:rPr>
        <w:t xml:space="preserve">) and 50 </w:t>
      </w:r>
      <w:r>
        <w:rPr>
          <w:highlight w:val="yellow"/>
        </w:rPr>
        <w:t>µ</w:t>
      </w:r>
      <w:r>
        <w:rPr>
          <w:rFonts w:eastAsia="宋体"/>
          <w:highlight w:val="yellow"/>
          <w:lang w:eastAsia="zh-CN"/>
        </w:rPr>
        <w:t>g/mL of Chloramphenicol (Cm</w:t>
      </w:r>
      <w:r>
        <w:rPr>
          <w:rFonts w:eastAsia="宋体"/>
          <w:highlight w:val="yellow"/>
          <w:vertAlign w:val="subscript"/>
          <w:lang w:eastAsia="zh-CN"/>
        </w:rPr>
        <w:t>50</w:t>
      </w:r>
      <w:r>
        <w:rPr>
          <w:rFonts w:eastAsia="宋体"/>
          <w:highlight w:val="yellow"/>
          <w:lang w:eastAsia="zh-CN"/>
        </w:rPr>
        <w:t>)</w:t>
      </w:r>
      <w:r>
        <w:rPr>
          <w:highlight w:val="yellow"/>
        </w:rPr>
        <w:t>. Incubate</w:t>
      </w:r>
      <w:r>
        <w:rPr>
          <w:rFonts w:eastAsia="宋体"/>
          <w:highlight w:val="yellow"/>
          <w:lang w:eastAsia="zh-CN"/>
        </w:rPr>
        <w:t xml:space="preserve"> the plates </w:t>
      </w:r>
      <w:r>
        <w:rPr>
          <w:highlight w:val="yellow"/>
        </w:rPr>
        <w:t>at 37 °C for 12-16 h.</w:t>
      </w:r>
    </w:p>
    <w:p w14:paraId="5798E4FD">
      <w:pPr>
        <w:rPr>
          <w:highlight w:val="yellow"/>
        </w:rPr>
      </w:pPr>
    </w:p>
    <w:p w14:paraId="6AAE7841">
      <w:pPr>
        <w:numPr>
          <w:ilvl w:val="1"/>
          <w:numId w:val="1"/>
        </w:numPr>
        <w:rPr>
          <w:highlight w:val="yellow"/>
        </w:rPr>
      </w:pPr>
      <w:r>
        <w:rPr>
          <w:highlight w:val="yellow"/>
        </w:rPr>
        <w:t xml:space="preserve">Pick a single colony to inoculate </w:t>
      </w:r>
      <w:r>
        <w:rPr>
          <w:rFonts w:eastAsia="宋体"/>
          <w:highlight w:val="yellow"/>
          <w:lang w:eastAsia="zh-CN"/>
        </w:rPr>
        <w:t xml:space="preserve">a </w:t>
      </w:r>
      <w:r>
        <w:rPr>
          <w:highlight w:val="yellow"/>
        </w:rPr>
        <w:t xml:space="preserve">4 mL </w:t>
      </w:r>
      <w:r>
        <w:rPr>
          <w:rFonts w:eastAsia="宋体"/>
          <w:highlight w:val="yellow"/>
          <w:lang w:eastAsia="zh-CN"/>
        </w:rPr>
        <w:t xml:space="preserve">starter </w:t>
      </w:r>
      <w:r>
        <w:rPr>
          <w:highlight w:val="yellow"/>
        </w:rPr>
        <w:t>culture</w:t>
      </w:r>
      <w:r>
        <w:rPr>
          <w:rFonts w:eastAsia="宋体"/>
          <w:highlight w:val="yellow"/>
          <w:lang w:eastAsia="zh-CN"/>
        </w:rPr>
        <w:t xml:space="preserve"> and incubate overnight.</w:t>
      </w:r>
      <w:r>
        <w:rPr>
          <w:highlight w:val="yellow"/>
        </w:rPr>
        <w:t xml:space="preserve"> </w:t>
      </w:r>
      <w:r>
        <w:rPr>
          <w:rFonts w:eastAsia="宋体"/>
          <w:highlight w:val="yellow"/>
          <w:lang w:eastAsia="zh-CN"/>
        </w:rPr>
        <w:t xml:space="preserve">On the next day, </w:t>
      </w:r>
      <w:r>
        <w:rPr>
          <w:highlight w:val="yellow"/>
        </w:rPr>
        <w:t xml:space="preserve">expand </w:t>
      </w:r>
      <w:r>
        <w:rPr>
          <w:rFonts w:eastAsia="宋体"/>
          <w:highlight w:val="yellow"/>
          <w:lang w:eastAsia="zh-CN"/>
        </w:rPr>
        <w:t xml:space="preserve">the overnight culture </w:t>
      </w:r>
      <w:r>
        <w:rPr>
          <w:highlight w:val="yellow"/>
        </w:rPr>
        <w:t>into 400 mL of LB/Amp</w:t>
      </w:r>
      <w:r>
        <w:rPr>
          <w:rFonts w:eastAsia="宋体"/>
          <w:highlight w:val="yellow"/>
          <w:vertAlign w:val="subscript"/>
          <w:lang w:eastAsia="zh-CN"/>
        </w:rPr>
        <w:t>100</w:t>
      </w:r>
      <w:r>
        <w:rPr>
          <w:rFonts w:eastAsia="宋体"/>
          <w:highlight w:val="yellow"/>
          <w:lang w:eastAsia="zh-CN"/>
        </w:rPr>
        <w:t>Cm</w:t>
      </w:r>
      <w:r>
        <w:rPr>
          <w:rFonts w:eastAsia="宋体"/>
          <w:highlight w:val="yellow"/>
          <w:vertAlign w:val="subscript"/>
          <w:lang w:eastAsia="zh-CN"/>
        </w:rPr>
        <w:t>50</w:t>
      </w:r>
      <w:r>
        <w:rPr>
          <w:rFonts w:eastAsia="宋体"/>
          <w:highlight w:val="yellow"/>
          <w:lang w:eastAsia="zh-CN"/>
        </w:rPr>
        <w:t xml:space="preserve"> and then</w:t>
      </w:r>
      <w:r>
        <w:rPr>
          <w:highlight w:val="yellow"/>
        </w:rPr>
        <w:t xml:space="preserve"> </w:t>
      </w:r>
      <w:r>
        <w:rPr>
          <w:rFonts w:eastAsia="宋体"/>
          <w:highlight w:val="yellow"/>
          <w:lang w:eastAsia="zh-CN"/>
        </w:rPr>
        <w:t>s</w:t>
      </w:r>
      <w:r>
        <w:rPr>
          <w:highlight w:val="yellow"/>
        </w:rPr>
        <w:t>hake at 220</w:t>
      </w:r>
      <w:r>
        <w:rPr>
          <w:rFonts w:eastAsia="宋体"/>
          <w:highlight w:val="yellow"/>
          <w:lang w:eastAsia="zh-CN"/>
        </w:rPr>
        <w:t xml:space="preserve"> </w:t>
      </w:r>
      <w:r>
        <w:rPr>
          <w:highlight w:val="yellow"/>
        </w:rPr>
        <w:t>rpm, 37 °C vigorously</w:t>
      </w:r>
      <w:r>
        <w:rPr>
          <w:rFonts w:eastAsia="宋体"/>
          <w:highlight w:val="yellow"/>
          <w:lang w:eastAsia="zh-CN"/>
        </w:rPr>
        <w:t xml:space="preserve"> </w:t>
      </w:r>
      <w:r>
        <w:rPr>
          <w:highlight w:val="yellow"/>
        </w:rPr>
        <w:t xml:space="preserve">until OD 600 reaches 0.6-0.8. </w:t>
      </w:r>
    </w:p>
    <w:p w14:paraId="5DC8D719">
      <w:pPr>
        <w:pStyle w:val="26"/>
        <w:spacing w:after="0" w:line="240" w:lineRule="auto"/>
        <w:jc w:val="both"/>
        <w:rPr>
          <w:highlight w:val="yellow"/>
        </w:rPr>
      </w:pPr>
    </w:p>
    <w:p w14:paraId="25652456">
      <w:pPr>
        <w:numPr>
          <w:ilvl w:val="1"/>
          <w:numId w:val="1"/>
        </w:numPr>
        <w:rPr>
          <w:highlight w:val="yellow"/>
        </w:rPr>
      </w:pPr>
      <w:r>
        <w:rPr>
          <w:highlight w:val="yellow"/>
        </w:rPr>
        <w:t xml:space="preserve">Induce with 0.2% L-arabinose and 1 mM Klac; incubate at 30 °C, 220 rpm for an </w:t>
      </w:r>
      <w:r>
        <w:rPr>
          <w:rFonts w:eastAsia="宋体"/>
          <w:highlight w:val="yellow"/>
          <w:lang w:eastAsia="zh-CN"/>
        </w:rPr>
        <w:t xml:space="preserve">additional </w:t>
      </w:r>
      <w:r>
        <w:rPr>
          <w:highlight w:val="yellow"/>
        </w:rPr>
        <w:t>16 h.</w:t>
      </w:r>
    </w:p>
    <w:p w14:paraId="3B15315A"/>
    <w:p w14:paraId="25652457">
      <w:pPr>
        <w:numPr>
          <w:ilvl w:val="0"/>
          <w:numId w:val="1"/>
        </w:numPr>
        <w:rPr>
          <w:b/>
          <w:bCs/>
          <w:highlight w:val="yellow"/>
        </w:rPr>
      </w:pPr>
      <w:r>
        <w:rPr>
          <w:b/>
          <w:bCs/>
          <w:highlight w:val="yellow"/>
          <w:lang w:eastAsia="zh-CN"/>
        </w:rPr>
        <w:t>Genetic encoding of Lactyllysine</w:t>
      </w:r>
      <w:r>
        <w:rPr>
          <w:b/>
          <w:bCs/>
          <w:highlight w:val="yellow"/>
        </w:rPr>
        <w:t xml:space="preserve"> </w:t>
      </w:r>
      <w:r>
        <w:rPr>
          <w:rFonts w:eastAsia="宋体"/>
          <w:b/>
          <w:bCs/>
          <w:highlight w:val="yellow"/>
          <w:lang w:eastAsia="zh-CN"/>
        </w:rPr>
        <w:t>in</w:t>
      </w:r>
      <w:r>
        <w:rPr>
          <w:b/>
          <w:bCs/>
          <w:highlight w:val="yellow"/>
        </w:rPr>
        <w:t xml:space="preserve"> HEK 293T cells</w:t>
      </w:r>
    </w:p>
    <w:p w14:paraId="5719ADF7">
      <w:pPr>
        <w:rPr>
          <w:highlight w:val="yellow"/>
        </w:rPr>
      </w:pPr>
    </w:p>
    <w:p w14:paraId="25652458">
      <w:pPr>
        <w:pStyle w:val="26"/>
        <w:numPr>
          <w:ilvl w:val="1"/>
          <w:numId w:val="1"/>
        </w:numPr>
        <w:spacing w:after="0" w:line="240" w:lineRule="auto"/>
        <w:jc w:val="both"/>
        <w:rPr>
          <w:rFonts w:ascii="Calibri" w:hAnsi="Calibri" w:cs="Calibri"/>
          <w:sz w:val="24"/>
          <w:szCs w:val="24"/>
          <w:highlight w:val="yellow"/>
        </w:rPr>
      </w:pPr>
      <w:r>
        <w:rPr>
          <w:rFonts w:ascii="Calibri" w:hAnsi="Calibri" w:cs="Calibri"/>
          <w:sz w:val="24"/>
          <w:szCs w:val="24"/>
          <w:highlight w:val="yellow"/>
        </w:rPr>
        <w:t>Seed cells in 12-well plates at a density of 1 x 10</w:t>
      </w:r>
      <w:r>
        <w:rPr>
          <w:rFonts w:ascii="Calibri" w:hAnsi="Calibri" w:cs="Calibri"/>
          <w:sz w:val="24"/>
          <w:szCs w:val="24"/>
          <w:highlight w:val="yellow"/>
          <w:vertAlign w:val="superscript"/>
        </w:rPr>
        <w:t>5</w:t>
      </w:r>
      <w:r>
        <w:rPr>
          <w:rFonts w:ascii="Calibri" w:hAnsi="Calibri" w:cs="Calibri"/>
          <w:sz w:val="24"/>
          <w:szCs w:val="24"/>
          <w:highlight w:val="yellow"/>
        </w:rPr>
        <w:t xml:space="preserve"> cells per well with 1 mL of DMEM</w:t>
      </w:r>
      <w:r>
        <w:rPr>
          <w:rFonts w:ascii="Calibri" w:hAnsi="Calibri" w:eastAsia="宋体" w:cs="Calibri"/>
          <w:sz w:val="24"/>
          <w:szCs w:val="24"/>
          <w:highlight w:val="yellow"/>
          <w:lang w:eastAsia="zh-CN"/>
        </w:rPr>
        <w:t xml:space="preserve"> </w:t>
      </w:r>
      <w:r>
        <w:rPr>
          <w:rFonts w:ascii="Calibri" w:hAnsi="Calibri" w:cs="Calibri"/>
          <w:sz w:val="24"/>
          <w:szCs w:val="24"/>
          <w:highlight w:val="yellow"/>
        </w:rPr>
        <w:t>medium. After 24 h of incubation, when the cell confluency reaches 70%-80%, perform transfection.</w:t>
      </w:r>
    </w:p>
    <w:p w14:paraId="535051C8">
      <w:pPr>
        <w:pStyle w:val="26"/>
        <w:spacing w:after="0" w:line="240" w:lineRule="auto"/>
        <w:ind w:left="0"/>
        <w:jc w:val="both"/>
        <w:rPr>
          <w:rFonts w:ascii="Calibri" w:hAnsi="Calibri" w:cs="Calibri"/>
          <w:sz w:val="24"/>
          <w:szCs w:val="24"/>
          <w:highlight w:val="yellow"/>
        </w:rPr>
      </w:pPr>
    </w:p>
    <w:p w14:paraId="25652459">
      <w:pPr>
        <w:numPr>
          <w:ilvl w:val="255"/>
          <w:numId w:val="0"/>
        </w:numPr>
        <w:rPr>
          <w:highlight w:val="none"/>
        </w:rPr>
      </w:pPr>
      <w:r>
        <w:rPr>
          <w:highlight w:val="none"/>
        </w:rPr>
        <w:t>NOTE: A confluency of 70</w:t>
      </w:r>
      <w:r>
        <w:rPr>
          <w:rFonts w:eastAsia="宋体"/>
          <w:highlight w:val="none"/>
          <w:lang w:eastAsia="zh-CN"/>
        </w:rPr>
        <w:t>%</w:t>
      </w:r>
      <w:r>
        <w:rPr>
          <w:highlight w:val="none"/>
        </w:rPr>
        <w:t>–80% is recommended for transfection, while colony formation assays require lower seeding densities, which should be determined empirically.</w:t>
      </w:r>
    </w:p>
    <w:p w14:paraId="793A6874">
      <w:pPr>
        <w:numPr>
          <w:ilvl w:val="255"/>
          <w:numId w:val="0"/>
        </w:numPr>
        <w:rPr>
          <w:highlight w:val="yellow"/>
        </w:rPr>
      </w:pPr>
    </w:p>
    <w:p w14:paraId="6384FE7D">
      <w:pPr>
        <w:pStyle w:val="26"/>
        <w:numPr>
          <w:ilvl w:val="1"/>
          <w:numId w:val="1"/>
        </w:numPr>
        <w:spacing w:after="0" w:line="240" w:lineRule="auto"/>
        <w:jc w:val="both"/>
        <w:rPr>
          <w:rFonts w:ascii="Calibri" w:hAnsi="Calibri" w:cs="Calibri"/>
          <w:sz w:val="24"/>
          <w:szCs w:val="24"/>
          <w:highlight w:val="yellow"/>
        </w:rPr>
      </w:pPr>
      <w:r>
        <w:rPr>
          <w:rFonts w:ascii="Calibri" w:hAnsi="Calibri" w:cs="Calibri"/>
          <w:sz w:val="24"/>
          <w:szCs w:val="24"/>
          <w:highlight w:val="yellow"/>
        </w:rPr>
        <w:t xml:space="preserve">For </w:t>
      </w:r>
      <w:r>
        <w:rPr>
          <w:rFonts w:ascii="Calibri" w:hAnsi="Calibri" w:eastAsia="宋体" w:cs="Calibri"/>
          <w:sz w:val="24"/>
          <w:szCs w:val="24"/>
          <w:highlight w:val="yellow"/>
          <w:lang w:eastAsia="zh-CN"/>
        </w:rPr>
        <w:t>preparing a diluted DNA solution</w:t>
      </w:r>
      <w:r>
        <w:rPr>
          <w:rFonts w:ascii="Calibri" w:hAnsi="Calibri" w:cs="Calibri"/>
          <w:sz w:val="24"/>
          <w:szCs w:val="24"/>
          <w:highlight w:val="yellow"/>
        </w:rPr>
        <w:t xml:space="preserve">, add 0.75 µg of pcDNA-sfGFP-N149TAG and pNeu-KlacRS (Addgene plasmid # 232155) in a 1:1 ratio into 38 µL of serum-free DMEM with High Glucose. Gently pipette up and down or vortex briefly to mix. </w:t>
      </w:r>
    </w:p>
    <w:p w14:paraId="7CFA5A3F">
      <w:pPr>
        <w:pStyle w:val="26"/>
        <w:spacing w:after="0" w:line="240" w:lineRule="auto"/>
        <w:ind w:left="0"/>
        <w:jc w:val="both"/>
        <w:rPr>
          <w:rFonts w:ascii="Calibri" w:hAnsi="Calibri" w:cs="Calibri"/>
          <w:sz w:val="24"/>
          <w:szCs w:val="24"/>
          <w:highlight w:val="yellow"/>
        </w:rPr>
      </w:pPr>
    </w:p>
    <w:p w14:paraId="2565245A">
      <w:pPr>
        <w:pStyle w:val="26"/>
        <w:numPr>
          <w:ilvl w:val="1"/>
          <w:numId w:val="1"/>
        </w:numPr>
        <w:spacing w:after="0" w:line="240" w:lineRule="auto"/>
        <w:jc w:val="both"/>
        <w:rPr>
          <w:rFonts w:ascii="Calibri" w:hAnsi="Calibri" w:cs="Calibri"/>
          <w:sz w:val="24"/>
          <w:szCs w:val="24"/>
          <w:highlight w:val="yellow"/>
        </w:rPr>
      </w:pPr>
      <w:r>
        <w:rPr>
          <w:rFonts w:ascii="Calibri" w:hAnsi="Calibri" w:cs="Calibri"/>
          <w:sz w:val="24"/>
          <w:szCs w:val="24"/>
          <w:highlight w:val="yellow"/>
        </w:rPr>
        <w:t xml:space="preserve">For </w:t>
      </w:r>
      <w:r>
        <w:rPr>
          <w:rFonts w:ascii="Calibri" w:hAnsi="Calibri" w:eastAsia="宋体" w:cs="Calibri"/>
          <w:sz w:val="24"/>
          <w:szCs w:val="24"/>
          <w:highlight w:val="yellow"/>
          <w:lang w:eastAsia="zh-CN"/>
        </w:rPr>
        <w:t>preparing diluted transfection reagent</w:t>
      </w:r>
      <w:r>
        <w:rPr>
          <w:rFonts w:ascii="Calibri" w:hAnsi="Calibri" w:cs="Calibri"/>
          <w:sz w:val="24"/>
          <w:szCs w:val="24"/>
          <w:highlight w:val="yellow"/>
        </w:rPr>
        <w:t xml:space="preserve">, add 2.25 µL of transfection reagent into 38 µL of serum-free DMEM with High Glucose. Gently pipette up and down 3X–4x to mix. </w:t>
      </w:r>
    </w:p>
    <w:p w14:paraId="46952D87">
      <w:pPr>
        <w:pStyle w:val="26"/>
        <w:spacing w:after="0" w:line="240" w:lineRule="auto"/>
        <w:ind w:left="0"/>
        <w:jc w:val="both"/>
        <w:rPr>
          <w:rFonts w:ascii="Calibri" w:hAnsi="Calibri" w:cs="Calibri"/>
          <w:sz w:val="24"/>
          <w:szCs w:val="24"/>
          <w:highlight w:val="yellow"/>
        </w:rPr>
      </w:pPr>
    </w:p>
    <w:p w14:paraId="2565245B">
      <w:pPr>
        <w:numPr>
          <w:ilvl w:val="255"/>
          <w:numId w:val="0"/>
        </w:numPr>
        <w:rPr>
          <w:highlight w:val="none"/>
        </w:rPr>
      </w:pPr>
      <w:r>
        <w:rPr>
          <w:highlight w:val="none"/>
        </w:rPr>
        <w:t>NOTE: Whether Opti-MEM can be used depends on the manufacturer</w:t>
      </w:r>
      <w:r>
        <w:rPr>
          <w:rFonts w:eastAsia="宋体"/>
          <w:highlight w:val="none"/>
          <w:lang w:eastAsia="zh-CN"/>
        </w:rPr>
        <w:t>’s</w:t>
      </w:r>
      <w:r>
        <w:rPr>
          <w:highlight w:val="none"/>
        </w:rPr>
        <w:t xml:space="preserve"> instructions, as its serum content may interfere with transfection efficiency.</w:t>
      </w:r>
    </w:p>
    <w:p w14:paraId="1DE07E48">
      <w:pPr>
        <w:numPr>
          <w:ilvl w:val="255"/>
          <w:numId w:val="0"/>
        </w:numPr>
        <w:rPr>
          <w:highlight w:val="yellow"/>
        </w:rPr>
      </w:pPr>
    </w:p>
    <w:p w14:paraId="2565245D">
      <w:pPr>
        <w:pStyle w:val="26"/>
        <w:numPr>
          <w:ilvl w:val="1"/>
          <w:numId w:val="1"/>
        </w:numPr>
        <w:spacing w:after="0" w:line="240" w:lineRule="auto"/>
        <w:jc w:val="both"/>
        <w:rPr>
          <w:rFonts w:ascii="Calibri" w:hAnsi="Calibri" w:cs="Calibri"/>
          <w:sz w:val="24"/>
          <w:szCs w:val="24"/>
          <w:highlight w:val="yellow"/>
        </w:rPr>
      </w:pPr>
      <w:r>
        <w:rPr>
          <w:rFonts w:ascii="Calibri" w:hAnsi="Calibri" w:cs="Calibri"/>
          <w:sz w:val="24"/>
          <w:szCs w:val="24"/>
          <w:highlight w:val="yellow"/>
        </w:rPr>
        <w:t>Add the diluted transfection reagent immediately to the diluted DNA solution all at once. Do not mix the solutions in the reverse order.</w:t>
      </w:r>
    </w:p>
    <w:p w14:paraId="04060DD2">
      <w:pPr>
        <w:pStyle w:val="26"/>
        <w:spacing w:after="0" w:line="240" w:lineRule="auto"/>
        <w:ind w:left="0"/>
        <w:jc w:val="both"/>
        <w:rPr>
          <w:rFonts w:ascii="Calibri" w:hAnsi="Calibri" w:cs="Calibri"/>
          <w:sz w:val="24"/>
          <w:szCs w:val="24"/>
          <w:highlight w:val="yellow"/>
        </w:rPr>
      </w:pPr>
    </w:p>
    <w:p w14:paraId="3265C1CD">
      <w:pPr>
        <w:pStyle w:val="26"/>
        <w:numPr>
          <w:ilvl w:val="1"/>
          <w:numId w:val="1"/>
        </w:numPr>
        <w:spacing w:after="0" w:line="240" w:lineRule="auto"/>
        <w:jc w:val="both"/>
        <w:rPr>
          <w:rFonts w:ascii="Calibri" w:hAnsi="Calibri" w:cs="Calibri"/>
          <w:sz w:val="24"/>
          <w:szCs w:val="24"/>
          <w:highlight w:val="yellow"/>
        </w:rPr>
      </w:pPr>
      <w:r>
        <w:rPr>
          <w:rFonts w:ascii="Calibri" w:hAnsi="Calibri" w:cs="Calibri"/>
          <w:sz w:val="24"/>
          <w:szCs w:val="24"/>
          <w:highlight w:val="yellow"/>
        </w:rPr>
        <w:t>Immediately pipette up and down 3x–4x or vortex briefly to mix. Incubate for 10-15 min at room temperature to allow transfection/DNA complexes to form. The transfection/</w:t>
      </w:r>
      <w:r>
        <w:rPr>
          <w:rFonts w:ascii="Calibri" w:hAnsi="Calibri" w:eastAsia="宋体" w:cs="Calibri"/>
          <w:sz w:val="24"/>
          <w:szCs w:val="24"/>
          <w:highlight w:val="yellow"/>
          <w:lang w:eastAsia="zh-CN"/>
        </w:rPr>
        <w:t xml:space="preserve"> </w:t>
      </w:r>
      <w:r>
        <w:rPr>
          <w:rFonts w:ascii="Calibri" w:hAnsi="Calibri" w:cs="Calibri"/>
          <w:sz w:val="24"/>
          <w:szCs w:val="24"/>
          <w:highlight w:val="yellow"/>
        </w:rPr>
        <w:t>DNA complex should be used within 20 min of preparation.</w:t>
      </w:r>
    </w:p>
    <w:p w14:paraId="397DC4A9">
      <w:pPr>
        <w:pStyle w:val="26"/>
        <w:spacing w:after="0" w:line="240" w:lineRule="auto"/>
        <w:ind w:left="0"/>
        <w:jc w:val="both"/>
        <w:rPr>
          <w:rFonts w:ascii="Calibri" w:hAnsi="Calibri" w:cs="Calibri"/>
          <w:sz w:val="24"/>
          <w:szCs w:val="24"/>
          <w:highlight w:val="yellow"/>
        </w:rPr>
      </w:pPr>
    </w:p>
    <w:p w14:paraId="25652460">
      <w:pPr>
        <w:pStyle w:val="26"/>
        <w:numPr>
          <w:ilvl w:val="1"/>
          <w:numId w:val="1"/>
        </w:numPr>
        <w:spacing w:after="0" w:line="240" w:lineRule="auto"/>
        <w:jc w:val="both"/>
        <w:rPr>
          <w:rFonts w:ascii="Calibri" w:hAnsi="Calibri" w:cs="Calibri"/>
          <w:sz w:val="24"/>
          <w:szCs w:val="24"/>
          <w:highlight w:val="yellow"/>
        </w:rPr>
      </w:pPr>
      <w:r>
        <w:rPr>
          <w:rFonts w:ascii="Calibri" w:hAnsi="Calibri" w:cs="Calibri"/>
          <w:sz w:val="24"/>
          <w:szCs w:val="24"/>
          <w:highlight w:val="yellow"/>
        </w:rPr>
        <w:t>Add the 50 µL transfection/ DNA mixture drop-wise onto the medium in each well and homogenize the mixture by gently swirling the plate.</w:t>
      </w:r>
    </w:p>
    <w:p w14:paraId="6BB226DB">
      <w:pPr>
        <w:pStyle w:val="26"/>
        <w:spacing w:after="0" w:line="240" w:lineRule="auto"/>
        <w:ind w:left="0"/>
        <w:jc w:val="both"/>
        <w:rPr>
          <w:rFonts w:ascii="Calibri" w:hAnsi="Calibri" w:cs="Calibri"/>
          <w:sz w:val="24"/>
          <w:szCs w:val="24"/>
          <w:highlight w:val="yellow"/>
        </w:rPr>
      </w:pPr>
    </w:p>
    <w:p w14:paraId="25652461">
      <w:pPr>
        <w:pStyle w:val="26"/>
        <w:numPr>
          <w:ilvl w:val="1"/>
          <w:numId w:val="1"/>
        </w:numPr>
        <w:spacing w:after="0" w:line="240" w:lineRule="auto"/>
        <w:jc w:val="both"/>
        <w:rPr>
          <w:rFonts w:ascii="Calibri" w:hAnsi="Calibri" w:eastAsia="宋体" w:cs="Calibri"/>
          <w:sz w:val="24"/>
          <w:szCs w:val="24"/>
          <w:highlight w:val="yellow"/>
          <w:lang w:eastAsia="zh-CN"/>
        </w:rPr>
      </w:pPr>
      <w:r>
        <w:rPr>
          <w:rFonts w:ascii="Calibri" w:hAnsi="Calibri" w:cs="Calibri"/>
          <w:sz w:val="24"/>
          <w:szCs w:val="24"/>
          <w:highlight w:val="yellow"/>
        </w:rPr>
        <w:t xml:space="preserve">At 6 h post-transfection, replace medium with fresh DMEM containing 1 mM </w:t>
      </w:r>
      <w:r>
        <w:rPr>
          <w:rFonts w:ascii="Calibri" w:hAnsi="Calibri" w:eastAsia="宋体" w:cs="Calibri"/>
          <w:sz w:val="24"/>
          <w:szCs w:val="24"/>
          <w:highlight w:val="yellow"/>
          <w:lang w:eastAsia="zh-CN"/>
        </w:rPr>
        <w:t>Klac</w:t>
      </w:r>
      <w:r>
        <w:rPr>
          <w:rFonts w:ascii="Calibri" w:hAnsi="Calibri" w:cs="Calibri"/>
          <w:sz w:val="24"/>
          <w:szCs w:val="24"/>
          <w:highlight w:val="yellow"/>
        </w:rPr>
        <w:t>. Culture for 24-48 h.</w:t>
      </w:r>
      <w:r>
        <w:rPr>
          <w:rFonts w:ascii="Calibri" w:hAnsi="Calibri" w:eastAsia="宋体" w:cs="Calibri"/>
          <w:sz w:val="24"/>
          <w:szCs w:val="24"/>
          <w:highlight w:val="yellow"/>
          <w:lang w:eastAsia="zh-CN"/>
        </w:rPr>
        <w:t xml:space="preserve"> </w:t>
      </w:r>
    </w:p>
    <w:p w14:paraId="5CAABBD1">
      <w:pPr>
        <w:pStyle w:val="26"/>
        <w:spacing w:after="0" w:line="240" w:lineRule="auto"/>
        <w:ind w:left="0"/>
        <w:jc w:val="both"/>
        <w:rPr>
          <w:rFonts w:ascii="Calibri" w:hAnsi="Calibri" w:eastAsia="宋体" w:cs="Calibri"/>
          <w:sz w:val="24"/>
          <w:szCs w:val="24"/>
          <w:highlight w:val="yellow"/>
          <w:lang w:eastAsia="zh-CN"/>
        </w:rPr>
      </w:pPr>
    </w:p>
    <w:p w14:paraId="25652463">
      <w:pPr>
        <w:numPr>
          <w:ilvl w:val="255"/>
          <w:numId w:val="0"/>
        </w:numPr>
        <w:rPr>
          <w:highlight w:val="none"/>
        </w:rPr>
      </w:pPr>
      <w:r>
        <w:rPr>
          <w:highlight w:val="none"/>
        </w:rPr>
        <w:t>NOTE: Based on our previous data, Klac at concentrations of 1–5 mM showed no cytotoxic effects on cells</w:t>
      </w:r>
      <w:r>
        <w:rPr>
          <w:rFonts w:eastAsia="宋体"/>
          <w:highlight w:val="none"/>
          <w:vertAlign w:val="superscript"/>
          <w:lang w:eastAsia="zh-CN"/>
        </w:rPr>
        <w:t>26</w:t>
      </w:r>
      <w:r>
        <w:rPr>
          <w:rFonts w:eastAsia="宋体"/>
          <w:highlight w:val="none"/>
          <w:lang w:eastAsia="zh-CN"/>
        </w:rPr>
        <w:t xml:space="preserve">. The working concentration of Klac should be optimized based on the protein expression level. </w:t>
      </w:r>
      <w:r>
        <w:rPr>
          <w:highlight w:val="none"/>
        </w:rPr>
        <w:t xml:space="preserve">If the target protein is prone to loss of the lactylation modification, </w:t>
      </w:r>
      <w:r>
        <w:rPr>
          <w:highlight w:val="green"/>
        </w:rPr>
        <w:t>administration of HDAC inhibitors (</w:t>
      </w:r>
      <w:r>
        <w:rPr>
          <w:rFonts w:hint="eastAsia"/>
          <w:highlight w:val="green"/>
        </w:rPr>
        <w:t>e.g.,</w:t>
      </w:r>
      <w:r>
        <w:rPr>
          <w:highlight w:val="green"/>
        </w:rPr>
        <w:t> </w:t>
      </w:r>
      <w:r>
        <w:rPr>
          <w:rFonts w:hint="eastAsia"/>
          <w:highlight w:val="green"/>
        </w:rPr>
        <w:t>Trichostatin A</w:t>
      </w:r>
      <w:r>
        <w:rPr>
          <w:highlight w:val="green"/>
        </w:rPr>
        <w:t>)</w:t>
      </w:r>
      <w:r>
        <w:rPr>
          <w:rFonts w:hint="eastAsia" w:eastAsia="宋体"/>
          <w:highlight w:val="green"/>
          <w:lang w:val="en-US" w:eastAsia="zh-CN"/>
        </w:rPr>
        <w:t xml:space="preserve"> </w:t>
      </w:r>
      <w:r>
        <w:rPr>
          <w:highlight w:val="green"/>
        </w:rPr>
        <w:t>or the sirtuin inhibitor NAM (nicotinamide) is recommended.</w:t>
      </w:r>
    </w:p>
    <w:p w14:paraId="25652464">
      <w:pPr>
        <w:numPr>
          <w:ilvl w:val="255"/>
          <w:numId w:val="0"/>
        </w:numPr>
        <w:rPr>
          <w:highlight w:val="yellow"/>
        </w:rPr>
      </w:pPr>
    </w:p>
    <w:p w14:paraId="25652465">
      <w:pPr>
        <w:numPr>
          <w:ilvl w:val="0"/>
          <w:numId w:val="1"/>
        </w:numPr>
        <w:rPr>
          <w:b/>
          <w:bCs/>
        </w:rPr>
      </w:pPr>
      <w:r>
        <w:rPr>
          <w:b/>
          <w:bCs/>
          <w:lang w:eastAsia="zh-CN"/>
        </w:rPr>
        <w:t>His-tag purification of Lactylated p</w:t>
      </w:r>
      <w:r>
        <w:rPr>
          <w:b/>
          <w:bCs/>
        </w:rPr>
        <w:t xml:space="preserve">rotein </w:t>
      </w:r>
      <w:r>
        <w:rPr>
          <w:b/>
          <w:bCs/>
          <w:lang w:eastAsia="zh-CN"/>
        </w:rPr>
        <w:t xml:space="preserve">in </w:t>
      </w:r>
      <w:r>
        <w:rPr>
          <w:b/>
          <w:bCs/>
          <w:i/>
          <w:iCs/>
          <w:lang w:eastAsia="zh-CN"/>
        </w:rPr>
        <w:t>E. coli</w:t>
      </w:r>
      <w:r>
        <w:rPr>
          <w:b/>
          <w:bCs/>
          <w:lang w:eastAsia="zh-CN"/>
        </w:rPr>
        <w:t xml:space="preserve"> cells</w:t>
      </w:r>
    </w:p>
    <w:p w14:paraId="68715F61">
      <w:pPr>
        <w:rPr>
          <w:b/>
          <w:bCs/>
        </w:rPr>
      </w:pPr>
    </w:p>
    <w:p w14:paraId="25652466">
      <w:pPr>
        <w:pStyle w:val="26"/>
        <w:numPr>
          <w:ilvl w:val="1"/>
          <w:numId w:val="1"/>
        </w:numPr>
        <w:spacing w:after="0" w:line="240" w:lineRule="auto"/>
        <w:jc w:val="both"/>
        <w:rPr>
          <w:rFonts w:ascii="Calibri" w:hAnsi="Calibri" w:cs="Calibri"/>
          <w:sz w:val="24"/>
          <w:szCs w:val="24"/>
        </w:rPr>
      </w:pPr>
      <w:r>
        <w:rPr>
          <w:rFonts w:ascii="Calibri" w:hAnsi="Calibri" w:cs="Calibri"/>
          <w:sz w:val="24"/>
          <w:szCs w:val="24"/>
        </w:rPr>
        <w:t xml:space="preserve">Harvest </w:t>
      </w:r>
      <w:r>
        <w:rPr>
          <w:rFonts w:ascii="Calibri" w:hAnsi="Calibri" w:eastAsia="宋体" w:cs="Calibri"/>
          <w:sz w:val="24"/>
          <w:szCs w:val="24"/>
          <w:lang w:eastAsia="zh-CN"/>
        </w:rPr>
        <w:t xml:space="preserve">the </w:t>
      </w:r>
      <w:r>
        <w:rPr>
          <w:rFonts w:ascii="Calibri" w:hAnsi="Calibri" w:cs="Calibri"/>
          <w:sz w:val="24"/>
          <w:szCs w:val="24"/>
        </w:rPr>
        <w:t>cells by centrifugation at 6,</w:t>
      </w:r>
      <w:r>
        <w:rPr>
          <w:rFonts w:ascii="Calibri" w:hAnsi="Calibri" w:eastAsia="宋体" w:cs="Calibri"/>
          <w:sz w:val="24"/>
          <w:szCs w:val="24"/>
          <w:lang w:eastAsia="zh-CN"/>
        </w:rPr>
        <w:t>900</w:t>
      </w:r>
      <w:r>
        <w:rPr>
          <w:rFonts w:ascii="Calibri" w:hAnsi="Calibri" w:cs="Calibri"/>
          <w:sz w:val="24"/>
          <w:szCs w:val="24"/>
        </w:rPr>
        <w:t xml:space="preserve"> </w:t>
      </w:r>
      <w:r>
        <w:rPr>
          <w:rFonts w:ascii="Calibri" w:hAnsi="Calibri" w:eastAsia="宋体" w:cs="Calibri"/>
          <w:sz w:val="24"/>
          <w:szCs w:val="24"/>
          <w:lang w:eastAsia="zh-CN"/>
        </w:rPr>
        <w:t xml:space="preserve">x </w:t>
      </w:r>
      <w:r>
        <w:rPr>
          <w:rFonts w:ascii="Calibri" w:hAnsi="Calibri" w:eastAsia="宋体" w:cs="Calibri"/>
          <w:i/>
          <w:iCs/>
          <w:sz w:val="24"/>
          <w:szCs w:val="24"/>
          <w:lang w:eastAsia="zh-CN"/>
        </w:rPr>
        <w:t>g</w:t>
      </w:r>
      <w:r>
        <w:rPr>
          <w:rFonts w:ascii="Calibri" w:hAnsi="Calibri" w:cs="Calibri"/>
          <w:sz w:val="24"/>
          <w:szCs w:val="24"/>
        </w:rPr>
        <w:t xml:space="preserve"> for 10 min</w:t>
      </w:r>
      <w:r>
        <w:rPr>
          <w:rFonts w:ascii="Calibri" w:hAnsi="Calibri" w:eastAsia="宋体" w:cs="Calibri"/>
          <w:sz w:val="24"/>
          <w:szCs w:val="24"/>
          <w:lang w:eastAsia="zh-CN"/>
        </w:rPr>
        <w:t xml:space="preserve"> at 4</w:t>
      </w:r>
      <w:r>
        <w:rPr>
          <w:rFonts w:ascii="Calibri" w:hAnsi="Calibri" w:cs="Calibri"/>
          <w:sz w:val="24"/>
          <w:szCs w:val="24"/>
        </w:rPr>
        <w:t xml:space="preserve"> °C. Resuspend in 50 mL of lysis buffer (20 mM Tris-HCl, pH 7.4, 200 mM NaCl). Lyse by ultrasonication on ice for 3 s</w:t>
      </w:r>
      <w:r>
        <w:rPr>
          <w:rFonts w:ascii="Calibri" w:hAnsi="Calibri" w:eastAsia="宋体" w:cs="Calibri"/>
          <w:sz w:val="24"/>
          <w:szCs w:val="24"/>
          <w:lang w:eastAsia="zh-CN"/>
        </w:rPr>
        <w:t xml:space="preserve"> </w:t>
      </w:r>
      <w:r>
        <w:rPr>
          <w:rFonts w:ascii="Calibri" w:hAnsi="Calibri" w:cs="Calibri"/>
          <w:sz w:val="24"/>
          <w:szCs w:val="24"/>
        </w:rPr>
        <w:t>pulse, 8 s interval at 200 W for 30 min. Centrifuge at 1</w:t>
      </w:r>
      <w:r>
        <w:rPr>
          <w:rFonts w:ascii="Calibri" w:hAnsi="Calibri" w:eastAsia="宋体" w:cs="Calibri"/>
          <w:sz w:val="24"/>
          <w:szCs w:val="24"/>
          <w:lang w:eastAsia="zh-CN"/>
        </w:rPr>
        <w:t>3</w:t>
      </w:r>
      <w:r>
        <w:rPr>
          <w:rFonts w:ascii="Calibri" w:hAnsi="Calibri" w:cs="Calibri"/>
          <w:sz w:val="24"/>
          <w:szCs w:val="24"/>
        </w:rPr>
        <w:t>,</w:t>
      </w:r>
      <w:r>
        <w:rPr>
          <w:rFonts w:ascii="Calibri" w:hAnsi="Calibri" w:eastAsia="宋体" w:cs="Calibri"/>
          <w:sz w:val="24"/>
          <w:szCs w:val="24"/>
          <w:lang w:eastAsia="zh-CN"/>
        </w:rPr>
        <w:t>8</w:t>
      </w:r>
      <w:r>
        <w:rPr>
          <w:rFonts w:ascii="Calibri" w:hAnsi="Calibri" w:cs="Calibri"/>
          <w:sz w:val="24"/>
          <w:szCs w:val="24"/>
        </w:rPr>
        <w:t xml:space="preserve">00 </w:t>
      </w:r>
      <w:r>
        <w:rPr>
          <w:rFonts w:ascii="Calibri" w:hAnsi="Calibri" w:eastAsia="宋体" w:cs="Calibri"/>
          <w:sz w:val="24"/>
          <w:szCs w:val="24"/>
          <w:lang w:eastAsia="zh-CN"/>
        </w:rPr>
        <w:t xml:space="preserve">x </w:t>
      </w:r>
      <w:r>
        <w:rPr>
          <w:rFonts w:ascii="Calibri" w:hAnsi="Calibri" w:eastAsia="宋体" w:cs="Calibri"/>
          <w:i/>
          <w:iCs/>
          <w:sz w:val="24"/>
          <w:szCs w:val="24"/>
          <w:lang w:eastAsia="zh-CN"/>
        </w:rPr>
        <w:t>g</w:t>
      </w:r>
      <w:r>
        <w:rPr>
          <w:rFonts w:ascii="Calibri" w:hAnsi="Calibri" w:cs="Calibri"/>
          <w:sz w:val="24"/>
          <w:szCs w:val="24"/>
        </w:rPr>
        <w:t>, 4 °C for 30 min</w:t>
      </w:r>
      <w:r>
        <w:rPr>
          <w:rFonts w:ascii="Calibri" w:hAnsi="Calibri" w:eastAsia="宋体" w:cs="Calibri"/>
          <w:sz w:val="24"/>
          <w:szCs w:val="24"/>
          <w:lang w:eastAsia="zh-CN"/>
        </w:rPr>
        <w:t xml:space="preserve"> and then </w:t>
      </w:r>
      <w:r>
        <w:rPr>
          <w:rFonts w:ascii="Calibri" w:hAnsi="Calibri" w:cs="Calibri"/>
          <w:sz w:val="24"/>
          <w:szCs w:val="24"/>
        </w:rPr>
        <w:t>collect supernatant.</w:t>
      </w:r>
    </w:p>
    <w:p w14:paraId="50BD9A25">
      <w:pPr>
        <w:pStyle w:val="26"/>
        <w:spacing w:after="0" w:line="240" w:lineRule="auto"/>
        <w:ind w:left="0"/>
        <w:jc w:val="both"/>
        <w:rPr>
          <w:rFonts w:ascii="Calibri" w:hAnsi="Calibri" w:cs="Calibri"/>
          <w:sz w:val="24"/>
          <w:szCs w:val="24"/>
        </w:rPr>
      </w:pPr>
    </w:p>
    <w:p w14:paraId="25652468">
      <w:pPr>
        <w:numPr>
          <w:ilvl w:val="255"/>
          <w:numId w:val="0"/>
        </w:numPr>
        <w:rPr>
          <w:rFonts w:eastAsia="宋体"/>
          <w:i/>
          <w:iCs/>
          <w:lang w:eastAsia="zh-CN"/>
        </w:rPr>
      </w:pPr>
      <w:r>
        <w:rPr>
          <w:rFonts w:eastAsia="宋体"/>
          <w:lang w:eastAsia="zh-CN"/>
        </w:rPr>
        <w:t>NOTE: If the target protein is susceptible to mechanical shearing, the ultrasonication step can</w:t>
      </w:r>
      <w:r>
        <w:rPr>
          <w:rFonts w:hint="eastAsia" w:eastAsia="宋体"/>
          <w:lang w:val="en-US" w:eastAsia="zh-CN"/>
        </w:rPr>
        <w:t xml:space="preserve"> </w:t>
      </w:r>
      <w:bookmarkStart w:id="0" w:name="_GoBack"/>
      <w:bookmarkEnd w:id="0"/>
      <w:r>
        <w:rPr>
          <w:rFonts w:eastAsia="宋体"/>
          <w:lang w:eastAsia="zh-CN"/>
        </w:rPr>
        <w:t xml:space="preserve">be substituted with gentle cell lysis using a formulated protein extraction reagent suitable for </w:t>
      </w:r>
      <w:r>
        <w:rPr>
          <w:rFonts w:eastAsia="宋体"/>
          <w:i/>
          <w:iCs/>
          <w:lang w:eastAsia="zh-CN"/>
        </w:rPr>
        <w:t>E. coli.</w:t>
      </w:r>
    </w:p>
    <w:p w14:paraId="5EB51C14">
      <w:pPr>
        <w:numPr>
          <w:ilvl w:val="255"/>
          <w:numId w:val="0"/>
        </w:numPr>
        <w:rPr>
          <w:rFonts w:eastAsia="宋体"/>
          <w:lang w:eastAsia="zh-CN"/>
        </w:rPr>
      </w:pPr>
    </w:p>
    <w:p w14:paraId="25652469">
      <w:pPr>
        <w:pStyle w:val="26"/>
        <w:numPr>
          <w:ilvl w:val="1"/>
          <w:numId w:val="1"/>
        </w:numPr>
        <w:spacing w:after="0" w:line="240" w:lineRule="auto"/>
        <w:jc w:val="both"/>
        <w:rPr>
          <w:rFonts w:ascii="Calibri" w:hAnsi="Calibri" w:cs="Calibri"/>
          <w:sz w:val="24"/>
          <w:szCs w:val="24"/>
        </w:rPr>
      </w:pPr>
      <w:r>
        <w:rPr>
          <w:rFonts w:ascii="Calibri" w:hAnsi="Calibri" w:cs="Calibri"/>
          <w:sz w:val="24"/>
          <w:szCs w:val="24"/>
        </w:rPr>
        <w:t>Filter supernatant through a 0.45 μm membrane</w:t>
      </w:r>
      <w:r>
        <w:rPr>
          <w:rFonts w:ascii="Calibri" w:hAnsi="Calibri" w:eastAsia="宋体" w:cs="Calibri"/>
          <w:sz w:val="24"/>
          <w:szCs w:val="24"/>
          <w:lang w:eastAsia="zh-CN"/>
        </w:rPr>
        <w:t xml:space="preserve"> to collect the soluble fractions</w:t>
      </w:r>
      <w:r>
        <w:rPr>
          <w:rFonts w:ascii="Calibri" w:hAnsi="Calibri" w:cs="Calibri"/>
          <w:sz w:val="24"/>
          <w:szCs w:val="24"/>
        </w:rPr>
        <w:t xml:space="preserve">. Load </w:t>
      </w:r>
      <w:r>
        <w:rPr>
          <w:rFonts w:ascii="Calibri" w:hAnsi="Calibri" w:eastAsia="宋体" w:cs="Calibri"/>
          <w:sz w:val="24"/>
          <w:szCs w:val="24"/>
          <w:lang w:eastAsia="zh-CN"/>
        </w:rPr>
        <w:t xml:space="preserve">the clarified lysates </w:t>
      </w:r>
      <w:r>
        <w:rPr>
          <w:rFonts w:ascii="Calibri" w:hAnsi="Calibri" w:cs="Calibri"/>
          <w:sz w:val="24"/>
          <w:szCs w:val="24"/>
        </w:rPr>
        <w:t>onto a 1 mL Ni-NTA gravity column.</w:t>
      </w:r>
      <w:r>
        <w:rPr>
          <w:rFonts w:ascii="Calibri" w:hAnsi="Calibri" w:eastAsia="宋体" w:cs="Calibri"/>
          <w:sz w:val="24"/>
          <w:szCs w:val="24"/>
          <w:lang w:eastAsia="zh-CN"/>
        </w:rPr>
        <w:t xml:space="preserve"> </w:t>
      </w:r>
      <w:r>
        <w:rPr>
          <w:rFonts w:ascii="Calibri" w:hAnsi="Calibri" w:cs="Calibri"/>
          <w:sz w:val="24"/>
          <w:szCs w:val="24"/>
        </w:rPr>
        <w:t xml:space="preserve">Wash with </w:t>
      </w:r>
      <w:r>
        <w:rPr>
          <w:rFonts w:ascii="Calibri" w:hAnsi="Calibri" w:eastAsia="宋体" w:cs="Calibri"/>
          <w:sz w:val="24"/>
          <w:szCs w:val="24"/>
          <w:lang w:eastAsia="zh-CN"/>
        </w:rPr>
        <w:t xml:space="preserve">approximately </w:t>
      </w:r>
      <w:r>
        <w:rPr>
          <w:rFonts w:ascii="Calibri" w:hAnsi="Calibri" w:cs="Calibri"/>
          <w:sz w:val="24"/>
          <w:szCs w:val="24"/>
        </w:rPr>
        <w:t>5 mL of Buffer A (12.5 mM Tris-HCl, pH 8.0, 100 mM NaCl, 5 mM imidazole)</w:t>
      </w:r>
      <w:r>
        <w:rPr>
          <w:rFonts w:ascii="Calibri" w:hAnsi="Calibri" w:eastAsia="宋体" w:cs="Calibri"/>
          <w:sz w:val="24"/>
          <w:szCs w:val="24"/>
          <w:lang w:eastAsia="zh-CN"/>
        </w:rPr>
        <w:t xml:space="preserve"> until no detectible protein is found in the eluate</w:t>
      </w:r>
      <w:r>
        <w:rPr>
          <w:rFonts w:ascii="Calibri" w:hAnsi="Calibri" w:cs="Calibri"/>
          <w:sz w:val="24"/>
          <w:szCs w:val="24"/>
        </w:rPr>
        <w:t xml:space="preserve">. Elute </w:t>
      </w:r>
      <w:r>
        <w:rPr>
          <w:rFonts w:ascii="Calibri" w:hAnsi="Calibri" w:eastAsia="宋体" w:cs="Calibri"/>
          <w:sz w:val="24"/>
          <w:szCs w:val="24"/>
          <w:lang w:eastAsia="zh-CN"/>
        </w:rPr>
        <w:t xml:space="preserve">the protein </w:t>
      </w:r>
      <w:r>
        <w:rPr>
          <w:rFonts w:ascii="Calibri" w:hAnsi="Calibri" w:cs="Calibri"/>
          <w:sz w:val="24"/>
          <w:szCs w:val="24"/>
        </w:rPr>
        <w:t xml:space="preserve">with </w:t>
      </w:r>
      <w:r>
        <w:rPr>
          <w:rFonts w:ascii="Calibri" w:hAnsi="Calibri" w:eastAsia="宋体" w:cs="Calibri"/>
          <w:sz w:val="24"/>
          <w:szCs w:val="24"/>
          <w:lang w:eastAsia="zh-CN"/>
        </w:rPr>
        <w:t>1</w:t>
      </w:r>
      <w:r>
        <w:rPr>
          <w:rFonts w:ascii="Calibri" w:hAnsi="Calibri" w:cs="Calibri"/>
          <w:sz w:val="24"/>
          <w:szCs w:val="24"/>
        </w:rPr>
        <w:t xml:space="preserve"> mL of Buffer B (200 mM imidazole)</w:t>
      </w:r>
      <w:r>
        <w:rPr>
          <w:rFonts w:ascii="Calibri" w:hAnsi="Calibri" w:eastAsia="宋体" w:cs="Calibri"/>
          <w:sz w:val="24"/>
          <w:szCs w:val="24"/>
          <w:lang w:eastAsia="zh-CN"/>
        </w:rPr>
        <w:t xml:space="preserve"> for 5x</w:t>
      </w:r>
      <w:r>
        <w:rPr>
          <w:rFonts w:ascii="Calibri" w:hAnsi="Calibri" w:cs="Calibri"/>
          <w:sz w:val="24"/>
          <w:szCs w:val="24"/>
        </w:rPr>
        <w:t xml:space="preserve">. Save all fractions. Check for eluted protein with a quick Bradford assay. </w:t>
      </w:r>
    </w:p>
    <w:p w14:paraId="2C6365B2">
      <w:pPr>
        <w:pStyle w:val="26"/>
        <w:spacing w:after="0" w:line="240" w:lineRule="auto"/>
        <w:ind w:left="0"/>
        <w:jc w:val="both"/>
        <w:rPr>
          <w:rFonts w:ascii="Calibri" w:hAnsi="Calibri" w:cs="Calibri"/>
          <w:sz w:val="24"/>
          <w:szCs w:val="24"/>
        </w:rPr>
      </w:pPr>
    </w:p>
    <w:p w14:paraId="2565246A">
      <w:pPr>
        <w:numPr>
          <w:ilvl w:val="255"/>
          <w:numId w:val="0"/>
        </w:numPr>
        <w:rPr>
          <w:rFonts w:eastAsia="宋体"/>
          <w:lang w:eastAsia="zh-CN"/>
        </w:rPr>
      </w:pPr>
      <w:r>
        <w:rPr>
          <w:rFonts w:eastAsia="宋体"/>
          <w:lang w:eastAsia="zh-CN"/>
        </w:rPr>
        <w:t>4.3 Combine the purified protein fractions and perform buffer exchange into the storage buffer</w:t>
      </w:r>
      <w:r>
        <w:t xml:space="preserve"> (20 mM Tris-HCl, pH </w:t>
      </w:r>
      <w:r>
        <w:rPr>
          <w:rFonts w:eastAsia="宋体"/>
          <w:lang w:eastAsia="zh-CN"/>
        </w:rPr>
        <w:t>8.0</w:t>
      </w:r>
      <w:r>
        <w:t xml:space="preserve">, </w:t>
      </w:r>
      <w:r>
        <w:rPr>
          <w:rFonts w:eastAsia="宋体"/>
          <w:lang w:eastAsia="zh-CN"/>
        </w:rPr>
        <w:t>150</w:t>
      </w:r>
      <w:r>
        <w:t xml:space="preserve"> mM NaCl)</w:t>
      </w:r>
      <w:r>
        <w:rPr>
          <w:rFonts w:eastAsia="宋体"/>
          <w:lang w:eastAsia="zh-CN"/>
        </w:rPr>
        <w:t xml:space="preserve">. Aliquot the concentrated proteins into 50 </w:t>
      </w:r>
      <w:r>
        <w:t xml:space="preserve">μL </w:t>
      </w:r>
      <w:r>
        <w:rPr>
          <w:rFonts w:eastAsia="宋体"/>
          <w:lang w:eastAsia="zh-CN"/>
        </w:rPr>
        <w:t>in each tube, flash freeze, and store at -80</w:t>
      </w:r>
      <w:r>
        <w:t xml:space="preserve"> °C</w:t>
      </w:r>
      <w:r>
        <w:rPr>
          <w:rFonts w:eastAsia="宋体"/>
          <w:lang w:eastAsia="zh-CN"/>
        </w:rPr>
        <w:t xml:space="preserve"> for the following analysis. </w:t>
      </w:r>
    </w:p>
    <w:p w14:paraId="2565246B">
      <w:pPr>
        <w:numPr>
          <w:ilvl w:val="255"/>
          <w:numId w:val="0"/>
        </w:numPr>
      </w:pPr>
    </w:p>
    <w:p w14:paraId="2565246C">
      <w:pPr>
        <w:numPr>
          <w:ilvl w:val="0"/>
          <w:numId w:val="1"/>
        </w:numPr>
        <w:rPr>
          <w:b/>
          <w:bCs/>
        </w:rPr>
      </w:pPr>
      <w:r>
        <w:rPr>
          <w:b/>
          <w:bCs/>
        </w:rPr>
        <w:t>Biochemical characterization of the lactylated protein</w:t>
      </w:r>
    </w:p>
    <w:p w14:paraId="59939084"/>
    <w:p w14:paraId="2565246D">
      <w:pPr>
        <w:pStyle w:val="26"/>
        <w:numPr>
          <w:ilvl w:val="1"/>
          <w:numId w:val="1"/>
        </w:numPr>
        <w:spacing w:after="0" w:line="240" w:lineRule="auto"/>
        <w:jc w:val="both"/>
        <w:rPr>
          <w:rFonts w:ascii="Calibri" w:hAnsi="Calibri" w:cs="Calibri"/>
          <w:sz w:val="24"/>
          <w:szCs w:val="24"/>
          <w:lang w:eastAsia="zh-CN"/>
        </w:rPr>
      </w:pPr>
      <w:r>
        <w:rPr>
          <w:rFonts w:ascii="Calibri" w:hAnsi="Calibri" w:cs="Calibri"/>
          <w:sz w:val="24"/>
          <w:szCs w:val="24"/>
        </w:rPr>
        <w:t xml:space="preserve">SDS-PAGE and </w:t>
      </w:r>
      <w:r>
        <w:rPr>
          <w:rFonts w:ascii="Calibri" w:hAnsi="Calibri" w:cs="Calibri"/>
          <w:sz w:val="24"/>
          <w:szCs w:val="24"/>
          <w:lang w:eastAsia="zh-CN"/>
        </w:rPr>
        <w:t xml:space="preserve">Western Blotting </w:t>
      </w:r>
    </w:p>
    <w:p w14:paraId="1EB3FB3A">
      <w:pPr>
        <w:pStyle w:val="26"/>
        <w:spacing w:after="0" w:line="240" w:lineRule="auto"/>
        <w:ind w:left="0"/>
        <w:jc w:val="both"/>
        <w:rPr>
          <w:rFonts w:ascii="Calibri" w:hAnsi="Calibri" w:cs="Calibri"/>
          <w:sz w:val="24"/>
          <w:szCs w:val="24"/>
        </w:rPr>
      </w:pPr>
    </w:p>
    <w:p w14:paraId="2565246E">
      <w:pPr>
        <w:pStyle w:val="26"/>
        <w:numPr>
          <w:ilvl w:val="2"/>
          <w:numId w:val="1"/>
        </w:numPr>
        <w:spacing w:after="0" w:line="240" w:lineRule="auto"/>
        <w:jc w:val="both"/>
        <w:rPr>
          <w:rFonts w:ascii="Calibri" w:hAnsi="Calibri" w:cs="Calibri"/>
          <w:sz w:val="24"/>
          <w:szCs w:val="24"/>
        </w:rPr>
      </w:pPr>
      <w:r>
        <w:rPr>
          <w:rFonts w:ascii="Calibri" w:hAnsi="Calibri" w:cs="Calibri"/>
          <w:sz w:val="24"/>
          <w:szCs w:val="24"/>
        </w:rPr>
        <w:t xml:space="preserve">Separate the protein by SDS-PAGE (90 V for 20 min, then 150 V for 50 min). Stain the gel with Coomassie Blue, heat for 15 s in a microwave, and destain </w:t>
      </w:r>
      <w:r>
        <w:rPr>
          <w:rFonts w:ascii="Calibri" w:hAnsi="Calibri" w:eastAsia="宋体" w:cs="Calibri"/>
          <w:sz w:val="24"/>
          <w:szCs w:val="24"/>
          <w:lang w:eastAsia="zh-CN"/>
        </w:rPr>
        <w:t>with</w:t>
      </w:r>
      <w:r>
        <w:rPr>
          <w:rFonts w:ascii="Calibri" w:hAnsi="Calibri" w:cs="Calibri"/>
          <w:sz w:val="24"/>
          <w:szCs w:val="24"/>
        </w:rPr>
        <w:t xml:space="preserve"> destaining solution</w:t>
      </w:r>
      <w:r>
        <w:rPr>
          <w:rFonts w:ascii="Calibri" w:hAnsi="Calibri" w:eastAsia="宋体" w:cs="Calibri"/>
          <w:sz w:val="24"/>
          <w:szCs w:val="24"/>
          <w:lang w:eastAsia="zh-CN"/>
        </w:rPr>
        <w:t xml:space="preserve"> (</w:t>
      </w:r>
      <w:r>
        <w:rPr>
          <w:rFonts w:ascii="Calibri" w:hAnsi="Calibri" w:cs="Calibri"/>
          <w:sz w:val="24"/>
          <w:szCs w:val="24"/>
        </w:rPr>
        <w:t>40% absolute ethanol, 10% glacial acetic acid, and 50% deionized water</w:t>
      </w:r>
      <w:r>
        <w:rPr>
          <w:rFonts w:ascii="Calibri" w:hAnsi="Calibri" w:eastAsia="宋体" w:cs="Calibri"/>
          <w:sz w:val="24"/>
          <w:szCs w:val="24"/>
          <w:lang w:eastAsia="zh-CN"/>
        </w:rPr>
        <w:t xml:space="preserve">) </w:t>
      </w:r>
      <w:r>
        <w:rPr>
          <w:rFonts w:ascii="Calibri" w:hAnsi="Calibri" w:cs="Calibri"/>
          <w:sz w:val="24"/>
          <w:szCs w:val="24"/>
        </w:rPr>
        <w:t>on a shaker (50 rpm, 15 min). Repeat the destaining step until protein bands are clearly visible.</w:t>
      </w:r>
    </w:p>
    <w:p w14:paraId="23FEB54A">
      <w:pPr>
        <w:pStyle w:val="26"/>
        <w:spacing w:after="0" w:line="240" w:lineRule="auto"/>
        <w:ind w:left="0"/>
        <w:jc w:val="both"/>
        <w:rPr>
          <w:rFonts w:ascii="Calibri" w:hAnsi="Calibri" w:cs="Calibri"/>
          <w:sz w:val="24"/>
          <w:szCs w:val="24"/>
        </w:rPr>
      </w:pPr>
    </w:p>
    <w:p w14:paraId="2565246F">
      <w:pPr>
        <w:pStyle w:val="26"/>
        <w:numPr>
          <w:ilvl w:val="2"/>
          <w:numId w:val="1"/>
        </w:numPr>
        <w:spacing w:after="0" w:line="240" w:lineRule="auto"/>
        <w:jc w:val="both"/>
        <w:rPr>
          <w:rFonts w:ascii="Calibri" w:hAnsi="Calibri" w:cs="Calibri"/>
          <w:sz w:val="24"/>
          <w:szCs w:val="24"/>
          <w:lang w:eastAsia="zh-CN"/>
        </w:rPr>
      </w:pPr>
      <w:r>
        <w:rPr>
          <w:rFonts w:ascii="Calibri" w:hAnsi="Calibri" w:cs="Calibri"/>
          <w:sz w:val="24"/>
          <w:szCs w:val="24"/>
          <w:lang w:eastAsia="zh-CN"/>
        </w:rPr>
        <w:t>Activate a PVDF membrane in methanol for 1 min. Assemble the transfer stack in the order: sponge, filter paper, gel, membrane, filter paper, sponge. Carry out the transfer at 250 mA for 1 h in a pre-chilled buffer. Block the membrane with 5% skim milk for 1.5 h, then wash 3x with TBST (10 min each).</w:t>
      </w:r>
    </w:p>
    <w:p w14:paraId="5A550BD1">
      <w:pPr>
        <w:pStyle w:val="26"/>
        <w:spacing w:after="0" w:line="240" w:lineRule="auto"/>
        <w:ind w:left="0"/>
        <w:jc w:val="both"/>
        <w:rPr>
          <w:rFonts w:ascii="Calibri" w:hAnsi="Calibri" w:cs="Calibri"/>
          <w:sz w:val="24"/>
          <w:szCs w:val="24"/>
          <w:lang w:eastAsia="zh-CN"/>
        </w:rPr>
      </w:pPr>
    </w:p>
    <w:p w14:paraId="25652470">
      <w:pPr>
        <w:pStyle w:val="26"/>
        <w:numPr>
          <w:ilvl w:val="2"/>
          <w:numId w:val="1"/>
        </w:numPr>
        <w:spacing w:after="0" w:line="240" w:lineRule="auto"/>
        <w:jc w:val="both"/>
        <w:rPr>
          <w:rFonts w:ascii="Calibri" w:hAnsi="Calibri" w:cs="Calibri"/>
          <w:sz w:val="24"/>
          <w:szCs w:val="24"/>
          <w:lang w:eastAsia="zh-CN"/>
        </w:rPr>
      </w:pPr>
      <w:r>
        <w:rPr>
          <w:rFonts w:ascii="Calibri" w:hAnsi="Calibri" w:cs="Calibri"/>
          <w:sz w:val="24"/>
          <w:szCs w:val="24"/>
          <w:lang w:eastAsia="zh-CN"/>
        </w:rPr>
        <w:t xml:space="preserve">Incubate with primary antibodies (Anti-His 1:10,000; Anti-L-Lactyl Lysine 1:1,000) at 4 °C. Wash 3x with TBST. </w:t>
      </w:r>
    </w:p>
    <w:p w14:paraId="61A9750C">
      <w:pPr>
        <w:pStyle w:val="26"/>
        <w:spacing w:after="0" w:line="240" w:lineRule="auto"/>
        <w:ind w:left="0"/>
        <w:jc w:val="both"/>
        <w:rPr>
          <w:rFonts w:ascii="Calibri" w:hAnsi="Calibri" w:cs="Calibri"/>
          <w:sz w:val="24"/>
          <w:szCs w:val="24"/>
          <w:lang w:eastAsia="zh-CN"/>
        </w:rPr>
      </w:pPr>
    </w:p>
    <w:p w14:paraId="25652471">
      <w:pPr>
        <w:numPr>
          <w:ilvl w:val="255"/>
          <w:numId w:val="0"/>
        </w:numPr>
        <w:rPr>
          <w:lang w:eastAsia="zh-CN"/>
        </w:rPr>
      </w:pPr>
      <w:r>
        <w:rPr>
          <w:rFonts w:eastAsia="宋体"/>
          <w:lang w:eastAsia="zh-CN"/>
        </w:rPr>
        <w:t>NOTE:</w:t>
      </w:r>
      <w:r>
        <w:rPr>
          <w:lang w:eastAsia="zh-CN"/>
        </w:rPr>
        <w:t xml:space="preserve"> Optimal dilution ratios should be determined empirically for antibodies obtained from different commercial sources.</w:t>
      </w:r>
    </w:p>
    <w:p w14:paraId="0CF35EE7">
      <w:pPr>
        <w:numPr>
          <w:ilvl w:val="255"/>
          <w:numId w:val="0"/>
        </w:numPr>
        <w:rPr>
          <w:lang w:eastAsia="zh-CN"/>
        </w:rPr>
      </w:pPr>
    </w:p>
    <w:p w14:paraId="25652472">
      <w:pPr>
        <w:pStyle w:val="26"/>
        <w:numPr>
          <w:ilvl w:val="2"/>
          <w:numId w:val="1"/>
        </w:numPr>
        <w:spacing w:after="0" w:line="240" w:lineRule="auto"/>
        <w:jc w:val="both"/>
        <w:rPr>
          <w:rFonts w:ascii="Calibri" w:hAnsi="Calibri" w:cs="Calibri"/>
          <w:sz w:val="24"/>
          <w:szCs w:val="24"/>
          <w:lang w:eastAsia="zh-CN"/>
        </w:rPr>
      </w:pPr>
      <w:r>
        <w:rPr>
          <w:rFonts w:ascii="Calibri" w:hAnsi="Calibri" w:cs="Calibri"/>
          <w:sz w:val="24"/>
          <w:szCs w:val="24"/>
          <w:lang w:eastAsia="zh-CN"/>
        </w:rPr>
        <w:t>Incubate with rabbit secondary antibody (1:10,000) for 1.5 h at room temperature. Wash 3x with TBST. Image using chemiluminescence and save data in Image Lab.</w:t>
      </w:r>
    </w:p>
    <w:p w14:paraId="414790AD">
      <w:pPr>
        <w:pStyle w:val="26"/>
        <w:spacing w:after="0" w:line="240" w:lineRule="auto"/>
        <w:ind w:left="0"/>
        <w:jc w:val="both"/>
        <w:rPr>
          <w:rFonts w:ascii="Calibri" w:hAnsi="Calibri" w:cs="Calibri"/>
          <w:sz w:val="24"/>
          <w:szCs w:val="24"/>
        </w:rPr>
      </w:pPr>
    </w:p>
    <w:p w14:paraId="25652473">
      <w:pPr>
        <w:pStyle w:val="26"/>
        <w:numPr>
          <w:ilvl w:val="1"/>
          <w:numId w:val="1"/>
        </w:numPr>
        <w:spacing w:after="0" w:line="240" w:lineRule="auto"/>
        <w:jc w:val="both"/>
        <w:rPr>
          <w:rFonts w:ascii="Calibri" w:hAnsi="Calibri" w:cs="Calibri"/>
          <w:sz w:val="24"/>
          <w:szCs w:val="24"/>
        </w:rPr>
      </w:pPr>
      <w:r>
        <w:rPr>
          <w:rFonts w:ascii="Calibri" w:hAnsi="Calibri" w:cs="Calibri"/>
          <w:sz w:val="24"/>
          <w:szCs w:val="24"/>
        </w:rPr>
        <w:t>Mass spectrometry analyses</w:t>
      </w:r>
    </w:p>
    <w:p w14:paraId="4610BAF7">
      <w:pPr>
        <w:pStyle w:val="26"/>
        <w:spacing w:after="0" w:line="240" w:lineRule="auto"/>
        <w:ind w:left="0"/>
        <w:jc w:val="both"/>
        <w:rPr>
          <w:rFonts w:ascii="Calibri" w:hAnsi="Calibri" w:cs="Calibri"/>
          <w:sz w:val="24"/>
          <w:szCs w:val="24"/>
        </w:rPr>
      </w:pPr>
    </w:p>
    <w:p w14:paraId="14DD3AD1">
      <w:pPr>
        <w:pStyle w:val="26"/>
        <w:numPr>
          <w:ilvl w:val="2"/>
          <w:numId w:val="1"/>
        </w:numPr>
        <w:spacing w:after="0" w:line="240" w:lineRule="auto"/>
        <w:jc w:val="both"/>
        <w:rPr>
          <w:rFonts w:ascii="Calibri" w:hAnsi="Calibri" w:cs="Calibri"/>
          <w:sz w:val="24"/>
          <w:szCs w:val="24"/>
        </w:rPr>
      </w:pPr>
      <w:r>
        <w:rPr>
          <w:rFonts w:ascii="Calibri" w:hAnsi="Calibri" w:cs="Calibri"/>
          <w:sz w:val="24"/>
          <w:szCs w:val="24"/>
        </w:rPr>
        <w:t>For intact mass analysis, dilute the proteins to a final concentration of 0.1 µg/µL with water containing 0.1% FA and then subject them to an ultra</w:t>
      </w:r>
      <w:r>
        <w:rPr>
          <w:rFonts w:ascii="Cambria Math" w:hAnsi="Cambria Math" w:cs="Cambria Math"/>
          <w:sz w:val="24"/>
          <w:szCs w:val="24"/>
        </w:rPr>
        <w:t>‑</w:t>
      </w:r>
      <w:r>
        <w:rPr>
          <w:rFonts w:ascii="Calibri" w:hAnsi="Calibri" w:cs="Calibri"/>
          <w:sz w:val="24"/>
          <w:szCs w:val="24"/>
        </w:rPr>
        <w:t xml:space="preserve">high performance liquid chromatography (UPLC) system. The mobile phase consisted of solvent A (0.1% FA in water) and solvent B (acetonitrile, ACN) at a flow rate of 0.3 mL/min. </w:t>
      </w:r>
    </w:p>
    <w:p w14:paraId="2B7B2E2E">
      <w:pPr>
        <w:pStyle w:val="26"/>
        <w:spacing w:after="0" w:line="240" w:lineRule="auto"/>
        <w:ind w:left="0"/>
        <w:jc w:val="both"/>
        <w:rPr>
          <w:rFonts w:ascii="Calibri" w:hAnsi="Calibri" w:cs="Calibri"/>
          <w:sz w:val="24"/>
          <w:szCs w:val="24"/>
        </w:rPr>
      </w:pPr>
    </w:p>
    <w:p w14:paraId="25652474">
      <w:pPr>
        <w:pStyle w:val="26"/>
        <w:numPr>
          <w:ilvl w:val="2"/>
          <w:numId w:val="1"/>
        </w:numPr>
        <w:spacing w:after="0" w:line="240" w:lineRule="auto"/>
        <w:jc w:val="both"/>
        <w:rPr>
          <w:rFonts w:ascii="Calibri" w:hAnsi="Calibri" w:cs="Calibri"/>
          <w:sz w:val="24"/>
          <w:szCs w:val="24"/>
        </w:rPr>
      </w:pPr>
      <w:r>
        <w:rPr>
          <w:rFonts w:ascii="Calibri" w:hAnsi="Calibri" w:cs="Calibri"/>
          <w:sz w:val="24"/>
          <w:szCs w:val="24"/>
        </w:rPr>
        <w:t>Measure the molecular weights of hENO1</w:t>
      </w:r>
      <w:r>
        <w:rPr>
          <w:rFonts w:ascii="Cambria Math" w:hAnsi="Cambria Math" w:cs="Cambria Math"/>
          <w:sz w:val="24"/>
          <w:szCs w:val="24"/>
        </w:rPr>
        <w:t>‑</w:t>
      </w:r>
      <w:r>
        <w:rPr>
          <w:rFonts w:ascii="Calibri" w:hAnsi="Calibri" w:cs="Calibri"/>
          <w:sz w:val="24"/>
          <w:szCs w:val="24"/>
        </w:rPr>
        <w:t>89Klac using a high</w:t>
      </w:r>
      <w:r>
        <w:rPr>
          <w:rFonts w:ascii="Cambria Math" w:hAnsi="Cambria Math" w:cs="Cambria Math"/>
          <w:sz w:val="24"/>
          <w:szCs w:val="24"/>
        </w:rPr>
        <w:t>‑</w:t>
      </w:r>
      <w:r>
        <w:rPr>
          <w:rFonts w:ascii="Calibri" w:hAnsi="Calibri" w:cs="Calibri"/>
          <w:sz w:val="24"/>
          <w:szCs w:val="24"/>
        </w:rPr>
        <w:t>resolution quadrupole</w:t>
      </w:r>
      <w:r>
        <w:rPr>
          <w:rFonts w:ascii="Cambria Math" w:hAnsi="Cambria Math" w:cs="Cambria Math"/>
          <w:sz w:val="24"/>
          <w:szCs w:val="24"/>
        </w:rPr>
        <w:t>‑</w:t>
      </w:r>
      <w:r>
        <w:rPr>
          <w:rFonts w:ascii="Calibri" w:hAnsi="Calibri" w:cs="Calibri"/>
          <w:sz w:val="24"/>
          <w:szCs w:val="24"/>
        </w:rPr>
        <w:t>time</w:t>
      </w:r>
      <w:r>
        <w:rPr>
          <w:rFonts w:ascii="Cambria Math" w:hAnsi="Cambria Math" w:cs="Cambria Math"/>
          <w:sz w:val="24"/>
          <w:szCs w:val="24"/>
        </w:rPr>
        <w:t>‑</w:t>
      </w:r>
      <w:r>
        <w:rPr>
          <w:rFonts w:ascii="Calibri" w:hAnsi="Calibri" w:cs="Calibri"/>
          <w:sz w:val="24"/>
          <w:szCs w:val="24"/>
        </w:rPr>
        <w:t>of</w:t>
      </w:r>
      <w:r>
        <w:rPr>
          <w:rFonts w:ascii="Cambria Math" w:hAnsi="Cambria Math" w:cs="Cambria Math"/>
          <w:sz w:val="24"/>
          <w:szCs w:val="24"/>
        </w:rPr>
        <w:t>‑</w:t>
      </w:r>
      <w:r>
        <w:rPr>
          <w:rFonts w:ascii="Calibri" w:hAnsi="Calibri" w:cs="Calibri"/>
          <w:sz w:val="24"/>
          <w:szCs w:val="24"/>
        </w:rPr>
        <w:t>flight (Q</w:t>
      </w:r>
      <w:r>
        <w:rPr>
          <w:rFonts w:ascii="Cambria Math" w:hAnsi="Cambria Math" w:cs="Cambria Math"/>
          <w:sz w:val="24"/>
          <w:szCs w:val="24"/>
        </w:rPr>
        <w:t>‑</w:t>
      </w:r>
      <w:r>
        <w:rPr>
          <w:rFonts w:ascii="Calibri" w:hAnsi="Calibri" w:cs="Calibri"/>
          <w:sz w:val="24"/>
          <w:szCs w:val="24"/>
        </w:rPr>
        <w:t>TOF) mass spectrometer with the m/z range set to 300–2000. Collect and process all data using the MassLynx software.</w:t>
      </w:r>
    </w:p>
    <w:p w14:paraId="40BE260A">
      <w:pPr>
        <w:pStyle w:val="26"/>
        <w:spacing w:after="0" w:line="240" w:lineRule="auto"/>
        <w:ind w:left="0"/>
        <w:jc w:val="both"/>
        <w:rPr>
          <w:rFonts w:ascii="Calibri" w:hAnsi="Calibri" w:cs="Calibri"/>
          <w:sz w:val="24"/>
          <w:szCs w:val="24"/>
        </w:rPr>
      </w:pPr>
    </w:p>
    <w:p w14:paraId="106D2E65">
      <w:pPr>
        <w:pStyle w:val="26"/>
        <w:numPr>
          <w:ilvl w:val="2"/>
          <w:numId w:val="1"/>
        </w:numPr>
        <w:spacing w:after="0" w:line="240" w:lineRule="auto"/>
        <w:jc w:val="both"/>
        <w:rPr>
          <w:rFonts w:ascii="Calibri" w:hAnsi="Calibri" w:cs="Calibri"/>
          <w:sz w:val="24"/>
          <w:szCs w:val="24"/>
        </w:rPr>
      </w:pPr>
      <w:r>
        <w:rPr>
          <w:rFonts w:ascii="Calibri" w:hAnsi="Calibri" w:cs="Calibri"/>
          <w:sz w:val="24"/>
          <w:szCs w:val="24"/>
        </w:rPr>
        <w:t>For proteomic analysis, analyze the digested cell lysates as previously described, using a nano</w:t>
      </w:r>
      <w:r>
        <w:rPr>
          <w:rFonts w:ascii="Cambria Math" w:hAnsi="Cambria Math" w:cs="Cambria Math"/>
          <w:sz w:val="24"/>
          <w:szCs w:val="24"/>
        </w:rPr>
        <w:t>‑</w:t>
      </w:r>
      <w:r>
        <w:rPr>
          <w:rFonts w:ascii="Calibri" w:hAnsi="Calibri" w:cs="Calibri"/>
          <w:sz w:val="24"/>
          <w:szCs w:val="24"/>
        </w:rPr>
        <w:t>flow liquid chromatography system coupled to a high</w:t>
      </w:r>
      <w:r>
        <w:rPr>
          <w:rFonts w:ascii="Cambria Math" w:hAnsi="Cambria Math" w:cs="Cambria Math"/>
          <w:sz w:val="24"/>
          <w:szCs w:val="24"/>
        </w:rPr>
        <w:t>‑</w:t>
      </w:r>
      <w:r>
        <w:rPr>
          <w:rFonts w:ascii="Calibri" w:hAnsi="Calibri" w:cs="Calibri"/>
          <w:sz w:val="24"/>
          <w:szCs w:val="24"/>
        </w:rPr>
        <w:t xml:space="preserve">resolution tribrid mass spectrometer equipped with an analyzer. The mobile phase consisted of solvent A (0.1% FA in water) and solvent B (ACN/water, 8:2, v/v) at a flow rate of 300 nL/min. </w:t>
      </w:r>
    </w:p>
    <w:p w14:paraId="12DAF64B">
      <w:pPr>
        <w:pStyle w:val="26"/>
        <w:spacing w:after="0" w:line="240" w:lineRule="auto"/>
        <w:ind w:left="0"/>
        <w:jc w:val="both"/>
        <w:rPr>
          <w:rFonts w:ascii="Calibri" w:hAnsi="Calibri" w:cs="Calibri"/>
          <w:sz w:val="24"/>
          <w:szCs w:val="24"/>
        </w:rPr>
      </w:pPr>
    </w:p>
    <w:p w14:paraId="25652475">
      <w:pPr>
        <w:pStyle w:val="26"/>
        <w:numPr>
          <w:ilvl w:val="2"/>
          <w:numId w:val="1"/>
        </w:numPr>
        <w:spacing w:after="0" w:line="240" w:lineRule="auto"/>
        <w:jc w:val="both"/>
        <w:rPr>
          <w:rFonts w:ascii="Calibri" w:hAnsi="Calibri" w:cs="Calibri"/>
          <w:sz w:val="24"/>
          <w:szCs w:val="24"/>
        </w:rPr>
      </w:pPr>
      <w:r>
        <w:rPr>
          <w:rFonts w:ascii="Calibri" w:hAnsi="Calibri" w:cs="Calibri"/>
          <w:sz w:val="24"/>
          <w:szCs w:val="24"/>
        </w:rPr>
        <w:t>Separate peptides on a reversed</w:t>
      </w:r>
      <w:r>
        <w:rPr>
          <w:rFonts w:ascii="Cambria Math" w:hAnsi="Cambria Math" w:cs="Cambria Math"/>
          <w:sz w:val="24"/>
          <w:szCs w:val="24"/>
        </w:rPr>
        <w:t>‑</w:t>
      </w:r>
      <w:r>
        <w:rPr>
          <w:rFonts w:ascii="Calibri" w:hAnsi="Calibri" w:cs="Calibri"/>
          <w:sz w:val="24"/>
          <w:szCs w:val="24"/>
        </w:rPr>
        <w:t>phase C18 capillary column (75 μm x 250 mm) with a 90 min gradient: 3%–8% B (0–5 min), 8%–28% B (5–60 min), 28%–38% B (60–75 min), 38%–100% B (75–80 min), and 100% B (80–90 min). Acquire MS1 spectra over m/z 350–1800 with a resolution of 120,000 and an AGC target of 4e5. Generate MS2 spectra by higher</w:t>
      </w:r>
      <w:r>
        <w:rPr>
          <w:rFonts w:ascii="Cambria Math" w:hAnsi="Cambria Math" w:cs="Cambria Math"/>
          <w:sz w:val="24"/>
          <w:szCs w:val="24"/>
        </w:rPr>
        <w:t>‑</w:t>
      </w:r>
      <w:r>
        <w:rPr>
          <w:rFonts w:ascii="Calibri" w:hAnsi="Calibri" w:cs="Calibri"/>
          <w:sz w:val="24"/>
          <w:szCs w:val="24"/>
        </w:rPr>
        <w:t>energy collisional dissociation (HCD) fragmentation (collision energy = 32%), with a first mass of m/z 110, a resolution of 30,000, and an AGC target of 5e4.</w:t>
      </w:r>
    </w:p>
    <w:p w14:paraId="3E4189E8">
      <w:pPr>
        <w:pStyle w:val="26"/>
        <w:spacing w:after="0" w:line="240" w:lineRule="auto"/>
        <w:jc w:val="both"/>
        <w:rPr>
          <w:rFonts w:ascii="Calibri" w:hAnsi="Calibri" w:cs="Calibri"/>
          <w:sz w:val="24"/>
          <w:szCs w:val="24"/>
        </w:rPr>
      </w:pPr>
    </w:p>
    <w:p w14:paraId="25652476">
      <w:pPr>
        <w:pStyle w:val="26"/>
        <w:numPr>
          <w:ilvl w:val="1"/>
          <w:numId w:val="1"/>
        </w:numPr>
        <w:spacing w:after="0" w:line="240" w:lineRule="auto"/>
        <w:jc w:val="both"/>
        <w:rPr>
          <w:rFonts w:ascii="Calibri" w:hAnsi="Calibri" w:eastAsia="宋体" w:cs="Calibri"/>
          <w:sz w:val="24"/>
          <w:szCs w:val="24"/>
          <w:lang w:eastAsia="zh-CN"/>
        </w:rPr>
      </w:pPr>
      <w:r>
        <w:rPr>
          <w:rFonts w:ascii="Calibri" w:hAnsi="Calibri" w:eastAsia="宋体" w:cs="Calibri"/>
          <w:sz w:val="24"/>
          <w:szCs w:val="24"/>
          <w:lang w:eastAsia="zh-CN"/>
        </w:rPr>
        <w:t>Flow cytometry analysis</w:t>
      </w:r>
    </w:p>
    <w:p w14:paraId="47D91456">
      <w:pPr>
        <w:pStyle w:val="26"/>
        <w:spacing w:after="0" w:line="240" w:lineRule="auto"/>
        <w:ind w:left="0"/>
        <w:jc w:val="both"/>
        <w:rPr>
          <w:rFonts w:ascii="Calibri" w:hAnsi="Calibri" w:eastAsia="宋体" w:cs="Calibri"/>
          <w:sz w:val="24"/>
          <w:szCs w:val="24"/>
          <w:lang w:eastAsia="zh-CN"/>
        </w:rPr>
      </w:pPr>
    </w:p>
    <w:p w14:paraId="25652477">
      <w:pPr>
        <w:rPr>
          <w:lang w:eastAsia="zh-CN"/>
        </w:rPr>
      </w:pPr>
      <w:r>
        <w:rPr>
          <w:rFonts w:eastAsia="宋体"/>
          <w:lang w:eastAsia="zh-CN"/>
        </w:rPr>
        <w:t>5.3.1</w:t>
      </w:r>
      <w:r>
        <w:rPr>
          <w:rFonts w:eastAsia="宋体"/>
          <w:lang w:eastAsia="zh-CN"/>
        </w:rPr>
        <w:tab/>
      </w:r>
      <w:r>
        <w:rPr>
          <w:rFonts w:eastAsia="宋体"/>
          <w:lang w:eastAsia="zh-CN"/>
        </w:rPr>
        <w:t xml:space="preserve">Wash the cells 2x with pre-cooled PBS buffer, followed by centrifugation at 1,380 x </w:t>
      </w:r>
      <w:r>
        <w:rPr>
          <w:rFonts w:eastAsia="宋体"/>
          <w:i/>
          <w:iCs/>
          <w:lang w:eastAsia="zh-CN"/>
        </w:rPr>
        <w:t>g</w:t>
      </w:r>
      <w:r>
        <w:rPr>
          <w:rFonts w:eastAsia="宋体"/>
          <w:lang w:eastAsia="zh-CN"/>
        </w:rPr>
        <w:t xml:space="preserve"> for 3 min after each wash. Resuspend the cell pellet obtained after centrifugation in 500 μL of PBS buffer and gently pipette to mix. Filter the cell suspension through a 300-mesh sterile gauze, collect the filtrate into a flow cytometry tube to minimize interference from cell aggregates during detection. Analyze the prepared sample using a flow cytometer with dual lasers, with excitation at 405 nm and detection at 488 nm for the corresponding fluorescence signals.</w:t>
      </w:r>
    </w:p>
    <w:p w14:paraId="25652478">
      <w:pPr>
        <w:ind w:firstLine="480" w:firstLineChars="200"/>
        <w:rPr>
          <w:lang w:eastAsia="zh-CN"/>
        </w:rPr>
      </w:pPr>
    </w:p>
    <w:p w14:paraId="25652479">
      <w:r>
        <w:rPr>
          <w:b/>
        </w:rPr>
        <w:t xml:space="preserve">RESULTS: </w:t>
      </w:r>
    </w:p>
    <w:p w14:paraId="2565247A">
      <w:r>
        <w:t xml:space="preserve">We </w:t>
      </w:r>
      <w:r>
        <w:rPr>
          <w:rFonts w:eastAsia="宋体"/>
          <w:lang w:eastAsia="zh-CN"/>
        </w:rPr>
        <w:t xml:space="preserve">first </w:t>
      </w:r>
      <w:r>
        <w:t xml:space="preserve">evaluated the incorporation specificity of Klac into proteins in </w:t>
      </w:r>
      <w:r>
        <w:rPr>
          <w:i/>
          <w:iCs/>
        </w:rPr>
        <w:t>E. coli</w:t>
      </w:r>
      <w:r>
        <w:t>. The gene for human enolase 1 (</w:t>
      </w:r>
      <w:r>
        <w:rPr>
          <w:i/>
          <w:iCs/>
        </w:rPr>
        <w:t>hENO1</w:t>
      </w:r>
      <w:r>
        <w:t xml:space="preserve">) was engineered to contain an amber stop codon at residue K89 (hENO1-89TAG), and this construct was co-expressed with the orthogonal KlacRS and its cognate </w:t>
      </w:r>
      <w:r>
        <w:rPr>
          <w:rFonts w:eastAsiaTheme="minorEastAsia"/>
          <w:lang w:eastAsia="zh-CN"/>
        </w:rPr>
        <w:t>tRNA</w:t>
      </w:r>
      <w:r>
        <w:t xml:space="preserve"> pair in </w:t>
      </w:r>
      <w:r>
        <w:rPr>
          <w:i/>
          <w:iCs/>
        </w:rPr>
        <w:t>E. coli</w:t>
      </w:r>
      <w:r>
        <w:t xml:space="preserve">. In the absence of </w:t>
      </w:r>
      <w:r>
        <w:rPr>
          <w:rFonts w:eastAsia="宋体"/>
          <w:lang w:eastAsia="zh-CN"/>
        </w:rPr>
        <w:t xml:space="preserve">1 mM </w:t>
      </w:r>
      <w:r>
        <w:t>Klac</w:t>
      </w:r>
      <w:r>
        <w:rPr>
          <w:rFonts w:eastAsia="宋体"/>
          <w:lang w:eastAsia="zh-CN"/>
        </w:rPr>
        <w:t xml:space="preserve"> supplementation</w:t>
      </w:r>
      <w:r>
        <w:t>, no</w:t>
      </w:r>
      <w:r>
        <w:rPr>
          <w:rFonts w:eastAsia="宋体"/>
          <w:lang w:eastAsia="zh-CN"/>
        </w:rPr>
        <w:t xml:space="preserve"> </w:t>
      </w:r>
      <w:r>
        <w:t xml:space="preserve">full-length hENO1 was detected; </w:t>
      </w:r>
      <w:r>
        <w:rPr>
          <w:rFonts w:eastAsia="宋体"/>
          <w:lang w:eastAsia="zh-CN"/>
        </w:rPr>
        <w:t xml:space="preserve">by contrast, </w:t>
      </w:r>
      <w:r>
        <w:t>when 1 mM Klac was added to the growth media, full-length hENO1 containing Klac at position 89 (hENO1-89Klac) was produced at a yield of ~1.2 mg/L (</w:t>
      </w:r>
      <w:r>
        <w:rPr>
          <w:b/>
          <w:bCs/>
        </w:rPr>
        <w:t>Figure 1A</w:t>
      </w:r>
      <w:r>
        <w:t xml:space="preserve">). The presence of full-length </w:t>
      </w:r>
      <w:r>
        <w:rPr>
          <w:rFonts w:eastAsia="宋体"/>
          <w:lang w:eastAsia="zh-CN"/>
        </w:rPr>
        <w:t>h</w:t>
      </w:r>
      <w:r>
        <w:t>ENO1 and selective incorporation of Klac was confirmed by immunoblotting using anti-His tag and anti-L-lactyl lysine antibodies (</w:t>
      </w:r>
      <w:r>
        <w:rPr>
          <w:b/>
          <w:bCs/>
        </w:rPr>
        <w:t>Figures 1B-C</w:t>
      </w:r>
      <w:r>
        <w:t xml:space="preserve">). The purified hENO1-89Klac was </w:t>
      </w:r>
      <w:r>
        <w:rPr>
          <w:rFonts w:eastAsia="宋体"/>
          <w:lang w:eastAsia="zh-CN"/>
        </w:rPr>
        <w:t>subjected to</w:t>
      </w:r>
      <w:r>
        <w:t xml:space="preserve"> electrospray ionization time-of-flight mass spectrometry (ESI-TOF MS; </w:t>
      </w:r>
      <w:r>
        <w:rPr>
          <w:b/>
          <w:bCs/>
        </w:rPr>
        <w:t>Figure 2A</w:t>
      </w:r>
      <w:r>
        <w:t xml:space="preserve">). A </w:t>
      </w:r>
      <w:r>
        <w:rPr>
          <w:rFonts w:eastAsia="宋体"/>
          <w:lang w:eastAsia="zh-CN"/>
        </w:rPr>
        <w:t xml:space="preserve">major </w:t>
      </w:r>
      <w:r>
        <w:t xml:space="preserve">peak observed at 48178.00 Da corresponds </w:t>
      </w:r>
      <w:r>
        <w:rPr>
          <w:rFonts w:eastAsia="宋体"/>
          <w:lang w:eastAsia="zh-CN"/>
        </w:rPr>
        <w:t xml:space="preserve">well </w:t>
      </w:r>
      <w:r>
        <w:t>to</w:t>
      </w:r>
      <w:r>
        <w:rPr>
          <w:rFonts w:eastAsia="宋体"/>
          <w:lang w:eastAsia="zh-CN"/>
        </w:rPr>
        <w:t xml:space="preserve"> the</w:t>
      </w:r>
      <w:r>
        <w:t xml:space="preserve"> intact hENO1 containing </w:t>
      </w:r>
      <w:r>
        <w:rPr>
          <w:rFonts w:eastAsia="宋体"/>
          <w:lang w:eastAsia="zh-CN"/>
        </w:rPr>
        <w:t>89</w:t>
      </w:r>
      <w:r>
        <w:t xml:space="preserve">Klac </w:t>
      </w:r>
      <w:r>
        <w:rPr>
          <w:rFonts w:eastAsia="宋体"/>
          <w:lang w:eastAsia="zh-CN"/>
        </w:rPr>
        <w:t>and lacking the initiating methionine</w:t>
      </w:r>
      <w:r>
        <w:t xml:space="preserve"> (hENO1-89Klac-Met: expected 48175.14 Da). </w:t>
      </w:r>
      <w:r>
        <w:rPr>
          <w:rFonts w:eastAsia="宋体"/>
          <w:lang w:eastAsia="zh-CN"/>
        </w:rPr>
        <w:t>F</w:t>
      </w:r>
      <w:r>
        <w:t>urther analysis by tandem MS of the tryptic digest of hENO1-89Klac confirmed site-specific incorporation: the spectrum contained a complete series of b- and y-ions that map unambiguously to modification of residue 89 by Klac (</w:t>
      </w:r>
      <w:r>
        <w:rPr>
          <w:b/>
          <w:bCs/>
        </w:rPr>
        <w:t>Figure 2B</w:t>
      </w:r>
      <w:r>
        <w:t xml:space="preserve">). </w:t>
      </w:r>
    </w:p>
    <w:p w14:paraId="2565247B"/>
    <w:p w14:paraId="2565247C">
      <w:pPr>
        <w:rPr>
          <w:rFonts w:eastAsia="宋体"/>
          <w:lang w:eastAsia="zh-CN"/>
        </w:rPr>
      </w:pPr>
      <w:r>
        <w:t xml:space="preserve">We next tested Klac incorporation into proteins in mammalian cells. We </w:t>
      </w:r>
      <w:r>
        <w:rPr>
          <w:rFonts w:eastAsia="宋体"/>
          <w:lang w:eastAsia="zh-CN"/>
        </w:rPr>
        <w:t>co-</w:t>
      </w:r>
      <w:r>
        <w:t>transfected HEK293T</w:t>
      </w:r>
      <w:r>
        <w:rPr>
          <w:rFonts w:eastAsia="宋体"/>
          <w:lang w:eastAsia="zh-CN"/>
        </w:rPr>
        <w:t xml:space="preserve"> </w:t>
      </w:r>
      <w:r>
        <w:t>cells with plasmid pN</w:t>
      </w:r>
      <w:r>
        <w:rPr>
          <w:rFonts w:eastAsia="宋体"/>
          <w:lang w:eastAsia="zh-CN"/>
        </w:rPr>
        <w:t>eu</w:t>
      </w:r>
      <w:r>
        <w:t xml:space="preserve">-KlacRS, which </w:t>
      </w:r>
      <w:r>
        <w:rPr>
          <w:rFonts w:eastAsia="宋体"/>
          <w:lang w:eastAsia="zh-CN"/>
        </w:rPr>
        <w:t>encoded both</w:t>
      </w:r>
      <w:r>
        <w:t xml:space="preserve"> KlacRS and </w:t>
      </w:r>
      <w:r>
        <w:rPr>
          <w:rFonts w:eastAsiaTheme="minorEastAsia"/>
          <w:lang w:eastAsia="zh-CN"/>
        </w:rPr>
        <w:t>tRNA</w:t>
      </w:r>
      <w:r>
        <w:t xml:space="preserve"> genes, </w:t>
      </w:r>
      <w:r>
        <w:rPr>
          <w:rFonts w:eastAsia="宋体"/>
          <w:lang w:eastAsia="zh-CN"/>
        </w:rPr>
        <w:t>along with an sfGFP reporter bearing an amber stop codon at position 149 (sfGFP</w:t>
      </w:r>
      <w:r>
        <w:rPr>
          <w:rFonts w:ascii="Cambria Math" w:hAnsi="Cambria Math" w:eastAsia="宋体" w:cs="Cambria Math"/>
          <w:lang w:eastAsia="zh-CN"/>
        </w:rPr>
        <w:t>‑</w:t>
      </w:r>
      <w:r>
        <w:rPr>
          <w:rFonts w:eastAsia="宋体"/>
          <w:lang w:eastAsia="zh-CN"/>
        </w:rPr>
        <w:t>149 TAG)</w:t>
      </w:r>
      <w:r>
        <w:t>. Fluorescence confocal microscopy (</w:t>
      </w:r>
      <w:r>
        <w:rPr>
          <w:b/>
          <w:bCs/>
        </w:rPr>
        <w:t>Figure 3A</w:t>
      </w:r>
      <w:r>
        <w:t>) revealed strong sfGFP fluorescence throughout the cells when Klac was added, while no fluorescence was observed in the absence of Klac</w:t>
      </w:r>
      <w:r>
        <w:rPr>
          <w:rFonts w:eastAsia="宋体"/>
          <w:lang w:eastAsia="zh-CN"/>
        </w:rPr>
        <w:t>. Cell morphology remained normal under Klac</w:t>
      </w:r>
      <w:r>
        <w:rPr>
          <w:rFonts w:ascii="Cambria Math" w:hAnsi="Cambria Math" w:eastAsia="宋体" w:cs="Cambria Math"/>
          <w:lang w:eastAsia="zh-CN"/>
        </w:rPr>
        <w:t>‑</w:t>
      </w:r>
      <w:r>
        <w:rPr>
          <w:rFonts w:eastAsia="宋体"/>
          <w:lang w:eastAsia="zh-CN"/>
        </w:rPr>
        <w:t>supplemented conditions.</w:t>
      </w:r>
      <w:r>
        <w:t xml:space="preserve"> No fluorescence signal was detected when Klac was not added.</w:t>
      </w:r>
      <w:r>
        <w:rPr>
          <w:rFonts w:eastAsia="宋体"/>
          <w:lang w:eastAsia="zh-CN"/>
        </w:rPr>
        <w:t xml:space="preserve"> Using flow cytometry, we quantified fluorescence and found that ~31% of cells exhibited sfGFP expression after 24 h of Klac supplementation, increasing to ~37% after 48 h (</w:t>
      </w:r>
      <w:r>
        <w:rPr>
          <w:rFonts w:eastAsia="宋体"/>
          <w:b/>
          <w:bCs/>
          <w:lang w:eastAsia="zh-CN"/>
        </w:rPr>
        <w:t>Figure 3B</w:t>
      </w:r>
      <w:r>
        <w:rPr>
          <w:rFonts w:eastAsia="宋体"/>
          <w:lang w:eastAsia="zh-CN"/>
        </w:rPr>
        <w:t>). Fluorescence intensity also increased with longer incubation time.</w:t>
      </w:r>
      <w:r>
        <w:t xml:space="preserve"> </w:t>
      </w:r>
      <w:r>
        <w:rPr>
          <w:rFonts w:eastAsia="宋体"/>
          <w:lang w:eastAsia="zh-CN"/>
        </w:rPr>
        <w:t>Collectively, t</w:t>
      </w:r>
      <w:r>
        <w:t xml:space="preserve">hese results suggest that Klac can be efficiently and specifically incorporated into proteins in </w:t>
      </w:r>
      <w:r>
        <w:rPr>
          <w:rFonts w:eastAsia="宋体"/>
          <w:lang w:eastAsia="zh-CN"/>
        </w:rPr>
        <w:t xml:space="preserve">both </w:t>
      </w:r>
      <w:r>
        <w:rPr>
          <w:rFonts w:eastAsia="宋体"/>
          <w:i/>
          <w:iCs/>
          <w:lang w:eastAsia="zh-CN"/>
        </w:rPr>
        <w:t>E. coli</w:t>
      </w:r>
      <w:r>
        <w:rPr>
          <w:rFonts w:eastAsia="宋体"/>
          <w:lang w:eastAsia="zh-CN"/>
        </w:rPr>
        <w:t xml:space="preserve"> and </w:t>
      </w:r>
      <w:r>
        <w:t>mammalian cells.</w:t>
      </w:r>
      <w:r>
        <w:rPr>
          <w:rFonts w:eastAsia="宋体"/>
          <w:lang w:eastAsia="zh-CN"/>
        </w:rPr>
        <w:t xml:space="preserve"> Therefore, our approach provides a convenient tool for protein lactylation study. </w:t>
      </w:r>
    </w:p>
    <w:p w14:paraId="2565247D"/>
    <w:p w14:paraId="2565247E">
      <w:r>
        <w:rPr>
          <w:b/>
          <w:bCs/>
        </w:rPr>
        <w:t xml:space="preserve">Protein sequence of </w:t>
      </w:r>
      <w:r>
        <w:rPr>
          <w:rFonts w:eastAsia="宋体"/>
          <w:b/>
          <w:bCs/>
          <w:lang w:eastAsia="zh-CN"/>
        </w:rPr>
        <w:t>h</w:t>
      </w:r>
      <w:r>
        <w:rPr>
          <w:b/>
          <w:bCs/>
        </w:rPr>
        <w:t>ENO1</w:t>
      </w:r>
      <w:r>
        <w:rPr>
          <w:rFonts w:eastAsia="宋体"/>
          <w:b/>
          <w:bCs/>
          <w:lang w:eastAsia="zh-CN"/>
        </w:rPr>
        <w:t>-89Klac</w:t>
      </w:r>
      <w:r>
        <w:rPr>
          <w:b/>
          <w:bCs/>
        </w:rPr>
        <w:t>:</w:t>
      </w:r>
    </w:p>
    <w:p w14:paraId="2565247F">
      <w:r>
        <w:t>MSILKIHAREIFDSRGNPTVEVDLFTSKGLFRAAVPSGASTGIYEALELRDNDKTRYMGKGVSKAVEHINKTIAPALVSKKLNVTEQEK(lac)IDKLMIEMDGTENKSKFGANAILGVSLAVCKAGAVEKGVPLYRHIADLAGNSEVILPVPAFNVINGGSHAGNKLAMQEFMILPVGAANFREAMRIGAEVYHNLKNVIKEKYGKDATNVGDEGGFAPNILENKEGLELLKTAIGKAGYTDKVVIGMDVAASEFFRSGKYDLDFKSPDDPSRYISPDQLADLYKSFIKDYPVVSIEDPFDQDDWGAWQKFTASAGIQVVGDDLTVTNPKRIAKAVNEKSCNCLLLKVNQIGSVTESLQACKLAQANGWGVMVSHRSGETEDTFIADLVVGLCTGQIKTGAPCRSERLAKYNQLLRIEEELGSKAKFAGRNFRNPLAKLEHHHHHH</w:t>
      </w:r>
    </w:p>
    <w:p w14:paraId="25652480"/>
    <w:p w14:paraId="25652481">
      <w:r>
        <w:rPr>
          <w:b/>
          <w:bCs/>
        </w:rPr>
        <w:t>Protein sequence of sfGFP</w:t>
      </w:r>
      <w:r>
        <w:rPr>
          <w:rFonts w:eastAsia="宋体"/>
          <w:b/>
          <w:bCs/>
          <w:lang w:eastAsia="zh-CN"/>
        </w:rPr>
        <w:t>-149Klac</w:t>
      </w:r>
      <w:r>
        <w:rPr>
          <w:b/>
          <w:bCs/>
        </w:rPr>
        <w:t>:</w:t>
      </w:r>
    </w:p>
    <w:p w14:paraId="25652482">
      <w:r>
        <w:t>MSKGEELFTGVVPILVELDGDVNGHKFSVRGEGEGDATNGKLTLKFICTTGKLPVPWPTLVTTLTYGVQCFSRYPDHMKRHDFFKSAMPEGYVQERTISFKDDGTYKTRAEVKFEGDTLVNRIELKGIDFKEDGNILGHKLEYNFNSHK(lac)VYITADKQKNGIKANFKIRHNVEDGSVQLADHYQQNTPIGDGPVLLPDNHYLSTQSVLSKDPNEKRDHMVLLEFVTAAGITHGMDELYKGSHHHHHH</w:t>
      </w:r>
    </w:p>
    <w:p w14:paraId="25652483"/>
    <w:p w14:paraId="7EEA61E9">
      <w:pPr>
        <w:rPr>
          <w:rFonts w:eastAsia="宋体"/>
          <w:lang w:eastAsia="zh-CN"/>
        </w:rPr>
      </w:pPr>
      <w:r>
        <w:rPr>
          <w:b/>
        </w:rPr>
        <w:t>FIGURE AND TABLE LEGENDS:</w:t>
      </w:r>
      <w:r>
        <w:t xml:space="preserve"> </w:t>
      </w:r>
    </w:p>
    <w:p w14:paraId="00BB3065">
      <w:r>
        <w:rPr>
          <w:b/>
        </w:rPr>
        <w:t>Figure 1:</w:t>
      </w:r>
      <w:r>
        <w:t xml:space="preserve"> </w:t>
      </w:r>
      <w:r>
        <w:rPr>
          <w:b/>
          <w:bCs/>
        </w:rPr>
        <w:t xml:space="preserve">Genetic encoding of Klac into hENO1 in </w:t>
      </w:r>
      <w:r>
        <w:rPr>
          <w:b/>
          <w:bCs/>
          <w:i/>
          <w:iCs/>
        </w:rPr>
        <w:t>E. coli</w:t>
      </w:r>
      <w:r>
        <w:rPr>
          <w:b/>
          <w:bCs/>
        </w:rPr>
        <w:t>.</w:t>
      </w:r>
      <w:r>
        <w:t xml:space="preserve"> (</w:t>
      </w:r>
      <w:r>
        <w:rPr>
          <w:rFonts w:eastAsia="宋体"/>
          <w:b/>
          <w:bCs/>
          <w:lang w:eastAsia="zh-CN"/>
        </w:rPr>
        <w:t>A</w:t>
      </w:r>
      <w:r>
        <w:t>) The Coomassie blue-stained SDS-PAGE gel of purified full-length hENO1 and hENO1-89Klac. The triangle indicates full-length hENO1 expression. (</w:t>
      </w:r>
      <w:r>
        <w:rPr>
          <w:rFonts w:eastAsia="宋体"/>
          <w:b/>
          <w:bCs/>
          <w:lang w:eastAsia="zh-CN"/>
        </w:rPr>
        <w:t>B</w:t>
      </w:r>
      <w:r>
        <w:rPr>
          <w:b/>
          <w:bCs/>
        </w:rPr>
        <w:t xml:space="preserve">, </w:t>
      </w:r>
      <w:r>
        <w:rPr>
          <w:rFonts w:eastAsia="宋体"/>
          <w:b/>
          <w:bCs/>
          <w:lang w:eastAsia="zh-CN"/>
        </w:rPr>
        <w:t>C</w:t>
      </w:r>
      <w:r>
        <w:t>) Immunoblotting analysis of purified wild-type hENO1 and hENO1-89Klac, detected against anti-His, anti-L-Lactyl Lysine.</w:t>
      </w:r>
    </w:p>
    <w:p w14:paraId="283C32D6">
      <w:pPr>
        <w:rPr>
          <w:rFonts w:eastAsia="宋体"/>
          <w:lang w:eastAsia="zh-CN"/>
        </w:rPr>
      </w:pPr>
    </w:p>
    <w:p w14:paraId="287712A9">
      <w:r>
        <w:rPr>
          <w:b/>
        </w:rPr>
        <w:t>Figure 2:</w:t>
      </w:r>
      <w:r>
        <w:t xml:space="preserve"> </w:t>
      </w:r>
      <w:r>
        <w:rPr>
          <w:b/>
          <w:bCs/>
        </w:rPr>
        <w:t>Mass spectrometry analysis of purified hENO1-89Klac</w:t>
      </w:r>
      <w:r>
        <w:t>. (</w:t>
      </w:r>
      <w:r>
        <w:rPr>
          <w:rFonts w:eastAsia="宋体"/>
          <w:b/>
          <w:bCs/>
          <w:lang w:eastAsia="zh-CN"/>
        </w:rPr>
        <w:t>A</w:t>
      </w:r>
      <w:r>
        <w:t>) ESI-TOF MS spectrum of hENO1-89Klac. (</w:t>
      </w:r>
      <w:r>
        <w:rPr>
          <w:rFonts w:eastAsia="宋体"/>
          <w:b/>
          <w:bCs/>
          <w:lang w:eastAsia="zh-CN"/>
        </w:rPr>
        <w:t>B</w:t>
      </w:r>
      <w:r>
        <w:t>) Tandem MS spectrum of purified hENO1-89Klac.</w:t>
      </w:r>
    </w:p>
    <w:p w14:paraId="7B13B758"/>
    <w:p w14:paraId="3E6D9A46">
      <w:r>
        <w:rPr>
          <w:b/>
        </w:rPr>
        <w:t>Figure 3:</w:t>
      </w:r>
      <w:r>
        <w:t xml:space="preserve"> </w:t>
      </w:r>
      <w:r>
        <w:rPr>
          <w:b/>
          <w:bCs/>
        </w:rPr>
        <w:t>Genetic encoding of Klac into sfGFP in HEK293T cells.</w:t>
      </w:r>
      <w:r>
        <w:t xml:space="preserve"> (</w:t>
      </w:r>
      <w:r>
        <w:rPr>
          <w:rFonts w:eastAsia="宋体"/>
          <w:b/>
          <w:bCs/>
          <w:lang w:eastAsia="zh-CN"/>
        </w:rPr>
        <w:t>A</w:t>
      </w:r>
      <w:r>
        <w:t>) Representative fluorescence images of HEK293T cells co-transfected with KlacRS and sfGFP-149TAG reporter (Scale bar, 50 μm). (</w:t>
      </w:r>
      <w:r>
        <w:rPr>
          <w:rFonts w:eastAsia="宋体"/>
          <w:b/>
          <w:bCs/>
          <w:lang w:eastAsia="zh-CN"/>
        </w:rPr>
        <w:t>B</w:t>
      </w:r>
      <w:r>
        <w:t>) FACS analysis of HEK293T cells co-transfected with KlacRS and sfGFP-149TAG reporter.</w:t>
      </w:r>
    </w:p>
    <w:p w14:paraId="5B87931D"/>
    <w:p w14:paraId="25652484">
      <w:pPr>
        <w:rPr>
          <w:b/>
        </w:rPr>
      </w:pPr>
      <w:r>
        <w:rPr>
          <w:b/>
        </w:rPr>
        <w:t xml:space="preserve">DISCUSSION: </w:t>
      </w:r>
    </w:p>
    <w:p w14:paraId="25652485">
      <w:pPr>
        <w:widowControl/>
      </w:pPr>
      <w:r>
        <w:t xml:space="preserve">Here, we describe a strategy for site-specific incorporation of Klac into proteins in both prokaryotic and eukaryotic cells. By introducing an amber stop codon at the desired position of the target gene and co-expressing it with the </w:t>
      </w:r>
      <w:r>
        <w:rPr>
          <w:rFonts w:eastAsia="宋体"/>
          <w:lang w:eastAsia="zh-CN"/>
        </w:rPr>
        <w:t xml:space="preserve">orthogonal </w:t>
      </w:r>
      <w:r>
        <w:t>KlacRS/</w:t>
      </w:r>
      <w:r>
        <w:rPr>
          <w:rFonts w:eastAsiaTheme="minorEastAsia"/>
          <w:lang w:eastAsia="zh-CN"/>
        </w:rPr>
        <w:t>tRNA</w:t>
      </w:r>
      <w:r>
        <w:t xml:space="preserve"> pair in host cells, authentic lactyl lysine can be precisely incorporated into proteins in living cells, providing a powerful tool to probe lactylation-specific biology. </w:t>
      </w:r>
    </w:p>
    <w:p w14:paraId="25652486">
      <w:pPr>
        <w:widowControl/>
      </w:pPr>
    </w:p>
    <w:p w14:paraId="25652487">
      <w:pPr>
        <w:rPr>
          <w:rFonts w:eastAsia="宋体"/>
          <w:lang w:eastAsia="zh-CN"/>
        </w:rPr>
      </w:pPr>
      <w:r>
        <w:t>We demonstrated the feasibility of this workflow</w:t>
      </w:r>
      <w:r>
        <w:rPr>
          <w:rFonts w:eastAsia="宋体"/>
          <w:lang w:eastAsia="zh-CN"/>
        </w:rPr>
        <w:t xml:space="preserve"> u</w:t>
      </w:r>
      <w:r>
        <w:t>sing the representative functional protein hENO1 and sfGFP</w:t>
      </w:r>
      <w:r>
        <w:rPr>
          <w:rFonts w:eastAsia="宋体"/>
          <w:lang w:eastAsia="zh-CN"/>
        </w:rPr>
        <w:t xml:space="preserve"> </w:t>
      </w:r>
      <w:r>
        <w:t>as model systems</w:t>
      </w:r>
      <w:r>
        <w:rPr>
          <w:rFonts w:eastAsia="宋体"/>
          <w:lang w:eastAsia="zh-CN"/>
        </w:rPr>
        <w:t xml:space="preserve">. </w:t>
      </w:r>
      <w:r>
        <w:t>hENO1 is a multifunctional glycolytic enzyme that catalyzes the conversion of 2-phosphoglycerate to phosphoenolpyruvate. It is involved in diverse biological processes, including cell growth, hypoxia adaptation, allergic responses, and immune regulation. Notably, multiple lactylation sites have been identified on ENO1 in tumor cells, including K89, characterized in this study, highlighting its potential roles as a transcriptional repressor and tumor suppressor.</w:t>
      </w:r>
      <w:r>
        <w:rPr>
          <w:rFonts w:eastAsia="宋体"/>
          <w:lang w:eastAsia="zh-CN"/>
        </w:rPr>
        <w:t xml:space="preserve"> </w:t>
      </w:r>
      <w:r>
        <w:t>sfGFP is a robust fluorescent reporter protein widely used for labeling and tracking in live-cell studies. The residue at position 149 serves as a permissive site for site-specific incorporation of unnatural amino acids, making sfGFP an ideal model for visualizing and validating genetic code expansion systems across biological contexts.</w:t>
      </w:r>
      <w:r>
        <w:rPr>
          <w:rFonts w:eastAsia="宋体"/>
          <w:lang w:eastAsia="zh-CN"/>
        </w:rPr>
        <w:t xml:space="preserve"> By using our workflow, Klac was site-specifically incorporated into hENO1 at position 89 in </w:t>
      </w:r>
      <w:r>
        <w:rPr>
          <w:rFonts w:eastAsia="宋体"/>
          <w:i/>
          <w:iCs/>
          <w:lang w:eastAsia="zh-CN"/>
        </w:rPr>
        <w:t>E. coli</w:t>
      </w:r>
      <w:r>
        <w:rPr>
          <w:rFonts w:eastAsia="宋体"/>
          <w:lang w:eastAsia="zh-CN"/>
        </w:rPr>
        <w:t>, as confirmed by SDS-PAGE, immunoblot, and mass spectrometry analysis. In mammalian cells, Klac was efficiently incorporated into sfGFP at position 149, verified by fluorescence microscopy and flow cytometry. This approach effectively overcomes the limitation of lysine-to-glutamine substitution, which cannot faithfully reproduce the chemical structure or biological function of authentic lactylation in living cells.</w:t>
      </w:r>
    </w:p>
    <w:p w14:paraId="25652488">
      <w:pPr>
        <w:rPr>
          <w:rFonts w:eastAsia="宋体"/>
          <w:lang w:eastAsia="zh-CN"/>
        </w:rPr>
      </w:pPr>
    </w:p>
    <w:p w14:paraId="25652489">
      <w:pPr>
        <w:pStyle w:val="12"/>
        <w:widowControl/>
        <w:adjustRightInd w:val="0"/>
        <w:snapToGrid w:val="0"/>
        <w:spacing w:beforeAutospacing="0" w:afterAutospacing="0"/>
        <w:jc w:val="both"/>
        <w:rPr>
          <w:rFonts w:cs="Calibri"/>
        </w:rPr>
      </w:pPr>
      <w:r>
        <w:rPr>
          <w:rFonts w:eastAsia="宋体" w:cs="Calibri"/>
        </w:rPr>
        <w:t>The GCE-based lactylation platform has been widely applied to investigate molecular mechanisms underlying protein function and to enable high-throughput functional screening. For instance, researchers have used this system to generate site-specifically lactylated p53 variants,</w:t>
      </w:r>
      <w:r>
        <w:rPr>
          <w:rFonts w:cs="Calibri"/>
        </w:rPr>
        <w:t xml:space="preserve"> </w:t>
      </w:r>
      <w:r>
        <w:rPr>
          <w:rFonts w:eastAsia="宋体" w:cs="Calibri"/>
        </w:rPr>
        <w:t>such as</w:t>
      </w:r>
      <w:r>
        <w:rPr>
          <w:rFonts w:cs="Calibri"/>
        </w:rPr>
        <w:t xml:space="preserve"> p53K120</w:t>
      </w:r>
      <w:r>
        <w:rPr>
          <w:rFonts w:eastAsia="宋体" w:cs="Calibri"/>
        </w:rPr>
        <w:t>Kl</w:t>
      </w:r>
      <w:r>
        <w:rPr>
          <w:rFonts w:cs="Calibri"/>
        </w:rPr>
        <w:t>ac, p53K139</w:t>
      </w:r>
      <w:r>
        <w:rPr>
          <w:rFonts w:eastAsia="宋体" w:cs="Calibri"/>
        </w:rPr>
        <w:t>Kl</w:t>
      </w:r>
      <w:r>
        <w:rPr>
          <w:rFonts w:cs="Calibri"/>
        </w:rPr>
        <w:t>ac, and p53Dual-</w:t>
      </w:r>
      <w:r>
        <w:rPr>
          <w:rFonts w:eastAsia="宋体" w:cs="Calibri"/>
        </w:rPr>
        <w:t>Kl</w:t>
      </w:r>
      <w:r>
        <w:rPr>
          <w:rFonts w:cs="Calibri"/>
        </w:rPr>
        <w:t>ac, demonstrating that lactylation markedly reduces p53 binding affinity for the p53 response element (p53RE-DNA)</w:t>
      </w:r>
      <w:r>
        <w:rPr>
          <w:rFonts w:cs="Calibri"/>
          <w:vertAlign w:val="superscript"/>
        </w:rPr>
        <w:t>1</w:t>
      </w:r>
      <w:r>
        <w:rPr>
          <w:rFonts w:eastAsia="宋体" w:cs="Calibri"/>
          <w:vertAlign w:val="superscript"/>
        </w:rPr>
        <w:t>9</w:t>
      </w:r>
      <w:r>
        <w:rPr>
          <w:rFonts w:cs="Calibri"/>
        </w:rPr>
        <w:t>. Compromised DNA binding prevents lactylated p53 from effectively recruiting transcriptional machinery, inhibiting LLPS-mediated formation of transcriptional condensates and ultimately promoting tumorigenesis.</w:t>
      </w:r>
    </w:p>
    <w:p w14:paraId="4A9990C8">
      <w:pPr>
        <w:pStyle w:val="12"/>
        <w:widowControl/>
        <w:adjustRightInd w:val="0"/>
        <w:snapToGrid w:val="0"/>
        <w:spacing w:beforeAutospacing="0" w:afterAutospacing="0"/>
        <w:jc w:val="both"/>
        <w:rPr>
          <w:rFonts w:cs="Calibri"/>
        </w:rPr>
      </w:pPr>
    </w:p>
    <w:p w14:paraId="2565248A">
      <w:pPr>
        <w:adjustRightInd w:val="0"/>
        <w:snapToGrid w:val="0"/>
      </w:pPr>
      <w:r>
        <w:t>Beyond mechanistic studies, the GCE platform has been adapted for high throughput monitoring of enzyme activity. For example, a dual-color fluorescent probe (EGFP-K85Klac-mCherry) was developed by site-specifically incorporating Klac at Lys85 of enhanced green fluorescent protein (EGFP), enabling real-time reporting of de-lactylase activity in live cells</w:t>
      </w:r>
      <w:r>
        <w:rPr>
          <w:vertAlign w:val="superscript"/>
        </w:rPr>
        <w:t>2</w:t>
      </w:r>
      <w:r>
        <w:rPr>
          <w:rFonts w:eastAsia="宋体"/>
          <w:vertAlign w:val="superscript"/>
          <w:lang w:eastAsia="zh-CN"/>
        </w:rPr>
        <w:t>7</w:t>
      </w:r>
      <w:r>
        <w:t>. This probe has also been used to monitor deacetylase activity in real time</w:t>
      </w:r>
      <w:r>
        <w:rPr>
          <w:vertAlign w:val="superscript"/>
        </w:rPr>
        <w:t>2</w:t>
      </w:r>
      <w:r>
        <w:rPr>
          <w:rFonts w:eastAsia="宋体"/>
          <w:vertAlign w:val="superscript"/>
          <w:lang w:eastAsia="zh-CN"/>
        </w:rPr>
        <w:t>9</w:t>
      </w:r>
      <w:r>
        <w:rPr>
          <w:rFonts w:eastAsia="宋体"/>
          <w:lang w:eastAsia="zh-CN"/>
        </w:rPr>
        <w:t>, illustrating the versatility of the system for both mechanistic and functional screening applications.</w:t>
      </w:r>
    </w:p>
    <w:p w14:paraId="2565248B"/>
    <w:p w14:paraId="2565248C">
      <w:pPr>
        <w:rPr>
          <w:lang w:eastAsia="zh-CN"/>
        </w:rPr>
      </w:pPr>
      <w:r>
        <w:t>Despite its utility, the current methodology has limitations. First, the incorporation efficiency of Klac remains suboptimal. Only about 37% of transfected mammalian cells expressed full-length lactylated protein, likely due to tRNA orthogonality, Klac membrane permeability, and intracellular stability. Future efforts could employ directed evolution to enhance the activity and specificity of the KlacRS/</w:t>
      </w:r>
      <w:r>
        <w:rPr>
          <w:rFonts w:eastAsiaTheme="minorEastAsia"/>
          <w:lang w:eastAsia="zh-CN"/>
        </w:rPr>
        <w:t>tRNA</w:t>
      </w:r>
      <w:r>
        <w:t xml:space="preserve"> pair, improving UAG suppression efficiency and protein yield</w:t>
      </w:r>
      <w:r>
        <w:rPr>
          <w:vertAlign w:val="superscript"/>
        </w:rPr>
        <w:t>2</w:t>
      </w:r>
      <w:r>
        <w:rPr>
          <w:rFonts w:eastAsia="宋体"/>
          <w:vertAlign w:val="superscript"/>
          <w:lang w:eastAsia="zh-CN"/>
        </w:rPr>
        <w:t>5</w:t>
      </w:r>
      <w:r>
        <w:rPr>
          <w:vertAlign w:val="superscript"/>
        </w:rPr>
        <w:t>,2</w:t>
      </w:r>
      <w:r>
        <w:rPr>
          <w:rFonts w:eastAsia="宋体"/>
          <w:vertAlign w:val="superscript"/>
          <w:lang w:eastAsia="zh-CN"/>
        </w:rPr>
        <w:t>6</w:t>
      </w:r>
      <w:r>
        <w:t>. Second, the reliance on transient transfection limits application in hard-to-transfect cells and long-term studies</w:t>
      </w:r>
      <w:r>
        <w:rPr>
          <w:vertAlign w:val="superscript"/>
        </w:rPr>
        <w:t>30–32</w:t>
      </w:r>
      <w:r>
        <w:t>. Stable genomic integration of the KlacRS/tRNA system and the TAG-containing target gene—using PiggyBac or CRISPR/Cas9—would facilitate the generation of stable cell lines and support prolonged lactylation studies</w:t>
      </w:r>
      <w:r>
        <w:rPr>
          <w:rFonts w:eastAsia="宋体"/>
          <w:vertAlign w:val="superscript"/>
          <w:lang w:eastAsia="zh-CN"/>
        </w:rPr>
        <w:t>25,33</w:t>
      </w:r>
      <w:r>
        <w:t xml:space="preserve">. </w:t>
      </w:r>
      <w:r>
        <w:rPr>
          <w:lang w:eastAsia="zh-CN"/>
        </w:rPr>
        <w:t>Third, unlike acetyllysine (AcK), which has been successfully biosynthesized in engineered cells and applied in screening deacetylase inhibitors and generating live epigenetic sensors in mouse models</w:t>
      </w:r>
      <w:r>
        <w:rPr>
          <w:vertAlign w:val="superscript"/>
          <w:lang w:eastAsia="zh-CN"/>
        </w:rPr>
        <w:t>29</w:t>
      </w:r>
      <w:r>
        <w:rPr>
          <w:lang w:eastAsia="zh-CN"/>
        </w:rPr>
        <w:t>, Klac biosynthesis remains underdeveloped. Site-specific lactylation still relies primarily on exogenous Klac supplementation, limiting large-scale production of homogeneous lactylated proteins and their application in complex biological systems. Addressing this bottleneck is critical for expanding the utility of GCE-based lactylation in mechanistic studies and high-throughput functional screening.</w:t>
      </w:r>
    </w:p>
    <w:p w14:paraId="2565248D"/>
    <w:p w14:paraId="2565248E">
      <w:r>
        <w:t>In summary, we have established a genetic code expansion platform for site-specific protein lactylation in prokaryotic and eukaryotic systems. This approach not only validates the KlacRS1 system but also provides a precise and scalable tool to overcome key technical barriers in lactylation research, supporting future mechanistic studies of this physiologically relevant modification.</w:t>
      </w:r>
    </w:p>
    <w:p w14:paraId="25652498"/>
    <w:p w14:paraId="25652499">
      <w:r>
        <w:rPr>
          <w:b/>
        </w:rPr>
        <w:t xml:space="preserve">ACKNOWLEDGMENTS: </w:t>
      </w:r>
    </w:p>
    <w:p w14:paraId="2565249A">
      <w:pPr>
        <w:rPr>
          <w:rFonts w:eastAsia="宋体"/>
          <w:lang w:eastAsia="zh-CN"/>
        </w:rPr>
      </w:pPr>
      <w:r>
        <w:rPr>
          <w:rFonts w:eastAsia="宋体"/>
          <w:lang w:eastAsia="zh-CN"/>
        </w:rPr>
        <w:t>This research was supported by the National Natural Science Foundation of China (22377058), the Interdisciplinary Funding for Synthetic Biology in Traditional Chinese Medicine by Nanjing University of Chinese Medicine, and the National High-Level Talent Special Support Programs (10,000 Talents Program) - Young Talents.</w:t>
      </w:r>
    </w:p>
    <w:p w14:paraId="2565249B">
      <w:pPr>
        <w:rPr>
          <w:b/>
        </w:rPr>
      </w:pPr>
    </w:p>
    <w:p w14:paraId="2565249C">
      <w:r>
        <w:rPr>
          <w:b/>
        </w:rPr>
        <w:t xml:space="preserve">DISCLOSURES: </w:t>
      </w:r>
    </w:p>
    <w:p w14:paraId="2565249D">
      <w:r>
        <w:t>The authors have no conflicts of interests to disclose.</w:t>
      </w:r>
    </w:p>
    <w:p w14:paraId="1EB7B42E"/>
    <w:p w14:paraId="2565249E">
      <w:pPr>
        <w:rPr>
          <w:b/>
        </w:rPr>
      </w:pPr>
      <w:r>
        <w:rPr>
          <w:b/>
        </w:rPr>
        <w:t>REFERENCES:</w:t>
      </w:r>
      <w:r>
        <w:t xml:space="preserve"> </w:t>
      </w:r>
    </w:p>
    <w:p w14:paraId="2565249F">
      <w:pPr>
        <w:numPr>
          <w:ilvl w:val="0"/>
          <w:numId w:val="2"/>
        </w:numPr>
        <w:rPr>
          <w:rFonts w:eastAsiaTheme="minorEastAsia"/>
        </w:rPr>
      </w:pPr>
      <w:r>
        <w:rPr>
          <w:rFonts w:eastAsiaTheme="minorEastAsia"/>
        </w:rPr>
        <w:t xml:space="preserve">Zhang, D. et al. Metabolic regulation of gene expression by histone lactylation. </w:t>
      </w:r>
      <w:r>
        <w:rPr>
          <w:rFonts w:eastAsiaTheme="minorEastAsia"/>
          <w:i/>
          <w:iCs/>
        </w:rPr>
        <w:t>Nature</w:t>
      </w:r>
      <w:r>
        <w:rPr>
          <w:rFonts w:eastAsiaTheme="minorEastAsia"/>
        </w:rPr>
        <w:t xml:space="preserve">. </w:t>
      </w:r>
      <w:r>
        <w:rPr>
          <w:rFonts w:eastAsiaTheme="minorEastAsia"/>
          <w:b/>
          <w:bCs/>
        </w:rPr>
        <w:t>574</w:t>
      </w:r>
      <w:r>
        <w:rPr>
          <w:rFonts w:eastAsiaTheme="minorEastAsia"/>
        </w:rPr>
        <w:t xml:space="preserve"> (7779), 575-580 (2019).</w:t>
      </w:r>
    </w:p>
    <w:p w14:paraId="256524A0">
      <w:pPr>
        <w:numPr>
          <w:ilvl w:val="0"/>
          <w:numId w:val="2"/>
        </w:numPr>
        <w:rPr>
          <w:rFonts w:eastAsiaTheme="minorEastAsia"/>
        </w:rPr>
      </w:pPr>
      <w:r>
        <w:rPr>
          <w:rFonts w:eastAsiaTheme="minorEastAsia"/>
        </w:rPr>
        <w:t>Yu, J. et al. Histone lactylation drives oncogenesis by facilitating m</w:t>
      </w:r>
      <w:r>
        <w:rPr>
          <w:rFonts w:eastAsiaTheme="minorEastAsia"/>
          <w:vertAlign w:val="superscript"/>
        </w:rPr>
        <w:t>6</w:t>
      </w:r>
      <w:r>
        <w:rPr>
          <w:rFonts w:eastAsiaTheme="minorEastAsia"/>
        </w:rPr>
        <w:t xml:space="preserve">A reader protein YTHDF2 expression in ocular melanoma. </w:t>
      </w:r>
      <w:r>
        <w:rPr>
          <w:rFonts w:eastAsiaTheme="minorEastAsia"/>
          <w:i/>
          <w:iCs/>
        </w:rPr>
        <w:t>Genome Biol</w:t>
      </w:r>
      <w:r>
        <w:rPr>
          <w:rFonts w:eastAsiaTheme="minorEastAsia"/>
        </w:rPr>
        <w:t xml:space="preserve">. </w:t>
      </w:r>
      <w:r>
        <w:rPr>
          <w:rFonts w:eastAsiaTheme="minorEastAsia"/>
          <w:b/>
          <w:bCs/>
        </w:rPr>
        <w:t>22</w:t>
      </w:r>
      <w:r>
        <w:rPr>
          <w:rFonts w:eastAsiaTheme="minorEastAsia"/>
        </w:rPr>
        <w:t xml:space="preserve"> (1), 85 (2021).</w:t>
      </w:r>
    </w:p>
    <w:p w14:paraId="256524A1">
      <w:pPr>
        <w:numPr>
          <w:ilvl w:val="0"/>
          <w:numId w:val="2"/>
        </w:numPr>
        <w:rPr>
          <w:rFonts w:eastAsiaTheme="minorEastAsia"/>
        </w:rPr>
      </w:pPr>
      <w:r>
        <w:rPr>
          <w:rFonts w:eastAsiaTheme="minorEastAsia"/>
        </w:rPr>
        <w:t xml:space="preserve">Pan, L. et al. Demethylzeylasteral targets lactate by inhibiting histone lactylation to suppress the tumorigenicity of liver cancer stem cells. </w:t>
      </w:r>
      <w:r>
        <w:rPr>
          <w:rFonts w:eastAsiaTheme="minorEastAsia"/>
          <w:i/>
          <w:iCs/>
        </w:rPr>
        <w:t>Pharmacol Res</w:t>
      </w:r>
      <w:r>
        <w:rPr>
          <w:rFonts w:eastAsiaTheme="minorEastAsia"/>
        </w:rPr>
        <w:t xml:space="preserve">. </w:t>
      </w:r>
      <w:r>
        <w:rPr>
          <w:rFonts w:eastAsiaTheme="minorEastAsia"/>
          <w:b/>
          <w:bCs/>
        </w:rPr>
        <w:t>181,</w:t>
      </w:r>
      <w:r>
        <w:rPr>
          <w:rFonts w:eastAsiaTheme="minorEastAsia"/>
        </w:rPr>
        <w:t xml:space="preserve"> 106270 (2022).</w:t>
      </w:r>
    </w:p>
    <w:p w14:paraId="256524A2">
      <w:pPr>
        <w:numPr>
          <w:ilvl w:val="0"/>
          <w:numId w:val="2"/>
        </w:numPr>
        <w:rPr>
          <w:rFonts w:eastAsiaTheme="minorEastAsia"/>
        </w:rPr>
      </w:pPr>
      <w:r>
        <w:rPr>
          <w:rFonts w:eastAsiaTheme="minorEastAsia"/>
        </w:rPr>
        <w:t xml:space="preserve">Xu, H. et al. Royal jelly acid suppresses hepatocellular carcinoma tumorigenicity by inhibiting H3 histone lactylation at H3K9la and H3K14la sites. </w:t>
      </w:r>
      <w:r>
        <w:rPr>
          <w:rFonts w:eastAsiaTheme="minorEastAsia"/>
          <w:i/>
          <w:iCs/>
        </w:rPr>
        <w:t>Phytomedicine</w:t>
      </w:r>
      <w:r>
        <w:rPr>
          <w:rFonts w:eastAsiaTheme="minorEastAsia"/>
        </w:rPr>
        <w:t xml:space="preserve">. </w:t>
      </w:r>
      <w:r>
        <w:rPr>
          <w:rFonts w:eastAsiaTheme="minorEastAsia"/>
          <w:b/>
          <w:bCs/>
        </w:rPr>
        <w:t>118,</w:t>
      </w:r>
      <w:r>
        <w:rPr>
          <w:rFonts w:eastAsiaTheme="minorEastAsia"/>
        </w:rPr>
        <w:t xml:space="preserve"> 154940 (2023).</w:t>
      </w:r>
    </w:p>
    <w:p w14:paraId="256524A3">
      <w:pPr>
        <w:numPr>
          <w:ilvl w:val="0"/>
          <w:numId w:val="2"/>
        </w:numPr>
        <w:rPr>
          <w:rFonts w:eastAsiaTheme="minorEastAsia"/>
        </w:rPr>
      </w:pPr>
      <w:r>
        <w:rPr>
          <w:rFonts w:eastAsiaTheme="minorEastAsia"/>
        </w:rPr>
        <w:t xml:space="preserve">Chai, P., Zhao, F., Jia, R., Zhou, X., Fan, X. Lactate/lactylation in ocular development and diseases. </w:t>
      </w:r>
      <w:r>
        <w:rPr>
          <w:rFonts w:eastAsiaTheme="minorEastAsia"/>
          <w:i/>
          <w:iCs/>
        </w:rPr>
        <w:t>Trends Mol Med</w:t>
      </w:r>
      <w:r>
        <w:rPr>
          <w:rFonts w:eastAsiaTheme="minorEastAsia"/>
        </w:rPr>
        <w:t xml:space="preserve">. </w:t>
      </w:r>
      <w:r>
        <w:rPr>
          <w:rFonts w:eastAsiaTheme="minorEastAsia"/>
          <w:b/>
          <w:bCs/>
        </w:rPr>
        <w:t>31</w:t>
      </w:r>
      <w:r>
        <w:rPr>
          <w:rFonts w:eastAsiaTheme="minorEastAsia"/>
        </w:rPr>
        <w:t xml:space="preserve"> (12), 1073-1076 (2025).</w:t>
      </w:r>
    </w:p>
    <w:p w14:paraId="256524A4">
      <w:pPr>
        <w:numPr>
          <w:ilvl w:val="0"/>
          <w:numId w:val="2"/>
        </w:numPr>
        <w:rPr>
          <w:rFonts w:eastAsiaTheme="minorEastAsia"/>
        </w:rPr>
      </w:pPr>
      <w:r>
        <w:rPr>
          <w:rFonts w:eastAsiaTheme="minorEastAsia"/>
        </w:rPr>
        <w:t xml:space="preserve">Wang, G. et al. The relationship and clinical significance of lactylation modification in digestive system tumors. </w:t>
      </w:r>
      <w:r>
        <w:rPr>
          <w:rFonts w:eastAsiaTheme="minorEastAsia"/>
          <w:i/>
          <w:iCs/>
        </w:rPr>
        <w:t>Cancer Cell Int</w:t>
      </w:r>
      <w:r>
        <w:rPr>
          <w:rFonts w:eastAsiaTheme="minorEastAsia"/>
        </w:rPr>
        <w:t xml:space="preserve">. </w:t>
      </w:r>
      <w:r>
        <w:rPr>
          <w:rFonts w:eastAsiaTheme="minorEastAsia"/>
          <w:b/>
          <w:bCs/>
        </w:rPr>
        <w:t>24</w:t>
      </w:r>
      <w:r>
        <w:rPr>
          <w:rFonts w:eastAsiaTheme="minorEastAsia"/>
        </w:rPr>
        <w:t xml:space="preserve"> (1), 246 (2024).</w:t>
      </w:r>
    </w:p>
    <w:p w14:paraId="256524A5">
      <w:pPr>
        <w:numPr>
          <w:ilvl w:val="0"/>
          <w:numId w:val="2"/>
        </w:numPr>
        <w:rPr>
          <w:rFonts w:eastAsiaTheme="minorEastAsia"/>
        </w:rPr>
      </w:pPr>
      <w:r>
        <w:rPr>
          <w:rFonts w:eastAsiaTheme="minorEastAsia"/>
        </w:rPr>
        <w:t xml:space="preserve">Yang, Z. et al. Lactylome analysis suggests lactylation-dependent mechanisms of metabolic adaptation in hepatocellular carcinoma. </w:t>
      </w:r>
      <w:r>
        <w:rPr>
          <w:rFonts w:eastAsiaTheme="minorEastAsia"/>
          <w:i/>
          <w:iCs/>
        </w:rPr>
        <w:t>Nat Metab</w:t>
      </w:r>
      <w:r>
        <w:rPr>
          <w:rFonts w:eastAsiaTheme="minorEastAsia"/>
        </w:rPr>
        <w:t xml:space="preserve">. </w:t>
      </w:r>
      <w:r>
        <w:rPr>
          <w:rFonts w:eastAsiaTheme="minorEastAsia"/>
          <w:b/>
          <w:bCs/>
        </w:rPr>
        <w:t>5</w:t>
      </w:r>
      <w:r>
        <w:rPr>
          <w:rFonts w:eastAsiaTheme="minorEastAsia"/>
        </w:rPr>
        <w:t xml:space="preserve"> (1), 61-79 (2023).</w:t>
      </w:r>
    </w:p>
    <w:p w14:paraId="256524A6">
      <w:pPr>
        <w:numPr>
          <w:ilvl w:val="0"/>
          <w:numId w:val="2"/>
        </w:numPr>
        <w:rPr>
          <w:rFonts w:eastAsiaTheme="minorEastAsia"/>
        </w:rPr>
      </w:pPr>
      <w:r>
        <w:rPr>
          <w:rFonts w:eastAsiaTheme="minorEastAsia"/>
        </w:rPr>
        <w:t xml:space="preserve">Chen, L. et al. Lactate-lactylation hands between metabolic reprogramming and immunosuppression. </w:t>
      </w:r>
      <w:r>
        <w:rPr>
          <w:rFonts w:eastAsiaTheme="minorEastAsia"/>
          <w:i/>
          <w:iCs/>
        </w:rPr>
        <w:t>Int J Mol Sci</w:t>
      </w:r>
      <w:r>
        <w:rPr>
          <w:rFonts w:eastAsiaTheme="minorEastAsia"/>
        </w:rPr>
        <w:t xml:space="preserve">. </w:t>
      </w:r>
      <w:r>
        <w:rPr>
          <w:rFonts w:eastAsiaTheme="minorEastAsia"/>
          <w:b/>
          <w:bCs/>
        </w:rPr>
        <w:t>23</w:t>
      </w:r>
      <w:r>
        <w:rPr>
          <w:rFonts w:eastAsiaTheme="minorEastAsia"/>
        </w:rPr>
        <w:t xml:space="preserve"> (19), 11943 (2022).</w:t>
      </w:r>
    </w:p>
    <w:p w14:paraId="256524A7">
      <w:pPr>
        <w:numPr>
          <w:ilvl w:val="0"/>
          <w:numId w:val="2"/>
        </w:numPr>
        <w:rPr>
          <w:rFonts w:eastAsiaTheme="minorEastAsia"/>
        </w:rPr>
      </w:pPr>
      <w:r>
        <w:rPr>
          <w:rFonts w:eastAsiaTheme="minorEastAsia"/>
        </w:rPr>
        <w:t xml:space="preserve">Sun, X. et al. The diapause-like colorectal cancer cells induced by smc4 attenuation are characterized by low proliferation and chemotherapy insensitivity. </w:t>
      </w:r>
      <w:r>
        <w:rPr>
          <w:rFonts w:eastAsiaTheme="minorEastAsia"/>
          <w:i/>
          <w:iCs/>
        </w:rPr>
        <w:t>Cell Metab</w:t>
      </w:r>
      <w:r>
        <w:rPr>
          <w:rFonts w:eastAsiaTheme="minorEastAsia"/>
        </w:rPr>
        <w:t xml:space="preserve">. </w:t>
      </w:r>
      <w:r>
        <w:rPr>
          <w:rFonts w:eastAsiaTheme="minorEastAsia"/>
          <w:b/>
          <w:bCs/>
        </w:rPr>
        <w:t>35</w:t>
      </w:r>
      <w:r>
        <w:rPr>
          <w:rFonts w:eastAsiaTheme="minorEastAsia"/>
        </w:rPr>
        <w:t xml:space="preserve"> (9), 1563-1579 e1568 (2023).</w:t>
      </w:r>
    </w:p>
    <w:p w14:paraId="256524A8">
      <w:pPr>
        <w:numPr>
          <w:ilvl w:val="0"/>
          <w:numId w:val="2"/>
        </w:numPr>
        <w:rPr>
          <w:rFonts w:eastAsiaTheme="minorEastAsia"/>
        </w:rPr>
      </w:pPr>
      <w:r>
        <w:rPr>
          <w:rFonts w:eastAsiaTheme="minorEastAsia"/>
        </w:rPr>
        <w:t>Yang, J. et al. A positive feedback loop between inactive VHL-triggered histone lactylation and PDGFR</w:t>
      </w:r>
      <w:r>
        <w:rPr>
          <w:rFonts w:eastAsia="PingFang SC"/>
        </w:rPr>
        <w:t>β</w:t>
      </w:r>
      <w:r>
        <w:rPr>
          <w:rFonts w:eastAsiaTheme="minorEastAsia"/>
        </w:rPr>
        <w:t xml:space="preserve"> signaling drives clear cell renal cell carcinoma progression.</w:t>
      </w:r>
      <w:r>
        <w:rPr>
          <w:rFonts w:eastAsiaTheme="minorEastAsia"/>
          <w:i/>
          <w:iCs/>
        </w:rPr>
        <w:t xml:space="preserve"> Int J Biol Sci</w:t>
      </w:r>
      <w:r>
        <w:rPr>
          <w:rFonts w:eastAsiaTheme="minorEastAsia"/>
        </w:rPr>
        <w:t xml:space="preserve">. </w:t>
      </w:r>
      <w:r>
        <w:rPr>
          <w:rFonts w:eastAsiaTheme="minorEastAsia"/>
          <w:b/>
          <w:bCs/>
        </w:rPr>
        <w:t>18</w:t>
      </w:r>
      <w:r>
        <w:rPr>
          <w:rFonts w:eastAsiaTheme="minorEastAsia"/>
        </w:rPr>
        <w:t xml:space="preserve"> (8), 3470-3483 (2022).</w:t>
      </w:r>
    </w:p>
    <w:p w14:paraId="256524A9">
      <w:pPr>
        <w:numPr>
          <w:ilvl w:val="0"/>
          <w:numId w:val="2"/>
        </w:numPr>
        <w:rPr>
          <w:rFonts w:eastAsiaTheme="minorEastAsia"/>
        </w:rPr>
      </w:pPr>
      <w:r>
        <w:rPr>
          <w:rFonts w:eastAsiaTheme="minorEastAsia"/>
        </w:rPr>
        <w:t xml:space="preserve">Li, W. et al. Tumor-derived lactate promotes resistance to bevacizumab treatment by facilitating autophagy enhancer protein Rubcnl expression through histone H3 lysine 18 lactylation (H3K18la) in colorectal cancer. </w:t>
      </w:r>
      <w:r>
        <w:rPr>
          <w:rFonts w:eastAsiaTheme="minorEastAsia"/>
          <w:i/>
          <w:iCs/>
        </w:rPr>
        <w:t>Autophagy</w:t>
      </w:r>
      <w:r>
        <w:rPr>
          <w:rFonts w:eastAsiaTheme="minorEastAsia"/>
        </w:rPr>
        <w:t xml:space="preserve">. </w:t>
      </w:r>
      <w:r>
        <w:rPr>
          <w:rFonts w:eastAsiaTheme="minorEastAsia"/>
          <w:b/>
          <w:bCs/>
        </w:rPr>
        <w:t>20</w:t>
      </w:r>
      <w:r>
        <w:rPr>
          <w:rFonts w:eastAsiaTheme="minorEastAsia"/>
        </w:rPr>
        <w:t xml:space="preserve"> (1), 114-130 (2024).</w:t>
      </w:r>
    </w:p>
    <w:p w14:paraId="256524AA">
      <w:pPr>
        <w:numPr>
          <w:ilvl w:val="0"/>
          <w:numId w:val="2"/>
        </w:numPr>
        <w:rPr>
          <w:rFonts w:eastAsiaTheme="minorEastAsia"/>
        </w:rPr>
      </w:pPr>
      <w:r>
        <w:rPr>
          <w:rFonts w:eastAsiaTheme="minorEastAsia"/>
        </w:rPr>
        <w:t xml:space="preserve">Jiang, J. et al. Lactate modulates cellular metabolism through histone lactylation-mediated gene expression in non-small cell lung cancer. </w:t>
      </w:r>
      <w:r>
        <w:rPr>
          <w:rFonts w:eastAsiaTheme="minorEastAsia"/>
          <w:i/>
          <w:iCs/>
        </w:rPr>
        <w:t>Front Oncol</w:t>
      </w:r>
      <w:r>
        <w:rPr>
          <w:rFonts w:eastAsiaTheme="minorEastAsia"/>
        </w:rPr>
        <w:t xml:space="preserve">. </w:t>
      </w:r>
      <w:r>
        <w:rPr>
          <w:rFonts w:eastAsiaTheme="minorEastAsia"/>
          <w:b/>
          <w:bCs/>
        </w:rPr>
        <w:t>11,</w:t>
      </w:r>
      <w:r>
        <w:rPr>
          <w:rFonts w:eastAsiaTheme="minorEastAsia"/>
        </w:rPr>
        <w:t xml:space="preserve"> 647559 (2021).</w:t>
      </w:r>
    </w:p>
    <w:p w14:paraId="256524AB">
      <w:pPr>
        <w:numPr>
          <w:ilvl w:val="0"/>
          <w:numId w:val="2"/>
        </w:numPr>
        <w:rPr>
          <w:rFonts w:eastAsiaTheme="minorEastAsia"/>
        </w:rPr>
      </w:pPr>
      <w:r>
        <w:rPr>
          <w:rFonts w:eastAsiaTheme="minorEastAsia"/>
        </w:rPr>
        <w:t xml:space="preserve">Chen, Y. et al. Metabolic regulation of homologous recombination repair by MRE11 lactylation. </w:t>
      </w:r>
      <w:r>
        <w:rPr>
          <w:rFonts w:eastAsiaTheme="minorEastAsia"/>
          <w:i/>
          <w:iCs/>
        </w:rPr>
        <w:t>Cell</w:t>
      </w:r>
      <w:r>
        <w:rPr>
          <w:rFonts w:eastAsiaTheme="minorEastAsia"/>
        </w:rPr>
        <w:t xml:space="preserve">. </w:t>
      </w:r>
      <w:r>
        <w:rPr>
          <w:rFonts w:eastAsiaTheme="minorEastAsia"/>
          <w:b/>
          <w:bCs/>
        </w:rPr>
        <w:t>187</w:t>
      </w:r>
      <w:r>
        <w:rPr>
          <w:rFonts w:eastAsiaTheme="minorEastAsia"/>
        </w:rPr>
        <w:t xml:space="preserve"> (2), 294-311 e221 (2024).</w:t>
      </w:r>
    </w:p>
    <w:p w14:paraId="256524AC">
      <w:pPr>
        <w:numPr>
          <w:ilvl w:val="0"/>
          <w:numId w:val="2"/>
        </w:numPr>
        <w:rPr>
          <w:rFonts w:eastAsiaTheme="minorEastAsia"/>
        </w:rPr>
      </w:pPr>
      <w:r>
        <w:rPr>
          <w:rFonts w:eastAsiaTheme="minorEastAsia"/>
        </w:rPr>
        <w:t xml:space="preserve">Li, G. et al. Glycometabolic reprogramming-induced XRCC1 lactylation confers therapeutic resistance in ALDH1A3-overexpressing glioblastoma. </w:t>
      </w:r>
      <w:r>
        <w:rPr>
          <w:rFonts w:eastAsiaTheme="minorEastAsia"/>
          <w:i/>
          <w:iCs/>
        </w:rPr>
        <w:t>Cell Metab</w:t>
      </w:r>
      <w:r>
        <w:rPr>
          <w:rFonts w:eastAsiaTheme="minorEastAsia"/>
        </w:rPr>
        <w:t xml:space="preserve">. </w:t>
      </w:r>
      <w:r>
        <w:rPr>
          <w:rFonts w:eastAsiaTheme="minorEastAsia"/>
          <w:b/>
          <w:bCs/>
        </w:rPr>
        <w:t>36</w:t>
      </w:r>
      <w:r>
        <w:rPr>
          <w:rFonts w:eastAsiaTheme="minorEastAsia"/>
        </w:rPr>
        <w:t xml:space="preserve"> (8), 1696-1710 e1610 (2024).</w:t>
      </w:r>
    </w:p>
    <w:p w14:paraId="256524AD">
      <w:pPr>
        <w:numPr>
          <w:ilvl w:val="0"/>
          <w:numId w:val="2"/>
        </w:numPr>
        <w:rPr>
          <w:rFonts w:eastAsiaTheme="minorEastAsia"/>
        </w:rPr>
      </w:pPr>
      <w:r>
        <w:rPr>
          <w:rFonts w:eastAsiaTheme="minorEastAsia"/>
        </w:rPr>
        <w:t xml:space="preserve">Liberti, M. V. Locasale, J. W. The warburg effect: How does it benefit cancer cells? </w:t>
      </w:r>
      <w:r>
        <w:rPr>
          <w:rFonts w:eastAsiaTheme="minorEastAsia"/>
          <w:i/>
          <w:iCs/>
        </w:rPr>
        <w:t xml:space="preserve">Trends Biochem Sci. </w:t>
      </w:r>
      <w:r>
        <w:rPr>
          <w:rFonts w:eastAsiaTheme="minorEastAsia"/>
          <w:b/>
          <w:bCs/>
        </w:rPr>
        <w:t>41</w:t>
      </w:r>
      <w:r>
        <w:rPr>
          <w:rFonts w:eastAsiaTheme="minorEastAsia"/>
        </w:rPr>
        <w:t xml:space="preserve"> (3), 211-218 (2016).</w:t>
      </w:r>
    </w:p>
    <w:p w14:paraId="256524AE">
      <w:pPr>
        <w:numPr>
          <w:ilvl w:val="0"/>
          <w:numId w:val="2"/>
        </w:numPr>
        <w:rPr>
          <w:rFonts w:eastAsiaTheme="minorEastAsia"/>
        </w:rPr>
      </w:pPr>
      <w:r>
        <w:rPr>
          <w:rFonts w:eastAsiaTheme="minorEastAsia"/>
        </w:rPr>
        <w:t xml:space="preserve">Varner, E. L. et al. Quantification of lactoyl-CoA (lactyl-CoA) by liquid chromatography mass spectrometry in mammalian cells and tissues. </w:t>
      </w:r>
      <w:r>
        <w:rPr>
          <w:rFonts w:eastAsiaTheme="minorEastAsia"/>
          <w:i/>
          <w:iCs/>
        </w:rPr>
        <w:t>Open Biol</w:t>
      </w:r>
      <w:r>
        <w:rPr>
          <w:rFonts w:eastAsiaTheme="minorEastAsia"/>
        </w:rPr>
        <w:t xml:space="preserve">. </w:t>
      </w:r>
      <w:r>
        <w:rPr>
          <w:rFonts w:eastAsiaTheme="minorEastAsia"/>
          <w:b/>
          <w:bCs/>
        </w:rPr>
        <w:t>10</w:t>
      </w:r>
      <w:r>
        <w:rPr>
          <w:rFonts w:eastAsiaTheme="minorEastAsia"/>
        </w:rPr>
        <w:t xml:space="preserve"> (9), 200187 (2020).</w:t>
      </w:r>
    </w:p>
    <w:p w14:paraId="256524AF">
      <w:pPr>
        <w:numPr>
          <w:ilvl w:val="0"/>
          <w:numId w:val="2"/>
        </w:numPr>
        <w:rPr>
          <w:rFonts w:eastAsiaTheme="minorEastAsia"/>
        </w:rPr>
      </w:pPr>
      <w:r>
        <w:rPr>
          <w:rFonts w:eastAsiaTheme="minorEastAsia"/>
        </w:rPr>
        <w:t xml:space="preserve">Chen, Y. et al. Metabolic regulation of homologous recombination repair by MRE11 lactylation. </w:t>
      </w:r>
      <w:r>
        <w:rPr>
          <w:rFonts w:eastAsiaTheme="minorEastAsia"/>
          <w:i/>
          <w:iCs/>
        </w:rPr>
        <w:t>Cell</w:t>
      </w:r>
      <w:r>
        <w:rPr>
          <w:rFonts w:eastAsiaTheme="minorEastAsia"/>
        </w:rPr>
        <w:t xml:space="preserve">. </w:t>
      </w:r>
      <w:r>
        <w:rPr>
          <w:rFonts w:eastAsiaTheme="minorEastAsia"/>
          <w:b/>
          <w:bCs/>
        </w:rPr>
        <w:t>187</w:t>
      </w:r>
      <w:r>
        <w:rPr>
          <w:rFonts w:eastAsiaTheme="minorEastAsia"/>
        </w:rPr>
        <w:t xml:space="preserve"> (2), 294-311 e221 (2024).</w:t>
      </w:r>
    </w:p>
    <w:p w14:paraId="256524B0">
      <w:pPr>
        <w:numPr>
          <w:ilvl w:val="0"/>
          <w:numId w:val="2"/>
        </w:numPr>
        <w:rPr>
          <w:rFonts w:eastAsiaTheme="minorEastAsia"/>
        </w:rPr>
      </w:pPr>
      <w:r>
        <w:rPr>
          <w:rFonts w:eastAsiaTheme="minorEastAsia"/>
        </w:rPr>
        <w:t xml:space="preserve">Chen, H. et al. NBS1 lactylation is required for efficient DNA repair and chemotherapy resistance. </w:t>
      </w:r>
      <w:r>
        <w:rPr>
          <w:rFonts w:eastAsiaTheme="minorEastAsia"/>
          <w:i/>
          <w:iCs/>
        </w:rPr>
        <w:t>Nature</w:t>
      </w:r>
      <w:r>
        <w:rPr>
          <w:rFonts w:eastAsiaTheme="minorEastAsia"/>
        </w:rPr>
        <w:t xml:space="preserve">. </w:t>
      </w:r>
      <w:r>
        <w:rPr>
          <w:rFonts w:eastAsiaTheme="minorEastAsia"/>
          <w:b/>
          <w:bCs/>
        </w:rPr>
        <w:t>631</w:t>
      </w:r>
      <w:r>
        <w:rPr>
          <w:rFonts w:eastAsiaTheme="minorEastAsia"/>
        </w:rPr>
        <w:t xml:space="preserve"> (8021), 663-669 (2024).</w:t>
      </w:r>
    </w:p>
    <w:p w14:paraId="256524B1">
      <w:pPr>
        <w:numPr>
          <w:ilvl w:val="0"/>
          <w:numId w:val="2"/>
        </w:numPr>
        <w:rPr>
          <w:rFonts w:eastAsiaTheme="minorEastAsia"/>
        </w:rPr>
      </w:pPr>
      <w:r>
        <w:rPr>
          <w:rFonts w:eastAsiaTheme="minorEastAsia"/>
        </w:rPr>
        <w:t xml:space="preserve">Zong, Z. et al. Alanyl-trna synthetase, AARS1, is a lactate sensor and lactyltransferase that lactylates p53 and contributes to tumorigenesis. </w:t>
      </w:r>
      <w:r>
        <w:rPr>
          <w:rFonts w:eastAsiaTheme="minorEastAsia"/>
          <w:i/>
          <w:iCs/>
        </w:rPr>
        <w:t>Cell</w:t>
      </w:r>
      <w:r>
        <w:rPr>
          <w:rFonts w:eastAsiaTheme="minorEastAsia"/>
        </w:rPr>
        <w:t xml:space="preserve">. </w:t>
      </w:r>
      <w:r>
        <w:rPr>
          <w:rFonts w:eastAsiaTheme="minorEastAsia"/>
          <w:b/>
          <w:bCs/>
        </w:rPr>
        <w:t>187</w:t>
      </w:r>
      <w:r>
        <w:rPr>
          <w:rFonts w:eastAsiaTheme="minorEastAsia"/>
        </w:rPr>
        <w:t xml:space="preserve"> (10), 2375-2392 e2333 (2024).</w:t>
      </w:r>
    </w:p>
    <w:p w14:paraId="256524B2">
      <w:pPr>
        <w:numPr>
          <w:ilvl w:val="0"/>
          <w:numId w:val="2"/>
        </w:numPr>
        <w:rPr>
          <w:rFonts w:eastAsiaTheme="minorEastAsia"/>
        </w:rPr>
      </w:pPr>
      <w:r>
        <w:rPr>
          <w:rFonts w:eastAsiaTheme="minorEastAsia"/>
        </w:rPr>
        <w:t xml:space="preserve">Ju, J. et al. The alanyl-tRNA synthetase AARS1 moonlights as a lactyltransferase to promote YAP signaling in gastric cancer. </w:t>
      </w:r>
      <w:r>
        <w:rPr>
          <w:rFonts w:eastAsiaTheme="minorEastAsia"/>
          <w:i/>
          <w:iCs/>
        </w:rPr>
        <w:t>J Clin Invest</w:t>
      </w:r>
      <w:r>
        <w:rPr>
          <w:rFonts w:eastAsiaTheme="minorEastAsia"/>
        </w:rPr>
        <w:t xml:space="preserve">. </w:t>
      </w:r>
      <w:r>
        <w:rPr>
          <w:rFonts w:eastAsiaTheme="minorEastAsia"/>
          <w:b/>
          <w:bCs/>
        </w:rPr>
        <w:t>134</w:t>
      </w:r>
      <w:r>
        <w:rPr>
          <w:rFonts w:eastAsiaTheme="minorEastAsia"/>
        </w:rPr>
        <w:t xml:space="preserve"> (10), e174587 (2024).</w:t>
      </w:r>
    </w:p>
    <w:p w14:paraId="256524B3">
      <w:pPr>
        <w:numPr>
          <w:ilvl w:val="0"/>
          <w:numId w:val="2"/>
        </w:numPr>
        <w:rPr>
          <w:rFonts w:eastAsiaTheme="minorEastAsia"/>
        </w:rPr>
      </w:pPr>
      <w:r>
        <w:rPr>
          <w:rFonts w:eastAsiaTheme="minorEastAsia"/>
        </w:rPr>
        <w:t>Sun, L. et al. Lactylation of METTl16 promotes cuproptosis via m</w:t>
      </w:r>
      <w:r>
        <w:rPr>
          <w:rFonts w:eastAsiaTheme="minorEastAsia"/>
          <w:vertAlign w:val="superscript"/>
        </w:rPr>
        <w:t>6</w:t>
      </w:r>
      <w:r>
        <w:rPr>
          <w:rFonts w:eastAsiaTheme="minorEastAsia"/>
        </w:rPr>
        <w:t xml:space="preserve">A-modification on FDX1 mRNA in gastric cancer. </w:t>
      </w:r>
      <w:r>
        <w:rPr>
          <w:rFonts w:eastAsiaTheme="minorEastAsia"/>
          <w:i/>
          <w:iCs/>
        </w:rPr>
        <w:t>Nat Commun</w:t>
      </w:r>
      <w:r>
        <w:rPr>
          <w:rFonts w:eastAsiaTheme="minorEastAsia"/>
        </w:rPr>
        <w:t xml:space="preserve">. </w:t>
      </w:r>
      <w:r>
        <w:rPr>
          <w:rFonts w:eastAsiaTheme="minorEastAsia"/>
          <w:b/>
          <w:bCs/>
        </w:rPr>
        <w:t>14</w:t>
      </w:r>
      <w:r>
        <w:rPr>
          <w:rFonts w:eastAsiaTheme="minorEastAsia"/>
        </w:rPr>
        <w:t xml:space="preserve"> (1), 6523 (2023).</w:t>
      </w:r>
    </w:p>
    <w:p w14:paraId="256524B4">
      <w:pPr>
        <w:numPr>
          <w:ilvl w:val="0"/>
          <w:numId w:val="2"/>
        </w:numPr>
        <w:rPr>
          <w:rFonts w:eastAsiaTheme="minorEastAsia"/>
        </w:rPr>
      </w:pPr>
      <w:r>
        <w:rPr>
          <w:rFonts w:eastAsiaTheme="minorEastAsia"/>
        </w:rPr>
        <w:t xml:space="preserve">Mao, Y. et al. Hypoxia induces mitochondrial protein lactylation to limit oxidative phosphorylation. </w:t>
      </w:r>
      <w:r>
        <w:rPr>
          <w:rFonts w:eastAsiaTheme="minorEastAsia"/>
          <w:i/>
          <w:iCs/>
        </w:rPr>
        <w:t xml:space="preserve">Cell Res. </w:t>
      </w:r>
      <w:r>
        <w:rPr>
          <w:rFonts w:eastAsiaTheme="minorEastAsia"/>
          <w:b/>
          <w:bCs/>
        </w:rPr>
        <w:t>34</w:t>
      </w:r>
      <w:r>
        <w:rPr>
          <w:rFonts w:eastAsiaTheme="minorEastAsia"/>
        </w:rPr>
        <w:t xml:space="preserve"> (1), 13-30 (2024).</w:t>
      </w:r>
    </w:p>
    <w:p w14:paraId="256524B5">
      <w:pPr>
        <w:numPr>
          <w:ilvl w:val="0"/>
          <w:numId w:val="2"/>
        </w:numPr>
        <w:rPr>
          <w:rFonts w:eastAsiaTheme="minorEastAsia"/>
        </w:rPr>
      </w:pPr>
      <w:r>
        <w:rPr>
          <w:rFonts w:eastAsiaTheme="minorEastAsia"/>
        </w:rPr>
        <w:t xml:space="preserve">Lv, L. et al. Mitogenic and oncogenic stimulation of K433 acetylation promotes PKM2 protein kinase activity and nuclear localization. </w:t>
      </w:r>
      <w:r>
        <w:rPr>
          <w:rFonts w:eastAsiaTheme="minorEastAsia"/>
          <w:i/>
          <w:iCs/>
        </w:rPr>
        <w:t>Mol Cell.</w:t>
      </w:r>
      <w:r>
        <w:rPr>
          <w:rFonts w:eastAsiaTheme="minorEastAsia"/>
        </w:rPr>
        <w:t xml:space="preserve"> </w:t>
      </w:r>
      <w:r>
        <w:rPr>
          <w:rFonts w:eastAsiaTheme="minorEastAsia"/>
          <w:b/>
          <w:bCs/>
        </w:rPr>
        <w:t>52</w:t>
      </w:r>
      <w:r>
        <w:rPr>
          <w:rFonts w:eastAsiaTheme="minorEastAsia"/>
        </w:rPr>
        <w:t xml:space="preserve"> (3), 340-352 (2013).</w:t>
      </w:r>
    </w:p>
    <w:p w14:paraId="256524B6">
      <w:pPr>
        <w:numPr>
          <w:ilvl w:val="0"/>
          <w:numId w:val="2"/>
        </w:numPr>
        <w:rPr>
          <w:rFonts w:eastAsiaTheme="minorEastAsia"/>
        </w:rPr>
      </w:pPr>
      <w:r>
        <w:rPr>
          <w:rFonts w:eastAsiaTheme="minorEastAsia"/>
        </w:rPr>
        <w:t xml:space="preserve">Okada, A. K. et al. Lysine acetylation regulates the interaction between proteins and membranes. </w:t>
      </w:r>
      <w:r>
        <w:rPr>
          <w:rFonts w:eastAsiaTheme="minorEastAsia"/>
          <w:i/>
          <w:iCs/>
        </w:rPr>
        <w:t>Nat Commun.</w:t>
      </w:r>
      <w:r>
        <w:rPr>
          <w:rFonts w:eastAsiaTheme="minorEastAsia"/>
        </w:rPr>
        <w:t xml:space="preserve"> </w:t>
      </w:r>
      <w:r>
        <w:rPr>
          <w:rFonts w:eastAsiaTheme="minorEastAsia"/>
          <w:b/>
          <w:bCs/>
        </w:rPr>
        <w:t>12</w:t>
      </w:r>
      <w:r>
        <w:rPr>
          <w:rFonts w:eastAsiaTheme="minorEastAsia"/>
        </w:rPr>
        <w:t xml:space="preserve"> (1), 6466 (2021).</w:t>
      </w:r>
    </w:p>
    <w:p w14:paraId="256524B7">
      <w:pPr>
        <w:numPr>
          <w:ilvl w:val="0"/>
          <w:numId w:val="2"/>
        </w:numPr>
        <w:rPr>
          <w:rFonts w:eastAsiaTheme="minorEastAsia"/>
        </w:rPr>
      </w:pPr>
      <w:r>
        <w:rPr>
          <w:rFonts w:eastAsiaTheme="minorEastAsia"/>
        </w:rPr>
        <w:t xml:space="preserve">Wan, N. et al. Cyclic immonium ion of lactyllysine reveals widespread lactylation in the human proteome. </w:t>
      </w:r>
      <w:r>
        <w:rPr>
          <w:rFonts w:eastAsiaTheme="minorEastAsia"/>
          <w:i/>
          <w:iCs/>
        </w:rPr>
        <w:t>Nat Methods</w:t>
      </w:r>
      <w:r>
        <w:rPr>
          <w:rFonts w:eastAsiaTheme="minorEastAsia"/>
        </w:rPr>
        <w:t xml:space="preserve">. </w:t>
      </w:r>
      <w:r>
        <w:rPr>
          <w:rFonts w:eastAsiaTheme="minorEastAsia"/>
          <w:b/>
          <w:bCs/>
        </w:rPr>
        <w:t>19</w:t>
      </w:r>
      <w:r>
        <w:rPr>
          <w:rFonts w:eastAsiaTheme="minorEastAsia"/>
        </w:rPr>
        <w:t xml:space="preserve"> (7), 854-864 (2022).</w:t>
      </w:r>
    </w:p>
    <w:p w14:paraId="256524B8">
      <w:pPr>
        <w:numPr>
          <w:ilvl w:val="0"/>
          <w:numId w:val="2"/>
        </w:numPr>
        <w:rPr>
          <w:rFonts w:eastAsiaTheme="minorEastAsia"/>
        </w:rPr>
      </w:pPr>
      <w:r>
        <w:rPr>
          <w:rFonts w:eastAsiaTheme="minorEastAsia"/>
        </w:rPr>
        <w:t xml:space="preserve">Shao, C. et al. Genetic code expansion reveals site-specific lactylation in living cells reshapes protein functions. </w:t>
      </w:r>
      <w:r>
        <w:rPr>
          <w:rFonts w:eastAsiaTheme="minorEastAsia"/>
          <w:i/>
          <w:iCs/>
        </w:rPr>
        <w:t>Nat Commun</w:t>
      </w:r>
      <w:r>
        <w:rPr>
          <w:rFonts w:eastAsiaTheme="minorEastAsia"/>
        </w:rPr>
        <w:t xml:space="preserve">. </w:t>
      </w:r>
      <w:r>
        <w:rPr>
          <w:rFonts w:eastAsiaTheme="minorEastAsia"/>
          <w:b/>
          <w:bCs/>
        </w:rPr>
        <w:t>16</w:t>
      </w:r>
      <w:r>
        <w:rPr>
          <w:rFonts w:eastAsiaTheme="minorEastAsia"/>
        </w:rPr>
        <w:t xml:space="preserve"> (1), 227 (2025).</w:t>
      </w:r>
    </w:p>
    <w:p w14:paraId="256524B9">
      <w:pPr>
        <w:numPr>
          <w:ilvl w:val="0"/>
          <w:numId w:val="2"/>
        </w:numPr>
        <w:rPr>
          <w:rFonts w:eastAsiaTheme="minorEastAsia"/>
        </w:rPr>
      </w:pPr>
      <w:r>
        <w:rPr>
          <w:rFonts w:eastAsiaTheme="minorEastAsia"/>
        </w:rPr>
        <w:t>Sun, Y. et al. Genetic encoding of ε-</w:t>
      </w:r>
      <w:r>
        <w:rPr>
          <w:rFonts w:eastAsiaTheme="minorEastAsia"/>
          <w:i/>
          <w:iCs/>
        </w:rPr>
        <w:t>N</w:t>
      </w:r>
      <w:r>
        <w:rPr>
          <w:rFonts w:eastAsiaTheme="minorEastAsia"/>
        </w:rPr>
        <w:t xml:space="preserve">-L-lactyllysine for detecting delactylase activity in living cells. </w:t>
      </w:r>
      <w:r>
        <w:rPr>
          <w:rFonts w:eastAsiaTheme="minorEastAsia"/>
          <w:i/>
          <w:iCs/>
        </w:rPr>
        <w:t>Chem Commun (Camb)</w:t>
      </w:r>
      <w:r>
        <w:rPr>
          <w:rFonts w:eastAsiaTheme="minorEastAsia"/>
        </w:rPr>
        <w:t xml:space="preserve">. </w:t>
      </w:r>
      <w:r>
        <w:rPr>
          <w:rFonts w:eastAsiaTheme="minorEastAsia"/>
          <w:b/>
          <w:bCs/>
        </w:rPr>
        <w:t>58</w:t>
      </w:r>
      <w:r>
        <w:rPr>
          <w:rFonts w:eastAsiaTheme="minorEastAsia"/>
        </w:rPr>
        <w:t xml:space="preserve"> (61), 8544-8547 (2022).</w:t>
      </w:r>
    </w:p>
    <w:p w14:paraId="256524BA">
      <w:pPr>
        <w:numPr>
          <w:ilvl w:val="0"/>
          <w:numId w:val="2"/>
        </w:numPr>
        <w:rPr>
          <w:rFonts w:eastAsiaTheme="minorEastAsia"/>
        </w:rPr>
      </w:pPr>
      <w:r>
        <w:rPr>
          <w:rFonts w:eastAsiaTheme="minorEastAsia"/>
        </w:rPr>
        <w:t xml:space="preserve">Ren, C. et al. Expanding the scope of genetically encoded lysine post-translational modifications with lactylation, </w:t>
      </w:r>
      <w:r>
        <w:rPr>
          <w:rFonts w:eastAsia="PingFang SC"/>
        </w:rPr>
        <w:t>β</w:t>
      </w:r>
      <w:r>
        <w:rPr>
          <w:rFonts w:eastAsiaTheme="minorEastAsia"/>
        </w:rPr>
        <w:t xml:space="preserve">-hydroxybutyrylation and lipoylation. </w:t>
      </w:r>
      <w:r>
        <w:rPr>
          <w:rFonts w:eastAsiaTheme="minorEastAsia"/>
          <w:i/>
          <w:iCs/>
        </w:rPr>
        <w:t>Chembiochem</w:t>
      </w:r>
      <w:r>
        <w:rPr>
          <w:rFonts w:eastAsiaTheme="minorEastAsia"/>
        </w:rPr>
        <w:t xml:space="preserve">. </w:t>
      </w:r>
      <w:r>
        <w:rPr>
          <w:rFonts w:eastAsiaTheme="minorEastAsia"/>
          <w:b/>
          <w:bCs/>
        </w:rPr>
        <w:t>23</w:t>
      </w:r>
      <w:r>
        <w:rPr>
          <w:rFonts w:eastAsiaTheme="minorEastAsia"/>
        </w:rPr>
        <w:t xml:space="preserve"> (18), e202200302 (2022).</w:t>
      </w:r>
    </w:p>
    <w:p w14:paraId="256524BB">
      <w:pPr>
        <w:numPr>
          <w:ilvl w:val="0"/>
          <w:numId w:val="2"/>
        </w:numPr>
        <w:rPr>
          <w:rFonts w:eastAsiaTheme="minorEastAsia"/>
        </w:rPr>
      </w:pPr>
      <w:r>
        <w:rPr>
          <w:rFonts w:eastAsiaTheme="minorEastAsia"/>
        </w:rPr>
        <w:t xml:space="preserve">Hu, Y. et al. Engineering unnatural cells with a 21st amino acid as a living epigenetic sensor. </w:t>
      </w:r>
      <w:r>
        <w:rPr>
          <w:rFonts w:eastAsiaTheme="minorEastAsia"/>
          <w:i/>
          <w:iCs/>
        </w:rPr>
        <w:t>Nat Commun</w:t>
      </w:r>
      <w:r>
        <w:rPr>
          <w:rFonts w:eastAsiaTheme="minorEastAsia"/>
        </w:rPr>
        <w:t xml:space="preserve">. </w:t>
      </w:r>
      <w:r>
        <w:rPr>
          <w:rFonts w:eastAsiaTheme="minorEastAsia"/>
          <w:b/>
          <w:bCs/>
        </w:rPr>
        <w:t>16</w:t>
      </w:r>
      <w:r>
        <w:rPr>
          <w:rFonts w:eastAsiaTheme="minorEastAsia"/>
        </w:rPr>
        <w:t xml:space="preserve"> (1), 9388 (2025).</w:t>
      </w:r>
    </w:p>
    <w:p w14:paraId="256524BC">
      <w:pPr>
        <w:numPr>
          <w:ilvl w:val="0"/>
          <w:numId w:val="2"/>
        </w:numPr>
        <w:rPr>
          <w:rFonts w:eastAsiaTheme="minorEastAsia"/>
        </w:rPr>
      </w:pPr>
      <w:r>
        <w:rPr>
          <w:rFonts w:eastAsiaTheme="minorEastAsia"/>
        </w:rPr>
        <w:t xml:space="preserve">Elsasser, S. J., Ernst, R. J., Walker, O. S., Chin, J. W. Genetic code expansion in stable cell lines enables encoded chromatin modification. </w:t>
      </w:r>
      <w:r>
        <w:rPr>
          <w:rFonts w:eastAsiaTheme="minorEastAsia"/>
          <w:i/>
          <w:iCs/>
        </w:rPr>
        <w:t>Nat Methods</w:t>
      </w:r>
      <w:r>
        <w:rPr>
          <w:rFonts w:eastAsiaTheme="minorEastAsia"/>
        </w:rPr>
        <w:t>.</w:t>
      </w:r>
      <w:r>
        <w:rPr>
          <w:rFonts w:eastAsiaTheme="minorEastAsia"/>
          <w:b/>
          <w:bCs/>
        </w:rPr>
        <w:t xml:space="preserve"> 13</w:t>
      </w:r>
      <w:r>
        <w:rPr>
          <w:rFonts w:eastAsiaTheme="minorEastAsia"/>
        </w:rPr>
        <w:t xml:space="preserve"> (2), 158-164 (2016).</w:t>
      </w:r>
    </w:p>
    <w:p w14:paraId="256524BD">
      <w:pPr>
        <w:numPr>
          <w:ilvl w:val="0"/>
          <w:numId w:val="2"/>
        </w:numPr>
        <w:rPr>
          <w:rFonts w:eastAsiaTheme="minorEastAsia"/>
        </w:rPr>
      </w:pPr>
      <w:r>
        <w:rPr>
          <w:rFonts w:eastAsiaTheme="minorEastAsia"/>
        </w:rPr>
        <w:t xml:space="preserve">Zhu, W., Fan, C., Hou, Y., Zhang, Y. Lactylation in tumor microenvironment and immunotherapy resistance: New mechanisms and challenges. </w:t>
      </w:r>
      <w:r>
        <w:rPr>
          <w:rFonts w:eastAsiaTheme="minorEastAsia"/>
          <w:i/>
          <w:iCs/>
        </w:rPr>
        <w:t>Cancer Lett</w:t>
      </w:r>
      <w:r>
        <w:rPr>
          <w:rFonts w:eastAsiaTheme="minorEastAsia"/>
        </w:rPr>
        <w:t xml:space="preserve">. </w:t>
      </w:r>
      <w:r>
        <w:rPr>
          <w:rFonts w:eastAsiaTheme="minorEastAsia"/>
          <w:b/>
          <w:bCs/>
        </w:rPr>
        <w:t>627,</w:t>
      </w:r>
      <w:r>
        <w:rPr>
          <w:rFonts w:eastAsiaTheme="minorEastAsia"/>
        </w:rPr>
        <w:t xml:space="preserve"> 217835 (2025).</w:t>
      </w:r>
    </w:p>
    <w:p w14:paraId="256524BE">
      <w:pPr>
        <w:numPr>
          <w:ilvl w:val="0"/>
          <w:numId w:val="2"/>
        </w:numPr>
        <w:rPr>
          <w:rFonts w:eastAsiaTheme="minorEastAsia"/>
        </w:rPr>
      </w:pPr>
      <w:r>
        <w:rPr>
          <w:rFonts w:eastAsiaTheme="minorEastAsia"/>
        </w:rPr>
        <w:t xml:space="preserve">Mills, E. M., Barlow, V. L., Jones, A. T., Tsai, Y. H. Development of mammalian cell logic gates controlled by unnatural amino acids. </w:t>
      </w:r>
      <w:r>
        <w:rPr>
          <w:rFonts w:eastAsiaTheme="minorEastAsia"/>
          <w:i/>
          <w:iCs/>
        </w:rPr>
        <w:t>Cell Rep Methods</w:t>
      </w:r>
      <w:r>
        <w:rPr>
          <w:rFonts w:eastAsiaTheme="minorEastAsia"/>
        </w:rPr>
        <w:t xml:space="preserve">. </w:t>
      </w:r>
      <w:r>
        <w:rPr>
          <w:rFonts w:eastAsiaTheme="minorEastAsia"/>
          <w:b/>
          <w:bCs/>
        </w:rPr>
        <w:t>1</w:t>
      </w:r>
      <w:r>
        <w:rPr>
          <w:rFonts w:eastAsiaTheme="minorEastAsia"/>
        </w:rPr>
        <w:t xml:space="preserve"> (6), 100073 (2021).</w:t>
      </w:r>
    </w:p>
    <w:p w14:paraId="256524BF">
      <w:pPr>
        <w:numPr>
          <w:ilvl w:val="0"/>
          <w:numId w:val="2"/>
        </w:numPr>
        <w:rPr>
          <w:rFonts w:eastAsiaTheme="minorEastAsia"/>
        </w:rPr>
      </w:pPr>
      <w:r>
        <w:rPr>
          <w:rFonts w:eastAsiaTheme="minorEastAsia"/>
        </w:rPr>
        <w:t xml:space="preserve">Italia, J. S. et al. Genetically encoded protein sulfation in mammalian cells. </w:t>
      </w:r>
      <w:r>
        <w:rPr>
          <w:rFonts w:eastAsiaTheme="minorEastAsia"/>
          <w:i/>
          <w:iCs/>
        </w:rPr>
        <w:t>Nat Chem Biol.</w:t>
      </w:r>
      <w:r>
        <w:rPr>
          <w:rFonts w:eastAsiaTheme="minorEastAsia"/>
        </w:rPr>
        <w:t xml:space="preserve"> </w:t>
      </w:r>
      <w:r>
        <w:rPr>
          <w:rFonts w:eastAsiaTheme="minorEastAsia"/>
          <w:b/>
          <w:bCs/>
        </w:rPr>
        <w:t>16</w:t>
      </w:r>
      <w:r>
        <w:rPr>
          <w:rFonts w:eastAsiaTheme="minorEastAsia"/>
        </w:rPr>
        <w:t xml:space="preserve"> (4), 379-382 (2020).</w:t>
      </w:r>
    </w:p>
    <w:p w14:paraId="256524C0">
      <w:pPr>
        <w:rPr>
          <w:rFonts w:eastAsiaTheme="minorEastAsia"/>
        </w:rPr>
      </w:pPr>
    </w:p>
    <w:p w14:paraId="256524C1">
      <w:pPr>
        <w:rPr>
          <w:rFonts w:eastAsiaTheme="minorEastAsia"/>
        </w:rPr>
      </w:pPr>
    </w:p>
    <w:sectPr>
      <w:headerReference r:id="rId3" w:type="default"/>
      <w:headerReference r:id="rId4" w:type="even"/>
      <w:footerReference r:id="rId5"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苹方-简">
    <w:panose1 w:val="020B0400000000000000"/>
    <w:charset w:val="86"/>
    <w:family w:val="auto"/>
    <w:pitch w:val="default"/>
    <w:sig w:usb0="A00002FF" w:usb1="7ACFFDFB" w:usb2="00000017" w:usb3="00000000" w:csb0="00040001" w:csb1="00000000"/>
  </w:font>
  <w:font w:name="Georgia">
    <w:panose1 w:val="02040502050405090303"/>
    <w:charset w:val="00"/>
    <w:family w:val="roman"/>
    <w:pitch w:val="default"/>
    <w:sig w:usb0="00000287" w:usb1="00000000" w:usb2="00000000" w:usb3="00000000" w:csb0="2000009F" w:csb1="00000000"/>
  </w:font>
  <w:font w:name="Segoe UI">
    <w:altName w:val="苹方-简"/>
    <w:panose1 w:val="020B0502040204020203"/>
    <w:charset w:val="00"/>
    <w:family w:val="swiss"/>
    <w:pitch w:val="default"/>
    <w:sig w:usb0="00000000" w:usb1="00000000" w:usb2="00000009" w:usb3="00000000" w:csb0="000001FF" w:csb1="00000000"/>
  </w:font>
  <w:font w:name="Cambria Math">
    <w:altName w:val="Kingsoft Math"/>
    <w:panose1 w:val="02040503050406030204"/>
    <w:charset w:val="00"/>
    <w:family w:val="roman"/>
    <w:pitch w:val="default"/>
    <w:sig w:usb0="00000000" w:usb1="00000000" w:usb2="02000000" w:usb3="00000000" w:csb0="0000019F" w:csb1="00000000"/>
  </w:font>
  <w:font w:name="Kingsoft Math">
    <w:panose1 w:val="02040503050406030204"/>
    <w:charset w:val="00"/>
    <w:family w:val="auto"/>
    <w:pitch w:val="default"/>
    <w:sig w:usb0="80000087" w:usb1="00002068" w:usb2="00000000" w:usb3="00000000" w:csb0="2000019F" w:csb1="00000000"/>
  </w:font>
  <w:font w:name="PingFang SC">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Arial">
    <w:panose1 w:val="020B06040202020902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524CA">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524C9">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524C8">
    <w:pP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37A948"/>
    <w:multiLevelType w:val="singleLevel"/>
    <w:tmpl w:val="FF37A948"/>
    <w:lvl w:ilvl="0" w:tentative="0">
      <w:start w:val="1"/>
      <w:numFmt w:val="decimal"/>
      <w:suff w:val="space"/>
      <w:lvlText w:val="%1."/>
      <w:lvlJc w:val="left"/>
    </w:lvl>
  </w:abstractNum>
  <w:abstractNum w:abstractNumId="1">
    <w:nsid w:val="FFBF88D0"/>
    <w:multiLevelType w:val="multilevel"/>
    <w:tmpl w:val="FFBF88D0"/>
    <w:lvl w:ilvl="0" w:tentative="0">
      <w:start w:val="2"/>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34DD1"/>
    <w:rsid w:val="0004355D"/>
    <w:rsid w:val="00043C88"/>
    <w:rsid w:val="00054DD6"/>
    <w:rsid w:val="00057B67"/>
    <w:rsid w:val="00061E0E"/>
    <w:rsid w:val="0007506F"/>
    <w:rsid w:val="00076815"/>
    <w:rsid w:val="00081F44"/>
    <w:rsid w:val="00082A5F"/>
    <w:rsid w:val="000A6073"/>
    <w:rsid w:val="000B41B6"/>
    <w:rsid w:val="000C0DE2"/>
    <w:rsid w:val="000E2ABF"/>
    <w:rsid w:val="000E3F21"/>
    <w:rsid w:val="000E4C51"/>
    <w:rsid w:val="00147CBA"/>
    <w:rsid w:val="0015327B"/>
    <w:rsid w:val="001624E4"/>
    <w:rsid w:val="00181A81"/>
    <w:rsid w:val="0018412F"/>
    <w:rsid w:val="00194C04"/>
    <w:rsid w:val="00194CE8"/>
    <w:rsid w:val="001959A2"/>
    <w:rsid w:val="001A1CA1"/>
    <w:rsid w:val="001A3D0F"/>
    <w:rsid w:val="001B139A"/>
    <w:rsid w:val="001D1578"/>
    <w:rsid w:val="001F3109"/>
    <w:rsid w:val="00210DD6"/>
    <w:rsid w:val="00214319"/>
    <w:rsid w:val="00216774"/>
    <w:rsid w:val="0023296D"/>
    <w:rsid w:val="00232DDC"/>
    <w:rsid w:val="00252077"/>
    <w:rsid w:val="00273EDD"/>
    <w:rsid w:val="0031658E"/>
    <w:rsid w:val="00345A90"/>
    <w:rsid w:val="00351087"/>
    <w:rsid w:val="003548DA"/>
    <w:rsid w:val="00356228"/>
    <w:rsid w:val="00356880"/>
    <w:rsid w:val="00387CDA"/>
    <w:rsid w:val="003A5297"/>
    <w:rsid w:val="003D67E2"/>
    <w:rsid w:val="003F029F"/>
    <w:rsid w:val="0040579A"/>
    <w:rsid w:val="00414ADE"/>
    <w:rsid w:val="004361C8"/>
    <w:rsid w:val="00436F4D"/>
    <w:rsid w:val="004620C9"/>
    <w:rsid w:val="0048658F"/>
    <w:rsid w:val="004939EE"/>
    <w:rsid w:val="004969D3"/>
    <w:rsid w:val="004C0985"/>
    <w:rsid w:val="004D362E"/>
    <w:rsid w:val="004F6AD9"/>
    <w:rsid w:val="00507B58"/>
    <w:rsid w:val="00513CCF"/>
    <w:rsid w:val="00516914"/>
    <w:rsid w:val="00531121"/>
    <w:rsid w:val="00551D82"/>
    <w:rsid w:val="0055344F"/>
    <w:rsid w:val="005734D7"/>
    <w:rsid w:val="00575E55"/>
    <w:rsid w:val="00585BF5"/>
    <w:rsid w:val="00592B9C"/>
    <w:rsid w:val="005A637B"/>
    <w:rsid w:val="005B68D9"/>
    <w:rsid w:val="005E1EE7"/>
    <w:rsid w:val="00604100"/>
    <w:rsid w:val="00615035"/>
    <w:rsid w:val="00620842"/>
    <w:rsid w:val="00622578"/>
    <w:rsid w:val="006239A1"/>
    <w:rsid w:val="00634672"/>
    <w:rsid w:val="00647209"/>
    <w:rsid w:val="00663CFB"/>
    <w:rsid w:val="006755EE"/>
    <w:rsid w:val="006824BF"/>
    <w:rsid w:val="006A6821"/>
    <w:rsid w:val="006E4797"/>
    <w:rsid w:val="006E7C64"/>
    <w:rsid w:val="00702ADE"/>
    <w:rsid w:val="0070444F"/>
    <w:rsid w:val="00714BE0"/>
    <w:rsid w:val="00726BCC"/>
    <w:rsid w:val="00736371"/>
    <w:rsid w:val="0074722A"/>
    <w:rsid w:val="00751D3D"/>
    <w:rsid w:val="00764497"/>
    <w:rsid w:val="007A4BBA"/>
    <w:rsid w:val="007B488F"/>
    <w:rsid w:val="007B72A4"/>
    <w:rsid w:val="007D6BE0"/>
    <w:rsid w:val="007F13E9"/>
    <w:rsid w:val="007F2030"/>
    <w:rsid w:val="007F5EB0"/>
    <w:rsid w:val="00827736"/>
    <w:rsid w:val="00833B96"/>
    <w:rsid w:val="008425A4"/>
    <w:rsid w:val="00843304"/>
    <w:rsid w:val="0084386D"/>
    <w:rsid w:val="008461C6"/>
    <w:rsid w:val="00846311"/>
    <w:rsid w:val="00852236"/>
    <w:rsid w:val="0085421A"/>
    <w:rsid w:val="0085548D"/>
    <w:rsid w:val="00865DF7"/>
    <w:rsid w:val="00877665"/>
    <w:rsid w:val="008A4859"/>
    <w:rsid w:val="008A7A39"/>
    <w:rsid w:val="008B2D50"/>
    <w:rsid w:val="008B35D2"/>
    <w:rsid w:val="008D293E"/>
    <w:rsid w:val="008D7CF8"/>
    <w:rsid w:val="008E19AC"/>
    <w:rsid w:val="00901C81"/>
    <w:rsid w:val="00911EF7"/>
    <w:rsid w:val="00924290"/>
    <w:rsid w:val="00936E08"/>
    <w:rsid w:val="009409EA"/>
    <w:rsid w:val="00986FDF"/>
    <w:rsid w:val="00994F50"/>
    <w:rsid w:val="00A1684A"/>
    <w:rsid w:val="00A35853"/>
    <w:rsid w:val="00A573A9"/>
    <w:rsid w:val="00A61636"/>
    <w:rsid w:val="00A624BE"/>
    <w:rsid w:val="00AB4038"/>
    <w:rsid w:val="00AC3CE9"/>
    <w:rsid w:val="00AD1C39"/>
    <w:rsid w:val="00AD2F81"/>
    <w:rsid w:val="00AE3FCB"/>
    <w:rsid w:val="00B17D9C"/>
    <w:rsid w:val="00B66177"/>
    <w:rsid w:val="00B81064"/>
    <w:rsid w:val="00B87681"/>
    <w:rsid w:val="00BC3A3F"/>
    <w:rsid w:val="00BD3767"/>
    <w:rsid w:val="00BE22A2"/>
    <w:rsid w:val="00BE2769"/>
    <w:rsid w:val="00C11D93"/>
    <w:rsid w:val="00C27C71"/>
    <w:rsid w:val="00C366E0"/>
    <w:rsid w:val="00C550F3"/>
    <w:rsid w:val="00C652D8"/>
    <w:rsid w:val="00C655CF"/>
    <w:rsid w:val="00C875D1"/>
    <w:rsid w:val="00C90BA1"/>
    <w:rsid w:val="00CB1713"/>
    <w:rsid w:val="00CB1783"/>
    <w:rsid w:val="00D02D19"/>
    <w:rsid w:val="00D07A90"/>
    <w:rsid w:val="00D22866"/>
    <w:rsid w:val="00D2510B"/>
    <w:rsid w:val="00D35778"/>
    <w:rsid w:val="00D57F1F"/>
    <w:rsid w:val="00D661BB"/>
    <w:rsid w:val="00D86D57"/>
    <w:rsid w:val="00D959E7"/>
    <w:rsid w:val="00DA154A"/>
    <w:rsid w:val="00DA3C5C"/>
    <w:rsid w:val="00DB2DFA"/>
    <w:rsid w:val="00DC0E61"/>
    <w:rsid w:val="00DC18A7"/>
    <w:rsid w:val="00DD0D2A"/>
    <w:rsid w:val="00E03054"/>
    <w:rsid w:val="00E0739E"/>
    <w:rsid w:val="00E401D5"/>
    <w:rsid w:val="00E47F74"/>
    <w:rsid w:val="00E6316C"/>
    <w:rsid w:val="00E85CFC"/>
    <w:rsid w:val="00E94A4B"/>
    <w:rsid w:val="00EB1E68"/>
    <w:rsid w:val="00EC0649"/>
    <w:rsid w:val="00EC57F0"/>
    <w:rsid w:val="00ED051C"/>
    <w:rsid w:val="00F22FB1"/>
    <w:rsid w:val="00F25BC9"/>
    <w:rsid w:val="00F26C0E"/>
    <w:rsid w:val="00F36869"/>
    <w:rsid w:val="00F41DE1"/>
    <w:rsid w:val="00F511BF"/>
    <w:rsid w:val="00F72213"/>
    <w:rsid w:val="00FA3B53"/>
    <w:rsid w:val="00FA6C9C"/>
    <w:rsid w:val="00FB68C6"/>
    <w:rsid w:val="00FF4595"/>
    <w:rsid w:val="0F3F270A"/>
    <w:rsid w:val="0FEF9B42"/>
    <w:rsid w:val="17E70203"/>
    <w:rsid w:val="17F667F9"/>
    <w:rsid w:val="1AFF31AC"/>
    <w:rsid w:val="1B5F5C56"/>
    <w:rsid w:val="1BF74386"/>
    <w:rsid w:val="1D27B7F8"/>
    <w:rsid w:val="1D5F00A4"/>
    <w:rsid w:val="1DFFDAD2"/>
    <w:rsid w:val="1FE79E4E"/>
    <w:rsid w:val="1FF7979E"/>
    <w:rsid w:val="1FFF3456"/>
    <w:rsid w:val="27FF9F67"/>
    <w:rsid w:val="28CFC4F2"/>
    <w:rsid w:val="2BEF7D3C"/>
    <w:rsid w:val="2CBFF987"/>
    <w:rsid w:val="2EBEA73F"/>
    <w:rsid w:val="2FB47381"/>
    <w:rsid w:val="304BD34F"/>
    <w:rsid w:val="32BF2EB3"/>
    <w:rsid w:val="337F60BD"/>
    <w:rsid w:val="339AB12D"/>
    <w:rsid w:val="33FA2E66"/>
    <w:rsid w:val="33FE0B23"/>
    <w:rsid w:val="33FF596D"/>
    <w:rsid w:val="34BF502E"/>
    <w:rsid w:val="35BE74A1"/>
    <w:rsid w:val="35D79076"/>
    <w:rsid w:val="35DB64B7"/>
    <w:rsid w:val="367969FC"/>
    <w:rsid w:val="37151169"/>
    <w:rsid w:val="37BF5B70"/>
    <w:rsid w:val="37BFC418"/>
    <w:rsid w:val="37DB17FA"/>
    <w:rsid w:val="37DBE01B"/>
    <w:rsid w:val="37DD003F"/>
    <w:rsid w:val="37EF59E6"/>
    <w:rsid w:val="37F9FD81"/>
    <w:rsid w:val="3962F52C"/>
    <w:rsid w:val="3993B057"/>
    <w:rsid w:val="3AFB04D8"/>
    <w:rsid w:val="3B4FCF5A"/>
    <w:rsid w:val="3B5EAA20"/>
    <w:rsid w:val="3CFF42BF"/>
    <w:rsid w:val="3D4CBF1D"/>
    <w:rsid w:val="3D4CD7D6"/>
    <w:rsid w:val="3D8EEA31"/>
    <w:rsid w:val="3DFF07C5"/>
    <w:rsid w:val="3E65E6F6"/>
    <w:rsid w:val="3ECF7719"/>
    <w:rsid w:val="3EEFDA36"/>
    <w:rsid w:val="3EF57C2C"/>
    <w:rsid w:val="3EFD23D7"/>
    <w:rsid w:val="3EFF1003"/>
    <w:rsid w:val="3EFF58E5"/>
    <w:rsid w:val="3EFF6751"/>
    <w:rsid w:val="3F2D3303"/>
    <w:rsid w:val="3F3A5AE0"/>
    <w:rsid w:val="3FA703FA"/>
    <w:rsid w:val="3FDE5B45"/>
    <w:rsid w:val="3FDE613A"/>
    <w:rsid w:val="3FDF4657"/>
    <w:rsid w:val="3FDF9CEF"/>
    <w:rsid w:val="3FE7D2C7"/>
    <w:rsid w:val="3FEBA718"/>
    <w:rsid w:val="3FFCE803"/>
    <w:rsid w:val="3FFD6C58"/>
    <w:rsid w:val="3FFE618B"/>
    <w:rsid w:val="3FFFDAD6"/>
    <w:rsid w:val="41BF47B7"/>
    <w:rsid w:val="471C84C6"/>
    <w:rsid w:val="4A77B7B3"/>
    <w:rsid w:val="4AC7CB6F"/>
    <w:rsid w:val="4CD2E1F7"/>
    <w:rsid w:val="4D7501E4"/>
    <w:rsid w:val="4DBD57EC"/>
    <w:rsid w:val="4FED51A0"/>
    <w:rsid w:val="53F72630"/>
    <w:rsid w:val="55BF8384"/>
    <w:rsid w:val="55FF4DF2"/>
    <w:rsid w:val="564F28CE"/>
    <w:rsid w:val="56E5A29E"/>
    <w:rsid w:val="576F77A5"/>
    <w:rsid w:val="57DCB077"/>
    <w:rsid w:val="57FB589E"/>
    <w:rsid w:val="58ED82FA"/>
    <w:rsid w:val="5AEEA16A"/>
    <w:rsid w:val="5AFFC0A7"/>
    <w:rsid w:val="5B1B9890"/>
    <w:rsid w:val="5BB65ECE"/>
    <w:rsid w:val="5BBDFD61"/>
    <w:rsid w:val="5BBE3AC0"/>
    <w:rsid w:val="5BEF1DEE"/>
    <w:rsid w:val="5BFE8E54"/>
    <w:rsid w:val="5CE5B94F"/>
    <w:rsid w:val="5D3F53BF"/>
    <w:rsid w:val="5DCFD377"/>
    <w:rsid w:val="5DDB316E"/>
    <w:rsid w:val="5DFF84F6"/>
    <w:rsid w:val="5EBF6E4C"/>
    <w:rsid w:val="5EED1D94"/>
    <w:rsid w:val="5EFFEAA5"/>
    <w:rsid w:val="5F3F0D9F"/>
    <w:rsid w:val="5FB9702B"/>
    <w:rsid w:val="5FEF9CAA"/>
    <w:rsid w:val="5FF26223"/>
    <w:rsid w:val="5FF7673E"/>
    <w:rsid w:val="5FFA1730"/>
    <w:rsid w:val="5FFD5874"/>
    <w:rsid w:val="5FFD7757"/>
    <w:rsid w:val="5FFF6E0A"/>
    <w:rsid w:val="60FF234A"/>
    <w:rsid w:val="62E6868C"/>
    <w:rsid w:val="633D55FB"/>
    <w:rsid w:val="63EFE45A"/>
    <w:rsid w:val="63FF9BFE"/>
    <w:rsid w:val="65CFB758"/>
    <w:rsid w:val="65FF3DF8"/>
    <w:rsid w:val="67AF8789"/>
    <w:rsid w:val="67CFAE6C"/>
    <w:rsid w:val="67DD0BEE"/>
    <w:rsid w:val="68ED4142"/>
    <w:rsid w:val="69A10DE9"/>
    <w:rsid w:val="6B5F514A"/>
    <w:rsid w:val="6BF63D3B"/>
    <w:rsid w:val="6BFA034E"/>
    <w:rsid w:val="6BFC3E2A"/>
    <w:rsid w:val="6CFE5CBB"/>
    <w:rsid w:val="6DB6B4AA"/>
    <w:rsid w:val="6DB6CAD7"/>
    <w:rsid w:val="6DB707F1"/>
    <w:rsid w:val="6DEBC8E9"/>
    <w:rsid w:val="6DF3DC0B"/>
    <w:rsid w:val="6DF75207"/>
    <w:rsid w:val="6DFDDAAE"/>
    <w:rsid w:val="6DFE74DC"/>
    <w:rsid w:val="6E7E5FBC"/>
    <w:rsid w:val="6EBCFC67"/>
    <w:rsid w:val="6ECD7D49"/>
    <w:rsid w:val="6EF5D10B"/>
    <w:rsid w:val="6EF8624F"/>
    <w:rsid w:val="6F4AC6E3"/>
    <w:rsid w:val="6F9F167F"/>
    <w:rsid w:val="6FDF354F"/>
    <w:rsid w:val="6FDF87C8"/>
    <w:rsid w:val="6FF6127A"/>
    <w:rsid w:val="6FF7D81F"/>
    <w:rsid w:val="6FFBA949"/>
    <w:rsid w:val="6FFFA863"/>
    <w:rsid w:val="6FFFBBBC"/>
    <w:rsid w:val="6FFFCFC8"/>
    <w:rsid w:val="70ED64D3"/>
    <w:rsid w:val="71D79822"/>
    <w:rsid w:val="71ED4818"/>
    <w:rsid w:val="71EF01C1"/>
    <w:rsid w:val="71EFEBD2"/>
    <w:rsid w:val="722972C7"/>
    <w:rsid w:val="723D8359"/>
    <w:rsid w:val="727D2D77"/>
    <w:rsid w:val="7365733A"/>
    <w:rsid w:val="736BACE2"/>
    <w:rsid w:val="73AF3A09"/>
    <w:rsid w:val="73FB03EB"/>
    <w:rsid w:val="74A2EFA5"/>
    <w:rsid w:val="755F2320"/>
    <w:rsid w:val="75BF46E8"/>
    <w:rsid w:val="75EEE7AA"/>
    <w:rsid w:val="75FF08AC"/>
    <w:rsid w:val="763F5194"/>
    <w:rsid w:val="7667ED97"/>
    <w:rsid w:val="769F700C"/>
    <w:rsid w:val="76EB5E4E"/>
    <w:rsid w:val="76FE6236"/>
    <w:rsid w:val="76FF4DAC"/>
    <w:rsid w:val="76FFFF46"/>
    <w:rsid w:val="773B1348"/>
    <w:rsid w:val="773F1631"/>
    <w:rsid w:val="775B69EF"/>
    <w:rsid w:val="775F81D7"/>
    <w:rsid w:val="779EDCC6"/>
    <w:rsid w:val="77AC4C32"/>
    <w:rsid w:val="77AEFE1D"/>
    <w:rsid w:val="77AF73FE"/>
    <w:rsid w:val="77DC582E"/>
    <w:rsid w:val="77EFE8AF"/>
    <w:rsid w:val="77FEC33F"/>
    <w:rsid w:val="77FF0859"/>
    <w:rsid w:val="79FE05D5"/>
    <w:rsid w:val="7A3D3F6C"/>
    <w:rsid w:val="7ABEFF26"/>
    <w:rsid w:val="7AD79246"/>
    <w:rsid w:val="7ADF826B"/>
    <w:rsid w:val="7AEE1B6B"/>
    <w:rsid w:val="7B3E83B2"/>
    <w:rsid w:val="7B3ED6BA"/>
    <w:rsid w:val="7B3FD27D"/>
    <w:rsid w:val="7B568607"/>
    <w:rsid w:val="7BA9E371"/>
    <w:rsid w:val="7BB7FF22"/>
    <w:rsid w:val="7BBD7256"/>
    <w:rsid w:val="7BBF111C"/>
    <w:rsid w:val="7BDC6882"/>
    <w:rsid w:val="7BDD0ED7"/>
    <w:rsid w:val="7BF64479"/>
    <w:rsid w:val="7BFB6548"/>
    <w:rsid w:val="7BFF0852"/>
    <w:rsid w:val="7BFF16F9"/>
    <w:rsid w:val="7BFFA81E"/>
    <w:rsid w:val="7BFFB0F8"/>
    <w:rsid w:val="7C6F175B"/>
    <w:rsid w:val="7C9DB7B2"/>
    <w:rsid w:val="7CDD5698"/>
    <w:rsid w:val="7CF5669F"/>
    <w:rsid w:val="7CFF3B55"/>
    <w:rsid w:val="7CFF6D0C"/>
    <w:rsid w:val="7CFFE3D8"/>
    <w:rsid w:val="7D32676D"/>
    <w:rsid w:val="7D6F333B"/>
    <w:rsid w:val="7D7BD5AD"/>
    <w:rsid w:val="7DB771CC"/>
    <w:rsid w:val="7DD8BA9F"/>
    <w:rsid w:val="7DE72590"/>
    <w:rsid w:val="7DFFC1D0"/>
    <w:rsid w:val="7E697AE1"/>
    <w:rsid w:val="7E7FEB6D"/>
    <w:rsid w:val="7E85B60E"/>
    <w:rsid w:val="7E8F5BF5"/>
    <w:rsid w:val="7E9701D8"/>
    <w:rsid w:val="7ECE4F4C"/>
    <w:rsid w:val="7ED9F92E"/>
    <w:rsid w:val="7EDF40D9"/>
    <w:rsid w:val="7EFC19FD"/>
    <w:rsid w:val="7F5D3989"/>
    <w:rsid w:val="7F5FF392"/>
    <w:rsid w:val="7F785D4C"/>
    <w:rsid w:val="7F7DBB84"/>
    <w:rsid w:val="7F7F733C"/>
    <w:rsid w:val="7FAF057C"/>
    <w:rsid w:val="7FAF293D"/>
    <w:rsid w:val="7FBD1626"/>
    <w:rsid w:val="7FD78345"/>
    <w:rsid w:val="7FD7860A"/>
    <w:rsid w:val="7FD7BA1B"/>
    <w:rsid w:val="7FDFCFE7"/>
    <w:rsid w:val="7FE58CEE"/>
    <w:rsid w:val="7FE6C48D"/>
    <w:rsid w:val="7FE7D809"/>
    <w:rsid w:val="7FE975FC"/>
    <w:rsid w:val="7FEF3481"/>
    <w:rsid w:val="7FEFF459"/>
    <w:rsid w:val="7FF0DCF0"/>
    <w:rsid w:val="7FF109B8"/>
    <w:rsid w:val="7FF63121"/>
    <w:rsid w:val="7FF75FD6"/>
    <w:rsid w:val="7FF77EA4"/>
    <w:rsid w:val="7FF7AFFE"/>
    <w:rsid w:val="7FF92B71"/>
    <w:rsid w:val="7FFAD173"/>
    <w:rsid w:val="7FFC358F"/>
    <w:rsid w:val="7FFCCB35"/>
    <w:rsid w:val="7FFDC3F6"/>
    <w:rsid w:val="7FFDFC65"/>
    <w:rsid w:val="7FFF0CB1"/>
    <w:rsid w:val="7FFF24B5"/>
    <w:rsid w:val="7FFF5206"/>
    <w:rsid w:val="7FFF760D"/>
    <w:rsid w:val="7FFFB208"/>
    <w:rsid w:val="7FFFBC59"/>
    <w:rsid w:val="7FFFCFA8"/>
    <w:rsid w:val="82BF1167"/>
    <w:rsid w:val="87F39949"/>
    <w:rsid w:val="8FCE4E8F"/>
    <w:rsid w:val="8FDF07BF"/>
    <w:rsid w:val="8FF73871"/>
    <w:rsid w:val="93F8AF67"/>
    <w:rsid w:val="93FF5197"/>
    <w:rsid w:val="94FAB097"/>
    <w:rsid w:val="967FD7BC"/>
    <w:rsid w:val="976F90C9"/>
    <w:rsid w:val="976FDA0D"/>
    <w:rsid w:val="97B281AD"/>
    <w:rsid w:val="9A9AB5E8"/>
    <w:rsid w:val="9AC7920D"/>
    <w:rsid w:val="9B390F9F"/>
    <w:rsid w:val="9BF618F1"/>
    <w:rsid w:val="9DB57BD0"/>
    <w:rsid w:val="9E4F43D2"/>
    <w:rsid w:val="9F6FADAE"/>
    <w:rsid w:val="9F7FDB16"/>
    <w:rsid w:val="9FEBA28C"/>
    <w:rsid w:val="9FEECAE5"/>
    <w:rsid w:val="9FFE9838"/>
    <w:rsid w:val="A5F353A1"/>
    <w:rsid w:val="A6AF9029"/>
    <w:rsid w:val="A75B29CE"/>
    <w:rsid w:val="A76E6495"/>
    <w:rsid w:val="A9EF69E2"/>
    <w:rsid w:val="ABBFE847"/>
    <w:rsid w:val="ADFD1C5B"/>
    <w:rsid w:val="AEFD3E6A"/>
    <w:rsid w:val="AF2FC311"/>
    <w:rsid w:val="AFD02B2D"/>
    <w:rsid w:val="AFFEA6FE"/>
    <w:rsid w:val="B27FAA29"/>
    <w:rsid w:val="B37DE132"/>
    <w:rsid w:val="B53D41CF"/>
    <w:rsid w:val="B5CE30EF"/>
    <w:rsid w:val="B5E948C1"/>
    <w:rsid w:val="B66DCC02"/>
    <w:rsid w:val="B775334F"/>
    <w:rsid w:val="B99F368D"/>
    <w:rsid w:val="B9CFD4B1"/>
    <w:rsid w:val="BA7FC99A"/>
    <w:rsid w:val="BAFEAFC9"/>
    <w:rsid w:val="BC6F58B4"/>
    <w:rsid w:val="BDFFB68C"/>
    <w:rsid w:val="BEABAE94"/>
    <w:rsid w:val="BEE7DEB2"/>
    <w:rsid w:val="BEED6EAF"/>
    <w:rsid w:val="BEFACEB8"/>
    <w:rsid w:val="BEFCC843"/>
    <w:rsid w:val="BEFF683A"/>
    <w:rsid w:val="BEFF6C3F"/>
    <w:rsid w:val="BF3B5650"/>
    <w:rsid w:val="BF82B587"/>
    <w:rsid w:val="BFB7B414"/>
    <w:rsid w:val="BFD72E87"/>
    <w:rsid w:val="BFDAEC9E"/>
    <w:rsid w:val="BFE60CE5"/>
    <w:rsid w:val="BFEC6E4D"/>
    <w:rsid w:val="BFEDA758"/>
    <w:rsid w:val="BFEFEBB8"/>
    <w:rsid w:val="BFF5499C"/>
    <w:rsid w:val="BFFBB91B"/>
    <w:rsid w:val="BFFD2DA5"/>
    <w:rsid w:val="BFFF4B7B"/>
    <w:rsid w:val="C7FF7386"/>
    <w:rsid w:val="CA7B936F"/>
    <w:rsid w:val="CD3D0A80"/>
    <w:rsid w:val="CF7B9D72"/>
    <w:rsid w:val="CF7F2088"/>
    <w:rsid w:val="CFEDF1DF"/>
    <w:rsid w:val="CFEF97DB"/>
    <w:rsid w:val="CFF5E0E7"/>
    <w:rsid w:val="D3393D00"/>
    <w:rsid w:val="D67F5670"/>
    <w:rsid w:val="D793DED2"/>
    <w:rsid w:val="D7ABF078"/>
    <w:rsid w:val="D7B3EC63"/>
    <w:rsid w:val="D7BE59D9"/>
    <w:rsid w:val="D7D79CB3"/>
    <w:rsid w:val="D7EB570E"/>
    <w:rsid w:val="D7F72830"/>
    <w:rsid w:val="D8FFA859"/>
    <w:rsid w:val="DAB72C1B"/>
    <w:rsid w:val="DAFBE77D"/>
    <w:rsid w:val="DB3B3445"/>
    <w:rsid w:val="DB7FA56E"/>
    <w:rsid w:val="DBFBD8DC"/>
    <w:rsid w:val="DBFBFE2B"/>
    <w:rsid w:val="DBFE1767"/>
    <w:rsid w:val="DC7EF77E"/>
    <w:rsid w:val="DCFE51ED"/>
    <w:rsid w:val="DDEE3876"/>
    <w:rsid w:val="DE5E593C"/>
    <w:rsid w:val="DEBFEB63"/>
    <w:rsid w:val="DEF4DE64"/>
    <w:rsid w:val="DF0E38B4"/>
    <w:rsid w:val="DF3F11C5"/>
    <w:rsid w:val="DF5D2983"/>
    <w:rsid w:val="DF5DF5F9"/>
    <w:rsid w:val="DF7A58D4"/>
    <w:rsid w:val="DF7E9E38"/>
    <w:rsid w:val="DFB96EE5"/>
    <w:rsid w:val="DFBB0607"/>
    <w:rsid w:val="DFE3CEF2"/>
    <w:rsid w:val="DFEB4EF5"/>
    <w:rsid w:val="DFEF3188"/>
    <w:rsid w:val="DFF2C96E"/>
    <w:rsid w:val="DFF709E9"/>
    <w:rsid w:val="DFF92A57"/>
    <w:rsid w:val="DFFB4341"/>
    <w:rsid w:val="DFFD70C4"/>
    <w:rsid w:val="DFFE43B7"/>
    <w:rsid w:val="DFFFCEEF"/>
    <w:rsid w:val="DFFFDB0B"/>
    <w:rsid w:val="E07F069E"/>
    <w:rsid w:val="E1EC33DC"/>
    <w:rsid w:val="E4D064B9"/>
    <w:rsid w:val="E6EF48F5"/>
    <w:rsid w:val="E75EA3A9"/>
    <w:rsid w:val="E75F996C"/>
    <w:rsid w:val="E778CE42"/>
    <w:rsid w:val="E82F5658"/>
    <w:rsid w:val="E85F1B17"/>
    <w:rsid w:val="E8F9E240"/>
    <w:rsid w:val="E8FDA0DC"/>
    <w:rsid w:val="E9E234E6"/>
    <w:rsid w:val="EADF377B"/>
    <w:rsid w:val="EBBBAF91"/>
    <w:rsid w:val="EBD1FBDB"/>
    <w:rsid w:val="EBEFBB69"/>
    <w:rsid w:val="EBF5CC74"/>
    <w:rsid w:val="EBFB61B1"/>
    <w:rsid w:val="ECBE519B"/>
    <w:rsid w:val="ED9F5A22"/>
    <w:rsid w:val="EDBE261B"/>
    <w:rsid w:val="EDEEBF76"/>
    <w:rsid w:val="EE5FC6B6"/>
    <w:rsid w:val="EECD5031"/>
    <w:rsid w:val="EEE0DD3F"/>
    <w:rsid w:val="EEF795F4"/>
    <w:rsid w:val="EEFD41E4"/>
    <w:rsid w:val="EF5FDD1E"/>
    <w:rsid w:val="EFB522AA"/>
    <w:rsid w:val="EFBF689C"/>
    <w:rsid w:val="EFCBACE5"/>
    <w:rsid w:val="EFDAC436"/>
    <w:rsid w:val="EFED74AB"/>
    <w:rsid w:val="EFFAC035"/>
    <w:rsid w:val="EFFF9C70"/>
    <w:rsid w:val="F27F471D"/>
    <w:rsid w:val="F2E24AEF"/>
    <w:rsid w:val="F2FB50D9"/>
    <w:rsid w:val="F39A0B96"/>
    <w:rsid w:val="F3BE01CA"/>
    <w:rsid w:val="F3FB7BD3"/>
    <w:rsid w:val="F44B01CA"/>
    <w:rsid w:val="F477CDB0"/>
    <w:rsid w:val="F4FBD544"/>
    <w:rsid w:val="F52E9EEC"/>
    <w:rsid w:val="F5EF3E6D"/>
    <w:rsid w:val="F67DE24B"/>
    <w:rsid w:val="F6B7100D"/>
    <w:rsid w:val="F73E25F4"/>
    <w:rsid w:val="F73EACC5"/>
    <w:rsid w:val="F75DC089"/>
    <w:rsid w:val="F75EFF37"/>
    <w:rsid w:val="F76F3DCB"/>
    <w:rsid w:val="F77CE11F"/>
    <w:rsid w:val="F7AAE3D9"/>
    <w:rsid w:val="F7B63C15"/>
    <w:rsid w:val="F7BD0DA3"/>
    <w:rsid w:val="F7C5149F"/>
    <w:rsid w:val="F7D367CD"/>
    <w:rsid w:val="F7DEDC9C"/>
    <w:rsid w:val="F7DF5145"/>
    <w:rsid w:val="F7FE10A9"/>
    <w:rsid w:val="F7FF28F0"/>
    <w:rsid w:val="F8AFB0DE"/>
    <w:rsid w:val="F95FA13D"/>
    <w:rsid w:val="F97F9FD9"/>
    <w:rsid w:val="F9E3232A"/>
    <w:rsid w:val="F9FFA112"/>
    <w:rsid w:val="FA5F833B"/>
    <w:rsid w:val="FAB751F9"/>
    <w:rsid w:val="FABFB041"/>
    <w:rsid w:val="FAD60DB8"/>
    <w:rsid w:val="FAD8AE00"/>
    <w:rsid w:val="FAEBDA5C"/>
    <w:rsid w:val="FAEF3755"/>
    <w:rsid w:val="FB1FA325"/>
    <w:rsid w:val="FB5B70BD"/>
    <w:rsid w:val="FB736CC3"/>
    <w:rsid w:val="FB7BC6FC"/>
    <w:rsid w:val="FB7E4B71"/>
    <w:rsid w:val="FBBFA33B"/>
    <w:rsid w:val="FBCA54B3"/>
    <w:rsid w:val="FBE63579"/>
    <w:rsid w:val="FBEB4EBB"/>
    <w:rsid w:val="FBEF3227"/>
    <w:rsid w:val="FBEF8CF6"/>
    <w:rsid w:val="FBF98B4E"/>
    <w:rsid w:val="FBFBF45B"/>
    <w:rsid w:val="FBFFAAD9"/>
    <w:rsid w:val="FC75543D"/>
    <w:rsid w:val="FCB7947A"/>
    <w:rsid w:val="FCEBBD47"/>
    <w:rsid w:val="FCFE1A5B"/>
    <w:rsid w:val="FD2F9E9F"/>
    <w:rsid w:val="FD97D89A"/>
    <w:rsid w:val="FDAB9799"/>
    <w:rsid w:val="FDBF616E"/>
    <w:rsid w:val="FDC9CBC9"/>
    <w:rsid w:val="FDD17F98"/>
    <w:rsid w:val="FDEB5DEB"/>
    <w:rsid w:val="FDF6020A"/>
    <w:rsid w:val="FDF72274"/>
    <w:rsid w:val="FDF73B4A"/>
    <w:rsid w:val="FDFCCEE8"/>
    <w:rsid w:val="FDFD166A"/>
    <w:rsid w:val="FDFFCBE7"/>
    <w:rsid w:val="FE535C9F"/>
    <w:rsid w:val="FEAF447A"/>
    <w:rsid w:val="FEB6AB78"/>
    <w:rsid w:val="FED629E9"/>
    <w:rsid w:val="FED77F60"/>
    <w:rsid w:val="FEEF96E2"/>
    <w:rsid w:val="FEF77032"/>
    <w:rsid w:val="FEF7BBBB"/>
    <w:rsid w:val="FEFB4FD7"/>
    <w:rsid w:val="FEFFE654"/>
    <w:rsid w:val="FEFFE700"/>
    <w:rsid w:val="FF1FD8D9"/>
    <w:rsid w:val="FF3A72B4"/>
    <w:rsid w:val="FF3F5201"/>
    <w:rsid w:val="FF67D706"/>
    <w:rsid w:val="FF6F909A"/>
    <w:rsid w:val="FF77157D"/>
    <w:rsid w:val="FF77CF87"/>
    <w:rsid w:val="FF7CCEE0"/>
    <w:rsid w:val="FF7DFF8D"/>
    <w:rsid w:val="FF7FD2CC"/>
    <w:rsid w:val="FF9D2674"/>
    <w:rsid w:val="FFB5665F"/>
    <w:rsid w:val="FFB75801"/>
    <w:rsid w:val="FFBC8D3E"/>
    <w:rsid w:val="FFCF4BCD"/>
    <w:rsid w:val="FFD70E3D"/>
    <w:rsid w:val="FFDD24AF"/>
    <w:rsid w:val="FFDD7AC7"/>
    <w:rsid w:val="FFDF2859"/>
    <w:rsid w:val="FFE736EB"/>
    <w:rsid w:val="FFEB012C"/>
    <w:rsid w:val="FFEFECE2"/>
    <w:rsid w:val="FFFB16C1"/>
    <w:rsid w:val="FFFB60DE"/>
    <w:rsid w:val="FFFBEA3B"/>
    <w:rsid w:val="FFFD42F8"/>
    <w:rsid w:val="FFFDE7BA"/>
    <w:rsid w:val="FFFEF000"/>
    <w:rsid w:val="FFFFA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7"/>
    <w:unhideWhenUsed/>
    <w:uiPriority w:val="99"/>
    <w:rPr>
      <w:sz w:val="20"/>
      <w:szCs w:val="20"/>
    </w:rPr>
  </w:style>
  <w:style w:type="paragraph" w:styleId="9">
    <w:name w:val="footer"/>
    <w:basedOn w:val="1"/>
    <w:link w:val="24"/>
    <w:unhideWhenUsed/>
    <w:uiPriority w:val="99"/>
    <w:pPr>
      <w:tabs>
        <w:tab w:val="center" w:pos="4680"/>
        <w:tab w:val="right" w:pos="9360"/>
      </w:tabs>
    </w:pPr>
  </w:style>
  <w:style w:type="paragraph" w:styleId="10">
    <w:name w:val="header"/>
    <w:basedOn w:val="1"/>
    <w:link w:val="30"/>
    <w:semiHidden/>
    <w:unhideWhenUsed/>
    <w:uiPriority w:val="99"/>
    <w:pPr>
      <w:tabs>
        <w:tab w:val="center" w:pos="4513"/>
        <w:tab w:val="right" w:pos="9026"/>
      </w:tabs>
    </w:pPr>
  </w:style>
  <w:style w:type="paragraph" w:styleId="11">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2">
    <w:name w:val="Normal (Web)"/>
    <w:basedOn w:val="1"/>
    <w:semiHidden/>
    <w:unhideWhenUsed/>
    <w:uiPriority w:val="99"/>
    <w:pPr>
      <w:spacing w:beforeAutospacing="1" w:afterAutospacing="1"/>
      <w:jc w:val="left"/>
    </w:pPr>
    <w:rPr>
      <w:rFonts w:cs="Times New Roman"/>
      <w:lang w:eastAsia="zh-CN"/>
    </w:rPr>
  </w:style>
  <w:style w:type="paragraph" w:styleId="13">
    <w:name w:val="Title"/>
    <w:basedOn w:val="1"/>
    <w:next w:val="1"/>
    <w:qFormat/>
    <w:uiPriority w:val="10"/>
    <w:pPr>
      <w:keepNext/>
      <w:keepLines/>
      <w:spacing w:before="480" w:after="120"/>
    </w:pPr>
    <w:rPr>
      <w:b/>
      <w:sz w:val="72"/>
      <w:szCs w:val="72"/>
    </w:rPr>
  </w:style>
  <w:style w:type="paragraph" w:styleId="14">
    <w:name w:val="annotation subject"/>
    <w:basedOn w:val="8"/>
    <w:next w:val="8"/>
    <w:link w:val="28"/>
    <w:semiHidden/>
    <w:unhideWhenUsed/>
    <w:uiPriority w:val="99"/>
    <w:rPr>
      <w:b/>
      <w:bCs/>
    </w:rPr>
  </w:style>
  <w:style w:type="character" w:styleId="17">
    <w:name w:val="Strong"/>
    <w:basedOn w:val="16"/>
    <w:qFormat/>
    <w:uiPriority w:val="22"/>
    <w:rPr>
      <w:b/>
    </w:rPr>
  </w:style>
  <w:style w:type="character" w:styleId="18">
    <w:name w:val="FollowedHyperlink"/>
    <w:basedOn w:val="16"/>
    <w:semiHidden/>
    <w:unhideWhenUsed/>
    <w:uiPriority w:val="99"/>
    <w:rPr>
      <w:color w:val="800080" w:themeColor="followedHyperlink"/>
      <w:u w:val="single"/>
      <w14:textFill>
        <w14:solidFill>
          <w14:schemeClr w14:val="folHlink"/>
        </w14:solidFill>
      </w14:textFill>
    </w:rPr>
  </w:style>
  <w:style w:type="character" w:styleId="19">
    <w:name w:val="Emphasis"/>
    <w:basedOn w:val="16"/>
    <w:qFormat/>
    <w:uiPriority w:val="20"/>
    <w:rPr>
      <w:i/>
    </w:rPr>
  </w:style>
  <w:style w:type="character" w:styleId="20">
    <w:name w:val="line number"/>
    <w:basedOn w:val="16"/>
    <w:semiHidden/>
    <w:unhideWhenUsed/>
    <w:uiPriority w:val="99"/>
  </w:style>
  <w:style w:type="character" w:styleId="21">
    <w:name w:val="Hyperlink"/>
    <w:basedOn w:val="16"/>
    <w:unhideWhenUsed/>
    <w:uiPriority w:val="99"/>
    <w:rPr>
      <w:color w:val="0000FF" w:themeColor="hyperlink"/>
      <w:u w:val="single"/>
      <w14:textFill>
        <w14:solidFill>
          <w14:schemeClr w14:val="hlink"/>
        </w14:solidFill>
      </w14:textFill>
    </w:rPr>
  </w:style>
  <w:style w:type="character" w:styleId="22">
    <w:name w:val="annotation reference"/>
    <w:basedOn w:val="16"/>
    <w:semiHidden/>
    <w:unhideWhenUsed/>
    <w:uiPriority w:val="99"/>
    <w:rPr>
      <w:sz w:val="16"/>
      <w:szCs w:val="16"/>
    </w:rPr>
  </w:style>
  <w:style w:type="character" w:customStyle="1" w:styleId="23">
    <w:name w:val="Unresolved Mention1"/>
    <w:basedOn w:val="16"/>
    <w:semiHidden/>
    <w:unhideWhenUsed/>
    <w:uiPriority w:val="99"/>
    <w:rPr>
      <w:color w:val="605E5C"/>
      <w:shd w:val="clear" w:color="auto" w:fill="E1DFDD"/>
    </w:rPr>
  </w:style>
  <w:style w:type="character" w:customStyle="1" w:styleId="24">
    <w:name w:val="Footer Char"/>
    <w:basedOn w:val="16"/>
    <w:link w:val="9"/>
    <w:uiPriority w:val="99"/>
  </w:style>
  <w:style w:type="paragraph" w:customStyle="1" w:styleId="25">
    <w:name w:val="修订1"/>
    <w:hidden/>
    <w:semiHidden/>
    <w:uiPriority w:val="99"/>
    <w:rPr>
      <w:rFonts w:ascii="Calibri" w:hAnsi="Calibri" w:eastAsia="Calibri" w:cs="Calibri"/>
      <w:sz w:val="24"/>
      <w:szCs w:val="24"/>
      <w:lang w:val="en-US" w:eastAsia="en-US" w:bidi="ar-SA"/>
    </w:rPr>
  </w:style>
  <w:style w:type="paragraph" w:styleId="26">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7">
    <w:name w:val="Comment Text Char"/>
    <w:basedOn w:val="16"/>
    <w:link w:val="8"/>
    <w:uiPriority w:val="99"/>
    <w:rPr>
      <w:sz w:val="20"/>
      <w:szCs w:val="20"/>
    </w:rPr>
  </w:style>
  <w:style w:type="character" w:customStyle="1" w:styleId="28">
    <w:name w:val="Comment Subject Char"/>
    <w:basedOn w:val="27"/>
    <w:link w:val="14"/>
    <w:semiHidden/>
    <w:uiPriority w:val="99"/>
    <w:rPr>
      <w:b/>
      <w:bCs/>
      <w:sz w:val="20"/>
      <w:szCs w:val="20"/>
    </w:rPr>
  </w:style>
  <w:style w:type="character" w:customStyle="1" w:styleId="29">
    <w:name w:val="cf01"/>
    <w:basedOn w:val="16"/>
    <w:uiPriority w:val="0"/>
    <w:rPr>
      <w:rFonts w:hint="default" w:ascii="Segoe UI" w:hAnsi="Segoe UI" w:cs="Segoe UI"/>
      <w:sz w:val="18"/>
      <w:szCs w:val="18"/>
    </w:rPr>
  </w:style>
  <w:style w:type="character" w:customStyle="1" w:styleId="30">
    <w:name w:val="Header Char"/>
    <w:basedOn w:val="16"/>
    <w:link w:val="10"/>
    <w:semiHidden/>
    <w:uiPriority w:val="99"/>
    <w:rPr>
      <w:rFonts w:ascii="Calibri" w:hAnsi="Calibri" w:eastAsia="Calibri" w:cs="Calibri"/>
      <w:sz w:val="24"/>
      <w:szCs w:val="24"/>
      <w:lang w:val="en-US" w:eastAsia="en-US"/>
    </w:rPr>
  </w:style>
  <w:style w:type="character" w:customStyle="1" w:styleId="31">
    <w:name w:val="Unresolved Mention"/>
    <w:basedOn w:val="1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12</Pages>
  <Words>4699</Words>
  <Characters>26788</Characters>
  <Lines>223</Lines>
  <Paragraphs>62</Paragraphs>
  <TotalTime>298</TotalTime>
  <ScaleCrop>false</ScaleCrop>
  <LinksUpToDate>false</LinksUpToDate>
  <CharactersWithSpaces>31425</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2026-01-24T22:19:00Z</dcterms:created>
  <dc:creator>Vineeta</dc:creator>
  <cp:lastModifiedBy>Nanxi Wang</cp:lastModifiedBy>
  <dcterms:modified xsi:type="dcterms:W3CDTF">2026-02-04T16:38:01Z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ProductBuildVer">
    <vt:lpwstr>2052-12.1.24031.24031</vt:lpwstr>
  </property>
  <property fmtid="{D5CDD505-2E9C-101B-9397-08002B2CF9AE}" pid="4" name="ICV">
    <vt:lpwstr>6CE4B5EBA2BA3ECEB1028369838AEF89_43</vt:lpwstr>
  </property>
</Properties>
</file>