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F5A18B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34E69">
        <w:rPr>
          <w:rFonts w:eastAsia="Times New Roman" w:cstheme="minorHAnsi"/>
          <w:b/>
        </w:rPr>
        <w:t>70150</w:t>
      </w:r>
    </w:p>
    <w:p w14:paraId="2F6924E5" w14:textId="7CB34F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34E69">
        <w:rPr>
          <w:rFonts w:eastAsia="Times New Roman" w:cstheme="minorHAnsi"/>
          <w:b/>
        </w:rPr>
        <w:t>Poornima G</w:t>
      </w:r>
    </w:p>
    <w:p w14:paraId="6FB9233B" w14:textId="555F44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34E69" w:rsidRPr="00C15100">
          <w:rPr>
            <w:rStyle w:val="Hyperlink"/>
            <w:rFonts w:eastAsia="Times New Roman" w:cstheme="minorHAnsi"/>
            <w:b/>
          </w:rPr>
          <w:t>https://review.jove.com/account/file-uploader?src=21395798</w:t>
        </w:r>
      </w:hyperlink>
      <w:r w:rsidR="00734E6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862E8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34E69" w:rsidRPr="00734E69">
        <w:rPr>
          <w:rStyle w:val="ArticleTitle"/>
          <w:rFonts w:cstheme="minorHAnsi"/>
        </w:rPr>
        <w:t>Establishment of a Mouse Sepsis-Induced Immunosuppression Model by Intranasal Instillation of Bacteria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B2B79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OLE_LINK23"/>
      <w:r w:rsidRPr="00734E69">
        <w:rPr>
          <w:rFonts w:eastAsia="Times New Roman" w:cstheme="minorHAnsi"/>
          <w:b/>
          <w:sz w:val="28"/>
          <w:szCs w:val="28"/>
        </w:rPr>
        <w:t>Kaiwei Cao</w:t>
      </w:r>
      <w:bookmarkStart w:id="1" w:name="OLE_LINK21"/>
      <w:bookmarkEnd w:id="0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1"/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2" w:name="OLE_LINK24"/>
      <w:r w:rsidRPr="00734E69">
        <w:rPr>
          <w:rFonts w:eastAsia="Times New Roman" w:cstheme="minorHAnsi"/>
          <w:b/>
          <w:sz w:val="28"/>
          <w:szCs w:val="28"/>
        </w:rPr>
        <w:t xml:space="preserve"> Langtian Shi</w:t>
      </w:r>
      <w:bookmarkEnd w:id="2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3" w:name="OLE_LINK25"/>
      <w:r w:rsidRPr="00734E69">
        <w:rPr>
          <w:rFonts w:eastAsia="Times New Roman" w:cstheme="minorHAnsi"/>
          <w:b/>
          <w:sz w:val="28"/>
          <w:szCs w:val="28"/>
        </w:rPr>
        <w:t xml:space="preserve"> Xifeng Feng</w:t>
      </w:r>
      <w:bookmarkEnd w:id="3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4" w:name="OLE_LINK26"/>
      <w:r w:rsidRPr="00734E69">
        <w:rPr>
          <w:rFonts w:eastAsia="Times New Roman" w:cstheme="minorHAnsi"/>
          <w:b/>
          <w:sz w:val="28"/>
          <w:szCs w:val="28"/>
        </w:rPr>
        <w:t xml:space="preserve"> Qinyuan Li</w:t>
      </w:r>
      <w:bookmarkEnd w:id="4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5" w:name="OLE_LINK27"/>
      <w:r w:rsidRPr="00734E69">
        <w:rPr>
          <w:rFonts w:eastAsia="Times New Roman" w:cstheme="minorHAnsi"/>
          <w:b/>
          <w:sz w:val="28"/>
          <w:szCs w:val="28"/>
        </w:rPr>
        <w:t xml:space="preserve"> Jiangbo Fan</w:t>
      </w:r>
      <w:bookmarkEnd w:id="5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6" w:name="OLE_LINK28"/>
      <w:r w:rsidRPr="00734E69">
        <w:rPr>
          <w:rFonts w:eastAsia="Times New Roman" w:cstheme="minorHAnsi"/>
          <w:b/>
          <w:sz w:val="28"/>
          <w:szCs w:val="28"/>
        </w:rPr>
        <w:t xml:space="preserve"> Rui Wang</w:t>
      </w:r>
      <w:bookmarkEnd w:id="6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7" w:name="OLE_LINK29"/>
      <w:r w:rsidRPr="00734E69">
        <w:rPr>
          <w:rFonts w:eastAsia="Times New Roman" w:cstheme="minorHAnsi"/>
          <w:b/>
          <w:sz w:val="28"/>
          <w:szCs w:val="28"/>
        </w:rPr>
        <w:t xml:space="preserve"> Lebin Gan</w:t>
      </w:r>
      <w:bookmarkEnd w:id="7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8" w:name="OLE_LINK31"/>
      <w:r w:rsidRPr="00734E69">
        <w:rPr>
          <w:rFonts w:eastAsia="Times New Roman" w:cstheme="minorHAnsi"/>
          <w:b/>
          <w:sz w:val="28"/>
          <w:szCs w:val="28"/>
        </w:rPr>
        <w:t xml:space="preserve"> Juan Du</w:t>
      </w:r>
      <w:bookmarkEnd w:id="8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 xml:space="preserve">, </w:t>
      </w:r>
      <w:bookmarkStart w:id="9" w:name="OLE_LINK32"/>
      <w:r w:rsidRPr="00734E69">
        <w:rPr>
          <w:rFonts w:eastAsia="Times New Roman" w:cstheme="minorHAnsi"/>
          <w:b/>
          <w:sz w:val="28"/>
          <w:szCs w:val="28"/>
        </w:rPr>
        <w:t>Jianxin Jiang</w:t>
      </w:r>
      <w:bookmarkEnd w:id="9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 Zhen Wang</w:t>
      </w:r>
      <w:r w:rsidRPr="00734E69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734E69">
        <w:rPr>
          <w:rFonts w:eastAsia="Times New Roman" w:cstheme="minorHAnsi"/>
          <w:b/>
          <w:sz w:val="28"/>
          <w:szCs w:val="28"/>
        </w:rPr>
        <w:t>, Ling Zeng</w:t>
      </w:r>
      <w:r w:rsidRPr="00734E69">
        <w:rPr>
          <w:rFonts w:eastAsia="Times New Roman" w:cstheme="minorHAnsi"/>
          <w:b/>
          <w:sz w:val="28"/>
          <w:szCs w:val="28"/>
          <w:vertAlign w:val="superscript"/>
        </w:rPr>
        <w:t>1*</w:t>
      </w:r>
    </w:p>
    <w:p w14:paraId="799FA1C3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C0DA9C0" w14:textId="3DA2F707" w:rsidR="00734E69" w:rsidRPr="00734E69" w:rsidRDefault="00734E69" w:rsidP="00734E69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10" w:name="OLE_LINK22"/>
      <w:r w:rsidRPr="00734E69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11" w:name="OLE_LINK11"/>
      <w:r w:rsidRPr="00734E69">
        <w:rPr>
          <w:rFonts w:eastAsia="Times New Roman" w:cstheme="minorHAnsi"/>
          <w:bCs/>
          <w:sz w:val="28"/>
          <w:szCs w:val="28"/>
        </w:rPr>
        <w:t>Department of Trauma Medical Center, Daping Hospital, State Key Laboratory of Trauma and Chemical Poisoning, Burns and Combined Injury, Army Medical University</w:t>
      </w:r>
    </w:p>
    <w:bookmarkEnd w:id="10"/>
    <w:bookmarkEnd w:id="11"/>
    <w:p w14:paraId="33362AF4" w14:textId="06DF3FE5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  <w:r w:rsidRPr="00734E6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34E69">
        <w:rPr>
          <w:rFonts w:eastAsia="Times New Roman" w:cstheme="minorHAnsi"/>
          <w:bCs/>
          <w:sz w:val="28"/>
          <w:szCs w:val="28"/>
        </w:rPr>
        <w:t>Department of Critical Care Medicine, Daping Hospital, Army Medical University</w:t>
      </w:r>
    </w:p>
    <w:p w14:paraId="401AA463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214A52" w14:textId="2FEBA248" w:rsidR="00734E69" w:rsidRPr="00734E69" w:rsidRDefault="00734E69" w:rsidP="00734E69">
      <w:pPr>
        <w:outlineLvl w:val="0"/>
        <w:rPr>
          <w:rFonts w:eastAsia="Times New Roman" w:cstheme="minorHAnsi"/>
          <w:bCs/>
        </w:rPr>
      </w:pPr>
      <w:r w:rsidRPr="00734E69">
        <w:rPr>
          <w:rFonts w:eastAsia="Times New Roman" w:cstheme="minorHAnsi"/>
          <w:bCs/>
          <w:vertAlign w:val="superscript"/>
        </w:rPr>
        <w:t>*</w:t>
      </w:r>
      <w:r w:rsidRPr="00734E69">
        <w:rPr>
          <w:rFonts w:eastAsia="Times New Roman" w:cstheme="minorHAnsi"/>
          <w:bCs/>
        </w:rPr>
        <w:t>These authors contributed equally</w:t>
      </w:r>
    </w:p>
    <w:p w14:paraId="6D2D1C41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D831659" w14:textId="77777777" w:rsidR="00734E69" w:rsidRPr="00734E69" w:rsidRDefault="00734E69" w:rsidP="00734E69">
      <w:pPr>
        <w:outlineLvl w:val="0"/>
        <w:rPr>
          <w:rFonts w:eastAsia="Times New Roman" w:cstheme="minorHAnsi"/>
        </w:rPr>
      </w:pPr>
      <w:bookmarkStart w:id="12" w:name="_Hlk25233958"/>
      <w:r w:rsidRPr="00734E69">
        <w:rPr>
          <w:rFonts w:eastAsia="Times New Roman" w:cstheme="minorHAnsi"/>
        </w:rPr>
        <w:t xml:space="preserve">Zhen Wang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dpicuwz@tmmu.edu.cn</w:t>
      </w:r>
    </w:p>
    <w:p w14:paraId="5196A52A" w14:textId="78FD0EB3" w:rsidR="004E0C5A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Ling Zeng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zengling_1025@tmmu.edu.cn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2"/>
    <w:p w14:paraId="67938F9F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Kaiwei Cao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ckw125@tmmu.edu.cn</w:t>
      </w:r>
    </w:p>
    <w:p w14:paraId="22F9B369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Langtian Shi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20223474@stu.hnucm.edu.cn</w:t>
      </w:r>
    </w:p>
    <w:p w14:paraId="60648528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Xifeng </w:t>
      </w:r>
      <w:r w:rsidRPr="00734E69">
        <w:rPr>
          <w:rFonts w:cstheme="minorHAnsi"/>
          <w:bCs/>
        </w:rPr>
        <w:tab/>
        <w:t xml:space="preserve">Feng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fengxifeng@tmmu.edu.cn</w:t>
      </w:r>
    </w:p>
    <w:p w14:paraId="0B552A59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Qinyuan Li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liqinyuan@hospital.cqmu.edu.cn</w:t>
      </w:r>
    </w:p>
    <w:p w14:paraId="5D465180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Jiangbo Fan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fanjiangbo@tmmu.edu.cn</w:t>
      </w:r>
    </w:p>
    <w:p w14:paraId="6DB18C0A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Rui Wang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wangr5767@tmmu.edu.cn</w:t>
      </w:r>
    </w:p>
    <w:p w14:paraId="4F565517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Lebin Gan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lambertgan@tmmu.edu.cn</w:t>
      </w:r>
    </w:p>
    <w:p w14:paraId="3E0B3E21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Juan Du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dujuan1982@tmmu.edu.cn</w:t>
      </w:r>
    </w:p>
    <w:p w14:paraId="5A2BE33C" w14:textId="0D8591EF" w:rsidR="001E230F" w:rsidRDefault="00734E69" w:rsidP="009A0E7C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Jianxin Jiang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</w:r>
      <w:hyperlink r:id="rId8" w:history="1">
        <w:r w:rsidRPr="00C15100">
          <w:rPr>
            <w:rStyle w:val="Hyperlink"/>
            <w:rFonts w:cstheme="minorHAnsi"/>
            <w:bCs/>
          </w:rPr>
          <w:t>hellojjx@tmmu.edu.cn</w:t>
        </w:r>
      </w:hyperlink>
    </w:p>
    <w:p w14:paraId="3853035A" w14:textId="77777777" w:rsidR="00734E69" w:rsidRPr="00734E69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Zhen Wang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dpicuwz@tmmu.edu.cn</w:t>
      </w:r>
    </w:p>
    <w:p w14:paraId="63B45495" w14:textId="77777777" w:rsidR="00734E69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Ling Zeng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zengling_1025@tmmu.edu.cn</w:t>
      </w:r>
    </w:p>
    <w:p w14:paraId="42A3F921" w14:textId="77777777" w:rsidR="00734E69" w:rsidRPr="004F6CCB" w:rsidRDefault="00734E69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>:  xx</w:t>
      </w:r>
    </w:p>
    <w:p w14:paraId="5AAC9C6C" w14:textId="59B5EC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 xx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0B53B0A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34E69" w:rsidRPr="00734E69">
        <w:rPr>
          <w:rFonts w:eastAsia="Times New Roman" w:cstheme="minorHAnsi"/>
        </w:rPr>
        <w:t xml:space="preserve">Laboratory Animal Welfare and Ethics Committee of the Third Military Medical University </w:t>
      </w:r>
    </w:p>
    <w:p w14:paraId="6E0909C2" w14:textId="77777777" w:rsidR="004920BD" w:rsidRDefault="004920B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7EEC505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14"/>
      <w:commentRangeStart w:id="15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14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14"/>
      </w:r>
      <w:commentRangeEnd w:id="15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15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E448C29" w:rsidR="00CE10F2" w:rsidRDefault="00B878E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878E9">
        <w:rPr>
          <w:rFonts w:cstheme="minorHAnsi"/>
          <w:b/>
          <w:bCs/>
        </w:rPr>
        <w:t xml:space="preserve">Intranasal </w:t>
      </w:r>
      <w:r>
        <w:rPr>
          <w:rFonts w:cstheme="minorHAnsi"/>
          <w:b/>
          <w:bCs/>
        </w:rPr>
        <w:t xml:space="preserve">Bacterial </w:t>
      </w:r>
      <w:r w:rsidRPr="00B878E9">
        <w:rPr>
          <w:rFonts w:cstheme="minorHAnsi"/>
          <w:b/>
          <w:bCs/>
        </w:rPr>
        <w:t xml:space="preserve">Instillation </w:t>
      </w:r>
      <w:r>
        <w:rPr>
          <w:rFonts w:cstheme="minorHAnsi"/>
          <w:b/>
          <w:bCs/>
        </w:rPr>
        <w:t>in Mice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53A4FFEC" w:rsidR="00125924" w:rsidRPr="004920BD" w:rsidRDefault="004920B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920BD">
        <w:rPr>
          <w:rFonts w:cstheme="minorHAnsi"/>
          <w:color w:val="7030A0"/>
        </w:rPr>
        <w:t xml:space="preserve">To begin, </w:t>
      </w:r>
      <w:r w:rsidRPr="004920BD">
        <w:rPr>
          <w:rFonts w:cstheme="minorHAnsi"/>
          <w:color w:val="7030A0"/>
        </w:rPr>
        <w:t>obtain the</w:t>
      </w:r>
      <w:r w:rsidRPr="004920BD">
        <w:rPr>
          <w:rFonts w:cstheme="minorHAnsi"/>
          <w:color w:val="7030A0"/>
        </w:rPr>
        <w:t xml:space="preserve"> </w:t>
      </w:r>
      <w:r w:rsidRPr="004920BD">
        <w:rPr>
          <w:rFonts w:cstheme="minorHAnsi"/>
          <w:i/>
          <w:iCs/>
          <w:color w:val="7030A0"/>
        </w:rPr>
        <w:t>Klebsiella pneumoniae</w:t>
      </w:r>
      <w:r w:rsidRPr="004920BD">
        <w:rPr>
          <w:rFonts w:cstheme="minorHAnsi"/>
          <w:color w:val="7030A0"/>
        </w:rPr>
        <w:t xml:space="preserve"> 43816</w:t>
      </w:r>
      <w:r w:rsidRPr="004920BD">
        <w:rPr>
          <w:rFonts w:cstheme="minorHAnsi"/>
          <w:color w:val="7030A0"/>
        </w:rPr>
        <w:t xml:space="preserve"> </w:t>
      </w:r>
      <w:r w:rsidRPr="00DD7F75">
        <w:rPr>
          <w:rFonts w:cstheme="minorHAnsi"/>
          <w:i/>
          <w:iCs/>
          <w:color w:val="EE0000"/>
        </w:rPr>
        <w:t>(4-3-8-1-6)</w:t>
      </w:r>
      <w:r w:rsidRPr="00DD7F75">
        <w:rPr>
          <w:rFonts w:cstheme="minorHAnsi"/>
          <w:color w:val="EE0000"/>
        </w:rPr>
        <w:t xml:space="preserve"> </w:t>
      </w:r>
      <w:r w:rsidRPr="004920BD">
        <w:rPr>
          <w:rFonts w:cstheme="minorHAnsi"/>
          <w:color w:val="7030A0"/>
        </w:rPr>
        <w:t xml:space="preserve">culture </w:t>
      </w:r>
      <w:r w:rsidRPr="004920BD">
        <w:rPr>
          <w:rFonts w:cstheme="minorHAnsi"/>
          <w:b/>
          <w:bCs/>
          <w:color w:val="7030A0"/>
        </w:rPr>
        <w:t>[1]</w:t>
      </w:r>
      <w:r w:rsidRPr="004920BD">
        <w:rPr>
          <w:rFonts w:cstheme="minorHAnsi"/>
          <w:color w:val="7030A0"/>
        </w:rPr>
        <w:t xml:space="preserve"> and dilute</w:t>
      </w:r>
      <w:r w:rsidRPr="004920BD">
        <w:rPr>
          <w:rFonts w:cstheme="minorHAnsi"/>
          <w:color w:val="7030A0"/>
        </w:rPr>
        <w:t xml:space="preserve"> in 0.9 percent sodium chloride solution to prepare the required bacterial suspension concentrations </w:t>
      </w:r>
      <w:r w:rsidRPr="004920BD">
        <w:rPr>
          <w:rFonts w:cstheme="minorHAnsi"/>
          <w:b/>
          <w:bCs/>
          <w:color w:val="7030A0"/>
        </w:rPr>
        <w:t>[2</w:t>
      </w:r>
      <w:r>
        <w:rPr>
          <w:rFonts w:cstheme="minorHAnsi"/>
          <w:b/>
          <w:bCs/>
          <w:color w:val="7030A0"/>
        </w:rPr>
        <w:t>-TXT</w:t>
      </w:r>
      <w:r w:rsidRPr="004920BD">
        <w:rPr>
          <w:rFonts w:cstheme="minorHAnsi"/>
          <w:b/>
          <w:bCs/>
          <w:color w:val="7030A0"/>
        </w:rPr>
        <w:t>]</w:t>
      </w:r>
      <w:r w:rsidRPr="004920BD">
        <w:rPr>
          <w:rFonts w:cstheme="minorHAnsi"/>
          <w:color w:val="7030A0"/>
        </w:rPr>
        <w:t>.</w:t>
      </w:r>
    </w:p>
    <w:p w14:paraId="7605F9E4" w14:textId="0BBBD64E" w:rsidR="00C34F4C" w:rsidRPr="004920B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920BD">
        <w:rPr>
          <w:rFonts w:cstheme="minorHAnsi"/>
        </w:rPr>
        <w:t>Talent placing the bacterial culture in the hood.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6DD02582" w14:textId="44A2BA6F" w:rsidR="004920BD" w:rsidRDefault="004920B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the culture to tubes containing 09%NaCl. </w:t>
      </w:r>
      <w:r w:rsidRPr="004920BD">
        <w:rPr>
          <w:rFonts w:cstheme="minorHAnsi"/>
          <w:b/>
          <w:bCs/>
        </w:rPr>
        <w:t xml:space="preserve">TXT: Bacterial concentrations: </w:t>
      </w:r>
      <w:r w:rsidRPr="004920BD">
        <w:rPr>
          <w:rFonts w:cstheme="minorHAnsi"/>
          <w:b/>
          <w:bCs/>
        </w:rPr>
        <w:t xml:space="preserve">1 × </w:t>
      </w:r>
      <w:r w:rsidRPr="004920BD">
        <w:rPr>
          <w:rFonts w:cstheme="minorHAnsi"/>
          <w:b/>
          <w:bCs/>
          <w:vertAlign w:val="superscript"/>
        </w:rPr>
        <w:t>10</w:t>
      </w:r>
      <w:r w:rsidRPr="004920BD">
        <w:rPr>
          <w:rFonts w:cstheme="minorHAnsi"/>
          <w:b/>
          <w:bCs/>
        </w:rPr>
        <w:t>8 CFU/</w:t>
      </w:r>
      <w:r w:rsidRPr="004920BD">
        <w:rPr>
          <w:rFonts w:cstheme="minorHAnsi"/>
          <w:b/>
          <w:bCs/>
        </w:rPr>
        <w:t>Ml;</w:t>
      </w:r>
      <w:r w:rsidRPr="004920BD">
        <w:rPr>
          <w:rFonts w:cstheme="minorHAnsi"/>
          <w:b/>
          <w:bCs/>
        </w:rPr>
        <w:t xml:space="preserve"> 1 × 10</w:t>
      </w:r>
      <w:r w:rsidRPr="004920BD">
        <w:rPr>
          <w:rFonts w:cstheme="minorHAnsi"/>
          <w:b/>
          <w:bCs/>
          <w:vertAlign w:val="superscript"/>
        </w:rPr>
        <w:t>6</w:t>
      </w:r>
      <w:r w:rsidRPr="004920BD">
        <w:rPr>
          <w:rFonts w:cstheme="minorHAnsi"/>
          <w:b/>
          <w:bCs/>
        </w:rPr>
        <w:t xml:space="preserve"> CFU/mL</w:t>
      </w:r>
      <w:r w:rsidRPr="004920BD">
        <w:rPr>
          <w:rFonts w:cstheme="minorHAnsi"/>
          <w:b/>
          <w:bCs/>
        </w:rPr>
        <w:t>;</w:t>
      </w:r>
      <w:r w:rsidRPr="004920BD">
        <w:rPr>
          <w:rFonts w:cstheme="minorHAnsi"/>
          <w:b/>
          <w:bCs/>
        </w:rPr>
        <w:t xml:space="preserve"> and 1 × 10</w:t>
      </w:r>
      <w:r w:rsidRPr="004920BD">
        <w:rPr>
          <w:rFonts w:cstheme="minorHAnsi"/>
          <w:b/>
          <w:bCs/>
          <w:vertAlign w:val="superscript"/>
        </w:rPr>
        <w:t>4</w:t>
      </w:r>
      <w:r w:rsidRPr="004920BD">
        <w:rPr>
          <w:rFonts w:cstheme="minorHAnsi"/>
          <w:b/>
          <w:bCs/>
        </w:rPr>
        <w:t xml:space="preserve"> CFU/mL</w:t>
      </w:r>
    </w:p>
    <w:p w14:paraId="28C1DCF5" w14:textId="77777777" w:rsidR="004920BD" w:rsidRPr="00B07A3B" w:rsidRDefault="004920BD" w:rsidP="004920B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08F16F" w14:textId="5193A81B" w:rsidR="004920BD" w:rsidRPr="00C60B55" w:rsidRDefault="004920BD" w:rsidP="004920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cstheme="minorHAnsi"/>
        </w:rPr>
        <w:t>Position the</w:t>
      </w:r>
      <w:r w:rsidRPr="00C60B55">
        <w:rPr>
          <w:lang w:eastAsia="en-IN"/>
        </w:rPr>
        <w:t xml:space="preserve"> </w:t>
      </w:r>
      <w:r w:rsidRPr="004920BD">
        <w:rPr>
          <w:lang w:eastAsia="en-IN"/>
        </w:rPr>
        <w:t>C57BL</w:t>
      </w:r>
      <w:r>
        <w:rPr>
          <w:lang w:eastAsia="en-IN"/>
        </w:rPr>
        <w:t>-</w:t>
      </w:r>
      <w:r w:rsidRPr="004920BD">
        <w:rPr>
          <w:lang w:eastAsia="en-IN"/>
        </w:rPr>
        <w:t xml:space="preserve">6 </w:t>
      </w:r>
      <w:r>
        <w:rPr>
          <w:lang w:eastAsia="en-IN"/>
        </w:rPr>
        <w:t>male mouse,</w:t>
      </w:r>
      <w:r w:rsidRPr="004920BD">
        <w:rPr>
          <w:lang w:eastAsia="en-IN"/>
        </w:rPr>
        <w:t xml:space="preserve"> aged 8</w:t>
      </w:r>
      <w:r>
        <w:rPr>
          <w:lang w:eastAsia="en-IN"/>
        </w:rPr>
        <w:t xml:space="preserve"> to </w:t>
      </w:r>
      <w:r w:rsidRPr="004920BD">
        <w:rPr>
          <w:lang w:eastAsia="en-IN"/>
        </w:rPr>
        <w:t>10 weeks</w:t>
      </w:r>
      <w:r>
        <w:rPr>
          <w:lang w:eastAsia="en-IN"/>
        </w:rPr>
        <w:t>, on a clean table</w:t>
      </w:r>
      <w:r w:rsidRPr="00C60B55">
        <w:rPr>
          <w:lang w:eastAsia="en-IN"/>
        </w:rPr>
        <w:t xml:space="preserve"> </w:t>
      </w:r>
      <w:r w:rsidRPr="00C60B55">
        <w:rPr>
          <w:b/>
          <w:bCs/>
          <w:lang w:eastAsia="en-IN"/>
        </w:rPr>
        <w:t>[1]</w:t>
      </w:r>
      <w:r>
        <w:rPr>
          <w:lang w:eastAsia="en-IN"/>
        </w:rPr>
        <w:t xml:space="preserve"> and inject </w:t>
      </w:r>
      <w:r w:rsidRPr="004920BD">
        <w:rPr>
          <w:lang w:eastAsia="en-IN"/>
        </w:rPr>
        <w:t xml:space="preserve">2 percent sodium pentobarbital at a dose of 2 microliters per gram </w:t>
      </w:r>
      <w:r>
        <w:rPr>
          <w:lang w:eastAsia="en-IN"/>
        </w:rPr>
        <w:t xml:space="preserve">intraperitoneally </w:t>
      </w:r>
      <w:r w:rsidRPr="004920B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4920BD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</w:p>
    <w:p w14:paraId="42EB132B" w14:textId="1AAC045C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positioning the mouse </w:t>
      </w:r>
      <w:r w:rsidR="005513EA">
        <w:rPr>
          <w:lang w:val="en-IN" w:eastAsia="en-IN"/>
        </w:rPr>
        <w:t xml:space="preserve">on the table for injection. </w:t>
      </w:r>
    </w:p>
    <w:p w14:paraId="022308DE" w14:textId="3040D9AA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administering the intraperitoneal injection to anesthetize the mouse.</w:t>
      </w:r>
    </w:p>
    <w:p w14:paraId="4DEEBC97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1517E273" w14:textId="77777777" w:rsidR="004920BD" w:rsidRPr="00C60B55" w:rsidRDefault="004920BD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t xml:space="preserve">When the mouse exhibits reduced consciousness but retains the swallowing reflex, aspirate 50 microliters of the bacterial suspension or 0.9 percent sodium chloride solution as a control using a micropipette </w:t>
      </w:r>
      <w:r w:rsidRPr="00C60B55">
        <w:rPr>
          <w:b/>
          <w:bCs/>
          <w:lang w:eastAsia="en-IN"/>
        </w:rPr>
        <w:t>[1]</w:t>
      </w:r>
      <w:r w:rsidRPr="00C60B55">
        <w:rPr>
          <w:lang w:eastAsia="en-IN"/>
        </w:rPr>
        <w:t>.</w:t>
      </w:r>
    </w:p>
    <w:p w14:paraId="5057194A" w14:textId="77777777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aspirating 50 microliters of the bacterial suspension or control solution using a micropipette.</w:t>
      </w:r>
    </w:p>
    <w:p w14:paraId="1E569492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38720F9D" w14:textId="77777777" w:rsidR="004920BD" w:rsidRPr="00C60B55" w:rsidRDefault="004920BD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lastRenderedPageBreak/>
        <w:t xml:space="preserve">Gently hold the mouse’s neck with the thumb placed on the front of the neck </w:t>
      </w:r>
      <w:r w:rsidRPr="00C60B55">
        <w:rPr>
          <w:b/>
          <w:bCs/>
          <w:lang w:eastAsia="en-IN"/>
        </w:rPr>
        <w:t>[1]</w:t>
      </w:r>
      <w:r w:rsidRPr="00C60B55">
        <w:rPr>
          <w:lang w:eastAsia="en-IN"/>
        </w:rPr>
        <w:t xml:space="preserve"> and gently grasp the mouse’s body with the </w:t>
      </w:r>
      <w:r w:rsidRPr="005513EA">
        <w:rPr>
          <w:lang w:eastAsia="en-IN"/>
        </w:rPr>
        <w:t>remaining</w:t>
      </w:r>
      <w:r w:rsidRPr="00C60B55">
        <w:rPr>
          <w:lang w:eastAsia="en-IN"/>
        </w:rPr>
        <w:t xml:space="preserve"> fingers </w:t>
      </w:r>
      <w:r w:rsidRPr="00C60B55">
        <w:rPr>
          <w:b/>
          <w:bCs/>
          <w:lang w:eastAsia="en-IN"/>
        </w:rPr>
        <w:t>[2]</w:t>
      </w:r>
      <w:r w:rsidRPr="00C60B55">
        <w:rPr>
          <w:lang w:eastAsia="en-IN"/>
        </w:rPr>
        <w:t xml:space="preserve">. Tilt the mouse’s head backward </w:t>
      </w:r>
      <w:r w:rsidRPr="00C60B55">
        <w:rPr>
          <w:b/>
          <w:bCs/>
          <w:lang w:eastAsia="en-IN"/>
        </w:rPr>
        <w:t>[3]</w:t>
      </w:r>
      <w:r w:rsidRPr="00C60B55">
        <w:rPr>
          <w:lang w:eastAsia="en-IN"/>
        </w:rPr>
        <w:t>.</w:t>
      </w:r>
    </w:p>
    <w:p w14:paraId="0ACDCAD0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gently holding the mouse’s neck with the thumb placed on the front of the neck.</w:t>
      </w:r>
    </w:p>
    <w:p w14:paraId="13EA39B3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gently grasping the mouse’s body with the </w:t>
      </w:r>
      <w:r w:rsidRPr="005513EA">
        <w:rPr>
          <w:lang w:val="en-IN" w:eastAsia="en-IN"/>
        </w:rPr>
        <w:t>remaining</w:t>
      </w:r>
      <w:r w:rsidRPr="00C60B55">
        <w:rPr>
          <w:lang w:val="en-IN" w:eastAsia="en-IN"/>
        </w:rPr>
        <w:t xml:space="preserve"> fingers.</w:t>
      </w:r>
    </w:p>
    <w:p w14:paraId="1BB43AFB" w14:textId="77777777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tilting the mouse’s head backward.</w:t>
      </w:r>
    </w:p>
    <w:p w14:paraId="4658DE69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6C477670" w14:textId="601DE432" w:rsidR="004920BD" w:rsidRPr="00C60B55" w:rsidRDefault="005513EA" w:rsidP="004920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s</w:t>
      </w:r>
      <w:r w:rsidR="004920BD" w:rsidRPr="00C60B55">
        <w:rPr>
          <w:lang w:eastAsia="en-IN"/>
        </w:rPr>
        <w:t xml:space="preserve">lowly instill the bacterial suspension into the mouse’s nostrils, approximately 5 to 10 microliters per drop </w:t>
      </w:r>
      <w:r w:rsidR="004920BD" w:rsidRPr="00C60B55">
        <w:rPr>
          <w:b/>
          <w:bCs/>
          <w:lang w:eastAsia="en-IN"/>
        </w:rPr>
        <w:t>[1]</w:t>
      </w:r>
      <w:r w:rsidR="004920BD" w:rsidRPr="00C60B55">
        <w:rPr>
          <w:lang w:eastAsia="en-IN"/>
        </w:rPr>
        <w:t xml:space="preserve">. Instill 1 drop into 1 nostril at a time </w:t>
      </w:r>
      <w:r w:rsidR="004920BD" w:rsidRPr="00C60B55">
        <w:rPr>
          <w:b/>
          <w:bCs/>
          <w:lang w:eastAsia="en-IN"/>
        </w:rPr>
        <w:t>[2]</w:t>
      </w:r>
      <w:r w:rsidR="004920BD" w:rsidRPr="00C60B55">
        <w:rPr>
          <w:lang w:eastAsia="en-IN"/>
        </w:rPr>
        <w:t>.</w:t>
      </w:r>
    </w:p>
    <w:p w14:paraId="0C979CEE" w14:textId="3E901533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slowly instilling the bacterial suspension into the mouse’s nostril.</w:t>
      </w:r>
    </w:p>
    <w:p w14:paraId="2F6BFBDA" w14:textId="3CDB124B" w:rsidR="004920BD" w:rsidRDefault="005513EA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</w:t>
      </w:r>
      <w:r w:rsidR="004920BD" w:rsidRPr="00C60B55">
        <w:rPr>
          <w:lang w:val="en-IN" w:eastAsia="en-IN"/>
        </w:rPr>
        <w:t xml:space="preserve"> </w:t>
      </w:r>
      <w:r>
        <w:rPr>
          <w:lang w:val="en-IN" w:eastAsia="en-IN"/>
        </w:rPr>
        <w:t xml:space="preserve">only </w:t>
      </w:r>
      <w:r w:rsidR="004920BD" w:rsidRPr="00C60B55">
        <w:rPr>
          <w:lang w:val="en-IN" w:eastAsia="en-IN"/>
        </w:rPr>
        <w:t xml:space="preserve">1 drop </w:t>
      </w:r>
      <w:r>
        <w:rPr>
          <w:lang w:val="en-IN" w:eastAsia="en-IN"/>
        </w:rPr>
        <w:t xml:space="preserve">falling </w:t>
      </w:r>
      <w:r w:rsidR="004920BD" w:rsidRPr="00C60B55">
        <w:rPr>
          <w:lang w:val="en-IN" w:eastAsia="en-IN"/>
        </w:rPr>
        <w:t xml:space="preserve">into </w:t>
      </w:r>
      <w:r>
        <w:rPr>
          <w:lang w:val="en-IN" w:eastAsia="en-IN"/>
        </w:rPr>
        <w:t>the other</w:t>
      </w:r>
      <w:r w:rsidR="004920BD" w:rsidRPr="00C60B55">
        <w:rPr>
          <w:lang w:val="en-IN" w:eastAsia="en-IN"/>
        </w:rPr>
        <w:t xml:space="preserve"> nostril.</w:t>
      </w:r>
    </w:p>
    <w:p w14:paraId="76ED6D06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5CA9A62C" w14:textId="2CA0406E" w:rsidR="004920BD" w:rsidRPr="00C60B55" w:rsidRDefault="004920BD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t xml:space="preserve">After observing that the mouse has inhaled the suspension </w:t>
      </w:r>
      <w:r w:rsidRPr="00C60B55">
        <w:rPr>
          <w:b/>
          <w:bCs/>
          <w:lang w:eastAsia="en-IN"/>
        </w:rPr>
        <w:t>[1]</w:t>
      </w:r>
      <w:r w:rsidRPr="00C60B55">
        <w:rPr>
          <w:lang w:eastAsia="en-IN"/>
        </w:rPr>
        <w:t xml:space="preserve">, quickly lift the mouse upward </w:t>
      </w:r>
      <w:r w:rsidRPr="00C60B55">
        <w:rPr>
          <w:b/>
          <w:bCs/>
          <w:lang w:eastAsia="en-IN"/>
        </w:rPr>
        <w:t>[2]</w:t>
      </w:r>
      <w:r w:rsidRPr="00C60B55">
        <w:rPr>
          <w:lang w:eastAsia="en-IN"/>
        </w:rPr>
        <w:t>. Then</w:t>
      </w:r>
      <w:r w:rsidR="005513EA">
        <w:rPr>
          <w:lang w:eastAsia="en-IN"/>
        </w:rPr>
        <w:t xml:space="preserve"> slowly lower the mouse to promote suspension inhalation </w:t>
      </w:r>
      <w:r w:rsidRPr="00C60B55">
        <w:rPr>
          <w:lang w:eastAsia="en-IN"/>
        </w:rPr>
        <w:t xml:space="preserve">into the bronchi </w:t>
      </w:r>
      <w:r w:rsidRPr="00C60B55">
        <w:rPr>
          <w:b/>
          <w:bCs/>
          <w:lang w:eastAsia="en-IN"/>
        </w:rPr>
        <w:t>[3]</w:t>
      </w:r>
      <w:r w:rsidRPr="00C60B55">
        <w:rPr>
          <w:lang w:eastAsia="en-IN"/>
        </w:rPr>
        <w:t>.</w:t>
      </w:r>
    </w:p>
    <w:p w14:paraId="7358C6DD" w14:textId="327BEE6E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observing </w:t>
      </w:r>
      <w:r w:rsidR="005513EA">
        <w:rPr>
          <w:lang w:val="en-IN" w:eastAsia="en-IN"/>
        </w:rPr>
        <w:t xml:space="preserve">as </w:t>
      </w:r>
      <w:r w:rsidRPr="00C60B55">
        <w:rPr>
          <w:lang w:val="en-IN" w:eastAsia="en-IN"/>
        </w:rPr>
        <w:t>the mouse has inhale</w:t>
      </w:r>
      <w:r w:rsidR="005513EA">
        <w:rPr>
          <w:lang w:val="en-IN" w:eastAsia="en-IN"/>
        </w:rPr>
        <w:t>s</w:t>
      </w:r>
      <w:r w:rsidRPr="00C60B55">
        <w:rPr>
          <w:lang w:val="en-IN" w:eastAsia="en-IN"/>
        </w:rPr>
        <w:t xml:space="preserve"> the suspension.</w:t>
      </w:r>
    </w:p>
    <w:p w14:paraId="2FD2072B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quickly lifting the mouse upward.</w:t>
      </w:r>
    </w:p>
    <w:p w14:paraId="2769D244" w14:textId="77777777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slowly lowering the mouse.</w:t>
      </w:r>
    </w:p>
    <w:p w14:paraId="58F62E36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5D5B108C" w14:textId="2CCCAAF4" w:rsidR="004920BD" w:rsidRPr="00C60B55" w:rsidRDefault="005513EA" w:rsidP="004920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Following instillation, position </w:t>
      </w:r>
      <w:r w:rsidR="004920BD" w:rsidRPr="00C60B55">
        <w:rPr>
          <w:lang w:eastAsia="en-IN"/>
        </w:rPr>
        <w:t xml:space="preserve">the mouse supine on a mouse board tilted at 60 degrees </w:t>
      </w:r>
      <w:r w:rsidR="004920BD" w:rsidRPr="00C60B55">
        <w:rPr>
          <w:b/>
          <w:bCs/>
          <w:lang w:eastAsia="en-IN"/>
        </w:rPr>
        <w:t>[1]</w:t>
      </w:r>
      <w:r w:rsidR="004920BD" w:rsidRPr="00C60B55">
        <w:rPr>
          <w:lang w:eastAsia="en-IN"/>
        </w:rPr>
        <w:t xml:space="preserve">. If the room temperature is low, </w:t>
      </w:r>
      <w:r>
        <w:rPr>
          <w:lang w:eastAsia="en-IN"/>
        </w:rPr>
        <w:t xml:space="preserve">turn on the </w:t>
      </w:r>
      <w:r w:rsidR="004920BD" w:rsidRPr="00C60B55">
        <w:rPr>
          <w:lang w:eastAsia="en-IN"/>
        </w:rPr>
        <w:t xml:space="preserve">heater to help the mouse recover </w:t>
      </w:r>
      <w:r w:rsidR="004920BD" w:rsidRPr="00C60B55">
        <w:rPr>
          <w:b/>
          <w:bCs/>
          <w:lang w:eastAsia="en-IN"/>
        </w:rPr>
        <w:t>[2]</w:t>
      </w:r>
      <w:r w:rsidR="004920BD" w:rsidRPr="00C60B55">
        <w:rPr>
          <w:lang w:eastAsia="en-IN"/>
        </w:rPr>
        <w:t xml:space="preserve">. Monitor the mouse until it fully recovers from anesthesia </w:t>
      </w:r>
      <w:r w:rsidR="004920BD" w:rsidRPr="00C60B55">
        <w:rPr>
          <w:b/>
          <w:bCs/>
          <w:lang w:eastAsia="en-IN"/>
        </w:rPr>
        <w:t>[3]</w:t>
      </w:r>
      <w:r w:rsidR="004920BD" w:rsidRPr="00C60B55">
        <w:rPr>
          <w:lang w:eastAsia="en-IN"/>
        </w:rPr>
        <w:t xml:space="preserve">. Then, return it to its cage with optimal temperature conditions, sufficient water, and food </w:t>
      </w:r>
      <w:r w:rsidR="004920BD" w:rsidRPr="00C60B55">
        <w:rPr>
          <w:b/>
          <w:bCs/>
          <w:lang w:eastAsia="en-IN"/>
        </w:rPr>
        <w:t>[4]</w:t>
      </w:r>
      <w:r w:rsidR="004920BD" w:rsidRPr="00C60B55">
        <w:rPr>
          <w:lang w:eastAsia="en-IN"/>
        </w:rPr>
        <w:t>.</w:t>
      </w:r>
    </w:p>
    <w:p w14:paraId="0996C260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fixing the mouse in a supine position on a mouse board tilted at 60 degrees.</w:t>
      </w:r>
    </w:p>
    <w:p w14:paraId="77AB857C" w14:textId="33223409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</w:t>
      </w:r>
      <w:r w:rsidR="005513EA">
        <w:rPr>
          <w:lang w:val="en-IN" w:eastAsia="en-IN"/>
        </w:rPr>
        <w:t>turning on</w:t>
      </w:r>
      <w:r w:rsidRPr="00C60B55">
        <w:rPr>
          <w:lang w:val="en-IN" w:eastAsia="en-IN"/>
        </w:rPr>
        <w:t xml:space="preserve"> a heater to help the mouse recover.</w:t>
      </w:r>
    </w:p>
    <w:p w14:paraId="0A2CD11F" w14:textId="169788D6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monitoring the mouse during recovery from anesthesia</w:t>
      </w:r>
      <w:r w:rsidR="005513EA">
        <w:rPr>
          <w:lang w:val="en-IN" w:eastAsia="en-IN"/>
        </w:rPr>
        <w:t xml:space="preserve"> and mouse showing some movements</w:t>
      </w:r>
      <w:r w:rsidRPr="00C60B55">
        <w:rPr>
          <w:lang w:val="en-IN" w:eastAsia="en-IN"/>
        </w:rPr>
        <w:t>.</w:t>
      </w:r>
    </w:p>
    <w:p w14:paraId="745F5B77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returning the recovered mouse to its cage.</w:t>
      </w:r>
    </w:p>
    <w:p w14:paraId="0944CFD5" w14:textId="77777777" w:rsidR="004920BD" w:rsidRDefault="004920BD" w:rsidP="004920BD"/>
    <w:p w14:paraId="3591C141" w14:textId="33CD7598" w:rsidR="00DD7F75" w:rsidRPr="00C60B55" w:rsidRDefault="00DD7F75" w:rsidP="004920BD">
      <w:r w:rsidRPr="00DD7F75">
        <w:rPr>
          <w:b/>
          <w:bCs/>
          <w:highlight w:val="yellow"/>
        </w:rPr>
        <w:t>Authors</w:t>
      </w:r>
      <w:r w:rsidRPr="00DD7F75">
        <w:rPr>
          <w:highlight w:val="yellow"/>
        </w:rPr>
        <w:t>: The following are representative shots added to bridge the result</w:t>
      </w:r>
      <w:r>
        <w:rPr>
          <w:highlight w:val="yellow"/>
        </w:rPr>
        <w:t>s to the protocol</w:t>
      </w:r>
      <w:r>
        <w:t xml:space="preserve"> </w:t>
      </w:r>
    </w:p>
    <w:p w14:paraId="5E734FCA" w14:textId="6147ECEB" w:rsidR="009510AB" w:rsidRPr="00B878E9" w:rsidRDefault="00B878E9" w:rsidP="009510A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Use</w:t>
      </w:r>
      <w:r w:rsidR="009510AB" w:rsidRPr="00B878E9">
        <w:rPr>
          <w:rFonts w:cstheme="minorHAnsi"/>
          <w:color w:val="7030A0"/>
        </w:rPr>
        <w:t xml:space="preserve"> the serum </w:t>
      </w:r>
      <w:r>
        <w:rPr>
          <w:rFonts w:cstheme="minorHAnsi"/>
          <w:color w:val="7030A0"/>
        </w:rPr>
        <w:t xml:space="preserve">collected </w:t>
      </w:r>
      <w:r w:rsidR="009510AB" w:rsidRPr="00B878E9">
        <w:rPr>
          <w:rFonts w:cstheme="minorHAnsi"/>
          <w:color w:val="7030A0"/>
        </w:rPr>
        <w:t>after infection to m</w:t>
      </w:r>
      <w:r w:rsidR="009510AB" w:rsidRPr="00B878E9">
        <w:rPr>
          <w:rFonts w:cstheme="minorHAnsi"/>
          <w:color w:val="7030A0"/>
        </w:rPr>
        <w:t xml:space="preserve">easure </w:t>
      </w:r>
      <w:r w:rsidR="009510AB" w:rsidRPr="00B878E9">
        <w:rPr>
          <w:rFonts w:cstheme="minorHAnsi"/>
          <w:color w:val="7030A0"/>
        </w:rPr>
        <w:t xml:space="preserve">the </w:t>
      </w:r>
      <w:r w:rsidR="009510AB" w:rsidRPr="00B878E9">
        <w:rPr>
          <w:rFonts w:cstheme="minorHAnsi"/>
          <w:color w:val="7030A0"/>
        </w:rPr>
        <w:t xml:space="preserve">inflammatory and organ damage indicators </w:t>
      </w:r>
      <w:r w:rsidR="009510AB" w:rsidRPr="00B878E9">
        <w:rPr>
          <w:rFonts w:cstheme="minorHAnsi"/>
          <w:b/>
          <w:bCs/>
          <w:color w:val="7030A0"/>
        </w:rPr>
        <w:t>[1]</w:t>
      </w:r>
      <w:r w:rsidR="009510AB" w:rsidRPr="00B878E9">
        <w:rPr>
          <w:rFonts w:cstheme="minorHAnsi"/>
          <w:color w:val="7030A0"/>
        </w:rPr>
        <w:t xml:space="preserve"> and monitor clinical symptoms by recording body weight, hair condition, and activity level</w:t>
      </w:r>
      <w:r w:rsidR="009510AB" w:rsidRPr="00B878E9">
        <w:rPr>
          <w:rFonts w:cstheme="minorHAnsi"/>
          <w:color w:val="7030A0"/>
        </w:rPr>
        <w:t xml:space="preserve"> </w:t>
      </w:r>
      <w:r w:rsidR="009510AB" w:rsidRPr="00B878E9">
        <w:rPr>
          <w:rFonts w:cstheme="minorHAnsi"/>
          <w:b/>
          <w:bCs/>
          <w:color w:val="7030A0"/>
        </w:rPr>
        <w:t>[2]</w:t>
      </w:r>
      <w:r w:rsidR="009510AB" w:rsidRPr="00B878E9">
        <w:rPr>
          <w:rFonts w:cstheme="minorHAnsi"/>
          <w:color w:val="7030A0"/>
        </w:rPr>
        <w:t>.</w:t>
      </w:r>
    </w:p>
    <w:p w14:paraId="08C8D5BF" w14:textId="72006779" w:rsidR="009510AB" w:rsidRDefault="00B878E9" w:rsidP="00B878E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Talent processing the vial with blood for obtaining serum.</w:t>
      </w:r>
    </w:p>
    <w:p w14:paraId="2F54C4CE" w14:textId="72236491" w:rsidR="00B878E9" w:rsidRDefault="00B878E9" w:rsidP="00B878E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recording the animal’s weight by placing it on a weighing scale.</w:t>
      </w:r>
    </w:p>
    <w:p w14:paraId="5F52749A" w14:textId="77777777" w:rsidR="00B878E9" w:rsidRPr="009510AB" w:rsidRDefault="00B878E9" w:rsidP="00B878E9">
      <w:pPr>
        <w:pStyle w:val="ListParagraph"/>
        <w:spacing w:before="120"/>
        <w:ind w:left="1627"/>
        <w:rPr>
          <w:rFonts w:cstheme="minorHAnsi"/>
        </w:rPr>
      </w:pPr>
    </w:p>
    <w:p w14:paraId="54B0D4E5" w14:textId="6146C248" w:rsidR="00CE10F2" w:rsidRPr="00B878E9" w:rsidRDefault="009510AB" w:rsidP="009510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878E9">
        <w:rPr>
          <w:rFonts w:cstheme="minorHAnsi"/>
          <w:color w:val="7030A0"/>
        </w:rPr>
        <w:t>Assess immune cell changes by flow cytometry</w:t>
      </w:r>
      <w:r w:rsidRPr="00B878E9">
        <w:rPr>
          <w:rFonts w:cstheme="minorHAnsi"/>
          <w:color w:val="7030A0"/>
        </w:rPr>
        <w:t xml:space="preserve"> </w:t>
      </w:r>
      <w:r w:rsidRPr="00B878E9">
        <w:rPr>
          <w:rFonts w:cstheme="minorHAnsi"/>
          <w:b/>
          <w:bCs/>
          <w:color w:val="7030A0"/>
        </w:rPr>
        <w:t>[1]</w:t>
      </w:r>
      <w:r w:rsidR="00B878E9">
        <w:rPr>
          <w:rFonts w:cstheme="minorHAnsi"/>
          <w:color w:val="7030A0"/>
        </w:rPr>
        <w:t xml:space="preserve"> </w:t>
      </w:r>
      <w:r w:rsidR="00B878E9" w:rsidRPr="00B878E9">
        <w:rPr>
          <w:rFonts w:cstheme="minorHAnsi"/>
          <w:color w:val="7030A0"/>
        </w:rPr>
        <w:t>and</w:t>
      </w:r>
      <w:r w:rsidRPr="00B878E9">
        <w:rPr>
          <w:rFonts w:cstheme="minorHAnsi"/>
          <w:color w:val="7030A0"/>
        </w:rPr>
        <w:t xml:space="preserve"> monitor survival</w:t>
      </w:r>
      <w:r w:rsidR="00B878E9" w:rsidRPr="00B878E9">
        <w:rPr>
          <w:rFonts w:cstheme="minorHAnsi"/>
          <w:color w:val="7030A0"/>
        </w:rPr>
        <w:t xml:space="preserve"> </w:t>
      </w:r>
      <w:r w:rsidR="00B878E9">
        <w:rPr>
          <w:rFonts w:cstheme="minorHAnsi"/>
          <w:color w:val="7030A0"/>
        </w:rPr>
        <w:t xml:space="preserve">of the mice </w:t>
      </w:r>
      <w:r w:rsidR="00B878E9" w:rsidRPr="00B878E9">
        <w:rPr>
          <w:rFonts w:cstheme="minorHAnsi"/>
          <w:color w:val="7030A0"/>
        </w:rPr>
        <w:t>among the</w:t>
      </w:r>
      <w:r w:rsidRPr="00B878E9">
        <w:rPr>
          <w:rFonts w:cstheme="minorHAnsi"/>
          <w:color w:val="7030A0"/>
        </w:rPr>
        <w:t xml:space="preserve"> </w:t>
      </w:r>
      <w:r w:rsidR="00B878E9" w:rsidRPr="00B878E9">
        <w:rPr>
          <w:rFonts w:cstheme="minorHAnsi"/>
          <w:color w:val="7030A0"/>
        </w:rPr>
        <w:t xml:space="preserve">experimental groups </w:t>
      </w:r>
      <w:r w:rsidR="00B878E9" w:rsidRPr="00B878E9">
        <w:rPr>
          <w:rFonts w:cstheme="minorHAnsi"/>
          <w:b/>
          <w:bCs/>
          <w:color w:val="7030A0"/>
        </w:rPr>
        <w:t>[2]</w:t>
      </w:r>
      <w:r w:rsidRPr="00B878E9">
        <w:rPr>
          <w:rFonts w:cstheme="minorHAnsi"/>
          <w:color w:val="7030A0"/>
        </w:rPr>
        <w:t>.</w:t>
      </w:r>
    </w:p>
    <w:p w14:paraId="2104A549" w14:textId="755E4B52" w:rsidR="004920BD" w:rsidRPr="00B07A3B" w:rsidRDefault="00B878E9" w:rsidP="00B878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loading a sample into the flow cytometer.</w:t>
      </w:r>
    </w:p>
    <w:p w14:paraId="1EE42691" w14:textId="079E7E3D" w:rsidR="00A319BE" w:rsidRDefault="00B878E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looking at the animal in the cage and noting the days in a book.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6C1BB4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6"/>
      <w:r w:rsidRPr="00B07A3B">
        <w:rPr>
          <w:rFonts w:eastAsia="Times New Roman" w:cstheme="minorHAnsi"/>
          <w:b/>
        </w:rPr>
        <w:t xml:space="preserve">Please review this section </w:t>
      </w:r>
      <w:commentRangeEnd w:id="16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29630B9" w14:textId="1990C08B" w:rsidR="00734E69" w:rsidRDefault="00734E69" w:rsidP="00734E69">
      <w:pPr>
        <w:pStyle w:val="Narration"/>
        <w:numPr>
          <w:ilvl w:val="1"/>
          <w:numId w:val="3"/>
        </w:numPr>
      </w:pPr>
      <w:r>
        <w:t xml:space="preserve">At 12 hours after intranasal instillation, the serum interleukin-6 level was significantly increased in the 1 × 10⁸ </w:t>
      </w:r>
      <w:r w:rsidRPr="00734E69">
        <w:rPr>
          <w:i/>
          <w:iCs/>
        </w:rPr>
        <w:t>Klebsiella pneumoniae</w:t>
      </w:r>
      <w:r>
        <w:t xml:space="preserve"> or the </w:t>
      </w:r>
      <w:r>
        <w:t xml:space="preserve">KP group </w:t>
      </w:r>
      <w:r w:rsidRPr="003055C7">
        <w:rPr>
          <w:b/>
        </w:rPr>
        <w:t>[1]</w:t>
      </w:r>
      <w:r>
        <w:t>.</w:t>
      </w:r>
    </w:p>
    <w:p w14:paraId="46D80392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2A. Video editor: Highlight the bar labeled 1 × 10⁸ KP.</w:t>
      </w:r>
    </w:p>
    <w:p w14:paraId="680DD420" w14:textId="77777777" w:rsidR="00734E69" w:rsidRDefault="00734E69" w:rsidP="00734E69"/>
    <w:p w14:paraId="758FB287" w14:textId="09DB3405" w:rsidR="00734E69" w:rsidRDefault="00734E69" w:rsidP="00734E69">
      <w:pPr>
        <w:pStyle w:val="Narration"/>
        <w:numPr>
          <w:ilvl w:val="1"/>
          <w:numId w:val="3"/>
        </w:numPr>
      </w:pPr>
      <w:r>
        <w:t>At 24 hours after intranasal instillation, the serum alanine aminotransferase, aspartate aminotransferase, creatine kinase, and blood urea nitrogen levels were significantly higher in the 1 × 10⁸ KP</w:t>
      </w:r>
      <w:r>
        <w:t xml:space="preserve"> </w:t>
      </w:r>
      <w:r w:rsidRPr="003055C7">
        <w:rPr>
          <w:b/>
        </w:rPr>
        <w:t>[1]</w:t>
      </w:r>
      <w:r>
        <w:t xml:space="preserve"> group than in the control group </w:t>
      </w:r>
      <w:r w:rsidRPr="003055C7">
        <w:rPr>
          <w:b/>
        </w:rPr>
        <w:t>[</w:t>
      </w:r>
      <w:r>
        <w:rPr>
          <w:b/>
        </w:rPr>
        <w:t>2</w:t>
      </w:r>
      <w:r w:rsidRPr="003055C7">
        <w:rPr>
          <w:b/>
        </w:rPr>
        <w:t>]</w:t>
      </w:r>
      <w:r>
        <w:t>.</w:t>
      </w:r>
    </w:p>
    <w:p w14:paraId="24C0DC42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Figures 2B–E. Video editor: Highlight the bars labeled 1 × 10⁸ KP.</w:t>
      </w:r>
    </w:p>
    <w:p w14:paraId="783BD85A" w14:textId="39C39DF8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Figures 2B–E. Video editor: Highlight the bars labeled </w:t>
      </w:r>
      <w:r>
        <w:t>control</w:t>
      </w:r>
      <w:r>
        <w:t>.</w:t>
      </w:r>
    </w:p>
    <w:p w14:paraId="4FC94A7F" w14:textId="77777777" w:rsidR="00734E69" w:rsidRDefault="00734E69" w:rsidP="00734E69">
      <w:pPr>
        <w:pStyle w:val="ShotDescription"/>
        <w:ind w:firstLine="0"/>
      </w:pPr>
    </w:p>
    <w:p w14:paraId="15CE8328" w14:textId="77777777" w:rsidR="00734E69" w:rsidRDefault="00734E69" w:rsidP="00734E69"/>
    <w:p w14:paraId="2E8A4B55" w14:textId="51E5631B" w:rsidR="00734E69" w:rsidRDefault="00734E69" w:rsidP="00734E69">
      <w:pPr>
        <w:pStyle w:val="Narration"/>
        <w:numPr>
          <w:ilvl w:val="1"/>
          <w:numId w:val="3"/>
        </w:numPr>
      </w:pPr>
      <w:r>
        <w:t xml:space="preserve">On day 3 after intranasal instillation, body weights significantly decreased in mice from the 1 × 10⁶ </w:t>
      </w:r>
      <w:r w:rsidRPr="003055C7">
        <w:rPr>
          <w:b/>
        </w:rPr>
        <w:t>[1]</w:t>
      </w:r>
      <w:r>
        <w:t xml:space="preserve"> and the 1 × 10⁸ KP group </w:t>
      </w:r>
      <w:r w:rsidRPr="003055C7">
        <w:rPr>
          <w:b/>
        </w:rPr>
        <w:t>[2]</w:t>
      </w:r>
      <w:r>
        <w:t>.</w:t>
      </w:r>
    </w:p>
    <w:p w14:paraId="0A78BF65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2F. Video editor: Highlight the day 3 point for the line labeled 1 × 10⁶ KP.</w:t>
      </w:r>
    </w:p>
    <w:p w14:paraId="55532C0E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2F. Video editor: Highlight the day 3 point for the line labeled 1 × 10⁸ KP.</w:t>
      </w:r>
    </w:p>
    <w:p w14:paraId="72CDEEEC" w14:textId="77777777" w:rsidR="00734E69" w:rsidRDefault="00734E69" w:rsidP="00734E69"/>
    <w:p w14:paraId="6153CBC5" w14:textId="78338458" w:rsidR="00734E69" w:rsidRDefault="00734E69" w:rsidP="00734E69">
      <w:pPr>
        <w:pStyle w:val="Narration"/>
        <w:numPr>
          <w:ilvl w:val="1"/>
          <w:numId w:val="3"/>
        </w:numPr>
      </w:pPr>
      <w:r>
        <w:t xml:space="preserve">On day 7 after intranasal instillation, the 1 × 10⁸ KP group showed a significantly decreased lymphocyte percentage </w:t>
      </w:r>
      <w:r w:rsidRPr="003055C7">
        <w:rPr>
          <w:b/>
        </w:rPr>
        <w:t>[1]</w:t>
      </w:r>
      <w:r>
        <w:t xml:space="preserve"> and a significantly decreased proportion of monocytes expressing major histocompatibility complex class II </w:t>
      </w:r>
      <w:r w:rsidRPr="00734E69">
        <w:rPr>
          <w:i/>
          <w:iCs/>
          <w:color w:val="EE0000"/>
        </w:rPr>
        <w:t>(</w:t>
      </w:r>
      <w:r>
        <w:rPr>
          <w:i/>
          <w:iCs/>
          <w:color w:val="EE0000"/>
        </w:rPr>
        <w:t>2</w:t>
      </w:r>
      <w:r w:rsidRPr="00734E69">
        <w:rPr>
          <w:i/>
          <w:iCs/>
          <w:color w:val="EE0000"/>
        </w:rPr>
        <w:t>)</w:t>
      </w:r>
      <w:r>
        <w:rPr>
          <w:i/>
          <w:iCs/>
          <w:color w:val="EE0000"/>
        </w:rPr>
        <w:t xml:space="preserve"> </w:t>
      </w:r>
      <w:r w:rsidRPr="003055C7">
        <w:rPr>
          <w:b/>
        </w:rPr>
        <w:t>[2]</w:t>
      </w:r>
      <w:r w:rsidRPr="00734E69">
        <w:rPr>
          <w:i/>
          <w:iCs/>
          <w:color w:val="EE0000"/>
        </w:rPr>
        <w:t xml:space="preserve"> </w:t>
      </w:r>
      <w:r>
        <w:t xml:space="preserve">compared with the control group </w:t>
      </w:r>
      <w:r w:rsidRPr="003055C7">
        <w:rPr>
          <w:b/>
        </w:rPr>
        <w:t>[</w:t>
      </w:r>
      <w:r>
        <w:rPr>
          <w:b/>
        </w:rPr>
        <w:t>3</w:t>
      </w:r>
      <w:r w:rsidRPr="003055C7">
        <w:rPr>
          <w:b/>
        </w:rPr>
        <w:t>]</w:t>
      </w:r>
      <w:r>
        <w:t>.</w:t>
      </w:r>
    </w:p>
    <w:p w14:paraId="66BD1E1B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3A. Video editor: Highlight the bar labeled 1 × 10⁸ KP.</w:t>
      </w:r>
    </w:p>
    <w:p w14:paraId="0038CDFA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3B. Video editor: Highlight the bar labeled 1 × 10⁸ KP.</w:t>
      </w:r>
    </w:p>
    <w:p w14:paraId="539A8944" w14:textId="70C8331E" w:rsidR="00734E69" w:rsidRDefault="00734E69" w:rsidP="00734E69">
      <w:pPr>
        <w:pStyle w:val="ShotDescription"/>
        <w:numPr>
          <w:ilvl w:val="2"/>
          <w:numId w:val="3"/>
        </w:numPr>
      </w:pPr>
      <w:r>
        <w:lastRenderedPageBreak/>
        <w:t>LAB MEDIA: Figure 3</w:t>
      </w:r>
      <w:r>
        <w:t>A</w:t>
      </w:r>
      <w:r>
        <w:t xml:space="preserve">B. Video editor: Highlight the </w:t>
      </w:r>
      <w:r>
        <w:t>control bars</w:t>
      </w:r>
      <w:r>
        <w:t>.</w:t>
      </w:r>
    </w:p>
    <w:p w14:paraId="28189F0D" w14:textId="77777777" w:rsidR="00734E69" w:rsidRDefault="00734E69" w:rsidP="00734E69">
      <w:pPr>
        <w:pStyle w:val="ShotDescription"/>
        <w:ind w:firstLine="0"/>
      </w:pPr>
    </w:p>
    <w:p w14:paraId="1E428CF8" w14:textId="77777777" w:rsidR="00734E69" w:rsidRDefault="00734E69" w:rsidP="00734E69"/>
    <w:p w14:paraId="7A26D2D2" w14:textId="00B921F2" w:rsidR="00734E69" w:rsidRDefault="00734E69" w:rsidP="00734E69">
      <w:pPr>
        <w:pStyle w:val="Narration"/>
        <w:numPr>
          <w:ilvl w:val="1"/>
          <w:numId w:val="3"/>
        </w:numPr>
      </w:pPr>
      <w:r>
        <w:t xml:space="preserve">The mean fluorescence intensities of interleukin-10 </w:t>
      </w:r>
      <w:r w:rsidRPr="003055C7">
        <w:rPr>
          <w:b/>
        </w:rPr>
        <w:t>[1]</w:t>
      </w:r>
      <w:r>
        <w:t xml:space="preserve"> and transforming growth factor beta 1 in cluster of differentiation 4-positive T cells were significantly increased in the 1 × 10⁸ KP group</w:t>
      </w:r>
      <w:r>
        <w:t xml:space="preserve"> </w:t>
      </w:r>
      <w:r w:rsidRPr="003055C7">
        <w:rPr>
          <w:b/>
        </w:rPr>
        <w:t>[2]</w:t>
      </w:r>
      <w:r>
        <w:t>.</w:t>
      </w:r>
    </w:p>
    <w:p w14:paraId="3E72AA84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4A. Video editor: Highlight the bar labeled 1 × 10⁸ KP.</w:t>
      </w:r>
    </w:p>
    <w:p w14:paraId="500456E7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4C. Video editor: Highlight the bar labeled 1 × 10⁸ KP.</w:t>
      </w:r>
    </w:p>
    <w:p w14:paraId="5186CAA9" w14:textId="77777777" w:rsidR="00734E69" w:rsidRDefault="00734E69" w:rsidP="00734E69"/>
    <w:p w14:paraId="3B19A111" w14:textId="77777777" w:rsidR="00734E69" w:rsidRDefault="00734E69" w:rsidP="00734E69">
      <w:pPr>
        <w:pStyle w:val="Narration"/>
        <w:numPr>
          <w:ilvl w:val="1"/>
          <w:numId w:val="3"/>
        </w:numPr>
      </w:pPr>
      <w:r>
        <w:t xml:space="preserve">At 24 hours after secondary infection with Pseudomonas aeruginosa, the bacterial load in bronchoalveolar lavage fluid was significantly increased in mice from the 1 × 10⁸ KP group </w:t>
      </w:r>
      <w:r w:rsidRPr="003055C7">
        <w:rPr>
          <w:b/>
        </w:rPr>
        <w:t>[1]</w:t>
      </w:r>
      <w:r>
        <w:t>.</w:t>
      </w:r>
    </w:p>
    <w:p w14:paraId="6144E3B0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4B. Video editor: Highlight the bar labeled 1 × 10⁸ KP.</w:t>
      </w:r>
    </w:p>
    <w:p w14:paraId="2ADFC0F6" w14:textId="77777777" w:rsidR="00734E69" w:rsidRDefault="00734E69" w:rsidP="00734E69"/>
    <w:p w14:paraId="64FA7807" w14:textId="77777777" w:rsidR="00734E69" w:rsidRDefault="00734E69" w:rsidP="00734E69">
      <w:pPr>
        <w:pStyle w:val="Narration"/>
        <w:numPr>
          <w:ilvl w:val="1"/>
          <w:numId w:val="3"/>
        </w:numPr>
      </w:pPr>
      <w:r>
        <w:t xml:space="preserve">Within 7 days after intranasal instillation, mortality rates were significantly increased in mice from the 1 × 10⁶ KP group </w:t>
      </w:r>
      <w:r w:rsidRPr="003055C7">
        <w:rPr>
          <w:b/>
        </w:rPr>
        <w:t>[1]</w:t>
      </w:r>
      <w:r>
        <w:t xml:space="preserve"> and the 1 × 10⁸ KP group </w:t>
      </w:r>
      <w:r w:rsidRPr="003055C7">
        <w:rPr>
          <w:b/>
        </w:rPr>
        <w:t>[2]</w:t>
      </w:r>
      <w:r>
        <w:t>.</w:t>
      </w:r>
    </w:p>
    <w:p w14:paraId="77DB9C80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4D. Video editor: Highlight the survival line labeled 1 × 10⁶ KP.</w:t>
      </w:r>
    </w:p>
    <w:p w14:paraId="3F0FD349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4D. Video editor: Highlight the survival line labeled 1 × 10⁸ KP.</w:t>
      </w:r>
    </w:p>
    <w:p w14:paraId="5D2969DD" w14:textId="77777777" w:rsidR="00734E69" w:rsidRDefault="00734E69" w:rsidP="00734E69"/>
    <w:p w14:paraId="18CF3507" w14:textId="77777777" w:rsidR="00734E69" w:rsidRDefault="00734E69" w:rsidP="00734E69">
      <w:pPr>
        <w:pStyle w:val="Narration"/>
        <w:numPr>
          <w:ilvl w:val="1"/>
          <w:numId w:val="3"/>
        </w:numPr>
      </w:pPr>
      <w:r>
        <w:t xml:space="preserve">Within 7 days after secondary infection with Pseudomonas aeruginosa, mortality rates were significantly increased in mice from the 1 × 10⁶ KP group </w:t>
      </w:r>
      <w:r w:rsidRPr="003055C7">
        <w:rPr>
          <w:b/>
        </w:rPr>
        <w:t>[1]</w:t>
      </w:r>
      <w:r>
        <w:t xml:space="preserve"> and the 1 × 10⁸ KP group </w:t>
      </w:r>
      <w:r w:rsidRPr="003055C7">
        <w:rPr>
          <w:b/>
        </w:rPr>
        <w:t>[2]</w:t>
      </w:r>
      <w:r>
        <w:t>.</w:t>
      </w:r>
    </w:p>
    <w:p w14:paraId="60321D0A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4D. Video editor: Highlight the survival line labeled 1 × 10⁶ KP.</w:t>
      </w:r>
    </w:p>
    <w:p w14:paraId="7D90FE1E" w14:textId="77777777" w:rsidR="00734E69" w:rsidRPr="003055C7" w:rsidRDefault="00734E69" w:rsidP="00734E69">
      <w:pPr>
        <w:pStyle w:val="ShotDescription"/>
        <w:numPr>
          <w:ilvl w:val="2"/>
          <w:numId w:val="3"/>
        </w:numPr>
      </w:pPr>
      <w:r>
        <w:t>LAB MEDIA: Figure 4D. Video editor: Highlight the survival line labeled 1 × 10⁸ KP.</w:t>
      </w:r>
    </w:p>
    <w:p w14:paraId="275EBDC2" w14:textId="77777777" w:rsidR="00734E69" w:rsidRDefault="00734E69" w:rsidP="004F6CCB">
      <w:pPr>
        <w:pStyle w:val="ListParagraph"/>
        <w:rPr>
          <w:rFonts w:ascii="Calibri" w:hAnsi="Calibri" w:cs="Calibri"/>
          <w:b/>
          <w:bCs/>
          <w:highlight w:val="yellow"/>
        </w:rPr>
      </w:pPr>
      <w:bookmarkStart w:id="17" w:name="_Hlk201588971"/>
    </w:p>
    <w:p w14:paraId="615629A6" w14:textId="64302DED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4188C1D6" w14:textId="77777777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3681043C" w14:textId="77777777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0E8C554E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38B14D34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04EBA2C1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5ECF77F0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58392A5F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241B65D7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lastRenderedPageBreak/>
        <w:t>Make skin incisions with a surgical blade, not scissors.</w:t>
      </w:r>
    </w:p>
    <w:p w14:paraId="4A1EAF17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162FD1DC" w14:textId="77777777" w:rsidR="004F6CCB" w:rsidRDefault="004F6CCB" w:rsidP="004F6CCB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  <w:bookmarkEnd w:id="17"/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sectPr w:rsidR="004F6CCB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4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15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16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F5DB6" w14:textId="77777777" w:rsidR="003977C5" w:rsidRDefault="003977C5">
      <w:r>
        <w:separator/>
      </w:r>
    </w:p>
    <w:p w14:paraId="710AC30A" w14:textId="77777777" w:rsidR="003977C5" w:rsidRDefault="003977C5"/>
  </w:endnote>
  <w:endnote w:type="continuationSeparator" w:id="0">
    <w:p w14:paraId="46000990" w14:textId="77777777" w:rsidR="003977C5" w:rsidRDefault="003977C5">
      <w:r>
        <w:continuationSeparator/>
      </w:r>
    </w:p>
    <w:p w14:paraId="0A7BA9CA" w14:textId="77777777" w:rsidR="003977C5" w:rsidRDefault="003977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D6EC6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920B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6D6FB" w14:textId="77777777" w:rsidR="003977C5" w:rsidRDefault="003977C5">
      <w:r>
        <w:separator/>
      </w:r>
    </w:p>
    <w:p w14:paraId="4B420CDC" w14:textId="77777777" w:rsidR="003977C5" w:rsidRDefault="003977C5"/>
  </w:footnote>
  <w:footnote w:type="continuationSeparator" w:id="0">
    <w:p w14:paraId="1801E731" w14:textId="77777777" w:rsidR="003977C5" w:rsidRDefault="003977C5">
      <w:r>
        <w:continuationSeparator/>
      </w:r>
    </w:p>
    <w:p w14:paraId="1C0F0809" w14:textId="77777777" w:rsidR="003977C5" w:rsidRDefault="003977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7C5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0BD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3E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4E69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0AB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8E9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F75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920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920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920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920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920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920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jjx@tmmu.edu.cn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39579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27B7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3B07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13</Pages>
  <Words>2237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2026-05-28T08:09:00Z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