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93955DD" w:rsidR="006E4797" w:rsidRPr="0017030F" w:rsidRDefault="00551D82" w:rsidP="0017030F">
      <w:pPr>
        <w:pBdr>
          <w:top w:val="nil"/>
          <w:left w:val="nil"/>
          <w:bottom w:val="nil"/>
          <w:right w:val="nil"/>
          <w:between w:val="nil"/>
        </w:pBdr>
        <w:rPr>
          <w:rFonts w:asciiTheme="majorHAnsi" w:hAnsiTheme="majorHAnsi" w:cstheme="majorHAnsi"/>
        </w:rPr>
      </w:pPr>
      <w:r w:rsidRPr="0017030F">
        <w:rPr>
          <w:rFonts w:asciiTheme="majorHAnsi" w:hAnsiTheme="majorHAnsi" w:cstheme="majorHAnsi"/>
          <w:b/>
        </w:rPr>
        <w:t>TITLE:</w:t>
      </w:r>
      <w:r w:rsidRPr="0017030F">
        <w:rPr>
          <w:rFonts w:asciiTheme="majorHAnsi" w:hAnsiTheme="majorHAnsi" w:cstheme="majorHAnsi"/>
        </w:rPr>
        <w:t xml:space="preserve"> </w:t>
      </w:r>
    </w:p>
    <w:p w14:paraId="06C0C87E" w14:textId="401CB14B" w:rsidR="006E4797" w:rsidRPr="0017030F" w:rsidRDefault="00FD714C" w:rsidP="0017030F">
      <w:pPr>
        <w:rPr>
          <w:rFonts w:asciiTheme="majorHAnsi" w:hAnsiTheme="majorHAnsi" w:cstheme="majorHAnsi"/>
        </w:rPr>
      </w:pPr>
      <w:r w:rsidRPr="0017030F">
        <w:rPr>
          <w:rFonts w:asciiTheme="majorHAnsi" w:hAnsiTheme="majorHAnsi" w:cstheme="majorHAnsi"/>
        </w:rPr>
        <w:t xml:space="preserve">Colorimetric Assessment of Deiodinase 1 Activity </w:t>
      </w:r>
      <w:r w:rsidR="00E42B14" w:rsidRPr="0017030F">
        <w:rPr>
          <w:rFonts w:asciiTheme="majorHAnsi" w:hAnsiTheme="majorHAnsi" w:cstheme="majorHAnsi"/>
        </w:rPr>
        <w:t xml:space="preserve">in Human Liver Microsomes </w:t>
      </w:r>
      <w:r w:rsidRPr="0017030F">
        <w:rPr>
          <w:rFonts w:asciiTheme="majorHAnsi" w:hAnsiTheme="majorHAnsi" w:cstheme="majorHAnsi"/>
        </w:rPr>
        <w:t xml:space="preserve">Using the Sandell-Kolthoff Reaction </w:t>
      </w:r>
    </w:p>
    <w:p w14:paraId="2BE8ABE5" w14:textId="77777777" w:rsidR="00FD714C" w:rsidRPr="0017030F" w:rsidRDefault="00FD714C" w:rsidP="0017030F">
      <w:pPr>
        <w:rPr>
          <w:rFonts w:asciiTheme="majorHAnsi" w:hAnsiTheme="majorHAnsi" w:cstheme="majorHAnsi"/>
          <w:b/>
        </w:rPr>
      </w:pPr>
    </w:p>
    <w:p w14:paraId="2CD8481E" w14:textId="66A0FF75" w:rsidR="006E4797" w:rsidRPr="0017030F" w:rsidRDefault="00551D82" w:rsidP="0017030F">
      <w:pPr>
        <w:rPr>
          <w:rFonts w:asciiTheme="majorHAnsi" w:hAnsiTheme="majorHAnsi" w:cstheme="majorHAnsi"/>
        </w:rPr>
      </w:pPr>
      <w:r w:rsidRPr="0017030F">
        <w:rPr>
          <w:rFonts w:asciiTheme="majorHAnsi" w:hAnsiTheme="majorHAnsi" w:cstheme="majorHAnsi"/>
          <w:b/>
        </w:rPr>
        <w:t>AUTHORS AND AFFILIATIONS:</w:t>
      </w:r>
      <w:r w:rsidR="003D5735" w:rsidRPr="0017030F">
        <w:rPr>
          <w:rFonts w:asciiTheme="majorHAnsi" w:hAnsiTheme="majorHAnsi" w:cstheme="majorHAnsi"/>
          <w:b/>
        </w:rPr>
        <w:tab/>
      </w:r>
    </w:p>
    <w:p w14:paraId="66033FEB" w14:textId="567157AF" w:rsidR="007322A4" w:rsidRPr="0017030F" w:rsidRDefault="007322A4" w:rsidP="0017030F">
      <w:pPr>
        <w:rPr>
          <w:rFonts w:asciiTheme="majorHAnsi" w:hAnsiTheme="majorHAnsi" w:cstheme="majorHAnsi"/>
        </w:rPr>
      </w:pPr>
      <w:r w:rsidRPr="0017030F">
        <w:rPr>
          <w:rFonts w:asciiTheme="majorHAnsi" w:hAnsiTheme="majorHAnsi" w:cstheme="majorHAnsi"/>
        </w:rPr>
        <w:t>Konstantinos Stefanidis</w:t>
      </w:r>
      <w:r w:rsidRPr="0017030F">
        <w:rPr>
          <w:rFonts w:asciiTheme="majorHAnsi" w:hAnsiTheme="majorHAnsi" w:cstheme="majorHAnsi"/>
          <w:vertAlign w:val="superscript"/>
        </w:rPr>
        <w:t>1,2</w:t>
      </w:r>
      <w:r w:rsidR="00AE32A0" w:rsidRPr="0017030F">
        <w:rPr>
          <w:rFonts w:asciiTheme="majorHAnsi" w:hAnsiTheme="majorHAnsi" w:cstheme="majorHAnsi"/>
        </w:rPr>
        <w:t xml:space="preserve">, </w:t>
      </w:r>
      <w:r w:rsidRPr="0017030F">
        <w:rPr>
          <w:rFonts w:asciiTheme="majorHAnsi" w:hAnsiTheme="majorHAnsi" w:cstheme="majorHAnsi"/>
        </w:rPr>
        <w:t>Nina Hambruch</w:t>
      </w:r>
      <w:r w:rsidRPr="0017030F">
        <w:rPr>
          <w:rFonts w:asciiTheme="majorHAnsi" w:hAnsiTheme="majorHAnsi" w:cstheme="majorHAnsi"/>
          <w:vertAlign w:val="superscript"/>
        </w:rPr>
        <w:t>1</w:t>
      </w:r>
      <w:r w:rsidR="00AE32A0" w:rsidRPr="0017030F">
        <w:rPr>
          <w:rFonts w:asciiTheme="majorHAnsi" w:hAnsiTheme="majorHAnsi" w:cstheme="majorHAnsi"/>
        </w:rPr>
        <w:t xml:space="preserve">, </w:t>
      </w:r>
      <w:r w:rsidR="00457686" w:rsidRPr="0017030F">
        <w:rPr>
          <w:rFonts w:asciiTheme="majorHAnsi" w:hAnsiTheme="majorHAnsi" w:cstheme="majorHAnsi"/>
        </w:rPr>
        <w:t>Kostja Renko</w:t>
      </w:r>
      <w:r w:rsidR="00457686" w:rsidRPr="0017030F">
        <w:rPr>
          <w:rFonts w:asciiTheme="majorHAnsi" w:hAnsiTheme="majorHAnsi" w:cstheme="majorHAnsi"/>
          <w:vertAlign w:val="superscript"/>
        </w:rPr>
        <w:t>3</w:t>
      </w:r>
      <w:r w:rsidR="00AE32A0" w:rsidRPr="0017030F">
        <w:rPr>
          <w:rFonts w:asciiTheme="majorHAnsi" w:hAnsiTheme="majorHAnsi" w:cstheme="majorHAnsi"/>
        </w:rPr>
        <w:t xml:space="preserve">, </w:t>
      </w:r>
      <w:r w:rsidRPr="0017030F">
        <w:rPr>
          <w:rFonts w:asciiTheme="majorHAnsi" w:hAnsiTheme="majorHAnsi" w:cstheme="majorHAnsi"/>
        </w:rPr>
        <w:t>Dorothee Funk-Weyer</w:t>
      </w:r>
      <w:r w:rsidRPr="0017030F">
        <w:rPr>
          <w:rFonts w:asciiTheme="majorHAnsi" w:hAnsiTheme="majorHAnsi" w:cstheme="majorHAnsi"/>
          <w:vertAlign w:val="superscript"/>
        </w:rPr>
        <w:t>1</w:t>
      </w:r>
      <w:r w:rsidR="00AE32A0" w:rsidRPr="0017030F">
        <w:rPr>
          <w:rFonts w:asciiTheme="majorHAnsi" w:hAnsiTheme="majorHAnsi" w:cstheme="majorHAnsi"/>
        </w:rPr>
        <w:t xml:space="preserve">, </w:t>
      </w:r>
      <w:r w:rsidRPr="0017030F">
        <w:rPr>
          <w:rFonts w:asciiTheme="majorHAnsi" w:hAnsiTheme="majorHAnsi" w:cstheme="majorHAnsi"/>
        </w:rPr>
        <w:t>Robert Landsiedel</w:t>
      </w:r>
      <w:r w:rsidRPr="0017030F">
        <w:rPr>
          <w:rFonts w:asciiTheme="majorHAnsi" w:hAnsiTheme="majorHAnsi" w:cstheme="majorHAnsi"/>
          <w:vertAlign w:val="superscript"/>
        </w:rPr>
        <w:t>1,2</w:t>
      </w:r>
    </w:p>
    <w:p w14:paraId="4CB856F9" w14:textId="77777777" w:rsidR="007322A4" w:rsidRPr="0017030F" w:rsidRDefault="007322A4" w:rsidP="0017030F">
      <w:pPr>
        <w:rPr>
          <w:rFonts w:asciiTheme="majorHAnsi" w:hAnsiTheme="majorHAnsi" w:cstheme="majorHAnsi"/>
        </w:rPr>
      </w:pPr>
    </w:p>
    <w:p w14:paraId="1431540E" w14:textId="77777777" w:rsidR="007322A4" w:rsidRPr="0017030F" w:rsidRDefault="007322A4" w:rsidP="0017030F">
      <w:pPr>
        <w:pBdr>
          <w:top w:val="nil"/>
          <w:left w:val="nil"/>
          <w:bottom w:val="nil"/>
          <w:right w:val="nil"/>
          <w:between w:val="nil"/>
        </w:pBdr>
        <w:rPr>
          <w:rFonts w:asciiTheme="majorHAnsi" w:hAnsiTheme="majorHAnsi" w:cstheme="majorHAnsi"/>
        </w:rPr>
      </w:pPr>
      <w:r w:rsidRPr="0017030F">
        <w:rPr>
          <w:rFonts w:asciiTheme="majorHAnsi" w:hAnsiTheme="majorHAnsi" w:cstheme="majorHAnsi"/>
          <w:vertAlign w:val="superscript"/>
        </w:rPr>
        <w:t>1</w:t>
      </w:r>
      <w:r w:rsidRPr="0017030F">
        <w:rPr>
          <w:rFonts w:asciiTheme="majorHAnsi" w:hAnsiTheme="majorHAnsi" w:cstheme="majorHAnsi"/>
        </w:rPr>
        <w:t>Experimental Toxicology and Ecology, BASF SE, Ludwigshafen, Germany.</w:t>
      </w:r>
    </w:p>
    <w:p w14:paraId="437247F2" w14:textId="77777777" w:rsidR="007322A4" w:rsidRPr="0017030F" w:rsidRDefault="007322A4" w:rsidP="0017030F">
      <w:pPr>
        <w:pBdr>
          <w:top w:val="nil"/>
          <w:left w:val="nil"/>
          <w:bottom w:val="nil"/>
          <w:right w:val="nil"/>
          <w:between w:val="nil"/>
        </w:pBdr>
        <w:rPr>
          <w:rFonts w:asciiTheme="majorHAnsi" w:hAnsiTheme="majorHAnsi" w:cstheme="majorHAnsi"/>
        </w:rPr>
      </w:pPr>
      <w:r w:rsidRPr="0017030F">
        <w:rPr>
          <w:rFonts w:asciiTheme="majorHAnsi" w:hAnsiTheme="majorHAnsi" w:cstheme="majorHAnsi"/>
          <w:vertAlign w:val="superscript"/>
        </w:rPr>
        <w:t>2</w:t>
      </w:r>
      <w:r w:rsidRPr="0017030F">
        <w:rPr>
          <w:rFonts w:asciiTheme="majorHAnsi" w:hAnsiTheme="majorHAnsi" w:cstheme="majorHAnsi"/>
        </w:rPr>
        <w:t>Pharmacy, Pharmacology and Toxicology, Free University of Berlin, Berlin, Germany.</w:t>
      </w:r>
    </w:p>
    <w:p w14:paraId="27B62D6E" w14:textId="39C2E8EC" w:rsidR="009F5684" w:rsidRPr="0017030F" w:rsidRDefault="009F5684" w:rsidP="0017030F">
      <w:pPr>
        <w:pBdr>
          <w:top w:val="nil"/>
          <w:left w:val="nil"/>
          <w:bottom w:val="nil"/>
          <w:right w:val="nil"/>
          <w:between w:val="nil"/>
        </w:pBdr>
        <w:rPr>
          <w:rFonts w:asciiTheme="majorHAnsi" w:hAnsiTheme="majorHAnsi" w:cstheme="majorHAnsi"/>
        </w:rPr>
      </w:pPr>
      <w:r w:rsidRPr="0017030F">
        <w:rPr>
          <w:rFonts w:asciiTheme="majorHAnsi" w:hAnsiTheme="majorHAnsi" w:cstheme="majorHAnsi"/>
          <w:vertAlign w:val="superscript"/>
        </w:rPr>
        <w:t>3</w:t>
      </w:r>
      <w:r w:rsidRPr="0017030F">
        <w:rPr>
          <w:rFonts w:asciiTheme="majorHAnsi" w:hAnsiTheme="majorHAnsi" w:cstheme="majorHAnsi"/>
        </w:rPr>
        <w:t>German Federal Institute for Risk Assessment (BfR), German Centre for the Protection of Laboratory Animals (Bf3R), Berlin, Germany</w:t>
      </w:r>
    </w:p>
    <w:p w14:paraId="0CEE15D6" w14:textId="77777777" w:rsidR="007322A4" w:rsidRPr="0017030F" w:rsidRDefault="007322A4" w:rsidP="0017030F">
      <w:pPr>
        <w:pBdr>
          <w:top w:val="nil"/>
          <w:left w:val="nil"/>
          <w:bottom w:val="nil"/>
          <w:right w:val="nil"/>
          <w:between w:val="nil"/>
        </w:pBdr>
        <w:rPr>
          <w:rFonts w:asciiTheme="majorHAnsi" w:hAnsiTheme="majorHAnsi" w:cstheme="majorHAnsi"/>
        </w:rPr>
      </w:pPr>
    </w:p>
    <w:p w14:paraId="3F17F565" w14:textId="77EFC83B" w:rsidR="00AE32A0" w:rsidRPr="0017030F" w:rsidRDefault="00AE32A0" w:rsidP="0017030F">
      <w:pPr>
        <w:rPr>
          <w:rFonts w:asciiTheme="majorHAnsi" w:hAnsiTheme="majorHAnsi" w:cstheme="majorHAnsi"/>
          <w:b/>
          <w:bCs/>
        </w:rPr>
      </w:pPr>
      <w:r w:rsidRPr="0017030F">
        <w:rPr>
          <w:rFonts w:asciiTheme="majorHAnsi" w:hAnsiTheme="majorHAnsi" w:cstheme="majorHAnsi"/>
          <w:b/>
          <w:bCs/>
        </w:rPr>
        <w:t>Email addresses of the co-authors:</w:t>
      </w:r>
    </w:p>
    <w:p w14:paraId="152DFE5C" w14:textId="77777777" w:rsidR="00AE32A0" w:rsidRPr="0017030F" w:rsidRDefault="00AE32A0" w:rsidP="0017030F">
      <w:pPr>
        <w:rPr>
          <w:rFonts w:asciiTheme="majorHAnsi" w:hAnsiTheme="majorHAnsi" w:cstheme="majorHAnsi"/>
        </w:rPr>
      </w:pPr>
      <w:r w:rsidRPr="0017030F">
        <w:rPr>
          <w:rFonts w:asciiTheme="majorHAnsi" w:hAnsiTheme="majorHAnsi" w:cstheme="majorHAnsi"/>
        </w:rPr>
        <w:t xml:space="preserve">Konstantinos Stefanidis at konstantinos.stefanidis@basf.com </w:t>
      </w:r>
    </w:p>
    <w:p w14:paraId="789C9173" w14:textId="77777777" w:rsidR="00AE32A0" w:rsidRPr="0017030F" w:rsidRDefault="00AE32A0" w:rsidP="0017030F">
      <w:pPr>
        <w:rPr>
          <w:rFonts w:asciiTheme="majorHAnsi" w:hAnsiTheme="majorHAnsi" w:cstheme="majorHAnsi"/>
        </w:rPr>
      </w:pPr>
      <w:r w:rsidRPr="0017030F">
        <w:rPr>
          <w:rFonts w:asciiTheme="majorHAnsi" w:hAnsiTheme="majorHAnsi" w:cstheme="majorHAnsi"/>
        </w:rPr>
        <w:t xml:space="preserve">Kostja Renko at kostja.renko@bfr.bund.de </w:t>
      </w:r>
    </w:p>
    <w:p w14:paraId="2984E17D" w14:textId="77777777" w:rsidR="00AE32A0" w:rsidRPr="0017030F" w:rsidRDefault="00AE32A0" w:rsidP="0017030F">
      <w:pPr>
        <w:rPr>
          <w:rFonts w:asciiTheme="majorHAnsi" w:hAnsiTheme="majorHAnsi" w:cstheme="majorHAnsi"/>
        </w:rPr>
      </w:pPr>
      <w:r w:rsidRPr="0017030F">
        <w:rPr>
          <w:rFonts w:asciiTheme="majorHAnsi" w:hAnsiTheme="majorHAnsi" w:cstheme="majorHAnsi"/>
        </w:rPr>
        <w:t xml:space="preserve">Dorothee Funk-Weyer at dorothee.funk-weyer@basf.com </w:t>
      </w:r>
    </w:p>
    <w:p w14:paraId="69CB43DC" w14:textId="77777777" w:rsidR="00AE32A0" w:rsidRPr="0017030F" w:rsidRDefault="00AE32A0" w:rsidP="0017030F">
      <w:pPr>
        <w:rPr>
          <w:rFonts w:asciiTheme="majorHAnsi" w:hAnsiTheme="majorHAnsi" w:cstheme="majorHAnsi"/>
        </w:rPr>
      </w:pPr>
      <w:r w:rsidRPr="0017030F">
        <w:rPr>
          <w:rFonts w:asciiTheme="majorHAnsi" w:hAnsiTheme="majorHAnsi" w:cstheme="majorHAnsi"/>
        </w:rPr>
        <w:t>Robert Landsiedel</w:t>
      </w:r>
      <w:r w:rsidRPr="0017030F">
        <w:rPr>
          <w:rFonts w:asciiTheme="majorHAnsi" w:hAnsiTheme="majorHAnsi" w:cstheme="majorHAnsi"/>
          <w:vertAlign w:val="superscript"/>
        </w:rPr>
        <w:t xml:space="preserve"> </w:t>
      </w:r>
      <w:r w:rsidRPr="0017030F">
        <w:rPr>
          <w:rFonts w:asciiTheme="majorHAnsi" w:hAnsiTheme="majorHAnsi" w:cstheme="majorHAnsi"/>
        </w:rPr>
        <w:t xml:space="preserve">at robert.landsiedel@basf.com </w:t>
      </w:r>
    </w:p>
    <w:p w14:paraId="7AAE216E" w14:textId="77777777" w:rsidR="00AE32A0" w:rsidRPr="0017030F" w:rsidRDefault="00AE32A0" w:rsidP="0017030F">
      <w:pPr>
        <w:pBdr>
          <w:top w:val="nil"/>
          <w:left w:val="nil"/>
          <w:bottom w:val="nil"/>
          <w:right w:val="nil"/>
          <w:between w:val="nil"/>
        </w:pBdr>
        <w:rPr>
          <w:rFonts w:asciiTheme="majorHAnsi" w:hAnsiTheme="majorHAnsi" w:cstheme="majorHAnsi"/>
        </w:rPr>
      </w:pPr>
    </w:p>
    <w:p w14:paraId="5BBAB879" w14:textId="75222545" w:rsidR="00AE32A0" w:rsidRPr="0017030F" w:rsidRDefault="00AE32A0" w:rsidP="0017030F">
      <w:pPr>
        <w:pBdr>
          <w:top w:val="nil"/>
          <w:left w:val="nil"/>
          <w:bottom w:val="nil"/>
          <w:right w:val="nil"/>
          <w:between w:val="nil"/>
        </w:pBdr>
        <w:rPr>
          <w:rFonts w:asciiTheme="majorHAnsi" w:hAnsiTheme="majorHAnsi" w:cstheme="majorHAnsi"/>
          <w:b/>
          <w:bCs/>
        </w:rPr>
      </w:pPr>
      <w:r w:rsidRPr="0017030F">
        <w:rPr>
          <w:rFonts w:asciiTheme="majorHAnsi" w:hAnsiTheme="majorHAnsi" w:cstheme="majorHAnsi"/>
          <w:b/>
          <w:bCs/>
        </w:rPr>
        <w:t>Corresponding author:</w:t>
      </w:r>
    </w:p>
    <w:p w14:paraId="26EE028B" w14:textId="77777777" w:rsidR="00AE32A0" w:rsidRPr="0017030F" w:rsidRDefault="00AE32A0" w:rsidP="0017030F">
      <w:pPr>
        <w:rPr>
          <w:rFonts w:asciiTheme="majorHAnsi" w:hAnsiTheme="majorHAnsi" w:cstheme="majorHAnsi"/>
        </w:rPr>
      </w:pPr>
      <w:r w:rsidRPr="0017030F">
        <w:rPr>
          <w:rFonts w:asciiTheme="majorHAnsi" w:hAnsiTheme="majorHAnsi" w:cstheme="majorHAnsi"/>
        </w:rPr>
        <w:t xml:space="preserve">Nina Hambruch at nina.hambruch@basf.com </w:t>
      </w:r>
    </w:p>
    <w:p w14:paraId="26CECE0B" w14:textId="77777777" w:rsidR="00AE32A0" w:rsidRPr="0017030F" w:rsidRDefault="00AE32A0" w:rsidP="0017030F">
      <w:pPr>
        <w:pBdr>
          <w:top w:val="nil"/>
          <w:left w:val="nil"/>
          <w:bottom w:val="nil"/>
          <w:right w:val="nil"/>
          <w:between w:val="nil"/>
        </w:pBdr>
        <w:rPr>
          <w:rFonts w:asciiTheme="majorHAnsi" w:hAnsiTheme="majorHAnsi" w:cstheme="majorHAnsi"/>
        </w:rPr>
      </w:pPr>
    </w:p>
    <w:p w14:paraId="60F3B8D4" w14:textId="66C35176" w:rsidR="006E4797" w:rsidRPr="0017030F" w:rsidRDefault="00551D82" w:rsidP="0017030F">
      <w:pPr>
        <w:rPr>
          <w:rFonts w:asciiTheme="majorHAnsi" w:hAnsiTheme="majorHAnsi" w:cstheme="majorHAnsi"/>
        </w:rPr>
      </w:pPr>
      <w:r w:rsidRPr="0017030F">
        <w:rPr>
          <w:rFonts w:asciiTheme="majorHAnsi" w:hAnsiTheme="majorHAnsi" w:cstheme="majorHAnsi"/>
          <w:b/>
        </w:rPr>
        <w:t>SUMMARY:</w:t>
      </w:r>
      <w:r w:rsidRPr="0017030F">
        <w:rPr>
          <w:rFonts w:asciiTheme="majorHAnsi" w:hAnsiTheme="majorHAnsi" w:cstheme="majorHAnsi"/>
        </w:rPr>
        <w:t xml:space="preserve"> </w:t>
      </w:r>
    </w:p>
    <w:p w14:paraId="5FC3007B" w14:textId="3B789A84" w:rsidR="00BC24B4" w:rsidRPr="0017030F" w:rsidRDefault="00FD714C" w:rsidP="0017030F">
      <w:pPr>
        <w:rPr>
          <w:rFonts w:asciiTheme="majorHAnsi" w:hAnsiTheme="majorHAnsi" w:cstheme="majorHAnsi"/>
        </w:rPr>
      </w:pPr>
      <w:r w:rsidRPr="0017030F">
        <w:rPr>
          <w:rFonts w:asciiTheme="majorHAnsi" w:hAnsiTheme="majorHAnsi" w:cstheme="majorHAnsi"/>
        </w:rPr>
        <w:t xml:space="preserve">This protocol describes a colorimetric method to </w:t>
      </w:r>
      <w:r w:rsidR="00651902" w:rsidRPr="0017030F">
        <w:rPr>
          <w:rFonts w:asciiTheme="majorHAnsi" w:hAnsiTheme="majorHAnsi" w:cstheme="majorHAnsi"/>
        </w:rPr>
        <w:t xml:space="preserve">reliably </w:t>
      </w:r>
      <w:r w:rsidRPr="0017030F">
        <w:rPr>
          <w:rFonts w:asciiTheme="majorHAnsi" w:hAnsiTheme="majorHAnsi" w:cstheme="majorHAnsi"/>
        </w:rPr>
        <w:t>assess</w:t>
      </w:r>
      <w:r w:rsidR="00651902" w:rsidRPr="0017030F">
        <w:rPr>
          <w:rFonts w:asciiTheme="majorHAnsi" w:hAnsiTheme="majorHAnsi" w:cstheme="majorHAnsi"/>
        </w:rPr>
        <w:t xml:space="preserve"> the influence of chemicals on</w:t>
      </w:r>
      <w:r w:rsidRPr="0017030F">
        <w:rPr>
          <w:rFonts w:asciiTheme="majorHAnsi" w:hAnsiTheme="majorHAnsi" w:cstheme="majorHAnsi"/>
        </w:rPr>
        <w:t xml:space="preserve"> Deiodinase 1 (DIO1) activity in human liver microsomes using the Sandell-Kolthoff reaction.</w:t>
      </w:r>
      <w:r w:rsidR="00BC24B4" w:rsidRPr="00E73D5F">
        <w:rPr>
          <w:rFonts w:asciiTheme="majorHAnsi" w:eastAsia="Times New Roman" w:hAnsiTheme="majorHAnsi" w:cstheme="majorHAnsi"/>
          <w:lang w:eastAsia="de-DE"/>
        </w:rPr>
        <w:t xml:space="preserve"> </w:t>
      </w:r>
      <w:r w:rsidR="00BC24B4" w:rsidRPr="0017030F">
        <w:rPr>
          <w:rFonts w:asciiTheme="majorHAnsi" w:hAnsiTheme="majorHAnsi" w:cstheme="majorHAnsi"/>
        </w:rPr>
        <w:t>It includes predefined acceptance criteria and statistical performance metrics and supports ongoing efforts toward OECD test guideline inclusion.</w:t>
      </w:r>
    </w:p>
    <w:p w14:paraId="33E6760E" w14:textId="77777777" w:rsidR="00FD714C" w:rsidRPr="0017030F" w:rsidRDefault="00FD714C" w:rsidP="0017030F">
      <w:pPr>
        <w:rPr>
          <w:rFonts w:asciiTheme="majorHAnsi" w:hAnsiTheme="majorHAnsi" w:cstheme="majorHAnsi"/>
        </w:rPr>
      </w:pPr>
    </w:p>
    <w:p w14:paraId="2DF8E628" w14:textId="4ADE6595" w:rsidR="006E4797" w:rsidRPr="0017030F" w:rsidRDefault="00551D82" w:rsidP="0017030F">
      <w:pPr>
        <w:rPr>
          <w:rFonts w:asciiTheme="majorHAnsi" w:hAnsiTheme="majorHAnsi" w:cstheme="majorHAnsi"/>
        </w:rPr>
      </w:pPr>
      <w:r w:rsidRPr="0017030F">
        <w:rPr>
          <w:rFonts w:asciiTheme="majorHAnsi" w:hAnsiTheme="majorHAnsi" w:cstheme="majorHAnsi"/>
          <w:b/>
        </w:rPr>
        <w:t>ABSTRACT:</w:t>
      </w:r>
    </w:p>
    <w:p w14:paraId="1AA3928C" w14:textId="6E6B9C26" w:rsidR="00792A49" w:rsidRPr="0017030F" w:rsidRDefault="00C26B31" w:rsidP="0017030F">
      <w:pPr>
        <w:rPr>
          <w:rFonts w:asciiTheme="majorHAnsi" w:hAnsiTheme="majorHAnsi" w:cstheme="majorHAnsi"/>
        </w:rPr>
      </w:pPr>
      <w:r w:rsidRPr="0017030F">
        <w:rPr>
          <w:rFonts w:asciiTheme="majorHAnsi" w:hAnsiTheme="majorHAnsi" w:cstheme="majorHAnsi"/>
        </w:rPr>
        <w:t xml:space="preserve">This method enables the identification of test substances that inhibit DIO1 activity and may thus interfere with thyroid hormone homeostasis. </w:t>
      </w:r>
      <w:r w:rsidR="00792A49" w:rsidRPr="0017030F">
        <w:rPr>
          <w:rFonts w:asciiTheme="majorHAnsi" w:hAnsiTheme="majorHAnsi" w:cstheme="majorHAnsi"/>
        </w:rPr>
        <w:t xml:space="preserve">The </w:t>
      </w:r>
      <w:r w:rsidR="0075692D" w:rsidRPr="0017030F">
        <w:rPr>
          <w:rFonts w:asciiTheme="majorHAnsi" w:hAnsiTheme="majorHAnsi" w:cstheme="majorHAnsi"/>
        </w:rPr>
        <w:t>protocol presented describes a non-radioactive, colorimetric method for assessing the effects</w:t>
      </w:r>
      <w:r w:rsidR="00651902" w:rsidRPr="0017030F">
        <w:rPr>
          <w:rFonts w:asciiTheme="majorHAnsi" w:hAnsiTheme="majorHAnsi" w:cstheme="majorHAnsi"/>
        </w:rPr>
        <w:t xml:space="preserve"> of </w:t>
      </w:r>
      <w:r w:rsidRPr="0017030F">
        <w:rPr>
          <w:rFonts w:asciiTheme="majorHAnsi" w:hAnsiTheme="majorHAnsi" w:cstheme="majorHAnsi"/>
        </w:rPr>
        <w:t xml:space="preserve">test substances </w:t>
      </w:r>
      <w:r w:rsidR="00651902" w:rsidRPr="0017030F">
        <w:rPr>
          <w:rFonts w:asciiTheme="majorHAnsi" w:hAnsiTheme="majorHAnsi" w:cstheme="majorHAnsi"/>
        </w:rPr>
        <w:t>on the</w:t>
      </w:r>
      <w:r w:rsidR="00792A49" w:rsidRPr="0017030F">
        <w:rPr>
          <w:rFonts w:asciiTheme="majorHAnsi" w:hAnsiTheme="majorHAnsi" w:cstheme="majorHAnsi"/>
        </w:rPr>
        <w:t xml:space="preserve"> enzymatic activity of Deiodinase 1 (DIO1) in human liver microsomes. The assay is based on the Sandell-Kolthoff </w:t>
      </w:r>
      <w:r w:rsidR="00E42B14" w:rsidRPr="0017030F">
        <w:rPr>
          <w:rFonts w:asciiTheme="majorHAnsi" w:hAnsiTheme="majorHAnsi" w:cstheme="majorHAnsi"/>
        </w:rPr>
        <w:t xml:space="preserve">(SK) </w:t>
      </w:r>
      <w:r w:rsidR="00792A49" w:rsidRPr="0017030F">
        <w:rPr>
          <w:rFonts w:asciiTheme="majorHAnsi" w:hAnsiTheme="majorHAnsi" w:cstheme="majorHAnsi"/>
        </w:rPr>
        <w:t>reaction, which quantifies iodide released during the deiodination of reverse triiodothyronine (rT3)</w:t>
      </w:r>
      <w:r w:rsidR="00651902" w:rsidRPr="0017030F">
        <w:rPr>
          <w:rFonts w:asciiTheme="majorHAnsi" w:hAnsiTheme="majorHAnsi" w:cstheme="majorHAnsi"/>
        </w:rPr>
        <w:t xml:space="preserve"> to diiodothyronine (T2)</w:t>
      </w:r>
      <w:r w:rsidR="00792A49" w:rsidRPr="0017030F">
        <w:rPr>
          <w:rFonts w:asciiTheme="majorHAnsi" w:hAnsiTheme="majorHAnsi" w:cstheme="majorHAnsi"/>
        </w:rPr>
        <w:t>. The yellow cerium</w:t>
      </w:r>
      <w:r w:rsidR="00B4250D" w:rsidRPr="0017030F">
        <w:rPr>
          <w:rFonts w:asciiTheme="majorHAnsi" w:hAnsiTheme="majorHAnsi" w:cstheme="majorHAnsi"/>
        </w:rPr>
        <w:t xml:space="preserve"> </w:t>
      </w:r>
      <w:r w:rsidR="00792A49" w:rsidRPr="0017030F">
        <w:rPr>
          <w:rFonts w:asciiTheme="majorHAnsi" w:hAnsiTheme="majorHAnsi" w:cstheme="majorHAnsi"/>
        </w:rPr>
        <w:t>(IV) is reduced to colorless cerium</w:t>
      </w:r>
      <w:r w:rsidR="00B4250D" w:rsidRPr="0017030F">
        <w:rPr>
          <w:rFonts w:asciiTheme="majorHAnsi" w:hAnsiTheme="majorHAnsi" w:cstheme="majorHAnsi"/>
        </w:rPr>
        <w:t xml:space="preserve"> </w:t>
      </w:r>
      <w:r w:rsidR="00792A49" w:rsidRPr="0017030F">
        <w:rPr>
          <w:rFonts w:asciiTheme="majorHAnsi" w:hAnsiTheme="majorHAnsi" w:cstheme="majorHAnsi"/>
        </w:rPr>
        <w:t>(III) in the presence of iodide, allowing photometric detection at 415 nm.</w:t>
      </w:r>
      <w:r w:rsidR="00BC24B4" w:rsidRPr="0017030F">
        <w:rPr>
          <w:rFonts w:asciiTheme="majorHAnsi" w:hAnsiTheme="majorHAnsi" w:cstheme="majorHAnsi"/>
        </w:rPr>
        <w:t xml:space="preserve"> In this standardized setup, the cerium</w:t>
      </w:r>
      <w:r w:rsidR="0075692D" w:rsidRPr="0017030F">
        <w:rPr>
          <w:rFonts w:asciiTheme="majorHAnsi" w:hAnsiTheme="majorHAnsi" w:cstheme="majorHAnsi"/>
        </w:rPr>
        <w:t xml:space="preserve"> </w:t>
      </w:r>
      <w:r w:rsidR="00BC24B4" w:rsidRPr="0017030F">
        <w:rPr>
          <w:rFonts w:asciiTheme="majorHAnsi" w:hAnsiTheme="majorHAnsi" w:cstheme="majorHAnsi"/>
        </w:rPr>
        <w:t xml:space="preserve">(IV) concentration is set to 40 mM to improve signal stability and robustness under the described conditions. </w:t>
      </w:r>
      <w:r w:rsidR="00792A49" w:rsidRPr="0017030F">
        <w:rPr>
          <w:rFonts w:asciiTheme="majorHAnsi" w:hAnsiTheme="majorHAnsi" w:cstheme="majorHAnsi"/>
        </w:rPr>
        <w:t xml:space="preserve">To ensure assay reliability and reproducibility, a comprehensive control setup is included: 6-propyl-2-thiouracil (reference item), </w:t>
      </w:r>
      <w:proofErr w:type="spellStart"/>
      <w:r w:rsidR="00792A49" w:rsidRPr="0017030F">
        <w:rPr>
          <w:rFonts w:asciiTheme="majorHAnsi" w:hAnsiTheme="majorHAnsi" w:cstheme="majorHAnsi"/>
        </w:rPr>
        <w:t>aurothioglucose</w:t>
      </w:r>
      <w:proofErr w:type="spellEnd"/>
      <w:r w:rsidR="00792A49" w:rsidRPr="0017030F">
        <w:rPr>
          <w:rFonts w:asciiTheme="majorHAnsi" w:hAnsiTheme="majorHAnsi" w:cstheme="majorHAnsi"/>
        </w:rPr>
        <w:t xml:space="preserve"> (positive control), 1-</w:t>
      </w:r>
      <w:proofErr w:type="gramStart"/>
      <w:r w:rsidR="00792A49" w:rsidRPr="0017030F">
        <w:rPr>
          <w:rFonts w:asciiTheme="majorHAnsi" w:hAnsiTheme="majorHAnsi" w:cstheme="majorHAnsi"/>
        </w:rPr>
        <w:t>thio-β-D</w:t>
      </w:r>
      <w:proofErr w:type="gramEnd"/>
      <w:r w:rsidR="00792A49" w:rsidRPr="0017030F">
        <w:rPr>
          <w:rFonts w:asciiTheme="majorHAnsi" w:hAnsiTheme="majorHAnsi" w:cstheme="majorHAnsi"/>
        </w:rPr>
        <w:t xml:space="preserve">-glucose sodium salt (negative control), and </w:t>
      </w:r>
      <w:r w:rsidR="0033631A" w:rsidRPr="0017030F">
        <w:rPr>
          <w:rFonts w:asciiTheme="majorHAnsi" w:hAnsiTheme="majorHAnsi" w:cstheme="majorHAnsi"/>
        </w:rPr>
        <w:t xml:space="preserve">1% </w:t>
      </w:r>
      <w:r w:rsidR="00792A49" w:rsidRPr="0017030F">
        <w:rPr>
          <w:rFonts w:asciiTheme="majorHAnsi" w:hAnsiTheme="majorHAnsi" w:cstheme="majorHAnsi"/>
        </w:rPr>
        <w:t xml:space="preserve">dimethyl sulfoxide (solvent control). The protocol includes a range-finding assay to determine appropriate test concentrations, standardization of microsome batch-specific iodide release activity and </w:t>
      </w:r>
      <w:r w:rsidR="00BC24B4" w:rsidRPr="0017030F">
        <w:rPr>
          <w:rFonts w:asciiTheme="majorHAnsi" w:hAnsiTheme="majorHAnsi" w:cstheme="majorHAnsi"/>
        </w:rPr>
        <w:t>structured chemical interference testing in the absence of microsomes, with an optional follow-up assessment without dithiothreitol (DTT) to identify DTT-dependent artifacts.</w:t>
      </w:r>
      <w:r w:rsidR="00792A49" w:rsidRPr="0017030F">
        <w:rPr>
          <w:rFonts w:asciiTheme="majorHAnsi" w:hAnsiTheme="majorHAnsi" w:cstheme="majorHAnsi"/>
        </w:rPr>
        <w:t xml:space="preserve"> The DIO1-SK </w:t>
      </w:r>
      <w:r w:rsidR="00792A49" w:rsidRPr="0017030F">
        <w:rPr>
          <w:rFonts w:asciiTheme="majorHAnsi" w:hAnsiTheme="majorHAnsi" w:cstheme="majorHAnsi"/>
        </w:rPr>
        <w:lastRenderedPageBreak/>
        <w:t>assay is suitable for medium- to high-</w:t>
      </w:r>
      <w:proofErr w:type="gramStart"/>
      <w:r w:rsidR="00792A49" w:rsidRPr="0017030F">
        <w:rPr>
          <w:rFonts w:asciiTheme="majorHAnsi" w:hAnsiTheme="majorHAnsi" w:cstheme="majorHAnsi"/>
        </w:rPr>
        <w:t>throughput</w:t>
      </w:r>
      <w:proofErr w:type="gramEnd"/>
      <w:r w:rsidR="00792A49" w:rsidRPr="0017030F">
        <w:rPr>
          <w:rFonts w:asciiTheme="majorHAnsi" w:hAnsiTheme="majorHAnsi" w:cstheme="majorHAnsi"/>
        </w:rPr>
        <w:t xml:space="preserve"> screening and mechanistic </w:t>
      </w:r>
      <w:r w:rsidR="0075692D" w:rsidRPr="0017030F">
        <w:rPr>
          <w:rFonts w:asciiTheme="majorHAnsi" w:hAnsiTheme="majorHAnsi" w:cstheme="majorHAnsi"/>
        </w:rPr>
        <w:t>toxicology studies</w:t>
      </w:r>
      <w:r w:rsidR="00792A49" w:rsidRPr="0017030F">
        <w:rPr>
          <w:rFonts w:asciiTheme="majorHAnsi" w:hAnsiTheme="majorHAnsi" w:cstheme="majorHAnsi"/>
        </w:rPr>
        <w:t>. Its robustness, scalability</w:t>
      </w:r>
      <w:r w:rsidR="0075692D" w:rsidRPr="0017030F">
        <w:rPr>
          <w:rFonts w:asciiTheme="majorHAnsi" w:hAnsiTheme="majorHAnsi" w:cstheme="majorHAnsi"/>
        </w:rPr>
        <w:t>, and applicability to human microsomes make</w:t>
      </w:r>
      <w:r w:rsidR="00792A49" w:rsidRPr="0017030F">
        <w:rPr>
          <w:rFonts w:asciiTheme="majorHAnsi" w:hAnsiTheme="majorHAnsi" w:cstheme="majorHAnsi"/>
        </w:rPr>
        <w:t xml:space="preserve"> it a valuable tool for investigating endocrine disruption</w:t>
      </w:r>
      <w:r w:rsidRPr="0017030F">
        <w:rPr>
          <w:rFonts w:asciiTheme="majorHAnsi" w:hAnsiTheme="majorHAnsi" w:cstheme="majorHAnsi"/>
        </w:rPr>
        <w:t xml:space="preserve">. This protocol </w:t>
      </w:r>
      <w:r w:rsidR="0075692D" w:rsidRPr="0017030F">
        <w:rPr>
          <w:rFonts w:asciiTheme="majorHAnsi" w:hAnsiTheme="majorHAnsi" w:cstheme="majorHAnsi"/>
        </w:rPr>
        <w:t>supports</w:t>
      </w:r>
      <w:r w:rsidR="00792A49" w:rsidRPr="0017030F">
        <w:rPr>
          <w:rFonts w:asciiTheme="majorHAnsi" w:hAnsiTheme="majorHAnsi" w:cstheme="majorHAnsi"/>
        </w:rPr>
        <w:t xml:space="preserve"> regulatory validation efforts.</w:t>
      </w:r>
    </w:p>
    <w:p w14:paraId="202D9FB7" w14:textId="77777777" w:rsidR="005942F4" w:rsidRPr="0017030F" w:rsidRDefault="005942F4" w:rsidP="0017030F">
      <w:pPr>
        <w:rPr>
          <w:rFonts w:asciiTheme="majorHAnsi" w:hAnsiTheme="majorHAnsi" w:cstheme="majorHAnsi"/>
        </w:rPr>
      </w:pPr>
    </w:p>
    <w:p w14:paraId="0646E204" w14:textId="23E57650" w:rsidR="006E4797" w:rsidRPr="0017030F" w:rsidRDefault="00551D82" w:rsidP="0017030F">
      <w:pPr>
        <w:rPr>
          <w:rFonts w:asciiTheme="majorHAnsi" w:hAnsiTheme="majorHAnsi" w:cstheme="majorHAnsi"/>
        </w:rPr>
      </w:pPr>
      <w:r w:rsidRPr="0017030F">
        <w:rPr>
          <w:rFonts w:asciiTheme="majorHAnsi" w:hAnsiTheme="majorHAnsi" w:cstheme="majorHAnsi"/>
          <w:b/>
        </w:rPr>
        <w:t>INTRODUCTION:</w:t>
      </w:r>
      <w:r w:rsidRPr="0017030F">
        <w:rPr>
          <w:rFonts w:asciiTheme="majorHAnsi" w:hAnsiTheme="majorHAnsi" w:cstheme="majorHAnsi"/>
        </w:rPr>
        <w:t xml:space="preserve"> </w:t>
      </w:r>
    </w:p>
    <w:p w14:paraId="2974B487" w14:textId="55F8A121" w:rsidR="00DF66EB" w:rsidRPr="0017030F" w:rsidRDefault="005942F4" w:rsidP="0017030F">
      <w:pPr>
        <w:rPr>
          <w:rFonts w:asciiTheme="majorHAnsi" w:hAnsiTheme="majorHAnsi" w:cstheme="majorHAnsi"/>
        </w:rPr>
      </w:pPr>
      <w:bookmarkStart w:id="0" w:name="_Hlk208657914"/>
      <w:r w:rsidRPr="0017030F">
        <w:rPr>
          <w:rFonts w:asciiTheme="majorHAnsi" w:hAnsiTheme="majorHAnsi" w:cstheme="majorHAnsi"/>
        </w:rPr>
        <w:t xml:space="preserve">Endocrine disruptors (EDs) are chemicals that interfere with hormonal regulation and </w:t>
      </w:r>
      <w:r w:rsidR="00C26B31" w:rsidRPr="0017030F">
        <w:rPr>
          <w:rFonts w:asciiTheme="majorHAnsi" w:hAnsiTheme="majorHAnsi" w:cstheme="majorHAnsi"/>
        </w:rPr>
        <w:t xml:space="preserve">consequently </w:t>
      </w:r>
      <w:r w:rsidRPr="0017030F">
        <w:rPr>
          <w:rFonts w:asciiTheme="majorHAnsi" w:hAnsiTheme="majorHAnsi" w:cstheme="majorHAnsi"/>
        </w:rPr>
        <w:t>cause adverse effects in humans</w:t>
      </w:r>
      <w:r w:rsidR="00BD2DE1" w:rsidRPr="0017030F">
        <w:rPr>
          <w:rFonts w:asciiTheme="majorHAnsi" w:hAnsiTheme="majorHAnsi" w:cstheme="majorHAnsi"/>
          <w:noProof/>
          <w:vertAlign w:val="superscript"/>
        </w:rPr>
        <w:t>1,2</w:t>
      </w:r>
      <w:r w:rsidRPr="0017030F">
        <w:rPr>
          <w:rFonts w:asciiTheme="majorHAnsi" w:hAnsiTheme="majorHAnsi" w:cstheme="majorHAnsi"/>
        </w:rPr>
        <w:t>.</w:t>
      </w:r>
      <w:r w:rsidR="00D71A26" w:rsidRPr="0017030F">
        <w:rPr>
          <w:rFonts w:asciiTheme="majorHAnsi" w:hAnsiTheme="majorHAnsi" w:cstheme="majorHAnsi"/>
        </w:rPr>
        <w:t xml:space="preserve"> </w:t>
      </w:r>
      <w:r w:rsidR="009675E1" w:rsidRPr="0017030F">
        <w:rPr>
          <w:rFonts w:asciiTheme="majorHAnsi" w:hAnsiTheme="majorHAnsi" w:cstheme="majorHAnsi"/>
        </w:rPr>
        <w:t xml:space="preserve">Deiodinases (DIO) are membrane-associated enzymes, </w:t>
      </w:r>
      <w:r w:rsidR="00C26B31" w:rsidRPr="0017030F">
        <w:rPr>
          <w:rFonts w:asciiTheme="majorHAnsi" w:hAnsiTheme="majorHAnsi" w:cstheme="majorHAnsi"/>
        </w:rPr>
        <w:t xml:space="preserve">with </w:t>
      </w:r>
      <w:r w:rsidR="004F09A9" w:rsidRPr="0017030F">
        <w:rPr>
          <w:rFonts w:asciiTheme="majorHAnsi" w:hAnsiTheme="majorHAnsi" w:cstheme="majorHAnsi"/>
        </w:rPr>
        <w:t>s</w:t>
      </w:r>
      <w:r w:rsidR="009675E1" w:rsidRPr="0017030F">
        <w:rPr>
          <w:rFonts w:asciiTheme="majorHAnsi" w:hAnsiTheme="majorHAnsi" w:cstheme="majorHAnsi"/>
        </w:rPr>
        <w:t>elenocysteine as a key residue in their active sites.</w:t>
      </w:r>
      <w:r w:rsidR="004F09A9" w:rsidRPr="0017030F">
        <w:rPr>
          <w:rFonts w:asciiTheme="majorHAnsi" w:hAnsiTheme="majorHAnsi" w:cstheme="majorHAnsi"/>
        </w:rPr>
        <w:t xml:space="preserve"> This enzyme family comprises three distinct isoforms (DIO1, DIO2, and DIO3), which collectively modulate circulating </w:t>
      </w:r>
      <w:r w:rsidR="00C26B31" w:rsidRPr="0017030F">
        <w:rPr>
          <w:rFonts w:asciiTheme="majorHAnsi" w:hAnsiTheme="majorHAnsi" w:cstheme="majorHAnsi"/>
        </w:rPr>
        <w:t>thyroid hormone (</w:t>
      </w:r>
      <w:r w:rsidR="004B7A85" w:rsidRPr="0017030F">
        <w:rPr>
          <w:rFonts w:asciiTheme="majorHAnsi" w:hAnsiTheme="majorHAnsi" w:cstheme="majorHAnsi"/>
        </w:rPr>
        <w:t>TH) concentrations</w:t>
      </w:r>
      <w:r w:rsidR="004F09A9" w:rsidRPr="0017030F">
        <w:rPr>
          <w:rFonts w:asciiTheme="majorHAnsi" w:hAnsiTheme="majorHAnsi" w:cstheme="majorHAnsi"/>
        </w:rPr>
        <w:t xml:space="preserve"> and govern their tissue-specific availability within cells</w:t>
      </w:r>
      <w:r w:rsidR="00BD2DE1" w:rsidRPr="0017030F">
        <w:rPr>
          <w:rFonts w:asciiTheme="majorHAnsi" w:hAnsiTheme="majorHAnsi" w:cstheme="majorHAnsi"/>
          <w:noProof/>
          <w:vertAlign w:val="superscript"/>
        </w:rPr>
        <w:t>3</w:t>
      </w:r>
      <w:r w:rsidR="004F09A9" w:rsidRPr="0017030F">
        <w:rPr>
          <w:rFonts w:asciiTheme="majorHAnsi" w:hAnsiTheme="majorHAnsi" w:cstheme="majorHAnsi"/>
        </w:rPr>
        <w:t>. Thyroxine (T4), which serves as a prohormone, and triiodothyronine (T3), the active form, play vital roles in regulating energy expenditure, growth, developmental processes</w:t>
      </w:r>
      <w:r w:rsidR="00D71A26" w:rsidRPr="0017030F">
        <w:rPr>
          <w:rFonts w:asciiTheme="majorHAnsi" w:hAnsiTheme="majorHAnsi" w:cstheme="majorHAnsi"/>
        </w:rPr>
        <w:t>,</w:t>
      </w:r>
      <w:r w:rsidR="004F09A9" w:rsidRPr="0017030F">
        <w:rPr>
          <w:rFonts w:asciiTheme="majorHAnsi" w:hAnsiTheme="majorHAnsi" w:cstheme="majorHAnsi"/>
        </w:rPr>
        <w:t xml:space="preserve"> and thermoregulation in the body</w:t>
      </w:r>
      <w:r w:rsidR="00BD2DE1" w:rsidRPr="0017030F">
        <w:rPr>
          <w:rFonts w:asciiTheme="majorHAnsi" w:hAnsiTheme="majorHAnsi" w:cstheme="majorHAnsi"/>
          <w:noProof/>
          <w:vertAlign w:val="superscript"/>
        </w:rPr>
        <w:t>4</w:t>
      </w:r>
      <w:r w:rsidR="004F09A9" w:rsidRPr="0017030F">
        <w:rPr>
          <w:rFonts w:asciiTheme="majorHAnsi" w:hAnsiTheme="majorHAnsi" w:cstheme="majorHAnsi"/>
        </w:rPr>
        <w:t>.</w:t>
      </w:r>
      <w:r w:rsidR="005863C3" w:rsidRPr="0017030F">
        <w:rPr>
          <w:rFonts w:asciiTheme="majorHAnsi" w:hAnsiTheme="majorHAnsi" w:cstheme="majorHAnsi"/>
        </w:rPr>
        <w:t xml:space="preserve"> The DIO isoforms differ in </w:t>
      </w:r>
      <w:r w:rsidR="00D71A26" w:rsidRPr="0017030F">
        <w:rPr>
          <w:rFonts w:asciiTheme="majorHAnsi" w:hAnsiTheme="majorHAnsi" w:cstheme="majorHAnsi"/>
        </w:rPr>
        <w:t>the characteristics of their deiodination site specificity, kinetic properties,</w:t>
      </w:r>
      <w:r w:rsidR="005863C3" w:rsidRPr="0017030F">
        <w:rPr>
          <w:rFonts w:asciiTheme="majorHAnsi" w:hAnsiTheme="majorHAnsi" w:cstheme="majorHAnsi"/>
        </w:rPr>
        <w:t xml:space="preserve"> and substrate preferences</w:t>
      </w:r>
      <w:r w:rsidR="00BD2DE1" w:rsidRPr="0017030F">
        <w:rPr>
          <w:rFonts w:asciiTheme="majorHAnsi" w:hAnsiTheme="majorHAnsi" w:cstheme="majorHAnsi"/>
          <w:noProof/>
          <w:vertAlign w:val="superscript"/>
        </w:rPr>
        <w:t>3</w:t>
      </w:r>
      <w:r w:rsidR="005863C3" w:rsidRPr="0017030F">
        <w:rPr>
          <w:rFonts w:asciiTheme="majorHAnsi" w:hAnsiTheme="majorHAnsi" w:cstheme="majorHAnsi"/>
        </w:rPr>
        <w:t xml:space="preserve">. DIO1 </w:t>
      </w:r>
      <w:r w:rsidR="00651902" w:rsidRPr="0017030F">
        <w:rPr>
          <w:rFonts w:asciiTheme="majorHAnsi" w:hAnsiTheme="majorHAnsi" w:cstheme="majorHAnsi"/>
        </w:rPr>
        <w:t xml:space="preserve">is the main deiodinase isoform in </w:t>
      </w:r>
      <w:r w:rsidR="00E42B14" w:rsidRPr="0017030F">
        <w:rPr>
          <w:rFonts w:asciiTheme="majorHAnsi" w:hAnsiTheme="majorHAnsi" w:cstheme="majorHAnsi"/>
        </w:rPr>
        <w:t>adult</w:t>
      </w:r>
      <w:r w:rsidR="00651902" w:rsidRPr="0017030F">
        <w:rPr>
          <w:rFonts w:asciiTheme="majorHAnsi" w:hAnsiTheme="majorHAnsi" w:cstheme="majorHAnsi"/>
        </w:rPr>
        <w:t xml:space="preserve"> liver and </w:t>
      </w:r>
      <w:r w:rsidR="005863C3" w:rsidRPr="0017030F">
        <w:rPr>
          <w:rFonts w:asciiTheme="majorHAnsi" w:hAnsiTheme="majorHAnsi" w:cstheme="majorHAnsi"/>
        </w:rPr>
        <w:t>exhibits strong substrate affinity for reverse triiodothyronine (rT3) and sulfated iodothyronines, while DIO2 preferentially utilizes T4 and rT3, and DIO3 primarily acts on T4 and T3.</w:t>
      </w:r>
      <w:r w:rsidR="00DF66EB" w:rsidRPr="0017030F">
        <w:rPr>
          <w:rFonts w:asciiTheme="majorHAnsi" w:hAnsiTheme="majorHAnsi" w:cstheme="majorHAnsi"/>
          <w:shd w:val="clear" w:color="auto" w:fill="FAFAFA"/>
        </w:rPr>
        <w:t xml:space="preserve"> </w:t>
      </w:r>
      <w:r w:rsidR="001753EA" w:rsidRPr="00E73D5F">
        <w:rPr>
          <w:rFonts w:asciiTheme="majorHAnsi" w:hAnsiTheme="majorHAnsi" w:cstheme="majorHAnsi"/>
        </w:rPr>
        <w:t xml:space="preserve">Using human liver microsomes and rT3 as </w:t>
      </w:r>
      <w:proofErr w:type="gramStart"/>
      <w:r w:rsidR="001753EA" w:rsidRPr="00E73D5F">
        <w:rPr>
          <w:rFonts w:asciiTheme="majorHAnsi" w:hAnsiTheme="majorHAnsi" w:cstheme="majorHAnsi"/>
        </w:rPr>
        <w:t>substrate</w:t>
      </w:r>
      <w:proofErr w:type="gramEnd"/>
      <w:r w:rsidR="001753EA" w:rsidRPr="00E73D5F">
        <w:rPr>
          <w:rFonts w:asciiTheme="majorHAnsi" w:hAnsiTheme="majorHAnsi" w:cstheme="majorHAnsi"/>
        </w:rPr>
        <w:t xml:space="preserve"> allows selective detection of DIO1 activity, minimizing interference from other isoforms. </w:t>
      </w:r>
      <w:r w:rsidR="00DF66EB" w:rsidRPr="0017030F">
        <w:rPr>
          <w:rFonts w:asciiTheme="majorHAnsi" w:hAnsiTheme="majorHAnsi" w:cstheme="majorHAnsi"/>
        </w:rPr>
        <w:t xml:space="preserve">While the precise consequences of </w:t>
      </w:r>
      <w:r w:rsidR="00C26B31" w:rsidRPr="0017030F">
        <w:rPr>
          <w:rFonts w:asciiTheme="majorHAnsi" w:hAnsiTheme="majorHAnsi" w:cstheme="majorHAnsi"/>
        </w:rPr>
        <w:t>substance-</w:t>
      </w:r>
      <w:r w:rsidR="00DF66EB" w:rsidRPr="0017030F">
        <w:rPr>
          <w:rFonts w:asciiTheme="majorHAnsi" w:hAnsiTheme="majorHAnsi" w:cstheme="majorHAnsi"/>
        </w:rPr>
        <w:t xml:space="preserve">induced DIO1 inhibition remain to be fully elucidated, evidence from human gene mutations affecting DIO1 clearly demonstrates that </w:t>
      </w:r>
      <w:r w:rsidR="00BA2698" w:rsidRPr="0017030F">
        <w:rPr>
          <w:rFonts w:asciiTheme="majorHAnsi" w:hAnsiTheme="majorHAnsi" w:cstheme="majorHAnsi"/>
        </w:rPr>
        <w:t>DIO1 can</w:t>
      </w:r>
      <w:r w:rsidR="00DF66EB" w:rsidRPr="0017030F">
        <w:rPr>
          <w:rFonts w:asciiTheme="majorHAnsi" w:hAnsiTheme="majorHAnsi" w:cstheme="majorHAnsi"/>
        </w:rPr>
        <w:t xml:space="preserve"> disrupt the thyroid hormone system</w:t>
      </w:r>
      <w:r w:rsidR="00BD2DE1" w:rsidRPr="0017030F">
        <w:rPr>
          <w:rFonts w:asciiTheme="majorHAnsi" w:hAnsiTheme="majorHAnsi" w:cstheme="majorHAnsi"/>
          <w:noProof/>
          <w:vertAlign w:val="superscript"/>
        </w:rPr>
        <w:t>5</w:t>
      </w:r>
      <w:r w:rsidR="00DF66EB" w:rsidRPr="0017030F">
        <w:rPr>
          <w:rFonts w:asciiTheme="majorHAnsi" w:hAnsiTheme="majorHAnsi" w:cstheme="majorHAnsi"/>
        </w:rPr>
        <w:t>. As a result, there is a critical need for robust and reproducible methods to investigate DIO1 inhibition.</w:t>
      </w:r>
    </w:p>
    <w:p w14:paraId="12ECC128" w14:textId="77777777" w:rsidR="00FD133A" w:rsidRPr="0017030F" w:rsidRDefault="00FD133A" w:rsidP="0017030F">
      <w:pPr>
        <w:rPr>
          <w:rFonts w:asciiTheme="majorHAnsi" w:hAnsiTheme="majorHAnsi" w:cstheme="majorHAnsi"/>
        </w:rPr>
      </w:pPr>
    </w:p>
    <w:p w14:paraId="3B9F0C98" w14:textId="6B17850F" w:rsidR="00E42B14" w:rsidRPr="0017030F" w:rsidRDefault="00EC45F5" w:rsidP="0017030F">
      <w:pPr>
        <w:rPr>
          <w:rFonts w:asciiTheme="majorHAnsi" w:hAnsiTheme="majorHAnsi" w:cstheme="majorHAnsi"/>
        </w:rPr>
      </w:pPr>
      <w:r w:rsidRPr="0017030F">
        <w:rPr>
          <w:rFonts w:asciiTheme="majorHAnsi" w:hAnsiTheme="majorHAnsi" w:cstheme="majorHAnsi"/>
        </w:rPr>
        <w:t>The goal of the presented method is to quantify DIO1 activity in vitro using a non-radioactive, colorimetric approach based on the Sandell-Kolthoff (SK) reaction.</w:t>
      </w:r>
      <w:r w:rsidR="00DF66EB" w:rsidRPr="0017030F">
        <w:rPr>
          <w:rFonts w:asciiTheme="majorHAnsi" w:hAnsiTheme="majorHAnsi" w:cstheme="majorHAnsi"/>
        </w:rPr>
        <w:t xml:space="preserve"> </w:t>
      </w:r>
      <w:r w:rsidR="003C5D85" w:rsidRPr="0017030F">
        <w:rPr>
          <w:rFonts w:asciiTheme="majorHAnsi" w:hAnsiTheme="majorHAnsi" w:cstheme="majorHAnsi"/>
        </w:rPr>
        <w:t xml:space="preserve">DIO1 catalyzes the conversion of reverse rT3 to T2, a process that results in the release of iodide ions. The SK reaction enables </w:t>
      </w:r>
      <w:r w:rsidR="00BA2698" w:rsidRPr="0017030F">
        <w:rPr>
          <w:rFonts w:asciiTheme="majorHAnsi" w:hAnsiTheme="majorHAnsi" w:cstheme="majorHAnsi"/>
        </w:rPr>
        <w:t xml:space="preserve">sensitive detection of the released iodide, allowing </w:t>
      </w:r>
      <w:r w:rsidR="003C5D85" w:rsidRPr="0017030F">
        <w:rPr>
          <w:rFonts w:asciiTheme="majorHAnsi" w:hAnsiTheme="majorHAnsi" w:cstheme="majorHAnsi"/>
        </w:rPr>
        <w:t xml:space="preserve">determination of iodide release activity (IRA) as a direct measure of DIO1 activity. </w:t>
      </w:r>
      <w:r w:rsidRPr="0017030F">
        <w:rPr>
          <w:rFonts w:asciiTheme="majorHAnsi" w:hAnsiTheme="majorHAnsi" w:cstheme="majorHAnsi"/>
        </w:rPr>
        <w:t xml:space="preserve">This assay enables the detection of inhibitory effects of test substances on DIO1, supporting </w:t>
      </w:r>
      <w:r w:rsidR="00D628C5" w:rsidRPr="0017030F">
        <w:rPr>
          <w:rFonts w:asciiTheme="majorHAnsi" w:hAnsiTheme="majorHAnsi" w:cstheme="majorHAnsi"/>
        </w:rPr>
        <w:t>mechanistic toxicology, screening</w:t>
      </w:r>
      <w:r w:rsidR="00BA2698" w:rsidRPr="0017030F">
        <w:rPr>
          <w:rFonts w:asciiTheme="majorHAnsi" w:hAnsiTheme="majorHAnsi" w:cstheme="majorHAnsi"/>
        </w:rPr>
        <w:t>,</w:t>
      </w:r>
      <w:r w:rsidR="00D628C5" w:rsidRPr="0017030F">
        <w:rPr>
          <w:rFonts w:asciiTheme="majorHAnsi" w:hAnsiTheme="majorHAnsi" w:cstheme="majorHAnsi"/>
        </w:rPr>
        <w:t xml:space="preserve"> or regulatory decision-making</w:t>
      </w:r>
      <w:r w:rsidRPr="0017030F">
        <w:rPr>
          <w:rFonts w:asciiTheme="majorHAnsi" w:hAnsiTheme="majorHAnsi" w:cstheme="majorHAnsi"/>
        </w:rPr>
        <w:t xml:space="preserve">. </w:t>
      </w:r>
      <w:r w:rsidR="005942F4" w:rsidRPr="0017030F">
        <w:rPr>
          <w:rFonts w:asciiTheme="majorHAnsi" w:hAnsiTheme="majorHAnsi" w:cstheme="majorHAnsi"/>
        </w:rPr>
        <w:t>It is particularly relevant for i</w:t>
      </w:r>
      <w:r w:rsidR="00046039" w:rsidRPr="0017030F">
        <w:rPr>
          <w:rFonts w:asciiTheme="majorHAnsi" w:hAnsiTheme="majorHAnsi" w:cstheme="majorHAnsi"/>
        </w:rPr>
        <w:t>nvestiga</w:t>
      </w:r>
      <w:r w:rsidR="005942F4" w:rsidRPr="0017030F">
        <w:rPr>
          <w:rFonts w:asciiTheme="majorHAnsi" w:hAnsiTheme="majorHAnsi" w:cstheme="majorHAnsi"/>
        </w:rPr>
        <w:t xml:space="preserve">ting </w:t>
      </w:r>
      <w:r w:rsidR="00046039" w:rsidRPr="0017030F">
        <w:rPr>
          <w:rFonts w:asciiTheme="majorHAnsi" w:hAnsiTheme="majorHAnsi" w:cstheme="majorHAnsi"/>
        </w:rPr>
        <w:t>DI</w:t>
      </w:r>
      <w:r w:rsidR="00590ADB" w:rsidRPr="0017030F">
        <w:rPr>
          <w:rFonts w:asciiTheme="majorHAnsi" w:hAnsiTheme="majorHAnsi" w:cstheme="majorHAnsi"/>
        </w:rPr>
        <w:t>O</w:t>
      </w:r>
      <w:r w:rsidR="00046039" w:rsidRPr="0017030F">
        <w:rPr>
          <w:rFonts w:asciiTheme="majorHAnsi" w:hAnsiTheme="majorHAnsi" w:cstheme="majorHAnsi"/>
        </w:rPr>
        <w:t xml:space="preserve">1 inhibition as a </w:t>
      </w:r>
      <w:r w:rsidR="005942F4" w:rsidRPr="0017030F">
        <w:rPr>
          <w:rFonts w:asciiTheme="majorHAnsi" w:hAnsiTheme="majorHAnsi" w:cstheme="majorHAnsi"/>
        </w:rPr>
        <w:t xml:space="preserve">molecular initiating event </w:t>
      </w:r>
      <w:r w:rsidR="00046039" w:rsidRPr="0017030F">
        <w:rPr>
          <w:rFonts w:asciiTheme="majorHAnsi" w:hAnsiTheme="majorHAnsi" w:cstheme="majorHAnsi"/>
        </w:rPr>
        <w:t xml:space="preserve">of </w:t>
      </w:r>
      <w:r w:rsidR="005942F4" w:rsidRPr="0017030F">
        <w:rPr>
          <w:rFonts w:asciiTheme="majorHAnsi" w:hAnsiTheme="majorHAnsi" w:cstheme="majorHAnsi"/>
        </w:rPr>
        <w:t xml:space="preserve">adverse outcome pathways </w:t>
      </w:r>
      <w:r w:rsidR="00046039" w:rsidRPr="0017030F">
        <w:rPr>
          <w:rFonts w:asciiTheme="majorHAnsi" w:hAnsiTheme="majorHAnsi" w:cstheme="majorHAnsi"/>
        </w:rPr>
        <w:t xml:space="preserve">leading </w:t>
      </w:r>
      <w:r w:rsidR="005942F4" w:rsidRPr="0017030F">
        <w:rPr>
          <w:rFonts w:asciiTheme="majorHAnsi" w:hAnsiTheme="majorHAnsi" w:cstheme="majorHAnsi"/>
        </w:rPr>
        <w:t>to thyroid disruption, as outlined by international validation efforts such as those coordinated by EURL ECVAM</w:t>
      </w:r>
      <w:r w:rsidR="00BD2DE1" w:rsidRPr="0017030F">
        <w:rPr>
          <w:rFonts w:asciiTheme="majorHAnsi" w:hAnsiTheme="majorHAnsi" w:cstheme="majorHAnsi"/>
          <w:noProof/>
          <w:vertAlign w:val="superscript"/>
        </w:rPr>
        <w:t>6,7</w:t>
      </w:r>
      <w:r w:rsidR="005942F4" w:rsidRPr="0017030F">
        <w:rPr>
          <w:rFonts w:asciiTheme="majorHAnsi" w:hAnsiTheme="majorHAnsi" w:cstheme="majorHAnsi"/>
        </w:rPr>
        <w:t>.</w:t>
      </w:r>
      <w:r w:rsidRPr="0017030F">
        <w:rPr>
          <w:rFonts w:asciiTheme="majorHAnsi" w:hAnsiTheme="majorHAnsi" w:cstheme="majorHAnsi"/>
          <w:shd w:val="clear" w:color="auto" w:fill="FAFAFA"/>
        </w:rPr>
        <w:t xml:space="preserve"> </w:t>
      </w:r>
      <w:bookmarkStart w:id="1" w:name="_Hlk210833210"/>
      <w:r w:rsidRPr="0017030F">
        <w:rPr>
          <w:rFonts w:asciiTheme="majorHAnsi" w:hAnsiTheme="majorHAnsi" w:cstheme="majorHAnsi"/>
        </w:rPr>
        <w:t xml:space="preserve">The method </w:t>
      </w:r>
      <w:r w:rsidR="00E42B14" w:rsidRPr="0017030F">
        <w:rPr>
          <w:rFonts w:asciiTheme="majorHAnsi" w:hAnsiTheme="majorHAnsi" w:cstheme="majorHAnsi"/>
        </w:rPr>
        <w:t>was originally developed</w:t>
      </w:r>
      <w:r w:rsidR="00D0749C" w:rsidRPr="0017030F">
        <w:rPr>
          <w:rFonts w:asciiTheme="majorHAnsi" w:hAnsiTheme="majorHAnsi" w:cstheme="majorHAnsi"/>
        </w:rPr>
        <w:t xml:space="preserve"> in 2012</w:t>
      </w:r>
      <w:r w:rsidR="00BD2DE1" w:rsidRPr="0017030F">
        <w:rPr>
          <w:rFonts w:asciiTheme="majorHAnsi" w:hAnsiTheme="majorHAnsi" w:cstheme="majorHAnsi"/>
          <w:noProof/>
          <w:vertAlign w:val="superscript"/>
        </w:rPr>
        <w:t>8,9</w:t>
      </w:r>
      <w:r w:rsidR="00FE4520" w:rsidRPr="0017030F">
        <w:rPr>
          <w:rFonts w:asciiTheme="majorHAnsi" w:hAnsiTheme="majorHAnsi" w:cstheme="majorHAnsi"/>
        </w:rPr>
        <w:t xml:space="preserve"> </w:t>
      </w:r>
      <w:r w:rsidR="00D0749C" w:rsidRPr="0017030F">
        <w:rPr>
          <w:rFonts w:asciiTheme="majorHAnsi" w:hAnsiTheme="majorHAnsi" w:cstheme="majorHAnsi"/>
        </w:rPr>
        <w:t xml:space="preserve">and </w:t>
      </w:r>
      <w:r w:rsidR="00E42B14" w:rsidRPr="0017030F">
        <w:rPr>
          <w:rFonts w:asciiTheme="majorHAnsi" w:hAnsiTheme="majorHAnsi" w:cstheme="majorHAnsi"/>
        </w:rPr>
        <w:t xml:space="preserve">further </w:t>
      </w:r>
      <w:r w:rsidR="00D0749C" w:rsidRPr="0017030F">
        <w:rPr>
          <w:rFonts w:asciiTheme="majorHAnsi" w:hAnsiTheme="majorHAnsi" w:cstheme="majorHAnsi"/>
        </w:rPr>
        <w:t>optimi</w:t>
      </w:r>
      <w:r w:rsidR="00BA2698" w:rsidRPr="0017030F">
        <w:rPr>
          <w:rFonts w:asciiTheme="majorHAnsi" w:hAnsiTheme="majorHAnsi" w:cstheme="majorHAnsi"/>
        </w:rPr>
        <w:t>z</w:t>
      </w:r>
      <w:r w:rsidR="00D0749C" w:rsidRPr="0017030F">
        <w:rPr>
          <w:rFonts w:asciiTheme="majorHAnsi" w:hAnsiTheme="majorHAnsi" w:cstheme="majorHAnsi"/>
        </w:rPr>
        <w:t>ed</w:t>
      </w:r>
      <w:r w:rsidR="00BD2DE1" w:rsidRPr="0017030F">
        <w:rPr>
          <w:rFonts w:asciiTheme="majorHAnsi" w:hAnsiTheme="majorHAnsi" w:cstheme="majorHAnsi"/>
          <w:noProof/>
          <w:vertAlign w:val="superscript"/>
        </w:rPr>
        <w:t>6,7</w:t>
      </w:r>
      <w:r w:rsidR="00E42B14" w:rsidRPr="0017030F">
        <w:rPr>
          <w:rFonts w:asciiTheme="majorHAnsi" w:hAnsiTheme="majorHAnsi" w:cstheme="majorHAnsi"/>
        </w:rPr>
        <w:t xml:space="preserve"> </w:t>
      </w:r>
      <w:r w:rsidRPr="0017030F">
        <w:rPr>
          <w:rFonts w:asciiTheme="majorHAnsi" w:hAnsiTheme="majorHAnsi" w:cstheme="majorHAnsi"/>
        </w:rPr>
        <w:t>in response to the growing need for robust, reproducible</w:t>
      </w:r>
      <w:r w:rsidR="00BA2698" w:rsidRPr="0017030F">
        <w:rPr>
          <w:rFonts w:asciiTheme="majorHAnsi" w:hAnsiTheme="majorHAnsi" w:cstheme="majorHAnsi"/>
        </w:rPr>
        <w:t>,</w:t>
      </w:r>
      <w:r w:rsidRPr="0017030F">
        <w:rPr>
          <w:rFonts w:asciiTheme="majorHAnsi" w:hAnsiTheme="majorHAnsi" w:cstheme="majorHAnsi"/>
        </w:rPr>
        <w:t xml:space="preserve"> and scalable </w:t>
      </w:r>
      <w:r w:rsidRPr="00E73D5F">
        <w:rPr>
          <w:rFonts w:asciiTheme="majorHAnsi" w:hAnsiTheme="majorHAnsi" w:cstheme="majorHAnsi"/>
          <w:i/>
          <w:iCs/>
        </w:rPr>
        <w:t>in vitro</w:t>
      </w:r>
      <w:r w:rsidRPr="0017030F">
        <w:rPr>
          <w:rFonts w:asciiTheme="majorHAnsi" w:hAnsiTheme="majorHAnsi" w:cstheme="majorHAnsi"/>
        </w:rPr>
        <w:t xml:space="preserve"> assays that can be integrated into test batteries for endocrine screening, especially in the context of thyroid hormone metabolism</w:t>
      </w:r>
      <w:bookmarkEnd w:id="1"/>
      <w:r w:rsidRPr="0017030F">
        <w:rPr>
          <w:rFonts w:asciiTheme="majorHAnsi" w:hAnsiTheme="majorHAnsi" w:cstheme="majorHAnsi"/>
        </w:rPr>
        <w:t>.</w:t>
      </w:r>
      <w:r w:rsidR="00E42B14" w:rsidRPr="0017030F">
        <w:rPr>
          <w:rFonts w:asciiTheme="majorHAnsi" w:hAnsiTheme="majorHAnsi" w:cstheme="majorHAnsi"/>
        </w:rPr>
        <w:t xml:space="preserve"> Recently, the application of analog SK-based setups for medium</w:t>
      </w:r>
      <w:r w:rsidR="001A4794" w:rsidRPr="0017030F">
        <w:rPr>
          <w:rFonts w:asciiTheme="majorHAnsi" w:hAnsiTheme="majorHAnsi" w:cstheme="majorHAnsi"/>
        </w:rPr>
        <w:t>-</w:t>
      </w:r>
      <w:r w:rsidR="00BD2DE1" w:rsidRPr="0017030F">
        <w:rPr>
          <w:rFonts w:asciiTheme="majorHAnsi" w:hAnsiTheme="majorHAnsi" w:cstheme="majorHAnsi"/>
          <w:noProof/>
          <w:vertAlign w:val="superscript"/>
        </w:rPr>
        <w:t>10</w:t>
      </w:r>
      <w:r w:rsidR="00BD2DE1" w:rsidRPr="0017030F">
        <w:rPr>
          <w:rFonts w:asciiTheme="majorHAnsi" w:hAnsiTheme="majorHAnsi" w:cstheme="majorHAnsi"/>
        </w:rPr>
        <w:t xml:space="preserve"> </w:t>
      </w:r>
      <w:r w:rsidR="00E42B14" w:rsidRPr="0017030F">
        <w:rPr>
          <w:rFonts w:asciiTheme="majorHAnsi" w:hAnsiTheme="majorHAnsi" w:cstheme="majorHAnsi"/>
        </w:rPr>
        <w:t>to high</w:t>
      </w:r>
      <w:r w:rsidR="001A4794" w:rsidRPr="0017030F">
        <w:rPr>
          <w:rFonts w:asciiTheme="majorHAnsi" w:hAnsiTheme="majorHAnsi" w:cstheme="majorHAnsi"/>
        </w:rPr>
        <w:t>-</w:t>
      </w:r>
      <w:r w:rsidR="00E42B14" w:rsidRPr="0017030F">
        <w:rPr>
          <w:rFonts w:asciiTheme="majorHAnsi" w:hAnsiTheme="majorHAnsi" w:cstheme="majorHAnsi"/>
        </w:rPr>
        <w:t>throughput screening</w:t>
      </w:r>
      <w:r w:rsidR="00BD2DE1" w:rsidRPr="0017030F">
        <w:rPr>
          <w:rFonts w:asciiTheme="majorHAnsi" w:hAnsiTheme="majorHAnsi" w:cstheme="majorHAnsi"/>
          <w:noProof/>
          <w:vertAlign w:val="superscript"/>
        </w:rPr>
        <w:t>11</w:t>
      </w:r>
      <w:r w:rsidR="00E42B14" w:rsidRPr="0017030F">
        <w:rPr>
          <w:rFonts w:asciiTheme="majorHAnsi" w:hAnsiTheme="majorHAnsi" w:cstheme="majorHAnsi"/>
        </w:rPr>
        <w:t xml:space="preserve"> </w:t>
      </w:r>
      <w:r w:rsidR="001C5110" w:rsidRPr="0017030F">
        <w:rPr>
          <w:rFonts w:asciiTheme="majorHAnsi" w:hAnsiTheme="majorHAnsi" w:cstheme="majorHAnsi"/>
        </w:rPr>
        <w:t xml:space="preserve">was </w:t>
      </w:r>
      <w:r w:rsidR="00E42B14" w:rsidRPr="0017030F">
        <w:rPr>
          <w:rFonts w:asciiTheme="majorHAnsi" w:hAnsiTheme="majorHAnsi" w:cstheme="majorHAnsi"/>
        </w:rPr>
        <w:t xml:space="preserve">published, demonstrating the broad applicability of the SK-based approach. </w:t>
      </w:r>
    </w:p>
    <w:p w14:paraId="3A86DB5E" w14:textId="77777777" w:rsidR="00EC45F5" w:rsidRPr="0017030F" w:rsidRDefault="00EC45F5" w:rsidP="0017030F">
      <w:pPr>
        <w:rPr>
          <w:rFonts w:asciiTheme="majorHAnsi" w:hAnsiTheme="majorHAnsi" w:cstheme="majorHAnsi"/>
        </w:rPr>
      </w:pPr>
    </w:p>
    <w:p w14:paraId="59FABE46" w14:textId="1FFCF1CE" w:rsidR="00200826" w:rsidRPr="0017030F" w:rsidRDefault="003C5D85" w:rsidP="0017030F">
      <w:pPr>
        <w:rPr>
          <w:rFonts w:asciiTheme="majorHAnsi" w:hAnsiTheme="majorHAnsi" w:cstheme="majorHAnsi"/>
        </w:rPr>
      </w:pPr>
      <w:r w:rsidRPr="0017030F">
        <w:rPr>
          <w:rFonts w:asciiTheme="majorHAnsi" w:hAnsiTheme="majorHAnsi" w:cstheme="majorHAnsi"/>
        </w:rPr>
        <w:t xml:space="preserve">Even though the </w:t>
      </w:r>
      <w:r w:rsidR="005942F4" w:rsidRPr="0017030F">
        <w:rPr>
          <w:rFonts w:asciiTheme="majorHAnsi" w:hAnsiTheme="majorHAnsi" w:cstheme="majorHAnsi"/>
        </w:rPr>
        <w:t xml:space="preserve">DIO1-SK assay </w:t>
      </w:r>
      <w:r w:rsidR="001C5110" w:rsidRPr="0017030F">
        <w:rPr>
          <w:rFonts w:asciiTheme="majorHAnsi" w:hAnsiTheme="majorHAnsi" w:cstheme="majorHAnsi"/>
        </w:rPr>
        <w:t>indirectly measures DIO1 activity by quantifying IRA rather than TH products, it</w:t>
      </w:r>
      <w:r w:rsidRPr="0017030F">
        <w:rPr>
          <w:rFonts w:asciiTheme="majorHAnsi" w:hAnsiTheme="majorHAnsi" w:cstheme="majorHAnsi"/>
        </w:rPr>
        <w:t xml:space="preserve"> </w:t>
      </w:r>
      <w:r w:rsidR="005942F4" w:rsidRPr="0017030F">
        <w:rPr>
          <w:rFonts w:asciiTheme="majorHAnsi" w:hAnsiTheme="majorHAnsi" w:cstheme="majorHAnsi"/>
        </w:rPr>
        <w:t xml:space="preserve">offers several advantages over alternative techniques. Unlike methods </w:t>
      </w:r>
      <w:r w:rsidR="001A4794" w:rsidRPr="0017030F">
        <w:rPr>
          <w:rFonts w:asciiTheme="majorHAnsi" w:hAnsiTheme="majorHAnsi" w:cstheme="majorHAnsi"/>
        </w:rPr>
        <w:t>that rely on radiolabeled substrates</w:t>
      </w:r>
      <w:r w:rsidR="001A4794" w:rsidRPr="00E73D5F">
        <w:rPr>
          <w:rFonts w:asciiTheme="majorHAnsi" w:hAnsiTheme="majorHAnsi" w:cstheme="majorHAnsi"/>
          <w:vertAlign w:val="superscript"/>
        </w:rPr>
        <w:t>12</w:t>
      </w:r>
      <w:r w:rsidR="001A4794" w:rsidRPr="0017030F">
        <w:rPr>
          <w:rFonts w:asciiTheme="majorHAnsi" w:hAnsiTheme="majorHAnsi" w:cstheme="majorHAnsi"/>
        </w:rPr>
        <w:t xml:space="preserve"> or mass spectrometry-based quantification of depleted or formed thyroid hormones</w:t>
      </w:r>
      <w:r w:rsidR="001A4794" w:rsidRPr="00E73D5F">
        <w:rPr>
          <w:rFonts w:asciiTheme="majorHAnsi" w:hAnsiTheme="majorHAnsi" w:cstheme="majorHAnsi"/>
          <w:vertAlign w:val="superscript"/>
        </w:rPr>
        <w:t>13</w:t>
      </w:r>
      <w:r w:rsidR="001A4794" w:rsidRPr="0017030F">
        <w:rPr>
          <w:rFonts w:asciiTheme="majorHAnsi" w:hAnsiTheme="majorHAnsi" w:cstheme="majorHAnsi"/>
        </w:rPr>
        <w:t xml:space="preserve">, the SK reaction provides a simple, scalable, and cost-effective readout by </w:t>
      </w:r>
      <w:r w:rsidR="005942F4" w:rsidRPr="0017030F">
        <w:rPr>
          <w:rFonts w:asciiTheme="majorHAnsi" w:hAnsiTheme="majorHAnsi" w:cstheme="majorHAnsi"/>
        </w:rPr>
        <w:t>measuring iodide release at 415 nm</w:t>
      </w:r>
      <w:r w:rsidR="00BD2DE1" w:rsidRPr="0017030F">
        <w:rPr>
          <w:rFonts w:asciiTheme="majorHAnsi" w:hAnsiTheme="majorHAnsi" w:cstheme="majorHAnsi"/>
          <w:noProof/>
          <w:vertAlign w:val="superscript"/>
        </w:rPr>
        <w:t>14</w:t>
      </w:r>
      <w:r w:rsidR="005942F4" w:rsidRPr="0017030F">
        <w:rPr>
          <w:rFonts w:asciiTheme="majorHAnsi" w:hAnsiTheme="majorHAnsi" w:cstheme="majorHAnsi"/>
        </w:rPr>
        <w:t xml:space="preserve">. </w:t>
      </w:r>
      <w:r w:rsidR="00EC45F5" w:rsidRPr="0017030F">
        <w:rPr>
          <w:rFonts w:asciiTheme="majorHAnsi" w:hAnsiTheme="majorHAnsi" w:cstheme="majorHAnsi"/>
        </w:rPr>
        <w:t xml:space="preserve">While LC-MS/MS methods </w:t>
      </w:r>
      <w:r w:rsidR="00046039" w:rsidRPr="0017030F">
        <w:rPr>
          <w:rFonts w:asciiTheme="majorHAnsi" w:hAnsiTheme="majorHAnsi" w:cstheme="majorHAnsi"/>
        </w:rPr>
        <w:t>with</w:t>
      </w:r>
      <w:r w:rsidR="00EC45F5" w:rsidRPr="0017030F">
        <w:rPr>
          <w:rFonts w:asciiTheme="majorHAnsi" w:hAnsiTheme="majorHAnsi" w:cstheme="majorHAnsi"/>
        </w:rPr>
        <w:t xml:space="preserve"> solid-phase extraction (SPE-LC-MS/MS) offer high specificity and sensitivity for quantifying rT3 and T2, they require expensive instrumentation and are less suitable for high</w:t>
      </w:r>
      <w:r w:rsidR="00D628C5" w:rsidRPr="0017030F">
        <w:rPr>
          <w:rFonts w:asciiTheme="majorHAnsi" w:hAnsiTheme="majorHAnsi" w:cstheme="majorHAnsi"/>
        </w:rPr>
        <w:t>er</w:t>
      </w:r>
      <w:r w:rsidR="00EC45F5" w:rsidRPr="0017030F">
        <w:rPr>
          <w:rFonts w:asciiTheme="majorHAnsi" w:hAnsiTheme="majorHAnsi" w:cstheme="majorHAnsi"/>
        </w:rPr>
        <w:t xml:space="preserve">-throughput screening. In contrast, the </w:t>
      </w:r>
      <w:r w:rsidR="00EC45F5" w:rsidRPr="0017030F">
        <w:rPr>
          <w:rFonts w:asciiTheme="majorHAnsi" w:hAnsiTheme="majorHAnsi" w:cstheme="majorHAnsi"/>
        </w:rPr>
        <w:lastRenderedPageBreak/>
        <w:t xml:space="preserve">DIO1-SK assay can be implemented in standard laboratory settings and has been </w:t>
      </w:r>
      <w:proofErr w:type="spellStart"/>
      <w:r w:rsidR="00EC45F5" w:rsidRPr="0017030F">
        <w:rPr>
          <w:rFonts w:asciiTheme="majorHAnsi" w:hAnsiTheme="majorHAnsi" w:cstheme="majorHAnsi"/>
        </w:rPr>
        <w:t>prevalidated</w:t>
      </w:r>
      <w:proofErr w:type="spellEnd"/>
      <w:r w:rsidR="00EC45F5" w:rsidRPr="0017030F">
        <w:rPr>
          <w:rFonts w:asciiTheme="majorHAnsi" w:hAnsiTheme="majorHAnsi" w:cstheme="majorHAnsi"/>
        </w:rPr>
        <w:t xml:space="preserve"> for use with human liver microsomes, demonstrating high reproducibility and predictivity</w:t>
      </w:r>
      <w:r w:rsidR="00BD2DE1" w:rsidRPr="0017030F">
        <w:rPr>
          <w:rFonts w:asciiTheme="majorHAnsi" w:hAnsiTheme="majorHAnsi" w:cstheme="majorHAnsi"/>
          <w:noProof/>
          <w:vertAlign w:val="superscript"/>
        </w:rPr>
        <w:t>6,7</w:t>
      </w:r>
      <w:r w:rsidR="005942F4" w:rsidRPr="0017030F">
        <w:rPr>
          <w:rFonts w:asciiTheme="majorHAnsi" w:hAnsiTheme="majorHAnsi" w:cstheme="majorHAnsi"/>
        </w:rPr>
        <w:t xml:space="preserve">. </w:t>
      </w:r>
      <w:r w:rsidR="00046039" w:rsidRPr="0017030F">
        <w:rPr>
          <w:rFonts w:asciiTheme="majorHAnsi" w:hAnsiTheme="majorHAnsi" w:cstheme="majorHAnsi"/>
        </w:rPr>
        <w:t xml:space="preserve">In a </w:t>
      </w:r>
      <w:r w:rsidR="008C19D8" w:rsidRPr="0017030F">
        <w:rPr>
          <w:rFonts w:asciiTheme="majorHAnsi" w:hAnsiTheme="majorHAnsi" w:cstheme="majorHAnsi"/>
        </w:rPr>
        <w:t>c</w:t>
      </w:r>
      <w:r w:rsidR="004E3CB0" w:rsidRPr="0017030F">
        <w:rPr>
          <w:rFonts w:asciiTheme="majorHAnsi" w:hAnsiTheme="majorHAnsi" w:cstheme="majorHAnsi"/>
        </w:rPr>
        <w:t>omparative stud</w:t>
      </w:r>
      <w:r w:rsidR="008C19D8" w:rsidRPr="0017030F">
        <w:rPr>
          <w:rFonts w:asciiTheme="majorHAnsi" w:hAnsiTheme="majorHAnsi" w:cstheme="majorHAnsi"/>
        </w:rPr>
        <w:t>y</w:t>
      </w:r>
      <w:r w:rsidR="004E3CB0" w:rsidRPr="0017030F">
        <w:rPr>
          <w:rFonts w:asciiTheme="majorHAnsi" w:hAnsiTheme="majorHAnsi" w:cstheme="majorHAnsi"/>
        </w:rPr>
        <w:t xml:space="preserve">, </w:t>
      </w:r>
      <w:r w:rsidR="001A4794" w:rsidRPr="0017030F">
        <w:rPr>
          <w:rFonts w:asciiTheme="majorHAnsi" w:hAnsiTheme="majorHAnsi" w:cstheme="majorHAnsi"/>
        </w:rPr>
        <w:t xml:space="preserve">results from the SK reaction, specifically iodide release, were directly compared with </w:t>
      </w:r>
      <w:r w:rsidR="004E3CB0" w:rsidRPr="0017030F">
        <w:rPr>
          <w:rFonts w:asciiTheme="majorHAnsi" w:hAnsiTheme="majorHAnsi" w:cstheme="majorHAnsi"/>
        </w:rPr>
        <w:t>quantification of thyroid hormone metabolites (rT3 and T2) using SPE-LC-MS/MS</w:t>
      </w:r>
      <w:r w:rsidR="00BD2DE1" w:rsidRPr="0017030F">
        <w:rPr>
          <w:rFonts w:asciiTheme="majorHAnsi" w:hAnsiTheme="majorHAnsi" w:cstheme="majorHAnsi"/>
          <w:noProof/>
          <w:vertAlign w:val="superscript"/>
        </w:rPr>
        <w:t>15</w:t>
      </w:r>
      <w:r w:rsidR="004E3CB0" w:rsidRPr="0017030F">
        <w:rPr>
          <w:rFonts w:asciiTheme="majorHAnsi" w:hAnsiTheme="majorHAnsi" w:cstheme="majorHAnsi"/>
        </w:rPr>
        <w:t xml:space="preserve">. The findings revealed a strong concordance between the two approaches across a range of test substances and inhibition potencies. For all substances tested, changes in iodide release activity (IRA) measured by the SK reaction closely mirrored alterations in rT3 and T2 levels determined by mass spectrometry. This further supported the validity of the SK readout as a surrogate for DIO1 activity. These comparative analyses confirm that the SK assay provides a robust and reliable alternative to more complex analytical techniques, and that </w:t>
      </w:r>
      <w:r w:rsidR="001A4794" w:rsidRPr="0017030F">
        <w:rPr>
          <w:rFonts w:asciiTheme="majorHAnsi" w:hAnsiTheme="majorHAnsi" w:cstheme="majorHAnsi"/>
        </w:rPr>
        <w:t>iodide release can be measured with confidence</w:t>
      </w:r>
      <w:r w:rsidR="004E3CB0" w:rsidRPr="0017030F">
        <w:rPr>
          <w:rFonts w:asciiTheme="majorHAnsi" w:hAnsiTheme="majorHAnsi" w:cstheme="majorHAnsi"/>
        </w:rPr>
        <w:t xml:space="preserve"> to assess DIO1 inhibition </w:t>
      </w:r>
      <w:r w:rsidR="004E3CB0" w:rsidRPr="0017030F">
        <w:rPr>
          <w:rFonts w:asciiTheme="majorHAnsi" w:hAnsiTheme="majorHAnsi" w:cstheme="majorHAnsi"/>
          <w:i/>
          <w:iCs/>
        </w:rPr>
        <w:t>in vitro</w:t>
      </w:r>
      <w:r w:rsidR="00EC45F5" w:rsidRPr="0017030F">
        <w:rPr>
          <w:rFonts w:asciiTheme="majorHAnsi" w:hAnsiTheme="majorHAnsi" w:cstheme="majorHAnsi"/>
        </w:rPr>
        <w:t>.</w:t>
      </w:r>
      <w:r w:rsidR="004E3CB0" w:rsidRPr="0017030F">
        <w:rPr>
          <w:rFonts w:asciiTheme="majorHAnsi" w:hAnsiTheme="majorHAnsi" w:cstheme="majorHAnsi"/>
        </w:rPr>
        <w:t xml:space="preserve"> </w:t>
      </w:r>
    </w:p>
    <w:p w14:paraId="33F118CB" w14:textId="77777777" w:rsidR="00200826" w:rsidRPr="0017030F" w:rsidRDefault="00200826" w:rsidP="0017030F">
      <w:pPr>
        <w:rPr>
          <w:rFonts w:asciiTheme="majorHAnsi" w:hAnsiTheme="majorHAnsi" w:cstheme="majorHAnsi"/>
        </w:rPr>
      </w:pPr>
    </w:p>
    <w:p w14:paraId="0BBB7FF8" w14:textId="45D54167" w:rsidR="00EC45F5" w:rsidRPr="0017030F" w:rsidRDefault="004E3CB0" w:rsidP="0017030F">
      <w:pPr>
        <w:rPr>
          <w:rFonts w:asciiTheme="majorHAnsi" w:hAnsiTheme="majorHAnsi" w:cstheme="majorHAnsi"/>
        </w:rPr>
      </w:pPr>
      <w:r w:rsidRPr="0017030F">
        <w:rPr>
          <w:rFonts w:asciiTheme="majorHAnsi" w:hAnsiTheme="majorHAnsi" w:cstheme="majorHAnsi"/>
        </w:rPr>
        <w:t>However, the SK method has certain limitations that must be considered</w:t>
      </w:r>
      <w:r w:rsidR="00821E88" w:rsidRPr="0017030F">
        <w:rPr>
          <w:rFonts w:asciiTheme="majorHAnsi" w:hAnsiTheme="majorHAnsi" w:cstheme="majorHAnsi"/>
        </w:rPr>
        <w:t xml:space="preserve">: </w:t>
      </w:r>
      <w:r w:rsidRPr="0017030F">
        <w:rPr>
          <w:rFonts w:asciiTheme="majorHAnsi" w:hAnsiTheme="majorHAnsi" w:cstheme="majorHAnsi"/>
        </w:rPr>
        <w:t xml:space="preserve">It is susceptible to interference from substances that either contain free iodide as an impurity, release iodide non-enzymatically, or react with assay components such as dithiothreitol (DTT). </w:t>
      </w:r>
      <w:r w:rsidR="001753EA" w:rsidRPr="0017030F">
        <w:rPr>
          <w:rFonts w:asciiTheme="majorHAnsi" w:hAnsiTheme="majorHAnsi" w:cstheme="majorHAnsi"/>
        </w:rPr>
        <w:t xml:space="preserve">DTT is included as a reducing cofactor to maintain deiodinase catalytic competence by supporting regeneration of the </w:t>
      </w:r>
      <w:proofErr w:type="gramStart"/>
      <w:r w:rsidR="001753EA" w:rsidRPr="0017030F">
        <w:rPr>
          <w:rFonts w:asciiTheme="majorHAnsi" w:hAnsiTheme="majorHAnsi" w:cstheme="majorHAnsi"/>
        </w:rPr>
        <w:t>active-site</w:t>
      </w:r>
      <w:proofErr w:type="gramEnd"/>
      <w:r w:rsidR="001753EA" w:rsidRPr="0017030F">
        <w:rPr>
          <w:rFonts w:asciiTheme="majorHAnsi" w:hAnsiTheme="majorHAnsi" w:cstheme="majorHAnsi"/>
        </w:rPr>
        <w:t xml:space="preserve"> selenocysteine in its reduced state during turnover. Because DTT is a strong reductant, certain test substances (or impurities) may undergo redox reactions that can influence the colorimetric readout and, in some cases, lead to DTT-dependent assay artifacts </w:t>
      </w:r>
      <w:r w:rsidR="002417E4" w:rsidRPr="0017030F">
        <w:rPr>
          <w:rFonts w:asciiTheme="majorHAnsi" w:hAnsiTheme="majorHAnsi" w:cstheme="majorHAnsi"/>
        </w:rPr>
        <w:t>unrelated</w:t>
      </w:r>
      <w:r w:rsidR="001753EA" w:rsidRPr="0017030F">
        <w:rPr>
          <w:rFonts w:asciiTheme="majorHAnsi" w:hAnsiTheme="majorHAnsi" w:cstheme="majorHAnsi"/>
        </w:rPr>
        <w:t xml:space="preserve"> to enzymatic iodide release.</w:t>
      </w:r>
      <w:r w:rsidR="008031FE" w:rsidRPr="0017030F">
        <w:rPr>
          <w:rFonts w:asciiTheme="majorHAnsi" w:hAnsiTheme="majorHAnsi" w:cstheme="majorHAnsi"/>
        </w:rPr>
        <w:t xml:space="preserve"> </w:t>
      </w:r>
      <w:r w:rsidRPr="0017030F">
        <w:rPr>
          <w:rFonts w:asciiTheme="majorHAnsi" w:hAnsiTheme="majorHAnsi" w:cstheme="majorHAnsi"/>
        </w:rPr>
        <w:t>Such interferences can lead to false-</w:t>
      </w:r>
      <w:r w:rsidR="00FE4520" w:rsidRPr="0017030F">
        <w:rPr>
          <w:rFonts w:asciiTheme="majorHAnsi" w:hAnsiTheme="majorHAnsi" w:cstheme="majorHAnsi"/>
        </w:rPr>
        <w:t xml:space="preserve">negative </w:t>
      </w:r>
      <w:r w:rsidRPr="0017030F">
        <w:rPr>
          <w:rFonts w:asciiTheme="majorHAnsi" w:hAnsiTheme="majorHAnsi" w:cstheme="majorHAnsi"/>
        </w:rPr>
        <w:t xml:space="preserve">results for DIO1 inhibition, as the measured iodide may not originate from </w:t>
      </w:r>
      <w:r w:rsidR="002417E4" w:rsidRPr="0017030F">
        <w:rPr>
          <w:rFonts w:asciiTheme="majorHAnsi" w:hAnsiTheme="majorHAnsi" w:cstheme="majorHAnsi"/>
        </w:rPr>
        <w:t xml:space="preserve">the </w:t>
      </w:r>
      <w:r w:rsidRPr="0017030F">
        <w:rPr>
          <w:rFonts w:asciiTheme="majorHAnsi" w:hAnsiTheme="majorHAnsi" w:cstheme="majorHAnsi"/>
        </w:rPr>
        <w:t xml:space="preserve">enzymatic conversion of rT3. Thus, while the SK assay is suitable for routine screening and most test substances, LC-MS/MS </w:t>
      </w:r>
      <w:r w:rsidR="008C19D8" w:rsidRPr="0017030F">
        <w:rPr>
          <w:rFonts w:asciiTheme="majorHAnsi" w:hAnsiTheme="majorHAnsi" w:cstheme="majorHAnsi"/>
        </w:rPr>
        <w:t>could</w:t>
      </w:r>
      <w:r w:rsidRPr="0017030F">
        <w:rPr>
          <w:rFonts w:asciiTheme="majorHAnsi" w:hAnsiTheme="majorHAnsi" w:cstheme="majorHAnsi"/>
        </w:rPr>
        <w:t xml:space="preserve"> be used for confirmation whenever assay interference is suspected or for substances with complex chemical properties.</w:t>
      </w:r>
    </w:p>
    <w:p w14:paraId="3186A40B" w14:textId="77777777" w:rsidR="00EC45F5" w:rsidRPr="0017030F" w:rsidRDefault="00EC45F5" w:rsidP="0017030F">
      <w:pPr>
        <w:rPr>
          <w:rFonts w:asciiTheme="majorHAnsi" w:hAnsiTheme="majorHAnsi" w:cstheme="majorHAnsi"/>
        </w:rPr>
      </w:pPr>
    </w:p>
    <w:p w14:paraId="12D0CEA8" w14:textId="1D489C9C" w:rsidR="00062496" w:rsidRPr="0017030F" w:rsidRDefault="00AA49DC" w:rsidP="0017030F">
      <w:pPr>
        <w:rPr>
          <w:rFonts w:asciiTheme="majorHAnsi" w:hAnsiTheme="majorHAnsi" w:cstheme="majorHAnsi"/>
        </w:rPr>
      </w:pPr>
      <w:r w:rsidRPr="0017030F">
        <w:rPr>
          <w:rFonts w:asciiTheme="majorHAnsi" w:hAnsiTheme="majorHAnsi" w:cstheme="majorHAnsi"/>
        </w:rPr>
        <w:t xml:space="preserve">The DIO1-SK assay is currently </w:t>
      </w:r>
      <w:r w:rsidR="008C19D8" w:rsidRPr="0017030F">
        <w:rPr>
          <w:rFonts w:asciiTheme="majorHAnsi" w:hAnsiTheme="majorHAnsi" w:cstheme="majorHAnsi"/>
        </w:rPr>
        <w:t xml:space="preserve">being readied for inclusion as an OECD test guideline in an international </w:t>
      </w:r>
      <w:r w:rsidR="002602AB" w:rsidRPr="0017030F">
        <w:rPr>
          <w:rFonts w:asciiTheme="majorHAnsi" w:hAnsiTheme="majorHAnsi" w:cstheme="majorHAnsi"/>
        </w:rPr>
        <w:t>PEPPER (Public-private platform for the validation of endocrine disruptors characterization methods) project</w:t>
      </w:r>
      <w:r w:rsidRPr="0017030F">
        <w:rPr>
          <w:rFonts w:asciiTheme="majorHAnsi" w:hAnsiTheme="majorHAnsi" w:cstheme="majorHAnsi"/>
        </w:rPr>
        <w:t>, which highlights its growing importance for regulatory applications and the international harmonization of endocrine disruptor testing strategies. The assay may be integrated into comprehensive in vitro test batteries, supporting both chemical safety assessment and mechanistic investigations into endocrine disruption</w:t>
      </w:r>
      <w:r w:rsidR="00BD2DE1" w:rsidRPr="0017030F">
        <w:rPr>
          <w:rFonts w:asciiTheme="majorHAnsi" w:hAnsiTheme="majorHAnsi" w:cstheme="majorHAnsi"/>
          <w:noProof/>
          <w:vertAlign w:val="superscript"/>
        </w:rPr>
        <w:t>16</w:t>
      </w:r>
      <w:r w:rsidRPr="0017030F">
        <w:rPr>
          <w:rFonts w:asciiTheme="majorHAnsi" w:hAnsiTheme="majorHAnsi" w:cstheme="majorHAnsi"/>
        </w:rPr>
        <w:t xml:space="preserve">. </w:t>
      </w:r>
      <w:r w:rsidR="00062496" w:rsidRPr="0017030F">
        <w:rPr>
          <w:rFonts w:asciiTheme="majorHAnsi" w:hAnsiTheme="majorHAnsi" w:cstheme="majorHAnsi"/>
        </w:rPr>
        <w:t xml:space="preserve">When combined with assays addressing additional key events along the thyroid </w:t>
      </w:r>
      <w:r w:rsidR="004A13CF" w:rsidRPr="0017030F">
        <w:rPr>
          <w:rFonts w:asciiTheme="majorHAnsi" w:hAnsiTheme="majorHAnsi" w:cstheme="majorHAnsi"/>
        </w:rPr>
        <w:t>adverse outcome pathway</w:t>
      </w:r>
      <w:r w:rsidR="00062496" w:rsidRPr="0017030F">
        <w:rPr>
          <w:rFonts w:asciiTheme="majorHAnsi" w:hAnsiTheme="majorHAnsi" w:cstheme="majorHAnsi"/>
        </w:rPr>
        <w:t xml:space="preserve">, it contributes to a more complete understanding of thyroid hormone disruption mechanisms. </w:t>
      </w:r>
    </w:p>
    <w:p w14:paraId="47AC45B2" w14:textId="77777777" w:rsidR="002417E4" w:rsidRPr="0017030F" w:rsidRDefault="002417E4" w:rsidP="0017030F">
      <w:pPr>
        <w:rPr>
          <w:rFonts w:asciiTheme="majorHAnsi" w:hAnsiTheme="majorHAnsi" w:cstheme="majorHAnsi"/>
        </w:rPr>
      </w:pPr>
    </w:p>
    <w:p w14:paraId="1B92541E" w14:textId="1F5FE46C" w:rsidR="00AA49DC" w:rsidRPr="0017030F" w:rsidRDefault="00AA49DC" w:rsidP="0017030F">
      <w:pPr>
        <w:rPr>
          <w:rFonts w:asciiTheme="majorHAnsi" w:hAnsiTheme="majorHAnsi" w:cstheme="majorHAnsi"/>
        </w:rPr>
      </w:pPr>
      <w:r w:rsidRPr="0017030F">
        <w:rPr>
          <w:rFonts w:asciiTheme="majorHAnsi" w:hAnsiTheme="majorHAnsi" w:cstheme="majorHAnsi"/>
        </w:rPr>
        <w:t xml:space="preserve">In addition, the protocol’s scalability and high reproducibility make it well-suited for </w:t>
      </w:r>
      <w:r w:rsidR="00D628C5" w:rsidRPr="0017030F">
        <w:rPr>
          <w:rFonts w:asciiTheme="majorHAnsi" w:hAnsiTheme="majorHAnsi" w:cstheme="majorHAnsi"/>
        </w:rPr>
        <w:t xml:space="preserve">medium- to high-throughput </w:t>
      </w:r>
      <w:r w:rsidRPr="0017030F">
        <w:rPr>
          <w:rFonts w:asciiTheme="majorHAnsi" w:hAnsiTheme="majorHAnsi" w:cstheme="majorHAnsi"/>
        </w:rPr>
        <w:t>screening</w:t>
      </w:r>
      <w:r w:rsidR="00E434ED" w:rsidRPr="0017030F">
        <w:rPr>
          <w:rFonts w:asciiTheme="majorHAnsi" w:hAnsiTheme="majorHAnsi" w:cstheme="majorHAnsi"/>
        </w:rPr>
        <w:t>. This is</w:t>
      </w:r>
      <w:r w:rsidRPr="0017030F">
        <w:rPr>
          <w:rFonts w:asciiTheme="majorHAnsi" w:hAnsiTheme="majorHAnsi" w:cstheme="majorHAnsi"/>
        </w:rPr>
        <w:t xml:space="preserve"> essential for evaluating large numbers of substances </w:t>
      </w:r>
      <w:r w:rsidR="00062496" w:rsidRPr="0017030F">
        <w:rPr>
          <w:rFonts w:asciiTheme="majorHAnsi" w:hAnsiTheme="majorHAnsi" w:cstheme="majorHAnsi"/>
        </w:rPr>
        <w:t xml:space="preserve">during drug development and </w:t>
      </w:r>
      <w:r w:rsidRPr="0017030F">
        <w:rPr>
          <w:rFonts w:asciiTheme="majorHAnsi" w:hAnsiTheme="majorHAnsi" w:cstheme="majorHAnsi"/>
        </w:rPr>
        <w:t>in academic settings</w:t>
      </w:r>
      <w:r w:rsidR="00FE4520" w:rsidRPr="0017030F">
        <w:rPr>
          <w:rFonts w:asciiTheme="majorHAnsi" w:hAnsiTheme="majorHAnsi" w:cstheme="majorHAnsi"/>
        </w:rPr>
        <w:t>, as recently demonstrated</w:t>
      </w:r>
      <w:r w:rsidR="00FE4520" w:rsidRPr="0017030F">
        <w:rPr>
          <w:rFonts w:asciiTheme="majorHAnsi" w:hAnsiTheme="majorHAnsi" w:cstheme="majorHAnsi"/>
          <w:noProof/>
          <w:vertAlign w:val="superscript"/>
        </w:rPr>
        <w:t>11</w:t>
      </w:r>
      <w:r w:rsidRPr="0017030F">
        <w:rPr>
          <w:rFonts w:asciiTheme="majorHAnsi" w:hAnsiTheme="majorHAnsi" w:cstheme="majorHAnsi"/>
        </w:rPr>
        <w:t xml:space="preserve">. Researchers interested in DIO1 inhibition, whether for </w:t>
      </w:r>
      <w:r w:rsidR="00821E88" w:rsidRPr="0017030F">
        <w:rPr>
          <w:rFonts w:asciiTheme="majorHAnsi" w:hAnsiTheme="majorHAnsi" w:cstheme="majorHAnsi"/>
        </w:rPr>
        <w:t>screening</w:t>
      </w:r>
      <w:r w:rsidR="00062496" w:rsidRPr="0017030F">
        <w:rPr>
          <w:rFonts w:asciiTheme="majorHAnsi" w:hAnsiTheme="majorHAnsi" w:cstheme="majorHAnsi"/>
        </w:rPr>
        <w:t>,</w:t>
      </w:r>
      <w:r w:rsidRPr="0017030F">
        <w:rPr>
          <w:rFonts w:asciiTheme="majorHAnsi" w:hAnsiTheme="majorHAnsi" w:cstheme="majorHAnsi"/>
        </w:rPr>
        <w:t xml:space="preserve"> </w:t>
      </w:r>
      <w:r w:rsidR="00062496" w:rsidRPr="0017030F">
        <w:rPr>
          <w:rFonts w:asciiTheme="majorHAnsi" w:hAnsiTheme="majorHAnsi" w:cstheme="majorHAnsi"/>
        </w:rPr>
        <w:t>mechanistic toxicology</w:t>
      </w:r>
      <w:r w:rsidR="002417E4" w:rsidRPr="0017030F">
        <w:rPr>
          <w:rFonts w:asciiTheme="majorHAnsi" w:hAnsiTheme="majorHAnsi" w:cstheme="majorHAnsi"/>
        </w:rPr>
        <w:t>,</w:t>
      </w:r>
      <w:r w:rsidR="00062496" w:rsidRPr="0017030F">
        <w:rPr>
          <w:rFonts w:asciiTheme="majorHAnsi" w:hAnsiTheme="majorHAnsi" w:cstheme="majorHAnsi"/>
        </w:rPr>
        <w:t xml:space="preserve"> </w:t>
      </w:r>
      <w:r w:rsidRPr="0017030F">
        <w:rPr>
          <w:rFonts w:asciiTheme="majorHAnsi" w:hAnsiTheme="majorHAnsi" w:cstheme="majorHAnsi"/>
        </w:rPr>
        <w:t>or regulatory decision-making, will benefit from a robust, accessible</w:t>
      </w:r>
      <w:r w:rsidR="002417E4" w:rsidRPr="0017030F">
        <w:rPr>
          <w:rFonts w:asciiTheme="majorHAnsi" w:hAnsiTheme="majorHAnsi" w:cstheme="majorHAnsi"/>
        </w:rPr>
        <w:t>,</w:t>
      </w:r>
      <w:r w:rsidRPr="0017030F">
        <w:rPr>
          <w:rFonts w:asciiTheme="majorHAnsi" w:hAnsiTheme="majorHAnsi" w:cstheme="majorHAnsi"/>
        </w:rPr>
        <w:t xml:space="preserve"> and versatile assay. The validation of this method </w:t>
      </w:r>
      <w:r w:rsidR="00821E88" w:rsidRPr="0017030F">
        <w:rPr>
          <w:rFonts w:asciiTheme="majorHAnsi" w:hAnsiTheme="majorHAnsi" w:cstheme="majorHAnsi"/>
        </w:rPr>
        <w:t>will make it a</w:t>
      </w:r>
      <w:r w:rsidRPr="0017030F">
        <w:rPr>
          <w:rFonts w:asciiTheme="majorHAnsi" w:hAnsiTheme="majorHAnsi" w:cstheme="majorHAnsi"/>
        </w:rPr>
        <w:t xml:space="preserve"> standard tool for research on thyroid hormone </w:t>
      </w:r>
      <w:r w:rsidR="00936170" w:rsidRPr="0017030F">
        <w:rPr>
          <w:rFonts w:asciiTheme="majorHAnsi" w:hAnsiTheme="majorHAnsi" w:cstheme="majorHAnsi"/>
        </w:rPr>
        <w:t xml:space="preserve">system </w:t>
      </w:r>
      <w:r w:rsidRPr="0017030F">
        <w:rPr>
          <w:rFonts w:asciiTheme="majorHAnsi" w:hAnsiTheme="majorHAnsi" w:cstheme="majorHAnsi"/>
        </w:rPr>
        <w:t xml:space="preserve">disruption and for </w:t>
      </w:r>
      <w:r w:rsidR="002417E4" w:rsidRPr="0017030F">
        <w:rPr>
          <w:rFonts w:asciiTheme="majorHAnsi" w:hAnsiTheme="majorHAnsi" w:cstheme="majorHAnsi"/>
        </w:rPr>
        <w:t>evaluating</w:t>
      </w:r>
      <w:r w:rsidRPr="0017030F">
        <w:rPr>
          <w:rFonts w:asciiTheme="majorHAnsi" w:hAnsiTheme="majorHAnsi" w:cstheme="majorHAnsi"/>
        </w:rPr>
        <w:t xml:space="preserve"> chemical safety.</w:t>
      </w:r>
    </w:p>
    <w:bookmarkEnd w:id="0"/>
    <w:p w14:paraId="48BA6B0A" w14:textId="77777777" w:rsidR="006E4797" w:rsidRPr="0017030F" w:rsidRDefault="006E4797" w:rsidP="0017030F">
      <w:pPr>
        <w:rPr>
          <w:rFonts w:asciiTheme="majorHAnsi" w:hAnsiTheme="majorHAnsi" w:cstheme="majorHAnsi"/>
          <w:b/>
        </w:rPr>
      </w:pPr>
    </w:p>
    <w:p w14:paraId="32A92E82" w14:textId="42C770A2" w:rsidR="006E4797" w:rsidRPr="0017030F" w:rsidRDefault="00551D82" w:rsidP="0017030F">
      <w:pPr>
        <w:rPr>
          <w:rFonts w:asciiTheme="majorHAnsi" w:hAnsiTheme="majorHAnsi" w:cstheme="majorHAnsi"/>
        </w:rPr>
      </w:pPr>
      <w:bookmarkStart w:id="2" w:name="_Hlk209169154"/>
      <w:bookmarkStart w:id="3" w:name="_Hlk209001130"/>
      <w:r w:rsidRPr="0017030F">
        <w:rPr>
          <w:rFonts w:asciiTheme="majorHAnsi" w:hAnsiTheme="majorHAnsi" w:cstheme="majorHAnsi"/>
          <w:b/>
        </w:rPr>
        <w:t>PROTOCOL:</w:t>
      </w:r>
    </w:p>
    <w:p w14:paraId="0CD975B6" w14:textId="77777777" w:rsidR="00FD7445" w:rsidRPr="0017030F" w:rsidRDefault="00FD7445" w:rsidP="0017030F">
      <w:pPr>
        <w:pBdr>
          <w:top w:val="nil"/>
          <w:left w:val="nil"/>
          <w:bottom w:val="nil"/>
          <w:right w:val="nil"/>
          <w:between w:val="nil"/>
        </w:pBdr>
        <w:rPr>
          <w:rFonts w:asciiTheme="majorHAnsi" w:hAnsiTheme="majorHAnsi" w:cstheme="majorHAnsi"/>
        </w:rPr>
      </w:pPr>
    </w:p>
    <w:p w14:paraId="7CE6FACE" w14:textId="4DA1AC6A" w:rsidR="004E641F" w:rsidRPr="0017030F" w:rsidRDefault="004F5DA7" w:rsidP="0017030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lastRenderedPageBreak/>
        <w:t xml:space="preserve">NOTE: </w:t>
      </w:r>
      <w:r w:rsidR="004E641F" w:rsidRPr="0017030F">
        <w:rPr>
          <w:rFonts w:asciiTheme="majorHAnsi" w:hAnsiTheme="majorHAnsi" w:cstheme="majorHAnsi"/>
        </w:rPr>
        <w:t xml:space="preserve">Before performing the main assay, a series of preparatory steps </w:t>
      </w:r>
      <w:r w:rsidR="00BB573B" w:rsidRPr="0017030F">
        <w:rPr>
          <w:rFonts w:asciiTheme="majorHAnsi" w:hAnsiTheme="majorHAnsi" w:cstheme="majorHAnsi"/>
        </w:rPr>
        <w:t>is essential to ensure the accuracy, reproducibility,</w:t>
      </w:r>
      <w:r w:rsidR="004E641F" w:rsidRPr="0017030F">
        <w:rPr>
          <w:rFonts w:asciiTheme="majorHAnsi" w:hAnsiTheme="majorHAnsi" w:cstheme="majorHAnsi"/>
        </w:rPr>
        <w:t xml:space="preserve"> and validity of the DIO1-SK assay. These </w:t>
      </w:r>
      <w:proofErr w:type="spellStart"/>
      <w:r w:rsidR="004E641F" w:rsidRPr="0017030F">
        <w:rPr>
          <w:rFonts w:asciiTheme="majorHAnsi" w:hAnsiTheme="majorHAnsi" w:cstheme="majorHAnsi"/>
        </w:rPr>
        <w:t>preassay</w:t>
      </w:r>
      <w:proofErr w:type="spellEnd"/>
      <w:r w:rsidR="004E641F" w:rsidRPr="0017030F">
        <w:rPr>
          <w:rFonts w:asciiTheme="majorHAnsi" w:hAnsiTheme="majorHAnsi" w:cstheme="majorHAnsi"/>
        </w:rPr>
        <w:t xml:space="preserve"> activities include </w:t>
      </w:r>
      <w:r w:rsidR="005366F2" w:rsidRPr="0017030F">
        <w:rPr>
          <w:rFonts w:asciiTheme="majorHAnsi" w:hAnsiTheme="majorHAnsi" w:cstheme="majorHAnsi"/>
        </w:rPr>
        <w:t xml:space="preserve">casting </w:t>
      </w:r>
      <w:proofErr w:type="gramStart"/>
      <w:r w:rsidR="005366F2" w:rsidRPr="0017030F">
        <w:rPr>
          <w:rFonts w:asciiTheme="majorHAnsi" w:hAnsiTheme="majorHAnsi" w:cstheme="majorHAnsi"/>
        </w:rPr>
        <w:t>ion</w:t>
      </w:r>
      <w:proofErr w:type="gramEnd"/>
      <w:r w:rsidR="005366F2" w:rsidRPr="0017030F">
        <w:rPr>
          <w:rFonts w:asciiTheme="majorHAnsi" w:hAnsiTheme="majorHAnsi" w:cstheme="majorHAnsi"/>
        </w:rPr>
        <w:t>-exchange, resin-filled filter plates, which are critical for effective separation and minimizing</w:t>
      </w:r>
      <w:r w:rsidR="004E641F" w:rsidRPr="0017030F">
        <w:rPr>
          <w:rFonts w:asciiTheme="majorHAnsi" w:hAnsiTheme="majorHAnsi" w:cstheme="majorHAnsi"/>
        </w:rPr>
        <w:t xml:space="preserve"> background interference in the </w:t>
      </w:r>
      <w:r w:rsidR="00936170" w:rsidRPr="0017030F">
        <w:rPr>
          <w:rFonts w:asciiTheme="majorHAnsi" w:hAnsiTheme="majorHAnsi" w:cstheme="majorHAnsi"/>
        </w:rPr>
        <w:t>SK</w:t>
      </w:r>
      <w:r w:rsidR="004E641F" w:rsidRPr="0017030F">
        <w:rPr>
          <w:rFonts w:asciiTheme="majorHAnsi" w:hAnsiTheme="majorHAnsi" w:cstheme="majorHAnsi"/>
        </w:rPr>
        <w:t xml:space="preserve"> reaction. </w:t>
      </w:r>
      <w:r w:rsidR="005366F2" w:rsidRPr="0017030F">
        <w:rPr>
          <w:rFonts w:asciiTheme="majorHAnsi" w:hAnsiTheme="majorHAnsi" w:cstheme="majorHAnsi"/>
        </w:rPr>
        <w:t xml:space="preserve">The Sandell-Kolthoff reaction is standardized regularly using iodide standard curves to </w:t>
      </w:r>
      <w:proofErr w:type="gramStart"/>
      <w:r w:rsidR="005366F2" w:rsidRPr="0017030F">
        <w:rPr>
          <w:rFonts w:asciiTheme="majorHAnsi" w:hAnsiTheme="majorHAnsi" w:cstheme="majorHAnsi"/>
        </w:rPr>
        <w:t>monitor for</w:t>
      </w:r>
      <w:proofErr w:type="gramEnd"/>
      <w:r w:rsidR="005366F2" w:rsidRPr="0017030F">
        <w:rPr>
          <w:rFonts w:asciiTheme="majorHAnsi" w:hAnsiTheme="majorHAnsi" w:cstheme="majorHAnsi"/>
        </w:rPr>
        <w:t xml:space="preserve"> </w:t>
      </w:r>
      <w:r w:rsidR="004E641F" w:rsidRPr="0017030F">
        <w:rPr>
          <w:rFonts w:asciiTheme="majorHAnsi" w:hAnsiTheme="majorHAnsi" w:cstheme="majorHAnsi"/>
        </w:rPr>
        <w:t>systematic changes and maintain assay quality. The activity of human liver microsomes is measured to determine batch-specific iodide release capacity, ensuring consistent enzymatic performance across experiments.</w:t>
      </w:r>
      <w:r w:rsidR="004E641F" w:rsidRPr="0017030F">
        <w:rPr>
          <w:rFonts w:asciiTheme="majorHAnsi" w:hAnsiTheme="majorHAnsi" w:cstheme="majorHAnsi"/>
          <w:shd w:val="clear" w:color="auto" w:fill="FAFAFA"/>
        </w:rPr>
        <w:t xml:space="preserve"> </w:t>
      </w:r>
      <w:r w:rsidR="004E641F" w:rsidRPr="0017030F">
        <w:rPr>
          <w:rFonts w:asciiTheme="majorHAnsi" w:hAnsiTheme="majorHAnsi" w:cstheme="majorHAnsi"/>
        </w:rPr>
        <w:t>Together, these steps provide a robust foundation for the subsequent main assay work and data evaluation, supporting the generation of reproducible and interpretable results.</w:t>
      </w:r>
    </w:p>
    <w:p w14:paraId="4D7EED84" w14:textId="77777777" w:rsidR="004E641F" w:rsidRPr="0017030F" w:rsidRDefault="004E641F" w:rsidP="00E73D5F">
      <w:pPr>
        <w:pBdr>
          <w:top w:val="nil"/>
          <w:left w:val="nil"/>
          <w:bottom w:val="nil"/>
          <w:right w:val="nil"/>
          <w:between w:val="nil"/>
        </w:pBdr>
        <w:rPr>
          <w:rFonts w:asciiTheme="majorHAnsi" w:hAnsiTheme="majorHAnsi" w:cstheme="majorHAnsi"/>
        </w:rPr>
      </w:pPr>
    </w:p>
    <w:p w14:paraId="7E5C3153" w14:textId="4E603DE4" w:rsidR="003C3E26" w:rsidRPr="0017030F" w:rsidRDefault="002D6306" w:rsidP="00E73D5F">
      <w:pPr>
        <w:pStyle w:val="Listenabsatz"/>
        <w:numPr>
          <w:ilvl w:val="0"/>
          <w:numId w:val="2"/>
        </w:numPr>
        <w:pBdr>
          <w:top w:val="nil"/>
          <w:left w:val="nil"/>
          <w:bottom w:val="nil"/>
          <w:right w:val="nil"/>
          <w:between w:val="nil"/>
        </w:pBdr>
        <w:spacing w:after="0" w:line="240" w:lineRule="auto"/>
        <w:ind w:left="0" w:firstLine="0"/>
        <w:jc w:val="both"/>
        <w:rPr>
          <w:rFonts w:asciiTheme="majorHAnsi" w:hAnsiTheme="majorHAnsi" w:cstheme="majorHAnsi"/>
          <w:b/>
          <w:bCs/>
          <w:szCs w:val="24"/>
        </w:rPr>
      </w:pPr>
      <w:proofErr w:type="spellStart"/>
      <w:r w:rsidRPr="0017030F">
        <w:rPr>
          <w:rFonts w:asciiTheme="majorHAnsi" w:hAnsiTheme="majorHAnsi" w:cstheme="majorHAnsi"/>
          <w:b/>
          <w:bCs/>
          <w:szCs w:val="24"/>
        </w:rPr>
        <w:t>Pre</w:t>
      </w:r>
      <w:r w:rsidR="00DA56A9" w:rsidRPr="0017030F">
        <w:rPr>
          <w:rFonts w:asciiTheme="majorHAnsi" w:hAnsiTheme="majorHAnsi" w:cstheme="majorHAnsi"/>
          <w:b/>
          <w:bCs/>
          <w:szCs w:val="24"/>
        </w:rPr>
        <w:t>a</w:t>
      </w:r>
      <w:r w:rsidRPr="0017030F">
        <w:rPr>
          <w:rFonts w:asciiTheme="majorHAnsi" w:hAnsiTheme="majorHAnsi" w:cstheme="majorHAnsi"/>
          <w:b/>
          <w:bCs/>
          <w:szCs w:val="24"/>
        </w:rPr>
        <w:t>ssay</w:t>
      </w:r>
      <w:proofErr w:type="spellEnd"/>
      <w:r w:rsidRPr="0017030F">
        <w:rPr>
          <w:rFonts w:asciiTheme="majorHAnsi" w:hAnsiTheme="majorHAnsi" w:cstheme="majorHAnsi"/>
          <w:b/>
          <w:bCs/>
          <w:szCs w:val="24"/>
        </w:rPr>
        <w:t xml:space="preserve"> </w:t>
      </w:r>
      <w:r w:rsidR="00DA56A9" w:rsidRPr="0017030F">
        <w:rPr>
          <w:rFonts w:asciiTheme="majorHAnsi" w:hAnsiTheme="majorHAnsi" w:cstheme="majorHAnsi"/>
          <w:b/>
          <w:bCs/>
          <w:szCs w:val="24"/>
        </w:rPr>
        <w:t>w</w:t>
      </w:r>
      <w:r w:rsidRPr="0017030F">
        <w:rPr>
          <w:rFonts w:asciiTheme="majorHAnsi" w:hAnsiTheme="majorHAnsi" w:cstheme="majorHAnsi"/>
          <w:b/>
          <w:bCs/>
          <w:szCs w:val="24"/>
        </w:rPr>
        <w:t>ork</w:t>
      </w:r>
    </w:p>
    <w:p w14:paraId="1F4A65ED" w14:textId="77777777" w:rsidR="00945E0B" w:rsidRPr="0017030F" w:rsidRDefault="00945E0B"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2E1DC7A4" w14:textId="77777777" w:rsidR="008E7304" w:rsidRPr="0017030F" w:rsidRDefault="00945E0B" w:rsidP="00E73D5F">
      <w:pPr>
        <w:pStyle w:val="Listenabsatz"/>
        <w:numPr>
          <w:ilvl w:val="1"/>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 xml:space="preserve">Preparation of </w:t>
      </w:r>
      <w:r w:rsidR="00DA56A9" w:rsidRPr="0017030F">
        <w:rPr>
          <w:rFonts w:asciiTheme="majorHAnsi" w:hAnsiTheme="majorHAnsi" w:cstheme="majorHAnsi"/>
          <w:szCs w:val="24"/>
        </w:rPr>
        <w:t>b</w:t>
      </w:r>
      <w:r w:rsidRPr="0017030F">
        <w:rPr>
          <w:rFonts w:asciiTheme="majorHAnsi" w:hAnsiTheme="majorHAnsi" w:cstheme="majorHAnsi"/>
          <w:szCs w:val="24"/>
        </w:rPr>
        <w:t xml:space="preserve">uffers and </w:t>
      </w:r>
      <w:r w:rsidR="00DA56A9" w:rsidRPr="0017030F">
        <w:rPr>
          <w:rFonts w:asciiTheme="majorHAnsi" w:hAnsiTheme="majorHAnsi" w:cstheme="majorHAnsi"/>
          <w:szCs w:val="24"/>
        </w:rPr>
        <w:t>r</w:t>
      </w:r>
      <w:r w:rsidRPr="0017030F">
        <w:rPr>
          <w:rFonts w:asciiTheme="majorHAnsi" w:hAnsiTheme="majorHAnsi" w:cstheme="majorHAnsi"/>
          <w:szCs w:val="24"/>
        </w:rPr>
        <w:t xml:space="preserve">eagents </w:t>
      </w:r>
    </w:p>
    <w:p w14:paraId="186DDB5C" w14:textId="77777777" w:rsidR="008E7304" w:rsidRPr="0017030F" w:rsidRDefault="008E7304"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37C388C9" w14:textId="77777777" w:rsidR="008E7304" w:rsidRPr="0017030F" w:rsidRDefault="00DF42FB"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 xml:space="preserve">Prepare all buffers and stock solutions in advance as described in </w:t>
      </w:r>
      <w:r w:rsidRPr="00E73D5F">
        <w:rPr>
          <w:rFonts w:asciiTheme="majorHAnsi" w:hAnsiTheme="majorHAnsi" w:cstheme="majorHAnsi"/>
          <w:b/>
          <w:bCs/>
          <w:szCs w:val="24"/>
        </w:rPr>
        <w:t>Table 1</w:t>
      </w:r>
      <w:r w:rsidRPr="0017030F">
        <w:rPr>
          <w:rFonts w:asciiTheme="majorHAnsi" w:hAnsiTheme="majorHAnsi" w:cstheme="majorHAnsi"/>
          <w:szCs w:val="24"/>
        </w:rPr>
        <w:t>. Store aliquots as indicated to ensure stability and reproducibility.</w:t>
      </w:r>
    </w:p>
    <w:p w14:paraId="6DB521C9" w14:textId="77777777" w:rsidR="00B4250D" w:rsidRPr="0017030F" w:rsidRDefault="00B4250D"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34A81FD0" w14:textId="5D33366F" w:rsidR="00DF42FB" w:rsidRPr="0017030F" w:rsidRDefault="00DF42FB"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 xml:space="preserve">On the day of the assay, prepare the substrate mix freshly for each 96-well plate. For one 96-well plate, combine 5.75 mL </w:t>
      </w:r>
      <w:r w:rsidR="005366F2" w:rsidRPr="0017030F">
        <w:rPr>
          <w:rFonts w:asciiTheme="majorHAnsi" w:hAnsiTheme="majorHAnsi" w:cstheme="majorHAnsi"/>
          <w:szCs w:val="24"/>
        </w:rPr>
        <w:t xml:space="preserve">of </w:t>
      </w:r>
      <w:r w:rsidRPr="0017030F">
        <w:rPr>
          <w:rFonts w:asciiTheme="majorHAnsi" w:hAnsiTheme="majorHAnsi" w:cstheme="majorHAnsi"/>
          <w:szCs w:val="24"/>
        </w:rPr>
        <w:t>HEPES/EDTA buffer (50 mM HEPES, 2.16 mM EDTA, pH</w:t>
      </w:r>
      <w:r w:rsidR="00580FA6" w:rsidRPr="0017030F">
        <w:rPr>
          <w:rFonts w:asciiTheme="majorHAnsi" w:hAnsiTheme="majorHAnsi" w:cstheme="majorHAnsi"/>
          <w:szCs w:val="24"/>
        </w:rPr>
        <w:t> </w:t>
      </w:r>
      <w:r w:rsidRPr="0017030F">
        <w:rPr>
          <w:rFonts w:asciiTheme="majorHAnsi" w:hAnsiTheme="majorHAnsi" w:cstheme="majorHAnsi"/>
          <w:szCs w:val="24"/>
        </w:rPr>
        <w:t>7.0), 0.5</w:t>
      </w:r>
      <w:r w:rsidR="00AA46CC" w:rsidRPr="0017030F">
        <w:rPr>
          <w:rFonts w:asciiTheme="majorHAnsi" w:hAnsiTheme="majorHAnsi" w:cstheme="majorHAnsi"/>
          <w:szCs w:val="24"/>
        </w:rPr>
        <w:t> </w:t>
      </w:r>
      <w:r w:rsidRPr="0017030F">
        <w:rPr>
          <w:rFonts w:asciiTheme="majorHAnsi" w:hAnsiTheme="majorHAnsi" w:cstheme="majorHAnsi"/>
          <w:szCs w:val="24"/>
        </w:rPr>
        <w:t>mL</w:t>
      </w:r>
      <w:r w:rsidR="005366F2" w:rsidRPr="0017030F">
        <w:rPr>
          <w:rFonts w:asciiTheme="majorHAnsi" w:hAnsiTheme="majorHAnsi" w:cstheme="majorHAnsi"/>
          <w:szCs w:val="24"/>
        </w:rPr>
        <w:t xml:space="preserve"> of</w:t>
      </w:r>
      <w:r w:rsidRPr="0017030F">
        <w:rPr>
          <w:rFonts w:asciiTheme="majorHAnsi" w:hAnsiTheme="majorHAnsi" w:cstheme="majorHAnsi"/>
          <w:szCs w:val="24"/>
        </w:rPr>
        <w:t xml:space="preserve"> thawed 1 M DTT, and 10 µL</w:t>
      </w:r>
      <w:r w:rsidR="005366F2" w:rsidRPr="0017030F">
        <w:rPr>
          <w:rFonts w:asciiTheme="majorHAnsi" w:hAnsiTheme="majorHAnsi" w:cstheme="majorHAnsi"/>
          <w:szCs w:val="24"/>
        </w:rPr>
        <w:t xml:space="preserve"> of</w:t>
      </w:r>
      <w:r w:rsidRPr="0017030F">
        <w:rPr>
          <w:rFonts w:asciiTheme="majorHAnsi" w:hAnsiTheme="majorHAnsi" w:cstheme="majorHAnsi"/>
          <w:szCs w:val="24"/>
        </w:rPr>
        <w:t xml:space="preserve"> 6 mM rT3 (dissolved in DMSO). Mix gently and keep the substrate mix on ice until use.</w:t>
      </w:r>
    </w:p>
    <w:p w14:paraId="5A4D004E" w14:textId="77777777" w:rsidR="00C473D3" w:rsidRPr="0017030F" w:rsidRDefault="00C473D3" w:rsidP="00E73D5F">
      <w:pPr>
        <w:pBdr>
          <w:top w:val="nil"/>
          <w:left w:val="nil"/>
          <w:bottom w:val="nil"/>
          <w:right w:val="nil"/>
          <w:between w:val="nil"/>
        </w:pBdr>
        <w:rPr>
          <w:rFonts w:asciiTheme="majorHAnsi" w:hAnsiTheme="majorHAnsi" w:cstheme="majorHAnsi"/>
        </w:rPr>
      </w:pPr>
    </w:p>
    <w:p w14:paraId="2EA7E4F2" w14:textId="77777777" w:rsidR="008E7304" w:rsidRPr="0017030F" w:rsidRDefault="00C473D3" w:rsidP="00E73D5F">
      <w:pPr>
        <w:pStyle w:val="Listenabsatz"/>
        <w:numPr>
          <w:ilvl w:val="1"/>
          <w:numId w:val="1"/>
        </w:numPr>
        <w:pBdr>
          <w:top w:val="nil"/>
          <w:left w:val="nil"/>
          <w:bottom w:val="nil"/>
          <w:right w:val="nil"/>
          <w:between w:val="nil"/>
        </w:pBdr>
        <w:spacing w:after="0" w:line="240" w:lineRule="auto"/>
        <w:ind w:left="0" w:firstLine="0"/>
        <w:jc w:val="both"/>
        <w:rPr>
          <w:rFonts w:asciiTheme="majorHAnsi" w:hAnsiTheme="majorHAnsi" w:cstheme="majorHAnsi"/>
          <w:bCs/>
          <w:szCs w:val="24"/>
        </w:rPr>
      </w:pPr>
      <w:bookmarkStart w:id="4" w:name="_Ref208932406"/>
      <w:r w:rsidRPr="0017030F">
        <w:rPr>
          <w:rFonts w:asciiTheme="majorHAnsi" w:hAnsiTheme="majorHAnsi" w:cstheme="majorHAnsi"/>
          <w:bCs/>
          <w:szCs w:val="24"/>
        </w:rPr>
        <w:t xml:space="preserve">Preparation of </w:t>
      </w:r>
      <w:r w:rsidR="00DA56A9" w:rsidRPr="0017030F">
        <w:rPr>
          <w:rFonts w:asciiTheme="majorHAnsi" w:hAnsiTheme="majorHAnsi" w:cstheme="majorHAnsi"/>
          <w:bCs/>
          <w:szCs w:val="24"/>
        </w:rPr>
        <w:t>r</w:t>
      </w:r>
      <w:r w:rsidRPr="0017030F">
        <w:rPr>
          <w:rFonts w:asciiTheme="majorHAnsi" w:hAnsiTheme="majorHAnsi" w:cstheme="majorHAnsi"/>
          <w:bCs/>
          <w:szCs w:val="24"/>
        </w:rPr>
        <w:t>eference</w:t>
      </w:r>
      <w:bookmarkEnd w:id="4"/>
    </w:p>
    <w:p w14:paraId="37C108E6" w14:textId="77777777" w:rsidR="008E7304" w:rsidRPr="0017030F" w:rsidRDefault="008E7304" w:rsidP="00E73D5F">
      <w:pPr>
        <w:pBdr>
          <w:top w:val="nil"/>
          <w:left w:val="nil"/>
          <w:bottom w:val="nil"/>
          <w:right w:val="nil"/>
          <w:between w:val="nil"/>
        </w:pBdr>
        <w:rPr>
          <w:rFonts w:asciiTheme="majorHAnsi" w:hAnsiTheme="majorHAnsi" w:cstheme="majorHAnsi"/>
          <w:bCs/>
        </w:rPr>
      </w:pPr>
    </w:p>
    <w:p w14:paraId="0FDE0FB0" w14:textId="10BC1BAA" w:rsidR="008E7304" w:rsidRPr="0017030F" w:rsidRDefault="002C6AB1"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bCs/>
          <w:szCs w:val="24"/>
        </w:rPr>
      </w:pPr>
      <w:r w:rsidRPr="0017030F">
        <w:rPr>
          <w:rFonts w:asciiTheme="majorHAnsi" w:hAnsiTheme="majorHAnsi" w:cstheme="majorHAnsi"/>
          <w:bCs/>
          <w:szCs w:val="24"/>
        </w:rPr>
        <w:t>Prepare a 10</w:t>
      </w:r>
      <w:r w:rsidRPr="0017030F">
        <w:rPr>
          <w:rFonts w:asciiTheme="majorHAnsi" w:hAnsiTheme="majorHAnsi" w:cstheme="majorHAnsi"/>
          <w:bCs/>
          <w:szCs w:val="24"/>
          <w:vertAlign w:val="superscript"/>
        </w:rPr>
        <w:t>-1</w:t>
      </w:r>
      <w:r w:rsidRPr="0017030F">
        <w:rPr>
          <w:rFonts w:asciiTheme="majorHAnsi" w:hAnsiTheme="majorHAnsi" w:cstheme="majorHAnsi"/>
          <w:bCs/>
          <w:szCs w:val="24"/>
        </w:rPr>
        <w:t xml:space="preserve"> M stock solution of </w:t>
      </w:r>
      <w:r w:rsidR="005366F2" w:rsidRPr="0017030F">
        <w:rPr>
          <w:rFonts w:asciiTheme="majorHAnsi" w:hAnsiTheme="majorHAnsi" w:cstheme="majorHAnsi"/>
          <w:bCs/>
          <w:szCs w:val="24"/>
        </w:rPr>
        <w:t>reference</w:t>
      </w:r>
      <w:r w:rsidRPr="0017030F">
        <w:rPr>
          <w:rFonts w:asciiTheme="majorHAnsi" w:hAnsiTheme="majorHAnsi" w:cstheme="majorHAnsi"/>
          <w:bCs/>
          <w:szCs w:val="24"/>
        </w:rPr>
        <w:t xml:space="preserve"> control 6-PTU in an appropriate solvent (e.g.</w:t>
      </w:r>
      <w:r w:rsidR="005366F2" w:rsidRPr="0017030F">
        <w:rPr>
          <w:rFonts w:asciiTheme="majorHAnsi" w:hAnsiTheme="majorHAnsi" w:cstheme="majorHAnsi"/>
          <w:bCs/>
          <w:szCs w:val="24"/>
        </w:rPr>
        <w:t>,</w:t>
      </w:r>
      <w:r w:rsidRPr="0017030F">
        <w:rPr>
          <w:rFonts w:asciiTheme="majorHAnsi" w:hAnsiTheme="majorHAnsi" w:cstheme="majorHAnsi"/>
          <w:bCs/>
          <w:szCs w:val="24"/>
        </w:rPr>
        <w:t xml:space="preserve"> DMSO) freshly on the day of performing the assay.</w:t>
      </w:r>
    </w:p>
    <w:p w14:paraId="0155CCC9" w14:textId="77777777" w:rsidR="008E7304" w:rsidRPr="0017030F" w:rsidRDefault="008E7304" w:rsidP="00E73D5F">
      <w:pPr>
        <w:pStyle w:val="Listenabsatz"/>
        <w:pBdr>
          <w:top w:val="nil"/>
          <w:left w:val="nil"/>
          <w:bottom w:val="nil"/>
          <w:right w:val="nil"/>
          <w:between w:val="nil"/>
        </w:pBdr>
        <w:spacing w:after="0" w:line="240" w:lineRule="auto"/>
        <w:ind w:left="0"/>
        <w:jc w:val="both"/>
        <w:rPr>
          <w:rFonts w:asciiTheme="majorHAnsi" w:hAnsiTheme="majorHAnsi" w:cstheme="majorHAnsi"/>
          <w:bCs/>
          <w:szCs w:val="24"/>
        </w:rPr>
      </w:pPr>
    </w:p>
    <w:p w14:paraId="5AE13B18" w14:textId="1B7E0C58" w:rsidR="002C6AB1" w:rsidRPr="0017030F" w:rsidRDefault="002C6AB1"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bCs/>
          <w:szCs w:val="24"/>
        </w:rPr>
      </w:pPr>
      <w:r w:rsidRPr="0017030F">
        <w:rPr>
          <w:rFonts w:asciiTheme="majorHAnsi" w:hAnsiTheme="majorHAnsi" w:cstheme="majorHAnsi"/>
          <w:bCs/>
          <w:szCs w:val="24"/>
        </w:rPr>
        <w:t>Prepare a</w:t>
      </w:r>
      <w:r w:rsidR="005C6941" w:rsidRPr="0017030F">
        <w:rPr>
          <w:rFonts w:asciiTheme="majorHAnsi" w:hAnsiTheme="majorHAnsi" w:cstheme="majorHAnsi"/>
          <w:bCs/>
          <w:szCs w:val="24"/>
        </w:rPr>
        <w:t xml:space="preserve"> 1:10 dilution of this stock in diH</w:t>
      </w:r>
      <w:r w:rsidR="005C6941" w:rsidRPr="0017030F">
        <w:rPr>
          <w:rFonts w:asciiTheme="majorHAnsi" w:hAnsiTheme="majorHAnsi" w:cstheme="majorHAnsi"/>
          <w:bCs/>
          <w:szCs w:val="24"/>
          <w:vertAlign w:val="subscript"/>
        </w:rPr>
        <w:t>2</w:t>
      </w:r>
      <w:r w:rsidR="005C6941" w:rsidRPr="0017030F">
        <w:rPr>
          <w:rFonts w:asciiTheme="majorHAnsi" w:hAnsiTheme="majorHAnsi" w:cstheme="majorHAnsi"/>
          <w:bCs/>
          <w:szCs w:val="24"/>
        </w:rPr>
        <w:t xml:space="preserve">O (RI-C8) to achieve a DMSO concentration of 10% and prepare a </w:t>
      </w:r>
      <w:r w:rsidRPr="0017030F">
        <w:rPr>
          <w:rFonts w:asciiTheme="majorHAnsi" w:hAnsiTheme="majorHAnsi" w:cstheme="majorHAnsi"/>
          <w:bCs/>
          <w:szCs w:val="24"/>
        </w:rPr>
        <w:t xml:space="preserve">series of dilutions from this stock in 10 % DMSO in </w:t>
      </w:r>
      <w:r w:rsidR="005C6941" w:rsidRPr="0017030F">
        <w:rPr>
          <w:rFonts w:asciiTheme="majorHAnsi" w:hAnsiTheme="majorHAnsi" w:cstheme="majorHAnsi"/>
          <w:bCs/>
          <w:szCs w:val="24"/>
        </w:rPr>
        <w:t>diH</w:t>
      </w:r>
      <w:r w:rsidR="005C6941" w:rsidRPr="0017030F">
        <w:rPr>
          <w:rFonts w:asciiTheme="majorHAnsi" w:hAnsiTheme="majorHAnsi" w:cstheme="majorHAnsi"/>
          <w:bCs/>
          <w:szCs w:val="24"/>
          <w:vertAlign w:val="subscript"/>
        </w:rPr>
        <w:t>2</w:t>
      </w:r>
      <w:r w:rsidR="005C6941" w:rsidRPr="0017030F">
        <w:rPr>
          <w:rFonts w:asciiTheme="majorHAnsi" w:hAnsiTheme="majorHAnsi" w:cstheme="majorHAnsi"/>
          <w:bCs/>
          <w:szCs w:val="24"/>
        </w:rPr>
        <w:t>O</w:t>
      </w:r>
      <w:r w:rsidRPr="0017030F">
        <w:rPr>
          <w:rFonts w:asciiTheme="majorHAnsi" w:hAnsiTheme="majorHAnsi" w:cstheme="majorHAnsi"/>
          <w:bCs/>
          <w:szCs w:val="24"/>
        </w:rPr>
        <w:t xml:space="preserve"> </w:t>
      </w:r>
      <w:r w:rsidR="00013EFD" w:rsidRPr="0017030F">
        <w:rPr>
          <w:rFonts w:asciiTheme="majorHAnsi" w:hAnsiTheme="majorHAnsi" w:cstheme="majorHAnsi"/>
          <w:bCs/>
          <w:szCs w:val="24"/>
        </w:rPr>
        <w:t xml:space="preserve">as described in </w:t>
      </w:r>
      <w:r w:rsidR="0032133F" w:rsidRPr="00E73D5F">
        <w:rPr>
          <w:rFonts w:asciiTheme="majorHAnsi" w:hAnsiTheme="majorHAnsi" w:cstheme="majorHAnsi"/>
          <w:b/>
          <w:szCs w:val="24"/>
        </w:rPr>
        <w:t>T</w:t>
      </w:r>
      <w:r w:rsidR="00013EFD" w:rsidRPr="00E73D5F">
        <w:rPr>
          <w:rFonts w:asciiTheme="majorHAnsi" w:hAnsiTheme="majorHAnsi" w:cstheme="majorHAnsi"/>
          <w:b/>
          <w:szCs w:val="24"/>
        </w:rPr>
        <w:t xml:space="preserve">able </w:t>
      </w:r>
      <w:r w:rsidR="00DF42FB" w:rsidRPr="00E73D5F">
        <w:rPr>
          <w:rFonts w:asciiTheme="majorHAnsi" w:hAnsiTheme="majorHAnsi" w:cstheme="majorHAnsi"/>
          <w:b/>
          <w:szCs w:val="24"/>
        </w:rPr>
        <w:t>2</w:t>
      </w:r>
      <w:r w:rsidR="00013EFD" w:rsidRPr="0017030F">
        <w:rPr>
          <w:rFonts w:asciiTheme="majorHAnsi" w:hAnsiTheme="majorHAnsi" w:cstheme="majorHAnsi"/>
          <w:bCs/>
          <w:szCs w:val="24"/>
        </w:rPr>
        <w:t>.</w:t>
      </w:r>
    </w:p>
    <w:p w14:paraId="53B388FC" w14:textId="77777777" w:rsidR="005C6941" w:rsidRPr="0017030F" w:rsidRDefault="005C6941" w:rsidP="00E73D5F">
      <w:pPr>
        <w:pStyle w:val="Listenabsatz"/>
        <w:pBdr>
          <w:top w:val="nil"/>
          <w:left w:val="nil"/>
          <w:bottom w:val="nil"/>
          <w:right w:val="nil"/>
          <w:between w:val="nil"/>
        </w:pBdr>
        <w:spacing w:after="0" w:line="240" w:lineRule="auto"/>
        <w:ind w:left="0"/>
        <w:jc w:val="both"/>
        <w:rPr>
          <w:rFonts w:asciiTheme="majorHAnsi" w:hAnsiTheme="majorHAnsi" w:cstheme="majorHAnsi"/>
          <w:bCs/>
          <w:szCs w:val="24"/>
        </w:rPr>
      </w:pPr>
    </w:p>
    <w:p w14:paraId="062FB1D3" w14:textId="77777777" w:rsidR="008E7304" w:rsidRPr="0017030F" w:rsidRDefault="001F3296" w:rsidP="00E73D5F">
      <w:pPr>
        <w:pStyle w:val="Listenabsatz"/>
        <w:numPr>
          <w:ilvl w:val="1"/>
          <w:numId w:val="1"/>
        </w:numPr>
        <w:pBdr>
          <w:top w:val="nil"/>
          <w:left w:val="nil"/>
          <w:bottom w:val="nil"/>
          <w:right w:val="nil"/>
          <w:between w:val="nil"/>
        </w:pBdr>
        <w:spacing w:after="0" w:line="240" w:lineRule="auto"/>
        <w:ind w:left="0" w:firstLine="0"/>
        <w:jc w:val="both"/>
        <w:rPr>
          <w:rFonts w:asciiTheme="majorHAnsi" w:hAnsiTheme="majorHAnsi" w:cstheme="majorHAnsi"/>
          <w:bCs/>
          <w:szCs w:val="24"/>
        </w:rPr>
      </w:pPr>
      <w:bookmarkStart w:id="5" w:name="_Ref209426628"/>
      <w:r w:rsidRPr="0017030F">
        <w:rPr>
          <w:rFonts w:asciiTheme="majorHAnsi" w:hAnsiTheme="majorHAnsi" w:cstheme="majorHAnsi"/>
          <w:bCs/>
          <w:szCs w:val="24"/>
        </w:rPr>
        <w:t xml:space="preserve">Preparation of the </w:t>
      </w:r>
      <w:r w:rsidR="00DA56A9" w:rsidRPr="0017030F">
        <w:rPr>
          <w:rFonts w:asciiTheme="majorHAnsi" w:hAnsiTheme="majorHAnsi" w:cstheme="majorHAnsi"/>
          <w:bCs/>
          <w:szCs w:val="24"/>
        </w:rPr>
        <w:t>p</w:t>
      </w:r>
      <w:r w:rsidR="00C473D3" w:rsidRPr="0017030F">
        <w:rPr>
          <w:rFonts w:asciiTheme="majorHAnsi" w:hAnsiTheme="majorHAnsi" w:cstheme="majorHAnsi"/>
          <w:bCs/>
          <w:szCs w:val="24"/>
        </w:rPr>
        <w:t>ositive</w:t>
      </w:r>
      <w:r w:rsidRPr="0017030F">
        <w:rPr>
          <w:rFonts w:asciiTheme="majorHAnsi" w:hAnsiTheme="majorHAnsi" w:cstheme="majorHAnsi"/>
          <w:bCs/>
          <w:szCs w:val="24"/>
        </w:rPr>
        <w:t xml:space="preserve"> </w:t>
      </w:r>
      <w:r w:rsidR="00DA56A9" w:rsidRPr="0017030F">
        <w:rPr>
          <w:rFonts w:asciiTheme="majorHAnsi" w:hAnsiTheme="majorHAnsi" w:cstheme="majorHAnsi"/>
          <w:bCs/>
          <w:szCs w:val="24"/>
        </w:rPr>
        <w:t>c</w:t>
      </w:r>
      <w:r w:rsidRPr="0017030F">
        <w:rPr>
          <w:rFonts w:asciiTheme="majorHAnsi" w:hAnsiTheme="majorHAnsi" w:cstheme="majorHAnsi"/>
          <w:bCs/>
          <w:szCs w:val="24"/>
        </w:rPr>
        <w:t>ontrol</w:t>
      </w:r>
      <w:bookmarkEnd w:id="5"/>
      <w:r w:rsidRPr="0017030F">
        <w:rPr>
          <w:rFonts w:asciiTheme="majorHAnsi" w:hAnsiTheme="majorHAnsi" w:cstheme="majorHAnsi"/>
          <w:bCs/>
          <w:szCs w:val="24"/>
        </w:rPr>
        <w:t xml:space="preserve"> </w:t>
      </w:r>
    </w:p>
    <w:p w14:paraId="176AC92C" w14:textId="77777777" w:rsidR="008E7304" w:rsidRPr="0017030F" w:rsidRDefault="008E7304" w:rsidP="00E73D5F">
      <w:pPr>
        <w:pStyle w:val="Listenabsatz"/>
        <w:pBdr>
          <w:top w:val="nil"/>
          <w:left w:val="nil"/>
          <w:bottom w:val="nil"/>
          <w:right w:val="nil"/>
          <w:between w:val="nil"/>
        </w:pBdr>
        <w:spacing w:after="0" w:line="240" w:lineRule="auto"/>
        <w:ind w:left="0"/>
        <w:jc w:val="both"/>
        <w:rPr>
          <w:rFonts w:asciiTheme="majorHAnsi" w:hAnsiTheme="majorHAnsi" w:cstheme="majorHAnsi"/>
          <w:bCs/>
          <w:szCs w:val="24"/>
        </w:rPr>
      </w:pPr>
    </w:p>
    <w:p w14:paraId="641920B3" w14:textId="02360E92" w:rsidR="008E7304" w:rsidRPr="0017030F" w:rsidRDefault="001F3296"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bCs/>
          <w:szCs w:val="24"/>
        </w:rPr>
      </w:pPr>
      <w:r w:rsidRPr="0017030F">
        <w:rPr>
          <w:rFonts w:asciiTheme="majorHAnsi" w:hAnsiTheme="majorHAnsi" w:cstheme="majorHAnsi"/>
          <w:bCs/>
          <w:szCs w:val="24"/>
        </w:rPr>
        <w:t>Prepare a 10</w:t>
      </w:r>
      <w:r w:rsidRPr="0017030F">
        <w:rPr>
          <w:rFonts w:asciiTheme="majorHAnsi" w:hAnsiTheme="majorHAnsi" w:cstheme="majorHAnsi"/>
          <w:bCs/>
          <w:szCs w:val="24"/>
          <w:vertAlign w:val="superscript"/>
        </w:rPr>
        <w:t>-2</w:t>
      </w:r>
      <w:r w:rsidRPr="0017030F">
        <w:rPr>
          <w:rFonts w:asciiTheme="majorHAnsi" w:hAnsiTheme="majorHAnsi" w:cstheme="majorHAnsi"/>
          <w:bCs/>
          <w:szCs w:val="24"/>
        </w:rPr>
        <w:t xml:space="preserve"> M stock solution </w:t>
      </w:r>
      <w:proofErr w:type="gramStart"/>
      <w:r w:rsidRPr="0017030F">
        <w:rPr>
          <w:rFonts w:asciiTheme="majorHAnsi" w:hAnsiTheme="majorHAnsi" w:cstheme="majorHAnsi"/>
          <w:bCs/>
          <w:szCs w:val="24"/>
        </w:rPr>
        <w:t>of</w:t>
      </w:r>
      <w:proofErr w:type="gramEnd"/>
      <w:r w:rsidRPr="0017030F">
        <w:rPr>
          <w:rFonts w:asciiTheme="majorHAnsi" w:hAnsiTheme="majorHAnsi" w:cstheme="majorHAnsi"/>
          <w:bCs/>
          <w:szCs w:val="24"/>
        </w:rPr>
        <w:t xml:space="preserve"> the positive control Aurothioglucose in an appropriate solvent (e.g.</w:t>
      </w:r>
      <w:r w:rsidR="006A337F" w:rsidRPr="0017030F">
        <w:rPr>
          <w:rFonts w:asciiTheme="majorHAnsi" w:hAnsiTheme="majorHAnsi" w:cstheme="majorHAnsi"/>
          <w:bCs/>
          <w:szCs w:val="24"/>
        </w:rPr>
        <w:t>,</w:t>
      </w:r>
      <w:r w:rsidRPr="0017030F">
        <w:rPr>
          <w:rFonts w:asciiTheme="majorHAnsi" w:hAnsiTheme="majorHAnsi" w:cstheme="majorHAnsi"/>
          <w:bCs/>
          <w:szCs w:val="24"/>
        </w:rPr>
        <w:t xml:space="preserve"> DMSO) and store it for up to 6 months at 4</w:t>
      </w:r>
      <w:r w:rsidR="006A337F" w:rsidRPr="0017030F">
        <w:rPr>
          <w:rFonts w:asciiTheme="majorHAnsi" w:hAnsiTheme="majorHAnsi" w:cstheme="majorHAnsi"/>
          <w:bCs/>
          <w:szCs w:val="24"/>
        </w:rPr>
        <w:t xml:space="preserve"> </w:t>
      </w:r>
      <w:r w:rsidRPr="0017030F">
        <w:rPr>
          <w:rFonts w:asciiTheme="majorHAnsi" w:hAnsiTheme="majorHAnsi" w:cstheme="majorHAnsi"/>
          <w:bCs/>
          <w:szCs w:val="24"/>
        </w:rPr>
        <w:t>°C.</w:t>
      </w:r>
    </w:p>
    <w:p w14:paraId="7EFC9096" w14:textId="77777777" w:rsidR="008E7304" w:rsidRPr="0017030F" w:rsidRDefault="008E7304" w:rsidP="00E73D5F">
      <w:pPr>
        <w:pStyle w:val="Listenabsatz"/>
        <w:pBdr>
          <w:top w:val="nil"/>
          <w:left w:val="nil"/>
          <w:bottom w:val="nil"/>
          <w:right w:val="nil"/>
          <w:between w:val="nil"/>
        </w:pBdr>
        <w:spacing w:after="0" w:line="240" w:lineRule="auto"/>
        <w:ind w:left="0"/>
        <w:jc w:val="both"/>
        <w:rPr>
          <w:rFonts w:asciiTheme="majorHAnsi" w:hAnsiTheme="majorHAnsi" w:cstheme="majorHAnsi"/>
          <w:bCs/>
          <w:szCs w:val="24"/>
        </w:rPr>
      </w:pPr>
    </w:p>
    <w:p w14:paraId="4328F42C" w14:textId="4DAC5FAA" w:rsidR="005C6941" w:rsidRPr="0017030F" w:rsidRDefault="005C6941"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bCs/>
          <w:szCs w:val="24"/>
        </w:rPr>
      </w:pPr>
      <w:r w:rsidRPr="0017030F">
        <w:rPr>
          <w:rFonts w:asciiTheme="majorHAnsi" w:hAnsiTheme="majorHAnsi" w:cstheme="majorHAnsi"/>
          <w:bCs/>
          <w:szCs w:val="24"/>
        </w:rPr>
        <w:t>On the day of the assay, dilute the stock to 10</w:t>
      </w:r>
      <w:r w:rsidRPr="0017030F">
        <w:rPr>
          <w:rFonts w:asciiTheme="majorHAnsi" w:hAnsiTheme="majorHAnsi" w:cstheme="majorHAnsi"/>
          <w:bCs/>
          <w:szCs w:val="24"/>
          <w:vertAlign w:val="superscript"/>
        </w:rPr>
        <w:t>-3</w:t>
      </w:r>
      <w:r w:rsidRPr="0017030F">
        <w:rPr>
          <w:rFonts w:asciiTheme="majorHAnsi" w:hAnsiTheme="majorHAnsi" w:cstheme="majorHAnsi"/>
          <w:bCs/>
          <w:szCs w:val="24"/>
        </w:rPr>
        <w:t xml:space="preserve"> M in diH</w:t>
      </w:r>
      <w:r w:rsidRPr="0017030F">
        <w:rPr>
          <w:rFonts w:asciiTheme="majorHAnsi" w:hAnsiTheme="majorHAnsi" w:cstheme="majorHAnsi"/>
          <w:bCs/>
          <w:szCs w:val="24"/>
          <w:vertAlign w:val="subscript"/>
        </w:rPr>
        <w:t>2</w:t>
      </w:r>
      <w:r w:rsidRPr="0017030F">
        <w:rPr>
          <w:rFonts w:asciiTheme="majorHAnsi" w:hAnsiTheme="majorHAnsi" w:cstheme="majorHAnsi"/>
          <w:bCs/>
          <w:szCs w:val="24"/>
        </w:rPr>
        <w:t>O to achieve a DMSO concentration of 10% DMSO.</w:t>
      </w:r>
    </w:p>
    <w:p w14:paraId="4317F91D" w14:textId="77777777" w:rsidR="005C6941" w:rsidRPr="0017030F" w:rsidRDefault="005C6941" w:rsidP="00E73D5F">
      <w:pPr>
        <w:pStyle w:val="Listenabsatz"/>
        <w:pBdr>
          <w:top w:val="nil"/>
          <w:left w:val="nil"/>
          <w:bottom w:val="nil"/>
          <w:right w:val="nil"/>
          <w:between w:val="nil"/>
        </w:pBdr>
        <w:spacing w:after="0" w:line="240" w:lineRule="auto"/>
        <w:ind w:left="0"/>
        <w:jc w:val="both"/>
        <w:rPr>
          <w:rFonts w:asciiTheme="majorHAnsi" w:hAnsiTheme="majorHAnsi" w:cstheme="majorHAnsi"/>
          <w:bCs/>
          <w:szCs w:val="24"/>
        </w:rPr>
      </w:pPr>
    </w:p>
    <w:p w14:paraId="4909A51A" w14:textId="77777777" w:rsidR="008E7304" w:rsidRPr="0017030F" w:rsidRDefault="001F3296" w:rsidP="00E73D5F">
      <w:pPr>
        <w:pStyle w:val="Listenabsatz"/>
        <w:numPr>
          <w:ilvl w:val="1"/>
          <w:numId w:val="1"/>
        </w:numPr>
        <w:pBdr>
          <w:top w:val="nil"/>
          <w:left w:val="nil"/>
          <w:bottom w:val="nil"/>
          <w:right w:val="nil"/>
          <w:between w:val="nil"/>
        </w:pBdr>
        <w:spacing w:after="0" w:line="240" w:lineRule="auto"/>
        <w:ind w:left="0" w:firstLine="0"/>
        <w:jc w:val="both"/>
        <w:rPr>
          <w:rFonts w:asciiTheme="majorHAnsi" w:hAnsiTheme="majorHAnsi" w:cstheme="majorHAnsi"/>
          <w:bCs/>
          <w:szCs w:val="24"/>
        </w:rPr>
      </w:pPr>
      <w:bookmarkStart w:id="6" w:name="_Ref209426611"/>
      <w:r w:rsidRPr="0017030F">
        <w:rPr>
          <w:rFonts w:asciiTheme="majorHAnsi" w:hAnsiTheme="majorHAnsi" w:cstheme="majorHAnsi"/>
          <w:bCs/>
          <w:szCs w:val="24"/>
        </w:rPr>
        <w:t xml:space="preserve">Preparation of the </w:t>
      </w:r>
      <w:r w:rsidR="00DA56A9" w:rsidRPr="0017030F">
        <w:rPr>
          <w:rFonts w:asciiTheme="majorHAnsi" w:hAnsiTheme="majorHAnsi" w:cstheme="majorHAnsi"/>
          <w:bCs/>
          <w:szCs w:val="24"/>
        </w:rPr>
        <w:t>n</w:t>
      </w:r>
      <w:r w:rsidR="00C473D3" w:rsidRPr="0017030F">
        <w:rPr>
          <w:rFonts w:asciiTheme="majorHAnsi" w:hAnsiTheme="majorHAnsi" w:cstheme="majorHAnsi"/>
          <w:bCs/>
          <w:szCs w:val="24"/>
        </w:rPr>
        <w:t xml:space="preserve">egative </w:t>
      </w:r>
      <w:r w:rsidR="00DA56A9" w:rsidRPr="0017030F">
        <w:rPr>
          <w:rFonts w:asciiTheme="majorHAnsi" w:hAnsiTheme="majorHAnsi" w:cstheme="majorHAnsi"/>
          <w:bCs/>
          <w:szCs w:val="24"/>
        </w:rPr>
        <w:t>c</w:t>
      </w:r>
      <w:r w:rsidR="00C473D3" w:rsidRPr="0017030F">
        <w:rPr>
          <w:rFonts w:asciiTheme="majorHAnsi" w:hAnsiTheme="majorHAnsi" w:cstheme="majorHAnsi"/>
          <w:bCs/>
          <w:szCs w:val="24"/>
        </w:rPr>
        <w:t>ontrol</w:t>
      </w:r>
      <w:bookmarkEnd w:id="6"/>
    </w:p>
    <w:p w14:paraId="6B6BFD4D" w14:textId="77777777" w:rsidR="008E7304" w:rsidRPr="0017030F" w:rsidRDefault="008E7304" w:rsidP="00E73D5F">
      <w:pPr>
        <w:pStyle w:val="Listenabsatz"/>
        <w:pBdr>
          <w:top w:val="nil"/>
          <w:left w:val="nil"/>
          <w:bottom w:val="nil"/>
          <w:right w:val="nil"/>
          <w:between w:val="nil"/>
        </w:pBdr>
        <w:spacing w:after="0" w:line="240" w:lineRule="auto"/>
        <w:ind w:left="0"/>
        <w:jc w:val="both"/>
        <w:rPr>
          <w:rFonts w:asciiTheme="majorHAnsi" w:hAnsiTheme="majorHAnsi" w:cstheme="majorHAnsi"/>
          <w:bCs/>
          <w:szCs w:val="24"/>
        </w:rPr>
      </w:pPr>
    </w:p>
    <w:p w14:paraId="7F2907E9" w14:textId="77777777" w:rsidR="008E7304" w:rsidRPr="0017030F" w:rsidRDefault="005901AC"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bCs/>
          <w:szCs w:val="24"/>
        </w:rPr>
      </w:pPr>
      <w:r w:rsidRPr="0017030F">
        <w:rPr>
          <w:rFonts w:asciiTheme="majorHAnsi" w:hAnsiTheme="majorHAnsi" w:cstheme="majorHAnsi"/>
          <w:bCs/>
          <w:szCs w:val="24"/>
        </w:rPr>
        <w:t>Prepare a 10</w:t>
      </w:r>
      <w:r w:rsidRPr="0017030F">
        <w:rPr>
          <w:rFonts w:asciiTheme="majorHAnsi" w:hAnsiTheme="majorHAnsi" w:cstheme="majorHAnsi"/>
          <w:bCs/>
          <w:szCs w:val="24"/>
          <w:vertAlign w:val="superscript"/>
        </w:rPr>
        <w:t>-2</w:t>
      </w:r>
      <w:r w:rsidRPr="0017030F">
        <w:rPr>
          <w:rFonts w:asciiTheme="majorHAnsi" w:hAnsiTheme="majorHAnsi" w:cstheme="majorHAnsi"/>
          <w:bCs/>
          <w:szCs w:val="24"/>
        </w:rPr>
        <w:t xml:space="preserve"> M stock solution of the negative control 1-</w:t>
      </w:r>
      <w:proofErr w:type="gramStart"/>
      <w:r w:rsidRPr="0017030F">
        <w:rPr>
          <w:rFonts w:asciiTheme="majorHAnsi" w:hAnsiTheme="majorHAnsi" w:cstheme="majorHAnsi"/>
          <w:bCs/>
          <w:szCs w:val="24"/>
        </w:rPr>
        <w:t>Thio-β-D</w:t>
      </w:r>
      <w:proofErr w:type="gramEnd"/>
      <w:r w:rsidRPr="0017030F">
        <w:rPr>
          <w:rFonts w:asciiTheme="majorHAnsi" w:hAnsiTheme="majorHAnsi" w:cstheme="majorHAnsi"/>
          <w:bCs/>
          <w:szCs w:val="24"/>
        </w:rPr>
        <w:t>-glucose sodium salt freshly on the day of performing the assay.</w:t>
      </w:r>
    </w:p>
    <w:p w14:paraId="0F041A44" w14:textId="77777777" w:rsidR="008E7304" w:rsidRPr="0017030F" w:rsidRDefault="008E7304" w:rsidP="00E73D5F">
      <w:pPr>
        <w:pStyle w:val="Listenabsatz"/>
        <w:pBdr>
          <w:top w:val="nil"/>
          <w:left w:val="nil"/>
          <w:bottom w:val="nil"/>
          <w:right w:val="nil"/>
          <w:between w:val="nil"/>
        </w:pBdr>
        <w:spacing w:after="0" w:line="240" w:lineRule="auto"/>
        <w:ind w:left="0"/>
        <w:jc w:val="both"/>
        <w:rPr>
          <w:rFonts w:asciiTheme="majorHAnsi" w:hAnsiTheme="majorHAnsi" w:cstheme="majorHAnsi"/>
          <w:bCs/>
          <w:szCs w:val="24"/>
        </w:rPr>
      </w:pPr>
    </w:p>
    <w:p w14:paraId="5A2C9FE1" w14:textId="68DED279" w:rsidR="00C473D3" w:rsidRPr="0017030F" w:rsidRDefault="005901AC"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bCs/>
          <w:szCs w:val="24"/>
        </w:rPr>
      </w:pPr>
      <w:r w:rsidRPr="0017030F">
        <w:rPr>
          <w:rFonts w:asciiTheme="majorHAnsi" w:hAnsiTheme="majorHAnsi" w:cstheme="majorHAnsi"/>
          <w:bCs/>
          <w:szCs w:val="24"/>
        </w:rPr>
        <w:lastRenderedPageBreak/>
        <w:t>On the day of the assay, dilute the stock to 10</w:t>
      </w:r>
      <w:r w:rsidRPr="0017030F">
        <w:rPr>
          <w:rFonts w:asciiTheme="majorHAnsi" w:hAnsiTheme="majorHAnsi" w:cstheme="majorHAnsi"/>
          <w:bCs/>
          <w:szCs w:val="24"/>
          <w:vertAlign w:val="superscript"/>
        </w:rPr>
        <w:t>-3</w:t>
      </w:r>
      <w:r w:rsidRPr="0017030F">
        <w:rPr>
          <w:rFonts w:asciiTheme="majorHAnsi" w:hAnsiTheme="majorHAnsi" w:cstheme="majorHAnsi"/>
          <w:bCs/>
          <w:szCs w:val="24"/>
        </w:rPr>
        <w:t xml:space="preserve"> M in diH</w:t>
      </w:r>
      <w:r w:rsidRPr="0017030F">
        <w:rPr>
          <w:rFonts w:asciiTheme="majorHAnsi" w:hAnsiTheme="majorHAnsi" w:cstheme="majorHAnsi"/>
          <w:bCs/>
          <w:szCs w:val="24"/>
          <w:vertAlign w:val="subscript"/>
        </w:rPr>
        <w:t>2</w:t>
      </w:r>
      <w:r w:rsidRPr="0017030F">
        <w:rPr>
          <w:rFonts w:asciiTheme="majorHAnsi" w:hAnsiTheme="majorHAnsi" w:cstheme="majorHAnsi"/>
          <w:bCs/>
          <w:szCs w:val="24"/>
        </w:rPr>
        <w:t>O to achieve a DMSO concentration of 10% DMSO.</w:t>
      </w:r>
    </w:p>
    <w:p w14:paraId="431FFB58" w14:textId="77777777" w:rsidR="003B1D25" w:rsidRPr="0017030F" w:rsidRDefault="003B1D25" w:rsidP="00E73D5F">
      <w:pPr>
        <w:pStyle w:val="Listenabsatz"/>
        <w:pBdr>
          <w:top w:val="nil"/>
          <w:left w:val="nil"/>
          <w:bottom w:val="nil"/>
          <w:right w:val="nil"/>
          <w:between w:val="nil"/>
        </w:pBdr>
        <w:spacing w:after="0" w:line="240" w:lineRule="auto"/>
        <w:ind w:left="0"/>
        <w:jc w:val="both"/>
        <w:rPr>
          <w:rFonts w:asciiTheme="majorHAnsi" w:hAnsiTheme="majorHAnsi" w:cstheme="majorHAnsi"/>
          <w:bCs/>
          <w:szCs w:val="24"/>
        </w:rPr>
      </w:pPr>
    </w:p>
    <w:p w14:paraId="59F68C5F" w14:textId="473D645E" w:rsidR="00C473D3" w:rsidRPr="0017030F" w:rsidRDefault="00C473D3"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bCs/>
        </w:rPr>
        <w:t>NOTE:</w:t>
      </w:r>
      <w:r w:rsidR="00FD133A" w:rsidRPr="0017030F">
        <w:rPr>
          <w:rFonts w:asciiTheme="majorHAnsi" w:hAnsiTheme="majorHAnsi" w:cstheme="majorHAnsi"/>
          <w:bCs/>
        </w:rPr>
        <w:t xml:space="preserve"> </w:t>
      </w:r>
      <w:r w:rsidRPr="0017030F">
        <w:rPr>
          <w:rFonts w:asciiTheme="majorHAnsi" w:hAnsiTheme="majorHAnsi" w:cstheme="majorHAnsi"/>
        </w:rPr>
        <w:t xml:space="preserve">Always use appropriate safety precautions, especially when handling hazardous chemicals such as sodium </w:t>
      </w:r>
      <w:proofErr w:type="spellStart"/>
      <w:r w:rsidRPr="0017030F">
        <w:rPr>
          <w:rFonts w:asciiTheme="majorHAnsi" w:hAnsiTheme="majorHAnsi" w:cstheme="majorHAnsi"/>
        </w:rPr>
        <w:t>arsenite</w:t>
      </w:r>
      <w:proofErr w:type="spellEnd"/>
      <w:r w:rsidRPr="0017030F">
        <w:rPr>
          <w:rFonts w:asciiTheme="majorHAnsi" w:hAnsiTheme="majorHAnsi" w:cstheme="majorHAnsi"/>
        </w:rPr>
        <w:t xml:space="preserve"> and sulfuric acid.</w:t>
      </w:r>
      <w:r w:rsidR="00016685" w:rsidRPr="0017030F">
        <w:rPr>
          <w:rFonts w:asciiTheme="majorHAnsi" w:hAnsiTheme="majorHAnsi" w:cstheme="majorHAnsi"/>
        </w:rPr>
        <w:t xml:space="preserve"> </w:t>
      </w:r>
      <w:r w:rsidRPr="0017030F">
        <w:rPr>
          <w:rFonts w:asciiTheme="majorHAnsi" w:hAnsiTheme="majorHAnsi" w:cstheme="majorHAnsi"/>
        </w:rPr>
        <w:t xml:space="preserve">All reagents should be prepared </w:t>
      </w:r>
      <w:r w:rsidR="00E46D34" w:rsidRPr="0017030F">
        <w:rPr>
          <w:rFonts w:asciiTheme="majorHAnsi" w:hAnsiTheme="majorHAnsi" w:cstheme="majorHAnsi"/>
        </w:rPr>
        <w:t>with deionized water and stored according to the manufacturer's</w:t>
      </w:r>
      <w:r w:rsidRPr="0017030F">
        <w:rPr>
          <w:rFonts w:asciiTheme="majorHAnsi" w:hAnsiTheme="majorHAnsi" w:cstheme="majorHAnsi"/>
        </w:rPr>
        <w:t xml:space="preserve"> recommendations.</w:t>
      </w:r>
      <w:r w:rsidR="00AA46CC" w:rsidRPr="0017030F">
        <w:rPr>
          <w:rFonts w:asciiTheme="majorHAnsi" w:hAnsiTheme="majorHAnsi" w:cstheme="majorHAnsi"/>
        </w:rPr>
        <w:t xml:space="preserve"> </w:t>
      </w:r>
      <w:r w:rsidR="00AA46CC" w:rsidRPr="00E73D5F">
        <w:rPr>
          <w:rFonts w:asciiTheme="majorHAnsi" w:hAnsiTheme="majorHAnsi" w:cstheme="majorHAnsi"/>
        </w:rPr>
        <w:t>The substrate mix, once prepared, and the thawed DTT aliquot are intended for single use on the day of the assay and should not be refrozen.</w:t>
      </w:r>
    </w:p>
    <w:p w14:paraId="77E11012" w14:textId="77777777" w:rsidR="00444DA6" w:rsidRPr="0017030F" w:rsidRDefault="00444DA6" w:rsidP="00E73D5F">
      <w:pPr>
        <w:pBdr>
          <w:top w:val="nil"/>
          <w:left w:val="nil"/>
          <w:bottom w:val="nil"/>
          <w:right w:val="nil"/>
          <w:between w:val="nil"/>
        </w:pBdr>
        <w:rPr>
          <w:rFonts w:asciiTheme="majorHAnsi" w:hAnsiTheme="majorHAnsi" w:cstheme="majorHAnsi"/>
        </w:rPr>
      </w:pPr>
    </w:p>
    <w:p w14:paraId="5791654F" w14:textId="17B19782" w:rsidR="00BC658B" w:rsidRPr="0017030F" w:rsidRDefault="002D6306" w:rsidP="00E73D5F">
      <w:pPr>
        <w:pStyle w:val="Listenabsatz"/>
        <w:numPr>
          <w:ilvl w:val="1"/>
          <w:numId w:val="1"/>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bookmarkStart w:id="7" w:name="_Ref209426791"/>
      <w:r w:rsidRPr="0017030F">
        <w:rPr>
          <w:rFonts w:asciiTheme="majorHAnsi" w:hAnsiTheme="majorHAnsi" w:cstheme="majorHAnsi"/>
          <w:szCs w:val="24"/>
          <w:highlight w:val="yellow"/>
        </w:rPr>
        <w:t xml:space="preserve">Casting of </w:t>
      </w:r>
      <w:r w:rsidR="00DA56A9" w:rsidRPr="0017030F">
        <w:rPr>
          <w:rFonts w:asciiTheme="majorHAnsi" w:hAnsiTheme="majorHAnsi" w:cstheme="majorHAnsi"/>
          <w:szCs w:val="24"/>
          <w:highlight w:val="yellow"/>
        </w:rPr>
        <w:t>i</w:t>
      </w:r>
      <w:r w:rsidRPr="0017030F">
        <w:rPr>
          <w:rFonts w:asciiTheme="majorHAnsi" w:hAnsiTheme="majorHAnsi" w:cstheme="majorHAnsi"/>
          <w:szCs w:val="24"/>
          <w:highlight w:val="yellow"/>
        </w:rPr>
        <w:t xml:space="preserve">on </w:t>
      </w:r>
      <w:r w:rsidR="00DA56A9" w:rsidRPr="0017030F">
        <w:rPr>
          <w:rFonts w:asciiTheme="majorHAnsi" w:hAnsiTheme="majorHAnsi" w:cstheme="majorHAnsi"/>
          <w:szCs w:val="24"/>
          <w:highlight w:val="yellow"/>
        </w:rPr>
        <w:t>e</w:t>
      </w:r>
      <w:r w:rsidRPr="0017030F">
        <w:rPr>
          <w:rFonts w:asciiTheme="majorHAnsi" w:hAnsiTheme="majorHAnsi" w:cstheme="majorHAnsi"/>
          <w:szCs w:val="24"/>
          <w:highlight w:val="yellow"/>
        </w:rPr>
        <w:t xml:space="preserve">xchange </w:t>
      </w:r>
      <w:r w:rsidR="00DA56A9" w:rsidRPr="0017030F">
        <w:rPr>
          <w:rFonts w:asciiTheme="majorHAnsi" w:hAnsiTheme="majorHAnsi" w:cstheme="majorHAnsi"/>
          <w:szCs w:val="24"/>
          <w:highlight w:val="yellow"/>
        </w:rPr>
        <w:t>r</w:t>
      </w:r>
      <w:r w:rsidRPr="0017030F">
        <w:rPr>
          <w:rFonts w:asciiTheme="majorHAnsi" w:hAnsiTheme="majorHAnsi" w:cstheme="majorHAnsi"/>
          <w:szCs w:val="24"/>
          <w:highlight w:val="yellow"/>
        </w:rPr>
        <w:t>esin</w:t>
      </w:r>
      <w:bookmarkEnd w:id="7"/>
    </w:p>
    <w:p w14:paraId="1C5578BE" w14:textId="77777777" w:rsidR="006E4D41" w:rsidRPr="0017030F" w:rsidRDefault="006E4D41"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highlight w:val="yellow"/>
        </w:rPr>
      </w:pPr>
    </w:p>
    <w:p w14:paraId="319F0174" w14:textId="59016C99" w:rsidR="00333622" w:rsidRPr="0017030F" w:rsidRDefault="00444DA6"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Use an appropriate rectangular transparent container for the preparation.</w:t>
      </w:r>
    </w:p>
    <w:p w14:paraId="0F441109" w14:textId="77777777" w:rsidR="00FD133A" w:rsidRPr="0017030F" w:rsidRDefault="00FD133A"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highlight w:val="yellow"/>
        </w:rPr>
      </w:pPr>
    </w:p>
    <w:p w14:paraId="4A9E094A" w14:textId="71AACB4F" w:rsidR="00444DA6" w:rsidRPr="0017030F" w:rsidRDefault="00444DA6"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 xml:space="preserve">Add about 250 g (or the desired quantity) of ion exchange resin to a large container and wash. Wash by </w:t>
      </w:r>
      <w:r w:rsidR="00E46D34" w:rsidRPr="0017030F">
        <w:rPr>
          <w:rFonts w:asciiTheme="majorHAnsi" w:hAnsiTheme="majorHAnsi" w:cstheme="majorHAnsi"/>
          <w:szCs w:val="24"/>
          <w:highlight w:val="yellow"/>
        </w:rPr>
        <w:t>adding 10% acetic acid;</w:t>
      </w:r>
      <w:r w:rsidRPr="0017030F">
        <w:rPr>
          <w:rFonts w:asciiTheme="majorHAnsi" w:hAnsiTheme="majorHAnsi" w:cstheme="majorHAnsi"/>
          <w:szCs w:val="24"/>
          <w:highlight w:val="yellow"/>
        </w:rPr>
        <w:t xml:space="preserve"> let the resin suspension rest for 10 min.</w:t>
      </w:r>
    </w:p>
    <w:p w14:paraId="08AA3700" w14:textId="77777777" w:rsidR="00FD133A" w:rsidRPr="0017030F" w:rsidRDefault="00FD133A" w:rsidP="00E73D5F">
      <w:pPr>
        <w:pBdr>
          <w:top w:val="nil"/>
          <w:left w:val="nil"/>
          <w:bottom w:val="nil"/>
          <w:right w:val="nil"/>
          <w:between w:val="nil"/>
        </w:pBdr>
        <w:rPr>
          <w:rFonts w:asciiTheme="majorHAnsi" w:hAnsiTheme="majorHAnsi" w:cstheme="majorHAnsi"/>
          <w:highlight w:val="yellow"/>
        </w:rPr>
      </w:pPr>
    </w:p>
    <w:p w14:paraId="612F3EFE" w14:textId="6FFA04C4" w:rsidR="00444DA6" w:rsidRPr="0017030F" w:rsidRDefault="00444DA6"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 xml:space="preserve">After letting the suspension </w:t>
      </w:r>
      <w:r w:rsidR="00C25E97" w:rsidRPr="0017030F">
        <w:rPr>
          <w:rFonts w:asciiTheme="majorHAnsi" w:hAnsiTheme="majorHAnsi" w:cstheme="majorHAnsi"/>
          <w:szCs w:val="24"/>
          <w:highlight w:val="yellow"/>
        </w:rPr>
        <w:t xml:space="preserve">settle </w:t>
      </w:r>
      <w:r w:rsidRPr="0017030F">
        <w:rPr>
          <w:rFonts w:asciiTheme="majorHAnsi" w:hAnsiTheme="majorHAnsi" w:cstheme="majorHAnsi"/>
          <w:szCs w:val="24"/>
          <w:highlight w:val="yellow"/>
        </w:rPr>
        <w:t>for 10 min, slightly tilt and aspirate the supernatant. Wash at least 5</w:t>
      </w:r>
      <w:r w:rsidR="00E46D34" w:rsidRPr="0017030F">
        <w:rPr>
          <w:rFonts w:asciiTheme="majorHAnsi" w:hAnsiTheme="majorHAnsi" w:cstheme="majorHAnsi"/>
          <w:szCs w:val="24"/>
          <w:highlight w:val="yellow"/>
        </w:rPr>
        <w:t>x</w:t>
      </w:r>
      <w:r w:rsidRPr="0017030F">
        <w:rPr>
          <w:rFonts w:asciiTheme="majorHAnsi" w:hAnsiTheme="majorHAnsi" w:cstheme="majorHAnsi"/>
          <w:szCs w:val="24"/>
          <w:highlight w:val="yellow"/>
        </w:rPr>
        <w:t xml:space="preserve"> in total</w:t>
      </w:r>
      <w:r w:rsidR="00D17993" w:rsidRPr="0017030F">
        <w:rPr>
          <w:rFonts w:asciiTheme="majorHAnsi" w:hAnsiTheme="majorHAnsi" w:cstheme="majorHAnsi"/>
          <w:szCs w:val="24"/>
          <w:highlight w:val="yellow"/>
        </w:rPr>
        <w:t xml:space="preserve"> or until no more color is leaking into the solvent.</w:t>
      </w:r>
    </w:p>
    <w:p w14:paraId="7ECBCA10" w14:textId="77777777" w:rsidR="00FD133A" w:rsidRPr="0017030F" w:rsidRDefault="00FD133A"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highlight w:val="yellow"/>
        </w:rPr>
      </w:pPr>
    </w:p>
    <w:p w14:paraId="7D2325A8" w14:textId="3DC4172E" w:rsidR="00444DA6" w:rsidRPr="0017030F" w:rsidRDefault="00444DA6" w:rsidP="00E73D5F">
      <w:pPr>
        <w:pStyle w:val="Listenabsatz"/>
        <w:numPr>
          <w:ilvl w:val="2"/>
          <w:numId w:val="1"/>
        </w:numP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After the last washing step</w:t>
      </w:r>
      <w:r w:rsidR="00E46D34" w:rsidRPr="0017030F">
        <w:rPr>
          <w:rFonts w:asciiTheme="majorHAnsi" w:hAnsiTheme="majorHAnsi" w:cstheme="majorHAnsi"/>
          <w:szCs w:val="24"/>
          <w:highlight w:val="yellow"/>
        </w:rPr>
        <w:t>,</w:t>
      </w:r>
      <w:r w:rsidRPr="0017030F">
        <w:rPr>
          <w:rFonts w:asciiTheme="majorHAnsi" w:hAnsiTheme="majorHAnsi" w:cstheme="majorHAnsi"/>
          <w:szCs w:val="24"/>
          <w:highlight w:val="yellow"/>
        </w:rPr>
        <w:t xml:space="preserve"> add 10% acetic acid so that it makes up </w:t>
      </w:r>
      <w:r w:rsidR="00E46D34" w:rsidRPr="0017030F">
        <w:rPr>
          <w:rFonts w:asciiTheme="majorHAnsi" w:hAnsiTheme="majorHAnsi" w:cstheme="majorHAnsi"/>
          <w:szCs w:val="24"/>
          <w:highlight w:val="yellow"/>
        </w:rPr>
        <w:t>approximately</w:t>
      </w:r>
      <w:r w:rsidRPr="0017030F">
        <w:rPr>
          <w:rFonts w:asciiTheme="majorHAnsi" w:hAnsiTheme="majorHAnsi" w:cstheme="majorHAnsi"/>
          <w:szCs w:val="24"/>
          <w:highlight w:val="yellow"/>
        </w:rPr>
        <w:t xml:space="preserve"> 50% of the total volume. </w:t>
      </w:r>
    </w:p>
    <w:p w14:paraId="657A5CBF" w14:textId="77777777" w:rsidR="00FD133A" w:rsidRPr="0017030F" w:rsidRDefault="00FD133A" w:rsidP="00E73D5F">
      <w:pPr>
        <w:rPr>
          <w:rFonts w:asciiTheme="majorHAnsi" w:hAnsiTheme="majorHAnsi" w:cstheme="majorHAnsi"/>
          <w:highlight w:val="yellow"/>
        </w:rPr>
      </w:pPr>
    </w:p>
    <w:p w14:paraId="42E58CF8" w14:textId="26BA1668" w:rsidR="00444DA6" w:rsidRPr="0017030F" w:rsidRDefault="00444DA6" w:rsidP="00E73D5F">
      <w:pPr>
        <w:pStyle w:val="Listenabsatz"/>
        <w:numPr>
          <w:ilvl w:val="2"/>
          <w:numId w:val="1"/>
        </w:numP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Tilt the container so that the resin is moving to one side and stabilize the container in the tilted position. Wait for</w:t>
      </w:r>
      <w:r w:rsidR="002D2D0B" w:rsidRPr="0017030F">
        <w:rPr>
          <w:rFonts w:asciiTheme="majorHAnsi" w:hAnsiTheme="majorHAnsi" w:cstheme="majorHAnsi"/>
          <w:szCs w:val="24"/>
          <w:highlight w:val="yellow"/>
        </w:rPr>
        <w:t xml:space="preserve"> ~</w:t>
      </w:r>
      <w:r w:rsidRPr="0017030F">
        <w:rPr>
          <w:rFonts w:asciiTheme="majorHAnsi" w:hAnsiTheme="majorHAnsi" w:cstheme="majorHAnsi"/>
          <w:szCs w:val="24"/>
          <w:highlight w:val="yellow"/>
        </w:rPr>
        <w:t>10 min for the phases to separate.</w:t>
      </w:r>
    </w:p>
    <w:p w14:paraId="05B362BE" w14:textId="77777777" w:rsidR="00FD133A" w:rsidRPr="0017030F" w:rsidRDefault="00FD133A" w:rsidP="00E73D5F">
      <w:pPr>
        <w:pStyle w:val="Listenabsatz"/>
        <w:spacing w:after="0" w:line="240" w:lineRule="auto"/>
        <w:ind w:left="0"/>
        <w:jc w:val="both"/>
        <w:rPr>
          <w:rFonts w:asciiTheme="majorHAnsi" w:hAnsiTheme="majorHAnsi" w:cstheme="majorHAnsi"/>
          <w:szCs w:val="24"/>
          <w:highlight w:val="yellow"/>
        </w:rPr>
      </w:pPr>
    </w:p>
    <w:p w14:paraId="464313C9" w14:textId="4BFA4D53" w:rsidR="00444DA6" w:rsidRPr="0017030F" w:rsidRDefault="00444DA6" w:rsidP="00E73D5F">
      <w:pPr>
        <w:pStyle w:val="Listenabsatz"/>
        <w:numPr>
          <w:ilvl w:val="2"/>
          <w:numId w:val="1"/>
        </w:numP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 xml:space="preserve">Place a 96-well filter plate on top of a 96-deep well plate and add 100 µL of </w:t>
      </w:r>
      <w:r w:rsidR="00DB2017" w:rsidRPr="0017030F">
        <w:rPr>
          <w:rFonts w:asciiTheme="majorHAnsi" w:hAnsiTheme="majorHAnsi" w:cstheme="majorHAnsi"/>
          <w:szCs w:val="24"/>
          <w:highlight w:val="yellow"/>
        </w:rPr>
        <w:t xml:space="preserve">10% </w:t>
      </w:r>
      <w:r w:rsidRPr="0017030F">
        <w:rPr>
          <w:rFonts w:asciiTheme="majorHAnsi" w:hAnsiTheme="majorHAnsi" w:cstheme="majorHAnsi"/>
          <w:szCs w:val="24"/>
          <w:highlight w:val="yellow"/>
        </w:rPr>
        <w:t>acetic acid into each well of the 96-well filter plate.</w:t>
      </w:r>
    </w:p>
    <w:p w14:paraId="301D1234" w14:textId="77777777" w:rsidR="00FD133A" w:rsidRPr="0017030F" w:rsidRDefault="00FD133A" w:rsidP="00E73D5F">
      <w:pPr>
        <w:pStyle w:val="Listenabsatz"/>
        <w:spacing w:after="0" w:line="240" w:lineRule="auto"/>
        <w:ind w:left="0"/>
        <w:jc w:val="both"/>
        <w:rPr>
          <w:rFonts w:asciiTheme="majorHAnsi" w:hAnsiTheme="majorHAnsi" w:cstheme="majorHAnsi"/>
          <w:szCs w:val="24"/>
          <w:highlight w:val="yellow"/>
        </w:rPr>
      </w:pPr>
    </w:p>
    <w:p w14:paraId="6A8CE55E" w14:textId="1C77BAD7" w:rsidR="00650698" w:rsidRPr="0017030F" w:rsidRDefault="00444DA6"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 xml:space="preserve">Cut the tips used for resin casting at a height of </w:t>
      </w:r>
      <w:r w:rsidR="00650698" w:rsidRPr="0017030F">
        <w:rPr>
          <w:rFonts w:asciiTheme="majorHAnsi" w:hAnsiTheme="majorHAnsi" w:cstheme="majorHAnsi"/>
          <w:szCs w:val="24"/>
          <w:highlight w:val="yellow"/>
        </w:rPr>
        <w:t>~1</w:t>
      </w:r>
      <w:r w:rsidRPr="0017030F">
        <w:rPr>
          <w:rFonts w:asciiTheme="majorHAnsi" w:hAnsiTheme="majorHAnsi" w:cstheme="majorHAnsi"/>
          <w:szCs w:val="24"/>
          <w:highlight w:val="yellow"/>
        </w:rPr>
        <w:t xml:space="preserve"> cm to widen the opening at the end and cast 300 µL </w:t>
      </w:r>
      <w:r w:rsidR="00650698" w:rsidRPr="0017030F">
        <w:rPr>
          <w:rFonts w:asciiTheme="majorHAnsi" w:hAnsiTheme="majorHAnsi" w:cstheme="majorHAnsi"/>
          <w:szCs w:val="24"/>
          <w:highlight w:val="yellow"/>
        </w:rPr>
        <w:t xml:space="preserve">of </w:t>
      </w:r>
      <w:r w:rsidRPr="0017030F">
        <w:rPr>
          <w:rFonts w:asciiTheme="majorHAnsi" w:hAnsiTheme="majorHAnsi" w:cstheme="majorHAnsi"/>
          <w:szCs w:val="24"/>
          <w:highlight w:val="yellow"/>
        </w:rPr>
        <w:t>ion exchange resin into each well of the 96-well filter plate.</w:t>
      </w:r>
      <w:r w:rsidR="00455C86" w:rsidRPr="0017030F">
        <w:rPr>
          <w:rFonts w:asciiTheme="majorHAnsi" w:hAnsiTheme="majorHAnsi" w:cstheme="majorHAnsi"/>
          <w:szCs w:val="24"/>
          <w:highlight w:val="yellow"/>
        </w:rPr>
        <w:t xml:space="preserve"> </w:t>
      </w:r>
    </w:p>
    <w:p w14:paraId="1BBBE28B" w14:textId="77777777" w:rsidR="00650698" w:rsidRPr="00E73D5F" w:rsidRDefault="00650698" w:rsidP="00E73D5F">
      <w:pPr>
        <w:pStyle w:val="Listenabsatz"/>
        <w:spacing w:after="0" w:line="240" w:lineRule="auto"/>
        <w:ind w:left="0"/>
        <w:jc w:val="both"/>
        <w:rPr>
          <w:rFonts w:asciiTheme="majorHAnsi" w:hAnsiTheme="majorHAnsi" w:cstheme="majorHAnsi"/>
          <w:szCs w:val="24"/>
          <w:highlight w:val="yellow"/>
        </w:rPr>
      </w:pPr>
    </w:p>
    <w:p w14:paraId="08843C4E" w14:textId="00F23601" w:rsidR="00444DA6" w:rsidRPr="0017030F" w:rsidRDefault="00650698"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highlight w:val="yellow"/>
        </w:rPr>
      </w:pPr>
      <w:r w:rsidRPr="0017030F">
        <w:rPr>
          <w:rFonts w:asciiTheme="majorHAnsi" w:hAnsiTheme="majorHAnsi" w:cstheme="majorHAnsi"/>
          <w:szCs w:val="24"/>
          <w:highlight w:val="yellow"/>
        </w:rPr>
        <w:t xml:space="preserve">NOTE: </w:t>
      </w:r>
      <w:r w:rsidR="00455C86" w:rsidRPr="0017030F">
        <w:rPr>
          <w:rFonts w:asciiTheme="majorHAnsi" w:hAnsiTheme="majorHAnsi" w:cstheme="majorHAnsi"/>
          <w:szCs w:val="24"/>
          <w:highlight w:val="yellow"/>
        </w:rPr>
        <w:t>The tips used in our work have a maximum volume of 1</w:t>
      </w:r>
      <w:r w:rsidRPr="0017030F">
        <w:rPr>
          <w:rFonts w:asciiTheme="majorHAnsi" w:hAnsiTheme="majorHAnsi" w:cstheme="majorHAnsi"/>
          <w:szCs w:val="24"/>
          <w:highlight w:val="yellow"/>
        </w:rPr>
        <w:t>,</w:t>
      </w:r>
      <w:r w:rsidR="00455C86" w:rsidRPr="0017030F">
        <w:rPr>
          <w:rFonts w:asciiTheme="majorHAnsi" w:hAnsiTheme="majorHAnsi" w:cstheme="majorHAnsi"/>
          <w:szCs w:val="24"/>
          <w:highlight w:val="yellow"/>
        </w:rPr>
        <w:t>200 µL and can be attached to multichannel pipettes.</w:t>
      </w:r>
    </w:p>
    <w:p w14:paraId="65070DD3" w14:textId="77777777" w:rsidR="00FD133A" w:rsidRPr="0017030F" w:rsidRDefault="00FD133A"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highlight w:val="yellow"/>
        </w:rPr>
      </w:pPr>
    </w:p>
    <w:p w14:paraId="6350FC9F" w14:textId="2C782E79" w:rsidR="00444DA6" w:rsidRPr="0017030F" w:rsidRDefault="00444DA6"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Elute the acetic acid by centrifuging into a 96-deep well plate with 100</w:t>
      </w:r>
      <w:r w:rsidR="00650698" w:rsidRPr="00E73D5F">
        <w:rPr>
          <w:rFonts w:asciiTheme="majorHAnsi" w:hAnsiTheme="majorHAnsi" w:cstheme="majorHAnsi"/>
          <w:szCs w:val="24"/>
          <w:highlight w:val="yellow"/>
        </w:rPr>
        <w:t>–</w:t>
      </w:r>
      <w:r w:rsidRPr="0017030F">
        <w:rPr>
          <w:rFonts w:asciiTheme="majorHAnsi" w:hAnsiTheme="majorHAnsi" w:cstheme="majorHAnsi"/>
          <w:szCs w:val="24"/>
          <w:highlight w:val="yellow"/>
        </w:rPr>
        <w:t xml:space="preserve">200 </w:t>
      </w:r>
      <w:r w:rsidR="00650698" w:rsidRPr="0017030F">
        <w:rPr>
          <w:rFonts w:asciiTheme="majorHAnsi" w:hAnsiTheme="majorHAnsi" w:cstheme="majorHAnsi"/>
          <w:szCs w:val="24"/>
          <w:highlight w:val="yellow"/>
        </w:rPr>
        <w:t>×</w:t>
      </w:r>
      <w:r w:rsidRPr="0017030F">
        <w:rPr>
          <w:rFonts w:asciiTheme="majorHAnsi" w:hAnsiTheme="majorHAnsi" w:cstheme="majorHAnsi"/>
          <w:szCs w:val="24"/>
          <w:highlight w:val="yellow"/>
        </w:rPr>
        <w:t xml:space="preserve"> </w:t>
      </w:r>
      <w:r w:rsidRPr="00E73D5F">
        <w:rPr>
          <w:rFonts w:asciiTheme="majorHAnsi" w:hAnsiTheme="majorHAnsi" w:cstheme="majorHAnsi"/>
          <w:i/>
          <w:iCs/>
          <w:szCs w:val="24"/>
          <w:highlight w:val="yellow"/>
        </w:rPr>
        <w:t>g</w:t>
      </w:r>
      <w:r w:rsidRPr="0017030F">
        <w:rPr>
          <w:rFonts w:asciiTheme="majorHAnsi" w:hAnsiTheme="majorHAnsi" w:cstheme="majorHAnsi"/>
          <w:szCs w:val="24"/>
          <w:highlight w:val="yellow"/>
        </w:rPr>
        <w:t xml:space="preserve"> in a centrifuge with </w:t>
      </w:r>
      <w:r w:rsidR="00DB2017" w:rsidRPr="0017030F">
        <w:rPr>
          <w:rFonts w:asciiTheme="majorHAnsi" w:hAnsiTheme="majorHAnsi" w:cstheme="majorHAnsi"/>
          <w:szCs w:val="24"/>
          <w:highlight w:val="yellow"/>
        </w:rPr>
        <w:t xml:space="preserve">a </w:t>
      </w:r>
      <w:r w:rsidRPr="0017030F">
        <w:rPr>
          <w:rFonts w:asciiTheme="majorHAnsi" w:hAnsiTheme="majorHAnsi" w:cstheme="majorHAnsi"/>
          <w:szCs w:val="24"/>
          <w:highlight w:val="yellow"/>
        </w:rPr>
        <w:t>swing-out rotor for microtiter plates for 1 min. Check whether the resin is distributed evenly across the plate.</w:t>
      </w:r>
    </w:p>
    <w:p w14:paraId="26937073" w14:textId="77777777" w:rsidR="00FD133A" w:rsidRPr="0017030F" w:rsidRDefault="00FD133A" w:rsidP="00E73D5F">
      <w:pPr>
        <w:pBdr>
          <w:top w:val="nil"/>
          <w:left w:val="nil"/>
          <w:bottom w:val="nil"/>
          <w:right w:val="nil"/>
          <w:between w:val="nil"/>
        </w:pBdr>
        <w:rPr>
          <w:rFonts w:asciiTheme="majorHAnsi" w:hAnsiTheme="majorHAnsi" w:cstheme="majorHAnsi"/>
          <w:highlight w:val="yellow"/>
        </w:rPr>
      </w:pPr>
    </w:p>
    <w:p w14:paraId="099FDBF2" w14:textId="407FA3B7" w:rsidR="003B1D25" w:rsidRPr="0017030F" w:rsidRDefault="00444DA6"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Seal the plate with an impermeable sheet of plastic and store at 4</w:t>
      </w:r>
      <w:r w:rsidR="00ED3352" w:rsidRPr="0017030F">
        <w:rPr>
          <w:rFonts w:asciiTheme="majorHAnsi" w:hAnsiTheme="majorHAnsi" w:cstheme="majorHAnsi"/>
          <w:szCs w:val="24"/>
          <w:highlight w:val="yellow"/>
        </w:rPr>
        <w:t xml:space="preserve"> </w:t>
      </w:r>
      <w:r w:rsidRPr="0017030F">
        <w:rPr>
          <w:rFonts w:asciiTheme="majorHAnsi" w:hAnsiTheme="majorHAnsi" w:cstheme="majorHAnsi"/>
          <w:szCs w:val="24"/>
          <w:highlight w:val="yellow"/>
        </w:rPr>
        <w:t>°C for a maximum of 6 months</w:t>
      </w:r>
      <w:r w:rsidR="003B1D25" w:rsidRPr="0017030F">
        <w:rPr>
          <w:rFonts w:asciiTheme="majorHAnsi" w:hAnsiTheme="majorHAnsi" w:cstheme="majorHAnsi"/>
          <w:szCs w:val="24"/>
          <w:highlight w:val="yellow"/>
        </w:rPr>
        <w:t>.</w:t>
      </w:r>
    </w:p>
    <w:p w14:paraId="3C25F74F" w14:textId="77777777" w:rsidR="003B1D25" w:rsidRPr="0017030F" w:rsidRDefault="003B1D25" w:rsidP="00E73D5F">
      <w:pPr>
        <w:pBdr>
          <w:top w:val="nil"/>
          <w:left w:val="nil"/>
          <w:bottom w:val="nil"/>
          <w:right w:val="nil"/>
          <w:between w:val="nil"/>
        </w:pBdr>
        <w:rPr>
          <w:rFonts w:asciiTheme="majorHAnsi" w:hAnsiTheme="majorHAnsi" w:cstheme="majorHAnsi"/>
        </w:rPr>
      </w:pPr>
    </w:p>
    <w:p w14:paraId="671203A3" w14:textId="5BE7FA8E" w:rsidR="00AB530A" w:rsidRPr="0017030F" w:rsidRDefault="00AB530A"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NOTE: Ion exchange resin constituents are known to affect the SK reaction if not washed out properly. The removed supernatant can be used directly in the SK reaction (use 50 µ</w:t>
      </w:r>
      <w:r w:rsidR="002F3EF0" w:rsidRPr="0017030F">
        <w:rPr>
          <w:rFonts w:asciiTheme="majorHAnsi" w:hAnsiTheme="majorHAnsi" w:cstheme="majorHAnsi"/>
        </w:rPr>
        <w:t>L of</w:t>
      </w:r>
      <w:r w:rsidRPr="0017030F">
        <w:rPr>
          <w:rFonts w:asciiTheme="majorHAnsi" w:hAnsiTheme="majorHAnsi" w:cstheme="majorHAnsi"/>
        </w:rPr>
        <w:t xml:space="preserve"> supernatant sample, add 50 µ</w:t>
      </w:r>
      <w:r w:rsidR="002F3EF0" w:rsidRPr="0017030F">
        <w:rPr>
          <w:rFonts w:asciiTheme="majorHAnsi" w:hAnsiTheme="majorHAnsi" w:cstheme="majorHAnsi"/>
        </w:rPr>
        <w:t>L of</w:t>
      </w:r>
      <w:r w:rsidRPr="0017030F">
        <w:rPr>
          <w:rFonts w:asciiTheme="majorHAnsi" w:hAnsiTheme="majorHAnsi" w:cstheme="majorHAnsi"/>
        </w:rPr>
        <w:t xml:space="preserve"> cerium</w:t>
      </w:r>
      <w:r w:rsidR="002F3EF0" w:rsidRPr="0017030F">
        <w:rPr>
          <w:rFonts w:asciiTheme="majorHAnsi" w:hAnsiTheme="majorHAnsi" w:cstheme="majorHAnsi"/>
        </w:rPr>
        <w:t>,</w:t>
      </w:r>
      <w:r w:rsidRPr="0017030F">
        <w:rPr>
          <w:rFonts w:asciiTheme="majorHAnsi" w:hAnsiTheme="majorHAnsi" w:cstheme="majorHAnsi"/>
        </w:rPr>
        <w:t xml:space="preserve"> and finally</w:t>
      </w:r>
      <w:r w:rsidR="002F3EF0" w:rsidRPr="0017030F">
        <w:rPr>
          <w:rFonts w:asciiTheme="majorHAnsi" w:hAnsiTheme="majorHAnsi" w:cstheme="majorHAnsi"/>
        </w:rPr>
        <w:t>,</w:t>
      </w:r>
      <w:r w:rsidRPr="0017030F">
        <w:rPr>
          <w:rFonts w:asciiTheme="majorHAnsi" w:hAnsiTheme="majorHAnsi" w:cstheme="majorHAnsi"/>
        </w:rPr>
        <w:t xml:space="preserve"> 50 µ</w:t>
      </w:r>
      <w:r w:rsidR="002F3EF0" w:rsidRPr="0017030F">
        <w:rPr>
          <w:rFonts w:asciiTheme="majorHAnsi" w:hAnsiTheme="majorHAnsi" w:cstheme="majorHAnsi"/>
        </w:rPr>
        <w:t>L of</w:t>
      </w:r>
      <w:r w:rsidRPr="0017030F">
        <w:rPr>
          <w:rFonts w:asciiTheme="majorHAnsi" w:hAnsiTheme="majorHAnsi" w:cstheme="majorHAnsi"/>
        </w:rPr>
        <w:t xml:space="preserve"> </w:t>
      </w:r>
      <w:proofErr w:type="spellStart"/>
      <w:r w:rsidRPr="0017030F">
        <w:rPr>
          <w:rFonts w:asciiTheme="majorHAnsi" w:hAnsiTheme="majorHAnsi" w:cstheme="majorHAnsi"/>
        </w:rPr>
        <w:t>arsenite</w:t>
      </w:r>
      <w:proofErr w:type="spellEnd"/>
      <w:r w:rsidRPr="0017030F">
        <w:rPr>
          <w:rFonts w:asciiTheme="majorHAnsi" w:hAnsiTheme="majorHAnsi" w:cstheme="majorHAnsi"/>
        </w:rPr>
        <w:t xml:space="preserve"> solution) and can be </w:t>
      </w:r>
      <w:r w:rsidRPr="0017030F">
        <w:rPr>
          <w:rFonts w:asciiTheme="majorHAnsi" w:hAnsiTheme="majorHAnsi" w:cstheme="majorHAnsi"/>
        </w:rPr>
        <w:lastRenderedPageBreak/>
        <w:t>compared against a 10% acetic acid sample (blank control) to ensure complete washing out of the components.</w:t>
      </w:r>
    </w:p>
    <w:p w14:paraId="41841187" w14:textId="77777777" w:rsidR="00AB530A" w:rsidRPr="0017030F" w:rsidRDefault="00AB530A" w:rsidP="00E73D5F">
      <w:pPr>
        <w:pStyle w:val="Listenabsatz"/>
        <w:spacing w:after="0" w:line="240" w:lineRule="auto"/>
        <w:ind w:left="0"/>
        <w:jc w:val="both"/>
        <w:rPr>
          <w:rFonts w:asciiTheme="majorHAnsi" w:hAnsiTheme="majorHAnsi" w:cstheme="majorHAnsi"/>
          <w:szCs w:val="24"/>
        </w:rPr>
      </w:pPr>
    </w:p>
    <w:p w14:paraId="0F4F7073" w14:textId="01A59468" w:rsidR="00AB530A" w:rsidRPr="00393257" w:rsidRDefault="00AB530A" w:rsidP="00E73D5F">
      <w:pPr>
        <w:pStyle w:val="Listenabsatz"/>
        <w:numPr>
          <w:ilvl w:val="1"/>
          <w:numId w:val="1"/>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393257">
        <w:rPr>
          <w:rFonts w:asciiTheme="majorHAnsi" w:hAnsiTheme="majorHAnsi" w:cstheme="majorHAnsi"/>
          <w:szCs w:val="24"/>
          <w:highlight w:val="yellow"/>
        </w:rPr>
        <w:t xml:space="preserve">Standardization of the </w:t>
      </w:r>
      <w:r w:rsidR="006F0B48" w:rsidRPr="00393257">
        <w:rPr>
          <w:rFonts w:asciiTheme="majorHAnsi" w:hAnsiTheme="majorHAnsi" w:cstheme="majorHAnsi"/>
          <w:szCs w:val="24"/>
          <w:highlight w:val="yellow"/>
        </w:rPr>
        <w:t>S</w:t>
      </w:r>
      <w:r w:rsidRPr="00393257">
        <w:rPr>
          <w:rFonts w:asciiTheme="majorHAnsi" w:hAnsiTheme="majorHAnsi" w:cstheme="majorHAnsi"/>
          <w:szCs w:val="24"/>
          <w:highlight w:val="yellow"/>
        </w:rPr>
        <w:t>andell-</w:t>
      </w:r>
      <w:r w:rsidR="006F0B48" w:rsidRPr="00393257">
        <w:rPr>
          <w:rFonts w:asciiTheme="majorHAnsi" w:hAnsiTheme="majorHAnsi" w:cstheme="majorHAnsi"/>
          <w:szCs w:val="24"/>
          <w:highlight w:val="yellow"/>
        </w:rPr>
        <w:t>K</w:t>
      </w:r>
      <w:r w:rsidRPr="00393257">
        <w:rPr>
          <w:rFonts w:asciiTheme="majorHAnsi" w:hAnsiTheme="majorHAnsi" w:cstheme="majorHAnsi"/>
          <w:szCs w:val="24"/>
          <w:highlight w:val="yellow"/>
        </w:rPr>
        <w:t xml:space="preserve">olthoff </w:t>
      </w:r>
      <w:r w:rsidR="00DA56A9" w:rsidRPr="00393257">
        <w:rPr>
          <w:rFonts w:asciiTheme="majorHAnsi" w:hAnsiTheme="majorHAnsi" w:cstheme="majorHAnsi"/>
          <w:szCs w:val="24"/>
          <w:highlight w:val="yellow"/>
        </w:rPr>
        <w:t>r</w:t>
      </w:r>
      <w:r w:rsidRPr="00393257">
        <w:rPr>
          <w:rFonts w:asciiTheme="majorHAnsi" w:hAnsiTheme="majorHAnsi" w:cstheme="majorHAnsi"/>
          <w:szCs w:val="24"/>
          <w:highlight w:val="yellow"/>
        </w:rPr>
        <w:t>eaction</w:t>
      </w:r>
    </w:p>
    <w:p w14:paraId="4DDB7EEE" w14:textId="77777777" w:rsidR="00AB530A" w:rsidRPr="00393257" w:rsidRDefault="00AB530A" w:rsidP="00E73D5F">
      <w:pPr>
        <w:rPr>
          <w:rFonts w:asciiTheme="majorHAnsi" w:hAnsiTheme="majorHAnsi" w:cstheme="majorHAnsi"/>
          <w:highlight w:val="yellow"/>
        </w:rPr>
      </w:pPr>
    </w:p>
    <w:p w14:paraId="2A43648B" w14:textId="08EB0D05" w:rsidR="00AB530A" w:rsidRPr="00393257" w:rsidRDefault="00AB530A"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393257">
        <w:rPr>
          <w:rFonts w:asciiTheme="majorHAnsi" w:hAnsiTheme="majorHAnsi" w:cstheme="majorHAnsi"/>
          <w:szCs w:val="24"/>
          <w:highlight w:val="yellow"/>
        </w:rPr>
        <w:t>Prepare iodide dilutions from a respective iodide source (e.g.</w:t>
      </w:r>
      <w:r w:rsidR="002F3EF0" w:rsidRPr="00393257">
        <w:rPr>
          <w:rFonts w:asciiTheme="majorHAnsi" w:hAnsiTheme="majorHAnsi" w:cstheme="majorHAnsi"/>
          <w:szCs w:val="24"/>
          <w:highlight w:val="yellow"/>
        </w:rPr>
        <w:t>,</w:t>
      </w:r>
      <w:r w:rsidRPr="00393257">
        <w:rPr>
          <w:rFonts w:asciiTheme="majorHAnsi" w:hAnsiTheme="majorHAnsi" w:cstheme="majorHAnsi"/>
          <w:szCs w:val="24"/>
          <w:highlight w:val="yellow"/>
        </w:rPr>
        <w:t xml:space="preserve"> iodide standard solution) with recommended concentrations of </w:t>
      </w:r>
      <w:r w:rsidR="00D17993" w:rsidRPr="00393257">
        <w:rPr>
          <w:rFonts w:asciiTheme="majorHAnsi" w:hAnsiTheme="majorHAnsi" w:cstheme="majorHAnsi"/>
          <w:szCs w:val="24"/>
          <w:highlight w:val="yellow"/>
        </w:rPr>
        <w:t>1</w:t>
      </w:r>
      <w:r w:rsidR="002F3EF0" w:rsidRPr="00393257">
        <w:rPr>
          <w:rFonts w:asciiTheme="majorHAnsi" w:hAnsiTheme="majorHAnsi" w:cstheme="majorHAnsi"/>
          <w:szCs w:val="24"/>
          <w:highlight w:val="yellow"/>
        </w:rPr>
        <w:t>,</w:t>
      </w:r>
      <w:r w:rsidR="00D17993" w:rsidRPr="00393257">
        <w:rPr>
          <w:rFonts w:asciiTheme="majorHAnsi" w:hAnsiTheme="majorHAnsi" w:cstheme="majorHAnsi"/>
          <w:szCs w:val="24"/>
          <w:highlight w:val="yellow"/>
        </w:rPr>
        <w:t>500</w:t>
      </w:r>
      <w:r w:rsidRPr="00393257">
        <w:rPr>
          <w:rFonts w:asciiTheme="majorHAnsi" w:hAnsiTheme="majorHAnsi" w:cstheme="majorHAnsi"/>
          <w:szCs w:val="24"/>
          <w:highlight w:val="yellow"/>
        </w:rPr>
        <w:t>, 1</w:t>
      </w:r>
      <w:r w:rsidR="002F3EF0" w:rsidRPr="00393257">
        <w:rPr>
          <w:rFonts w:asciiTheme="majorHAnsi" w:hAnsiTheme="majorHAnsi" w:cstheme="majorHAnsi"/>
          <w:szCs w:val="24"/>
          <w:highlight w:val="yellow"/>
        </w:rPr>
        <w:t>,</w:t>
      </w:r>
      <w:r w:rsidRPr="00393257">
        <w:rPr>
          <w:rFonts w:asciiTheme="majorHAnsi" w:hAnsiTheme="majorHAnsi" w:cstheme="majorHAnsi"/>
          <w:szCs w:val="24"/>
          <w:highlight w:val="yellow"/>
        </w:rPr>
        <w:t xml:space="preserve">000, 750, 500, 400, 300, </w:t>
      </w:r>
      <w:proofErr w:type="gramStart"/>
      <w:r w:rsidRPr="00393257">
        <w:rPr>
          <w:rFonts w:asciiTheme="majorHAnsi" w:hAnsiTheme="majorHAnsi" w:cstheme="majorHAnsi"/>
          <w:szCs w:val="24"/>
          <w:highlight w:val="yellow"/>
        </w:rPr>
        <w:t>200</w:t>
      </w:r>
      <w:proofErr w:type="gramEnd"/>
      <w:r w:rsidRPr="00393257">
        <w:rPr>
          <w:rFonts w:asciiTheme="majorHAnsi" w:hAnsiTheme="majorHAnsi" w:cstheme="majorHAnsi"/>
          <w:szCs w:val="24"/>
          <w:highlight w:val="yellow"/>
        </w:rPr>
        <w:t>, 100, 50, 25, 10, 5</w:t>
      </w:r>
      <w:r w:rsidR="002F3EF0" w:rsidRPr="00393257">
        <w:rPr>
          <w:rFonts w:asciiTheme="majorHAnsi" w:hAnsiTheme="majorHAnsi" w:cstheme="majorHAnsi"/>
          <w:szCs w:val="24"/>
          <w:highlight w:val="yellow"/>
        </w:rPr>
        <w:t>,</w:t>
      </w:r>
      <w:r w:rsidRPr="00393257">
        <w:rPr>
          <w:rFonts w:asciiTheme="majorHAnsi" w:hAnsiTheme="majorHAnsi" w:cstheme="majorHAnsi"/>
          <w:szCs w:val="24"/>
          <w:highlight w:val="yellow"/>
        </w:rPr>
        <w:t xml:space="preserve"> and 1 </w:t>
      </w:r>
      <w:proofErr w:type="spellStart"/>
      <w:r w:rsidRPr="00393257">
        <w:rPr>
          <w:rFonts w:asciiTheme="majorHAnsi" w:hAnsiTheme="majorHAnsi" w:cstheme="majorHAnsi"/>
          <w:szCs w:val="24"/>
          <w:highlight w:val="yellow"/>
        </w:rPr>
        <w:t>nM</w:t>
      </w:r>
      <w:proofErr w:type="spellEnd"/>
      <w:r w:rsidRPr="00393257">
        <w:rPr>
          <w:rFonts w:asciiTheme="majorHAnsi" w:hAnsiTheme="majorHAnsi" w:cstheme="majorHAnsi"/>
          <w:szCs w:val="24"/>
          <w:highlight w:val="yellow"/>
        </w:rPr>
        <w:t xml:space="preserve"> iodide using a respective iodide standard in diH</w:t>
      </w:r>
      <w:r w:rsidRPr="00393257">
        <w:rPr>
          <w:rFonts w:asciiTheme="majorHAnsi" w:hAnsiTheme="majorHAnsi" w:cstheme="majorHAnsi"/>
          <w:szCs w:val="24"/>
          <w:highlight w:val="yellow"/>
          <w:vertAlign w:val="subscript"/>
        </w:rPr>
        <w:t>2</w:t>
      </w:r>
      <w:r w:rsidRPr="00393257">
        <w:rPr>
          <w:rFonts w:asciiTheme="majorHAnsi" w:hAnsiTheme="majorHAnsi" w:cstheme="majorHAnsi"/>
          <w:szCs w:val="24"/>
          <w:highlight w:val="yellow"/>
        </w:rPr>
        <w:t xml:space="preserve">O. </w:t>
      </w:r>
    </w:p>
    <w:p w14:paraId="1E814BA5" w14:textId="77777777" w:rsidR="001330F8" w:rsidRPr="00393257" w:rsidRDefault="001330F8"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highlight w:val="yellow"/>
        </w:rPr>
      </w:pPr>
    </w:p>
    <w:p w14:paraId="29DB50F2" w14:textId="7E711C7A" w:rsidR="001330F8" w:rsidRPr="00393257" w:rsidRDefault="001330F8"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393257">
        <w:rPr>
          <w:rFonts w:asciiTheme="majorHAnsi" w:hAnsiTheme="majorHAnsi" w:cstheme="majorHAnsi"/>
          <w:szCs w:val="24"/>
          <w:highlight w:val="yellow"/>
        </w:rPr>
        <w:t xml:space="preserve">Add 50 µL </w:t>
      </w:r>
      <w:r w:rsidR="002F3EF0" w:rsidRPr="00393257">
        <w:rPr>
          <w:rFonts w:asciiTheme="majorHAnsi" w:hAnsiTheme="majorHAnsi" w:cstheme="majorHAnsi"/>
          <w:szCs w:val="24"/>
          <w:highlight w:val="yellow"/>
        </w:rPr>
        <w:t xml:space="preserve">of </w:t>
      </w:r>
      <w:r w:rsidRPr="00393257">
        <w:rPr>
          <w:rFonts w:asciiTheme="majorHAnsi" w:hAnsiTheme="majorHAnsi" w:cstheme="majorHAnsi"/>
          <w:szCs w:val="24"/>
          <w:highlight w:val="yellow"/>
        </w:rPr>
        <w:t>pure diH</w:t>
      </w:r>
      <w:r w:rsidRPr="00393257">
        <w:rPr>
          <w:rFonts w:asciiTheme="majorHAnsi" w:hAnsiTheme="majorHAnsi" w:cstheme="majorHAnsi"/>
          <w:szCs w:val="24"/>
          <w:highlight w:val="yellow"/>
          <w:vertAlign w:val="subscript"/>
        </w:rPr>
        <w:t>2</w:t>
      </w:r>
      <w:r w:rsidRPr="00393257">
        <w:rPr>
          <w:rFonts w:asciiTheme="majorHAnsi" w:hAnsiTheme="majorHAnsi" w:cstheme="majorHAnsi"/>
          <w:szCs w:val="24"/>
          <w:highlight w:val="yellow"/>
        </w:rPr>
        <w:t>O as a control and 50 µ</w:t>
      </w:r>
      <w:r w:rsidR="002F3EF0" w:rsidRPr="00393257">
        <w:rPr>
          <w:rFonts w:asciiTheme="majorHAnsi" w:hAnsiTheme="majorHAnsi" w:cstheme="majorHAnsi"/>
          <w:szCs w:val="24"/>
          <w:highlight w:val="yellow"/>
        </w:rPr>
        <w:t>L</w:t>
      </w:r>
      <w:r w:rsidRPr="00393257">
        <w:rPr>
          <w:rFonts w:asciiTheme="majorHAnsi" w:hAnsiTheme="majorHAnsi" w:cstheme="majorHAnsi"/>
          <w:szCs w:val="24"/>
          <w:highlight w:val="yellow"/>
        </w:rPr>
        <w:t xml:space="preserve"> of the prepared iodide dilutions to a 96-well plate in triplicate as described in the layout in </w:t>
      </w:r>
      <w:r w:rsidRPr="00393257">
        <w:rPr>
          <w:rFonts w:asciiTheme="majorHAnsi" w:hAnsiTheme="majorHAnsi" w:cstheme="majorHAnsi"/>
          <w:b/>
          <w:bCs/>
          <w:szCs w:val="24"/>
          <w:highlight w:val="yellow"/>
        </w:rPr>
        <w:t xml:space="preserve">Figure </w:t>
      </w:r>
      <w:r w:rsidRPr="00393257">
        <w:rPr>
          <w:rFonts w:asciiTheme="majorHAnsi" w:hAnsiTheme="majorHAnsi" w:cstheme="majorHAnsi"/>
          <w:szCs w:val="24"/>
          <w:highlight w:val="yellow"/>
        </w:rPr>
        <w:t>1.</w:t>
      </w:r>
    </w:p>
    <w:p w14:paraId="4632DB7F" w14:textId="77777777" w:rsidR="001330F8" w:rsidRPr="00393257" w:rsidRDefault="001330F8" w:rsidP="00E73D5F">
      <w:pPr>
        <w:pBdr>
          <w:top w:val="nil"/>
          <w:left w:val="nil"/>
          <w:bottom w:val="nil"/>
          <w:right w:val="nil"/>
          <w:between w:val="nil"/>
        </w:pBdr>
        <w:rPr>
          <w:rFonts w:asciiTheme="majorHAnsi" w:hAnsiTheme="majorHAnsi" w:cstheme="majorHAnsi"/>
          <w:highlight w:val="yellow"/>
        </w:rPr>
      </w:pPr>
    </w:p>
    <w:p w14:paraId="487955FE" w14:textId="7D6DCB95" w:rsidR="001330F8" w:rsidRPr="00393257" w:rsidRDefault="001330F8"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393257">
        <w:rPr>
          <w:rFonts w:asciiTheme="majorHAnsi" w:hAnsiTheme="majorHAnsi" w:cstheme="majorHAnsi"/>
          <w:szCs w:val="24"/>
          <w:highlight w:val="yellow"/>
        </w:rPr>
        <w:t xml:space="preserve">Add 50 µL of </w:t>
      </w:r>
      <w:r w:rsidR="00504150" w:rsidRPr="00393257">
        <w:rPr>
          <w:rFonts w:asciiTheme="majorHAnsi" w:hAnsiTheme="majorHAnsi" w:cstheme="majorHAnsi"/>
          <w:szCs w:val="24"/>
          <w:highlight w:val="yellow"/>
        </w:rPr>
        <w:t xml:space="preserve">40 mM </w:t>
      </w:r>
      <w:r w:rsidRPr="00393257">
        <w:rPr>
          <w:rFonts w:asciiTheme="majorHAnsi" w:hAnsiTheme="majorHAnsi" w:cstheme="majorHAnsi"/>
          <w:szCs w:val="24"/>
          <w:highlight w:val="yellow"/>
        </w:rPr>
        <w:t>cerium solution to all wells and start the reaction by adding 50 µL of 25</w:t>
      </w:r>
      <w:r w:rsidR="000A4313" w:rsidRPr="00393257">
        <w:rPr>
          <w:rFonts w:asciiTheme="majorHAnsi" w:hAnsiTheme="majorHAnsi" w:cstheme="majorHAnsi"/>
          <w:szCs w:val="24"/>
          <w:highlight w:val="yellow"/>
        </w:rPr>
        <w:t> </w:t>
      </w:r>
      <w:r w:rsidRPr="00393257">
        <w:rPr>
          <w:rFonts w:asciiTheme="majorHAnsi" w:hAnsiTheme="majorHAnsi" w:cstheme="majorHAnsi"/>
          <w:szCs w:val="24"/>
          <w:highlight w:val="yellow"/>
        </w:rPr>
        <w:t xml:space="preserve">mM </w:t>
      </w:r>
      <w:proofErr w:type="spellStart"/>
      <w:r w:rsidRPr="00393257">
        <w:rPr>
          <w:rFonts w:asciiTheme="majorHAnsi" w:hAnsiTheme="majorHAnsi" w:cstheme="majorHAnsi"/>
          <w:szCs w:val="24"/>
          <w:highlight w:val="yellow"/>
        </w:rPr>
        <w:t>arsenite</w:t>
      </w:r>
      <w:proofErr w:type="spellEnd"/>
      <w:r w:rsidRPr="00393257">
        <w:rPr>
          <w:rFonts w:asciiTheme="majorHAnsi" w:hAnsiTheme="majorHAnsi" w:cstheme="majorHAnsi"/>
          <w:szCs w:val="24"/>
          <w:highlight w:val="yellow"/>
        </w:rPr>
        <w:t xml:space="preserve"> solution to all wells. </w:t>
      </w:r>
    </w:p>
    <w:p w14:paraId="384C0982" w14:textId="77777777" w:rsidR="001330F8" w:rsidRPr="00393257" w:rsidRDefault="001330F8" w:rsidP="00E73D5F">
      <w:pPr>
        <w:pBdr>
          <w:top w:val="nil"/>
          <w:left w:val="nil"/>
          <w:bottom w:val="nil"/>
          <w:right w:val="nil"/>
          <w:between w:val="nil"/>
        </w:pBdr>
        <w:rPr>
          <w:rFonts w:asciiTheme="majorHAnsi" w:hAnsiTheme="majorHAnsi" w:cstheme="majorHAnsi"/>
          <w:highlight w:val="yellow"/>
        </w:rPr>
      </w:pPr>
    </w:p>
    <w:p w14:paraId="02461923" w14:textId="545E666F" w:rsidR="001330F8" w:rsidRPr="00393257" w:rsidRDefault="001330F8"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393257">
        <w:rPr>
          <w:rFonts w:asciiTheme="majorHAnsi" w:hAnsiTheme="majorHAnsi" w:cstheme="majorHAnsi"/>
          <w:szCs w:val="24"/>
          <w:highlight w:val="yellow"/>
        </w:rPr>
        <w:t xml:space="preserve">As soon as possible after adding the </w:t>
      </w:r>
      <w:proofErr w:type="spellStart"/>
      <w:r w:rsidRPr="00393257">
        <w:rPr>
          <w:rFonts w:asciiTheme="majorHAnsi" w:hAnsiTheme="majorHAnsi" w:cstheme="majorHAnsi"/>
          <w:szCs w:val="24"/>
          <w:highlight w:val="yellow"/>
        </w:rPr>
        <w:t>arsenite</w:t>
      </w:r>
      <w:proofErr w:type="spellEnd"/>
      <w:r w:rsidRPr="00393257">
        <w:rPr>
          <w:rFonts w:asciiTheme="majorHAnsi" w:hAnsiTheme="majorHAnsi" w:cstheme="majorHAnsi"/>
          <w:szCs w:val="24"/>
          <w:highlight w:val="yellow"/>
        </w:rPr>
        <w:t xml:space="preserve"> solution, measure the absorption using a plate reader at 415 nm (±2 nm) by recording the optical density (OD) every minute for 21 min, as well as recording the initial OD.</w:t>
      </w:r>
    </w:p>
    <w:p w14:paraId="08BE24E8" w14:textId="77777777" w:rsidR="001330F8" w:rsidRPr="00393257" w:rsidRDefault="001330F8" w:rsidP="00E73D5F">
      <w:pPr>
        <w:pBdr>
          <w:top w:val="nil"/>
          <w:left w:val="nil"/>
          <w:bottom w:val="nil"/>
          <w:right w:val="nil"/>
          <w:between w:val="nil"/>
        </w:pBdr>
        <w:rPr>
          <w:rFonts w:asciiTheme="majorHAnsi" w:hAnsiTheme="majorHAnsi" w:cstheme="majorHAnsi"/>
          <w:highlight w:val="yellow"/>
        </w:rPr>
      </w:pPr>
    </w:p>
    <w:p w14:paraId="774AA533" w14:textId="1BBBB5FE" w:rsidR="00FD133A" w:rsidRPr="00C91780" w:rsidRDefault="001330F8"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C91780">
        <w:rPr>
          <w:rFonts w:asciiTheme="majorHAnsi" w:hAnsiTheme="majorHAnsi" w:cstheme="majorHAnsi"/>
          <w:szCs w:val="24"/>
        </w:rPr>
        <w:t xml:space="preserve">Evaluate the results as described in </w:t>
      </w:r>
      <w:r w:rsidR="002F3EF0" w:rsidRPr="00C91780">
        <w:rPr>
          <w:rFonts w:asciiTheme="majorHAnsi" w:hAnsiTheme="majorHAnsi" w:cstheme="majorHAnsi"/>
          <w:szCs w:val="24"/>
        </w:rPr>
        <w:t>section 4</w:t>
      </w:r>
      <w:r w:rsidRPr="00C91780">
        <w:rPr>
          <w:rFonts w:asciiTheme="majorHAnsi" w:hAnsiTheme="majorHAnsi" w:cstheme="majorHAnsi"/>
          <w:szCs w:val="24"/>
        </w:rPr>
        <w:t>.</w:t>
      </w:r>
    </w:p>
    <w:p w14:paraId="1A251EFC" w14:textId="77777777" w:rsidR="00884505" w:rsidRPr="0017030F" w:rsidRDefault="00884505" w:rsidP="00E73D5F">
      <w:pPr>
        <w:pBdr>
          <w:top w:val="nil"/>
          <w:left w:val="nil"/>
          <w:bottom w:val="nil"/>
          <w:right w:val="nil"/>
          <w:between w:val="nil"/>
        </w:pBdr>
        <w:rPr>
          <w:rFonts w:asciiTheme="majorHAnsi" w:hAnsiTheme="majorHAnsi" w:cstheme="majorHAnsi"/>
        </w:rPr>
      </w:pPr>
    </w:p>
    <w:p w14:paraId="32BB6ABB" w14:textId="417E0225" w:rsidR="0032133F" w:rsidRPr="0017030F" w:rsidRDefault="0032133F" w:rsidP="00E73D5F">
      <w:pPr>
        <w:pBdr>
          <w:top w:val="nil"/>
          <w:left w:val="nil"/>
          <w:bottom w:val="nil"/>
          <w:right w:val="nil"/>
          <w:between w:val="nil"/>
        </w:pBdr>
        <w:rPr>
          <w:rFonts w:asciiTheme="majorHAnsi" w:hAnsiTheme="majorHAnsi" w:cstheme="majorHAnsi"/>
        </w:rPr>
      </w:pPr>
      <w:bookmarkStart w:id="8" w:name="_Hlk210114058"/>
      <w:r w:rsidRPr="0017030F">
        <w:rPr>
          <w:rFonts w:asciiTheme="majorHAnsi" w:hAnsiTheme="majorHAnsi" w:cstheme="majorHAnsi"/>
        </w:rPr>
        <w:t xml:space="preserve">[Place </w:t>
      </w:r>
      <w:r w:rsidRPr="0017030F">
        <w:rPr>
          <w:rFonts w:asciiTheme="majorHAnsi" w:hAnsiTheme="majorHAnsi" w:cstheme="majorHAnsi"/>
          <w:b/>
        </w:rPr>
        <w:t>Figure 1</w:t>
      </w:r>
      <w:r w:rsidRPr="0017030F">
        <w:rPr>
          <w:rFonts w:asciiTheme="majorHAnsi" w:hAnsiTheme="majorHAnsi" w:cstheme="majorHAnsi"/>
        </w:rPr>
        <w:t xml:space="preserve"> here]</w:t>
      </w:r>
    </w:p>
    <w:p w14:paraId="15622B2A" w14:textId="77777777" w:rsidR="0032133F" w:rsidRPr="0017030F" w:rsidRDefault="0032133F" w:rsidP="00E73D5F">
      <w:pPr>
        <w:pBdr>
          <w:top w:val="nil"/>
          <w:left w:val="nil"/>
          <w:bottom w:val="nil"/>
          <w:right w:val="nil"/>
          <w:between w:val="nil"/>
        </w:pBdr>
        <w:rPr>
          <w:rFonts w:asciiTheme="majorHAnsi" w:hAnsiTheme="majorHAnsi" w:cstheme="majorHAnsi"/>
        </w:rPr>
      </w:pPr>
    </w:p>
    <w:p w14:paraId="7A0C7A84" w14:textId="34C860C5" w:rsidR="002326FF" w:rsidRPr="0017030F" w:rsidRDefault="00885C4C"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NOTE: Usually, a background of</w:t>
      </w:r>
      <w:r w:rsidR="00032E1C" w:rsidRPr="0017030F">
        <w:rPr>
          <w:rFonts w:asciiTheme="majorHAnsi" w:hAnsiTheme="majorHAnsi" w:cstheme="majorHAnsi"/>
        </w:rPr>
        <w:t xml:space="preserve"> ΔOD</w:t>
      </w:r>
      <w:r w:rsidR="00032E1C" w:rsidRPr="0017030F">
        <w:rPr>
          <w:rFonts w:asciiTheme="majorHAnsi" w:hAnsiTheme="majorHAnsi" w:cstheme="majorHAnsi"/>
          <w:vertAlign w:val="subscript"/>
        </w:rPr>
        <w:t xml:space="preserve">21min </w:t>
      </w:r>
      <w:r w:rsidR="00032E1C" w:rsidRPr="0017030F">
        <w:rPr>
          <w:rFonts w:asciiTheme="majorHAnsi" w:hAnsiTheme="majorHAnsi" w:cstheme="majorHAnsi"/>
        </w:rPr>
        <w:t>&gt; 0.3</w:t>
      </w:r>
      <w:r w:rsidRPr="0017030F">
        <w:rPr>
          <w:rFonts w:asciiTheme="majorHAnsi" w:hAnsiTheme="majorHAnsi" w:cstheme="majorHAnsi"/>
        </w:rPr>
        <w:t xml:space="preserve"> in the pure diH</w:t>
      </w:r>
      <w:r w:rsidRPr="0017030F">
        <w:rPr>
          <w:rFonts w:asciiTheme="majorHAnsi" w:hAnsiTheme="majorHAnsi" w:cstheme="majorHAnsi"/>
          <w:vertAlign w:val="subscript"/>
        </w:rPr>
        <w:t>2</w:t>
      </w:r>
      <w:r w:rsidRPr="0017030F">
        <w:rPr>
          <w:rFonts w:asciiTheme="majorHAnsi" w:hAnsiTheme="majorHAnsi" w:cstheme="majorHAnsi"/>
        </w:rPr>
        <w:t>O control will need attention and further investigation of underlying causes (e.g., contamination in the As or Ce-batch, low water quality).</w:t>
      </w:r>
    </w:p>
    <w:bookmarkEnd w:id="8"/>
    <w:p w14:paraId="2EC1D4B4" w14:textId="77777777" w:rsidR="00885C4C" w:rsidRPr="0017030F" w:rsidRDefault="00885C4C" w:rsidP="00E73D5F">
      <w:pPr>
        <w:pBdr>
          <w:top w:val="nil"/>
          <w:left w:val="nil"/>
          <w:bottom w:val="nil"/>
          <w:right w:val="nil"/>
          <w:between w:val="nil"/>
        </w:pBdr>
        <w:rPr>
          <w:rFonts w:asciiTheme="majorHAnsi" w:hAnsiTheme="majorHAnsi" w:cstheme="majorHAnsi"/>
        </w:rPr>
      </w:pPr>
    </w:p>
    <w:p w14:paraId="40DA6886" w14:textId="65A7EB45" w:rsidR="00747E5D" w:rsidRPr="0017030F" w:rsidRDefault="000019D6" w:rsidP="00E73D5F">
      <w:pPr>
        <w:pStyle w:val="Listenabsatz"/>
        <w:numPr>
          <w:ilvl w:val="1"/>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bookmarkStart w:id="9" w:name="_Ref209424247"/>
      <w:r w:rsidRPr="0017030F">
        <w:rPr>
          <w:rFonts w:asciiTheme="majorHAnsi" w:hAnsiTheme="majorHAnsi" w:cstheme="majorHAnsi"/>
          <w:szCs w:val="24"/>
        </w:rPr>
        <w:t>Assessing</w:t>
      </w:r>
      <w:r w:rsidR="00333622" w:rsidRPr="0017030F">
        <w:rPr>
          <w:rFonts w:asciiTheme="majorHAnsi" w:hAnsiTheme="majorHAnsi" w:cstheme="majorHAnsi"/>
          <w:szCs w:val="24"/>
        </w:rPr>
        <w:t xml:space="preserve"> </w:t>
      </w:r>
      <w:r w:rsidR="00DA56A9" w:rsidRPr="0017030F">
        <w:rPr>
          <w:rFonts w:asciiTheme="majorHAnsi" w:hAnsiTheme="majorHAnsi" w:cstheme="majorHAnsi"/>
          <w:szCs w:val="24"/>
        </w:rPr>
        <w:t>m</w:t>
      </w:r>
      <w:r w:rsidR="00333622" w:rsidRPr="0017030F">
        <w:rPr>
          <w:rFonts w:asciiTheme="majorHAnsi" w:hAnsiTheme="majorHAnsi" w:cstheme="majorHAnsi"/>
          <w:szCs w:val="24"/>
        </w:rPr>
        <w:t>icrosome</w:t>
      </w:r>
      <w:r w:rsidRPr="0017030F">
        <w:rPr>
          <w:rFonts w:asciiTheme="majorHAnsi" w:hAnsiTheme="majorHAnsi" w:cstheme="majorHAnsi"/>
          <w:szCs w:val="24"/>
        </w:rPr>
        <w:t xml:space="preserve"> </w:t>
      </w:r>
      <w:r w:rsidR="00DA56A9" w:rsidRPr="0017030F">
        <w:rPr>
          <w:rFonts w:asciiTheme="majorHAnsi" w:hAnsiTheme="majorHAnsi" w:cstheme="majorHAnsi"/>
          <w:szCs w:val="24"/>
        </w:rPr>
        <w:t>a</w:t>
      </w:r>
      <w:r w:rsidRPr="0017030F">
        <w:rPr>
          <w:rFonts w:asciiTheme="majorHAnsi" w:hAnsiTheme="majorHAnsi" w:cstheme="majorHAnsi"/>
          <w:szCs w:val="24"/>
        </w:rPr>
        <w:t>ctivity</w:t>
      </w:r>
      <w:bookmarkEnd w:id="9"/>
    </w:p>
    <w:p w14:paraId="485D075B" w14:textId="77777777" w:rsidR="006E4D41" w:rsidRPr="0017030F" w:rsidRDefault="006E4D41"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1D28696D" w14:textId="471F4EB5" w:rsidR="003C3E26" w:rsidRPr="0017030F" w:rsidRDefault="003C3E26" w:rsidP="00E73D5F">
      <w:pPr>
        <w:pStyle w:val="Listenabsatz"/>
        <w:numPr>
          <w:ilvl w:val="2"/>
          <w:numId w:val="1"/>
        </w:numPr>
        <w:spacing w:after="0" w:line="240" w:lineRule="auto"/>
        <w:ind w:left="0" w:firstLine="0"/>
        <w:jc w:val="both"/>
        <w:rPr>
          <w:rFonts w:asciiTheme="majorHAnsi" w:hAnsiTheme="majorHAnsi" w:cstheme="majorHAnsi"/>
          <w:szCs w:val="24"/>
        </w:rPr>
      </w:pPr>
      <w:bookmarkStart w:id="10" w:name="_Ref209186389"/>
      <w:r w:rsidRPr="0017030F">
        <w:rPr>
          <w:rFonts w:asciiTheme="majorHAnsi" w:hAnsiTheme="majorHAnsi" w:cstheme="majorHAnsi"/>
          <w:szCs w:val="24"/>
        </w:rPr>
        <w:t>Prepare</w:t>
      </w:r>
      <w:r w:rsidR="005901AC" w:rsidRPr="0017030F">
        <w:rPr>
          <w:rFonts w:asciiTheme="majorHAnsi" w:hAnsiTheme="majorHAnsi" w:cstheme="majorHAnsi"/>
          <w:szCs w:val="24"/>
        </w:rPr>
        <w:t xml:space="preserve"> the highest concentration (RI-C8)</w:t>
      </w:r>
      <w:r w:rsidRPr="0017030F">
        <w:rPr>
          <w:rFonts w:asciiTheme="majorHAnsi" w:hAnsiTheme="majorHAnsi" w:cstheme="majorHAnsi"/>
          <w:szCs w:val="24"/>
        </w:rPr>
        <w:t xml:space="preserve"> </w:t>
      </w:r>
      <w:r w:rsidR="00245C39" w:rsidRPr="0017030F">
        <w:rPr>
          <w:rFonts w:asciiTheme="majorHAnsi" w:hAnsiTheme="majorHAnsi" w:cstheme="majorHAnsi"/>
          <w:szCs w:val="24"/>
        </w:rPr>
        <w:t xml:space="preserve">of the </w:t>
      </w:r>
      <w:r w:rsidRPr="0017030F">
        <w:rPr>
          <w:rFonts w:asciiTheme="majorHAnsi" w:hAnsiTheme="majorHAnsi" w:cstheme="majorHAnsi"/>
          <w:szCs w:val="24"/>
        </w:rPr>
        <w:t xml:space="preserve">reference item (6-PTU) </w:t>
      </w:r>
      <w:r w:rsidR="005901AC" w:rsidRPr="0017030F">
        <w:rPr>
          <w:rFonts w:asciiTheme="majorHAnsi" w:hAnsiTheme="majorHAnsi" w:cstheme="majorHAnsi"/>
          <w:szCs w:val="24"/>
        </w:rPr>
        <w:t>as described in</w:t>
      </w:r>
      <w:r w:rsidR="00A34B7E" w:rsidRPr="0017030F">
        <w:rPr>
          <w:rFonts w:asciiTheme="majorHAnsi" w:hAnsiTheme="majorHAnsi" w:cstheme="majorHAnsi"/>
          <w:szCs w:val="24"/>
        </w:rPr>
        <w:t xml:space="preserve"> </w:t>
      </w:r>
      <w:r w:rsidR="00E61E80" w:rsidRPr="0017030F">
        <w:rPr>
          <w:rFonts w:asciiTheme="majorHAnsi" w:hAnsiTheme="majorHAnsi" w:cstheme="majorHAnsi"/>
          <w:szCs w:val="24"/>
        </w:rPr>
        <w:t xml:space="preserve">step </w:t>
      </w:r>
      <w:r w:rsidR="006B7FE6" w:rsidRPr="0017030F">
        <w:rPr>
          <w:rFonts w:asciiTheme="majorHAnsi" w:hAnsiTheme="majorHAnsi" w:cstheme="majorHAnsi"/>
          <w:szCs w:val="24"/>
        </w:rPr>
        <w:t>1.2</w:t>
      </w:r>
      <w:r w:rsidRPr="0017030F">
        <w:rPr>
          <w:rFonts w:asciiTheme="majorHAnsi" w:hAnsiTheme="majorHAnsi" w:cstheme="majorHAnsi"/>
          <w:szCs w:val="24"/>
        </w:rPr>
        <w:t>.</w:t>
      </w:r>
      <w:bookmarkEnd w:id="10"/>
      <w:r w:rsidRPr="0017030F">
        <w:rPr>
          <w:rFonts w:asciiTheme="majorHAnsi" w:hAnsiTheme="majorHAnsi" w:cstheme="majorHAnsi"/>
          <w:szCs w:val="24"/>
        </w:rPr>
        <w:t xml:space="preserve"> </w:t>
      </w:r>
    </w:p>
    <w:p w14:paraId="4D8BCEAA" w14:textId="77777777" w:rsidR="00FD133A" w:rsidRPr="0017030F" w:rsidRDefault="00FD133A" w:rsidP="00E73D5F">
      <w:pPr>
        <w:pStyle w:val="Listenabsatz"/>
        <w:spacing w:after="0" w:line="240" w:lineRule="auto"/>
        <w:ind w:left="0"/>
        <w:jc w:val="both"/>
        <w:rPr>
          <w:rFonts w:asciiTheme="majorHAnsi" w:hAnsiTheme="majorHAnsi" w:cstheme="majorHAnsi"/>
          <w:szCs w:val="24"/>
        </w:rPr>
      </w:pPr>
    </w:p>
    <w:p w14:paraId="5AD8FBF2" w14:textId="4F2994A4" w:rsidR="003C3E26" w:rsidRPr="0017030F" w:rsidRDefault="003C3E26" w:rsidP="00E73D5F">
      <w:pPr>
        <w:pStyle w:val="Listenabsatz"/>
        <w:numPr>
          <w:ilvl w:val="2"/>
          <w:numId w:val="1"/>
        </w:numP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 xml:space="preserve">Prepare </w:t>
      </w:r>
      <w:r w:rsidR="00FE5F0A" w:rsidRPr="0017030F">
        <w:rPr>
          <w:rFonts w:asciiTheme="majorHAnsi" w:hAnsiTheme="majorHAnsi" w:cstheme="majorHAnsi"/>
          <w:szCs w:val="24"/>
        </w:rPr>
        <w:t xml:space="preserve">the six </w:t>
      </w:r>
      <w:r w:rsidRPr="0017030F">
        <w:rPr>
          <w:rFonts w:asciiTheme="majorHAnsi" w:hAnsiTheme="majorHAnsi" w:cstheme="majorHAnsi"/>
          <w:szCs w:val="24"/>
        </w:rPr>
        <w:t>microsome dilutions as described in</w:t>
      </w:r>
      <w:r w:rsidR="00FE5F0A" w:rsidRPr="0017030F">
        <w:rPr>
          <w:rFonts w:asciiTheme="majorHAnsi" w:hAnsiTheme="majorHAnsi" w:cstheme="majorHAnsi"/>
          <w:szCs w:val="24"/>
        </w:rPr>
        <w:t xml:space="preserve"> </w:t>
      </w:r>
      <w:r w:rsidR="00D33B52" w:rsidRPr="00E73D5F">
        <w:rPr>
          <w:rFonts w:asciiTheme="majorHAnsi" w:hAnsiTheme="majorHAnsi" w:cstheme="majorHAnsi"/>
          <w:b/>
          <w:bCs/>
          <w:szCs w:val="24"/>
        </w:rPr>
        <w:t>T</w:t>
      </w:r>
      <w:r w:rsidR="00FE5F0A" w:rsidRPr="00E73D5F">
        <w:rPr>
          <w:rFonts w:asciiTheme="majorHAnsi" w:hAnsiTheme="majorHAnsi" w:cstheme="majorHAnsi"/>
          <w:b/>
          <w:bCs/>
          <w:szCs w:val="24"/>
        </w:rPr>
        <w:t xml:space="preserve">able </w:t>
      </w:r>
      <w:r w:rsidR="00DF42FB" w:rsidRPr="00E73D5F">
        <w:rPr>
          <w:rFonts w:asciiTheme="majorHAnsi" w:hAnsiTheme="majorHAnsi" w:cstheme="majorHAnsi"/>
          <w:b/>
          <w:bCs/>
          <w:szCs w:val="24"/>
        </w:rPr>
        <w:t>3</w:t>
      </w:r>
      <w:r w:rsidR="00FE5F0A" w:rsidRPr="0017030F">
        <w:rPr>
          <w:rFonts w:asciiTheme="majorHAnsi" w:hAnsiTheme="majorHAnsi" w:cstheme="majorHAnsi"/>
          <w:szCs w:val="24"/>
        </w:rPr>
        <w:t xml:space="preserve"> </w:t>
      </w:r>
      <w:r w:rsidR="003A048B" w:rsidRPr="0017030F">
        <w:rPr>
          <w:rFonts w:asciiTheme="majorHAnsi" w:hAnsiTheme="majorHAnsi" w:cstheme="majorHAnsi"/>
          <w:szCs w:val="24"/>
        </w:rPr>
        <w:t xml:space="preserve">and </w:t>
      </w:r>
      <w:r w:rsidR="00FE5F0A" w:rsidRPr="0017030F">
        <w:rPr>
          <w:rFonts w:asciiTheme="majorHAnsi" w:hAnsiTheme="majorHAnsi" w:cstheme="majorHAnsi"/>
          <w:szCs w:val="24"/>
        </w:rPr>
        <w:t xml:space="preserve">the </w:t>
      </w:r>
      <w:r w:rsidRPr="0017030F">
        <w:rPr>
          <w:rFonts w:asciiTheme="majorHAnsi" w:hAnsiTheme="majorHAnsi" w:cstheme="majorHAnsi"/>
          <w:szCs w:val="24"/>
        </w:rPr>
        <w:t xml:space="preserve">substrate mix </w:t>
      </w:r>
      <w:r w:rsidR="003A048B" w:rsidRPr="0017030F">
        <w:rPr>
          <w:rFonts w:asciiTheme="majorHAnsi" w:hAnsiTheme="majorHAnsi" w:cstheme="majorHAnsi"/>
          <w:szCs w:val="24"/>
        </w:rPr>
        <w:t>as described in</w:t>
      </w:r>
      <w:r w:rsidR="00CC4FAF" w:rsidRPr="0017030F">
        <w:rPr>
          <w:rFonts w:asciiTheme="majorHAnsi" w:hAnsiTheme="majorHAnsi" w:cstheme="majorHAnsi"/>
          <w:szCs w:val="24"/>
        </w:rPr>
        <w:t xml:space="preserve"> </w:t>
      </w:r>
      <w:r w:rsidR="00CC4FAF" w:rsidRPr="00E73D5F">
        <w:rPr>
          <w:rFonts w:asciiTheme="majorHAnsi" w:hAnsiTheme="majorHAnsi" w:cstheme="majorHAnsi"/>
          <w:b/>
          <w:bCs/>
          <w:szCs w:val="24"/>
        </w:rPr>
        <w:t>Table 1</w:t>
      </w:r>
      <w:r w:rsidR="003A048B" w:rsidRPr="0017030F">
        <w:rPr>
          <w:rFonts w:asciiTheme="majorHAnsi" w:hAnsiTheme="majorHAnsi" w:cstheme="majorHAnsi"/>
          <w:szCs w:val="24"/>
        </w:rPr>
        <w:t>.</w:t>
      </w:r>
    </w:p>
    <w:p w14:paraId="5D3FFE9E" w14:textId="77777777" w:rsidR="00FD133A" w:rsidRPr="0017030F" w:rsidRDefault="00FD133A" w:rsidP="00E73D5F">
      <w:pPr>
        <w:pStyle w:val="Listenabsatz"/>
        <w:spacing w:after="0" w:line="240" w:lineRule="auto"/>
        <w:ind w:left="0"/>
        <w:jc w:val="both"/>
        <w:rPr>
          <w:rFonts w:asciiTheme="majorHAnsi" w:hAnsiTheme="majorHAnsi" w:cstheme="majorHAnsi"/>
          <w:szCs w:val="24"/>
        </w:rPr>
      </w:pPr>
    </w:p>
    <w:p w14:paraId="01CB858B" w14:textId="6AFBF204" w:rsidR="00747E5D" w:rsidRPr="0017030F" w:rsidRDefault="005F7AEA"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Add 10 µL of a 10% (v/v) solvent dilution in diH</w:t>
      </w:r>
      <w:r w:rsidRPr="0017030F">
        <w:rPr>
          <w:rFonts w:asciiTheme="majorHAnsi" w:hAnsiTheme="majorHAnsi" w:cstheme="majorHAnsi"/>
          <w:szCs w:val="24"/>
          <w:vertAlign w:val="subscript"/>
        </w:rPr>
        <w:t>2</w:t>
      </w:r>
      <w:r w:rsidRPr="0017030F">
        <w:rPr>
          <w:rFonts w:asciiTheme="majorHAnsi" w:hAnsiTheme="majorHAnsi" w:cstheme="majorHAnsi"/>
          <w:szCs w:val="24"/>
        </w:rPr>
        <w:t>O (e.g., 10% DMSO in diH</w:t>
      </w:r>
      <w:r w:rsidRPr="0017030F">
        <w:rPr>
          <w:rFonts w:asciiTheme="majorHAnsi" w:hAnsiTheme="majorHAnsi" w:cstheme="majorHAnsi"/>
          <w:szCs w:val="24"/>
          <w:vertAlign w:val="subscript"/>
        </w:rPr>
        <w:t>2</w:t>
      </w:r>
      <w:r w:rsidRPr="0017030F">
        <w:rPr>
          <w:rFonts w:asciiTheme="majorHAnsi" w:hAnsiTheme="majorHAnsi" w:cstheme="majorHAnsi"/>
          <w:szCs w:val="24"/>
        </w:rPr>
        <w:t xml:space="preserve">O) and </w:t>
      </w:r>
      <w:r w:rsidR="003A048B" w:rsidRPr="0017030F">
        <w:rPr>
          <w:rFonts w:asciiTheme="majorHAnsi" w:hAnsiTheme="majorHAnsi" w:cstheme="majorHAnsi"/>
          <w:szCs w:val="24"/>
        </w:rPr>
        <w:t>10 µL of 10</w:t>
      </w:r>
      <w:r w:rsidR="003A048B" w:rsidRPr="0017030F">
        <w:rPr>
          <w:rFonts w:asciiTheme="majorHAnsi" w:hAnsiTheme="majorHAnsi" w:cstheme="majorHAnsi"/>
          <w:szCs w:val="24"/>
          <w:vertAlign w:val="superscript"/>
        </w:rPr>
        <w:t>-2</w:t>
      </w:r>
      <w:r w:rsidR="003A048B" w:rsidRPr="0017030F">
        <w:rPr>
          <w:rFonts w:asciiTheme="majorHAnsi" w:hAnsiTheme="majorHAnsi" w:cstheme="majorHAnsi"/>
          <w:szCs w:val="24"/>
        </w:rPr>
        <w:t xml:space="preserve"> M 6</w:t>
      </w:r>
      <w:r w:rsidRPr="0017030F">
        <w:rPr>
          <w:rFonts w:asciiTheme="majorHAnsi" w:hAnsiTheme="majorHAnsi" w:cstheme="majorHAnsi"/>
          <w:szCs w:val="24"/>
        </w:rPr>
        <w:t>-</w:t>
      </w:r>
      <w:r w:rsidR="003A048B" w:rsidRPr="0017030F">
        <w:rPr>
          <w:rFonts w:asciiTheme="majorHAnsi" w:hAnsiTheme="majorHAnsi" w:cstheme="majorHAnsi"/>
          <w:szCs w:val="24"/>
        </w:rPr>
        <w:t xml:space="preserve">PTU </w:t>
      </w:r>
      <w:r w:rsidR="00A43E43" w:rsidRPr="0017030F">
        <w:rPr>
          <w:rFonts w:asciiTheme="majorHAnsi" w:hAnsiTheme="majorHAnsi" w:cstheme="majorHAnsi"/>
          <w:szCs w:val="24"/>
        </w:rPr>
        <w:t>(RI-C8) into</w:t>
      </w:r>
      <w:r w:rsidR="003A048B" w:rsidRPr="0017030F">
        <w:rPr>
          <w:rFonts w:asciiTheme="majorHAnsi" w:hAnsiTheme="majorHAnsi" w:cstheme="majorHAnsi"/>
          <w:szCs w:val="24"/>
        </w:rPr>
        <w:t xml:space="preserve"> a 96-well plate in triplicate</w:t>
      </w:r>
      <w:r w:rsidR="00D33B52" w:rsidRPr="0017030F">
        <w:rPr>
          <w:rFonts w:asciiTheme="majorHAnsi" w:hAnsiTheme="majorHAnsi" w:cstheme="majorHAnsi"/>
          <w:szCs w:val="24"/>
        </w:rPr>
        <w:t xml:space="preserve"> as describe</w:t>
      </w:r>
      <w:r w:rsidR="005D7B2C" w:rsidRPr="0017030F">
        <w:rPr>
          <w:rFonts w:asciiTheme="majorHAnsi" w:hAnsiTheme="majorHAnsi" w:cstheme="majorHAnsi"/>
          <w:szCs w:val="24"/>
        </w:rPr>
        <w:t>d</w:t>
      </w:r>
      <w:r w:rsidR="00D33B52" w:rsidRPr="0017030F">
        <w:rPr>
          <w:rFonts w:asciiTheme="majorHAnsi" w:hAnsiTheme="majorHAnsi" w:cstheme="majorHAnsi"/>
          <w:szCs w:val="24"/>
        </w:rPr>
        <w:t xml:space="preserve"> in the plate layout in </w:t>
      </w:r>
      <w:r w:rsidR="00D33B52" w:rsidRPr="00E73D5F">
        <w:rPr>
          <w:rFonts w:asciiTheme="majorHAnsi" w:hAnsiTheme="majorHAnsi" w:cstheme="majorHAnsi"/>
          <w:b/>
          <w:bCs/>
          <w:szCs w:val="24"/>
        </w:rPr>
        <w:t>Figure 2</w:t>
      </w:r>
      <w:r w:rsidR="003A048B" w:rsidRPr="0017030F">
        <w:rPr>
          <w:rFonts w:asciiTheme="majorHAnsi" w:hAnsiTheme="majorHAnsi" w:cstheme="majorHAnsi"/>
          <w:szCs w:val="24"/>
        </w:rPr>
        <w:t>.</w:t>
      </w:r>
    </w:p>
    <w:p w14:paraId="57017C93" w14:textId="77777777" w:rsidR="00FD133A" w:rsidRPr="0017030F" w:rsidRDefault="00FD133A" w:rsidP="00E73D5F">
      <w:pPr>
        <w:pBdr>
          <w:top w:val="nil"/>
          <w:left w:val="nil"/>
          <w:bottom w:val="nil"/>
          <w:right w:val="nil"/>
          <w:between w:val="nil"/>
        </w:pBdr>
        <w:rPr>
          <w:rFonts w:asciiTheme="majorHAnsi" w:hAnsiTheme="majorHAnsi" w:cstheme="majorHAnsi"/>
        </w:rPr>
      </w:pPr>
    </w:p>
    <w:p w14:paraId="219063E7" w14:textId="0036D92A" w:rsidR="00E61E80" w:rsidRPr="0017030F" w:rsidRDefault="00874DC2"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Add 40 µL of microsome dilutions in diH</w:t>
      </w:r>
      <w:r w:rsidRPr="0017030F">
        <w:rPr>
          <w:rFonts w:asciiTheme="majorHAnsi" w:hAnsiTheme="majorHAnsi" w:cstheme="majorHAnsi"/>
          <w:szCs w:val="24"/>
          <w:vertAlign w:val="subscript"/>
        </w:rPr>
        <w:t>2</w:t>
      </w:r>
      <w:r w:rsidRPr="0017030F">
        <w:rPr>
          <w:rFonts w:asciiTheme="majorHAnsi" w:hAnsiTheme="majorHAnsi" w:cstheme="majorHAnsi"/>
          <w:szCs w:val="24"/>
        </w:rPr>
        <w:t>O (resulting in 20, 10, 5, 2.5, 1.25, 0.68</w:t>
      </w:r>
      <w:r w:rsidR="00E61E80" w:rsidRPr="0017030F">
        <w:rPr>
          <w:rFonts w:asciiTheme="majorHAnsi" w:hAnsiTheme="majorHAnsi" w:cstheme="majorHAnsi"/>
          <w:szCs w:val="24"/>
        </w:rPr>
        <w:t>,</w:t>
      </w:r>
      <w:r w:rsidRPr="0017030F">
        <w:rPr>
          <w:rFonts w:asciiTheme="majorHAnsi" w:hAnsiTheme="majorHAnsi" w:cstheme="majorHAnsi"/>
          <w:szCs w:val="24"/>
        </w:rPr>
        <w:t xml:space="preserve"> and 0 </w:t>
      </w:r>
      <w:proofErr w:type="gramStart"/>
      <w:r w:rsidRPr="0017030F">
        <w:rPr>
          <w:rFonts w:asciiTheme="majorHAnsi" w:hAnsiTheme="majorHAnsi" w:cstheme="majorHAnsi"/>
          <w:szCs w:val="24"/>
        </w:rPr>
        <w:t>µg</w:t>
      </w:r>
      <w:proofErr w:type="gramEnd"/>
      <w:r w:rsidRPr="0017030F">
        <w:rPr>
          <w:rFonts w:asciiTheme="majorHAnsi" w:hAnsiTheme="majorHAnsi" w:cstheme="majorHAnsi"/>
          <w:szCs w:val="24"/>
        </w:rPr>
        <w:t xml:space="preserve"> </w:t>
      </w:r>
      <w:bookmarkStart w:id="11" w:name="_Hlk222770219"/>
      <w:r w:rsidR="003F52D6" w:rsidRPr="0017030F">
        <w:rPr>
          <w:rFonts w:asciiTheme="majorHAnsi" w:hAnsiTheme="majorHAnsi" w:cstheme="majorHAnsi"/>
          <w:szCs w:val="24"/>
        </w:rPr>
        <w:t>microsomal protein</w:t>
      </w:r>
      <w:bookmarkEnd w:id="11"/>
      <w:r w:rsidR="003F52D6" w:rsidRPr="0017030F">
        <w:rPr>
          <w:rFonts w:asciiTheme="majorHAnsi" w:hAnsiTheme="majorHAnsi" w:cstheme="majorHAnsi"/>
          <w:szCs w:val="24"/>
        </w:rPr>
        <w:t xml:space="preserve"> </w:t>
      </w:r>
      <w:r w:rsidRPr="0017030F">
        <w:rPr>
          <w:rFonts w:asciiTheme="majorHAnsi" w:hAnsiTheme="majorHAnsi" w:cstheme="majorHAnsi"/>
          <w:szCs w:val="24"/>
        </w:rPr>
        <w:t xml:space="preserve">per well) to the 96-well plate as shown in the </w:t>
      </w:r>
      <w:r w:rsidR="00A43E43" w:rsidRPr="0017030F">
        <w:rPr>
          <w:rFonts w:asciiTheme="majorHAnsi" w:hAnsiTheme="majorHAnsi" w:cstheme="majorHAnsi"/>
          <w:szCs w:val="24"/>
        </w:rPr>
        <w:t xml:space="preserve">plate </w:t>
      </w:r>
      <w:r w:rsidRPr="0017030F">
        <w:rPr>
          <w:rFonts w:asciiTheme="majorHAnsi" w:hAnsiTheme="majorHAnsi" w:cstheme="majorHAnsi"/>
          <w:szCs w:val="24"/>
        </w:rPr>
        <w:t>layout.</w:t>
      </w:r>
      <w:r w:rsidR="001753EA" w:rsidRPr="0017030F">
        <w:rPr>
          <w:rFonts w:asciiTheme="majorHAnsi" w:hAnsiTheme="majorHAnsi" w:cstheme="majorHAnsi"/>
          <w:szCs w:val="24"/>
        </w:rPr>
        <w:t xml:space="preserve"> </w:t>
      </w:r>
    </w:p>
    <w:p w14:paraId="5FCB7A04" w14:textId="77777777" w:rsidR="00E61E80" w:rsidRPr="00E73D5F" w:rsidRDefault="00E61E80" w:rsidP="00E73D5F">
      <w:pPr>
        <w:pStyle w:val="Listenabsatz"/>
        <w:spacing w:after="0" w:line="240" w:lineRule="auto"/>
        <w:ind w:left="0"/>
        <w:jc w:val="both"/>
        <w:rPr>
          <w:rFonts w:asciiTheme="majorHAnsi" w:hAnsiTheme="majorHAnsi" w:cstheme="majorHAnsi"/>
          <w:szCs w:val="24"/>
        </w:rPr>
      </w:pPr>
    </w:p>
    <w:p w14:paraId="37D227ED" w14:textId="0272352B" w:rsidR="00874DC2" w:rsidRPr="0017030F" w:rsidRDefault="00E61E80"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r w:rsidRPr="00E73D5F">
        <w:rPr>
          <w:rFonts w:asciiTheme="majorHAnsi" w:hAnsiTheme="majorHAnsi" w:cstheme="majorHAnsi"/>
          <w:szCs w:val="24"/>
        </w:rPr>
        <w:t xml:space="preserve">NOTE: </w:t>
      </w:r>
      <w:r w:rsidR="00CD720E" w:rsidRPr="00E73D5F">
        <w:rPr>
          <w:rFonts w:asciiTheme="majorHAnsi" w:hAnsiTheme="majorHAnsi" w:cstheme="majorHAnsi"/>
          <w:szCs w:val="24"/>
        </w:rPr>
        <w:t xml:space="preserve">Suppliers typically provide </w:t>
      </w:r>
      <w:proofErr w:type="gramStart"/>
      <w:r w:rsidR="00CD720E" w:rsidRPr="00E73D5F">
        <w:rPr>
          <w:rFonts w:asciiTheme="majorHAnsi" w:hAnsiTheme="majorHAnsi" w:cstheme="majorHAnsi"/>
          <w:szCs w:val="24"/>
        </w:rPr>
        <w:t>the stock</w:t>
      </w:r>
      <w:proofErr w:type="gramEnd"/>
      <w:r w:rsidR="00CD720E" w:rsidRPr="00E73D5F">
        <w:rPr>
          <w:rFonts w:asciiTheme="majorHAnsi" w:hAnsiTheme="majorHAnsi" w:cstheme="majorHAnsi"/>
          <w:szCs w:val="24"/>
        </w:rPr>
        <w:t xml:space="preserve"> concentration of microsomal protein. If not, standard </w:t>
      </w:r>
      <w:r w:rsidR="008031FE" w:rsidRPr="00E73D5F">
        <w:rPr>
          <w:rFonts w:asciiTheme="majorHAnsi" w:hAnsiTheme="majorHAnsi" w:cstheme="majorHAnsi"/>
          <w:szCs w:val="24"/>
        </w:rPr>
        <w:t xml:space="preserve">protein </w:t>
      </w:r>
      <w:r w:rsidR="00CD720E" w:rsidRPr="00E73D5F">
        <w:rPr>
          <w:rFonts w:asciiTheme="majorHAnsi" w:hAnsiTheme="majorHAnsi" w:cstheme="majorHAnsi"/>
          <w:szCs w:val="24"/>
        </w:rPr>
        <w:t>quantification methods may be used, though we did not apply them in this study</w:t>
      </w:r>
      <w:r w:rsidR="00CD720E" w:rsidRPr="0017030F">
        <w:rPr>
          <w:rFonts w:asciiTheme="majorHAnsi" w:hAnsiTheme="majorHAnsi" w:cstheme="majorHAnsi"/>
          <w:szCs w:val="24"/>
        </w:rPr>
        <w:t>.</w:t>
      </w:r>
    </w:p>
    <w:p w14:paraId="0FFF0F3A" w14:textId="77777777" w:rsidR="00FD133A" w:rsidRPr="0017030F" w:rsidRDefault="00FD133A" w:rsidP="00E73D5F">
      <w:pPr>
        <w:pBdr>
          <w:top w:val="nil"/>
          <w:left w:val="nil"/>
          <w:bottom w:val="nil"/>
          <w:right w:val="nil"/>
          <w:between w:val="nil"/>
        </w:pBdr>
        <w:rPr>
          <w:rFonts w:asciiTheme="majorHAnsi" w:hAnsiTheme="majorHAnsi" w:cstheme="majorHAnsi"/>
        </w:rPr>
      </w:pPr>
    </w:p>
    <w:p w14:paraId="4FC5B4D1" w14:textId="0E602278" w:rsidR="00FD133A" w:rsidRPr="0017030F" w:rsidRDefault="00A36840" w:rsidP="00E73D5F">
      <w:pPr>
        <w:pStyle w:val="Listenabsatz"/>
        <w:numPr>
          <w:ilvl w:val="2"/>
          <w:numId w:val="1"/>
        </w:numP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lastRenderedPageBreak/>
        <w:t>A</w:t>
      </w:r>
      <w:r w:rsidR="00874DC2" w:rsidRPr="0017030F">
        <w:rPr>
          <w:rFonts w:asciiTheme="majorHAnsi" w:hAnsiTheme="majorHAnsi" w:cstheme="majorHAnsi"/>
          <w:szCs w:val="24"/>
        </w:rPr>
        <w:t>dd 50 µL of freshly prepared substrate mix to each well and seal the plate with an impermeable sheet of plastic.</w:t>
      </w:r>
    </w:p>
    <w:p w14:paraId="7FCC343D" w14:textId="77777777" w:rsidR="00FD133A" w:rsidRPr="0017030F" w:rsidRDefault="00FD133A" w:rsidP="00E73D5F">
      <w:pPr>
        <w:pStyle w:val="Listenabsatz"/>
        <w:spacing w:after="0" w:line="240" w:lineRule="auto"/>
        <w:ind w:left="0"/>
        <w:jc w:val="both"/>
        <w:rPr>
          <w:rFonts w:asciiTheme="majorHAnsi" w:hAnsiTheme="majorHAnsi" w:cstheme="majorHAnsi"/>
          <w:szCs w:val="24"/>
        </w:rPr>
      </w:pPr>
    </w:p>
    <w:p w14:paraId="6B3A5E47" w14:textId="5335C75F" w:rsidR="00874DC2" w:rsidRPr="0017030F" w:rsidRDefault="00874DC2" w:rsidP="00E73D5F">
      <w:pPr>
        <w:pStyle w:val="Listenabsatz"/>
        <w:numPr>
          <w:ilvl w:val="2"/>
          <w:numId w:val="1"/>
        </w:numP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Place the 96-well plate on a shaker in an incubator (37</w:t>
      </w:r>
      <w:r w:rsidR="00D64246" w:rsidRPr="0017030F">
        <w:rPr>
          <w:rFonts w:asciiTheme="majorHAnsi" w:hAnsiTheme="majorHAnsi" w:cstheme="majorHAnsi"/>
          <w:szCs w:val="24"/>
        </w:rPr>
        <w:t xml:space="preserve"> </w:t>
      </w:r>
      <w:r w:rsidRPr="0017030F">
        <w:rPr>
          <w:rFonts w:asciiTheme="majorHAnsi" w:hAnsiTheme="majorHAnsi" w:cstheme="majorHAnsi"/>
          <w:szCs w:val="24"/>
        </w:rPr>
        <w:t>°C at 850 rpm)</w:t>
      </w:r>
      <w:r w:rsidR="00E434ED" w:rsidRPr="0017030F">
        <w:rPr>
          <w:rFonts w:asciiTheme="majorHAnsi" w:hAnsiTheme="majorHAnsi" w:cstheme="majorHAnsi"/>
          <w:szCs w:val="24"/>
        </w:rPr>
        <w:t xml:space="preserve"> and</w:t>
      </w:r>
      <w:r w:rsidRPr="0017030F">
        <w:rPr>
          <w:rFonts w:asciiTheme="majorHAnsi" w:hAnsiTheme="majorHAnsi" w:cstheme="majorHAnsi"/>
          <w:szCs w:val="24"/>
        </w:rPr>
        <w:t xml:space="preserve"> incubate for 2</w:t>
      </w:r>
      <w:r w:rsidR="00E434ED" w:rsidRPr="0017030F">
        <w:rPr>
          <w:rFonts w:asciiTheme="majorHAnsi" w:hAnsiTheme="majorHAnsi" w:cstheme="majorHAnsi"/>
          <w:szCs w:val="24"/>
        </w:rPr>
        <w:t> </w:t>
      </w:r>
      <w:r w:rsidRPr="0017030F">
        <w:rPr>
          <w:rFonts w:asciiTheme="majorHAnsi" w:hAnsiTheme="majorHAnsi" w:cstheme="majorHAnsi"/>
          <w:szCs w:val="24"/>
        </w:rPr>
        <w:t>h.</w:t>
      </w:r>
    </w:p>
    <w:p w14:paraId="361D7B09" w14:textId="77777777" w:rsidR="00FD133A" w:rsidRPr="0017030F" w:rsidRDefault="00FD133A" w:rsidP="00E73D5F">
      <w:pPr>
        <w:pStyle w:val="Listenabsatz"/>
        <w:spacing w:after="0" w:line="240" w:lineRule="auto"/>
        <w:ind w:left="0"/>
        <w:jc w:val="both"/>
        <w:rPr>
          <w:rFonts w:asciiTheme="majorHAnsi" w:hAnsiTheme="majorHAnsi" w:cstheme="majorHAnsi"/>
          <w:szCs w:val="24"/>
        </w:rPr>
      </w:pPr>
    </w:p>
    <w:p w14:paraId="1DA87FE8" w14:textId="769C60F2" w:rsidR="00874DC2" w:rsidRPr="0017030F" w:rsidRDefault="00874DC2" w:rsidP="00E73D5F">
      <w:pPr>
        <w:pStyle w:val="Listenabsatz"/>
        <w:numPr>
          <w:ilvl w:val="2"/>
          <w:numId w:val="1"/>
        </w:numP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 xml:space="preserve">After the incubation time, put the plate on ice to stop the reaction. </w:t>
      </w:r>
    </w:p>
    <w:p w14:paraId="726E285F" w14:textId="77777777" w:rsidR="00FD133A" w:rsidRPr="0017030F" w:rsidRDefault="00FD133A" w:rsidP="00E73D5F">
      <w:pPr>
        <w:pStyle w:val="Listenabsatz"/>
        <w:spacing w:after="0" w:line="240" w:lineRule="auto"/>
        <w:ind w:left="0"/>
        <w:jc w:val="both"/>
        <w:rPr>
          <w:rFonts w:asciiTheme="majorHAnsi" w:hAnsiTheme="majorHAnsi" w:cstheme="majorHAnsi"/>
          <w:szCs w:val="24"/>
        </w:rPr>
      </w:pPr>
    </w:p>
    <w:p w14:paraId="33947436" w14:textId="293E5474" w:rsidR="00B76ABD" w:rsidRPr="0017030F" w:rsidRDefault="00B76ABD" w:rsidP="00E73D5F">
      <w:pPr>
        <w:pStyle w:val="Listenabsatz"/>
        <w:numPr>
          <w:ilvl w:val="2"/>
          <w:numId w:val="1"/>
        </w:numP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 xml:space="preserve">Conduct the ion exchange analogous to </w:t>
      </w:r>
      <w:r w:rsidR="00FE6270" w:rsidRPr="0017030F">
        <w:rPr>
          <w:rFonts w:asciiTheme="majorHAnsi" w:hAnsiTheme="majorHAnsi" w:cstheme="majorHAnsi"/>
          <w:szCs w:val="24"/>
        </w:rPr>
        <w:t xml:space="preserve">step </w:t>
      </w:r>
      <w:r w:rsidR="00CC4FAF" w:rsidRPr="0017030F">
        <w:rPr>
          <w:rFonts w:asciiTheme="majorHAnsi" w:hAnsiTheme="majorHAnsi" w:cstheme="majorHAnsi"/>
          <w:szCs w:val="24"/>
        </w:rPr>
        <w:t>2.2</w:t>
      </w:r>
      <w:r w:rsidRPr="0017030F">
        <w:rPr>
          <w:rFonts w:asciiTheme="majorHAnsi" w:hAnsiTheme="majorHAnsi" w:cstheme="majorHAnsi"/>
          <w:szCs w:val="24"/>
        </w:rPr>
        <w:t>.</w:t>
      </w:r>
    </w:p>
    <w:p w14:paraId="3D619A7B" w14:textId="77777777" w:rsidR="00FD133A" w:rsidRPr="0017030F" w:rsidRDefault="00FD133A" w:rsidP="00E73D5F">
      <w:pPr>
        <w:pStyle w:val="Listenabsatz"/>
        <w:spacing w:after="0" w:line="240" w:lineRule="auto"/>
        <w:ind w:left="0"/>
        <w:jc w:val="both"/>
        <w:rPr>
          <w:rFonts w:asciiTheme="majorHAnsi" w:hAnsiTheme="majorHAnsi" w:cstheme="majorHAnsi"/>
          <w:szCs w:val="24"/>
        </w:rPr>
      </w:pPr>
    </w:p>
    <w:p w14:paraId="4B0E94E6" w14:textId="7A4B65E8" w:rsidR="00A36840" w:rsidRPr="0017030F" w:rsidRDefault="00A36840" w:rsidP="00E73D5F">
      <w:pPr>
        <w:pStyle w:val="Listenabsatz"/>
        <w:numPr>
          <w:ilvl w:val="2"/>
          <w:numId w:val="1"/>
        </w:numP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Transfer appropriate amounts of sample from the deep well obtained in the ion exchange step to a fresh 96-well plate to measure undiluted (50 µL</w:t>
      </w:r>
      <w:r w:rsidR="00FE6270" w:rsidRPr="0017030F">
        <w:rPr>
          <w:rFonts w:asciiTheme="majorHAnsi" w:hAnsiTheme="majorHAnsi" w:cstheme="majorHAnsi"/>
          <w:szCs w:val="24"/>
        </w:rPr>
        <w:t xml:space="preserve"> of</w:t>
      </w:r>
      <w:r w:rsidRPr="0017030F">
        <w:rPr>
          <w:rFonts w:asciiTheme="majorHAnsi" w:hAnsiTheme="majorHAnsi" w:cstheme="majorHAnsi"/>
          <w:szCs w:val="24"/>
        </w:rPr>
        <w:t xml:space="preserve"> sample), 1:2 (25 µL</w:t>
      </w:r>
      <w:r w:rsidR="00FE6270" w:rsidRPr="0017030F">
        <w:rPr>
          <w:rFonts w:asciiTheme="majorHAnsi" w:hAnsiTheme="majorHAnsi" w:cstheme="majorHAnsi"/>
          <w:szCs w:val="24"/>
        </w:rPr>
        <w:t xml:space="preserve"> of</w:t>
      </w:r>
      <w:r w:rsidRPr="0017030F">
        <w:rPr>
          <w:rFonts w:asciiTheme="majorHAnsi" w:hAnsiTheme="majorHAnsi" w:cstheme="majorHAnsi"/>
          <w:szCs w:val="24"/>
        </w:rPr>
        <w:t xml:space="preserve"> sample + 25 µL </w:t>
      </w:r>
      <w:r w:rsidR="00FE6270" w:rsidRPr="0017030F">
        <w:rPr>
          <w:rFonts w:asciiTheme="majorHAnsi" w:hAnsiTheme="majorHAnsi" w:cstheme="majorHAnsi"/>
          <w:szCs w:val="24"/>
        </w:rPr>
        <w:t xml:space="preserve">of </w:t>
      </w:r>
      <w:r w:rsidRPr="0017030F">
        <w:rPr>
          <w:rFonts w:asciiTheme="majorHAnsi" w:hAnsiTheme="majorHAnsi" w:cstheme="majorHAnsi"/>
          <w:szCs w:val="24"/>
        </w:rPr>
        <w:t xml:space="preserve">10% acetic acid), and 1:4 (12.5 µL </w:t>
      </w:r>
      <w:r w:rsidR="005B40B8" w:rsidRPr="0017030F">
        <w:rPr>
          <w:rFonts w:asciiTheme="majorHAnsi" w:hAnsiTheme="majorHAnsi" w:cstheme="majorHAnsi"/>
          <w:szCs w:val="24"/>
        </w:rPr>
        <w:t xml:space="preserve">of </w:t>
      </w:r>
      <w:r w:rsidRPr="0017030F">
        <w:rPr>
          <w:rFonts w:asciiTheme="majorHAnsi" w:hAnsiTheme="majorHAnsi" w:cstheme="majorHAnsi"/>
          <w:szCs w:val="24"/>
        </w:rPr>
        <w:t xml:space="preserve">sample + 37.5 µL </w:t>
      </w:r>
      <w:r w:rsidR="005B40B8" w:rsidRPr="0017030F">
        <w:rPr>
          <w:rFonts w:asciiTheme="majorHAnsi" w:hAnsiTheme="majorHAnsi" w:cstheme="majorHAnsi"/>
          <w:szCs w:val="24"/>
        </w:rPr>
        <w:t xml:space="preserve">of </w:t>
      </w:r>
      <w:r w:rsidRPr="0017030F">
        <w:rPr>
          <w:rFonts w:asciiTheme="majorHAnsi" w:hAnsiTheme="majorHAnsi" w:cstheme="majorHAnsi"/>
          <w:szCs w:val="24"/>
        </w:rPr>
        <w:t>10% acetic acid) dilutions, keeping the plate layout unchanged.</w:t>
      </w:r>
    </w:p>
    <w:p w14:paraId="7C33BAB0" w14:textId="77777777" w:rsidR="00FD133A" w:rsidRPr="0017030F" w:rsidRDefault="00FD133A" w:rsidP="00E73D5F">
      <w:pPr>
        <w:pStyle w:val="Listenabsatz"/>
        <w:spacing w:after="0" w:line="240" w:lineRule="auto"/>
        <w:ind w:left="0"/>
        <w:jc w:val="both"/>
        <w:rPr>
          <w:rFonts w:asciiTheme="majorHAnsi" w:hAnsiTheme="majorHAnsi" w:cstheme="majorHAnsi"/>
          <w:szCs w:val="24"/>
        </w:rPr>
      </w:pPr>
    </w:p>
    <w:p w14:paraId="7E3D043F" w14:textId="7EAF812B" w:rsidR="00AF5E59" w:rsidRPr="0017030F" w:rsidRDefault="00AF5E59"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 xml:space="preserve">Evaluate the results as described in </w:t>
      </w:r>
      <w:r w:rsidR="005B40B8" w:rsidRPr="0017030F">
        <w:rPr>
          <w:rFonts w:asciiTheme="majorHAnsi" w:hAnsiTheme="majorHAnsi" w:cstheme="majorHAnsi"/>
          <w:szCs w:val="24"/>
        </w:rPr>
        <w:t>section 4</w:t>
      </w:r>
      <w:r w:rsidRPr="0017030F">
        <w:rPr>
          <w:rFonts w:asciiTheme="majorHAnsi" w:hAnsiTheme="majorHAnsi" w:cstheme="majorHAnsi"/>
          <w:szCs w:val="24"/>
        </w:rPr>
        <w:t xml:space="preserve"> and determine the dilution factor for the samples in 10% acetic acid as well as the </w:t>
      </w:r>
      <w:r w:rsidR="003F52D6" w:rsidRPr="0017030F">
        <w:rPr>
          <w:rFonts w:asciiTheme="majorHAnsi" w:hAnsiTheme="majorHAnsi" w:cstheme="majorHAnsi"/>
          <w:szCs w:val="24"/>
        </w:rPr>
        <w:t>microsomal protein</w:t>
      </w:r>
      <w:r w:rsidR="00D71A26" w:rsidRPr="0017030F">
        <w:rPr>
          <w:rFonts w:asciiTheme="majorHAnsi" w:hAnsiTheme="majorHAnsi" w:cstheme="majorHAnsi"/>
          <w:szCs w:val="24"/>
        </w:rPr>
        <w:t xml:space="preserve"> </w:t>
      </w:r>
      <w:r w:rsidRPr="0017030F">
        <w:rPr>
          <w:rFonts w:asciiTheme="majorHAnsi" w:hAnsiTheme="majorHAnsi" w:cstheme="majorHAnsi"/>
          <w:szCs w:val="24"/>
        </w:rPr>
        <w:t>concentration that still leads to the highest possible ΔOD</w:t>
      </w:r>
      <w:r w:rsidR="004B0CDD" w:rsidRPr="0017030F">
        <w:rPr>
          <w:rFonts w:asciiTheme="majorHAnsi" w:hAnsiTheme="majorHAnsi" w:cstheme="majorHAnsi"/>
          <w:szCs w:val="24"/>
          <w:vertAlign w:val="subscript"/>
        </w:rPr>
        <w:t>21min</w:t>
      </w:r>
      <w:r w:rsidR="004B0CDD" w:rsidRPr="0017030F">
        <w:rPr>
          <w:rFonts w:asciiTheme="majorHAnsi" w:hAnsiTheme="majorHAnsi" w:cstheme="majorHAnsi"/>
          <w:szCs w:val="24"/>
        </w:rPr>
        <w:t xml:space="preserve"> </w:t>
      </w:r>
      <w:r w:rsidRPr="0017030F">
        <w:rPr>
          <w:rFonts w:asciiTheme="majorHAnsi" w:hAnsiTheme="majorHAnsi" w:cstheme="majorHAnsi"/>
          <w:szCs w:val="24"/>
        </w:rPr>
        <w:t xml:space="preserve">-BG values in the Sandell-Kolthoff reaction without reaching </w:t>
      </w:r>
      <w:r w:rsidR="00A43E43" w:rsidRPr="0017030F">
        <w:rPr>
          <w:rFonts w:asciiTheme="majorHAnsi" w:hAnsiTheme="majorHAnsi" w:cstheme="majorHAnsi"/>
          <w:szCs w:val="24"/>
        </w:rPr>
        <w:t>the</w:t>
      </w:r>
      <w:r w:rsidRPr="0017030F">
        <w:rPr>
          <w:rFonts w:asciiTheme="majorHAnsi" w:hAnsiTheme="majorHAnsi" w:cstheme="majorHAnsi"/>
          <w:szCs w:val="24"/>
        </w:rPr>
        <w:t xml:space="preserve"> plateau</w:t>
      </w:r>
      <w:r w:rsidR="00A43E43" w:rsidRPr="0017030F">
        <w:rPr>
          <w:rFonts w:asciiTheme="majorHAnsi" w:hAnsiTheme="majorHAnsi" w:cstheme="majorHAnsi"/>
          <w:szCs w:val="24"/>
        </w:rPr>
        <w:t xml:space="preserve"> of saturation</w:t>
      </w:r>
      <w:r w:rsidRPr="0017030F">
        <w:rPr>
          <w:rFonts w:asciiTheme="majorHAnsi" w:hAnsiTheme="majorHAnsi" w:cstheme="majorHAnsi"/>
          <w:szCs w:val="24"/>
        </w:rPr>
        <w:t>.</w:t>
      </w:r>
    </w:p>
    <w:p w14:paraId="57743EEE" w14:textId="77777777" w:rsidR="004E4AFE" w:rsidRPr="0017030F" w:rsidRDefault="004E4AFE" w:rsidP="00E73D5F">
      <w:pPr>
        <w:pBdr>
          <w:top w:val="nil"/>
          <w:left w:val="nil"/>
          <w:bottom w:val="nil"/>
          <w:right w:val="nil"/>
          <w:between w:val="nil"/>
        </w:pBdr>
        <w:rPr>
          <w:rFonts w:asciiTheme="majorHAnsi" w:hAnsiTheme="majorHAnsi" w:cstheme="majorHAnsi"/>
        </w:rPr>
      </w:pPr>
    </w:p>
    <w:p w14:paraId="4D1CAB5E" w14:textId="43063D50" w:rsidR="00D33B52" w:rsidRPr="0017030F" w:rsidRDefault="00D33B52"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 xml:space="preserve">[Place </w:t>
      </w:r>
      <w:r w:rsidRPr="0017030F">
        <w:rPr>
          <w:rFonts w:asciiTheme="majorHAnsi" w:hAnsiTheme="majorHAnsi" w:cstheme="majorHAnsi"/>
          <w:b/>
        </w:rPr>
        <w:t>Figure 2</w:t>
      </w:r>
      <w:r w:rsidRPr="0017030F">
        <w:rPr>
          <w:rFonts w:asciiTheme="majorHAnsi" w:hAnsiTheme="majorHAnsi" w:cstheme="majorHAnsi"/>
        </w:rPr>
        <w:t xml:space="preserve"> here]</w:t>
      </w:r>
    </w:p>
    <w:p w14:paraId="0136E7DA" w14:textId="77777777" w:rsidR="002326FF" w:rsidRPr="0017030F" w:rsidRDefault="002326FF" w:rsidP="00E73D5F">
      <w:pPr>
        <w:pBdr>
          <w:top w:val="nil"/>
          <w:left w:val="nil"/>
          <w:bottom w:val="nil"/>
          <w:right w:val="nil"/>
          <w:between w:val="nil"/>
        </w:pBdr>
        <w:rPr>
          <w:rFonts w:asciiTheme="majorHAnsi" w:hAnsiTheme="majorHAnsi" w:cstheme="majorHAnsi"/>
        </w:rPr>
      </w:pPr>
    </w:p>
    <w:p w14:paraId="357A42E2" w14:textId="572EB49A" w:rsidR="00AF5E59" w:rsidRPr="0017030F" w:rsidRDefault="00AF5E59"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NOTE: Usually, an iodide release of</w:t>
      </w:r>
      <w:r w:rsidR="004B0CDD" w:rsidRPr="0017030F">
        <w:rPr>
          <w:rFonts w:asciiTheme="majorHAnsi" w:hAnsiTheme="majorHAnsi" w:cstheme="majorHAnsi"/>
        </w:rPr>
        <w:t xml:space="preserve"> ΔOD</w:t>
      </w:r>
      <w:r w:rsidR="004B0CDD" w:rsidRPr="0017030F">
        <w:rPr>
          <w:rFonts w:asciiTheme="majorHAnsi" w:hAnsiTheme="majorHAnsi" w:cstheme="majorHAnsi"/>
          <w:vertAlign w:val="subscript"/>
        </w:rPr>
        <w:t>21min</w:t>
      </w:r>
      <w:r w:rsidR="004B0CDD" w:rsidRPr="0017030F">
        <w:rPr>
          <w:rFonts w:asciiTheme="majorHAnsi" w:hAnsiTheme="majorHAnsi" w:cstheme="majorHAnsi"/>
        </w:rPr>
        <w:t xml:space="preserve"> &gt;</w:t>
      </w:r>
      <w:r w:rsidR="004B0CDD" w:rsidRPr="0017030F">
        <w:rPr>
          <w:rFonts w:asciiTheme="majorHAnsi" w:hAnsiTheme="majorHAnsi" w:cstheme="majorHAnsi"/>
          <w:vertAlign w:val="subscript"/>
        </w:rPr>
        <w:t xml:space="preserve"> </w:t>
      </w:r>
      <w:r w:rsidR="004B0CDD" w:rsidRPr="0017030F">
        <w:rPr>
          <w:rFonts w:asciiTheme="majorHAnsi" w:hAnsiTheme="majorHAnsi" w:cstheme="majorHAnsi"/>
        </w:rPr>
        <w:t>0.5</w:t>
      </w:r>
      <w:r w:rsidRPr="0017030F">
        <w:rPr>
          <w:rFonts w:asciiTheme="majorHAnsi" w:hAnsiTheme="majorHAnsi" w:cstheme="majorHAnsi"/>
        </w:rPr>
        <w:t xml:space="preserve"> is easily achievable in the 1:4 or 1:2 acetic acid dilutions of the 20 µg </w:t>
      </w:r>
      <w:r w:rsidR="005B40B8" w:rsidRPr="0017030F">
        <w:rPr>
          <w:rFonts w:asciiTheme="majorHAnsi" w:hAnsiTheme="majorHAnsi" w:cstheme="majorHAnsi"/>
        </w:rPr>
        <w:t xml:space="preserve">of </w:t>
      </w:r>
      <w:r w:rsidR="003F52D6" w:rsidRPr="0017030F">
        <w:rPr>
          <w:rFonts w:asciiTheme="majorHAnsi" w:hAnsiTheme="majorHAnsi" w:cstheme="majorHAnsi"/>
        </w:rPr>
        <w:t>microsomal protein</w:t>
      </w:r>
      <w:r w:rsidR="00D71A26" w:rsidRPr="0017030F">
        <w:rPr>
          <w:rFonts w:asciiTheme="majorHAnsi" w:hAnsiTheme="majorHAnsi" w:cstheme="majorHAnsi"/>
        </w:rPr>
        <w:t xml:space="preserve"> </w:t>
      </w:r>
      <w:r w:rsidRPr="0017030F">
        <w:rPr>
          <w:rFonts w:asciiTheme="majorHAnsi" w:hAnsiTheme="majorHAnsi" w:cstheme="majorHAnsi"/>
        </w:rPr>
        <w:t xml:space="preserve">per well sample and usually ranges around a </w:t>
      </w:r>
      <w:r w:rsidR="004B0CDD" w:rsidRPr="0017030F">
        <w:rPr>
          <w:rFonts w:asciiTheme="majorHAnsi" w:hAnsiTheme="majorHAnsi" w:cstheme="majorHAnsi"/>
        </w:rPr>
        <w:t>ΔOD</w:t>
      </w:r>
      <w:r w:rsidR="004B0CDD" w:rsidRPr="0017030F">
        <w:rPr>
          <w:rFonts w:asciiTheme="majorHAnsi" w:hAnsiTheme="majorHAnsi" w:cstheme="majorHAnsi"/>
          <w:vertAlign w:val="subscript"/>
        </w:rPr>
        <w:t>21min</w:t>
      </w:r>
      <w:r w:rsidR="004B0CDD" w:rsidRPr="0017030F">
        <w:rPr>
          <w:rFonts w:asciiTheme="majorHAnsi" w:hAnsiTheme="majorHAnsi" w:cstheme="majorHAnsi"/>
        </w:rPr>
        <w:t xml:space="preserve"> </w:t>
      </w:r>
      <w:r w:rsidRPr="0017030F">
        <w:rPr>
          <w:rFonts w:asciiTheme="majorHAnsi" w:hAnsiTheme="majorHAnsi" w:cstheme="majorHAnsi"/>
        </w:rPr>
        <w:t>of 1.</w:t>
      </w:r>
      <w:r w:rsidR="009B0158" w:rsidRPr="0017030F">
        <w:rPr>
          <w:rFonts w:asciiTheme="majorHAnsi" w:hAnsiTheme="majorHAnsi" w:cstheme="majorHAnsi"/>
        </w:rPr>
        <w:t xml:space="preserve"> H</w:t>
      </w:r>
      <w:r w:rsidRPr="0017030F">
        <w:rPr>
          <w:rFonts w:asciiTheme="majorHAnsi" w:hAnsiTheme="majorHAnsi" w:cstheme="majorHAnsi"/>
        </w:rPr>
        <w:t xml:space="preserve">igher </w:t>
      </w:r>
      <w:r w:rsidR="003F52D6" w:rsidRPr="0017030F">
        <w:rPr>
          <w:rFonts w:asciiTheme="majorHAnsi" w:hAnsiTheme="majorHAnsi" w:cstheme="majorHAnsi"/>
        </w:rPr>
        <w:t>microsomal protein</w:t>
      </w:r>
      <w:r w:rsidR="003F52D6" w:rsidRPr="0017030F" w:rsidDel="003F52D6">
        <w:rPr>
          <w:rFonts w:asciiTheme="majorHAnsi" w:hAnsiTheme="majorHAnsi" w:cstheme="majorHAnsi"/>
        </w:rPr>
        <w:t xml:space="preserve"> </w:t>
      </w:r>
      <w:r w:rsidRPr="0017030F">
        <w:rPr>
          <w:rFonts w:asciiTheme="majorHAnsi" w:hAnsiTheme="majorHAnsi" w:cstheme="majorHAnsi"/>
        </w:rPr>
        <w:t>concentrations</w:t>
      </w:r>
      <w:r w:rsidR="009B0158" w:rsidRPr="0017030F">
        <w:rPr>
          <w:rFonts w:asciiTheme="majorHAnsi" w:hAnsiTheme="majorHAnsi" w:cstheme="majorHAnsi"/>
        </w:rPr>
        <w:t xml:space="preserve"> are not recommended for use, as they</w:t>
      </w:r>
      <w:r w:rsidRPr="0017030F">
        <w:rPr>
          <w:rFonts w:asciiTheme="majorHAnsi" w:hAnsiTheme="majorHAnsi" w:cstheme="majorHAnsi"/>
        </w:rPr>
        <w:t xml:space="preserve"> increase the background </w:t>
      </w:r>
      <w:r w:rsidR="009B0158" w:rsidRPr="0017030F">
        <w:rPr>
          <w:rFonts w:asciiTheme="majorHAnsi" w:hAnsiTheme="majorHAnsi" w:cstheme="majorHAnsi"/>
        </w:rPr>
        <w:t xml:space="preserve">and </w:t>
      </w:r>
      <w:r w:rsidR="005B40B8" w:rsidRPr="0017030F">
        <w:rPr>
          <w:rFonts w:asciiTheme="majorHAnsi" w:hAnsiTheme="majorHAnsi" w:cstheme="majorHAnsi"/>
        </w:rPr>
        <w:t xml:space="preserve">nonspecific </w:t>
      </w:r>
      <w:r w:rsidR="009B0158" w:rsidRPr="0017030F">
        <w:rPr>
          <w:rFonts w:asciiTheme="majorHAnsi" w:hAnsiTheme="majorHAnsi" w:cstheme="majorHAnsi"/>
        </w:rPr>
        <w:t xml:space="preserve">binding during </w:t>
      </w:r>
      <w:r w:rsidRPr="0017030F">
        <w:rPr>
          <w:rFonts w:asciiTheme="majorHAnsi" w:hAnsiTheme="majorHAnsi" w:cstheme="majorHAnsi"/>
        </w:rPr>
        <w:t xml:space="preserve">the </w:t>
      </w:r>
      <w:r w:rsidR="009B0158" w:rsidRPr="0017030F">
        <w:rPr>
          <w:rFonts w:asciiTheme="majorHAnsi" w:hAnsiTheme="majorHAnsi" w:cstheme="majorHAnsi"/>
        </w:rPr>
        <w:t>assa</w:t>
      </w:r>
      <w:r w:rsidR="000940A2" w:rsidRPr="0017030F">
        <w:rPr>
          <w:rFonts w:asciiTheme="majorHAnsi" w:hAnsiTheme="majorHAnsi" w:cstheme="majorHAnsi"/>
        </w:rPr>
        <w:t>y.</w:t>
      </w:r>
      <w:r w:rsidR="00781195" w:rsidRPr="0017030F">
        <w:rPr>
          <w:rFonts w:asciiTheme="majorHAnsi" w:hAnsiTheme="majorHAnsi" w:cstheme="majorHAnsi"/>
        </w:rPr>
        <w:t xml:space="preserve"> It is recommended to repeat the measurement of a 6</w:t>
      </w:r>
      <w:r w:rsidR="00971D52" w:rsidRPr="0017030F">
        <w:rPr>
          <w:rFonts w:asciiTheme="majorHAnsi" w:hAnsiTheme="majorHAnsi" w:cstheme="majorHAnsi"/>
        </w:rPr>
        <w:t>-</w:t>
      </w:r>
      <w:r w:rsidR="00781195" w:rsidRPr="0017030F">
        <w:rPr>
          <w:rFonts w:asciiTheme="majorHAnsi" w:hAnsiTheme="majorHAnsi" w:cstheme="majorHAnsi"/>
        </w:rPr>
        <w:t>PTU dilution series using the determined microsome concentration and dilution factor to confirm the result.</w:t>
      </w:r>
    </w:p>
    <w:p w14:paraId="18C0D91E" w14:textId="77777777" w:rsidR="002326FF" w:rsidRPr="0017030F" w:rsidRDefault="002326FF" w:rsidP="00E73D5F">
      <w:pPr>
        <w:pBdr>
          <w:top w:val="nil"/>
          <w:left w:val="nil"/>
          <w:bottom w:val="nil"/>
          <w:right w:val="nil"/>
          <w:between w:val="nil"/>
        </w:pBdr>
        <w:rPr>
          <w:rFonts w:asciiTheme="majorHAnsi" w:hAnsiTheme="majorHAnsi" w:cstheme="majorHAnsi"/>
        </w:rPr>
      </w:pPr>
    </w:p>
    <w:p w14:paraId="2E0142C8" w14:textId="5158FD3D" w:rsidR="00FD133A" w:rsidRPr="0017030F" w:rsidRDefault="002D6306" w:rsidP="00E73D5F">
      <w:pPr>
        <w:pStyle w:val="Listenabsatz"/>
        <w:numPr>
          <w:ilvl w:val="1"/>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bookmarkStart w:id="12" w:name="_Ref209426664"/>
      <w:r w:rsidRPr="0017030F">
        <w:rPr>
          <w:rFonts w:asciiTheme="majorHAnsi" w:hAnsiTheme="majorHAnsi" w:cstheme="majorHAnsi"/>
          <w:szCs w:val="24"/>
        </w:rPr>
        <w:t xml:space="preserve">Solubility </w:t>
      </w:r>
      <w:r w:rsidR="00DA56A9" w:rsidRPr="0017030F">
        <w:rPr>
          <w:rFonts w:asciiTheme="majorHAnsi" w:hAnsiTheme="majorHAnsi" w:cstheme="majorHAnsi"/>
          <w:szCs w:val="24"/>
        </w:rPr>
        <w:t>a</w:t>
      </w:r>
      <w:r w:rsidRPr="0017030F">
        <w:rPr>
          <w:rFonts w:asciiTheme="majorHAnsi" w:hAnsiTheme="majorHAnsi" w:cstheme="majorHAnsi"/>
          <w:szCs w:val="24"/>
        </w:rPr>
        <w:t>ssessment</w:t>
      </w:r>
      <w:r w:rsidR="00266417" w:rsidRPr="0017030F">
        <w:rPr>
          <w:rFonts w:asciiTheme="majorHAnsi" w:hAnsiTheme="majorHAnsi" w:cstheme="majorHAnsi"/>
          <w:szCs w:val="24"/>
        </w:rPr>
        <w:t xml:space="preserve"> of </w:t>
      </w:r>
      <w:r w:rsidR="00DA56A9" w:rsidRPr="0017030F">
        <w:rPr>
          <w:rFonts w:asciiTheme="majorHAnsi" w:hAnsiTheme="majorHAnsi" w:cstheme="majorHAnsi"/>
          <w:szCs w:val="24"/>
        </w:rPr>
        <w:t>t</w:t>
      </w:r>
      <w:r w:rsidR="00266417" w:rsidRPr="0017030F">
        <w:rPr>
          <w:rFonts w:asciiTheme="majorHAnsi" w:hAnsiTheme="majorHAnsi" w:cstheme="majorHAnsi"/>
          <w:szCs w:val="24"/>
        </w:rPr>
        <w:t xml:space="preserve">est </w:t>
      </w:r>
      <w:r w:rsidR="00DA56A9" w:rsidRPr="0017030F">
        <w:rPr>
          <w:rFonts w:asciiTheme="majorHAnsi" w:hAnsiTheme="majorHAnsi" w:cstheme="majorHAnsi"/>
          <w:szCs w:val="24"/>
        </w:rPr>
        <w:t>i</w:t>
      </w:r>
      <w:r w:rsidR="00266417" w:rsidRPr="0017030F">
        <w:rPr>
          <w:rFonts w:asciiTheme="majorHAnsi" w:hAnsiTheme="majorHAnsi" w:cstheme="majorHAnsi"/>
          <w:szCs w:val="24"/>
        </w:rPr>
        <w:t>tems</w:t>
      </w:r>
      <w:bookmarkEnd w:id="12"/>
    </w:p>
    <w:p w14:paraId="66474BDB" w14:textId="77777777" w:rsidR="004E4AFE" w:rsidRPr="0017030F" w:rsidRDefault="004E4AFE" w:rsidP="00E73D5F">
      <w:pPr>
        <w:pBdr>
          <w:top w:val="nil"/>
          <w:left w:val="nil"/>
          <w:bottom w:val="nil"/>
          <w:right w:val="nil"/>
          <w:between w:val="nil"/>
        </w:pBdr>
        <w:rPr>
          <w:rFonts w:asciiTheme="majorHAnsi" w:hAnsiTheme="majorHAnsi" w:cstheme="majorHAnsi"/>
        </w:rPr>
      </w:pPr>
    </w:p>
    <w:p w14:paraId="2AF570DE" w14:textId="6C48EDF1" w:rsidR="00C76DC9" w:rsidRPr="0017030F" w:rsidRDefault="00C76DC9"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Dissolve the test item at 100 mM or 200 mg/mL in a suitable solvent (e.g., DMSO) at room temperature. Mix or vortex and check dissolution visually (microscope).</w:t>
      </w:r>
      <w:r w:rsidR="00510337" w:rsidRPr="0017030F">
        <w:rPr>
          <w:rFonts w:asciiTheme="majorHAnsi" w:hAnsiTheme="majorHAnsi" w:cstheme="majorHAnsi"/>
          <w:szCs w:val="24"/>
        </w:rPr>
        <w:t xml:space="preserve"> </w:t>
      </w:r>
    </w:p>
    <w:p w14:paraId="46659482" w14:textId="77777777" w:rsidR="00C76DC9" w:rsidRPr="0017030F" w:rsidRDefault="00C76DC9"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19EB75C7" w14:textId="77777777" w:rsidR="00C76DC9" w:rsidRPr="0017030F" w:rsidRDefault="00C76DC9"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If undissolved, sonicate for up to 5 min and check again. If still undissolved, heat at 37 °C for up to 60 min and recheck.</w:t>
      </w:r>
    </w:p>
    <w:p w14:paraId="1D8EDC55" w14:textId="77777777" w:rsidR="00C76DC9" w:rsidRPr="0017030F" w:rsidRDefault="00C76DC9"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20A94185" w14:textId="465D7257" w:rsidR="00C76DC9" w:rsidRPr="0017030F" w:rsidRDefault="00C76DC9"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If insoluble, dilute further or prepare a new stock at a lower concentration and repeat the procedure.</w:t>
      </w:r>
      <w:r w:rsidR="00510337" w:rsidRPr="0017030F">
        <w:rPr>
          <w:rFonts w:asciiTheme="majorHAnsi" w:hAnsiTheme="majorHAnsi" w:cstheme="majorHAnsi"/>
          <w:szCs w:val="24"/>
        </w:rPr>
        <w:t xml:space="preserve"> If DMSO is not suitable, try water or </w:t>
      </w:r>
      <w:r w:rsidR="00D15D32" w:rsidRPr="0017030F">
        <w:rPr>
          <w:rFonts w:asciiTheme="majorHAnsi" w:hAnsiTheme="majorHAnsi" w:cstheme="majorHAnsi"/>
          <w:szCs w:val="24"/>
        </w:rPr>
        <w:t>e</w:t>
      </w:r>
      <w:r w:rsidR="00510337" w:rsidRPr="0017030F">
        <w:rPr>
          <w:rFonts w:asciiTheme="majorHAnsi" w:hAnsiTheme="majorHAnsi" w:cstheme="majorHAnsi"/>
          <w:szCs w:val="24"/>
        </w:rPr>
        <w:t>thanol as alternative solvents.</w:t>
      </w:r>
      <w:r w:rsidR="00524C19" w:rsidRPr="0017030F">
        <w:rPr>
          <w:rFonts w:asciiTheme="majorHAnsi" w:hAnsiTheme="majorHAnsi" w:cstheme="majorHAnsi"/>
          <w:szCs w:val="24"/>
        </w:rPr>
        <w:t xml:space="preserve"> </w:t>
      </w:r>
    </w:p>
    <w:p w14:paraId="134C2A85" w14:textId="77777777" w:rsidR="00C76DC9" w:rsidRPr="0017030F" w:rsidRDefault="00C76DC9"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5EF2FAE5" w14:textId="35D3681D" w:rsidR="00C76DC9" w:rsidRPr="0017030F" w:rsidRDefault="00C76DC9"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 xml:space="preserve">Once dissolved, prepare a 1:10 dilution in </w:t>
      </w:r>
      <w:proofErr w:type="spellStart"/>
      <w:r w:rsidRPr="0017030F">
        <w:rPr>
          <w:rFonts w:asciiTheme="majorHAnsi" w:hAnsiTheme="majorHAnsi" w:cstheme="majorHAnsi"/>
          <w:szCs w:val="24"/>
        </w:rPr>
        <w:t>diH₂O</w:t>
      </w:r>
      <w:proofErr w:type="spellEnd"/>
      <w:r w:rsidRPr="0017030F">
        <w:rPr>
          <w:rFonts w:asciiTheme="majorHAnsi" w:hAnsiTheme="majorHAnsi" w:cstheme="majorHAnsi"/>
          <w:szCs w:val="24"/>
        </w:rPr>
        <w:t xml:space="preserve"> (10% solvent) and repeat the assessment (mixing, sonication, heating as needed).</w:t>
      </w:r>
    </w:p>
    <w:p w14:paraId="055010D3" w14:textId="77777777" w:rsidR="00C76DC9" w:rsidRPr="0017030F" w:rsidRDefault="00C76DC9"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02993F8D" w14:textId="0A4DF728" w:rsidR="00452F1D" w:rsidRPr="0017030F" w:rsidRDefault="00C76DC9"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lastRenderedPageBreak/>
        <w:t>To simulate assay conditions, prepare a 1% test item dilution in assay buffer and repeat the solubility check.</w:t>
      </w:r>
      <w:r w:rsidR="00266417" w:rsidRPr="0017030F">
        <w:rPr>
          <w:rFonts w:asciiTheme="majorHAnsi" w:hAnsiTheme="majorHAnsi" w:cstheme="majorHAnsi"/>
          <w:szCs w:val="24"/>
        </w:rPr>
        <w:t xml:space="preserve"> </w:t>
      </w:r>
    </w:p>
    <w:p w14:paraId="65E9D806" w14:textId="77777777" w:rsidR="00D10243" w:rsidRPr="0017030F" w:rsidRDefault="00D10243" w:rsidP="00E73D5F">
      <w:pPr>
        <w:pStyle w:val="Listenabsatz"/>
        <w:spacing w:after="0" w:line="240" w:lineRule="auto"/>
        <w:ind w:left="0"/>
        <w:jc w:val="both"/>
        <w:rPr>
          <w:rFonts w:asciiTheme="majorHAnsi" w:hAnsiTheme="majorHAnsi" w:cstheme="majorHAnsi"/>
          <w:szCs w:val="24"/>
        </w:rPr>
      </w:pPr>
    </w:p>
    <w:p w14:paraId="506CE8E1" w14:textId="3FBAB4EF" w:rsidR="00D10243" w:rsidRPr="0017030F" w:rsidRDefault="00D10243" w:rsidP="00E73D5F">
      <w:pPr>
        <w:pStyle w:val="Listenabsatz"/>
        <w:numPr>
          <w:ilvl w:val="1"/>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bookmarkStart w:id="13" w:name="_Ref210574679"/>
      <w:r w:rsidRPr="0017030F">
        <w:rPr>
          <w:rFonts w:asciiTheme="majorHAnsi" w:hAnsiTheme="majorHAnsi" w:cstheme="majorHAnsi"/>
          <w:szCs w:val="24"/>
        </w:rPr>
        <w:t>Test item preparation and range finding</w:t>
      </w:r>
      <w:bookmarkEnd w:id="13"/>
    </w:p>
    <w:p w14:paraId="3C74BB77" w14:textId="77777777" w:rsidR="00D10243" w:rsidRPr="0017030F" w:rsidRDefault="00D10243"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1669408D" w14:textId="34E21BD2" w:rsidR="00D10243" w:rsidRPr="0017030F" w:rsidRDefault="00D10243"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 xml:space="preserve">Prepare the test item stock solution at the highest soluble concentration in a suitable solvent (preferably DMSO), as determined during solubility assessment in </w:t>
      </w:r>
      <w:r w:rsidR="0079279C" w:rsidRPr="0017030F">
        <w:rPr>
          <w:rFonts w:asciiTheme="majorHAnsi" w:hAnsiTheme="majorHAnsi" w:cstheme="majorHAnsi"/>
          <w:szCs w:val="24"/>
        </w:rPr>
        <w:t xml:space="preserve">step </w:t>
      </w:r>
      <w:r w:rsidR="00CC4FAF" w:rsidRPr="0017030F">
        <w:rPr>
          <w:rFonts w:asciiTheme="majorHAnsi" w:hAnsiTheme="majorHAnsi" w:cstheme="majorHAnsi"/>
          <w:szCs w:val="24"/>
        </w:rPr>
        <w:t>1.8</w:t>
      </w:r>
      <w:r w:rsidRPr="0017030F">
        <w:rPr>
          <w:rFonts w:asciiTheme="majorHAnsi" w:hAnsiTheme="majorHAnsi" w:cstheme="majorHAnsi"/>
          <w:szCs w:val="24"/>
        </w:rPr>
        <w:t>.</w:t>
      </w:r>
    </w:p>
    <w:p w14:paraId="5FC2C5BC" w14:textId="77777777" w:rsidR="00D10243" w:rsidRPr="0017030F" w:rsidRDefault="00D10243"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47AFB4AD" w14:textId="6C0F6C1B" w:rsidR="00D10243" w:rsidRPr="0017030F" w:rsidRDefault="00D10243"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 xml:space="preserve">For the range finding assay, prepare eight test item dilutions by consecutive 1:10 (v/v) dilution steps using the stock solution and 10% DMSO in </w:t>
      </w:r>
      <w:proofErr w:type="spellStart"/>
      <w:r w:rsidRPr="0017030F">
        <w:rPr>
          <w:rFonts w:asciiTheme="majorHAnsi" w:hAnsiTheme="majorHAnsi" w:cstheme="majorHAnsi"/>
          <w:szCs w:val="24"/>
        </w:rPr>
        <w:t>diH₂O</w:t>
      </w:r>
      <w:proofErr w:type="spellEnd"/>
      <w:r w:rsidRPr="0017030F">
        <w:rPr>
          <w:rFonts w:asciiTheme="majorHAnsi" w:hAnsiTheme="majorHAnsi" w:cstheme="majorHAnsi"/>
          <w:szCs w:val="24"/>
        </w:rPr>
        <w:t>.</w:t>
      </w:r>
    </w:p>
    <w:p w14:paraId="129843A9" w14:textId="77777777" w:rsidR="00457686" w:rsidRPr="0017030F" w:rsidRDefault="00457686" w:rsidP="00E73D5F">
      <w:pPr>
        <w:pStyle w:val="Listenabsatz"/>
        <w:spacing w:after="0" w:line="240" w:lineRule="auto"/>
        <w:ind w:left="0"/>
        <w:jc w:val="both"/>
        <w:rPr>
          <w:rFonts w:asciiTheme="majorHAnsi" w:hAnsiTheme="majorHAnsi" w:cstheme="majorHAnsi"/>
          <w:szCs w:val="24"/>
        </w:rPr>
      </w:pPr>
    </w:p>
    <w:p w14:paraId="633E0962" w14:textId="48BBE9F2" w:rsidR="00457686" w:rsidRPr="0017030F" w:rsidRDefault="00457686"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Conduct the range finding assay to estimate the inhibition profile of the test item</w:t>
      </w:r>
      <w:r w:rsidR="00241891" w:rsidRPr="0017030F">
        <w:rPr>
          <w:rFonts w:asciiTheme="majorHAnsi" w:hAnsiTheme="majorHAnsi" w:cstheme="majorHAnsi"/>
          <w:szCs w:val="24"/>
        </w:rPr>
        <w:t xml:space="preserve"> by performing the steps described in </w:t>
      </w:r>
      <w:r w:rsidR="0079279C" w:rsidRPr="0017030F">
        <w:rPr>
          <w:rFonts w:asciiTheme="majorHAnsi" w:hAnsiTheme="majorHAnsi" w:cstheme="majorHAnsi"/>
          <w:szCs w:val="24"/>
        </w:rPr>
        <w:t xml:space="preserve">section </w:t>
      </w:r>
      <w:r w:rsidR="00CC4FAF" w:rsidRPr="0017030F">
        <w:rPr>
          <w:rFonts w:asciiTheme="majorHAnsi" w:hAnsiTheme="majorHAnsi" w:cstheme="majorHAnsi"/>
          <w:szCs w:val="24"/>
        </w:rPr>
        <w:t>2</w:t>
      </w:r>
      <w:r w:rsidRPr="0017030F">
        <w:rPr>
          <w:rFonts w:asciiTheme="majorHAnsi" w:hAnsiTheme="majorHAnsi" w:cstheme="majorHAnsi"/>
          <w:szCs w:val="24"/>
        </w:rPr>
        <w:t>. If the test item shows ≥</w:t>
      </w:r>
      <w:r w:rsidR="00FF326D" w:rsidRPr="0017030F">
        <w:rPr>
          <w:rFonts w:asciiTheme="majorHAnsi" w:hAnsiTheme="majorHAnsi" w:cstheme="majorHAnsi"/>
          <w:szCs w:val="24"/>
        </w:rPr>
        <w:t>25</w:t>
      </w:r>
      <w:r w:rsidRPr="0017030F">
        <w:rPr>
          <w:rFonts w:asciiTheme="majorHAnsi" w:hAnsiTheme="majorHAnsi" w:cstheme="majorHAnsi"/>
          <w:szCs w:val="24"/>
        </w:rPr>
        <w:t>% inhibition at any concentration, adjust the concentration range for the final assay runs to include at least three concentrations in the linear inhibition range and two concentrations below 10% IRA</w:t>
      </w:r>
      <w:r w:rsidR="00CF5222" w:rsidRPr="0017030F">
        <w:rPr>
          <w:rFonts w:asciiTheme="majorHAnsi" w:hAnsiTheme="majorHAnsi" w:cstheme="majorHAnsi"/>
          <w:szCs w:val="24"/>
        </w:rPr>
        <w:t>, if applicable</w:t>
      </w:r>
      <w:r w:rsidRPr="0017030F">
        <w:rPr>
          <w:rFonts w:asciiTheme="majorHAnsi" w:hAnsiTheme="majorHAnsi" w:cstheme="majorHAnsi"/>
          <w:szCs w:val="24"/>
        </w:rPr>
        <w:t>.</w:t>
      </w:r>
    </w:p>
    <w:p w14:paraId="38BEE134" w14:textId="77777777" w:rsidR="00457686" w:rsidRPr="0017030F" w:rsidRDefault="00457686" w:rsidP="00E73D5F">
      <w:pPr>
        <w:pStyle w:val="Listenabsatz"/>
        <w:spacing w:after="0" w:line="240" w:lineRule="auto"/>
        <w:ind w:left="0"/>
        <w:jc w:val="both"/>
        <w:rPr>
          <w:rFonts w:asciiTheme="majorHAnsi" w:hAnsiTheme="majorHAnsi" w:cstheme="majorHAnsi"/>
          <w:szCs w:val="24"/>
        </w:rPr>
      </w:pPr>
    </w:p>
    <w:p w14:paraId="6CB2F5D1" w14:textId="76DAD562" w:rsidR="00457686" w:rsidRPr="0017030F" w:rsidRDefault="00457686"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If the test item shows &lt;</w:t>
      </w:r>
      <w:r w:rsidR="00FF326D" w:rsidRPr="0017030F">
        <w:rPr>
          <w:rFonts w:asciiTheme="majorHAnsi" w:hAnsiTheme="majorHAnsi" w:cstheme="majorHAnsi"/>
          <w:szCs w:val="24"/>
        </w:rPr>
        <w:t>25</w:t>
      </w:r>
      <w:r w:rsidRPr="0017030F">
        <w:rPr>
          <w:rFonts w:asciiTheme="majorHAnsi" w:hAnsiTheme="majorHAnsi" w:cstheme="majorHAnsi"/>
          <w:szCs w:val="24"/>
        </w:rPr>
        <w:t>% inhibition in all tested concentrations, reuse the same dilution series for the final assay runs. In this case, the range finding assay may count as one of the three required independent assay runs.</w:t>
      </w:r>
    </w:p>
    <w:p w14:paraId="7ECAD881" w14:textId="77777777" w:rsidR="00457686" w:rsidRPr="0017030F" w:rsidRDefault="00457686" w:rsidP="00E73D5F">
      <w:pPr>
        <w:pBdr>
          <w:top w:val="nil"/>
          <w:left w:val="nil"/>
          <w:bottom w:val="nil"/>
          <w:right w:val="nil"/>
          <w:between w:val="nil"/>
        </w:pBdr>
        <w:rPr>
          <w:rFonts w:asciiTheme="majorHAnsi" w:hAnsiTheme="majorHAnsi" w:cstheme="majorHAnsi"/>
        </w:rPr>
      </w:pPr>
    </w:p>
    <w:p w14:paraId="00D11A81" w14:textId="5D3B9D49" w:rsidR="00457686" w:rsidRPr="0017030F" w:rsidRDefault="00457686" w:rsidP="00E73D5F">
      <w:pPr>
        <w:rPr>
          <w:rFonts w:asciiTheme="majorHAnsi" w:hAnsiTheme="majorHAnsi" w:cstheme="majorHAnsi"/>
        </w:rPr>
      </w:pPr>
      <w:r w:rsidRPr="0017030F">
        <w:rPr>
          <w:rFonts w:asciiTheme="majorHAnsi" w:hAnsiTheme="majorHAnsi" w:cstheme="majorHAnsi"/>
        </w:rPr>
        <w:t>NOTE: Perform at least two, ideally three, independent experiments for each test item to ensure reproducibility and reliability of the results. If another dilution is chosen to</w:t>
      </w:r>
      <w:r w:rsidR="00CF5222" w:rsidRPr="0017030F">
        <w:rPr>
          <w:rFonts w:asciiTheme="majorHAnsi" w:hAnsiTheme="majorHAnsi" w:cstheme="majorHAnsi"/>
        </w:rPr>
        <w:t xml:space="preserve"> better</w:t>
      </w:r>
      <w:r w:rsidRPr="0017030F">
        <w:rPr>
          <w:rFonts w:asciiTheme="majorHAnsi" w:hAnsiTheme="majorHAnsi" w:cstheme="majorHAnsi"/>
        </w:rPr>
        <w:t xml:space="preserve"> cover the activity range, </w:t>
      </w:r>
      <w:r w:rsidR="00CF5222" w:rsidRPr="0017030F">
        <w:rPr>
          <w:rFonts w:asciiTheme="majorHAnsi" w:hAnsiTheme="majorHAnsi" w:cstheme="majorHAnsi"/>
        </w:rPr>
        <w:t>a deviation from the 1:10 dilution ratio is allowed.</w:t>
      </w:r>
      <w:r w:rsidR="00F67504" w:rsidRPr="0017030F">
        <w:rPr>
          <w:rFonts w:asciiTheme="majorHAnsi" w:hAnsiTheme="majorHAnsi" w:cstheme="majorHAnsi"/>
        </w:rPr>
        <w:t xml:space="preserve"> </w:t>
      </w:r>
      <w:r w:rsidR="00F67504" w:rsidRPr="00E73D5F">
        <w:rPr>
          <w:rFonts w:asciiTheme="majorHAnsi" w:hAnsiTheme="majorHAnsi" w:cstheme="majorHAnsi"/>
        </w:rPr>
        <w:t>The 2</w:t>
      </w:r>
      <w:r w:rsidR="00FF326D" w:rsidRPr="00E73D5F">
        <w:rPr>
          <w:rFonts w:asciiTheme="majorHAnsi" w:hAnsiTheme="majorHAnsi" w:cstheme="majorHAnsi"/>
        </w:rPr>
        <w:t>5</w:t>
      </w:r>
      <w:r w:rsidR="00F67504" w:rsidRPr="00E73D5F">
        <w:rPr>
          <w:rFonts w:asciiTheme="majorHAnsi" w:hAnsiTheme="majorHAnsi" w:cstheme="majorHAnsi"/>
        </w:rPr>
        <w:t xml:space="preserve">% cutoff in this testing strategy (see </w:t>
      </w:r>
      <w:r w:rsidR="00B35237" w:rsidRPr="00E73D5F">
        <w:rPr>
          <w:rFonts w:asciiTheme="majorHAnsi" w:hAnsiTheme="majorHAnsi" w:cstheme="majorHAnsi"/>
        </w:rPr>
        <w:t xml:space="preserve">steps </w:t>
      </w:r>
      <w:r w:rsidR="00F67504" w:rsidRPr="00E73D5F">
        <w:rPr>
          <w:rFonts w:asciiTheme="majorHAnsi" w:hAnsiTheme="majorHAnsi" w:cstheme="majorHAnsi"/>
        </w:rPr>
        <w:t xml:space="preserve">1.9.3 and 1.9.4) distinguishes test item effects from negative controls, accounting for </w:t>
      </w:r>
      <w:r w:rsidR="00B35237" w:rsidRPr="00E73D5F">
        <w:rPr>
          <w:rFonts w:asciiTheme="majorHAnsi" w:hAnsiTheme="majorHAnsi" w:cstheme="majorHAnsi"/>
        </w:rPr>
        <w:t>baseline activity variability while providing</w:t>
      </w:r>
      <w:r w:rsidR="00F67504" w:rsidRPr="00E73D5F">
        <w:rPr>
          <w:rFonts w:asciiTheme="majorHAnsi" w:hAnsiTheme="majorHAnsi" w:cstheme="majorHAnsi"/>
        </w:rPr>
        <w:t xml:space="preserve"> an additional safety </w:t>
      </w:r>
      <w:r w:rsidR="00AA46CC" w:rsidRPr="00E73D5F">
        <w:rPr>
          <w:rFonts w:asciiTheme="majorHAnsi" w:hAnsiTheme="majorHAnsi" w:cstheme="majorHAnsi"/>
        </w:rPr>
        <w:t>margin</w:t>
      </w:r>
      <w:r w:rsidR="00F67504" w:rsidRPr="00E73D5F">
        <w:rPr>
          <w:rFonts w:asciiTheme="majorHAnsi" w:hAnsiTheme="majorHAnsi" w:cstheme="majorHAnsi"/>
        </w:rPr>
        <w:t>. This threshold ensures reliable classification of inhibitory profiles.</w:t>
      </w:r>
    </w:p>
    <w:p w14:paraId="041C8431" w14:textId="77777777" w:rsidR="00452F1D" w:rsidRPr="0017030F" w:rsidRDefault="00452F1D" w:rsidP="00E73D5F">
      <w:pPr>
        <w:rPr>
          <w:rFonts w:asciiTheme="majorHAnsi" w:hAnsiTheme="majorHAnsi" w:cstheme="majorHAnsi"/>
        </w:rPr>
      </w:pPr>
    </w:p>
    <w:p w14:paraId="2F675103" w14:textId="222820EF" w:rsidR="00071AAD" w:rsidRPr="0017030F" w:rsidRDefault="00620376" w:rsidP="00E73D5F">
      <w:pPr>
        <w:pStyle w:val="Listenabsatz"/>
        <w:numPr>
          <w:ilvl w:val="0"/>
          <w:numId w:val="1"/>
        </w:numPr>
        <w:pBdr>
          <w:top w:val="nil"/>
          <w:left w:val="nil"/>
          <w:bottom w:val="nil"/>
          <w:right w:val="nil"/>
          <w:between w:val="nil"/>
        </w:pBdr>
        <w:spacing w:after="0" w:line="240" w:lineRule="auto"/>
        <w:ind w:left="0" w:firstLine="0"/>
        <w:jc w:val="both"/>
        <w:rPr>
          <w:rFonts w:asciiTheme="majorHAnsi" w:hAnsiTheme="majorHAnsi" w:cstheme="majorHAnsi"/>
          <w:b/>
          <w:bCs/>
          <w:vanish/>
          <w:szCs w:val="24"/>
        </w:rPr>
      </w:pPr>
      <w:bookmarkStart w:id="14" w:name="_Ref210571595"/>
      <w:r w:rsidRPr="0017030F">
        <w:rPr>
          <w:rFonts w:asciiTheme="majorHAnsi" w:hAnsiTheme="majorHAnsi" w:cstheme="majorHAnsi"/>
          <w:b/>
          <w:bCs/>
          <w:szCs w:val="24"/>
        </w:rPr>
        <w:t>Performing the DIO1–SK assay</w:t>
      </w:r>
      <w:bookmarkEnd w:id="14"/>
    </w:p>
    <w:p w14:paraId="02CCC876" w14:textId="77777777" w:rsidR="009C42C2" w:rsidRPr="00E73D5F" w:rsidRDefault="009C42C2"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highlight w:val="yellow"/>
        </w:rPr>
      </w:pPr>
    </w:p>
    <w:p w14:paraId="6CA33FEA" w14:textId="78843B86" w:rsidR="006200C6" w:rsidRPr="0017030F" w:rsidRDefault="00071AAD" w:rsidP="00E73D5F">
      <w:pPr>
        <w:pStyle w:val="Listenabsatz"/>
        <w:numPr>
          <w:ilvl w:val="1"/>
          <w:numId w:val="28"/>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 xml:space="preserve">Microsome </w:t>
      </w:r>
      <w:r w:rsidR="00DA56A9" w:rsidRPr="0017030F">
        <w:rPr>
          <w:rFonts w:asciiTheme="majorHAnsi" w:hAnsiTheme="majorHAnsi" w:cstheme="majorHAnsi"/>
          <w:szCs w:val="24"/>
          <w:highlight w:val="yellow"/>
        </w:rPr>
        <w:t>i</w:t>
      </w:r>
      <w:r w:rsidRPr="0017030F">
        <w:rPr>
          <w:rFonts w:asciiTheme="majorHAnsi" w:hAnsiTheme="majorHAnsi" w:cstheme="majorHAnsi"/>
          <w:szCs w:val="24"/>
          <w:highlight w:val="yellow"/>
        </w:rPr>
        <w:t xml:space="preserve">ncubation with </w:t>
      </w:r>
      <w:r w:rsidR="00DA56A9" w:rsidRPr="0017030F">
        <w:rPr>
          <w:rFonts w:asciiTheme="majorHAnsi" w:hAnsiTheme="majorHAnsi" w:cstheme="majorHAnsi"/>
          <w:szCs w:val="24"/>
          <w:highlight w:val="yellow"/>
        </w:rPr>
        <w:t>t</w:t>
      </w:r>
      <w:r w:rsidRPr="0017030F">
        <w:rPr>
          <w:rFonts w:asciiTheme="majorHAnsi" w:hAnsiTheme="majorHAnsi" w:cstheme="majorHAnsi"/>
          <w:szCs w:val="24"/>
          <w:highlight w:val="yellow"/>
        </w:rPr>
        <w:t xml:space="preserve">est </w:t>
      </w:r>
      <w:r w:rsidR="00DA56A9" w:rsidRPr="0017030F">
        <w:rPr>
          <w:rFonts w:asciiTheme="majorHAnsi" w:hAnsiTheme="majorHAnsi" w:cstheme="majorHAnsi"/>
          <w:szCs w:val="24"/>
          <w:highlight w:val="yellow"/>
        </w:rPr>
        <w:t>i</w:t>
      </w:r>
      <w:r w:rsidRPr="0017030F">
        <w:rPr>
          <w:rFonts w:asciiTheme="majorHAnsi" w:hAnsiTheme="majorHAnsi" w:cstheme="majorHAnsi"/>
          <w:szCs w:val="24"/>
          <w:highlight w:val="yellow"/>
        </w:rPr>
        <w:t>tem</w:t>
      </w:r>
    </w:p>
    <w:p w14:paraId="1E80D065" w14:textId="77777777" w:rsidR="00452F1D" w:rsidRPr="0017030F" w:rsidRDefault="00452F1D"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highlight w:val="yellow"/>
        </w:rPr>
      </w:pPr>
    </w:p>
    <w:p w14:paraId="332EDC53" w14:textId="03EC878F" w:rsidR="00452F1D" w:rsidRPr="0017030F" w:rsidRDefault="00452F1D"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 xml:space="preserve">Prepare the reference item as described in </w:t>
      </w:r>
      <w:r w:rsidR="001D5994" w:rsidRPr="0017030F">
        <w:rPr>
          <w:rFonts w:asciiTheme="majorHAnsi" w:hAnsiTheme="majorHAnsi" w:cstheme="majorHAnsi"/>
          <w:szCs w:val="24"/>
          <w:highlight w:val="yellow"/>
        </w:rPr>
        <w:t xml:space="preserve">step </w:t>
      </w:r>
      <w:r w:rsidR="00CC4FAF" w:rsidRPr="0017030F">
        <w:rPr>
          <w:rFonts w:asciiTheme="majorHAnsi" w:hAnsiTheme="majorHAnsi" w:cstheme="majorHAnsi"/>
          <w:szCs w:val="24"/>
          <w:highlight w:val="yellow"/>
        </w:rPr>
        <w:t>1.2</w:t>
      </w:r>
      <w:r w:rsidR="00335776" w:rsidRPr="0017030F">
        <w:rPr>
          <w:rFonts w:asciiTheme="majorHAnsi" w:hAnsiTheme="majorHAnsi" w:cstheme="majorHAnsi"/>
          <w:szCs w:val="24"/>
          <w:highlight w:val="yellow"/>
        </w:rPr>
        <w:t>,</w:t>
      </w:r>
      <w:r w:rsidRPr="0017030F">
        <w:rPr>
          <w:rFonts w:asciiTheme="majorHAnsi" w:hAnsiTheme="majorHAnsi" w:cstheme="majorHAnsi"/>
          <w:szCs w:val="24"/>
          <w:highlight w:val="yellow"/>
        </w:rPr>
        <w:t xml:space="preserve"> as well as the positive and negative control</w:t>
      </w:r>
      <w:r w:rsidR="00335776" w:rsidRPr="0017030F">
        <w:rPr>
          <w:rFonts w:asciiTheme="majorHAnsi" w:hAnsiTheme="majorHAnsi" w:cstheme="majorHAnsi"/>
          <w:szCs w:val="24"/>
          <w:highlight w:val="yellow"/>
        </w:rPr>
        <w:t>,</w:t>
      </w:r>
      <w:r w:rsidRPr="0017030F">
        <w:rPr>
          <w:rFonts w:asciiTheme="majorHAnsi" w:hAnsiTheme="majorHAnsi" w:cstheme="majorHAnsi"/>
          <w:szCs w:val="24"/>
          <w:highlight w:val="yellow"/>
        </w:rPr>
        <w:t xml:space="preserve"> as described in </w:t>
      </w:r>
      <w:r w:rsidR="001D5994" w:rsidRPr="0017030F">
        <w:rPr>
          <w:rFonts w:asciiTheme="majorHAnsi" w:hAnsiTheme="majorHAnsi" w:cstheme="majorHAnsi"/>
          <w:szCs w:val="24"/>
          <w:highlight w:val="yellow"/>
        </w:rPr>
        <w:t xml:space="preserve">steps </w:t>
      </w:r>
      <w:r w:rsidR="00CC4FAF" w:rsidRPr="0017030F">
        <w:rPr>
          <w:rFonts w:asciiTheme="majorHAnsi" w:hAnsiTheme="majorHAnsi" w:cstheme="majorHAnsi"/>
          <w:szCs w:val="24"/>
          <w:highlight w:val="yellow"/>
        </w:rPr>
        <w:t>1.3</w:t>
      </w:r>
      <w:r w:rsidR="00490F47" w:rsidRPr="0017030F">
        <w:rPr>
          <w:rFonts w:asciiTheme="majorHAnsi" w:hAnsiTheme="majorHAnsi" w:cstheme="majorHAnsi"/>
          <w:szCs w:val="24"/>
          <w:highlight w:val="yellow"/>
        </w:rPr>
        <w:t xml:space="preserve"> and </w:t>
      </w:r>
      <w:r w:rsidR="00CC4FAF" w:rsidRPr="0017030F">
        <w:rPr>
          <w:rFonts w:asciiTheme="majorHAnsi" w:hAnsiTheme="majorHAnsi" w:cstheme="majorHAnsi"/>
          <w:szCs w:val="24"/>
          <w:highlight w:val="yellow"/>
        </w:rPr>
        <w:t>1.4</w:t>
      </w:r>
      <w:r w:rsidRPr="0017030F">
        <w:rPr>
          <w:rFonts w:asciiTheme="majorHAnsi" w:hAnsiTheme="majorHAnsi" w:cstheme="majorHAnsi"/>
          <w:szCs w:val="24"/>
          <w:highlight w:val="yellow"/>
        </w:rPr>
        <w:t>. Prepare the test items with suitable concentrations following the protocol described in</w:t>
      </w:r>
      <w:r w:rsidR="00490F47" w:rsidRPr="0017030F">
        <w:rPr>
          <w:rFonts w:asciiTheme="majorHAnsi" w:hAnsiTheme="majorHAnsi" w:cstheme="majorHAnsi"/>
          <w:szCs w:val="24"/>
          <w:highlight w:val="yellow"/>
        </w:rPr>
        <w:t xml:space="preserve"> </w:t>
      </w:r>
      <w:r w:rsidR="00335776" w:rsidRPr="0017030F">
        <w:rPr>
          <w:rFonts w:asciiTheme="majorHAnsi" w:hAnsiTheme="majorHAnsi" w:cstheme="majorHAnsi"/>
          <w:szCs w:val="24"/>
          <w:highlight w:val="yellow"/>
        </w:rPr>
        <w:t xml:space="preserve">steps </w:t>
      </w:r>
      <w:r w:rsidR="00CC4FAF" w:rsidRPr="0017030F">
        <w:rPr>
          <w:rFonts w:asciiTheme="majorHAnsi" w:hAnsiTheme="majorHAnsi" w:cstheme="majorHAnsi"/>
          <w:szCs w:val="24"/>
          <w:highlight w:val="yellow"/>
        </w:rPr>
        <w:t>1.8 and 1.9</w:t>
      </w:r>
      <w:r w:rsidRPr="0017030F">
        <w:rPr>
          <w:rFonts w:asciiTheme="majorHAnsi" w:hAnsiTheme="majorHAnsi" w:cstheme="majorHAnsi"/>
          <w:szCs w:val="24"/>
          <w:highlight w:val="yellow"/>
        </w:rPr>
        <w:t>.</w:t>
      </w:r>
    </w:p>
    <w:p w14:paraId="13CB7816" w14:textId="77777777" w:rsidR="00E26D1E" w:rsidRPr="0017030F" w:rsidRDefault="00E26D1E"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highlight w:val="yellow"/>
        </w:rPr>
      </w:pPr>
    </w:p>
    <w:p w14:paraId="57778D97" w14:textId="24192070" w:rsidR="00452F1D" w:rsidRPr="0017030F" w:rsidRDefault="00452F1D"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 xml:space="preserve">Prepare the substrate mix as described in </w:t>
      </w:r>
      <w:r w:rsidR="00CC4FAF" w:rsidRPr="00E73D5F">
        <w:rPr>
          <w:rFonts w:asciiTheme="majorHAnsi" w:hAnsiTheme="majorHAnsi" w:cstheme="majorHAnsi"/>
          <w:b/>
          <w:bCs/>
          <w:szCs w:val="24"/>
          <w:highlight w:val="yellow"/>
        </w:rPr>
        <w:t>Table 1</w:t>
      </w:r>
      <w:r w:rsidR="00490F47" w:rsidRPr="0017030F">
        <w:rPr>
          <w:rFonts w:asciiTheme="majorHAnsi" w:hAnsiTheme="majorHAnsi" w:cstheme="majorHAnsi"/>
          <w:szCs w:val="24"/>
          <w:highlight w:val="yellow"/>
        </w:rPr>
        <w:t xml:space="preserve"> </w:t>
      </w:r>
      <w:r w:rsidR="00E26D1E" w:rsidRPr="0017030F">
        <w:rPr>
          <w:rFonts w:asciiTheme="majorHAnsi" w:hAnsiTheme="majorHAnsi" w:cstheme="majorHAnsi"/>
          <w:szCs w:val="24"/>
          <w:highlight w:val="yellow"/>
        </w:rPr>
        <w:t>and prepare a microsome suspension</w:t>
      </w:r>
      <w:r w:rsidR="00675F66" w:rsidRPr="0017030F">
        <w:rPr>
          <w:rFonts w:asciiTheme="majorHAnsi" w:hAnsiTheme="majorHAnsi" w:cstheme="majorHAnsi"/>
          <w:szCs w:val="24"/>
          <w:highlight w:val="yellow"/>
        </w:rPr>
        <w:t xml:space="preserve"> in the predefined protein concentration according to </w:t>
      </w:r>
      <w:r w:rsidR="00335776" w:rsidRPr="0017030F">
        <w:rPr>
          <w:rFonts w:asciiTheme="majorHAnsi" w:hAnsiTheme="majorHAnsi" w:cstheme="majorHAnsi"/>
          <w:szCs w:val="24"/>
          <w:highlight w:val="yellow"/>
        </w:rPr>
        <w:t xml:space="preserve">step </w:t>
      </w:r>
      <w:r w:rsidR="00CC4FAF" w:rsidRPr="0017030F">
        <w:rPr>
          <w:rFonts w:asciiTheme="majorHAnsi" w:hAnsiTheme="majorHAnsi" w:cstheme="majorHAnsi"/>
          <w:szCs w:val="24"/>
          <w:highlight w:val="yellow"/>
        </w:rPr>
        <w:t>1.7</w:t>
      </w:r>
      <w:r w:rsidR="00490F47" w:rsidRPr="0017030F">
        <w:rPr>
          <w:rFonts w:asciiTheme="majorHAnsi" w:hAnsiTheme="majorHAnsi" w:cstheme="majorHAnsi"/>
          <w:szCs w:val="24"/>
          <w:highlight w:val="yellow"/>
        </w:rPr>
        <w:t xml:space="preserve"> </w:t>
      </w:r>
      <w:r w:rsidR="00675F66" w:rsidRPr="0017030F">
        <w:rPr>
          <w:rFonts w:asciiTheme="majorHAnsi" w:hAnsiTheme="majorHAnsi" w:cstheme="majorHAnsi"/>
          <w:szCs w:val="24"/>
          <w:highlight w:val="yellow"/>
        </w:rPr>
        <w:t>by diluting carefully thawed, aliquoted microsome solution in diH</w:t>
      </w:r>
      <w:r w:rsidR="00675F66" w:rsidRPr="0017030F">
        <w:rPr>
          <w:rFonts w:asciiTheme="majorHAnsi" w:hAnsiTheme="majorHAnsi" w:cstheme="majorHAnsi"/>
          <w:szCs w:val="24"/>
          <w:highlight w:val="yellow"/>
          <w:vertAlign w:val="subscript"/>
        </w:rPr>
        <w:t>2</w:t>
      </w:r>
      <w:r w:rsidR="00675F66" w:rsidRPr="0017030F">
        <w:rPr>
          <w:rFonts w:asciiTheme="majorHAnsi" w:hAnsiTheme="majorHAnsi" w:cstheme="majorHAnsi"/>
          <w:szCs w:val="24"/>
          <w:highlight w:val="yellow"/>
        </w:rPr>
        <w:t>O. Keep the microsome suspension on ice until needed for incubation.</w:t>
      </w:r>
    </w:p>
    <w:p w14:paraId="6FC664A5" w14:textId="77777777" w:rsidR="00675F66" w:rsidRPr="0017030F" w:rsidRDefault="00675F66" w:rsidP="00E73D5F">
      <w:pPr>
        <w:pStyle w:val="Listenabsatz"/>
        <w:spacing w:after="0" w:line="240" w:lineRule="auto"/>
        <w:ind w:left="0"/>
        <w:jc w:val="both"/>
        <w:rPr>
          <w:rFonts w:asciiTheme="majorHAnsi" w:hAnsiTheme="majorHAnsi" w:cstheme="majorHAnsi"/>
          <w:szCs w:val="24"/>
          <w:highlight w:val="yellow"/>
        </w:rPr>
      </w:pPr>
    </w:p>
    <w:p w14:paraId="45D96E26" w14:textId="72FE37F5" w:rsidR="003F7829" w:rsidRPr="0017030F" w:rsidRDefault="009F53A3"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 xml:space="preserve">Following the plate layouts shown in </w:t>
      </w:r>
      <w:r w:rsidRPr="00E73D5F">
        <w:rPr>
          <w:rFonts w:asciiTheme="majorHAnsi" w:hAnsiTheme="majorHAnsi" w:cstheme="majorHAnsi"/>
          <w:b/>
          <w:bCs/>
          <w:szCs w:val="24"/>
          <w:highlight w:val="yellow"/>
        </w:rPr>
        <w:t xml:space="preserve">Figure 3 </w:t>
      </w:r>
      <w:r w:rsidRPr="0017030F">
        <w:rPr>
          <w:rFonts w:asciiTheme="majorHAnsi" w:hAnsiTheme="majorHAnsi" w:cstheme="majorHAnsi"/>
          <w:szCs w:val="24"/>
          <w:highlight w:val="yellow"/>
        </w:rPr>
        <w:t xml:space="preserve">and </w:t>
      </w:r>
      <w:r w:rsidR="00335776" w:rsidRPr="00E73D5F">
        <w:rPr>
          <w:rFonts w:asciiTheme="majorHAnsi" w:hAnsiTheme="majorHAnsi" w:cstheme="majorHAnsi"/>
          <w:b/>
          <w:bCs/>
          <w:szCs w:val="24"/>
          <w:highlight w:val="yellow"/>
        </w:rPr>
        <w:t xml:space="preserve">Figure </w:t>
      </w:r>
      <w:r w:rsidRPr="00E73D5F">
        <w:rPr>
          <w:rFonts w:asciiTheme="majorHAnsi" w:hAnsiTheme="majorHAnsi" w:cstheme="majorHAnsi"/>
          <w:b/>
          <w:bCs/>
          <w:szCs w:val="24"/>
          <w:highlight w:val="yellow"/>
        </w:rPr>
        <w:t>4</w:t>
      </w:r>
      <w:r w:rsidRPr="0017030F">
        <w:rPr>
          <w:rFonts w:asciiTheme="majorHAnsi" w:hAnsiTheme="majorHAnsi" w:cstheme="majorHAnsi"/>
          <w:szCs w:val="24"/>
          <w:highlight w:val="yellow"/>
        </w:rPr>
        <w:t xml:space="preserve"> (if more than two test items are evaluated simultaneously) a</w:t>
      </w:r>
      <w:r w:rsidR="00675F66" w:rsidRPr="0017030F">
        <w:rPr>
          <w:rFonts w:asciiTheme="majorHAnsi" w:hAnsiTheme="majorHAnsi" w:cstheme="majorHAnsi"/>
          <w:szCs w:val="24"/>
          <w:highlight w:val="yellow"/>
        </w:rPr>
        <w:t>dd 10 µL of reference item</w:t>
      </w:r>
      <w:r w:rsidRPr="0017030F">
        <w:rPr>
          <w:rFonts w:asciiTheme="majorHAnsi" w:hAnsiTheme="majorHAnsi" w:cstheme="majorHAnsi"/>
          <w:szCs w:val="24"/>
          <w:highlight w:val="yellow"/>
        </w:rPr>
        <w:t xml:space="preserve"> concentrations, positive and negative control, solvent control (10% (v/v) solvent in diH</w:t>
      </w:r>
      <w:r w:rsidRPr="0017030F">
        <w:rPr>
          <w:rFonts w:asciiTheme="majorHAnsi" w:hAnsiTheme="majorHAnsi" w:cstheme="majorHAnsi"/>
          <w:szCs w:val="24"/>
          <w:highlight w:val="yellow"/>
          <w:vertAlign w:val="subscript"/>
        </w:rPr>
        <w:t>2</w:t>
      </w:r>
      <w:r w:rsidRPr="0017030F">
        <w:rPr>
          <w:rFonts w:asciiTheme="majorHAnsi" w:hAnsiTheme="majorHAnsi" w:cstheme="majorHAnsi"/>
          <w:szCs w:val="24"/>
          <w:highlight w:val="yellow"/>
        </w:rPr>
        <w:t>O)</w:t>
      </w:r>
      <w:r w:rsidR="00CA24EC" w:rsidRPr="0017030F">
        <w:rPr>
          <w:rFonts w:asciiTheme="majorHAnsi" w:hAnsiTheme="majorHAnsi" w:cstheme="majorHAnsi"/>
          <w:szCs w:val="24"/>
          <w:highlight w:val="yellow"/>
        </w:rPr>
        <w:t>,</w:t>
      </w:r>
      <w:r w:rsidRPr="0017030F">
        <w:rPr>
          <w:rFonts w:asciiTheme="majorHAnsi" w:hAnsiTheme="majorHAnsi" w:cstheme="majorHAnsi"/>
          <w:szCs w:val="24"/>
          <w:highlight w:val="yellow"/>
        </w:rPr>
        <w:t xml:space="preserve"> and test items concentrations to the wells</w:t>
      </w:r>
      <w:r w:rsidR="003F7829" w:rsidRPr="0017030F">
        <w:rPr>
          <w:rFonts w:asciiTheme="majorHAnsi" w:hAnsiTheme="majorHAnsi" w:cstheme="majorHAnsi"/>
          <w:szCs w:val="24"/>
          <w:highlight w:val="yellow"/>
        </w:rPr>
        <w:t xml:space="preserve">. </w:t>
      </w:r>
    </w:p>
    <w:p w14:paraId="4F010193" w14:textId="77777777" w:rsidR="003F7829" w:rsidRPr="0017030F" w:rsidRDefault="003F7829" w:rsidP="00E73D5F">
      <w:pPr>
        <w:pBdr>
          <w:top w:val="nil"/>
          <w:left w:val="nil"/>
          <w:bottom w:val="nil"/>
          <w:right w:val="nil"/>
          <w:between w:val="nil"/>
        </w:pBdr>
        <w:rPr>
          <w:rFonts w:asciiTheme="majorHAnsi" w:hAnsiTheme="majorHAnsi" w:cstheme="majorHAnsi"/>
          <w:highlight w:val="yellow"/>
        </w:rPr>
      </w:pPr>
    </w:p>
    <w:p w14:paraId="1344668D" w14:textId="261B15A2" w:rsidR="003F7829" w:rsidRPr="0017030F" w:rsidRDefault="003F7829"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lastRenderedPageBreak/>
        <w:t xml:space="preserve">Add 40 µL of the microsome suspension to </w:t>
      </w:r>
      <w:r w:rsidR="009F53A3" w:rsidRPr="0017030F">
        <w:rPr>
          <w:rFonts w:asciiTheme="majorHAnsi" w:hAnsiTheme="majorHAnsi" w:cstheme="majorHAnsi"/>
          <w:szCs w:val="24"/>
          <w:highlight w:val="yellow"/>
        </w:rPr>
        <w:t xml:space="preserve">all </w:t>
      </w:r>
      <w:r w:rsidRPr="0017030F">
        <w:rPr>
          <w:rFonts w:asciiTheme="majorHAnsi" w:hAnsiTheme="majorHAnsi" w:cstheme="majorHAnsi"/>
          <w:szCs w:val="24"/>
          <w:highlight w:val="yellow"/>
        </w:rPr>
        <w:t xml:space="preserve">wells. </w:t>
      </w:r>
      <w:r w:rsidR="00781195" w:rsidRPr="0017030F">
        <w:rPr>
          <w:rFonts w:asciiTheme="majorHAnsi" w:hAnsiTheme="majorHAnsi" w:cstheme="majorHAnsi"/>
          <w:szCs w:val="24"/>
          <w:highlight w:val="yellow"/>
        </w:rPr>
        <w:t>A</w:t>
      </w:r>
      <w:r w:rsidRPr="0017030F">
        <w:rPr>
          <w:rFonts w:asciiTheme="majorHAnsi" w:hAnsiTheme="majorHAnsi" w:cstheme="majorHAnsi"/>
          <w:szCs w:val="24"/>
          <w:highlight w:val="yellow"/>
        </w:rPr>
        <w:t>dd 50 µL of the freshly prepared substrate mix to the samples.</w:t>
      </w:r>
    </w:p>
    <w:p w14:paraId="009D7B24" w14:textId="77777777" w:rsidR="003F7829" w:rsidRPr="0017030F" w:rsidRDefault="003F7829" w:rsidP="00E73D5F">
      <w:pPr>
        <w:pStyle w:val="Listenabsatz"/>
        <w:spacing w:after="0" w:line="240" w:lineRule="auto"/>
        <w:ind w:left="0"/>
        <w:jc w:val="both"/>
        <w:rPr>
          <w:rFonts w:asciiTheme="majorHAnsi" w:hAnsiTheme="majorHAnsi" w:cstheme="majorHAnsi"/>
          <w:szCs w:val="24"/>
          <w:highlight w:val="yellow"/>
        </w:rPr>
      </w:pPr>
    </w:p>
    <w:p w14:paraId="52C69E75" w14:textId="1DB5B8F4" w:rsidR="003F7829" w:rsidRPr="0017030F" w:rsidRDefault="003F7829"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bookmarkStart w:id="15" w:name="_Ref209168780"/>
      <w:r w:rsidRPr="0017030F">
        <w:rPr>
          <w:rFonts w:asciiTheme="majorHAnsi" w:hAnsiTheme="majorHAnsi" w:cstheme="majorHAnsi"/>
          <w:szCs w:val="24"/>
          <w:highlight w:val="yellow"/>
        </w:rPr>
        <w:t>Seal the plate with an impermeable sheet of plastic and place it on a shaker in an incubator (37 °C at 850 rpm) for 2 h</w:t>
      </w:r>
      <w:r w:rsidR="00CA24EC" w:rsidRPr="0017030F">
        <w:rPr>
          <w:rFonts w:asciiTheme="majorHAnsi" w:hAnsiTheme="majorHAnsi" w:cstheme="majorHAnsi"/>
          <w:szCs w:val="24"/>
          <w:highlight w:val="yellow"/>
        </w:rPr>
        <w:t>;</w:t>
      </w:r>
      <w:r w:rsidRPr="0017030F">
        <w:rPr>
          <w:rFonts w:asciiTheme="majorHAnsi" w:hAnsiTheme="majorHAnsi" w:cstheme="majorHAnsi"/>
          <w:szCs w:val="24"/>
          <w:highlight w:val="yellow"/>
        </w:rPr>
        <w:t xml:space="preserve"> place the plate after the incubation on ice to stop the reaction.</w:t>
      </w:r>
      <w:bookmarkEnd w:id="15"/>
    </w:p>
    <w:p w14:paraId="44F89A4F" w14:textId="77777777" w:rsidR="003F7829" w:rsidRPr="0017030F" w:rsidRDefault="003F7829" w:rsidP="00E73D5F">
      <w:pPr>
        <w:pStyle w:val="Listenabsatz"/>
        <w:spacing w:after="0" w:line="240" w:lineRule="auto"/>
        <w:ind w:left="0"/>
        <w:jc w:val="both"/>
        <w:rPr>
          <w:rFonts w:asciiTheme="majorHAnsi" w:hAnsiTheme="majorHAnsi" w:cstheme="majorHAnsi"/>
          <w:szCs w:val="24"/>
          <w:highlight w:val="yellow"/>
        </w:rPr>
      </w:pPr>
    </w:p>
    <w:p w14:paraId="1C5A9A68" w14:textId="77777777" w:rsidR="003C066D" w:rsidRPr="0017030F" w:rsidRDefault="003F7829"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Place the plate on ice after incubation to stop the reaction.</w:t>
      </w:r>
      <w:r w:rsidR="00781195" w:rsidRPr="0017030F">
        <w:rPr>
          <w:rFonts w:asciiTheme="majorHAnsi" w:hAnsiTheme="majorHAnsi" w:cstheme="majorHAnsi"/>
          <w:szCs w:val="24"/>
          <w:highlight w:val="yellow"/>
        </w:rPr>
        <w:t xml:space="preserve"> </w:t>
      </w:r>
    </w:p>
    <w:p w14:paraId="67162276" w14:textId="77777777" w:rsidR="003C066D" w:rsidRPr="00E73D5F" w:rsidRDefault="003C066D" w:rsidP="00E73D5F">
      <w:pPr>
        <w:pStyle w:val="Listenabsatz"/>
        <w:spacing w:after="0" w:line="240" w:lineRule="auto"/>
        <w:ind w:left="0"/>
        <w:jc w:val="both"/>
        <w:rPr>
          <w:rFonts w:asciiTheme="majorHAnsi" w:hAnsiTheme="majorHAnsi" w:cstheme="majorHAnsi"/>
          <w:szCs w:val="24"/>
          <w:highlight w:val="yellow"/>
        </w:rPr>
      </w:pPr>
    </w:p>
    <w:p w14:paraId="5B1036DA" w14:textId="7997D5D5" w:rsidR="003C066D" w:rsidRPr="0017030F" w:rsidRDefault="003C066D"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highlight w:val="yellow"/>
        </w:rPr>
        <w:t xml:space="preserve">NOTE: </w:t>
      </w:r>
      <w:r w:rsidR="00781195" w:rsidRPr="0017030F">
        <w:rPr>
          <w:rFonts w:asciiTheme="majorHAnsi" w:hAnsiTheme="majorHAnsi" w:cstheme="majorHAnsi"/>
          <w:highlight w:val="yellow"/>
        </w:rPr>
        <w:t>The plate can be stored on ice until measurement to preserve sample integrity.</w:t>
      </w:r>
      <w:r w:rsidRPr="0017030F">
        <w:rPr>
          <w:rFonts w:asciiTheme="majorHAnsi" w:hAnsiTheme="majorHAnsi" w:cstheme="majorHAnsi"/>
        </w:rPr>
        <w:t xml:space="preserve"> The first assay plate contains eight concentrations of the reference item, while each additional plate on the same day contains only the highest concentration of the reference item, leaving more space for additional test items if needed.</w:t>
      </w:r>
    </w:p>
    <w:p w14:paraId="2C0F2A68" w14:textId="77777777" w:rsidR="00C76DC9" w:rsidRPr="0017030F" w:rsidRDefault="00C76DC9"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54B9864B" w14:textId="59F837A2" w:rsidR="00884505" w:rsidRPr="0017030F" w:rsidRDefault="00884505"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 xml:space="preserve">[Place </w:t>
      </w:r>
      <w:r w:rsidRPr="0017030F">
        <w:rPr>
          <w:rFonts w:asciiTheme="majorHAnsi" w:hAnsiTheme="majorHAnsi" w:cstheme="majorHAnsi"/>
          <w:b/>
        </w:rPr>
        <w:t>Figure 3</w:t>
      </w:r>
      <w:r w:rsidRPr="0017030F">
        <w:rPr>
          <w:rFonts w:asciiTheme="majorHAnsi" w:hAnsiTheme="majorHAnsi" w:cstheme="majorHAnsi"/>
        </w:rPr>
        <w:t xml:space="preserve"> here]</w:t>
      </w:r>
    </w:p>
    <w:p w14:paraId="4E41A723" w14:textId="77777777" w:rsidR="00884505" w:rsidRPr="0017030F" w:rsidRDefault="00884505" w:rsidP="00E73D5F">
      <w:pPr>
        <w:pBdr>
          <w:top w:val="nil"/>
          <w:left w:val="nil"/>
          <w:bottom w:val="nil"/>
          <w:right w:val="nil"/>
          <w:between w:val="nil"/>
        </w:pBdr>
        <w:rPr>
          <w:rFonts w:asciiTheme="majorHAnsi" w:hAnsiTheme="majorHAnsi" w:cstheme="majorHAnsi"/>
        </w:rPr>
      </w:pPr>
    </w:p>
    <w:p w14:paraId="6C61C29C" w14:textId="77777777" w:rsidR="00884505" w:rsidRPr="0017030F" w:rsidRDefault="00884505"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 xml:space="preserve">[Place </w:t>
      </w:r>
      <w:r w:rsidRPr="0017030F">
        <w:rPr>
          <w:rFonts w:asciiTheme="majorHAnsi" w:hAnsiTheme="majorHAnsi" w:cstheme="majorHAnsi"/>
          <w:b/>
        </w:rPr>
        <w:t>Figure 4</w:t>
      </w:r>
      <w:r w:rsidRPr="0017030F">
        <w:rPr>
          <w:rFonts w:asciiTheme="majorHAnsi" w:hAnsiTheme="majorHAnsi" w:cstheme="majorHAnsi"/>
        </w:rPr>
        <w:t xml:space="preserve"> here]</w:t>
      </w:r>
    </w:p>
    <w:p w14:paraId="2D278594" w14:textId="77777777" w:rsidR="00452F1D" w:rsidRPr="0017030F" w:rsidRDefault="00452F1D" w:rsidP="00E73D5F">
      <w:pPr>
        <w:pBdr>
          <w:top w:val="nil"/>
          <w:left w:val="nil"/>
          <w:bottom w:val="nil"/>
          <w:right w:val="nil"/>
          <w:between w:val="nil"/>
        </w:pBdr>
        <w:rPr>
          <w:rFonts w:asciiTheme="majorHAnsi" w:hAnsiTheme="majorHAnsi" w:cstheme="majorHAnsi"/>
        </w:rPr>
      </w:pPr>
    </w:p>
    <w:p w14:paraId="4B493CE9" w14:textId="104E069A" w:rsidR="00CB1C6F" w:rsidRPr="0017030F" w:rsidRDefault="00CB1C6F" w:rsidP="00E73D5F">
      <w:pPr>
        <w:pStyle w:val="Listenabsatz"/>
        <w:numPr>
          <w:ilvl w:val="1"/>
          <w:numId w:val="28"/>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bookmarkStart w:id="16" w:name="_Ref209426395"/>
      <w:r w:rsidRPr="0017030F">
        <w:rPr>
          <w:rFonts w:asciiTheme="majorHAnsi" w:hAnsiTheme="majorHAnsi" w:cstheme="majorHAnsi"/>
          <w:szCs w:val="24"/>
          <w:highlight w:val="yellow"/>
        </w:rPr>
        <w:t xml:space="preserve">Separation </w:t>
      </w:r>
      <w:r w:rsidR="00DA56A9" w:rsidRPr="0017030F">
        <w:rPr>
          <w:rFonts w:asciiTheme="majorHAnsi" w:hAnsiTheme="majorHAnsi" w:cstheme="majorHAnsi"/>
          <w:szCs w:val="24"/>
          <w:highlight w:val="yellow"/>
        </w:rPr>
        <w:t>v</w:t>
      </w:r>
      <w:r w:rsidRPr="0017030F">
        <w:rPr>
          <w:rFonts w:asciiTheme="majorHAnsi" w:hAnsiTheme="majorHAnsi" w:cstheme="majorHAnsi"/>
          <w:szCs w:val="24"/>
          <w:highlight w:val="yellow"/>
        </w:rPr>
        <w:t xml:space="preserve">ia </w:t>
      </w:r>
      <w:r w:rsidR="00DA56A9" w:rsidRPr="0017030F">
        <w:rPr>
          <w:rFonts w:asciiTheme="majorHAnsi" w:hAnsiTheme="majorHAnsi" w:cstheme="majorHAnsi"/>
          <w:szCs w:val="24"/>
          <w:highlight w:val="yellow"/>
        </w:rPr>
        <w:t>i</w:t>
      </w:r>
      <w:r w:rsidRPr="0017030F">
        <w:rPr>
          <w:rFonts w:asciiTheme="majorHAnsi" w:hAnsiTheme="majorHAnsi" w:cstheme="majorHAnsi"/>
          <w:szCs w:val="24"/>
          <w:highlight w:val="yellow"/>
        </w:rPr>
        <w:t xml:space="preserve">on </w:t>
      </w:r>
      <w:r w:rsidR="00DA56A9" w:rsidRPr="0017030F">
        <w:rPr>
          <w:rFonts w:asciiTheme="majorHAnsi" w:hAnsiTheme="majorHAnsi" w:cstheme="majorHAnsi"/>
          <w:szCs w:val="24"/>
          <w:highlight w:val="yellow"/>
        </w:rPr>
        <w:t>e</w:t>
      </w:r>
      <w:r w:rsidRPr="0017030F">
        <w:rPr>
          <w:rFonts w:asciiTheme="majorHAnsi" w:hAnsiTheme="majorHAnsi" w:cstheme="majorHAnsi"/>
          <w:szCs w:val="24"/>
          <w:highlight w:val="yellow"/>
        </w:rPr>
        <w:t xml:space="preserve">xchange </w:t>
      </w:r>
      <w:r w:rsidR="00DA56A9" w:rsidRPr="0017030F">
        <w:rPr>
          <w:rFonts w:asciiTheme="majorHAnsi" w:hAnsiTheme="majorHAnsi" w:cstheme="majorHAnsi"/>
          <w:szCs w:val="24"/>
          <w:highlight w:val="yellow"/>
        </w:rPr>
        <w:t>r</w:t>
      </w:r>
      <w:r w:rsidRPr="0017030F">
        <w:rPr>
          <w:rFonts w:asciiTheme="majorHAnsi" w:hAnsiTheme="majorHAnsi" w:cstheme="majorHAnsi"/>
          <w:szCs w:val="24"/>
          <w:highlight w:val="yellow"/>
        </w:rPr>
        <w:t>esin-</w:t>
      </w:r>
      <w:r w:rsidR="00DA56A9" w:rsidRPr="0017030F">
        <w:rPr>
          <w:rFonts w:asciiTheme="majorHAnsi" w:hAnsiTheme="majorHAnsi" w:cstheme="majorHAnsi"/>
          <w:szCs w:val="24"/>
          <w:highlight w:val="yellow"/>
        </w:rPr>
        <w:t>f</w:t>
      </w:r>
      <w:r w:rsidRPr="0017030F">
        <w:rPr>
          <w:rFonts w:asciiTheme="majorHAnsi" w:hAnsiTheme="majorHAnsi" w:cstheme="majorHAnsi"/>
          <w:szCs w:val="24"/>
          <w:highlight w:val="yellow"/>
        </w:rPr>
        <w:t>illed 96-</w:t>
      </w:r>
      <w:r w:rsidR="00DA56A9" w:rsidRPr="0017030F">
        <w:rPr>
          <w:rFonts w:asciiTheme="majorHAnsi" w:hAnsiTheme="majorHAnsi" w:cstheme="majorHAnsi"/>
          <w:szCs w:val="24"/>
          <w:highlight w:val="yellow"/>
        </w:rPr>
        <w:t>w</w:t>
      </w:r>
      <w:r w:rsidRPr="0017030F">
        <w:rPr>
          <w:rFonts w:asciiTheme="majorHAnsi" w:hAnsiTheme="majorHAnsi" w:cstheme="majorHAnsi"/>
          <w:szCs w:val="24"/>
          <w:highlight w:val="yellow"/>
        </w:rPr>
        <w:t xml:space="preserve">ell </w:t>
      </w:r>
      <w:r w:rsidR="00DA56A9" w:rsidRPr="0017030F">
        <w:rPr>
          <w:rFonts w:asciiTheme="majorHAnsi" w:hAnsiTheme="majorHAnsi" w:cstheme="majorHAnsi"/>
          <w:szCs w:val="24"/>
          <w:highlight w:val="yellow"/>
        </w:rPr>
        <w:t>f</w:t>
      </w:r>
      <w:r w:rsidRPr="0017030F">
        <w:rPr>
          <w:rFonts w:asciiTheme="majorHAnsi" w:hAnsiTheme="majorHAnsi" w:cstheme="majorHAnsi"/>
          <w:szCs w:val="24"/>
          <w:highlight w:val="yellow"/>
        </w:rPr>
        <w:t xml:space="preserve">ilter </w:t>
      </w:r>
      <w:r w:rsidR="00DA56A9" w:rsidRPr="0017030F">
        <w:rPr>
          <w:rFonts w:asciiTheme="majorHAnsi" w:hAnsiTheme="majorHAnsi" w:cstheme="majorHAnsi"/>
          <w:szCs w:val="24"/>
          <w:highlight w:val="yellow"/>
        </w:rPr>
        <w:t>p</w:t>
      </w:r>
      <w:r w:rsidRPr="0017030F">
        <w:rPr>
          <w:rFonts w:asciiTheme="majorHAnsi" w:hAnsiTheme="majorHAnsi" w:cstheme="majorHAnsi"/>
          <w:szCs w:val="24"/>
          <w:highlight w:val="yellow"/>
        </w:rPr>
        <w:t>lates</w:t>
      </w:r>
      <w:bookmarkEnd w:id="16"/>
    </w:p>
    <w:p w14:paraId="5A62B6C6" w14:textId="77777777" w:rsidR="00CB1C6F" w:rsidRPr="0017030F" w:rsidRDefault="00CB1C6F"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highlight w:val="yellow"/>
        </w:rPr>
      </w:pPr>
    </w:p>
    <w:p w14:paraId="36085818" w14:textId="08430AD7" w:rsidR="00CB1C6F" w:rsidRPr="0017030F" w:rsidRDefault="00CB1C6F"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Put a prepared ion exchange resin-filled 96-well filter plate, as prepared in</w:t>
      </w:r>
      <w:r w:rsidR="00490F47" w:rsidRPr="0017030F">
        <w:rPr>
          <w:rFonts w:asciiTheme="majorHAnsi" w:hAnsiTheme="majorHAnsi" w:cstheme="majorHAnsi"/>
          <w:szCs w:val="24"/>
          <w:highlight w:val="yellow"/>
        </w:rPr>
        <w:t xml:space="preserve"> </w:t>
      </w:r>
      <w:r w:rsidR="00DE7D57" w:rsidRPr="0017030F">
        <w:rPr>
          <w:rFonts w:asciiTheme="majorHAnsi" w:hAnsiTheme="majorHAnsi" w:cstheme="majorHAnsi"/>
          <w:szCs w:val="24"/>
          <w:highlight w:val="yellow"/>
        </w:rPr>
        <w:t xml:space="preserve">step </w:t>
      </w:r>
      <w:r w:rsidR="00CC4FAF" w:rsidRPr="0017030F">
        <w:rPr>
          <w:rFonts w:asciiTheme="majorHAnsi" w:hAnsiTheme="majorHAnsi" w:cstheme="majorHAnsi"/>
          <w:szCs w:val="24"/>
          <w:highlight w:val="yellow"/>
        </w:rPr>
        <w:t>1.5</w:t>
      </w:r>
      <w:r w:rsidRPr="0017030F">
        <w:rPr>
          <w:rFonts w:asciiTheme="majorHAnsi" w:hAnsiTheme="majorHAnsi" w:cstheme="majorHAnsi"/>
          <w:szCs w:val="24"/>
          <w:highlight w:val="yellow"/>
        </w:rPr>
        <w:t xml:space="preserve">, on top of a 96-deep well plate and add 150 µL </w:t>
      </w:r>
      <w:r w:rsidR="00DE7D57" w:rsidRPr="0017030F">
        <w:rPr>
          <w:rFonts w:asciiTheme="majorHAnsi" w:hAnsiTheme="majorHAnsi" w:cstheme="majorHAnsi"/>
          <w:szCs w:val="24"/>
          <w:highlight w:val="yellow"/>
        </w:rPr>
        <w:t xml:space="preserve">of </w:t>
      </w:r>
      <w:r w:rsidRPr="0017030F">
        <w:rPr>
          <w:rFonts w:asciiTheme="majorHAnsi" w:hAnsiTheme="majorHAnsi" w:cstheme="majorHAnsi"/>
          <w:szCs w:val="24"/>
          <w:highlight w:val="yellow"/>
        </w:rPr>
        <w:t xml:space="preserve">10% acetic acid to each well of the ion exchange resin-filled 96-well filter plate to wet the </w:t>
      </w:r>
      <w:r w:rsidR="00F83AC8" w:rsidRPr="0017030F">
        <w:rPr>
          <w:rFonts w:asciiTheme="majorHAnsi" w:hAnsiTheme="majorHAnsi" w:cstheme="majorHAnsi"/>
          <w:szCs w:val="24"/>
          <w:highlight w:val="yellow"/>
        </w:rPr>
        <w:t xml:space="preserve">resin in the </w:t>
      </w:r>
      <w:r w:rsidRPr="0017030F">
        <w:rPr>
          <w:rFonts w:asciiTheme="majorHAnsi" w:hAnsiTheme="majorHAnsi" w:cstheme="majorHAnsi"/>
          <w:szCs w:val="24"/>
          <w:highlight w:val="yellow"/>
        </w:rPr>
        <w:t>columns.</w:t>
      </w:r>
    </w:p>
    <w:p w14:paraId="6428EB66" w14:textId="77777777" w:rsidR="00F73742" w:rsidRPr="0017030F" w:rsidRDefault="00F73742"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highlight w:val="yellow"/>
        </w:rPr>
      </w:pPr>
    </w:p>
    <w:p w14:paraId="6ADE6820" w14:textId="010706F0" w:rsidR="00CB1C6F" w:rsidRPr="0017030F" w:rsidRDefault="00CB1C6F"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 xml:space="preserve">Elute the acetic acid by centrifuging into the used 96-deep well plate with 100–200 </w:t>
      </w:r>
      <w:r w:rsidR="00DE7D57" w:rsidRPr="0017030F">
        <w:rPr>
          <w:rFonts w:asciiTheme="majorHAnsi" w:hAnsiTheme="majorHAnsi" w:cstheme="majorHAnsi"/>
          <w:szCs w:val="24"/>
          <w:highlight w:val="yellow"/>
        </w:rPr>
        <w:t>×</w:t>
      </w:r>
      <w:r w:rsidRPr="0017030F">
        <w:rPr>
          <w:rFonts w:asciiTheme="majorHAnsi" w:hAnsiTheme="majorHAnsi" w:cstheme="majorHAnsi"/>
          <w:szCs w:val="24"/>
          <w:highlight w:val="yellow"/>
        </w:rPr>
        <w:t xml:space="preserve"> </w:t>
      </w:r>
      <w:r w:rsidRPr="00E73D5F">
        <w:rPr>
          <w:rFonts w:asciiTheme="majorHAnsi" w:hAnsiTheme="majorHAnsi" w:cstheme="majorHAnsi"/>
          <w:i/>
          <w:iCs/>
          <w:szCs w:val="24"/>
          <w:highlight w:val="yellow"/>
        </w:rPr>
        <w:t>g</w:t>
      </w:r>
      <w:r w:rsidRPr="0017030F">
        <w:rPr>
          <w:rFonts w:asciiTheme="majorHAnsi" w:hAnsiTheme="majorHAnsi" w:cstheme="majorHAnsi"/>
          <w:szCs w:val="24"/>
          <w:highlight w:val="yellow"/>
        </w:rPr>
        <w:t xml:space="preserve"> in a centrifuge with </w:t>
      </w:r>
      <w:r w:rsidR="00B4250D" w:rsidRPr="0017030F">
        <w:rPr>
          <w:rFonts w:asciiTheme="majorHAnsi" w:hAnsiTheme="majorHAnsi" w:cstheme="majorHAnsi"/>
          <w:szCs w:val="24"/>
          <w:highlight w:val="yellow"/>
        </w:rPr>
        <w:t xml:space="preserve">a </w:t>
      </w:r>
      <w:r w:rsidRPr="0017030F">
        <w:rPr>
          <w:rFonts w:asciiTheme="majorHAnsi" w:hAnsiTheme="majorHAnsi" w:cstheme="majorHAnsi"/>
          <w:szCs w:val="24"/>
          <w:highlight w:val="yellow"/>
        </w:rPr>
        <w:t>swing-out rotor for microtiter plates for 1 min.</w:t>
      </w:r>
    </w:p>
    <w:p w14:paraId="3DD1BAEB" w14:textId="77777777" w:rsidR="00CB1C6F" w:rsidRPr="0017030F" w:rsidRDefault="00CB1C6F"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highlight w:val="yellow"/>
        </w:rPr>
      </w:pPr>
    </w:p>
    <w:p w14:paraId="2AA028BA" w14:textId="4EF386DB" w:rsidR="00CB1C6F" w:rsidRPr="0017030F" w:rsidRDefault="00CB1C6F" w:rsidP="00E73D5F">
      <w:pPr>
        <w:pStyle w:val="Listenabsatz"/>
        <w:numPr>
          <w:ilvl w:val="2"/>
          <w:numId w:val="28"/>
        </w:numP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 xml:space="preserve">Replace the used 96-deep well plate with a </w:t>
      </w:r>
      <w:r w:rsidRPr="00E73D5F">
        <w:rPr>
          <w:rFonts w:asciiTheme="majorHAnsi" w:hAnsiTheme="majorHAnsi" w:cstheme="majorHAnsi"/>
          <w:b/>
          <w:bCs/>
          <w:szCs w:val="24"/>
          <w:highlight w:val="yellow"/>
        </w:rPr>
        <w:t>new</w:t>
      </w:r>
      <w:r w:rsidRPr="0017030F">
        <w:rPr>
          <w:rFonts w:asciiTheme="majorHAnsi" w:hAnsiTheme="majorHAnsi" w:cstheme="majorHAnsi"/>
          <w:szCs w:val="24"/>
          <w:highlight w:val="yellow"/>
        </w:rPr>
        <w:t xml:space="preserve"> 96-deep well plate.</w:t>
      </w:r>
    </w:p>
    <w:p w14:paraId="016EA636" w14:textId="77777777" w:rsidR="00CB1C6F" w:rsidRPr="0017030F" w:rsidRDefault="00CB1C6F" w:rsidP="00E73D5F">
      <w:pPr>
        <w:pStyle w:val="Listenabsatz"/>
        <w:spacing w:after="0" w:line="240" w:lineRule="auto"/>
        <w:ind w:left="0"/>
        <w:jc w:val="both"/>
        <w:rPr>
          <w:rFonts w:asciiTheme="majorHAnsi" w:hAnsiTheme="majorHAnsi" w:cstheme="majorHAnsi"/>
          <w:szCs w:val="24"/>
          <w:highlight w:val="yellow"/>
        </w:rPr>
      </w:pPr>
    </w:p>
    <w:p w14:paraId="565782A9" w14:textId="05A1D5BF" w:rsidR="00CB1C6F" w:rsidRPr="0017030F" w:rsidRDefault="00AD5D53" w:rsidP="00E73D5F">
      <w:pPr>
        <w:pStyle w:val="Listenabsatz"/>
        <w:numPr>
          <w:ilvl w:val="2"/>
          <w:numId w:val="28"/>
        </w:numP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Add 133 µL of 10% acetic acid to each well of the incubated 96-well plate from step 2.1.6 and shake the plate briefly to mix the solutions.</w:t>
      </w:r>
    </w:p>
    <w:p w14:paraId="25BB98DF" w14:textId="77777777" w:rsidR="00AD5D53" w:rsidRPr="0017030F" w:rsidRDefault="00AD5D53" w:rsidP="00E73D5F">
      <w:pPr>
        <w:pStyle w:val="Listenabsatz"/>
        <w:spacing w:after="0" w:line="240" w:lineRule="auto"/>
        <w:ind w:left="0"/>
        <w:jc w:val="both"/>
        <w:rPr>
          <w:rFonts w:asciiTheme="majorHAnsi" w:hAnsiTheme="majorHAnsi" w:cstheme="majorHAnsi"/>
          <w:szCs w:val="24"/>
          <w:highlight w:val="yellow"/>
        </w:rPr>
      </w:pPr>
    </w:p>
    <w:p w14:paraId="24C045F0" w14:textId="61E307CA" w:rsidR="00AD5D53" w:rsidRPr="0017030F" w:rsidRDefault="00AD5D53" w:rsidP="00E73D5F">
      <w:pPr>
        <w:pStyle w:val="Listenabsatz"/>
        <w:numPr>
          <w:ilvl w:val="2"/>
          <w:numId w:val="28"/>
        </w:numP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 xml:space="preserve">Transfer 175 µL of the samples prepared in the previous step </w:t>
      </w:r>
      <w:r w:rsidR="00F83AC8" w:rsidRPr="0017030F">
        <w:rPr>
          <w:rFonts w:asciiTheme="majorHAnsi" w:hAnsiTheme="majorHAnsi" w:cstheme="majorHAnsi"/>
          <w:szCs w:val="24"/>
          <w:highlight w:val="yellow"/>
        </w:rPr>
        <w:t>o</w:t>
      </w:r>
      <w:r w:rsidRPr="0017030F">
        <w:rPr>
          <w:rFonts w:asciiTheme="majorHAnsi" w:hAnsiTheme="majorHAnsi" w:cstheme="majorHAnsi"/>
          <w:szCs w:val="24"/>
          <w:highlight w:val="yellow"/>
        </w:rPr>
        <w:t>nto the ion exchange resin-filled 96-well filter plate</w:t>
      </w:r>
      <w:r w:rsidR="00C72BE5" w:rsidRPr="0017030F">
        <w:rPr>
          <w:rFonts w:asciiTheme="majorHAnsi" w:hAnsiTheme="majorHAnsi" w:cstheme="majorHAnsi"/>
          <w:szCs w:val="24"/>
          <w:highlight w:val="yellow"/>
        </w:rPr>
        <w:t>,</w:t>
      </w:r>
      <w:r w:rsidRPr="0017030F">
        <w:rPr>
          <w:rFonts w:asciiTheme="majorHAnsi" w:hAnsiTheme="majorHAnsi" w:cstheme="majorHAnsi"/>
          <w:szCs w:val="24"/>
          <w:highlight w:val="yellow"/>
        </w:rPr>
        <w:t xml:space="preserve"> maintaining the initial plate layout.</w:t>
      </w:r>
    </w:p>
    <w:p w14:paraId="68644501" w14:textId="77777777" w:rsidR="00AD5D53" w:rsidRPr="0017030F" w:rsidRDefault="00AD5D53" w:rsidP="00E73D5F">
      <w:pPr>
        <w:pStyle w:val="Listenabsatz"/>
        <w:spacing w:after="0" w:line="240" w:lineRule="auto"/>
        <w:ind w:left="0"/>
        <w:jc w:val="both"/>
        <w:rPr>
          <w:rFonts w:asciiTheme="majorHAnsi" w:hAnsiTheme="majorHAnsi" w:cstheme="majorHAnsi"/>
          <w:szCs w:val="24"/>
          <w:highlight w:val="yellow"/>
        </w:rPr>
      </w:pPr>
    </w:p>
    <w:p w14:paraId="30E20EE9" w14:textId="70D21D27" w:rsidR="00AD5D53" w:rsidRPr="0017030F" w:rsidRDefault="00F83AC8" w:rsidP="00E73D5F">
      <w:pPr>
        <w:pStyle w:val="Listenabsatz"/>
        <w:numPr>
          <w:ilvl w:val="2"/>
          <w:numId w:val="28"/>
        </w:numP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Pass</w:t>
      </w:r>
      <w:r w:rsidR="00AD5D53" w:rsidRPr="0017030F">
        <w:rPr>
          <w:rFonts w:asciiTheme="majorHAnsi" w:hAnsiTheme="majorHAnsi" w:cstheme="majorHAnsi"/>
          <w:szCs w:val="24"/>
          <w:highlight w:val="yellow"/>
        </w:rPr>
        <w:t xml:space="preserve"> the samples </w:t>
      </w:r>
      <w:r w:rsidRPr="0017030F">
        <w:rPr>
          <w:rFonts w:asciiTheme="majorHAnsi" w:hAnsiTheme="majorHAnsi" w:cstheme="majorHAnsi"/>
          <w:szCs w:val="24"/>
          <w:highlight w:val="yellow"/>
        </w:rPr>
        <w:t xml:space="preserve">through the resin and into the 96-deep well plate </w:t>
      </w:r>
      <w:r w:rsidR="00AD5D53" w:rsidRPr="0017030F">
        <w:rPr>
          <w:rFonts w:asciiTheme="majorHAnsi" w:hAnsiTheme="majorHAnsi" w:cstheme="majorHAnsi"/>
          <w:szCs w:val="24"/>
          <w:highlight w:val="yellow"/>
        </w:rPr>
        <w:t xml:space="preserve">by centrifuging </w:t>
      </w:r>
      <w:r w:rsidRPr="0017030F">
        <w:rPr>
          <w:rFonts w:asciiTheme="majorHAnsi" w:hAnsiTheme="majorHAnsi" w:cstheme="majorHAnsi"/>
          <w:szCs w:val="24"/>
          <w:highlight w:val="yellow"/>
        </w:rPr>
        <w:t>(</w:t>
      </w:r>
      <w:r w:rsidR="00AD5D53" w:rsidRPr="0017030F">
        <w:rPr>
          <w:rFonts w:asciiTheme="majorHAnsi" w:hAnsiTheme="majorHAnsi" w:cstheme="majorHAnsi"/>
          <w:szCs w:val="24"/>
          <w:highlight w:val="yellow"/>
        </w:rPr>
        <w:t xml:space="preserve">100–200 </w:t>
      </w:r>
      <w:r w:rsidR="00C72BE5" w:rsidRPr="0017030F">
        <w:rPr>
          <w:rFonts w:asciiTheme="majorHAnsi" w:hAnsiTheme="majorHAnsi" w:cstheme="majorHAnsi"/>
          <w:szCs w:val="24"/>
          <w:highlight w:val="yellow"/>
        </w:rPr>
        <w:t>×</w:t>
      </w:r>
      <w:r w:rsidR="00AD5D53" w:rsidRPr="0017030F">
        <w:rPr>
          <w:rFonts w:asciiTheme="majorHAnsi" w:hAnsiTheme="majorHAnsi" w:cstheme="majorHAnsi"/>
          <w:szCs w:val="24"/>
          <w:highlight w:val="yellow"/>
        </w:rPr>
        <w:t xml:space="preserve"> </w:t>
      </w:r>
      <w:r w:rsidR="00AD5D53" w:rsidRPr="00E73D5F">
        <w:rPr>
          <w:rFonts w:asciiTheme="majorHAnsi" w:hAnsiTheme="majorHAnsi" w:cstheme="majorHAnsi"/>
          <w:i/>
          <w:iCs/>
          <w:szCs w:val="24"/>
          <w:highlight w:val="yellow"/>
        </w:rPr>
        <w:t>g</w:t>
      </w:r>
      <w:r w:rsidRPr="0017030F">
        <w:rPr>
          <w:rFonts w:asciiTheme="majorHAnsi" w:hAnsiTheme="majorHAnsi" w:cstheme="majorHAnsi"/>
          <w:szCs w:val="24"/>
          <w:highlight w:val="yellow"/>
        </w:rPr>
        <w:t>)</w:t>
      </w:r>
      <w:r w:rsidR="00AD5D53" w:rsidRPr="0017030F">
        <w:rPr>
          <w:rFonts w:asciiTheme="majorHAnsi" w:hAnsiTheme="majorHAnsi" w:cstheme="majorHAnsi"/>
          <w:szCs w:val="24"/>
          <w:highlight w:val="yellow"/>
        </w:rPr>
        <w:t xml:space="preserve"> in a centrifuge with </w:t>
      </w:r>
      <w:r w:rsidR="00B4250D" w:rsidRPr="0017030F">
        <w:rPr>
          <w:rFonts w:asciiTheme="majorHAnsi" w:hAnsiTheme="majorHAnsi" w:cstheme="majorHAnsi"/>
          <w:szCs w:val="24"/>
          <w:highlight w:val="yellow"/>
        </w:rPr>
        <w:t xml:space="preserve">a </w:t>
      </w:r>
      <w:r w:rsidR="00AD5D53" w:rsidRPr="0017030F">
        <w:rPr>
          <w:rFonts w:asciiTheme="majorHAnsi" w:hAnsiTheme="majorHAnsi" w:cstheme="majorHAnsi"/>
          <w:szCs w:val="24"/>
          <w:highlight w:val="yellow"/>
        </w:rPr>
        <w:t>swing-out rotor for microtiter plates for 1 min</w:t>
      </w:r>
      <w:r w:rsidRPr="0017030F">
        <w:rPr>
          <w:rFonts w:asciiTheme="majorHAnsi" w:hAnsiTheme="majorHAnsi" w:cstheme="majorHAnsi"/>
          <w:szCs w:val="24"/>
          <w:highlight w:val="yellow"/>
        </w:rPr>
        <w:t>. R</w:t>
      </w:r>
      <w:r w:rsidR="00AD5D53" w:rsidRPr="0017030F">
        <w:rPr>
          <w:rFonts w:asciiTheme="majorHAnsi" w:hAnsiTheme="majorHAnsi" w:cstheme="majorHAnsi"/>
          <w:szCs w:val="24"/>
          <w:highlight w:val="yellow"/>
        </w:rPr>
        <w:t>emove the ion exchange resin-filled 96-well filter plate.</w:t>
      </w:r>
    </w:p>
    <w:p w14:paraId="2AEB033F" w14:textId="77777777" w:rsidR="00AD5D53" w:rsidRPr="0017030F" w:rsidRDefault="00AD5D53" w:rsidP="00E73D5F">
      <w:pPr>
        <w:pStyle w:val="Listenabsatz"/>
        <w:spacing w:after="0" w:line="240" w:lineRule="auto"/>
        <w:ind w:left="0"/>
        <w:jc w:val="both"/>
        <w:rPr>
          <w:rFonts w:asciiTheme="majorHAnsi" w:hAnsiTheme="majorHAnsi" w:cstheme="majorHAnsi"/>
          <w:szCs w:val="24"/>
        </w:rPr>
      </w:pPr>
    </w:p>
    <w:p w14:paraId="15A65AD3" w14:textId="12AA9F2E" w:rsidR="00AD5D53" w:rsidRPr="0017030F" w:rsidRDefault="00AD5D53" w:rsidP="00E73D5F">
      <w:pPr>
        <w:rPr>
          <w:rFonts w:asciiTheme="majorHAnsi" w:hAnsiTheme="majorHAnsi" w:cstheme="majorHAnsi"/>
        </w:rPr>
      </w:pPr>
      <w:r w:rsidRPr="0017030F">
        <w:rPr>
          <w:rFonts w:asciiTheme="majorHAnsi" w:hAnsiTheme="majorHAnsi" w:cstheme="majorHAnsi"/>
        </w:rPr>
        <w:t>NOTE: The 96-deep well plate with samples can be sealed with an impermeable sheet of plastic and stored at 4</w:t>
      </w:r>
      <w:r w:rsidR="00927994" w:rsidRPr="0017030F">
        <w:rPr>
          <w:rFonts w:asciiTheme="majorHAnsi" w:hAnsiTheme="majorHAnsi" w:cstheme="majorHAnsi"/>
        </w:rPr>
        <w:t xml:space="preserve"> </w:t>
      </w:r>
      <w:r w:rsidRPr="0017030F">
        <w:rPr>
          <w:rFonts w:asciiTheme="majorHAnsi" w:hAnsiTheme="majorHAnsi" w:cstheme="majorHAnsi"/>
        </w:rPr>
        <w:t>°C for at least 3 months. This allows additional measurements in case of manual/technical errors or changes of the dilution factor in the Sandell-Kolthoff reaction or measurement on the following days.</w:t>
      </w:r>
    </w:p>
    <w:p w14:paraId="10FD2C6A" w14:textId="77777777" w:rsidR="00AD5D53" w:rsidRPr="0017030F" w:rsidRDefault="00AD5D53" w:rsidP="00E73D5F">
      <w:pPr>
        <w:rPr>
          <w:rFonts w:asciiTheme="majorHAnsi" w:hAnsiTheme="majorHAnsi" w:cstheme="majorHAnsi"/>
        </w:rPr>
      </w:pPr>
    </w:p>
    <w:p w14:paraId="2B401594" w14:textId="4485A088" w:rsidR="00AD5D53" w:rsidRPr="0017030F" w:rsidRDefault="00AD5D53" w:rsidP="00E73D5F">
      <w:pPr>
        <w:pStyle w:val="Listenabsatz"/>
        <w:numPr>
          <w:ilvl w:val="1"/>
          <w:numId w:val="28"/>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bookmarkStart w:id="17" w:name="_Ref209426873"/>
      <w:r w:rsidRPr="0017030F">
        <w:rPr>
          <w:rFonts w:asciiTheme="majorHAnsi" w:hAnsiTheme="majorHAnsi" w:cstheme="majorHAnsi"/>
          <w:szCs w:val="24"/>
          <w:highlight w:val="yellow"/>
        </w:rPr>
        <w:lastRenderedPageBreak/>
        <w:t xml:space="preserve">Sandell-Kolthoff </w:t>
      </w:r>
      <w:r w:rsidR="00DA56A9" w:rsidRPr="0017030F">
        <w:rPr>
          <w:rFonts w:asciiTheme="majorHAnsi" w:hAnsiTheme="majorHAnsi" w:cstheme="majorHAnsi"/>
          <w:szCs w:val="24"/>
          <w:highlight w:val="yellow"/>
        </w:rPr>
        <w:t>r</w:t>
      </w:r>
      <w:r w:rsidRPr="0017030F">
        <w:rPr>
          <w:rFonts w:asciiTheme="majorHAnsi" w:hAnsiTheme="majorHAnsi" w:cstheme="majorHAnsi"/>
          <w:szCs w:val="24"/>
          <w:highlight w:val="yellow"/>
        </w:rPr>
        <w:t>eaction</w:t>
      </w:r>
      <w:bookmarkEnd w:id="17"/>
    </w:p>
    <w:p w14:paraId="01F16F35" w14:textId="77777777" w:rsidR="00AD5D53" w:rsidRPr="0017030F" w:rsidRDefault="00AD5D53"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highlight w:val="yellow"/>
        </w:rPr>
      </w:pPr>
    </w:p>
    <w:p w14:paraId="7A655B7B" w14:textId="36A9502C" w:rsidR="00AD34E5" w:rsidRPr="0017030F" w:rsidRDefault="00AD34E5"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 xml:space="preserve">Depending on the determined dilution factor of the samples in 10% acetic acid for the </w:t>
      </w:r>
      <w:r w:rsidR="00CD6595" w:rsidRPr="0017030F">
        <w:rPr>
          <w:rFonts w:asciiTheme="majorHAnsi" w:hAnsiTheme="majorHAnsi" w:cstheme="majorHAnsi"/>
          <w:szCs w:val="24"/>
          <w:highlight w:val="yellow"/>
        </w:rPr>
        <w:t>microsome batch used</w:t>
      </w:r>
      <w:r w:rsidRPr="0017030F">
        <w:rPr>
          <w:rFonts w:asciiTheme="majorHAnsi" w:hAnsiTheme="majorHAnsi" w:cstheme="majorHAnsi"/>
          <w:szCs w:val="24"/>
          <w:highlight w:val="yellow"/>
        </w:rPr>
        <w:t xml:space="preserve"> (see </w:t>
      </w:r>
      <w:r w:rsidR="00024C1E" w:rsidRPr="0017030F">
        <w:rPr>
          <w:rFonts w:asciiTheme="majorHAnsi" w:hAnsiTheme="majorHAnsi" w:cstheme="majorHAnsi"/>
          <w:szCs w:val="24"/>
          <w:highlight w:val="yellow"/>
        </w:rPr>
        <w:t xml:space="preserve">step </w:t>
      </w:r>
      <w:r w:rsidR="00CC4FAF" w:rsidRPr="0017030F">
        <w:rPr>
          <w:rFonts w:asciiTheme="majorHAnsi" w:hAnsiTheme="majorHAnsi" w:cstheme="majorHAnsi"/>
          <w:szCs w:val="24"/>
          <w:highlight w:val="yellow"/>
        </w:rPr>
        <w:t>1.7</w:t>
      </w:r>
      <w:r w:rsidRPr="0017030F">
        <w:rPr>
          <w:rFonts w:asciiTheme="majorHAnsi" w:hAnsiTheme="majorHAnsi" w:cstheme="majorHAnsi"/>
          <w:szCs w:val="24"/>
          <w:highlight w:val="yellow"/>
        </w:rPr>
        <w:t xml:space="preserve">), add </w:t>
      </w:r>
      <w:r w:rsidRPr="0017030F">
        <w:rPr>
          <w:rFonts w:asciiTheme="majorHAnsi" w:hAnsiTheme="majorHAnsi" w:cstheme="majorHAnsi"/>
          <w:bCs/>
          <w:szCs w:val="24"/>
          <w:highlight w:val="yellow"/>
        </w:rPr>
        <w:t>50 µL of the undiluted or appropriately diluted sample</w:t>
      </w:r>
      <w:r w:rsidRPr="0017030F">
        <w:rPr>
          <w:rFonts w:asciiTheme="majorHAnsi" w:hAnsiTheme="majorHAnsi" w:cstheme="majorHAnsi"/>
          <w:szCs w:val="24"/>
          <w:highlight w:val="yellow"/>
        </w:rPr>
        <w:t xml:space="preserve"> to a novel 96-well plate. </w:t>
      </w:r>
    </w:p>
    <w:p w14:paraId="09EBC6EB" w14:textId="77777777" w:rsidR="00050166" w:rsidRPr="0017030F" w:rsidRDefault="00050166"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highlight w:val="yellow"/>
        </w:rPr>
      </w:pPr>
    </w:p>
    <w:p w14:paraId="4CAAC3B3" w14:textId="2A68B2FE" w:rsidR="00F83AC8" w:rsidRPr="0017030F" w:rsidRDefault="00F83AC8" w:rsidP="00E73D5F">
      <w:pPr>
        <w:pStyle w:val="Listenabsatz"/>
        <w:numPr>
          <w:ilvl w:val="2"/>
          <w:numId w:val="28"/>
        </w:numPr>
        <w:spacing w:after="0" w:line="240" w:lineRule="auto"/>
        <w:ind w:left="0" w:firstLine="0"/>
        <w:jc w:val="both"/>
        <w:rPr>
          <w:rFonts w:asciiTheme="majorHAnsi" w:hAnsiTheme="majorHAnsi" w:cstheme="majorHAnsi"/>
          <w:szCs w:val="24"/>
          <w:highlight w:val="yellow"/>
        </w:rPr>
      </w:pPr>
      <w:r w:rsidRPr="0017030F">
        <w:rPr>
          <w:rFonts w:asciiTheme="majorHAnsi" w:hAnsiTheme="majorHAnsi" w:cstheme="majorHAnsi"/>
          <w:szCs w:val="24"/>
          <w:highlight w:val="yellow"/>
        </w:rPr>
        <w:t xml:space="preserve">Add 50 µL of </w:t>
      </w:r>
      <w:r w:rsidR="00504150" w:rsidRPr="0017030F">
        <w:rPr>
          <w:rFonts w:asciiTheme="majorHAnsi" w:hAnsiTheme="majorHAnsi" w:cstheme="majorHAnsi"/>
          <w:szCs w:val="24"/>
          <w:highlight w:val="yellow"/>
        </w:rPr>
        <w:t xml:space="preserve">40 mM </w:t>
      </w:r>
      <w:r w:rsidRPr="0017030F">
        <w:rPr>
          <w:rFonts w:asciiTheme="majorHAnsi" w:hAnsiTheme="majorHAnsi" w:cstheme="majorHAnsi"/>
          <w:szCs w:val="24"/>
          <w:highlight w:val="yellow"/>
        </w:rPr>
        <w:t xml:space="preserve">cerium solution (prepared </w:t>
      </w:r>
      <w:r w:rsidR="00CD6595" w:rsidRPr="0017030F">
        <w:rPr>
          <w:rFonts w:asciiTheme="majorHAnsi" w:hAnsiTheme="majorHAnsi" w:cstheme="majorHAnsi"/>
          <w:szCs w:val="24"/>
          <w:highlight w:val="yellow"/>
        </w:rPr>
        <w:t xml:space="preserve">as described in </w:t>
      </w:r>
      <w:r w:rsidR="00CD6595" w:rsidRPr="00E73D5F">
        <w:rPr>
          <w:rFonts w:asciiTheme="majorHAnsi" w:hAnsiTheme="majorHAnsi" w:cstheme="majorHAnsi"/>
          <w:b/>
          <w:bCs/>
          <w:szCs w:val="24"/>
          <w:highlight w:val="yellow"/>
        </w:rPr>
        <w:t>Table 1</w:t>
      </w:r>
      <w:r w:rsidRPr="0017030F">
        <w:rPr>
          <w:rFonts w:asciiTheme="majorHAnsi" w:hAnsiTheme="majorHAnsi" w:cstheme="majorHAnsi"/>
          <w:szCs w:val="24"/>
          <w:highlight w:val="yellow"/>
        </w:rPr>
        <w:t xml:space="preserve">) to all wells and start the reaction by adding 50 µL of 25 mM </w:t>
      </w:r>
      <w:proofErr w:type="spellStart"/>
      <w:r w:rsidRPr="0017030F">
        <w:rPr>
          <w:rFonts w:asciiTheme="majorHAnsi" w:hAnsiTheme="majorHAnsi" w:cstheme="majorHAnsi"/>
          <w:szCs w:val="24"/>
          <w:highlight w:val="yellow"/>
        </w:rPr>
        <w:t>arsenite</w:t>
      </w:r>
      <w:proofErr w:type="spellEnd"/>
      <w:r w:rsidRPr="0017030F">
        <w:rPr>
          <w:rFonts w:asciiTheme="majorHAnsi" w:hAnsiTheme="majorHAnsi" w:cstheme="majorHAnsi"/>
          <w:szCs w:val="24"/>
          <w:highlight w:val="yellow"/>
        </w:rPr>
        <w:t xml:space="preserve"> solution (prepared </w:t>
      </w:r>
      <w:r w:rsidR="00CD6595" w:rsidRPr="0017030F">
        <w:rPr>
          <w:rFonts w:asciiTheme="majorHAnsi" w:hAnsiTheme="majorHAnsi" w:cstheme="majorHAnsi"/>
          <w:szCs w:val="24"/>
          <w:highlight w:val="yellow"/>
        </w:rPr>
        <w:t xml:space="preserve">as described in </w:t>
      </w:r>
      <w:r w:rsidR="00CD6595" w:rsidRPr="00E73D5F">
        <w:rPr>
          <w:rFonts w:asciiTheme="majorHAnsi" w:hAnsiTheme="majorHAnsi" w:cstheme="majorHAnsi"/>
          <w:b/>
          <w:bCs/>
          <w:szCs w:val="24"/>
          <w:highlight w:val="yellow"/>
        </w:rPr>
        <w:t>Table 1</w:t>
      </w:r>
      <w:r w:rsidRPr="0017030F">
        <w:rPr>
          <w:rFonts w:asciiTheme="majorHAnsi" w:hAnsiTheme="majorHAnsi" w:cstheme="majorHAnsi"/>
          <w:szCs w:val="24"/>
          <w:highlight w:val="yellow"/>
        </w:rPr>
        <w:t xml:space="preserve">) to all wells. </w:t>
      </w:r>
    </w:p>
    <w:p w14:paraId="331C8E36" w14:textId="77777777" w:rsidR="00050166" w:rsidRPr="0017030F" w:rsidRDefault="00050166" w:rsidP="00E73D5F">
      <w:pPr>
        <w:pStyle w:val="Listenabsatz"/>
        <w:spacing w:after="0" w:line="240" w:lineRule="auto"/>
        <w:ind w:left="0"/>
        <w:jc w:val="both"/>
        <w:rPr>
          <w:rFonts w:asciiTheme="majorHAnsi" w:hAnsiTheme="majorHAnsi" w:cstheme="majorHAnsi"/>
          <w:szCs w:val="24"/>
        </w:rPr>
      </w:pPr>
    </w:p>
    <w:p w14:paraId="41ABDC23" w14:textId="1875851F" w:rsidR="00050166" w:rsidRPr="0017030F" w:rsidRDefault="00050166"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highlight w:val="yellow"/>
        </w:rPr>
      </w:pPr>
      <w:r w:rsidRPr="00E73D5F">
        <w:rPr>
          <w:rFonts w:asciiTheme="majorHAnsi" w:hAnsiTheme="majorHAnsi" w:cstheme="majorHAnsi"/>
          <w:b/>
          <w:bCs/>
          <w:szCs w:val="24"/>
          <w:highlight w:val="yellow"/>
        </w:rPr>
        <w:t xml:space="preserve">As soon as possible </w:t>
      </w:r>
      <w:r w:rsidRPr="0017030F">
        <w:rPr>
          <w:rFonts w:asciiTheme="majorHAnsi" w:hAnsiTheme="majorHAnsi" w:cstheme="majorHAnsi"/>
          <w:szCs w:val="24"/>
          <w:highlight w:val="yellow"/>
        </w:rPr>
        <w:t xml:space="preserve">after </w:t>
      </w:r>
      <w:r w:rsidR="00F83AC8" w:rsidRPr="0017030F">
        <w:rPr>
          <w:rFonts w:asciiTheme="majorHAnsi" w:hAnsiTheme="majorHAnsi" w:cstheme="majorHAnsi"/>
          <w:szCs w:val="24"/>
          <w:highlight w:val="yellow"/>
        </w:rPr>
        <w:t xml:space="preserve">adding </w:t>
      </w:r>
      <w:r w:rsidRPr="0017030F">
        <w:rPr>
          <w:rFonts w:asciiTheme="majorHAnsi" w:hAnsiTheme="majorHAnsi" w:cstheme="majorHAnsi"/>
          <w:szCs w:val="24"/>
          <w:highlight w:val="yellow"/>
        </w:rPr>
        <w:t xml:space="preserve">the </w:t>
      </w:r>
      <w:proofErr w:type="spellStart"/>
      <w:r w:rsidRPr="0017030F">
        <w:rPr>
          <w:rFonts w:asciiTheme="majorHAnsi" w:hAnsiTheme="majorHAnsi" w:cstheme="majorHAnsi"/>
          <w:szCs w:val="24"/>
          <w:highlight w:val="yellow"/>
        </w:rPr>
        <w:t>arsenite</w:t>
      </w:r>
      <w:proofErr w:type="spellEnd"/>
      <w:r w:rsidRPr="0017030F">
        <w:rPr>
          <w:rFonts w:asciiTheme="majorHAnsi" w:hAnsiTheme="majorHAnsi" w:cstheme="majorHAnsi"/>
          <w:szCs w:val="24"/>
          <w:highlight w:val="yellow"/>
        </w:rPr>
        <w:t xml:space="preserve"> solution, measure the absorption using a plate reader at 415 nm (±2 nm) by recording the optical density (OD) every minute for 21 min, as well as recording the initial OD.</w:t>
      </w:r>
    </w:p>
    <w:p w14:paraId="5185CEEC" w14:textId="77777777" w:rsidR="00CB1C6F" w:rsidRPr="0017030F" w:rsidRDefault="00CB1C6F" w:rsidP="00E73D5F">
      <w:pPr>
        <w:pBdr>
          <w:top w:val="nil"/>
          <w:left w:val="nil"/>
          <w:bottom w:val="nil"/>
          <w:right w:val="nil"/>
          <w:between w:val="nil"/>
        </w:pBdr>
        <w:rPr>
          <w:rFonts w:asciiTheme="majorHAnsi" w:hAnsiTheme="majorHAnsi" w:cstheme="majorHAnsi"/>
        </w:rPr>
      </w:pPr>
    </w:p>
    <w:p w14:paraId="2865F674" w14:textId="551F8B61" w:rsidR="00071AAD" w:rsidRPr="0017030F" w:rsidRDefault="00071AAD" w:rsidP="00E73D5F">
      <w:pPr>
        <w:pStyle w:val="Listenabsatz"/>
        <w:numPr>
          <w:ilvl w:val="0"/>
          <w:numId w:val="28"/>
        </w:numPr>
        <w:pBdr>
          <w:top w:val="nil"/>
          <w:left w:val="nil"/>
          <w:bottom w:val="nil"/>
          <w:right w:val="nil"/>
          <w:between w:val="nil"/>
        </w:pBdr>
        <w:spacing w:after="0" w:line="240" w:lineRule="auto"/>
        <w:ind w:left="0" w:firstLine="0"/>
        <w:jc w:val="both"/>
        <w:rPr>
          <w:rFonts w:asciiTheme="majorHAnsi" w:hAnsiTheme="majorHAnsi" w:cstheme="majorHAnsi"/>
          <w:b/>
          <w:szCs w:val="24"/>
        </w:rPr>
      </w:pPr>
      <w:r w:rsidRPr="0017030F">
        <w:rPr>
          <w:rFonts w:asciiTheme="majorHAnsi" w:hAnsiTheme="majorHAnsi" w:cstheme="majorHAnsi"/>
          <w:b/>
          <w:bCs/>
          <w:szCs w:val="24"/>
        </w:rPr>
        <w:t xml:space="preserve">Testing for </w:t>
      </w:r>
      <w:r w:rsidR="00DA56A9" w:rsidRPr="0017030F">
        <w:rPr>
          <w:rFonts w:asciiTheme="majorHAnsi" w:hAnsiTheme="majorHAnsi" w:cstheme="majorHAnsi"/>
          <w:b/>
          <w:bCs/>
          <w:szCs w:val="24"/>
        </w:rPr>
        <w:t>i</w:t>
      </w:r>
      <w:r w:rsidRPr="0017030F">
        <w:rPr>
          <w:rFonts w:asciiTheme="majorHAnsi" w:hAnsiTheme="majorHAnsi" w:cstheme="majorHAnsi"/>
          <w:b/>
          <w:bCs/>
          <w:szCs w:val="24"/>
        </w:rPr>
        <w:t>nterference</w:t>
      </w:r>
      <w:r w:rsidR="0014249C" w:rsidRPr="0017030F">
        <w:rPr>
          <w:rFonts w:asciiTheme="majorHAnsi" w:hAnsiTheme="majorHAnsi" w:cstheme="majorHAnsi"/>
          <w:b/>
          <w:bCs/>
          <w:szCs w:val="24"/>
        </w:rPr>
        <w:t xml:space="preserve"> (± microsomes and ± DTT)</w:t>
      </w:r>
    </w:p>
    <w:p w14:paraId="628F4BBA" w14:textId="4D19221C" w:rsidR="00620376" w:rsidRPr="0017030F" w:rsidRDefault="00620376"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018C5D7F" w14:textId="4819EC96" w:rsidR="0014249C" w:rsidRPr="00E73D5F" w:rsidRDefault="0014249C" w:rsidP="00E73D5F">
      <w:pPr>
        <w:pStyle w:val="Listenabsatz"/>
        <w:numPr>
          <w:ilvl w:val="1"/>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E73D5F">
        <w:rPr>
          <w:rFonts w:asciiTheme="majorHAnsi" w:hAnsiTheme="majorHAnsi" w:cstheme="majorHAnsi"/>
          <w:szCs w:val="24"/>
        </w:rPr>
        <w:t>Prepare the highest concentration (RI</w:t>
      </w:r>
      <w:r w:rsidRPr="00E73D5F">
        <w:rPr>
          <w:rFonts w:ascii="Cambria Math" w:hAnsi="Cambria Math" w:cs="Cambria Math"/>
          <w:szCs w:val="24"/>
        </w:rPr>
        <w:t>‑</w:t>
      </w:r>
      <w:r w:rsidRPr="00E73D5F">
        <w:rPr>
          <w:rFonts w:asciiTheme="majorHAnsi" w:hAnsiTheme="majorHAnsi" w:cstheme="majorHAnsi"/>
          <w:szCs w:val="24"/>
        </w:rPr>
        <w:t>C8) of the reference item (6</w:t>
      </w:r>
      <w:r w:rsidRPr="00E73D5F">
        <w:rPr>
          <w:rFonts w:ascii="Cambria Math" w:hAnsi="Cambria Math" w:cs="Cambria Math"/>
          <w:szCs w:val="24"/>
        </w:rPr>
        <w:t>‑</w:t>
      </w:r>
      <w:r w:rsidRPr="00E73D5F">
        <w:rPr>
          <w:rFonts w:asciiTheme="majorHAnsi" w:hAnsiTheme="majorHAnsi" w:cstheme="majorHAnsi"/>
          <w:szCs w:val="24"/>
        </w:rPr>
        <w:t xml:space="preserve">PTU) as described in </w:t>
      </w:r>
      <w:r w:rsidR="00024C1E" w:rsidRPr="00E73D5F">
        <w:rPr>
          <w:rFonts w:asciiTheme="majorHAnsi" w:hAnsiTheme="majorHAnsi" w:cstheme="majorHAnsi"/>
          <w:szCs w:val="24"/>
        </w:rPr>
        <w:t xml:space="preserve">step </w:t>
      </w:r>
      <w:r w:rsidRPr="00E73D5F">
        <w:rPr>
          <w:rFonts w:asciiTheme="majorHAnsi" w:hAnsiTheme="majorHAnsi" w:cstheme="majorHAnsi"/>
          <w:szCs w:val="24"/>
        </w:rPr>
        <w:t>1.2 and prepare the test item stock solution and dilutions (highest test item concentration included).</w:t>
      </w:r>
    </w:p>
    <w:p w14:paraId="53CBB7E2" w14:textId="77777777" w:rsidR="00024C1E" w:rsidRPr="00E73D5F" w:rsidRDefault="00024C1E"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00EB7D6C" w14:textId="0D8A3F5F" w:rsidR="0014249C" w:rsidRPr="00E73D5F" w:rsidRDefault="0014249C" w:rsidP="00E73D5F">
      <w:pPr>
        <w:pStyle w:val="Listenabsatz"/>
        <w:numPr>
          <w:ilvl w:val="1"/>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E73D5F">
        <w:rPr>
          <w:rFonts w:asciiTheme="majorHAnsi" w:hAnsiTheme="majorHAnsi" w:cstheme="majorHAnsi"/>
          <w:szCs w:val="24"/>
        </w:rPr>
        <w:t xml:space="preserve">Prepare the microsome suspension at the defined concentration per well (see </w:t>
      </w:r>
      <w:r w:rsidR="00024C1E" w:rsidRPr="00E73D5F">
        <w:rPr>
          <w:rFonts w:asciiTheme="majorHAnsi" w:hAnsiTheme="majorHAnsi" w:cstheme="majorHAnsi"/>
          <w:szCs w:val="24"/>
        </w:rPr>
        <w:t xml:space="preserve">step </w:t>
      </w:r>
      <w:r w:rsidRPr="00E73D5F">
        <w:rPr>
          <w:rFonts w:asciiTheme="majorHAnsi" w:hAnsiTheme="majorHAnsi" w:cstheme="majorHAnsi"/>
          <w:szCs w:val="24"/>
        </w:rPr>
        <w:t xml:space="preserve">1.7) by diluting carefully thawed, aliquoted microsomes in </w:t>
      </w:r>
      <w:proofErr w:type="spellStart"/>
      <w:r w:rsidRPr="00E73D5F">
        <w:rPr>
          <w:rFonts w:asciiTheme="majorHAnsi" w:hAnsiTheme="majorHAnsi" w:cstheme="majorHAnsi"/>
          <w:szCs w:val="24"/>
        </w:rPr>
        <w:t>diH₂O</w:t>
      </w:r>
      <w:proofErr w:type="spellEnd"/>
      <w:r w:rsidRPr="00E73D5F">
        <w:rPr>
          <w:rFonts w:asciiTheme="majorHAnsi" w:hAnsiTheme="majorHAnsi" w:cstheme="majorHAnsi"/>
          <w:szCs w:val="24"/>
        </w:rPr>
        <w:t>. Keep the microsome suspension on ice until use.</w:t>
      </w:r>
    </w:p>
    <w:p w14:paraId="32A56996" w14:textId="77777777" w:rsidR="00024C1E" w:rsidRPr="00E73D5F" w:rsidRDefault="00024C1E" w:rsidP="00E73D5F">
      <w:pPr>
        <w:pBdr>
          <w:top w:val="nil"/>
          <w:left w:val="nil"/>
          <w:bottom w:val="nil"/>
          <w:right w:val="nil"/>
          <w:between w:val="nil"/>
        </w:pBdr>
        <w:rPr>
          <w:rFonts w:asciiTheme="majorHAnsi" w:hAnsiTheme="majorHAnsi" w:cstheme="majorHAnsi"/>
        </w:rPr>
      </w:pPr>
    </w:p>
    <w:p w14:paraId="48E38C62" w14:textId="0B7D7DE6" w:rsidR="0014249C" w:rsidRPr="00E73D5F" w:rsidRDefault="0014249C" w:rsidP="00E73D5F">
      <w:pPr>
        <w:pStyle w:val="Listenabsatz"/>
        <w:numPr>
          <w:ilvl w:val="1"/>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E73D5F">
        <w:rPr>
          <w:rFonts w:asciiTheme="majorHAnsi" w:hAnsiTheme="majorHAnsi" w:cstheme="majorHAnsi"/>
          <w:szCs w:val="24"/>
        </w:rPr>
        <w:t>Prepare two substrate mixes:</w:t>
      </w:r>
      <w:r w:rsidR="00692DBE" w:rsidRPr="00E73D5F">
        <w:rPr>
          <w:rFonts w:asciiTheme="majorHAnsi" w:hAnsiTheme="majorHAnsi" w:cstheme="majorHAnsi"/>
          <w:szCs w:val="24"/>
        </w:rPr>
        <w:t xml:space="preserve"> </w:t>
      </w:r>
      <w:r w:rsidRPr="00E73D5F">
        <w:rPr>
          <w:rFonts w:asciiTheme="majorHAnsi" w:hAnsiTheme="majorHAnsi" w:cstheme="majorHAnsi"/>
          <w:szCs w:val="24"/>
        </w:rPr>
        <w:t xml:space="preserve">the standard substrate </w:t>
      </w:r>
      <w:proofErr w:type="gramStart"/>
      <w:r w:rsidRPr="00E73D5F">
        <w:rPr>
          <w:rFonts w:asciiTheme="majorHAnsi" w:hAnsiTheme="majorHAnsi" w:cstheme="majorHAnsi"/>
          <w:szCs w:val="24"/>
        </w:rPr>
        <w:t>mix</w:t>
      </w:r>
      <w:proofErr w:type="gramEnd"/>
      <w:r w:rsidRPr="00E73D5F">
        <w:rPr>
          <w:rFonts w:asciiTheme="majorHAnsi" w:hAnsiTheme="majorHAnsi" w:cstheme="majorHAnsi"/>
          <w:szCs w:val="24"/>
        </w:rPr>
        <w:t xml:space="preserve"> with DTT as described in </w:t>
      </w:r>
      <w:r w:rsidRPr="00E73D5F">
        <w:rPr>
          <w:rFonts w:asciiTheme="majorHAnsi" w:hAnsiTheme="majorHAnsi" w:cstheme="majorHAnsi"/>
          <w:b/>
          <w:bCs/>
          <w:szCs w:val="24"/>
        </w:rPr>
        <w:t>Table 1</w:t>
      </w:r>
      <w:r w:rsidRPr="00E73D5F">
        <w:rPr>
          <w:rFonts w:asciiTheme="majorHAnsi" w:hAnsiTheme="majorHAnsi" w:cstheme="majorHAnsi"/>
          <w:szCs w:val="24"/>
        </w:rPr>
        <w:t>, and an otherwise identical substrate mix without DTT (omit DTT only).</w:t>
      </w:r>
    </w:p>
    <w:p w14:paraId="760288D1" w14:textId="77777777" w:rsidR="00692DBE" w:rsidRPr="00E73D5F" w:rsidRDefault="00692DBE"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5C8D704E" w14:textId="68539FDE" w:rsidR="0014249C" w:rsidRPr="00E73D5F" w:rsidRDefault="0014249C" w:rsidP="00E73D5F">
      <w:pPr>
        <w:pStyle w:val="Listenabsatz"/>
        <w:numPr>
          <w:ilvl w:val="1"/>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E73D5F">
        <w:rPr>
          <w:rFonts w:asciiTheme="majorHAnsi" w:hAnsiTheme="majorHAnsi" w:cstheme="majorHAnsi"/>
          <w:szCs w:val="24"/>
        </w:rPr>
        <w:t>Dispense into the designated wells of a 96</w:t>
      </w:r>
      <w:r w:rsidRPr="00E73D5F">
        <w:rPr>
          <w:rFonts w:ascii="Cambria Math" w:hAnsi="Cambria Math" w:cs="Cambria Math"/>
          <w:szCs w:val="24"/>
        </w:rPr>
        <w:t>‑</w:t>
      </w:r>
      <w:r w:rsidRPr="00E73D5F">
        <w:rPr>
          <w:rFonts w:asciiTheme="majorHAnsi" w:hAnsiTheme="majorHAnsi" w:cstheme="majorHAnsi"/>
          <w:szCs w:val="24"/>
        </w:rPr>
        <w:t xml:space="preserve">well plate according to </w:t>
      </w:r>
      <w:r w:rsidRPr="00E73D5F">
        <w:rPr>
          <w:rFonts w:asciiTheme="majorHAnsi" w:hAnsiTheme="majorHAnsi" w:cstheme="majorHAnsi"/>
          <w:b/>
          <w:bCs/>
          <w:szCs w:val="24"/>
        </w:rPr>
        <w:t>Figure 5</w:t>
      </w:r>
      <w:r w:rsidRPr="00E73D5F">
        <w:rPr>
          <w:rFonts w:asciiTheme="majorHAnsi" w:hAnsiTheme="majorHAnsi" w:cstheme="majorHAnsi"/>
          <w:szCs w:val="24"/>
        </w:rPr>
        <w:t xml:space="preserve">: 10 µL </w:t>
      </w:r>
      <w:r w:rsidR="00692DBE" w:rsidRPr="00E73D5F">
        <w:rPr>
          <w:rFonts w:asciiTheme="majorHAnsi" w:hAnsiTheme="majorHAnsi" w:cstheme="majorHAnsi"/>
          <w:szCs w:val="24"/>
        </w:rPr>
        <w:t xml:space="preserve">of </w:t>
      </w:r>
      <w:r w:rsidRPr="00E73D5F">
        <w:rPr>
          <w:rFonts w:asciiTheme="majorHAnsi" w:hAnsiTheme="majorHAnsi" w:cstheme="majorHAnsi"/>
          <w:szCs w:val="24"/>
        </w:rPr>
        <w:t>RI</w:t>
      </w:r>
      <w:r w:rsidRPr="00E73D5F">
        <w:rPr>
          <w:rFonts w:ascii="Cambria Math" w:hAnsi="Cambria Math" w:cs="Cambria Math"/>
          <w:szCs w:val="24"/>
        </w:rPr>
        <w:t>‑</w:t>
      </w:r>
      <w:r w:rsidRPr="00E73D5F">
        <w:rPr>
          <w:rFonts w:asciiTheme="majorHAnsi" w:hAnsiTheme="majorHAnsi" w:cstheme="majorHAnsi"/>
          <w:szCs w:val="24"/>
        </w:rPr>
        <w:t xml:space="preserve">C8, 10 µL of 10% (v/v) DMSO in </w:t>
      </w:r>
      <w:proofErr w:type="spellStart"/>
      <w:r w:rsidRPr="00E73D5F">
        <w:rPr>
          <w:rFonts w:asciiTheme="majorHAnsi" w:hAnsiTheme="majorHAnsi" w:cstheme="majorHAnsi"/>
          <w:szCs w:val="24"/>
        </w:rPr>
        <w:t>diH₂O</w:t>
      </w:r>
      <w:proofErr w:type="spellEnd"/>
      <w:r w:rsidRPr="00E73D5F">
        <w:rPr>
          <w:rFonts w:asciiTheme="majorHAnsi" w:hAnsiTheme="majorHAnsi" w:cstheme="majorHAnsi"/>
          <w:szCs w:val="24"/>
        </w:rPr>
        <w:t xml:space="preserve"> (solvent control), and 10 µL of each test item dilution. </w:t>
      </w:r>
    </w:p>
    <w:p w14:paraId="7A14A2EE" w14:textId="77777777" w:rsidR="00692DBE" w:rsidRPr="00E73D5F" w:rsidRDefault="00692DBE" w:rsidP="00E73D5F">
      <w:pPr>
        <w:pBdr>
          <w:top w:val="nil"/>
          <w:left w:val="nil"/>
          <w:bottom w:val="nil"/>
          <w:right w:val="nil"/>
          <w:between w:val="nil"/>
        </w:pBdr>
        <w:rPr>
          <w:rFonts w:asciiTheme="majorHAnsi" w:hAnsiTheme="majorHAnsi" w:cstheme="majorHAnsi"/>
        </w:rPr>
      </w:pPr>
    </w:p>
    <w:p w14:paraId="391A3EF9" w14:textId="08A722C1" w:rsidR="0014249C" w:rsidRPr="00E73D5F" w:rsidRDefault="0014249C" w:rsidP="00E73D5F">
      <w:pPr>
        <w:pStyle w:val="Listenabsatz"/>
        <w:numPr>
          <w:ilvl w:val="1"/>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E73D5F">
        <w:rPr>
          <w:rFonts w:asciiTheme="majorHAnsi" w:hAnsiTheme="majorHAnsi" w:cstheme="majorHAnsi"/>
          <w:szCs w:val="24"/>
        </w:rPr>
        <w:t xml:space="preserve">Add 40 µL of microsome suspension to wells designated “with microsomes” and 40 µL of </w:t>
      </w:r>
      <w:proofErr w:type="spellStart"/>
      <w:r w:rsidRPr="00E73D5F">
        <w:rPr>
          <w:rFonts w:asciiTheme="majorHAnsi" w:hAnsiTheme="majorHAnsi" w:cstheme="majorHAnsi"/>
          <w:szCs w:val="24"/>
        </w:rPr>
        <w:t>diH₂O</w:t>
      </w:r>
      <w:proofErr w:type="spellEnd"/>
      <w:r w:rsidRPr="00E73D5F">
        <w:rPr>
          <w:rFonts w:asciiTheme="majorHAnsi" w:hAnsiTheme="majorHAnsi" w:cstheme="majorHAnsi"/>
          <w:szCs w:val="24"/>
        </w:rPr>
        <w:t xml:space="preserve"> to wells designated “without microsomes”, according to </w:t>
      </w:r>
      <w:r w:rsidRPr="00E73D5F">
        <w:rPr>
          <w:rFonts w:asciiTheme="majorHAnsi" w:hAnsiTheme="majorHAnsi" w:cstheme="majorHAnsi"/>
          <w:b/>
          <w:bCs/>
          <w:szCs w:val="24"/>
        </w:rPr>
        <w:t>Figure 5</w:t>
      </w:r>
      <w:r w:rsidRPr="00E73D5F">
        <w:rPr>
          <w:rFonts w:asciiTheme="majorHAnsi" w:hAnsiTheme="majorHAnsi" w:cstheme="majorHAnsi"/>
          <w:szCs w:val="24"/>
        </w:rPr>
        <w:t>.</w:t>
      </w:r>
    </w:p>
    <w:p w14:paraId="35FC055B" w14:textId="77777777" w:rsidR="00692DBE" w:rsidRPr="00E73D5F" w:rsidRDefault="00692DBE" w:rsidP="00E73D5F">
      <w:pPr>
        <w:pBdr>
          <w:top w:val="nil"/>
          <w:left w:val="nil"/>
          <w:bottom w:val="nil"/>
          <w:right w:val="nil"/>
          <w:between w:val="nil"/>
        </w:pBdr>
        <w:rPr>
          <w:rFonts w:asciiTheme="majorHAnsi" w:hAnsiTheme="majorHAnsi" w:cstheme="majorHAnsi"/>
        </w:rPr>
      </w:pPr>
    </w:p>
    <w:p w14:paraId="3EEE99BE" w14:textId="5990A88B" w:rsidR="0014249C" w:rsidRPr="00E73D5F" w:rsidRDefault="0014249C" w:rsidP="00E73D5F">
      <w:pPr>
        <w:pStyle w:val="Listenabsatz"/>
        <w:numPr>
          <w:ilvl w:val="1"/>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E73D5F">
        <w:rPr>
          <w:rFonts w:asciiTheme="majorHAnsi" w:hAnsiTheme="majorHAnsi" w:cstheme="majorHAnsi"/>
          <w:szCs w:val="24"/>
        </w:rPr>
        <w:t xml:space="preserve">On ice, add 50 µL of substrate mix with DTT to the wells designated </w:t>
      </w:r>
      <w:proofErr w:type="gramStart"/>
      <w:r w:rsidRPr="00E73D5F">
        <w:rPr>
          <w:rFonts w:asciiTheme="majorHAnsi" w:hAnsiTheme="majorHAnsi" w:cstheme="majorHAnsi"/>
          <w:szCs w:val="24"/>
        </w:rPr>
        <w:t>“ with</w:t>
      </w:r>
      <w:proofErr w:type="gramEnd"/>
      <w:r w:rsidRPr="00E73D5F">
        <w:rPr>
          <w:rFonts w:asciiTheme="majorHAnsi" w:hAnsiTheme="majorHAnsi" w:cstheme="majorHAnsi"/>
          <w:szCs w:val="24"/>
        </w:rPr>
        <w:t xml:space="preserve"> DTT” and 50 µL of the substrate mix without DTT to the wells designated “without DTT” (</w:t>
      </w:r>
      <w:r w:rsidRPr="00E73D5F">
        <w:rPr>
          <w:rFonts w:asciiTheme="majorHAnsi" w:hAnsiTheme="majorHAnsi" w:cstheme="majorHAnsi"/>
          <w:b/>
          <w:bCs/>
          <w:szCs w:val="24"/>
        </w:rPr>
        <w:t>Figure 5</w:t>
      </w:r>
      <w:r w:rsidRPr="00E73D5F">
        <w:rPr>
          <w:rFonts w:asciiTheme="majorHAnsi" w:hAnsiTheme="majorHAnsi" w:cstheme="majorHAnsi"/>
          <w:szCs w:val="24"/>
        </w:rPr>
        <w:t>).</w:t>
      </w:r>
    </w:p>
    <w:p w14:paraId="4ABF06D3" w14:textId="77777777" w:rsidR="00692DBE" w:rsidRPr="00E73D5F" w:rsidRDefault="00692DBE" w:rsidP="00E73D5F">
      <w:pPr>
        <w:pBdr>
          <w:top w:val="nil"/>
          <w:left w:val="nil"/>
          <w:bottom w:val="nil"/>
          <w:right w:val="nil"/>
          <w:between w:val="nil"/>
        </w:pBdr>
        <w:rPr>
          <w:rFonts w:asciiTheme="majorHAnsi" w:hAnsiTheme="majorHAnsi" w:cstheme="majorHAnsi"/>
        </w:rPr>
      </w:pPr>
    </w:p>
    <w:p w14:paraId="628CEC35" w14:textId="05877A4A" w:rsidR="0014249C" w:rsidRPr="00E73D5F" w:rsidRDefault="0014249C" w:rsidP="00E73D5F">
      <w:pPr>
        <w:pStyle w:val="Listenabsatz"/>
        <w:numPr>
          <w:ilvl w:val="1"/>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E73D5F">
        <w:rPr>
          <w:rFonts w:asciiTheme="majorHAnsi" w:hAnsiTheme="majorHAnsi" w:cstheme="majorHAnsi"/>
          <w:szCs w:val="24"/>
        </w:rPr>
        <w:t>Seal the plate with an impermeable sheet of plastic and incubate on a shaker in an incubator (37 °C, 850 rpm) for 2 h.</w:t>
      </w:r>
    </w:p>
    <w:p w14:paraId="6C11A549" w14:textId="77777777" w:rsidR="00692DBE" w:rsidRPr="00E73D5F" w:rsidRDefault="00692DBE" w:rsidP="00E73D5F">
      <w:pPr>
        <w:pBdr>
          <w:top w:val="nil"/>
          <w:left w:val="nil"/>
          <w:bottom w:val="nil"/>
          <w:right w:val="nil"/>
          <w:between w:val="nil"/>
        </w:pBdr>
        <w:rPr>
          <w:rFonts w:asciiTheme="majorHAnsi" w:hAnsiTheme="majorHAnsi" w:cstheme="majorHAnsi"/>
        </w:rPr>
      </w:pPr>
    </w:p>
    <w:p w14:paraId="534E9375" w14:textId="4EE7CABD" w:rsidR="0014249C" w:rsidRPr="00E73D5F" w:rsidRDefault="0014249C" w:rsidP="00E73D5F">
      <w:pPr>
        <w:pStyle w:val="Listenabsatz"/>
        <w:numPr>
          <w:ilvl w:val="1"/>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E73D5F">
        <w:rPr>
          <w:rFonts w:asciiTheme="majorHAnsi" w:hAnsiTheme="majorHAnsi" w:cstheme="majorHAnsi"/>
          <w:szCs w:val="24"/>
        </w:rPr>
        <w:t>After incubation, place the plate on ice to stop the reaction.</w:t>
      </w:r>
    </w:p>
    <w:p w14:paraId="6DDA18E4" w14:textId="77777777" w:rsidR="00692DBE" w:rsidRPr="00E73D5F" w:rsidRDefault="00692DBE" w:rsidP="00E73D5F">
      <w:pPr>
        <w:pBdr>
          <w:top w:val="nil"/>
          <w:left w:val="nil"/>
          <w:bottom w:val="nil"/>
          <w:right w:val="nil"/>
          <w:between w:val="nil"/>
        </w:pBdr>
        <w:rPr>
          <w:rFonts w:asciiTheme="majorHAnsi" w:hAnsiTheme="majorHAnsi" w:cstheme="majorHAnsi"/>
        </w:rPr>
      </w:pPr>
    </w:p>
    <w:p w14:paraId="42AFC853" w14:textId="6B28F424" w:rsidR="0014249C" w:rsidRPr="00E73D5F" w:rsidRDefault="0014249C" w:rsidP="00E73D5F">
      <w:pPr>
        <w:pStyle w:val="Listenabsatz"/>
        <w:numPr>
          <w:ilvl w:val="1"/>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E73D5F">
        <w:rPr>
          <w:rFonts w:asciiTheme="majorHAnsi" w:hAnsiTheme="majorHAnsi" w:cstheme="majorHAnsi"/>
          <w:szCs w:val="24"/>
        </w:rPr>
        <w:t>Perform ion</w:t>
      </w:r>
      <w:r w:rsidRPr="00E73D5F">
        <w:rPr>
          <w:rFonts w:ascii="Cambria Math" w:hAnsi="Cambria Math" w:cs="Cambria Math"/>
          <w:szCs w:val="24"/>
        </w:rPr>
        <w:t>‑</w:t>
      </w:r>
      <w:r w:rsidRPr="00E73D5F">
        <w:rPr>
          <w:rFonts w:asciiTheme="majorHAnsi" w:hAnsiTheme="majorHAnsi" w:cstheme="majorHAnsi"/>
          <w:szCs w:val="24"/>
        </w:rPr>
        <w:t xml:space="preserve">exchange separation and iodide quantification via the SK reaction as described in </w:t>
      </w:r>
      <w:r w:rsidR="00692DBE" w:rsidRPr="00E73D5F">
        <w:rPr>
          <w:rFonts w:asciiTheme="majorHAnsi" w:hAnsiTheme="majorHAnsi" w:cstheme="majorHAnsi"/>
          <w:szCs w:val="24"/>
        </w:rPr>
        <w:t xml:space="preserve">steps </w:t>
      </w:r>
      <w:r w:rsidRPr="00E73D5F">
        <w:rPr>
          <w:rFonts w:asciiTheme="majorHAnsi" w:hAnsiTheme="majorHAnsi" w:cstheme="majorHAnsi"/>
          <w:szCs w:val="24"/>
        </w:rPr>
        <w:t>2.2 and 2.3, and evaluate results as described in Section 4.</w:t>
      </w:r>
    </w:p>
    <w:p w14:paraId="5A56149D" w14:textId="77777777" w:rsidR="00620376" w:rsidRPr="0017030F" w:rsidRDefault="00620376" w:rsidP="00E73D5F">
      <w:pPr>
        <w:rPr>
          <w:rFonts w:asciiTheme="majorHAnsi" w:hAnsiTheme="majorHAnsi" w:cstheme="majorHAnsi"/>
        </w:rPr>
      </w:pPr>
    </w:p>
    <w:p w14:paraId="3361B2A9" w14:textId="77777777" w:rsidR="00620376" w:rsidRPr="0017030F" w:rsidRDefault="00620376"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lastRenderedPageBreak/>
        <w:t xml:space="preserve">[Place </w:t>
      </w:r>
      <w:r w:rsidRPr="0017030F">
        <w:rPr>
          <w:rFonts w:asciiTheme="majorHAnsi" w:hAnsiTheme="majorHAnsi" w:cstheme="majorHAnsi"/>
          <w:b/>
        </w:rPr>
        <w:t>Figure 5</w:t>
      </w:r>
      <w:r w:rsidRPr="0017030F">
        <w:rPr>
          <w:rFonts w:asciiTheme="majorHAnsi" w:hAnsiTheme="majorHAnsi" w:cstheme="majorHAnsi"/>
        </w:rPr>
        <w:t xml:space="preserve"> here]</w:t>
      </w:r>
    </w:p>
    <w:p w14:paraId="460FDF40" w14:textId="77777777" w:rsidR="00620376" w:rsidRPr="00E73D5F" w:rsidRDefault="00620376" w:rsidP="00E73D5F">
      <w:pPr>
        <w:rPr>
          <w:rFonts w:asciiTheme="majorHAnsi" w:hAnsiTheme="majorHAnsi" w:cstheme="majorHAnsi"/>
        </w:rPr>
      </w:pPr>
    </w:p>
    <w:p w14:paraId="69F47CA1" w14:textId="33C38620" w:rsidR="00620376" w:rsidRPr="00E73D5F" w:rsidRDefault="00620376" w:rsidP="00E73D5F">
      <w:pPr>
        <w:rPr>
          <w:rFonts w:asciiTheme="majorHAnsi" w:hAnsiTheme="majorHAnsi" w:cstheme="majorHAnsi"/>
        </w:rPr>
      </w:pPr>
      <w:r w:rsidRPr="00E73D5F">
        <w:rPr>
          <w:rFonts w:asciiTheme="majorHAnsi" w:hAnsiTheme="majorHAnsi" w:cstheme="majorHAnsi"/>
        </w:rPr>
        <w:t xml:space="preserve">NOTE: </w:t>
      </w:r>
      <w:r w:rsidR="0014249C" w:rsidRPr="00E73D5F">
        <w:rPr>
          <w:rFonts w:asciiTheme="majorHAnsi" w:hAnsiTheme="majorHAnsi" w:cstheme="majorHAnsi"/>
        </w:rPr>
        <w:t>This single</w:t>
      </w:r>
      <w:r w:rsidR="0014249C" w:rsidRPr="00E73D5F">
        <w:rPr>
          <w:rFonts w:asciiTheme="majorHAnsi" w:hAnsiTheme="majorHAnsi" w:cstheme="majorHAnsi"/>
        </w:rPr>
        <w:noBreakHyphen/>
        <w:t>plate setup (</w:t>
      </w:r>
      <w:r w:rsidR="0014249C" w:rsidRPr="00E73D5F">
        <w:rPr>
          <w:rFonts w:asciiTheme="majorHAnsi" w:hAnsiTheme="majorHAnsi" w:cstheme="majorHAnsi"/>
          <w:b/>
          <w:bCs/>
        </w:rPr>
        <w:t>Figure 5</w:t>
      </w:r>
      <w:r w:rsidR="0014249C" w:rsidRPr="00E73D5F">
        <w:rPr>
          <w:rFonts w:asciiTheme="majorHAnsi" w:hAnsiTheme="majorHAnsi" w:cstheme="majorHAnsi"/>
        </w:rPr>
        <w:t xml:space="preserve">) tests the </w:t>
      </w:r>
      <w:r w:rsidR="0014249C" w:rsidRPr="00E73D5F">
        <w:rPr>
          <w:rFonts w:asciiTheme="majorHAnsi" w:hAnsiTheme="majorHAnsi" w:cstheme="majorHAnsi"/>
          <w:bCs/>
        </w:rPr>
        <w:t>highest test item concentration</w:t>
      </w:r>
      <w:r w:rsidR="0014249C" w:rsidRPr="00E73D5F">
        <w:rPr>
          <w:rFonts w:asciiTheme="majorHAnsi" w:hAnsiTheme="majorHAnsi" w:cstheme="majorHAnsi"/>
        </w:rPr>
        <w:t xml:space="preserve"> in parallel </w:t>
      </w:r>
      <w:r w:rsidR="0014249C" w:rsidRPr="00E73D5F">
        <w:rPr>
          <w:rFonts w:asciiTheme="majorHAnsi" w:hAnsiTheme="majorHAnsi" w:cstheme="majorHAnsi"/>
          <w:bCs/>
        </w:rPr>
        <w:t>with vs. without microsomes</w:t>
      </w:r>
      <w:r w:rsidR="0014249C" w:rsidRPr="00E73D5F">
        <w:rPr>
          <w:rFonts w:asciiTheme="majorHAnsi" w:hAnsiTheme="majorHAnsi" w:cstheme="majorHAnsi"/>
        </w:rPr>
        <w:t xml:space="preserve"> and </w:t>
      </w:r>
      <w:r w:rsidR="0014249C" w:rsidRPr="00E73D5F">
        <w:rPr>
          <w:rFonts w:asciiTheme="majorHAnsi" w:hAnsiTheme="majorHAnsi" w:cstheme="majorHAnsi"/>
          <w:bCs/>
        </w:rPr>
        <w:t>with v</w:t>
      </w:r>
      <w:r w:rsidR="00692DBE" w:rsidRPr="00E73D5F">
        <w:rPr>
          <w:rFonts w:asciiTheme="majorHAnsi" w:hAnsiTheme="majorHAnsi" w:cstheme="majorHAnsi"/>
          <w:bCs/>
        </w:rPr>
        <w:t>ersus</w:t>
      </w:r>
      <w:r w:rsidR="0014249C" w:rsidRPr="00E73D5F">
        <w:rPr>
          <w:rFonts w:asciiTheme="majorHAnsi" w:hAnsiTheme="majorHAnsi" w:cstheme="majorHAnsi"/>
          <w:bCs/>
        </w:rPr>
        <w:t xml:space="preserve"> without DTT</w:t>
      </w:r>
      <w:r w:rsidR="0014249C" w:rsidRPr="00E73D5F">
        <w:rPr>
          <w:rFonts w:asciiTheme="majorHAnsi" w:hAnsiTheme="majorHAnsi" w:cstheme="majorHAnsi"/>
        </w:rPr>
        <w:t xml:space="preserve"> to distinguish enzymatic DIO1 activity from assay artifacts. An </w:t>
      </w:r>
      <w:r w:rsidR="0014249C" w:rsidRPr="00E73D5F">
        <w:rPr>
          <w:rFonts w:asciiTheme="majorHAnsi" w:hAnsiTheme="majorHAnsi" w:cstheme="majorHAnsi"/>
          <w:bCs/>
        </w:rPr>
        <w:t>IRA increase ≥20% in wells without microsomes</w:t>
      </w:r>
      <w:r w:rsidR="0014249C" w:rsidRPr="00E73D5F">
        <w:rPr>
          <w:rFonts w:asciiTheme="majorHAnsi" w:hAnsiTheme="majorHAnsi" w:cstheme="majorHAnsi"/>
        </w:rPr>
        <w:t xml:space="preserve"> indicates SK interference (iodide release/readout independent of DIO1), and the substance is classified as </w:t>
      </w:r>
      <w:r w:rsidR="0014249C" w:rsidRPr="00E73D5F">
        <w:rPr>
          <w:rFonts w:asciiTheme="majorHAnsi" w:hAnsiTheme="majorHAnsi" w:cstheme="majorHAnsi"/>
          <w:bCs/>
        </w:rPr>
        <w:t>“not applicable in the DIO1</w:t>
      </w:r>
      <w:r w:rsidR="0014249C" w:rsidRPr="00E73D5F">
        <w:rPr>
          <w:rFonts w:asciiTheme="majorHAnsi" w:hAnsiTheme="majorHAnsi" w:cstheme="majorHAnsi"/>
          <w:bCs/>
        </w:rPr>
        <w:noBreakHyphen/>
        <w:t>SK assay”</w:t>
      </w:r>
      <w:r w:rsidR="0014249C" w:rsidRPr="00E73D5F">
        <w:rPr>
          <w:rFonts w:asciiTheme="majorHAnsi" w:hAnsiTheme="majorHAnsi" w:cstheme="majorHAnsi"/>
        </w:rPr>
        <w:t xml:space="preserve"> and excluded from analysis. Differences </w:t>
      </w:r>
      <w:proofErr w:type="gramStart"/>
      <w:r w:rsidR="0014249C" w:rsidRPr="00E73D5F">
        <w:rPr>
          <w:rFonts w:asciiTheme="majorHAnsi" w:hAnsiTheme="majorHAnsi" w:cstheme="majorHAnsi"/>
        </w:rPr>
        <w:t xml:space="preserve">between </w:t>
      </w:r>
      <w:r w:rsidR="0014249C" w:rsidRPr="00E73D5F">
        <w:rPr>
          <w:rFonts w:asciiTheme="majorHAnsi" w:hAnsiTheme="majorHAnsi" w:cstheme="majorHAnsi"/>
          <w:bCs/>
        </w:rPr>
        <w:t>with</w:t>
      </w:r>
      <w:proofErr w:type="gramEnd"/>
      <w:r w:rsidR="0014249C" w:rsidRPr="00E73D5F">
        <w:rPr>
          <w:rFonts w:asciiTheme="majorHAnsi" w:hAnsiTheme="majorHAnsi" w:cstheme="majorHAnsi"/>
          <w:bCs/>
        </w:rPr>
        <w:t xml:space="preserve"> DTT and without DTT</w:t>
      </w:r>
      <w:r w:rsidR="0014249C" w:rsidRPr="00E73D5F">
        <w:rPr>
          <w:rFonts w:asciiTheme="majorHAnsi" w:hAnsiTheme="majorHAnsi" w:cstheme="majorHAnsi"/>
        </w:rPr>
        <w:t xml:space="preserve"> conditions help identify </w:t>
      </w:r>
      <w:r w:rsidR="0014249C" w:rsidRPr="00E73D5F">
        <w:rPr>
          <w:rFonts w:asciiTheme="majorHAnsi" w:hAnsiTheme="majorHAnsi" w:cstheme="majorHAnsi"/>
          <w:bCs/>
        </w:rPr>
        <w:t>DTT</w:t>
      </w:r>
      <w:r w:rsidR="004F4E3E" w:rsidRPr="00E73D5F">
        <w:rPr>
          <w:rFonts w:asciiTheme="majorHAnsi" w:hAnsiTheme="majorHAnsi" w:cstheme="majorHAnsi"/>
          <w:bCs/>
        </w:rPr>
        <w:t>-</w:t>
      </w:r>
      <w:r w:rsidR="0014249C" w:rsidRPr="00E73D5F">
        <w:rPr>
          <w:rFonts w:asciiTheme="majorHAnsi" w:hAnsiTheme="majorHAnsi" w:cstheme="majorHAnsi"/>
          <w:bCs/>
        </w:rPr>
        <w:t>dependent iodide release</w:t>
      </w:r>
      <w:r w:rsidR="0014249C" w:rsidRPr="00E73D5F">
        <w:rPr>
          <w:rFonts w:asciiTheme="majorHAnsi" w:hAnsiTheme="majorHAnsi" w:cstheme="majorHAnsi"/>
        </w:rPr>
        <w:t xml:space="preserve"> as an additional interference mechanism.</w:t>
      </w:r>
    </w:p>
    <w:bookmarkEnd w:id="2"/>
    <w:p w14:paraId="50C838DD" w14:textId="77777777" w:rsidR="007718CA" w:rsidRPr="0017030F" w:rsidRDefault="007718CA" w:rsidP="00E73D5F">
      <w:pPr>
        <w:pBdr>
          <w:top w:val="nil"/>
          <w:left w:val="nil"/>
          <w:bottom w:val="nil"/>
          <w:right w:val="nil"/>
          <w:between w:val="nil"/>
        </w:pBdr>
        <w:rPr>
          <w:rFonts w:asciiTheme="majorHAnsi" w:hAnsiTheme="majorHAnsi" w:cstheme="majorHAnsi"/>
        </w:rPr>
      </w:pPr>
    </w:p>
    <w:p w14:paraId="1707198A" w14:textId="408D50F9" w:rsidR="00333622" w:rsidRPr="0017030F" w:rsidRDefault="00333622" w:rsidP="00E73D5F">
      <w:pPr>
        <w:pStyle w:val="Listenabsatz"/>
        <w:numPr>
          <w:ilvl w:val="0"/>
          <w:numId w:val="28"/>
        </w:numPr>
        <w:pBdr>
          <w:top w:val="nil"/>
          <w:left w:val="nil"/>
          <w:bottom w:val="nil"/>
          <w:right w:val="nil"/>
          <w:between w:val="nil"/>
        </w:pBdr>
        <w:spacing w:after="0" w:line="240" w:lineRule="auto"/>
        <w:ind w:left="0" w:firstLine="0"/>
        <w:jc w:val="both"/>
        <w:rPr>
          <w:rFonts w:asciiTheme="majorHAnsi" w:hAnsiTheme="majorHAnsi" w:cstheme="majorHAnsi"/>
          <w:b/>
          <w:bCs/>
          <w:szCs w:val="24"/>
        </w:rPr>
      </w:pPr>
      <w:bookmarkStart w:id="18" w:name="_Ref209515414"/>
      <w:bookmarkEnd w:id="3"/>
      <w:r w:rsidRPr="0017030F">
        <w:rPr>
          <w:rFonts w:asciiTheme="majorHAnsi" w:hAnsiTheme="majorHAnsi" w:cstheme="majorHAnsi"/>
          <w:b/>
          <w:bCs/>
          <w:szCs w:val="24"/>
        </w:rPr>
        <w:t xml:space="preserve">Data </w:t>
      </w:r>
      <w:r w:rsidR="00DA56A9" w:rsidRPr="0017030F">
        <w:rPr>
          <w:rFonts w:asciiTheme="majorHAnsi" w:hAnsiTheme="majorHAnsi" w:cstheme="majorHAnsi"/>
          <w:b/>
          <w:bCs/>
          <w:szCs w:val="24"/>
        </w:rPr>
        <w:t>e</w:t>
      </w:r>
      <w:r w:rsidRPr="0017030F">
        <w:rPr>
          <w:rFonts w:asciiTheme="majorHAnsi" w:hAnsiTheme="majorHAnsi" w:cstheme="majorHAnsi"/>
          <w:b/>
          <w:bCs/>
          <w:szCs w:val="24"/>
        </w:rPr>
        <w:t>valuation</w:t>
      </w:r>
      <w:bookmarkEnd w:id="18"/>
    </w:p>
    <w:p w14:paraId="1B469043" w14:textId="77777777" w:rsidR="00415BC8" w:rsidRPr="0017030F" w:rsidRDefault="00415BC8"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67D561D9" w14:textId="11DE72FB" w:rsidR="00415BC8" w:rsidRPr="0017030F" w:rsidRDefault="00EE6C38" w:rsidP="00E73D5F">
      <w:pPr>
        <w:pStyle w:val="Listenabsatz"/>
        <w:numPr>
          <w:ilvl w:val="1"/>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 xml:space="preserve">Evaluation of DIO1 </w:t>
      </w:r>
      <w:r w:rsidR="00DA56A9" w:rsidRPr="0017030F">
        <w:rPr>
          <w:rFonts w:asciiTheme="majorHAnsi" w:hAnsiTheme="majorHAnsi" w:cstheme="majorHAnsi"/>
          <w:szCs w:val="24"/>
        </w:rPr>
        <w:t>a</w:t>
      </w:r>
      <w:r w:rsidRPr="0017030F">
        <w:rPr>
          <w:rFonts w:asciiTheme="majorHAnsi" w:hAnsiTheme="majorHAnsi" w:cstheme="majorHAnsi"/>
          <w:szCs w:val="24"/>
        </w:rPr>
        <w:t>ctivity</w:t>
      </w:r>
    </w:p>
    <w:p w14:paraId="16D13EE0" w14:textId="77777777" w:rsidR="002136B4" w:rsidRPr="0017030F" w:rsidRDefault="002136B4"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105EFF4B" w14:textId="09C28035" w:rsidR="00415BC8" w:rsidRPr="0017030F" w:rsidRDefault="00415BC8"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Determine the ΔOD</w:t>
      </w:r>
      <w:r w:rsidRPr="0017030F">
        <w:rPr>
          <w:rFonts w:asciiTheme="majorHAnsi" w:hAnsiTheme="majorHAnsi" w:cstheme="majorHAnsi"/>
          <w:szCs w:val="24"/>
          <w:vertAlign w:val="subscript"/>
        </w:rPr>
        <w:t>21min</w:t>
      </w:r>
      <w:r w:rsidRPr="0017030F">
        <w:rPr>
          <w:rFonts w:asciiTheme="majorHAnsi" w:hAnsiTheme="majorHAnsi" w:cstheme="majorHAnsi"/>
          <w:szCs w:val="24"/>
        </w:rPr>
        <w:t xml:space="preserve"> values via subtraction of the 21</w:t>
      </w:r>
      <w:r w:rsidR="004F4E3E" w:rsidRPr="0017030F">
        <w:rPr>
          <w:rFonts w:asciiTheme="majorHAnsi" w:hAnsiTheme="majorHAnsi" w:cstheme="majorHAnsi"/>
          <w:szCs w:val="24"/>
        </w:rPr>
        <w:t xml:space="preserve"> </w:t>
      </w:r>
      <w:r w:rsidRPr="0017030F">
        <w:rPr>
          <w:rFonts w:asciiTheme="majorHAnsi" w:hAnsiTheme="majorHAnsi" w:cstheme="majorHAnsi"/>
          <w:szCs w:val="24"/>
        </w:rPr>
        <w:t xml:space="preserve">min values of all samples from the initial measured </w:t>
      </w:r>
      <w:r w:rsidR="00166786" w:rsidRPr="0017030F">
        <w:rPr>
          <w:rFonts w:asciiTheme="majorHAnsi" w:hAnsiTheme="majorHAnsi" w:cstheme="majorHAnsi"/>
          <w:szCs w:val="24"/>
        </w:rPr>
        <w:t xml:space="preserve">(0 min) </w:t>
      </w:r>
      <w:r w:rsidRPr="0017030F">
        <w:rPr>
          <w:rFonts w:asciiTheme="majorHAnsi" w:hAnsiTheme="majorHAnsi" w:cstheme="majorHAnsi"/>
          <w:szCs w:val="24"/>
        </w:rPr>
        <w:t>values:</w:t>
      </w:r>
    </w:p>
    <w:p w14:paraId="27748ABB" w14:textId="77777777" w:rsidR="00415BC8" w:rsidRPr="0017030F" w:rsidRDefault="00415BC8" w:rsidP="00E73D5F">
      <w:pPr>
        <w:rPr>
          <w:rFonts w:asciiTheme="majorHAnsi" w:hAnsiTheme="majorHAnsi" w:cstheme="majorHAnsi"/>
        </w:rPr>
      </w:pPr>
    </w:p>
    <w:p w14:paraId="3CFB0166" w14:textId="77777777" w:rsidR="00415BC8" w:rsidRPr="0017030F" w:rsidRDefault="00000000" w:rsidP="00E73D5F">
      <w:pPr>
        <w:rPr>
          <w:rFonts w:asciiTheme="majorHAnsi" w:hAnsiTheme="majorHAnsi" w:cstheme="majorHAnsi"/>
        </w:rPr>
      </w:pPr>
      <m:oMathPara>
        <m:oMathParaPr>
          <m:jc m:val="left"/>
        </m:oMathParaPr>
        <m:oMath>
          <m:sSub>
            <m:sSubPr>
              <m:ctrlPr>
                <w:rPr>
                  <w:rFonts w:ascii="Cambria Math" w:hAnsi="Cambria Math" w:cstheme="majorHAnsi"/>
                  <w:i/>
                </w:rPr>
              </m:ctrlPr>
            </m:sSubPr>
            <m:e>
              <m:r>
                <w:rPr>
                  <w:rFonts w:ascii="Cambria Math" w:hAnsi="Cambria Math" w:cstheme="majorHAnsi"/>
                  <w:i/>
                </w:rPr>
                <w:sym w:font="Symbol" w:char="F044"/>
              </m:r>
              <m:r>
                <w:rPr>
                  <w:rFonts w:ascii="Cambria Math" w:hAnsi="Cambria Math" w:cstheme="majorHAnsi"/>
                </w:rPr>
                <m:t>OD</m:t>
              </m:r>
            </m:e>
            <m:sub>
              <m:r>
                <w:rPr>
                  <w:rFonts w:ascii="Cambria Math" w:hAnsi="Cambria Math" w:cstheme="majorHAnsi"/>
                </w:rPr>
                <m:t>21min</m:t>
              </m:r>
            </m:sub>
          </m:sSub>
          <m:r>
            <w:rPr>
              <w:rFonts w:ascii="Cambria Math" w:hAnsi="Cambria Math" w:cstheme="majorHAnsi"/>
            </w:rPr>
            <m:t xml:space="preserve">= </m:t>
          </m:r>
          <m:sSub>
            <m:sSubPr>
              <m:ctrlPr>
                <w:rPr>
                  <w:rFonts w:ascii="Cambria Math" w:hAnsi="Cambria Math" w:cstheme="majorHAnsi"/>
                  <w:i/>
                </w:rPr>
              </m:ctrlPr>
            </m:sSubPr>
            <m:e>
              <m:r>
                <w:rPr>
                  <w:rFonts w:ascii="Cambria Math" w:hAnsi="Cambria Math" w:cstheme="majorHAnsi"/>
                </w:rPr>
                <m:t>OD</m:t>
              </m:r>
            </m:e>
            <m:sub>
              <m:r>
                <w:rPr>
                  <w:rFonts w:ascii="Cambria Math" w:hAnsi="Cambria Math" w:cstheme="majorHAnsi"/>
                </w:rPr>
                <m:t>21min,415nm</m:t>
              </m:r>
            </m:sub>
          </m:sSub>
          <m:r>
            <w:rPr>
              <w:rFonts w:ascii="Cambria Math" w:hAnsi="Cambria Math" w:cstheme="majorHAnsi"/>
            </w:rPr>
            <m:t>-</m:t>
          </m:r>
          <m:sSub>
            <m:sSubPr>
              <m:ctrlPr>
                <w:rPr>
                  <w:rFonts w:ascii="Cambria Math" w:hAnsi="Cambria Math" w:cstheme="majorHAnsi"/>
                  <w:i/>
                </w:rPr>
              </m:ctrlPr>
            </m:sSubPr>
            <m:e>
              <m:r>
                <w:rPr>
                  <w:rFonts w:ascii="Cambria Math" w:hAnsi="Cambria Math" w:cstheme="majorHAnsi"/>
                </w:rPr>
                <m:t>OD</m:t>
              </m:r>
            </m:e>
            <m:sub>
              <m:r>
                <w:rPr>
                  <w:rFonts w:ascii="Cambria Math" w:hAnsi="Cambria Math" w:cstheme="majorHAnsi"/>
                </w:rPr>
                <m:t xml:space="preserve"> 0min,415nm</m:t>
              </m:r>
            </m:sub>
          </m:sSub>
        </m:oMath>
      </m:oMathPara>
    </w:p>
    <w:p w14:paraId="3F3928C3" w14:textId="77777777" w:rsidR="00415BC8" w:rsidRPr="0017030F" w:rsidRDefault="00415BC8" w:rsidP="00E73D5F">
      <w:pPr>
        <w:rPr>
          <w:rFonts w:asciiTheme="majorHAnsi" w:hAnsiTheme="majorHAnsi" w:cstheme="majorHAnsi"/>
        </w:rPr>
      </w:pPr>
    </w:p>
    <w:p w14:paraId="119F88B8" w14:textId="05BD17B2" w:rsidR="00415BC8" w:rsidRPr="0017030F" w:rsidRDefault="00415BC8"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Determine the ΔOD-BG values by subtracting the mean of ΔOD</w:t>
      </w:r>
      <w:r w:rsidRPr="0017030F">
        <w:rPr>
          <w:rFonts w:asciiTheme="majorHAnsi" w:hAnsiTheme="majorHAnsi" w:cstheme="majorHAnsi"/>
          <w:szCs w:val="24"/>
          <w:vertAlign w:val="subscript"/>
        </w:rPr>
        <w:t>21min</w:t>
      </w:r>
      <w:r w:rsidRPr="0017030F">
        <w:rPr>
          <w:rFonts w:asciiTheme="majorHAnsi" w:hAnsiTheme="majorHAnsi" w:cstheme="majorHAnsi"/>
          <w:szCs w:val="24"/>
        </w:rPr>
        <w:t xml:space="preserve"> values of the inhibited 10</w:t>
      </w:r>
      <w:r w:rsidRPr="0017030F">
        <w:rPr>
          <w:rFonts w:asciiTheme="majorHAnsi" w:hAnsiTheme="majorHAnsi" w:cstheme="majorHAnsi"/>
          <w:szCs w:val="24"/>
          <w:vertAlign w:val="superscript"/>
        </w:rPr>
        <w:noBreakHyphen/>
        <w:t>3</w:t>
      </w:r>
      <w:r w:rsidRPr="0017030F">
        <w:rPr>
          <w:rFonts w:asciiTheme="majorHAnsi" w:hAnsiTheme="majorHAnsi" w:cstheme="majorHAnsi"/>
          <w:szCs w:val="24"/>
        </w:rPr>
        <w:t> M 6</w:t>
      </w:r>
      <w:r w:rsidR="00453AE2" w:rsidRPr="0017030F">
        <w:rPr>
          <w:rFonts w:asciiTheme="majorHAnsi" w:hAnsiTheme="majorHAnsi" w:cstheme="majorHAnsi"/>
          <w:szCs w:val="24"/>
        </w:rPr>
        <w:t>-</w:t>
      </w:r>
      <w:r w:rsidRPr="0017030F">
        <w:rPr>
          <w:rFonts w:asciiTheme="majorHAnsi" w:hAnsiTheme="majorHAnsi" w:cstheme="majorHAnsi"/>
          <w:szCs w:val="24"/>
        </w:rPr>
        <w:t>PTU (RI) controls from the ΔOD</w:t>
      </w:r>
      <w:r w:rsidRPr="0017030F">
        <w:rPr>
          <w:rFonts w:asciiTheme="majorHAnsi" w:hAnsiTheme="majorHAnsi" w:cstheme="majorHAnsi"/>
          <w:szCs w:val="24"/>
          <w:vertAlign w:val="subscript"/>
        </w:rPr>
        <w:t>21min</w:t>
      </w:r>
      <w:r w:rsidRPr="0017030F">
        <w:rPr>
          <w:rFonts w:asciiTheme="majorHAnsi" w:hAnsiTheme="majorHAnsi" w:cstheme="majorHAnsi"/>
          <w:szCs w:val="24"/>
        </w:rPr>
        <w:t xml:space="preserve"> values of all samples:</w:t>
      </w:r>
    </w:p>
    <w:p w14:paraId="69D21E26" w14:textId="77777777" w:rsidR="00415BC8" w:rsidRPr="0017030F" w:rsidRDefault="00415BC8" w:rsidP="00E73D5F">
      <w:pPr>
        <w:pBdr>
          <w:top w:val="nil"/>
          <w:left w:val="nil"/>
          <w:bottom w:val="nil"/>
          <w:right w:val="nil"/>
          <w:between w:val="nil"/>
        </w:pBdr>
        <w:rPr>
          <w:rFonts w:asciiTheme="majorHAnsi" w:hAnsiTheme="majorHAnsi" w:cstheme="majorHAnsi"/>
        </w:rPr>
      </w:pPr>
    </w:p>
    <w:p w14:paraId="5FBCE008" w14:textId="3A2BEB95" w:rsidR="00415BC8" w:rsidRPr="0017030F" w:rsidRDefault="00415BC8" w:rsidP="00E73D5F">
      <w:pPr>
        <w:pBdr>
          <w:top w:val="nil"/>
          <w:left w:val="nil"/>
          <w:bottom w:val="nil"/>
          <w:right w:val="nil"/>
          <w:between w:val="nil"/>
        </w:pBdr>
        <w:rPr>
          <w:rFonts w:asciiTheme="majorHAnsi" w:hAnsiTheme="majorHAnsi" w:cstheme="majorHAnsi"/>
        </w:rPr>
      </w:pPr>
      <m:oMath>
        <m:r>
          <m:rPr>
            <m:sty m:val="p"/>
          </m:rPr>
          <w:rPr>
            <w:rFonts w:ascii="Cambria Math" w:hAnsi="Cambria Math" w:cstheme="majorHAnsi"/>
          </w:rPr>
          <w:sym w:font="Symbol" w:char="F044"/>
        </m:r>
        <m:r>
          <w:rPr>
            <w:rFonts w:ascii="Cambria Math" w:hAnsi="Cambria Math" w:cstheme="majorHAnsi"/>
          </w:rPr>
          <m:t>OD</m:t>
        </m:r>
        <m:r>
          <m:rPr>
            <m:sty m:val="p"/>
          </m:rPr>
          <w:rPr>
            <w:rFonts w:ascii="Cambria Math" w:hAnsi="Cambria Math" w:cstheme="majorHAnsi"/>
          </w:rPr>
          <w:noBreakHyphen/>
        </m:r>
        <m:r>
          <w:rPr>
            <w:rFonts w:ascii="Cambria Math" w:hAnsi="Cambria Math" w:cstheme="majorHAnsi"/>
          </w:rPr>
          <m:t xml:space="preserve">BG= </m:t>
        </m:r>
        <m:sSub>
          <m:sSubPr>
            <m:ctrlPr>
              <w:rPr>
                <w:rFonts w:ascii="Cambria Math" w:hAnsi="Cambria Math" w:cstheme="majorHAnsi"/>
                <w:i/>
              </w:rPr>
            </m:ctrlPr>
          </m:sSubPr>
          <m:e>
            <m:r>
              <m:rPr>
                <m:sty m:val="p"/>
              </m:rPr>
              <w:rPr>
                <w:rFonts w:ascii="Cambria Math" w:hAnsi="Cambria Math" w:cstheme="majorHAnsi"/>
              </w:rPr>
              <w:sym w:font="Symbol" w:char="F044"/>
            </m:r>
            <m:r>
              <w:rPr>
                <w:rFonts w:ascii="Cambria Math" w:hAnsi="Cambria Math" w:cstheme="majorHAnsi"/>
              </w:rPr>
              <m:t>OD</m:t>
            </m:r>
          </m:e>
          <m:sub>
            <m:r>
              <w:rPr>
                <w:rFonts w:ascii="Cambria Math" w:hAnsi="Cambria Math" w:cstheme="majorHAnsi"/>
              </w:rPr>
              <m:t>21min</m:t>
            </m:r>
          </m:sub>
        </m:sSub>
        <m:r>
          <w:rPr>
            <w:rFonts w:ascii="Cambria Math" w:hAnsi="Cambria Math" w:cstheme="majorHAnsi"/>
          </w:rPr>
          <m:t xml:space="preserve">- </m:t>
        </m:r>
        <m:acc>
          <m:accPr>
            <m:chr m:val="̅"/>
            <m:ctrlPr>
              <w:rPr>
                <w:rFonts w:ascii="Cambria Math" w:hAnsi="Cambria Math" w:cstheme="majorHAnsi"/>
                <w:i/>
              </w:rPr>
            </m:ctrlPr>
          </m:accPr>
          <m:e>
            <m:sSub>
              <m:sSubPr>
                <m:ctrlPr>
                  <w:rPr>
                    <w:rFonts w:ascii="Cambria Math" w:hAnsi="Cambria Math" w:cstheme="majorHAnsi"/>
                    <w:i/>
                  </w:rPr>
                </m:ctrlPr>
              </m:sSubPr>
              <m:e>
                <m:r>
                  <m:rPr>
                    <m:sty m:val="p"/>
                  </m:rPr>
                  <w:rPr>
                    <w:rFonts w:ascii="Cambria Math" w:hAnsi="Cambria Math" w:cstheme="majorHAnsi"/>
                  </w:rPr>
                  <w:sym w:font="Symbol" w:char="F044"/>
                </m:r>
                <m:r>
                  <w:rPr>
                    <w:rFonts w:ascii="Cambria Math" w:hAnsi="Cambria Math" w:cstheme="majorHAnsi"/>
                  </w:rPr>
                  <m:t>OD</m:t>
                </m:r>
              </m:e>
              <m:sub>
                <m:r>
                  <w:rPr>
                    <w:rFonts w:ascii="Cambria Math" w:hAnsi="Cambria Math" w:cstheme="majorHAnsi"/>
                  </w:rPr>
                  <m:t>21min, RI</m:t>
                </m:r>
              </m:sub>
            </m:sSub>
          </m:e>
        </m:acc>
      </m:oMath>
      <w:r w:rsidRPr="0017030F">
        <w:rPr>
          <w:rFonts w:asciiTheme="majorHAnsi" w:hAnsiTheme="majorHAnsi" w:cstheme="majorHAnsi"/>
        </w:rPr>
        <w:t xml:space="preserve"> </w:t>
      </w:r>
    </w:p>
    <w:p w14:paraId="0DBC247F" w14:textId="77777777" w:rsidR="00415BC8" w:rsidRPr="0017030F" w:rsidRDefault="00415BC8" w:rsidP="00E73D5F">
      <w:pPr>
        <w:pBdr>
          <w:top w:val="nil"/>
          <w:left w:val="nil"/>
          <w:bottom w:val="nil"/>
          <w:right w:val="nil"/>
          <w:between w:val="nil"/>
        </w:pBdr>
        <w:rPr>
          <w:rFonts w:asciiTheme="majorHAnsi" w:hAnsiTheme="majorHAnsi" w:cstheme="majorHAnsi"/>
        </w:rPr>
      </w:pPr>
    </w:p>
    <w:p w14:paraId="671FCB09" w14:textId="1CF1A05A" w:rsidR="00415BC8" w:rsidRPr="0017030F" w:rsidRDefault="00415BC8"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Normalize the values of the test item to the respective solvent control values via division of the test item(s) (TI) ΔOD</w:t>
      </w:r>
      <w:r w:rsidR="004B0CDD" w:rsidRPr="0017030F">
        <w:rPr>
          <w:rFonts w:asciiTheme="majorHAnsi" w:hAnsiTheme="majorHAnsi" w:cstheme="majorHAnsi"/>
          <w:szCs w:val="24"/>
          <w:vertAlign w:val="subscript"/>
        </w:rPr>
        <w:t>21min</w:t>
      </w:r>
      <w:r w:rsidRPr="0017030F">
        <w:rPr>
          <w:rFonts w:asciiTheme="majorHAnsi" w:hAnsiTheme="majorHAnsi" w:cstheme="majorHAnsi"/>
          <w:szCs w:val="24"/>
        </w:rPr>
        <w:t>-BG</w:t>
      </w:r>
      <w:r w:rsidR="00166786" w:rsidRPr="0017030F">
        <w:rPr>
          <w:rFonts w:asciiTheme="majorHAnsi" w:hAnsiTheme="majorHAnsi" w:cstheme="majorHAnsi"/>
          <w:szCs w:val="24"/>
          <w:vertAlign w:val="subscript"/>
        </w:rPr>
        <w:t>TI</w:t>
      </w:r>
      <w:r w:rsidRPr="0017030F">
        <w:rPr>
          <w:rFonts w:asciiTheme="majorHAnsi" w:hAnsiTheme="majorHAnsi" w:cstheme="majorHAnsi"/>
          <w:szCs w:val="24"/>
        </w:rPr>
        <w:t xml:space="preserve"> values by the mean of the ΔOD</w:t>
      </w:r>
      <w:r w:rsidR="004B0CDD" w:rsidRPr="0017030F">
        <w:rPr>
          <w:rFonts w:asciiTheme="majorHAnsi" w:hAnsiTheme="majorHAnsi" w:cstheme="majorHAnsi"/>
          <w:szCs w:val="24"/>
          <w:vertAlign w:val="subscript"/>
        </w:rPr>
        <w:t>21min</w:t>
      </w:r>
      <w:r w:rsidR="004B0CDD" w:rsidRPr="0017030F">
        <w:rPr>
          <w:rFonts w:asciiTheme="majorHAnsi" w:hAnsiTheme="majorHAnsi" w:cstheme="majorHAnsi"/>
          <w:szCs w:val="24"/>
        </w:rPr>
        <w:t xml:space="preserve"> </w:t>
      </w:r>
      <w:r w:rsidRPr="0017030F">
        <w:rPr>
          <w:rFonts w:asciiTheme="majorHAnsi" w:hAnsiTheme="majorHAnsi" w:cstheme="majorHAnsi"/>
          <w:szCs w:val="24"/>
        </w:rPr>
        <w:t>-BG</w:t>
      </w:r>
      <w:r w:rsidR="00166786" w:rsidRPr="0017030F">
        <w:rPr>
          <w:rFonts w:asciiTheme="majorHAnsi" w:hAnsiTheme="majorHAnsi" w:cstheme="majorHAnsi"/>
          <w:szCs w:val="24"/>
          <w:vertAlign w:val="subscript"/>
        </w:rPr>
        <w:t>SC</w:t>
      </w:r>
      <w:r w:rsidRPr="0017030F">
        <w:rPr>
          <w:rFonts w:asciiTheme="majorHAnsi" w:hAnsiTheme="majorHAnsi" w:cstheme="majorHAnsi"/>
          <w:szCs w:val="24"/>
        </w:rPr>
        <w:t xml:space="preserve"> values of the respective solvent control</w:t>
      </w:r>
      <w:r w:rsidR="00166786" w:rsidRPr="0017030F">
        <w:rPr>
          <w:rFonts w:asciiTheme="majorHAnsi" w:hAnsiTheme="majorHAnsi" w:cstheme="majorHAnsi"/>
          <w:szCs w:val="24"/>
        </w:rPr>
        <w:t xml:space="preserve"> (SC)</w:t>
      </w:r>
      <w:r w:rsidRPr="0017030F">
        <w:rPr>
          <w:rFonts w:asciiTheme="majorHAnsi" w:hAnsiTheme="majorHAnsi" w:cstheme="majorHAnsi"/>
          <w:szCs w:val="24"/>
        </w:rPr>
        <w:t>, generating iodide release activity (IRA) values in %.</w:t>
      </w:r>
    </w:p>
    <w:p w14:paraId="6EDC1463" w14:textId="77777777" w:rsidR="00415BC8" w:rsidRPr="0017030F" w:rsidRDefault="00415BC8" w:rsidP="00E73D5F">
      <w:pPr>
        <w:pBdr>
          <w:top w:val="nil"/>
          <w:left w:val="nil"/>
          <w:bottom w:val="nil"/>
          <w:right w:val="nil"/>
          <w:between w:val="nil"/>
        </w:pBdr>
        <w:rPr>
          <w:rFonts w:asciiTheme="majorHAnsi" w:hAnsiTheme="majorHAnsi" w:cstheme="majorHAnsi"/>
        </w:rPr>
      </w:pPr>
    </w:p>
    <w:p w14:paraId="72F8C6A8" w14:textId="4242C21C" w:rsidR="00415BC8" w:rsidRPr="0017030F" w:rsidRDefault="00415BC8" w:rsidP="00E73D5F">
      <w:pPr>
        <w:pBdr>
          <w:top w:val="nil"/>
          <w:left w:val="nil"/>
          <w:bottom w:val="nil"/>
          <w:right w:val="nil"/>
          <w:between w:val="nil"/>
        </w:pBdr>
        <w:rPr>
          <w:rFonts w:asciiTheme="majorHAnsi" w:hAnsiTheme="majorHAnsi" w:cstheme="majorHAnsi"/>
        </w:rPr>
      </w:pPr>
      <m:oMath>
        <m:r>
          <w:rPr>
            <w:rFonts w:ascii="Cambria Math" w:hAnsi="Cambria Math" w:cstheme="majorHAnsi"/>
          </w:rPr>
          <m:t xml:space="preserve">iodide release activity </m:t>
        </m:r>
        <m:d>
          <m:dPr>
            <m:ctrlPr>
              <w:rPr>
                <w:rFonts w:ascii="Cambria Math" w:hAnsi="Cambria Math" w:cstheme="majorHAnsi"/>
                <w:i/>
              </w:rPr>
            </m:ctrlPr>
          </m:dPr>
          <m:e>
            <m:r>
              <w:rPr>
                <w:rFonts w:ascii="Cambria Math" w:hAnsi="Cambria Math" w:cstheme="majorHAnsi"/>
              </w:rPr>
              <m:t>IRA</m:t>
            </m:r>
          </m:e>
        </m:d>
        <m:r>
          <w:rPr>
            <w:rFonts w:ascii="Cambria Math" w:hAnsi="Cambria Math" w:cstheme="majorHAnsi"/>
          </w:rPr>
          <m:t xml:space="preserve">= </m:t>
        </m:r>
        <m:f>
          <m:fPr>
            <m:ctrlPr>
              <w:rPr>
                <w:rFonts w:ascii="Cambria Math" w:hAnsi="Cambria Math" w:cstheme="majorHAnsi"/>
                <w:i/>
              </w:rPr>
            </m:ctrlPr>
          </m:fPr>
          <m:num>
            <m:sSub>
              <m:sSubPr>
                <m:ctrlPr>
                  <w:rPr>
                    <w:rFonts w:ascii="Cambria Math" w:hAnsi="Cambria Math" w:cstheme="majorHAnsi"/>
                    <w:i/>
                  </w:rPr>
                </m:ctrlPr>
              </m:sSubPr>
              <m:e>
                <m:r>
                  <w:rPr>
                    <w:rFonts w:ascii="Cambria Math" w:hAnsi="Cambria Math" w:cstheme="majorHAnsi"/>
                    <w:i/>
                  </w:rPr>
                  <w:sym w:font="Symbol" w:char="F044"/>
                </m:r>
                <m:r>
                  <w:rPr>
                    <w:rFonts w:ascii="Cambria Math" w:hAnsi="Cambria Math" w:cstheme="majorHAnsi"/>
                  </w:rPr>
                  <m:t>OD</m:t>
                </m:r>
                <m:r>
                  <m:rPr>
                    <m:sty m:val="p"/>
                  </m:rPr>
                  <w:rPr>
                    <w:rFonts w:ascii="Cambria Math" w:hAnsi="Cambria Math" w:cstheme="majorHAnsi"/>
                  </w:rPr>
                  <w:noBreakHyphen/>
                </m:r>
                <m:r>
                  <w:rPr>
                    <w:rFonts w:ascii="Cambria Math" w:hAnsi="Cambria Math" w:cstheme="majorHAnsi"/>
                  </w:rPr>
                  <m:t>BG</m:t>
                </m:r>
              </m:e>
              <m:sub>
                <m:r>
                  <w:rPr>
                    <w:rFonts w:ascii="Cambria Math" w:hAnsi="Cambria Math" w:cstheme="majorHAnsi"/>
                  </w:rPr>
                  <m:t>TI</m:t>
                </m:r>
              </m:sub>
            </m:sSub>
          </m:num>
          <m:den>
            <m:acc>
              <m:accPr>
                <m:chr m:val="̅"/>
                <m:ctrlPr>
                  <w:rPr>
                    <w:rFonts w:ascii="Cambria Math" w:hAnsi="Cambria Math" w:cstheme="majorHAnsi"/>
                    <w:i/>
                  </w:rPr>
                </m:ctrlPr>
              </m:accPr>
              <m:e>
                <m:sSub>
                  <m:sSubPr>
                    <m:ctrlPr>
                      <w:rPr>
                        <w:rFonts w:ascii="Cambria Math" w:hAnsi="Cambria Math" w:cstheme="majorHAnsi"/>
                        <w:i/>
                      </w:rPr>
                    </m:ctrlPr>
                  </m:sSubPr>
                  <m:e>
                    <m:r>
                      <w:rPr>
                        <w:rFonts w:ascii="Cambria Math" w:hAnsi="Cambria Math" w:cstheme="majorHAnsi"/>
                        <w:i/>
                      </w:rPr>
                      <w:sym w:font="Symbol" w:char="F044"/>
                    </m:r>
                    <m:r>
                      <w:rPr>
                        <w:rFonts w:ascii="Cambria Math" w:hAnsi="Cambria Math" w:cstheme="majorHAnsi"/>
                      </w:rPr>
                      <m:t>OD</m:t>
                    </m:r>
                    <m:r>
                      <m:rPr>
                        <m:sty m:val="p"/>
                      </m:rPr>
                      <w:rPr>
                        <w:rFonts w:ascii="Cambria Math" w:hAnsi="Cambria Math" w:cstheme="majorHAnsi"/>
                      </w:rPr>
                      <w:noBreakHyphen/>
                    </m:r>
                    <m:r>
                      <w:rPr>
                        <w:rFonts w:ascii="Cambria Math" w:hAnsi="Cambria Math" w:cstheme="majorHAnsi"/>
                      </w:rPr>
                      <m:t>BG</m:t>
                    </m:r>
                  </m:e>
                  <m:sub>
                    <m:r>
                      <w:rPr>
                        <w:rFonts w:ascii="Cambria Math" w:hAnsi="Cambria Math" w:cstheme="majorHAnsi"/>
                      </w:rPr>
                      <m:t>SC</m:t>
                    </m:r>
                  </m:sub>
                </m:sSub>
              </m:e>
            </m:acc>
          </m:den>
        </m:f>
        <m:r>
          <w:rPr>
            <w:rFonts w:ascii="Cambria Math" w:hAnsi="Cambria Math" w:cstheme="majorHAnsi"/>
          </w:rPr>
          <m:t>*100</m:t>
        </m:r>
      </m:oMath>
      <w:r w:rsidRPr="0017030F">
        <w:rPr>
          <w:rFonts w:asciiTheme="majorHAnsi" w:hAnsiTheme="majorHAnsi" w:cstheme="majorHAnsi"/>
        </w:rPr>
        <w:t xml:space="preserve"> </w:t>
      </w:r>
    </w:p>
    <w:p w14:paraId="660ACAA2" w14:textId="77777777" w:rsidR="00415BC8" w:rsidRPr="0017030F" w:rsidRDefault="00415BC8" w:rsidP="00E73D5F">
      <w:pPr>
        <w:pBdr>
          <w:top w:val="nil"/>
          <w:left w:val="nil"/>
          <w:bottom w:val="nil"/>
          <w:right w:val="nil"/>
          <w:between w:val="nil"/>
        </w:pBdr>
        <w:rPr>
          <w:rFonts w:asciiTheme="majorHAnsi" w:hAnsiTheme="majorHAnsi" w:cstheme="majorHAnsi"/>
        </w:rPr>
      </w:pPr>
    </w:p>
    <w:p w14:paraId="005CD727" w14:textId="22A0174B" w:rsidR="00695B9C" w:rsidRPr="0017030F" w:rsidRDefault="00695B9C" w:rsidP="00E73D5F">
      <w:pPr>
        <w:pStyle w:val="Listenabsatz"/>
        <w:numPr>
          <w:ilvl w:val="2"/>
          <w:numId w:val="28"/>
        </w:numP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Plot the IRA values of the different concentration</w:t>
      </w:r>
      <w:r w:rsidR="001B45C6" w:rsidRPr="0017030F">
        <w:rPr>
          <w:rFonts w:asciiTheme="majorHAnsi" w:hAnsiTheme="majorHAnsi" w:cstheme="majorHAnsi"/>
          <w:szCs w:val="24"/>
        </w:rPr>
        <w:t>s of the test items</w:t>
      </w:r>
      <w:r w:rsidRPr="0017030F">
        <w:rPr>
          <w:rFonts w:asciiTheme="majorHAnsi" w:hAnsiTheme="majorHAnsi" w:cstheme="majorHAnsi"/>
          <w:szCs w:val="24"/>
        </w:rPr>
        <w:t xml:space="preserve"> in a statistics software </w:t>
      </w:r>
      <w:r w:rsidR="001B45C6" w:rsidRPr="0017030F">
        <w:rPr>
          <w:rFonts w:asciiTheme="majorHAnsi" w:hAnsiTheme="majorHAnsi" w:cstheme="majorHAnsi"/>
          <w:szCs w:val="24"/>
        </w:rPr>
        <w:t xml:space="preserve">package, </w:t>
      </w:r>
      <w:r w:rsidRPr="0017030F">
        <w:rPr>
          <w:rFonts w:asciiTheme="majorHAnsi" w:hAnsiTheme="majorHAnsi" w:cstheme="majorHAnsi"/>
          <w:szCs w:val="24"/>
        </w:rPr>
        <w:t xml:space="preserve">with </w:t>
      </w:r>
      <w:r w:rsidR="001B45C6" w:rsidRPr="0017030F">
        <w:rPr>
          <w:rFonts w:asciiTheme="majorHAnsi" w:hAnsiTheme="majorHAnsi" w:cstheme="majorHAnsi"/>
          <w:szCs w:val="24"/>
        </w:rPr>
        <w:t xml:space="preserve">the </w:t>
      </w:r>
      <w:r w:rsidRPr="0017030F">
        <w:rPr>
          <w:rFonts w:asciiTheme="majorHAnsi" w:hAnsiTheme="majorHAnsi" w:cstheme="majorHAnsi"/>
          <w:szCs w:val="24"/>
        </w:rPr>
        <w:t xml:space="preserve">IRA values on </w:t>
      </w:r>
      <w:r w:rsidR="001B45C6" w:rsidRPr="0017030F">
        <w:rPr>
          <w:rFonts w:asciiTheme="majorHAnsi" w:hAnsiTheme="majorHAnsi" w:cstheme="majorHAnsi"/>
          <w:szCs w:val="24"/>
        </w:rPr>
        <w:t xml:space="preserve">the </w:t>
      </w:r>
      <w:r w:rsidRPr="0017030F">
        <w:rPr>
          <w:rFonts w:asciiTheme="majorHAnsi" w:hAnsiTheme="majorHAnsi" w:cstheme="majorHAnsi"/>
          <w:szCs w:val="24"/>
        </w:rPr>
        <w:t xml:space="preserve">y-axis (linear) and </w:t>
      </w:r>
      <w:r w:rsidR="001B45C6" w:rsidRPr="0017030F">
        <w:rPr>
          <w:rFonts w:asciiTheme="majorHAnsi" w:hAnsiTheme="majorHAnsi" w:cstheme="majorHAnsi"/>
          <w:szCs w:val="24"/>
        </w:rPr>
        <w:t xml:space="preserve">the </w:t>
      </w:r>
      <w:r w:rsidRPr="0017030F">
        <w:rPr>
          <w:rFonts w:asciiTheme="majorHAnsi" w:hAnsiTheme="majorHAnsi" w:cstheme="majorHAnsi"/>
          <w:szCs w:val="24"/>
        </w:rPr>
        <w:t>test item concentration</w:t>
      </w:r>
      <w:r w:rsidR="001B45C6" w:rsidRPr="0017030F">
        <w:rPr>
          <w:rFonts w:asciiTheme="majorHAnsi" w:hAnsiTheme="majorHAnsi" w:cstheme="majorHAnsi"/>
          <w:szCs w:val="24"/>
        </w:rPr>
        <w:t>s</w:t>
      </w:r>
      <w:r w:rsidRPr="0017030F">
        <w:rPr>
          <w:rFonts w:asciiTheme="majorHAnsi" w:hAnsiTheme="majorHAnsi" w:cstheme="majorHAnsi"/>
          <w:szCs w:val="24"/>
        </w:rPr>
        <w:t xml:space="preserve"> on </w:t>
      </w:r>
      <w:r w:rsidR="001B45C6" w:rsidRPr="0017030F">
        <w:rPr>
          <w:rFonts w:asciiTheme="majorHAnsi" w:hAnsiTheme="majorHAnsi" w:cstheme="majorHAnsi"/>
          <w:szCs w:val="24"/>
        </w:rPr>
        <w:t xml:space="preserve">the </w:t>
      </w:r>
      <w:r w:rsidRPr="0017030F">
        <w:rPr>
          <w:rFonts w:asciiTheme="majorHAnsi" w:hAnsiTheme="majorHAnsi" w:cstheme="majorHAnsi"/>
          <w:szCs w:val="24"/>
        </w:rPr>
        <w:t>x-axis (logarithmic).</w:t>
      </w:r>
    </w:p>
    <w:p w14:paraId="0EDA67B7" w14:textId="77777777" w:rsidR="00695B9C" w:rsidRPr="0017030F" w:rsidRDefault="00695B9C" w:rsidP="00E73D5F">
      <w:pPr>
        <w:pStyle w:val="Listenabsatz"/>
        <w:spacing w:after="0" w:line="240" w:lineRule="auto"/>
        <w:ind w:left="0"/>
        <w:jc w:val="both"/>
        <w:rPr>
          <w:rFonts w:asciiTheme="majorHAnsi" w:hAnsiTheme="majorHAnsi" w:cstheme="majorHAnsi"/>
          <w:szCs w:val="24"/>
        </w:rPr>
      </w:pPr>
    </w:p>
    <w:p w14:paraId="6E9E6C5E" w14:textId="5108D068" w:rsidR="00695B9C" w:rsidRPr="0017030F" w:rsidRDefault="00695B9C" w:rsidP="00E73D5F">
      <w:pPr>
        <w:pStyle w:val="Listenabsatz"/>
        <w:numPr>
          <w:ilvl w:val="2"/>
          <w:numId w:val="28"/>
        </w:numP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Use a curve-fit algorithm to visualize a concentration-response relationship (e.g.</w:t>
      </w:r>
      <w:r w:rsidR="00A92A7E" w:rsidRPr="0017030F">
        <w:rPr>
          <w:rFonts w:asciiTheme="majorHAnsi" w:hAnsiTheme="majorHAnsi" w:cstheme="majorHAnsi"/>
          <w:szCs w:val="24"/>
        </w:rPr>
        <w:t>,</w:t>
      </w:r>
      <w:r w:rsidRPr="0017030F">
        <w:rPr>
          <w:rFonts w:asciiTheme="majorHAnsi" w:hAnsiTheme="majorHAnsi" w:cstheme="majorHAnsi"/>
          <w:szCs w:val="24"/>
        </w:rPr>
        <w:t xml:space="preserve"> “[Inhibitor] </w:t>
      </w:r>
      <w:r w:rsidR="00A92A7E" w:rsidRPr="0017030F">
        <w:rPr>
          <w:rFonts w:asciiTheme="majorHAnsi" w:hAnsiTheme="majorHAnsi" w:cstheme="majorHAnsi"/>
          <w:szCs w:val="24"/>
        </w:rPr>
        <w:t>versus</w:t>
      </w:r>
      <w:r w:rsidRPr="0017030F">
        <w:rPr>
          <w:rFonts w:asciiTheme="majorHAnsi" w:hAnsiTheme="majorHAnsi" w:cstheme="majorHAnsi"/>
          <w:szCs w:val="24"/>
        </w:rPr>
        <w:t xml:space="preserve"> response -- Variable slope (four parameters)” in </w:t>
      </w:r>
      <w:r w:rsidR="008C1B00" w:rsidRPr="0017030F">
        <w:rPr>
          <w:rFonts w:asciiTheme="majorHAnsi" w:hAnsiTheme="majorHAnsi" w:cstheme="majorHAnsi"/>
          <w:szCs w:val="24"/>
        </w:rPr>
        <w:t>statistical software of choice</w:t>
      </w:r>
      <w:r w:rsidR="00166786" w:rsidRPr="0017030F">
        <w:rPr>
          <w:rFonts w:asciiTheme="majorHAnsi" w:hAnsiTheme="majorHAnsi" w:cstheme="majorHAnsi"/>
          <w:szCs w:val="24"/>
        </w:rPr>
        <w:t>.</w:t>
      </w:r>
      <w:r w:rsidR="00D71A26" w:rsidRPr="0017030F">
        <w:rPr>
          <w:rFonts w:asciiTheme="majorHAnsi" w:hAnsiTheme="majorHAnsi" w:cstheme="majorHAnsi"/>
          <w:szCs w:val="24"/>
        </w:rPr>
        <w:t xml:space="preserve"> </w:t>
      </w:r>
      <w:r w:rsidR="00166786" w:rsidRPr="0017030F">
        <w:rPr>
          <w:rFonts w:asciiTheme="majorHAnsi" w:hAnsiTheme="majorHAnsi" w:cstheme="majorHAnsi"/>
          <w:szCs w:val="24"/>
        </w:rPr>
        <w:t>“Top” represents the maximal response, “Bottom” represents the lowest response, and “</w:t>
      </w:r>
      <w:proofErr w:type="spellStart"/>
      <w:r w:rsidR="00166786" w:rsidRPr="0017030F">
        <w:rPr>
          <w:rFonts w:asciiTheme="majorHAnsi" w:hAnsiTheme="majorHAnsi" w:cstheme="majorHAnsi"/>
          <w:szCs w:val="24"/>
        </w:rPr>
        <w:t>HillSlope</w:t>
      </w:r>
      <w:proofErr w:type="spellEnd"/>
      <w:r w:rsidR="00166786" w:rsidRPr="0017030F">
        <w:rPr>
          <w:rFonts w:asciiTheme="majorHAnsi" w:hAnsiTheme="majorHAnsi" w:cstheme="majorHAnsi"/>
          <w:szCs w:val="24"/>
        </w:rPr>
        <w:t>” describes the steepness of the curve</w:t>
      </w:r>
      <w:r w:rsidRPr="0017030F">
        <w:rPr>
          <w:rFonts w:asciiTheme="majorHAnsi" w:hAnsiTheme="majorHAnsi" w:cstheme="majorHAnsi"/>
          <w:szCs w:val="24"/>
        </w:rPr>
        <w:t>:</w:t>
      </w:r>
    </w:p>
    <w:p w14:paraId="40ED82A5" w14:textId="5A2FF3A1" w:rsidR="00695B9C" w:rsidRPr="0017030F" w:rsidRDefault="00695B9C" w:rsidP="00E73D5F">
      <w:pPr>
        <w:rPr>
          <w:rFonts w:asciiTheme="majorHAnsi" w:eastAsiaTheme="minorEastAsia" w:hAnsiTheme="majorHAnsi" w:cstheme="majorHAnsi"/>
        </w:rPr>
      </w:pPr>
      <m:oMath>
        <m:r>
          <w:rPr>
            <w:rFonts w:ascii="Cambria Math" w:hAnsi="Cambria Math" w:cstheme="majorHAnsi"/>
          </w:rPr>
          <m:t>Y=Bottom+</m:t>
        </m:r>
        <m:d>
          <m:dPr>
            <m:ctrlPr>
              <w:rPr>
                <w:rFonts w:ascii="Cambria Math" w:hAnsi="Cambria Math" w:cstheme="majorHAnsi"/>
                <w:i/>
                <w:iCs/>
              </w:rPr>
            </m:ctrlPr>
          </m:dPr>
          <m:e>
            <m:r>
              <w:rPr>
                <w:rFonts w:ascii="Cambria Math" w:hAnsi="Cambria Math" w:cstheme="majorHAnsi"/>
              </w:rPr>
              <m:t>Top-Bottom</m:t>
            </m:r>
          </m:e>
        </m:d>
        <m:r>
          <w:rPr>
            <w:rFonts w:ascii="Cambria Math" w:hAnsi="Cambria Math" w:cstheme="majorHAnsi"/>
          </w:rPr>
          <m:t>/ (1+(</m:t>
        </m:r>
        <m:sSub>
          <m:sSubPr>
            <m:ctrlPr>
              <w:rPr>
                <w:rFonts w:ascii="Cambria Math" w:hAnsi="Cambria Math" w:cstheme="majorHAnsi"/>
                <w:i/>
                <w:iCs/>
              </w:rPr>
            </m:ctrlPr>
          </m:sSubPr>
          <m:e>
            <m:r>
              <w:rPr>
                <w:rFonts w:ascii="Cambria Math" w:hAnsi="Cambria Math" w:cstheme="majorHAnsi"/>
              </w:rPr>
              <m:t>IC</m:t>
            </m:r>
          </m:e>
          <m:sub>
            <m:r>
              <w:rPr>
                <w:rFonts w:ascii="Cambria Math" w:hAnsi="Cambria Math" w:cstheme="majorHAnsi"/>
              </w:rPr>
              <m:t>50</m:t>
            </m:r>
          </m:sub>
        </m:sSub>
        <m:r>
          <w:rPr>
            <w:rFonts w:ascii="Cambria Math" w:hAnsi="Cambria Math" w:cstheme="majorHAnsi"/>
          </w:rPr>
          <m:t>/X</m:t>
        </m:r>
        <m:sSup>
          <m:sSupPr>
            <m:ctrlPr>
              <w:rPr>
                <w:rFonts w:ascii="Cambria Math" w:hAnsi="Cambria Math" w:cstheme="majorHAnsi"/>
                <w:i/>
                <w:iCs/>
              </w:rPr>
            </m:ctrlPr>
          </m:sSupPr>
          <m:e>
            <m:r>
              <w:rPr>
                <w:rFonts w:ascii="Cambria Math" w:hAnsi="Cambria Math" w:cstheme="majorHAnsi"/>
              </w:rPr>
              <m:t>)</m:t>
            </m:r>
          </m:e>
          <m:sup>
            <m:r>
              <w:rPr>
                <w:rFonts w:ascii="Cambria Math" w:hAnsi="Cambria Math" w:cstheme="majorHAnsi"/>
              </w:rPr>
              <m:t>HillSlope</m:t>
            </m:r>
          </m:sup>
        </m:sSup>
      </m:oMath>
      <w:r w:rsidR="00D71A26" w:rsidRPr="0017030F">
        <w:rPr>
          <w:rFonts w:asciiTheme="majorHAnsi" w:eastAsiaTheme="minorEastAsia" w:hAnsiTheme="majorHAnsi" w:cstheme="majorHAnsi"/>
        </w:rPr>
        <w:t xml:space="preserve"> </w:t>
      </w:r>
    </w:p>
    <w:p w14:paraId="71B99751" w14:textId="77777777" w:rsidR="007D7001" w:rsidRPr="0017030F" w:rsidRDefault="007D7001" w:rsidP="00E73D5F">
      <w:pPr>
        <w:rPr>
          <w:rFonts w:asciiTheme="majorHAnsi" w:hAnsiTheme="majorHAnsi" w:cstheme="majorHAnsi"/>
        </w:rPr>
      </w:pPr>
    </w:p>
    <w:p w14:paraId="5484ECDE" w14:textId="5A2EDB8B" w:rsidR="00415BC8" w:rsidRPr="0017030F" w:rsidRDefault="00166786"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D</w:t>
      </w:r>
      <w:r w:rsidR="00695B9C" w:rsidRPr="0017030F">
        <w:rPr>
          <w:rFonts w:asciiTheme="majorHAnsi" w:hAnsiTheme="majorHAnsi" w:cstheme="majorHAnsi"/>
          <w:szCs w:val="24"/>
        </w:rPr>
        <w:t>etermine the IC</w:t>
      </w:r>
      <w:r w:rsidR="00695B9C" w:rsidRPr="0017030F">
        <w:rPr>
          <w:rFonts w:asciiTheme="majorHAnsi" w:hAnsiTheme="majorHAnsi" w:cstheme="majorHAnsi"/>
          <w:szCs w:val="24"/>
          <w:vertAlign w:val="subscript"/>
        </w:rPr>
        <w:t>50</w:t>
      </w:r>
      <w:r w:rsidR="00695B9C" w:rsidRPr="0017030F">
        <w:rPr>
          <w:rFonts w:asciiTheme="majorHAnsi" w:hAnsiTheme="majorHAnsi" w:cstheme="majorHAnsi"/>
          <w:szCs w:val="24"/>
        </w:rPr>
        <w:t xml:space="preserve"> </w:t>
      </w:r>
      <w:r w:rsidRPr="0017030F">
        <w:rPr>
          <w:rFonts w:asciiTheme="majorHAnsi" w:hAnsiTheme="majorHAnsi" w:cstheme="majorHAnsi"/>
          <w:szCs w:val="24"/>
        </w:rPr>
        <w:t>of the reference item and, if applicable</w:t>
      </w:r>
      <w:r w:rsidR="00A92A7E" w:rsidRPr="0017030F">
        <w:rPr>
          <w:rFonts w:asciiTheme="majorHAnsi" w:hAnsiTheme="majorHAnsi" w:cstheme="majorHAnsi"/>
          <w:szCs w:val="24"/>
        </w:rPr>
        <w:t>,</w:t>
      </w:r>
      <w:r w:rsidRPr="0017030F">
        <w:rPr>
          <w:rFonts w:asciiTheme="majorHAnsi" w:hAnsiTheme="majorHAnsi" w:cstheme="majorHAnsi"/>
          <w:szCs w:val="24"/>
        </w:rPr>
        <w:t xml:space="preserve"> </w:t>
      </w:r>
      <w:r w:rsidR="00695B9C" w:rsidRPr="0017030F">
        <w:rPr>
          <w:rFonts w:asciiTheme="majorHAnsi" w:hAnsiTheme="majorHAnsi" w:cstheme="majorHAnsi"/>
          <w:szCs w:val="24"/>
        </w:rPr>
        <w:t>of the test item.</w:t>
      </w:r>
    </w:p>
    <w:p w14:paraId="3156C33C" w14:textId="77777777" w:rsidR="002136B4" w:rsidRPr="0017030F" w:rsidRDefault="002136B4" w:rsidP="00E73D5F">
      <w:pPr>
        <w:pBdr>
          <w:top w:val="nil"/>
          <w:left w:val="nil"/>
          <w:bottom w:val="nil"/>
          <w:right w:val="nil"/>
          <w:between w:val="nil"/>
        </w:pBdr>
        <w:rPr>
          <w:rFonts w:asciiTheme="majorHAnsi" w:hAnsiTheme="majorHAnsi" w:cstheme="majorHAnsi"/>
        </w:rPr>
      </w:pPr>
    </w:p>
    <w:p w14:paraId="52CF44DC" w14:textId="79683228" w:rsidR="002136B4" w:rsidRPr="0017030F" w:rsidRDefault="002136B4"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Calculate the coefficient of variance (CV) of log IC</w:t>
      </w:r>
      <w:r w:rsidRPr="0017030F">
        <w:rPr>
          <w:rFonts w:asciiTheme="majorHAnsi" w:hAnsiTheme="majorHAnsi" w:cstheme="majorHAnsi"/>
          <w:szCs w:val="24"/>
          <w:vertAlign w:val="subscript"/>
        </w:rPr>
        <w:t>50</w:t>
      </w:r>
      <w:r w:rsidRPr="0017030F">
        <w:rPr>
          <w:rFonts w:asciiTheme="majorHAnsi" w:hAnsiTheme="majorHAnsi" w:cstheme="majorHAnsi"/>
          <w:szCs w:val="24"/>
        </w:rPr>
        <w:t xml:space="preserve"> estimate of </w:t>
      </w:r>
      <w:r w:rsidR="00A92A7E" w:rsidRPr="0017030F">
        <w:rPr>
          <w:rFonts w:asciiTheme="majorHAnsi" w:hAnsiTheme="majorHAnsi" w:cstheme="majorHAnsi"/>
          <w:szCs w:val="24"/>
        </w:rPr>
        <w:t xml:space="preserve">the </w:t>
      </w:r>
      <w:r w:rsidRPr="0017030F">
        <w:rPr>
          <w:rFonts w:asciiTheme="majorHAnsi" w:hAnsiTheme="majorHAnsi" w:cstheme="majorHAnsi"/>
          <w:szCs w:val="24"/>
        </w:rPr>
        <w:t>reference item in %:</w:t>
      </w:r>
    </w:p>
    <w:p w14:paraId="5368D5A4" w14:textId="77777777" w:rsidR="002136B4" w:rsidRPr="0017030F" w:rsidRDefault="002136B4" w:rsidP="00E73D5F">
      <w:pPr>
        <w:pBdr>
          <w:top w:val="nil"/>
          <w:left w:val="nil"/>
          <w:bottom w:val="nil"/>
          <w:right w:val="nil"/>
          <w:between w:val="nil"/>
        </w:pBdr>
        <w:rPr>
          <w:rFonts w:asciiTheme="majorHAnsi" w:hAnsiTheme="majorHAnsi" w:cstheme="majorHAnsi"/>
        </w:rPr>
      </w:pPr>
    </w:p>
    <w:p w14:paraId="47424266" w14:textId="78367C0D" w:rsidR="002136B4" w:rsidRPr="0017030F" w:rsidRDefault="002136B4" w:rsidP="00E73D5F">
      <w:pPr>
        <w:pBdr>
          <w:top w:val="nil"/>
          <w:left w:val="nil"/>
          <w:bottom w:val="nil"/>
          <w:right w:val="nil"/>
          <w:between w:val="nil"/>
        </w:pBdr>
        <w:rPr>
          <w:rFonts w:asciiTheme="majorHAnsi" w:hAnsiTheme="majorHAnsi" w:cstheme="majorHAnsi"/>
        </w:rPr>
      </w:pPr>
      <m:oMath>
        <m:r>
          <w:rPr>
            <w:rFonts w:ascii="Cambria Math" w:hAnsi="Cambria Math" w:cstheme="majorHAnsi"/>
          </w:rPr>
          <m:t>CV of</m:t>
        </m:r>
        <m:func>
          <m:funcPr>
            <m:ctrlPr>
              <w:rPr>
                <w:rFonts w:ascii="Cambria Math" w:hAnsi="Cambria Math" w:cstheme="majorHAnsi"/>
                <w:i/>
              </w:rPr>
            </m:ctrlPr>
          </m:funcPr>
          <m:fName>
            <m:r>
              <m:rPr>
                <m:sty m:val="p"/>
              </m:rPr>
              <w:rPr>
                <w:rFonts w:ascii="Cambria Math" w:hAnsi="Cambria Math" w:cstheme="majorHAnsi"/>
              </w:rPr>
              <m:t>log</m:t>
            </m:r>
          </m:fName>
          <m:e>
            <m:sSub>
              <m:sSubPr>
                <m:ctrlPr>
                  <w:rPr>
                    <w:rFonts w:ascii="Cambria Math" w:hAnsi="Cambria Math" w:cstheme="majorHAnsi"/>
                    <w:i/>
                  </w:rPr>
                </m:ctrlPr>
              </m:sSubPr>
              <m:e>
                <m:r>
                  <w:rPr>
                    <w:rFonts w:ascii="Cambria Math" w:hAnsi="Cambria Math" w:cstheme="majorHAnsi"/>
                  </w:rPr>
                  <m:t>IC</m:t>
                </m:r>
              </m:e>
              <m:sub>
                <m:r>
                  <w:rPr>
                    <w:rFonts w:ascii="Cambria Math" w:hAnsi="Cambria Math" w:cstheme="majorHAnsi"/>
                  </w:rPr>
                  <m:t>50</m:t>
                </m:r>
              </m:sub>
            </m:sSub>
            <m:r>
              <w:rPr>
                <w:rFonts w:ascii="Cambria Math" w:hAnsi="Cambria Math" w:cstheme="majorHAnsi"/>
              </w:rPr>
              <m:t>=</m:t>
            </m:r>
          </m:e>
        </m:func>
        <m:d>
          <m:dPr>
            <m:ctrlPr>
              <w:rPr>
                <w:rFonts w:ascii="Cambria Math" w:hAnsi="Cambria Math" w:cstheme="majorHAnsi"/>
                <w:i/>
              </w:rPr>
            </m:ctrlPr>
          </m:dPr>
          <m:e>
            <m:f>
              <m:fPr>
                <m:ctrlPr>
                  <w:rPr>
                    <w:rFonts w:ascii="Cambria Math" w:hAnsi="Cambria Math" w:cstheme="majorHAnsi"/>
                    <w:i/>
                  </w:rPr>
                </m:ctrlPr>
              </m:fPr>
              <m:num>
                <m:sSub>
                  <m:sSubPr>
                    <m:ctrlPr>
                      <w:rPr>
                        <w:rFonts w:ascii="Cambria Math" w:hAnsi="Cambria Math" w:cstheme="majorHAnsi"/>
                        <w:i/>
                      </w:rPr>
                    </m:ctrlPr>
                  </m:sSubPr>
                  <m:e>
                    <m:r>
                      <w:rPr>
                        <w:rFonts w:ascii="Cambria Math" w:hAnsi="Cambria Math" w:cstheme="majorHAnsi"/>
                      </w:rPr>
                      <m:t>σ</m:t>
                    </m:r>
                  </m:e>
                  <m:sub>
                    <m:sSub>
                      <m:sSubPr>
                        <m:ctrlPr>
                          <w:rPr>
                            <w:rFonts w:ascii="Cambria Math" w:hAnsi="Cambria Math" w:cstheme="majorHAnsi"/>
                            <w:i/>
                          </w:rPr>
                        </m:ctrlPr>
                      </m:sSubPr>
                      <m:e>
                        <m:r>
                          <w:rPr>
                            <w:rFonts w:ascii="Cambria Math" w:hAnsi="Cambria Math" w:cstheme="majorHAnsi"/>
                          </w:rPr>
                          <m:t>log IC</m:t>
                        </m:r>
                      </m:e>
                      <m:sub>
                        <m:r>
                          <w:rPr>
                            <w:rFonts w:ascii="Cambria Math" w:hAnsi="Cambria Math" w:cstheme="majorHAnsi"/>
                          </w:rPr>
                          <m:t>50</m:t>
                        </m:r>
                      </m:sub>
                    </m:sSub>
                  </m:sub>
                </m:sSub>
              </m:num>
              <m:den>
                <m:sSub>
                  <m:sSubPr>
                    <m:ctrlPr>
                      <w:rPr>
                        <w:rFonts w:ascii="Cambria Math" w:hAnsi="Cambria Math" w:cstheme="majorHAnsi"/>
                        <w:i/>
                      </w:rPr>
                    </m:ctrlPr>
                  </m:sSubPr>
                  <m:e>
                    <m:r>
                      <w:rPr>
                        <w:rFonts w:ascii="Cambria Math" w:hAnsi="Cambria Math" w:cstheme="majorHAnsi"/>
                      </w:rPr>
                      <m:t>log IC</m:t>
                    </m:r>
                  </m:e>
                  <m:sub>
                    <m:r>
                      <w:rPr>
                        <w:rFonts w:ascii="Cambria Math" w:hAnsi="Cambria Math" w:cstheme="majorHAnsi"/>
                      </w:rPr>
                      <m:t>50</m:t>
                    </m:r>
                  </m:sub>
                </m:sSub>
              </m:den>
            </m:f>
          </m:e>
        </m:d>
        <m:r>
          <w:rPr>
            <w:rFonts w:ascii="Cambria Math" w:hAnsi="Cambria Math" w:cstheme="majorHAnsi"/>
          </w:rPr>
          <m:t>*100</m:t>
        </m:r>
      </m:oMath>
      <w:r w:rsidRPr="0017030F">
        <w:rPr>
          <w:rFonts w:asciiTheme="majorHAnsi" w:hAnsiTheme="majorHAnsi" w:cstheme="majorHAnsi"/>
        </w:rPr>
        <w:t xml:space="preserve"> </w:t>
      </w:r>
    </w:p>
    <w:p w14:paraId="2D1CD296" w14:textId="77777777" w:rsidR="002136B4" w:rsidRPr="0017030F" w:rsidRDefault="002136B4" w:rsidP="00E73D5F">
      <w:pPr>
        <w:pBdr>
          <w:top w:val="nil"/>
          <w:left w:val="nil"/>
          <w:bottom w:val="nil"/>
          <w:right w:val="nil"/>
          <w:between w:val="nil"/>
        </w:pBdr>
        <w:rPr>
          <w:rFonts w:asciiTheme="majorHAnsi" w:hAnsiTheme="majorHAnsi" w:cstheme="majorHAnsi"/>
        </w:rPr>
      </w:pPr>
    </w:p>
    <w:p w14:paraId="2CCF9530" w14:textId="4EAEE519" w:rsidR="002136B4" w:rsidRPr="0017030F" w:rsidRDefault="002136B4"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Calculate the IRA of the negative control normalized to the solvent control in %:</w:t>
      </w:r>
    </w:p>
    <w:p w14:paraId="5DE8FDD0" w14:textId="77777777" w:rsidR="002136B4" w:rsidRPr="0017030F" w:rsidRDefault="002136B4" w:rsidP="00E73D5F">
      <w:pPr>
        <w:pBdr>
          <w:top w:val="nil"/>
          <w:left w:val="nil"/>
          <w:bottom w:val="nil"/>
          <w:right w:val="nil"/>
          <w:between w:val="nil"/>
        </w:pBdr>
        <w:rPr>
          <w:rFonts w:asciiTheme="majorHAnsi" w:hAnsiTheme="majorHAnsi" w:cstheme="majorHAnsi"/>
        </w:rPr>
      </w:pPr>
    </w:p>
    <w:p w14:paraId="57766500" w14:textId="4842BD3C" w:rsidR="002136B4" w:rsidRPr="0017030F" w:rsidRDefault="00531FB5" w:rsidP="00E73D5F">
      <w:pPr>
        <w:pBdr>
          <w:top w:val="nil"/>
          <w:left w:val="nil"/>
          <w:bottom w:val="nil"/>
          <w:right w:val="nil"/>
          <w:between w:val="nil"/>
        </w:pBdr>
        <w:rPr>
          <w:rFonts w:asciiTheme="majorHAnsi" w:hAnsiTheme="majorHAnsi" w:cstheme="majorHAnsi"/>
        </w:rPr>
      </w:pPr>
      <m:oMath>
        <m:r>
          <w:rPr>
            <w:rFonts w:ascii="Cambria Math" w:hAnsi="Cambria Math" w:cstheme="majorHAnsi"/>
          </w:rPr>
          <m:t xml:space="preserve">IRA (NC)= </m:t>
        </m:r>
        <m:d>
          <m:dPr>
            <m:ctrlPr>
              <w:rPr>
                <w:rFonts w:ascii="Cambria Math" w:hAnsi="Cambria Math" w:cstheme="majorHAnsi"/>
                <w:i/>
              </w:rPr>
            </m:ctrlPr>
          </m:dPr>
          <m:e>
            <m:f>
              <m:fPr>
                <m:ctrlPr>
                  <w:rPr>
                    <w:rFonts w:ascii="Cambria Math" w:hAnsi="Cambria Math" w:cstheme="majorHAnsi"/>
                    <w:i/>
                  </w:rPr>
                </m:ctrlPr>
              </m:fPr>
              <m:num>
                <m:acc>
                  <m:accPr>
                    <m:chr m:val="̅"/>
                    <m:ctrlPr>
                      <w:rPr>
                        <w:rFonts w:ascii="Cambria Math" w:hAnsi="Cambria Math" w:cstheme="majorHAnsi"/>
                        <w:i/>
                      </w:rPr>
                    </m:ctrlPr>
                  </m:accPr>
                  <m:e>
                    <m:sSub>
                      <m:sSubPr>
                        <m:ctrlPr>
                          <w:rPr>
                            <w:rFonts w:ascii="Cambria Math" w:hAnsi="Cambria Math" w:cstheme="majorHAnsi"/>
                            <w:i/>
                          </w:rPr>
                        </m:ctrlPr>
                      </m:sSubPr>
                      <m:e>
                        <m:r>
                          <w:rPr>
                            <w:rFonts w:ascii="Cambria Math" w:hAnsi="Cambria Math" w:cstheme="majorHAnsi"/>
                          </w:rPr>
                          <m:t>IRA</m:t>
                        </m:r>
                      </m:e>
                      <m:sub>
                        <m:r>
                          <w:rPr>
                            <w:rFonts w:ascii="Cambria Math" w:hAnsi="Cambria Math" w:cstheme="majorHAnsi"/>
                          </w:rPr>
                          <m:t>NC</m:t>
                        </m:r>
                      </m:sub>
                    </m:sSub>
                  </m:e>
                </m:acc>
              </m:num>
              <m:den>
                <m:acc>
                  <m:accPr>
                    <m:chr m:val="̅"/>
                    <m:ctrlPr>
                      <w:rPr>
                        <w:rFonts w:ascii="Cambria Math" w:hAnsi="Cambria Math" w:cstheme="majorHAnsi"/>
                        <w:i/>
                      </w:rPr>
                    </m:ctrlPr>
                  </m:accPr>
                  <m:e>
                    <m:sSub>
                      <m:sSubPr>
                        <m:ctrlPr>
                          <w:rPr>
                            <w:rFonts w:ascii="Cambria Math" w:hAnsi="Cambria Math" w:cstheme="majorHAnsi"/>
                            <w:i/>
                          </w:rPr>
                        </m:ctrlPr>
                      </m:sSubPr>
                      <m:e>
                        <m:r>
                          <w:rPr>
                            <w:rFonts w:ascii="Cambria Math" w:hAnsi="Cambria Math" w:cstheme="majorHAnsi"/>
                          </w:rPr>
                          <m:t>IRA</m:t>
                        </m:r>
                      </m:e>
                      <m:sub>
                        <m:r>
                          <w:rPr>
                            <w:rFonts w:ascii="Cambria Math" w:hAnsi="Cambria Math" w:cstheme="majorHAnsi"/>
                          </w:rPr>
                          <m:t>SC</m:t>
                        </m:r>
                      </m:sub>
                    </m:sSub>
                  </m:e>
                </m:acc>
              </m:den>
            </m:f>
          </m:e>
        </m:d>
        <m:r>
          <w:rPr>
            <w:rFonts w:ascii="Cambria Math" w:hAnsi="Cambria Math" w:cstheme="majorHAnsi"/>
          </w:rPr>
          <m:t>*100</m:t>
        </m:r>
      </m:oMath>
      <w:r w:rsidRPr="0017030F">
        <w:rPr>
          <w:rFonts w:asciiTheme="majorHAnsi" w:hAnsiTheme="majorHAnsi" w:cstheme="majorHAnsi"/>
        </w:rPr>
        <w:t xml:space="preserve"> </w:t>
      </w:r>
    </w:p>
    <w:p w14:paraId="4C9111B0" w14:textId="77777777" w:rsidR="002136B4" w:rsidRPr="0017030F" w:rsidRDefault="002136B4" w:rsidP="00E73D5F">
      <w:pPr>
        <w:pBdr>
          <w:top w:val="nil"/>
          <w:left w:val="nil"/>
          <w:bottom w:val="nil"/>
          <w:right w:val="nil"/>
          <w:between w:val="nil"/>
        </w:pBdr>
        <w:rPr>
          <w:rFonts w:asciiTheme="majorHAnsi" w:hAnsiTheme="majorHAnsi" w:cstheme="majorHAnsi"/>
        </w:rPr>
      </w:pPr>
    </w:p>
    <w:p w14:paraId="234CB37B" w14:textId="6E0F037F" w:rsidR="002136B4" w:rsidRPr="0017030F" w:rsidRDefault="002136B4"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Calculate the IRA of the positive control</w:t>
      </w:r>
      <w:r w:rsidR="00531FB5" w:rsidRPr="0017030F">
        <w:rPr>
          <w:rFonts w:asciiTheme="majorHAnsi" w:hAnsiTheme="majorHAnsi" w:cstheme="majorHAnsi"/>
          <w:szCs w:val="24"/>
        </w:rPr>
        <w:t xml:space="preserve"> normalized to the solvent control</w:t>
      </w:r>
      <w:r w:rsidRPr="0017030F">
        <w:rPr>
          <w:rFonts w:asciiTheme="majorHAnsi" w:hAnsiTheme="majorHAnsi" w:cstheme="majorHAnsi"/>
          <w:szCs w:val="24"/>
        </w:rPr>
        <w:t xml:space="preserve"> in %:</w:t>
      </w:r>
    </w:p>
    <w:p w14:paraId="68615B45" w14:textId="77777777" w:rsidR="00531FB5" w:rsidRPr="0017030F" w:rsidRDefault="00531FB5" w:rsidP="00E73D5F">
      <w:pPr>
        <w:pBdr>
          <w:top w:val="nil"/>
          <w:left w:val="nil"/>
          <w:bottom w:val="nil"/>
          <w:right w:val="nil"/>
          <w:between w:val="nil"/>
        </w:pBdr>
        <w:rPr>
          <w:rFonts w:asciiTheme="majorHAnsi" w:hAnsiTheme="majorHAnsi" w:cstheme="majorHAnsi"/>
        </w:rPr>
      </w:pPr>
    </w:p>
    <w:p w14:paraId="0D7519DA" w14:textId="2C213B52" w:rsidR="00531FB5" w:rsidRPr="0017030F" w:rsidRDefault="00531FB5" w:rsidP="00E73D5F">
      <w:pPr>
        <w:pBdr>
          <w:top w:val="nil"/>
          <w:left w:val="nil"/>
          <w:bottom w:val="nil"/>
          <w:right w:val="nil"/>
          <w:between w:val="nil"/>
        </w:pBdr>
        <w:rPr>
          <w:rFonts w:asciiTheme="majorHAnsi" w:hAnsiTheme="majorHAnsi" w:cstheme="majorHAnsi"/>
        </w:rPr>
      </w:pPr>
      <m:oMath>
        <m:r>
          <w:rPr>
            <w:rFonts w:ascii="Cambria Math" w:hAnsi="Cambria Math" w:cstheme="majorHAnsi"/>
          </w:rPr>
          <m:t xml:space="preserve">IRA </m:t>
        </m:r>
        <m:d>
          <m:dPr>
            <m:ctrlPr>
              <w:rPr>
                <w:rFonts w:ascii="Cambria Math" w:hAnsi="Cambria Math" w:cstheme="majorHAnsi"/>
                <w:i/>
              </w:rPr>
            </m:ctrlPr>
          </m:dPr>
          <m:e>
            <m:r>
              <w:rPr>
                <w:rFonts w:ascii="Cambria Math" w:hAnsi="Cambria Math" w:cstheme="majorHAnsi"/>
              </w:rPr>
              <m:t>PC</m:t>
            </m:r>
          </m:e>
        </m:d>
        <m:r>
          <w:rPr>
            <w:rFonts w:ascii="Cambria Math" w:hAnsi="Cambria Math" w:cstheme="majorHAnsi"/>
          </w:rPr>
          <m:t xml:space="preserve">= </m:t>
        </m:r>
        <m:d>
          <m:dPr>
            <m:ctrlPr>
              <w:rPr>
                <w:rFonts w:ascii="Cambria Math" w:hAnsi="Cambria Math" w:cstheme="majorHAnsi"/>
                <w:i/>
              </w:rPr>
            </m:ctrlPr>
          </m:dPr>
          <m:e>
            <m:f>
              <m:fPr>
                <m:ctrlPr>
                  <w:rPr>
                    <w:rFonts w:ascii="Cambria Math" w:hAnsi="Cambria Math" w:cstheme="majorHAnsi"/>
                    <w:i/>
                  </w:rPr>
                </m:ctrlPr>
              </m:fPr>
              <m:num>
                <m:acc>
                  <m:accPr>
                    <m:chr m:val="̅"/>
                    <m:ctrlPr>
                      <w:rPr>
                        <w:rFonts w:ascii="Cambria Math" w:hAnsi="Cambria Math" w:cstheme="majorHAnsi"/>
                        <w:i/>
                      </w:rPr>
                    </m:ctrlPr>
                  </m:accPr>
                  <m:e>
                    <m:sSub>
                      <m:sSubPr>
                        <m:ctrlPr>
                          <w:rPr>
                            <w:rFonts w:ascii="Cambria Math" w:hAnsi="Cambria Math" w:cstheme="majorHAnsi"/>
                            <w:i/>
                          </w:rPr>
                        </m:ctrlPr>
                      </m:sSubPr>
                      <m:e>
                        <m:r>
                          <w:rPr>
                            <w:rFonts w:ascii="Cambria Math" w:hAnsi="Cambria Math" w:cstheme="majorHAnsi"/>
                          </w:rPr>
                          <m:t>IRA</m:t>
                        </m:r>
                      </m:e>
                      <m:sub>
                        <m:r>
                          <w:rPr>
                            <w:rFonts w:ascii="Cambria Math" w:hAnsi="Cambria Math" w:cstheme="majorHAnsi"/>
                          </w:rPr>
                          <m:t>PC</m:t>
                        </m:r>
                      </m:sub>
                    </m:sSub>
                  </m:e>
                </m:acc>
              </m:num>
              <m:den>
                <m:acc>
                  <m:accPr>
                    <m:chr m:val="̅"/>
                    <m:ctrlPr>
                      <w:rPr>
                        <w:rFonts w:ascii="Cambria Math" w:hAnsi="Cambria Math" w:cstheme="majorHAnsi"/>
                        <w:i/>
                      </w:rPr>
                    </m:ctrlPr>
                  </m:accPr>
                  <m:e>
                    <m:sSub>
                      <m:sSubPr>
                        <m:ctrlPr>
                          <w:rPr>
                            <w:rFonts w:ascii="Cambria Math" w:hAnsi="Cambria Math" w:cstheme="majorHAnsi"/>
                            <w:i/>
                          </w:rPr>
                        </m:ctrlPr>
                      </m:sSubPr>
                      <m:e>
                        <m:r>
                          <w:rPr>
                            <w:rFonts w:ascii="Cambria Math" w:hAnsi="Cambria Math" w:cstheme="majorHAnsi"/>
                          </w:rPr>
                          <m:t>IRA</m:t>
                        </m:r>
                      </m:e>
                      <m:sub>
                        <m:r>
                          <w:rPr>
                            <w:rFonts w:ascii="Cambria Math" w:hAnsi="Cambria Math" w:cstheme="majorHAnsi"/>
                          </w:rPr>
                          <m:t>SC</m:t>
                        </m:r>
                      </m:sub>
                    </m:sSub>
                  </m:e>
                </m:acc>
              </m:den>
            </m:f>
          </m:e>
        </m:d>
        <m:r>
          <w:rPr>
            <w:rFonts w:ascii="Cambria Math" w:hAnsi="Cambria Math" w:cstheme="majorHAnsi"/>
          </w:rPr>
          <m:t>*100</m:t>
        </m:r>
      </m:oMath>
      <w:r w:rsidRPr="0017030F">
        <w:rPr>
          <w:rFonts w:asciiTheme="majorHAnsi" w:hAnsiTheme="majorHAnsi" w:cstheme="majorHAnsi"/>
        </w:rPr>
        <w:t xml:space="preserve"> </w:t>
      </w:r>
    </w:p>
    <w:p w14:paraId="2353D737" w14:textId="77777777" w:rsidR="002136B4" w:rsidRPr="0017030F" w:rsidRDefault="002136B4" w:rsidP="00E73D5F">
      <w:pPr>
        <w:pBdr>
          <w:top w:val="nil"/>
          <w:left w:val="nil"/>
          <w:bottom w:val="nil"/>
          <w:right w:val="nil"/>
          <w:between w:val="nil"/>
        </w:pBdr>
        <w:rPr>
          <w:rFonts w:asciiTheme="majorHAnsi" w:hAnsiTheme="majorHAnsi" w:cstheme="majorHAnsi"/>
        </w:rPr>
      </w:pPr>
    </w:p>
    <w:p w14:paraId="37FC41FD" w14:textId="41A4B8E0" w:rsidR="002136B4" w:rsidRPr="0017030F" w:rsidRDefault="002136B4"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 xml:space="preserve">Calculate the </w:t>
      </w:r>
      <w:bookmarkStart w:id="19" w:name="OLE_LINK1"/>
      <w:r w:rsidRPr="0017030F">
        <w:rPr>
          <w:rFonts w:asciiTheme="majorHAnsi" w:hAnsiTheme="majorHAnsi" w:cstheme="majorHAnsi"/>
          <w:szCs w:val="24"/>
        </w:rPr>
        <w:t>z’-factor</w:t>
      </w:r>
      <w:bookmarkEnd w:id="19"/>
      <w:r w:rsidRPr="0017030F">
        <w:rPr>
          <w:rFonts w:asciiTheme="majorHAnsi" w:hAnsiTheme="majorHAnsi" w:cstheme="majorHAnsi"/>
          <w:szCs w:val="24"/>
        </w:rPr>
        <w:t>:</w:t>
      </w:r>
    </w:p>
    <w:p w14:paraId="2B54176B" w14:textId="77777777" w:rsidR="002136B4" w:rsidRPr="0017030F" w:rsidRDefault="002136B4" w:rsidP="00E73D5F">
      <w:pPr>
        <w:pBdr>
          <w:top w:val="nil"/>
          <w:left w:val="nil"/>
          <w:bottom w:val="nil"/>
          <w:right w:val="nil"/>
          <w:between w:val="nil"/>
        </w:pBdr>
        <w:rPr>
          <w:rFonts w:asciiTheme="majorHAnsi" w:hAnsiTheme="majorHAnsi" w:cstheme="majorHAnsi"/>
        </w:rPr>
      </w:pPr>
    </w:p>
    <w:p w14:paraId="10049BD5" w14:textId="425A3FA4" w:rsidR="00415BC8" w:rsidRPr="0017030F" w:rsidRDefault="00531FB5" w:rsidP="00E73D5F">
      <w:pPr>
        <w:pBdr>
          <w:top w:val="nil"/>
          <w:left w:val="nil"/>
          <w:bottom w:val="nil"/>
          <w:right w:val="nil"/>
          <w:between w:val="nil"/>
        </w:pBdr>
        <w:rPr>
          <w:rFonts w:asciiTheme="majorHAnsi" w:hAnsiTheme="majorHAnsi" w:cstheme="majorHAnsi"/>
        </w:rPr>
      </w:pPr>
      <m:oMath>
        <m:r>
          <m:rPr>
            <m:sty m:val="p"/>
          </m:rPr>
          <w:rPr>
            <w:rFonts w:ascii="Cambria Math" w:hAnsi="Cambria Math" w:cstheme="majorHAnsi"/>
          </w:rPr>
          <m:t>z’ factor</m:t>
        </m:r>
        <m:r>
          <w:rPr>
            <w:rFonts w:ascii="Cambria Math" w:hAnsi="Cambria Math" w:cstheme="majorHAnsi"/>
          </w:rPr>
          <m:t>= 1-</m:t>
        </m:r>
        <m:f>
          <m:fPr>
            <m:ctrlPr>
              <w:rPr>
                <w:rFonts w:ascii="Cambria Math" w:hAnsi="Cambria Math" w:cstheme="majorHAnsi"/>
                <w:i/>
              </w:rPr>
            </m:ctrlPr>
          </m:fPr>
          <m:num>
            <m:r>
              <w:rPr>
                <w:rFonts w:ascii="Cambria Math" w:hAnsi="Cambria Math" w:cstheme="majorHAnsi"/>
              </w:rPr>
              <m:t>3*</m:t>
            </m:r>
            <m:d>
              <m:dPr>
                <m:ctrlPr>
                  <w:rPr>
                    <w:rFonts w:ascii="Cambria Math" w:hAnsi="Cambria Math" w:cstheme="majorHAnsi"/>
                    <w:i/>
                  </w:rPr>
                </m:ctrlPr>
              </m:dPr>
              <m:e>
                <m:sSub>
                  <m:sSubPr>
                    <m:ctrlPr>
                      <w:rPr>
                        <w:rFonts w:ascii="Cambria Math" w:hAnsi="Cambria Math" w:cstheme="majorHAnsi"/>
                        <w:i/>
                      </w:rPr>
                    </m:ctrlPr>
                  </m:sSubPr>
                  <m:e>
                    <m:r>
                      <w:rPr>
                        <w:rFonts w:ascii="Cambria Math" w:hAnsi="Cambria Math" w:cstheme="majorHAnsi"/>
                      </w:rPr>
                      <m:t>σ</m:t>
                    </m:r>
                  </m:e>
                  <m:sub>
                    <m:sSub>
                      <m:sSubPr>
                        <m:ctrlPr>
                          <w:rPr>
                            <w:rFonts w:ascii="Cambria Math" w:hAnsi="Cambria Math" w:cstheme="majorHAnsi"/>
                            <w:i/>
                          </w:rPr>
                        </m:ctrlPr>
                      </m:sSubPr>
                      <m:e>
                        <m:r>
                          <w:rPr>
                            <w:rFonts w:ascii="Cambria Math" w:hAnsi="Cambria Math" w:cstheme="majorHAnsi"/>
                            <w:i/>
                          </w:rPr>
                          <w:sym w:font="Symbol" w:char="F044"/>
                        </m:r>
                        <m:r>
                          <w:rPr>
                            <w:rFonts w:ascii="Cambria Math" w:hAnsi="Cambria Math" w:cstheme="majorHAnsi"/>
                          </w:rPr>
                          <m:t>OD</m:t>
                        </m:r>
                      </m:e>
                      <m:sub>
                        <m:r>
                          <w:rPr>
                            <w:rFonts w:ascii="Cambria Math" w:hAnsi="Cambria Math" w:cstheme="majorHAnsi"/>
                          </w:rPr>
                          <m:t>21min, RI</m:t>
                        </m:r>
                      </m:sub>
                    </m:sSub>
                  </m:sub>
                </m:sSub>
                <m:r>
                  <w:rPr>
                    <w:rFonts w:ascii="Cambria Math" w:hAnsi="Cambria Math" w:cstheme="majorHAnsi"/>
                  </w:rPr>
                  <m:t>+</m:t>
                </m:r>
                <m:sSub>
                  <m:sSubPr>
                    <m:ctrlPr>
                      <w:rPr>
                        <w:rFonts w:ascii="Cambria Math" w:hAnsi="Cambria Math" w:cstheme="majorHAnsi"/>
                        <w:i/>
                      </w:rPr>
                    </m:ctrlPr>
                  </m:sSubPr>
                  <m:e>
                    <m:r>
                      <w:rPr>
                        <w:rFonts w:ascii="Cambria Math" w:hAnsi="Cambria Math" w:cstheme="majorHAnsi"/>
                      </w:rPr>
                      <m:t>σ</m:t>
                    </m:r>
                  </m:e>
                  <m:sub>
                    <m:sSub>
                      <m:sSubPr>
                        <m:ctrlPr>
                          <w:rPr>
                            <w:rFonts w:ascii="Cambria Math" w:hAnsi="Cambria Math" w:cstheme="majorHAnsi"/>
                            <w:i/>
                          </w:rPr>
                        </m:ctrlPr>
                      </m:sSubPr>
                      <m:e>
                        <m:r>
                          <w:rPr>
                            <w:rFonts w:ascii="Cambria Math" w:hAnsi="Cambria Math" w:cstheme="majorHAnsi"/>
                            <w:i/>
                          </w:rPr>
                          <w:sym w:font="Symbol" w:char="F044"/>
                        </m:r>
                        <m:r>
                          <w:rPr>
                            <w:rFonts w:ascii="Cambria Math" w:hAnsi="Cambria Math" w:cstheme="majorHAnsi"/>
                          </w:rPr>
                          <m:t>OD</m:t>
                        </m:r>
                      </m:e>
                      <m:sub>
                        <m:r>
                          <w:rPr>
                            <w:rFonts w:ascii="Cambria Math" w:hAnsi="Cambria Math" w:cstheme="majorHAnsi"/>
                          </w:rPr>
                          <m:t>21min,SC</m:t>
                        </m:r>
                      </m:sub>
                    </m:sSub>
                  </m:sub>
                </m:sSub>
              </m:e>
            </m:d>
          </m:num>
          <m:den>
            <m:d>
              <m:dPr>
                <m:begChr m:val="|"/>
                <m:endChr m:val="|"/>
                <m:ctrlPr>
                  <w:rPr>
                    <w:rFonts w:ascii="Cambria Math" w:hAnsi="Cambria Math" w:cstheme="majorHAnsi"/>
                    <w:i/>
                  </w:rPr>
                </m:ctrlPr>
              </m:dPr>
              <m:e>
                <m:sSub>
                  <m:sSubPr>
                    <m:ctrlPr>
                      <w:rPr>
                        <w:rFonts w:ascii="Cambria Math" w:hAnsi="Cambria Math" w:cstheme="majorHAnsi"/>
                        <w:i/>
                      </w:rPr>
                    </m:ctrlPr>
                  </m:sSubPr>
                  <m:e>
                    <m:r>
                      <w:rPr>
                        <w:rFonts w:ascii="Cambria Math" w:hAnsi="Cambria Math" w:cstheme="majorHAnsi"/>
                      </w:rPr>
                      <m:t>μ</m:t>
                    </m:r>
                  </m:e>
                  <m:sub>
                    <m:sSub>
                      <m:sSubPr>
                        <m:ctrlPr>
                          <w:rPr>
                            <w:rFonts w:ascii="Cambria Math" w:hAnsi="Cambria Math" w:cstheme="majorHAnsi"/>
                            <w:i/>
                          </w:rPr>
                        </m:ctrlPr>
                      </m:sSubPr>
                      <m:e>
                        <m:r>
                          <w:rPr>
                            <w:rFonts w:ascii="Cambria Math" w:hAnsi="Cambria Math" w:cstheme="majorHAnsi"/>
                            <w:i/>
                          </w:rPr>
                          <w:sym w:font="Symbol" w:char="F044"/>
                        </m:r>
                        <m:r>
                          <w:rPr>
                            <w:rFonts w:ascii="Cambria Math" w:hAnsi="Cambria Math" w:cstheme="majorHAnsi"/>
                          </w:rPr>
                          <m:t>OD</m:t>
                        </m:r>
                      </m:e>
                      <m:sub>
                        <m:r>
                          <w:rPr>
                            <w:rFonts w:ascii="Cambria Math" w:hAnsi="Cambria Math" w:cstheme="majorHAnsi"/>
                          </w:rPr>
                          <m:t>21min, RI</m:t>
                        </m:r>
                      </m:sub>
                    </m:sSub>
                  </m:sub>
                </m:sSub>
                <m:r>
                  <w:rPr>
                    <w:rFonts w:ascii="Cambria Math" w:hAnsi="Cambria Math" w:cstheme="majorHAnsi"/>
                  </w:rPr>
                  <m:t>-</m:t>
                </m:r>
                <m:sSub>
                  <m:sSubPr>
                    <m:ctrlPr>
                      <w:rPr>
                        <w:rFonts w:ascii="Cambria Math" w:hAnsi="Cambria Math" w:cstheme="majorHAnsi"/>
                        <w:i/>
                      </w:rPr>
                    </m:ctrlPr>
                  </m:sSubPr>
                  <m:e>
                    <m:r>
                      <w:rPr>
                        <w:rFonts w:ascii="Cambria Math" w:hAnsi="Cambria Math" w:cstheme="majorHAnsi"/>
                      </w:rPr>
                      <m:t>μ</m:t>
                    </m:r>
                  </m:e>
                  <m:sub>
                    <m:sSub>
                      <m:sSubPr>
                        <m:ctrlPr>
                          <w:rPr>
                            <w:rFonts w:ascii="Cambria Math" w:hAnsi="Cambria Math" w:cstheme="majorHAnsi"/>
                            <w:i/>
                          </w:rPr>
                        </m:ctrlPr>
                      </m:sSubPr>
                      <m:e>
                        <m:r>
                          <w:rPr>
                            <w:rFonts w:ascii="Cambria Math" w:hAnsi="Cambria Math" w:cstheme="majorHAnsi"/>
                            <w:i/>
                          </w:rPr>
                          <w:sym w:font="Symbol" w:char="F044"/>
                        </m:r>
                        <m:r>
                          <w:rPr>
                            <w:rFonts w:ascii="Cambria Math" w:hAnsi="Cambria Math" w:cstheme="majorHAnsi"/>
                          </w:rPr>
                          <m:t>OD</m:t>
                        </m:r>
                      </m:e>
                      <m:sub>
                        <m:r>
                          <w:rPr>
                            <w:rFonts w:ascii="Cambria Math" w:hAnsi="Cambria Math" w:cstheme="majorHAnsi"/>
                          </w:rPr>
                          <m:t>21min, SC</m:t>
                        </m:r>
                      </m:sub>
                    </m:sSub>
                  </m:sub>
                </m:sSub>
              </m:e>
            </m:d>
          </m:den>
        </m:f>
      </m:oMath>
      <w:r w:rsidRPr="0017030F">
        <w:rPr>
          <w:rFonts w:asciiTheme="majorHAnsi" w:hAnsiTheme="majorHAnsi" w:cstheme="majorHAnsi"/>
        </w:rPr>
        <w:t xml:space="preserve"> </w:t>
      </w:r>
    </w:p>
    <w:p w14:paraId="46D1A0C8" w14:textId="77777777" w:rsidR="00531FB5" w:rsidRPr="0017030F" w:rsidRDefault="00531FB5" w:rsidP="00E73D5F">
      <w:pPr>
        <w:pBdr>
          <w:top w:val="nil"/>
          <w:left w:val="nil"/>
          <w:bottom w:val="nil"/>
          <w:right w:val="nil"/>
          <w:between w:val="nil"/>
        </w:pBdr>
        <w:rPr>
          <w:rFonts w:asciiTheme="majorHAnsi" w:hAnsiTheme="majorHAnsi" w:cstheme="majorHAnsi"/>
        </w:rPr>
      </w:pPr>
    </w:p>
    <w:p w14:paraId="512B08AE" w14:textId="77777777" w:rsidR="00A92A7E" w:rsidRPr="0017030F" w:rsidRDefault="00535912" w:rsidP="00E73D5F">
      <w:pPr>
        <w:pStyle w:val="Listenabsatz"/>
        <w:numPr>
          <w:ilvl w:val="2"/>
          <w:numId w:val="1"/>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To c</w:t>
      </w:r>
      <w:r w:rsidR="00166786" w:rsidRPr="0017030F">
        <w:rPr>
          <w:rFonts w:asciiTheme="majorHAnsi" w:hAnsiTheme="majorHAnsi" w:cstheme="majorHAnsi"/>
          <w:szCs w:val="24"/>
        </w:rPr>
        <w:t xml:space="preserve">heck </w:t>
      </w:r>
      <w:r w:rsidR="00A92A7E" w:rsidRPr="0017030F">
        <w:rPr>
          <w:rFonts w:asciiTheme="majorHAnsi" w:hAnsiTheme="majorHAnsi" w:cstheme="majorHAnsi"/>
          <w:szCs w:val="24"/>
        </w:rPr>
        <w:t xml:space="preserve">the </w:t>
      </w:r>
      <w:r w:rsidR="00166786" w:rsidRPr="0017030F">
        <w:rPr>
          <w:rFonts w:asciiTheme="majorHAnsi" w:hAnsiTheme="majorHAnsi" w:cstheme="majorHAnsi"/>
          <w:szCs w:val="24"/>
        </w:rPr>
        <w:t xml:space="preserve">validity of the </w:t>
      </w:r>
      <w:r w:rsidRPr="0017030F">
        <w:rPr>
          <w:rFonts w:asciiTheme="majorHAnsi" w:hAnsiTheme="majorHAnsi" w:cstheme="majorHAnsi"/>
          <w:szCs w:val="24"/>
        </w:rPr>
        <w:t xml:space="preserve">experiment, compare the calculated values to the acceptance criteria in </w:t>
      </w:r>
      <w:r w:rsidRPr="00E73D5F">
        <w:rPr>
          <w:rFonts w:asciiTheme="majorHAnsi" w:hAnsiTheme="majorHAnsi" w:cstheme="majorHAnsi"/>
          <w:b/>
          <w:bCs/>
          <w:szCs w:val="24"/>
        </w:rPr>
        <w:t>Table 4</w:t>
      </w:r>
      <w:r w:rsidRPr="0017030F">
        <w:rPr>
          <w:rFonts w:asciiTheme="majorHAnsi" w:hAnsiTheme="majorHAnsi" w:cstheme="majorHAnsi"/>
          <w:szCs w:val="24"/>
        </w:rPr>
        <w:t xml:space="preserve">. </w:t>
      </w:r>
    </w:p>
    <w:p w14:paraId="1C2C0877" w14:textId="77777777" w:rsidR="00A92A7E" w:rsidRPr="0017030F" w:rsidRDefault="00A92A7E"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4361BB20" w14:textId="1D91BA34" w:rsidR="0080337A" w:rsidRPr="0017030F" w:rsidRDefault="00A92A7E"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r w:rsidRPr="0017030F">
        <w:rPr>
          <w:rFonts w:asciiTheme="majorHAnsi" w:hAnsiTheme="majorHAnsi" w:cstheme="majorHAnsi"/>
          <w:szCs w:val="24"/>
        </w:rPr>
        <w:t xml:space="preserve">NOTE: </w:t>
      </w:r>
      <w:r w:rsidR="00535912" w:rsidRPr="0017030F">
        <w:rPr>
          <w:rFonts w:asciiTheme="majorHAnsi" w:hAnsiTheme="majorHAnsi" w:cstheme="majorHAnsi"/>
          <w:szCs w:val="24"/>
        </w:rPr>
        <w:t xml:space="preserve">All criteria must be reached to obtain a valid assay run. </w:t>
      </w:r>
    </w:p>
    <w:p w14:paraId="58312634" w14:textId="77777777" w:rsidR="0080337A" w:rsidRPr="0017030F" w:rsidRDefault="0080337A" w:rsidP="00E73D5F">
      <w:pPr>
        <w:pStyle w:val="Listenabsatz"/>
        <w:pBdr>
          <w:top w:val="nil"/>
          <w:left w:val="nil"/>
          <w:bottom w:val="nil"/>
          <w:right w:val="nil"/>
          <w:between w:val="nil"/>
        </w:pBdr>
        <w:spacing w:after="0" w:line="240" w:lineRule="auto"/>
        <w:ind w:left="0"/>
        <w:jc w:val="both"/>
        <w:rPr>
          <w:rFonts w:asciiTheme="majorHAnsi" w:hAnsiTheme="majorHAnsi" w:cstheme="majorHAnsi"/>
          <w:szCs w:val="24"/>
        </w:rPr>
      </w:pPr>
    </w:p>
    <w:p w14:paraId="7536F767" w14:textId="719897E4" w:rsidR="0080337A" w:rsidRPr="0017030F" w:rsidRDefault="0080337A" w:rsidP="00E73D5F">
      <w:pPr>
        <w:pStyle w:val="Listenabsatz"/>
        <w:numPr>
          <w:ilvl w:val="2"/>
          <w:numId w:val="28"/>
        </w:numPr>
        <w:pBdr>
          <w:top w:val="nil"/>
          <w:left w:val="nil"/>
          <w:bottom w:val="nil"/>
          <w:right w:val="nil"/>
          <w:between w:val="nil"/>
        </w:pBdr>
        <w:spacing w:after="0" w:line="240" w:lineRule="auto"/>
        <w:ind w:left="0" w:firstLine="0"/>
        <w:jc w:val="both"/>
        <w:rPr>
          <w:rFonts w:asciiTheme="majorHAnsi" w:hAnsiTheme="majorHAnsi" w:cstheme="majorHAnsi"/>
          <w:szCs w:val="24"/>
        </w:rPr>
      </w:pPr>
      <w:r w:rsidRPr="0017030F">
        <w:rPr>
          <w:rFonts w:asciiTheme="majorHAnsi" w:hAnsiTheme="majorHAnsi" w:cstheme="majorHAnsi"/>
          <w:szCs w:val="24"/>
        </w:rPr>
        <w:t xml:space="preserve">Classify the test items as full inhibitors, partial inhibitors, or non-inhibitors based on their maximum inhibition and IC₅₀ values, as summarized in </w:t>
      </w:r>
      <w:r w:rsidRPr="00E73D5F">
        <w:rPr>
          <w:rFonts w:asciiTheme="majorHAnsi" w:hAnsiTheme="majorHAnsi" w:cstheme="majorHAnsi"/>
          <w:b/>
          <w:bCs/>
          <w:szCs w:val="24"/>
        </w:rPr>
        <w:t xml:space="preserve">Table </w:t>
      </w:r>
      <w:r w:rsidR="00A75712" w:rsidRPr="00E73D5F">
        <w:rPr>
          <w:rFonts w:asciiTheme="majorHAnsi" w:hAnsiTheme="majorHAnsi" w:cstheme="majorHAnsi"/>
          <w:b/>
          <w:bCs/>
          <w:szCs w:val="24"/>
        </w:rPr>
        <w:t>5</w:t>
      </w:r>
      <w:r w:rsidRPr="0017030F">
        <w:rPr>
          <w:rFonts w:asciiTheme="majorHAnsi" w:hAnsiTheme="majorHAnsi" w:cstheme="majorHAnsi"/>
          <w:szCs w:val="24"/>
        </w:rPr>
        <w:t>.</w:t>
      </w:r>
    </w:p>
    <w:p w14:paraId="0BECAE0E" w14:textId="77777777" w:rsidR="00FD7445" w:rsidRPr="0017030F" w:rsidRDefault="00FD7445" w:rsidP="00E73D5F">
      <w:pPr>
        <w:pBdr>
          <w:top w:val="nil"/>
          <w:left w:val="nil"/>
          <w:bottom w:val="nil"/>
          <w:right w:val="nil"/>
          <w:between w:val="nil"/>
        </w:pBdr>
        <w:rPr>
          <w:rFonts w:asciiTheme="majorHAnsi" w:hAnsiTheme="majorHAnsi" w:cstheme="majorHAnsi"/>
        </w:rPr>
      </w:pPr>
    </w:p>
    <w:p w14:paraId="08AF3300" w14:textId="7957023B" w:rsidR="006E4797" w:rsidRPr="0017030F" w:rsidRDefault="00551D82" w:rsidP="00E73D5F">
      <w:pPr>
        <w:pBdr>
          <w:top w:val="nil"/>
          <w:left w:val="nil"/>
          <w:bottom w:val="nil"/>
          <w:right w:val="nil"/>
          <w:between w:val="nil"/>
        </w:pBdr>
        <w:rPr>
          <w:rFonts w:asciiTheme="majorHAnsi" w:hAnsiTheme="majorHAnsi" w:cstheme="majorHAnsi"/>
          <w:b/>
        </w:rPr>
      </w:pPr>
      <w:r w:rsidRPr="0017030F">
        <w:rPr>
          <w:rFonts w:asciiTheme="majorHAnsi" w:hAnsiTheme="majorHAnsi" w:cstheme="majorHAnsi"/>
          <w:b/>
        </w:rPr>
        <w:t>REPRESENTATIVE RESULTS:</w:t>
      </w:r>
    </w:p>
    <w:p w14:paraId="763FAF10" w14:textId="66F5D7EF" w:rsidR="00774D61" w:rsidRPr="0017030F" w:rsidRDefault="00774D61" w:rsidP="00E73D5F">
      <w:pPr>
        <w:pBdr>
          <w:top w:val="nil"/>
          <w:left w:val="nil"/>
          <w:bottom w:val="nil"/>
          <w:right w:val="nil"/>
          <w:between w:val="nil"/>
        </w:pBdr>
        <w:rPr>
          <w:rFonts w:asciiTheme="majorHAnsi" w:hAnsiTheme="majorHAnsi" w:cstheme="majorHAnsi"/>
        </w:rPr>
      </w:pPr>
      <w:r w:rsidRPr="00E73D5F">
        <w:rPr>
          <w:rFonts w:asciiTheme="majorHAnsi" w:hAnsiTheme="majorHAnsi" w:cstheme="majorHAnsi"/>
          <w:b/>
          <w:bCs/>
        </w:rPr>
        <w:t>Figure 6</w:t>
      </w:r>
      <w:r w:rsidRPr="0017030F">
        <w:rPr>
          <w:rFonts w:asciiTheme="majorHAnsi" w:hAnsiTheme="majorHAnsi" w:cstheme="majorHAnsi"/>
        </w:rPr>
        <w:t xml:space="preserve"> provides an overview of the DIO1</w:t>
      </w:r>
      <w:r w:rsidRPr="0017030F">
        <w:rPr>
          <w:rFonts w:ascii="Cambria Math" w:hAnsi="Cambria Math" w:cs="Cambria Math"/>
        </w:rPr>
        <w:t>‑</w:t>
      </w:r>
      <w:r w:rsidRPr="0017030F">
        <w:rPr>
          <w:rFonts w:asciiTheme="majorHAnsi" w:hAnsiTheme="majorHAnsi" w:cstheme="majorHAnsi"/>
        </w:rPr>
        <w:t>SK assay workflow and the key standardization steps required to successfully establish the method in a</w:t>
      </w:r>
      <w:r w:rsidR="00D71A26" w:rsidRPr="0017030F">
        <w:rPr>
          <w:rFonts w:asciiTheme="majorHAnsi" w:hAnsiTheme="majorHAnsi" w:cstheme="majorHAnsi"/>
        </w:rPr>
        <w:t xml:space="preserve"> </w:t>
      </w:r>
      <w:r w:rsidRPr="0017030F">
        <w:rPr>
          <w:rFonts w:asciiTheme="majorHAnsi" w:hAnsiTheme="majorHAnsi" w:cstheme="majorHAnsi"/>
        </w:rPr>
        <w:t>laboratory. The workflow (</w:t>
      </w:r>
      <w:r w:rsidRPr="00E73D5F">
        <w:rPr>
          <w:rFonts w:asciiTheme="majorHAnsi" w:hAnsiTheme="majorHAnsi" w:cstheme="majorHAnsi"/>
          <w:b/>
          <w:bCs/>
        </w:rPr>
        <w:t>Fig</w:t>
      </w:r>
      <w:r w:rsidR="00A92A7E" w:rsidRPr="00E73D5F">
        <w:rPr>
          <w:rFonts w:asciiTheme="majorHAnsi" w:hAnsiTheme="majorHAnsi" w:cstheme="majorHAnsi"/>
          <w:b/>
          <w:bCs/>
        </w:rPr>
        <w:t xml:space="preserve">ure </w:t>
      </w:r>
      <w:r w:rsidRPr="00E73D5F">
        <w:rPr>
          <w:rFonts w:asciiTheme="majorHAnsi" w:hAnsiTheme="majorHAnsi" w:cstheme="majorHAnsi"/>
          <w:b/>
          <w:bCs/>
        </w:rPr>
        <w:t>6A</w:t>
      </w:r>
      <w:r w:rsidRPr="0017030F">
        <w:rPr>
          <w:rFonts w:asciiTheme="majorHAnsi" w:hAnsiTheme="majorHAnsi" w:cstheme="majorHAnsi"/>
        </w:rPr>
        <w:t>) summarizes the sequential phases of the assay, including the use of human liver microsomes, incubation with test items and controls, iodide extraction via ion</w:t>
      </w:r>
      <w:r w:rsidRPr="0017030F">
        <w:rPr>
          <w:rFonts w:ascii="Cambria Math" w:hAnsi="Cambria Math" w:cs="Cambria Math"/>
        </w:rPr>
        <w:t>‑</w:t>
      </w:r>
      <w:r w:rsidRPr="0017030F">
        <w:rPr>
          <w:rFonts w:asciiTheme="majorHAnsi" w:hAnsiTheme="majorHAnsi" w:cstheme="majorHAnsi"/>
        </w:rPr>
        <w:t>exchange separation, and the colorimetric iodide quantification using the Sandell</w:t>
      </w:r>
      <w:r w:rsidRPr="00E73D5F">
        <w:rPr>
          <w:rFonts w:asciiTheme="majorHAnsi" w:hAnsiTheme="majorHAnsi" w:cstheme="majorHAnsi"/>
        </w:rPr>
        <w:t>–</w:t>
      </w:r>
      <w:r w:rsidRPr="0017030F">
        <w:rPr>
          <w:rFonts w:asciiTheme="majorHAnsi" w:hAnsiTheme="majorHAnsi" w:cstheme="majorHAnsi"/>
        </w:rPr>
        <w:t xml:space="preserve">Kolthoff (SK) reaction. </w:t>
      </w:r>
      <w:r w:rsidRPr="00E73D5F">
        <w:rPr>
          <w:rFonts w:asciiTheme="majorHAnsi" w:hAnsiTheme="majorHAnsi" w:cstheme="majorHAnsi"/>
          <w:b/>
          <w:bCs/>
        </w:rPr>
        <w:t>Fig</w:t>
      </w:r>
      <w:r w:rsidR="00A92A7E" w:rsidRPr="00E73D5F">
        <w:rPr>
          <w:rFonts w:asciiTheme="majorHAnsi" w:hAnsiTheme="majorHAnsi" w:cstheme="majorHAnsi"/>
          <w:b/>
          <w:bCs/>
        </w:rPr>
        <w:t>ure</w:t>
      </w:r>
      <w:r w:rsidRPr="00E73D5F">
        <w:rPr>
          <w:rFonts w:asciiTheme="majorHAnsi" w:hAnsiTheme="majorHAnsi" w:cstheme="majorHAnsi"/>
          <w:b/>
          <w:bCs/>
        </w:rPr>
        <w:t xml:space="preserve"> 6B</w:t>
      </w:r>
      <w:r w:rsidRPr="0017030F">
        <w:rPr>
          <w:rFonts w:asciiTheme="majorHAnsi" w:hAnsiTheme="majorHAnsi" w:cstheme="majorHAnsi"/>
        </w:rPr>
        <w:t xml:space="preserve"> highlights the standardization strategy that underpins robust performance and valid results, including (</w:t>
      </w:r>
      <w:proofErr w:type="spellStart"/>
      <w:r w:rsidRPr="0017030F">
        <w:rPr>
          <w:rFonts w:asciiTheme="majorHAnsi" w:hAnsiTheme="majorHAnsi" w:cstheme="majorHAnsi"/>
        </w:rPr>
        <w:t>i</w:t>
      </w:r>
      <w:proofErr w:type="spellEnd"/>
      <w:r w:rsidRPr="0017030F">
        <w:rPr>
          <w:rFonts w:asciiTheme="majorHAnsi" w:hAnsiTheme="majorHAnsi" w:cstheme="majorHAnsi"/>
        </w:rPr>
        <w:t>) standardization of the SK reaction, (ii) batch</w:t>
      </w:r>
      <w:r w:rsidRPr="0017030F">
        <w:rPr>
          <w:rFonts w:ascii="Cambria Math" w:hAnsi="Cambria Math" w:cs="Cambria Math"/>
        </w:rPr>
        <w:t>‑</w:t>
      </w:r>
      <w:r w:rsidRPr="0017030F">
        <w:rPr>
          <w:rFonts w:asciiTheme="majorHAnsi" w:hAnsiTheme="majorHAnsi" w:cstheme="majorHAnsi"/>
        </w:rPr>
        <w:t>specific microsome activity testing, (iii) solubility assessment and interference testing, (iv) a range</w:t>
      </w:r>
      <w:r w:rsidRPr="0017030F">
        <w:rPr>
          <w:rFonts w:ascii="Cambria Math" w:hAnsi="Cambria Math" w:cs="Cambria Math"/>
        </w:rPr>
        <w:t>‑</w:t>
      </w:r>
      <w:r w:rsidRPr="0017030F">
        <w:rPr>
          <w:rFonts w:asciiTheme="majorHAnsi" w:hAnsiTheme="majorHAnsi" w:cstheme="majorHAnsi"/>
        </w:rPr>
        <w:t>finding assay, and (v) adjustment of test item concentrations based on the first valid assay run.</w:t>
      </w:r>
    </w:p>
    <w:p w14:paraId="093DB4F5" w14:textId="77777777" w:rsidR="00A92A7E" w:rsidRPr="0017030F" w:rsidRDefault="00A92A7E" w:rsidP="00E73D5F">
      <w:pPr>
        <w:pBdr>
          <w:top w:val="nil"/>
          <w:left w:val="nil"/>
          <w:bottom w:val="nil"/>
          <w:right w:val="nil"/>
          <w:between w:val="nil"/>
        </w:pBdr>
        <w:rPr>
          <w:rFonts w:asciiTheme="majorHAnsi" w:hAnsiTheme="majorHAnsi" w:cstheme="majorHAnsi"/>
        </w:rPr>
      </w:pPr>
    </w:p>
    <w:p w14:paraId="26CE9D76" w14:textId="5A272A0B" w:rsidR="00774D61" w:rsidRPr="0017030F" w:rsidRDefault="00774D61"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 xml:space="preserve">A central element of this strategy is </w:t>
      </w:r>
      <w:r w:rsidR="00543668" w:rsidRPr="0017030F">
        <w:rPr>
          <w:rFonts w:asciiTheme="majorHAnsi" w:hAnsiTheme="majorHAnsi" w:cstheme="majorHAnsi"/>
        </w:rPr>
        <w:t>batch</w:t>
      </w:r>
      <w:r w:rsidR="00543668" w:rsidRPr="0017030F">
        <w:rPr>
          <w:rFonts w:ascii="Cambria Math" w:hAnsi="Cambria Math" w:cs="Cambria Math"/>
        </w:rPr>
        <w:t>‑</w:t>
      </w:r>
      <w:r w:rsidR="00543668" w:rsidRPr="0017030F">
        <w:rPr>
          <w:rFonts w:asciiTheme="majorHAnsi" w:hAnsiTheme="majorHAnsi" w:cstheme="majorHAnsi"/>
        </w:rPr>
        <w:t>specific microsomal activity testing, because human liver microsome batches can differ substantially in their rT3 deiodination activity, necessitating the determination of</w:t>
      </w:r>
      <w:r w:rsidRPr="0017030F">
        <w:rPr>
          <w:rFonts w:asciiTheme="majorHAnsi" w:hAnsiTheme="majorHAnsi" w:cstheme="majorHAnsi"/>
        </w:rPr>
        <w:t xml:space="preserve"> an appropriate enzyme concentration for each new batch prior to routine substance testing.</w:t>
      </w:r>
    </w:p>
    <w:p w14:paraId="6B1B3C88" w14:textId="77777777" w:rsidR="00A92A7E" w:rsidRPr="0017030F" w:rsidRDefault="00A92A7E" w:rsidP="00E73D5F">
      <w:pPr>
        <w:pBdr>
          <w:top w:val="nil"/>
          <w:left w:val="nil"/>
          <w:bottom w:val="nil"/>
          <w:right w:val="nil"/>
          <w:between w:val="nil"/>
        </w:pBdr>
        <w:rPr>
          <w:rFonts w:asciiTheme="majorHAnsi" w:hAnsiTheme="majorHAnsi" w:cstheme="majorHAnsi"/>
        </w:rPr>
      </w:pPr>
    </w:p>
    <w:p w14:paraId="19C174E1" w14:textId="1AA18D47" w:rsidR="00774D61" w:rsidRPr="0017030F" w:rsidRDefault="00774D61"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 xml:space="preserve">This staged testing strategy is critical for implementation: only after the assay’s baseline performance (controls, SK reaction behavior, and microsome activity) is verified and the assay </w:t>
      </w:r>
      <w:r w:rsidRPr="0017030F">
        <w:rPr>
          <w:rFonts w:asciiTheme="majorHAnsi" w:hAnsiTheme="majorHAnsi" w:cstheme="majorHAnsi"/>
        </w:rPr>
        <w:lastRenderedPageBreak/>
        <w:t>conditions are standardized can substance testing be expected to yield valid, interpretable inhibition profiles.</w:t>
      </w:r>
    </w:p>
    <w:p w14:paraId="29722161" w14:textId="77777777" w:rsidR="007E62E9" w:rsidRPr="0017030F" w:rsidRDefault="007E62E9" w:rsidP="00E73D5F">
      <w:pPr>
        <w:pBdr>
          <w:top w:val="nil"/>
          <w:left w:val="nil"/>
          <w:bottom w:val="nil"/>
          <w:right w:val="nil"/>
          <w:between w:val="nil"/>
        </w:pBdr>
        <w:rPr>
          <w:rFonts w:asciiTheme="majorHAnsi" w:hAnsiTheme="majorHAnsi" w:cstheme="majorHAnsi"/>
        </w:rPr>
      </w:pPr>
    </w:p>
    <w:p w14:paraId="47A4CA58" w14:textId="77777777" w:rsidR="007E62E9" w:rsidRPr="0017030F" w:rsidRDefault="007E62E9"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 xml:space="preserve">[Place </w:t>
      </w:r>
      <w:r w:rsidRPr="0017030F">
        <w:rPr>
          <w:rFonts w:asciiTheme="majorHAnsi" w:hAnsiTheme="majorHAnsi" w:cstheme="majorHAnsi"/>
          <w:b/>
        </w:rPr>
        <w:t>Figure 6</w:t>
      </w:r>
      <w:r w:rsidRPr="0017030F">
        <w:rPr>
          <w:rFonts w:asciiTheme="majorHAnsi" w:hAnsiTheme="majorHAnsi" w:cstheme="majorHAnsi"/>
        </w:rPr>
        <w:t xml:space="preserve"> here]</w:t>
      </w:r>
    </w:p>
    <w:p w14:paraId="0D80A512" w14:textId="77777777" w:rsidR="00774D61" w:rsidRPr="0017030F" w:rsidRDefault="00774D61" w:rsidP="00E73D5F">
      <w:pPr>
        <w:pBdr>
          <w:top w:val="nil"/>
          <w:left w:val="nil"/>
          <w:bottom w:val="nil"/>
          <w:right w:val="nil"/>
          <w:between w:val="nil"/>
        </w:pBdr>
        <w:rPr>
          <w:rFonts w:asciiTheme="majorHAnsi" w:hAnsiTheme="majorHAnsi" w:cstheme="majorHAnsi"/>
        </w:rPr>
      </w:pPr>
    </w:p>
    <w:p w14:paraId="27A54D58" w14:textId="2196A330" w:rsidR="00774D61" w:rsidRPr="0017030F" w:rsidRDefault="00774D61"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 xml:space="preserve">Building on the workflow and standardization framework shown in </w:t>
      </w:r>
      <w:r w:rsidRPr="00E73D5F">
        <w:rPr>
          <w:rFonts w:asciiTheme="majorHAnsi" w:hAnsiTheme="majorHAnsi" w:cstheme="majorHAnsi"/>
          <w:b/>
          <w:bCs/>
        </w:rPr>
        <w:t>Figure 6</w:t>
      </w:r>
      <w:r w:rsidRPr="0017030F">
        <w:rPr>
          <w:rFonts w:asciiTheme="majorHAnsi" w:hAnsiTheme="majorHAnsi" w:cstheme="majorHAnsi"/>
        </w:rPr>
        <w:t xml:space="preserve">, </w:t>
      </w:r>
      <w:r w:rsidRPr="00E73D5F">
        <w:rPr>
          <w:rFonts w:asciiTheme="majorHAnsi" w:hAnsiTheme="majorHAnsi" w:cstheme="majorHAnsi"/>
          <w:b/>
          <w:bCs/>
        </w:rPr>
        <w:t>Figure 7</w:t>
      </w:r>
      <w:r w:rsidRPr="0017030F">
        <w:rPr>
          <w:rFonts w:asciiTheme="majorHAnsi" w:hAnsiTheme="majorHAnsi" w:cstheme="majorHAnsi"/>
        </w:rPr>
        <w:t xml:space="preserve"> illustrates how laboratories determine an appropriate microsomal protein concentration (and post</w:t>
      </w:r>
      <w:r w:rsidRPr="0017030F">
        <w:rPr>
          <w:rFonts w:asciiTheme="majorHAnsi" w:hAnsiTheme="majorHAnsi" w:cstheme="majorHAnsi"/>
        </w:rPr>
        <w:noBreakHyphen/>
        <w:t>ion</w:t>
      </w:r>
      <w:r w:rsidRPr="0017030F">
        <w:rPr>
          <w:rFonts w:asciiTheme="majorHAnsi" w:hAnsiTheme="majorHAnsi" w:cstheme="majorHAnsi"/>
        </w:rPr>
        <w:noBreakHyphen/>
        <w:t>exchange dilution) to achieve a sufficient dynamic range while maintaining a sigmoidal inhibition response for the reference inhibitor.</w:t>
      </w:r>
      <w:r w:rsidRPr="00E73D5F">
        <w:rPr>
          <w:rFonts w:asciiTheme="majorHAnsi" w:hAnsiTheme="majorHAnsi" w:cstheme="majorHAnsi"/>
        </w:rPr>
        <w:t xml:space="preserve"> </w:t>
      </w:r>
      <w:r w:rsidRPr="0017030F">
        <w:rPr>
          <w:rFonts w:asciiTheme="majorHAnsi" w:hAnsiTheme="majorHAnsi" w:cstheme="majorHAnsi"/>
        </w:rPr>
        <w:t xml:space="preserve">In </w:t>
      </w:r>
      <w:r w:rsidR="00543668" w:rsidRPr="00E73D5F">
        <w:rPr>
          <w:rFonts w:asciiTheme="majorHAnsi" w:hAnsiTheme="majorHAnsi" w:cstheme="majorHAnsi"/>
          <w:b/>
          <w:bCs/>
        </w:rPr>
        <w:t>Figure 7A</w:t>
      </w:r>
      <w:r w:rsidRPr="0017030F">
        <w:rPr>
          <w:rFonts w:asciiTheme="majorHAnsi" w:hAnsiTheme="majorHAnsi" w:cstheme="majorHAnsi"/>
        </w:rPr>
        <w:t>, ΔOD21min</w:t>
      </w:r>
      <w:r w:rsidRPr="0017030F">
        <w:rPr>
          <w:rFonts w:ascii="Cambria Math" w:hAnsi="Cambria Math" w:cs="Cambria Math"/>
        </w:rPr>
        <w:t>‑</w:t>
      </w:r>
      <w:r w:rsidRPr="0017030F">
        <w:rPr>
          <w:rFonts w:asciiTheme="majorHAnsi" w:hAnsiTheme="majorHAnsi" w:cstheme="majorHAnsi"/>
        </w:rPr>
        <w:t>BG increases with increasing microsomal protein and depends on the post</w:t>
      </w:r>
      <w:r w:rsidRPr="0017030F">
        <w:rPr>
          <w:rFonts w:ascii="Cambria Math" w:hAnsi="Cambria Math" w:cs="Cambria Math"/>
        </w:rPr>
        <w:t>‑</w:t>
      </w:r>
      <w:r w:rsidRPr="0017030F">
        <w:rPr>
          <w:rFonts w:asciiTheme="majorHAnsi" w:hAnsiTheme="majorHAnsi" w:cstheme="majorHAnsi"/>
        </w:rPr>
        <w:t>ion</w:t>
      </w:r>
      <w:r w:rsidRPr="0017030F">
        <w:rPr>
          <w:rFonts w:ascii="Cambria Math" w:hAnsi="Cambria Math" w:cs="Cambria Math"/>
        </w:rPr>
        <w:t>‑</w:t>
      </w:r>
      <w:r w:rsidRPr="0017030F">
        <w:rPr>
          <w:rFonts w:asciiTheme="majorHAnsi" w:hAnsiTheme="majorHAnsi" w:cstheme="majorHAnsi"/>
        </w:rPr>
        <w:t xml:space="preserve">exchange dilution (undiluted, 1:2, 1:4). The dilution that yields the highest </w:t>
      </w:r>
      <w:r w:rsidRPr="00E73D5F">
        <w:rPr>
          <w:rFonts w:asciiTheme="majorHAnsi" w:hAnsiTheme="majorHAnsi" w:cstheme="majorHAnsi"/>
        </w:rPr>
        <w:t>Δ</w:t>
      </w:r>
      <w:r w:rsidRPr="0017030F">
        <w:rPr>
          <w:rFonts w:asciiTheme="majorHAnsi" w:hAnsiTheme="majorHAnsi" w:cstheme="majorHAnsi"/>
        </w:rPr>
        <w:t>OD21min</w:t>
      </w:r>
      <w:r w:rsidRPr="0017030F">
        <w:rPr>
          <w:rFonts w:ascii="Cambria Math" w:hAnsi="Cambria Math" w:cs="Cambria Math"/>
        </w:rPr>
        <w:t>‑</w:t>
      </w:r>
      <w:r w:rsidRPr="0017030F">
        <w:rPr>
          <w:rFonts w:asciiTheme="majorHAnsi" w:hAnsiTheme="majorHAnsi" w:cstheme="majorHAnsi"/>
        </w:rPr>
        <w:t xml:space="preserve">BG while maintaining a sigmoidal response is selected for subsequent experiments (example shown: 1:2 dilution). In </w:t>
      </w:r>
      <w:r w:rsidR="00543668" w:rsidRPr="00E73D5F">
        <w:rPr>
          <w:rFonts w:asciiTheme="majorHAnsi" w:hAnsiTheme="majorHAnsi" w:cstheme="majorHAnsi"/>
          <w:b/>
          <w:bCs/>
        </w:rPr>
        <w:t>Figure 7B</w:t>
      </w:r>
      <w:r w:rsidRPr="0017030F">
        <w:rPr>
          <w:rFonts w:asciiTheme="majorHAnsi" w:hAnsiTheme="majorHAnsi" w:cstheme="majorHAnsi"/>
        </w:rPr>
        <w:t>, 6</w:t>
      </w:r>
      <w:r w:rsidRPr="0017030F">
        <w:rPr>
          <w:rFonts w:ascii="Cambria Math" w:hAnsi="Cambria Math" w:cs="Cambria Math"/>
        </w:rPr>
        <w:t>‑</w:t>
      </w:r>
      <w:r w:rsidRPr="0017030F">
        <w:rPr>
          <w:rFonts w:asciiTheme="majorHAnsi" w:hAnsiTheme="majorHAnsi" w:cstheme="majorHAnsi"/>
        </w:rPr>
        <w:t xml:space="preserve">PTU inhibition curves are compared across microsomal protein amounts to identify the lowest protein concentration that still yields a sigmoidal curve (example shown: 5 </w:t>
      </w:r>
      <w:proofErr w:type="gramStart"/>
      <w:r w:rsidRPr="00E73D5F">
        <w:rPr>
          <w:rFonts w:asciiTheme="majorHAnsi" w:hAnsiTheme="majorHAnsi" w:cstheme="majorHAnsi"/>
        </w:rPr>
        <w:t>µ</w:t>
      </w:r>
      <w:r w:rsidRPr="0017030F">
        <w:rPr>
          <w:rFonts w:asciiTheme="majorHAnsi" w:hAnsiTheme="majorHAnsi" w:cstheme="majorHAnsi"/>
        </w:rPr>
        <w:t>g</w:t>
      </w:r>
      <w:proofErr w:type="gramEnd"/>
      <w:r w:rsidRPr="0017030F">
        <w:rPr>
          <w:rFonts w:asciiTheme="majorHAnsi" w:hAnsiTheme="majorHAnsi" w:cstheme="majorHAnsi"/>
        </w:rPr>
        <w:t xml:space="preserve"> </w:t>
      </w:r>
      <w:r w:rsidR="00543668" w:rsidRPr="0017030F">
        <w:rPr>
          <w:rFonts w:asciiTheme="majorHAnsi" w:hAnsiTheme="majorHAnsi" w:cstheme="majorHAnsi"/>
        </w:rPr>
        <w:t xml:space="preserve">of </w:t>
      </w:r>
      <w:r w:rsidRPr="0017030F">
        <w:rPr>
          <w:rFonts w:asciiTheme="majorHAnsi" w:hAnsiTheme="majorHAnsi" w:cstheme="majorHAnsi"/>
        </w:rPr>
        <w:t xml:space="preserve">protein/well), thereby balancing sensitivity with background. </w:t>
      </w:r>
    </w:p>
    <w:p w14:paraId="38BECB56" w14:textId="77777777" w:rsidR="00543668" w:rsidRPr="0017030F" w:rsidRDefault="00543668" w:rsidP="00E73D5F">
      <w:pPr>
        <w:pBdr>
          <w:top w:val="nil"/>
          <w:left w:val="nil"/>
          <w:bottom w:val="nil"/>
          <w:right w:val="nil"/>
          <w:between w:val="nil"/>
        </w:pBdr>
        <w:rPr>
          <w:rFonts w:asciiTheme="majorHAnsi" w:hAnsiTheme="majorHAnsi" w:cstheme="majorHAnsi"/>
        </w:rPr>
      </w:pPr>
    </w:p>
    <w:p w14:paraId="14B663E6" w14:textId="66FAFE20" w:rsidR="00774D61" w:rsidRPr="0017030F" w:rsidRDefault="00774D61"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Importantly, this optimization step must be performed by each laboratory when implementing the method, because the required protein concentration depends on the activity of the microsome batch used</w:t>
      </w:r>
      <w:r w:rsidR="00BE1752" w:rsidRPr="0017030F">
        <w:rPr>
          <w:rFonts w:asciiTheme="majorHAnsi" w:hAnsiTheme="majorHAnsi" w:cstheme="majorHAnsi"/>
        </w:rPr>
        <w:t xml:space="preserve">, </w:t>
      </w:r>
      <w:r w:rsidRPr="0017030F">
        <w:rPr>
          <w:rFonts w:asciiTheme="majorHAnsi" w:hAnsiTheme="majorHAnsi" w:cstheme="majorHAnsi"/>
        </w:rPr>
        <w:t>necessitating batch</w:t>
      </w:r>
      <w:r w:rsidRPr="0017030F">
        <w:rPr>
          <w:rFonts w:ascii="Cambria Math" w:hAnsi="Cambria Math" w:cs="Cambria Math"/>
        </w:rPr>
        <w:t>‑</w:t>
      </w:r>
      <w:r w:rsidRPr="0017030F">
        <w:rPr>
          <w:rFonts w:asciiTheme="majorHAnsi" w:hAnsiTheme="majorHAnsi" w:cstheme="majorHAnsi"/>
        </w:rPr>
        <w:t>specific standardization of enzyme concentration.</w:t>
      </w:r>
    </w:p>
    <w:p w14:paraId="26F098CD" w14:textId="77777777" w:rsidR="007E62E9" w:rsidRPr="0017030F" w:rsidRDefault="007E62E9" w:rsidP="00E73D5F">
      <w:pPr>
        <w:pBdr>
          <w:top w:val="nil"/>
          <w:left w:val="nil"/>
          <w:bottom w:val="nil"/>
          <w:right w:val="nil"/>
          <w:between w:val="nil"/>
        </w:pBdr>
        <w:rPr>
          <w:rFonts w:asciiTheme="majorHAnsi" w:hAnsiTheme="majorHAnsi" w:cstheme="majorHAnsi"/>
        </w:rPr>
      </w:pPr>
    </w:p>
    <w:p w14:paraId="762B6F12" w14:textId="77777777" w:rsidR="007E62E9" w:rsidRPr="0017030F" w:rsidRDefault="007E62E9"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 xml:space="preserve">[Place </w:t>
      </w:r>
      <w:r w:rsidRPr="0017030F">
        <w:rPr>
          <w:rFonts w:asciiTheme="majorHAnsi" w:hAnsiTheme="majorHAnsi" w:cstheme="majorHAnsi"/>
          <w:b/>
        </w:rPr>
        <w:t>Figure 7</w:t>
      </w:r>
      <w:r w:rsidRPr="0017030F">
        <w:rPr>
          <w:rFonts w:asciiTheme="majorHAnsi" w:hAnsiTheme="majorHAnsi" w:cstheme="majorHAnsi"/>
        </w:rPr>
        <w:t xml:space="preserve"> here]</w:t>
      </w:r>
    </w:p>
    <w:p w14:paraId="00BD7F2E" w14:textId="77777777" w:rsidR="00774D61" w:rsidRPr="0017030F" w:rsidRDefault="00774D61" w:rsidP="00E73D5F">
      <w:pPr>
        <w:pBdr>
          <w:top w:val="nil"/>
          <w:left w:val="nil"/>
          <w:bottom w:val="nil"/>
          <w:right w:val="nil"/>
          <w:between w:val="nil"/>
        </w:pBdr>
        <w:rPr>
          <w:rFonts w:asciiTheme="majorHAnsi" w:hAnsiTheme="majorHAnsi" w:cstheme="majorHAnsi"/>
        </w:rPr>
      </w:pPr>
    </w:p>
    <w:p w14:paraId="60629D3B" w14:textId="6ECE3CEC" w:rsidR="00774D61" w:rsidRPr="0017030F" w:rsidRDefault="00774D61"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Once the workflow and standardization steps (</w:t>
      </w:r>
      <w:r w:rsidRPr="00E73D5F">
        <w:rPr>
          <w:rFonts w:asciiTheme="majorHAnsi" w:hAnsiTheme="majorHAnsi" w:cstheme="majorHAnsi"/>
          <w:b/>
          <w:bCs/>
        </w:rPr>
        <w:t>Figure 6</w:t>
      </w:r>
      <w:r w:rsidRPr="0017030F">
        <w:rPr>
          <w:rFonts w:asciiTheme="majorHAnsi" w:hAnsiTheme="majorHAnsi" w:cstheme="majorHAnsi"/>
        </w:rPr>
        <w:t>) have been completed and an appropriate microsomal protein concentration has been established for the selected microsome batch (</w:t>
      </w:r>
      <w:r w:rsidRPr="00E73D5F">
        <w:rPr>
          <w:rFonts w:asciiTheme="majorHAnsi" w:hAnsiTheme="majorHAnsi" w:cstheme="majorHAnsi"/>
          <w:b/>
          <w:bCs/>
        </w:rPr>
        <w:t>Figure 7</w:t>
      </w:r>
      <w:r w:rsidRPr="0017030F">
        <w:rPr>
          <w:rFonts w:asciiTheme="majorHAnsi" w:hAnsiTheme="majorHAnsi" w:cstheme="majorHAnsi"/>
        </w:rPr>
        <w:t>), the core assay parameters are in place to proceed with routine substance testing. At this stage, test items can be evaluated alongside the plate control set (reference item, solvent control, and positive/negative controls) in the standardized plate format, enabling robust normalization and consistent interpretation of inhibition profiles.</w:t>
      </w:r>
    </w:p>
    <w:p w14:paraId="6F1A9615" w14:textId="77777777" w:rsidR="00E1008B" w:rsidRPr="0017030F" w:rsidRDefault="00E1008B" w:rsidP="00E73D5F">
      <w:pPr>
        <w:pBdr>
          <w:top w:val="nil"/>
          <w:left w:val="nil"/>
          <w:bottom w:val="nil"/>
          <w:right w:val="nil"/>
          <w:between w:val="nil"/>
        </w:pBdr>
        <w:rPr>
          <w:rFonts w:asciiTheme="majorHAnsi" w:hAnsiTheme="majorHAnsi" w:cstheme="majorHAnsi"/>
        </w:rPr>
      </w:pPr>
    </w:p>
    <w:p w14:paraId="01D8FE5E" w14:textId="7AD0FA5F" w:rsidR="00D34DC6" w:rsidRPr="0017030F" w:rsidRDefault="00D34DC6" w:rsidP="00E73D5F">
      <w:pPr>
        <w:pBdr>
          <w:top w:val="nil"/>
          <w:left w:val="nil"/>
          <w:bottom w:val="nil"/>
          <w:right w:val="nil"/>
          <w:between w:val="nil"/>
        </w:pBdr>
        <w:rPr>
          <w:rFonts w:asciiTheme="majorHAnsi" w:hAnsiTheme="majorHAnsi" w:cstheme="majorHAnsi"/>
        </w:rPr>
      </w:pPr>
      <w:r w:rsidRPr="00E73D5F">
        <w:rPr>
          <w:rFonts w:asciiTheme="majorHAnsi" w:hAnsiTheme="majorHAnsi" w:cstheme="majorHAnsi"/>
          <w:b/>
          <w:bCs/>
        </w:rPr>
        <w:t>Figure 8</w:t>
      </w:r>
      <w:r w:rsidRPr="0017030F">
        <w:rPr>
          <w:rFonts w:asciiTheme="majorHAnsi" w:hAnsiTheme="majorHAnsi" w:cstheme="majorHAnsi"/>
        </w:rPr>
        <w:t xml:space="preserve"> demonstrates assay discrimination based on concentration–response behavior in iodide release activity (IRA). The reference inhibitor </w:t>
      </w:r>
      <w:r w:rsidR="00E77FDD" w:rsidRPr="0017030F">
        <w:rPr>
          <w:rFonts w:asciiTheme="majorHAnsi" w:hAnsiTheme="majorHAnsi" w:cstheme="majorHAnsi"/>
          <w:bCs/>
        </w:rPr>
        <w:t>6-PTU (Figure 8A) shows a concentration-dependent decrease in IRA, providing the expected sigmoidal inhibition profile, as expected for assay performance verification</w:t>
      </w:r>
      <w:r w:rsidRPr="0017030F">
        <w:rPr>
          <w:rFonts w:asciiTheme="majorHAnsi" w:hAnsiTheme="majorHAnsi" w:cstheme="majorHAnsi"/>
        </w:rPr>
        <w:t xml:space="preserve">. </w:t>
      </w:r>
      <w:r w:rsidRPr="0017030F">
        <w:rPr>
          <w:rFonts w:asciiTheme="majorHAnsi" w:hAnsiTheme="majorHAnsi" w:cstheme="majorHAnsi"/>
          <w:bCs/>
        </w:rPr>
        <w:t>Tannic acid</w:t>
      </w:r>
      <w:r w:rsidRPr="0017030F">
        <w:rPr>
          <w:rFonts w:asciiTheme="majorHAnsi" w:hAnsiTheme="majorHAnsi" w:cstheme="majorHAnsi"/>
        </w:rPr>
        <w:t xml:space="preserve"> (</w:t>
      </w:r>
      <w:r w:rsidR="00E1008B" w:rsidRPr="00E73D5F">
        <w:rPr>
          <w:rFonts w:asciiTheme="majorHAnsi" w:hAnsiTheme="majorHAnsi" w:cstheme="majorHAnsi"/>
          <w:b/>
          <w:bCs/>
        </w:rPr>
        <w:t>Figure 8B</w:t>
      </w:r>
      <w:r w:rsidRPr="0017030F">
        <w:rPr>
          <w:rFonts w:asciiTheme="majorHAnsi" w:hAnsiTheme="majorHAnsi" w:cstheme="majorHAnsi"/>
        </w:rPr>
        <w:t>) displays an inhibitory profile that is comparable to the reference inhibitor (max</w:t>
      </w:r>
      <w:r w:rsidR="00E77FDD" w:rsidRPr="0017030F">
        <w:rPr>
          <w:rFonts w:asciiTheme="majorHAnsi" w:hAnsiTheme="majorHAnsi" w:cstheme="majorHAnsi"/>
        </w:rPr>
        <w:t>imum</w:t>
      </w:r>
      <w:r w:rsidRPr="0017030F">
        <w:rPr>
          <w:rFonts w:asciiTheme="majorHAnsi" w:hAnsiTheme="majorHAnsi" w:cstheme="majorHAnsi"/>
        </w:rPr>
        <w:t xml:space="preserve"> inhibition &gt;</w:t>
      </w:r>
      <w:r w:rsidR="00E77FDD" w:rsidRPr="0017030F">
        <w:rPr>
          <w:rFonts w:asciiTheme="majorHAnsi" w:hAnsiTheme="majorHAnsi" w:cstheme="majorHAnsi"/>
        </w:rPr>
        <w:t xml:space="preserve"> </w:t>
      </w:r>
      <w:r w:rsidRPr="0017030F">
        <w:rPr>
          <w:rFonts w:asciiTheme="majorHAnsi" w:hAnsiTheme="majorHAnsi" w:cstheme="majorHAnsi"/>
        </w:rPr>
        <w:t>90%) under the shown conditions</w:t>
      </w:r>
      <w:r w:rsidR="00DB6951" w:rsidRPr="0017030F">
        <w:rPr>
          <w:rFonts w:asciiTheme="majorHAnsi" w:hAnsiTheme="majorHAnsi" w:cstheme="majorHAnsi"/>
        </w:rPr>
        <w:t xml:space="preserve">. </w:t>
      </w:r>
      <w:r w:rsidR="00DB6951" w:rsidRPr="00E73D5F">
        <w:rPr>
          <w:rFonts w:asciiTheme="majorHAnsi" w:hAnsiTheme="majorHAnsi" w:cstheme="majorHAnsi"/>
        </w:rPr>
        <w:t xml:space="preserve">The three highest concentrations of </w:t>
      </w:r>
      <w:proofErr w:type="gramStart"/>
      <w:r w:rsidR="00DB6951" w:rsidRPr="00E73D5F">
        <w:rPr>
          <w:rFonts w:asciiTheme="majorHAnsi" w:hAnsiTheme="majorHAnsi" w:cstheme="majorHAnsi"/>
        </w:rPr>
        <w:t>the test</w:t>
      </w:r>
      <w:proofErr w:type="gramEnd"/>
      <w:r w:rsidR="00DB6951" w:rsidRPr="00E73D5F">
        <w:rPr>
          <w:rFonts w:asciiTheme="majorHAnsi" w:hAnsiTheme="majorHAnsi" w:cstheme="majorHAnsi"/>
        </w:rPr>
        <w:t xml:space="preserve"> substance exhibited negative IRA </w:t>
      </w:r>
      <w:r w:rsidR="00C03BC1" w:rsidRPr="00E73D5F">
        <w:rPr>
          <w:rFonts w:asciiTheme="majorHAnsi" w:hAnsiTheme="majorHAnsi" w:cstheme="majorHAnsi"/>
        </w:rPr>
        <w:t>values</w:t>
      </w:r>
      <w:r w:rsidR="00DB6951" w:rsidRPr="00E73D5F">
        <w:rPr>
          <w:rFonts w:asciiTheme="majorHAnsi" w:hAnsiTheme="majorHAnsi" w:cstheme="majorHAnsi"/>
        </w:rPr>
        <w:t xml:space="preserve">. </w:t>
      </w:r>
      <w:r w:rsidR="00DB6951" w:rsidRPr="0017030F">
        <w:rPr>
          <w:rFonts w:asciiTheme="majorHAnsi" w:hAnsiTheme="majorHAnsi" w:cstheme="majorHAnsi"/>
        </w:rPr>
        <w:t>IRA values &lt;0</w:t>
      </w:r>
      <w:r w:rsidR="00EF03D9" w:rsidRPr="0017030F">
        <w:rPr>
          <w:rFonts w:asciiTheme="majorHAnsi" w:hAnsiTheme="majorHAnsi" w:cstheme="majorHAnsi"/>
        </w:rPr>
        <w:t> </w:t>
      </w:r>
      <w:r w:rsidR="00DB6951" w:rsidRPr="0017030F">
        <w:rPr>
          <w:rFonts w:asciiTheme="majorHAnsi" w:hAnsiTheme="majorHAnsi" w:cstheme="majorHAnsi"/>
        </w:rPr>
        <w:t>% do not reflect a biologically meaningful ‘negative iodide release’ but arise from the calculation procedure (background subtraction and normalization to the solvent control), which can propagate small fluctuations in the solvent control into negative normalized values. Accordingly, IRA values below 0% are considered equivalent to 0% (baseline) for result interpretation.</w:t>
      </w:r>
      <w:r w:rsidR="00C03BC1" w:rsidRPr="0017030F">
        <w:rPr>
          <w:rFonts w:asciiTheme="majorHAnsi" w:hAnsiTheme="majorHAnsi" w:cstheme="majorHAnsi"/>
        </w:rPr>
        <w:t xml:space="preserve"> </w:t>
      </w:r>
      <w:proofErr w:type="spellStart"/>
      <w:r w:rsidR="00C03BC1" w:rsidRPr="0017030F">
        <w:rPr>
          <w:rFonts w:asciiTheme="majorHAnsi" w:hAnsiTheme="majorHAnsi" w:cstheme="majorHAnsi"/>
          <w:bCs/>
        </w:rPr>
        <w:t>D</w:t>
      </w:r>
      <w:r w:rsidRPr="0017030F">
        <w:rPr>
          <w:rFonts w:asciiTheme="majorHAnsi" w:hAnsiTheme="majorHAnsi" w:cstheme="majorHAnsi"/>
          <w:bCs/>
        </w:rPr>
        <w:t>ibutylphthalate</w:t>
      </w:r>
      <w:proofErr w:type="spellEnd"/>
      <w:r w:rsidRPr="0017030F">
        <w:rPr>
          <w:rFonts w:asciiTheme="majorHAnsi" w:hAnsiTheme="majorHAnsi" w:cstheme="majorHAnsi"/>
        </w:rPr>
        <w:t xml:space="preserve"> (</w:t>
      </w:r>
      <w:r w:rsidR="00E77FDD" w:rsidRPr="00E73D5F">
        <w:rPr>
          <w:rFonts w:asciiTheme="majorHAnsi" w:hAnsiTheme="majorHAnsi" w:cstheme="majorHAnsi"/>
          <w:b/>
          <w:bCs/>
        </w:rPr>
        <w:t>Figure 8</w:t>
      </w:r>
      <w:r w:rsidRPr="00E73D5F">
        <w:rPr>
          <w:rFonts w:asciiTheme="majorHAnsi" w:hAnsiTheme="majorHAnsi" w:cstheme="majorHAnsi"/>
          <w:b/>
          <w:bCs/>
        </w:rPr>
        <w:t>C</w:t>
      </w:r>
      <w:r w:rsidRPr="0017030F">
        <w:rPr>
          <w:rFonts w:asciiTheme="majorHAnsi" w:hAnsiTheme="majorHAnsi" w:cstheme="majorHAnsi"/>
        </w:rPr>
        <w:t>) exhibits no inhibition (max. inhibition below 25%) across the tested concentration range, representing a non</w:t>
      </w:r>
      <w:r w:rsidRPr="0017030F">
        <w:rPr>
          <w:rFonts w:asciiTheme="majorHAnsi" w:hAnsiTheme="majorHAnsi" w:cstheme="majorHAnsi"/>
        </w:rPr>
        <w:noBreakHyphen/>
        <w:t>inhibitor profile. Together, these profiles illustrate that the assay can differentiate inhibitory from non</w:t>
      </w:r>
      <w:r w:rsidRPr="0017030F">
        <w:rPr>
          <w:rFonts w:asciiTheme="majorHAnsi" w:hAnsiTheme="majorHAnsi" w:cstheme="majorHAnsi"/>
        </w:rPr>
        <w:noBreakHyphen/>
        <w:t xml:space="preserve">inhibitory </w:t>
      </w:r>
      <w:r w:rsidR="00E77FDD" w:rsidRPr="0017030F">
        <w:rPr>
          <w:rFonts w:asciiTheme="majorHAnsi" w:hAnsiTheme="majorHAnsi" w:cstheme="majorHAnsi"/>
        </w:rPr>
        <w:t>behavior</w:t>
      </w:r>
      <w:r w:rsidRPr="0017030F">
        <w:rPr>
          <w:rFonts w:asciiTheme="majorHAnsi" w:hAnsiTheme="majorHAnsi" w:cstheme="majorHAnsi"/>
        </w:rPr>
        <w:t xml:space="preserve"> under standardized conditions. </w:t>
      </w:r>
      <w:r w:rsidR="007B2436" w:rsidRPr="00E73D5F">
        <w:rPr>
          <w:rFonts w:asciiTheme="majorHAnsi" w:hAnsiTheme="majorHAnsi" w:cstheme="majorHAnsi"/>
        </w:rPr>
        <w:t xml:space="preserve">The test system can also identify partial inhibitors, which show maximum inhibition levels between 25% and 90% (data not shown). Further details about how </w:t>
      </w:r>
      <w:r w:rsidR="007B2436" w:rsidRPr="00E73D5F">
        <w:rPr>
          <w:rFonts w:asciiTheme="majorHAnsi" w:hAnsiTheme="majorHAnsi" w:cstheme="majorHAnsi"/>
        </w:rPr>
        <w:lastRenderedPageBreak/>
        <w:t xml:space="preserve">these are categorized can be found in </w:t>
      </w:r>
      <w:r w:rsidR="00E77FDD" w:rsidRPr="00E73D5F">
        <w:rPr>
          <w:rFonts w:asciiTheme="majorHAnsi" w:hAnsiTheme="majorHAnsi" w:cstheme="majorHAnsi"/>
          <w:b/>
          <w:bCs/>
        </w:rPr>
        <w:t>T</w:t>
      </w:r>
      <w:r w:rsidR="007B2436" w:rsidRPr="00E73D5F">
        <w:rPr>
          <w:rFonts w:asciiTheme="majorHAnsi" w:hAnsiTheme="majorHAnsi" w:cstheme="majorHAnsi"/>
          <w:b/>
          <w:bCs/>
        </w:rPr>
        <w:t>able 5</w:t>
      </w:r>
      <w:r w:rsidR="007B2436" w:rsidRPr="00E73D5F">
        <w:rPr>
          <w:rFonts w:asciiTheme="majorHAnsi" w:hAnsiTheme="majorHAnsi" w:cstheme="majorHAnsi"/>
        </w:rPr>
        <w:t>.</w:t>
      </w:r>
    </w:p>
    <w:p w14:paraId="74B9FE99" w14:textId="77777777" w:rsidR="008F5A50" w:rsidRPr="00E73D5F" w:rsidRDefault="008F5A50" w:rsidP="00E73D5F">
      <w:pPr>
        <w:pBdr>
          <w:top w:val="nil"/>
          <w:left w:val="nil"/>
          <w:bottom w:val="nil"/>
          <w:right w:val="nil"/>
          <w:between w:val="nil"/>
        </w:pBdr>
        <w:rPr>
          <w:rFonts w:asciiTheme="majorHAnsi" w:hAnsiTheme="majorHAnsi" w:cstheme="majorHAnsi"/>
        </w:rPr>
      </w:pPr>
    </w:p>
    <w:p w14:paraId="1F9CD3F2" w14:textId="77777777" w:rsidR="008F5A50" w:rsidRPr="0017030F" w:rsidRDefault="008F5A50"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 xml:space="preserve">[Place </w:t>
      </w:r>
      <w:r w:rsidRPr="0017030F">
        <w:rPr>
          <w:rFonts w:asciiTheme="majorHAnsi" w:hAnsiTheme="majorHAnsi" w:cstheme="majorHAnsi"/>
          <w:b/>
        </w:rPr>
        <w:t>Figure 8</w:t>
      </w:r>
      <w:r w:rsidRPr="0017030F">
        <w:rPr>
          <w:rFonts w:asciiTheme="majorHAnsi" w:hAnsiTheme="majorHAnsi" w:cstheme="majorHAnsi"/>
        </w:rPr>
        <w:t xml:space="preserve"> here]</w:t>
      </w:r>
    </w:p>
    <w:p w14:paraId="431F16F2" w14:textId="77777777" w:rsidR="007B2436" w:rsidRPr="00E73D5F" w:rsidRDefault="007B2436" w:rsidP="00E73D5F">
      <w:pPr>
        <w:pBdr>
          <w:top w:val="nil"/>
          <w:left w:val="nil"/>
          <w:bottom w:val="nil"/>
          <w:right w:val="nil"/>
          <w:between w:val="nil"/>
        </w:pBdr>
        <w:rPr>
          <w:rFonts w:asciiTheme="majorHAnsi" w:hAnsiTheme="majorHAnsi" w:cstheme="majorHAnsi"/>
        </w:rPr>
      </w:pPr>
    </w:p>
    <w:p w14:paraId="5F2EB751" w14:textId="3E220F3D" w:rsidR="003215E5" w:rsidRPr="0017030F" w:rsidRDefault="003215E5"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In a valid assay run, solvent controls (SC) show a clear ΔOD</w:t>
      </w:r>
      <w:r w:rsidRPr="00E73D5F">
        <w:rPr>
          <w:rFonts w:asciiTheme="majorHAnsi" w:hAnsiTheme="majorHAnsi" w:cstheme="majorHAnsi"/>
          <w:vertAlign w:val="subscript"/>
        </w:rPr>
        <w:t>21min</w:t>
      </w:r>
      <w:r w:rsidRPr="0017030F">
        <w:rPr>
          <w:rFonts w:asciiTheme="majorHAnsi" w:hAnsiTheme="majorHAnsi" w:cstheme="majorHAnsi"/>
        </w:rPr>
        <w:t xml:space="preserve"> signal separation from the fully inhibited reference condition (6</w:t>
      </w:r>
      <w:r w:rsidRPr="0017030F">
        <w:rPr>
          <w:rFonts w:asciiTheme="majorHAnsi" w:hAnsiTheme="majorHAnsi" w:cstheme="majorHAnsi"/>
        </w:rPr>
        <w:noBreakHyphen/>
        <w:t>PTU, RI</w:t>
      </w:r>
      <w:r w:rsidRPr="0017030F">
        <w:rPr>
          <w:rFonts w:asciiTheme="majorHAnsi" w:hAnsiTheme="majorHAnsi" w:cstheme="majorHAnsi"/>
        </w:rPr>
        <w:noBreakHyphen/>
        <w:t>C8). In an example dataset</w:t>
      </w:r>
      <w:r w:rsidR="00656770" w:rsidRPr="0017030F">
        <w:rPr>
          <w:rFonts w:asciiTheme="majorHAnsi" w:hAnsiTheme="majorHAnsi" w:cstheme="majorHAnsi"/>
        </w:rPr>
        <w:t xml:space="preserve"> (10 independent runs)</w:t>
      </w:r>
      <w:r w:rsidRPr="0017030F">
        <w:rPr>
          <w:rFonts w:asciiTheme="majorHAnsi" w:hAnsiTheme="majorHAnsi" w:cstheme="majorHAnsi"/>
        </w:rPr>
        <w:t xml:space="preserve">, each plate included </w:t>
      </w:r>
      <w:r w:rsidRPr="0017030F">
        <w:rPr>
          <w:rFonts w:asciiTheme="majorHAnsi" w:hAnsiTheme="majorHAnsi" w:cstheme="majorHAnsi"/>
          <w:bCs/>
        </w:rPr>
        <w:t>n = 9 technical replicates</w:t>
      </w:r>
      <w:r w:rsidRPr="0017030F">
        <w:rPr>
          <w:rFonts w:asciiTheme="majorHAnsi" w:hAnsiTheme="majorHAnsi" w:cstheme="majorHAnsi"/>
        </w:rPr>
        <w:t xml:space="preserve"> for SC and the fully inhibited reference (6</w:t>
      </w:r>
      <w:r w:rsidRPr="0017030F">
        <w:rPr>
          <w:rFonts w:asciiTheme="majorHAnsi" w:hAnsiTheme="majorHAnsi" w:cstheme="majorHAnsi"/>
        </w:rPr>
        <w:noBreakHyphen/>
        <w:t>PTU at 10</w:t>
      </w:r>
      <w:r w:rsidRPr="0017030F">
        <w:rPr>
          <w:rFonts w:asciiTheme="majorHAnsi" w:hAnsiTheme="majorHAnsi" w:cstheme="majorHAnsi"/>
          <w:vertAlign w:val="superscript"/>
        </w:rPr>
        <w:t>−3</w:t>
      </w:r>
      <w:r w:rsidR="00907773" w:rsidRPr="0017030F">
        <w:rPr>
          <w:rFonts w:asciiTheme="majorHAnsi" w:hAnsiTheme="majorHAnsi" w:cstheme="majorHAnsi"/>
        </w:rPr>
        <w:t> </w:t>
      </w:r>
      <w:r w:rsidRPr="0017030F">
        <w:rPr>
          <w:rFonts w:asciiTheme="majorHAnsi" w:hAnsiTheme="majorHAnsi" w:cstheme="majorHAnsi"/>
        </w:rPr>
        <w:t xml:space="preserve">M). </w:t>
      </w:r>
      <w:r w:rsidRPr="0017030F">
        <w:rPr>
          <w:rFonts w:asciiTheme="majorHAnsi" w:hAnsiTheme="majorHAnsi" w:cstheme="majorHAnsi"/>
          <w:bCs/>
        </w:rPr>
        <w:t>Across plates, the plate</w:t>
      </w:r>
      <w:r w:rsidRPr="0017030F">
        <w:rPr>
          <w:rFonts w:asciiTheme="majorHAnsi" w:hAnsiTheme="majorHAnsi" w:cstheme="majorHAnsi"/>
          <w:bCs/>
        </w:rPr>
        <w:noBreakHyphen/>
        <w:t>mean</w:t>
      </w:r>
      <w:r w:rsidRPr="0017030F">
        <w:rPr>
          <w:rFonts w:asciiTheme="majorHAnsi" w:hAnsiTheme="majorHAnsi" w:cstheme="majorHAnsi"/>
        </w:rPr>
        <w:t xml:space="preserve"> SC ΔOD</w:t>
      </w:r>
      <w:r w:rsidRPr="00E73D5F">
        <w:rPr>
          <w:rFonts w:asciiTheme="majorHAnsi" w:hAnsiTheme="majorHAnsi" w:cstheme="majorHAnsi"/>
          <w:vertAlign w:val="subscript"/>
        </w:rPr>
        <w:t>21min</w:t>
      </w:r>
      <w:r w:rsidRPr="0017030F">
        <w:rPr>
          <w:rFonts w:asciiTheme="majorHAnsi" w:hAnsiTheme="majorHAnsi" w:cstheme="majorHAnsi"/>
        </w:rPr>
        <w:t xml:space="preserve"> values ranged from </w:t>
      </w:r>
      <w:r w:rsidRPr="0017030F">
        <w:rPr>
          <w:rFonts w:asciiTheme="majorHAnsi" w:hAnsiTheme="majorHAnsi" w:cstheme="majorHAnsi"/>
          <w:bCs/>
        </w:rPr>
        <w:t>1.383 to 1.819</w:t>
      </w:r>
      <w:r w:rsidRPr="0017030F">
        <w:rPr>
          <w:rFonts w:asciiTheme="majorHAnsi" w:hAnsiTheme="majorHAnsi" w:cstheme="majorHAnsi"/>
        </w:rPr>
        <w:t xml:space="preserve"> (mean ± SD: </w:t>
      </w:r>
      <w:r w:rsidRPr="0017030F">
        <w:rPr>
          <w:rFonts w:asciiTheme="majorHAnsi" w:hAnsiTheme="majorHAnsi" w:cstheme="majorHAnsi"/>
          <w:bCs/>
        </w:rPr>
        <w:t>1.565 ± 0.114</w:t>
      </w:r>
      <w:r w:rsidRPr="0017030F">
        <w:rPr>
          <w:rFonts w:asciiTheme="majorHAnsi" w:hAnsiTheme="majorHAnsi" w:cstheme="majorHAnsi"/>
        </w:rPr>
        <w:t xml:space="preserve">), whereas the </w:t>
      </w:r>
      <w:r w:rsidRPr="0017030F">
        <w:rPr>
          <w:rFonts w:asciiTheme="majorHAnsi" w:hAnsiTheme="majorHAnsi" w:cstheme="majorHAnsi"/>
          <w:bCs/>
        </w:rPr>
        <w:t>plate</w:t>
      </w:r>
      <w:r w:rsidRPr="0017030F">
        <w:rPr>
          <w:rFonts w:asciiTheme="majorHAnsi" w:hAnsiTheme="majorHAnsi" w:cstheme="majorHAnsi"/>
          <w:bCs/>
        </w:rPr>
        <w:noBreakHyphen/>
        <w:t>mean</w:t>
      </w:r>
      <w:r w:rsidRPr="0017030F">
        <w:rPr>
          <w:rFonts w:asciiTheme="majorHAnsi" w:hAnsiTheme="majorHAnsi" w:cstheme="majorHAnsi"/>
        </w:rPr>
        <w:t xml:space="preserve"> ΔOD</w:t>
      </w:r>
      <w:r w:rsidRPr="00E73D5F">
        <w:rPr>
          <w:rFonts w:asciiTheme="majorHAnsi" w:hAnsiTheme="majorHAnsi" w:cstheme="majorHAnsi"/>
          <w:vertAlign w:val="subscript"/>
        </w:rPr>
        <w:t>21min</w:t>
      </w:r>
      <w:r w:rsidRPr="0017030F">
        <w:rPr>
          <w:rFonts w:asciiTheme="majorHAnsi" w:hAnsiTheme="majorHAnsi" w:cstheme="majorHAnsi"/>
        </w:rPr>
        <w:t xml:space="preserve"> values for the inhibited 6</w:t>
      </w:r>
      <w:r w:rsidRPr="0017030F">
        <w:rPr>
          <w:rFonts w:asciiTheme="majorHAnsi" w:hAnsiTheme="majorHAnsi" w:cstheme="majorHAnsi"/>
        </w:rPr>
        <w:noBreakHyphen/>
        <w:t xml:space="preserve">PTU condition ranged from </w:t>
      </w:r>
      <w:r w:rsidRPr="0017030F">
        <w:rPr>
          <w:rFonts w:asciiTheme="majorHAnsi" w:hAnsiTheme="majorHAnsi" w:cstheme="majorHAnsi"/>
          <w:bCs/>
        </w:rPr>
        <w:t>0.258 to 0.771</w:t>
      </w:r>
      <w:r w:rsidRPr="0017030F">
        <w:rPr>
          <w:rFonts w:asciiTheme="majorHAnsi" w:hAnsiTheme="majorHAnsi" w:cstheme="majorHAnsi"/>
        </w:rPr>
        <w:t xml:space="preserve"> (mean ± SD: </w:t>
      </w:r>
      <w:r w:rsidRPr="0017030F">
        <w:rPr>
          <w:rFonts w:asciiTheme="majorHAnsi" w:hAnsiTheme="majorHAnsi" w:cstheme="majorHAnsi"/>
          <w:bCs/>
        </w:rPr>
        <w:t>0.473 ± 0.087</w:t>
      </w:r>
      <w:r w:rsidRPr="0017030F">
        <w:rPr>
          <w:rFonts w:asciiTheme="majorHAnsi" w:hAnsiTheme="majorHAnsi" w:cstheme="majorHAnsi"/>
        </w:rPr>
        <w:t>). The calculation of ΔOD in this assay is based on the difference between OD</w:t>
      </w:r>
      <w:r w:rsidRPr="00E73D5F">
        <w:rPr>
          <w:rFonts w:asciiTheme="majorHAnsi" w:hAnsiTheme="majorHAnsi" w:cstheme="majorHAnsi"/>
          <w:vertAlign w:val="subscript"/>
        </w:rPr>
        <w:t>0min</w:t>
      </w:r>
      <w:r w:rsidRPr="0017030F">
        <w:rPr>
          <w:rFonts w:asciiTheme="majorHAnsi" w:hAnsiTheme="majorHAnsi" w:cstheme="majorHAnsi"/>
        </w:rPr>
        <w:t xml:space="preserve"> and OD</w:t>
      </w:r>
      <w:r w:rsidRPr="00E73D5F">
        <w:rPr>
          <w:rFonts w:asciiTheme="majorHAnsi" w:hAnsiTheme="majorHAnsi" w:cstheme="majorHAnsi"/>
          <w:vertAlign w:val="subscript"/>
        </w:rPr>
        <w:t>21min</w:t>
      </w:r>
      <w:r w:rsidRPr="0017030F">
        <w:rPr>
          <w:rFonts w:asciiTheme="majorHAnsi" w:hAnsiTheme="majorHAnsi" w:cstheme="majorHAnsi"/>
        </w:rPr>
        <w:t>, and assay validity is commonly supported by a z′</w:t>
      </w:r>
      <w:r w:rsidRPr="0017030F">
        <w:rPr>
          <w:rFonts w:asciiTheme="majorHAnsi" w:hAnsiTheme="majorHAnsi" w:cstheme="majorHAnsi"/>
        </w:rPr>
        <w:noBreakHyphen/>
        <w:t>factor threshold of &gt;0.5.</w:t>
      </w:r>
    </w:p>
    <w:p w14:paraId="6DBC8FE0" w14:textId="77777777" w:rsidR="00D3234D" w:rsidRPr="0017030F" w:rsidRDefault="00D3234D" w:rsidP="00E73D5F">
      <w:pPr>
        <w:pBdr>
          <w:top w:val="nil"/>
          <w:left w:val="nil"/>
          <w:bottom w:val="nil"/>
          <w:right w:val="nil"/>
          <w:between w:val="nil"/>
        </w:pBdr>
        <w:rPr>
          <w:rFonts w:asciiTheme="majorHAnsi" w:hAnsiTheme="majorHAnsi" w:cstheme="majorHAnsi"/>
        </w:rPr>
      </w:pPr>
    </w:p>
    <w:p w14:paraId="1089FC9C" w14:textId="50CE8260" w:rsidR="00E34BBD" w:rsidRPr="0017030F" w:rsidRDefault="003215E5"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 xml:space="preserve">Across </w:t>
      </w:r>
      <w:r w:rsidR="00E34BBD" w:rsidRPr="0017030F">
        <w:rPr>
          <w:rFonts w:asciiTheme="majorHAnsi" w:hAnsiTheme="majorHAnsi" w:cstheme="majorHAnsi"/>
        </w:rPr>
        <w:t xml:space="preserve">10 </w:t>
      </w:r>
      <w:r w:rsidRPr="0017030F">
        <w:rPr>
          <w:rFonts w:asciiTheme="majorHAnsi" w:hAnsiTheme="majorHAnsi" w:cstheme="majorHAnsi"/>
        </w:rPr>
        <w:t>independent assay runs</w:t>
      </w:r>
      <w:r w:rsidR="00E34BBD" w:rsidRPr="0017030F">
        <w:rPr>
          <w:rFonts w:asciiTheme="majorHAnsi" w:hAnsiTheme="majorHAnsi" w:cstheme="majorHAnsi"/>
        </w:rPr>
        <w:t>,</w:t>
      </w:r>
      <w:r w:rsidRPr="0017030F">
        <w:rPr>
          <w:rFonts w:asciiTheme="majorHAnsi" w:hAnsiTheme="majorHAnsi" w:cstheme="majorHAnsi"/>
        </w:rPr>
        <w:t xml:space="preserve"> 6</w:t>
      </w:r>
      <w:r w:rsidRPr="0017030F">
        <w:rPr>
          <w:rFonts w:asciiTheme="majorHAnsi" w:hAnsiTheme="majorHAnsi" w:cstheme="majorHAnsi"/>
        </w:rPr>
        <w:noBreakHyphen/>
        <w:t>PTU produced a sigmoidal concentration</w:t>
      </w:r>
      <w:r w:rsidR="00E34BBD" w:rsidRPr="0017030F">
        <w:rPr>
          <w:rFonts w:asciiTheme="majorHAnsi" w:hAnsiTheme="majorHAnsi" w:cstheme="majorHAnsi"/>
        </w:rPr>
        <w:t>-</w:t>
      </w:r>
      <w:r w:rsidRPr="0017030F">
        <w:rPr>
          <w:rFonts w:asciiTheme="majorHAnsi" w:hAnsiTheme="majorHAnsi" w:cstheme="majorHAnsi"/>
        </w:rPr>
        <w:t>response curve with IC</w:t>
      </w:r>
      <w:r w:rsidRPr="00E73D5F">
        <w:rPr>
          <w:rFonts w:asciiTheme="majorHAnsi" w:hAnsiTheme="majorHAnsi" w:cstheme="majorHAnsi"/>
          <w:vertAlign w:val="subscript"/>
        </w:rPr>
        <w:t>50</w:t>
      </w:r>
      <w:r w:rsidRPr="0017030F">
        <w:rPr>
          <w:rFonts w:asciiTheme="majorHAnsi" w:hAnsiTheme="majorHAnsi" w:cstheme="majorHAnsi"/>
        </w:rPr>
        <w:t xml:space="preserve"> values ranging </w:t>
      </w:r>
      <w:r w:rsidR="00907773" w:rsidRPr="0017030F">
        <w:rPr>
          <w:rFonts w:asciiTheme="majorHAnsi" w:hAnsiTheme="majorHAnsi" w:cstheme="majorHAnsi"/>
          <w:bCs/>
        </w:rPr>
        <w:t>1.20</w:t>
      </w:r>
      <w:r w:rsidRPr="0017030F">
        <w:rPr>
          <w:rFonts w:asciiTheme="majorHAnsi" w:hAnsiTheme="majorHAnsi" w:cstheme="majorHAnsi"/>
          <w:bCs/>
        </w:rPr>
        <w:t xml:space="preserve">E-06 M to </w:t>
      </w:r>
      <w:r w:rsidR="00907773" w:rsidRPr="0017030F">
        <w:rPr>
          <w:rFonts w:asciiTheme="majorHAnsi" w:hAnsiTheme="majorHAnsi" w:cstheme="majorHAnsi"/>
          <w:bCs/>
        </w:rPr>
        <w:t>5.02E</w:t>
      </w:r>
      <w:r w:rsidRPr="0017030F">
        <w:rPr>
          <w:rFonts w:asciiTheme="majorHAnsi" w:hAnsiTheme="majorHAnsi" w:cstheme="majorHAnsi"/>
          <w:bCs/>
        </w:rPr>
        <w:t>-0</w:t>
      </w:r>
      <w:r w:rsidR="00907773" w:rsidRPr="0017030F">
        <w:rPr>
          <w:rFonts w:asciiTheme="majorHAnsi" w:hAnsiTheme="majorHAnsi" w:cstheme="majorHAnsi"/>
          <w:bCs/>
        </w:rPr>
        <w:t>6</w:t>
      </w:r>
      <w:r w:rsidRPr="0017030F">
        <w:rPr>
          <w:rFonts w:asciiTheme="majorHAnsi" w:hAnsiTheme="majorHAnsi" w:cstheme="majorHAnsi"/>
          <w:bCs/>
        </w:rPr>
        <w:t xml:space="preserve"> M </w:t>
      </w:r>
      <w:r w:rsidRPr="0017030F">
        <w:rPr>
          <w:rFonts w:asciiTheme="majorHAnsi" w:hAnsiTheme="majorHAnsi" w:cstheme="majorHAnsi"/>
        </w:rPr>
        <w:t xml:space="preserve">(mean ± SD: </w:t>
      </w:r>
      <w:r w:rsidR="00907773" w:rsidRPr="0017030F">
        <w:rPr>
          <w:rFonts w:asciiTheme="majorHAnsi" w:hAnsiTheme="majorHAnsi" w:cstheme="majorHAnsi"/>
          <w:bCs/>
        </w:rPr>
        <w:t>2.74E-06</w:t>
      </w:r>
      <w:r w:rsidRPr="0017030F">
        <w:rPr>
          <w:rFonts w:asciiTheme="majorHAnsi" w:hAnsiTheme="majorHAnsi" w:cstheme="majorHAnsi"/>
          <w:bCs/>
        </w:rPr>
        <w:t xml:space="preserve"> M ± </w:t>
      </w:r>
      <w:r w:rsidR="00907773" w:rsidRPr="0017030F">
        <w:rPr>
          <w:rFonts w:asciiTheme="majorHAnsi" w:hAnsiTheme="majorHAnsi" w:cstheme="majorHAnsi"/>
          <w:bCs/>
        </w:rPr>
        <w:t>1.13</w:t>
      </w:r>
      <w:r w:rsidRPr="0017030F">
        <w:rPr>
          <w:rFonts w:asciiTheme="majorHAnsi" w:hAnsiTheme="majorHAnsi" w:cstheme="majorHAnsi"/>
          <w:bCs/>
        </w:rPr>
        <w:t>E-06 M</w:t>
      </w:r>
      <w:r w:rsidRPr="0017030F">
        <w:rPr>
          <w:rFonts w:asciiTheme="majorHAnsi" w:hAnsiTheme="majorHAnsi" w:cstheme="majorHAnsi"/>
        </w:rPr>
        <w:t xml:space="preserve">). </w:t>
      </w:r>
      <w:r w:rsidR="00E34BBD" w:rsidRPr="0017030F">
        <w:rPr>
          <w:rFonts w:asciiTheme="majorHAnsi" w:hAnsiTheme="majorHAnsi" w:cstheme="majorHAnsi"/>
        </w:rPr>
        <w:t>The acceptance criteria for the IC</w:t>
      </w:r>
      <w:r w:rsidR="00E34BBD" w:rsidRPr="00E73D5F">
        <w:rPr>
          <w:rFonts w:asciiTheme="majorHAnsi" w:hAnsiTheme="majorHAnsi" w:cstheme="majorHAnsi"/>
          <w:vertAlign w:val="subscript"/>
        </w:rPr>
        <w:t>50</w:t>
      </w:r>
      <w:r w:rsidR="00E34BBD" w:rsidRPr="0017030F">
        <w:rPr>
          <w:rFonts w:asciiTheme="majorHAnsi" w:hAnsiTheme="majorHAnsi" w:cstheme="majorHAnsi"/>
        </w:rPr>
        <w:t xml:space="preserve"> values </w:t>
      </w:r>
      <w:r w:rsidR="007E3CEC" w:rsidRPr="0017030F">
        <w:rPr>
          <w:rFonts w:asciiTheme="majorHAnsi" w:hAnsiTheme="majorHAnsi" w:cstheme="majorHAnsi"/>
        </w:rPr>
        <w:t>in the reference range of 1.00E-06 to 1.00E-05 are based on data from</w:t>
      </w:r>
      <w:r w:rsidR="00E34BBD" w:rsidRPr="0017030F">
        <w:rPr>
          <w:rFonts w:asciiTheme="majorHAnsi" w:hAnsiTheme="majorHAnsi" w:cstheme="majorHAnsi"/>
        </w:rPr>
        <w:t xml:space="preserve"> previous validation studies. </w:t>
      </w:r>
      <w:r w:rsidR="004357C9" w:rsidRPr="00E73D5F">
        <w:rPr>
          <w:rFonts w:asciiTheme="majorHAnsi" w:hAnsiTheme="majorHAnsi" w:cstheme="majorHAnsi"/>
        </w:rPr>
        <w:t>However, the IC</w:t>
      </w:r>
      <w:r w:rsidR="004357C9" w:rsidRPr="00E73D5F">
        <w:rPr>
          <w:rFonts w:asciiTheme="majorHAnsi" w:hAnsiTheme="majorHAnsi" w:cstheme="majorHAnsi"/>
          <w:vertAlign w:val="subscript"/>
        </w:rPr>
        <w:t>50</w:t>
      </w:r>
      <w:r w:rsidR="004357C9" w:rsidRPr="00E73D5F">
        <w:rPr>
          <w:rFonts w:asciiTheme="majorHAnsi" w:hAnsiTheme="majorHAnsi" w:cstheme="majorHAnsi"/>
        </w:rPr>
        <w:t xml:space="preserve"> values are significantly affected by the specific microsome batch </w:t>
      </w:r>
      <w:r w:rsidR="007E3CEC" w:rsidRPr="00E73D5F">
        <w:rPr>
          <w:rFonts w:asciiTheme="majorHAnsi" w:hAnsiTheme="majorHAnsi" w:cstheme="majorHAnsi"/>
        </w:rPr>
        <w:t xml:space="preserve">used and </w:t>
      </w:r>
      <w:r w:rsidR="004357C9" w:rsidRPr="00E73D5F">
        <w:rPr>
          <w:rFonts w:asciiTheme="majorHAnsi" w:hAnsiTheme="majorHAnsi" w:cstheme="majorHAnsi"/>
        </w:rPr>
        <w:t>may exhibit considerable variability. Nonetheless, these variations are expected to remain within the same order of magnitude.</w:t>
      </w:r>
    </w:p>
    <w:p w14:paraId="29BABC17" w14:textId="77777777" w:rsidR="00E34BBD" w:rsidRPr="0017030F" w:rsidRDefault="00E34BBD" w:rsidP="00E73D5F">
      <w:pPr>
        <w:pBdr>
          <w:top w:val="nil"/>
          <w:left w:val="nil"/>
          <w:bottom w:val="nil"/>
          <w:right w:val="nil"/>
          <w:between w:val="nil"/>
        </w:pBdr>
        <w:rPr>
          <w:rFonts w:asciiTheme="majorHAnsi" w:hAnsiTheme="majorHAnsi" w:cstheme="majorHAnsi"/>
        </w:rPr>
      </w:pPr>
    </w:p>
    <w:p w14:paraId="03F76F84" w14:textId="29D9F5E3" w:rsidR="003215E5" w:rsidRPr="0017030F" w:rsidRDefault="003215E5"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Assay quality can be summarized using the z′</w:t>
      </w:r>
      <w:r w:rsidRPr="0017030F">
        <w:rPr>
          <w:rFonts w:asciiTheme="majorHAnsi" w:hAnsiTheme="majorHAnsi" w:cstheme="majorHAnsi"/>
        </w:rPr>
        <w:noBreakHyphen/>
        <w:t xml:space="preserve">factor, which reflects both the signal window and the variability of the controls. In the described dataset, </w:t>
      </w:r>
      <w:r w:rsidRPr="0017030F">
        <w:rPr>
          <w:rFonts w:asciiTheme="majorHAnsi" w:hAnsiTheme="majorHAnsi" w:cstheme="majorHAnsi"/>
          <w:bCs/>
        </w:rPr>
        <w:t>six</w:t>
      </w:r>
      <w:r w:rsidRPr="0017030F">
        <w:rPr>
          <w:rFonts w:asciiTheme="majorHAnsi" w:hAnsiTheme="majorHAnsi" w:cstheme="majorHAnsi"/>
        </w:rPr>
        <w:t xml:space="preserve"> reference curves were associated with z′</w:t>
      </w:r>
      <w:r w:rsidRPr="0017030F">
        <w:rPr>
          <w:rFonts w:asciiTheme="majorHAnsi" w:hAnsiTheme="majorHAnsi" w:cstheme="majorHAnsi"/>
        </w:rPr>
        <w:noBreakHyphen/>
        <w:t xml:space="preserve">factors ranging from </w:t>
      </w:r>
      <w:r w:rsidRPr="0017030F">
        <w:rPr>
          <w:rFonts w:asciiTheme="majorHAnsi" w:hAnsiTheme="majorHAnsi" w:cstheme="majorHAnsi"/>
          <w:bCs/>
        </w:rPr>
        <w:t>0.544 to 0.774</w:t>
      </w:r>
      <w:r w:rsidRPr="0017030F">
        <w:rPr>
          <w:rFonts w:asciiTheme="majorHAnsi" w:hAnsiTheme="majorHAnsi" w:cstheme="majorHAnsi"/>
        </w:rPr>
        <w:t xml:space="preserve"> (mean ± SD: </w:t>
      </w:r>
      <w:r w:rsidRPr="0017030F">
        <w:rPr>
          <w:rFonts w:asciiTheme="majorHAnsi" w:hAnsiTheme="majorHAnsi" w:cstheme="majorHAnsi"/>
          <w:bCs/>
        </w:rPr>
        <w:t>0.658 ± 0.062</w:t>
      </w:r>
      <w:r w:rsidRPr="0017030F">
        <w:rPr>
          <w:rFonts w:asciiTheme="majorHAnsi" w:hAnsiTheme="majorHAnsi" w:cstheme="majorHAnsi"/>
        </w:rPr>
        <w:t xml:space="preserve">), consistent with the commonly used acceptance target of </w:t>
      </w:r>
      <w:r w:rsidRPr="0017030F">
        <w:rPr>
          <w:rFonts w:asciiTheme="majorHAnsi" w:hAnsiTheme="majorHAnsi" w:cstheme="majorHAnsi"/>
          <w:bCs/>
        </w:rPr>
        <w:t>z′ &gt; 0.5</w:t>
      </w:r>
      <w:r w:rsidRPr="0017030F">
        <w:rPr>
          <w:rFonts w:asciiTheme="majorHAnsi" w:hAnsiTheme="majorHAnsi" w:cstheme="majorHAnsi"/>
        </w:rPr>
        <w:t>.</w:t>
      </w:r>
    </w:p>
    <w:p w14:paraId="373453B8" w14:textId="77777777" w:rsidR="009861C0" w:rsidRPr="0017030F" w:rsidRDefault="009861C0" w:rsidP="00E73D5F">
      <w:pPr>
        <w:pBdr>
          <w:top w:val="nil"/>
          <w:left w:val="nil"/>
          <w:bottom w:val="nil"/>
          <w:right w:val="nil"/>
          <w:between w:val="nil"/>
        </w:pBdr>
        <w:rPr>
          <w:rFonts w:asciiTheme="majorHAnsi" w:hAnsiTheme="majorHAnsi" w:cstheme="majorHAnsi"/>
        </w:rPr>
      </w:pPr>
    </w:p>
    <w:p w14:paraId="22986A78" w14:textId="36244586" w:rsidR="009861C0" w:rsidRPr="0017030F" w:rsidRDefault="009861C0"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 xml:space="preserve">In practice, suboptimal runs can be identified by deviations in assay background and/or failure to meet predefined acceptance criteria. For example, a </w:t>
      </w:r>
      <w:r w:rsidRPr="0017030F">
        <w:rPr>
          <w:rFonts w:asciiTheme="majorHAnsi" w:hAnsiTheme="majorHAnsi" w:cstheme="majorHAnsi"/>
          <w:bCs/>
        </w:rPr>
        <w:t>high background</w:t>
      </w:r>
      <w:r w:rsidRPr="0017030F">
        <w:rPr>
          <w:rFonts w:asciiTheme="majorHAnsi" w:hAnsiTheme="majorHAnsi" w:cstheme="majorHAnsi"/>
        </w:rPr>
        <w:t xml:space="preserve"> in the Sandell-Kolthoff reaction is indicated when the pure </w:t>
      </w:r>
      <w:proofErr w:type="spellStart"/>
      <w:r w:rsidRPr="0017030F">
        <w:rPr>
          <w:rFonts w:asciiTheme="majorHAnsi" w:hAnsiTheme="majorHAnsi" w:cstheme="majorHAnsi"/>
        </w:rPr>
        <w:t>diH₂O</w:t>
      </w:r>
      <w:proofErr w:type="spellEnd"/>
      <w:r w:rsidRPr="0017030F">
        <w:rPr>
          <w:rFonts w:asciiTheme="majorHAnsi" w:hAnsiTheme="majorHAnsi" w:cstheme="majorHAnsi"/>
        </w:rPr>
        <w:t xml:space="preserve"> blank shows </w:t>
      </w:r>
      <w:r w:rsidRPr="0017030F">
        <w:rPr>
          <w:rFonts w:asciiTheme="majorHAnsi" w:hAnsiTheme="majorHAnsi" w:cstheme="majorHAnsi"/>
          <w:bCs/>
        </w:rPr>
        <w:t>ΔOD &gt; 0.3</w:t>
      </w:r>
      <w:r w:rsidRPr="0017030F">
        <w:rPr>
          <w:rFonts w:asciiTheme="majorHAnsi" w:hAnsiTheme="majorHAnsi" w:cstheme="majorHAnsi"/>
        </w:rPr>
        <w:t xml:space="preserve">, which warrants investigation (e.g., reagent contamination or water quality issues). Such background increases can reduce the assay’s dynamic range and elevate control variability, thereby contributing to </w:t>
      </w:r>
      <w:r w:rsidRPr="0017030F">
        <w:rPr>
          <w:rFonts w:asciiTheme="majorHAnsi" w:hAnsiTheme="majorHAnsi" w:cstheme="majorHAnsi"/>
          <w:bCs/>
        </w:rPr>
        <w:t>failed acceptance criteria</w:t>
      </w:r>
      <w:r w:rsidRPr="0017030F">
        <w:rPr>
          <w:rFonts w:asciiTheme="majorHAnsi" w:hAnsiTheme="majorHAnsi" w:cstheme="majorHAnsi"/>
        </w:rPr>
        <w:t xml:space="preserve">, including a </w:t>
      </w:r>
      <w:r w:rsidRPr="0017030F">
        <w:rPr>
          <w:rFonts w:asciiTheme="majorHAnsi" w:hAnsiTheme="majorHAnsi" w:cstheme="majorHAnsi"/>
          <w:bCs/>
        </w:rPr>
        <w:t>z′</w:t>
      </w:r>
      <w:r w:rsidRPr="0017030F">
        <w:rPr>
          <w:rFonts w:asciiTheme="majorHAnsi" w:hAnsiTheme="majorHAnsi" w:cstheme="majorHAnsi"/>
          <w:bCs/>
        </w:rPr>
        <w:noBreakHyphen/>
        <w:t>factor below 0.5</w:t>
      </w:r>
      <w:r w:rsidRPr="0017030F">
        <w:rPr>
          <w:rFonts w:asciiTheme="majorHAnsi" w:hAnsiTheme="majorHAnsi" w:cstheme="majorHAnsi"/>
        </w:rPr>
        <w:t>. Wells showing obvious technical artifacts (e.g., precipitation or abnormal discoloration) are excluded</w:t>
      </w:r>
      <w:r w:rsidR="00537219" w:rsidRPr="0017030F">
        <w:rPr>
          <w:rFonts w:asciiTheme="majorHAnsi" w:hAnsiTheme="majorHAnsi" w:cstheme="majorHAnsi"/>
        </w:rPr>
        <w:t xml:space="preserve"> as outliers</w:t>
      </w:r>
      <w:r w:rsidRPr="0017030F">
        <w:rPr>
          <w:rFonts w:asciiTheme="majorHAnsi" w:hAnsiTheme="majorHAnsi" w:cstheme="majorHAnsi"/>
        </w:rPr>
        <w:t xml:space="preserve"> from evaluation</w:t>
      </w:r>
      <w:r w:rsidR="007851AE" w:rsidRPr="0017030F">
        <w:rPr>
          <w:rFonts w:asciiTheme="majorHAnsi" w:hAnsiTheme="majorHAnsi" w:cstheme="majorHAnsi"/>
        </w:rPr>
        <w:t>. Outliers determined via boxplot outlier testing are also excluded.</w:t>
      </w:r>
      <w:r w:rsidRPr="0017030F">
        <w:rPr>
          <w:rFonts w:asciiTheme="majorHAnsi" w:hAnsiTheme="majorHAnsi" w:cstheme="majorHAnsi"/>
        </w:rPr>
        <w:t xml:space="preserve"> </w:t>
      </w:r>
      <w:r w:rsidR="007851AE" w:rsidRPr="0017030F">
        <w:rPr>
          <w:rFonts w:asciiTheme="majorHAnsi" w:hAnsiTheme="majorHAnsi" w:cstheme="majorHAnsi"/>
        </w:rPr>
        <w:t>I</w:t>
      </w:r>
      <w:r w:rsidRPr="0017030F">
        <w:rPr>
          <w:rFonts w:asciiTheme="majorHAnsi" w:hAnsiTheme="majorHAnsi" w:cstheme="majorHAnsi"/>
        </w:rPr>
        <w:t xml:space="preserve">f acceptance criteria are not met after </w:t>
      </w:r>
      <w:r w:rsidR="00537219" w:rsidRPr="0017030F">
        <w:rPr>
          <w:rFonts w:asciiTheme="majorHAnsi" w:hAnsiTheme="majorHAnsi" w:cstheme="majorHAnsi"/>
        </w:rPr>
        <w:t>removing the outliers</w:t>
      </w:r>
      <w:r w:rsidRPr="0017030F">
        <w:rPr>
          <w:rFonts w:asciiTheme="majorHAnsi" w:hAnsiTheme="majorHAnsi" w:cstheme="majorHAnsi"/>
        </w:rPr>
        <w:t>, the assay run is considered non</w:t>
      </w:r>
      <w:r w:rsidRPr="0017030F">
        <w:rPr>
          <w:rFonts w:asciiTheme="majorHAnsi" w:hAnsiTheme="majorHAnsi" w:cstheme="majorHAnsi"/>
        </w:rPr>
        <w:noBreakHyphen/>
        <w:t>valid and must be repeated.</w:t>
      </w:r>
    </w:p>
    <w:p w14:paraId="079B5679" w14:textId="77777777" w:rsidR="006E4797" w:rsidRPr="0017030F" w:rsidRDefault="006E4797" w:rsidP="00E73D5F">
      <w:pPr>
        <w:rPr>
          <w:rFonts w:asciiTheme="majorHAnsi" w:hAnsiTheme="majorHAnsi" w:cstheme="majorHAnsi"/>
        </w:rPr>
      </w:pPr>
    </w:p>
    <w:p w14:paraId="6D510784" w14:textId="273078FB" w:rsidR="006E4797" w:rsidRPr="0017030F" w:rsidRDefault="00551D82" w:rsidP="00E73D5F">
      <w:pPr>
        <w:rPr>
          <w:rFonts w:asciiTheme="majorHAnsi" w:hAnsiTheme="majorHAnsi" w:cstheme="majorHAnsi"/>
        </w:rPr>
      </w:pPr>
      <w:r w:rsidRPr="0017030F">
        <w:rPr>
          <w:rFonts w:asciiTheme="majorHAnsi" w:hAnsiTheme="majorHAnsi" w:cstheme="majorHAnsi"/>
          <w:b/>
        </w:rPr>
        <w:t>FIGURE AND TABLE LEGENDS:</w:t>
      </w:r>
    </w:p>
    <w:p w14:paraId="5762DB93" w14:textId="77777777" w:rsidR="00927E2F" w:rsidRPr="0017030F" w:rsidRDefault="00927E2F" w:rsidP="00E73D5F">
      <w:pPr>
        <w:rPr>
          <w:rFonts w:asciiTheme="majorHAnsi" w:hAnsiTheme="majorHAnsi" w:cstheme="majorHAnsi"/>
          <w:b/>
        </w:rPr>
      </w:pPr>
    </w:p>
    <w:p w14:paraId="79A56F8C" w14:textId="003EF94E" w:rsidR="00EB20A2" w:rsidRPr="0017030F" w:rsidRDefault="00EB20A2" w:rsidP="00E73D5F">
      <w:pPr>
        <w:rPr>
          <w:rFonts w:asciiTheme="majorHAnsi" w:hAnsiTheme="majorHAnsi" w:cstheme="majorHAnsi"/>
        </w:rPr>
      </w:pPr>
      <w:r w:rsidRPr="0017030F">
        <w:rPr>
          <w:rFonts w:asciiTheme="majorHAnsi" w:hAnsiTheme="majorHAnsi" w:cstheme="majorHAnsi"/>
          <w:b/>
        </w:rPr>
        <w:t xml:space="preserve">Figure 1: Plate layout for </w:t>
      </w:r>
      <w:r w:rsidR="0094291B" w:rsidRPr="0017030F">
        <w:rPr>
          <w:rFonts w:asciiTheme="majorHAnsi" w:hAnsiTheme="majorHAnsi" w:cstheme="majorHAnsi"/>
          <w:b/>
        </w:rPr>
        <w:t>iodide standard curve.</w:t>
      </w:r>
      <w:r w:rsidR="0094291B" w:rsidRPr="0017030F">
        <w:rPr>
          <w:rFonts w:asciiTheme="majorHAnsi" w:hAnsiTheme="majorHAnsi" w:cstheme="majorHAnsi"/>
        </w:rPr>
        <w:t xml:space="preserve"> This figure shows the 96-well plate layout used for generating the iodide standard curve. Wells contain serial dilutions of iodide ranging from 1 </w:t>
      </w:r>
      <w:proofErr w:type="spellStart"/>
      <w:r w:rsidR="0094291B" w:rsidRPr="0017030F">
        <w:rPr>
          <w:rFonts w:asciiTheme="majorHAnsi" w:hAnsiTheme="majorHAnsi" w:cstheme="majorHAnsi"/>
        </w:rPr>
        <w:t>nM</w:t>
      </w:r>
      <w:proofErr w:type="spellEnd"/>
      <w:r w:rsidR="0094291B" w:rsidRPr="0017030F">
        <w:rPr>
          <w:rFonts w:asciiTheme="majorHAnsi" w:hAnsiTheme="majorHAnsi" w:cstheme="majorHAnsi"/>
        </w:rPr>
        <w:t xml:space="preserve"> to 1</w:t>
      </w:r>
      <w:r w:rsidR="00636E42" w:rsidRPr="0017030F">
        <w:rPr>
          <w:rFonts w:asciiTheme="majorHAnsi" w:hAnsiTheme="majorHAnsi" w:cstheme="majorHAnsi"/>
        </w:rPr>
        <w:t>,</w:t>
      </w:r>
      <w:r w:rsidR="0094291B" w:rsidRPr="0017030F">
        <w:rPr>
          <w:rFonts w:asciiTheme="majorHAnsi" w:hAnsiTheme="majorHAnsi" w:cstheme="majorHAnsi"/>
        </w:rPr>
        <w:t xml:space="preserve">500 </w:t>
      </w:r>
      <w:proofErr w:type="spellStart"/>
      <w:r w:rsidR="0094291B" w:rsidRPr="0017030F">
        <w:rPr>
          <w:rFonts w:asciiTheme="majorHAnsi" w:hAnsiTheme="majorHAnsi" w:cstheme="majorHAnsi"/>
        </w:rPr>
        <w:t>nM</w:t>
      </w:r>
      <w:proofErr w:type="spellEnd"/>
      <w:r w:rsidR="0094291B" w:rsidRPr="0017030F">
        <w:rPr>
          <w:rFonts w:asciiTheme="majorHAnsi" w:hAnsiTheme="majorHAnsi" w:cstheme="majorHAnsi"/>
        </w:rPr>
        <w:t xml:space="preserve">, as well as </w:t>
      </w:r>
      <w:proofErr w:type="spellStart"/>
      <w:r w:rsidR="0094291B" w:rsidRPr="0017030F">
        <w:rPr>
          <w:rFonts w:asciiTheme="majorHAnsi" w:hAnsiTheme="majorHAnsi" w:cstheme="majorHAnsi"/>
        </w:rPr>
        <w:t>diH₂O-only</w:t>
      </w:r>
      <w:proofErr w:type="spellEnd"/>
      <w:r w:rsidR="0094291B" w:rsidRPr="0017030F">
        <w:rPr>
          <w:rFonts w:asciiTheme="majorHAnsi" w:hAnsiTheme="majorHAnsi" w:cstheme="majorHAnsi"/>
        </w:rPr>
        <w:t xml:space="preserve"> controls. </w:t>
      </w:r>
    </w:p>
    <w:p w14:paraId="5B15A0D5" w14:textId="77777777" w:rsidR="00EB20A2" w:rsidRPr="0017030F" w:rsidRDefault="00EB20A2" w:rsidP="00E73D5F">
      <w:pPr>
        <w:rPr>
          <w:rFonts w:asciiTheme="majorHAnsi" w:hAnsiTheme="majorHAnsi" w:cstheme="majorHAnsi"/>
          <w:b/>
        </w:rPr>
      </w:pPr>
    </w:p>
    <w:p w14:paraId="7F658FEE" w14:textId="5E46C408" w:rsidR="00EB20A2" w:rsidRPr="0017030F" w:rsidRDefault="00EB20A2" w:rsidP="00E73D5F">
      <w:pPr>
        <w:rPr>
          <w:rFonts w:asciiTheme="majorHAnsi" w:hAnsiTheme="majorHAnsi" w:cstheme="majorHAnsi"/>
        </w:rPr>
      </w:pPr>
      <w:r w:rsidRPr="0017030F">
        <w:rPr>
          <w:rFonts w:asciiTheme="majorHAnsi" w:hAnsiTheme="majorHAnsi" w:cstheme="majorHAnsi"/>
          <w:b/>
        </w:rPr>
        <w:t>Figure 2:</w:t>
      </w:r>
      <w:r w:rsidR="0094291B" w:rsidRPr="0017030F">
        <w:rPr>
          <w:rFonts w:asciiTheme="majorHAnsi" w:hAnsiTheme="majorHAnsi" w:cstheme="majorHAnsi"/>
          <w:b/>
          <w:bCs/>
          <w:shd w:val="clear" w:color="auto" w:fill="FAFAFA"/>
        </w:rPr>
        <w:t xml:space="preserve"> </w:t>
      </w:r>
      <w:r w:rsidR="0094291B" w:rsidRPr="0017030F">
        <w:rPr>
          <w:rFonts w:asciiTheme="majorHAnsi" w:hAnsiTheme="majorHAnsi" w:cstheme="majorHAnsi"/>
          <w:b/>
          <w:bCs/>
        </w:rPr>
        <w:t xml:space="preserve">Plate layout for </w:t>
      </w:r>
      <w:r w:rsidR="003F52D6" w:rsidRPr="0017030F">
        <w:rPr>
          <w:rFonts w:asciiTheme="majorHAnsi" w:hAnsiTheme="majorHAnsi" w:cstheme="majorHAnsi"/>
          <w:b/>
          <w:bCs/>
        </w:rPr>
        <w:t>microsomal protein</w:t>
      </w:r>
      <w:r w:rsidR="0094291B" w:rsidRPr="0017030F">
        <w:rPr>
          <w:rFonts w:asciiTheme="majorHAnsi" w:hAnsiTheme="majorHAnsi" w:cstheme="majorHAnsi"/>
          <w:b/>
          <w:bCs/>
        </w:rPr>
        <w:t xml:space="preserve"> titration and reference item testing.</w:t>
      </w:r>
      <w:r w:rsidR="0094291B" w:rsidRPr="0017030F">
        <w:rPr>
          <w:rFonts w:asciiTheme="majorHAnsi" w:hAnsiTheme="majorHAnsi" w:cstheme="majorHAnsi"/>
          <w:bCs/>
        </w:rPr>
        <w:t xml:space="preserve"> This figure displays the 96-well plate layout for </w:t>
      </w:r>
      <w:r w:rsidR="003F52D6" w:rsidRPr="0017030F">
        <w:rPr>
          <w:rFonts w:asciiTheme="majorHAnsi" w:hAnsiTheme="majorHAnsi" w:cstheme="majorHAnsi"/>
        </w:rPr>
        <w:t>microsomal protein</w:t>
      </w:r>
      <w:r w:rsidR="0094291B" w:rsidRPr="0017030F">
        <w:rPr>
          <w:rFonts w:asciiTheme="majorHAnsi" w:hAnsiTheme="majorHAnsi" w:cstheme="majorHAnsi"/>
          <w:bCs/>
        </w:rPr>
        <w:t xml:space="preserve"> titration and reference inhibitor (6-PTU) testing. Rows contain increasing amounts of microsomal protein per well, with and without 6-</w:t>
      </w:r>
      <w:r w:rsidR="0094291B" w:rsidRPr="0017030F">
        <w:rPr>
          <w:rFonts w:asciiTheme="majorHAnsi" w:hAnsiTheme="majorHAnsi" w:cstheme="majorHAnsi"/>
          <w:bCs/>
        </w:rPr>
        <w:lastRenderedPageBreak/>
        <w:t>PTU. </w:t>
      </w:r>
    </w:p>
    <w:p w14:paraId="3524F147" w14:textId="77777777" w:rsidR="00EB20A2" w:rsidRPr="0017030F" w:rsidRDefault="00EB20A2" w:rsidP="00E73D5F">
      <w:pPr>
        <w:rPr>
          <w:rFonts w:asciiTheme="majorHAnsi" w:hAnsiTheme="majorHAnsi" w:cstheme="majorHAnsi"/>
          <w:b/>
        </w:rPr>
      </w:pPr>
    </w:p>
    <w:p w14:paraId="6ED3DFD5" w14:textId="45BD1AD7" w:rsidR="0094291B" w:rsidRPr="0017030F" w:rsidRDefault="00EB20A2" w:rsidP="00E73D5F">
      <w:pPr>
        <w:rPr>
          <w:rFonts w:asciiTheme="majorHAnsi" w:hAnsiTheme="majorHAnsi" w:cstheme="majorHAnsi"/>
          <w:b/>
          <w:bCs/>
        </w:rPr>
      </w:pPr>
      <w:r w:rsidRPr="0017030F">
        <w:rPr>
          <w:rFonts w:asciiTheme="majorHAnsi" w:hAnsiTheme="majorHAnsi" w:cstheme="majorHAnsi"/>
          <w:b/>
        </w:rPr>
        <w:t>Figure 3:</w:t>
      </w:r>
      <w:r w:rsidR="0094291B" w:rsidRPr="0017030F">
        <w:rPr>
          <w:rFonts w:asciiTheme="majorHAnsi" w:hAnsiTheme="majorHAnsi" w:cstheme="majorHAnsi"/>
          <w:b/>
          <w:bCs/>
          <w:shd w:val="clear" w:color="auto" w:fill="FAFAFA"/>
        </w:rPr>
        <w:t xml:space="preserve"> </w:t>
      </w:r>
      <w:r w:rsidR="0094291B" w:rsidRPr="0017030F">
        <w:rPr>
          <w:rFonts w:asciiTheme="majorHAnsi" w:hAnsiTheme="majorHAnsi" w:cstheme="majorHAnsi"/>
          <w:b/>
          <w:bCs/>
        </w:rPr>
        <w:t>Plate layout for parallel testing of two test items.</w:t>
      </w:r>
      <w:r w:rsidR="0094291B" w:rsidRPr="0017030F">
        <w:rPr>
          <w:rFonts w:asciiTheme="majorHAnsi" w:hAnsiTheme="majorHAnsi" w:cstheme="majorHAnsi"/>
        </w:rPr>
        <w:t xml:space="preserve"> </w:t>
      </w:r>
      <w:r w:rsidR="000F42CD" w:rsidRPr="0017030F">
        <w:rPr>
          <w:rFonts w:asciiTheme="majorHAnsi" w:hAnsiTheme="majorHAnsi" w:cstheme="majorHAnsi"/>
          <w:bCs/>
        </w:rPr>
        <w:t>96-well plate layout for testing two test items in triplicate across multiple concentrations, along with replicates of negative, positive, solvent controls, and the reference item. Used as the first assay plate of the day.</w:t>
      </w:r>
    </w:p>
    <w:p w14:paraId="6C2A3434" w14:textId="77777777" w:rsidR="00EB20A2" w:rsidRPr="0017030F" w:rsidRDefault="00EB20A2" w:rsidP="00E73D5F">
      <w:pPr>
        <w:rPr>
          <w:rFonts w:asciiTheme="majorHAnsi" w:hAnsiTheme="majorHAnsi" w:cstheme="majorHAnsi"/>
          <w:b/>
        </w:rPr>
      </w:pPr>
    </w:p>
    <w:p w14:paraId="386099B3" w14:textId="0D3BC6C6" w:rsidR="000F42CD" w:rsidRPr="0017030F" w:rsidRDefault="00EB20A2" w:rsidP="00E73D5F">
      <w:pPr>
        <w:rPr>
          <w:rFonts w:asciiTheme="majorHAnsi" w:hAnsiTheme="majorHAnsi" w:cstheme="majorHAnsi"/>
          <w:b/>
          <w:bCs/>
        </w:rPr>
      </w:pPr>
      <w:r w:rsidRPr="0017030F">
        <w:rPr>
          <w:rFonts w:asciiTheme="majorHAnsi" w:hAnsiTheme="majorHAnsi" w:cstheme="majorHAnsi"/>
          <w:b/>
        </w:rPr>
        <w:t>Figure 4:</w:t>
      </w:r>
      <w:r w:rsidR="000F42CD" w:rsidRPr="0017030F">
        <w:rPr>
          <w:rFonts w:asciiTheme="majorHAnsi" w:hAnsiTheme="majorHAnsi" w:cstheme="majorHAnsi"/>
          <w:b/>
        </w:rPr>
        <w:t xml:space="preserve"> </w:t>
      </w:r>
      <w:r w:rsidR="000F42CD" w:rsidRPr="0017030F">
        <w:rPr>
          <w:rFonts w:asciiTheme="majorHAnsi" w:hAnsiTheme="majorHAnsi" w:cstheme="majorHAnsi"/>
          <w:b/>
          <w:bCs/>
        </w:rPr>
        <w:t xml:space="preserve">Plate layout for parallel testing of three test items. </w:t>
      </w:r>
      <w:r w:rsidR="000F42CD" w:rsidRPr="0017030F">
        <w:rPr>
          <w:rFonts w:asciiTheme="majorHAnsi" w:hAnsiTheme="majorHAnsi" w:cstheme="majorHAnsi"/>
          <w:bCs/>
        </w:rPr>
        <w:t>96-well plate layout for testing three test items in triplicate across multiple concentrations, with replicates of negative, positive, and solvent controls. The reference item is included only at its highest concentration, as it is fully tested on the first plate (see</w:t>
      </w:r>
      <w:r w:rsidR="000F42CD" w:rsidRPr="00E73D5F">
        <w:rPr>
          <w:rFonts w:asciiTheme="majorHAnsi" w:hAnsiTheme="majorHAnsi" w:cstheme="majorHAnsi"/>
          <w:b/>
        </w:rPr>
        <w:t xml:space="preserve"> Figure 3</w:t>
      </w:r>
      <w:r w:rsidR="000F42CD" w:rsidRPr="0017030F">
        <w:rPr>
          <w:rFonts w:asciiTheme="majorHAnsi" w:hAnsiTheme="majorHAnsi" w:cstheme="majorHAnsi"/>
          <w:bCs/>
        </w:rPr>
        <w:t>).</w:t>
      </w:r>
    </w:p>
    <w:p w14:paraId="0A384736" w14:textId="77777777" w:rsidR="00EB20A2" w:rsidRPr="0017030F" w:rsidRDefault="00EB20A2" w:rsidP="00E73D5F">
      <w:pPr>
        <w:rPr>
          <w:rFonts w:asciiTheme="majorHAnsi" w:hAnsiTheme="majorHAnsi" w:cstheme="majorHAnsi"/>
          <w:b/>
        </w:rPr>
      </w:pPr>
    </w:p>
    <w:p w14:paraId="4B631371" w14:textId="5BDB5280" w:rsidR="00EB20A2" w:rsidRPr="0017030F" w:rsidRDefault="00EB20A2" w:rsidP="00E73D5F">
      <w:pPr>
        <w:rPr>
          <w:rFonts w:asciiTheme="majorHAnsi" w:hAnsiTheme="majorHAnsi" w:cstheme="majorHAnsi"/>
          <w:b/>
        </w:rPr>
      </w:pPr>
      <w:r w:rsidRPr="0017030F">
        <w:rPr>
          <w:rFonts w:asciiTheme="majorHAnsi" w:hAnsiTheme="majorHAnsi" w:cstheme="majorHAnsi"/>
          <w:b/>
        </w:rPr>
        <w:t>Figure 5:</w:t>
      </w:r>
      <w:r w:rsidR="000F42CD" w:rsidRPr="0017030F">
        <w:rPr>
          <w:rFonts w:asciiTheme="majorHAnsi" w:hAnsiTheme="majorHAnsi" w:cstheme="majorHAnsi"/>
          <w:b/>
        </w:rPr>
        <w:t xml:space="preserve"> </w:t>
      </w:r>
      <w:r w:rsidR="000F42CD" w:rsidRPr="0017030F">
        <w:rPr>
          <w:rFonts w:asciiTheme="majorHAnsi" w:hAnsiTheme="majorHAnsi" w:cstheme="majorHAnsi"/>
          <w:b/>
          <w:bCs/>
        </w:rPr>
        <w:t xml:space="preserve">Plate layout for interference testing. </w:t>
      </w:r>
      <w:r w:rsidR="000F42CD" w:rsidRPr="0017030F">
        <w:rPr>
          <w:rFonts w:asciiTheme="majorHAnsi" w:hAnsiTheme="majorHAnsi" w:cstheme="majorHAnsi"/>
          <w:bCs/>
        </w:rPr>
        <w:t>This figure shows the 96-well plate layout for interference testing, where test items, reference item, and solvent control are tested both with and without microsomes</w:t>
      </w:r>
      <w:r w:rsidR="0035020D" w:rsidRPr="0017030F">
        <w:rPr>
          <w:rFonts w:asciiTheme="majorHAnsi" w:hAnsiTheme="majorHAnsi" w:cstheme="majorHAnsi"/>
          <w:bCs/>
        </w:rPr>
        <w:t xml:space="preserve"> </w:t>
      </w:r>
      <w:r w:rsidR="00E434ED" w:rsidRPr="0017030F">
        <w:rPr>
          <w:rFonts w:asciiTheme="majorHAnsi" w:hAnsiTheme="majorHAnsi" w:cstheme="majorHAnsi"/>
          <w:bCs/>
        </w:rPr>
        <w:t xml:space="preserve">in the presence of </w:t>
      </w:r>
      <w:r w:rsidR="0035020D" w:rsidRPr="0017030F">
        <w:rPr>
          <w:rFonts w:asciiTheme="majorHAnsi" w:hAnsiTheme="majorHAnsi" w:cstheme="majorHAnsi"/>
          <w:bCs/>
        </w:rPr>
        <w:t xml:space="preserve">DTT as well as without microsomes and without </w:t>
      </w:r>
      <w:r w:rsidR="00E434ED" w:rsidRPr="0017030F">
        <w:rPr>
          <w:rFonts w:asciiTheme="majorHAnsi" w:hAnsiTheme="majorHAnsi" w:cstheme="majorHAnsi"/>
          <w:bCs/>
        </w:rPr>
        <w:t xml:space="preserve">the presence of </w:t>
      </w:r>
      <w:r w:rsidR="0035020D" w:rsidRPr="0017030F">
        <w:rPr>
          <w:rFonts w:asciiTheme="majorHAnsi" w:hAnsiTheme="majorHAnsi" w:cstheme="majorHAnsi"/>
          <w:bCs/>
        </w:rPr>
        <w:t>DTT</w:t>
      </w:r>
      <w:r w:rsidR="000F42CD" w:rsidRPr="0017030F">
        <w:rPr>
          <w:rFonts w:asciiTheme="majorHAnsi" w:hAnsiTheme="majorHAnsi" w:cstheme="majorHAnsi"/>
          <w:bCs/>
        </w:rPr>
        <w:t>.</w:t>
      </w:r>
    </w:p>
    <w:p w14:paraId="5A1B5871" w14:textId="77777777" w:rsidR="00EB20A2" w:rsidRPr="0017030F" w:rsidRDefault="00EB20A2" w:rsidP="00E73D5F">
      <w:pPr>
        <w:rPr>
          <w:rFonts w:asciiTheme="majorHAnsi" w:hAnsiTheme="majorHAnsi" w:cstheme="majorHAnsi"/>
          <w:b/>
        </w:rPr>
      </w:pPr>
    </w:p>
    <w:p w14:paraId="197F768F" w14:textId="74786DEC" w:rsidR="00A36F90" w:rsidRPr="0017030F" w:rsidRDefault="00A36F90" w:rsidP="00E73D5F">
      <w:pPr>
        <w:rPr>
          <w:rFonts w:asciiTheme="majorHAnsi" w:hAnsiTheme="majorHAnsi" w:cstheme="majorHAnsi"/>
        </w:rPr>
      </w:pPr>
      <w:r w:rsidRPr="0017030F">
        <w:rPr>
          <w:rFonts w:asciiTheme="majorHAnsi" w:hAnsiTheme="majorHAnsi" w:cstheme="majorHAnsi"/>
          <w:b/>
        </w:rPr>
        <w:t xml:space="preserve">Figure </w:t>
      </w:r>
      <w:r w:rsidR="0035020D" w:rsidRPr="0017030F">
        <w:rPr>
          <w:rFonts w:asciiTheme="majorHAnsi" w:hAnsiTheme="majorHAnsi" w:cstheme="majorHAnsi"/>
          <w:b/>
        </w:rPr>
        <w:t>6</w:t>
      </w:r>
      <w:r w:rsidRPr="0017030F">
        <w:rPr>
          <w:rFonts w:asciiTheme="majorHAnsi" w:hAnsiTheme="majorHAnsi" w:cstheme="majorHAnsi"/>
          <w:b/>
        </w:rPr>
        <w:t>:</w:t>
      </w:r>
      <w:r w:rsidRPr="0017030F">
        <w:rPr>
          <w:rFonts w:asciiTheme="majorHAnsi" w:hAnsiTheme="majorHAnsi" w:cstheme="majorHAnsi"/>
        </w:rPr>
        <w:t xml:space="preserve"> </w:t>
      </w:r>
      <w:r w:rsidRPr="0017030F">
        <w:rPr>
          <w:rFonts w:asciiTheme="majorHAnsi" w:hAnsiTheme="majorHAnsi" w:cstheme="majorHAnsi"/>
          <w:b/>
        </w:rPr>
        <w:t xml:space="preserve">DIO1 SK </w:t>
      </w:r>
      <w:r w:rsidR="00EB20A2" w:rsidRPr="0017030F">
        <w:rPr>
          <w:rFonts w:asciiTheme="majorHAnsi" w:hAnsiTheme="majorHAnsi" w:cstheme="majorHAnsi"/>
          <w:b/>
        </w:rPr>
        <w:t>a</w:t>
      </w:r>
      <w:r w:rsidRPr="0017030F">
        <w:rPr>
          <w:rFonts w:asciiTheme="majorHAnsi" w:hAnsiTheme="majorHAnsi" w:cstheme="majorHAnsi"/>
          <w:b/>
        </w:rPr>
        <w:t xml:space="preserve">ssay </w:t>
      </w:r>
      <w:r w:rsidR="00EB20A2" w:rsidRPr="0017030F">
        <w:rPr>
          <w:rFonts w:asciiTheme="majorHAnsi" w:hAnsiTheme="majorHAnsi" w:cstheme="majorHAnsi"/>
          <w:b/>
        </w:rPr>
        <w:t>w</w:t>
      </w:r>
      <w:r w:rsidRPr="0017030F">
        <w:rPr>
          <w:rFonts w:asciiTheme="majorHAnsi" w:hAnsiTheme="majorHAnsi" w:cstheme="majorHAnsi"/>
          <w:b/>
        </w:rPr>
        <w:t>orkflow</w:t>
      </w:r>
      <w:r w:rsidR="006B7FE6" w:rsidRPr="0017030F">
        <w:rPr>
          <w:rFonts w:asciiTheme="majorHAnsi" w:hAnsiTheme="majorHAnsi" w:cstheme="majorHAnsi"/>
          <w:b/>
        </w:rPr>
        <w:t xml:space="preserve"> and standardization steps</w:t>
      </w:r>
      <w:r w:rsidRPr="0017030F">
        <w:rPr>
          <w:rFonts w:asciiTheme="majorHAnsi" w:hAnsiTheme="majorHAnsi" w:cstheme="majorHAnsi"/>
          <w:b/>
        </w:rPr>
        <w:t xml:space="preserve">. </w:t>
      </w:r>
      <w:r w:rsidR="00636E42" w:rsidRPr="0017030F">
        <w:rPr>
          <w:rFonts w:asciiTheme="majorHAnsi" w:hAnsiTheme="majorHAnsi" w:cstheme="majorHAnsi"/>
          <w:b/>
        </w:rPr>
        <w:t xml:space="preserve">(A) </w:t>
      </w:r>
      <w:r w:rsidRPr="0017030F">
        <w:rPr>
          <w:rFonts w:asciiTheme="majorHAnsi" w:hAnsiTheme="majorHAnsi" w:cstheme="majorHAnsi"/>
        </w:rPr>
        <w:t>The workflow illustrates the usage of human liver microsomes, setup of the 96-well plate, incubation with test items and controls, iodide extraction, and colorimetric quantification via the SK reaction. Each step is depicted sequentially to highlight the main phases of the assay.</w:t>
      </w:r>
      <w:r w:rsidR="006B7FE6" w:rsidRPr="0017030F">
        <w:rPr>
          <w:rFonts w:asciiTheme="majorHAnsi" w:hAnsiTheme="majorHAnsi" w:cstheme="majorHAnsi"/>
        </w:rPr>
        <w:t xml:space="preserve"> </w:t>
      </w:r>
      <w:r w:rsidR="00636E42" w:rsidRPr="0017030F">
        <w:rPr>
          <w:rFonts w:asciiTheme="majorHAnsi" w:hAnsiTheme="majorHAnsi" w:cstheme="majorHAnsi"/>
        </w:rPr>
        <w:t>(</w:t>
      </w:r>
      <w:r w:rsidR="00636E42" w:rsidRPr="00E73D5F">
        <w:rPr>
          <w:rFonts w:asciiTheme="majorHAnsi" w:hAnsiTheme="majorHAnsi" w:cstheme="majorHAnsi"/>
          <w:b/>
          <w:bCs/>
        </w:rPr>
        <w:t>B</w:t>
      </w:r>
      <w:r w:rsidR="00636E42" w:rsidRPr="0017030F">
        <w:rPr>
          <w:rFonts w:asciiTheme="majorHAnsi" w:hAnsiTheme="majorHAnsi" w:cstheme="majorHAnsi"/>
        </w:rPr>
        <w:t xml:space="preserve">) </w:t>
      </w:r>
      <w:r w:rsidR="006B7FE6" w:rsidRPr="0017030F">
        <w:rPr>
          <w:rFonts w:asciiTheme="majorHAnsi" w:hAnsiTheme="majorHAnsi" w:cstheme="majorHAnsi"/>
        </w:rPr>
        <w:t>The standardization steps include standardization of the Sandell-Kolthoff reaction, batch-specific microsome activity testing, solubility assessment and interference testing, range finding assay, and adjustment of test item concentrations based on the first valid assay run.</w:t>
      </w:r>
    </w:p>
    <w:p w14:paraId="1CFCB966" w14:textId="77777777" w:rsidR="007B2C7C" w:rsidRPr="0017030F" w:rsidRDefault="007B2C7C" w:rsidP="00E73D5F">
      <w:pPr>
        <w:rPr>
          <w:rFonts w:asciiTheme="majorHAnsi" w:hAnsiTheme="majorHAnsi" w:cstheme="majorHAnsi"/>
        </w:rPr>
      </w:pPr>
    </w:p>
    <w:p w14:paraId="1A31A260" w14:textId="762EA4E3" w:rsidR="00A36F90" w:rsidRPr="0017030F" w:rsidRDefault="00A36F90" w:rsidP="00E73D5F">
      <w:pPr>
        <w:rPr>
          <w:rFonts w:asciiTheme="majorHAnsi" w:hAnsiTheme="majorHAnsi" w:cstheme="majorHAnsi"/>
        </w:rPr>
      </w:pPr>
      <w:r w:rsidRPr="0017030F">
        <w:rPr>
          <w:rFonts w:asciiTheme="majorHAnsi" w:hAnsiTheme="majorHAnsi" w:cstheme="majorHAnsi"/>
          <w:b/>
        </w:rPr>
        <w:t xml:space="preserve">Figure </w:t>
      </w:r>
      <w:r w:rsidR="0035020D" w:rsidRPr="0017030F">
        <w:rPr>
          <w:rFonts w:asciiTheme="majorHAnsi" w:hAnsiTheme="majorHAnsi" w:cstheme="majorHAnsi"/>
          <w:b/>
        </w:rPr>
        <w:t>7</w:t>
      </w:r>
      <w:r w:rsidRPr="0017030F">
        <w:rPr>
          <w:rFonts w:asciiTheme="majorHAnsi" w:hAnsiTheme="majorHAnsi" w:cstheme="majorHAnsi"/>
          <w:b/>
        </w:rPr>
        <w:t>:</w:t>
      </w:r>
      <w:r w:rsidR="007B2C7C" w:rsidRPr="0017030F">
        <w:rPr>
          <w:rFonts w:asciiTheme="majorHAnsi" w:hAnsiTheme="majorHAnsi" w:cstheme="majorHAnsi"/>
        </w:rPr>
        <w:t xml:space="preserve"> </w:t>
      </w:r>
      <w:r w:rsidR="007B2C7C" w:rsidRPr="0017030F">
        <w:rPr>
          <w:rFonts w:asciiTheme="majorHAnsi" w:hAnsiTheme="majorHAnsi" w:cstheme="majorHAnsi"/>
          <w:b/>
          <w:bCs/>
        </w:rPr>
        <w:t>Microsomal activity and inhibition by 6-PTU.</w:t>
      </w:r>
      <w:r w:rsidR="007B2C7C" w:rsidRPr="0017030F">
        <w:rPr>
          <w:rFonts w:asciiTheme="majorHAnsi" w:hAnsiTheme="majorHAnsi" w:cstheme="majorHAnsi"/>
          <w:bCs/>
        </w:rPr>
        <w:t xml:space="preserve"> </w:t>
      </w:r>
      <w:r w:rsidR="00B355A5" w:rsidRPr="0017030F">
        <w:rPr>
          <w:rFonts w:asciiTheme="majorHAnsi" w:hAnsiTheme="majorHAnsi" w:cstheme="majorHAnsi"/>
          <w:bCs/>
        </w:rPr>
        <w:t>(</w:t>
      </w:r>
      <w:r w:rsidR="00B355A5" w:rsidRPr="00E73D5F">
        <w:rPr>
          <w:rFonts w:asciiTheme="majorHAnsi" w:hAnsiTheme="majorHAnsi" w:cstheme="majorHAnsi"/>
          <w:b/>
        </w:rPr>
        <w:t>A</w:t>
      </w:r>
      <w:r w:rsidR="00B355A5" w:rsidRPr="0017030F">
        <w:rPr>
          <w:rFonts w:asciiTheme="majorHAnsi" w:hAnsiTheme="majorHAnsi" w:cstheme="majorHAnsi"/>
          <w:bCs/>
        </w:rPr>
        <w:t>)</w:t>
      </w:r>
      <w:r w:rsidR="007B2C7C" w:rsidRPr="0017030F">
        <w:rPr>
          <w:rFonts w:asciiTheme="majorHAnsi" w:hAnsiTheme="majorHAnsi" w:cstheme="majorHAnsi"/>
          <w:bCs/>
        </w:rPr>
        <w:t xml:space="preserve"> The graph shows the increase in activity </w:t>
      </w:r>
      <w:r w:rsidR="00E24147" w:rsidRPr="0017030F">
        <w:rPr>
          <w:rFonts w:asciiTheme="majorHAnsi" w:hAnsiTheme="majorHAnsi" w:cstheme="majorHAnsi"/>
          <w:bCs/>
        </w:rPr>
        <w:t xml:space="preserve">as </w:t>
      </w:r>
      <w:r w:rsidR="00636E42" w:rsidRPr="0017030F">
        <w:rPr>
          <w:rFonts w:asciiTheme="majorHAnsi" w:hAnsiTheme="majorHAnsi" w:cstheme="majorHAnsi"/>
          <w:bCs/>
        </w:rPr>
        <w:t>the background (BG)</w:t>
      </w:r>
      <w:r w:rsidR="00636E42" w:rsidRPr="0017030F">
        <w:rPr>
          <w:rFonts w:ascii="Cambria Math" w:hAnsi="Cambria Math" w:cs="Cambria Math"/>
          <w:bCs/>
        </w:rPr>
        <w:t>‑</w:t>
      </w:r>
      <w:r w:rsidR="00636E42" w:rsidRPr="0017030F">
        <w:rPr>
          <w:rFonts w:asciiTheme="majorHAnsi" w:hAnsiTheme="majorHAnsi" w:cstheme="majorHAnsi"/>
          <w:bCs/>
        </w:rPr>
        <w:t>corrected Sandell-Kolthoff signal (</w:t>
      </w:r>
      <w:r w:rsidR="00636E42" w:rsidRPr="00E73D5F">
        <w:rPr>
          <w:rFonts w:asciiTheme="majorHAnsi" w:hAnsiTheme="majorHAnsi" w:cstheme="majorHAnsi"/>
          <w:bCs/>
        </w:rPr>
        <w:t>Δ</w:t>
      </w:r>
      <w:r w:rsidR="00636E42" w:rsidRPr="0017030F">
        <w:rPr>
          <w:rFonts w:asciiTheme="majorHAnsi" w:hAnsiTheme="majorHAnsi" w:cstheme="majorHAnsi"/>
          <w:bCs/>
        </w:rPr>
        <w:t>OD</w:t>
      </w:r>
      <w:r w:rsidR="00636E42" w:rsidRPr="00E73D5F">
        <w:rPr>
          <w:rFonts w:asciiTheme="majorHAnsi" w:hAnsiTheme="majorHAnsi" w:cstheme="majorHAnsi"/>
          <w:bCs/>
          <w:vertAlign w:val="subscript"/>
        </w:rPr>
        <w:t>21 min</w:t>
      </w:r>
      <w:r w:rsidR="00636E42" w:rsidRPr="0017030F">
        <w:rPr>
          <w:rFonts w:asciiTheme="majorHAnsi" w:hAnsiTheme="majorHAnsi" w:cstheme="majorHAnsi"/>
          <w:bCs/>
        </w:rPr>
        <w:t xml:space="preserve"> n- BG) with increasing amounts of microsomal protein per well (log10[</w:t>
      </w:r>
      <w:r w:rsidR="00636E42" w:rsidRPr="00E73D5F">
        <w:rPr>
          <w:rFonts w:asciiTheme="majorHAnsi" w:hAnsiTheme="majorHAnsi" w:cstheme="majorHAnsi"/>
          <w:bCs/>
        </w:rPr>
        <w:t>µ</w:t>
      </w:r>
      <w:r w:rsidR="00636E42" w:rsidRPr="0017030F">
        <w:rPr>
          <w:rFonts w:asciiTheme="majorHAnsi" w:hAnsiTheme="majorHAnsi" w:cstheme="majorHAnsi"/>
          <w:bCs/>
        </w:rPr>
        <w:t>g protein/well]), tested at</w:t>
      </w:r>
      <w:r w:rsidR="007B2C7C" w:rsidRPr="0017030F">
        <w:rPr>
          <w:rFonts w:asciiTheme="majorHAnsi" w:hAnsiTheme="majorHAnsi" w:cstheme="majorHAnsi"/>
          <w:bCs/>
        </w:rPr>
        <w:t xml:space="preserve"> undiluted, 1:2, and 1:4 dilutions. The highest dilution with the highest ΔOD</w:t>
      </w:r>
      <w:r w:rsidR="007B2C7C" w:rsidRPr="0017030F">
        <w:rPr>
          <w:rFonts w:asciiTheme="majorHAnsi" w:hAnsiTheme="majorHAnsi" w:cstheme="majorHAnsi"/>
          <w:bCs/>
          <w:vertAlign w:val="subscript"/>
        </w:rPr>
        <w:t>21 min</w:t>
      </w:r>
      <w:r w:rsidR="00B06230" w:rsidRPr="00E73D5F">
        <w:rPr>
          <w:rFonts w:asciiTheme="majorHAnsi" w:hAnsiTheme="majorHAnsi" w:cstheme="majorHAnsi"/>
          <w:bCs/>
        </w:rPr>
        <w:t xml:space="preserve">– </w:t>
      </w:r>
      <w:r w:rsidR="007B2C7C" w:rsidRPr="0017030F">
        <w:rPr>
          <w:rFonts w:asciiTheme="majorHAnsi" w:hAnsiTheme="majorHAnsi" w:cstheme="majorHAnsi"/>
          <w:bCs/>
        </w:rPr>
        <w:t xml:space="preserve">BG </w:t>
      </w:r>
      <w:r w:rsidR="00F359AC" w:rsidRPr="0017030F">
        <w:rPr>
          <w:rFonts w:asciiTheme="majorHAnsi" w:hAnsiTheme="majorHAnsi" w:cstheme="majorHAnsi"/>
          <w:bCs/>
        </w:rPr>
        <w:t>value</w:t>
      </w:r>
      <w:r w:rsidR="00B06230" w:rsidRPr="0017030F">
        <w:rPr>
          <w:rFonts w:asciiTheme="majorHAnsi" w:hAnsiTheme="majorHAnsi" w:cstheme="majorHAnsi"/>
          <w:bCs/>
        </w:rPr>
        <w:t>, as well as with a sigmoidal shape,</w:t>
      </w:r>
      <w:r w:rsidR="007B2C7C" w:rsidRPr="0017030F">
        <w:rPr>
          <w:rFonts w:asciiTheme="majorHAnsi" w:hAnsiTheme="majorHAnsi" w:cstheme="majorHAnsi"/>
          <w:bCs/>
        </w:rPr>
        <w:t xml:space="preserve"> will be used for future experiments</w:t>
      </w:r>
      <w:r w:rsidR="00B355A5" w:rsidRPr="0017030F">
        <w:rPr>
          <w:rFonts w:asciiTheme="majorHAnsi" w:hAnsiTheme="majorHAnsi" w:cstheme="majorHAnsi"/>
          <w:bCs/>
        </w:rPr>
        <w:t>.</w:t>
      </w:r>
      <w:r w:rsidR="007B2C7C" w:rsidRPr="0017030F">
        <w:rPr>
          <w:rFonts w:asciiTheme="majorHAnsi" w:hAnsiTheme="majorHAnsi" w:cstheme="majorHAnsi"/>
          <w:bCs/>
        </w:rPr>
        <w:t xml:space="preserve"> </w:t>
      </w:r>
      <w:r w:rsidR="00B355A5" w:rsidRPr="0017030F">
        <w:rPr>
          <w:rFonts w:asciiTheme="majorHAnsi" w:hAnsiTheme="majorHAnsi" w:cstheme="majorHAnsi"/>
          <w:bCs/>
        </w:rPr>
        <w:t>I</w:t>
      </w:r>
      <w:r w:rsidR="007B2C7C" w:rsidRPr="0017030F">
        <w:rPr>
          <w:rFonts w:asciiTheme="majorHAnsi" w:hAnsiTheme="majorHAnsi" w:cstheme="majorHAnsi"/>
          <w:bCs/>
        </w:rPr>
        <w:t>n this case</w:t>
      </w:r>
      <w:r w:rsidR="00B06230" w:rsidRPr="0017030F">
        <w:rPr>
          <w:rFonts w:asciiTheme="majorHAnsi" w:hAnsiTheme="majorHAnsi" w:cstheme="majorHAnsi"/>
          <w:bCs/>
        </w:rPr>
        <w:t>,</w:t>
      </w:r>
      <w:r w:rsidR="007B2C7C" w:rsidRPr="0017030F">
        <w:rPr>
          <w:rFonts w:asciiTheme="majorHAnsi" w:hAnsiTheme="majorHAnsi" w:cstheme="majorHAnsi"/>
          <w:bCs/>
        </w:rPr>
        <w:t xml:space="preserve"> it is the 1:2 dilution.</w:t>
      </w:r>
      <w:r w:rsidR="00F359AC" w:rsidRPr="0017030F">
        <w:rPr>
          <w:rFonts w:asciiTheme="majorHAnsi" w:hAnsiTheme="majorHAnsi" w:cstheme="majorHAnsi"/>
          <w:bCs/>
        </w:rPr>
        <w:t xml:space="preserve"> </w:t>
      </w:r>
      <w:r w:rsidR="00B355A5" w:rsidRPr="0017030F">
        <w:rPr>
          <w:rFonts w:asciiTheme="majorHAnsi" w:hAnsiTheme="majorHAnsi" w:cstheme="majorHAnsi"/>
          <w:bCs/>
        </w:rPr>
        <w:t>(</w:t>
      </w:r>
      <w:r w:rsidR="00B355A5" w:rsidRPr="00E73D5F">
        <w:rPr>
          <w:rFonts w:asciiTheme="majorHAnsi" w:hAnsiTheme="majorHAnsi" w:cstheme="majorHAnsi"/>
          <w:b/>
        </w:rPr>
        <w:t>B</w:t>
      </w:r>
      <w:r w:rsidR="00B355A5" w:rsidRPr="0017030F">
        <w:rPr>
          <w:rFonts w:asciiTheme="majorHAnsi" w:hAnsiTheme="majorHAnsi" w:cstheme="majorHAnsi"/>
          <w:bCs/>
        </w:rPr>
        <w:t xml:space="preserve">) </w:t>
      </w:r>
      <w:r w:rsidR="00E24147" w:rsidRPr="0017030F">
        <w:rPr>
          <w:rFonts w:asciiTheme="majorHAnsi" w:hAnsiTheme="majorHAnsi" w:cstheme="majorHAnsi"/>
          <w:bCs/>
        </w:rPr>
        <w:t>Concentration–response curve of the reference inhibitor 6</w:t>
      </w:r>
      <w:r w:rsidR="00E24147" w:rsidRPr="0017030F">
        <w:rPr>
          <w:rFonts w:asciiTheme="majorHAnsi" w:hAnsiTheme="majorHAnsi" w:cstheme="majorHAnsi"/>
          <w:bCs/>
        </w:rPr>
        <w:noBreakHyphen/>
        <w:t>propyl</w:t>
      </w:r>
      <w:r w:rsidR="00E24147" w:rsidRPr="0017030F">
        <w:rPr>
          <w:rFonts w:asciiTheme="majorHAnsi" w:hAnsiTheme="majorHAnsi" w:cstheme="majorHAnsi"/>
          <w:bCs/>
        </w:rPr>
        <w:noBreakHyphen/>
        <w:t>2</w:t>
      </w:r>
      <w:r w:rsidR="00E24147" w:rsidRPr="0017030F">
        <w:rPr>
          <w:rFonts w:asciiTheme="majorHAnsi" w:hAnsiTheme="majorHAnsi" w:cstheme="majorHAnsi"/>
          <w:bCs/>
        </w:rPr>
        <w:noBreakHyphen/>
        <w:t>thiouracil (6</w:t>
      </w:r>
      <w:r w:rsidR="00E24147" w:rsidRPr="0017030F">
        <w:rPr>
          <w:rFonts w:asciiTheme="majorHAnsi" w:hAnsiTheme="majorHAnsi" w:cstheme="majorHAnsi"/>
          <w:bCs/>
        </w:rPr>
        <w:noBreakHyphen/>
        <w:t xml:space="preserve">PTU) showing iodide release activity (IRA in %) plotted against log10[concentration (M)] at different microsomal protein loads (5, 7.5, and 10 µg protein/well). IRA values are normalized to </w:t>
      </w:r>
      <w:proofErr w:type="gramStart"/>
      <w:r w:rsidR="00E24147" w:rsidRPr="0017030F">
        <w:rPr>
          <w:rFonts w:asciiTheme="majorHAnsi" w:hAnsiTheme="majorHAnsi" w:cstheme="majorHAnsi"/>
          <w:bCs/>
        </w:rPr>
        <w:t>the solvent</w:t>
      </w:r>
      <w:proofErr w:type="gramEnd"/>
      <w:r w:rsidR="00E24147" w:rsidRPr="0017030F">
        <w:rPr>
          <w:rFonts w:asciiTheme="majorHAnsi" w:hAnsiTheme="majorHAnsi" w:cstheme="majorHAnsi"/>
          <w:bCs/>
        </w:rPr>
        <w:t xml:space="preserve"> control. Data points of both graphs represent mean ± SD </w:t>
      </w:r>
      <w:r w:rsidR="00B44CDE" w:rsidRPr="0017030F">
        <w:rPr>
          <w:rFonts w:asciiTheme="majorHAnsi" w:hAnsiTheme="majorHAnsi" w:cstheme="majorHAnsi"/>
          <w:bCs/>
        </w:rPr>
        <w:t>of three</w:t>
      </w:r>
      <w:r w:rsidR="00E24147" w:rsidRPr="0017030F">
        <w:rPr>
          <w:rFonts w:asciiTheme="majorHAnsi" w:hAnsiTheme="majorHAnsi" w:cstheme="majorHAnsi"/>
          <w:bCs/>
        </w:rPr>
        <w:t xml:space="preserve"> technical replicates (wells) per condition from one representative microsome activity test. </w:t>
      </w:r>
      <w:r w:rsidR="007C62B9" w:rsidRPr="0017030F">
        <w:rPr>
          <w:rFonts w:asciiTheme="majorHAnsi" w:hAnsiTheme="majorHAnsi" w:cstheme="majorHAnsi"/>
        </w:rPr>
        <w:t>Curves were fitted by nonlinear regression using a four</w:t>
      </w:r>
      <w:r w:rsidR="007C62B9" w:rsidRPr="0017030F">
        <w:rPr>
          <w:rFonts w:ascii="Cambria Math" w:hAnsi="Cambria Math" w:cs="Cambria Math"/>
        </w:rPr>
        <w:t>‑</w:t>
      </w:r>
      <w:r w:rsidR="007C62B9" w:rsidRPr="0017030F">
        <w:rPr>
          <w:rFonts w:asciiTheme="majorHAnsi" w:hAnsiTheme="majorHAnsi" w:cstheme="majorHAnsi"/>
        </w:rPr>
        <w:t>parameter logistic (</w:t>
      </w:r>
      <w:r w:rsidR="007C62B9" w:rsidRPr="00E73D5F">
        <w:rPr>
          <w:rFonts w:asciiTheme="majorHAnsi" w:hAnsiTheme="majorHAnsi" w:cstheme="majorHAnsi"/>
        </w:rPr>
        <w:t>“</w:t>
      </w:r>
      <w:r w:rsidR="007C62B9" w:rsidRPr="0017030F">
        <w:rPr>
          <w:rFonts w:asciiTheme="majorHAnsi" w:hAnsiTheme="majorHAnsi" w:cstheme="majorHAnsi"/>
        </w:rPr>
        <w:t>variable slope</w:t>
      </w:r>
      <w:r w:rsidR="007C62B9" w:rsidRPr="00E73D5F">
        <w:rPr>
          <w:rFonts w:asciiTheme="majorHAnsi" w:hAnsiTheme="majorHAnsi" w:cstheme="majorHAnsi"/>
        </w:rPr>
        <w:t>”</w:t>
      </w:r>
      <w:r w:rsidR="007C62B9" w:rsidRPr="0017030F">
        <w:rPr>
          <w:rFonts w:asciiTheme="majorHAnsi" w:hAnsiTheme="majorHAnsi" w:cstheme="majorHAnsi"/>
        </w:rPr>
        <w:t xml:space="preserve">) model (inhibitor vs. response). </w:t>
      </w:r>
      <w:r w:rsidR="00B355A5" w:rsidRPr="0017030F">
        <w:rPr>
          <w:rFonts w:asciiTheme="majorHAnsi" w:hAnsiTheme="majorHAnsi" w:cstheme="majorHAnsi"/>
          <w:bCs/>
        </w:rPr>
        <w:t>The smallest protein concentration with a sigmoidal curve will be used for future experiments</w:t>
      </w:r>
      <w:r w:rsidR="00B06230" w:rsidRPr="0017030F">
        <w:rPr>
          <w:rFonts w:asciiTheme="majorHAnsi" w:hAnsiTheme="majorHAnsi" w:cstheme="majorHAnsi"/>
          <w:bCs/>
        </w:rPr>
        <w:t>; i</w:t>
      </w:r>
      <w:r w:rsidR="00B355A5" w:rsidRPr="0017030F">
        <w:rPr>
          <w:rFonts w:asciiTheme="majorHAnsi" w:hAnsiTheme="majorHAnsi" w:cstheme="majorHAnsi"/>
          <w:bCs/>
        </w:rPr>
        <w:t>n this case</w:t>
      </w:r>
      <w:r w:rsidR="00B06230" w:rsidRPr="0017030F">
        <w:rPr>
          <w:rFonts w:asciiTheme="majorHAnsi" w:hAnsiTheme="majorHAnsi" w:cstheme="majorHAnsi"/>
          <w:bCs/>
        </w:rPr>
        <w:t>,</w:t>
      </w:r>
      <w:r w:rsidR="00B355A5" w:rsidRPr="0017030F">
        <w:rPr>
          <w:rFonts w:asciiTheme="majorHAnsi" w:hAnsiTheme="majorHAnsi" w:cstheme="majorHAnsi"/>
          <w:bCs/>
        </w:rPr>
        <w:t xml:space="preserve"> 5 </w:t>
      </w:r>
      <w:proofErr w:type="gramStart"/>
      <w:r w:rsidR="00B355A5" w:rsidRPr="0017030F">
        <w:rPr>
          <w:rFonts w:asciiTheme="majorHAnsi" w:hAnsiTheme="majorHAnsi" w:cstheme="majorHAnsi"/>
          <w:bCs/>
        </w:rPr>
        <w:t>µg</w:t>
      </w:r>
      <w:proofErr w:type="gramEnd"/>
      <w:r w:rsidR="00B355A5" w:rsidRPr="0017030F">
        <w:rPr>
          <w:rFonts w:asciiTheme="majorHAnsi" w:hAnsiTheme="majorHAnsi" w:cstheme="majorHAnsi"/>
          <w:bCs/>
        </w:rPr>
        <w:t>/well.</w:t>
      </w:r>
    </w:p>
    <w:p w14:paraId="0C89B0FB" w14:textId="77777777" w:rsidR="00A36F90" w:rsidRPr="0017030F" w:rsidRDefault="00A36F90" w:rsidP="00E73D5F">
      <w:pPr>
        <w:rPr>
          <w:rFonts w:asciiTheme="majorHAnsi" w:hAnsiTheme="majorHAnsi" w:cstheme="majorHAnsi"/>
        </w:rPr>
      </w:pPr>
    </w:p>
    <w:p w14:paraId="52D0DB32" w14:textId="5BEB7163" w:rsidR="00A36F90" w:rsidRPr="0017030F" w:rsidRDefault="00A36F90" w:rsidP="00E73D5F">
      <w:pPr>
        <w:rPr>
          <w:rFonts w:asciiTheme="majorHAnsi" w:hAnsiTheme="majorHAnsi" w:cstheme="majorHAnsi"/>
        </w:rPr>
      </w:pPr>
      <w:r w:rsidRPr="0017030F">
        <w:rPr>
          <w:rFonts w:asciiTheme="majorHAnsi" w:hAnsiTheme="majorHAnsi" w:cstheme="majorHAnsi"/>
          <w:b/>
        </w:rPr>
        <w:t xml:space="preserve">Figure </w:t>
      </w:r>
      <w:r w:rsidR="0035020D" w:rsidRPr="0017030F">
        <w:rPr>
          <w:rFonts w:asciiTheme="majorHAnsi" w:hAnsiTheme="majorHAnsi" w:cstheme="majorHAnsi"/>
          <w:b/>
        </w:rPr>
        <w:t>8</w:t>
      </w:r>
      <w:r w:rsidRPr="0017030F">
        <w:rPr>
          <w:rFonts w:asciiTheme="majorHAnsi" w:hAnsiTheme="majorHAnsi" w:cstheme="majorHAnsi"/>
          <w:b/>
        </w:rPr>
        <w:t xml:space="preserve">: </w:t>
      </w:r>
      <w:r w:rsidR="008E2F2E" w:rsidRPr="0017030F">
        <w:rPr>
          <w:rFonts w:asciiTheme="majorHAnsi" w:hAnsiTheme="majorHAnsi" w:cstheme="majorHAnsi"/>
          <w:b/>
        </w:rPr>
        <w:t>Dose-response behavior of the DIO1–SK assay distinguishes inhibitors from non</w:t>
      </w:r>
      <w:r w:rsidR="008E2F2E" w:rsidRPr="0017030F">
        <w:rPr>
          <w:rFonts w:ascii="Cambria Math" w:hAnsi="Cambria Math" w:cs="Cambria Math"/>
          <w:b/>
        </w:rPr>
        <w:t>‑</w:t>
      </w:r>
      <w:r w:rsidR="008E2F2E" w:rsidRPr="0017030F">
        <w:rPr>
          <w:rFonts w:asciiTheme="majorHAnsi" w:hAnsiTheme="majorHAnsi" w:cstheme="majorHAnsi"/>
          <w:b/>
        </w:rPr>
        <w:t xml:space="preserve">inhibitors. </w:t>
      </w:r>
      <w:r w:rsidR="008E2F2E" w:rsidRPr="0017030F">
        <w:rPr>
          <w:rFonts w:asciiTheme="majorHAnsi" w:hAnsiTheme="majorHAnsi" w:cstheme="majorHAnsi"/>
        </w:rPr>
        <w:t>Dose–response curves show iodide release activity (IRA</w:t>
      </w:r>
      <w:r w:rsidR="003B2820" w:rsidRPr="0017030F">
        <w:rPr>
          <w:rFonts w:asciiTheme="majorHAnsi" w:hAnsiTheme="majorHAnsi" w:cstheme="majorHAnsi"/>
        </w:rPr>
        <w:t xml:space="preserve"> in </w:t>
      </w:r>
      <w:r w:rsidR="008E2F2E" w:rsidRPr="0017030F">
        <w:rPr>
          <w:rFonts w:asciiTheme="majorHAnsi" w:hAnsiTheme="majorHAnsi" w:cstheme="majorHAnsi"/>
        </w:rPr>
        <w:t>%) plotted against log10 concentration (M) for (</w:t>
      </w:r>
      <w:r w:rsidR="008E2F2E" w:rsidRPr="00E73D5F">
        <w:rPr>
          <w:rFonts w:asciiTheme="majorHAnsi" w:hAnsiTheme="majorHAnsi" w:cstheme="majorHAnsi"/>
          <w:b/>
          <w:bCs/>
        </w:rPr>
        <w:t>A</w:t>
      </w:r>
      <w:r w:rsidR="008E2F2E" w:rsidRPr="0017030F">
        <w:rPr>
          <w:rFonts w:asciiTheme="majorHAnsi" w:hAnsiTheme="majorHAnsi" w:cstheme="majorHAnsi"/>
        </w:rPr>
        <w:t>) the reference inhibitor 6</w:t>
      </w:r>
      <w:r w:rsidR="008E2F2E" w:rsidRPr="0017030F">
        <w:rPr>
          <w:rFonts w:ascii="Cambria Math" w:hAnsi="Cambria Math" w:cs="Cambria Math"/>
        </w:rPr>
        <w:t>‑</w:t>
      </w:r>
      <w:r w:rsidR="008E2F2E" w:rsidRPr="0017030F">
        <w:rPr>
          <w:rFonts w:asciiTheme="majorHAnsi" w:hAnsiTheme="majorHAnsi" w:cstheme="majorHAnsi"/>
        </w:rPr>
        <w:t>PTU, (</w:t>
      </w:r>
      <w:r w:rsidR="008E2F2E" w:rsidRPr="00E73D5F">
        <w:rPr>
          <w:rFonts w:asciiTheme="majorHAnsi" w:hAnsiTheme="majorHAnsi" w:cstheme="majorHAnsi"/>
          <w:b/>
          <w:bCs/>
        </w:rPr>
        <w:t>B</w:t>
      </w:r>
      <w:r w:rsidR="008E2F2E" w:rsidRPr="0017030F">
        <w:rPr>
          <w:rFonts w:asciiTheme="majorHAnsi" w:hAnsiTheme="majorHAnsi" w:cstheme="majorHAnsi"/>
        </w:rPr>
        <w:t>) a representative inhibitor (tannic acid), and (</w:t>
      </w:r>
      <w:r w:rsidR="008E2F2E" w:rsidRPr="00E73D5F">
        <w:rPr>
          <w:rFonts w:asciiTheme="majorHAnsi" w:hAnsiTheme="majorHAnsi" w:cstheme="majorHAnsi"/>
          <w:b/>
          <w:bCs/>
        </w:rPr>
        <w:t>C</w:t>
      </w:r>
      <w:r w:rsidR="008E2F2E" w:rsidRPr="0017030F">
        <w:rPr>
          <w:rFonts w:asciiTheme="majorHAnsi" w:hAnsiTheme="majorHAnsi" w:cstheme="majorHAnsi"/>
        </w:rPr>
        <w:t>) a representative non</w:t>
      </w:r>
      <w:r w:rsidR="008E2F2E" w:rsidRPr="0017030F">
        <w:rPr>
          <w:rFonts w:ascii="Cambria Math" w:hAnsi="Cambria Math" w:cs="Cambria Math"/>
        </w:rPr>
        <w:t>‑</w:t>
      </w:r>
      <w:r w:rsidR="008E2F2E" w:rsidRPr="0017030F">
        <w:rPr>
          <w:rFonts w:asciiTheme="majorHAnsi" w:hAnsiTheme="majorHAnsi" w:cstheme="majorHAnsi"/>
        </w:rPr>
        <w:t xml:space="preserve">inhibitor (dibutyl phthalate). IRA values were calculated after background subtraction and normalized to </w:t>
      </w:r>
      <w:proofErr w:type="gramStart"/>
      <w:r w:rsidR="008E2F2E" w:rsidRPr="0017030F">
        <w:rPr>
          <w:rFonts w:asciiTheme="majorHAnsi" w:hAnsiTheme="majorHAnsi" w:cstheme="majorHAnsi"/>
        </w:rPr>
        <w:t>the</w:t>
      </w:r>
      <w:r w:rsidR="003B2820" w:rsidRPr="0017030F">
        <w:rPr>
          <w:rFonts w:asciiTheme="majorHAnsi" w:hAnsiTheme="majorHAnsi" w:cstheme="majorHAnsi"/>
        </w:rPr>
        <w:t xml:space="preserve"> </w:t>
      </w:r>
      <w:r w:rsidR="008E2F2E" w:rsidRPr="0017030F">
        <w:rPr>
          <w:rFonts w:asciiTheme="majorHAnsi" w:hAnsiTheme="majorHAnsi" w:cstheme="majorHAnsi"/>
        </w:rPr>
        <w:t>solvent</w:t>
      </w:r>
      <w:proofErr w:type="gramEnd"/>
      <w:r w:rsidR="008E2F2E" w:rsidRPr="0017030F">
        <w:rPr>
          <w:rFonts w:asciiTheme="majorHAnsi" w:hAnsiTheme="majorHAnsi" w:cstheme="majorHAnsi"/>
        </w:rPr>
        <w:t xml:space="preserve"> control. Symbols represent mean </w:t>
      </w:r>
      <w:r w:rsidR="008E2F2E" w:rsidRPr="00E73D5F">
        <w:rPr>
          <w:rFonts w:asciiTheme="majorHAnsi" w:hAnsiTheme="majorHAnsi" w:cstheme="majorHAnsi"/>
        </w:rPr>
        <w:t>±</w:t>
      </w:r>
      <w:r w:rsidR="008E2F2E" w:rsidRPr="0017030F">
        <w:rPr>
          <w:rFonts w:asciiTheme="majorHAnsi" w:hAnsiTheme="majorHAnsi" w:cstheme="majorHAnsi"/>
        </w:rPr>
        <w:t xml:space="preserve"> SD</w:t>
      </w:r>
      <w:r w:rsidR="00B44CDE" w:rsidRPr="0017030F">
        <w:rPr>
          <w:rFonts w:asciiTheme="majorHAnsi" w:hAnsiTheme="majorHAnsi" w:cstheme="majorHAnsi"/>
        </w:rPr>
        <w:t xml:space="preserve"> (n</w:t>
      </w:r>
      <w:r w:rsidR="00F84A70" w:rsidRPr="0017030F">
        <w:rPr>
          <w:rFonts w:asciiTheme="majorHAnsi" w:hAnsiTheme="majorHAnsi" w:cstheme="majorHAnsi"/>
        </w:rPr>
        <w:t xml:space="preserve"> </w:t>
      </w:r>
      <w:r w:rsidR="00B44CDE" w:rsidRPr="0017030F">
        <w:rPr>
          <w:rFonts w:asciiTheme="majorHAnsi" w:hAnsiTheme="majorHAnsi" w:cstheme="majorHAnsi"/>
        </w:rPr>
        <w:t>=</w:t>
      </w:r>
      <w:r w:rsidR="00F84A70" w:rsidRPr="0017030F">
        <w:rPr>
          <w:rFonts w:asciiTheme="majorHAnsi" w:hAnsiTheme="majorHAnsi" w:cstheme="majorHAnsi"/>
        </w:rPr>
        <w:t xml:space="preserve"> </w:t>
      </w:r>
      <w:r w:rsidR="00B44CDE" w:rsidRPr="0017030F">
        <w:rPr>
          <w:rFonts w:asciiTheme="majorHAnsi" w:hAnsiTheme="majorHAnsi" w:cstheme="majorHAnsi"/>
        </w:rPr>
        <w:t>3)</w:t>
      </w:r>
      <w:r w:rsidR="003B2820" w:rsidRPr="0017030F">
        <w:rPr>
          <w:rFonts w:asciiTheme="majorHAnsi" w:hAnsiTheme="majorHAnsi" w:cstheme="majorHAnsi"/>
        </w:rPr>
        <w:t xml:space="preserve"> </w:t>
      </w:r>
      <w:r w:rsidR="008E2F2E" w:rsidRPr="0017030F">
        <w:rPr>
          <w:rFonts w:asciiTheme="majorHAnsi" w:hAnsiTheme="majorHAnsi" w:cstheme="majorHAnsi"/>
        </w:rPr>
        <w:t xml:space="preserve">from </w:t>
      </w:r>
      <w:r w:rsidR="003B2820" w:rsidRPr="0017030F">
        <w:rPr>
          <w:rFonts w:asciiTheme="majorHAnsi" w:hAnsiTheme="majorHAnsi" w:cstheme="majorHAnsi"/>
        </w:rPr>
        <w:t>one</w:t>
      </w:r>
      <w:r w:rsidR="008E2F2E" w:rsidRPr="0017030F">
        <w:rPr>
          <w:rFonts w:asciiTheme="majorHAnsi" w:hAnsiTheme="majorHAnsi" w:cstheme="majorHAnsi"/>
        </w:rPr>
        <w:t xml:space="preserve"> independent experiment, each performed with </w:t>
      </w:r>
      <w:r w:rsidR="003B2820" w:rsidRPr="0017030F">
        <w:rPr>
          <w:rFonts w:asciiTheme="majorHAnsi" w:hAnsiTheme="majorHAnsi" w:cstheme="majorHAnsi"/>
        </w:rPr>
        <w:t>three</w:t>
      </w:r>
      <w:r w:rsidR="008E2F2E" w:rsidRPr="0017030F">
        <w:rPr>
          <w:rFonts w:asciiTheme="majorHAnsi" w:hAnsiTheme="majorHAnsi" w:cstheme="majorHAnsi"/>
        </w:rPr>
        <w:t xml:space="preserve"> technical replicates (wells) per concentration. Curves were fitted by nonlinear regression using a </w:t>
      </w:r>
      <w:r w:rsidR="008E2F2E" w:rsidRPr="0017030F">
        <w:rPr>
          <w:rFonts w:asciiTheme="majorHAnsi" w:hAnsiTheme="majorHAnsi" w:cstheme="majorHAnsi"/>
        </w:rPr>
        <w:lastRenderedPageBreak/>
        <w:t>four</w:t>
      </w:r>
      <w:r w:rsidR="008E2F2E" w:rsidRPr="0017030F">
        <w:rPr>
          <w:rFonts w:ascii="Cambria Math" w:hAnsi="Cambria Math" w:cs="Cambria Math"/>
        </w:rPr>
        <w:t>‑</w:t>
      </w:r>
      <w:r w:rsidR="008E2F2E" w:rsidRPr="0017030F">
        <w:rPr>
          <w:rFonts w:asciiTheme="majorHAnsi" w:hAnsiTheme="majorHAnsi" w:cstheme="majorHAnsi"/>
        </w:rPr>
        <w:t>parameter logistic (</w:t>
      </w:r>
      <w:r w:rsidR="008E2F2E" w:rsidRPr="00E73D5F">
        <w:rPr>
          <w:rFonts w:asciiTheme="majorHAnsi" w:hAnsiTheme="majorHAnsi" w:cstheme="majorHAnsi"/>
        </w:rPr>
        <w:t>“</w:t>
      </w:r>
      <w:r w:rsidR="008E2F2E" w:rsidRPr="0017030F">
        <w:rPr>
          <w:rFonts w:asciiTheme="majorHAnsi" w:hAnsiTheme="majorHAnsi" w:cstheme="majorHAnsi"/>
        </w:rPr>
        <w:t>variable slope</w:t>
      </w:r>
      <w:r w:rsidR="008E2F2E" w:rsidRPr="00E73D5F">
        <w:rPr>
          <w:rFonts w:asciiTheme="majorHAnsi" w:hAnsiTheme="majorHAnsi" w:cstheme="majorHAnsi"/>
        </w:rPr>
        <w:t>”</w:t>
      </w:r>
      <w:r w:rsidR="008E2F2E" w:rsidRPr="0017030F">
        <w:rPr>
          <w:rFonts w:asciiTheme="majorHAnsi" w:hAnsiTheme="majorHAnsi" w:cstheme="majorHAnsi"/>
        </w:rPr>
        <w:t>) model (inhibitor vs. response).</w:t>
      </w:r>
      <w:r w:rsidR="007851AE" w:rsidRPr="0017030F">
        <w:rPr>
          <w:rFonts w:asciiTheme="majorHAnsi" w:hAnsiTheme="majorHAnsi" w:cstheme="majorHAnsi"/>
        </w:rPr>
        <w:t xml:space="preserve"> IRA values below 0% are considered equivalent to 0% (baseline) for result interpretation.</w:t>
      </w:r>
      <w:r w:rsidR="008E2F2E" w:rsidRPr="0017030F">
        <w:rPr>
          <w:rFonts w:asciiTheme="majorHAnsi" w:hAnsiTheme="majorHAnsi" w:cstheme="majorHAnsi"/>
        </w:rPr>
        <w:t xml:space="preserve"> These data demonstrate that the assay yields a sigmoidal inhibition profile for the reference inhibitor and can confirm </w:t>
      </w:r>
      <w:r w:rsidR="006F7986" w:rsidRPr="0017030F">
        <w:rPr>
          <w:rFonts w:asciiTheme="majorHAnsi" w:hAnsiTheme="majorHAnsi" w:cstheme="majorHAnsi"/>
        </w:rPr>
        <w:t>whether a concentration-response curve is inhibitory or non-inhibitory</w:t>
      </w:r>
      <w:r w:rsidR="008E2F2E" w:rsidRPr="0017030F">
        <w:rPr>
          <w:rFonts w:asciiTheme="majorHAnsi" w:hAnsiTheme="majorHAnsi" w:cstheme="majorHAnsi"/>
        </w:rPr>
        <w:t xml:space="preserve"> under standardized conditions. </w:t>
      </w:r>
    </w:p>
    <w:p w14:paraId="7967D408" w14:textId="77777777" w:rsidR="00927E2F" w:rsidRPr="0017030F" w:rsidRDefault="00927E2F" w:rsidP="00E73D5F">
      <w:pPr>
        <w:rPr>
          <w:rFonts w:asciiTheme="majorHAnsi" w:hAnsiTheme="majorHAnsi" w:cstheme="majorHAnsi"/>
        </w:rPr>
      </w:pPr>
    </w:p>
    <w:p w14:paraId="3509E4F5" w14:textId="052E0C64" w:rsidR="00927E2F" w:rsidRPr="0017030F" w:rsidRDefault="00927E2F" w:rsidP="00E73D5F">
      <w:pPr>
        <w:rPr>
          <w:rFonts w:asciiTheme="majorHAnsi" w:hAnsiTheme="majorHAnsi" w:cstheme="majorHAnsi"/>
        </w:rPr>
      </w:pPr>
      <w:r w:rsidRPr="0017030F">
        <w:rPr>
          <w:rFonts w:asciiTheme="majorHAnsi" w:hAnsiTheme="majorHAnsi" w:cstheme="majorHAnsi"/>
          <w:b/>
        </w:rPr>
        <w:t>Table 1: Preparation of buffers and reagents.</w:t>
      </w:r>
      <w:r w:rsidRPr="0017030F">
        <w:rPr>
          <w:rFonts w:asciiTheme="majorHAnsi" w:hAnsiTheme="majorHAnsi" w:cstheme="majorHAnsi"/>
        </w:rPr>
        <w:t xml:space="preserve"> This table details the preparation steps and storage instructions for all buffers and stock solutions used in the DIO1 SK assay, including HEPES/EDTA buffer, DTT, rT3 solution, acidic ammonium cerium solution, and sodium </w:t>
      </w:r>
      <w:proofErr w:type="spellStart"/>
      <w:r w:rsidRPr="0017030F">
        <w:rPr>
          <w:rFonts w:asciiTheme="majorHAnsi" w:hAnsiTheme="majorHAnsi" w:cstheme="majorHAnsi"/>
        </w:rPr>
        <w:t>arsenite</w:t>
      </w:r>
      <w:proofErr w:type="spellEnd"/>
      <w:r w:rsidRPr="0017030F">
        <w:rPr>
          <w:rFonts w:asciiTheme="majorHAnsi" w:hAnsiTheme="majorHAnsi" w:cstheme="majorHAnsi"/>
        </w:rPr>
        <w:t xml:space="preserve"> solution.</w:t>
      </w:r>
    </w:p>
    <w:p w14:paraId="3A7540F8" w14:textId="77777777" w:rsidR="00927E2F" w:rsidRPr="0017030F" w:rsidRDefault="00927E2F" w:rsidP="00E73D5F">
      <w:pPr>
        <w:rPr>
          <w:rFonts w:asciiTheme="majorHAnsi" w:hAnsiTheme="majorHAnsi" w:cstheme="majorHAnsi"/>
        </w:rPr>
      </w:pPr>
    </w:p>
    <w:p w14:paraId="791E6FD2" w14:textId="14BA7967" w:rsidR="00927E2F" w:rsidRPr="0017030F" w:rsidRDefault="00927E2F" w:rsidP="00E73D5F">
      <w:pPr>
        <w:rPr>
          <w:rFonts w:asciiTheme="majorHAnsi" w:hAnsiTheme="majorHAnsi" w:cstheme="majorHAnsi"/>
        </w:rPr>
      </w:pPr>
      <w:r w:rsidRPr="0017030F">
        <w:rPr>
          <w:rFonts w:asciiTheme="majorHAnsi" w:hAnsiTheme="majorHAnsi" w:cstheme="majorHAnsi"/>
          <w:b/>
        </w:rPr>
        <w:t>Table 2:</w:t>
      </w:r>
      <w:r w:rsidR="00EB20A2" w:rsidRPr="0017030F">
        <w:rPr>
          <w:rFonts w:asciiTheme="majorHAnsi" w:hAnsiTheme="majorHAnsi" w:cstheme="majorHAnsi"/>
          <w:b/>
        </w:rPr>
        <w:t xml:space="preserve"> Preparation of reference item dilutions. </w:t>
      </w:r>
      <w:r w:rsidR="00EB20A2" w:rsidRPr="0017030F">
        <w:rPr>
          <w:rFonts w:asciiTheme="majorHAnsi" w:hAnsiTheme="majorHAnsi" w:cstheme="majorHAnsi"/>
          <w:bCs/>
        </w:rPr>
        <w:t xml:space="preserve">This </w:t>
      </w:r>
      <w:r w:rsidR="00EB20A2" w:rsidRPr="0017030F">
        <w:rPr>
          <w:rFonts w:asciiTheme="majorHAnsi" w:hAnsiTheme="majorHAnsi" w:cstheme="majorHAnsi"/>
        </w:rPr>
        <w:t>table summarizes the preparation of serial dilutions for the reference item (6-PTU), including concentrations, volumes of DMSO, and final concentrations used in the assay.</w:t>
      </w:r>
    </w:p>
    <w:p w14:paraId="3A9A9083" w14:textId="77777777" w:rsidR="00EB20A2" w:rsidRPr="0017030F" w:rsidRDefault="00EB20A2" w:rsidP="00E73D5F">
      <w:pPr>
        <w:rPr>
          <w:rFonts w:asciiTheme="majorHAnsi" w:hAnsiTheme="majorHAnsi" w:cstheme="majorHAnsi"/>
        </w:rPr>
      </w:pPr>
    </w:p>
    <w:p w14:paraId="0F6CFEB2" w14:textId="5C68A3A8" w:rsidR="00927E2F" w:rsidRPr="0017030F" w:rsidRDefault="00EB20A2" w:rsidP="00E73D5F">
      <w:pPr>
        <w:rPr>
          <w:rFonts w:asciiTheme="majorHAnsi" w:hAnsiTheme="majorHAnsi" w:cstheme="majorHAnsi"/>
        </w:rPr>
      </w:pPr>
      <w:r w:rsidRPr="0017030F">
        <w:rPr>
          <w:rFonts w:asciiTheme="majorHAnsi" w:hAnsiTheme="majorHAnsi" w:cstheme="majorHAnsi"/>
          <w:b/>
        </w:rPr>
        <w:t>Table 3: Preparation of microsome dilutions.</w:t>
      </w:r>
      <w:r w:rsidRPr="0017030F">
        <w:rPr>
          <w:rFonts w:asciiTheme="majorHAnsi" w:hAnsiTheme="majorHAnsi" w:cstheme="majorHAnsi"/>
        </w:rPr>
        <w:t xml:space="preserve"> This table provides the dilution scheme for microsomal protein per well, including the required volumes of </w:t>
      </w:r>
      <w:proofErr w:type="spellStart"/>
      <w:r w:rsidRPr="0017030F">
        <w:rPr>
          <w:rFonts w:asciiTheme="majorHAnsi" w:hAnsiTheme="majorHAnsi" w:cstheme="majorHAnsi"/>
        </w:rPr>
        <w:t>diH₂O</w:t>
      </w:r>
      <w:proofErr w:type="spellEnd"/>
      <w:r w:rsidRPr="0017030F">
        <w:rPr>
          <w:rFonts w:asciiTheme="majorHAnsi" w:hAnsiTheme="majorHAnsi" w:cstheme="majorHAnsi"/>
        </w:rPr>
        <w:t xml:space="preserve"> and microsome stock solution to achieve the final </w:t>
      </w:r>
      <w:r w:rsidR="003F52D6" w:rsidRPr="0017030F">
        <w:rPr>
          <w:rFonts w:asciiTheme="majorHAnsi" w:hAnsiTheme="majorHAnsi" w:cstheme="majorHAnsi"/>
        </w:rPr>
        <w:t>microsomal protein</w:t>
      </w:r>
      <w:r w:rsidRPr="0017030F">
        <w:rPr>
          <w:rFonts w:asciiTheme="majorHAnsi" w:hAnsiTheme="majorHAnsi" w:cstheme="majorHAnsi"/>
        </w:rPr>
        <w:t xml:space="preserve"> concentrations for the assay.</w:t>
      </w:r>
    </w:p>
    <w:p w14:paraId="57D50347" w14:textId="77777777" w:rsidR="00EB20A2" w:rsidRPr="0017030F" w:rsidRDefault="00EB20A2" w:rsidP="00E73D5F">
      <w:pPr>
        <w:rPr>
          <w:rFonts w:asciiTheme="majorHAnsi" w:hAnsiTheme="majorHAnsi" w:cstheme="majorHAnsi"/>
        </w:rPr>
      </w:pPr>
    </w:p>
    <w:p w14:paraId="14EB372C" w14:textId="36C4F129" w:rsidR="001C04A2" w:rsidRPr="0017030F" w:rsidRDefault="00EB20A2" w:rsidP="00E73D5F">
      <w:pPr>
        <w:rPr>
          <w:rFonts w:asciiTheme="majorHAnsi" w:hAnsiTheme="majorHAnsi" w:cstheme="majorHAnsi"/>
        </w:rPr>
      </w:pPr>
      <w:r w:rsidRPr="0017030F">
        <w:rPr>
          <w:rFonts w:asciiTheme="majorHAnsi" w:hAnsiTheme="majorHAnsi" w:cstheme="majorHAnsi"/>
          <w:b/>
        </w:rPr>
        <w:t>Table 4:</w:t>
      </w:r>
      <w:r w:rsidRPr="0017030F">
        <w:rPr>
          <w:rFonts w:asciiTheme="majorHAnsi" w:hAnsiTheme="majorHAnsi" w:cstheme="majorHAnsi"/>
          <w:b/>
          <w:bCs/>
          <w:shd w:val="clear" w:color="auto" w:fill="FAFAFA"/>
        </w:rPr>
        <w:t xml:space="preserve"> </w:t>
      </w:r>
      <w:r w:rsidRPr="0017030F">
        <w:rPr>
          <w:rFonts w:asciiTheme="majorHAnsi" w:hAnsiTheme="majorHAnsi" w:cstheme="majorHAnsi"/>
          <w:b/>
          <w:bCs/>
        </w:rPr>
        <w:t>Acceptance criteria for DIO1 SK assay</w:t>
      </w:r>
      <w:r w:rsidRPr="0017030F">
        <w:rPr>
          <w:rFonts w:asciiTheme="majorHAnsi" w:hAnsiTheme="majorHAnsi" w:cstheme="majorHAnsi"/>
        </w:rPr>
        <w:t>. This table lists the acceptance criteria for assay validity such as IC₅₀ range, coefficient of variation, IRA values for controls, z’-factor, and requirements for concentration-response curves.</w:t>
      </w:r>
      <w:r w:rsidR="00D35872" w:rsidRPr="00E73D5F">
        <w:rPr>
          <w:rFonts w:asciiTheme="majorHAnsi" w:hAnsiTheme="majorHAnsi" w:cstheme="majorHAnsi"/>
        </w:rPr>
        <w:t xml:space="preserve"> </w:t>
      </w:r>
      <w:r w:rsidR="00D35872" w:rsidRPr="0017030F">
        <w:rPr>
          <w:rFonts w:asciiTheme="majorHAnsi" w:hAnsiTheme="majorHAnsi" w:cstheme="majorHAnsi"/>
        </w:rPr>
        <w:t>The acceptance windows were derived from previously reported DIO1</w:t>
      </w:r>
      <w:r w:rsidR="00D35872" w:rsidRPr="0017030F">
        <w:rPr>
          <w:rFonts w:ascii="Cambria Math" w:hAnsi="Cambria Math" w:cs="Cambria Math"/>
        </w:rPr>
        <w:t>‑</w:t>
      </w:r>
      <w:r w:rsidR="00D35872" w:rsidRPr="0017030F">
        <w:rPr>
          <w:rFonts w:asciiTheme="majorHAnsi" w:hAnsiTheme="majorHAnsi" w:cstheme="majorHAnsi"/>
        </w:rPr>
        <w:t>SK validation studies</w:t>
      </w:r>
      <w:r w:rsidR="004510CC" w:rsidRPr="00E73D5F">
        <w:rPr>
          <w:rFonts w:asciiTheme="majorHAnsi" w:hAnsiTheme="majorHAnsi" w:cstheme="majorHAnsi"/>
          <w:vertAlign w:val="superscript"/>
        </w:rPr>
        <w:t>6</w:t>
      </w:r>
      <w:r w:rsidR="00D35872" w:rsidRPr="0017030F">
        <w:rPr>
          <w:rFonts w:asciiTheme="majorHAnsi" w:hAnsiTheme="majorHAnsi" w:cstheme="majorHAnsi"/>
        </w:rPr>
        <w:t>, including a reproducibility assessment based on five independent runs that informed the reference IC</w:t>
      </w:r>
      <w:r w:rsidR="00D35872" w:rsidRPr="00E73D5F">
        <w:rPr>
          <w:rFonts w:asciiTheme="majorHAnsi" w:hAnsiTheme="majorHAnsi" w:cstheme="majorHAnsi"/>
        </w:rPr>
        <w:t>₅₀</w:t>
      </w:r>
      <w:r w:rsidR="00D35872" w:rsidRPr="0017030F">
        <w:rPr>
          <w:rFonts w:asciiTheme="majorHAnsi" w:hAnsiTheme="majorHAnsi" w:cstheme="majorHAnsi"/>
        </w:rPr>
        <w:t xml:space="preserve"> window.</w:t>
      </w:r>
      <w:r w:rsidR="00D35872" w:rsidRPr="00E73D5F">
        <w:rPr>
          <w:rFonts w:asciiTheme="majorHAnsi" w:eastAsia="Times New Roman" w:hAnsiTheme="majorHAnsi" w:cstheme="majorHAnsi"/>
          <w:lang w:eastAsia="de-DE"/>
        </w:rPr>
        <w:t xml:space="preserve"> </w:t>
      </w:r>
      <w:r w:rsidR="00D35872" w:rsidRPr="0017030F">
        <w:rPr>
          <w:rFonts w:asciiTheme="majorHAnsi" w:hAnsiTheme="majorHAnsi" w:cstheme="majorHAnsi"/>
        </w:rPr>
        <w:t>In an example dataset of 10 independent runs, z′</w:t>
      </w:r>
      <w:r w:rsidR="00D35872" w:rsidRPr="0017030F">
        <w:rPr>
          <w:rFonts w:asciiTheme="majorHAnsi" w:hAnsiTheme="majorHAnsi" w:cstheme="majorHAnsi"/>
        </w:rPr>
        <w:noBreakHyphen/>
        <w:t>factor performance ranged from 0.544 to 0.774 (mean ± SD: 0.658 ± 0.062), supporting the z′ acceptance threshold used here.</w:t>
      </w:r>
    </w:p>
    <w:p w14:paraId="57AF7CE3" w14:textId="77777777" w:rsidR="001C04A2" w:rsidRPr="0017030F" w:rsidRDefault="001C04A2" w:rsidP="00E73D5F">
      <w:pPr>
        <w:rPr>
          <w:rFonts w:asciiTheme="majorHAnsi" w:hAnsiTheme="majorHAnsi" w:cstheme="majorHAnsi"/>
        </w:rPr>
      </w:pPr>
    </w:p>
    <w:p w14:paraId="43D5FF38" w14:textId="6F65301A" w:rsidR="00B9152A" w:rsidRPr="0017030F" w:rsidRDefault="001C04A2" w:rsidP="00E73D5F">
      <w:pPr>
        <w:rPr>
          <w:rFonts w:asciiTheme="majorHAnsi" w:hAnsiTheme="majorHAnsi" w:cstheme="majorHAnsi"/>
        </w:rPr>
      </w:pPr>
      <w:r w:rsidRPr="0017030F">
        <w:rPr>
          <w:rFonts w:asciiTheme="majorHAnsi" w:hAnsiTheme="majorHAnsi" w:cstheme="majorHAnsi"/>
          <w:b/>
        </w:rPr>
        <w:t xml:space="preserve">Table 5: </w:t>
      </w:r>
      <w:r w:rsidRPr="0017030F">
        <w:rPr>
          <w:rFonts w:asciiTheme="majorHAnsi" w:hAnsiTheme="majorHAnsi" w:cstheme="majorHAnsi"/>
          <w:b/>
          <w:bCs/>
        </w:rPr>
        <w:t>Classification of test items based on DIO1 inhibition potency and efficacy.</w:t>
      </w:r>
      <w:r w:rsidRPr="0017030F">
        <w:rPr>
          <w:rFonts w:asciiTheme="majorHAnsi" w:hAnsiTheme="majorHAnsi" w:cstheme="majorHAnsi"/>
        </w:rPr>
        <w:t xml:space="preserve"> Test items are categorized into three efficacy groups (full, partial, or non-inhibitor) based on their maximum inhibition of DIO1 activity. Full inhibitors are further subcategorized by potency, depending on their IC₅₀ relative to the reference item 6-PTU</w:t>
      </w:r>
      <w:r w:rsidR="004510CC" w:rsidRPr="0017030F">
        <w:rPr>
          <w:rFonts w:asciiTheme="majorHAnsi" w:hAnsiTheme="majorHAnsi" w:cstheme="majorHAnsi"/>
        </w:rPr>
        <w:t>.</w:t>
      </w:r>
    </w:p>
    <w:p w14:paraId="29DF5D15" w14:textId="77777777" w:rsidR="00B9152A" w:rsidRPr="0017030F" w:rsidRDefault="00B9152A" w:rsidP="00E73D5F">
      <w:pPr>
        <w:rPr>
          <w:rFonts w:asciiTheme="majorHAnsi" w:hAnsiTheme="majorHAnsi" w:cstheme="majorHAnsi"/>
        </w:rPr>
      </w:pPr>
    </w:p>
    <w:p w14:paraId="7C0B6465" w14:textId="256CAF04" w:rsidR="006E4797" w:rsidRPr="0017030F" w:rsidRDefault="00551D82" w:rsidP="00E73D5F">
      <w:pPr>
        <w:rPr>
          <w:rFonts w:asciiTheme="majorHAnsi" w:hAnsiTheme="majorHAnsi" w:cstheme="majorHAnsi"/>
          <w:b/>
        </w:rPr>
      </w:pPr>
      <w:r w:rsidRPr="0017030F">
        <w:rPr>
          <w:rFonts w:asciiTheme="majorHAnsi" w:hAnsiTheme="majorHAnsi" w:cstheme="majorHAnsi"/>
          <w:b/>
        </w:rPr>
        <w:t>DISCUSSION:</w:t>
      </w:r>
    </w:p>
    <w:p w14:paraId="16716DF8" w14:textId="4468F209" w:rsidR="004013D7" w:rsidRPr="0017030F" w:rsidRDefault="00F77ACC" w:rsidP="00E73D5F">
      <w:pPr>
        <w:rPr>
          <w:rFonts w:asciiTheme="majorHAnsi" w:hAnsiTheme="majorHAnsi" w:cstheme="majorHAnsi"/>
        </w:rPr>
      </w:pPr>
      <w:bookmarkStart w:id="20" w:name="_Hlk210139643"/>
      <w:r w:rsidRPr="0017030F">
        <w:rPr>
          <w:rFonts w:asciiTheme="majorHAnsi" w:hAnsiTheme="majorHAnsi" w:cstheme="majorHAnsi"/>
        </w:rPr>
        <w:t>The DIO1-SK assay provides a non-radioactive, cost-effective</w:t>
      </w:r>
      <w:r w:rsidR="00AB6508" w:rsidRPr="0017030F">
        <w:rPr>
          <w:rFonts w:asciiTheme="majorHAnsi" w:hAnsiTheme="majorHAnsi" w:cstheme="majorHAnsi"/>
        </w:rPr>
        <w:t>,</w:t>
      </w:r>
      <w:r w:rsidRPr="0017030F">
        <w:rPr>
          <w:rFonts w:asciiTheme="majorHAnsi" w:hAnsiTheme="majorHAnsi" w:cstheme="majorHAnsi"/>
        </w:rPr>
        <w:t xml:space="preserve"> and scalable alternative to traditional methods for assessing DIO1 activity, such as radiolabeled assays or mass spectrometry. Its </w:t>
      </w:r>
      <w:proofErr w:type="spellStart"/>
      <w:r w:rsidRPr="0017030F">
        <w:rPr>
          <w:rFonts w:asciiTheme="majorHAnsi" w:hAnsiTheme="majorHAnsi" w:cstheme="majorHAnsi"/>
        </w:rPr>
        <w:t>prevalidation</w:t>
      </w:r>
      <w:proofErr w:type="spellEnd"/>
      <w:r w:rsidRPr="0017030F">
        <w:rPr>
          <w:rFonts w:asciiTheme="majorHAnsi" w:hAnsiTheme="majorHAnsi" w:cstheme="majorHAnsi"/>
        </w:rPr>
        <w:t xml:space="preserve"> for human liver microsomes and strong concordance with SPE-LC-MS/MS measurements of thyroid hormone levels confirm its reliability and regulatory relevance, as reflected by its inclusion in the OECD test guideline workplan. The simplicity of the Sandell-Kolthoff (SK) reaction makes the assay accessible to laboratories without advanced instrumentation.</w:t>
      </w:r>
    </w:p>
    <w:p w14:paraId="6175858E" w14:textId="77777777" w:rsidR="00D21C3B" w:rsidRPr="0017030F" w:rsidRDefault="00D21C3B" w:rsidP="00E73D5F">
      <w:pPr>
        <w:rPr>
          <w:rFonts w:asciiTheme="majorHAnsi" w:hAnsiTheme="majorHAnsi" w:cstheme="majorHAnsi"/>
        </w:rPr>
      </w:pPr>
    </w:p>
    <w:p w14:paraId="6A6632E1" w14:textId="450B628D" w:rsidR="00D21C3B" w:rsidRPr="0017030F" w:rsidRDefault="00D21C3B" w:rsidP="00E73D5F">
      <w:pPr>
        <w:rPr>
          <w:rFonts w:asciiTheme="majorHAnsi" w:hAnsiTheme="majorHAnsi" w:cstheme="majorHAnsi"/>
        </w:rPr>
      </w:pPr>
      <w:r w:rsidRPr="0017030F">
        <w:rPr>
          <w:rFonts w:asciiTheme="majorHAnsi" w:hAnsiTheme="majorHAnsi" w:cstheme="majorHAnsi"/>
        </w:rPr>
        <w:t xml:space="preserve">In the present protocol, several practical aspects were specified in greater detail compared with previously published DIO1-SK procedures to further support robustness and reproducibility in a routine 96-well format. These clarifications focus on the rationale for the control concept (solvent, negative and positive controls), the decision to use freshly prepared </w:t>
      </w:r>
      <w:proofErr w:type="gramStart"/>
      <w:r w:rsidRPr="0017030F">
        <w:rPr>
          <w:rFonts w:asciiTheme="majorHAnsi" w:hAnsiTheme="majorHAnsi" w:cstheme="majorHAnsi"/>
        </w:rPr>
        <w:t>ion</w:t>
      </w:r>
      <w:proofErr w:type="gramEnd"/>
      <w:r w:rsidRPr="0017030F">
        <w:rPr>
          <w:rFonts w:asciiTheme="majorHAnsi" w:hAnsiTheme="majorHAnsi" w:cstheme="majorHAnsi"/>
        </w:rPr>
        <w:t xml:space="preserve">-exchange resin plates rather than re-using previously cast plates, and SK reaction conditions that improve </w:t>
      </w:r>
      <w:r w:rsidRPr="0017030F">
        <w:rPr>
          <w:rFonts w:asciiTheme="majorHAnsi" w:hAnsiTheme="majorHAnsi" w:cstheme="majorHAnsi"/>
        </w:rPr>
        <w:lastRenderedPageBreak/>
        <w:t>handling robustness in multi-well plate measurements, while keeping the biological interpretation consistent with prior standardization work</w:t>
      </w:r>
      <w:r w:rsidR="008031FE" w:rsidRPr="0017030F">
        <w:rPr>
          <w:rFonts w:asciiTheme="majorHAnsi" w:hAnsiTheme="majorHAnsi" w:cstheme="majorHAnsi"/>
          <w:vertAlign w:val="superscript"/>
        </w:rPr>
        <w:t>6,7</w:t>
      </w:r>
      <w:r w:rsidRPr="0017030F">
        <w:rPr>
          <w:rFonts w:asciiTheme="majorHAnsi" w:hAnsiTheme="majorHAnsi" w:cstheme="majorHAnsi"/>
        </w:rPr>
        <w:t>.</w:t>
      </w:r>
    </w:p>
    <w:p w14:paraId="79B99C01" w14:textId="77777777" w:rsidR="00F77ACC" w:rsidRPr="0017030F" w:rsidRDefault="00F77ACC" w:rsidP="00E73D5F">
      <w:pPr>
        <w:rPr>
          <w:rFonts w:asciiTheme="majorHAnsi" w:hAnsiTheme="majorHAnsi" w:cstheme="majorHAnsi"/>
        </w:rPr>
      </w:pPr>
    </w:p>
    <w:p w14:paraId="49438BF3" w14:textId="091A1039" w:rsidR="00D21C3B" w:rsidRPr="0017030F" w:rsidRDefault="004013D7" w:rsidP="00E73D5F">
      <w:pPr>
        <w:rPr>
          <w:rFonts w:asciiTheme="majorHAnsi" w:hAnsiTheme="majorHAnsi" w:cstheme="majorHAnsi"/>
        </w:rPr>
      </w:pPr>
      <w:r w:rsidRPr="0017030F">
        <w:rPr>
          <w:rFonts w:asciiTheme="majorHAnsi" w:hAnsiTheme="majorHAnsi" w:cstheme="majorHAnsi"/>
        </w:rPr>
        <w:t xml:space="preserve">Despite its strengths, several critical steps must be </w:t>
      </w:r>
      <w:r w:rsidR="001540AC" w:rsidRPr="0017030F">
        <w:rPr>
          <w:rFonts w:asciiTheme="majorHAnsi" w:hAnsiTheme="majorHAnsi" w:cstheme="majorHAnsi"/>
        </w:rPr>
        <w:t xml:space="preserve">addressed to </w:t>
      </w:r>
      <w:r w:rsidRPr="0017030F">
        <w:rPr>
          <w:rFonts w:asciiTheme="majorHAnsi" w:hAnsiTheme="majorHAnsi" w:cstheme="majorHAnsi"/>
        </w:rPr>
        <w:t>accurately quantify the iodide released during the DIO1</w:t>
      </w:r>
      <w:r w:rsidR="001540AC" w:rsidRPr="0017030F">
        <w:rPr>
          <w:rFonts w:asciiTheme="majorHAnsi" w:hAnsiTheme="majorHAnsi" w:cstheme="majorHAnsi"/>
        </w:rPr>
        <w:t>-mediated</w:t>
      </w:r>
      <w:r w:rsidRPr="0017030F">
        <w:rPr>
          <w:rFonts w:asciiTheme="majorHAnsi" w:hAnsiTheme="majorHAnsi" w:cstheme="majorHAnsi"/>
        </w:rPr>
        <w:t xml:space="preserve"> conversion of rT3 to T2.</w:t>
      </w:r>
      <w:r w:rsidR="00ED0F7F" w:rsidRPr="0017030F">
        <w:rPr>
          <w:rFonts w:asciiTheme="majorHAnsi" w:hAnsiTheme="majorHAnsi" w:cstheme="majorHAnsi"/>
        </w:rPr>
        <w:t xml:space="preserve"> </w:t>
      </w:r>
      <w:r w:rsidR="007178E4" w:rsidRPr="0017030F">
        <w:rPr>
          <w:rFonts w:asciiTheme="majorHAnsi" w:hAnsiTheme="majorHAnsi" w:cstheme="majorHAnsi"/>
        </w:rPr>
        <w:t xml:space="preserve">This is achieved via the Sandell-Kolthoff reaction, which requires precise timing and consistent reagent handling to ensure reproducibility. </w:t>
      </w:r>
      <w:r w:rsidR="00CD262E" w:rsidRPr="0017030F">
        <w:rPr>
          <w:rFonts w:asciiTheme="majorHAnsi" w:hAnsiTheme="majorHAnsi" w:cstheme="majorHAnsi"/>
        </w:rPr>
        <w:t>The SK reaction is a rapid catalytic process in which iodide accelerates the reduction of yellow cerium</w:t>
      </w:r>
      <w:r w:rsidR="00817DEF" w:rsidRPr="0017030F">
        <w:rPr>
          <w:rFonts w:asciiTheme="majorHAnsi" w:hAnsiTheme="majorHAnsi" w:cstheme="majorHAnsi"/>
        </w:rPr>
        <w:t xml:space="preserve"> </w:t>
      </w:r>
      <w:r w:rsidR="00CD262E" w:rsidRPr="0017030F">
        <w:rPr>
          <w:rFonts w:asciiTheme="majorHAnsi" w:hAnsiTheme="majorHAnsi" w:cstheme="majorHAnsi"/>
        </w:rPr>
        <w:t>(IV) to colorless cerium</w:t>
      </w:r>
      <w:r w:rsidR="00817DEF" w:rsidRPr="0017030F">
        <w:rPr>
          <w:rFonts w:asciiTheme="majorHAnsi" w:hAnsiTheme="majorHAnsi" w:cstheme="majorHAnsi"/>
        </w:rPr>
        <w:t xml:space="preserve"> </w:t>
      </w:r>
      <w:r w:rsidR="00CD262E" w:rsidRPr="0017030F">
        <w:rPr>
          <w:rFonts w:asciiTheme="majorHAnsi" w:hAnsiTheme="majorHAnsi" w:cstheme="majorHAnsi"/>
        </w:rPr>
        <w:t xml:space="preserve">(III) by </w:t>
      </w:r>
      <w:proofErr w:type="spellStart"/>
      <w:r w:rsidR="00CD262E" w:rsidRPr="0017030F">
        <w:rPr>
          <w:rFonts w:asciiTheme="majorHAnsi" w:hAnsiTheme="majorHAnsi" w:cstheme="majorHAnsi"/>
        </w:rPr>
        <w:t>arsenite</w:t>
      </w:r>
      <w:proofErr w:type="spellEnd"/>
      <w:r w:rsidR="00CD262E" w:rsidRPr="0017030F">
        <w:rPr>
          <w:rFonts w:asciiTheme="majorHAnsi" w:hAnsiTheme="majorHAnsi" w:cstheme="majorHAnsi"/>
        </w:rPr>
        <w:t xml:space="preserve">; the rate of color change is directly proportional to the iodide concentration. Because the reaction proceeds quickly once the arsenic solution is added, it is essential that the measurement </w:t>
      </w:r>
      <w:proofErr w:type="gramStart"/>
      <w:r w:rsidR="00CD262E" w:rsidRPr="0017030F">
        <w:rPr>
          <w:rFonts w:asciiTheme="majorHAnsi" w:hAnsiTheme="majorHAnsi" w:cstheme="majorHAnsi"/>
        </w:rPr>
        <w:t>is started</w:t>
      </w:r>
      <w:proofErr w:type="gramEnd"/>
      <w:r w:rsidR="00CD262E" w:rsidRPr="0017030F">
        <w:rPr>
          <w:rFonts w:asciiTheme="majorHAnsi" w:hAnsiTheme="majorHAnsi" w:cstheme="majorHAnsi"/>
        </w:rPr>
        <w:t xml:space="preserve"> without delay. In a 96-well plate format, slow or inconsistent addition of the arsenic solution can introduce significant variability between wells. Therefore, the use of a multichannel pipette or an automated dispenser is strongly recommended to ensure uniform and </w:t>
      </w:r>
      <w:proofErr w:type="gramStart"/>
      <w:r w:rsidR="00CD262E" w:rsidRPr="0017030F">
        <w:rPr>
          <w:rFonts w:asciiTheme="majorHAnsi" w:hAnsiTheme="majorHAnsi" w:cstheme="majorHAnsi"/>
        </w:rPr>
        <w:t>rapid reagent</w:t>
      </w:r>
      <w:proofErr w:type="gramEnd"/>
      <w:r w:rsidR="00CD262E" w:rsidRPr="0017030F">
        <w:rPr>
          <w:rFonts w:asciiTheme="majorHAnsi" w:hAnsiTheme="majorHAnsi" w:cstheme="majorHAnsi"/>
        </w:rPr>
        <w:t xml:space="preserve"> addition across all wells.</w:t>
      </w:r>
    </w:p>
    <w:p w14:paraId="142C3763" w14:textId="77777777" w:rsidR="00D21C3B" w:rsidRPr="0017030F" w:rsidRDefault="00D21C3B" w:rsidP="00E73D5F">
      <w:pPr>
        <w:rPr>
          <w:rFonts w:asciiTheme="majorHAnsi" w:hAnsiTheme="majorHAnsi" w:cstheme="majorHAnsi"/>
        </w:rPr>
      </w:pPr>
    </w:p>
    <w:p w14:paraId="17E8143B" w14:textId="71CC32B8" w:rsidR="00D21C3B" w:rsidRPr="0017030F" w:rsidRDefault="00D21C3B" w:rsidP="00E73D5F">
      <w:pPr>
        <w:rPr>
          <w:rFonts w:asciiTheme="majorHAnsi" w:hAnsiTheme="majorHAnsi" w:cstheme="majorHAnsi"/>
        </w:rPr>
      </w:pPr>
      <w:r w:rsidRPr="0017030F">
        <w:rPr>
          <w:rFonts w:asciiTheme="majorHAnsi" w:hAnsiTheme="majorHAnsi" w:cstheme="majorHAnsi"/>
        </w:rPr>
        <w:t xml:space="preserve">To maximize comparability across wells and between plates, the reagent addition order in the SK reaction should be kept consistent with the described workflow: Cerium is present as the chromogenic substrate, and the reaction is initiated by </w:t>
      </w:r>
      <w:proofErr w:type="spellStart"/>
      <w:r w:rsidRPr="0017030F">
        <w:rPr>
          <w:rFonts w:asciiTheme="majorHAnsi" w:hAnsiTheme="majorHAnsi" w:cstheme="majorHAnsi"/>
        </w:rPr>
        <w:t>arsenite</w:t>
      </w:r>
      <w:proofErr w:type="spellEnd"/>
      <w:r w:rsidRPr="0017030F">
        <w:rPr>
          <w:rFonts w:asciiTheme="majorHAnsi" w:hAnsiTheme="majorHAnsi" w:cstheme="majorHAnsi"/>
        </w:rPr>
        <w:t xml:space="preserve"> addition, which defines the start time and therefore requires rapid, synchronized dispensing. Alternative reagent addition orders were not evaluated in this setup; thus, changing the order is not recommended when reproducing the protocol.</w:t>
      </w:r>
      <w:r w:rsidR="009B7681" w:rsidRPr="0017030F">
        <w:rPr>
          <w:rFonts w:asciiTheme="majorHAnsi" w:hAnsiTheme="majorHAnsi" w:cstheme="majorHAnsi"/>
        </w:rPr>
        <w:t xml:space="preserve"> </w:t>
      </w:r>
      <w:r w:rsidRPr="0017030F">
        <w:rPr>
          <w:rFonts w:asciiTheme="majorHAnsi" w:hAnsiTheme="majorHAnsi" w:cstheme="majorHAnsi"/>
        </w:rPr>
        <w:t xml:space="preserve">In addition, </w:t>
      </w:r>
      <w:proofErr w:type="gramStart"/>
      <w:r w:rsidRPr="0017030F">
        <w:rPr>
          <w:rFonts w:asciiTheme="majorHAnsi" w:hAnsiTheme="majorHAnsi" w:cstheme="majorHAnsi"/>
        </w:rPr>
        <w:t>the cerium</w:t>
      </w:r>
      <w:proofErr w:type="gramEnd"/>
      <w:r w:rsidRPr="0017030F">
        <w:rPr>
          <w:rFonts w:asciiTheme="majorHAnsi" w:hAnsiTheme="majorHAnsi" w:cstheme="majorHAnsi"/>
        </w:rPr>
        <w:t xml:space="preserve"> concentration can influence the practical performance characteristics of the SK readout (e.g., signal window and robustness). While 25 mM cerium was defined as a validated standard condition during earlier assay standardization, higher concentrations such as 40 mM were shown to increase signal window and z′-factor without affecting IC₅₀ values or biological interpretation</w:t>
      </w:r>
      <w:r w:rsidR="00AB6508" w:rsidRPr="0017030F">
        <w:rPr>
          <w:rFonts w:asciiTheme="majorHAnsi" w:hAnsiTheme="majorHAnsi" w:cstheme="majorHAnsi"/>
        </w:rPr>
        <w:t>,</w:t>
      </w:r>
      <w:r w:rsidRPr="0017030F">
        <w:rPr>
          <w:rFonts w:asciiTheme="majorHAnsi" w:hAnsiTheme="majorHAnsi" w:cstheme="majorHAnsi"/>
        </w:rPr>
        <w:t xml:space="preserve"> as already described in previous work</w:t>
      </w:r>
      <w:r w:rsidRPr="0017030F">
        <w:rPr>
          <w:rFonts w:asciiTheme="majorHAnsi" w:hAnsiTheme="majorHAnsi" w:cstheme="majorHAnsi"/>
          <w:vertAlign w:val="superscript"/>
        </w:rPr>
        <w:t>6</w:t>
      </w:r>
      <w:r w:rsidRPr="0017030F">
        <w:rPr>
          <w:rFonts w:asciiTheme="majorHAnsi" w:hAnsiTheme="majorHAnsi" w:cstheme="majorHAnsi"/>
        </w:rPr>
        <w:t>. In this protocol, 40 mM cerium is used to ensure complete and rapid iodide complexation under the assay conditions and to improve robustness and signal stability in routine plate-based measurements.</w:t>
      </w:r>
      <w:r w:rsidR="00F03D27" w:rsidRPr="0017030F">
        <w:rPr>
          <w:rFonts w:asciiTheme="majorHAnsi" w:hAnsiTheme="majorHAnsi" w:cstheme="majorHAnsi"/>
        </w:rPr>
        <w:t xml:space="preserve"> The acceptance criteria (e.g.</w:t>
      </w:r>
      <w:r w:rsidR="00AB6508" w:rsidRPr="0017030F">
        <w:rPr>
          <w:rFonts w:asciiTheme="majorHAnsi" w:hAnsiTheme="majorHAnsi" w:cstheme="majorHAnsi"/>
        </w:rPr>
        <w:t>,</w:t>
      </w:r>
      <w:r w:rsidR="00F03D27" w:rsidRPr="0017030F">
        <w:rPr>
          <w:rFonts w:asciiTheme="majorHAnsi" w:hAnsiTheme="majorHAnsi" w:cstheme="majorHAnsi"/>
        </w:rPr>
        <w:t xml:space="preserve"> z′-factor, IC₅₀ values</w:t>
      </w:r>
      <w:r w:rsidR="004A69F7" w:rsidRPr="0017030F">
        <w:rPr>
          <w:rFonts w:asciiTheme="majorHAnsi" w:hAnsiTheme="majorHAnsi" w:cstheme="majorHAnsi"/>
        </w:rPr>
        <w:t xml:space="preserve"> of the reference inhibitor</w:t>
      </w:r>
      <w:r w:rsidR="00F03D27" w:rsidRPr="0017030F">
        <w:rPr>
          <w:rFonts w:asciiTheme="majorHAnsi" w:hAnsiTheme="majorHAnsi" w:cstheme="majorHAnsi"/>
        </w:rPr>
        <w:t>) are based on historical performance observed in prior validation studies and is intended as a routine assay performance check.</w:t>
      </w:r>
      <w:r w:rsidR="004A69F7" w:rsidRPr="0017030F">
        <w:rPr>
          <w:rFonts w:asciiTheme="majorHAnsi" w:hAnsiTheme="majorHAnsi" w:cstheme="majorHAnsi"/>
        </w:rPr>
        <w:t xml:space="preserve"> </w:t>
      </w:r>
    </w:p>
    <w:p w14:paraId="69BBBC34" w14:textId="77777777" w:rsidR="00D21C3B" w:rsidRPr="0017030F" w:rsidRDefault="00D21C3B" w:rsidP="00E73D5F">
      <w:pPr>
        <w:rPr>
          <w:rFonts w:asciiTheme="majorHAnsi" w:hAnsiTheme="majorHAnsi" w:cstheme="majorHAnsi"/>
        </w:rPr>
      </w:pPr>
    </w:p>
    <w:p w14:paraId="5816859C" w14:textId="47ED2316" w:rsidR="005E6AEC" w:rsidRPr="0017030F" w:rsidRDefault="007178E4" w:rsidP="00E73D5F">
      <w:pPr>
        <w:rPr>
          <w:rFonts w:asciiTheme="majorHAnsi" w:hAnsiTheme="majorHAnsi" w:cstheme="majorHAnsi"/>
        </w:rPr>
      </w:pPr>
      <w:r w:rsidRPr="0017030F">
        <w:rPr>
          <w:rFonts w:asciiTheme="majorHAnsi" w:hAnsiTheme="majorHAnsi" w:cstheme="majorHAnsi"/>
        </w:rPr>
        <w:t xml:space="preserve">The use of human liver microsomes introduces biological variability, making the standardization of microsome batch-specific iodide release activity essential. </w:t>
      </w:r>
      <w:r w:rsidR="001540AC" w:rsidRPr="0017030F">
        <w:rPr>
          <w:rFonts w:asciiTheme="majorHAnsi" w:hAnsiTheme="majorHAnsi" w:cstheme="majorHAnsi"/>
        </w:rPr>
        <w:t>Careful</w:t>
      </w:r>
      <w:r w:rsidRPr="0017030F">
        <w:rPr>
          <w:rFonts w:asciiTheme="majorHAnsi" w:hAnsiTheme="majorHAnsi" w:cstheme="majorHAnsi"/>
        </w:rPr>
        <w:t xml:space="preserve"> preparation of ion exchange resin-filled filter plates </w:t>
      </w:r>
      <w:r w:rsidR="001540AC" w:rsidRPr="0017030F">
        <w:rPr>
          <w:rFonts w:asciiTheme="majorHAnsi" w:hAnsiTheme="majorHAnsi" w:cstheme="majorHAnsi"/>
        </w:rPr>
        <w:t xml:space="preserve">is necessary to avoid </w:t>
      </w:r>
      <w:r w:rsidR="009C0943" w:rsidRPr="0017030F">
        <w:rPr>
          <w:rFonts w:asciiTheme="majorHAnsi" w:hAnsiTheme="majorHAnsi" w:cstheme="majorHAnsi"/>
        </w:rPr>
        <w:t xml:space="preserve">uneven </w:t>
      </w:r>
      <w:r w:rsidR="001540AC" w:rsidRPr="0017030F">
        <w:rPr>
          <w:rFonts w:asciiTheme="majorHAnsi" w:hAnsiTheme="majorHAnsi" w:cstheme="majorHAnsi"/>
        </w:rPr>
        <w:t xml:space="preserve">resin </w:t>
      </w:r>
      <w:r w:rsidR="009C0943" w:rsidRPr="0017030F">
        <w:rPr>
          <w:rFonts w:asciiTheme="majorHAnsi" w:hAnsiTheme="majorHAnsi" w:cstheme="majorHAnsi"/>
        </w:rPr>
        <w:t>distribution across the filter plate</w:t>
      </w:r>
      <w:r w:rsidRPr="0017030F">
        <w:rPr>
          <w:rFonts w:asciiTheme="majorHAnsi" w:hAnsiTheme="majorHAnsi" w:cstheme="majorHAnsi"/>
        </w:rPr>
        <w:t xml:space="preserve"> and </w:t>
      </w:r>
      <w:r w:rsidR="009C0943" w:rsidRPr="0017030F">
        <w:rPr>
          <w:rFonts w:asciiTheme="majorHAnsi" w:hAnsiTheme="majorHAnsi" w:cstheme="majorHAnsi"/>
        </w:rPr>
        <w:t xml:space="preserve">to </w:t>
      </w:r>
      <w:r w:rsidRPr="0017030F">
        <w:rPr>
          <w:rFonts w:asciiTheme="majorHAnsi" w:hAnsiTheme="majorHAnsi" w:cstheme="majorHAnsi"/>
        </w:rPr>
        <w:t xml:space="preserve">ensure complete separation of iodide from </w:t>
      </w:r>
      <w:r w:rsidR="009C0943" w:rsidRPr="0017030F">
        <w:rPr>
          <w:rFonts w:asciiTheme="majorHAnsi" w:hAnsiTheme="majorHAnsi" w:cstheme="majorHAnsi"/>
        </w:rPr>
        <w:t xml:space="preserve">potentially </w:t>
      </w:r>
      <w:r w:rsidRPr="0017030F">
        <w:rPr>
          <w:rFonts w:asciiTheme="majorHAnsi" w:hAnsiTheme="majorHAnsi" w:cstheme="majorHAnsi"/>
        </w:rPr>
        <w:t>interfering substances.</w:t>
      </w:r>
      <w:r w:rsidR="001540AC" w:rsidRPr="0017030F">
        <w:rPr>
          <w:rFonts w:asciiTheme="majorHAnsi" w:hAnsiTheme="majorHAnsi" w:cstheme="majorHAnsi"/>
        </w:rPr>
        <w:t xml:space="preserve"> </w:t>
      </w:r>
      <w:r w:rsidR="005E6AEC" w:rsidRPr="0017030F">
        <w:rPr>
          <w:rFonts w:asciiTheme="majorHAnsi" w:hAnsiTheme="majorHAnsi" w:cstheme="majorHAnsi"/>
        </w:rPr>
        <w:t xml:space="preserve">With respect to the resin workflow, freshly casting ion exchange resin-filled filter plates </w:t>
      </w:r>
      <w:proofErr w:type="gramStart"/>
      <w:r w:rsidR="005E6AEC" w:rsidRPr="0017030F">
        <w:rPr>
          <w:rFonts w:asciiTheme="majorHAnsi" w:hAnsiTheme="majorHAnsi" w:cstheme="majorHAnsi"/>
        </w:rPr>
        <w:t>was</w:t>
      </w:r>
      <w:proofErr w:type="gramEnd"/>
      <w:r w:rsidR="005E6AEC" w:rsidRPr="0017030F">
        <w:rPr>
          <w:rFonts w:asciiTheme="majorHAnsi" w:hAnsiTheme="majorHAnsi" w:cstheme="majorHAnsi"/>
        </w:rPr>
        <w:t xml:space="preserve"> chosen to minimize </w:t>
      </w:r>
      <w:r w:rsidR="005958A8" w:rsidRPr="0017030F">
        <w:rPr>
          <w:rFonts w:asciiTheme="majorHAnsi" w:hAnsiTheme="majorHAnsi" w:cstheme="majorHAnsi"/>
        </w:rPr>
        <w:t xml:space="preserve">the potential risk of additional </w:t>
      </w:r>
      <w:r w:rsidR="005E6AEC" w:rsidRPr="0017030F">
        <w:rPr>
          <w:rFonts w:asciiTheme="majorHAnsi" w:hAnsiTheme="majorHAnsi" w:cstheme="majorHAnsi"/>
        </w:rPr>
        <w:t xml:space="preserve">variability arising from resin saturation, iodide or protein carryover, and potential loss of binding efficiency upon reuse. Re-using resin </w:t>
      </w:r>
      <w:r w:rsidR="008031FE" w:rsidRPr="0017030F">
        <w:rPr>
          <w:rFonts w:asciiTheme="majorHAnsi" w:hAnsiTheme="majorHAnsi" w:cstheme="majorHAnsi"/>
        </w:rPr>
        <w:t xml:space="preserve">and filter </w:t>
      </w:r>
      <w:r w:rsidR="005958A8" w:rsidRPr="0017030F">
        <w:rPr>
          <w:rFonts w:asciiTheme="majorHAnsi" w:hAnsiTheme="majorHAnsi" w:cstheme="majorHAnsi"/>
        </w:rPr>
        <w:t>plates is</w:t>
      </w:r>
      <w:r w:rsidR="005E6AEC" w:rsidRPr="0017030F">
        <w:rPr>
          <w:rFonts w:asciiTheme="majorHAnsi" w:hAnsiTheme="majorHAnsi" w:cstheme="majorHAnsi"/>
        </w:rPr>
        <w:t xml:space="preserve"> technically feasible, </w:t>
      </w:r>
      <w:r w:rsidR="005958A8" w:rsidRPr="0017030F">
        <w:rPr>
          <w:rFonts w:asciiTheme="majorHAnsi" w:hAnsiTheme="majorHAnsi" w:cstheme="majorHAnsi"/>
        </w:rPr>
        <w:t xml:space="preserve">however might </w:t>
      </w:r>
      <w:proofErr w:type="spellStart"/>
      <w:r w:rsidR="005958A8" w:rsidRPr="0017030F">
        <w:rPr>
          <w:rFonts w:asciiTheme="majorHAnsi" w:hAnsiTheme="majorHAnsi" w:cstheme="majorHAnsi"/>
        </w:rPr>
        <w:t>harbour</w:t>
      </w:r>
      <w:proofErr w:type="spellEnd"/>
      <w:r w:rsidR="005958A8" w:rsidRPr="0017030F">
        <w:rPr>
          <w:rFonts w:asciiTheme="majorHAnsi" w:hAnsiTheme="majorHAnsi" w:cstheme="majorHAnsi"/>
        </w:rPr>
        <w:t xml:space="preserve"> some risks that were not systematically evaluated in this study. I</w:t>
      </w:r>
      <w:r w:rsidR="005E6AEC" w:rsidRPr="0017030F">
        <w:rPr>
          <w:rFonts w:asciiTheme="majorHAnsi" w:hAnsiTheme="majorHAnsi" w:cstheme="majorHAnsi"/>
        </w:rPr>
        <w:t xml:space="preserve">t may introduce batch-to-batch drift if resin binding capacity is reduced or if residual matrix components remain in the resin bed after prior runs. For laboratories considering recycling, a pragmatic recommendation is to validate resin performance after reuse (e.g., by monitoring background and standard curve behavior and ensuring consistent iodide capture) and to discontinue reuse if increased background, reduced dynamic range, or inconsistent separation </w:t>
      </w:r>
      <w:r w:rsidR="005E6AEC" w:rsidRPr="0017030F">
        <w:rPr>
          <w:rFonts w:asciiTheme="majorHAnsi" w:hAnsiTheme="majorHAnsi" w:cstheme="majorHAnsi"/>
        </w:rPr>
        <w:lastRenderedPageBreak/>
        <w:t xml:space="preserve">is observed. </w:t>
      </w:r>
      <w:r w:rsidR="005E6AEC" w:rsidRPr="00E73D5F">
        <w:rPr>
          <w:rFonts w:asciiTheme="majorHAnsi" w:hAnsiTheme="majorHAnsi" w:cstheme="majorHAnsi"/>
        </w:rPr>
        <w:t>It is recommended to utilize resin-filled filter plates for single use, as this protocol has been specifically developed based on that methodology.</w:t>
      </w:r>
    </w:p>
    <w:p w14:paraId="0EB0A4A8" w14:textId="77777777" w:rsidR="005E6AEC" w:rsidRPr="0017030F" w:rsidRDefault="005E6AEC" w:rsidP="00E73D5F">
      <w:pPr>
        <w:rPr>
          <w:rFonts w:asciiTheme="majorHAnsi" w:hAnsiTheme="majorHAnsi" w:cstheme="majorHAnsi"/>
        </w:rPr>
      </w:pPr>
    </w:p>
    <w:p w14:paraId="6134912D" w14:textId="6DCBA316" w:rsidR="007178E4" w:rsidRPr="0017030F" w:rsidRDefault="001540AC" w:rsidP="00E73D5F">
      <w:pPr>
        <w:rPr>
          <w:rFonts w:asciiTheme="majorHAnsi" w:hAnsiTheme="majorHAnsi" w:cstheme="majorHAnsi"/>
        </w:rPr>
      </w:pPr>
      <w:r w:rsidRPr="0017030F">
        <w:rPr>
          <w:rFonts w:asciiTheme="majorHAnsi" w:hAnsiTheme="majorHAnsi" w:cstheme="majorHAnsi"/>
        </w:rPr>
        <w:t>Additionally, the solubility of each test item must be determined in an appropriate vehicle, as the maximal concentration tested is limited by solubility (typically up to 1 mM with 1% DMSO).</w:t>
      </w:r>
      <w:r w:rsidR="005E6AEC" w:rsidRPr="00E73D5F">
        <w:rPr>
          <w:rFonts w:asciiTheme="majorHAnsi" w:eastAsia="Times New Roman" w:hAnsiTheme="majorHAnsi" w:cstheme="majorHAnsi"/>
          <w:lang w:eastAsia="de-DE"/>
        </w:rPr>
        <w:t xml:space="preserve"> </w:t>
      </w:r>
      <w:r w:rsidR="005E6AEC" w:rsidRPr="0017030F">
        <w:rPr>
          <w:rFonts w:asciiTheme="majorHAnsi" w:hAnsiTheme="majorHAnsi" w:cstheme="majorHAnsi"/>
        </w:rPr>
        <w:t>Because all test compounds are applied in DMSO</w:t>
      </w:r>
      <w:r w:rsidR="009D068F" w:rsidRPr="0017030F">
        <w:rPr>
          <w:rFonts w:asciiTheme="majorHAnsi" w:hAnsiTheme="majorHAnsi" w:cstheme="majorHAnsi"/>
        </w:rPr>
        <w:t xml:space="preserve"> as </w:t>
      </w:r>
      <w:r w:rsidR="00AB6508" w:rsidRPr="0017030F">
        <w:rPr>
          <w:rFonts w:asciiTheme="majorHAnsi" w:hAnsiTheme="majorHAnsi" w:cstheme="majorHAnsi"/>
        </w:rPr>
        <w:t>the solvent, the solvent control defines the baseline DIO1 activity under assay-relevant conditions and serves as</w:t>
      </w:r>
      <w:r w:rsidR="005E6AEC" w:rsidRPr="0017030F">
        <w:rPr>
          <w:rFonts w:asciiTheme="majorHAnsi" w:hAnsiTheme="majorHAnsi" w:cstheme="majorHAnsi"/>
        </w:rPr>
        <w:t xml:space="preserve"> the most appropriate reference condition for normalization and comparison. In contrast, 1-thio-β-D-glucose sodium salt was included as a negative control because it is structurally similar to the positive control </w:t>
      </w:r>
      <w:proofErr w:type="spellStart"/>
      <w:r w:rsidR="005E6AEC" w:rsidRPr="0017030F">
        <w:rPr>
          <w:rFonts w:asciiTheme="majorHAnsi" w:hAnsiTheme="majorHAnsi" w:cstheme="majorHAnsi"/>
        </w:rPr>
        <w:t>aurothioglucose</w:t>
      </w:r>
      <w:proofErr w:type="spellEnd"/>
      <w:r w:rsidR="005E6AEC" w:rsidRPr="0017030F">
        <w:rPr>
          <w:rFonts w:asciiTheme="majorHAnsi" w:hAnsiTheme="majorHAnsi" w:cstheme="majorHAnsi"/>
        </w:rPr>
        <w:t xml:space="preserve"> (ATG) but chemically inert with respect to iodothyronine deiodination and does not interfere with microsomal redox systems or DIO1 catalytic activity. Its inclusion helps distinguish true DIO1-specific effects from nonspecific effects related to compound addition, handling, or assay matrix interactions. </w:t>
      </w:r>
      <w:proofErr w:type="gramStart"/>
      <w:r w:rsidR="005E6AEC" w:rsidRPr="0017030F">
        <w:rPr>
          <w:rFonts w:asciiTheme="majorHAnsi" w:hAnsiTheme="majorHAnsi" w:cstheme="majorHAnsi"/>
        </w:rPr>
        <w:t>A no</w:t>
      </w:r>
      <w:proofErr w:type="gramEnd"/>
      <w:r w:rsidR="005E6AEC" w:rsidRPr="0017030F">
        <w:rPr>
          <w:rFonts w:asciiTheme="majorHAnsi" w:hAnsiTheme="majorHAnsi" w:cstheme="majorHAnsi"/>
        </w:rPr>
        <w:t>-treatment</w:t>
      </w:r>
      <w:r w:rsidR="009D068F" w:rsidRPr="0017030F">
        <w:rPr>
          <w:rFonts w:asciiTheme="majorHAnsi" w:hAnsiTheme="majorHAnsi" w:cstheme="majorHAnsi"/>
        </w:rPr>
        <w:t>/no-vehicle</w:t>
      </w:r>
      <w:r w:rsidR="005E6AEC" w:rsidRPr="0017030F">
        <w:rPr>
          <w:rFonts w:asciiTheme="majorHAnsi" w:hAnsiTheme="majorHAnsi" w:cstheme="majorHAnsi"/>
        </w:rPr>
        <w:t xml:space="preserve"> control was not used as the primary reference condition because it would not reflect the actual assay environment in which DMSO is present in all compound-treated wells; therefore, the solvent control is the relevant baseline for assay interpretation.</w:t>
      </w:r>
    </w:p>
    <w:p w14:paraId="38B25B5E" w14:textId="77777777" w:rsidR="007178E4" w:rsidRPr="0017030F" w:rsidRDefault="007178E4" w:rsidP="00E73D5F">
      <w:pPr>
        <w:rPr>
          <w:rFonts w:asciiTheme="majorHAnsi" w:hAnsiTheme="majorHAnsi" w:cstheme="majorHAnsi"/>
        </w:rPr>
      </w:pPr>
    </w:p>
    <w:p w14:paraId="2D67EDD5" w14:textId="04A190F5" w:rsidR="007178E4" w:rsidRPr="0017030F" w:rsidRDefault="006916F7" w:rsidP="00E73D5F">
      <w:pPr>
        <w:rPr>
          <w:rFonts w:asciiTheme="majorHAnsi" w:hAnsiTheme="majorHAnsi" w:cstheme="majorHAnsi"/>
        </w:rPr>
      </w:pPr>
      <w:r w:rsidRPr="0017030F">
        <w:rPr>
          <w:rFonts w:asciiTheme="majorHAnsi" w:hAnsiTheme="majorHAnsi" w:cstheme="majorHAnsi"/>
        </w:rPr>
        <w:t xml:space="preserve">Troubleshooting </w:t>
      </w:r>
      <w:r w:rsidR="001540AC" w:rsidRPr="0017030F">
        <w:rPr>
          <w:rFonts w:asciiTheme="majorHAnsi" w:hAnsiTheme="majorHAnsi" w:cstheme="majorHAnsi"/>
        </w:rPr>
        <w:t xml:space="preserve">focuses on identifying </w:t>
      </w:r>
      <w:r w:rsidRPr="0017030F">
        <w:rPr>
          <w:rFonts w:asciiTheme="majorHAnsi" w:hAnsiTheme="majorHAnsi" w:cstheme="majorHAnsi"/>
        </w:rPr>
        <w:t>interferences in the SK reaction. Iodine-containing, chelating, or strongly oxidizing substances may artificially affect the colorimetric readout</w:t>
      </w:r>
      <w:r w:rsidR="00BD2DE1" w:rsidRPr="0017030F">
        <w:rPr>
          <w:rFonts w:asciiTheme="majorHAnsi" w:hAnsiTheme="majorHAnsi" w:cstheme="majorHAnsi"/>
          <w:noProof/>
          <w:vertAlign w:val="superscript"/>
        </w:rPr>
        <w:t>14,17,18</w:t>
      </w:r>
      <w:r w:rsidRPr="0017030F">
        <w:rPr>
          <w:rFonts w:asciiTheme="majorHAnsi" w:hAnsiTheme="majorHAnsi" w:cstheme="majorHAnsi"/>
        </w:rPr>
        <w:t xml:space="preserve">. </w:t>
      </w:r>
      <w:r w:rsidR="001540AC" w:rsidRPr="0017030F">
        <w:rPr>
          <w:rFonts w:asciiTheme="majorHAnsi" w:hAnsiTheme="majorHAnsi" w:cstheme="majorHAnsi"/>
        </w:rPr>
        <w:t>To address this,</w:t>
      </w:r>
      <w:r w:rsidR="007178E4" w:rsidRPr="0017030F">
        <w:rPr>
          <w:rFonts w:asciiTheme="majorHAnsi" w:hAnsiTheme="majorHAnsi" w:cstheme="majorHAnsi"/>
        </w:rPr>
        <w:t xml:space="preserve"> </w:t>
      </w:r>
      <w:r w:rsidR="001540AC" w:rsidRPr="0017030F">
        <w:rPr>
          <w:rFonts w:asciiTheme="majorHAnsi" w:hAnsiTheme="majorHAnsi" w:cstheme="majorHAnsi"/>
        </w:rPr>
        <w:t xml:space="preserve">the protocol includes </w:t>
      </w:r>
      <w:r w:rsidR="007178E4" w:rsidRPr="0017030F">
        <w:rPr>
          <w:rFonts w:asciiTheme="majorHAnsi" w:hAnsiTheme="majorHAnsi" w:cstheme="majorHAnsi"/>
        </w:rPr>
        <w:t>interference testing without microsomes</w:t>
      </w:r>
      <w:r w:rsidR="001540AC" w:rsidRPr="0017030F">
        <w:rPr>
          <w:rFonts w:asciiTheme="majorHAnsi" w:hAnsiTheme="majorHAnsi" w:cstheme="majorHAnsi"/>
        </w:rPr>
        <w:t>.</w:t>
      </w:r>
      <w:r w:rsidR="007178E4" w:rsidRPr="0017030F">
        <w:rPr>
          <w:rFonts w:asciiTheme="majorHAnsi" w:hAnsiTheme="majorHAnsi" w:cstheme="majorHAnsi"/>
        </w:rPr>
        <w:t xml:space="preserve"> Furthermore, the use of dithiothreitol (DTT) as a cofactor can </w:t>
      </w:r>
      <w:r w:rsidR="001540AC" w:rsidRPr="0017030F">
        <w:rPr>
          <w:rFonts w:asciiTheme="majorHAnsi" w:hAnsiTheme="majorHAnsi" w:cstheme="majorHAnsi"/>
        </w:rPr>
        <w:t xml:space="preserve">also </w:t>
      </w:r>
      <w:r w:rsidR="007178E4" w:rsidRPr="0017030F">
        <w:rPr>
          <w:rFonts w:asciiTheme="majorHAnsi" w:hAnsiTheme="majorHAnsi" w:cstheme="majorHAnsi"/>
        </w:rPr>
        <w:t>lead to non-enzymatic iodide release from certain test substances. In such cases, orthogonal methods like SPE-LC-MS/MS are recommended to confirm DIO1 inhibition.</w:t>
      </w:r>
      <w:r w:rsidR="001540AC" w:rsidRPr="0017030F">
        <w:rPr>
          <w:rFonts w:asciiTheme="majorHAnsi" w:hAnsiTheme="majorHAnsi" w:cstheme="majorHAnsi"/>
        </w:rPr>
        <w:t xml:space="preserve"> </w:t>
      </w:r>
      <w:r w:rsidR="00AB6508" w:rsidRPr="0017030F">
        <w:rPr>
          <w:rFonts w:asciiTheme="majorHAnsi" w:hAnsiTheme="majorHAnsi" w:cstheme="majorHAnsi"/>
        </w:rPr>
        <w:t xml:space="preserve">Nonspecific </w:t>
      </w:r>
      <w:r w:rsidR="001540AC" w:rsidRPr="0017030F">
        <w:rPr>
          <w:rFonts w:asciiTheme="majorHAnsi" w:hAnsiTheme="majorHAnsi" w:cstheme="majorHAnsi"/>
        </w:rPr>
        <w:t xml:space="preserve">interference via general denaturing effects (e.g., surfactants) can generate false positives, so a general strategy to identify frequent </w:t>
      </w:r>
      <w:r w:rsidR="00AB6508" w:rsidRPr="0017030F">
        <w:rPr>
          <w:rFonts w:asciiTheme="majorHAnsi" w:hAnsiTheme="majorHAnsi" w:cstheme="majorHAnsi"/>
        </w:rPr>
        <w:t>hitters</w:t>
      </w:r>
      <w:r w:rsidR="001540AC" w:rsidRPr="0017030F">
        <w:rPr>
          <w:rFonts w:asciiTheme="majorHAnsi" w:hAnsiTheme="majorHAnsi" w:cstheme="majorHAnsi"/>
        </w:rPr>
        <w:t xml:space="preserve">, </w:t>
      </w:r>
      <w:r w:rsidR="00F45EC6" w:rsidRPr="0017030F">
        <w:rPr>
          <w:rFonts w:asciiTheme="majorHAnsi" w:hAnsiTheme="majorHAnsi" w:cstheme="majorHAnsi"/>
        </w:rPr>
        <w:t>using</w:t>
      </w:r>
      <w:r w:rsidR="001540AC" w:rsidRPr="0017030F">
        <w:rPr>
          <w:rFonts w:asciiTheme="majorHAnsi" w:hAnsiTheme="majorHAnsi" w:cstheme="majorHAnsi"/>
          <w:i/>
        </w:rPr>
        <w:t xml:space="preserve"> </w:t>
      </w:r>
      <w:r w:rsidR="00F45EC6" w:rsidRPr="00E73D5F">
        <w:rPr>
          <w:rFonts w:asciiTheme="majorHAnsi" w:hAnsiTheme="majorHAnsi" w:cstheme="majorHAnsi"/>
          <w:i/>
          <w:iCs/>
        </w:rPr>
        <w:t xml:space="preserve">in </w:t>
      </w:r>
      <w:r w:rsidR="001540AC" w:rsidRPr="00E73D5F">
        <w:rPr>
          <w:rFonts w:asciiTheme="majorHAnsi" w:hAnsiTheme="majorHAnsi" w:cstheme="majorHAnsi"/>
          <w:i/>
          <w:iCs/>
        </w:rPr>
        <w:t>silico</w:t>
      </w:r>
      <w:r w:rsidR="001540AC" w:rsidRPr="0017030F">
        <w:rPr>
          <w:rFonts w:asciiTheme="majorHAnsi" w:hAnsiTheme="majorHAnsi" w:cstheme="majorHAnsi"/>
        </w:rPr>
        <w:t xml:space="preserve"> tools or integrated testing approaches, can be valuable.</w:t>
      </w:r>
    </w:p>
    <w:p w14:paraId="071BBF34" w14:textId="77777777" w:rsidR="007178E4" w:rsidRPr="0017030F" w:rsidRDefault="007178E4" w:rsidP="00E73D5F">
      <w:pPr>
        <w:rPr>
          <w:rFonts w:asciiTheme="majorHAnsi" w:hAnsiTheme="majorHAnsi" w:cstheme="majorHAnsi"/>
        </w:rPr>
      </w:pPr>
    </w:p>
    <w:p w14:paraId="329BC831" w14:textId="4542B203" w:rsidR="009A4D7D" w:rsidRPr="0017030F" w:rsidRDefault="001540AC" w:rsidP="00E73D5F">
      <w:pPr>
        <w:rPr>
          <w:rFonts w:asciiTheme="majorHAnsi" w:hAnsiTheme="majorHAnsi" w:cstheme="majorHAnsi"/>
        </w:rPr>
      </w:pPr>
      <w:r w:rsidRPr="0017030F">
        <w:rPr>
          <w:rFonts w:asciiTheme="majorHAnsi" w:hAnsiTheme="majorHAnsi" w:cstheme="majorHAnsi"/>
        </w:rPr>
        <w:t xml:space="preserve">The </w:t>
      </w:r>
      <w:proofErr w:type="gramStart"/>
      <w:r w:rsidRPr="0017030F">
        <w:rPr>
          <w:rFonts w:asciiTheme="majorHAnsi" w:hAnsiTheme="majorHAnsi" w:cstheme="majorHAnsi"/>
        </w:rPr>
        <w:t>assay</w:t>
      </w:r>
      <w:proofErr w:type="gramEnd"/>
      <w:r w:rsidRPr="0017030F">
        <w:rPr>
          <w:rFonts w:asciiTheme="majorHAnsi" w:hAnsiTheme="majorHAnsi" w:cstheme="majorHAnsi"/>
        </w:rPr>
        <w:t xml:space="preserve"> has several limitations. It is susceptible to interference from test substances that react</w:t>
      </w:r>
      <w:r w:rsidR="007178E4" w:rsidRPr="0017030F">
        <w:rPr>
          <w:rFonts w:asciiTheme="majorHAnsi" w:hAnsiTheme="majorHAnsi" w:cstheme="majorHAnsi"/>
        </w:rPr>
        <w:t xml:space="preserve"> with assay components or release iodide independently of DIO1 activity. </w:t>
      </w:r>
      <w:r w:rsidRPr="0017030F">
        <w:rPr>
          <w:rFonts w:asciiTheme="majorHAnsi" w:hAnsiTheme="majorHAnsi" w:cstheme="majorHAnsi"/>
        </w:rPr>
        <w:t>T</w:t>
      </w:r>
      <w:r w:rsidR="009A4D7D" w:rsidRPr="0017030F">
        <w:rPr>
          <w:rFonts w:asciiTheme="majorHAnsi" w:hAnsiTheme="majorHAnsi" w:cstheme="majorHAnsi"/>
        </w:rPr>
        <w:t>he assay does not distinguish between specific inhibition of DIO1 and</w:t>
      </w:r>
      <w:r w:rsidR="00C25E97" w:rsidRPr="0017030F">
        <w:rPr>
          <w:rFonts w:asciiTheme="majorHAnsi" w:hAnsiTheme="majorHAnsi" w:cstheme="majorHAnsi"/>
        </w:rPr>
        <w:t xml:space="preserve"> unspecific interference with </w:t>
      </w:r>
      <w:r w:rsidR="00AB6508" w:rsidRPr="0017030F">
        <w:rPr>
          <w:rFonts w:asciiTheme="majorHAnsi" w:hAnsiTheme="majorHAnsi" w:cstheme="majorHAnsi"/>
        </w:rPr>
        <w:t>enzyme function or structural</w:t>
      </w:r>
      <w:r w:rsidR="00C25E97" w:rsidRPr="0017030F" w:rsidDel="00C25E97">
        <w:rPr>
          <w:rFonts w:asciiTheme="majorHAnsi" w:hAnsiTheme="majorHAnsi" w:cstheme="majorHAnsi"/>
        </w:rPr>
        <w:t xml:space="preserve"> </w:t>
      </w:r>
      <w:r w:rsidR="009A4D7D" w:rsidRPr="0017030F">
        <w:rPr>
          <w:rFonts w:asciiTheme="majorHAnsi" w:hAnsiTheme="majorHAnsi" w:cstheme="majorHAnsi"/>
        </w:rPr>
        <w:t xml:space="preserve">integrity. </w:t>
      </w:r>
      <w:r w:rsidRPr="0017030F">
        <w:rPr>
          <w:rFonts w:asciiTheme="majorHAnsi" w:hAnsiTheme="majorHAnsi" w:cstheme="majorHAnsi"/>
        </w:rPr>
        <w:t>To improve specificity, inhibition of additional microsomal enzymes can be analyzed in parallel, and comparing inhibitory potencies across different enzyme assays may provide further evidence.</w:t>
      </w:r>
      <w:r w:rsidR="009A4D7D" w:rsidRPr="0017030F">
        <w:rPr>
          <w:rFonts w:asciiTheme="majorHAnsi" w:hAnsiTheme="majorHAnsi" w:cstheme="majorHAnsi"/>
        </w:rPr>
        <w:t xml:space="preserve"> </w:t>
      </w:r>
    </w:p>
    <w:p w14:paraId="5E24792F" w14:textId="77777777" w:rsidR="00CD262E" w:rsidRPr="0017030F" w:rsidRDefault="00CD262E" w:rsidP="00E73D5F">
      <w:pPr>
        <w:rPr>
          <w:rFonts w:asciiTheme="majorHAnsi" w:hAnsiTheme="majorHAnsi" w:cstheme="majorHAnsi"/>
        </w:rPr>
      </w:pPr>
    </w:p>
    <w:p w14:paraId="1D5BCA82" w14:textId="14C90887" w:rsidR="009A4D7D" w:rsidRPr="0017030F" w:rsidRDefault="009A4D7D" w:rsidP="00E73D5F">
      <w:pPr>
        <w:rPr>
          <w:rFonts w:asciiTheme="majorHAnsi" w:hAnsiTheme="majorHAnsi" w:cstheme="majorHAnsi"/>
        </w:rPr>
      </w:pPr>
      <w:r w:rsidRPr="0017030F">
        <w:rPr>
          <w:rFonts w:asciiTheme="majorHAnsi" w:hAnsiTheme="majorHAnsi" w:cstheme="majorHAnsi"/>
        </w:rPr>
        <w:t>A further strategy for identifying possible artifacts is to include integrity or viability tests, as commonly performed in cell-based</w:t>
      </w:r>
      <w:r w:rsidR="00745F2E" w:rsidRPr="0017030F">
        <w:rPr>
          <w:rFonts w:asciiTheme="majorHAnsi" w:hAnsiTheme="majorHAnsi" w:cstheme="majorHAnsi"/>
        </w:rPr>
        <w:t>,</w:t>
      </w:r>
      <w:r w:rsidRPr="0017030F">
        <w:rPr>
          <w:rFonts w:asciiTheme="majorHAnsi" w:hAnsiTheme="majorHAnsi" w:cstheme="majorHAnsi"/>
        </w:rPr>
        <w:t xml:space="preserve"> </w:t>
      </w:r>
      <w:r w:rsidRPr="00E73D5F">
        <w:rPr>
          <w:rFonts w:asciiTheme="majorHAnsi" w:hAnsiTheme="majorHAnsi" w:cstheme="majorHAnsi"/>
          <w:i/>
          <w:iCs/>
        </w:rPr>
        <w:t>in vitro</w:t>
      </w:r>
      <w:r w:rsidRPr="0017030F">
        <w:rPr>
          <w:rFonts w:asciiTheme="majorHAnsi" w:hAnsiTheme="majorHAnsi" w:cstheme="majorHAnsi"/>
        </w:rPr>
        <w:t xml:space="preserve"> assays, to define the maximum test concentration. While a direct integrity test is lacking for the DIO1-SK assay, its use within an </w:t>
      </w:r>
      <w:r w:rsidRPr="00E73D5F">
        <w:rPr>
          <w:rFonts w:asciiTheme="majorHAnsi" w:hAnsiTheme="majorHAnsi" w:cstheme="majorHAnsi"/>
          <w:i/>
          <w:iCs/>
        </w:rPr>
        <w:t>in vitro</w:t>
      </w:r>
      <w:r w:rsidRPr="0017030F">
        <w:rPr>
          <w:rFonts w:asciiTheme="majorHAnsi" w:hAnsiTheme="majorHAnsi" w:cstheme="majorHAnsi"/>
        </w:rPr>
        <w:t xml:space="preserve"> test battery allows integration of cytotoxicity data from other cell-based assays to inform concentration selection. If such cross-assay information is not available, the upper concentration in the DIO1-SK assay is limited by solubility, which may not reflect relevant in vivo exposures. However, toxicokinetic approaches can be used to better define and interpret in vitro test concentrations.</w:t>
      </w:r>
    </w:p>
    <w:p w14:paraId="0BAE201D" w14:textId="77777777" w:rsidR="007178E4" w:rsidRPr="0017030F" w:rsidRDefault="007178E4" w:rsidP="00E73D5F">
      <w:pPr>
        <w:rPr>
          <w:rFonts w:asciiTheme="majorHAnsi" w:hAnsiTheme="majorHAnsi" w:cstheme="majorHAnsi"/>
        </w:rPr>
      </w:pPr>
    </w:p>
    <w:p w14:paraId="2D313F94" w14:textId="6217F04B" w:rsidR="007178E4" w:rsidRPr="0017030F" w:rsidRDefault="007178E4" w:rsidP="00E73D5F">
      <w:pPr>
        <w:rPr>
          <w:rFonts w:asciiTheme="majorHAnsi" w:hAnsiTheme="majorHAnsi" w:cstheme="majorHAnsi"/>
        </w:rPr>
      </w:pPr>
      <w:r w:rsidRPr="0017030F">
        <w:rPr>
          <w:rFonts w:asciiTheme="majorHAnsi" w:hAnsiTheme="majorHAnsi" w:cstheme="majorHAnsi"/>
        </w:rPr>
        <w:t>The DIO1-SK assay is particularly valuable in toxicological screening and mechanistic studies of endocrine disruption. It addresses a key event in thyroid hormone homeostasis and can be integrated into</w:t>
      </w:r>
      <w:r w:rsidRPr="00E73D5F">
        <w:rPr>
          <w:rFonts w:asciiTheme="majorHAnsi" w:hAnsiTheme="majorHAnsi" w:cstheme="majorHAnsi"/>
          <w:i/>
          <w:iCs/>
        </w:rPr>
        <w:t xml:space="preserve"> in vitro </w:t>
      </w:r>
      <w:r w:rsidRPr="0017030F">
        <w:rPr>
          <w:rFonts w:asciiTheme="majorHAnsi" w:hAnsiTheme="majorHAnsi" w:cstheme="majorHAnsi"/>
        </w:rPr>
        <w:t>test batteries. Its robustness, reproducibility</w:t>
      </w:r>
      <w:r w:rsidR="00745F2E" w:rsidRPr="0017030F">
        <w:rPr>
          <w:rFonts w:asciiTheme="majorHAnsi" w:hAnsiTheme="majorHAnsi" w:cstheme="majorHAnsi"/>
        </w:rPr>
        <w:t>,</w:t>
      </w:r>
      <w:r w:rsidRPr="0017030F">
        <w:rPr>
          <w:rFonts w:asciiTheme="majorHAnsi" w:hAnsiTheme="majorHAnsi" w:cstheme="majorHAnsi"/>
        </w:rPr>
        <w:t xml:space="preserve"> and </w:t>
      </w:r>
      <w:r w:rsidR="00AB53D0" w:rsidRPr="0017030F">
        <w:rPr>
          <w:rFonts w:asciiTheme="majorHAnsi" w:hAnsiTheme="majorHAnsi" w:cstheme="majorHAnsi"/>
        </w:rPr>
        <w:t xml:space="preserve">adaptability to different </w:t>
      </w:r>
      <w:r w:rsidR="00AB53D0" w:rsidRPr="0017030F">
        <w:rPr>
          <w:rFonts w:asciiTheme="majorHAnsi" w:hAnsiTheme="majorHAnsi" w:cstheme="majorHAnsi"/>
        </w:rPr>
        <w:lastRenderedPageBreak/>
        <w:t>laboratory settings and throughput needs make it a valuable tool for chemical safety assessment and regulatory validation</w:t>
      </w:r>
      <w:r w:rsidRPr="0017030F">
        <w:rPr>
          <w:rFonts w:asciiTheme="majorHAnsi" w:hAnsiTheme="majorHAnsi" w:cstheme="majorHAnsi"/>
        </w:rPr>
        <w:t>.</w:t>
      </w:r>
      <w:r w:rsidR="00F67504" w:rsidRPr="00E73D5F">
        <w:rPr>
          <w:rFonts w:asciiTheme="majorHAnsi" w:hAnsiTheme="majorHAnsi" w:cstheme="majorHAnsi"/>
        </w:rPr>
        <w:t xml:space="preserve"> </w:t>
      </w:r>
      <w:r w:rsidR="00F67504" w:rsidRPr="0017030F">
        <w:rPr>
          <w:rFonts w:asciiTheme="majorHAnsi" w:hAnsiTheme="majorHAnsi" w:cstheme="majorHAnsi"/>
        </w:rPr>
        <w:t>The assay provides a robust</w:t>
      </w:r>
      <w:r w:rsidR="00F67504" w:rsidRPr="00E73D5F">
        <w:rPr>
          <w:rFonts w:asciiTheme="majorHAnsi" w:hAnsiTheme="majorHAnsi" w:cstheme="majorHAnsi"/>
          <w:i/>
          <w:iCs/>
        </w:rPr>
        <w:t xml:space="preserve"> in vitro</w:t>
      </w:r>
      <w:r w:rsidR="00F67504" w:rsidRPr="0017030F">
        <w:rPr>
          <w:rFonts w:asciiTheme="majorHAnsi" w:hAnsiTheme="majorHAnsi" w:cstheme="majorHAnsi"/>
        </w:rPr>
        <w:t xml:space="preserve"> measure of DIO1 inhibition under standardized conditions and supports classification of test substances relative to a well</w:t>
      </w:r>
      <w:r w:rsidR="00F67504" w:rsidRPr="0017030F">
        <w:rPr>
          <w:rFonts w:ascii="Cambria Math" w:hAnsi="Cambria Math" w:cs="Cambria Math"/>
        </w:rPr>
        <w:t>‑</w:t>
      </w:r>
      <w:r w:rsidR="00F67504" w:rsidRPr="0017030F">
        <w:rPr>
          <w:rFonts w:asciiTheme="majorHAnsi" w:hAnsiTheme="majorHAnsi" w:cstheme="majorHAnsi"/>
        </w:rPr>
        <w:t>characterized reference inhibitor (6</w:t>
      </w:r>
      <w:r w:rsidR="00F67504" w:rsidRPr="0017030F">
        <w:rPr>
          <w:rFonts w:ascii="Cambria Math" w:hAnsi="Cambria Math" w:cs="Cambria Math"/>
        </w:rPr>
        <w:t>‑</w:t>
      </w:r>
      <w:r w:rsidR="00F67504" w:rsidRPr="0017030F">
        <w:rPr>
          <w:rFonts w:asciiTheme="majorHAnsi" w:hAnsiTheme="majorHAnsi" w:cstheme="majorHAnsi"/>
        </w:rPr>
        <w:t xml:space="preserve">PTU). However, </w:t>
      </w:r>
      <w:r w:rsidR="00F67504" w:rsidRPr="00E73D5F">
        <w:rPr>
          <w:rFonts w:asciiTheme="majorHAnsi" w:hAnsiTheme="majorHAnsi" w:cstheme="majorHAnsi"/>
          <w:i/>
          <w:iCs/>
        </w:rPr>
        <w:t xml:space="preserve">in vivo </w:t>
      </w:r>
      <w:r w:rsidR="00F67504" w:rsidRPr="0017030F">
        <w:rPr>
          <w:rFonts w:asciiTheme="majorHAnsi" w:hAnsiTheme="majorHAnsi" w:cstheme="majorHAnsi"/>
        </w:rPr>
        <w:t xml:space="preserve">data on DIO1 inhibition </w:t>
      </w:r>
      <w:proofErr w:type="gramStart"/>
      <w:r w:rsidR="00F67504" w:rsidRPr="0017030F">
        <w:rPr>
          <w:rFonts w:asciiTheme="majorHAnsi" w:hAnsiTheme="majorHAnsi" w:cstheme="majorHAnsi"/>
        </w:rPr>
        <w:t>are</w:t>
      </w:r>
      <w:proofErr w:type="gramEnd"/>
      <w:r w:rsidR="00F67504" w:rsidRPr="0017030F">
        <w:rPr>
          <w:rFonts w:asciiTheme="majorHAnsi" w:hAnsiTheme="majorHAnsi" w:cstheme="majorHAnsi"/>
        </w:rPr>
        <w:t xml:space="preserve"> scarce, and direct correlation of </w:t>
      </w:r>
      <w:r w:rsidR="00F67504" w:rsidRPr="00E73D5F">
        <w:rPr>
          <w:rFonts w:asciiTheme="majorHAnsi" w:hAnsiTheme="majorHAnsi" w:cstheme="majorHAnsi"/>
          <w:i/>
          <w:iCs/>
        </w:rPr>
        <w:t xml:space="preserve">in vitro </w:t>
      </w:r>
      <w:r w:rsidR="00F67504" w:rsidRPr="0017030F">
        <w:rPr>
          <w:rFonts w:asciiTheme="majorHAnsi" w:hAnsiTheme="majorHAnsi" w:cstheme="majorHAnsi"/>
        </w:rPr>
        <w:t xml:space="preserve">DIO1 inhibition outcomes </w:t>
      </w:r>
      <w:proofErr w:type="gramStart"/>
      <w:r w:rsidR="00F67504" w:rsidRPr="0017030F">
        <w:rPr>
          <w:rFonts w:asciiTheme="majorHAnsi" w:hAnsiTheme="majorHAnsi" w:cstheme="majorHAnsi"/>
        </w:rPr>
        <w:t xml:space="preserve">with </w:t>
      </w:r>
      <w:r w:rsidR="00F67504" w:rsidRPr="00E73D5F">
        <w:rPr>
          <w:rFonts w:asciiTheme="majorHAnsi" w:hAnsiTheme="majorHAnsi" w:cstheme="majorHAnsi"/>
          <w:i/>
          <w:iCs/>
        </w:rPr>
        <w:t>in</w:t>
      </w:r>
      <w:proofErr w:type="gramEnd"/>
      <w:r w:rsidR="00F67504" w:rsidRPr="00E73D5F">
        <w:rPr>
          <w:rFonts w:asciiTheme="majorHAnsi" w:hAnsiTheme="majorHAnsi" w:cstheme="majorHAnsi"/>
          <w:i/>
          <w:iCs/>
        </w:rPr>
        <w:t xml:space="preserve"> vivo</w:t>
      </w:r>
      <w:r w:rsidR="00F67504" w:rsidRPr="0017030F">
        <w:rPr>
          <w:rFonts w:asciiTheme="majorHAnsi" w:hAnsiTheme="majorHAnsi" w:cstheme="majorHAnsi"/>
        </w:rPr>
        <w:t xml:space="preserve"> effects is therefore not currently applicable for estimating </w:t>
      </w:r>
      <w:r w:rsidR="00F67504" w:rsidRPr="00E73D5F">
        <w:rPr>
          <w:rFonts w:asciiTheme="majorHAnsi" w:hAnsiTheme="majorHAnsi" w:cstheme="majorHAnsi"/>
          <w:i/>
          <w:iCs/>
        </w:rPr>
        <w:t>in vivo</w:t>
      </w:r>
      <w:r w:rsidR="00F67504" w:rsidRPr="0017030F">
        <w:rPr>
          <w:rFonts w:asciiTheme="majorHAnsi" w:hAnsiTheme="majorHAnsi" w:cstheme="majorHAnsi"/>
        </w:rPr>
        <w:t xml:space="preserve"> predictivity. Accordingly, assay results should be interpreted as mechanistic evidence for interference with one key event in thyroid hormone metabolism and integrated with additional lines of evidence (e.g.</w:t>
      </w:r>
      <w:r w:rsidR="00745F2E" w:rsidRPr="0017030F">
        <w:rPr>
          <w:rFonts w:asciiTheme="majorHAnsi" w:hAnsiTheme="majorHAnsi" w:cstheme="majorHAnsi"/>
        </w:rPr>
        <w:t>,</w:t>
      </w:r>
      <w:r w:rsidR="00F67504" w:rsidRPr="0017030F">
        <w:rPr>
          <w:rFonts w:asciiTheme="majorHAnsi" w:hAnsiTheme="majorHAnsi" w:cstheme="majorHAnsi"/>
        </w:rPr>
        <w:t xml:space="preserve"> other thyroid </w:t>
      </w:r>
      <w:proofErr w:type="spellStart"/>
      <w:r w:rsidR="00F67504" w:rsidRPr="0017030F">
        <w:rPr>
          <w:rFonts w:asciiTheme="majorHAnsi" w:hAnsiTheme="majorHAnsi" w:cstheme="majorHAnsi"/>
        </w:rPr>
        <w:t>MoA</w:t>
      </w:r>
      <w:proofErr w:type="spellEnd"/>
      <w:r w:rsidR="00F67504" w:rsidRPr="0017030F">
        <w:rPr>
          <w:rFonts w:asciiTheme="majorHAnsi" w:hAnsiTheme="majorHAnsi" w:cstheme="majorHAnsi"/>
        </w:rPr>
        <w:t xml:space="preserve"> assays and orthogonal measurements </w:t>
      </w:r>
      <w:proofErr w:type="gramStart"/>
      <w:r w:rsidR="00F67504" w:rsidRPr="0017030F">
        <w:rPr>
          <w:rFonts w:asciiTheme="majorHAnsi" w:hAnsiTheme="majorHAnsi" w:cstheme="majorHAnsi"/>
        </w:rPr>
        <w:t>where</w:t>
      </w:r>
      <w:proofErr w:type="gramEnd"/>
      <w:r w:rsidR="00F67504" w:rsidRPr="0017030F">
        <w:rPr>
          <w:rFonts w:asciiTheme="majorHAnsi" w:hAnsiTheme="majorHAnsi" w:cstheme="majorHAnsi"/>
        </w:rPr>
        <w:t xml:space="preserve"> needed).</w:t>
      </w:r>
      <w:r w:rsidR="00306ECC" w:rsidRPr="0017030F">
        <w:rPr>
          <w:rFonts w:asciiTheme="majorHAnsi" w:hAnsiTheme="majorHAnsi" w:cstheme="majorHAnsi"/>
        </w:rPr>
        <w:t xml:space="preserve"> Importantly, the DIO1–SK assay has been evaluated in multiple validation-oriented studies (optimization/standardization, predictivity assessment, and robustness/accuracy analysis)</w:t>
      </w:r>
      <w:r w:rsidR="00D023F1" w:rsidRPr="0017030F">
        <w:rPr>
          <w:rFonts w:asciiTheme="majorHAnsi" w:hAnsiTheme="majorHAnsi" w:cstheme="majorHAnsi"/>
          <w:vertAlign w:val="superscript"/>
        </w:rPr>
        <w:t>6,</w:t>
      </w:r>
      <w:r w:rsidR="00F03D27" w:rsidRPr="0017030F">
        <w:rPr>
          <w:rFonts w:asciiTheme="majorHAnsi" w:hAnsiTheme="majorHAnsi" w:cstheme="majorHAnsi"/>
          <w:vertAlign w:val="superscript"/>
        </w:rPr>
        <w:t>7,15</w:t>
      </w:r>
      <w:r w:rsidR="00306ECC" w:rsidRPr="0017030F">
        <w:rPr>
          <w:rFonts w:asciiTheme="majorHAnsi" w:hAnsiTheme="majorHAnsi" w:cstheme="majorHAnsi"/>
        </w:rPr>
        <w:t>, and as the method progresses toward OECD implementation, the present article provides a level of step-by-step procedural detail intended to facilitate transfer and consistent implementation across additional laboratories.</w:t>
      </w:r>
    </w:p>
    <w:bookmarkEnd w:id="20"/>
    <w:p w14:paraId="0BEB38EC" w14:textId="77777777" w:rsidR="006E4797" w:rsidRPr="0017030F" w:rsidRDefault="006E4797" w:rsidP="00E73D5F">
      <w:pPr>
        <w:rPr>
          <w:rFonts w:asciiTheme="majorHAnsi" w:hAnsiTheme="majorHAnsi" w:cstheme="majorHAnsi"/>
        </w:rPr>
      </w:pPr>
    </w:p>
    <w:p w14:paraId="59F37CC4" w14:textId="1551E1B5" w:rsidR="006E4797" w:rsidRPr="0017030F" w:rsidRDefault="00551D82"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b/>
        </w:rPr>
        <w:t xml:space="preserve">ACKNOWLEDGMENTS: </w:t>
      </w:r>
    </w:p>
    <w:p w14:paraId="22BB91F8" w14:textId="7B1AFA6A" w:rsidR="00CF2CBF" w:rsidRPr="0017030F" w:rsidRDefault="00CF2CBF" w:rsidP="00E73D5F">
      <w:pPr>
        <w:rPr>
          <w:rFonts w:asciiTheme="majorHAnsi" w:hAnsiTheme="majorHAnsi" w:cstheme="majorHAnsi"/>
        </w:rPr>
      </w:pPr>
      <w:r w:rsidRPr="0017030F">
        <w:rPr>
          <w:rFonts w:asciiTheme="majorHAnsi" w:hAnsiTheme="majorHAnsi" w:cstheme="majorHAnsi"/>
        </w:rPr>
        <w:t xml:space="preserve">The authors want to </w:t>
      </w:r>
      <w:r w:rsidR="00A15721" w:rsidRPr="0017030F">
        <w:rPr>
          <w:rFonts w:asciiTheme="majorHAnsi" w:hAnsiTheme="majorHAnsi" w:cstheme="majorHAnsi"/>
        </w:rPr>
        <w:t>thank Dr. Andreas Weber for his work during the initial establishment of the DIO1-SK assay</w:t>
      </w:r>
      <w:r w:rsidRPr="0017030F">
        <w:rPr>
          <w:rFonts w:asciiTheme="majorHAnsi" w:hAnsiTheme="majorHAnsi" w:cstheme="majorHAnsi"/>
        </w:rPr>
        <w:t>.</w:t>
      </w:r>
    </w:p>
    <w:p w14:paraId="25B2FBBD" w14:textId="77777777" w:rsidR="006E4797" w:rsidRPr="0017030F" w:rsidRDefault="006E4797" w:rsidP="00E73D5F">
      <w:pPr>
        <w:rPr>
          <w:rFonts w:asciiTheme="majorHAnsi" w:hAnsiTheme="majorHAnsi" w:cstheme="majorHAnsi"/>
          <w:b/>
        </w:rPr>
      </w:pPr>
    </w:p>
    <w:p w14:paraId="5E703EBA" w14:textId="6736E4EC" w:rsidR="006E4797" w:rsidRPr="0017030F" w:rsidRDefault="00551D82"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b/>
        </w:rPr>
        <w:t xml:space="preserve">DISCLOSURES: </w:t>
      </w:r>
    </w:p>
    <w:p w14:paraId="015E01CA" w14:textId="71F389E9" w:rsidR="00CF2CBF" w:rsidRPr="0017030F" w:rsidRDefault="00CF2CBF" w:rsidP="00E73D5F">
      <w:pPr>
        <w:pBdr>
          <w:top w:val="nil"/>
          <w:left w:val="nil"/>
          <w:bottom w:val="nil"/>
          <w:right w:val="nil"/>
          <w:between w:val="nil"/>
        </w:pBdr>
        <w:rPr>
          <w:rFonts w:asciiTheme="majorHAnsi" w:hAnsiTheme="majorHAnsi" w:cstheme="majorHAnsi"/>
        </w:rPr>
      </w:pPr>
      <w:r w:rsidRPr="0017030F">
        <w:rPr>
          <w:rFonts w:asciiTheme="majorHAnsi" w:hAnsiTheme="majorHAnsi" w:cstheme="majorHAnsi"/>
        </w:rPr>
        <w:t xml:space="preserve">The authors K.S., N.H, D.F.-W., and R.L. are employees of BASF SE, a chemical company, which may use the DIO1 assay to develop and register commercial products in the future. </w:t>
      </w:r>
    </w:p>
    <w:p w14:paraId="4A7B0E5C" w14:textId="77777777" w:rsidR="006E4797" w:rsidRPr="0017030F" w:rsidRDefault="006E4797" w:rsidP="00E73D5F">
      <w:pPr>
        <w:rPr>
          <w:rFonts w:asciiTheme="majorHAnsi" w:hAnsiTheme="majorHAnsi" w:cstheme="majorHAnsi"/>
        </w:rPr>
      </w:pPr>
    </w:p>
    <w:p w14:paraId="09AB8BA5" w14:textId="77777777" w:rsidR="00F2550B" w:rsidRPr="00E73D5F" w:rsidRDefault="00F2550B" w:rsidP="00E73D5F">
      <w:pPr>
        <w:widowControl/>
        <w:outlineLvl w:val="1"/>
        <w:rPr>
          <w:rFonts w:asciiTheme="majorHAnsi" w:eastAsia="Times New Roman" w:hAnsiTheme="majorHAnsi" w:cstheme="majorHAnsi"/>
          <w:b/>
          <w:bCs/>
          <w:lang w:eastAsia="en-IN"/>
        </w:rPr>
      </w:pPr>
      <w:r w:rsidRPr="00E73D5F">
        <w:rPr>
          <w:rFonts w:asciiTheme="majorHAnsi" w:eastAsia="Times New Roman" w:hAnsiTheme="majorHAnsi" w:cstheme="majorHAnsi"/>
          <w:b/>
          <w:bCs/>
          <w:lang w:eastAsia="en-IN"/>
        </w:rPr>
        <w:t>REFERENCES</w:t>
      </w:r>
    </w:p>
    <w:p w14:paraId="1518DFC2"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E73D5F">
        <w:rPr>
          <w:rFonts w:asciiTheme="majorHAnsi" w:eastAsia="Times New Roman" w:hAnsiTheme="majorHAnsi" w:cstheme="majorHAnsi"/>
          <w:lang w:eastAsia="en-IN"/>
        </w:rPr>
        <w:t xml:space="preserve">Kabir, E. R., Rahman, M. S., Rahman, I. A review on endocrine disruptors and their possible impacts on human health. </w:t>
      </w:r>
      <w:r w:rsidRPr="00E73D5F">
        <w:rPr>
          <w:rFonts w:asciiTheme="majorHAnsi" w:eastAsia="Times New Roman" w:hAnsiTheme="majorHAnsi" w:cstheme="majorHAnsi"/>
          <w:i/>
          <w:iCs/>
          <w:lang w:eastAsia="en-IN"/>
        </w:rPr>
        <w:t xml:space="preserve">Environ </w:t>
      </w:r>
      <w:proofErr w:type="spellStart"/>
      <w:r w:rsidRPr="00E73D5F">
        <w:rPr>
          <w:rFonts w:asciiTheme="majorHAnsi" w:eastAsia="Times New Roman" w:hAnsiTheme="majorHAnsi" w:cstheme="majorHAnsi"/>
          <w:i/>
          <w:iCs/>
          <w:lang w:eastAsia="en-IN"/>
        </w:rPr>
        <w:t>Toxicol</w:t>
      </w:r>
      <w:proofErr w:type="spellEnd"/>
      <w:r w:rsidRPr="00E73D5F">
        <w:rPr>
          <w:rFonts w:asciiTheme="majorHAnsi" w:eastAsia="Times New Roman" w:hAnsiTheme="majorHAnsi" w:cstheme="majorHAnsi"/>
          <w:i/>
          <w:iCs/>
          <w:lang w:eastAsia="en-IN"/>
        </w:rPr>
        <w:t xml:space="preserve"> </w:t>
      </w:r>
      <w:proofErr w:type="spellStart"/>
      <w:r w:rsidRPr="00E73D5F">
        <w:rPr>
          <w:rFonts w:asciiTheme="majorHAnsi" w:eastAsia="Times New Roman" w:hAnsiTheme="majorHAnsi" w:cstheme="majorHAnsi"/>
          <w:i/>
          <w:iCs/>
          <w:lang w:eastAsia="en-IN"/>
        </w:rPr>
        <w:t>Pharmacol</w:t>
      </w:r>
      <w:proofErr w:type="spellEnd"/>
      <w:r w:rsidRPr="00E73D5F">
        <w:rPr>
          <w:rFonts w:asciiTheme="majorHAnsi" w:eastAsia="Times New Roman" w:hAnsiTheme="majorHAnsi" w:cstheme="majorHAnsi"/>
          <w:i/>
          <w:iCs/>
          <w:lang w:eastAsia="en-IN"/>
        </w:rPr>
        <w:t>.</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40</w:t>
      </w:r>
      <w:r w:rsidRPr="00E73D5F">
        <w:rPr>
          <w:rFonts w:asciiTheme="majorHAnsi" w:eastAsia="Times New Roman" w:hAnsiTheme="majorHAnsi" w:cstheme="majorHAnsi"/>
          <w:lang w:eastAsia="en-IN"/>
        </w:rPr>
        <w:t xml:space="preserve"> (1), 241–258 (2015).</w:t>
      </w:r>
    </w:p>
    <w:p w14:paraId="764CCC65"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E73D5F">
        <w:rPr>
          <w:rFonts w:asciiTheme="majorHAnsi" w:eastAsia="Times New Roman" w:hAnsiTheme="majorHAnsi" w:cstheme="majorHAnsi"/>
          <w:lang w:eastAsia="en-IN"/>
        </w:rPr>
        <w:t xml:space="preserve">Yue, B. et al. Human exposure to a mixture of endocrine disruptors and serum levels of thyroid hormones: a cross-sectional study. </w:t>
      </w:r>
      <w:r w:rsidRPr="00E73D5F">
        <w:rPr>
          <w:rFonts w:asciiTheme="majorHAnsi" w:eastAsia="Times New Roman" w:hAnsiTheme="majorHAnsi" w:cstheme="majorHAnsi"/>
          <w:i/>
          <w:iCs/>
          <w:lang w:eastAsia="en-IN"/>
        </w:rPr>
        <w:t>J Environ Sci.</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125</w:t>
      </w:r>
      <w:r w:rsidRPr="00E73D5F">
        <w:rPr>
          <w:rFonts w:asciiTheme="majorHAnsi" w:eastAsia="Times New Roman" w:hAnsiTheme="majorHAnsi" w:cstheme="majorHAnsi"/>
          <w:lang w:eastAsia="en-IN"/>
        </w:rPr>
        <w:t>, 641–649 (2023).</w:t>
      </w:r>
    </w:p>
    <w:p w14:paraId="7B4A445C"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proofErr w:type="spellStart"/>
      <w:r w:rsidRPr="00E73D5F">
        <w:rPr>
          <w:rFonts w:asciiTheme="majorHAnsi" w:eastAsia="Times New Roman" w:hAnsiTheme="majorHAnsi" w:cstheme="majorHAnsi"/>
          <w:lang w:eastAsia="en-IN"/>
        </w:rPr>
        <w:t>Köhrle</w:t>
      </w:r>
      <w:proofErr w:type="spellEnd"/>
      <w:r w:rsidRPr="00E73D5F">
        <w:rPr>
          <w:rFonts w:asciiTheme="majorHAnsi" w:eastAsia="Times New Roman" w:hAnsiTheme="majorHAnsi" w:cstheme="majorHAnsi"/>
          <w:lang w:eastAsia="en-IN"/>
        </w:rPr>
        <w:t xml:space="preserve">, J. The deiodinase family: selenoenzymes regulating thyroid hormone availability and action. </w:t>
      </w:r>
      <w:r w:rsidRPr="00E73D5F">
        <w:rPr>
          <w:rFonts w:asciiTheme="majorHAnsi" w:eastAsia="Times New Roman" w:hAnsiTheme="majorHAnsi" w:cstheme="majorHAnsi"/>
          <w:i/>
          <w:iCs/>
          <w:lang w:eastAsia="en-IN"/>
        </w:rPr>
        <w:t>Cell Mol Life Sci.</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57</w:t>
      </w:r>
      <w:r w:rsidRPr="00E73D5F">
        <w:rPr>
          <w:rFonts w:asciiTheme="majorHAnsi" w:eastAsia="Times New Roman" w:hAnsiTheme="majorHAnsi" w:cstheme="majorHAnsi"/>
          <w:lang w:eastAsia="en-IN"/>
        </w:rPr>
        <w:t xml:space="preserve"> (13), 1853–1863 (2000).</w:t>
      </w:r>
    </w:p>
    <w:p w14:paraId="6B2D7F6C"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E73D5F">
        <w:rPr>
          <w:rFonts w:asciiTheme="majorHAnsi" w:eastAsia="Times New Roman" w:hAnsiTheme="majorHAnsi" w:cstheme="majorHAnsi"/>
          <w:lang w:eastAsia="en-IN"/>
        </w:rPr>
        <w:t xml:space="preserve">Zhang, J., Lazar, M. A. The mechanism of action of thyroid hormones. </w:t>
      </w:r>
      <w:r w:rsidRPr="00E73D5F">
        <w:rPr>
          <w:rFonts w:asciiTheme="majorHAnsi" w:eastAsia="Times New Roman" w:hAnsiTheme="majorHAnsi" w:cstheme="majorHAnsi"/>
          <w:i/>
          <w:iCs/>
          <w:lang w:eastAsia="en-IN"/>
        </w:rPr>
        <w:t>Annu Rev Physiol.</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62</w:t>
      </w:r>
      <w:r w:rsidRPr="00E73D5F">
        <w:rPr>
          <w:rFonts w:asciiTheme="majorHAnsi" w:eastAsia="Times New Roman" w:hAnsiTheme="majorHAnsi" w:cstheme="majorHAnsi"/>
          <w:lang w:eastAsia="en-IN"/>
        </w:rPr>
        <w:t xml:space="preserve"> (1), 439–466 (2000).</w:t>
      </w:r>
    </w:p>
    <w:p w14:paraId="4B7E31C5"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393257">
        <w:rPr>
          <w:rFonts w:asciiTheme="majorHAnsi" w:eastAsia="Times New Roman" w:hAnsiTheme="majorHAnsi" w:cstheme="majorHAnsi"/>
          <w:lang w:val="de-DE" w:eastAsia="en-IN"/>
        </w:rPr>
        <w:t xml:space="preserve">França, M. M. et al. </w:t>
      </w:r>
      <w:r w:rsidRPr="00E73D5F">
        <w:rPr>
          <w:rFonts w:asciiTheme="majorHAnsi" w:eastAsia="Times New Roman" w:hAnsiTheme="majorHAnsi" w:cstheme="majorHAnsi"/>
          <w:lang w:eastAsia="en-IN"/>
        </w:rPr>
        <w:t xml:space="preserve">Human type 1 iodothyronine deiodinase (DIO1) mutations cause abnormal thyroid hormone metabolism. </w:t>
      </w:r>
      <w:r w:rsidRPr="00E73D5F">
        <w:rPr>
          <w:rFonts w:asciiTheme="majorHAnsi" w:eastAsia="Times New Roman" w:hAnsiTheme="majorHAnsi" w:cstheme="majorHAnsi"/>
          <w:i/>
          <w:iCs/>
          <w:lang w:eastAsia="en-IN"/>
        </w:rPr>
        <w:t>Thyroid.</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31</w:t>
      </w:r>
      <w:r w:rsidRPr="00E73D5F">
        <w:rPr>
          <w:rFonts w:asciiTheme="majorHAnsi" w:eastAsia="Times New Roman" w:hAnsiTheme="majorHAnsi" w:cstheme="majorHAnsi"/>
          <w:lang w:eastAsia="en-IN"/>
        </w:rPr>
        <w:t xml:space="preserve"> (2), 202–207 (2020).</w:t>
      </w:r>
    </w:p>
    <w:p w14:paraId="43481CD2"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393257">
        <w:rPr>
          <w:rFonts w:asciiTheme="majorHAnsi" w:eastAsia="Times New Roman" w:hAnsiTheme="majorHAnsi" w:cstheme="majorHAnsi"/>
          <w:lang w:val="de-DE" w:eastAsia="en-IN"/>
        </w:rPr>
        <w:t xml:space="preserve">Weber, A. G. et al. </w:t>
      </w:r>
      <w:r w:rsidRPr="00E73D5F">
        <w:rPr>
          <w:rFonts w:asciiTheme="majorHAnsi" w:eastAsia="Times New Roman" w:hAnsiTheme="majorHAnsi" w:cstheme="majorHAnsi"/>
          <w:lang w:eastAsia="en-IN"/>
        </w:rPr>
        <w:t xml:space="preserve">Assessment of the predictivity of the DIO1-SK assay to investigate DIO1 inhibition in human liver microsomes. </w:t>
      </w:r>
      <w:r w:rsidRPr="00E73D5F">
        <w:rPr>
          <w:rFonts w:asciiTheme="majorHAnsi" w:eastAsia="Times New Roman" w:hAnsiTheme="majorHAnsi" w:cstheme="majorHAnsi"/>
          <w:i/>
          <w:iCs/>
          <w:lang w:eastAsia="en-IN"/>
        </w:rPr>
        <w:t xml:space="preserve">Appl Vitro </w:t>
      </w:r>
      <w:proofErr w:type="spellStart"/>
      <w:r w:rsidRPr="00E73D5F">
        <w:rPr>
          <w:rFonts w:asciiTheme="majorHAnsi" w:eastAsia="Times New Roman" w:hAnsiTheme="majorHAnsi" w:cstheme="majorHAnsi"/>
          <w:i/>
          <w:iCs/>
          <w:lang w:eastAsia="en-IN"/>
        </w:rPr>
        <w:t>Toxicol</w:t>
      </w:r>
      <w:proofErr w:type="spellEnd"/>
      <w:r w:rsidRPr="00E73D5F">
        <w:rPr>
          <w:rFonts w:asciiTheme="majorHAnsi" w:eastAsia="Times New Roman" w:hAnsiTheme="majorHAnsi" w:cstheme="majorHAnsi"/>
          <w:i/>
          <w:iCs/>
          <w:lang w:eastAsia="en-IN"/>
        </w:rPr>
        <w:t>.</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9</w:t>
      </w:r>
      <w:r w:rsidRPr="00E73D5F">
        <w:rPr>
          <w:rFonts w:asciiTheme="majorHAnsi" w:eastAsia="Times New Roman" w:hAnsiTheme="majorHAnsi" w:cstheme="majorHAnsi"/>
          <w:lang w:eastAsia="en-IN"/>
        </w:rPr>
        <w:t xml:space="preserve"> (2), 44–59 (2023).</w:t>
      </w:r>
    </w:p>
    <w:p w14:paraId="40867E5A"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393257">
        <w:rPr>
          <w:rFonts w:asciiTheme="majorHAnsi" w:eastAsia="Times New Roman" w:hAnsiTheme="majorHAnsi" w:cstheme="majorHAnsi"/>
          <w:lang w:val="de-DE" w:eastAsia="en-IN"/>
        </w:rPr>
        <w:t xml:space="preserve">Weber, A. G. et al. </w:t>
      </w:r>
      <w:r w:rsidRPr="00E73D5F">
        <w:rPr>
          <w:rFonts w:asciiTheme="majorHAnsi" w:eastAsia="Times New Roman" w:hAnsiTheme="majorHAnsi" w:cstheme="majorHAnsi"/>
          <w:lang w:eastAsia="en-IN"/>
        </w:rPr>
        <w:t xml:space="preserve">A new approach method to study thyroid hormone disruption: optimization and standardization of an assay to assess the inhibition of DIO1 enzyme in human liver microsomes. </w:t>
      </w:r>
      <w:r w:rsidRPr="00E73D5F">
        <w:rPr>
          <w:rFonts w:asciiTheme="majorHAnsi" w:eastAsia="Times New Roman" w:hAnsiTheme="majorHAnsi" w:cstheme="majorHAnsi"/>
          <w:i/>
          <w:iCs/>
          <w:lang w:eastAsia="en-IN"/>
        </w:rPr>
        <w:t xml:space="preserve">Appl Vitro </w:t>
      </w:r>
      <w:proofErr w:type="spellStart"/>
      <w:r w:rsidRPr="00E73D5F">
        <w:rPr>
          <w:rFonts w:asciiTheme="majorHAnsi" w:eastAsia="Times New Roman" w:hAnsiTheme="majorHAnsi" w:cstheme="majorHAnsi"/>
          <w:i/>
          <w:iCs/>
          <w:lang w:eastAsia="en-IN"/>
        </w:rPr>
        <w:t>Toxicol</w:t>
      </w:r>
      <w:proofErr w:type="spellEnd"/>
      <w:r w:rsidRPr="00E73D5F">
        <w:rPr>
          <w:rFonts w:asciiTheme="majorHAnsi" w:eastAsia="Times New Roman" w:hAnsiTheme="majorHAnsi" w:cstheme="majorHAnsi"/>
          <w:i/>
          <w:iCs/>
          <w:lang w:eastAsia="en-IN"/>
        </w:rPr>
        <w:t>.</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8</w:t>
      </w:r>
      <w:r w:rsidRPr="00E73D5F">
        <w:rPr>
          <w:rFonts w:asciiTheme="majorHAnsi" w:eastAsia="Times New Roman" w:hAnsiTheme="majorHAnsi" w:cstheme="majorHAnsi"/>
          <w:lang w:eastAsia="en-IN"/>
        </w:rPr>
        <w:t xml:space="preserve"> (3), 67–82 (2022).</w:t>
      </w:r>
    </w:p>
    <w:p w14:paraId="02AA2947"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E73D5F">
        <w:rPr>
          <w:rFonts w:asciiTheme="majorHAnsi" w:eastAsia="Times New Roman" w:hAnsiTheme="majorHAnsi" w:cstheme="majorHAnsi"/>
          <w:lang w:eastAsia="en-IN"/>
        </w:rPr>
        <w:t xml:space="preserve">Renko, K., </w:t>
      </w:r>
      <w:proofErr w:type="spellStart"/>
      <w:r w:rsidRPr="00E73D5F">
        <w:rPr>
          <w:rFonts w:asciiTheme="majorHAnsi" w:eastAsia="Times New Roman" w:hAnsiTheme="majorHAnsi" w:cstheme="majorHAnsi"/>
          <w:lang w:eastAsia="en-IN"/>
        </w:rPr>
        <w:t>Hoefig</w:t>
      </w:r>
      <w:proofErr w:type="spellEnd"/>
      <w:r w:rsidRPr="00E73D5F">
        <w:rPr>
          <w:rFonts w:asciiTheme="majorHAnsi" w:eastAsia="Times New Roman" w:hAnsiTheme="majorHAnsi" w:cstheme="majorHAnsi"/>
          <w:lang w:eastAsia="en-IN"/>
        </w:rPr>
        <w:t xml:space="preserve">, C. S., Hiller, F., Schomburg, L., </w:t>
      </w:r>
      <w:proofErr w:type="spellStart"/>
      <w:r w:rsidRPr="00E73D5F">
        <w:rPr>
          <w:rFonts w:asciiTheme="majorHAnsi" w:eastAsia="Times New Roman" w:hAnsiTheme="majorHAnsi" w:cstheme="majorHAnsi"/>
          <w:lang w:eastAsia="en-IN"/>
        </w:rPr>
        <w:t>Köhrle</w:t>
      </w:r>
      <w:proofErr w:type="spellEnd"/>
      <w:r w:rsidRPr="00E73D5F">
        <w:rPr>
          <w:rFonts w:asciiTheme="majorHAnsi" w:eastAsia="Times New Roman" w:hAnsiTheme="majorHAnsi" w:cstheme="majorHAnsi"/>
          <w:lang w:eastAsia="en-IN"/>
        </w:rPr>
        <w:t xml:space="preserve">, J. Identification of </w:t>
      </w:r>
      <w:proofErr w:type="spellStart"/>
      <w:r w:rsidRPr="00E73D5F">
        <w:rPr>
          <w:rFonts w:asciiTheme="majorHAnsi" w:eastAsia="Times New Roman" w:hAnsiTheme="majorHAnsi" w:cstheme="majorHAnsi"/>
          <w:lang w:eastAsia="en-IN"/>
        </w:rPr>
        <w:t>iopanoic</w:t>
      </w:r>
      <w:proofErr w:type="spellEnd"/>
      <w:r w:rsidRPr="00E73D5F">
        <w:rPr>
          <w:rFonts w:asciiTheme="majorHAnsi" w:eastAsia="Times New Roman" w:hAnsiTheme="majorHAnsi" w:cstheme="majorHAnsi"/>
          <w:lang w:eastAsia="en-IN"/>
        </w:rPr>
        <w:t xml:space="preserve"> acid as substrate of type 1 deiodinase by a novel nonradioactive iodide-release assay. </w:t>
      </w:r>
      <w:r w:rsidRPr="00E73D5F">
        <w:rPr>
          <w:rFonts w:asciiTheme="majorHAnsi" w:eastAsia="Times New Roman" w:hAnsiTheme="majorHAnsi" w:cstheme="majorHAnsi"/>
          <w:i/>
          <w:iCs/>
          <w:lang w:eastAsia="en-IN"/>
        </w:rPr>
        <w:t>Endocrinology.</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153</w:t>
      </w:r>
      <w:r w:rsidRPr="00E73D5F">
        <w:rPr>
          <w:rFonts w:asciiTheme="majorHAnsi" w:eastAsia="Times New Roman" w:hAnsiTheme="majorHAnsi" w:cstheme="majorHAnsi"/>
          <w:lang w:eastAsia="en-IN"/>
        </w:rPr>
        <w:t xml:space="preserve"> (5), 2506–2513 (2012).</w:t>
      </w:r>
    </w:p>
    <w:p w14:paraId="54FE2F74"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E73D5F">
        <w:rPr>
          <w:rFonts w:asciiTheme="majorHAnsi" w:eastAsia="Times New Roman" w:hAnsiTheme="majorHAnsi" w:cstheme="majorHAnsi"/>
          <w:lang w:eastAsia="en-IN"/>
        </w:rPr>
        <w:t xml:space="preserve">Renko, K. et al. An improved nonradioactive screening method identifies genistein and </w:t>
      </w:r>
      <w:proofErr w:type="spellStart"/>
      <w:r w:rsidRPr="00E73D5F">
        <w:rPr>
          <w:rFonts w:asciiTheme="majorHAnsi" w:eastAsia="Times New Roman" w:hAnsiTheme="majorHAnsi" w:cstheme="majorHAnsi"/>
          <w:lang w:eastAsia="en-IN"/>
        </w:rPr>
        <w:t>xanthohumol</w:t>
      </w:r>
      <w:proofErr w:type="spellEnd"/>
      <w:r w:rsidRPr="00E73D5F">
        <w:rPr>
          <w:rFonts w:asciiTheme="majorHAnsi" w:eastAsia="Times New Roman" w:hAnsiTheme="majorHAnsi" w:cstheme="majorHAnsi"/>
          <w:lang w:eastAsia="en-IN"/>
        </w:rPr>
        <w:t xml:space="preserve"> as potent inhibitors of iodothyronine deiodinases. </w:t>
      </w:r>
      <w:r w:rsidRPr="00E73D5F">
        <w:rPr>
          <w:rFonts w:asciiTheme="majorHAnsi" w:eastAsia="Times New Roman" w:hAnsiTheme="majorHAnsi" w:cstheme="majorHAnsi"/>
          <w:i/>
          <w:iCs/>
          <w:lang w:eastAsia="en-IN"/>
        </w:rPr>
        <w:t>Thyroid.</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25</w:t>
      </w:r>
      <w:r w:rsidRPr="00E73D5F">
        <w:rPr>
          <w:rFonts w:asciiTheme="majorHAnsi" w:eastAsia="Times New Roman" w:hAnsiTheme="majorHAnsi" w:cstheme="majorHAnsi"/>
          <w:lang w:eastAsia="en-IN"/>
        </w:rPr>
        <w:t xml:space="preserve"> (8), 962–968 (2015).</w:t>
      </w:r>
    </w:p>
    <w:p w14:paraId="366F6ADB"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393257">
        <w:rPr>
          <w:rFonts w:asciiTheme="majorHAnsi" w:eastAsia="Times New Roman" w:hAnsiTheme="majorHAnsi" w:cstheme="majorHAnsi"/>
          <w:lang w:val="de-DE" w:eastAsia="en-IN"/>
        </w:rPr>
        <w:lastRenderedPageBreak/>
        <w:t xml:space="preserve">Olker, J. H. et al. </w:t>
      </w:r>
      <w:r w:rsidRPr="00E73D5F">
        <w:rPr>
          <w:rFonts w:asciiTheme="majorHAnsi" w:eastAsia="Times New Roman" w:hAnsiTheme="majorHAnsi" w:cstheme="majorHAnsi"/>
          <w:lang w:eastAsia="en-IN"/>
        </w:rPr>
        <w:t xml:space="preserve">Screening the </w:t>
      </w:r>
      <w:proofErr w:type="spellStart"/>
      <w:r w:rsidRPr="00E73D5F">
        <w:rPr>
          <w:rFonts w:asciiTheme="majorHAnsi" w:eastAsia="Times New Roman" w:hAnsiTheme="majorHAnsi" w:cstheme="majorHAnsi"/>
          <w:lang w:eastAsia="en-IN"/>
        </w:rPr>
        <w:t>ToxCast</w:t>
      </w:r>
      <w:proofErr w:type="spellEnd"/>
      <w:r w:rsidRPr="00E73D5F">
        <w:rPr>
          <w:rFonts w:asciiTheme="majorHAnsi" w:eastAsia="Times New Roman" w:hAnsiTheme="majorHAnsi" w:cstheme="majorHAnsi"/>
          <w:lang w:eastAsia="en-IN"/>
        </w:rPr>
        <w:t xml:space="preserve"> phase 1, phase 2, and e1k chemical libraries for inhibitors of iodothyronine deiodinases. </w:t>
      </w:r>
      <w:proofErr w:type="spellStart"/>
      <w:r w:rsidRPr="00E73D5F">
        <w:rPr>
          <w:rFonts w:asciiTheme="majorHAnsi" w:eastAsia="Times New Roman" w:hAnsiTheme="majorHAnsi" w:cstheme="majorHAnsi"/>
          <w:i/>
          <w:iCs/>
          <w:lang w:eastAsia="en-IN"/>
        </w:rPr>
        <w:t>Toxicol</w:t>
      </w:r>
      <w:proofErr w:type="spellEnd"/>
      <w:r w:rsidRPr="00E73D5F">
        <w:rPr>
          <w:rFonts w:asciiTheme="majorHAnsi" w:eastAsia="Times New Roman" w:hAnsiTheme="majorHAnsi" w:cstheme="majorHAnsi"/>
          <w:i/>
          <w:iCs/>
          <w:lang w:eastAsia="en-IN"/>
        </w:rPr>
        <w:t xml:space="preserve"> Sci.</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168</w:t>
      </w:r>
      <w:r w:rsidRPr="00E73D5F">
        <w:rPr>
          <w:rFonts w:asciiTheme="majorHAnsi" w:eastAsia="Times New Roman" w:hAnsiTheme="majorHAnsi" w:cstheme="majorHAnsi"/>
          <w:lang w:eastAsia="en-IN"/>
        </w:rPr>
        <w:t xml:space="preserve"> (2), 430–442 (2019).</w:t>
      </w:r>
    </w:p>
    <w:p w14:paraId="6B632BBF"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E73D5F">
        <w:rPr>
          <w:rFonts w:asciiTheme="majorHAnsi" w:eastAsia="Times New Roman" w:hAnsiTheme="majorHAnsi" w:cstheme="majorHAnsi"/>
          <w:lang w:eastAsia="en-IN"/>
        </w:rPr>
        <w:t xml:space="preserve">Sane, R. et al. Identification and characterization of highly potent and isoenzyme-selective inhibitors of deiodinase type I via a nonradioactive high-throughput screening method. </w:t>
      </w:r>
      <w:r w:rsidRPr="00E73D5F">
        <w:rPr>
          <w:rFonts w:asciiTheme="majorHAnsi" w:eastAsia="Times New Roman" w:hAnsiTheme="majorHAnsi" w:cstheme="majorHAnsi"/>
          <w:i/>
          <w:iCs/>
          <w:lang w:eastAsia="en-IN"/>
        </w:rPr>
        <w:t>Thyroid.</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35</w:t>
      </w:r>
      <w:r w:rsidRPr="00E73D5F">
        <w:rPr>
          <w:rFonts w:asciiTheme="majorHAnsi" w:eastAsia="Times New Roman" w:hAnsiTheme="majorHAnsi" w:cstheme="majorHAnsi"/>
          <w:lang w:eastAsia="en-IN"/>
        </w:rPr>
        <w:t xml:space="preserve"> (5), 576–589 (2025).</w:t>
      </w:r>
    </w:p>
    <w:p w14:paraId="56923692"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E73D5F">
        <w:rPr>
          <w:rFonts w:asciiTheme="majorHAnsi" w:eastAsia="Times New Roman" w:hAnsiTheme="majorHAnsi" w:cstheme="majorHAnsi"/>
          <w:lang w:eastAsia="en-IN"/>
        </w:rPr>
        <w:t xml:space="preserve">Visser, T. J., Van </w:t>
      </w:r>
      <w:proofErr w:type="spellStart"/>
      <w:r w:rsidRPr="00E73D5F">
        <w:rPr>
          <w:rFonts w:asciiTheme="majorHAnsi" w:eastAsia="Times New Roman" w:hAnsiTheme="majorHAnsi" w:cstheme="majorHAnsi"/>
          <w:lang w:eastAsia="en-IN"/>
        </w:rPr>
        <w:t>Overmeeren</w:t>
      </w:r>
      <w:proofErr w:type="spellEnd"/>
      <w:r w:rsidRPr="00E73D5F">
        <w:rPr>
          <w:rFonts w:asciiTheme="majorHAnsi" w:eastAsia="Times New Roman" w:hAnsiTheme="majorHAnsi" w:cstheme="majorHAnsi"/>
          <w:lang w:eastAsia="en-IN"/>
        </w:rPr>
        <w:t xml:space="preserve">, E. Binding of </w:t>
      </w:r>
      <w:proofErr w:type="spellStart"/>
      <w:r w:rsidRPr="00E73D5F">
        <w:rPr>
          <w:rFonts w:asciiTheme="majorHAnsi" w:eastAsia="Times New Roman" w:hAnsiTheme="majorHAnsi" w:cstheme="majorHAnsi"/>
          <w:lang w:eastAsia="en-IN"/>
        </w:rPr>
        <w:t>radioiodinated</w:t>
      </w:r>
      <w:proofErr w:type="spellEnd"/>
      <w:r w:rsidRPr="00E73D5F">
        <w:rPr>
          <w:rFonts w:asciiTheme="majorHAnsi" w:eastAsia="Times New Roman" w:hAnsiTheme="majorHAnsi" w:cstheme="majorHAnsi"/>
          <w:lang w:eastAsia="en-IN"/>
        </w:rPr>
        <w:t xml:space="preserve"> propylthiouracil to rat liver microsomal fractions: stimulation by substrates for iodothyronine </w:t>
      </w:r>
      <w:proofErr w:type="gramStart"/>
      <w:r w:rsidRPr="00E73D5F">
        <w:rPr>
          <w:rFonts w:asciiTheme="majorHAnsi" w:eastAsia="Times New Roman" w:hAnsiTheme="majorHAnsi" w:cstheme="majorHAnsi"/>
          <w:lang w:eastAsia="en-IN"/>
        </w:rPr>
        <w:t>5′-</w:t>
      </w:r>
      <w:proofErr w:type="gramEnd"/>
      <w:r w:rsidRPr="00E73D5F">
        <w:rPr>
          <w:rFonts w:asciiTheme="majorHAnsi" w:eastAsia="Times New Roman" w:hAnsiTheme="majorHAnsi" w:cstheme="majorHAnsi"/>
          <w:lang w:eastAsia="en-IN"/>
        </w:rPr>
        <w:t xml:space="preserve">deiodinase. </w:t>
      </w:r>
      <w:proofErr w:type="spellStart"/>
      <w:r w:rsidRPr="00E73D5F">
        <w:rPr>
          <w:rFonts w:asciiTheme="majorHAnsi" w:eastAsia="Times New Roman" w:hAnsiTheme="majorHAnsi" w:cstheme="majorHAnsi"/>
          <w:i/>
          <w:iCs/>
          <w:lang w:eastAsia="en-IN"/>
        </w:rPr>
        <w:t>Biochem</w:t>
      </w:r>
      <w:proofErr w:type="spellEnd"/>
      <w:r w:rsidRPr="00E73D5F">
        <w:rPr>
          <w:rFonts w:asciiTheme="majorHAnsi" w:eastAsia="Times New Roman" w:hAnsiTheme="majorHAnsi" w:cstheme="majorHAnsi"/>
          <w:i/>
          <w:iCs/>
          <w:lang w:eastAsia="en-IN"/>
        </w:rPr>
        <w:t xml:space="preserve"> J.</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183</w:t>
      </w:r>
      <w:r w:rsidRPr="00E73D5F">
        <w:rPr>
          <w:rFonts w:asciiTheme="majorHAnsi" w:eastAsia="Times New Roman" w:hAnsiTheme="majorHAnsi" w:cstheme="majorHAnsi"/>
          <w:lang w:eastAsia="en-IN"/>
        </w:rPr>
        <w:t xml:space="preserve"> (1), 167–169 (1979).</w:t>
      </w:r>
    </w:p>
    <w:p w14:paraId="4244665E"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E73D5F">
        <w:rPr>
          <w:rFonts w:asciiTheme="majorHAnsi" w:eastAsia="Times New Roman" w:hAnsiTheme="majorHAnsi" w:cstheme="majorHAnsi"/>
          <w:lang w:eastAsia="en-IN"/>
        </w:rPr>
        <w:t xml:space="preserve">Hindrichs, C. et al. A novel and fast online SPE-LC-MS/MS method to quantify thyroid hormone metabolites in rat plasma. </w:t>
      </w:r>
      <w:r w:rsidRPr="00E73D5F">
        <w:rPr>
          <w:rFonts w:asciiTheme="majorHAnsi" w:eastAsia="Times New Roman" w:hAnsiTheme="majorHAnsi" w:cstheme="majorHAnsi"/>
          <w:i/>
          <w:iCs/>
          <w:lang w:eastAsia="en-IN"/>
        </w:rPr>
        <w:t xml:space="preserve">Chem Res </w:t>
      </w:r>
      <w:proofErr w:type="spellStart"/>
      <w:r w:rsidRPr="00E73D5F">
        <w:rPr>
          <w:rFonts w:asciiTheme="majorHAnsi" w:eastAsia="Times New Roman" w:hAnsiTheme="majorHAnsi" w:cstheme="majorHAnsi"/>
          <w:i/>
          <w:iCs/>
          <w:lang w:eastAsia="en-IN"/>
        </w:rPr>
        <w:t>Toxicol</w:t>
      </w:r>
      <w:proofErr w:type="spellEnd"/>
      <w:r w:rsidRPr="00E73D5F">
        <w:rPr>
          <w:rFonts w:asciiTheme="majorHAnsi" w:eastAsia="Times New Roman" w:hAnsiTheme="majorHAnsi" w:cstheme="majorHAnsi"/>
          <w:i/>
          <w:iCs/>
          <w:lang w:eastAsia="en-IN"/>
        </w:rPr>
        <w:t>.</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37</w:t>
      </w:r>
      <w:r w:rsidRPr="00E73D5F">
        <w:rPr>
          <w:rFonts w:asciiTheme="majorHAnsi" w:eastAsia="Times New Roman" w:hAnsiTheme="majorHAnsi" w:cstheme="majorHAnsi"/>
          <w:lang w:eastAsia="en-IN"/>
        </w:rPr>
        <w:t xml:space="preserve"> (1), 33–41 (2024).</w:t>
      </w:r>
    </w:p>
    <w:p w14:paraId="5517EA21"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E73D5F">
        <w:rPr>
          <w:rFonts w:asciiTheme="majorHAnsi" w:eastAsia="Times New Roman" w:hAnsiTheme="majorHAnsi" w:cstheme="majorHAnsi"/>
          <w:lang w:eastAsia="en-IN"/>
        </w:rPr>
        <w:t>Kolthoff, I. M., Sandell, E. B., Lingane, J. J. A modified persulfate-</w:t>
      </w:r>
      <w:proofErr w:type="spellStart"/>
      <w:r w:rsidRPr="00E73D5F">
        <w:rPr>
          <w:rFonts w:asciiTheme="majorHAnsi" w:eastAsia="Times New Roman" w:hAnsiTheme="majorHAnsi" w:cstheme="majorHAnsi"/>
          <w:lang w:eastAsia="en-IN"/>
        </w:rPr>
        <w:t>arsenite</w:t>
      </w:r>
      <w:proofErr w:type="spellEnd"/>
      <w:r w:rsidRPr="00E73D5F">
        <w:rPr>
          <w:rFonts w:asciiTheme="majorHAnsi" w:eastAsia="Times New Roman" w:hAnsiTheme="majorHAnsi" w:cstheme="majorHAnsi"/>
          <w:lang w:eastAsia="en-IN"/>
        </w:rPr>
        <w:t xml:space="preserve"> method for manganese. </w:t>
      </w:r>
      <w:r w:rsidRPr="00E73D5F">
        <w:rPr>
          <w:rFonts w:asciiTheme="majorHAnsi" w:eastAsia="Times New Roman" w:hAnsiTheme="majorHAnsi" w:cstheme="majorHAnsi"/>
          <w:i/>
          <w:iCs/>
          <w:lang w:eastAsia="en-IN"/>
        </w:rPr>
        <w:t>Anal Chem.</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8</w:t>
      </w:r>
      <w:r w:rsidRPr="00E73D5F">
        <w:rPr>
          <w:rFonts w:asciiTheme="majorHAnsi" w:eastAsia="Times New Roman" w:hAnsiTheme="majorHAnsi" w:cstheme="majorHAnsi"/>
          <w:lang w:eastAsia="en-IN"/>
        </w:rPr>
        <w:t xml:space="preserve"> (1), 73–73 (1936).</w:t>
      </w:r>
    </w:p>
    <w:p w14:paraId="117DE6DB"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E73D5F">
        <w:rPr>
          <w:rFonts w:asciiTheme="majorHAnsi" w:eastAsia="Times New Roman" w:hAnsiTheme="majorHAnsi" w:cstheme="majorHAnsi"/>
          <w:lang w:eastAsia="en-IN"/>
        </w:rPr>
        <w:t xml:space="preserve">Stefanidis, K. et al. Assessment of the robustness and accuracy of the deiodinase 1 Sandell–Kolthoff assay: a comparative analysis. </w:t>
      </w:r>
      <w:r w:rsidRPr="00E73D5F">
        <w:rPr>
          <w:rFonts w:asciiTheme="majorHAnsi" w:eastAsia="Times New Roman" w:hAnsiTheme="majorHAnsi" w:cstheme="majorHAnsi"/>
          <w:i/>
          <w:iCs/>
          <w:lang w:eastAsia="en-IN"/>
        </w:rPr>
        <w:t xml:space="preserve">Appl Vitro </w:t>
      </w:r>
      <w:proofErr w:type="spellStart"/>
      <w:r w:rsidRPr="00E73D5F">
        <w:rPr>
          <w:rFonts w:asciiTheme="majorHAnsi" w:eastAsia="Times New Roman" w:hAnsiTheme="majorHAnsi" w:cstheme="majorHAnsi"/>
          <w:i/>
          <w:iCs/>
          <w:lang w:eastAsia="en-IN"/>
        </w:rPr>
        <w:t>Toxicol</w:t>
      </w:r>
      <w:proofErr w:type="spellEnd"/>
      <w:r w:rsidRPr="00E73D5F">
        <w:rPr>
          <w:rFonts w:asciiTheme="majorHAnsi" w:eastAsia="Times New Roman" w:hAnsiTheme="majorHAnsi" w:cstheme="majorHAnsi"/>
          <w:i/>
          <w:iCs/>
          <w:lang w:eastAsia="en-IN"/>
        </w:rPr>
        <w:t>.</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10</w:t>
      </w:r>
      <w:r w:rsidRPr="00E73D5F">
        <w:rPr>
          <w:rFonts w:asciiTheme="majorHAnsi" w:eastAsia="Times New Roman" w:hAnsiTheme="majorHAnsi" w:cstheme="majorHAnsi"/>
          <w:lang w:eastAsia="en-IN"/>
        </w:rPr>
        <w:t xml:space="preserve"> (4), 80–90 (2024).</w:t>
      </w:r>
    </w:p>
    <w:p w14:paraId="260E247F"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E73D5F">
        <w:rPr>
          <w:rFonts w:asciiTheme="majorHAnsi" w:eastAsia="Times New Roman" w:hAnsiTheme="majorHAnsi" w:cstheme="majorHAnsi"/>
          <w:lang w:eastAsia="en-IN"/>
        </w:rPr>
        <w:t xml:space="preserve">Satya, S. et al. Guidance document on </w:t>
      </w:r>
      <w:proofErr w:type="spellStart"/>
      <w:r w:rsidRPr="00E73D5F">
        <w:rPr>
          <w:rFonts w:asciiTheme="majorHAnsi" w:eastAsia="Times New Roman" w:hAnsiTheme="majorHAnsi" w:cstheme="majorHAnsi"/>
          <w:lang w:eastAsia="en-IN"/>
        </w:rPr>
        <w:t>standardised</w:t>
      </w:r>
      <w:proofErr w:type="spellEnd"/>
      <w:r w:rsidRPr="00E73D5F">
        <w:rPr>
          <w:rFonts w:asciiTheme="majorHAnsi" w:eastAsia="Times New Roman" w:hAnsiTheme="majorHAnsi" w:cstheme="majorHAnsi"/>
          <w:lang w:eastAsia="en-IN"/>
        </w:rPr>
        <w:t xml:space="preserve"> test guidelines for evaluating chemicals for endocrine disruption. </w:t>
      </w:r>
      <w:r w:rsidRPr="00E73D5F">
        <w:rPr>
          <w:rFonts w:asciiTheme="majorHAnsi" w:eastAsia="Times New Roman" w:hAnsiTheme="majorHAnsi" w:cstheme="majorHAnsi"/>
          <w:i/>
          <w:iCs/>
          <w:lang w:eastAsia="en-IN"/>
        </w:rPr>
        <w:t>OECD Environ Health Saf Publ.</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150</w:t>
      </w:r>
      <w:r w:rsidRPr="00E73D5F">
        <w:rPr>
          <w:rFonts w:asciiTheme="majorHAnsi" w:eastAsia="Times New Roman" w:hAnsiTheme="majorHAnsi" w:cstheme="majorHAnsi"/>
          <w:lang w:eastAsia="en-IN"/>
        </w:rPr>
        <w:t xml:space="preserve"> (2012).</w:t>
      </w:r>
    </w:p>
    <w:p w14:paraId="079AD3D0"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E73D5F">
        <w:rPr>
          <w:rFonts w:asciiTheme="majorHAnsi" w:eastAsia="Times New Roman" w:hAnsiTheme="majorHAnsi" w:cstheme="majorHAnsi"/>
          <w:lang w:eastAsia="en-IN"/>
        </w:rPr>
        <w:t xml:space="preserve">Joseph, O., Eberle, M., Lieberman, M. Metabolites in urine that interfere with the Sandell–Kolthoff assay for urinary iodine. </w:t>
      </w:r>
      <w:r w:rsidRPr="00E73D5F">
        <w:rPr>
          <w:rFonts w:asciiTheme="majorHAnsi" w:eastAsia="Times New Roman" w:hAnsiTheme="majorHAnsi" w:cstheme="majorHAnsi"/>
          <w:i/>
          <w:iCs/>
          <w:lang w:eastAsia="en-IN"/>
        </w:rPr>
        <w:t>Biol Trace Elem Res.</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202</w:t>
      </w:r>
      <w:r w:rsidRPr="00E73D5F">
        <w:rPr>
          <w:rFonts w:asciiTheme="majorHAnsi" w:eastAsia="Times New Roman" w:hAnsiTheme="majorHAnsi" w:cstheme="majorHAnsi"/>
          <w:lang w:eastAsia="en-IN"/>
        </w:rPr>
        <w:t xml:space="preserve"> (2), 466–472 (2024).</w:t>
      </w:r>
    </w:p>
    <w:p w14:paraId="59BC8477" w14:textId="77777777" w:rsidR="00F2550B" w:rsidRPr="00E73D5F" w:rsidRDefault="00F2550B" w:rsidP="00E73D5F">
      <w:pPr>
        <w:widowControl/>
        <w:numPr>
          <w:ilvl w:val="0"/>
          <w:numId w:val="29"/>
        </w:numPr>
        <w:tabs>
          <w:tab w:val="clear" w:pos="720"/>
        </w:tabs>
        <w:ind w:left="0" w:firstLine="0"/>
        <w:rPr>
          <w:rFonts w:asciiTheme="majorHAnsi" w:eastAsia="Times New Roman" w:hAnsiTheme="majorHAnsi" w:cstheme="majorHAnsi"/>
          <w:lang w:eastAsia="en-IN"/>
        </w:rPr>
      </w:pPr>
      <w:r w:rsidRPr="00E73D5F">
        <w:rPr>
          <w:rFonts w:asciiTheme="majorHAnsi" w:eastAsia="Times New Roman" w:hAnsiTheme="majorHAnsi" w:cstheme="majorHAnsi"/>
          <w:lang w:eastAsia="en-IN"/>
        </w:rPr>
        <w:t xml:space="preserve">May, W., Wu, D., Eastman, C., Bourdoux, P., Maberly, G. Evaluation of automated urinary iodine methods: problems of interfering substances identified. </w:t>
      </w:r>
      <w:r w:rsidRPr="00E73D5F">
        <w:rPr>
          <w:rFonts w:asciiTheme="majorHAnsi" w:eastAsia="Times New Roman" w:hAnsiTheme="majorHAnsi" w:cstheme="majorHAnsi"/>
          <w:i/>
          <w:iCs/>
          <w:lang w:eastAsia="en-IN"/>
        </w:rPr>
        <w:t>Clin Chem.</w:t>
      </w:r>
      <w:r w:rsidRPr="00E73D5F">
        <w:rPr>
          <w:rFonts w:asciiTheme="majorHAnsi" w:eastAsia="Times New Roman" w:hAnsiTheme="majorHAnsi" w:cstheme="majorHAnsi"/>
          <w:lang w:eastAsia="en-IN"/>
        </w:rPr>
        <w:t xml:space="preserve"> </w:t>
      </w:r>
      <w:r w:rsidRPr="00E73D5F">
        <w:rPr>
          <w:rFonts w:asciiTheme="majorHAnsi" w:eastAsia="Times New Roman" w:hAnsiTheme="majorHAnsi" w:cstheme="majorHAnsi"/>
          <w:b/>
          <w:bCs/>
          <w:lang w:eastAsia="en-IN"/>
        </w:rPr>
        <w:t>36</w:t>
      </w:r>
      <w:r w:rsidRPr="00E73D5F">
        <w:rPr>
          <w:rFonts w:asciiTheme="majorHAnsi" w:eastAsia="Times New Roman" w:hAnsiTheme="majorHAnsi" w:cstheme="majorHAnsi"/>
          <w:lang w:eastAsia="en-IN"/>
        </w:rPr>
        <w:t xml:space="preserve"> (6), 865–869 (1990).</w:t>
      </w:r>
    </w:p>
    <w:p w14:paraId="039C561C" w14:textId="434B7E09" w:rsidR="00516914" w:rsidRPr="0017030F" w:rsidRDefault="00516914" w:rsidP="00E73D5F">
      <w:pPr>
        <w:rPr>
          <w:rFonts w:asciiTheme="majorHAnsi" w:hAnsiTheme="majorHAnsi" w:cstheme="majorHAnsi"/>
        </w:rPr>
      </w:pPr>
    </w:p>
    <w:sectPr w:rsidR="00516914" w:rsidRPr="0017030F" w:rsidSect="00347322">
      <w:headerReference w:type="even" r:id="rId8"/>
      <w:headerReference w:type="default" r:id="rId9"/>
      <w:footerReference w:type="even" r:id="rId10"/>
      <w:footerReference w:type="default" r:id="rId11"/>
      <w:headerReference w:type="first" r:id="rId12"/>
      <w:pgSz w:w="12240" w:h="15840"/>
      <w:pgMar w:top="1440" w:right="1440" w:bottom="1440" w:left="1440" w:header="720" w:footer="607"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3FD47" w14:textId="77777777" w:rsidR="001E0A93" w:rsidRDefault="001E0A93">
      <w:r>
        <w:separator/>
      </w:r>
    </w:p>
  </w:endnote>
  <w:endnote w:type="continuationSeparator" w:id="0">
    <w:p w14:paraId="256D257E" w14:textId="77777777" w:rsidR="001E0A93" w:rsidRDefault="001E0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A37D8" w14:textId="77777777" w:rsidR="00A52D61" w:rsidRDefault="00A52D6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AFE6F" w14:textId="77777777" w:rsidR="001E0A93" w:rsidRDefault="001E0A93">
      <w:r>
        <w:separator/>
      </w:r>
    </w:p>
  </w:footnote>
  <w:footnote w:type="continuationSeparator" w:id="0">
    <w:p w14:paraId="061426F8" w14:textId="77777777" w:rsidR="001E0A93" w:rsidRDefault="001E0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47C5FCFD"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6DC1AD4"/>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44031B4"/>
    <w:multiLevelType w:val="hybridMultilevel"/>
    <w:tmpl w:val="23725004"/>
    <w:lvl w:ilvl="0" w:tplc="27D8EE9A">
      <w:start w:val="1"/>
      <w:numFmt w:val="bullet"/>
      <w:lvlText w:val=""/>
      <w:lvlJc w:val="left"/>
      <w:pPr>
        <w:ind w:left="1080" w:hanging="360"/>
      </w:pPr>
      <w:rPr>
        <w:rFonts w:ascii="Symbol" w:hAnsi="Symbol"/>
      </w:rPr>
    </w:lvl>
    <w:lvl w:ilvl="1" w:tplc="103AE2B0">
      <w:start w:val="1"/>
      <w:numFmt w:val="bullet"/>
      <w:lvlText w:val=""/>
      <w:lvlJc w:val="left"/>
      <w:pPr>
        <w:ind w:left="1080" w:hanging="360"/>
      </w:pPr>
      <w:rPr>
        <w:rFonts w:ascii="Symbol" w:hAnsi="Symbol"/>
      </w:rPr>
    </w:lvl>
    <w:lvl w:ilvl="2" w:tplc="2C3C7E88">
      <w:start w:val="1"/>
      <w:numFmt w:val="bullet"/>
      <w:lvlText w:val=""/>
      <w:lvlJc w:val="left"/>
      <w:pPr>
        <w:ind w:left="1080" w:hanging="360"/>
      </w:pPr>
      <w:rPr>
        <w:rFonts w:ascii="Symbol" w:hAnsi="Symbol"/>
      </w:rPr>
    </w:lvl>
    <w:lvl w:ilvl="3" w:tplc="C2EA42AA">
      <w:start w:val="1"/>
      <w:numFmt w:val="bullet"/>
      <w:lvlText w:val=""/>
      <w:lvlJc w:val="left"/>
      <w:pPr>
        <w:ind w:left="1080" w:hanging="360"/>
      </w:pPr>
      <w:rPr>
        <w:rFonts w:ascii="Symbol" w:hAnsi="Symbol"/>
      </w:rPr>
    </w:lvl>
    <w:lvl w:ilvl="4" w:tplc="C8DE6E4E">
      <w:start w:val="1"/>
      <w:numFmt w:val="bullet"/>
      <w:lvlText w:val=""/>
      <w:lvlJc w:val="left"/>
      <w:pPr>
        <w:ind w:left="1080" w:hanging="360"/>
      </w:pPr>
      <w:rPr>
        <w:rFonts w:ascii="Symbol" w:hAnsi="Symbol"/>
      </w:rPr>
    </w:lvl>
    <w:lvl w:ilvl="5" w:tplc="412497D2">
      <w:start w:val="1"/>
      <w:numFmt w:val="bullet"/>
      <w:lvlText w:val=""/>
      <w:lvlJc w:val="left"/>
      <w:pPr>
        <w:ind w:left="1080" w:hanging="360"/>
      </w:pPr>
      <w:rPr>
        <w:rFonts w:ascii="Symbol" w:hAnsi="Symbol"/>
      </w:rPr>
    </w:lvl>
    <w:lvl w:ilvl="6" w:tplc="D69EED82">
      <w:start w:val="1"/>
      <w:numFmt w:val="bullet"/>
      <w:lvlText w:val=""/>
      <w:lvlJc w:val="left"/>
      <w:pPr>
        <w:ind w:left="1080" w:hanging="360"/>
      </w:pPr>
      <w:rPr>
        <w:rFonts w:ascii="Symbol" w:hAnsi="Symbol"/>
      </w:rPr>
    </w:lvl>
    <w:lvl w:ilvl="7" w:tplc="5582CDAE">
      <w:start w:val="1"/>
      <w:numFmt w:val="bullet"/>
      <w:lvlText w:val=""/>
      <w:lvlJc w:val="left"/>
      <w:pPr>
        <w:ind w:left="1080" w:hanging="360"/>
      </w:pPr>
      <w:rPr>
        <w:rFonts w:ascii="Symbol" w:hAnsi="Symbol"/>
      </w:rPr>
    </w:lvl>
    <w:lvl w:ilvl="8" w:tplc="4288D21A">
      <w:start w:val="1"/>
      <w:numFmt w:val="bullet"/>
      <w:lvlText w:val=""/>
      <w:lvlJc w:val="left"/>
      <w:pPr>
        <w:ind w:left="1080" w:hanging="360"/>
      </w:pPr>
      <w:rPr>
        <w:rFonts w:ascii="Symbol" w:hAnsi="Symbol"/>
      </w:rPr>
    </w:lvl>
  </w:abstractNum>
  <w:abstractNum w:abstractNumId="2" w15:restartNumberingAfterBreak="0">
    <w:nsid w:val="05A65791"/>
    <w:multiLevelType w:val="multilevel"/>
    <w:tmpl w:val="99642C5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B36C6C"/>
    <w:multiLevelType w:val="hybridMultilevel"/>
    <w:tmpl w:val="58D0ABE4"/>
    <w:lvl w:ilvl="0" w:tplc="CE9012F8">
      <w:start w:val="1"/>
      <w:numFmt w:val="bullet"/>
      <w:lvlText w:val=""/>
      <w:lvlJc w:val="left"/>
      <w:pPr>
        <w:ind w:left="1080" w:hanging="360"/>
      </w:pPr>
      <w:rPr>
        <w:rFonts w:ascii="Symbol" w:hAnsi="Symbol"/>
      </w:rPr>
    </w:lvl>
    <w:lvl w:ilvl="1" w:tplc="FEC0ABCC">
      <w:start w:val="1"/>
      <w:numFmt w:val="bullet"/>
      <w:lvlText w:val=""/>
      <w:lvlJc w:val="left"/>
      <w:pPr>
        <w:ind w:left="1080" w:hanging="360"/>
      </w:pPr>
      <w:rPr>
        <w:rFonts w:ascii="Symbol" w:hAnsi="Symbol"/>
      </w:rPr>
    </w:lvl>
    <w:lvl w:ilvl="2" w:tplc="47F01BF0">
      <w:start w:val="1"/>
      <w:numFmt w:val="bullet"/>
      <w:lvlText w:val=""/>
      <w:lvlJc w:val="left"/>
      <w:pPr>
        <w:ind w:left="1080" w:hanging="360"/>
      </w:pPr>
      <w:rPr>
        <w:rFonts w:ascii="Symbol" w:hAnsi="Symbol"/>
      </w:rPr>
    </w:lvl>
    <w:lvl w:ilvl="3" w:tplc="49FEF382">
      <w:start w:val="1"/>
      <w:numFmt w:val="bullet"/>
      <w:lvlText w:val=""/>
      <w:lvlJc w:val="left"/>
      <w:pPr>
        <w:ind w:left="1080" w:hanging="360"/>
      </w:pPr>
      <w:rPr>
        <w:rFonts w:ascii="Symbol" w:hAnsi="Symbol"/>
      </w:rPr>
    </w:lvl>
    <w:lvl w:ilvl="4" w:tplc="68609CC2">
      <w:start w:val="1"/>
      <w:numFmt w:val="bullet"/>
      <w:lvlText w:val=""/>
      <w:lvlJc w:val="left"/>
      <w:pPr>
        <w:ind w:left="1080" w:hanging="360"/>
      </w:pPr>
      <w:rPr>
        <w:rFonts w:ascii="Symbol" w:hAnsi="Symbol"/>
      </w:rPr>
    </w:lvl>
    <w:lvl w:ilvl="5" w:tplc="57CEEE6A">
      <w:start w:val="1"/>
      <w:numFmt w:val="bullet"/>
      <w:lvlText w:val=""/>
      <w:lvlJc w:val="left"/>
      <w:pPr>
        <w:ind w:left="1080" w:hanging="360"/>
      </w:pPr>
      <w:rPr>
        <w:rFonts w:ascii="Symbol" w:hAnsi="Symbol"/>
      </w:rPr>
    </w:lvl>
    <w:lvl w:ilvl="6" w:tplc="123E26CA">
      <w:start w:val="1"/>
      <w:numFmt w:val="bullet"/>
      <w:lvlText w:val=""/>
      <w:lvlJc w:val="left"/>
      <w:pPr>
        <w:ind w:left="1080" w:hanging="360"/>
      </w:pPr>
      <w:rPr>
        <w:rFonts w:ascii="Symbol" w:hAnsi="Symbol"/>
      </w:rPr>
    </w:lvl>
    <w:lvl w:ilvl="7" w:tplc="879AA1F0">
      <w:start w:val="1"/>
      <w:numFmt w:val="bullet"/>
      <w:lvlText w:val=""/>
      <w:lvlJc w:val="left"/>
      <w:pPr>
        <w:ind w:left="1080" w:hanging="360"/>
      </w:pPr>
      <w:rPr>
        <w:rFonts w:ascii="Symbol" w:hAnsi="Symbol"/>
      </w:rPr>
    </w:lvl>
    <w:lvl w:ilvl="8" w:tplc="002A8F8E">
      <w:start w:val="1"/>
      <w:numFmt w:val="bullet"/>
      <w:lvlText w:val=""/>
      <w:lvlJc w:val="left"/>
      <w:pPr>
        <w:ind w:left="1080" w:hanging="360"/>
      </w:pPr>
      <w:rPr>
        <w:rFonts w:ascii="Symbol" w:hAnsi="Symbol"/>
      </w:rPr>
    </w:lvl>
  </w:abstractNum>
  <w:abstractNum w:abstractNumId="4" w15:restartNumberingAfterBreak="0">
    <w:nsid w:val="0CE42E8C"/>
    <w:multiLevelType w:val="hybridMultilevel"/>
    <w:tmpl w:val="C908C29E"/>
    <w:lvl w:ilvl="0" w:tplc="C074D38E">
      <w:start w:val="1"/>
      <w:numFmt w:val="decimal"/>
      <w:lvlText w:val="%1."/>
      <w:lvlJc w:val="left"/>
      <w:pPr>
        <w:ind w:left="1440" w:hanging="360"/>
      </w:pPr>
    </w:lvl>
    <w:lvl w:ilvl="1" w:tplc="AB7C3498">
      <w:start w:val="1"/>
      <w:numFmt w:val="decimal"/>
      <w:lvlText w:val="%2."/>
      <w:lvlJc w:val="left"/>
      <w:pPr>
        <w:ind w:left="1440" w:hanging="360"/>
      </w:pPr>
    </w:lvl>
    <w:lvl w:ilvl="2" w:tplc="1A162052">
      <w:start w:val="1"/>
      <w:numFmt w:val="decimal"/>
      <w:lvlText w:val="%3."/>
      <w:lvlJc w:val="left"/>
      <w:pPr>
        <w:ind w:left="1440" w:hanging="360"/>
      </w:pPr>
    </w:lvl>
    <w:lvl w:ilvl="3" w:tplc="3F6A4BB6">
      <w:start w:val="1"/>
      <w:numFmt w:val="decimal"/>
      <w:lvlText w:val="%4."/>
      <w:lvlJc w:val="left"/>
      <w:pPr>
        <w:ind w:left="1440" w:hanging="360"/>
      </w:pPr>
    </w:lvl>
    <w:lvl w:ilvl="4" w:tplc="0B5E9294">
      <w:start w:val="1"/>
      <w:numFmt w:val="decimal"/>
      <w:lvlText w:val="%5."/>
      <w:lvlJc w:val="left"/>
      <w:pPr>
        <w:ind w:left="1440" w:hanging="360"/>
      </w:pPr>
    </w:lvl>
    <w:lvl w:ilvl="5" w:tplc="D90E8CDA">
      <w:start w:val="1"/>
      <w:numFmt w:val="decimal"/>
      <w:lvlText w:val="%6."/>
      <w:lvlJc w:val="left"/>
      <w:pPr>
        <w:ind w:left="1440" w:hanging="360"/>
      </w:pPr>
    </w:lvl>
    <w:lvl w:ilvl="6" w:tplc="F51CD860">
      <w:start w:val="1"/>
      <w:numFmt w:val="decimal"/>
      <w:lvlText w:val="%7."/>
      <w:lvlJc w:val="left"/>
      <w:pPr>
        <w:ind w:left="1440" w:hanging="360"/>
      </w:pPr>
    </w:lvl>
    <w:lvl w:ilvl="7" w:tplc="78C48F02">
      <w:start w:val="1"/>
      <w:numFmt w:val="decimal"/>
      <w:lvlText w:val="%8."/>
      <w:lvlJc w:val="left"/>
      <w:pPr>
        <w:ind w:left="1440" w:hanging="360"/>
      </w:pPr>
    </w:lvl>
    <w:lvl w:ilvl="8" w:tplc="C7B63840">
      <w:start w:val="1"/>
      <w:numFmt w:val="decimal"/>
      <w:lvlText w:val="%9."/>
      <w:lvlJc w:val="left"/>
      <w:pPr>
        <w:ind w:left="1440" w:hanging="360"/>
      </w:pPr>
    </w:lvl>
  </w:abstractNum>
  <w:abstractNum w:abstractNumId="5" w15:restartNumberingAfterBreak="0">
    <w:nsid w:val="0DC91578"/>
    <w:multiLevelType w:val="multilevel"/>
    <w:tmpl w:val="6AD4C1FE"/>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F2401EE"/>
    <w:multiLevelType w:val="hybridMultilevel"/>
    <w:tmpl w:val="1C483706"/>
    <w:lvl w:ilvl="0" w:tplc="9BE404E2">
      <w:start w:val="1"/>
      <w:numFmt w:val="decimal"/>
      <w:lvlText w:val="(%1)"/>
      <w:lvlJc w:val="left"/>
      <w:pPr>
        <w:ind w:left="1440" w:hanging="360"/>
      </w:pPr>
    </w:lvl>
    <w:lvl w:ilvl="1" w:tplc="548CE9BE">
      <w:start w:val="1"/>
      <w:numFmt w:val="bullet"/>
      <w:lvlText w:val=""/>
      <w:lvlJc w:val="left"/>
      <w:pPr>
        <w:ind w:left="1800" w:hanging="360"/>
      </w:pPr>
      <w:rPr>
        <w:rFonts w:ascii="Symbol" w:hAnsi="Symbol"/>
      </w:rPr>
    </w:lvl>
    <w:lvl w:ilvl="2" w:tplc="4F76E230">
      <w:start w:val="1"/>
      <w:numFmt w:val="decimal"/>
      <w:lvlText w:val="(%3)"/>
      <w:lvlJc w:val="left"/>
      <w:pPr>
        <w:ind w:left="1440" w:hanging="360"/>
      </w:pPr>
    </w:lvl>
    <w:lvl w:ilvl="3" w:tplc="D21C3636">
      <w:start w:val="1"/>
      <w:numFmt w:val="decimal"/>
      <w:lvlText w:val="(%4)"/>
      <w:lvlJc w:val="left"/>
      <w:pPr>
        <w:ind w:left="1440" w:hanging="360"/>
      </w:pPr>
    </w:lvl>
    <w:lvl w:ilvl="4" w:tplc="0EA8B036">
      <w:start w:val="1"/>
      <w:numFmt w:val="decimal"/>
      <w:lvlText w:val="(%5)"/>
      <w:lvlJc w:val="left"/>
      <w:pPr>
        <w:ind w:left="1440" w:hanging="360"/>
      </w:pPr>
    </w:lvl>
    <w:lvl w:ilvl="5" w:tplc="7EC018C4">
      <w:start w:val="1"/>
      <w:numFmt w:val="decimal"/>
      <w:lvlText w:val="(%6)"/>
      <w:lvlJc w:val="left"/>
      <w:pPr>
        <w:ind w:left="1440" w:hanging="360"/>
      </w:pPr>
    </w:lvl>
    <w:lvl w:ilvl="6" w:tplc="67F83014">
      <w:start w:val="1"/>
      <w:numFmt w:val="decimal"/>
      <w:lvlText w:val="(%7)"/>
      <w:lvlJc w:val="left"/>
      <w:pPr>
        <w:ind w:left="1440" w:hanging="360"/>
      </w:pPr>
    </w:lvl>
    <w:lvl w:ilvl="7" w:tplc="FD4E4ABA">
      <w:start w:val="1"/>
      <w:numFmt w:val="decimal"/>
      <w:lvlText w:val="(%8)"/>
      <w:lvlJc w:val="left"/>
      <w:pPr>
        <w:ind w:left="1440" w:hanging="360"/>
      </w:pPr>
    </w:lvl>
    <w:lvl w:ilvl="8" w:tplc="1736CCE4">
      <w:start w:val="1"/>
      <w:numFmt w:val="decimal"/>
      <w:lvlText w:val="(%9)"/>
      <w:lvlJc w:val="left"/>
      <w:pPr>
        <w:ind w:left="1440" w:hanging="360"/>
      </w:pPr>
    </w:lvl>
  </w:abstractNum>
  <w:abstractNum w:abstractNumId="7" w15:restartNumberingAfterBreak="0">
    <w:nsid w:val="0F34014B"/>
    <w:multiLevelType w:val="hybridMultilevel"/>
    <w:tmpl w:val="86141078"/>
    <w:lvl w:ilvl="0" w:tplc="3ED0335E">
      <w:start w:val="1"/>
      <w:numFmt w:val="bullet"/>
      <w:lvlText w:val=""/>
      <w:lvlJc w:val="left"/>
      <w:pPr>
        <w:ind w:left="1080" w:hanging="360"/>
      </w:pPr>
      <w:rPr>
        <w:rFonts w:ascii="Symbol" w:hAnsi="Symbol"/>
      </w:rPr>
    </w:lvl>
    <w:lvl w:ilvl="1" w:tplc="EC10B0E6">
      <w:start w:val="1"/>
      <w:numFmt w:val="bullet"/>
      <w:lvlText w:val=""/>
      <w:lvlJc w:val="left"/>
      <w:pPr>
        <w:ind w:left="1080" w:hanging="360"/>
      </w:pPr>
      <w:rPr>
        <w:rFonts w:ascii="Symbol" w:hAnsi="Symbol"/>
      </w:rPr>
    </w:lvl>
    <w:lvl w:ilvl="2" w:tplc="0ECE6306">
      <w:start w:val="1"/>
      <w:numFmt w:val="bullet"/>
      <w:lvlText w:val=""/>
      <w:lvlJc w:val="left"/>
      <w:pPr>
        <w:ind w:left="1080" w:hanging="360"/>
      </w:pPr>
      <w:rPr>
        <w:rFonts w:ascii="Symbol" w:hAnsi="Symbol"/>
      </w:rPr>
    </w:lvl>
    <w:lvl w:ilvl="3" w:tplc="60D666F6">
      <w:start w:val="1"/>
      <w:numFmt w:val="bullet"/>
      <w:lvlText w:val=""/>
      <w:lvlJc w:val="left"/>
      <w:pPr>
        <w:ind w:left="1080" w:hanging="360"/>
      </w:pPr>
      <w:rPr>
        <w:rFonts w:ascii="Symbol" w:hAnsi="Symbol"/>
      </w:rPr>
    </w:lvl>
    <w:lvl w:ilvl="4" w:tplc="80663B78">
      <w:start w:val="1"/>
      <w:numFmt w:val="bullet"/>
      <w:lvlText w:val=""/>
      <w:lvlJc w:val="left"/>
      <w:pPr>
        <w:ind w:left="1080" w:hanging="360"/>
      </w:pPr>
      <w:rPr>
        <w:rFonts w:ascii="Symbol" w:hAnsi="Symbol"/>
      </w:rPr>
    </w:lvl>
    <w:lvl w:ilvl="5" w:tplc="C2363EA0">
      <w:start w:val="1"/>
      <w:numFmt w:val="bullet"/>
      <w:lvlText w:val=""/>
      <w:lvlJc w:val="left"/>
      <w:pPr>
        <w:ind w:left="1080" w:hanging="360"/>
      </w:pPr>
      <w:rPr>
        <w:rFonts w:ascii="Symbol" w:hAnsi="Symbol"/>
      </w:rPr>
    </w:lvl>
    <w:lvl w:ilvl="6" w:tplc="FCA615DC">
      <w:start w:val="1"/>
      <w:numFmt w:val="bullet"/>
      <w:lvlText w:val=""/>
      <w:lvlJc w:val="left"/>
      <w:pPr>
        <w:ind w:left="1080" w:hanging="360"/>
      </w:pPr>
      <w:rPr>
        <w:rFonts w:ascii="Symbol" w:hAnsi="Symbol"/>
      </w:rPr>
    </w:lvl>
    <w:lvl w:ilvl="7" w:tplc="DA0EF2CA">
      <w:start w:val="1"/>
      <w:numFmt w:val="bullet"/>
      <w:lvlText w:val=""/>
      <w:lvlJc w:val="left"/>
      <w:pPr>
        <w:ind w:left="1080" w:hanging="360"/>
      </w:pPr>
      <w:rPr>
        <w:rFonts w:ascii="Symbol" w:hAnsi="Symbol"/>
      </w:rPr>
    </w:lvl>
    <w:lvl w:ilvl="8" w:tplc="AE822C34">
      <w:start w:val="1"/>
      <w:numFmt w:val="bullet"/>
      <w:lvlText w:val=""/>
      <w:lvlJc w:val="left"/>
      <w:pPr>
        <w:ind w:left="1080" w:hanging="360"/>
      </w:pPr>
      <w:rPr>
        <w:rFonts w:ascii="Symbol" w:hAnsi="Symbol"/>
      </w:rPr>
    </w:lvl>
  </w:abstractNum>
  <w:abstractNum w:abstractNumId="8" w15:restartNumberingAfterBreak="0">
    <w:nsid w:val="11A22009"/>
    <w:multiLevelType w:val="hybridMultilevel"/>
    <w:tmpl w:val="5C3AB20E"/>
    <w:lvl w:ilvl="0" w:tplc="613CAEF8">
      <w:start w:val="1"/>
      <w:numFmt w:val="decimal"/>
      <w:lvlText w:val="%1."/>
      <w:lvlJc w:val="left"/>
      <w:pPr>
        <w:ind w:left="1440" w:hanging="360"/>
      </w:pPr>
    </w:lvl>
    <w:lvl w:ilvl="1" w:tplc="D27A4CAC">
      <w:start w:val="1"/>
      <w:numFmt w:val="decimal"/>
      <w:lvlText w:val="%2."/>
      <w:lvlJc w:val="left"/>
      <w:pPr>
        <w:ind w:left="1440" w:hanging="360"/>
      </w:pPr>
    </w:lvl>
    <w:lvl w:ilvl="2" w:tplc="E3FCE518">
      <w:start w:val="1"/>
      <w:numFmt w:val="decimal"/>
      <w:lvlText w:val="%3."/>
      <w:lvlJc w:val="left"/>
      <w:pPr>
        <w:ind w:left="1440" w:hanging="360"/>
      </w:pPr>
    </w:lvl>
    <w:lvl w:ilvl="3" w:tplc="6298B860">
      <w:start w:val="1"/>
      <w:numFmt w:val="decimal"/>
      <w:lvlText w:val="%4."/>
      <w:lvlJc w:val="left"/>
      <w:pPr>
        <w:ind w:left="1440" w:hanging="360"/>
      </w:pPr>
    </w:lvl>
    <w:lvl w:ilvl="4" w:tplc="EC8AF838">
      <w:start w:val="1"/>
      <w:numFmt w:val="decimal"/>
      <w:lvlText w:val="%5."/>
      <w:lvlJc w:val="left"/>
      <w:pPr>
        <w:ind w:left="1440" w:hanging="360"/>
      </w:pPr>
    </w:lvl>
    <w:lvl w:ilvl="5" w:tplc="457AD42E">
      <w:start w:val="1"/>
      <w:numFmt w:val="decimal"/>
      <w:lvlText w:val="%6."/>
      <w:lvlJc w:val="left"/>
      <w:pPr>
        <w:ind w:left="1440" w:hanging="360"/>
      </w:pPr>
    </w:lvl>
    <w:lvl w:ilvl="6" w:tplc="72023A0A">
      <w:start w:val="1"/>
      <w:numFmt w:val="decimal"/>
      <w:lvlText w:val="%7."/>
      <w:lvlJc w:val="left"/>
      <w:pPr>
        <w:ind w:left="1440" w:hanging="360"/>
      </w:pPr>
    </w:lvl>
    <w:lvl w:ilvl="7" w:tplc="1E2E0CD2">
      <w:start w:val="1"/>
      <w:numFmt w:val="decimal"/>
      <w:lvlText w:val="%8."/>
      <w:lvlJc w:val="left"/>
      <w:pPr>
        <w:ind w:left="1440" w:hanging="360"/>
      </w:pPr>
    </w:lvl>
    <w:lvl w:ilvl="8" w:tplc="23ACD548">
      <w:start w:val="1"/>
      <w:numFmt w:val="decimal"/>
      <w:lvlText w:val="%9."/>
      <w:lvlJc w:val="left"/>
      <w:pPr>
        <w:ind w:left="1440" w:hanging="360"/>
      </w:pPr>
    </w:lvl>
  </w:abstractNum>
  <w:abstractNum w:abstractNumId="9" w15:restartNumberingAfterBreak="0">
    <w:nsid w:val="1B827DC0"/>
    <w:multiLevelType w:val="hybridMultilevel"/>
    <w:tmpl w:val="147E63C0"/>
    <w:lvl w:ilvl="0" w:tplc="59A46B2E">
      <w:start w:val="1"/>
      <w:numFmt w:val="decimal"/>
      <w:lvlText w:val="%1."/>
      <w:lvlJc w:val="left"/>
      <w:pPr>
        <w:ind w:left="1440" w:hanging="360"/>
      </w:pPr>
    </w:lvl>
    <w:lvl w:ilvl="1" w:tplc="4DEE2826">
      <w:start w:val="1"/>
      <w:numFmt w:val="decimal"/>
      <w:lvlText w:val="%2."/>
      <w:lvlJc w:val="left"/>
      <w:pPr>
        <w:ind w:left="1440" w:hanging="360"/>
      </w:pPr>
    </w:lvl>
    <w:lvl w:ilvl="2" w:tplc="B720DA9C">
      <w:start w:val="1"/>
      <w:numFmt w:val="decimal"/>
      <w:lvlText w:val="%3."/>
      <w:lvlJc w:val="left"/>
      <w:pPr>
        <w:ind w:left="1440" w:hanging="360"/>
      </w:pPr>
    </w:lvl>
    <w:lvl w:ilvl="3" w:tplc="11DA2F88">
      <w:start w:val="1"/>
      <w:numFmt w:val="decimal"/>
      <w:lvlText w:val="%4."/>
      <w:lvlJc w:val="left"/>
      <w:pPr>
        <w:ind w:left="1440" w:hanging="360"/>
      </w:pPr>
    </w:lvl>
    <w:lvl w:ilvl="4" w:tplc="BFFCBC34">
      <w:start w:val="1"/>
      <w:numFmt w:val="decimal"/>
      <w:lvlText w:val="%5."/>
      <w:lvlJc w:val="left"/>
      <w:pPr>
        <w:ind w:left="1440" w:hanging="360"/>
      </w:pPr>
    </w:lvl>
    <w:lvl w:ilvl="5" w:tplc="8C7263DE">
      <w:start w:val="1"/>
      <w:numFmt w:val="decimal"/>
      <w:lvlText w:val="%6."/>
      <w:lvlJc w:val="left"/>
      <w:pPr>
        <w:ind w:left="1440" w:hanging="360"/>
      </w:pPr>
    </w:lvl>
    <w:lvl w:ilvl="6" w:tplc="9F7CEF96">
      <w:start w:val="1"/>
      <w:numFmt w:val="decimal"/>
      <w:lvlText w:val="%7."/>
      <w:lvlJc w:val="left"/>
      <w:pPr>
        <w:ind w:left="1440" w:hanging="360"/>
      </w:pPr>
    </w:lvl>
    <w:lvl w:ilvl="7" w:tplc="D5A0D690">
      <w:start w:val="1"/>
      <w:numFmt w:val="decimal"/>
      <w:lvlText w:val="%8."/>
      <w:lvlJc w:val="left"/>
      <w:pPr>
        <w:ind w:left="1440" w:hanging="360"/>
      </w:pPr>
    </w:lvl>
    <w:lvl w:ilvl="8" w:tplc="F9BC3F62">
      <w:start w:val="1"/>
      <w:numFmt w:val="decimal"/>
      <w:lvlText w:val="%9."/>
      <w:lvlJc w:val="left"/>
      <w:pPr>
        <w:ind w:left="1440" w:hanging="360"/>
      </w:pPr>
    </w:lvl>
  </w:abstractNum>
  <w:abstractNum w:abstractNumId="10" w15:restartNumberingAfterBreak="0">
    <w:nsid w:val="2A5B102C"/>
    <w:multiLevelType w:val="hybridMultilevel"/>
    <w:tmpl w:val="24A2A4B6"/>
    <w:lvl w:ilvl="0" w:tplc="4F7CA63A">
      <w:start w:val="1"/>
      <w:numFmt w:val="bullet"/>
      <w:lvlText w:val=""/>
      <w:lvlJc w:val="left"/>
      <w:pPr>
        <w:ind w:left="1080" w:hanging="360"/>
      </w:pPr>
      <w:rPr>
        <w:rFonts w:ascii="Symbol" w:hAnsi="Symbol"/>
      </w:rPr>
    </w:lvl>
    <w:lvl w:ilvl="1" w:tplc="89A40058">
      <w:start w:val="1"/>
      <w:numFmt w:val="bullet"/>
      <w:lvlText w:val=""/>
      <w:lvlJc w:val="left"/>
      <w:pPr>
        <w:ind w:left="1080" w:hanging="360"/>
      </w:pPr>
      <w:rPr>
        <w:rFonts w:ascii="Symbol" w:hAnsi="Symbol"/>
      </w:rPr>
    </w:lvl>
    <w:lvl w:ilvl="2" w:tplc="A6DAA442">
      <w:start w:val="1"/>
      <w:numFmt w:val="bullet"/>
      <w:lvlText w:val=""/>
      <w:lvlJc w:val="left"/>
      <w:pPr>
        <w:ind w:left="1080" w:hanging="360"/>
      </w:pPr>
      <w:rPr>
        <w:rFonts w:ascii="Symbol" w:hAnsi="Symbol"/>
      </w:rPr>
    </w:lvl>
    <w:lvl w:ilvl="3" w:tplc="FCFAB6FA">
      <w:start w:val="1"/>
      <w:numFmt w:val="bullet"/>
      <w:lvlText w:val=""/>
      <w:lvlJc w:val="left"/>
      <w:pPr>
        <w:ind w:left="1080" w:hanging="360"/>
      </w:pPr>
      <w:rPr>
        <w:rFonts w:ascii="Symbol" w:hAnsi="Symbol"/>
      </w:rPr>
    </w:lvl>
    <w:lvl w:ilvl="4" w:tplc="4D5E9B16">
      <w:start w:val="1"/>
      <w:numFmt w:val="bullet"/>
      <w:lvlText w:val=""/>
      <w:lvlJc w:val="left"/>
      <w:pPr>
        <w:ind w:left="1080" w:hanging="360"/>
      </w:pPr>
      <w:rPr>
        <w:rFonts w:ascii="Symbol" w:hAnsi="Symbol"/>
      </w:rPr>
    </w:lvl>
    <w:lvl w:ilvl="5" w:tplc="3012AC50">
      <w:start w:val="1"/>
      <w:numFmt w:val="bullet"/>
      <w:lvlText w:val=""/>
      <w:lvlJc w:val="left"/>
      <w:pPr>
        <w:ind w:left="1080" w:hanging="360"/>
      </w:pPr>
      <w:rPr>
        <w:rFonts w:ascii="Symbol" w:hAnsi="Symbol"/>
      </w:rPr>
    </w:lvl>
    <w:lvl w:ilvl="6" w:tplc="0024AED8">
      <w:start w:val="1"/>
      <w:numFmt w:val="bullet"/>
      <w:lvlText w:val=""/>
      <w:lvlJc w:val="left"/>
      <w:pPr>
        <w:ind w:left="1080" w:hanging="360"/>
      </w:pPr>
      <w:rPr>
        <w:rFonts w:ascii="Symbol" w:hAnsi="Symbol"/>
      </w:rPr>
    </w:lvl>
    <w:lvl w:ilvl="7" w:tplc="28DAA5A6">
      <w:start w:val="1"/>
      <w:numFmt w:val="bullet"/>
      <w:lvlText w:val=""/>
      <w:lvlJc w:val="left"/>
      <w:pPr>
        <w:ind w:left="1080" w:hanging="360"/>
      </w:pPr>
      <w:rPr>
        <w:rFonts w:ascii="Symbol" w:hAnsi="Symbol"/>
      </w:rPr>
    </w:lvl>
    <w:lvl w:ilvl="8" w:tplc="40B6ECEC">
      <w:start w:val="1"/>
      <w:numFmt w:val="bullet"/>
      <w:lvlText w:val=""/>
      <w:lvlJc w:val="left"/>
      <w:pPr>
        <w:ind w:left="1080" w:hanging="360"/>
      </w:pPr>
      <w:rPr>
        <w:rFonts w:ascii="Symbol" w:hAnsi="Symbol"/>
      </w:rPr>
    </w:lvl>
  </w:abstractNum>
  <w:abstractNum w:abstractNumId="11" w15:restartNumberingAfterBreak="0">
    <w:nsid w:val="2C02768F"/>
    <w:multiLevelType w:val="multilevel"/>
    <w:tmpl w:val="2C5ABCBE"/>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1A36AD4"/>
    <w:multiLevelType w:val="hybridMultilevel"/>
    <w:tmpl w:val="3FBA1C38"/>
    <w:lvl w:ilvl="0" w:tplc="052A8602">
      <w:start w:val="1"/>
      <w:numFmt w:val="bullet"/>
      <w:lvlText w:val=""/>
      <w:lvlJc w:val="left"/>
      <w:pPr>
        <w:ind w:left="1080" w:hanging="360"/>
      </w:pPr>
      <w:rPr>
        <w:rFonts w:ascii="Symbol" w:hAnsi="Symbol"/>
      </w:rPr>
    </w:lvl>
    <w:lvl w:ilvl="1" w:tplc="59EACCB4">
      <w:start w:val="1"/>
      <w:numFmt w:val="bullet"/>
      <w:lvlText w:val=""/>
      <w:lvlJc w:val="left"/>
      <w:pPr>
        <w:ind w:left="1080" w:hanging="360"/>
      </w:pPr>
      <w:rPr>
        <w:rFonts w:ascii="Symbol" w:hAnsi="Symbol"/>
      </w:rPr>
    </w:lvl>
    <w:lvl w:ilvl="2" w:tplc="CFD6B9BC">
      <w:start w:val="1"/>
      <w:numFmt w:val="bullet"/>
      <w:lvlText w:val=""/>
      <w:lvlJc w:val="left"/>
      <w:pPr>
        <w:ind w:left="1080" w:hanging="360"/>
      </w:pPr>
      <w:rPr>
        <w:rFonts w:ascii="Symbol" w:hAnsi="Symbol"/>
      </w:rPr>
    </w:lvl>
    <w:lvl w:ilvl="3" w:tplc="D7A20D5E">
      <w:start w:val="1"/>
      <w:numFmt w:val="bullet"/>
      <w:lvlText w:val=""/>
      <w:lvlJc w:val="left"/>
      <w:pPr>
        <w:ind w:left="1080" w:hanging="360"/>
      </w:pPr>
      <w:rPr>
        <w:rFonts w:ascii="Symbol" w:hAnsi="Symbol"/>
      </w:rPr>
    </w:lvl>
    <w:lvl w:ilvl="4" w:tplc="325C756E">
      <w:start w:val="1"/>
      <w:numFmt w:val="bullet"/>
      <w:lvlText w:val=""/>
      <w:lvlJc w:val="left"/>
      <w:pPr>
        <w:ind w:left="1080" w:hanging="360"/>
      </w:pPr>
      <w:rPr>
        <w:rFonts w:ascii="Symbol" w:hAnsi="Symbol"/>
      </w:rPr>
    </w:lvl>
    <w:lvl w:ilvl="5" w:tplc="5A0E54D2">
      <w:start w:val="1"/>
      <w:numFmt w:val="bullet"/>
      <w:lvlText w:val=""/>
      <w:lvlJc w:val="left"/>
      <w:pPr>
        <w:ind w:left="1080" w:hanging="360"/>
      </w:pPr>
      <w:rPr>
        <w:rFonts w:ascii="Symbol" w:hAnsi="Symbol"/>
      </w:rPr>
    </w:lvl>
    <w:lvl w:ilvl="6" w:tplc="5BBA605C">
      <w:start w:val="1"/>
      <w:numFmt w:val="bullet"/>
      <w:lvlText w:val=""/>
      <w:lvlJc w:val="left"/>
      <w:pPr>
        <w:ind w:left="1080" w:hanging="360"/>
      </w:pPr>
      <w:rPr>
        <w:rFonts w:ascii="Symbol" w:hAnsi="Symbol"/>
      </w:rPr>
    </w:lvl>
    <w:lvl w:ilvl="7" w:tplc="2E749010">
      <w:start w:val="1"/>
      <w:numFmt w:val="bullet"/>
      <w:lvlText w:val=""/>
      <w:lvlJc w:val="left"/>
      <w:pPr>
        <w:ind w:left="1080" w:hanging="360"/>
      </w:pPr>
      <w:rPr>
        <w:rFonts w:ascii="Symbol" w:hAnsi="Symbol"/>
      </w:rPr>
    </w:lvl>
    <w:lvl w:ilvl="8" w:tplc="4440A6F2">
      <w:start w:val="1"/>
      <w:numFmt w:val="bullet"/>
      <w:lvlText w:val=""/>
      <w:lvlJc w:val="left"/>
      <w:pPr>
        <w:ind w:left="1080" w:hanging="360"/>
      </w:pPr>
      <w:rPr>
        <w:rFonts w:ascii="Symbol" w:hAnsi="Symbol"/>
      </w:rPr>
    </w:lvl>
  </w:abstractNum>
  <w:abstractNum w:abstractNumId="13" w15:restartNumberingAfterBreak="0">
    <w:nsid w:val="34CF213B"/>
    <w:multiLevelType w:val="hybridMultilevel"/>
    <w:tmpl w:val="06B0C8A4"/>
    <w:lvl w:ilvl="0" w:tplc="F21A6E14">
      <w:start w:val="1"/>
      <w:numFmt w:val="bullet"/>
      <w:lvlText w:val=""/>
      <w:lvlJc w:val="left"/>
      <w:pPr>
        <w:ind w:left="1080" w:hanging="360"/>
      </w:pPr>
      <w:rPr>
        <w:rFonts w:ascii="Symbol" w:hAnsi="Symbol"/>
      </w:rPr>
    </w:lvl>
    <w:lvl w:ilvl="1" w:tplc="895E4582">
      <w:start w:val="1"/>
      <w:numFmt w:val="bullet"/>
      <w:lvlText w:val=""/>
      <w:lvlJc w:val="left"/>
      <w:pPr>
        <w:ind w:left="1080" w:hanging="360"/>
      </w:pPr>
      <w:rPr>
        <w:rFonts w:ascii="Symbol" w:hAnsi="Symbol"/>
      </w:rPr>
    </w:lvl>
    <w:lvl w:ilvl="2" w:tplc="FCC0E70A">
      <w:start w:val="1"/>
      <w:numFmt w:val="bullet"/>
      <w:lvlText w:val=""/>
      <w:lvlJc w:val="left"/>
      <w:pPr>
        <w:ind w:left="1080" w:hanging="360"/>
      </w:pPr>
      <w:rPr>
        <w:rFonts w:ascii="Symbol" w:hAnsi="Symbol"/>
      </w:rPr>
    </w:lvl>
    <w:lvl w:ilvl="3" w:tplc="2556D55C">
      <w:start w:val="1"/>
      <w:numFmt w:val="bullet"/>
      <w:lvlText w:val=""/>
      <w:lvlJc w:val="left"/>
      <w:pPr>
        <w:ind w:left="1080" w:hanging="360"/>
      </w:pPr>
      <w:rPr>
        <w:rFonts w:ascii="Symbol" w:hAnsi="Symbol"/>
      </w:rPr>
    </w:lvl>
    <w:lvl w:ilvl="4" w:tplc="DBCE0A2A">
      <w:start w:val="1"/>
      <w:numFmt w:val="bullet"/>
      <w:lvlText w:val=""/>
      <w:lvlJc w:val="left"/>
      <w:pPr>
        <w:ind w:left="1080" w:hanging="360"/>
      </w:pPr>
      <w:rPr>
        <w:rFonts w:ascii="Symbol" w:hAnsi="Symbol"/>
      </w:rPr>
    </w:lvl>
    <w:lvl w:ilvl="5" w:tplc="352A00CC">
      <w:start w:val="1"/>
      <w:numFmt w:val="bullet"/>
      <w:lvlText w:val=""/>
      <w:lvlJc w:val="left"/>
      <w:pPr>
        <w:ind w:left="1080" w:hanging="360"/>
      </w:pPr>
      <w:rPr>
        <w:rFonts w:ascii="Symbol" w:hAnsi="Symbol"/>
      </w:rPr>
    </w:lvl>
    <w:lvl w:ilvl="6" w:tplc="E80A5372">
      <w:start w:val="1"/>
      <w:numFmt w:val="bullet"/>
      <w:lvlText w:val=""/>
      <w:lvlJc w:val="left"/>
      <w:pPr>
        <w:ind w:left="1080" w:hanging="360"/>
      </w:pPr>
      <w:rPr>
        <w:rFonts w:ascii="Symbol" w:hAnsi="Symbol"/>
      </w:rPr>
    </w:lvl>
    <w:lvl w:ilvl="7" w:tplc="9752AD16">
      <w:start w:val="1"/>
      <w:numFmt w:val="bullet"/>
      <w:lvlText w:val=""/>
      <w:lvlJc w:val="left"/>
      <w:pPr>
        <w:ind w:left="1080" w:hanging="360"/>
      </w:pPr>
      <w:rPr>
        <w:rFonts w:ascii="Symbol" w:hAnsi="Symbol"/>
      </w:rPr>
    </w:lvl>
    <w:lvl w:ilvl="8" w:tplc="9C4A383C">
      <w:start w:val="1"/>
      <w:numFmt w:val="bullet"/>
      <w:lvlText w:val=""/>
      <w:lvlJc w:val="left"/>
      <w:pPr>
        <w:ind w:left="1080" w:hanging="360"/>
      </w:pPr>
      <w:rPr>
        <w:rFonts w:ascii="Symbol" w:hAnsi="Symbol"/>
      </w:rPr>
    </w:lvl>
  </w:abstractNum>
  <w:abstractNum w:abstractNumId="14" w15:restartNumberingAfterBreak="0">
    <w:nsid w:val="434E52A5"/>
    <w:multiLevelType w:val="hybridMultilevel"/>
    <w:tmpl w:val="3FB0C1E8"/>
    <w:lvl w:ilvl="0" w:tplc="249E16F8">
      <w:start w:val="1"/>
      <w:numFmt w:val="decimal"/>
      <w:lvlText w:val="(%1)"/>
      <w:lvlJc w:val="left"/>
      <w:pPr>
        <w:ind w:left="1440" w:hanging="360"/>
      </w:pPr>
    </w:lvl>
    <w:lvl w:ilvl="1" w:tplc="862856AC">
      <w:start w:val="1"/>
      <w:numFmt w:val="bullet"/>
      <w:lvlText w:val=""/>
      <w:lvlJc w:val="left"/>
      <w:pPr>
        <w:ind w:left="1800" w:hanging="360"/>
      </w:pPr>
      <w:rPr>
        <w:rFonts w:ascii="Symbol" w:hAnsi="Symbol"/>
      </w:rPr>
    </w:lvl>
    <w:lvl w:ilvl="2" w:tplc="4B28CB62">
      <w:start w:val="1"/>
      <w:numFmt w:val="decimal"/>
      <w:lvlText w:val="(%3)"/>
      <w:lvlJc w:val="left"/>
      <w:pPr>
        <w:ind w:left="1440" w:hanging="360"/>
      </w:pPr>
    </w:lvl>
    <w:lvl w:ilvl="3" w:tplc="ED16EFDE">
      <w:start w:val="1"/>
      <w:numFmt w:val="decimal"/>
      <w:lvlText w:val="(%4)"/>
      <w:lvlJc w:val="left"/>
      <w:pPr>
        <w:ind w:left="1440" w:hanging="360"/>
      </w:pPr>
    </w:lvl>
    <w:lvl w:ilvl="4" w:tplc="BF9A222C">
      <w:start w:val="1"/>
      <w:numFmt w:val="decimal"/>
      <w:lvlText w:val="(%5)"/>
      <w:lvlJc w:val="left"/>
      <w:pPr>
        <w:ind w:left="1440" w:hanging="360"/>
      </w:pPr>
    </w:lvl>
    <w:lvl w:ilvl="5" w:tplc="65587FA2">
      <w:start w:val="1"/>
      <w:numFmt w:val="decimal"/>
      <w:lvlText w:val="(%6)"/>
      <w:lvlJc w:val="left"/>
      <w:pPr>
        <w:ind w:left="1440" w:hanging="360"/>
      </w:pPr>
    </w:lvl>
    <w:lvl w:ilvl="6" w:tplc="CE784886">
      <w:start w:val="1"/>
      <w:numFmt w:val="decimal"/>
      <w:lvlText w:val="(%7)"/>
      <w:lvlJc w:val="left"/>
      <w:pPr>
        <w:ind w:left="1440" w:hanging="360"/>
      </w:pPr>
    </w:lvl>
    <w:lvl w:ilvl="7" w:tplc="CF184CC6">
      <w:start w:val="1"/>
      <w:numFmt w:val="decimal"/>
      <w:lvlText w:val="(%8)"/>
      <w:lvlJc w:val="left"/>
      <w:pPr>
        <w:ind w:left="1440" w:hanging="360"/>
      </w:pPr>
    </w:lvl>
    <w:lvl w:ilvl="8" w:tplc="C638EB64">
      <w:start w:val="1"/>
      <w:numFmt w:val="decimal"/>
      <w:lvlText w:val="(%9)"/>
      <w:lvlJc w:val="left"/>
      <w:pPr>
        <w:ind w:left="1440" w:hanging="360"/>
      </w:pPr>
    </w:lvl>
  </w:abstractNum>
  <w:abstractNum w:abstractNumId="15" w15:restartNumberingAfterBreak="0">
    <w:nsid w:val="438463FF"/>
    <w:multiLevelType w:val="hybridMultilevel"/>
    <w:tmpl w:val="FE7A414E"/>
    <w:lvl w:ilvl="0" w:tplc="DC18FF76">
      <w:start w:val="1"/>
      <w:numFmt w:val="decimal"/>
      <w:lvlText w:val="(%1)"/>
      <w:lvlJc w:val="left"/>
      <w:pPr>
        <w:ind w:left="1440" w:hanging="360"/>
      </w:pPr>
    </w:lvl>
    <w:lvl w:ilvl="1" w:tplc="9D1A67B2">
      <w:start w:val="1"/>
      <w:numFmt w:val="bullet"/>
      <w:lvlText w:val=""/>
      <w:lvlJc w:val="left"/>
      <w:pPr>
        <w:ind w:left="1800" w:hanging="360"/>
      </w:pPr>
      <w:rPr>
        <w:rFonts w:ascii="Symbol" w:hAnsi="Symbol"/>
      </w:rPr>
    </w:lvl>
    <w:lvl w:ilvl="2" w:tplc="276815D0">
      <w:start w:val="1"/>
      <w:numFmt w:val="decimal"/>
      <w:lvlText w:val="(%3)"/>
      <w:lvlJc w:val="left"/>
      <w:pPr>
        <w:ind w:left="1440" w:hanging="360"/>
      </w:pPr>
    </w:lvl>
    <w:lvl w:ilvl="3" w:tplc="25B62586">
      <w:start w:val="1"/>
      <w:numFmt w:val="decimal"/>
      <w:lvlText w:val="(%4)"/>
      <w:lvlJc w:val="left"/>
      <w:pPr>
        <w:ind w:left="1440" w:hanging="360"/>
      </w:pPr>
    </w:lvl>
    <w:lvl w:ilvl="4" w:tplc="F7B47B9A">
      <w:start w:val="1"/>
      <w:numFmt w:val="decimal"/>
      <w:lvlText w:val="(%5)"/>
      <w:lvlJc w:val="left"/>
      <w:pPr>
        <w:ind w:left="1440" w:hanging="360"/>
      </w:pPr>
    </w:lvl>
    <w:lvl w:ilvl="5" w:tplc="430807E6">
      <w:start w:val="1"/>
      <w:numFmt w:val="decimal"/>
      <w:lvlText w:val="(%6)"/>
      <w:lvlJc w:val="left"/>
      <w:pPr>
        <w:ind w:left="1440" w:hanging="360"/>
      </w:pPr>
    </w:lvl>
    <w:lvl w:ilvl="6" w:tplc="51349A3C">
      <w:start w:val="1"/>
      <w:numFmt w:val="decimal"/>
      <w:lvlText w:val="(%7)"/>
      <w:lvlJc w:val="left"/>
      <w:pPr>
        <w:ind w:left="1440" w:hanging="360"/>
      </w:pPr>
    </w:lvl>
    <w:lvl w:ilvl="7" w:tplc="6286231E">
      <w:start w:val="1"/>
      <w:numFmt w:val="decimal"/>
      <w:lvlText w:val="(%8)"/>
      <w:lvlJc w:val="left"/>
      <w:pPr>
        <w:ind w:left="1440" w:hanging="360"/>
      </w:pPr>
    </w:lvl>
    <w:lvl w:ilvl="8" w:tplc="915A9408">
      <w:start w:val="1"/>
      <w:numFmt w:val="decimal"/>
      <w:lvlText w:val="(%9)"/>
      <w:lvlJc w:val="left"/>
      <w:pPr>
        <w:ind w:left="1440" w:hanging="360"/>
      </w:pPr>
    </w:lvl>
  </w:abstractNum>
  <w:abstractNum w:abstractNumId="16" w15:restartNumberingAfterBreak="0">
    <w:nsid w:val="4A752224"/>
    <w:multiLevelType w:val="hybridMultilevel"/>
    <w:tmpl w:val="C8FCF32E"/>
    <w:lvl w:ilvl="0" w:tplc="B54A475A">
      <w:start w:val="1"/>
      <w:numFmt w:val="decimal"/>
      <w:lvlText w:val="%1."/>
      <w:lvlJc w:val="left"/>
      <w:pPr>
        <w:ind w:left="1440" w:hanging="360"/>
      </w:pPr>
    </w:lvl>
    <w:lvl w:ilvl="1" w:tplc="D8EC84FC">
      <w:start w:val="1"/>
      <w:numFmt w:val="decimal"/>
      <w:lvlText w:val="%2."/>
      <w:lvlJc w:val="left"/>
      <w:pPr>
        <w:ind w:left="1440" w:hanging="360"/>
      </w:pPr>
    </w:lvl>
    <w:lvl w:ilvl="2" w:tplc="60F62DC0">
      <w:start w:val="1"/>
      <w:numFmt w:val="decimal"/>
      <w:lvlText w:val="%3."/>
      <w:lvlJc w:val="left"/>
      <w:pPr>
        <w:ind w:left="1440" w:hanging="360"/>
      </w:pPr>
    </w:lvl>
    <w:lvl w:ilvl="3" w:tplc="96E43190">
      <w:start w:val="1"/>
      <w:numFmt w:val="decimal"/>
      <w:lvlText w:val="%4."/>
      <w:lvlJc w:val="left"/>
      <w:pPr>
        <w:ind w:left="1440" w:hanging="360"/>
      </w:pPr>
    </w:lvl>
    <w:lvl w:ilvl="4" w:tplc="DDA49D30">
      <w:start w:val="1"/>
      <w:numFmt w:val="decimal"/>
      <w:lvlText w:val="%5."/>
      <w:lvlJc w:val="left"/>
      <w:pPr>
        <w:ind w:left="1440" w:hanging="360"/>
      </w:pPr>
    </w:lvl>
    <w:lvl w:ilvl="5" w:tplc="D25A78CE">
      <w:start w:val="1"/>
      <w:numFmt w:val="decimal"/>
      <w:lvlText w:val="%6."/>
      <w:lvlJc w:val="left"/>
      <w:pPr>
        <w:ind w:left="1440" w:hanging="360"/>
      </w:pPr>
    </w:lvl>
    <w:lvl w:ilvl="6" w:tplc="EF0C4A9A">
      <w:start w:val="1"/>
      <w:numFmt w:val="decimal"/>
      <w:lvlText w:val="%7."/>
      <w:lvlJc w:val="left"/>
      <w:pPr>
        <w:ind w:left="1440" w:hanging="360"/>
      </w:pPr>
    </w:lvl>
    <w:lvl w:ilvl="7" w:tplc="6DAA6A74">
      <w:start w:val="1"/>
      <w:numFmt w:val="decimal"/>
      <w:lvlText w:val="%8."/>
      <w:lvlJc w:val="left"/>
      <w:pPr>
        <w:ind w:left="1440" w:hanging="360"/>
      </w:pPr>
    </w:lvl>
    <w:lvl w:ilvl="8" w:tplc="7804CF00">
      <w:start w:val="1"/>
      <w:numFmt w:val="decimal"/>
      <w:lvlText w:val="%9."/>
      <w:lvlJc w:val="left"/>
      <w:pPr>
        <w:ind w:left="1440" w:hanging="360"/>
      </w:pPr>
    </w:lvl>
  </w:abstractNum>
  <w:abstractNum w:abstractNumId="17" w15:restartNumberingAfterBreak="0">
    <w:nsid w:val="51154CE4"/>
    <w:multiLevelType w:val="hybridMultilevel"/>
    <w:tmpl w:val="721C0796"/>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55944D12"/>
    <w:multiLevelType w:val="hybridMultilevel"/>
    <w:tmpl w:val="F8A80816"/>
    <w:lvl w:ilvl="0" w:tplc="8110D41E">
      <w:start w:val="1"/>
      <w:numFmt w:val="decimal"/>
      <w:lvlText w:val="(%1)"/>
      <w:lvlJc w:val="left"/>
      <w:pPr>
        <w:ind w:left="1440" w:hanging="360"/>
      </w:pPr>
    </w:lvl>
    <w:lvl w:ilvl="1" w:tplc="1010B964">
      <w:start w:val="1"/>
      <w:numFmt w:val="decimal"/>
      <w:lvlText w:val="(%2)"/>
      <w:lvlJc w:val="left"/>
      <w:pPr>
        <w:ind w:left="1440" w:hanging="360"/>
      </w:pPr>
    </w:lvl>
    <w:lvl w:ilvl="2" w:tplc="BDF8706A">
      <w:start w:val="1"/>
      <w:numFmt w:val="decimal"/>
      <w:lvlText w:val="(%3)"/>
      <w:lvlJc w:val="left"/>
      <w:pPr>
        <w:ind w:left="1440" w:hanging="360"/>
      </w:pPr>
    </w:lvl>
    <w:lvl w:ilvl="3" w:tplc="10C81306">
      <w:start w:val="1"/>
      <w:numFmt w:val="decimal"/>
      <w:lvlText w:val="(%4)"/>
      <w:lvlJc w:val="left"/>
      <w:pPr>
        <w:ind w:left="1440" w:hanging="360"/>
      </w:pPr>
    </w:lvl>
    <w:lvl w:ilvl="4" w:tplc="361428C6">
      <w:start w:val="1"/>
      <w:numFmt w:val="decimal"/>
      <w:lvlText w:val="(%5)"/>
      <w:lvlJc w:val="left"/>
      <w:pPr>
        <w:ind w:left="1440" w:hanging="360"/>
      </w:pPr>
    </w:lvl>
    <w:lvl w:ilvl="5" w:tplc="7EBED07E">
      <w:start w:val="1"/>
      <w:numFmt w:val="decimal"/>
      <w:lvlText w:val="(%6)"/>
      <w:lvlJc w:val="left"/>
      <w:pPr>
        <w:ind w:left="1440" w:hanging="360"/>
      </w:pPr>
    </w:lvl>
    <w:lvl w:ilvl="6" w:tplc="29D2BD88">
      <w:start w:val="1"/>
      <w:numFmt w:val="decimal"/>
      <w:lvlText w:val="(%7)"/>
      <w:lvlJc w:val="left"/>
      <w:pPr>
        <w:ind w:left="1440" w:hanging="360"/>
      </w:pPr>
    </w:lvl>
    <w:lvl w:ilvl="7" w:tplc="C1C0571E">
      <w:start w:val="1"/>
      <w:numFmt w:val="decimal"/>
      <w:lvlText w:val="(%8)"/>
      <w:lvlJc w:val="left"/>
      <w:pPr>
        <w:ind w:left="1440" w:hanging="360"/>
      </w:pPr>
    </w:lvl>
    <w:lvl w:ilvl="8" w:tplc="B562F54A">
      <w:start w:val="1"/>
      <w:numFmt w:val="decimal"/>
      <w:lvlText w:val="(%9)"/>
      <w:lvlJc w:val="left"/>
      <w:pPr>
        <w:ind w:left="1440" w:hanging="360"/>
      </w:pPr>
    </w:lvl>
  </w:abstractNum>
  <w:abstractNum w:abstractNumId="19" w15:restartNumberingAfterBreak="0">
    <w:nsid w:val="592B01E7"/>
    <w:multiLevelType w:val="multilevel"/>
    <w:tmpl w:val="835A9BE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12E757D"/>
    <w:multiLevelType w:val="hybridMultilevel"/>
    <w:tmpl w:val="12709016"/>
    <w:lvl w:ilvl="0" w:tplc="42E853EC">
      <w:start w:val="1"/>
      <w:numFmt w:val="decimal"/>
      <w:lvlText w:val="%1."/>
      <w:lvlJc w:val="left"/>
      <w:pPr>
        <w:ind w:left="1440" w:hanging="360"/>
      </w:pPr>
    </w:lvl>
    <w:lvl w:ilvl="1" w:tplc="04F6C0E4">
      <w:start w:val="1"/>
      <w:numFmt w:val="decimal"/>
      <w:lvlText w:val="%2."/>
      <w:lvlJc w:val="left"/>
      <w:pPr>
        <w:ind w:left="1440" w:hanging="360"/>
      </w:pPr>
    </w:lvl>
    <w:lvl w:ilvl="2" w:tplc="A38836CA">
      <w:start w:val="1"/>
      <w:numFmt w:val="decimal"/>
      <w:lvlText w:val="%3."/>
      <w:lvlJc w:val="left"/>
      <w:pPr>
        <w:ind w:left="1440" w:hanging="360"/>
      </w:pPr>
    </w:lvl>
    <w:lvl w:ilvl="3" w:tplc="2E0E3A16">
      <w:start w:val="1"/>
      <w:numFmt w:val="decimal"/>
      <w:lvlText w:val="%4."/>
      <w:lvlJc w:val="left"/>
      <w:pPr>
        <w:ind w:left="1440" w:hanging="360"/>
      </w:pPr>
    </w:lvl>
    <w:lvl w:ilvl="4" w:tplc="EA8E0BF6">
      <w:start w:val="1"/>
      <w:numFmt w:val="decimal"/>
      <w:lvlText w:val="%5."/>
      <w:lvlJc w:val="left"/>
      <w:pPr>
        <w:ind w:left="1440" w:hanging="360"/>
      </w:pPr>
    </w:lvl>
    <w:lvl w:ilvl="5" w:tplc="54FEF06C">
      <w:start w:val="1"/>
      <w:numFmt w:val="decimal"/>
      <w:lvlText w:val="%6."/>
      <w:lvlJc w:val="left"/>
      <w:pPr>
        <w:ind w:left="1440" w:hanging="360"/>
      </w:pPr>
    </w:lvl>
    <w:lvl w:ilvl="6" w:tplc="0142ADC4">
      <w:start w:val="1"/>
      <w:numFmt w:val="decimal"/>
      <w:lvlText w:val="%7."/>
      <w:lvlJc w:val="left"/>
      <w:pPr>
        <w:ind w:left="1440" w:hanging="360"/>
      </w:pPr>
    </w:lvl>
    <w:lvl w:ilvl="7" w:tplc="A6940888">
      <w:start w:val="1"/>
      <w:numFmt w:val="decimal"/>
      <w:lvlText w:val="%8."/>
      <w:lvlJc w:val="left"/>
      <w:pPr>
        <w:ind w:left="1440" w:hanging="360"/>
      </w:pPr>
    </w:lvl>
    <w:lvl w:ilvl="8" w:tplc="B82E5278">
      <w:start w:val="1"/>
      <w:numFmt w:val="decimal"/>
      <w:lvlText w:val="%9."/>
      <w:lvlJc w:val="left"/>
      <w:pPr>
        <w:ind w:left="1440" w:hanging="360"/>
      </w:pPr>
    </w:lvl>
  </w:abstractNum>
  <w:abstractNum w:abstractNumId="21" w15:restartNumberingAfterBreak="0">
    <w:nsid w:val="63115584"/>
    <w:multiLevelType w:val="hybridMultilevel"/>
    <w:tmpl w:val="CC80DD5E"/>
    <w:lvl w:ilvl="0" w:tplc="19960264">
      <w:start w:val="1"/>
      <w:numFmt w:val="bullet"/>
      <w:lvlText w:val=""/>
      <w:lvlJc w:val="left"/>
      <w:pPr>
        <w:ind w:left="1080" w:hanging="360"/>
      </w:pPr>
      <w:rPr>
        <w:rFonts w:ascii="Symbol" w:hAnsi="Symbol"/>
      </w:rPr>
    </w:lvl>
    <w:lvl w:ilvl="1" w:tplc="081C7A0C">
      <w:start w:val="1"/>
      <w:numFmt w:val="bullet"/>
      <w:lvlText w:val=""/>
      <w:lvlJc w:val="left"/>
      <w:pPr>
        <w:ind w:left="1080" w:hanging="360"/>
      </w:pPr>
      <w:rPr>
        <w:rFonts w:ascii="Symbol" w:hAnsi="Symbol"/>
      </w:rPr>
    </w:lvl>
    <w:lvl w:ilvl="2" w:tplc="BBC4F288">
      <w:start w:val="1"/>
      <w:numFmt w:val="bullet"/>
      <w:lvlText w:val=""/>
      <w:lvlJc w:val="left"/>
      <w:pPr>
        <w:ind w:left="1080" w:hanging="360"/>
      </w:pPr>
      <w:rPr>
        <w:rFonts w:ascii="Symbol" w:hAnsi="Symbol"/>
      </w:rPr>
    </w:lvl>
    <w:lvl w:ilvl="3" w:tplc="D270CD10">
      <w:start w:val="1"/>
      <w:numFmt w:val="bullet"/>
      <w:lvlText w:val=""/>
      <w:lvlJc w:val="left"/>
      <w:pPr>
        <w:ind w:left="1080" w:hanging="360"/>
      </w:pPr>
      <w:rPr>
        <w:rFonts w:ascii="Symbol" w:hAnsi="Symbol"/>
      </w:rPr>
    </w:lvl>
    <w:lvl w:ilvl="4" w:tplc="95963C58">
      <w:start w:val="1"/>
      <w:numFmt w:val="bullet"/>
      <w:lvlText w:val=""/>
      <w:lvlJc w:val="left"/>
      <w:pPr>
        <w:ind w:left="1080" w:hanging="360"/>
      </w:pPr>
      <w:rPr>
        <w:rFonts w:ascii="Symbol" w:hAnsi="Symbol"/>
      </w:rPr>
    </w:lvl>
    <w:lvl w:ilvl="5" w:tplc="8DA2F38E">
      <w:start w:val="1"/>
      <w:numFmt w:val="bullet"/>
      <w:lvlText w:val=""/>
      <w:lvlJc w:val="left"/>
      <w:pPr>
        <w:ind w:left="1080" w:hanging="360"/>
      </w:pPr>
      <w:rPr>
        <w:rFonts w:ascii="Symbol" w:hAnsi="Symbol"/>
      </w:rPr>
    </w:lvl>
    <w:lvl w:ilvl="6" w:tplc="32ECF076">
      <w:start w:val="1"/>
      <w:numFmt w:val="bullet"/>
      <w:lvlText w:val=""/>
      <w:lvlJc w:val="left"/>
      <w:pPr>
        <w:ind w:left="1080" w:hanging="360"/>
      </w:pPr>
      <w:rPr>
        <w:rFonts w:ascii="Symbol" w:hAnsi="Symbol"/>
      </w:rPr>
    </w:lvl>
    <w:lvl w:ilvl="7" w:tplc="792062E6">
      <w:start w:val="1"/>
      <w:numFmt w:val="bullet"/>
      <w:lvlText w:val=""/>
      <w:lvlJc w:val="left"/>
      <w:pPr>
        <w:ind w:left="1080" w:hanging="360"/>
      </w:pPr>
      <w:rPr>
        <w:rFonts w:ascii="Symbol" w:hAnsi="Symbol"/>
      </w:rPr>
    </w:lvl>
    <w:lvl w:ilvl="8" w:tplc="97D40A24">
      <w:start w:val="1"/>
      <w:numFmt w:val="bullet"/>
      <w:lvlText w:val=""/>
      <w:lvlJc w:val="left"/>
      <w:pPr>
        <w:ind w:left="1080" w:hanging="360"/>
      </w:pPr>
      <w:rPr>
        <w:rFonts w:ascii="Symbol" w:hAnsi="Symbol"/>
      </w:rPr>
    </w:lvl>
  </w:abstractNum>
  <w:abstractNum w:abstractNumId="22" w15:restartNumberingAfterBreak="0">
    <w:nsid w:val="642242F0"/>
    <w:multiLevelType w:val="hybridMultilevel"/>
    <w:tmpl w:val="F754EF74"/>
    <w:lvl w:ilvl="0" w:tplc="2BE2E454">
      <w:start w:val="2"/>
      <w:numFmt w:val="bullet"/>
      <w:lvlText w:val=""/>
      <w:lvlJc w:val="left"/>
      <w:pPr>
        <w:ind w:left="720" w:hanging="360"/>
      </w:pPr>
      <w:rPr>
        <w:rFonts w:ascii="Wingdings" w:eastAsia="Calibri" w:hAnsi="Wingdings" w:cstheme="maj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B4F1101"/>
    <w:multiLevelType w:val="multilevel"/>
    <w:tmpl w:val="21168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08660E"/>
    <w:multiLevelType w:val="multilevel"/>
    <w:tmpl w:val="2892B55E"/>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1993A24"/>
    <w:multiLevelType w:val="hybridMultilevel"/>
    <w:tmpl w:val="53EC08A0"/>
    <w:lvl w:ilvl="0" w:tplc="1D409A94">
      <w:start w:val="1"/>
      <w:numFmt w:val="bullet"/>
      <w:lvlText w:val=""/>
      <w:lvlJc w:val="left"/>
      <w:pPr>
        <w:ind w:left="1080" w:hanging="360"/>
      </w:pPr>
      <w:rPr>
        <w:rFonts w:ascii="Symbol" w:hAnsi="Symbol"/>
      </w:rPr>
    </w:lvl>
    <w:lvl w:ilvl="1" w:tplc="C9EE6C90">
      <w:start w:val="1"/>
      <w:numFmt w:val="bullet"/>
      <w:lvlText w:val=""/>
      <w:lvlJc w:val="left"/>
      <w:pPr>
        <w:ind w:left="1080" w:hanging="360"/>
      </w:pPr>
      <w:rPr>
        <w:rFonts w:ascii="Symbol" w:hAnsi="Symbol"/>
      </w:rPr>
    </w:lvl>
    <w:lvl w:ilvl="2" w:tplc="61AA3880">
      <w:start w:val="1"/>
      <w:numFmt w:val="bullet"/>
      <w:lvlText w:val=""/>
      <w:lvlJc w:val="left"/>
      <w:pPr>
        <w:ind w:left="1080" w:hanging="360"/>
      </w:pPr>
      <w:rPr>
        <w:rFonts w:ascii="Symbol" w:hAnsi="Symbol"/>
      </w:rPr>
    </w:lvl>
    <w:lvl w:ilvl="3" w:tplc="0C149A0E">
      <w:start w:val="1"/>
      <w:numFmt w:val="bullet"/>
      <w:lvlText w:val=""/>
      <w:lvlJc w:val="left"/>
      <w:pPr>
        <w:ind w:left="1080" w:hanging="360"/>
      </w:pPr>
      <w:rPr>
        <w:rFonts w:ascii="Symbol" w:hAnsi="Symbol"/>
      </w:rPr>
    </w:lvl>
    <w:lvl w:ilvl="4" w:tplc="AA0E636C">
      <w:start w:val="1"/>
      <w:numFmt w:val="bullet"/>
      <w:lvlText w:val=""/>
      <w:lvlJc w:val="left"/>
      <w:pPr>
        <w:ind w:left="1080" w:hanging="360"/>
      </w:pPr>
      <w:rPr>
        <w:rFonts w:ascii="Symbol" w:hAnsi="Symbol"/>
      </w:rPr>
    </w:lvl>
    <w:lvl w:ilvl="5" w:tplc="A7585BC6">
      <w:start w:val="1"/>
      <w:numFmt w:val="bullet"/>
      <w:lvlText w:val=""/>
      <w:lvlJc w:val="left"/>
      <w:pPr>
        <w:ind w:left="1080" w:hanging="360"/>
      </w:pPr>
      <w:rPr>
        <w:rFonts w:ascii="Symbol" w:hAnsi="Symbol"/>
      </w:rPr>
    </w:lvl>
    <w:lvl w:ilvl="6" w:tplc="2300F856">
      <w:start w:val="1"/>
      <w:numFmt w:val="bullet"/>
      <w:lvlText w:val=""/>
      <w:lvlJc w:val="left"/>
      <w:pPr>
        <w:ind w:left="1080" w:hanging="360"/>
      </w:pPr>
      <w:rPr>
        <w:rFonts w:ascii="Symbol" w:hAnsi="Symbol"/>
      </w:rPr>
    </w:lvl>
    <w:lvl w:ilvl="7" w:tplc="AF76D1AE">
      <w:start w:val="1"/>
      <w:numFmt w:val="bullet"/>
      <w:lvlText w:val=""/>
      <w:lvlJc w:val="left"/>
      <w:pPr>
        <w:ind w:left="1080" w:hanging="360"/>
      </w:pPr>
      <w:rPr>
        <w:rFonts w:ascii="Symbol" w:hAnsi="Symbol"/>
      </w:rPr>
    </w:lvl>
    <w:lvl w:ilvl="8" w:tplc="9E14CF18">
      <w:start w:val="1"/>
      <w:numFmt w:val="bullet"/>
      <w:lvlText w:val=""/>
      <w:lvlJc w:val="left"/>
      <w:pPr>
        <w:ind w:left="1080" w:hanging="360"/>
      </w:pPr>
      <w:rPr>
        <w:rFonts w:ascii="Symbol" w:hAnsi="Symbol"/>
      </w:rPr>
    </w:lvl>
  </w:abstractNum>
  <w:abstractNum w:abstractNumId="26" w15:restartNumberingAfterBreak="0">
    <w:nsid w:val="772A5A58"/>
    <w:multiLevelType w:val="hybridMultilevel"/>
    <w:tmpl w:val="62E8D736"/>
    <w:lvl w:ilvl="0" w:tplc="BB229B0A">
      <w:start w:val="1"/>
      <w:numFmt w:val="decimal"/>
      <w:lvlText w:val="%1."/>
      <w:lvlJc w:val="left"/>
      <w:pPr>
        <w:ind w:left="1440" w:hanging="360"/>
      </w:pPr>
    </w:lvl>
    <w:lvl w:ilvl="1" w:tplc="3CFC0AA8">
      <w:start w:val="1"/>
      <w:numFmt w:val="decimal"/>
      <w:lvlText w:val="%2."/>
      <w:lvlJc w:val="left"/>
      <w:pPr>
        <w:ind w:left="1440" w:hanging="360"/>
      </w:pPr>
    </w:lvl>
    <w:lvl w:ilvl="2" w:tplc="402406D0">
      <w:start w:val="1"/>
      <w:numFmt w:val="decimal"/>
      <w:lvlText w:val="%3."/>
      <w:lvlJc w:val="left"/>
      <w:pPr>
        <w:ind w:left="1440" w:hanging="360"/>
      </w:pPr>
    </w:lvl>
    <w:lvl w:ilvl="3" w:tplc="CE146D2C">
      <w:start w:val="1"/>
      <w:numFmt w:val="decimal"/>
      <w:lvlText w:val="%4."/>
      <w:lvlJc w:val="left"/>
      <w:pPr>
        <w:ind w:left="1440" w:hanging="360"/>
      </w:pPr>
    </w:lvl>
    <w:lvl w:ilvl="4" w:tplc="A54E2274">
      <w:start w:val="1"/>
      <w:numFmt w:val="decimal"/>
      <w:lvlText w:val="%5."/>
      <w:lvlJc w:val="left"/>
      <w:pPr>
        <w:ind w:left="1440" w:hanging="360"/>
      </w:pPr>
    </w:lvl>
    <w:lvl w:ilvl="5" w:tplc="0366BA32">
      <w:start w:val="1"/>
      <w:numFmt w:val="decimal"/>
      <w:lvlText w:val="%6."/>
      <w:lvlJc w:val="left"/>
      <w:pPr>
        <w:ind w:left="1440" w:hanging="360"/>
      </w:pPr>
    </w:lvl>
    <w:lvl w:ilvl="6" w:tplc="B100DECC">
      <w:start w:val="1"/>
      <w:numFmt w:val="decimal"/>
      <w:lvlText w:val="%7."/>
      <w:lvlJc w:val="left"/>
      <w:pPr>
        <w:ind w:left="1440" w:hanging="360"/>
      </w:pPr>
    </w:lvl>
    <w:lvl w:ilvl="7" w:tplc="F1EC6EEC">
      <w:start w:val="1"/>
      <w:numFmt w:val="decimal"/>
      <w:lvlText w:val="%8."/>
      <w:lvlJc w:val="left"/>
      <w:pPr>
        <w:ind w:left="1440" w:hanging="360"/>
      </w:pPr>
    </w:lvl>
    <w:lvl w:ilvl="8" w:tplc="C7521074">
      <w:start w:val="1"/>
      <w:numFmt w:val="decimal"/>
      <w:lvlText w:val="%9."/>
      <w:lvlJc w:val="left"/>
      <w:pPr>
        <w:ind w:left="1440" w:hanging="360"/>
      </w:pPr>
    </w:lvl>
  </w:abstractNum>
  <w:abstractNum w:abstractNumId="27" w15:restartNumberingAfterBreak="0">
    <w:nsid w:val="77D62BEF"/>
    <w:multiLevelType w:val="hybridMultilevel"/>
    <w:tmpl w:val="3C760F54"/>
    <w:lvl w:ilvl="0" w:tplc="60DC67AC">
      <w:start w:val="1"/>
      <w:numFmt w:val="bullet"/>
      <w:lvlText w:val=""/>
      <w:lvlJc w:val="left"/>
      <w:pPr>
        <w:ind w:left="1080" w:hanging="360"/>
      </w:pPr>
      <w:rPr>
        <w:rFonts w:ascii="Symbol" w:hAnsi="Symbol"/>
      </w:rPr>
    </w:lvl>
    <w:lvl w:ilvl="1" w:tplc="8CE0D1B6">
      <w:start w:val="1"/>
      <w:numFmt w:val="bullet"/>
      <w:lvlText w:val=""/>
      <w:lvlJc w:val="left"/>
      <w:pPr>
        <w:ind w:left="1080" w:hanging="360"/>
      </w:pPr>
      <w:rPr>
        <w:rFonts w:ascii="Symbol" w:hAnsi="Symbol"/>
      </w:rPr>
    </w:lvl>
    <w:lvl w:ilvl="2" w:tplc="C136E302">
      <w:start w:val="1"/>
      <w:numFmt w:val="bullet"/>
      <w:lvlText w:val=""/>
      <w:lvlJc w:val="left"/>
      <w:pPr>
        <w:ind w:left="1080" w:hanging="360"/>
      </w:pPr>
      <w:rPr>
        <w:rFonts w:ascii="Symbol" w:hAnsi="Symbol"/>
      </w:rPr>
    </w:lvl>
    <w:lvl w:ilvl="3" w:tplc="6E8EBD7E">
      <w:start w:val="1"/>
      <w:numFmt w:val="bullet"/>
      <w:lvlText w:val=""/>
      <w:lvlJc w:val="left"/>
      <w:pPr>
        <w:ind w:left="1080" w:hanging="360"/>
      </w:pPr>
      <w:rPr>
        <w:rFonts w:ascii="Symbol" w:hAnsi="Symbol"/>
      </w:rPr>
    </w:lvl>
    <w:lvl w:ilvl="4" w:tplc="15C81A90">
      <w:start w:val="1"/>
      <w:numFmt w:val="bullet"/>
      <w:lvlText w:val=""/>
      <w:lvlJc w:val="left"/>
      <w:pPr>
        <w:ind w:left="1080" w:hanging="360"/>
      </w:pPr>
      <w:rPr>
        <w:rFonts w:ascii="Symbol" w:hAnsi="Symbol"/>
      </w:rPr>
    </w:lvl>
    <w:lvl w:ilvl="5" w:tplc="4AD6473E">
      <w:start w:val="1"/>
      <w:numFmt w:val="bullet"/>
      <w:lvlText w:val=""/>
      <w:lvlJc w:val="left"/>
      <w:pPr>
        <w:ind w:left="1080" w:hanging="360"/>
      </w:pPr>
      <w:rPr>
        <w:rFonts w:ascii="Symbol" w:hAnsi="Symbol"/>
      </w:rPr>
    </w:lvl>
    <w:lvl w:ilvl="6" w:tplc="8FD45A24">
      <w:start w:val="1"/>
      <w:numFmt w:val="bullet"/>
      <w:lvlText w:val=""/>
      <w:lvlJc w:val="left"/>
      <w:pPr>
        <w:ind w:left="1080" w:hanging="360"/>
      </w:pPr>
      <w:rPr>
        <w:rFonts w:ascii="Symbol" w:hAnsi="Symbol"/>
      </w:rPr>
    </w:lvl>
    <w:lvl w:ilvl="7" w:tplc="A2FE8792">
      <w:start w:val="1"/>
      <w:numFmt w:val="bullet"/>
      <w:lvlText w:val=""/>
      <w:lvlJc w:val="left"/>
      <w:pPr>
        <w:ind w:left="1080" w:hanging="360"/>
      </w:pPr>
      <w:rPr>
        <w:rFonts w:ascii="Symbol" w:hAnsi="Symbol"/>
      </w:rPr>
    </w:lvl>
    <w:lvl w:ilvl="8" w:tplc="4EEE6AF8">
      <w:start w:val="1"/>
      <w:numFmt w:val="bullet"/>
      <w:lvlText w:val=""/>
      <w:lvlJc w:val="left"/>
      <w:pPr>
        <w:ind w:left="1080" w:hanging="360"/>
      </w:pPr>
      <w:rPr>
        <w:rFonts w:ascii="Symbol" w:hAnsi="Symbol"/>
      </w:rPr>
    </w:lvl>
  </w:abstractNum>
  <w:abstractNum w:abstractNumId="28" w15:restartNumberingAfterBreak="0">
    <w:nsid w:val="78E7145A"/>
    <w:multiLevelType w:val="hybridMultilevel"/>
    <w:tmpl w:val="FF9A825E"/>
    <w:lvl w:ilvl="0" w:tplc="C4EC31B6">
      <w:start w:val="1"/>
      <w:numFmt w:val="bullet"/>
      <w:lvlText w:val=""/>
      <w:lvlJc w:val="left"/>
      <w:pPr>
        <w:ind w:left="1080" w:hanging="360"/>
      </w:pPr>
      <w:rPr>
        <w:rFonts w:ascii="Symbol" w:hAnsi="Symbol"/>
      </w:rPr>
    </w:lvl>
    <w:lvl w:ilvl="1" w:tplc="5FFA7F80">
      <w:start w:val="1"/>
      <w:numFmt w:val="bullet"/>
      <w:lvlText w:val=""/>
      <w:lvlJc w:val="left"/>
      <w:pPr>
        <w:ind w:left="1080" w:hanging="360"/>
      </w:pPr>
      <w:rPr>
        <w:rFonts w:ascii="Symbol" w:hAnsi="Symbol"/>
      </w:rPr>
    </w:lvl>
    <w:lvl w:ilvl="2" w:tplc="C100D626">
      <w:start w:val="1"/>
      <w:numFmt w:val="bullet"/>
      <w:lvlText w:val=""/>
      <w:lvlJc w:val="left"/>
      <w:pPr>
        <w:ind w:left="1080" w:hanging="360"/>
      </w:pPr>
      <w:rPr>
        <w:rFonts w:ascii="Symbol" w:hAnsi="Symbol"/>
      </w:rPr>
    </w:lvl>
    <w:lvl w:ilvl="3" w:tplc="07E420BA">
      <w:start w:val="1"/>
      <w:numFmt w:val="bullet"/>
      <w:lvlText w:val=""/>
      <w:lvlJc w:val="left"/>
      <w:pPr>
        <w:ind w:left="1080" w:hanging="360"/>
      </w:pPr>
      <w:rPr>
        <w:rFonts w:ascii="Symbol" w:hAnsi="Symbol"/>
      </w:rPr>
    </w:lvl>
    <w:lvl w:ilvl="4" w:tplc="C83EA8A2">
      <w:start w:val="1"/>
      <w:numFmt w:val="bullet"/>
      <w:lvlText w:val=""/>
      <w:lvlJc w:val="left"/>
      <w:pPr>
        <w:ind w:left="1080" w:hanging="360"/>
      </w:pPr>
      <w:rPr>
        <w:rFonts w:ascii="Symbol" w:hAnsi="Symbol"/>
      </w:rPr>
    </w:lvl>
    <w:lvl w:ilvl="5" w:tplc="F1AE34F4">
      <w:start w:val="1"/>
      <w:numFmt w:val="bullet"/>
      <w:lvlText w:val=""/>
      <w:lvlJc w:val="left"/>
      <w:pPr>
        <w:ind w:left="1080" w:hanging="360"/>
      </w:pPr>
      <w:rPr>
        <w:rFonts w:ascii="Symbol" w:hAnsi="Symbol"/>
      </w:rPr>
    </w:lvl>
    <w:lvl w:ilvl="6" w:tplc="F23C949E">
      <w:start w:val="1"/>
      <w:numFmt w:val="bullet"/>
      <w:lvlText w:val=""/>
      <w:lvlJc w:val="left"/>
      <w:pPr>
        <w:ind w:left="1080" w:hanging="360"/>
      </w:pPr>
      <w:rPr>
        <w:rFonts w:ascii="Symbol" w:hAnsi="Symbol"/>
      </w:rPr>
    </w:lvl>
    <w:lvl w:ilvl="7" w:tplc="FC923102">
      <w:start w:val="1"/>
      <w:numFmt w:val="bullet"/>
      <w:lvlText w:val=""/>
      <w:lvlJc w:val="left"/>
      <w:pPr>
        <w:ind w:left="1080" w:hanging="360"/>
      </w:pPr>
      <w:rPr>
        <w:rFonts w:ascii="Symbol" w:hAnsi="Symbol"/>
      </w:rPr>
    </w:lvl>
    <w:lvl w:ilvl="8" w:tplc="7AAA6F3E">
      <w:start w:val="1"/>
      <w:numFmt w:val="bullet"/>
      <w:lvlText w:val=""/>
      <w:lvlJc w:val="left"/>
      <w:pPr>
        <w:ind w:left="1080" w:hanging="360"/>
      </w:pPr>
      <w:rPr>
        <w:rFonts w:ascii="Symbol" w:hAnsi="Symbol"/>
      </w:rPr>
    </w:lvl>
  </w:abstractNum>
  <w:num w:numId="1" w16cid:durableId="962612716">
    <w:abstractNumId w:val="2"/>
  </w:num>
  <w:num w:numId="2" w16cid:durableId="1170876255">
    <w:abstractNumId w:val="17"/>
  </w:num>
  <w:num w:numId="3" w16cid:durableId="1912616988">
    <w:abstractNumId w:val="22"/>
  </w:num>
  <w:num w:numId="4" w16cid:durableId="1650282328">
    <w:abstractNumId w:val="24"/>
  </w:num>
  <w:num w:numId="5" w16cid:durableId="652872293">
    <w:abstractNumId w:val="5"/>
  </w:num>
  <w:num w:numId="6" w16cid:durableId="1756976804">
    <w:abstractNumId w:val="11"/>
  </w:num>
  <w:num w:numId="7" w16cid:durableId="302973122">
    <w:abstractNumId w:val="26"/>
  </w:num>
  <w:num w:numId="8" w16cid:durableId="1841698485">
    <w:abstractNumId w:val="7"/>
  </w:num>
  <w:num w:numId="9" w16cid:durableId="51075796">
    <w:abstractNumId w:val="20"/>
  </w:num>
  <w:num w:numId="10" w16cid:durableId="1571618991">
    <w:abstractNumId w:val="10"/>
  </w:num>
  <w:num w:numId="11" w16cid:durableId="1505438550">
    <w:abstractNumId w:val="3"/>
  </w:num>
  <w:num w:numId="12" w16cid:durableId="1074006030">
    <w:abstractNumId w:val="13"/>
  </w:num>
  <w:num w:numId="13" w16cid:durableId="669330261">
    <w:abstractNumId w:val="21"/>
  </w:num>
  <w:num w:numId="14" w16cid:durableId="2009163748">
    <w:abstractNumId w:val="28"/>
  </w:num>
  <w:num w:numId="15" w16cid:durableId="1620255091">
    <w:abstractNumId w:val="12"/>
  </w:num>
  <w:num w:numId="16" w16cid:durableId="1061291960">
    <w:abstractNumId w:val="1"/>
  </w:num>
  <w:num w:numId="17" w16cid:durableId="1457485812">
    <w:abstractNumId w:val="8"/>
  </w:num>
  <w:num w:numId="18" w16cid:durableId="1851948607">
    <w:abstractNumId w:val="6"/>
  </w:num>
  <w:num w:numId="19" w16cid:durableId="97144313">
    <w:abstractNumId w:val="9"/>
  </w:num>
  <w:num w:numId="20" w16cid:durableId="1763380314">
    <w:abstractNumId w:val="14"/>
  </w:num>
  <w:num w:numId="21" w16cid:durableId="843669964">
    <w:abstractNumId w:val="16"/>
  </w:num>
  <w:num w:numId="22" w16cid:durableId="1166286377">
    <w:abstractNumId w:val="18"/>
  </w:num>
  <w:num w:numId="23" w16cid:durableId="312296850">
    <w:abstractNumId w:val="4"/>
  </w:num>
  <w:num w:numId="24" w16cid:durableId="280572170">
    <w:abstractNumId w:val="15"/>
  </w:num>
  <w:num w:numId="25" w16cid:durableId="763572206">
    <w:abstractNumId w:val="25"/>
  </w:num>
  <w:num w:numId="26" w16cid:durableId="2024434422">
    <w:abstractNumId w:val="27"/>
  </w:num>
  <w:num w:numId="27" w16cid:durableId="1399402172">
    <w:abstractNumId w:val="0"/>
  </w:num>
  <w:num w:numId="28" w16cid:durableId="1057584965">
    <w:abstractNumId w:val="19"/>
  </w:num>
  <w:num w:numId="29" w16cid:durableId="1867061042">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1&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ft9wxw2qvw5weerafqpef0as2swzxw0fdte&quot;&gt;DIO1 JOVE Library&lt;record-ids&gt;&lt;item&gt;1&lt;/item&gt;&lt;item&gt;2&lt;/item&gt;&lt;item&gt;3&lt;/item&gt;&lt;item&gt;6&lt;/item&gt;&lt;item&gt;7&lt;/item&gt;&lt;item&gt;8&lt;/item&gt;&lt;item&gt;9&lt;/item&gt;&lt;item&gt;11&lt;/item&gt;&lt;item&gt;12&lt;/item&gt;&lt;item&gt;13&lt;/item&gt;&lt;item&gt;14&lt;/item&gt;&lt;item&gt;16&lt;/item&gt;&lt;item&gt;17&lt;/item&gt;&lt;item&gt;18&lt;/item&gt;&lt;item&gt;19&lt;/item&gt;&lt;item&gt;20&lt;/item&gt;&lt;item&gt;21&lt;/item&gt;&lt;item&gt;22&lt;/item&gt;&lt;/record-ids&gt;&lt;/item&gt;&lt;/Libraries&gt;"/>
  </w:docVars>
  <w:rsids>
    <w:rsidRoot w:val="006E4797"/>
    <w:rsid w:val="000019D6"/>
    <w:rsid w:val="0000515B"/>
    <w:rsid w:val="00011457"/>
    <w:rsid w:val="000117ED"/>
    <w:rsid w:val="00013652"/>
    <w:rsid w:val="00013EFD"/>
    <w:rsid w:val="00015A2E"/>
    <w:rsid w:val="00016685"/>
    <w:rsid w:val="00024C1E"/>
    <w:rsid w:val="00032E1C"/>
    <w:rsid w:val="00034DD1"/>
    <w:rsid w:val="0004355D"/>
    <w:rsid w:val="00046039"/>
    <w:rsid w:val="00050166"/>
    <w:rsid w:val="00054138"/>
    <w:rsid w:val="00057B67"/>
    <w:rsid w:val="00061E0E"/>
    <w:rsid w:val="00062496"/>
    <w:rsid w:val="00071AAD"/>
    <w:rsid w:val="0007506F"/>
    <w:rsid w:val="00076815"/>
    <w:rsid w:val="00081F44"/>
    <w:rsid w:val="00082A5F"/>
    <w:rsid w:val="00084BEA"/>
    <w:rsid w:val="000940A2"/>
    <w:rsid w:val="000972C3"/>
    <w:rsid w:val="000A4313"/>
    <w:rsid w:val="000B13F3"/>
    <w:rsid w:val="000B41B6"/>
    <w:rsid w:val="000B4840"/>
    <w:rsid w:val="000D23B3"/>
    <w:rsid w:val="000E2ABF"/>
    <w:rsid w:val="000E3F21"/>
    <w:rsid w:val="000E4C51"/>
    <w:rsid w:val="000F42CD"/>
    <w:rsid w:val="000F665E"/>
    <w:rsid w:val="001018AD"/>
    <w:rsid w:val="00104234"/>
    <w:rsid w:val="001105BB"/>
    <w:rsid w:val="00120964"/>
    <w:rsid w:val="0012189C"/>
    <w:rsid w:val="001330F8"/>
    <w:rsid w:val="0014249C"/>
    <w:rsid w:val="001476DD"/>
    <w:rsid w:val="00147CBA"/>
    <w:rsid w:val="0015327B"/>
    <w:rsid w:val="001540AC"/>
    <w:rsid w:val="00154DFC"/>
    <w:rsid w:val="001624E4"/>
    <w:rsid w:val="001663F0"/>
    <w:rsid w:val="00166786"/>
    <w:rsid w:val="0017030F"/>
    <w:rsid w:val="00171C99"/>
    <w:rsid w:val="001726B1"/>
    <w:rsid w:val="001753EA"/>
    <w:rsid w:val="001777B1"/>
    <w:rsid w:val="00181A81"/>
    <w:rsid w:val="00194C04"/>
    <w:rsid w:val="00194CE8"/>
    <w:rsid w:val="001959A2"/>
    <w:rsid w:val="001973CC"/>
    <w:rsid w:val="001A1CA1"/>
    <w:rsid w:val="001A4794"/>
    <w:rsid w:val="001A6ACA"/>
    <w:rsid w:val="001B2E39"/>
    <w:rsid w:val="001B45C6"/>
    <w:rsid w:val="001C04A2"/>
    <w:rsid w:val="001C2366"/>
    <w:rsid w:val="001C2DC8"/>
    <w:rsid w:val="001C5110"/>
    <w:rsid w:val="001C558C"/>
    <w:rsid w:val="001D399B"/>
    <w:rsid w:val="001D5994"/>
    <w:rsid w:val="001E0A93"/>
    <w:rsid w:val="001F3109"/>
    <w:rsid w:val="001F3296"/>
    <w:rsid w:val="00200826"/>
    <w:rsid w:val="00210DD6"/>
    <w:rsid w:val="002136B4"/>
    <w:rsid w:val="00214319"/>
    <w:rsid w:val="00220AD3"/>
    <w:rsid w:val="002326FF"/>
    <w:rsid w:val="0023296D"/>
    <w:rsid w:val="00232DDC"/>
    <w:rsid w:val="0024111D"/>
    <w:rsid w:val="002417E4"/>
    <w:rsid w:val="00241891"/>
    <w:rsid w:val="002459F3"/>
    <w:rsid w:val="00245C39"/>
    <w:rsid w:val="00252077"/>
    <w:rsid w:val="00252AA2"/>
    <w:rsid w:val="0025543B"/>
    <w:rsid w:val="002602AB"/>
    <w:rsid w:val="00262188"/>
    <w:rsid w:val="00266417"/>
    <w:rsid w:val="0026769B"/>
    <w:rsid w:val="00272DD9"/>
    <w:rsid w:val="00273EDD"/>
    <w:rsid w:val="00286410"/>
    <w:rsid w:val="002956F3"/>
    <w:rsid w:val="002970BE"/>
    <w:rsid w:val="002A4E14"/>
    <w:rsid w:val="002C6AB1"/>
    <w:rsid w:val="002C6F0F"/>
    <w:rsid w:val="002D2D0B"/>
    <w:rsid w:val="002D6306"/>
    <w:rsid w:val="002E3DF8"/>
    <w:rsid w:val="002F3EF0"/>
    <w:rsid w:val="0030072C"/>
    <w:rsid w:val="00304F20"/>
    <w:rsid w:val="003059BA"/>
    <w:rsid w:val="00306ECC"/>
    <w:rsid w:val="003111F7"/>
    <w:rsid w:val="00315AE3"/>
    <w:rsid w:val="0031658E"/>
    <w:rsid w:val="00317E84"/>
    <w:rsid w:val="0032133F"/>
    <w:rsid w:val="003215E5"/>
    <w:rsid w:val="00333622"/>
    <w:rsid w:val="00335352"/>
    <w:rsid w:val="00335776"/>
    <w:rsid w:val="0033631A"/>
    <w:rsid w:val="00343F04"/>
    <w:rsid w:val="00347322"/>
    <w:rsid w:val="0035020D"/>
    <w:rsid w:val="00351087"/>
    <w:rsid w:val="003548DA"/>
    <w:rsid w:val="003718AE"/>
    <w:rsid w:val="0037377C"/>
    <w:rsid w:val="00387CDA"/>
    <w:rsid w:val="00393257"/>
    <w:rsid w:val="0039396B"/>
    <w:rsid w:val="00396397"/>
    <w:rsid w:val="003A048B"/>
    <w:rsid w:val="003A4538"/>
    <w:rsid w:val="003A5297"/>
    <w:rsid w:val="003B1D25"/>
    <w:rsid w:val="003B2820"/>
    <w:rsid w:val="003B745E"/>
    <w:rsid w:val="003C066D"/>
    <w:rsid w:val="003C3E26"/>
    <w:rsid w:val="003C4CA3"/>
    <w:rsid w:val="003C5D85"/>
    <w:rsid w:val="003C5FA1"/>
    <w:rsid w:val="003D3B4A"/>
    <w:rsid w:val="003D4B30"/>
    <w:rsid w:val="003D5735"/>
    <w:rsid w:val="003D67E2"/>
    <w:rsid w:val="003F52D6"/>
    <w:rsid w:val="003F7829"/>
    <w:rsid w:val="004013D7"/>
    <w:rsid w:val="0040579A"/>
    <w:rsid w:val="00414862"/>
    <w:rsid w:val="00414ADE"/>
    <w:rsid w:val="00415BC8"/>
    <w:rsid w:val="00422CDC"/>
    <w:rsid w:val="00424706"/>
    <w:rsid w:val="00424A78"/>
    <w:rsid w:val="004357C9"/>
    <w:rsid w:val="004361C8"/>
    <w:rsid w:val="00436F4D"/>
    <w:rsid w:val="00437EDE"/>
    <w:rsid w:val="0044143C"/>
    <w:rsid w:val="00444DA6"/>
    <w:rsid w:val="004510CC"/>
    <w:rsid w:val="00452F1D"/>
    <w:rsid w:val="00453AE2"/>
    <w:rsid w:val="00455C86"/>
    <w:rsid w:val="00457686"/>
    <w:rsid w:val="004620C9"/>
    <w:rsid w:val="0046245C"/>
    <w:rsid w:val="004626A8"/>
    <w:rsid w:val="004654D7"/>
    <w:rsid w:val="0048733E"/>
    <w:rsid w:val="00490F47"/>
    <w:rsid w:val="004939EE"/>
    <w:rsid w:val="004964D8"/>
    <w:rsid w:val="004966D6"/>
    <w:rsid w:val="004969D3"/>
    <w:rsid w:val="00496A20"/>
    <w:rsid w:val="004A13CF"/>
    <w:rsid w:val="004A69F7"/>
    <w:rsid w:val="004B0CDD"/>
    <w:rsid w:val="004B7A85"/>
    <w:rsid w:val="004C0985"/>
    <w:rsid w:val="004D362E"/>
    <w:rsid w:val="004E3CB0"/>
    <w:rsid w:val="004E4AFE"/>
    <w:rsid w:val="004E4DDC"/>
    <w:rsid w:val="004E641F"/>
    <w:rsid w:val="004F09A9"/>
    <w:rsid w:val="004F4E3E"/>
    <w:rsid w:val="004F5DA7"/>
    <w:rsid w:val="004F6AD9"/>
    <w:rsid w:val="00504150"/>
    <w:rsid w:val="00507D90"/>
    <w:rsid w:val="00510337"/>
    <w:rsid w:val="00513CCF"/>
    <w:rsid w:val="00516914"/>
    <w:rsid w:val="00524C19"/>
    <w:rsid w:val="00524C86"/>
    <w:rsid w:val="00525DAA"/>
    <w:rsid w:val="005277A8"/>
    <w:rsid w:val="00531FB5"/>
    <w:rsid w:val="00535912"/>
    <w:rsid w:val="005366F2"/>
    <w:rsid w:val="00537219"/>
    <w:rsid w:val="00543668"/>
    <w:rsid w:val="005451CF"/>
    <w:rsid w:val="0054594B"/>
    <w:rsid w:val="005474F6"/>
    <w:rsid w:val="00551D82"/>
    <w:rsid w:val="00552D6E"/>
    <w:rsid w:val="00553016"/>
    <w:rsid w:val="00555729"/>
    <w:rsid w:val="00566096"/>
    <w:rsid w:val="005734D7"/>
    <w:rsid w:val="00574BEE"/>
    <w:rsid w:val="00575E55"/>
    <w:rsid w:val="00580FA6"/>
    <w:rsid w:val="00585BF5"/>
    <w:rsid w:val="005863C3"/>
    <w:rsid w:val="005901AC"/>
    <w:rsid w:val="00590ADB"/>
    <w:rsid w:val="005942F4"/>
    <w:rsid w:val="005958A8"/>
    <w:rsid w:val="005A637B"/>
    <w:rsid w:val="005B0CAF"/>
    <w:rsid w:val="005B1480"/>
    <w:rsid w:val="005B40B8"/>
    <w:rsid w:val="005C6941"/>
    <w:rsid w:val="005D7B2C"/>
    <w:rsid w:val="005E1EE7"/>
    <w:rsid w:val="005E6AEC"/>
    <w:rsid w:val="005F3186"/>
    <w:rsid w:val="005F3560"/>
    <w:rsid w:val="005F5143"/>
    <w:rsid w:val="005F5A8A"/>
    <w:rsid w:val="005F7AEA"/>
    <w:rsid w:val="00604100"/>
    <w:rsid w:val="006117CF"/>
    <w:rsid w:val="00611F0D"/>
    <w:rsid w:val="00615035"/>
    <w:rsid w:val="006174FC"/>
    <w:rsid w:val="006200C6"/>
    <w:rsid w:val="00620376"/>
    <w:rsid w:val="00622578"/>
    <w:rsid w:val="006239A1"/>
    <w:rsid w:val="00632F97"/>
    <w:rsid w:val="00634672"/>
    <w:rsid w:val="00636E42"/>
    <w:rsid w:val="00642F37"/>
    <w:rsid w:val="00650698"/>
    <w:rsid w:val="00651902"/>
    <w:rsid w:val="0065662B"/>
    <w:rsid w:val="00656770"/>
    <w:rsid w:val="00662FBB"/>
    <w:rsid w:val="00664D00"/>
    <w:rsid w:val="0066795C"/>
    <w:rsid w:val="00675109"/>
    <w:rsid w:val="006755EE"/>
    <w:rsid w:val="00675F66"/>
    <w:rsid w:val="00677C53"/>
    <w:rsid w:val="006824BF"/>
    <w:rsid w:val="006916F7"/>
    <w:rsid w:val="00692D64"/>
    <w:rsid w:val="00692DBE"/>
    <w:rsid w:val="00695B9C"/>
    <w:rsid w:val="006A00EC"/>
    <w:rsid w:val="006A337F"/>
    <w:rsid w:val="006B7FE6"/>
    <w:rsid w:val="006C2833"/>
    <w:rsid w:val="006C4924"/>
    <w:rsid w:val="006D70BA"/>
    <w:rsid w:val="006E26AB"/>
    <w:rsid w:val="006E4797"/>
    <w:rsid w:val="006E4D41"/>
    <w:rsid w:val="006E7C64"/>
    <w:rsid w:val="006F0B48"/>
    <w:rsid w:val="006F7986"/>
    <w:rsid w:val="00702ADE"/>
    <w:rsid w:val="0070444F"/>
    <w:rsid w:val="0071127A"/>
    <w:rsid w:val="00714BE0"/>
    <w:rsid w:val="007162D1"/>
    <w:rsid w:val="007178E4"/>
    <w:rsid w:val="007322A4"/>
    <w:rsid w:val="00736371"/>
    <w:rsid w:val="007366F4"/>
    <w:rsid w:val="00745F2E"/>
    <w:rsid w:val="007460DE"/>
    <w:rsid w:val="00747E5D"/>
    <w:rsid w:val="00751D3D"/>
    <w:rsid w:val="0075692D"/>
    <w:rsid w:val="007718CA"/>
    <w:rsid w:val="00772151"/>
    <w:rsid w:val="00773B02"/>
    <w:rsid w:val="00774D61"/>
    <w:rsid w:val="00781195"/>
    <w:rsid w:val="007851AE"/>
    <w:rsid w:val="00786F38"/>
    <w:rsid w:val="00787682"/>
    <w:rsid w:val="00787785"/>
    <w:rsid w:val="007916FE"/>
    <w:rsid w:val="0079279C"/>
    <w:rsid w:val="00792A49"/>
    <w:rsid w:val="007959CD"/>
    <w:rsid w:val="007A4BBA"/>
    <w:rsid w:val="007B2436"/>
    <w:rsid w:val="007B2C7C"/>
    <w:rsid w:val="007B488F"/>
    <w:rsid w:val="007B6701"/>
    <w:rsid w:val="007B72A4"/>
    <w:rsid w:val="007C62B9"/>
    <w:rsid w:val="007D6BE0"/>
    <w:rsid w:val="007D7001"/>
    <w:rsid w:val="007E3CEC"/>
    <w:rsid w:val="007E62E9"/>
    <w:rsid w:val="007F13E9"/>
    <w:rsid w:val="007F2030"/>
    <w:rsid w:val="008026C9"/>
    <w:rsid w:val="008030B1"/>
    <w:rsid w:val="008031FE"/>
    <w:rsid w:val="0080337A"/>
    <w:rsid w:val="00803EFF"/>
    <w:rsid w:val="008070A9"/>
    <w:rsid w:val="0081683D"/>
    <w:rsid w:val="00817DEF"/>
    <w:rsid w:val="00821E88"/>
    <w:rsid w:val="008270BF"/>
    <w:rsid w:val="00833B96"/>
    <w:rsid w:val="008425A4"/>
    <w:rsid w:val="008461C6"/>
    <w:rsid w:val="00846667"/>
    <w:rsid w:val="00847446"/>
    <w:rsid w:val="00850677"/>
    <w:rsid w:val="00850DF1"/>
    <w:rsid w:val="008536AB"/>
    <w:rsid w:val="0085421A"/>
    <w:rsid w:val="0085548D"/>
    <w:rsid w:val="00874DC2"/>
    <w:rsid w:val="0087652D"/>
    <w:rsid w:val="0088022B"/>
    <w:rsid w:val="00881521"/>
    <w:rsid w:val="00884505"/>
    <w:rsid w:val="00885C4C"/>
    <w:rsid w:val="00886D8F"/>
    <w:rsid w:val="008A2079"/>
    <w:rsid w:val="008A286C"/>
    <w:rsid w:val="008A3626"/>
    <w:rsid w:val="008A4859"/>
    <w:rsid w:val="008B12F8"/>
    <w:rsid w:val="008B2D50"/>
    <w:rsid w:val="008B35D2"/>
    <w:rsid w:val="008B6D38"/>
    <w:rsid w:val="008C07BF"/>
    <w:rsid w:val="008C19D8"/>
    <w:rsid w:val="008C1B00"/>
    <w:rsid w:val="008C2052"/>
    <w:rsid w:val="008D293E"/>
    <w:rsid w:val="008E19AC"/>
    <w:rsid w:val="008E2F2E"/>
    <w:rsid w:val="008E7304"/>
    <w:rsid w:val="008F029A"/>
    <w:rsid w:val="008F0AFA"/>
    <w:rsid w:val="008F4CBD"/>
    <w:rsid w:val="008F5A50"/>
    <w:rsid w:val="008F7117"/>
    <w:rsid w:val="00905205"/>
    <w:rsid w:val="00907773"/>
    <w:rsid w:val="009134CB"/>
    <w:rsid w:val="00913EB7"/>
    <w:rsid w:val="00927994"/>
    <w:rsid w:val="00927E2F"/>
    <w:rsid w:val="00936170"/>
    <w:rsid w:val="009409EA"/>
    <w:rsid w:val="0094291B"/>
    <w:rsid w:val="00945E0B"/>
    <w:rsid w:val="00946FFF"/>
    <w:rsid w:val="009646B0"/>
    <w:rsid w:val="009675E1"/>
    <w:rsid w:val="00971D52"/>
    <w:rsid w:val="00981EEA"/>
    <w:rsid w:val="0098557D"/>
    <w:rsid w:val="009861C0"/>
    <w:rsid w:val="00994F50"/>
    <w:rsid w:val="009A4D7D"/>
    <w:rsid w:val="009A5B17"/>
    <w:rsid w:val="009B0158"/>
    <w:rsid w:val="009B7681"/>
    <w:rsid w:val="009C0943"/>
    <w:rsid w:val="009C42C2"/>
    <w:rsid w:val="009D0289"/>
    <w:rsid w:val="009D068F"/>
    <w:rsid w:val="009D312B"/>
    <w:rsid w:val="009D4492"/>
    <w:rsid w:val="009D5D26"/>
    <w:rsid w:val="009F2869"/>
    <w:rsid w:val="009F53A3"/>
    <w:rsid w:val="009F5684"/>
    <w:rsid w:val="009F76B1"/>
    <w:rsid w:val="00A14397"/>
    <w:rsid w:val="00A15721"/>
    <w:rsid w:val="00A1684A"/>
    <w:rsid w:val="00A26B9D"/>
    <w:rsid w:val="00A34B7E"/>
    <w:rsid w:val="00A36840"/>
    <w:rsid w:val="00A36F90"/>
    <w:rsid w:val="00A43E43"/>
    <w:rsid w:val="00A463AE"/>
    <w:rsid w:val="00A52D61"/>
    <w:rsid w:val="00A54FF0"/>
    <w:rsid w:val="00A61636"/>
    <w:rsid w:val="00A624BE"/>
    <w:rsid w:val="00A74A14"/>
    <w:rsid w:val="00A75712"/>
    <w:rsid w:val="00A92A7E"/>
    <w:rsid w:val="00AA3BA7"/>
    <w:rsid w:val="00AA46CC"/>
    <w:rsid w:val="00AA49DC"/>
    <w:rsid w:val="00AA6030"/>
    <w:rsid w:val="00AB4038"/>
    <w:rsid w:val="00AB530A"/>
    <w:rsid w:val="00AB53D0"/>
    <w:rsid w:val="00AB6508"/>
    <w:rsid w:val="00AB7D52"/>
    <w:rsid w:val="00AD34E5"/>
    <w:rsid w:val="00AD5D53"/>
    <w:rsid w:val="00AE32A0"/>
    <w:rsid w:val="00AF121A"/>
    <w:rsid w:val="00AF2E1D"/>
    <w:rsid w:val="00AF5E59"/>
    <w:rsid w:val="00B054B0"/>
    <w:rsid w:val="00B06230"/>
    <w:rsid w:val="00B227FA"/>
    <w:rsid w:val="00B24CA7"/>
    <w:rsid w:val="00B35237"/>
    <w:rsid w:val="00B355A5"/>
    <w:rsid w:val="00B35610"/>
    <w:rsid w:val="00B40DC2"/>
    <w:rsid w:val="00B4250D"/>
    <w:rsid w:val="00B44CDE"/>
    <w:rsid w:val="00B65AA1"/>
    <w:rsid w:val="00B66177"/>
    <w:rsid w:val="00B76ABD"/>
    <w:rsid w:val="00B80145"/>
    <w:rsid w:val="00B81064"/>
    <w:rsid w:val="00B873EB"/>
    <w:rsid w:val="00B87681"/>
    <w:rsid w:val="00B9152A"/>
    <w:rsid w:val="00BA2698"/>
    <w:rsid w:val="00BB4B34"/>
    <w:rsid w:val="00BB573B"/>
    <w:rsid w:val="00BC24B4"/>
    <w:rsid w:val="00BC4367"/>
    <w:rsid w:val="00BC658B"/>
    <w:rsid w:val="00BD2DE1"/>
    <w:rsid w:val="00BD3767"/>
    <w:rsid w:val="00BD3E81"/>
    <w:rsid w:val="00BD7194"/>
    <w:rsid w:val="00BE1752"/>
    <w:rsid w:val="00BE22A2"/>
    <w:rsid w:val="00BE2769"/>
    <w:rsid w:val="00BF2BF9"/>
    <w:rsid w:val="00C03BC1"/>
    <w:rsid w:val="00C11D93"/>
    <w:rsid w:val="00C13F77"/>
    <w:rsid w:val="00C25E97"/>
    <w:rsid w:val="00C26B31"/>
    <w:rsid w:val="00C27C71"/>
    <w:rsid w:val="00C3007B"/>
    <w:rsid w:val="00C30E0D"/>
    <w:rsid w:val="00C3550F"/>
    <w:rsid w:val="00C366E0"/>
    <w:rsid w:val="00C473D3"/>
    <w:rsid w:val="00C550F3"/>
    <w:rsid w:val="00C560E2"/>
    <w:rsid w:val="00C57C75"/>
    <w:rsid w:val="00C652D8"/>
    <w:rsid w:val="00C65D84"/>
    <w:rsid w:val="00C72BE5"/>
    <w:rsid w:val="00C76DC9"/>
    <w:rsid w:val="00C84CAE"/>
    <w:rsid w:val="00C875D1"/>
    <w:rsid w:val="00C91780"/>
    <w:rsid w:val="00C92A70"/>
    <w:rsid w:val="00C93A54"/>
    <w:rsid w:val="00CA24EC"/>
    <w:rsid w:val="00CB1713"/>
    <w:rsid w:val="00CB1783"/>
    <w:rsid w:val="00CB1C6F"/>
    <w:rsid w:val="00CC4FAF"/>
    <w:rsid w:val="00CD0D48"/>
    <w:rsid w:val="00CD262E"/>
    <w:rsid w:val="00CD6595"/>
    <w:rsid w:val="00CD720E"/>
    <w:rsid w:val="00CE4CCB"/>
    <w:rsid w:val="00CF2CBF"/>
    <w:rsid w:val="00CF5222"/>
    <w:rsid w:val="00D023F1"/>
    <w:rsid w:val="00D02A1A"/>
    <w:rsid w:val="00D0749C"/>
    <w:rsid w:val="00D07A90"/>
    <w:rsid w:val="00D10243"/>
    <w:rsid w:val="00D15D32"/>
    <w:rsid w:val="00D17993"/>
    <w:rsid w:val="00D21C3B"/>
    <w:rsid w:val="00D2510B"/>
    <w:rsid w:val="00D3141C"/>
    <w:rsid w:val="00D3234D"/>
    <w:rsid w:val="00D33B52"/>
    <w:rsid w:val="00D34DC6"/>
    <w:rsid w:val="00D35872"/>
    <w:rsid w:val="00D4394D"/>
    <w:rsid w:val="00D57F1F"/>
    <w:rsid w:val="00D628C5"/>
    <w:rsid w:val="00D64246"/>
    <w:rsid w:val="00D661BB"/>
    <w:rsid w:val="00D674D9"/>
    <w:rsid w:val="00D71A26"/>
    <w:rsid w:val="00D8140E"/>
    <w:rsid w:val="00D81F98"/>
    <w:rsid w:val="00D84BEE"/>
    <w:rsid w:val="00D86D57"/>
    <w:rsid w:val="00D91C35"/>
    <w:rsid w:val="00D959E7"/>
    <w:rsid w:val="00DA02E2"/>
    <w:rsid w:val="00DA06BC"/>
    <w:rsid w:val="00DA154A"/>
    <w:rsid w:val="00DA3C5C"/>
    <w:rsid w:val="00DA4C6F"/>
    <w:rsid w:val="00DA56A9"/>
    <w:rsid w:val="00DB2017"/>
    <w:rsid w:val="00DB21AE"/>
    <w:rsid w:val="00DB6951"/>
    <w:rsid w:val="00DC0E61"/>
    <w:rsid w:val="00DC18A7"/>
    <w:rsid w:val="00DD0D2A"/>
    <w:rsid w:val="00DD12D8"/>
    <w:rsid w:val="00DE7D57"/>
    <w:rsid w:val="00DF42FB"/>
    <w:rsid w:val="00DF66EB"/>
    <w:rsid w:val="00DF7E35"/>
    <w:rsid w:val="00E00EBA"/>
    <w:rsid w:val="00E03054"/>
    <w:rsid w:val="00E1008B"/>
    <w:rsid w:val="00E10BF9"/>
    <w:rsid w:val="00E212E2"/>
    <w:rsid w:val="00E24147"/>
    <w:rsid w:val="00E26D1E"/>
    <w:rsid w:val="00E272AC"/>
    <w:rsid w:val="00E34BBD"/>
    <w:rsid w:val="00E35D4D"/>
    <w:rsid w:val="00E37D31"/>
    <w:rsid w:val="00E401D5"/>
    <w:rsid w:val="00E41EC1"/>
    <w:rsid w:val="00E42B14"/>
    <w:rsid w:val="00E434ED"/>
    <w:rsid w:val="00E44ACE"/>
    <w:rsid w:val="00E46D34"/>
    <w:rsid w:val="00E50761"/>
    <w:rsid w:val="00E557AB"/>
    <w:rsid w:val="00E563FD"/>
    <w:rsid w:val="00E57D74"/>
    <w:rsid w:val="00E6040C"/>
    <w:rsid w:val="00E61E80"/>
    <w:rsid w:val="00E63687"/>
    <w:rsid w:val="00E73D5F"/>
    <w:rsid w:val="00E77FDD"/>
    <w:rsid w:val="00E82994"/>
    <w:rsid w:val="00E82E9F"/>
    <w:rsid w:val="00EA310F"/>
    <w:rsid w:val="00EA58EA"/>
    <w:rsid w:val="00EB1E68"/>
    <w:rsid w:val="00EB20A2"/>
    <w:rsid w:val="00EC0649"/>
    <w:rsid w:val="00EC45F5"/>
    <w:rsid w:val="00EC57F0"/>
    <w:rsid w:val="00ED0074"/>
    <w:rsid w:val="00ED0F7F"/>
    <w:rsid w:val="00ED3352"/>
    <w:rsid w:val="00ED3404"/>
    <w:rsid w:val="00EE6C38"/>
    <w:rsid w:val="00EF03D9"/>
    <w:rsid w:val="00EF61FA"/>
    <w:rsid w:val="00F03D27"/>
    <w:rsid w:val="00F03DFB"/>
    <w:rsid w:val="00F12679"/>
    <w:rsid w:val="00F22FB1"/>
    <w:rsid w:val="00F24F49"/>
    <w:rsid w:val="00F2550B"/>
    <w:rsid w:val="00F359AC"/>
    <w:rsid w:val="00F359BE"/>
    <w:rsid w:val="00F36869"/>
    <w:rsid w:val="00F41DE1"/>
    <w:rsid w:val="00F45EC6"/>
    <w:rsid w:val="00F665BC"/>
    <w:rsid w:val="00F67504"/>
    <w:rsid w:val="00F72213"/>
    <w:rsid w:val="00F72E82"/>
    <w:rsid w:val="00F73742"/>
    <w:rsid w:val="00F77ACC"/>
    <w:rsid w:val="00F82ECE"/>
    <w:rsid w:val="00F83AC8"/>
    <w:rsid w:val="00F84A70"/>
    <w:rsid w:val="00F953CE"/>
    <w:rsid w:val="00FA3B53"/>
    <w:rsid w:val="00FA6C9C"/>
    <w:rsid w:val="00FB5B74"/>
    <w:rsid w:val="00FB7423"/>
    <w:rsid w:val="00FC6E8F"/>
    <w:rsid w:val="00FD04D9"/>
    <w:rsid w:val="00FD133A"/>
    <w:rsid w:val="00FD714C"/>
    <w:rsid w:val="00FD7445"/>
    <w:rsid w:val="00FE0936"/>
    <w:rsid w:val="00FE196A"/>
    <w:rsid w:val="00FE4264"/>
    <w:rsid w:val="00FE4520"/>
    <w:rsid w:val="00FE5F0A"/>
    <w:rsid w:val="00FE6270"/>
    <w:rsid w:val="00FF3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96397"/>
  </w:style>
  <w:style w:type="paragraph" w:styleId="berschrift1">
    <w:name w:val="heading 1"/>
    <w:basedOn w:val="Standard"/>
    <w:next w:val="Standard"/>
    <w:uiPriority w:val="9"/>
    <w:qFormat/>
    <w:pPr>
      <w:keepNext/>
      <w:spacing w:before="240" w:after="60"/>
      <w:outlineLvl w:val="0"/>
    </w:pPr>
    <w:rPr>
      <w:b/>
      <w:sz w:val="28"/>
      <w:szCs w:val="28"/>
    </w:rPr>
  </w:style>
  <w:style w:type="paragraph" w:styleId="berschrift2">
    <w:name w:val="heading 2"/>
    <w:basedOn w:val="Standard"/>
    <w:next w:val="Standard"/>
    <w:uiPriority w:val="9"/>
    <w:semiHidden/>
    <w:unhideWhenUsed/>
    <w:qFormat/>
    <w:pPr>
      <w:keepNext/>
      <w:outlineLvl w:val="1"/>
    </w:pPr>
    <w:rPr>
      <w:b/>
    </w:rPr>
  </w:style>
  <w:style w:type="paragraph" w:styleId="berschrift3">
    <w:name w:val="heading 3"/>
    <w:basedOn w:val="Standard"/>
    <w:next w:val="Standard"/>
    <w:uiPriority w:val="9"/>
    <w:semiHidden/>
    <w:unhideWhenUsed/>
    <w:qFormat/>
    <w:pPr>
      <w:keepNext/>
      <w:keepLines/>
      <w:spacing w:before="200"/>
      <w:outlineLvl w:val="2"/>
    </w:pPr>
    <w:rPr>
      <w:rFonts w:ascii="Cambria" w:eastAsia="Cambria" w:hAnsi="Cambria" w:cs="Cambria"/>
      <w:b/>
      <w:color w:val="4F81BD"/>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Absatz-Standardschriftart"/>
    <w:uiPriority w:val="99"/>
    <w:unhideWhenUsed/>
    <w:rsid w:val="00EB1E68"/>
    <w:rPr>
      <w:color w:val="0000FF" w:themeColor="hyperlink"/>
      <w:u w:val="single"/>
    </w:rPr>
  </w:style>
  <w:style w:type="character" w:customStyle="1" w:styleId="NichtaufgelsteErwhnung1">
    <w:name w:val="Nicht aufgelöste Erwähnung1"/>
    <w:basedOn w:val="Absatz-Standardschriftart"/>
    <w:uiPriority w:val="99"/>
    <w:semiHidden/>
    <w:unhideWhenUsed/>
    <w:rsid w:val="00EB1E68"/>
    <w:rPr>
      <w:color w:val="605E5C"/>
      <w:shd w:val="clear" w:color="auto" w:fill="E1DFDD"/>
    </w:rPr>
  </w:style>
  <w:style w:type="paragraph" w:styleId="Fuzeile">
    <w:name w:val="footer"/>
    <w:basedOn w:val="Standard"/>
    <w:link w:val="FuzeileZchn"/>
    <w:uiPriority w:val="99"/>
    <w:unhideWhenUsed/>
    <w:rsid w:val="00C11D93"/>
    <w:pPr>
      <w:tabs>
        <w:tab w:val="center" w:pos="4680"/>
        <w:tab w:val="right" w:pos="9360"/>
      </w:tabs>
    </w:pPr>
  </w:style>
  <w:style w:type="character" w:customStyle="1" w:styleId="FuzeileZchn">
    <w:name w:val="Fußzeile Zchn"/>
    <w:basedOn w:val="Absatz-Standardschriftart"/>
    <w:link w:val="Fuzeile"/>
    <w:uiPriority w:val="99"/>
    <w:rsid w:val="00C11D93"/>
  </w:style>
  <w:style w:type="paragraph" w:styleId="berarbeitung">
    <w:name w:val="Revision"/>
    <w:hidden/>
    <w:uiPriority w:val="99"/>
    <w:semiHidden/>
    <w:rsid w:val="000B41B6"/>
    <w:pPr>
      <w:widowControl/>
      <w:jc w:val="left"/>
    </w:pPr>
  </w:style>
  <w:style w:type="paragraph" w:styleId="Listenabsatz">
    <w:name w:val="List Paragraph"/>
    <w:basedOn w:val="Standard"/>
    <w:uiPriority w:val="34"/>
    <w:qFormat/>
    <w:rsid w:val="008E7304"/>
    <w:pPr>
      <w:widowControl/>
      <w:spacing w:after="200" w:line="276" w:lineRule="auto"/>
      <w:ind w:left="720"/>
      <w:contextualSpacing/>
      <w:jc w:val="left"/>
    </w:pPr>
    <w:rPr>
      <w:rFonts w:asciiTheme="minorHAnsi" w:eastAsiaTheme="minorHAnsi" w:hAnsiTheme="minorHAnsi" w:cstheme="minorBidi"/>
      <w:szCs w:val="22"/>
    </w:rPr>
  </w:style>
  <w:style w:type="character" w:styleId="BesuchterLink">
    <w:name w:val="FollowedHyperlink"/>
    <w:basedOn w:val="Absatz-Standardschriftart"/>
    <w:uiPriority w:val="99"/>
    <w:semiHidden/>
    <w:unhideWhenUsed/>
    <w:rsid w:val="006755EE"/>
    <w:rPr>
      <w:color w:val="800080" w:themeColor="followedHyperlink"/>
      <w:u w:val="single"/>
    </w:rPr>
  </w:style>
  <w:style w:type="character" w:styleId="Zeilennummer">
    <w:name w:val="line number"/>
    <w:basedOn w:val="Absatz-Standardschriftart"/>
    <w:uiPriority w:val="99"/>
    <w:semiHidden/>
    <w:unhideWhenUsed/>
    <w:rsid w:val="00147CBA"/>
  </w:style>
  <w:style w:type="character" w:styleId="Kommentarzeichen">
    <w:name w:val="annotation reference"/>
    <w:basedOn w:val="Absatz-Standardschriftart"/>
    <w:uiPriority w:val="99"/>
    <w:semiHidden/>
    <w:unhideWhenUsed/>
    <w:rsid w:val="008B2D50"/>
    <w:rPr>
      <w:sz w:val="16"/>
      <w:szCs w:val="16"/>
    </w:rPr>
  </w:style>
  <w:style w:type="paragraph" w:styleId="Kommentartext">
    <w:name w:val="annotation text"/>
    <w:basedOn w:val="Standard"/>
    <w:link w:val="KommentartextZchn"/>
    <w:uiPriority w:val="99"/>
    <w:unhideWhenUsed/>
    <w:rsid w:val="008B2D50"/>
    <w:rPr>
      <w:sz w:val="20"/>
      <w:szCs w:val="20"/>
    </w:rPr>
  </w:style>
  <w:style w:type="character" w:customStyle="1" w:styleId="KommentartextZchn">
    <w:name w:val="Kommentartext Zchn"/>
    <w:basedOn w:val="Absatz-Standardschriftart"/>
    <w:link w:val="Kommentartext"/>
    <w:uiPriority w:val="99"/>
    <w:rsid w:val="008B2D50"/>
    <w:rPr>
      <w:sz w:val="20"/>
      <w:szCs w:val="20"/>
    </w:rPr>
  </w:style>
  <w:style w:type="paragraph" w:styleId="Kommentarthema">
    <w:name w:val="annotation subject"/>
    <w:basedOn w:val="Kommentartext"/>
    <w:next w:val="Kommentartext"/>
    <w:link w:val="KommentarthemaZchn"/>
    <w:uiPriority w:val="99"/>
    <w:semiHidden/>
    <w:unhideWhenUsed/>
    <w:rsid w:val="008B2D50"/>
    <w:rPr>
      <w:b/>
      <w:bCs/>
    </w:rPr>
  </w:style>
  <w:style w:type="character" w:customStyle="1" w:styleId="KommentarthemaZchn">
    <w:name w:val="Kommentarthema Zchn"/>
    <w:basedOn w:val="KommentartextZchn"/>
    <w:link w:val="Kommentarthema"/>
    <w:uiPriority w:val="99"/>
    <w:semiHidden/>
    <w:rsid w:val="008B2D50"/>
    <w:rPr>
      <w:b/>
      <w:bCs/>
      <w:sz w:val="20"/>
      <w:szCs w:val="20"/>
    </w:rPr>
  </w:style>
  <w:style w:type="character" w:customStyle="1" w:styleId="cf01">
    <w:name w:val="cf01"/>
    <w:basedOn w:val="Absatz-Standardschriftart"/>
    <w:rsid w:val="00516914"/>
    <w:rPr>
      <w:rFonts w:ascii="Segoe UI" w:hAnsi="Segoe UI" w:cs="Segoe UI" w:hint="default"/>
      <w:sz w:val="18"/>
      <w:szCs w:val="18"/>
    </w:rPr>
  </w:style>
  <w:style w:type="paragraph" w:customStyle="1" w:styleId="EndNoteBibliographyTitle">
    <w:name w:val="EndNote Bibliography Title"/>
    <w:basedOn w:val="Standard"/>
    <w:link w:val="EndNoteBibliographyTitleZchn"/>
    <w:rsid w:val="00EA310F"/>
    <w:pPr>
      <w:jc w:val="center"/>
    </w:pPr>
    <w:rPr>
      <w:noProof/>
    </w:rPr>
  </w:style>
  <w:style w:type="character" w:customStyle="1" w:styleId="EndNoteBibliographyTitleZchn">
    <w:name w:val="EndNote Bibliography Title Zchn"/>
    <w:basedOn w:val="Absatz-Standardschriftart"/>
    <w:link w:val="EndNoteBibliographyTitle"/>
    <w:rsid w:val="00EA310F"/>
    <w:rPr>
      <w:noProof/>
    </w:rPr>
  </w:style>
  <w:style w:type="paragraph" w:customStyle="1" w:styleId="EndNoteBibliography">
    <w:name w:val="EndNote Bibliography"/>
    <w:basedOn w:val="Standard"/>
    <w:link w:val="EndNoteBibliographyZchn"/>
    <w:rsid w:val="00EA310F"/>
    <w:rPr>
      <w:noProof/>
    </w:rPr>
  </w:style>
  <w:style w:type="character" w:customStyle="1" w:styleId="EndNoteBibliographyZchn">
    <w:name w:val="EndNote Bibliography Zchn"/>
    <w:basedOn w:val="Absatz-Standardschriftart"/>
    <w:link w:val="EndNoteBibliography"/>
    <w:rsid w:val="00EA310F"/>
    <w:rPr>
      <w:noProof/>
    </w:rPr>
  </w:style>
  <w:style w:type="paragraph" w:styleId="Sprechblasentext">
    <w:name w:val="Balloon Text"/>
    <w:basedOn w:val="Standard"/>
    <w:link w:val="SprechblasentextZchn"/>
    <w:uiPriority w:val="99"/>
    <w:semiHidden/>
    <w:unhideWhenUsed/>
    <w:rsid w:val="001A6AC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A6ACA"/>
    <w:rPr>
      <w:rFonts w:ascii="Segoe UI" w:hAnsi="Segoe UI" w:cs="Segoe UI"/>
      <w:sz w:val="18"/>
      <w:szCs w:val="18"/>
    </w:rPr>
  </w:style>
  <w:style w:type="paragraph" w:styleId="Aufzhlungszeichen">
    <w:name w:val="List Bullet"/>
    <w:basedOn w:val="Standard"/>
    <w:uiPriority w:val="99"/>
    <w:unhideWhenUsed/>
    <w:rsid w:val="00913EB7"/>
    <w:pPr>
      <w:numPr>
        <w:numId w:val="27"/>
      </w:numPr>
      <w:contextualSpacing/>
    </w:pPr>
  </w:style>
  <w:style w:type="character" w:styleId="NichtaufgelsteErwhnung">
    <w:name w:val="Unresolved Mention"/>
    <w:basedOn w:val="Absatz-Standardschriftart"/>
    <w:uiPriority w:val="99"/>
    <w:semiHidden/>
    <w:unhideWhenUsed/>
    <w:rsid w:val="005459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34012">
      <w:bodyDiv w:val="1"/>
      <w:marLeft w:val="0"/>
      <w:marRight w:val="0"/>
      <w:marTop w:val="0"/>
      <w:marBottom w:val="0"/>
      <w:divBdr>
        <w:top w:val="none" w:sz="0" w:space="0" w:color="auto"/>
        <w:left w:val="none" w:sz="0" w:space="0" w:color="auto"/>
        <w:bottom w:val="none" w:sz="0" w:space="0" w:color="auto"/>
        <w:right w:val="none" w:sz="0" w:space="0" w:color="auto"/>
      </w:divBdr>
    </w:div>
    <w:div w:id="170729747">
      <w:bodyDiv w:val="1"/>
      <w:marLeft w:val="0"/>
      <w:marRight w:val="0"/>
      <w:marTop w:val="0"/>
      <w:marBottom w:val="0"/>
      <w:divBdr>
        <w:top w:val="none" w:sz="0" w:space="0" w:color="auto"/>
        <w:left w:val="none" w:sz="0" w:space="0" w:color="auto"/>
        <w:bottom w:val="none" w:sz="0" w:space="0" w:color="auto"/>
        <w:right w:val="none" w:sz="0" w:space="0" w:color="auto"/>
      </w:divBdr>
    </w:div>
    <w:div w:id="190921293">
      <w:bodyDiv w:val="1"/>
      <w:marLeft w:val="0"/>
      <w:marRight w:val="0"/>
      <w:marTop w:val="0"/>
      <w:marBottom w:val="0"/>
      <w:divBdr>
        <w:top w:val="none" w:sz="0" w:space="0" w:color="auto"/>
        <w:left w:val="none" w:sz="0" w:space="0" w:color="auto"/>
        <w:bottom w:val="none" w:sz="0" w:space="0" w:color="auto"/>
        <w:right w:val="none" w:sz="0" w:space="0" w:color="auto"/>
      </w:divBdr>
    </w:div>
    <w:div w:id="217013370">
      <w:bodyDiv w:val="1"/>
      <w:marLeft w:val="0"/>
      <w:marRight w:val="0"/>
      <w:marTop w:val="0"/>
      <w:marBottom w:val="0"/>
      <w:divBdr>
        <w:top w:val="none" w:sz="0" w:space="0" w:color="auto"/>
        <w:left w:val="none" w:sz="0" w:space="0" w:color="auto"/>
        <w:bottom w:val="none" w:sz="0" w:space="0" w:color="auto"/>
        <w:right w:val="none" w:sz="0" w:space="0" w:color="auto"/>
      </w:divBdr>
    </w:div>
    <w:div w:id="219707249">
      <w:bodyDiv w:val="1"/>
      <w:marLeft w:val="0"/>
      <w:marRight w:val="0"/>
      <w:marTop w:val="0"/>
      <w:marBottom w:val="0"/>
      <w:divBdr>
        <w:top w:val="none" w:sz="0" w:space="0" w:color="auto"/>
        <w:left w:val="none" w:sz="0" w:space="0" w:color="auto"/>
        <w:bottom w:val="none" w:sz="0" w:space="0" w:color="auto"/>
        <w:right w:val="none" w:sz="0" w:space="0" w:color="auto"/>
      </w:divBdr>
    </w:div>
    <w:div w:id="423578201">
      <w:bodyDiv w:val="1"/>
      <w:marLeft w:val="0"/>
      <w:marRight w:val="0"/>
      <w:marTop w:val="0"/>
      <w:marBottom w:val="0"/>
      <w:divBdr>
        <w:top w:val="none" w:sz="0" w:space="0" w:color="auto"/>
        <w:left w:val="none" w:sz="0" w:space="0" w:color="auto"/>
        <w:bottom w:val="none" w:sz="0" w:space="0" w:color="auto"/>
        <w:right w:val="none" w:sz="0" w:space="0" w:color="auto"/>
      </w:divBdr>
    </w:div>
    <w:div w:id="538669871">
      <w:bodyDiv w:val="1"/>
      <w:marLeft w:val="0"/>
      <w:marRight w:val="0"/>
      <w:marTop w:val="0"/>
      <w:marBottom w:val="0"/>
      <w:divBdr>
        <w:top w:val="none" w:sz="0" w:space="0" w:color="auto"/>
        <w:left w:val="none" w:sz="0" w:space="0" w:color="auto"/>
        <w:bottom w:val="none" w:sz="0" w:space="0" w:color="auto"/>
        <w:right w:val="none" w:sz="0" w:space="0" w:color="auto"/>
      </w:divBdr>
    </w:div>
    <w:div w:id="600533018">
      <w:bodyDiv w:val="1"/>
      <w:marLeft w:val="0"/>
      <w:marRight w:val="0"/>
      <w:marTop w:val="0"/>
      <w:marBottom w:val="0"/>
      <w:divBdr>
        <w:top w:val="none" w:sz="0" w:space="0" w:color="auto"/>
        <w:left w:val="none" w:sz="0" w:space="0" w:color="auto"/>
        <w:bottom w:val="none" w:sz="0" w:space="0" w:color="auto"/>
        <w:right w:val="none" w:sz="0" w:space="0" w:color="auto"/>
      </w:divBdr>
    </w:div>
    <w:div w:id="667171707">
      <w:bodyDiv w:val="1"/>
      <w:marLeft w:val="0"/>
      <w:marRight w:val="0"/>
      <w:marTop w:val="0"/>
      <w:marBottom w:val="0"/>
      <w:divBdr>
        <w:top w:val="none" w:sz="0" w:space="0" w:color="auto"/>
        <w:left w:val="none" w:sz="0" w:space="0" w:color="auto"/>
        <w:bottom w:val="none" w:sz="0" w:space="0" w:color="auto"/>
        <w:right w:val="none" w:sz="0" w:space="0" w:color="auto"/>
      </w:divBdr>
    </w:div>
    <w:div w:id="825777089">
      <w:bodyDiv w:val="1"/>
      <w:marLeft w:val="0"/>
      <w:marRight w:val="0"/>
      <w:marTop w:val="0"/>
      <w:marBottom w:val="0"/>
      <w:divBdr>
        <w:top w:val="none" w:sz="0" w:space="0" w:color="auto"/>
        <w:left w:val="none" w:sz="0" w:space="0" w:color="auto"/>
        <w:bottom w:val="none" w:sz="0" w:space="0" w:color="auto"/>
        <w:right w:val="none" w:sz="0" w:space="0" w:color="auto"/>
      </w:divBdr>
    </w:div>
    <w:div w:id="861020036">
      <w:bodyDiv w:val="1"/>
      <w:marLeft w:val="0"/>
      <w:marRight w:val="0"/>
      <w:marTop w:val="0"/>
      <w:marBottom w:val="0"/>
      <w:divBdr>
        <w:top w:val="none" w:sz="0" w:space="0" w:color="auto"/>
        <w:left w:val="none" w:sz="0" w:space="0" w:color="auto"/>
        <w:bottom w:val="none" w:sz="0" w:space="0" w:color="auto"/>
        <w:right w:val="none" w:sz="0" w:space="0" w:color="auto"/>
      </w:divBdr>
    </w:div>
    <w:div w:id="972293865">
      <w:bodyDiv w:val="1"/>
      <w:marLeft w:val="0"/>
      <w:marRight w:val="0"/>
      <w:marTop w:val="0"/>
      <w:marBottom w:val="0"/>
      <w:divBdr>
        <w:top w:val="none" w:sz="0" w:space="0" w:color="auto"/>
        <w:left w:val="none" w:sz="0" w:space="0" w:color="auto"/>
        <w:bottom w:val="none" w:sz="0" w:space="0" w:color="auto"/>
        <w:right w:val="none" w:sz="0" w:space="0" w:color="auto"/>
      </w:divBdr>
    </w:div>
    <w:div w:id="998965521">
      <w:bodyDiv w:val="1"/>
      <w:marLeft w:val="0"/>
      <w:marRight w:val="0"/>
      <w:marTop w:val="0"/>
      <w:marBottom w:val="0"/>
      <w:divBdr>
        <w:top w:val="none" w:sz="0" w:space="0" w:color="auto"/>
        <w:left w:val="none" w:sz="0" w:space="0" w:color="auto"/>
        <w:bottom w:val="none" w:sz="0" w:space="0" w:color="auto"/>
        <w:right w:val="none" w:sz="0" w:space="0" w:color="auto"/>
      </w:divBdr>
    </w:div>
    <w:div w:id="1136341094">
      <w:bodyDiv w:val="1"/>
      <w:marLeft w:val="0"/>
      <w:marRight w:val="0"/>
      <w:marTop w:val="0"/>
      <w:marBottom w:val="0"/>
      <w:divBdr>
        <w:top w:val="none" w:sz="0" w:space="0" w:color="auto"/>
        <w:left w:val="none" w:sz="0" w:space="0" w:color="auto"/>
        <w:bottom w:val="none" w:sz="0" w:space="0" w:color="auto"/>
        <w:right w:val="none" w:sz="0" w:space="0" w:color="auto"/>
      </w:divBdr>
    </w:div>
    <w:div w:id="1808476688">
      <w:bodyDiv w:val="1"/>
      <w:marLeft w:val="0"/>
      <w:marRight w:val="0"/>
      <w:marTop w:val="0"/>
      <w:marBottom w:val="0"/>
      <w:divBdr>
        <w:top w:val="none" w:sz="0" w:space="0" w:color="auto"/>
        <w:left w:val="none" w:sz="0" w:space="0" w:color="auto"/>
        <w:bottom w:val="none" w:sz="0" w:space="0" w:color="auto"/>
        <w:right w:val="none" w:sz="0" w:space="0" w:color="auto"/>
      </w:divBdr>
    </w:div>
    <w:div w:id="1830755610">
      <w:bodyDiv w:val="1"/>
      <w:marLeft w:val="0"/>
      <w:marRight w:val="0"/>
      <w:marTop w:val="0"/>
      <w:marBottom w:val="0"/>
      <w:divBdr>
        <w:top w:val="none" w:sz="0" w:space="0" w:color="auto"/>
        <w:left w:val="none" w:sz="0" w:space="0" w:color="auto"/>
        <w:bottom w:val="none" w:sz="0" w:space="0" w:color="auto"/>
        <w:right w:val="none" w:sz="0" w:space="0" w:color="auto"/>
      </w:divBdr>
    </w:div>
    <w:div w:id="1961524567">
      <w:bodyDiv w:val="1"/>
      <w:marLeft w:val="0"/>
      <w:marRight w:val="0"/>
      <w:marTop w:val="0"/>
      <w:marBottom w:val="0"/>
      <w:divBdr>
        <w:top w:val="none" w:sz="0" w:space="0" w:color="auto"/>
        <w:left w:val="none" w:sz="0" w:space="0" w:color="auto"/>
        <w:bottom w:val="none" w:sz="0" w:space="0" w:color="auto"/>
        <w:right w:val="none" w:sz="0" w:space="0" w:color="auto"/>
      </w:divBdr>
    </w:div>
    <w:div w:id="1990747579">
      <w:bodyDiv w:val="1"/>
      <w:marLeft w:val="0"/>
      <w:marRight w:val="0"/>
      <w:marTop w:val="0"/>
      <w:marBottom w:val="0"/>
      <w:divBdr>
        <w:top w:val="none" w:sz="0" w:space="0" w:color="auto"/>
        <w:left w:val="none" w:sz="0" w:space="0" w:color="auto"/>
        <w:bottom w:val="none" w:sz="0" w:space="0" w:color="auto"/>
        <w:right w:val="none" w:sz="0" w:space="0" w:color="auto"/>
      </w:divBdr>
    </w:div>
    <w:div w:id="1999575602">
      <w:bodyDiv w:val="1"/>
      <w:marLeft w:val="0"/>
      <w:marRight w:val="0"/>
      <w:marTop w:val="0"/>
      <w:marBottom w:val="0"/>
      <w:divBdr>
        <w:top w:val="none" w:sz="0" w:space="0" w:color="auto"/>
        <w:left w:val="none" w:sz="0" w:space="0" w:color="auto"/>
        <w:bottom w:val="none" w:sz="0" w:space="0" w:color="auto"/>
        <w:right w:val="none" w:sz="0" w:space="0" w:color="auto"/>
      </w:divBdr>
    </w:div>
    <w:div w:id="21228428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5F701-73CC-473E-B070-6F79730A7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7413</Words>
  <Characters>46704</Characters>
  <Application>Microsoft Office Word</Application>
  <DocSecurity>0</DocSecurity>
  <Lines>389</Lines>
  <Paragraphs>108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2026-03-10T07:46:00Z</dcterms:created>
  <dcterms:modified xsi:type="dcterms:W3CDTF">2026-03-10T07:48:00Z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