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DA89" w14:textId="414AA8A9" w:rsidR="00AC0F79" w:rsidRPr="00AC0F79" w:rsidRDefault="00AC0F79" w:rsidP="00602F80">
      <w:pPr>
        <w:jc w:val="both"/>
        <w:rPr>
          <w:rFonts w:ascii="Calibri" w:hAnsi="Calibri" w:cs="Calibri"/>
          <w:b/>
          <w:bCs/>
        </w:rPr>
      </w:pPr>
      <w:r w:rsidRPr="00AC0F79">
        <w:rPr>
          <w:rFonts w:ascii="Calibri" w:hAnsi="Calibri" w:cs="Calibri"/>
          <w:b/>
          <w:bCs/>
        </w:rPr>
        <w:t xml:space="preserve">TITLE: </w:t>
      </w:r>
    </w:p>
    <w:p w14:paraId="574C21EE" w14:textId="3C284FEC" w:rsidR="00BF36AA" w:rsidRPr="00800BBC" w:rsidRDefault="00F413A8" w:rsidP="00602F80">
      <w:pPr>
        <w:jc w:val="both"/>
        <w:rPr>
          <w:rFonts w:ascii="Calibri" w:hAnsi="Calibri" w:cs="Calibri"/>
        </w:rPr>
      </w:pPr>
      <w:r w:rsidRPr="00800BBC">
        <w:rPr>
          <w:rFonts w:ascii="Calibri" w:hAnsi="Calibri" w:cs="Calibri"/>
        </w:rPr>
        <w:t xml:space="preserve">Metagenomic </w:t>
      </w:r>
      <w:r w:rsidR="002169BF" w:rsidRPr="00800BBC">
        <w:rPr>
          <w:rFonts w:ascii="Calibri" w:hAnsi="Calibri" w:cs="Calibri"/>
        </w:rPr>
        <w:t>N</w:t>
      </w:r>
      <w:r w:rsidRPr="00800BBC">
        <w:rPr>
          <w:rFonts w:ascii="Calibri" w:hAnsi="Calibri" w:cs="Calibri"/>
        </w:rPr>
        <w:t>ext</w:t>
      </w:r>
      <w:r w:rsidR="00E31253" w:rsidRPr="00800BBC">
        <w:rPr>
          <w:rFonts w:ascii="Calibri" w:hAnsi="Calibri" w:cs="Calibri"/>
        </w:rPr>
        <w:t>-</w:t>
      </w:r>
      <w:r w:rsidR="002169BF" w:rsidRPr="00800BBC">
        <w:rPr>
          <w:rFonts w:ascii="Calibri" w:hAnsi="Calibri" w:cs="Calibri"/>
        </w:rPr>
        <w:t>G</w:t>
      </w:r>
      <w:r w:rsidRPr="00800BBC">
        <w:rPr>
          <w:rFonts w:ascii="Calibri" w:hAnsi="Calibri" w:cs="Calibri"/>
        </w:rPr>
        <w:t xml:space="preserve">eneration </w:t>
      </w:r>
      <w:r w:rsidR="002169BF" w:rsidRPr="00800BBC">
        <w:rPr>
          <w:rFonts w:ascii="Calibri" w:hAnsi="Calibri" w:cs="Calibri"/>
        </w:rPr>
        <w:t>S</w:t>
      </w:r>
      <w:r w:rsidRPr="00800BBC">
        <w:rPr>
          <w:rFonts w:ascii="Calibri" w:hAnsi="Calibri" w:cs="Calibri"/>
        </w:rPr>
        <w:t xml:space="preserve">equencing of </w:t>
      </w:r>
      <w:r w:rsidR="002169BF" w:rsidRPr="00800BBC">
        <w:rPr>
          <w:rFonts w:ascii="Calibri" w:hAnsi="Calibri" w:cs="Calibri"/>
        </w:rPr>
        <w:t>C</w:t>
      </w:r>
      <w:r w:rsidRPr="00800BBC">
        <w:rPr>
          <w:rFonts w:ascii="Calibri" w:hAnsi="Calibri" w:cs="Calibri"/>
        </w:rPr>
        <w:t xml:space="preserve">erebrospinal </w:t>
      </w:r>
      <w:r w:rsidR="002169BF" w:rsidRPr="00800BBC">
        <w:rPr>
          <w:rFonts w:ascii="Calibri" w:hAnsi="Calibri" w:cs="Calibri"/>
        </w:rPr>
        <w:t>F</w:t>
      </w:r>
      <w:r w:rsidRPr="00800BBC">
        <w:rPr>
          <w:rFonts w:ascii="Calibri" w:hAnsi="Calibri" w:cs="Calibri"/>
        </w:rPr>
        <w:t xml:space="preserve">luid for the </w:t>
      </w:r>
      <w:r w:rsidR="002169BF" w:rsidRPr="00800BBC">
        <w:rPr>
          <w:rFonts w:ascii="Calibri" w:hAnsi="Calibri" w:cs="Calibri"/>
        </w:rPr>
        <w:t>D</w:t>
      </w:r>
      <w:r w:rsidRPr="00800BBC">
        <w:rPr>
          <w:rFonts w:ascii="Calibri" w:hAnsi="Calibri" w:cs="Calibri"/>
        </w:rPr>
        <w:t xml:space="preserve">etection of </w:t>
      </w:r>
      <w:r w:rsidR="00FE03BA" w:rsidRPr="00800BBC">
        <w:rPr>
          <w:rFonts w:ascii="Calibri" w:hAnsi="Calibri" w:cs="Calibri"/>
        </w:rPr>
        <w:t xml:space="preserve">Central Nervous System </w:t>
      </w:r>
      <w:r w:rsidR="002169BF" w:rsidRPr="00800BBC">
        <w:rPr>
          <w:rFonts w:ascii="Calibri" w:hAnsi="Calibri" w:cs="Calibri"/>
        </w:rPr>
        <w:t>P</w:t>
      </w:r>
      <w:r w:rsidRPr="00800BBC">
        <w:rPr>
          <w:rFonts w:ascii="Calibri" w:hAnsi="Calibri" w:cs="Calibri"/>
        </w:rPr>
        <w:t>athogens</w:t>
      </w:r>
    </w:p>
    <w:p w14:paraId="13F0ED40" w14:textId="77777777" w:rsidR="00D9516B" w:rsidRDefault="00D9516B" w:rsidP="00602F80">
      <w:pPr>
        <w:jc w:val="both"/>
        <w:rPr>
          <w:rFonts w:ascii="Calibri" w:hAnsi="Calibri" w:cs="Calibri"/>
        </w:rPr>
      </w:pPr>
    </w:p>
    <w:p w14:paraId="7EE308BA" w14:textId="5DA9B4B1" w:rsidR="00AC0F79" w:rsidRPr="00AC0F79" w:rsidRDefault="00AC0F79" w:rsidP="00602F80">
      <w:pPr>
        <w:jc w:val="both"/>
        <w:rPr>
          <w:rFonts w:ascii="Calibri" w:hAnsi="Calibri" w:cs="Calibri"/>
          <w:b/>
          <w:bCs/>
        </w:rPr>
      </w:pPr>
      <w:r w:rsidRPr="00AC0F79">
        <w:rPr>
          <w:rFonts w:ascii="Calibri" w:hAnsi="Calibri" w:cs="Calibri"/>
          <w:b/>
          <w:bCs/>
        </w:rPr>
        <w:t>AUTHORS AND AFFILIATIONS:</w:t>
      </w:r>
    </w:p>
    <w:p w14:paraId="1EBE844D" w14:textId="6B3F8149" w:rsidR="00BF36AA" w:rsidRPr="00800BBC" w:rsidRDefault="00BF36AA" w:rsidP="00602F80">
      <w:pPr>
        <w:jc w:val="both"/>
        <w:rPr>
          <w:rFonts w:ascii="Calibri" w:hAnsi="Calibri" w:cs="Calibri"/>
        </w:rPr>
      </w:pPr>
      <w:r w:rsidRPr="00800BBC">
        <w:rPr>
          <w:rFonts w:ascii="Calibri" w:hAnsi="Calibri" w:cs="Calibri"/>
        </w:rPr>
        <w:t>Sumanth P. Reddy</w:t>
      </w:r>
      <w:r w:rsidRPr="00800BBC">
        <w:rPr>
          <w:rFonts w:ascii="Calibri" w:hAnsi="Calibri" w:cs="Calibri"/>
          <w:vertAlign w:val="superscript"/>
        </w:rPr>
        <w:t>1</w:t>
      </w:r>
      <w:r w:rsidR="002D7985">
        <w:rPr>
          <w:rFonts w:ascii="Calibri" w:hAnsi="Calibri" w:cs="Calibri"/>
        </w:rPr>
        <w:t>,</w:t>
      </w:r>
      <w:r w:rsidRPr="00800BBC">
        <w:rPr>
          <w:rFonts w:ascii="Calibri" w:hAnsi="Calibri" w:cs="Calibri"/>
        </w:rPr>
        <w:t xml:space="preserve"> </w:t>
      </w:r>
      <w:r w:rsidR="00643E5F" w:rsidRPr="00800BBC">
        <w:rPr>
          <w:rFonts w:ascii="Calibri" w:hAnsi="Calibri" w:cs="Calibri"/>
        </w:rPr>
        <w:t>Jarod Morg</w:t>
      </w:r>
      <w:r w:rsidR="00E31253" w:rsidRPr="00800BBC">
        <w:rPr>
          <w:rFonts w:ascii="Calibri" w:hAnsi="Calibri" w:cs="Calibri"/>
        </w:rPr>
        <w:t>e</w:t>
      </w:r>
      <w:r w:rsidR="00643E5F" w:rsidRPr="00800BBC">
        <w:rPr>
          <w:rFonts w:ascii="Calibri" w:hAnsi="Calibri" w:cs="Calibri"/>
        </w:rPr>
        <w:t>nroth-Rebin</w:t>
      </w:r>
      <w:r w:rsidR="00643E5F" w:rsidRPr="00800BBC">
        <w:rPr>
          <w:rFonts w:ascii="Calibri" w:hAnsi="Calibri" w:cs="Calibri"/>
          <w:vertAlign w:val="superscript"/>
        </w:rPr>
        <w:t>1</w:t>
      </w:r>
      <w:r w:rsidR="00716AAD">
        <w:rPr>
          <w:rFonts w:ascii="Calibri" w:hAnsi="Calibri" w:cs="Calibri"/>
        </w:rPr>
        <w:t>,</w:t>
      </w:r>
      <w:r w:rsidR="002F60D9">
        <w:rPr>
          <w:rFonts w:ascii="Calibri" w:hAnsi="Calibri" w:cs="Calibri"/>
        </w:rPr>
        <w:t xml:space="preserve"> </w:t>
      </w:r>
      <w:proofErr w:type="spellStart"/>
      <w:r w:rsidR="00FD47D2" w:rsidRPr="00800BBC">
        <w:rPr>
          <w:rFonts w:ascii="Calibri" w:hAnsi="Calibri" w:cs="Calibri"/>
        </w:rPr>
        <w:t>Shiyin</w:t>
      </w:r>
      <w:proofErr w:type="spellEnd"/>
      <w:r w:rsidR="00FD47D2" w:rsidRPr="00800BBC">
        <w:rPr>
          <w:rFonts w:ascii="Calibri" w:hAnsi="Calibri" w:cs="Calibri"/>
        </w:rPr>
        <w:t xml:space="preserve"> </w:t>
      </w:r>
      <w:r w:rsidR="00643E5F" w:rsidRPr="00800BBC">
        <w:rPr>
          <w:rFonts w:ascii="Calibri" w:hAnsi="Calibri" w:cs="Calibri"/>
        </w:rPr>
        <w:t>Wang</w:t>
      </w:r>
      <w:r w:rsidR="00643E5F" w:rsidRPr="00800BBC">
        <w:rPr>
          <w:rFonts w:ascii="Calibri" w:hAnsi="Calibri" w:cs="Calibri"/>
          <w:vertAlign w:val="superscript"/>
        </w:rPr>
        <w:t>1</w:t>
      </w:r>
      <w:r w:rsidR="00716AAD">
        <w:rPr>
          <w:rFonts w:ascii="Calibri" w:hAnsi="Calibri" w:cs="Calibri"/>
        </w:rPr>
        <w:t>,</w:t>
      </w:r>
      <w:r w:rsidR="00643E5F" w:rsidRPr="00800BBC">
        <w:rPr>
          <w:rFonts w:ascii="Calibri" w:hAnsi="Calibri" w:cs="Calibri"/>
        </w:rPr>
        <w:t xml:space="preserve"> </w:t>
      </w:r>
      <w:r w:rsidR="00F413A8" w:rsidRPr="00800BBC">
        <w:rPr>
          <w:rFonts w:ascii="Calibri" w:hAnsi="Calibri" w:cs="Calibri"/>
        </w:rPr>
        <w:t xml:space="preserve">Michael </w:t>
      </w:r>
      <w:r w:rsidR="007C3292">
        <w:rPr>
          <w:rFonts w:ascii="Calibri" w:hAnsi="Calibri" w:cs="Calibri"/>
        </w:rPr>
        <w:t xml:space="preserve">R. </w:t>
      </w:r>
      <w:r w:rsidR="00F413A8" w:rsidRPr="00800BBC">
        <w:rPr>
          <w:rFonts w:ascii="Calibri" w:hAnsi="Calibri" w:cs="Calibri"/>
        </w:rPr>
        <w:t>Wilson</w:t>
      </w:r>
      <w:r w:rsidRPr="00800BBC">
        <w:rPr>
          <w:rFonts w:ascii="Calibri" w:hAnsi="Calibri" w:cs="Calibri"/>
          <w:vertAlign w:val="superscript"/>
        </w:rPr>
        <w:t>1</w:t>
      </w:r>
    </w:p>
    <w:p w14:paraId="0DE6337A" w14:textId="77777777" w:rsidR="00BF36AA" w:rsidRPr="00800BBC" w:rsidRDefault="00BF36AA" w:rsidP="00602F80">
      <w:pPr>
        <w:jc w:val="both"/>
        <w:rPr>
          <w:rFonts w:ascii="Calibri" w:hAnsi="Calibri" w:cs="Calibri"/>
          <w:vertAlign w:val="superscript"/>
        </w:rPr>
      </w:pPr>
    </w:p>
    <w:p w14:paraId="39BE1EE4" w14:textId="4CA5D4EA" w:rsidR="00BF36AA" w:rsidRDefault="00BF36AA" w:rsidP="00602F80">
      <w:pPr>
        <w:jc w:val="both"/>
        <w:rPr>
          <w:rFonts w:ascii="Calibri" w:hAnsi="Calibri" w:cs="Calibri"/>
        </w:rPr>
      </w:pPr>
      <w:r w:rsidRPr="00800BBC">
        <w:rPr>
          <w:rFonts w:ascii="Calibri" w:hAnsi="Calibri" w:cs="Calibri"/>
          <w:vertAlign w:val="superscript"/>
        </w:rPr>
        <w:t>1</w:t>
      </w:r>
      <w:r w:rsidR="00245AC8" w:rsidRPr="00800BBC">
        <w:rPr>
          <w:rFonts w:ascii="Calibri" w:hAnsi="Calibri" w:cs="Calibri"/>
        </w:rPr>
        <w:t>University of California</w:t>
      </w:r>
      <w:r w:rsidR="00AC0F79">
        <w:rPr>
          <w:rFonts w:ascii="Calibri" w:hAnsi="Calibri" w:cs="Calibri"/>
        </w:rPr>
        <w:t>,</w:t>
      </w:r>
      <w:r w:rsidR="00245AC8" w:rsidRPr="00800BBC">
        <w:rPr>
          <w:rFonts w:ascii="Calibri" w:hAnsi="Calibri" w:cs="Calibri"/>
        </w:rPr>
        <w:t xml:space="preserve"> San Francisco</w:t>
      </w:r>
      <w:r w:rsidRPr="00800BBC">
        <w:rPr>
          <w:rFonts w:ascii="Calibri" w:hAnsi="Calibri" w:cs="Calibri"/>
        </w:rPr>
        <w:t xml:space="preserve"> Weill Institute for Neurosciences, Department of Neurology, University of California, San Francisco</w:t>
      </w:r>
      <w:r w:rsidR="00AC0F79">
        <w:rPr>
          <w:rFonts w:ascii="Calibri" w:hAnsi="Calibri" w:cs="Calibri"/>
        </w:rPr>
        <w:t>.</w:t>
      </w:r>
    </w:p>
    <w:p w14:paraId="3BD91E3C" w14:textId="77777777" w:rsidR="00AC0F79" w:rsidRPr="00AC0F79" w:rsidRDefault="00AC0F79" w:rsidP="00602F80">
      <w:pPr>
        <w:jc w:val="both"/>
        <w:rPr>
          <w:rFonts w:ascii="Calibri" w:hAnsi="Calibri" w:cs="Calibri"/>
        </w:rPr>
      </w:pPr>
    </w:p>
    <w:p w14:paraId="79A43910" w14:textId="77777777" w:rsidR="00AC0F79" w:rsidRPr="00AC0F79" w:rsidRDefault="00AC0F79" w:rsidP="00602F80">
      <w:pPr>
        <w:jc w:val="both"/>
        <w:rPr>
          <w:rFonts w:ascii="Calibri" w:hAnsi="Calibri" w:cs="Calibri"/>
          <w:color w:val="000000" w:themeColor="text1"/>
        </w:rPr>
      </w:pPr>
      <w:r w:rsidRPr="00AC0F79">
        <w:rPr>
          <w:rFonts w:ascii="Calibri" w:hAnsi="Calibri" w:cs="Calibri"/>
          <w:color w:val="000000" w:themeColor="text1"/>
        </w:rPr>
        <w:t xml:space="preserve">Email addresses of co-authors: </w:t>
      </w:r>
    </w:p>
    <w:p w14:paraId="437319FE" w14:textId="7BB108DA" w:rsidR="00AC0F79" w:rsidRPr="002D7985" w:rsidRDefault="00AC0F79" w:rsidP="00602F80">
      <w:pPr>
        <w:jc w:val="both"/>
        <w:rPr>
          <w:rFonts w:ascii="Calibri" w:hAnsi="Calibri" w:cs="Calibri"/>
          <w:color w:val="000000" w:themeColor="text1"/>
          <w:lang w:val="pt-BR"/>
        </w:rPr>
      </w:pPr>
      <w:r w:rsidRPr="002D7985">
        <w:rPr>
          <w:rFonts w:ascii="Calibri" w:hAnsi="Calibri" w:cs="Calibri"/>
          <w:color w:val="000000" w:themeColor="text1"/>
          <w:lang w:val="pt-BR"/>
        </w:rPr>
        <w:t>Jarod Morgenroth-Rebin</w:t>
      </w:r>
      <w:r w:rsidRPr="002D7985">
        <w:rPr>
          <w:rFonts w:ascii="Calibri" w:hAnsi="Calibri" w:cs="Calibri"/>
          <w:color w:val="000000" w:themeColor="text1"/>
          <w:lang w:val="pt-BR"/>
        </w:rPr>
        <w:tab/>
      </w:r>
      <w:r w:rsidRPr="002D7985">
        <w:rPr>
          <w:rFonts w:ascii="Calibri" w:hAnsi="Calibri" w:cs="Calibri"/>
          <w:color w:val="000000" w:themeColor="text1"/>
          <w:lang w:val="pt-BR"/>
        </w:rPr>
        <w:tab/>
        <w:t>(</w:t>
      </w:r>
      <w:r w:rsidR="007C3292" w:rsidRPr="002D7985">
        <w:rPr>
          <w:rFonts w:ascii="Calibri" w:hAnsi="Calibri" w:cs="Calibri"/>
          <w:color w:val="000000" w:themeColor="text1"/>
          <w:lang w:val="pt-BR"/>
        </w:rPr>
        <w:t>jarod.morgenrothrebin@ucsf.edu)</w:t>
      </w:r>
    </w:p>
    <w:p w14:paraId="4F08A76D" w14:textId="4AB0A7B5" w:rsidR="00AC0F79" w:rsidRPr="00AC0F79" w:rsidRDefault="00AC0F79" w:rsidP="00602F80">
      <w:pPr>
        <w:jc w:val="both"/>
        <w:rPr>
          <w:rFonts w:ascii="Calibri" w:hAnsi="Calibri" w:cs="Calibri"/>
          <w:color w:val="000000" w:themeColor="text1"/>
        </w:rPr>
      </w:pPr>
      <w:proofErr w:type="spellStart"/>
      <w:r w:rsidRPr="00AC0F79">
        <w:rPr>
          <w:rFonts w:ascii="Calibri" w:hAnsi="Calibri" w:cs="Calibri"/>
          <w:color w:val="000000" w:themeColor="text1"/>
        </w:rPr>
        <w:t>Shiyin</w:t>
      </w:r>
      <w:proofErr w:type="spellEnd"/>
      <w:r w:rsidRPr="00AC0F79">
        <w:rPr>
          <w:rFonts w:ascii="Calibri" w:hAnsi="Calibri" w:cs="Calibri"/>
          <w:color w:val="000000" w:themeColor="text1"/>
        </w:rPr>
        <w:t xml:space="preserve"> Wang</w:t>
      </w:r>
      <w:r w:rsidRPr="00AC0F79">
        <w:rPr>
          <w:rFonts w:ascii="Calibri" w:hAnsi="Calibri" w:cs="Calibri"/>
          <w:color w:val="000000" w:themeColor="text1"/>
        </w:rPr>
        <w:tab/>
      </w:r>
      <w:r w:rsidRPr="00AC0F79">
        <w:rPr>
          <w:rFonts w:ascii="Calibri" w:hAnsi="Calibri" w:cs="Calibri"/>
          <w:color w:val="000000" w:themeColor="text1"/>
        </w:rPr>
        <w:tab/>
      </w:r>
      <w:r w:rsidRPr="00AC0F79">
        <w:rPr>
          <w:rFonts w:ascii="Calibri" w:hAnsi="Calibri" w:cs="Calibri"/>
          <w:color w:val="000000" w:themeColor="text1"/>
        </w:rPr>
        <w:tab/>
      </w:r>
      <w:r w:rsidRPr="00AC0F79">
        <w:rPr>
          <w:rFonts w:ascii="Calibri" w:hAnsi="Calibri" w:cs="Calibri"/>
          <w:color w:val="000000" w:themeColor="text1"/>
        </w:rPr>
        <w:tab/>
        <w:t>(</w:t>
      </w:r>
      <w:r w:rsidR="007C3292">
        <w:rPr>
          <w:rFonts w:ascii="Calibri" w:hAnsi="Calibri" w:cs="Calibri"/>
          <w:color w:val="000000" w:themeColor="text1"/>
        </w:rPr>
        <w:t>s</w:t>
      </w:r>
      <w:r w:rsidR="007C3292" w:rsidRPr="007C3292">
        <w:rPr>
          <w:rFonts w:ascii="Calibri" w:hAnsi="Calibri" w:cs="Calibri"/>
          <w:color w:val="000000" w:themeColor="text1"/>
        </w:rPr>
        <w:t>hiyin.wang2@ucsf.edu</w:t>
      </w:r>
      <w:r w:rsidR="007C3292">
        <w:rPr>
          <w:rFonts w:ascii="Calibri" w:hAnsi="Calibri" w:cs="Calibri"/>
          <w:color w:val="000000" w:themeColor="text1"/>
        </w:rPr>
        <w:t>)</w:t>
      </w:r>
    </w:p>
    <w:p w14:paraId="10AD4111" w14:textId="223A6046" w:rsidR="00AC0F79" w:rsidRPr="00AC0F79" w:rsidRDefault="00AC0F79" w:rsidP="00602F80">
      <w:pPr>
        <w:jc w:val="both"/>
        <w:rPr>
          <w:rFonts w:ascii="Calibri" w:hAnsi="Calibri" w:cs="Calibri"/>
          <w:color w:val="000000" w:themeColor="text1"/>
        </w:rPr>
      </w:pPr>
      <w:r w:rsidRPr="00AC0F79">
        <w:rPr>
          <w:rFonts w:ascii="Calibri" w:hAnsi="Calibri" w:cs="Calibri"/>
          <w:color w:val="000000" w:themeColor="text1"/>
        </w:rPr>
        <w:t>Michael</w:t>
      </w:r>
      <w:r w:rsidR="007C3292">
        <w:rPr>
          <w:rFonts w:ascii="Calibri" w:hAnsi="Calibri" w:cs="Calibri"/>
          <w:color w:val="000000" w:themeColor="text1"/>
        </w:rPr>
        <w:t xml:space="preserve"> R.</w:t>
      </w:r>
      <w:r w:rsidRPr="00AC0F79">
        <w:rPr>
          <w:rFonts w:ascii="Calibri" w:hAnsi="Calibri" w:cs="Calibri"/>
          <w:color w:val="000000" w:themeColor="text1"/>
        </w:rPr>
        <w:t xml:space="preserve"> Wilson</w:t>
      </w:r>
      <w:r w:rsidRPr="00AC0F79">
        <w:rPr>
          <w:rFonts w:ascii="Calibri" w:hAnsi="Calibri" w:cs="Calibri"/>
          <w:color w:val="000000" w:themeColor="text1"/>
        </w:rPr>
        <w:tab/>
      </w:r>
      <w:r w:rsidRPr="00AC0F79">
        <w:rPr>
          <w:rFonts w:ascii="Calibri" w:hAnsi="Calibri" w:cs="Calibri"/>
          <w:color w:val="000000" w:themeColor="text1"/>
        </w:rPr>
        <w:tab/>
      </w:r>
      <w:r w:rsidRPr="00AC0F79">
        <w:rPr>
          <w:rFonts w:ascii="Calibri" w:hAnsi="Calibri" w:cs="Calibri"/>
          <w:color w:val="000000" w:themeColor="text1"/>
        </w:rPr>
        <w:tab/>
      </w:r>
      <w:r w:rsidR="007C3292">
        <w:rPr>
          <w:rFonts w:ascii="Calibri" w:hAnsi="Calibri" w:cs="Calibri"/>
          <w:color w:val="000000" w:themeColor="text1"/>
        </w:rPr>
        <w:t>(</w:t>
      </w:r>
      <w:r w:rsidR="007C3292" w:rsidRPr="007C3292">
        <w:rPr>
          <w:rFonts w:ascii="Calibri" w:hAnsi="Calibri" w:cs="Calibri"/>
          <w:color w:val="000000" w:themeColor="text1"/>
        </w:rPr>
        <w:t>michael.wilson@ucsf.edu</w:t>
      </w:r>
      <w:r w:rsidR="007C3292">
        <w:rPr>
          <w:rFonts w:ascii="Calibri" w:hAnsi="Calibri" w:cs="Calibri"/>
          <w:color w:val="000000" w:themeColor="text1"/>
        </w:rPr>
        <w:t>)</w:t>
      </w:r>
    </w:p>
    <w:p w14:paraId="7A74E172" w14:textId="77777777" w:rsidR="00AC0F79" w:rsidRPr="00AC0F79" w:rsidRDefault="00AC0F79" w:rsidP="00602F80">
      <w:pPr>
        <w:jc w:val="both"/>
        <w:rPr>
          <w:rFonts w:ascii="Calibri" w:hAnsi="Calibri" w:cs="Calibri"/>
          <w:color w:val="000000" w:themeColor="text1"/>
        </w:rPr>
      </w:pPr>
    </w:p>
    <w:p w14:paraId="4DB3DA7B" w14:textId="4CBE711C" w:rsidR="00BF36AA" w:rsidRPr="00AC0F79" w:rsidRDefault="00BF36AA" w:rsidP="00602F80">
      <w:pPr>
        <w:jc w:val="both"/>
        <w:rPr>
          <w:rFonts w:ascii="Calibri" w:hAnsi="Calibri" w:cs="Calibri"/>
          <w:color w:val="000000" w:themeColor="text1"/>
        </w:rPr>
      </w:pPr>
      <w:r w:rsidRPr="00AC0F79">
        <w:rPr>
          <w:rFonts w:ascii="Calibri" w:hAnsi="Calibri" w:cs="Calibri"/>
          <w:color w:val="000000" w:themeColor="text1"/>
        </w:rPr>
        <w:t xml:space="preserve">Corresponding </w:t>
      </w:r>
      <w:r w:rsidR="00AC0F79" w:rsidRPr="00AC0F79">
        <w:rPr>
          <w:rFonts w:ascii="Calibri" w:hAnsi="Calibri" w:cs="Calibri"/>
          <w:color w:val="000000" w:themeColor="text1"/>
        </w:rPr>
        <w:t>a</w:t>
      </w:r>
      <w:r w:rsidRPr="00AC0F79">
        <w:rPr>
          <w:rFonts w:ascii="Calibri" w:hAnsi="Calibri" w:cs="Calibri"/>
          <w:color w:val="000000" w:themeColor="text1"/>
        </w:rPr>
        <w:t>uthor:</w:t>
      </w:r>
    </w:p>
    <w:p w14:paraId="0ECBF99B" w14:textId="6E91CBA0" w:rsidR="00BF36AA" w:rsidRPr="00800BBC" w:rsidRDefault="00BF36AA" w:rsidP="00602F80">
      <w:pPr>
        <w:jc w:val="both"/>
        <w:rPr>
          <w:rFonts w:ascii="Calibri" w:hAnsi="Calibri" w:cs="Calibri"/>
          <w:bCs/>
          <w:color w:val="000000" w:themeColor="text1"/>
        </w:rPr>
      </w:pPr>
      <w:r w:rsidRPr="00AC0F79">
        <w:rPr>
          <w:rFonts w:ascii="Calibri" w:hAnsi="Calibri" w:cs="Calibri"/>
          <w:color w:val="000000" w:themeColor="text1"/>
        </w:rPr>
        <w:t>Sumanth P. Reddy</w:t>
      </w:r>
      <w:r w:rsidR="00AC0F79">
        <w:rPr>
          <w:rFonts w:ascii="Calibri" w:hAnsi="Calibri" w:cs="Calibri"/>
          <w:bCs/>
          <w:color w:val="000000" w:themeColor="text1"/>
        </w:rPr>
        <w:tab/>
      </w:r>
      <w:r w:rsidR="00AC0F79">
        <w:rPr>
          <w:rFonts w:ascii="Calibri" w:hAnsi="Calibri" w:cs="Calibri"/>
          <w:bCs/>
          <w:color w:val="000000" w:themeColor="text1"/>
        </w:rPr>
        <w:tab/>
      </w:r>
      <w:r w:rsidR="00AC0F79">
        <w:rPr>
          <w:rFonts w:ascii="Calibri" w:hAnsi="Calibri" w:cs="Calibri"/>
          <w:bCs/>
          <w:color w:val="000000" w:themeColor="text1"/>
        </w:rPr>
        <w:tab/>
        <w:t>(</w:t>
      </w:r>
      <w:hyperlink r:id="rId7" w:history="1">
        <w:r w:rsidR="00AC0F79" w:rsidRPr="00B056F2">
          <w:rPr>
            <w:rStyle w:val="Hyperlink"/>
            <w:rFonts w:ascii="Calibri" w:hAnsi="Calibri" w:cs="Calibri"/>
            <w:bCs/>
          </w:rPr>
          <w:t>Sumanth.Reddy@ucsf.edu</w:t>
        </w:r>
      </w:hyperlink>
      <w:r w:rsidR="00AC0F79">
        <w:rPr>
          <w:rFonts w:ascii="Calibri" w:hAnsi="Calibri" w:cs="Calibri"/>
          <w:bCs/>
        </w:rPr>
        <w:t>)</w:t>
      </w:r>
    </w:p>
    <w:p w14:paraId="03CF1DD4" w14:textId="77777777" w:rsidR="00BF36AA" w:rsidRPr="00800BBC" w:rsidRDefault="00BF36AA" w:rsidP="00602F80">
      <w:pPr>
        <w:jc w:val="both"/>
        <w:rPr>
          <w:rFonts w:ascii="Calibri" w:hAnsi="Calibri" w:cs="Calibri"/>
          <w:b/>
          <w:bCs/>
        </w:rPr>
      </w:pPr>
    </w:p>
    <w:p w14:paraId="6FB3EA74" w14:textId="1763BFD6" w:rsidR="00AC0F79" w:rsidRDefault="00AC0F79" w:rsidP="00602F80">
      <w:pPr>
        <w:jc w:val="both"/>
        <w:rPr>
          <w:rFonts w:ascii="Calibri" w:hAnsi="Calibri" w:cs="Calibri"/>
          <w:b/>
          <w:bCs/>
        </w:rPr>
      </w:pPr>
      <w:r w:rsidRPr="00800BBC">
        <w:rPr>
          <w:rFonts w:ascii="Calibri" w:hAnsi="Calibri" w:cs="Calibri"/>
          <w:b/>
          <w:bCs/>
        </w:rPr>
        <w:t>SUMMARY:</w:t>
      </w:r>
    </w:p>
    <w:p w14:paraId="21518097" w14:textId="0BCB003E" w:rsidR="006E2748" w:rsidRDefault="006E2748" w:rsidP="00602F80">
      <w:pPr>
        <w:jc w:val="both"/>
        <w:rPr>
          <w:rFonts w:ascii="Calibri" w:hAnsi="Calibri" w:cs="Calibri"/>
        </w:rPr>
      </w:pPr>
      <w:r w:rsidRPr="00800BBC">
        <w:rPr>
          <w:rFonts w:ascii="Calibri" w:hAnsi="Calibri" w:cs="Calibri"/>
        </w:rPr>
        <w:t>This research protocol outlines an optimized workflow for metagenomic next-generation sequencing (</w:t>
      </w:r>
      <w:proofErr w:type="spellStart"/>
      <w:r w:rsidRPr="00800BBC">
        <w:rPr>
          <w:rFonts w:ascii="Calibri" w:hAnsi="Calibri" w:cs="Calibri"/>
        </w:rPr>
        <w:t>mNGS</w:t>
      </w:r>
      <w:proofErr w:type="spellEnd"/>
      <w:r w:rsidRPr="00800BBC">
        <w:rPr>
          <w:rFonts w:ascii="Calibri" w:hAnsi="Calibri" w:cs="Calibri"/>
        </w:rPr>
        <w:t>) of cerebrospinal fluid. By addressing challenges unique to low-biomass samples, the method enables robust pathogen detection across diverse resource settings, providing a versatile foundation for neuroinfectious disease research applications.</w:t>
      </w:r>
    </w:p>
    <w:p w14:paraId="2CB68CF3" w14:textId="77777777" w:rsidR="00AC0F79" w:rsidRDefault="00AC0F79" w:rsidP="00602F80">
      <w:pPr>
        <w:jc w:val="both"/>
        <w:rPr>
          <w:rFonts w:ascii="Calibri" w:hAnsi="Calibri" w:cs="Calibri"/>
        </w:rPr>
      </w:pPr>
    </w:p>
    <w:p w14:paraId="36A62A3D" w14:textId="77777777" w:rsidR="00AC0F79" w:rsidRDefault="00AC0F79" w:rsidP="00602F80">
      <w:pPr>
        <w:jc w:val="both"/>
        <w:rPr>
          <w:rFonts w:ascii="Calibri" w:hAnsi="Calibri" w:cs="Calibri"/>
          <w:b/>
          <w:bCs/>
        </w:rPr>
      </w:pPr>
      <w:r w:rsidRPr="00800BBC">
        <w:rPr>
          <w:rFonts w:ascii="Calibri" w:hAnsi="Calibri" w:cs="Calibri"/>
          <w:b/>
          <w:bCs/>
        </w:rPr>
        <w:t xml:space="preserve">KEYWORDS: </w:t>
      </w:r>
    </w:p>
    <w:p w14:paraId="7F513CB2" w14:textId="02BA8BEA" w:rsidR="00AC0F79" w:rsidRPr="00AC0F79" w:rsidRDefault="00AC0F79" w:rsidP="00602F80">
      <w:pPr>
        <w:jc w:val="both"/>
        <w:rPr>
          <w:rFonts w:ascii="Calibri" w:hAnsi="Calibri" w:cs="Calibri"/>
        </w:rPr>
      </w:pPr>
      <w:r>
        <w:rPr>
          <w:rFonts w:ascii="Calibri" w:hAnsi="Calibri" w:cs="Calibri"/>
        </w:rPr>
        <w:t>M</w:t>
      </w:r>
      <w:r w:rsidRPr="00800BBC">
        <w:rPr>
          <w:rFonts w:ascii="Calibri" w:hAnsi="Calibri" w:cs="Calibri"/>
        </w:rPr>
        <w:t xml:space="preserve">etagenomic next-generation sequencing, </w:t>
      </w:r>
      <w:proofErr w:type="spellStart"/>
      <w:r w:rsidRPr="00800BBC">
        <w:rPr>
          <w:rFonts w:ascii="Calibri" w:hAnsi="Calibri" w:cs="Calibri"/>
        </w:rPr>
        <w:t>mNGS</w:t>
      </w:r>
      <w:proofErr w:type="spellEnd"/>
      <w:r w:rsidRPr="00800BBC">
        <w:rPr>
          <w:rFonts w:ascii="Calibri" w:hAnsi="Calibri" w:cs="Calibri"/>
        </w:rPr>
        <w:t>, CSF, cerebrospinal fluid, CNS infection</w:t>
      </w:r>
    </w:p>
    <w:p w14:paraId="740549FC" w14:textId="77777777" w:rsidR="006E2748" w:rsidRPr="00800BBC" w:rsidRDefault="006E2748" w:rsidP="00602F80">
      <w:pPr>
        <w:jc w:val="both"/>
        <w:rPr>
          <w:rFonts w:ascii="Calibri" w:hAnsi="Calibri" w:cs="Calibri"/>
        </w:rPr>
      </w:pPr>
    </w:p>
    <w:p w14:paraId="1FC4D41D" w14:textId="0D346DBD" w:rsidR="002708C6" w:rsidRPr="00800BBC" w:rsidRDefault="00AC0F79" w:rsidP="00602F80">
      <w:pPr>
        <w:jc w:val="both"/>
        <w:rPr>
          <w:rFonts w:ascii="Calibri" w:hAnsi="Calibri" w:cs="Calibri"/>
          <w:b/>
          <w:bCs/>
        </w:rPr>
      </w:pPr>
      <w:r w:rsidRPr="00800BBC">
        <w:rPr>
          <w:rFonts w:ascii="Calibri" w:hAnsi="Calibri" w:cs="Calibri"/>
          <w:b/>
          <w:bCs/>
        </w:rPr>
        <w:t>ABSTRACT</w:t>
      </w:r>
      <w:r>
        <w:rPr>
          <w:rFonts w:ascii="Calibri" w:hAnsi="Calibri" w:cs="Calibri"/>
          <w:b/>
          <w:bCs/>
        </w:rPr>
        <w:t>:</w:t>
      </w:r>
    </w:p>
    <w:p w14:paraId="0431073F" w14:textId="2A611E51" w:rsidR="002708C6" w:rsidRPr="00800BBC" w:rsidRDefault="002708C6" w:rsidP="00602F80">
      <w:pPr>
        <w:jc w:val="both"/>
        <w:rPr>
          <w:rFonts w:ascii="Calibri" w:hAnsi="Calibri" w:cs="Calibri"/>
        </w:rPr>
      </w:pPr>
      <w:r w:rsidRPr="00800BBC">
        <w:rPr>
          <w:rFonts w:ascii="Calibri" w:hAnsi="Calibri" w:cs="Calibri"/>
        </w:rPr>
        <w:t>Metagenomic next-generation sequencing (</w:t>
      </w:r>
      <w:proofErr w:type="spellStart"/>
      <w:r w:rsidRPr="00800BBC">
        <w:rPr>
          <w:rFonts w:ascii="Calibri" w:hAnsi="Calibri" w:cs="Calibri"/>
        </w:rPr>
        <w:t>mNGS</w:t>
      </w:r>
      <w:proofErr w:type="spellEnd"/>
      <w:r w:rsidRPr="00800BBC">
        <w:rPr>
          <w:rFonts w:ascii="Calibri" w:hAnsi="Calibri" w:cs="Calibri"/>
        </w:rPr>
        <w:t xml:space="preserve">) has emerged as a powerful tool for unbiased pathogen detection and host transcriptional profiling in clinical and research settings. While its utility in diagnosing central nervous system (CNS) infections is increasingly recognized, cerebrospinal fluid (CSF) samples pose unique challenges due to low nucleic acid abundance and susceptibility to degradation. </w:t>
      </w:r>
      <w:r w:rsidR="00FF0708">
        <w:rPr>
          <w:rFonts w:ascii="Calibri" w:hAnsi="Calibri" w:cs="Calibri"/>
        </w:rPr>
        <w:t>This study</w:t>
      </w:r>
      <w:r w:rsidRPr="00800BBC">
        <w:rPr>
          <w:rFonts w:ascii="Calibri" w:hAnsi="Calibri" w:cs="Calibri"/>
        </w:rPr>
        <w:t xml:space="preserve"> present</w:t>
      </w:r>
      <w:r w:rsidR="00FF0708">
        <w:rPr>
          <w:rFonts w:ascii="Calibri" w:hAnsi="Calibri" w:cs="Calibri"/>
        </w:rPr>
        <w:t>s</w:t>
      </w:r>
      <w:r w:rsidRPr="00800BBC">
        <w:rPr>
          <w:rFonts w:ascii="Calibri" w:hAnsi="Calibri" w:cs="Calibri"/>
        </w:rPr>
        <w:t xml:space="preserve"> an optimized research-based protocol for Illumina sequencing platforms tailored to CSF </w:t>
      </w:r>
      <w:proofErr w:type="spellStart"/>
      <w:r w:rsidRPr="00800BBC">
        <w:rPr>
          <w:rFonts w:ascii="Calibri" w:hAnsi="Calibri" w:cs="Calibri"/>
        </w:rPr>
        <w:t>mNGS</w:t>
      </w:r>
      <w:proofErr w:type="spellEnd"/>
      <w:r w:rsidRPr="00800BBC">
        <w:rPr>
          <w:rFonts w:ascii="Calibri" w:hAnsi="Calibri" w:cs="Calibri"/>
        </w:rPr>
        <w:t xml:space="preserve">, spanning sample handling, nucleic acid extraction, library preparation, sequencing, and bioinformatic analysis. Quality control approaches adaptable to both high and low-resource settings are also provided, including alternatives to capillary electrophoresis. </w:t>
      </w:r>
      <w:r w:rsidR="00FF0708">
        <w:rPr>
          <w:rFonts w:ascii="Calibri" w:hAnsi="Calibri" w:cs="Calibri"/>
        </w:rPr>
        <w:t>This study</w:t>
      </w:r>
      <w:r w:rsidRPr="00800BBC">
        <w:rPr>
          <w:rFonts w:ascii="Calibri" w:hAnsi="Calibri" w:cs="Calibri"/>
        </w:rPr>
        <w:t xml:space="preserve"> demonstrate</w:t>
      </w:r>
      <w:r w:rsidR="00FF0708">
        <w:rPr>
          <w:rFonts w:ascii="Calibri" w:hAnsi="Calibri" w:cs="Calibri"/>
        </w:rPr>
        <w:t>s</w:t>
      </w:r>
      <w:r w:rsidRPr="00800BBC">
        <w:rPr>
          <w:rFonts w:ascii="Calibri" w:hAnsi="Calibri" w:cs="Calibri"/>
        </w:rPr>
        <w:t xml:space="preserve"> the protocol’s robustness through two representative cohorts: a high-depth, </w:t>
      </w:r>
      <w:proofErr w:type="spellStart"/>
      <w:r w:rsidRPr="00800BBC">
        <w:rPr>
          <w:rFonts w:ascii="Calibri" w:hAnsi="Calibri" w:cs="Calibri"/>
        </w:rPr>
        <w:t>NovaSeq</w:t>
      </w:r>
      <w:proofErr w:type="spellEnd"/>
      <w:r w:rsidRPr="00800BBC">
        <w:rPr>
          <w:rFonts w:ascii="Calibri" w:hAnsi="Calibri" w:cs="Calibri"/>
        </w:rPr>
        <w:t xml:space="preserve">-based workflow and a cost-conscious </w:t>
      </w:r>
      <w:proofErr w:type="spellStart"/>
      <w:r w:rsidRPr="00800BBC">
        <w:rPr>
          <w:rFonts w:ascii="Calibri" w:hAnsi="Calibri" w:cs="Calibri"/>
        </w:rPr>
        <w:t>NextSeq</w:t>
      </w:r>
      <w:proofErr w:type="spellEnd"/>
      <w:r w:rsidRPr="00800BBC">
        <w:rPr>
          <w:rFonts w:ascii="Calibri" w:hAnsi="Calibri" w:cs="Calibri"/>
        </w:rPr>
        <w:t xml:space="preserve">-based workflow. Across these cohorts, pathogens were detected in over 50% of cases, underscoring the method’s diagnostic potential even with resource-constrained adaptations. This protocol facilitates reproducible CSF </w:t>
      </w:r>
      <w:proofErr w:type="spellStart"/>
      <w:r w:rsidRPr="00800BBC">
        <w:rPr>
          <w:rFonts w:ascii="Calibri" w:hAnsi="Calibri" w:cs="Calibri"/>
        </w:rPr>
        <w:t>mNGS</w:t>
      </w:r>
      <w:proofErr w:type="spellEnd"/>
      <w:r w:rsidRPr="00800BBC">
        <w:rPr>
          <w:rFonts w:ascii="Calibri" w:hAnsi="Calibri" w:cs="Calibri"/>
        </w:rPr>
        <w:t>, providing a foundation for diverse applications in neuroinfectious disease research and diagnostics.</w:t>
      </w:r>
    </w:p>
    <w:p w14:paraId="7385D92B" w14:textId="77777777" w:rsidR="002708C6" w:rsidRPr="00800BBC" w:rsidRDefault="002708C6" w:rsidP="00602F80">
      <w:pPr>
        <w:jc w:val="both"/>
        <w:rPr>
          <w:rFonts w:ascii="Calibri" w:hAnsi="Calibri" w:cs="Calibri"/>
        </w:rPr>
      </w:pPr>
    </w:p>
    <w:p w14:paraId="34534009" w14:textId="0FD3F9FD" w:rsidR="00BF36AA" w:rsidRPr="00AC0F79" w:rsidRDefault="006E2748" w:rsidP="00602F80">
      <w:pPr>
        <w:jc w:val="both"/>
        <w:rPr>
          <w:rFonts w:ascii="Calibri" w:hAnsi="Calibri" w:cs="Calibri"/>
          <w:b/>
          <w:bCs/>
        </w:rPr>
      </w:pPr>
      <w:r w:rsidRPr="00800BBC">
        <w:rPr>
          <w:rFonts w:ascii="Calibri" w:hAnsi="Calibri" w:cs="Calibri"/>
          <w:b/>
          <w:bCs/>
        </w:rPr>
        <w:br w:type="page"/>
      </w:r>
      <w:r w:rsidR="00AC0F79" w:rsidRPr="00800BBC">
        <w:rPr>
          <w:rFonts w:ascii="Calibri" w:hAnsi="Calibri" w:cs="Calibri"/>
          <w:b/>
          <w:bCs/>
        </w:rPr>
        <w:lastRenderedPageBreak/>
        <w:t>INTRODUCTION</w:t>
      </w:r>
      <w:r w:rsidR="00AC0F79">
        <w:rPr>
          <w:rFonts w:ascii="Calibri" w:hAnsi="Calibri" w:cs="Calibri"/>
          <w:b/>
          <w:bCs/>
        </w:rPr>
        <w:t>:</w:t>
      </w:r>
    </w:p>
    <w:p w14:paraId="78CC7055" w14:textId="68AF16F1" w:rsidR="00BF36AA" w:rsidRPr="00800BBC" w:rsidRDefault="00BF36AA" w:rsidP="00602F80">
      <w:pPr>
        <w:jc w:val="both"/>
        <w:rPr>
          <w:rFonts w:ascii="Calibri" w:hAnsi="Calibri" w:cs="Calibri"/>
        </w:rPr>
      </w:pPr>
      <w:r w:rsidRPr="00800BBC">
        <w:rPr>
          <w:rFonts w:ascii="Calibri" w:hAnsi="Calibri" w:cs="Calibri"/>
        </w:rPr>
        <w:t>Metagenomic next</w:t>
      </w:r>
      <w:r w:rsidR="00E31253" w:rsidRPr="00800BBC">
        <w:rPr>
          <w:rFonts w:ascii="Calibri" w:hAnsi="Calibri" w:cs="Calibri"/>
        </w:rPr>
        <w:t>-</w:t>
      </w:r>
      <w:r w:rsidRPr="00800BBC">
        <w:rPr>
          <w:rFonts w:ascii="Calibri" w:hAnsi="Calibri" w:cs="Calibri"/>
        </w:rPr>
        <w:t xml:space="preserve">generation sequencing </w:t>
      </w:r>
      <w:r w:rsidR="00D9516B" w:rsidRPr="00800BBC">
        <w:rPr>
          <w:rFonts w:ascii="Calibri" w:hAnsi="Calibri" w:cs="Calibri"/>
        </w:rPr>
        <w:t>(</w:t>
      </w:r>
      <w:proofErr w:type="spellStart"/>
      <w:r w:rsidR="00D9516B" w:rsidRPr="00800BBC">
        <w:rPr>
          <w:rFonts w:ascii="Calibri" w:hAnsi="Calibri" w:cs="Calibri"/>
        </w:rPr>
        <w:t>mNGS</w:t>
      </w:r>
      <w:proofErr w:type="spellEnd"/>
      <w:r w:rsidR="00D9516B" w:rsidRPr="00800BBC">
        <w:rPr>
          <w:rFonts w:ascii="Calibri" w:hAnsi="Calibri" w:cs="Calibri"/>
        </w:rPr>
        <w:t xml:space="preserve">) </w:t>
      </w:r>
      <w:r w:rsidRPr="00800BBC">
        <w:rPr>
          <w:rFonts w:ascii="Calibri" w:hAnsi="Calibri" w:cs="Calibri"/>
        </w:rPr>
        <w:t>is an increasingly utilized molecular technique that allows for the detection of a broad spectrum of nucleic acid</w:t>
      </w:r>
      <w:r w:rsidR="00E31253" w:rsidRPr="00800BBC">
        <w:rPr>
          <w:rFonts w:ascii="Calibri" w:hAnsi="Calibri" w:cs="Calibri"/>
        </w:rPr>
        <w:t>s</w:t>
      </w:r>
      <w:r w:rsidRPr="00800BBC">
        <w:rPr>
          <w:rFonts w:ascii="Calibri" w:hAnsi="Calibri" w:cs="Calibri"/>
        </w:rPr>
        <w:t xml:space="preserve"> within a given environmental or host sample</w:t>
      </w:r>
      <w:r w:rsidR="007E0CDD" w:rsidRPr="00800BBC">
        <w:rPr>
          <w:rFonts w:ascii="Calibri" w:hAnsi="Calibri" w:cs="Calibri"/>
        </w:rPr>
        <w:fldChar w:fldCharType="begin"/>
      </w:r>
      <w:r w:rsidR="00BF44AA" w:rsidRPr="00800BBC">
        <w:rPr>
          <w:rFonts w:ascii="Calibri" w:hAnsi="Calibri" w:cs="Calibri"/>
        </w:rPr>
        <w:instrText xml:space="preserve"> ADDIN ZOTERO_ITEM CSL_CITATION {"citationID":"Y2Vr7uEF","properties":{"formattedCitation":"\\super 1\\nosupersub{}","plainCitation":"1","noteIndex":0},"citationItems":[{"id":186,"uris":["http://zotero.org/users/local/4EOi04XK/items/FGC979BZ","http://zotero.org/users/14835897/items/FGC979BZ"],"itemData":{"id":186,"type":"article-journal","abstract":"Clinical metagenomic next-generation sequencing (mNGS), the comprehensive analysis of microbial and host genetic material (DNA and RNA) in samples from patients, is rapidly moving from research to clinical laboratories. This emerging approach is changing how physicians diagnose and treat infectious disease, with applications spanning a wide range of areas, including antimicrobial resistance, the microbiome, human host gene expression (transcriptomics) and oncology. Here, we focus on the challenges of implementing mNGS in the clinical laboratory and address potential solutions for maximizing its impact on patient care and public health.","container-title":"Nature Reviews Genetics","DOI":"10.1038/s41576-019-0113-7","ISSN":"1471-0064","issue":"6","journalAbbreviation":"Nat Rev Genet","language":"en","license":"2019 Springer Nature Limited","page":"341-355","publisher":"Nature Publishing Group","source":"www.nature.com","title":"Clinical metagenomics","volume":"20","author":[{"family":"Chiu","given":"Charles Y."},{"family":"Miller","given":"Steven A."}],"issued":{"date-parts":[["2019",6]]}}}],"schema":"https://github.com/citation-style-language/schema/raw/master/csl-citation.json"}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1</w:t>
      </w:r>
      <w:r w:rsidR="007E0CDD"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By amplifying and sequencing </w:t>
      </w:r>
      <w:proofErr w:type="gramStart"/>
      <w:r w:rsidRPr="00800BBC">
        <w:rPr>
          <w:rFonts w:ascii="Calibri" w:hAnsi="Calibri" w:cs="Calibri"/>
        </w:rPr>
        <w:t>the vast majority of</w:t>
      </w:r>
      <w:proofErr w:type="gramEnd"/>
      <w:r w:rsidRPr="00800BBC">
        <w:rPr>
          <w:rFonts w:ascii="Calibri" w:hAnsi="Calibri" w:cs="Calibri"/>
        </w:rPr>
        <w:t xml:space="preserve"> the genetic material within a sample, </w:t>
      </w:r>
      <w:proofErr w:type="spellStart"/>
      <w:r w:rsidRPr="00800BBC">
        <w:rPr>
          <w:rFonts w:ascii="Calibri" w:hAnsi="Calibri" w:cs="Calibri"/>
        </w:rPr>
        <w:t>mNGS</w:t>
      </w:r>
      <w:proofErr w:type="spellEnd"/>
      <w:r w:rsidRPr="00800BBC">
        <w:rPr>
          <w:rFonts w:ascii="Calibri" w:hAnsi="Calibri" w:cs="Calibri"/>
        </w:rPr>
        <w:t xml:space="preserve"> does not require a preconceived hypothesis of the specific microorganisms that may be present. </w:t>
      </w:r>
      <w:proofErr w:type="spellStart"/>
      <w:r w:rsidRPr="00800BBC">
        <w:rPr>
          <w:rFonts w:ascii="Calibri" w:hAnsi="Calibri" w:cs="Calibri"/>
        </w:rPr>
        <w:t>mNGS</w:t>
      </w:r>
      <w:proofErr w:type="spellEnd"/>
      <w:r w:rsidRPr="00800BBC">
        <w:rPr>
          <w:rFonts w:ascii="Calibri" w:hAnsi="Calibri" w:cs="Calibri"/>
        </w:rPr>
        <w:t xml:space="preserve"> has shown utility as a diagnostic tool in a variety of clinical settings, such as for the detection of uncommon pathogens or atypical presentations of infectious diseases</w:t>
      </w:r>
      <w:r w:rsidR="007E0CDD" w:rsidRPr="00800BBC">
        <w:rPr>
          <w:rFonts w:ascii="Calibri" w:hAnsi="Calibri" w:cs="Calibri"/>
        </w:rPr>
        <w:fldChar w:fldCharType="begin"/>
      </w:r>
      <w:r w:rsidR="00BF44AA" w:rsidRPr="00800BBC">
        <w:rPr>
          <w:rFonts w:ascii="Calibri" w:hAnsi="Calibri" w:cs="Calibri"/>
        </w:rPr>
        <w:instrText xml:space="preserve"> ADDIN ZOTERO_ITEM CSL_CITATION {"citationID":"19ONga67","properties":{"formattedCitation":"\\super 1\\uc0\\u8211{}3\\nosupersub{}","plainCitation":"1–3","noteIndex":0},"citationItems":[{"id":186,"uris":["http://zotero.org/users/local/4EOi04XK/items/FGC979BZ","http://zotero.org/users/14835897/items/FGC979BZ"],"itemData":{"id":186,"type":"article-journal","abstract":"Clinical metagenomic next-generation sequencing (mNGS), the comprehensive analysis of microbial and host genetic material (DNA and RNA) in samples from patients, is rapidly moving from research to clinical laboratories. This emerging approach is changing how physicians diagnose and treat infectious disease, with applications spanning a wide range of areas, including antimicrobial resistance, the microbiome, human host gene expression (transcriptomics) and oncology. Here, we focus on the challenges of implementing mNGS in the clinical laboratory and address potential solutions for maximizing its impact on patient care and public health.","container-title":"Nature Reviews Genetics","DOI":"10.1038/s41576-019-0113-7","ISSN":"1471-0064","issue":"6","journalAbbreviation":"Nat Rev Genet","language":"en","license":"2019 Springer Nature Limited","page":"341-355","publisher":"Nature Publishing Group","source":"www.nature.com","title":"Clinical metagenomics","volume":"20","author":[{"family":"Chiu","given":"Charles Y."},{"family":"Miller","given":"Steven A."}],"issued":{"date-parts":[["2019",6]]}},"label":"page"},{"id":125,"uris":["http://zotero.org/users/local/4EOi04XK/items/ACAFGVMR","http://zotero.org/users/14835897/items/ACAFGVMR"],"itemData":{"id":125,"type":"article-journal","abstract":"BACKGROUND: Metagenomic next-generation sequencing (NGS) of cerebrospinal fluid (CSF) has the potential to identify a broad range of pathogens in a single test.\nMETHODS: In a 1-year, multicenter, prospective study, we investigated the usefulness of metagenomic NGS of CSF for the diagnosis of infectious meningitis and encephalitis in hospitalized patients. All positive tests for pathogens on metagenomic NGS were confirmed by orthogonal laboratory testing. Physician feedback was elicited by teleconferences with a clinical microbial sequencing board and by surveys. Clinical effect was evaluated by retrospective chart review.\nRESULTS: We enrolled 204 pediatric and adult patients at eight hospitals. Patients were severely ill: 48.5% had been admitted to the intensive care unit, and the 30-day mortality among all study patients was 11.3%. A total of 58 infections of the nervous system were diagnosed in 57 patients (27.9%). Among these 58 infections, metagenomic NGS identified 13 (22%) that were not identified by clinical testing at the source hospital. Among the remaining 45 infections (78%), metagenomic NGS made concurrent diagnoses in 19. Of the 26 infections not identified by metagenomic NGS, 11 were diagnosed by serologic testing only, 7 were diagnosed from tissue samples other than CSF, and 8 were negative on metagenomic NGS owing to low titers of pathogens in CSF. A total of 8 of 13 diagnoses made solely by metagenomic NGS had a likely clinical effect, with 7 of 13 guiding treatment.\nCONCLUSIONS: Routine microbiologic testing is often insufficient to detect all neuroinvasive pathogens. In this study, metagenomic NGS of CSF obtained from patients with meningitis or encephalitis improved diagnosis of neurologic infections and provided actionable information in some cases. (Funded by the National Institutes of Health and others; PDAID ClinicalTrials.gov number, NCT02910037.).","container-title":"The New England Journal of Medicine","DOI":"10.1056/NEJMoa1803396","ISSN":"1533-4406","issue":"24","journalAbbreviation":"N Engl J Med","language":"eng","page":"2327-2340","PMID":"31189036","PMCID":"PMC6764751","source":"PubMed","title":"Clinical Metagenomic Sequencing for Diagnosis of Meningitis and Encephalitis","volume":"380","author":[{"family":"Wilson","given":"Michael R."},{"family":"Sample","given":"Hannah A."},{"family":"Zorn","given":"Kelsey C."},{"family":"Arevalo","given":"Shaun"},{"family":"Yu","given":"Guixia"},{"family":"Neuhaus","given":"John"},{"family":"Federman","given":"Scot"},{"family":"Stryke","given":"Doug"},{"family":"Briggs","given":"Benjamin"},{"family":"Langelier","given":"Charles"},{"family":"Berger","given":"Amy"},{"family":"Douglas","given":"Vanja"},{"family":"Josephson","given":"S. Andrew"},{"family":"Chow","given":"Felicia C."},{"family":"Fulton","given":"Brent D."},{"family":"DeRisi","given":"Joseph L."},{"family":"Gelfand","given":"Jeffrey M."},{"family":"Naccache","given":"Samia N."},{"family":"Bender","given":"Jeffrey"},{"family":"Dien Bard","given":"Jennifer"},{"family":"Murkey","given":"Jamie"},{"family":"Carlson","given":"Magrit"},{"family":"Vespa","given":"Paul M."},{"family":"Vijayan","given":"Tara"},{"family":"Allyn","given":"Paul R."},{"family":"Campeau","given":"Shelley"},{"family":"Humphries","given":"Romney M."},{"family":"Klausner","given":"Jeffrey D."},{"family":"Ganzon","given":"Czarina D."},{"family":"Memar","given":"Fatemeh"},{"family":"Ocampo","given":"Nicolle A."},{"family":"Zimmermann","given":"Lara L."},{"family":"Cohen","given":"Stuart H."},{"family":"Polage","given":"Christopher R."},{"family":"DeBiasi","given":"Roberta L."},{"family":"Haller","given":"Barbara"},{"family":"Dallas","given":"Ronald"},{"family":"Maron","given":"Gabriela"},{"family":"Hayden","given":"Randall"},{"family":"Messacar","given":"Kevin"},{"family":"Dominguez","given":"Samuel R."},{"family":"Miller","given":"Steve"},{"family":"Chiu","given":"Charles Y."}],"issued":{"date-parts":[["2019",6,13]]}},"label":"page"},{"id":189,"uris":["http://zotero.org/users/local/4EOi04XK/items/VTGRZJ6E","http://zotero.org/users/14835897/items/VTGRZJ6E"],"itemData":{"id":189,"type":"article-journal","abstract":"A trend towards the abandonment of obtaining pure culture isolates in frontline laboratories is at a crossroads with the ability of public health agencies to perform their basic mandate of foodborne disease surveillance and response. The implementation of culture-independent diagnostic tests (CIDTs) including nucleic acid and antigen–based tests for acute gastroenteritis is leaving public health agencies without laboratory evidence to link clinical cases to each other and to food or environmental substances rendering the efficacy of point of care diagnostics, food safety, and identification of foodborne disease and antimicrobial resistance (AMR) in question. Foodborne outbreaks may have the potential to be undetected or have insufficient verification to resolve, and it is possible that this may inadvertently increase the incidence of foodborne disease.Next-generation sequencing on pure culture isolates in clinical microbiology laboratories has the potential to revolutionize the fields of food safety and public health. Metagenomics and other ‘omics’ disciplines could provide the solution to a cultureless future in clinical microbiology, food safety, and public health. Data mining of information obtained from metagenomics assays can be particularly useful for the identification of clinical causative agents or foodborne contamination, detection of AMR genes, provide high-resolution subtyping data, and to further understand mechanisms of virulence. Thus, metagenomics assays may provide a universal test for clinical diagnosis, foodborne pathogen detection, and subtyping. This information may help change the way we identify and handle foodborne pathogens.The aim of this review will be to present the current state of CIDTs in diagnostic laboratories as they relate to foodborne illness and food safety. Moreover, we will also discuss the diagnostic and subtyping utility and concomitant bias limitations of metagenomics and comparable detection techniques in clinical microbiology, food and public health laboratories. Early advances in the discipline of metagenomics, however, have indicated noteworthy challenges. Through forthcoming improvements, we anticipate that within the next decade, detection and characterization of pathogens via metagenomics-based workflows will be implemented in routine usage in diagnostic and public health laboratories.","container-title":"Frontiers in Microbiology","DOI":"10.3389/fmicb.2017.01069","ISSN":"1664-302X","journalAbbreviation":"Front. Microbiol.","language":"English","publisher":"Frontiers","source":"Frontiers","title":"Metagenomics: The Next Culture-Independent Game Changer","title-short":"Metagenomics","URL":"https://www.frontiersin.org/journals/microbiology/articles/10.3389/fmicb.2017.01069/full","volume":"8","author":[{"family":"Forbes","given":"Jessica D."},{"family":"Knox","given":"Natalie C."},{"family":"Ronholm","given":"Jennifer"},{"family":"Pagotto","given":"Franco"},{"family":"Reimer","given":"Aleisha"}],"accessed":{"date-parts":[["2025",7,27]]},"issued":{"date-parts":[["2017",7,4]]}},"label":"page"}],"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1–3</w:t>
      </w:r>
      <w:r w:rsidR="007E0CDD"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Furthermore, the host transcriptional profile is also captured by the </w:t>
      </w:r>
      <w:r w:rsidR="007E0CDD" w:rsidRPr="00800BBC">
        <w:rPr>
          <w:rFonts w:ascii="Calibri" w:hAnsi="Calibri" w:cs="Calibri"/>
        </w:rPr>
        <w:t xml:space="preserve">RNA-sequencing data generated by the </w:t>
      </w:r>
      <w:proofErr w:type="spellStart"/>
      <w:r w:rsidRPr="00800BBC">
        <w:rPr>
          <w:rFonts w:ascii="Calibri" w:hAnsi="Calibri" w:cs="Calibri"/>
        </w:rPr>
        <w:t>mNGS</w:t>
      </w:r>
      <w:proofErr w:type="spellEnd"/>
      <w:r w:rsidRPr="00800BBC">
        <w:rPr>
          <w:rFonts w:ascii="Calibri" w:hAnsi="Calibri" w:cs="Calibri"/>
        </w:rPr>
        <w:t xml:space="preserve"> assay, allowing researchers to better understand the host immune response to various disease states</w:t>
      </w:r>
      <w:r w:rsidR="007E0CDD" w:rsidRPr="00800BBC">
        <w:rPr>
          <w:rFonts w:ascii="Calibri" w:hAnsi="Calibri" w:cs="Calibri"/>
        </w:rPr>
        <w:fldChar w:fldCharType="begin"/>
      </w:r>
      <w:r w:rsidR="00BF44AA" w:rsidRPr="00800BBC">
        <w:rPr>
          <w:rFonts w:ascii="Calibri" w:hAnsi="Calibri" w:cs="Calibri"/>
        </w:rPr>
        <w:instrText xml:space="preserve"> ADDIN ZOTERO_ITEM CSL_CITATION {"citationID":"8zLs3hul","properties":{"formattedCitation":"\\super 4\\nosupersub{}","plainCitation":"4","noteIndex":0},"citationItems":[{"id":191,"uris":["http://zotero.org/users/local/4EOi04XK/items/LPA8SEYW","http://zotero.org/users/14835897/items/LPA8SEYW"],"itemData":{"id":191,"type":"article-journal","abstract":"The development of high-throughput DNA sequencing methods provides a new method for mapping and quantifying transcriptomes — RNA sequencing (RNA-Seq). This article explains how RNA-Seq works, the challenges it faces and how it is changing our view of eukaryotic transcriptomes.","container-title":"Nature Reviews Genetics","DOI":"10.1038/nrg2484","ISSN":"1471-0064","issue":"1","journalAbbreviation":"Nat Rev Genet","language":"en","license":"2008 Springer Nature Limited","page":"57-63","publisher":"Nature Publishing Group","source":"www.nature.com","title":"RNA-Seq: a revolutionary tool for transcriptomics","title-short":"RNA-Seq","volume":"10","author":[{"family":"Wang","given":"Zhong"},{"family":"Gerstein","given":"Mark"},{"family":"Snyder","given":"Michael"}],"issued":{"date-parts":[["2009",1]]}}}],"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4</w:t>
      </w:r>
      <w:r w:rsidR="007E0CDD"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The applicability of </w:t>
      </w:r>
      <w:proofErr w:type="spellStart"/>
      <w:r w:rsidRPr="00800BBC">
        <w:rPr>
          <w:rFonts w:ascii="Calibri" w:hAnsi="Calibri" w:cs="Calibri"/>
        </w:rPr>
        <w:t>mNGS</w:t>
      </w:r>
      <w:proofErr w:type="spellEnd"/>
      <w:r w:rsidRPr="00800BBC">
        <w:rPr>
          <w:rFonts w:ascii="Calibri" w:hAnsi="Calibri" w:cs="Calibri"/>
        </w:rPr>
        <w:t xml:space="preserve"> to a broad range of clinical and research contexts, along with the dramatic decrease in cost of generic sequencing in recent decades, has led to a tremendous growth in the use of this technology</w:t>
      </w:r>
      <w:r w:rsidR="007E0CDD" w:rsidRPr="00800BBC">
        <w:rPr>
          <w:rFonts w:ascii="Calibri" w:hAnsi="Calibri" w:cs="Calibri"/>
        </w:rPr>
        <w:fldChar w:fldCharType="begin"/>
      </w:r>
      <w:r w:rsidR="00BF44AA" w:rsidRPr="00800BBC">
        <w:rPr>
          <w:rFonts w:ascii="Calibri" w:hAnsi="Calibri" w:cs="Calibri"/>
        </w:rPr>
        <w:instrText xml:space="preserve"> ADDIN ZOTERO_ITEM CSL_CITATION {"citationID":"N2hX31S1","properties":{"formattedCitation":"\\super 5\\nosupersub{}","plainCitation":"5","noteIndex":0},"citationItems":[{"id":151,"uris":["http://zotero.org/users/local/4EOi04XK/items/TMVMZHJD","http://zotero.org/users/14835897/items/TMVMZHJD"],"itemData":{"id":151,"type":"webpage","abstract":"Data used to estimate the cost of sequencing the human genome over time since the Human Genome Project.","language":"en","title":"DNA Sequencing Costs: Data","title-short":"DNA Sequencing Costs","URL":"https://www.genome.gov/about-genomics/fact-sheets/DNA-Sequencing-Costs-Data","accessed":{"date-parts":[["2025",6,17]]}}}],"schema":"https://github.com/citation-style-language/schema/raw/master/csl-citation.json"}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5</w:t>
      </w:r>
      <w:r w:rsidR="007E0CDD"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w:t>
      </w:r>
    </w:p>
    <w:p w14:paraId="55FE6FA1" w14:textId="77777777" w:rsidR="00BF36AA" w:rsidRPr="00800BBC" w:rsidRDefault="00BF36AA" w:rsidP="00602F80">
      <w:pPr>
        <w:jc w:val="both"/>
        <w:rPr>
          <w:rFonts w:ascii="Calibri" w:hAnsi="Calibri" w:cs="Calibri"/>
        </w:rPr>
      </w:pPr>
    </w:p>
    <w:p w14:paraId="1D0D4BFB" w14:textId="620BCF58" w:rsidR="00BF36AA" w:rsidRPr="00800BBC" w:rsidRDefault="00BF36AA" w:rsidP="00602F80">
      <w:pPr>
        <w:jc w:val="both"/>
        <w:rPr>
          <w:rFonts w:ascii="Calibri" w:hAnsi="Calibri" w:cs="Calibri"/>
        </w:rPr>
      </w:pPr>
      <w:r w:rsidRPr="00800BBC">
        <w:rPr>
          <w:rFonts w:ascii="Calibri" w:hAnsi="Calibri" w:cs="Calibri"/>
        </w:rPr>
        <w:t xml:space="preserve">In particular, </w:t>
      </w:r>
      <w:proofErr w:type="spellStart"/>
      <w:r w:rsidRPr="00800BBC">
        <w:rPr>
          <w:rFonts w:ascii="Calibri" w:hAnsi="Calibri" w:cs="Calibri"/>
        </w:rPr>
        <w:t>mNGS</w:t>
      </w:r>
      <w:proofErr w:type="spellEnd"/>
      <w:r w:rsidRPr="00800BBC">
        <w:rPr>
          <w:rFonts w:ascii="Calibri" w:hAnsi="Calibri" w:cs="Calibri"/>
        </w:rPr>
        <w:t xml:space="preserve"> has shown promise in the detection of central nervous system (CNS) infections, which remain challenging to diagnose</w:t>
      </w:r>
      <w:r w:rsidR="007E0CDD" w:rsidRPr="00800BBC">
        <w:rPr>
          <w:rFonts w:ascii="Calibri" w:hAnsi="Calibri" w:cs="Calibri"/>
        </w:rPr>
        <w:fldChar w:fldCharType="begin"/>
      </w:r>
      <w:r w:rsidR="005005B7">
        <w:rPr>
          <w:rFonts w:ascii="Calibri" w:hAnsi="Calibri" w:cs="Calibri"/>
        </w:rPr>
        <w:instrText xml:space="preserve"> ADDIN ZOTERO_ITEM CSL_CITATION {"citationID":"DkWP3CnX","properties":{"formattedCitation":"\\super 2, 6, 7\\nosupersub{}","plainCitation":"2, 6, 7","noteIndex":0},"citationItems":[{"id":125,"uris":["http://zotero.org/users/local/4EOi04XK/items/ACAFGVMR","http://zotero.org/users/14835897/items/ACAFGVMR"],"itemData":{"id":125,"type":"article-journal","abstract":"BACKGROUND: Metagenomic next-generation sequencing (NGS) of cerebrospinal fluid (CSF) has the potential to identify a broad range of pathogens in a single test.\nMETHODS: In a 1-year, multicenter, prospective study, we investigated the usefulness of metagenomic NGS of CSF for the diagnosis of infectious meningitis and encephalitis in hospitalized patients. All positive tests for pathogens on metagenomic NGS were confirmed by orthogonal laboratory testing. Physician feedback was elicited by teleconferences with a clinical microbial sequencing board and by surveys. Clinical effect was evaluated by retrospective chart review.\nRESULTS: We enrolled 204 pediatric and adult patients at eight hospitals. Patients were severely ill: 48.5% had been admitted to the intensive care unit, and the 30-day mortality among all study patients was 11.3%. A total of 58 infections of the nervous system were diagnosed in 57 patients (27.9%). Among these 58 infections, metagenomic NGS identified 13 (22%) that were not identified by clinical testing at the source hospital. Among the remaining 45 infections (78%), metagenomic NGS made concurrent diagnoses in 19. Of the 26 infections not identified by metagenomic NGS, 11 were diagnosed by serologic testing only, 7 were diagnosed from tissue samples other than CSF, and 8 were negative on metagenomic NGS owing to low titers of pathogens in CSF. A total of 8 of 13 diagnoses made solely by metagenomic NGS had a likely clinical effect, with 7 of 13 guiding treatment.\nCONCLUSIONS: Routine microbiologic testing is often insufficient to detect all neuroinvasive pathogens. In this study, metagenomic NGS of CSF obtained from patients with meningitis or encephalitis improved diagnosis of neurologic infections and provided actionable information in some cases. (Funded by the National Institutes of Health and others; PDAID ClinicalTrials.gov number, NCT02910037.).","container-title":"The New England Journal of Medicine","DOI":"10.1056/NEJMoa1803396","ISSN":"1533-4406","issue":"24","journalAbbreviation":"N Engl J Med","language":"eng","page":"2327-2340","PMID":"31189036","PMCID":"PMC6764751","source":"PubMed","title":"Clinical Metagenomic Sequencing for Diagnosis of Meningitis and Encephalitis","volume":"380","author":[{"family":"Wilson","given":"Michael R."},{"family":"Sample","given":"Hannah A."},{"family":"Zorn","given":"Kelsey C."},{"family":"Arevalo","given":"Shaun"},{"family":"Yu","given":"Guixia"},{"family":"Neuhaus","given":"John"},{"family":"Federman","given":"Scot"},{"family":"Stryke","given":"Doug"},{"family":"Briggs","given":"Benjamin"},{"family":"Langelier","given":"Charles"},{"family":"Berger","given":"Amy"},{"family":"Douglas","given":"Vanja"},{"family":"Josephson","given":"S. Andrew"},{"family":"Chow","given":"Felicia C."},{"family":"Fulton","given":"Brent D."},{"family":"DeRisi","given":"Joseph L."},{"family":"Gelfand","given":"Jeffrey M."},{"family":"Naccache","given":"Samia N."},{"family":"Bender","given":"Jeffrey"},{"family":"Dien Bard","given":"Jennifer"},{"family":"Murkey","given":"Jamie"},{"family":"Carlson","given":"Magrit"},{"family":"Vespa","given":"Paul M."},{"family":"Vijayan","given":"Tara"},{"family":"Allyn","given":"Paul R."},{"family":"Campeau","given":"Shelley"},{"family":"Humphries","given":"Romney M."},{"family":"Klausner","given":"Jeffrey D."},{"family":"Ganzon","given":"Czarina D."},{"family":"Memar","given":"Fatemeh"},{"family":"Ocampo","given":"Nicolle A."},{"family":"Zimmermann","given":"Lara L."},{"family":"Cohen","given":"Stuart H."},{"family":"Polage","given":"Christopher R."},{"family":"DeBiasi","given":"Roberta L."},{"family":"Haller","given":"Barbara"},{"family":"Dallas","given":"Ronald"},{"family":"Maron","given":"Gabriela"},{"family":"Hayden","given":"Randall"},{"family":"Messacar","given":"Kevin"},{"family":"Dominguez","given":"Samuel R."},{"family":"Miller","given":"Steve"},{"family":"Chiu","given":"Charles Y."}],"issued":{"date-parts":[["2019",6,13]]}},"label":"page"},{"id":192,"uris":["http://zotero.org/users/local/4EOi04XK/items/ZKNWDBFI","http://zotero.org/users/14835897/items/ZKNWDBFI"],"itemData":{"id":192,"type":"article-journal","abstract":"Identifying infectious causes of subacute or chronic meningitis can be challenging. Enhanced, unbiased diagnostic approaches are needed.To present a case series of patients with diagnostically challenging subacute or chronic meningitis using metagenomic next-generation sequencing (mNGS) of cerebrospinal fluid (CSF) supported by a statistical framework generated from mNGS of control samples from the environment and from patients who were noninfectious.In this case series, mNGS data obtained from the CSF of 94 patients with noninfectious neuroinflammatory disorders and from 24 water and reagent control samples were used to develop and implement a weighted scoring metric based on z scores at the species and genus levels for both nucleotide and protein alignments to prioritize and rank the mNGS results. Total RNA was extracted for mNGS from the CSF of 7 participants with subacute or chronic meningitis who were recruited between September 2013 and March 2017 as part of a multicenter study of mNGS pathogen discovery among patients with suspected neuroinflammatory conditions. The neurologic infections identified by mNGS in these 7 participants represented a diverse array of pathogens. The patients were referred from the University of California, San Francisco Medical Center (n = 2), Zuckerberg San Francisco General Hospital and Trauma Center (n = 2), Cleveland Clinic (n = 1), University of Washington (n = 1), and Kaiser Permanente (n = 1). A weighted z score was used to filter out environmental contaminants and facilitate efficient data triage and analysis.Pathogens identified by mNGS and the ability of a statistical model to prioritize, rank, and simplify mNGS results.The 7 participants ranged in age from 10 to 55 years, and 3 (43%) were female. A parasitic worm (Taenia solium, in 2 participants), a virus (HIV-1), and 4 fungi (Cryptococcus neoformans, Aspergillus oryzae, Histoplasma capsulatum, and Candida dubliniensis) were identified among the 7 participants by using mNGS. Evaluating mNGS data with a weighted z score–based scoring algorithm reduced the reported microbial taxa by a mean of 87% (range, 41%-99%) when taxa with a combined score of 0 or less were removed, effectively separating bona fide pathogen sequences from spurious environmental sequences so that, in each case, the causative pathogen was found within the top 2 scoring microbes identified using the algorithm.Diverse microbial pathogens were identified by mNGS in the CSF of patients with diagnostically challenging subacute or chronic meningitis, including a case of subarachnoid neurocysticercosis that defied diagnosis for 1 year, the first reported case of CNS vasculitis caused by Aspergillus oryzae, and the fourth reported case of C dubliniensis meningitis. Prioritizing metagenomic data with a scoring algorithm greatly clarified data interpretation and highlighted the problem of attributing biological significance to organisms present in control samples used for metagenomic sequencing studies.","container-title":"JAMA Neurology","DOI":"10.1001/jamaneurol.2018.0463","ISSN":"2168-6149","issue":"8","journalAbbreviation":"JAMA Neurology","page":"947-955","source":"Silverchair","title":"Chronic Meningitis Investigated via Metagenomic Next-Generation Sequencing","volume":"75","author":[{"family":"Wilson","given":"Michael R."},{"family":"O’Donovan","given":"Brian D."},{"family":"Gelfand","given":"Jeffrey M."},{"family":"Sample","given":"Hannah A."},{"family":"Chow","given":"Felicia C."},{"family":"Betjemann","given":"John P."},{"family":"Shah","given":"Maulik P."},{"family":"Richie","given":"Megan B."},{"family":"Gorman","given":"Mark P."},{"family":"Hajj-Ali","given":"Rula A."},{"family":"Calabrese","given":"Leonard H."},{"family":"Zorn","given":"Kelsey C."},{"family":"Chow","given":"Eric D."},{"family":"Greenlee","given":"John E."},{"family":"Blum","given":"Jonathan H."},{"family":"Green","given":"Gary"},{"family":"Khan","given":"Lillian M."},{"family":"Banerji","given":"Debarko"},{"family":"Langelier","given":"Charles"},{"family":"Bryson-Cahn","given":"Chloe"},{"family":"Harrington","given":"Whitney"},{"family":"Lingappa","given":"Jairam R."},{"family":"Shanbhag","given":"Niraj M."},{"family":"Green","given":"Ari J."},{"family":"Brew","given":"Bruce J."},{"family":"Soldatos","given":"Ariane"},{"family":"Strnad","given":"Luke"},{"family":"Doernberg","given":"Sarah B."},{"family":"Jay","given":"Cheryl A."},{"family":"Douglas","given":"Vanja"},{"family":"Josephson","given":"S. Andrew"},{"family":"DeRisi","given":"Joseph L."}],"issued":{"date-parts":[["2018",8,1]]}},"label":"page"},{"id":160,"uris":["http://zotero.org/users/local/4EOi04XK/items/L6XI8ZV9","http://zotero.org/users/14835897/items/L6XI8ZV9"],"itemData":{"id":160,"type":"article-journal","abstract":"Metagenomic next-generation sequencing (mNGS) of cerebrospinal fluid (CSF) is an agnostic method for broad-based diagnosis of central nervous system (CNS) infections. Here we analyzed the 7-year performance of clinical CSF mNGS testing of 4,828 samples from June 2016 to April 2023 performed by the University of California, San Francisco (UCSF) clinical microbiology laboratory. Overall, mNGS testing detected 797 organisms from 697 (14.4%) of 4,828 samples, consisting of 363 (45.5%) DNA viruses, 211 (26.4%) RNA viruses, 132 (16.6%) bacteria, 68 (8.5%) fungi and 23 (2.9%) parasites. We also extracted clinical and laboratory metadata from a subset of the samples (n = 1,164) from 1,053 UCSF patients. Among the 220 infectious diagnoses in this subset, 48 (21.8%) were identified by mNGS alone. The sensitivity, specificity and accuracy of mNGS testing for CNS infections were 63.1%, 99.6% and 92.9%, respectively. mNGS testing exhibited higher sensitivity (63.1%) than indirect serologic testing (28.8%) and direct detection testing from both CSF (45.9%) and non-CSF (15.0%) samples (P &lt; 0.001 for all three comparisons). When only considering diagnoses made by CSF direct detection testing, the sensitivity of mNGS testing increased to 86%. These results justify the routine use of diagnostic mNGS testing for hospitalized patients with suspected CNS infection.","container-title":"Nature Medicine","DOI":"10.1038/s41591-024-03275-1","ISSN":"1546-170X","issue":"12","journalAbbreviation":"Nat Med","language":"en","license":"2024 The Author(s)","page":"3522-3533","publisher":"Nature Publishing Group","source":"www.nature.com","title":"Seven-year performance of a clinical metagenomic next-generation sequencing test for diagnosis of central nervous system infections","volume":"30","author":[{"family":"Benoit","given":"Patrick"},{"family":"Brazer","given":"Noah"},{"family":"Lorenzi-Tognon","given":"Mikael","non-dropping-particle":"de"},{"family":"Kelly","given":"Emily"},{"family":"Servellita","given":"Venice"},{"family":"Oseguera","given":"Miriam"},{"family":"Nguyen","given":"Jenny"},{"family":"Tang","given":"Jack"},{"family":"Omura","given":"Charles"},{"family":"Streithorst","given":"Jessica"},{"family":"Hillberg","given":"Melissa"},{"family":"Ingebrigtsen","given":"Danielle"},{"family":"Zorn","given":"Kelsey"},{"family":"Wilson","given":"Michael R."},{"family":"Blicharz","given":"Tim"},{"family":"Wong","given":"Amy P."},{"family":"O’Donovan","given":"Brian"},{"family":"Murray","given":"Brad"},{"family":"Miller","given":"Steve"},{"family":"Chiu","given":"Charles Y."}],"issued":{"date-parts":[["2024",12]]}},"label":"page"}],"schema":"https://github.com/citation-style-language/schema/raw/master/csl-citation.json"}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2,6,7</w:t>
      </w:r>
      <w:r w:rsidR="007E0CDD"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Prior to the advent of clinical </w:t>
      </w:r>
      <w:proofErr w:type="spellStart"/>
      <w:r w:rsidRPr="00800BBC">
        <w:rPr>
          <w:rFonts w:ascii="Calibri" w:hAnsi="Calibri" w:cs="Calibri"/>
        </w:rPr>
        <w:t>mNGS</w:t>
      </w:r>
      <w:proofErr w:type="spellEnd"/>
      <w:r w:rsidRPr="00800BBC">
        <w:rPr>
          <w:rFonts w:ascii="Calibri" w:hAnsi="Calibri" w:cs="Calibri"/>
        </w:rPr>
        <w:t xml:space="preserve"> testing, the California Encephalitis Project examined causes of encephalitis across the state and found that </w:t>
      </w:r>
      <w:r w:rsidR="000B1BF9" w:rsidRPr="00800BBC">
        <w:rPr>
          <w:rFonts w:ascii="Calibri" w:hAnsi="Calibri" w:cs="Calibri"/>
        </w:rPr>
        <w:t>over half</w:t>
      </w:r>
      <w:r w:rsidRPr="00800BBC">
        <w:rPr>
          <w:rFonts w:ascii="Calibri" w:hAnsi="Calibri" w:cs="Calibri"/>
        </w:rPr>
        <w:t xml:space="preserve"> of cases remained undiagnosed, despite </w:t>
      </w:r>
      <w:r w:rsidR="000B1BF9" w:rsidRPr="00800BBC">
        <w:rPr>
          <w:rFonts w:ascii="Calibri" w:hAnsi="Calibri" w:cs="Calibri"/>
        </w:rPr>
        <w:t>utilizing</w:t>
      </w:r>
      <w:r w:rsidRPr="00800BBC">
        <w:rPr>
          <w:rFonts w:ascii="Calibri" w:hAnsi="Calibri" w:cs="Calibri"/>
        </w:rPr>
        <w:t xml:space="preserve"> an expanded panel of molecular tests and detailed clinical evaluation</w:t>
      </w:r>
      <w:r w:rsidR="007E0CDD" w:rsidRPr="00800BBC">
        <w:rPr>
          <w:rFonts w:ascii="Calibri" w:hAnsi="Calibri" w:cs="Calibri"/>
        </w:rPr>
        <w:fldChar w:fldCharType="begin"/>
      </w:r>
      <w:r w:rsidR="00BF44AA" w:rsidRPr="00800BBC">
        <w:rPr>
          <w:rFonts w:ascii="Calibri" w:hAnsi="Calibri" w:cs="Calibri"/>
        </w:rPr>
        <w:instrText xml:space="preserve"> ADDIN ZOTERO_ITEM CSL_CITATION {"citationID":"5s1cMD5I","properties":{"formattedCitation":"\\super 8\\nosupersub{}","plainCitation":"8","noteIndex":0},"citationItems":[{"id":193,"uris":["http://zotero.org/users/local/4EOi04XK/items/IE55BIW5","http://zotero.org/users/14835897/items/IE55BIW5"],"itemData":{"id":193,"type":"article-journal","abstract":"The California Encephalitis Project was initiated in June 1998 to identify the causes and characterize the clinical and epidemiologic features of encephalitis in California. Testing for </w:instrText>
      </w:r>
      <w:r w:rsidR="00BF44AA" w:rsidRPr="00800BBC">
        <w:rPr>
          <w:rFonts w:ascii="Cambria Math" w:hAnsi="Cambria Math" w:cs="Cambria Math"/>
        </w:rPr>
        <w:instrText>∼</w:instrText>
      </w:r>
      <w:r w:rsidR="00BF44AA" w:rsidRPr="00800BBC">
        <w:rPr>
          <w:rFonts w:ascii="Calibri" w:hAnsi="Calibri" w:cs="Calibri"/>
        </w:rPr>
        <w:instrText xml:space="preserve">13 agents, including herpesviruses, enteroviruses, arboviruses, Bartonella species, Chlamydia species, and Mycoplasma pneumoniae, was performed at the Viral and Rickettsial Disease Laboratory (Richmond, California). Epidemiologic and clinical information collected for each case guided further testing. From June 1998 through December 2000, 334 patients who met our case definition of encephalitis were enrolled. A confirmed or probable viral agent of encephalitis was found in 31 cases (9%), a bacterial agent was found in 9 cases (3%), and a parasitic agent was found in 2 cases (1%). A possible etiology was identified in 41 cases (12%). A noninfectious etiology was identified in 32 cases (10%), and a nonencephalitis infection was identified in 11 (3%). Despite extensive testing and evaluation, the etiology of 208 cases (62%) remained unexplained.","container-title":"Clinical Infectious Diseases","DOI":"10.1086/367841","ISSN":"1058-4838","issue":"6","journalAbbreviation":"Clinical Infectious Diseases","page":"731-742","source":"Silverchair","title":"In Search of Encephalitis Etiologies: Diagnostic Challenges in the California Encephalitis Project, 1998—2000","title-short":"In Search of Encephalitis Etiologies","volume":"36","author":[{"family":"Glaser","given":"Carol A."},{"family":"Gilliam","given":"Sabrina"},{"family":"Schnurr","given":"David"},{"family":"Forghani","given":"Bagher"},{"family":"Honarmand","given":"Somayeh"},{"family":"Khetsuriani","given":"Nino"},{"family":"Fischer","given":"Marc"},{"family":"Cossen","given":"Cynthia K."},{"family":"Anderson","given":"Larry J."}],"issued":{"date-parts":[["2003",3,15]]}}}],"schema":"https://github.com/citation-style-language/schema/raw/master/csl-citation.json"} </w:instrText>
      </w:r>
      <w:r w:rsidR="007E0CDD" w:rsidRPr="00800BBC">
        <w:rPr>
          <w:rFonts w:ascii="Calibri" w:hAnsi="Calibri" w:cs="Calibri"/>
        </w:rPr>
        <w:fldChar w:fldCharType="separate"/>
      </w:r>
      <w:r w:rsidR="008D1CAB" w:rsidRPr="008D1CAB">
        <w:rPr>
          <w:rFonts w:ascii="Calibri" w:hAnsi="Calibri" w:cs="Calibri"/>
          <w:kern w:val="0"/>
          <w:vertAlign w:val="superscript"/>
        </w:rPr>
        <w:t>8</w:t>
      </w:r>
      <w:r w:rsidR="007E0CDD" w:rsidRPr="00800BBC">
        <w:rPr>
          <w:rFonts w:ascii="Calibri" w:hAnsi="Calibri" w:cs="Calibri"/>
        </w:rPr>
        <w:fldChar w:fldCharType="end"/>
      </w:r>
      <w:r w:rsidR="00BF44AA" w:rsidRPr="00800BBC">
        <w:rPr>
          <w:rFonts w:ascii="Calibri" w:hAnsi="Calibri" w:cs="Calibri"/>
        </w:rPr>
        <w:t>.</w:t>
      </w:r>
      <w:r w:rsidR="000B1BF9" w:rsidRPr="00800BBC">
        <w:rPr>
          <w:rFonts w:ascii="Calibri" w:hAnsi="Calibri" w:cs="Calibri"/>
        </w:rPr>
        <w:t xml:space="preserve"> Now, o</w:t>
      </w:r>
      <w:r w:rsidRPr="00800BBC">
        <w:rPr>
          <w:rFonts w:ascii="Calibri" w:hAnsi="Calibri" w:cs="Calibri"/>
        </w:rPr>
        <w:t xml:space="preserve">ver two decades later, a </w:t>
      </w:r>
      <w:r w:rsidR="00D9516B" w:rsidRPr="00800BBC">
        <w:rPr>
          <w:rFonts w:ascii="Calibri" w:hAnsi="Calibri" w:cs="Calibri"/>
        </w:rPr>
        <w:t>clinically validated</w:t>
      </w:r>
      <w:r w:rsidRPr="00800BBC">
        <w:rPr>
          <w:rFonts w:ascii="Calibri" w:hAnsi="Calibri" w:cs="Calibri"/>
        </w:rPr>
        <w:t xml:space="preserve"> </w:t>
      </w:r>
      <w:r w:rsidR="004D2DA3" w:rsidRPr="00800BBC">
        <w:rPr>
          <w:rFonts w:ascii="Calibri" w:hAnsi="Calibri" w:cs="Calibri"/>
        </w:rPr>
        <w:t>cerebrospinal fluid (</w:t>
      </w:r>
      <w:r w:rsidRPr="00800BBC">
        <w:rPr>
          <w:rFonts w:ascii="Calibri" w:hAnsi="Calibri" w:cs="Calibri"/>
        </w:rPr>
        <w:t>CSF</w:t>
      </w:r>
      <w:r w:rsidR="004D2DA3" w:rsidRPr="00800BBC">
        <w:rPr>
          <w:rFonts w:ascii="Calibri" w:hAnsi="Calibri" w:cs="Calibri"/>
        </w:rPr>
        <w:t>)</w:t>
      </w:r>
      <w:r w:rsidRPr="00800BBC">
        <w:rPr>
          <w:rFonts w:ascii="Calibri" w:hAnsi="Calibri" w:cs="Calibri"/>
        </w:rPr>
        <w:t xml:space="preserve"> </w:t>
      </w:r>
      <w:proofErr w:type="spellStart"/>
      <w:r w:rsidRPr="00800BBC">
        <w:rPr>
          <w:rFonts w:ascii="Calibri" w:hAnsi="Calibri" w:cs="Calibri"/>
        </w:rPr>
        <w:t>mNGS</w:t>
      </w:r>
      <w:proofErr w:type="spellEnd"/>
      <w:r w:rsidRPr="00800BBC">
        <w:rPr>
          <w:rFonts w:ascii="Calibri" w:hAnsi="Calibri" w:cs="Calibri"/>
        </w:rPr>
        <w:t xml:space="preserve"> assay detected the presence of pathogenic organisms in </w:t>
      </w:r>
      <w:r w:rsidR="000B1BF9" w:rsidRPr="00800BBC">
        <w:rPr>
          <w:rFonts w:ascii="Calibri" w:hAnsi="Calibri" w:cs="Calibri"/>
        </w:rPr>
        <w:t>the CSF of nearly 15%</w:t>
      </w:r>
      <w:r w:rsidRPr="00800BBC">
        <w:rPr>
          <w:rFonts w:ascii="Calibri" w:hAnsi="Calibri" w:cs="Calibri"/>
        </w:rPr>
        <w:t xml:space="preserve"> of </w:t>
      </w:r>
      <w:r w:rsidR="000B1BF9" w:rsidRPr="00800BBC">
        <w:rPr>
          <w:rFonts w:ascii="Calibri" w:hAnsi="Calibri" w:cs="Calibri"/>
        </w:rPr>
        <w:t xml:space="preserve">patients with suspected CNS infections over a </w:t>
      </w:r>
      <w:r w:rsidRPr="00800BBC">
        <w:rPr>
          <w:rFonts w:ascii="Calibri" w:hAnsi="Calibri" w:cs="Calibri"/>
        </w:rPr>
        <w:t>seven-year period</w:t>
      </w:r>
      <w:r w:rsidR="000B1BF9" w:rsidRPr="00800BBC">
        <w:rPr>
          <w:rFonts w:ascii="Calibri" w:hAnsi="Calibri" w:cs="Calibri"/>
        </w:rPr>
        <w:fldChar w:fldCharType="begin"/>
      </w:r>
      <w:r w:rsidR="00BF44AA" w:rsidRPr="00800BBC">
        <w:rPr>
          <w:rFonts w:ascii="Calibri" w:hAnsi="Calibri" w:cs="Calibri"/>
        </w:rPr>
        <w:instrText xml:space="preserve"> ADDIN ZOTERO_ITEM CSL_CITATION {"citationID":"9WOfvISL","properties":{"formattedCitation":"\\super 7\\nosupersub{}","plainCitation":"7","noteIndex":0},"citationItems":[{"id":160,"uris":["http://zotero.org/users/local/4EOi04XK/items/L6XI8ZV9","http://zotero.org/users/14835897/items/L6XI8ZV9"],"itemData":{"id":160,"type":"article-journal","abstract":"Metagenomic next-generation sequencing (mNGS) of cerebrospinal fluid (CSF) is an agnostic method for broad-based diagnosis of central nervous system (CNS) infections. Here we analyzed the 7-year performance of clinical CSF mNGS testing of 4,828 samples from June 2016 to April 2023 performed by the University of California, San Francisco (UCSF) clinical microbiology laboratory. Overall, mNGS testing detected 797 organisms from 697 (14.4%) of 4,828 samples, consisting of 363 (45.5%) DNA viruses, 211 (26.4%) RNA viruses, 132 (16.6%) bacteria, 68 (8.5%) fungi and 23 (2.9%) parasites. We also extracted clinical and laboratory metadata from a subset of the samples (n = 1,164) from 1,053 UCSF patients. Among the 220 infectious diagnoses in this subset, 48 (21.8%) were identified by mNGS alone. The sensitivity, specificity and accuracy of mNGS testing for CNS infections were 63.1%, 99.6% and 92.9%, respectively. mNGS testing exhibited higher sensitivity (63.1%) than indirect serologic testing (28.8%) and direct detection testing from both CSF (45.9%) and non-CSF (15.0%) samples (P &lt; 0.001 for all three comparisons). When only considering diagnoses made by CSF direct detection testing, the sensitivity of mNGS testing increased to 86%. These results justify the routine use of diagnostic mNGS testing for hospitalized patients with suspected CNS infection.","container-title":"Nature Medicine","DOI":"10.1038/s41591-024-03275-1","ISSN":"1546-170X","issue":"12","journalAbbreviation":"Nat Med","language":"en","license":"2024 The Author(s)","page":"3522-3533","publisher":"Nature Publishing Group","source":"www.nature.com","title":"Seven-year performance of a clinical metagenomic next-generation sequencing test for diagnosis of central nervous system infections","volume":"30","author":[{"family":"Benoit","given":"Patrick"},{"family":"Brazer","given":"Noah"},{"family":"Lorenzi-Tognon","given":"Mikael","non-dropping-particle":"de"},{"family":"Kelly","given":"Emily"},{"family":"Servellita","given":"Venice"},{"family":"Oseguera","given":"Miriam"},{"family":"Nguyen","given":"Jenny"},{"family":"Tang","given":"Jack"},{"family":"Omura","given":"Charles"},{"family":"Streithorst","given":"Jessica"},{"family":"Hillberg","given":"Melissa"},{"family":"Ingebrigtsen","given":"Danielle"},{"family":"Zorn","given":"Kelsey"},{"family":"Wilson","given":"Michael R."},{"family":"Blicharz","given":"Tim"},{"family":"Wong","given":"Amy P."},{"family":"O’Donovan","given":"Brian"},{"family":"Murray","given":"Brad"},{"family":"Miller","given":"Steve"},{"family":"Chiu","given":"Charles Y."}],"issued":{"date-parts":[["2024",12]]}}}],"schema":"https://github.com/citation-style-language/schema/raw/master/csl-citation.json"} </w:instrText>
      </w:r>
      <w:r w:rsidR="000B1BF9" w:rsidRPr="00800BBC">
        <w:rPr>
          <w:rFonts w:ascii="Calibri" w:hAnsi="Calibri" w:cs="Calibri"/>
        </w:rPr>
        <w:fldChar w:fldCharType="separate"/>
      </w:r>
      <w:r w:rsidR="008D1CAB" w:rsidRPr="008D1CAB">
        <w:rPr>
          <w:rFonts w:ascii="Calibri" w:hAnsi="Calibri" w:cs="Calibri"/>
          <w:kern w:val="0"/>
          <w:vertAlign w:val="superscript"/>
        </w:rPr>
        <w:t>7</w:t>
      </w:r>
      <w:r w:rsidR="000B1BF9"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Furthermore, among patients with confirmed infectious diagnoses, </w:t>
      </w:r>
      <w:r w:rsidR="000B1BF9" w:rsidRPr="00800BBC">
        <w:rPr>
          <w:rFonts w:ascii="Calibri" w:hAnsi="Calibri" w:cs="Calibri"/>
        </w:rPr>
        <w:t>one in five</w:t>
      </w:r>
      <w:r w:rsidRPr="00800BBC">
        <w:rPr>
          <w:rFonts w:ascii="Calibri" w:hAnsi="Calibri" w:cs="Calibri"/>
        </w:rPr>
        <w:t xml:space="preserve"> were </w:t>
      </w:r>
      <w:r w:rsidRPr="00602F80">
        <w:rPr>
          <w:rFonts w:ascii="Calibri" w:hAnsi="Calibri" w:cs="Calibri"/>
        </w:rPr>
        <w:t>only</w:t>
      </w:r>
      <w:r w:rsidRPr="00800BBC">
        <w:rPr>
          <w:rFonts w:ascii="Calibri" w:hAnsi="Calibri" w:cs="Calibri"/>
        </w:rPr>
        <w:t xml:space="preserve"> diagnosed by </w:t>
      </w:r>
      <w:r w:rsidR="000B1BF9" w:rsidRPr="00800BBC">
        <w:rPr>
          <w:rFonts w:ascii="Calibri" w:hAnsi="Calibri" w:cs="Calibri"/>
        </w:rPr>
        <w:t>this</w:t>
      </w:r>
      <w:r w:rsidRPr="00800BBC">
        <w:rPr>
          <w:rFonts w:ascii="Calibri" w:hAnsi="Calibri" w:cs="Calibri"/>
        </w:rPr>
        <w:t xml:space="preserve"> clinical CSF </w:t>
      </w:r>
      <w:proofErr w:type="spellStart"/>
      <w:r w:rsidRPr="00800BBC">
        <w:rPr>
          <w:rFonts w:ascii="Calibri" w:hAnsi="Calibri" w:cs="Calibri"/>
        </w:rPr>
        <w:t>mNGS</w:t>
      </w:r>
      <w:proofErr w:type="spellEnd"/>
      <w:r w:rsidRPr="00800BBC">
        <w:rPr>
          <w:rFonts w:ascii="Calibri" w:hAnsi="Calibri" w:cs="Calibri"/>
        </w:rPr>
        <w:t xml:space="preserve"> assay, emphasizing the utility of this testing approach</w:t>
      </w:r>
      <w:r w:rsidR="000B1BF9" w:rsidRPr="00800BBC">
        <w:rPr>
          <w:rFonts w:ascii="Calibri" w:hAnsi="Calibri" w:cs="Calibri"/>
        </w:rPr>
        <w:fldChar w:fldCharType="begin"/>
      </w:r>
      <w:r w:rsidR="00BF44AA" w:rsidRPr="00800BBC">
        <w:rPr>
          <w:rFonts w:ascii="Calibri" w:hAnsi="Calibri" w:cs="Calibri"/>
        </w:rPr>
        <w:instrText xml:space="preserve"> ADDIN ZOTERO_ITEM CSL_CITATION {"citationID":"thi76a8T","properties":{"formattedCitation":"\\super 7\\nosupersub{}","plainCitation":"7","noteIndex":0},"citationItems":[{"id":160,"uris":["http://zotero.org/users/local/4EOi04XK/items/L6XI8ZV9","http://zotero.org/users/14835897/items/L6XI8ZV9"],"itemData":{"id":160,"type":"article-journal","abstract":"Metagenomic next-generation sequencing (mNGS) of cerebrospinal fluid (CSF) is an agnostic method for broad-based diagnosis of central nervous system (CNS) infections. Here we analyzed the 7-year performance of clinical CSF mNGS testing of 4,828 samples from June 2016 to April 2023 performed by the University of California, San Francisco (UCSF) clinical microbiology laboratory. Overall, mNGS testing detected 797 organisms from 697 (14.4%) of 4,828 samples, consisting of 363 (45.5%) DNA viruses, 211 (26.4%) RNA viruses, 132 (16.6%) bacteria, 68 (8.5%) fungi and 23 (2.9%) parasites. We also extracted clinical and laboratory metadata from a subset of the samples (n = 1,164) from 1,053 UCSF patients. Among the 220 infectious diagnoses in this subset, 48 (21.8%) were identified by mNGS alone. The sensitivity, specificity and accuracy of mNGS testing for CNS infections were 63.1%, 99.6% and 92.9%, respectively. mNGS testing exhibited higher sensitivity (63.1%) than indirect serologic testing (28.8%) and direct detection testing from both CSF (45.9%) and non-CSF (15.0%) samples (P &lt; 0.001 for all three comparisons). When only considering diagnoses made by CSF direct detection testing, the sensitivity of mNGS testing increased to 86%. These results justify the routine use of diagnostic mNGS testing for hospitalized patients with suspected CNS infection.","container-title":"Nature Medicine","DOI":"10.1038/s41591-024-03275-1","ISSN":"1546-170X","issue":"12","journalAbbreviation":"Nat Med","language":"en","license":"2024 The Author(s)","page":"3522-3533","publisher":"Nature Publishing Group","source":"www.nature.com","title":"Seven-year performance of a clinical metagenomic next-generation sequencing test for diagnosis of central nervous system infections","volume":"30","author":[{"family":"Benoit","given":"Patrick"},{"family":"Brazer","given":"Noah"},{"family":"Lorenzi-Tognon","given":"Mikael","non-dropping-particle":"de"},{"family":"Kelly","given":"Emily"},{"family":"Servellita","given":"Venice"},{"family":"Oseguera","given":"Miriam"},{"family":"Nguyen","given":"Jenny"},{"family":"Tang","given":"Jack"},{"family":"Omura","given":"Charles"},{"family":"Streithorst","given":"Jessica"},{"family":"Hillberg","given":"Melissa"},{"family":"Ingebrigtsen","given":"Danielle"},{"family":"Zorn","given":"Kelsey"},{"family":"Wilson","given":"Michael R."},{"family":"Blicharz","given":"Tim"},{"family":"Wong","given":"Amy P."},{"family":"O’Donovan","given":"Brian"},{"family":"Murray","given":"Brad"},{"family":"Miller","given":"Steve"},{"family":"Chiu","given":"Charles Y."}],"issued":{"date-parts":[["2024",12]]}}}],"schema":"https://github.com/citation-style-language/schema/raw/master/csl-citation.json"} </w:instrText>
      </w:r>
      <w:r w:rsidR="000B1BF9" w:rsidRPr="00800BBC">
        <w:rPr>
          <w:rFonts w:ascii="Calibri" w:hAnsi="Calibri" w:cs="Calibri"/>
        </w:rPr>
        <w:fldChar w:fldCharType="separate"/>
      </w:r>
      <w:r w:rsidR="008D1CAB" w:rsidRPr="008D1CAB">
        <w:rPr>
          <w:rFonts w:ascii="Calibri" w:hAnsi="Calibri" w:cs="Calibri"/>
          <w:kern w:val="0"/>
          <w:vertAlign w:val="superscript"/>
        </w:rPr>
        <w:t>7</w:t>
      </w:r>
      <w:r w:rsidR="000B1BF9"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In addition, studies have also demonstrated the potential of </w:t>
      </w:r>
      <w:r w:rsidR="000B1BF9" w:rsidRPr="00800BBC">
        <w:rPr>
          <w:rFonts w:ascii="Calibri" w:hAnsi="Calibri" w:cs="Calibri"/>
        </w:rPr>
        <w:t>predicting the likelihood of various CNS infections based on the</w:t>
      </w:r>
      <w:r w:rsidRPr="00800BBC">
        <w:rPr>
          <w:rFonts w:ascii="Calibri" w:hAnsi="Calibri" w:cs="Calibri"/>
        </w:rPr>
        <w:t xml:space="preserve"> host transcriptome generated by the </w:t>
      </w:r>
      <w:proofErr w:type="spellStart"/>
      <w:r w:rsidRPr="00800BBC">
        <w:rPr>
          <w:rFonts w:ascii="Calibri" w:hAnsi="Calibri" w:cs="Calibri"/>
        </w:rPr>
        <w:t>mNGS</w:t>
      </w:r>
      <w:proofErr w:type="spellEnd"/>
      <w:r w:rsidR="000B1BF9" w:rsidRPr="00800BBC">
        <w:rPr>
          <w:rFonts w:ascii="Calibri" w:hAnsi="Calibri" w:cs="Calibri"/>
        </w:rPr>
        <w:t xml:space="preserve"> assay</w:t>
      </w:r>
      <w:r w:rsidR="000B1BF9" w:rsidRPr="00800BBC">
        <w:rPr>
          <w:rFonts w:ascii="Calibri" w:hAnsi="Calibri" w:cs="Calibri"/>
        </w:rPr>
        <w:fldChar w:fldCharType="begin"/>
      </w:r>
      <w:r w:rsidR="00BF44AA" w:rsidRPr="00800BBC">
        <w:rPr>
          <w:rFonts w:ascii="Calibri" w:hAnsi="Calibri" w:cs="Calibri"/>
        </w:rPr>
        <w:instrText xml:space="preserve"> ADDIN ZOTERO_ITEM CSL_CITATION {"citationID":"aagMLvzy","properties":{"formattedCitation":"\\super 9\\uc0\\u8211{}11\\nosupersub{}","plainCitation":"9–11","noteIndex":0},"citationItems":[{"id":49,"uris":["http://zotero.org/users/local/4EOi04XK/items/UZ3KXRUZ","http://zotero.org/users/14835897/items/UZ3KXRUZ"],"itemData":{"id":49,"type":"article-journal","abstract":"The epidemiology of infectious causes of meningitis in sub-Saharan Africa is not well understood, and a common cause of meningitis in this region, Mycobacterium tuberculosis (TB), is notoriously hard to diagnose. Here we show that integrating cerebrospinal fluid (CSF) metagenomic next-generation sequencing (mNGS) with a host gene expression-based machine learning classifier (MLC) enhances diagnostic accuracy for TB meningitis (TBM) and its mimics. 368 HIV-infected Ugandan adults with subacute meningitis were prospectively enrolled. Total RNA and DNA CSF mNGS libraries were sequenced to identify meningitis pathogens. In parallel, a CSF host transcriptomic MLC to distinguish between TBM and other infections was trained and then evaluated in a blinded fashion on an independent dataset. mNGS identifies an array of infectious TBM mimics (and co-infections), including emerging, treatable, and vaccine-preventable pathogens including Wesselsbron virus, Toxoplasma gondii, Streptococcus pneumoniae, Nocardia brasiliensis, measles virus and cytomegalovirus. By leveraging the specificity of mNGS and the sensitivity of an MLC created from CSF host transcriptomes, the combined assay has high sensitivity (88.9%) and specificity (86.7%) for the detection of TBM and its many mimics. Furthermore, we achieve comparable combined assay performance at sequencing depths more amenable to performing diagnostic mNGS in low resource settings., Tuberculous meningitis is difficult to differentiate from meningitis caused by other pathogens. Here, the authors combine metagenomics-based pathogen detection in cerebrospinal fluid with a host gene expression-based machine learning classifier for diagnosis.","container-title":"Nature Communications","DOI":"10.1038/s41467-022-29353-x","ISSN":"2041-1723","journalAbbreviation":"Nat Commun","page":"1675","PMID":"35354815","PMCID":"PMC8967864","source":"PubMed Central","title":"Integrating central nervous system metagenomics and host response for diagnosis of tuberculosis meningitis and its mimics","volume":"13","author":[{"family":"Ramachandran","given":"P. S."},{"family":"Ramesh","given":"A."},{"family":"Creswell","given":"F. V."},{"family":"Wapniarski","given":"A."},{"family":"Narendra","given":"R."},{"family":"Quinn","given":"C. M."},{"family":"Tran","given":"E. B."},{"family":"Rutakingirwa","given":"M. K."},{"family":"Bangdiwala","given":"A. S."},{"family":"Kagimu","given":"E."},{"family":"Kandole","given":"K. T."},{"family":"Zorn","given":"K. C."},{"family":"Tugume","given":"L."},{"family":"Kasibante","given":"J."},{"family":"Ssebambulidde","given":"K."},{"family":"Okirwoth","given":"M."},{"family":"Bahr","given":"N. C."},{"family":"Musubire","given":"A."},{"family":"Skipper","given":"C. P."},{"family":"Fouassier","given":"C."},{"family":"Lyden","given":"A."},{"family":"Serpa","given":"P."},{"family":"Castaneda","given":"G."},{"family":"Caldera","given":"S."},{"family":"Ahyong","given":"V."},{"family":"DeRisi","given":"J. L."},{"family":"Langelier","given":"C."},{"family":"Crawford","given":"E. D."},{"family":"Boulware","given":"D. R."},{"family":"Meya","given":"D. B."},{"family":"Wilson","given":"M. R."}],"issued":{"date-parts":[["2022",3,30]]}},"label":"page"},{"id":195,"uris":["http://zotero.org/users/local/4EOi04XK/items/939JN2WJ","http://zotero.org/users/14835897/items/939JN2WJ"],"itemData":{"id":195,"type":"article-journal","abstract":"Background\nInfectious meningitis/encephalitis (IM) is a severe neurological disease that can be caused by bacterial, viral, and fungal pathogens. IM suffers high morbidity, mortality, and sequelae in childhood. Metagenomic next-generation sequencing (mNGS) can potentially improve IM outcomes by sequencing both pathogen and host responses and increasing the diagnosis accuracy.\n\nMethods\nHere we developed an optimized mNGS pipeline named comprehensive mNGS (c-mNGS) to monitor DNA/RNA pathogens and host responses simultaneously and applied it to 142 cerebrospinal fluid samples. According to retrospective diagnosis, these samples were classified into three categories: confirmed infectious meningitis/encephalitis (CIM), suspected infectious meningitis/encephalitis (SIM), and noninfectious controls (CTRL).\n\nResults\nOur pipeline outperformed conventional methods and identified RNA viruses such as Echovirus E30 and etiologic pathogens such as HHV-7, which would not be clinically identified via conventional methods. Based on the results of the c-mNGS pipeline, we successfully detected antibiotic resistance genes related to common antibiotics for treating Escherichia coli, Acinetobacter baumannii, and Group B Streptococcus. Further, we identified differentially expressed genes in hosts of bacterial meningitis (BM) and viral meningitis/encephalitis (VM). We used these genes to build a machine-learning model to pinpoint sample contaminations. Similarly, we also built a model to predict poor prognosis in BM.\n\nConclusions\nThis study developed an mNGS-based pipeline for IM which measures both DNA/RNA pathogens and host gene expression in a single assay. The pipeline allows detecting more viruses, predicting antibiotic resistance, pinpointing contaminations, and evaluating prognosis. Given the comparable cost to conventional mNGS, our pipeline can become a routine test for IM.\n\nSupplementary Information\nThe online version contains supplementary material available at 10.1186/s12967-024-05370-w.","container-title":"Journal of Translational Medicine","DOI":"10.1186/s12967-024-05370-w","ISSN":"1479-5876","journalAbbreviation":"J Transl Med","page":"583","PMID":"38902725","PMCID":"PMC11191231","source":"PubMed Central","title":"Integrating DNA/RNA microbe detection and host response for accurate diagnosis, treatment and prognosis of childhood infectious meningitis and encephalitis","volume":"22","author":[{"family":"Xing","given":"Zhihao"},{"family":"Jiang","given":"Hanfang"},{"family":"Liu","given":"Xiaorong"},{"family":"Chai","given":"Qiang"},{"family":"Xin","given":"Zefeng"},{"family":"Zhu","given":"Chunqing"},{"family":"Bao","given":"Yanmin"},{"family":"Chen","given":"Hongyu"},{"family":"Gao","given":"Hongdan"},{"family":"Ma","given":"Dongli"}],"issued":{"date-parts":[["2024",6,20]]}},"label":"page"},{"id":194,"uris":["http://zotero.org/users/local/4EOi04XK/items/SGHRKQH9","http://zotero.org/users/14835897/items/SGHRKQH9"],"itemData":{"id":194,"type":"article-journal","abstract":"Background\nClinical metagenomic next-generation sequencing (mNGS) testing of cerebrospinal fluid (CSF) increases diagnostic yield for suspected central nervous system (CNS) infections. Nevertheless, up to 45% of cases remain unknown despite extensive testing and 6 months of follow-up. We developed artificial intelligence-machine learning (AI-ML) classification models (classifiers) based on RNA gene expression / host response data from CSF mNGS testing to enhance diagnostic performance.Figure 1.An artificial intelligence machine learning classifier. (A) Schematic illustration of the different steps to generate the sub-classifiers then integrated into a consensus classifier. (B) The parasitic sub-classifier was generated using the \"leave-one-out\" algorithm due to the low sample numbers. (C) Performance metrics of the main classifiers.\n\nMethods\nFrom June 2016 and April 2023, 464 CSF mNGS results from UCSF patients with a confirmed viral (n=175), bacterial (n=91), fungal (n=44), or non-infectious (n=155) diagnosis were randomly divided into training and test subsets in an 80:20 ratio (Figure 1A). Clinicians adjudicated their confidence in the final diagnosis based on blinded medical chart review and laboratory test results. Gene (feature) selection was carried out using high-confidence samples, followed by 50-fold cross-validation. All possible pairwise comparisons were performed to generate sub-classifiers which were then integrated into a consensus classifier. Performance metrics were obtained by running the consensus classifier on the independent test subset. A separate classifier was developed for parasitic infections (n=24) using a “leave-one-out” algorithm to assess performance (Figure 1B). Classifier results were displayed as a score ranging from 0 to 10, corresponding to specificities of ≤70% to ≥99%.Figure 2.Differentially expressed gene analysis with pair-wise comparison between sub-classifiers. Left panel shows genes selected by the LASSO (least absolute shrinkage and selection operator) algorithm, and right panel the pathway/function these genes.\n\nResults\nClassifier accuracy based on the test set was 83%, with individual area under the curve (AUC) scores ranging from 0.88-0.93 for each category (Figure 1C). The function of the selected genes corresponded well with the category (Figure 2). Classifier examples include patients with (i) culture-negative CNS tuberculosis, (ii) persistent, \nToxoplasma gondii , infection despite 19 days of treatment, (iii) a rare autoimmune syndrome, and (iv) a chronic enterovirus infection misclassified as an atypical bacterial infection, suggesting that acute and chronic host response profiles differ (Figure 3).Figure 3.Classifier examples. (i) culture-negative CNS tuberculosis, (ii) persistent Toxoplasma gondii infection despite 19 days of treatment, (iii) a rare autoimmune syndrome, and (iv) a chronic enterovirus infection misclassified as an atypical bacterial infection.\n\nConclusion\nHost response profiling with AI-ML classifiers complements mNGS testing and can enhance diagnostic yield for unexplained CNS syndromes.\n\nDisclosures\n\nCharles Chiu, MD, PhD, Abbott Laboratories, Inc: Grant/Research Support|Biomeme: Advisor/Consultant|Biomeme: Board Member|BiomeSense: Advisor/Consultant|BiomeSense: Board Member|Delve Bio: Advisor/Consultant|Delve Bio: Board Member|Delve Bio: Grant/Research Support|Flightpath Biosciences: Advisor/Consultant|Flightpath Biosciences: Board Member|Mammoth Biosciences: Advisor/Consultant|Mammoth Biosciences: Board Member|Pathogen detection using next generation sequencing: US patent 11380421|Poppy Health: Advisor/Consultant|Poppy Health: Board Member","container-title":"Open Forum Infectious Diseases","DOI":"10.1093/ofid/ofae631.088","ISSN":"2328-8957","issue":"Suppl 1","journalAbbreviation":"Open Forum Infect Dis","page":"ofae631.088","PMID":"null","PMCID":"PMC11778416","source":"PubMed Central","title":"298. Host Response Profiling from Clinical Metagenomic Sequencing Data for Diagnosis of Central Nervous System Infections","volume":"12","author":[{"family":"Omura","given":"Charles"},{"family":"Lorenzi-Tognon","given":"Mikael","non-dropping-particle":"de"},{"family":"Benoit","given":"Patrick"},{"family":"Servellita","given":"Venice"},{"family":"Foresythe","given":"Kafaya"},{"family":"Brazer","given":"Noah"},{"family":"Oseguera","given":"Miriam"},{"family":"Ingebrigtsen","given":"Danielle"},{"family":"Streithorst","given":"Jessica"},{"family":"Stryke","given":"Doug"},{"family":"Zorn","given":"Kelsey"},{"family":"Karalius","given":"Mary"},{"family":"Wilson","given":"Michael R"},{"family":"Chiu","given":"Charles"}],"issued":{"date-parts":[["2025",1,29]]}},"label":"page"}],"schema":"https://github.com/citation-style-language/schema/raw/master/csl-citation.json"} </w:instrText>
      </w:r>
      <w:r w:rsidR="000B1BF9" w:rsidRPr="00800BBC">
        <w:rPr>
          <w:rFonts w:ascii="Calibri" w:hAnsi="Calibri" w:cs="Calibri"/>
        </w:rPr>
        <w:fldChar w:fldCharType="separate"/>
      </w:r>
      <w:r w:rsidR="008D1CAB" w:rsidRPr="008D1CAB">
        <w:rPr>
          <w:rFonts w:ascii="Calibri" w:hAnsi="Calibri" w:cs="Calibri"/>
          <w:kern w:val="0"/>
          <w:vertAlign w:val="superscript"/>
        </w:rPr>
        <w:t>9–11</w:t>
      </w:r>
      <w:r w:rsidR="000B1BF9"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w:t>
      </w:r>
    </w:p>
    <w:p w14:paraId="2228A384" w14:textId="77777777" w:rsidR="00BF36AA" w:rsidRPr="00800BBC" w:rsidRDefault="00BF36AA" w:rsidP="00602F80">
      <w:pPr>
        <w:jc w:val="both"/>
        <w:rPr>
          <w:rFonts w:ascii="Calibri" w:hAnsi="Calibri" w:cs="Calibri"/>
        </w:rPr>
      </w:pPr>
    </w:p>
    <w:p w14:paraId="0C15D5CC" w14:textId="5B82E0F4" w:rsidR="00BF36AA" w:rsidRPr="00800BBC" w:rsidRDefault="000F0FFF" w:rsidP="00602F80">
      <w:pPr>
        <w:jc w:val="both"/>
        <w:rPr>
          <w:rFonts w:ascii="Calibri" w:hAnsi="Calibri" w:cs="Calibri"/>
        </w:rPr>
      </w:pPr>
      <w:r w:rsidRPr="00800BBC">
        <w:rPr>
          <w:rFonts w:ascii="Calibri" w:hAnsi="Calibri" w:cs="Calibri"/>
        </w:rPr>
        <w:t>However, t</w:t>
      </w:r>
      <w:r w:rsidR="00BF36AA" w:rsidRPr="00800BBC">
        <w:rPr>
          <w:rFonts w:ascii="Calibri" w:hAnsi="Calibri" w:cs="Calibri"/>
        </w:rPr>
        <w:t>he accessibility of this</w:t>
      </w:r>
      <w:r w:rsidRPr="00800BBC">
        <w:rPr>
          <w:rFonts w:ascii="Calibri" w:hAnsi="Calibri" w:cs="Calibri"/>
        </w:rPr>
        <w:t xml:space="preserve"> promising</w:t>
      </w:r>
      <w:r w:rsidR="00BF36AA" w:rsidRPr="00800BBC">
        <w:rPr>
          <w:rFonts w:ascii="Calibri" w:hAnsi="Calibri" w:cs="Calibri"/>
        </w:rPr>
        <w:t xml:space="preserve"> technique is limited by challenges unique to CSF sample handling and processing. In particular, the quantity of CSF DNA and RNA is often lower than the minimum quantity specified by library preparation kits</w:t>
      </w:r>
      <w:r w:rsidRPr="00800BBC">
        <w:rPr>
          <w:rFonts w:ascii="Calibri" w:hAnsi="Calibri" w:cs="Calibri"/>
        </w:rPr>
        <w:fldChar w:fldCharType="begin"/>
      </w:r>
      <w:r w:rsidR="005005B7">
        <w:rPr>
          <w:rFonts w:ascii="Calibri" w:hAnsi="Calibri" w:cs="Calibri"/>
        </w:rPr>
        <w:instrText xml:space="preserve"> ADDIN ZOTERO_ITEM CSL_CITATION {"citationID":"Th8VsBcQ","properties":{"formattedCitation":"\\super 12, 13\\nosupersub{}","plainCitation":"12, 13","noteIndex":0},"citationItems":[{"id":196,"uris":["http://zotero.org/users/local/4EOi04XK/items/ZJ8JB63U","http://zotero.org/users/14835897/items/ZJ8JB63U"],"itemData":{"id":196,"type":"article-journal","abstract":"In normal subjects the overall contents of nucleic acids (NA) in the cerebrospinal fluid (CSF) was about 14 micrograms % of P as measured using the Spirin technique. This level was sharply increased in patients with stroke, cerebral arachnoiditis and brain tumors suggesting its possible use as an index in stroke differential diagnosis or a prognostic factor. Most substantial rise in NA levels (4 to 6-fold as compared with normal) was characteristic of the hemorrhagic stroke, the ischemic one eliciting only a rise by a factor of 2 to 3. In cases of a favorable outcome the CSF NA level was steadily decreasing, and in fatal cases it was increasing. The authors discuss the questions as to the sources of CSF NA in pathology, the nature and role of the nucleic factors in shaping the absorption spectra of the native CSF in a 250-300 nm band.","container-title":"Zhurnal Nevropatologii I Psikhiatrii Imeni S.S. Korsakova (Moscow, Russia: 1952)","ISSN":"0044-4588","issue":"7","journalAbbreviation":"Zh Nevropatol Psikhiatr Im S S Korsakova","language":"rus","page":"32-34","PMID":"3188772","source":"PubMed","title":"[Nucleic acids of the cerebrospinal fluid in acute disorders of cerebral circulation]","volume":"88","author":[{"family":"Andriuk","given":"L. V."},{"family":"Skochiĭ","given":"P. G."}],"issued":{"date-parts":[["1988"]]}},"label":"page"},{"id":197,"uris":["http://zotero.org/users/local/4EOi04XK/items/HWWMQHYC","http://zotero.org/users/14835897/items/HWWMQHYC"],"itemData":{"id":197,"type":"article-journal","abstract":"Infection in the central nervous system is a severe condition associated with high morbidity and mortality. Despite ample testing, the majority of encephalitis and meningitis cases remain undiagnosed. Metagenomic sequencing of cerebrospinal fluid has emerged as an unbiased approach to identify rare microbes and novel pathogens. However, several major hurdles remain, including establishment of individual limits of detection, removal of false positives and implementation of universal controls. Twenty-one cerebrospinal fluid samples, in which a known pathogen had been positively identified by available clinical techniques, were subjected to metagenomic DNA sequencing. Fourteen samples contained minute levels of Epstein-Barr virus. The detection threshold for each sample was calculated by using the total leukocyte content in the sample and environmental contaminants found in the bioinformatic classifiers. Virus sequences were detected in all ten samples, in which more than one read was expected according to the calculations. Conversely, no viral reads were detected in seven out of eight samples, in which less than one read was expected according to the calculations. False positive pathogens of computational or environmental origin were readily identified, by using a commonly available cell control. For bacteria, additional filters including a comparison between classifiers removed the remaining false positives and alleviated pathogen identification. Here we show a generalizable method for identification of pathogen species using DNA metagenomic sequencing. The choice of bioinformatic method mainly affected the efficiency of pathogen identification, but not the sensitivity of detection. Identification of pathogens requires multiple filtering steps including read distribution, sequence diversity and complementary verification of pathogen reads.","container-title":"Scientific Reports","DOI":"10.1038/s41598-022-07260-x","ISSN":"2045-2322","issue":"1","journalAbbreviation":"Sci Rep","language":"en","license":"2022 The Author(s)","page":"3378","publisher":"Nature Publishing Group","source":"www.nature.com","title":"Optimization of cerebrospinal fluid microbial DNA metagenomic sequencing diagnostics","volume":"12","author":[{"family":"Olausson","given":"Josefin"},{"family":"Brunet","given":"Sofia"},{"family":"Vracar","given":"Diana"},{"family":"Tian","given":"Yarong"},{"family":"Abrahamsson","given":"Sanna"},{"family":"Meghadri","given":"Sri Harsha"},{"family":"Sikora","given":"Per"},{"family":"Lind Karlberg","given":"Maria"},{"family":"Jakobsson","given":"Hedvig E."},{"family":"Tang","given":"Ka-Wei"}],"issued":{"date-parts":[["2022",3,1]]}},"label":"page"}],"schema":"https://github.com/citation-style-language/schema/raw/master/csl-citation.json"} </w:instrText>
      </w:r>
      <w:r w:rsidRPr="00800BBC">
        <w:rPr>
          <w:rFonts w:ascii="Calibri" w:hAnsi="Calibri" w:cs="Calibri"/>
        </w:rPr>
        <w:fldChar w:fldCharType="separate"/>
      </w:r>
      <w:r w:rsidR="008D1CAB" w:rsidRPr="008D1CAB">
        <w:rPr>
          <w:rFonts w:ascii="Calibri" w:hAnsi="Calibri" w:cs="Calibri"/>
          <w:kern w:val="0"/>
          <w:vertAlign w:val="superscript"/>
        </w:rPr>
        <w:t>12,13</w:t>
      </w:r>
      <w:r w:rsidRPr="00800BBC">
        <w:rPr>
          <w:rFonts w:ascii="Calibri" w:hAnsi="Calibri" w:cs="Calibri"/>
        </w:rPr>
        <w:fldChar w:fldCharType="end"/>
      </w:r>
      <w:r w:rsidR="00BF44AA" w:rsidRPr="00800BBC">
        <w:rPr>
          <w:rFonts w:ascii="Calibri" w:hAnsi="Calibri" w:cs="Calibri"/>
        </w:rPr>
        <w:t>.</w:t>
      </w:r>
      <w:r w:rsidR="00BF36AA" w:rsidRPr="00800BBC">
        <w:rPr>
          <w:rFonts w:ascii="Calibri" w:hAnsi="Calibri" w:cs="Calibri"/>
        </w:rPr>
        <w:t xml:space="preserve"> Nucleic acid quality can also be suboptimal, given that CSF samples collected for clinical purposes are often stored at temperatures at which </w:t>
      </w:r>
      <w:proofErr w:type="spellStart"/>
      <w:r w:rsidR="00BF36AA" w:rsidRPr="00800BBC">
        <w:rPr>
          <w:rFonts w:ascii="Calibri" w:hAnsi="Calibri" w:cs="Calibri"/>
        </w:rPr>
        <w:t>DNAses</w:t>
      </w:r>
      <w:proofErr w:type="spellEnd"/>
      <w:r w:rsidR="00BF36AA" w:rsidRPr="00800BBC">
        <w:rPr>
          <w:rFonts w:ascii="Calibri" w:hAnsi="Calibri" w:cs="Calibri"/>
        </w:rPr>
        <w:t xml:space="preserve"> and </w:t>
      </w:r>
      <w:proofErr w:type="spellStart"/>
      <w:r w:rsidR="00BF36AA" w:rsidRPr="00800BBC">
        <w:rPr>
          <w:rFonts w:ascii="Calibri" w:hAnsi="Calibri" w:cs="Calibri"/>
        </w:rPr>
        <w:t>RNAses</w:t>
      </w:r>
      <w:proofErr w:type="spellEnd"/>
      <w:r w:rsidR="00BF36AA" w:rsidRPr="00800BBC">
        <w:rPr>
          <w:rFonts w:ascii="Calibri" w:hAnsi="Calibri" w:cs="Calibri"/>
        </w:rPr>
        <w:t xml:space="preserve"> can remain active</w:t>
      </w:r>
      <w:r w:rsidRPr="00800BBC">
        <w:rPr>
          <w:rFonts w:ascii="Calibri" w:hAnsi="Calibri" w:cs="Calibri"/>
        </w:rPr>
        <w:fldChar w:fldCharType="begin"/>
      </w:r>
      <w:r w:rsidR="00BF44AA" w:rsidRPr="00800BBC">
        <w:rPr>
          <w:rFonts w:ascii="Calibri" w:hAnsi="Calibri" w:cs="Calibri"/>
        </w:rPr>
        <w:instrText xml:space="preserve"> ADDIN ZOTERO_ITEM CSL_CITATION {"citationID":"NJQhngr0","properties":{"formattedCitation":"\\super 14\\nosupersub{}","plainCitation":"14","noteIndex":0},"citationItems":[{"id":198,"uris":["http://zotero.org/users/local/4EOi04XK/items/XTNPZFDA","http://zotero.org/users/14835897/items/XTNPZFDA"],"itemData":{"id":198,"type":"article-journal","abstract":"Temperature is an environmental condition that has a pervasive effect on cells along with all the molecules and reactions in them. The mechanisms by which prototypical RNA molecules sense and withstand heat have been identified mostly in bacteria and archaea. The relevance of these phenomena is, however, broader, and similar mechanisms have been recently found throughout the tree of life, from sex determination in reptiles to adaptation of viral RNA polymerases, to genetic disorders in humans. We illustrate the temperature dependence of RNA metabolism with examples from the synthesis to the degradation of mRNAs, and review recently emerged questions. Are cells exposed to greater temperature variations and gradients than previously surmised? How do cells reconcile the conflicting thermal stability requirements of primary and tertiary structures of RNAs? To what extent do enzymes contribute to the temperature compensation of the reaction rates in mRNA turnover by lowering the energy barrier of the catalyzed reactions? We conclude with the ecological, forensic applications of the temperature-dependence of RNA degradation and the biotechnological aspects of mRNA vaccine production.","container-title":"Computational and Structural Biotechnology Journal","DOI":"10.1016/j.csbj.2022.08.008","ISSN":"2001-0370","journalAbbreviation":"Comput Struct Biotechnol J","page":"4325-4336","PMID":"36051884","PMCID":"PMC9411577","source":"PubMed Central","title":"The life and death of RNA across temperatures","volume":"20","author":[{"family":"Becskei","given":"Attila"},{"family":"Rahaman","given":"Sayanur"}],"issued":{"date-parts":[["2022",8,8]]}}}],"schema":"https://github.com/citation-style-language/schema/raw/master/csl-citation.json"} </w:instrText>
      </w:r>
      <w:r w:rsidRPr="00800BBC">
        <w:rPr>
          <w:rFonts w:ascii="Calibri" w:hAnsi="Calibri" w:cs="Calibri"/>
        </w:rPr>
        <w:fldChar w:fldCharType="separate"/>
      </w:r>
      <w:r w:rsidR="008D1CAB" w:rsidRPr="008D1CAB">
        <w:rPr>
          <w:rFonts w:ascii="Calibri" w:hAnsi="Calibri" w:cs="Calibri"/>
          <w:kern w:val="0"/>
          <w:vertAlign w:val="superscript"/>
        </w:rPr>
        <w:t>14</w:t>
      </w:r>
      <w:r w:rsidRPr="00800BBC">
        <w:rPr>
          <w:rFonts w:ascii="Calibri" w:hAnsi="Calibri" w:cs="Calibri"/>
        </w:rPr>
        <w:fldChar w:fldCharType="end"/>
      </w:r>
      <w:r w:rsidR="00BF44AA" w:rsidRPr="00800BBC">
        <w:rPr>
          <w:rFonts w:ascii="Calibri" w:hAnsi="Calibri" w:cs="Calibri"/>
        </w:rPr>
        <w:t>.</w:t>
      </w:r>
      <w:r w:rsidR="00BF36AA" w:rsidRPr="00800BBC">
        <w:rPr>
          <w:rFonts w:ascii="Calibri" w:hAnsi="Calibri" w:cs="Calibri"/>
        </w:rPr>
        <w:t xml:space="preserve"> </w:t>
      </w:r>
      <w:r w:rsidR="00FF0708">
        <w:rPr>
          <w:rFonts w:ascii="Calibri" w:hAnsi="Calibri" w:cs="Calibri"/>
        </w:rPr>
        <w:t>T</w:t>
      </w:r>
      <w:r w:rsidR="00BF36AA" w:rsidRPr="00800BBC">
        <w:rPr>
          <w:rFonts w:ascii="Calibri" w:hAnsi="Calibri" w:cs="Calibri"/>
        </w:rPr>
        <w:t>his paper</w:t>
      </w:r>
      <w:r w:rsidR="00FF0708">
        <w:rPr>
          <w:rFonts w:ascii="Calibri" w:hAnsi="Calibri" w:cs="Calibri"/>
        </w:rPr>
        <w:t xml:space="preserve"> </w:t>
      </w:r>
      <w:r w:rsidR="00BF36AA" w:rsidRPr="00800BBC">
        <w:rPr>
          <w:rFonts w:ascii="Calibri" w:hAnsi="Calibri" w:cs="Calibri"/>
        </w:rPr>
        <w:t>describe</w:t>
      </w:r>
      <w:r w:rsidR="00FF0708">
        <w:rPr>
          <w:rFonts w:ascii="Calibri" w:hAnsi="Calibri" w:cs="Calibri"/>
        </w:rPr>
        <w:t>s</w:t>
      </w:r>
      <w:r w:rsidR="00BF36AA" w:rsidRPr="00800BBC">
        <w:rPr>
          <w:rFonts w:ascii="Calibri" w:hAnsi="Calibri" w:cs="Calibri"/>
        </w:rPr>
        <w:t xml:space="preserve"> a research-based CSF </w:t>
      </w:r>
      <w:proofErr w:type="spellStart"/>
      <w:r w:rsidR="00BF36AA" w:rsidRPr="00800BBC">
        <w:rPr>
          <w:rFonts w:ascii="Calibri" w:hAnsi="Calibri" w:cs="Calibri"/>
        </w:rPr>
        <w:t>mNGS</w:t>
      </w:r>
      <w:proofErr w:type="spellEnd"/>
      <w:r w:rsidR="00BF36AA" w:rsidRPr="00800BBC">
        <w:rPr>
          <w:rFonts w:ascii="Calibri" w:hAnsi="Calibri" w:cs="Calibri"/>
        </w:rPr>
        <w:t xml:space="preserve"> protocol </w:t>
      </w:r>
      <w:r w:rsidR="00FE23E2" w:rsidRPr="00800BBC">
        <w:rPr>
          <w:rFonts w:ascii="Calibri" w:hAnsi="Calibri" w:cs="Calibri"/>
        </w:rPr>
        <w:t xml:space="preserve">for Illumina sequencing platforms </w:t>
      </w:r>
      <w:r w:rsidR="00BF36AA" w:rsidRPr="00800BBC">
        <w:rPr>
          <w:rFonts w:ascii="Calibri" w:hAnsi="Calibri" w:cs="Calibri"/>
        </w:rPr>
        <w:t>that has been optimized to maximize the likelihood of generating usable data for pathogen detection</w:t>
      </w:r>
      <w:r w:rsidR="007C3292">
        <w:rPr>
          <w:rFonts w:ascii="Calibri" w:hAnsi="Calibri" w:cs="Calibri"/>
        </w:rPr>
        <w:t xml:space="preserve"> (</w:t>
      </w:r>
      <w:r w:rsidR="007C3292">
        <w:rPr>
          <w:rFonts w:ascii="Calibri" w:hAnsi="Calibri" w:cs="Calibri"/>
          <w:b/>
          <w:bCs/>
        </w:rPr>
        <w:t>Figure 1</w:t>
      </w:r>
      <w:r w:rsidR="007C3292">
        <w:rPr>
          <w:rFonts w:ascii="Calibri" w:hAnsi="Calibri" w:cs="Calibri"/>
        </w:rPr>
        <w:t>)</w:t>
      </w:r>
      <w:r w:rsidR="00BF36AA" w:rsidRPr="00800BBC">
        <w:rPr>
          <w:rFonts w:ascii="Calibri" w:hAnsi="Calibri" w:cs="Calibri"/>
        </w:rPr>
        <w:t>. </w:t>
      </w:r>
    </w:p>
    <w:p w14:paraId="7A96FBF3" w14:textId="77777777" w:rsidR="000F0FFF" w:rsidRPr="00800BBC" w:rsidRDefault="000F0FFF" w:rsidP="00602F80">
      <w:pPr>
        <w:jc w:val="both"/>
        <w:rPr>
          <w:rFonts w:ascii="Calibri" w:hAnsi="Calibri" w:cs="Calibri"/>
          <w:b/>
          <w:bCs/>
        </w:rPr>
      </w:pPr>
    </w:p>
    <w:p w14:paraId="535D8774" w14:textId="08D6AB72" w:rsidR="00BF36AA" w:rsidRDefault="00AC0F79" w:rsidP="00602F80">
      <w:pPr>
        <w:jc w:val="both"/>
        <w:rPr>
          <w:rFonts w:ascii="Calibri" w:hAnsi="Calibri" w:cs="Calibri"/>
          <w:b/>
          <w:bCs/>
        </w:rPr>
      </w:pPr>
      <w:r w:rsidRPr="00800BBC">
        <w:rPr>
          <w:rFonts w:ascii="Calibri" w:hAnsi="Calibri" w:cs="Calibri"/>
          <w:b/>
          <w:bCs/>
        </w:rPr>
        <w:t>PROTOCOL</w:t>
      </w:r>
      <w:r>
        <w:rPr>
          <w:rFonts w:ascii="Calibri" w:hAnsi="Calibri" w:cs="Calibri"/>
          <w:b/>
          <w:bCs/>
        </w:rPr>
        <w:t>:</w:t>
      </w:r>
    </w:p>
    <w:p w14:paraId="4B4E16B7" w14:textId="77777777" w:rsidR="00602071" w:rsidRPr="00800BBC" w:rsidRDefault="00602071" w:rsidP="00602F80">
      <w:pPr>
        <w:jc w:val="both"/>
        <w:rPr>
          <w:rFonts w:ascii="Calibri" w:hAnsi="Calibri" w:cs="Calibri"/>
          <w:b/>
          <w:bCs/>
        </w:rPr>
      </w:pPr>
    </w:p>
    <w:p w14:paraId="5ACB29C6" w14:textId="211813EF" w:rsidR="00602071" w:rsidRDefault="00245AC8" w:rsidP="00602F80">
      <w:pPr>
        <w:jc w:val="both"/>
        <w:rPr>
          <w:rFonts w:ascii="Calibri" w:hAnsi="Calibri" w:cs="Calibri"/>
        </w:rPr>
      </w:pPr>
      <w:r w:rsidRPr="00800BBC">
        <w:rPr>
          <w:rFonts w:ascii="Calibri" w:hAnsi="Calibri" w:cs="Calibri"/>
        </w:rPr>
        <w:t xml:space="preserve">This protocol was developed and tested </w:t>
      </w:r>
      <w:r w:rsidR="00D21C98">
        <w:rPr>
          <w:rFonts w:ascii="Calibri" w:hAnsi="Calibri" w:cs="Calibri"/>
        </w:rPr>
        <w:t xml:space="preserve">using samples collected as part of studies </w:t>
      </w:r>
      <w:r w:rsidRPr="00800BBC">
        <w:rPr>
          <w:rFonts w:ascii="Calibri" w:hAnsi="Calibri" w:cs="Calibri"/>
        </w:rPr>
        <w:t>approved by the UCSF Institutional Review Board</w:t>
      </w:r>
      <w:r w:rsidR="000A56D3" w:rsidRPr="00800BBC">
        <w:rPr>
          <w:rFonts w:ascii="Calibri" w:hAnsi="Calibri" w:cs="Calibri"/>
        </w:rPr>
        <w:t>.</w:t>
      </w:r>
    </w:p>
    <w:p w14:paraId="162E6DC9" w14:textId="77777777" w:rsidR="00D21C98" w:rsidRDefault="00D21C98" w:rsidP="00602F80">
      <w:pPr>
        <w:jc w:val="both"/>
        <w:rPr>
          <w:rFonts w:ascii="Calibri" w:hAnsi="Calibri" w:cs="Calibri"/>
        </w:rPr>
      </w:pPr>
    </w:p>
    <w:p w14:paraId="04042C92" w14:textId="1AD90779" w:rsidR="00245AC8" w:rsidRPr="00D21C98" w:rsidRDefault="00602071" w:rsidP="00602F80">
      <w:pPr>
        <w:jc w:val="both"/>
        <w:rPr>
          <w:rFonts w:ascii="Calibri" w:hAnsi="Calibri" w:cs="Calibri"/>
          <w:b/>
          <w:bCs/>
        </w:rPr>
      </w:pPr>
      <w:r>
        <w:rPr>
          <w:rFonts w:ascii="Calibri" w:hAnsi="Calibri" w:cs="Calibri"/>
        </w:rPr>
        <w:t xml:space="preserve">                                                                  </w:t>
      </w:r>
      <w:r w:rsidR="000A56D3" w:rsidRPr="00800BBC">
        <w:rPr>
          <w:rFonts w:ascii="Calibri" w:hAnsi="Calibri" w:cs="Calibri"/>
        </w:rPr>
        <w:t xml:space="preserve"> </w:t>
      </w:r>
      <w:r w:rsidR="000A56D3" w:rsidRPr="00D21C98">
        <w:rPr>
          <w:rFonts w:ascii="Calibri" w:hAnsi="Calibri" w:cs="Calibri"/>
          <w:b/>
          <w:bCs/>
        </w:rPr>
        <w:t>[Place Figure 1 here]</w:t>
      </w:r>
    </w:p>
    <w:p w14:paraId="2828CC9A" w14:textId="77777777" w:rsidR="00245AC8" w:rsidRPr="00800BBC" w:rsidRDefault="00245AC8" w:rsidP="00602F80">
      <w:pPr>
        <w:jc w:val="both"/>
        <w:rPr>
          <w:rFonts w:ascii="Calibri" w:hAnsi="Calibri" w:cs="Calibri"/>
        </w:rPr>
      </w:pPr>
    </w:p>
    <w:p w14:paraId="2F73C1DD" w14:textId="4E772800" w:rsidR="00354A64" w:rsidRDefault="00B4313E" w:rsidP="00602F80">
      <w:pPr>
        <w:numPr>
          <w:ilvl w:val="0"/>
          <w:numId w:val="1"/>
        </w:numPr>
        <w:ind w:left="0" w:firstLine="0"/>
        <w:jc w:val="both"/>
        <w:rPr>
          <w:rFonts w:ascii="Calibri" w:hAnsi="Calibri" w:cs="Calibri"/>
          <w:b/>
          <w:bCs/>
        </w:rPr>
      </w:pPr>
      <w:r w:rsidRPr="00602071">
        <w:rPr>
          <w:rFonts w:ascii="Calibri" w:hAnsi="Calibri" w:cs="Calibri"/>
          <w:b/>
          <w:bCs/>
        </w:rPr>
        <w:t>CSF</w:t>
      </w:r>
      <w:r w:rsidR="00BF36AA" w:rsidRPr="00602071">
        <w:rPr>
          <w:rFonts w:ascii="Calibri" w:hAnsi="Calibri" w:cs="Calibri"/>
          <w:b/>
          <w:bCs/>
        </w:rPr>
        <w:t xml:space="preserve"> sample handling considerations</w:t>
      </w:r>
      <w:r w:rsidR="004D2DA3" w:rsidRPr="00602071">
        <w:rPr>
          <w:rFonts w:ascii="Calibri" w:hAnsi="Calibri" w:cs="Calibri"/>
          <w:b/>
          <w:bCs/>
        </w:rPr>
        <w:t>:</w:t>
      </w:r>
    </w:p>
    <w:p w14:paraId="005C4905" w14:textId="77777777" w:rsidR="00602071" w:rsidRPr="00602071" w:rsidRDefault="00602071" w:rsidP="00602F80">
      <w:pPr>
        <w:jc w:val="both"/>
        <w:rPr>
          <w:rFonts w:ascii="Calibri" w:hAnsi="Calibri" w:cs="Calibri"/>
          <w:b/>
          <w:bCs/>
        </w:rPr>
      </w:pPr>
    </w:p>
    <w:p w14:paraId="2DCA48AF" w14:textId="31451C6B" w:rsidR="00BF36AA" w:rsidRDefault="00602071" w:rsidP="00602F80">
      <w:pPr>
        <w:jc w:val="both"/>
        <w:rPr>
          <w:rFonts w:ascii="Calibri" w:hAnsi="Calibri" w:cs="Calibri"/>
        </w:rPr>
      </w:pPr>
      <w:r>
        <w:rPr>
          <w:rFonts w:ascii="Calibri" w:hAnsi="Calibri" w:cs="Calibri"/>
        </w:rPr>
        <w:t xml:space="preserve">NOTE: </w:t>
      </w:r>
      <w:proofErr w:type="spellStart"/>
      <w:r w:rsidR="00BF36AA" w:rsidRPr="00800BBC">
        <w:rPr>
          <w:rFonts w:ascii="Calibri" w:hAnsi="Calibri" w:cs="Calibri"/>
        </w:rPr>
        <w:t>mNGS</w:t>
      </w:r>
      <w:proofErr w:type="spellEnd"/>
      <w:r w:rsidR="00BF36AA" w:rsidRPr="00800BBC">
        <w:rPr>
          <w:rFonts w:ascii="Calibri" w:hAnsi="Calibri" w:cs="Calibri"/>
        </w:rPr>
        <w:t xml:space="preserve"> results are optimal if CSF library preparation occurs at the time of collection, or </w:t>
      </w:r>
      <w:r w:rsidR="00D21C98">
        <w:rPr>
          <w:rFonts w:ascii="Calibri" w:hAnsi="Calibri" w:cs="Calibri"/>
        </w:rPr>
        <w:t>if CSF samples are preserved via snap-freezing</w:t>
      </w:r>
      <w:r w:rsidR="00BF36AA" w:rsidRPr="00800BBC">
        <w:rPr>
          <w:rFonts w:ascii="Calibri" w:hAnsi="Calibri" w:cs="Calibri"/>
        </w:rPr>
        <w:t xml:space="preserve"> in liquid nitrogen</w:t>
      </w:r>
      <w:r>
        <w:rPr>
          <w:rFonts w:ascii="Calibri" w:hAnsi="Calibri" w:cs="Calibri"/>
        </w:rPr>
        <w:t>, followed by long-term</w:t>
      </w:r>
      <w:r w:rsidR="00BF36AA" w:rsidRPr="00800BBC">
        <w:rPr>
          <w:rFonts w:ascii="Calibri" w:hAnsi="Calibri" w:cs="Calibri"/>
        </w:rPr>
        <w:t xml:space="preserve"> storage at </w:t>
      </w:r>
      <w:r w:rsidR="00BF36AA" w:rsidRPr="00800BBC">
        <w:rPr>
          <w:rFonts w:ascii="Calibri" w:hAnsi="Calibri" w:cs="Calibri"/>
        </w:rPr>
        <w:lastRenderedPageBreak/>
        <w:t>-80</w:t>
      </w:r>
      <w:r w:rsidR="009416D9" w:rsidRPr="00800BBC">
        <w:rPr>
          <w:rFonts w:ascii="Calibri" w:hAnsi="Calibri" w:cs="Calibri"/>
        </w:rPr>
        <w:t> </w:t>
      </w:r>
      <w:r w:rsidR="0089395C" w:rsidRPr="00800BBC">
        <w:rPr>
          <w:rFonts w:ascii="Calibri" w:hAnsi="Calibri" w:cs="Calibri"/>
        </w:rPr>
        <w:t>°</w:t>
      </w:r>
      <w:r w:rsidR="00BF36AA" w:rsidRPr="00800BBC">
        <w:rPr>
          <w:rFonts w:ascii="Calibri" w:hAnsi="Calibri" w:cs="Calibri"/>
        </w:rPr>
        <w:t>C</w:t>
      </w:r>
      <w:r w:rsidR="0089395C" w:rsidRPr="00800BBC">
        <w:rPr>
          <w:rFonts w:ascii="Calibri" w:hAnsi="Calibri" w:cs="Calibri"/>
        </w:rPr>
        <w:fldChar w:fldCharType="begin"/>
      </w:r>
      <w:r w:rsidR="00BF44AA" w:rsidRPr="00800BBC">
        <w:rPr>
          <w:rFonts w:ascii="Calibri" w:hAnsi="Calibri" w:cs="Calibri"/>
        </w:rPr>
        <w:instrText xml:space="preserve"> ADDIN ZOTERO_ITEM CSL_CITATION {"citationID":"UGNxAhcI","properties":{"formattedCitation":"\\super 15\\nosupersub{}","plainCitation":"15","noteIndex":0},"citationItems":[{"id":181,"uris":["http://zotero.org/users/local/4EOi04XK/items/WYTUK8XM","http://zotero.org/users/14835897/items/WYTUK8XM"],"itemData":{"id":181,"type":"article-journal","abstract":"RNAs are rapidly degraded in samples and during collection, processing and testing. In this study, we used the same method to explore the half-lives of different RNAs and the influencing factors, and compared the degradation kinetics and characteristics of different RNAs in whole blood and experimental samples. Fresh anticoagulant blood samples were incubated at room temperature for different durations, RNAs were extracted, and genes, including internal references, were amplified by real-time quantitative PCR. A linear half-life model was established according to cycle threshold (Ct) values. The effects of experimental operations on RNA degradation before and after RNA extraction were explored. Quantitative analysis of mRNA degradation in samples and during experimental processes were explored using an orthogonal experimental design. The storage duration of blood samples at room temperature had the greatest influence on RNA degradation. The half-lives of messenger RNAs (mRNAs) was 16.4 h. The half-lives of circular RNAs (circRNAs), long non-coding RNAs (lncRNAs) and microRNAs (miRNAs) were 24.56 ± 5.2 h, 17.46 ± 3.0 h and 16.42 ± 4.2 h, respectively. RNA degradation occurred mainly in blood samples. The half-life of mRNAs was the shortest among the four kinds of RNAs. Quantitative experiments related to mRNAs should be completed within 2 h. The half-lives of circRNAs and lncRNAs were longer than those of the former two.","container-title":"Scientific Reports","DOI":"10.1038/s41598-022-11339-w","ISSN":"2045-2322","issue":"1","journalAbbreviation":"Sci Rep","language":"en","license":"2022 The Author(s)","page":"7259","publisher":"Nature Publishing Group","source":"www.nature.com","title":"Factors influencing degradation kinetics of mRNAs and half-lives of microRNAs, circRNAs, lncRNAs in blood in vitro using quantitative PCR","volume":"12","author":[{"family":"Wang","given":"Chong"},{"family":"Liu","given":"Hui"}],"issued":{"date-parts":[["2022",5,4]]}}}],"schema":"https://github.com/citation-style-language/schema/raw/master/csl-citation.json"} </w:instrText>
      </w:r>
      <w:r w:rsidR="0089395C" w:rsidRPr="00800BBC">
        <w:rPr>
          <w:rFonts w:ascii="Calibri" w:hAnsi="Calibri" w:cs="Calibri"/>
        </w:rPr>
        <w:fldChar w:fldCharType="separate"/>
      </w:r>
      <w:r w:rsidR="008D1CAB" w:rsidRPr="008D1CAB">
        <w:rPr>
          <w:rFonts w:ascii="Calibri" w:hAnsi="Calibri" w:cs="Calibri"/>
          <w:kern w:val="0"/>
          <w:vertAlign w:val="superscript"/>
        </w:rPr>
        <w:t>15</w:t>
      </w:r>
      <w:r w:rsidR="0089395C" w:rsidRPr="00800BBC">
        <w:rPr>
          <w:rFonts w:ascii="Calibri" w:hAnsi="Calibri" w:cs="Calibri"/>
        </w:rPr>
        <w:fldChar w:fldCharType="end"/>
      </w:r>
      <w:r w:rsidR="00BF44AA" w:rsidRPr="00800BBC">
        <w:rPr>
          <w:rFonts w:ascii="Calibri" w:hAnsi="Calibri" w:cs="Calibri"/>
        </w:rPr>
        <w:t>.</w:t>
      </w:r>
      <w:r w:rsidR="00BF36AA" w:rsidRPr="00800BBC">
        <w:rPr>
          <w:rFonts w:ascii="Calibri" w:hAnsi="Calibri" w:cs="Calibri"/>
        </w:rPr>
        <w:t xml:space="preserve"> Alternatively, the use of preservative solutions such as DNA/RNA </w:t>
      </w:r>
      <w:r w:rsidR="00D21C98">
        <w:rPr>
          <w:rFonts w:ascii="Calibri" w:hAnsi="Calibri" w:cs="Calibri"/>
        </w:rPr>
        <w:t>s</w:t>
      </w:r>
      <w:r w:rsidR="00BF36AA" w:rsidRPr="00800BBC">
        <w:rPr>
          <w:rFonts w:ascii="Calibri" w:hAnsi="Calibri" w:cs="Calibri"/>
        </w:rPr>
        <w:t>hield at the time of sample collection can allow for storage at room temperature for longer periods of time</w:t>
      </w:r>
      <w:r w:rsidR="00D9516B" w:rsidRPr="00800BBC">
        <w:rPr>
          <w:rFonts w:ascii="Calibri" w:hAnsi="Calibri" w:cs="Calibri"/>
        </w:rPr>
        <w:fldChar w:fldCharType="begin"/>
      </w:r>
      <w:r w:rsidR="005005B7">
        <w:rPr>
          <w:rFonts w:ascii="Calibri" w:hAnsi="Calibri" w:cs="Calibri"/>
        </w:rPr>
        <w:instrText xml:space="preserve"> ADDIN ZOTERO_ITEM CSL_CITATION {"citationID":"TJTxsiOz","properties":{"formattedCitation":"\\super 16, 17\\nosupersub{}","plainCitation":"16, 17","noteIndex":0},"citationItems":[{"id":177,"uris":["http://zotero.org/users/local/4EOi04XK/items/AMGYWHWC","http://zotero.org/users/14835897/items/AMGYWHWC"],"itemData":{"id":177,"type":"article-journal","abstract":"The preservation of nucleic acids for high-throughput sequencing is an ongoing challenge for field scientists. In particular, samples that are low biomass, or that have to be collected and preserved in logistically challenging environments (such as remote sites or during long sampling campaigns) can …","container-title":"Frontiers in microbiology","DOI":"10.3389/fmicb.2022.894893","ISSN":"1664-302X","language":"en","PMID":"35677909","publisher":"Front Microbiol","source":"pubmed.ncbi.nlm.nih.gov","title":"DNA/RNA Preservation in Glacial Snow and Ice Samples","URL":"https://pubmed.ncbi.nlm.nih.gov/35677909/","volume":"13","author":[{"family":"Cb","given":"Trivedi"},{"family":"C","given":"Keuschnig"},{"family":"C","given":"Larose"},{"family":"Dv","given":"Rissi"},{"family":"R","given":"Mourot"},{"family":"Ja","given":"Bradley"},{"family":"M","given":"Winkel"},{"family":"Lg","given":"Benning"}],"accessed":{"date-parts":[["2025",7,26]]},"issued":{"date-parts":[["2022",5,23]]}},"label":"page"},{"id":179,"uris":["http://zotero.org/users/local/4EOi04XK/items/69NM5XYF","http://zotero.org/users/14835897/items/69NM5XYF"],"itemData":{"id":179,"type":"article-journal","abstract":"Altogether, a thoroughly elaborated pipeline with close attention to details ensures high reproducibility with significant biological but not technical variations.","container-title":"BMC microbiology","DOI":"10.1186/s12866-021-02233-y","ISSN":"1471-2180","issue":"1","language":"en","PMID":"34051731","publisher":"BMC Microbiol","source":"pubmed.ncbi.nlm.nih.gov","title":"Optimisation of sample storage and DNA extraction for human gut microbiota studies​","URL":"https://pubmed.ncbi.nlm.nih.gov/34051731/","volume":"21","author":[{"family":"J","given":"Kazantseva"},{"family":"E","given":"Malv"},{"family":"A","given":"Kaleda"},{"family":"A","given":"Kallastu"},{"family":"A","given":"Meikas"}],"accessed":{"date-parts":[["2025",7,26]]},"issued":{"date-parts":[["2021",5,29]]}},"label":"page"}],"schema":"https://github.com/citation-style-language/schema/raw/master/csl-citation.json"} </w:instrText>
      </w:r>
      <w:r w:rsidR="00D9516B" w:rsidRPr="00800BBC">
        <w:rPr>
          <w:rFonts w:ascii="Calibri" w:hAnsi="Calibri" w:cs="Calibri"/>
        </w:rPr>
        <w:fldChar w:fldCharType="separate"/>
      </w:r>
      <w:r w:rsidR="008D1CAB" w:rsidRPr="008D1CAB">
        <w:rPr>
          <w:rFonts w:ascii="Calibri" w:hAnsi="Calibri" w:cs="Calibri"/>
          <w:kern w:val="0"/>
          <w:vertAlign w:val="superscript"/>
        </w:rPr>
        <w:t>16,17</w:t>
      </w:r>
      <w:r w:rsidR="00D9516B" w:rsidRPr="00800BBC">
        <w:rPr>
          <w:rFonts w:ascii="Calibri" w:hAnsi="Calibri" w:cs="Calibri"/>
        </w:rPr>
        <w:fldChar w:fldCharType="end"/>
      </w:r>
      <w:r w:rsidR="00BF44AA" w:rsidRPr="00800BBC">
        <w:rPr>
          <w:rFonts w:ascii="Calibri" w:hAnsi="Calibri" w:cs="Calibri"/>
        </w:rPr>
        <w:t>.</w:t>
      </w:r>
      <w:r w:rsidR="00BF36AA" w:rsidRPr="00800BBC">
        <w:rPr>
          <w:rFonts w:ascii="Calibri" w:hAnsi="Calibri" w:cs="Calibri"/>
        </w:rPr>
        <w:t xml:space="preserve"> This may be preferable in </w:t>
      </w:r>
      <w:r w:rsidR="0089395C" w:rsidRPr="00800BBC">
        <w:rPr>
          <w:rFonts w:ascii="Calibri" w:hAnsi="Calibri" w:cs="Calibri"/>
        </w:rPr>
        <w:t>situations when there</w:t>
      </w:r>
      <w:r w:rsidR="00BF36AA" w:rsidRPr="00800BBC">
        <w:rPr>
          <w:rFonts w:ascii="Calibri" w:hAnsi="Calibri" w:cs="Calibri"/>
        </w:rPr>
        <w:t xml:space="preserve"> are concerns about the </w:t>
      </w:r>
      <w:r w:rsidR="000F0FFF" w:rsidRPr="00800BBC">
        <w:rPr>
          <w:rFonts w:ascii="Calibri" w:hAnsi="Calibri" w:cs="Calibri"/>
        </w:rPr>
        <w:t>reliability</w:t>
      </w:r>
      <w:r w:rsidR="00BF36AA" w:rsidRPr="00800BBC">
        <w:rPr>
          <w:rFonts w:ascii="Calibri" w:hAnsi="Calibri" w:cs="Calibri"/>
        </w:rPr>
        <w:t xml:space="preserve"> of the cold chain.</w:t>
      </w:r>
      <w:r>
        <w:rPr>
          <w:rFonts w:ascii="Calibri" w:hAnsi="Calibri" w:cs="Calibri"/>
        </w:rPr>
        <w:t xml:space="preserve"> </w:t>
      </w:r>
      <w:r w:rsidR="00BF36AA" w:rsidRPr="00800BBC">
        <w:rPr>
          <w:rFonts w:ascii="Calibri" w:hAnsi="Calibri" w:cs="Calibri"/>
        </w:rPr>
        <w:t>In addition, avoidance of unnecessary freeze-thaw cycles can also help preserve nucleic acid integrity, and it may be advisable to pre-</w:t>
      </w:r>
      <w:r w:rsidR="0085609D" w:rsidRPr="00800BBC">
        <w:rPr>
          <w:rFonts w:ascii="Calibri" w:hAnsi="Calibri" w:cs="Calibri"/>
        </w:rPr>
        <w:t>aliquot</w:t>
      </w:r>
      <w:r w:rsidR="00BF36AA" w:rsidRPr="00800BBC">
        <w:rPr>
          <w:rFonts w:ascii="Calibri" w:hAnsi="Calibri" w:cs="Calibri"/>
        </w:rPr>
        <w:t xml:space="preserve"> samples at the time of collection if multiple analytic workflows are anticipated for the CSF samples</w:t>
      </w:r>
      <w:r w:rsidR="0089395C" w:rsidRPr="00800BBC">
        <w:rPr>
          <w:rFonts w:ascii="Calibri" w:hAnsi="Calibri" w:cs="Calibri"/>
        </w:rPr>
        <w:fldChar w:fldCharType="begin"/>
      </w:r>
      <w:r w:rsidR="005005B7">
        <w:rPr>
          <w:rFonts w:ascii="Calibri" w:hAnsi="Calibri" w:cs="Calibri"/>
        </w:rPr>
        <w:instrText xml:space="preserve"> ADDIN ZOTERO_ITEM CSL_CITATION {"citationID":"EACIL0Ga","properties":{"formattedCitation":"\\super 18, 19\\nosupersub{}","plainCitation":"18, 19","noteIndex":0},"citationItems":[{"id":183,"uris":["http://zotero.org/users/local/4EOi04XK/items/DR3QKGJM","http://zotero.org/users/14835897/items/DR3QKGJM"],"itemData":{"id":183,"type":"article-journal","abstract":"High-quality biosamples are valuable resources for biomedical research. However, some tissues are stored without being sectioned into small aliquots and have to undergo repeated freeze-thaw cycles throughout prolonged experimentation. Little is known regarding the effects of repeated freeze-thaw cyc …","container-title":"Biopreservation and biobanking","DOI":"10.1089/bio.2017.0064","ISSN":"1947-5543","issue":"5","language":"en","PMID":"28930488","publisher":"Biopreserv Biobank","source":"pubmed.ncbi.nlm.nih.gov","title":"The Impact of Repeated Freeze-Thaw Cycles on the Quality of Biomolecules in Four Different Tissues","URL":"https://pubmed.ncbi.nlm.nih.gov/28930488/","volume":"15","author":[{"family":"X","given":"Ji"},{"family":"M","given":"Wang"},{"family":"L","given":"Li"},{"family":"F","given":"Chen"},{"family":"Y","given":"Zhang"},{"family":"Q","given":"Li"},{"family":"J","given":"Zhou"}],"accessed":{"date-parts":[["2025",7,26]]},"issued":{"date-parts":[["2017",10]]}},"label":"page"},{"id":182,"uris":["http://zotero.org/users/local/4EOi04XK/items/WSYZJI6X","http://zotero.org/users/14835897/items/WSYZJI6X"],"itemData":{"id":182,"type":"article-journal","abstract":"The use of poly(A)-enrichment for RNA sequencing is pervasive in library preparation of frozen tissue, and thus, it is important during experimental design and data analysis to consider the impact of repeated freeze-thaw cycles on reproducibility.","container-title":"BMC genomics","DOI":"10.1186/s12864-021-07381-z","ISSN":"1471-2164","issue":"1","language":"en","PMID":"33478392","publisher":"BMC Genomics","source":"pubmed.ncbi.nlm.nih.gov","title":"Multiple freeze-thaw cycles lead to a loss of consistency in poly(A)-enriched RNA sequencing","URL":"https://pubmed.ncbi.nlm.nih.gov/33478392/","volume":"22","author":[{"family":"Bp","given":"Kellman"},{"family":"Hm","given":"Baghdassarian"},{"family":"T","given":"Pramparo"},{"family":"I","given":"Shamie"},{"family":"V","given":"Gazestani"},{"family":"A","given":"Begzati"},{"family":"S","given":"Li"},{"family":"S","given":"Nalabolu"},{"family":"S","given":"Murray"},{"family":"L","given":"Lopez"},{"family":"K","given":"Pierce"},{"family":"E","given":"Courchesne"},{"family":"Ne","given":"Lewis"}],"accessed":{"date-parts":[["2025",7,26]]},"issued":{"date-parts":[["2021",1,21]]}},"label":"page"}],"schema":"https://github.com/citation-style-language/schema/raw/master/csl-citation.json"} </w:instrText>
      </w:r>
      <w:r w:rsidR="0089395C" w:rsidRPr="00800BBC">
        <w:rPr>
          <w:rFonts w:ascii="Calibri" w:hAnsi="Calibri" w:cs="Calibri"/>
        </w:rPr>
        <w:fldChar w:fldCharType="separate"/>
      </w:r>
      <w:r w:rsidR="008D1CAB" w:rsidRPr="008D1CAB">
        <w:rPr>
          <w:rFonts w:ascii="Calibri" w:hAnsi="Calibri" w:cs="Calibri"/>
          <w:kern w:val="0"/>
          <w:vertAlign w:val="superscript"/>
        </w:rPr>
        <w:t>18,19</w:t>
      </w:r>
      <w:r w:rsidR="0089395C" w:rsidRPr="00800BBC">
        <w:rPr>
          <w:rFonts w:ascii="Calibri" w:hAnsi="Calibri" w:cs="Calibri"/>
        </w:rPr>
        <w:fldChar w:fldCharType="end"/>
      </w:r>
      <w:r w:rsidR="00BF44AA" w:rsidRPr="00800BBC">
        <w:rPr>
          <w:rFonts w:ascii="Calibri" w:hAnsi="Calibri" w:cs="Calibri"/>
        </w:rPr>
        <w:t>.</w:t>
      </w:r>
      <w:r w:rsidR="00BF36AA" w:rsidRPr="00800BBC">
        <w:rPr>
          <w:rFonts w:ascii="Calibri" w:hAnsi="Calibri" w:cs="Calibri"/>
        </w:rPr>
        <w:t xml:space="preserve"> </w:t>
      </w:r>
    </w:p>
    <w:p w14:paraId="647D3680" w14:textId="77777777" w:rsidR="00602071" w:rsidRPr="00800BBC" w:rsidRDefault="00602071" w:rsidP="00602F80">
      <w:pPr>
        <w:jc w:val="both"/>
        <w:rPr>
          <w:rFonts w:ascii="Calibri" w:hAnsi="Calibri" w:cs="Calibri"/>
        </w:rPr>
      </w:pPr>
    </w:p>
    <w:p w14:paraId="48DB12E0" w14:textId="7F3F15C7" w:rsidR="00D21C98" w:rsidRPr="007D19BD" w:rsidRDefault="00643E5F" w:rsidP="00602F80">
      <w:pPr>
        <w:numPr>
          <w:ilvl w:val="0"/>
          <w:numId w:val="1"/>
        </w:numPr>
        <w:tabs>
          <w:tab w:val="clear" w:pos="720"/>
          <w:tab w:val="num" w:pos="0"/>
        </w:tabs>
        <w:ind w:left="0" w:firstLine="0"/>
        <w:jc w:val="both"/>
        <w:rPr>
          <w:rFonts w:ascii="Calibri" w:hAnsi="Calibri" w:cs="Calibri"/>
          <w:highlight w:val="yellow"/>
        </w:rPr>
      </w:pPr>
      <w:r w:rsidRPr="007D19BD">
        <w:rPr>
          <w:rFonts w:ascii="Calibri" w:hAnsi="Calibri" w:cs="Calibri"/>
          <w:b/>
          <w:bCs/>
          <w:highlight w:val="yellow"/>
        </w:rPr>
        <w:t xml:space="preserve">Extraction of </w:t>
      </w:r>
      <w:r w:rsidR="00221565" w:rsidRPr="007D19BD">
        <w:rPr>
          <w:rFonts w:ascii="Calibri" w:hAnsi="Calibri" w:cs="Calibri"/>
          <w:b/>
          <w:bCs/>
          <w:highlight w:val="yellow"/>
        </w:rPr>
        <w:t>CSF</w:t>
      </w:r>
      <w:r w:rsidRPr="007D19BD">
        <w:rPr>
          <w:rFonts w:ascii="Calibri" w:hAnsi="Calibri" w:cs="Calibri"/>
          <w:b/>
          <w:bCs/>
          <w:highlight w:val="yellow"/>
        </w:rPr>
        <w:t xml:space="preserve"> nucleic acid</w:t>
      </w:r>
    </w:p>
    <w:p w14:paraId="657846B0" w14:textId="77777777" w:rsidR="00D21C98" w:rsidRPr="007D19BD" w:rsidRDefault="00D21C98" w:rsidP="00602F80">
      <w:pPr>
        <w:jc w:val="both"/>
        <w:rPr>
          <w:rFonts w:ascii="Calibri" w:hAnsi="Calibri" w:cs="Calibri"/>
          <w:highlight w:val="yellow"/>
        </w:rPr>
      </w:pPr>
    </w:p>
    <w:p w14:paraId="4564FA95" w14:textId="77777777" w:rsidR="00520158" w:rsidRPr="007D19BD" w:rsidRDefault="00B64A9D" w:rsidP="00602F80">
      <w:pPr>
        <w:jc w:val="both"/>
        <w:rPr>
          <w:rFonts w:ascii="Calibri" w:hAnsi="Calibri" w:cs="Calibri"/>
          <w:highlight w:val="yellow"/>
        </w:rPr>
      </w:pPr>
      <w:r w:rsidRPr="007D19BD">
        <w:rPr>
          <w:rFonts w:ascii="Calibri" w:hAnsi="Calibri" w:cs="Calibri"/>
          <w:highlight w:val="yellow"/>
        </w:rPr>
        <w:t xml:space="preserve">CAUTION: </w:t>
      </w:r>
      <w:r w:rsidR="00D21C98" w:rsidRPr="007D19BD">
        <w:rPr>
          <w:rFonts w:ascii="Calibri" w:hAnsi="Calibri" w:cs="Calibri"/>
          <w:highlight w:val="yellow"/>
        </w:rPr>
        <w:t>Perform in an appropriate biosafety level cabinet with gloves and a laboratory</w:t>
      </w:r>
      <w:r w:rsidRPr="007D19BD">
        <w:rPr>
          <w:rFonts w:ascii="Calibri" w:hAnsi="Calibri" w:cs="Calibri"/>
          <w:highlight w:val="yellow"/>
        </w:rPr>
        <w:t xml:space="preserve"> coat to reduce the risk of transmission of infectious organisms. Reagents are harmful if swallowed, inhaled, or </w:t>
      </w:r>
      <w:proofErr w:type="gramStart"/>
      <w:r w:rsidR="00D21C98" w:rsidRPr="007D19BD">
        <w:rPr>
          <w:rFonts w:ascii="Calibri" w:hAnsi="Calibri" w:cs="Calibri"/>
          <w:highlight w:val="yellow"/>
        </w:rPr>
        <w:t>come into contact with</w:t>
      </w:r>
      <w:proofErr w:type="gramEnd"/>
      <w:r w:rsidR="00D21C98" w:rsidRPr="007D19BD">
        <w:rPr>
          <w:rFonts w:ascii="Calibri" w:hAnsi="Calibri" w:cs="Calibri"/>
          <w:highlight w:val="yellow"/>
        </w:rPr>
        <w:t xml:space="preserve"> </w:t>
      </w:r>
      <w:r w:rsidRPr="007D19BD">
        <w:rPr>
          <w:rFonts w:ascii="Calibri" w:hAnsi="Calibri" w:cs="Calibri"/>
          <w:highlight w:val="yellow"/>
        </w:rPr>
        <w:t>skin.</w:t>
      </w:r>
      <w:r w:rsidR="009C2244" w:rsidRPr="007D19BD">
        <w:rPr>
          <w:rFonts w:ascii="Calibri" w:hAnsi="Calibri" w:cs="Calibri"/>
          <w:highlight w:val="yellow"/>
        </w:rPr>
        <w:t xml:space="preserve"> Dispose of used materials as hazardous chemical waste in compliance with local regulations</w:t>
      </w:r>
      <w:r w:rsidR="00D21C98" w:rsidRPr="007D19BD">
        <w:rPr>
          <w:rFonts w:ascii="Calibri" w:hAnsi="Calibri" w:cs="Calibri"/>
          <w:highlight w:val="yellow"/>
        </w:rPr>
        <w:t>.</w:t>
      </w:r>
    </w:p>
    <w:p w14:paraId="16865D69" w14:textId="77777777" w:rsidR="00520158" w:rsidRPr="007D19BD" w:rsidRDefault="00520158" w:rsidP="00602F80">
      <w:pPr>
        <w:jc w:val="both"/>
        <w:rPr>
          <w:rFonts w:ascii="Calibri" w:hAnsi="Calibri" w:cs="Calibri"/>
          <w:highlight w:val="yellow"/>
        </w:rPr>
      </w:pPr>
    </w:p>
    <w:p w14:paraId="3A888CE5" w14:textId="038FE7F9" w:rsidR="00643E5F" w:rsidRPr="007D19BD" w:rsidRDefault="00520158" w:rsidP="00602F80">
      <w:pPr>
        <w:jc w:val="both"/>
        <w:rPr>
          <w:rFonts w:ascii="Calibri" w:hAnsi="Calibri" w:cs="Calibri"/>
          <w:highlight w:val="yellow"/>
        </w:rPr>
      </w:pPr>
      <w:r w:rsidRPr="007D19BD">
        <w:rPr>
          <w:rFonts w:ascii="Calibri" w:hAnsi="Calibri" w:cs="Calibri"/>
          <w:highlight w:val="yellow"/>
        </w:rPr>
        <w:t>2.1.</w:t>
      </w:r>
      <w:r w:rsidRPr="007D19BD">
        <w:rPr>
          <w:rFonts w:ascii="Calibri" w:hAnsi="Calibri" w:cs="Calibri"/>
          <w:highlight w:val="yellow"/>
        </w:rPr>
        <w:tab/>
      </w:r>
      <w:r w:rsidR="004B161D" w:rsidRPr="007D19BD">
        <w:rPr>
          <w:rFonts w:ascii="Calibri" w:hAnsi="Calibri" w:cs="Calibri"/>
          <w:highlight w:val="yellow"/>
        </w:rPr>
        <w:t>The</w:t>
      </w:r>
      <w:r w:rsidR="00BF36AA" w:rsidRPr="007D19BD">
        <w:rPr>
          <w:rFonts w:ascii="Calibri" w:hAnsi="Calibri" w:cs="Calibri"/>
          <w:highlight w:val="yellow"/>
        </w:rPr>
        <w:t xml:space="preserve"> Quick-DNA/RNA Kit generally works well for samples with a low abundance of nucleic acids</w:t>
      </w:r>
      <w:r w:rsidRPr="007D19BD">
        <w:rPr>
          <w:rFonts w:ascii="Calibri" w:hAnsi="Calibri" w:cs="Calibri"/>
          <w:highlight w:val="yellow"/>
        </w:rPr>
        <w:t>.</w:t>
      </w:r>
    </w:p>
    <w:p w14:paraId="4EE7DD5A" w14:textId="77777777" w:rsidR="00520158" w:rsidRPr="007D19BD" w:rsidRDefault="00520158" w:rsidP="00602F80">
      <w:pPr>
        <w:jc w:val="both"/>
        <w:rPr>
          <w:rFonts w:ascii="Calibri" w:hAnsi="Calibri" w:cs="Calibri"/>
          <w:highlight w:val="yellow"/>
        </w:rPr>
      </w:pPr>
    </w:p>
    <w:p w14:paraId="1C88642E" w14:textId="4C14FA76" w:rsidR="00520158" w:rsidRPr="007D19BD" w:rsidRDefault="00520158" w:rsidP="00602F80">
      <w:pPr>
        <w:jc w:val="both"/>
        <w:rPr>
          <w:rFonts w:ascii="Calibri" w:hAnsi="Calibri" w:cs="Calibri"/>
          <w:highlight w:val="yellow"/>
        </w:rPr>
      </w:pPr>
      <w:r w:rsidRPr="007D19BD">
        <w:rPr>
          <w:rFonts w:ascii="Calibri" w:hAnsi="Calibri" w:cs="Calibri"/>
          <w:highlight w:val="yellow"/>
        </w:rPr>
        <w:t xml:space="preserve">2.2. </w:t>
      </w:r>
      <w:r w:rsidR="00BF36AA" w:rsidRPr="007D19BD">
        <w:rPr>
          <w:rFonts w:ascii="Calibri" w:hAnsi="Calibri" w:cs="Calibri"/>
          <w:highlight w:val="yellow"/>
        </w:rPr>
        <w:t>Thaw the CSF samples on ice, then transfer 100</w:t>
      </w:r>
      <w:r w:rsidR="009416D9" w:rsidRPr="007D19BD">
        <w:rPr>
          <w:rFonts w:ascii="Calibri" w:hAnsi="Calibri" w:cs="Calibri"/>
          <w:highlight w:val="yellow"/>
        </w:rPr>
        <w:t> </w:t>
      </w:r>
      <w:r w:rsidR="00323C1C" w:rsidRPr="007D19BD">
        <w:rPr>
          <w:rFonts w:ascii="Calibri" w:hAnsi="Calibri" w:cs="Calibri"/>
          <w:highlight w:val="yellow"/>
        </w:rPr>
        <w:t>µL</w:t>
      </w:r>
      <w:r w:rsidR="0069265D" w:rsidRPr="007D19BD">
        <w:rPr>
          <w:rFonts w:ascii="Calibri" w:hAnsi="Calibri" w:cs="Calibri"/>
          <w:highlight w:val="yellow"/>
        </w:rPr>
        <w:t>–</w:t>
      </w:r>
      <w:r w:rsidR="00BF36AA" w:rsidRPr="007D19BD">
        <w:rPr>
          <w:rFonts w:ascii="Calibri" w:hAnsi="Calibri" w:cs="Calibri"/>
          <w:highlight w:val="yellow"/>
        </w:rPr>
        <w:t>1</w:t>
      </w:r>
      <w:r w:rsidR="009416D9" w:rsidRPr="007D19BD">
        <w:rPr>
          <w:rFonts w:ascii="Calibri" w:hAnsi="Calibri" w:cs="Calibri"/>
          <w:highlight w:val="yellow"/>
        </w:rPr>
        <w:t> </w:t>
      </w:r>
      <w:r w:rsidR="00BF36AA" w:rsidRPr="007D19BD">
        <w:rPr>
          <w:rFonts w:ascii="Calibri" w:hAnsi="Calibri" w:cs="Calibri"/>
          <w:highlight w:val="yellow"/>
        </w:rPr>
        <w:t>mL of each sample to a 1.5</w:t>
      </w:r>
      <w:r w:rsidR="009416D9" w:rsidRPr="007D19BD">
        <w:rPr>
          <w:rFonts w:ascii="Calibri" w:hAnsi="Calibri" w:cs="Calibri"/>
          <w:highlight w:val="yellow"/>
        </w:rPr>
        <w:t> </w:t>
      </w:r>
      <w:r w:rsidR="00BF36AA" w:rsidRPr="007D19BD">
        <w:rPr>
          <w:rFonts w:ascii="Calibri" w:hAnsi="Calibri" w:cs="Calibri"/>
          <w:highlight w:val="yellow"/>
        </w:rPr>
        <w:t>mL tube and centrifuge at 16,000</w:t>
      </w:r>
      <w:r w:rsidR="002715B9" w:rsidRPr="007D19BD">
        <w:rPr>
          <w:rFonts w:ascii="Calibri" w:hAnsi="Calibri" w:cs="Calibri"/>
          <w:highlight w:val="yellow"/>
        </w:rPr>
        <w:t> </w:t>
      </w:r>
      <w:r w:rsidR="00933459" w:rsidRPr="007D19BD">
        <w:rPr>
          <w:rFonts w:ascii="Calibri" w:hAnsi="Calibri" w:cs="Calibri"/>
          <w:highlight w:val="yellow"/>
        </w:rPr>
        <w:t xml:space="preserve">x </w:t>
      </w:r>
      <w:r w:rsidR="00933459" w:rsidRPr="007D19BD">
        <w:rPr>
          <w:rFonts w:ascii="Calibri" w:hAnsi="Calibri" w:cs="Calibri"/>
          <w:i/>
          <w:iCs/>
          <w:highlight w:val="yellow"/>
        </w:rPr>
        <w:t>g</w:t>
      </w:r>
      <w:r w:rsidR="00933459" w:rsidRPr="007D19BD">
        <w:rPr>
          <w:rFonts w:ascii="Calibri" w:hAnsi="Calibri" w:cs="Calibri"/>
          <w:highlight w:val="yellow"/>
        </w:rPr>
        <w:t xml:space="preserve"> </w:t>
      </w:r>
      <w:r w:rsidR="00BF36AA" w:rsidRPr="007D19BD">
        <w:rPr>
          <w:rFonts w:ascii="Calibri" w:hAnsi="Calibri" w:cs="Calibri"/>
          <w:highlight w:val="yellow"/>
        </w:rPr>
        <w:t>at 4</w:t>
      </w:r>
      <w:r w:rsidR="002715B9" w:rsidRPr="007D19BD">
        <w:rPr>
          <w:rFonts w:ascii="Calibri" w:hAnsi="Calibri" w:cs="Calibri"/>
          <w:highlight w:val="yellow"/>
        </w:rPr>
        <w:t> </w:t>
      </w:r>
      <w:r w:rsidR="007861E0" w:rsidRPr="007D19BD">
        <w:rPr>
          <w:rFonts w:ascii="Calibri" w:hAnsi="Calibri" w:cs="Calibri"/>
          <w:highlight w:val="yellow"/>
        </w:rPr>
        <w:t>°</w:t>
      </w:r>
      <w:r w:rsidR="00BF36AA" w:rsidRPr="007D19BD">
        <w:rPr>
          <w:rFonts w:ascii="Calibri" w:hAnsi="Calibri" w:cs="Calibri"/>
          <w:highlight w:val="yellow"/>
        </w:rPr>
        <w:t>C for 10</w:t>
      </w:r>
      <w:r w:rsidR="002715B9" w:rsidRPr="007D19BD">
        <w:rPr>
          <w:rFonts w:ascii="Calibri" w:hAnsi="Calibri" w:cs="Calibri"/>
          <w:highlight w:val="yellow"/>
        </w:rPr>
        <w:t> </w:t>
      </w:r>
      <w:r w:rsidR="00BF36AA" w:rsidRPr="007D19BD">
        <w:rPr>
          <w:rFonts w:ascii="Calibri" w:hAnsi="Calibri" w:cs="Calibri"/>
          <w:highlight w:val="yellow"/>
        </w:rPr>
        <w:t xml:space="preserve">min. </w:t>
      </w:r>
    </w:p>
    <w:p w14:paraId="4CC8B3DB" w14:textId="77777777" w:rsidR="00520158" w:rsidRPr="007D19BD" w:rsidRDefault="00520158" w:rsidP="00602F80">
      <w:pPr>
        <w:jc w:val="both"/>
        <w:rPr>
          <w:rFonts w:ascii="Calibri" w:hAnsi="Calibri" w:cs="Calibri"/>
          <w:highlight w:val="yellow"/>
        </w:rPr>
      </w:pPr>
    </w:p>
    <w:p w14:paraId="74AD32B1" w14:textId="44C18347" w:rsidR="00643E5F" w:rsidRPr="007D19BD" w:rsidRDefault="00520158" w:rsidP="00602F80">
      <w:pPr>
        <w:jc w:val="both"/>
        <w:rPr>
          <w:rFonts w:ascii="Calibri" w:hAnsi="Calibri" w:cs="Calibri"/>
          <w:highlight w:val="yellow"/>
        </w:rPr>
      </w:pPr>
      <w:r w:rsidRPr="007D19BD">
        <w:rPr>
          <w:rFonts w:ascii="Calibri" w:hAnsi="Calibri" w:cs="Calibri"/>
          <w:highlight w:val="yellow"/>
        </w:rPr>
        <w:t xml:space="preserve">2.3. </w:t>
      </w:r>
      <w:r w:rsidR="00BF36AA" w:rsidRPr="007D19BD">
        <w:rPr>
          <w:rFonts w:ascii="Calibri" w:hAnsi="Calibri" w:cs="Calibri"/>
          <w:highlight w:val="yellow"/>
        </w:rPr>
        <w:t>Carefully pipette off the supernatant, leaving behind the pellet (which is often invisible to the naked eye) and 100</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supernatant. </w:t>
      </w:r>
    </w:p>
    <w:p w14:paraId="5BBAB850" w14:textId="77777777" w:rsidR="00520158" w:rsidRPr="007D19BD" w:rsidRDefault="00520158" w:rsidP="00602F80">
      <w:pPr>
        <w:jc w:val="both"/>
        <w:rPr>
          <w:rFonts w:ascii="Calibri" w:hAnsi="Calibri" w:cs="Calibri"/>
          <w:highlight w:val="yellow"/>
        </w:rPr>
      </w:pPr>
    </w:p>
    <w:p w14:paraId="79510ED3" w14:textId="77777777" w:rsidR="00520158" w:rsidRPr="007D19BD" w:rsidRDefault="00520158" w:rsidP="00602F80">
      <w:pPr>
        <w:jc w:val="both"/>
        <w:rPr>
          <w:rFonts w:ascii="Calibri" w:hAnsi="Calibri" w:cs="Calibri"/>
          <w:highlight w:val="yellow"/>
        </w:rPr>
      </w:pPr>
      <w:r w:rsidRPr="007D19BD">
        <w:rPr>
          <w:rFonts w:ascii="Calibri" w:hAnsi="Calibri" w:cs="Calibri"/>
          <w:highlight w:val="yellow"/>
        </w:rPr>
        <w:t xml:space="preserve">2.4. </w:t>
      </w:r>
      <w:r w:rsidR="00BF36AA" w:rsidRPr="007D19BD">
        <w:rPr>
          <w:rFonts w:ascii="Calibri" w:hAnsi="Calibri" w:cs="Calibri"/>
          <w:highlight w:val="yellow"/>
        </w:rPr>
        <w:t>Add 100</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DNA/RNA Shield to the remaining 100</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supernatant </w:t>
      </w:r>
      <w:r w:rsidR="000F0FFF" w:rsidRPr="007D19BD">
        <w:rPr>
          <w:rFonts w:ascii="Calibri" w:hAnsi="Calibri" w:cs="Calibri"/>
          <w:highlight w:val="yellow"/>
        </w:rPr>
        <w:t>and</w:t>
      </w:r>
      <w:r w:rsidR="00BF36AA" w:rsidRPr="007D19BD">
        <w:rPr>
          <w:rFonts w:ascii="Calibri" w:hAnsi="Calibri" w:cs="Calibri"/>
          <w:highlight w:val="yellow"/>
        </w:rPr>
        <w:t xml:space="preserve"> pellet, and pipette mix thoroughly. </w:t>
      </w:r>
    </w:p>
    <w:p w14:paraId="2D3DAD26" w14:textId="77777777" w:rsidR="00520158" w:rsidRPr="007D19BD" w:rsidRDefault="00520158" w:rsidP="00602F80">
      <w:pPr>
        <w:jc w:val="both"/>
        <w:rPr>
          <w:rFonts w:ascii="Calibri" w:hAnsi="Calibri" w:cs="Calibri"/>
          <w:highlight w:val="yellow"/>
        </w:rPr>
      </w:pPr>
    </w:p>
    <w:p w14:paraId="7CDB4B6B" w14:textId="70B73360" w:rsidR="00643E5F" w:rsidRPr="007D19BD" w:rsidRDefault="00520158" w:rsidP="00602F80">
      <w:pPr>
        <w:jc w:val="both"/>
        <w:rPr>
          <w:rFonts w:ascii="Calibri" w:hAnsi="Calibri" w:cs="Calibri"/>
          <w:highlight w:val="yellow"/>
        </w:rPr>
      </w:pPr>
      <w:r w:rsidRPr="007D19BD">
        <w:rPr>
          <w:rFonts w:ascii="Calibri" w:hAnsi="Calibri" w:cs="Calibri"/>
          <w:highlight w:val="yellow"/>
        </w:rPr>
        <w:t xml:space="preserve">2.5. </w:t>
      </w:r>
      <w:r w:rsidR="00BF36AA" w:rsidRPr="007D19BD">
        <w:rPr>
          <w:rFonts w:ascii="Calibri" w:hAnsi="Calibri" w:cs="Calibri"/>
          <w:highlight w:val="yellow"/>
        </w:rPr>
        <w:t>Then, add 600</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DNA/RNA lysis buffer and pipette mix until the solution is homogeneous. </w:t>
      </w:r>
    </w:p>
    <w:p w14:paraId="61F02BB7" w14:textId="77777777" w:rsidR="00520158" w:rsidRPr="007D19BD" w:rsidRDefault="00520158" w:rsidP="00602F80">
      <w:pPr>
        <w:jc w:val="both"/>
        <w:rPr>
          <w:rFonts w:ascii="Calibri" w:hAnsi="Calibri" w:cs="Calibri"/>
          <w:highlight w:val="yellow"/>
        </w:rPr>
      </w:pPr>
    </w:p>
    <w:p w14:paraId="1D20CE30" w14:textId="4F242ECC" w:rsidR="00643E5F" w:rsidRPr="007D19BD" w:rsidRDefault="00520158" w:rsidP="00602F80">
      <w:pPr>
        <w:jc w:val="both"/>
        <w:rPr>
          <w:rFonts w:ascii="Calibri" w:hAnsi="Calibri" w:cs="Calibri"/>
          <w:highlight w:val="yellow"/>
        </w:rPr>
      </w:pPr>
      <w:r w:rsidRPr="007D19BD">
        <w:rPr>
          <w:rFonts w:ascii="Calibri" w:hAnsi="Calibri" w:cs="Calibri"/>
          <w:highlight w:val="yellow"/>
        </w:rPr>
        <w:t xml:space="preserve">2.6. </w:t>
      </w:r>
      <w:r w:rsidR="00BF36AA" w:rsidRPr="007D19BD">
        <w:rPr>
          <w:rFonts w:ascii="Calibri" w:hAnsi="Calibri" w:cs="Calibri"/>
          <w:highlight w:val="yellow"/>
        </w:rPr>
        <w:t>Follow the remainder of the DNA/RNA extraction protocol as described by the manufacturer</w:t>
      </w:r>
      <w:r w:rsidR="000F0FFF" w:rsidRPr="007D19BD">
        <w:rPr>
          <w:rFonts w:ascii="Calibri" w:hAnsi="Calibri" w:cs="Calibri"/>
          <w:highlight w:val="yellow"/>
        </w:rPr>
        <w:t xml:space="preserve"> </w:t>
      </w:r>
      <w:r w:rsidR="0085609D" w:rsidRPr="007D19BD">
        <w:rPr>
          <w:rFonts w:ascii="Calibri" w:hAnsi="Calibri" w:cs="Calibri"/>
          <w:highlight w:val="yellow"/>
        </w:rPr>
        <w:t xml:space="preserve">in </w:t>
      </w:r>
      <w:r w:rsidR="000F0FFF" w:rsidRPr="007D19BD">
        <w:rPr>
          <w:rFonts w:ascii="Calibri" w:hAnsi="Calibri" w:cs="Calibri"/>
          <w:b/>
          <w:bCs/>
          <w:highlight w:val="yellow"/>
        </w:rPr>
        <w:t>Supplementa</w:t>
      </w:r>
      <w:r w:rsidR="00A66437" w:rsidRPr="007D19BD">
        <w:rPr>
          <w:rFonts w:ascii="Calibri" w:hAnsi="Calibri" w:cs="Calibri"/>
          <w:b/>
          <w:bCs/>
          <w:highlight w:val="yellow"/>
        </w:rPr>
        <w:t xml:space="preserve">ry </w:t>
      </w:r>
      <w:r w:rsidR="000F0FFF" w:rsidRPr="007D19BD">
        <w:rPr>
          <w:rFonts w:ascii="Calibri" w:hAnsi="Calibri" w:cs="Calibri"/>
          <w:b/>
          <w:bCs/>
          <w:highlight w:val="yellow"/>
        </w:rPr>
        <w:t>Appendi</w:t>
      </w:r>
      <w:r w:rsidR="0069265D" w:rsidRPr="007D19BD">
        <w:rPr>
          <w:rFonts w:ascii="Calibri" w:hAnsi="Calibri" w:cs="Calibri"/>
          <w:b/>
          <w:bCs/>
          <w:highlight w:val="yellow"/>
        </w:rPr>
        <w:t>ces A</w:t>
      </w:r>
      <w:r w:rsidR="00BF36AA" w:rsidRPr="007D19BD">
        <w:rPr>
          <w:rFonts w:ascii="Calibri" w:hAnsi="Calibri" w:cs="Calibri"/>
          <w:highlight w:val="yellow"/>
        </w:rPr>
        <w:t xml:space="preserve">, with the following </w:t>
      </w:r>
      <w:r w:rsidR="004B161D" w:rsidRPr="007D19BD">
        <w:rPr>
          <w:rFonts w:ascii="Calibri" w:hAnsi="Calibri" w:cs="Calibri"/>
          <w:highlight w:val="yellow"/>
        </w:rPr>
        <w:t xml:space="preserve">important </w:t>
      </w:r>
      <w:r w:rsidR="00BF36AA" w:rsidRPr="007D19BD">
        <w:rPr>
          <w:rFonts w:ascii="Calibri" w:hAnsi="Calibri" w:cs="Calibri"/>
          <w:highlight w:val="yellow"/>
        </w:rPr>
        <w:t>modifications</w:t>
      </w:r>
      <w:r w:rsidR="004B161D" w:rsidRPr="007D19BD">
        <w:rPr>
          <w:rFonts w:ascii="Calibri" w:hAnsi="Calibri" w:cs="Calibri"/>
          <w:highlight w:val="yellow"/>
        </w:rPr>
        <w:t xml:space="preserve"> specific </w:t>
      </w:r>
      <w:r w:rsidRPr="007D19BD">
        <w:rPr>
          <w:rFonts w:ascii="Calibri" w:hAnsi="Calibri" w:cs="Calibri"/>
          <w:highlight w:val="yellow"/>
        </w:rPr>
        <w:t>to</w:t>
      </w:r>
      <w:r w:rsidR="004B161D" w:rsidRPr="007D19BD">
        <w:rPr>
          <w:rFonts w:ascii="Calibri" w:hAnsi="Calibri" w:cs="Calibri"/>
          <w:highlight w:val="yellow"/>
        </w:rPr>
        <w:t xml:space="preserve"> CSF</w:t>
      </w:r>
      <w:r w:rsidR="00BF36AA" w:rsidRPr="007D19BD">
        <w:rPr>
          <w:rFonts w:ascii="Calibri" w:hAnsi="Calibri" w:cs="Calibri"/>
          <w:highlight w:val="yellow"/>
        </w:rPr>
        <w:t>: </w:t>
      </w:r>
    </w:p>
    <w:p w14:paraId="18EC75E6" w14:textId="77777777" w:rsidR="007C3292" w:rsidRPr="007D19BD" w:rsidRDefault="007C3292" w:rsidP="00602F80">
      <w:pPr>
        <w:jc w:val="both"/>
        <w:rPr>
          <w:rFonts w:ascii="Calibri" w:hAnsi="Calibri" w:cs="Calibri"/>
          <w:highlight w:val="yellow"/>
        </w:rPr>
      </w:pPr>
    </w:p>
    <w:p w14:paraId="45E8798B" w14:textId="308A19D7" w:rsidR="00643E5F" w:rsidRPr="007D19BD" w:rsidRDefault="00520158" w:rsidP="00602F80">
      <w:pPr>
        <w:jc w:val="both"/>
        <w:rPr>
          <w:rFonts w:ascii="Calibri" w:hAnsi="Calibri" w:cs="Calibri"/>
          <w:highlight w:val="yellow"/>
        </w:rPr>
      </w:pPr>
      <w:r w:rsidRPr="007D19BD">
        <w:rPr>
          <w:rFonts w:ascii="Calibri" w:hAnsi="Calibri" w:cs="Calibri"/>
          <w:highlight w:val="yellow"/>
        </w:rPr>
        <w:t xml:space="preserve">2.6.1. </w:t>
      </w:r>
      <w:r w:rsidR="00BF36AA" w:rsidRPr="007D19BD">
        <w:rPr>
          <w:rFonts w:ascii="Calibri" w:hAnsi="Calibri" w:cs="Calibri"/>
          <w:highlight w:val="yellow"/>
        </w:rPr>
        <w:t xml:space="preserve">Perform all centrifugation steps for </w:t>
      </w:r>
      <w:r w:rsidR="009416D9" w:rsidRPr="007D19BD">
        <w:rPr>
          <w:rFonts w:ascii="Calibri" w:hAnsi="Calibri" w:cs="Calibri"/>
          <w:highlight w:val="yellow"/>
        </w:rPr>
        <w:t>1</w:t>
      </w:r>
      <w:r w:rsidR="002715B9" w:rsidRPr="007D19BD">
        <w:rPr>
          <w:rFonts w:ascii="Calibri" w:hAnsi="Calibri" w:cs="Calibri"/>
          <w:highlight w:val="yellow"/>
        </w:rPr>
        <w:t> </w:t>
      </w:r>
      <w:r w:rsidR="00BF36AA" w:rsidRPr="007D19BD">
        <w:rPr>
          <w:rFonts w:ascii="Calibri" w:hAnsi="Calibri" w:cs="Calibri"/>
          <w:highlight w:val="yellow"/>
        </w:rPr>
        <w:t xml:space="preserve">min at max speed </w:t>
      </w:r>
      <w:r w:rsidR="008A2AA1" w:rsidRPr="007D19BD">
        <w:rPr>
          <w:rFonts w:ascii="Calibri" w:hAnsi="Calibri" w:cs="Calibri"/>
          <w:highlight w:val="yellow"/>
        </w:rPr>
        <w:t xml:space="preserve">(~21,000 </w:t>
      </w:r>
      <w:r w:rsidR="00933459" w:rsidRPr="007D19BD">
        <w:rPr>
          <w:rFonts w:ascii="Calibri" w:hAnsi="Calibri" w:cs="Calibri"/>
          <w:highlight w:val="yellow"/>
        </w:rPr>
        <w:t xml:space="preserve">x </w:t>
      </w:r>
      <w:r w:rsidR="00933459" w:rsidRPr="007D19BD">
        <w:rPr>
          <w:rFonts w:ascii="Calibri" w:hAnsi="Calibri" w:cs="Calibri"/>
          <w:i/>
          <w:iCs/>
          <w:highlight w:val="yellow"/>
        </w:rPr>
        <w:t>g</w:t>
      </w:r>
      <w:r w:rsidR="008A2AA1" w:rsidRPr="007D19BD">
        <w:rPr>
          <w:rFonts w:ascii="Calibri" w:hAnsi="Calibri" w:cs="Calibri"/>
          <w:highlight w:val="yellow"/>
        </w:rPr>
        <w:t>)</w:t>
      </w:r>
      <w:r w:rsidR="00BF36AA" w:rsidRPr="007D19BD">
        <w:rPr>
          <w:rFonts w:ascii="Calibri" w:hAnsi="Calibri" w:cs="Calibri"/>
          <w:highlight w:val="yellow"/>
        </w:rPr>
        <w:t xml:space="preserve"> </w:t>
      </w:r>
      <w:r w:rsidR="00577576" w:rsidRPr="007D19BD">
        <w:rPr>
          <w:rFonts w:ascii="Calibri" w:hAnsi="Calibri" w:cs="Calibri"/>
          <w:highlight w:val="yellow"/>
        </w:rPr>
        <w:t>except for</w:t>
      </w:r>
      <w:r w:rsidR="00BF36AA" w:rsidRPr="007D19BD">
        <w:rPr>
          <w:rFonts w:ascii="Calibri" w:hAnsi="Calibri" w:cs="Calibri"/>
          <w:highlight w:val="yellow"/>
        </w:rPr>
        <w:t xml:space="preserve"> the final DNA/RNA wash step, which should run for 3</w:t>
      </w:r>
      <w:r w:rsidR="002715B9" w:rsidRPr="007D19BD">
        <w:rPr>
          <w:rFonts w:ascii="Calibri" w:hAnsi="Calibri" w:cs="Calibri"/>
          <w:highlight w:val="yellow"/>
        </w:rPr>
        <w:t> </w:t>
      </w:r>
      <w:r w:rsidR="00BF36AA" w:rsidRPr="007D19BD">
        <w:rPr>
          <w:rFonts w:ascii="Calibri" w:hAnsi="Calibri" w:cs="Calibri"/>
          <w:highlight w:val="yellow"/>
        </w:rPr>
        <w:t>min at max speed. </w:t>
      </w:r>
    </w:p>
    <w:p w14:paraId="3785BD74" w14:textId="77777777" w:rsidR="00520158" w:rsidRPr="007D19BD" w:rsidRDefault="00520158" w:rsidP="00602F80">
      <w:pPr>
        <w:jc w:val="both"/>
        <w:rPr>
          <w:rFonts w:ascii="Calibri" w:hAnsi="Calibri" w:cs="Calibri"/>
          <w:highlight w:val="yellow"/>
        </w:rPr>
      </w:pPr>
    </w:p>
    <w:p w14:paraId="4372B845" w14:textId="735CD644" w:rsidR="00354A64" w:rsidRPr="007D19BD" w:rsidRDefault="00520158" w:rsidP="00602F80">
      <w:pPr>
        <w:jc w:val="both"/>
        <w:rPr>
          <w:rFonts w:ascii="Calibri" w:hAnsi="Calibri" w:cs="Calibri"/>
          <w:highlight w:val="yellow"/>
        </w:rPr>
      </w:pPr>
      <w:r w:rsidRPr="007D19BD">
        <w:rPr>
          <w:rFonts w:ascii="Calibri" w:hAnsi="Calibri" w:cs="Calibri"/>
          <w:highlight w:val="yellow"/>
        </w:rPr>
        <w:t xml:space="preserve">2.6.2. </w:t>
      </w:r>
      <w:r w:rsidR="00BF36AA" w:rsidRPr="007D19BD">
        <w:rPr>
          <w:rFonts w:ascii="Calibri" w:hAnsi="Calibri" w:cs="Calibri"/>
          <w:highlight w:val="yellow"/>
        </w:rPr>
        <w:t>Elute the sample by adding 22</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(rather than 25</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of nuclease</w:t>
      </w:r>
      <w:r w:rsidR="009416D9" w:rsidRPr="007D19BD">
        <w:rPr>
          <w:rFonts w:ascii="Calibri" w:hAnsi="Calibri" w:cs="Calibri"/>
          <w:highlight w:val="yellow"/>
        </w:rPr>
        <w:t>-</w:t>
      </w:r>
      <w:r w:rsidR="00BF36AA" w:rsidRPr="007D19BD">
        <w:rPr>
          <w:rFonts w:ascii="Calibri" w:hAnsi="Calibri" w:cs="Calibri"/>
          <w:highlight w:val="yellow"/>
        </w:rPr>
        <w:t>free water directly onto the column matrix, then incubate for 3</w:t>
      </w:r>
      <w:r w:rsidR="002715B9" w:rsidRPr="007D19BD">
        <w:rPr>
          <w:rFonts w:ascii="Calibri" w:hAnsi="Calibri" w:cs="Calibri"/>
          <w:highlight w:val="yellow"/>
        </w:rPr>
        <w:t> </w:t>
      </w:r>
      <w:r w:rsidR="00BF36AA" w:rsidRPr="007D19BD">
        <w:rPr>
          <w:rFonts w:ascii="Calibri" w:hAnsi="Calibri" w:cs="Calibri"/>
          <w:highlight w:val="yellow"/>
        </w:rPr>
        <w:t xml:space="preserve">min at room temperature. </w:t>
      </w:r>
      <w:r w:rsidR="004B161D" w:rsidRPr="007D19BD">
        <w:rPr>
          <w:rFonts w:ascii="Calibri" w:hAnsi="Calibri" w:cs="Calibri"/>
          <w:highlight w:val="yellow"/>
        </w:rPr>
        <w:t>T</w:t>
      </w:r>
      <w:r w:rsidR="00BF36AA" w:rsidRPr="007D19BD">
        <w:rPr>
          <w:rFonts w:ascii="Calibri" w:hAnsi="Calibri" w:cs="Calibri"/>
          <w:highlight w:val="yellow"/>
        </w:rPr>
        <w:t xml:space="preserve">he higher volume generally results in </w:t>
      </w:r>
      <w:r w:rsidRPr="007D19BD">
        <w:rPr>
          <w:rFonts w:ascii="Calibri" w:hAnsi="Calibri" w:cs="Calibri"/>
          <w:highlight w:val="yellow"/>
        </w:rPr>
        <w:t xml:space="preserve">a </w:t>
      </w:r>
      <w:r w:rsidR="00BF36AA" w:rsidRPr="007D19BD">
        <w:rPr>
          <w:rFonts w:ascii="Calibri" w:hAnsi="Calibri" w:cs="Calibri"/>
          <w:highlight w:val="yellow"/>
        </w:rPr>
        <w:t xml:space="preserve">greater </w:t>
      </w:r>
      <w:r w:rsidR="000F0FFF" w:rsidRPr="007D19BD">
        <w:rPr>
          <w:rFonts w:ascii="Calibri" w:hAnsi="Calibri" w:cs="Calibri"/>
          <w:highlight w:val="yellow"/>
        </w:rPr>
        <w:t xml:space="preserve">total quantity of </w:t>
      </w:r>
      <w:r w:rsidR="00BF36AA" w:rsidRPr="007D19BD">
        <w:rPr>
          <w:rFonts w:ascii="Calibri" w:hAnsi="Calibri" w:cs="Calibri"/>
          <w:highlight w:val="yellow"/>
        </w:rPr>
        <w:t>nucleic acid</w:t>
      </w:r>
      <w:r w:rsidR="000F0FFF" w:rsidRPr="007D19BD">
        <w:rPr>
          <w:rFonts w:ascii="Calibri" w:hAnsi="Calibri" w:cs="Calibri"/>
          <w:highlight w:val="yellow"/>
        </w:rPr>
        <w:t xml:space="preserve"> eluted</w:t>
      </w:r>
      <w:r w:rsidR="00BF36AA" w:rsidRPr="007D19BD">
        <w:rPr>
          <w:rFonts w:ascii="Calibri" w:hAnsi="Calibri" w:cs="Calibri"/>
          <w:highlight w:val="yellow"/>
        </w:rPr>
        <w:t xml:space="preserve"> from the column. </w:t>
      </w:r>
    </w:p>
    <w:p w14:paraId="5787DB73" w14:textId="77777777" w:rsidR="00520158" w:rsidRPr="007D19BD" w:rsidRDefault="00520158" w:rsidP="00602F80">
      <w:pPr>
        <w:jc w:val="both"/>
        <w:rPr>
          <w:rFonts w:ascii="Calibri" w:hAnsi="Calibri" w:cs="Calibri"/>
          <w:highlight w:val="yellow"/>
        </w:rPr>
      </w:pPr>
    </w:p>
    <w:p w14:paraId="4CF99F66" w14:textId="5B848EEE" w:rsidR="00BF36AA" w:rsidRPr="007D19BD" w:rsidRDefault="00520158" w:rsidP="00602F80">
      <w:pPr>
        <w:jc w:val="both"/>
        <w:rPr>
          <w:rFonts w:ascii="Calibri" w:hAnsi="Calibri" w:cs="Calibri"/>
          <w:highlight w:val="yellow"/>
        </w:rPr>
      </w:pPr>
      <w:r w:rsidRPr="007D19BD">
        <w:rPr>
          <w:rFonts w:ascii="Calibri" w:hAnsi="Calibri" w:cs="Calibri"/>
          <w:highlight w:val="yellow"/>
        </w:rPr>
        <w:t xml:space="preserve">2.6.3. </w:t>
      </w:r>
      <w:r w:rsidR="00BF36AA" w:rsidRPr="007D19BD">
        <w:rPr>
          <w:rFonts w:ascii="Calibri" w:hAnsi="Calibri" w:cs="Calibri"/>
          <w:highlight w:val="yellow"/>
        </w:rPr>
        <w:t>After elution, pipette the flow-through back onto the column matrix and centrifuge again for one minute at max speed. Transfer the sample to a new 1.5</w:t>
      </w:r>
      <w:r w:rsidR="009416D9" w:rsidRPr="007D19BD">
        <w:rPr>
          <w:rFonts w:ascii="Calibri" w:hAnsi="Calibri" w:cs="Calibri"/>
          <w:highlight w:val="yellow"/>
        </w:rPr>
        <w:t> </w:t>
      </w:r>
      <w:r w:rsidR="00BF36AA" w:rsidRPr="007D19BD">
        <w:rPr>
          <w:rFonts w:ascii="Calibri" w:hAnsi="Calibri" w:cs="Calibri"/>
          <w:highlight w:val="yellow"/>
        </w:rPr>
        <w:t>mL storage tube, and either proceed immediately to library preparation or store at -80</w:t>
      </w:r>
      <w:r w:rsidR="009416D9" w:rsidRPr="007D19BD">
        <w:rPr>
          <w:rFonts w:ascii="Calibri" w:hAnsi="Calibri" w:cs="Calibri"/>
          <w:highlight w:val="yellow"/>
        </w:rPr>
        <w:t> °</w:t>
      </w:r>
      <w:r w:rsidR="00BF36AA" w:rsidRPr="007D19BD">
        <w:rPr>
          <w:rFonts w:ascii="Calibri" w:hAnsi="Calibri" w:cs="Calibri"/>
          <w:highlight w:val="yellow"/>
        </w:rPr>
        <w:t>C.</w:t>
      </w:r>
    </w:p>
    <w:p w14:paraId="1FFAEC90" w14:textId="77777777" w:rsidR="00520158" w:rsidRPr="007D19BD" w:rsidRDefault="00520158" w:rsidP="00602F80">
      <w:pPr>
        <w:jc w:val="both"/>
        <w:rPr>
          <w:rFonts w:ascii="Calibri" w:hAnsi="Calibri" w:cs="Calibri"/>
          <w:highlight w:val="yellow"/>
        </w:rPr>
      </w:pPr>
    </w:p>
    <w:p w14:paraId="28A105C8" w14:textId="77777777" w:rsidR="00520158" w:rsidRPr="007D19BD" w:rsidRDefault="00520158" w:rsidP="00602F80">
      <w:pPr>
        <w:jc w:val="both"/>
        <w:rPr>
          <w:rFonts w:ascii="Calibri" w:hAnsi="Calibri" w:cs="Calibri"/>
          <w:highlight w:val="yellow"/>
        </w:rPr>
      </w:pPr>
    </w:p>
    <w:p w14:paraId="35826A9E" w14:textId="77777777" w:rsidR="00520158" w:rsidRPr="007D19BD" w:rsidRDefault="00520158" w:rsidP="00602F80">
      <w:pPr>
        <w:jc w:val="both"/>
        <w:rPr>
          <w:rFonts w:ascii="Calibri" w:hAnsi="Calibri" w:cs="Calibri"/>
          <w:highlight w:val="yellow"/>
        </w:rPr>
      </w:pPr>
    </w:p>
    <w:p w14:paraId="15A20793" w14:textId="77777777" w:rsidR="0069329A" w:rsidRPr="007D19BD" w:rsidRDefault="00BF36AA" w:rsidP="00602F80">
      <w:pPr>
        <w:pStyle w:val="ListParagraph"/>
        <w:numPr>
          <w:ilvl w:val="0"/>
          <w:numId w:val="1"/>
        </w:numPr>
        <w:ind w:left="0" w:firstLine="0"/>
        <w:jc w:val="both"/>
        <w:rPr>
          <w:rFonts w:ascii="Calibri" w:hAnsi="Calibri" w:cs="Calibri"/>
          <w:b/>
          <w:bCs/>
          <w:highlight w:val="yellow"/>
        </w:rPr>
      </w:pPr>
      <w:r w:rsidRPr="007D19BD">
        <w:rPr>
          <w:rFonts w:ascii="Calibri" w:hAnsi="Calibri" w:cs="Calibri"/>
          <w:b/>
          <w:bCs/>
          <w:highlight w:val="yellow"/>
        </w:rPr>
        <w:lastRenderedPageBreak/>
        <w:t>CSF RNA library preparation</w:t>
      </w:r>
      <w:r w:rsidR="00B64A9D" w:rsidRPr="007D19BD">
        <w:rPr>
          <w:rFonts w:ascii="Calibri" w:hAnsi="Calibri" w:cs="Calibri"/>
          <w:b/>
          <w:bCs/>
          <w:highlight w:val="yellow"/>
        </w:rPr>
        <w:t xml:space="preserve"> </w:t>
      </w:r>
    </w:p>
    <w:p w14:paraId="06FD11F2" w14:textId="77777777" w:rsidR="0069329A" w:rsidRPr="007D19BD" w:rsidRDefault="0069329A" w:rsidP="00602F80">
      <w:pPr>
        <w:pStyle w:val="ListParagraph"/>
        <w:ind w:left="0"/>
        <w:jc w:val="both"/>
        <w:rPr>
          <w:rFonts w:ascii="Calibri" w:hAnsi="Calibri" w:cs="Calibri"/>
          <w:highlight w:val="yellow"/>
        </w:rPr>
      </w:pPr>
    </w:p>
    <w:p w14:paraId="6F035B35" w14:textId="18692CBC" w:rsidR="00643E5F" w:rsidRPr="007D19BD" w:rsidRDefault="00B64A9D" w:rsidP="00602F80">
      <w:pPr>
        <w:pStyle w:val="ListParagraph"/>
        <w:ind w:left="0"/>
        <w:jc w:val="both"/>
        <w:rPr>
          <w:rFonts w:ascii="Calibri" w:hAnsi="Calibri" w:cs="Calibri"/>
          <w:highlight w:val="yellow"/>
        </w:rPr>
      </w:pPr>
      <w:r w:rsidRPr="007D19BD">
        <w:rPr>
          <w:rFonts w:ascii="Calibri" w:hAnsi="Calibri" w:cs="Calibri"/>
          <w:highlight w:val="yellow"/>
        </w:rPr>
        <w:t xml:space="preserve">CAUTION: </w:t>
      </w:r>
      <w:r w:rsidR="0069329A" w:rsidRPr="007D19BD">
        <w:rPr>
          <w:rFonts w:ascii="Calibri" w:hAnsi="Calibri" w:cs="Calibri"/>
          <w:highlight w:val="yellow"/>
        </w:rPr>
        <w:t xml:space="preserve">Perform in an appropriate biosafety cabinet, wearing gloves and a </w:t>
      </w:r>
      <w:r w:rsidRPr="007D19BD">
        <w:rPr>
          <w:rFonts w:ascii="Calibri" w:hAnsi="Calibri" w:cs="Calibri"/>
          <w:highlight w:val="yellow"/>
        </w:rPr>
        <w:t xml:space="preserve">laboratory coat. Reagents are harmful if swallowed, inhaled, or </w:t>
      </w:r>
      <w:proofErr w:type="gramStart"/>
      <w:r w:rsidR="0069329A" w:rsidRPr="007D19BD">
        <w:rPr>
          <w:rFonts w:ascii="Calibri" w:hAnsi="Calibri" w:cs="Calibri"/>
          <w:highlight w:val="yellow"/>
        </w:rPr>
        <w:t>come into contact with</w:t>
      </w:r>
      <w:proofErr w:type="gramEnd"/>
      <w:r w:rsidR="0069329A" w:rsidRPr="007D19BD">
        <w:rPr>
          <w:rFonts w:ascii="Calibri" w:hAnsi="Calibri" w:cs="Calibri"/>
          <w:highlight w:val="yellow"/>
        </w:rPr>
        <w:t xml:space="preserve"> </w:t>
      </w:r>
      <w:r w:rsidRPr="007D19BD">
        <w:rPr>
          <w:rFonts w:ascii="Calibri" w:hAnsi="Calibri" w:cs="Calibri"/>
          <w:highlight w:val="yellow"/>
        </w:rPr>
        <w:t>skin</w:t>
      </w:r>
      <w:r w:rsidR="0069329A" w:rsidRPr="007D19BD">
        <w:rPr>
          <w:rFonts w:ascii="Calibri" w:hAnsi="Calibri" w:cs="Calibri"/>
          <w:highlight w:val="yellow"/>
        </w:rPr>
        <w:t>.</w:t>
      </w:r>
      <w:r w:rsidR="009C2244" w:rsidRPr="007D19BD">
        <w:rPr>
          <w:rFonts w:ascii="Calibri" w:hAnsi="Calibri" w:cs="Calibri"/>
          <w:highlight w:val="yellow"/>
        </w:rPr>
        <w:t xml:space="preserve"> Dispose of used materials as hazardous chemical waste in compliance with local regulations</w:t>
      </w:r>
      <w:r w:rsidR="0069329A" w:rsidRPr="007D19BD">
        <w:rPr>
          <w:rFonts w:ascii="Calibri" w:hAnsi="Calibri" w:cs="Calibri"/>
          <w:highlight w:val="yellow"/>
        </w:rPr>
        <w:t>.</w:t>
      </w:r>
    </w:p>
    <w:p w14:paraId="3B1DDB47" w14:textId="77777777" w:rsidR="0069329A" w:rsidRPr="007D19BD" w:rsidRDefault="0069329A" w:rsidP="00602F80">
      <w:pPr>
        <w:pStyle w:val="ListParagraph"/>
        <w:ind w:left="0"/>
        <w:jc w:val="both"/>
        <w:rPr>
          <w:rFonts w:ascii="Calibri" w:hAnsi="Calibri" w:cs="Calibri"/>
          <w:highlight w:val="yellow"/>
        </w:rPr>
      </w:pPr>
    </w:p>
    <w:p w14:paraId="57BF5474" w14:textId="084E87B9" w:rsidR="00E117A8"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NOTE: </w:t>
      </w:r>
      <w:r w:rsidR="004B161D" w:rsidRPr="007D19BD">
        <w:rPr>
          <w:rFonts w:ascii="Calibri" w:hAnsi="Calibri" w:cs="Calibri"/>
          <w:highlight w:val="yellow"/>
        </w:rPr>
        <w:t xml:space="preserve">Important </w:t>
      </w:r>
      <w:r w:rsidR="00354A64" w:rsidRPr="007D19BD">
        <w:rPr>
          <w:rFonts w:ascii="Calibri" w:hAnsi="Calibri" w:cs="Calibri"/>
          <w:highlight w:val="yellow"/>
        </w:rPr>
        <w:t>considerations</w:t>
      </w:r>
      <w:r w:rsidR="004B161D" w:rsidRPr="007D19BD">
        <w:rPr>
          <w:rFonts w:ascii="Calibri" w:hAnsi="Calibri" w:cs="Calibri"/>
          <w:highlight w:val="yellow"/>
        </w:rPr>
        <w:t xml:space="preserve"> prior to beginning: </w:t>
      </w:r>
      <w:r w:rsidR="00D330F5" w:rsidRPr="007D19BD">
        <w:rPr>
          <w:rFonts w:ascii="Calibri" w:hAnsi="Calibri" w:cs="Calibri"/>
          <w:highlight w:val="yellow"/>
        </w:rPr>
        <w:t xml:space="preserve">rRNA depletion </w:t>
      </w:r>
      <w:r w:rsidR="004B161D" w:rsidRPr="007D19BD">
        <w:rPr>
          <w:rFonts w:ascii="Calibri" w:hAnsi="Calibri" w:cs="Calibri"/>
          <w:highlight w:val="yellow"/>
        </w:rPr>
        <w:t>is preferred over polyadenylation</w:t>
      </w:r>
      <w:r w:rsidR="00D330F5" w:rsidRPr="007D19BD">
        <w:rPr>
          <w:rFonts w:ascii="Calibri" w:hAnsi="Calibri" w:cs="Calibri"/>
          <w:highlight w:val="yellow"/>
        </w:rPr>
        <w:t xml:space="preserve"> enrichment for isolation of mRNA, given that the rRNA depletion does not require additional bead clean steps (which can reduce the yield of usable mRNA)</w:t>
      </w:r>
      <w:r w:rsidR="00524632" w:rsidRPr="007D19BD">
        <w:rPr>
          <w:rFonts w:ascii="Calibri" w:hAnsi="Calibri" w:cs="Calibri"/>
          <w:highlight w:val="yellow"/>
        </w:rPr>
        <w:t>,</w:t>
      </w:r>
      <w:r w:rsidR="004B161D" w:rsidRPr="007D19BD">
        <w:rPr>
          <w:rFonts w:ascii="Calibri" w:hAnsi="Calibri" w:cs="Calibri"/>
          <w:highlight w:val="yellow"/>
        </w:rPr>
        <w:t xml:space="preserve"> and some neuroinvasive RNA virus transcripts lack polyadenylation</w:t>
      </w:r>
      <w:r w:rsidR="00D330F5" w:rsidRPr="007D19BD">
        <w:rPr>
          <w:rFonts w:ascii="Calibri" w:hAnsi="Calibri" w:cs="Calibri"/>
          <w:highlight w:val="yellow"/>
        </w:rPr>
        <w:t xml:space="preserve">. ERCC (External RNA </w:t>
      </w:r>
      <w:r w:rsidR="00E66FAA" w:rsidRPr="007D19BD">
        <w:rPr>
          <w:rFonts w:ascii="Calibri" w:hAnsi="Calibri" w:cs="Calibri"/>
          <w:highlight w:val="yellow"/>
        </w:rPr>
        <w:t>controls consortium</w:t>
      </w:r>
      <w:r w:rsidR="00D330F5" w:rsidRPr="007D19BD">
        <w:rPr>
          <w:rFonts w:ascii="Calibri" w:hAnsi="Calibri" w:cs="Calibri"/>
          <w:highlight w:val="yellow"/>
        </w:rPr>
        <w:t>) RNA Spike-In</w:t>
      </w:r>
      <w:r w:rsidR="00354A64" w:rsidRPr="007D19BD">
        <w:rPr>
          <w:rFonts w:ascii="Calibri" w:hAnsi="Calibri" w:cs="Calibri"/>
          <w:highlight w:val="yellow"/>
        </w:rPr>
        <w:t xml:space="preserve"> can be added</w:t>
      </w:r>
      <w:r w:rsidR="00D330F5" w:rsidRPr="007D19BD">
        <w:rPr>
          <w:rFonts w:ascii="Calibri" w:hAnsi="Calibri" w:cs="Calibri"/>
          <w:highlight w:val="yellow"/>
        </w:rPr>
        <w:t xml:space="preserve"> as a quality control measure, though</w:t>
      </w:r>
      <w:r w:rsidR="0085609D" w:rsidRPr="007D19BD">
        <w:rPr>
          <w:rFonts w:ascii="Calibri" w:hAnsi="Calibri" w:cs="Calibri"/>
          <w:highlight w:val="yellow"/>
        </w:rPr>
        <w:t xml:space="preserve"> it</w:t>
      </w:r>
      <w:r w:rsidR="00D330F5" w:rsidRPr="007D19BD">
        <w:rPr>
          <w:rFonts w:ascii="Calibri" w:hAnsi="Calibri" w:cs="Calibri"/>
          <w:highlight w:val="yellow"/>
        </w:rPr>
        <w:t xml:space="preserve"> is not strictly necessary. </w:t>
      </w:r>
      <w:r w:rsidR="00E117A8" w:rsidRPr="007D19BD">
        <w:rPr>
          <w:rFonts w:ascii="Calibri" w:hAnsi="Calibri" w:cs="Calibri"/>
          <w:highlight w:val="yellow"/>
        </w:rPr>
        <w:t>If the RNA was stored at -80 °C following extraction, thaw on ice</w:t>
      </w:r>
      <w:r w:rsidR="00354A64" w:rsidRPr="007D19BD">
        <w:rPr>
          <w:rFonts w:ascii="Calibri" w:hAnsi="Calibri" w:cs="Calibri"/>
          <w:highlight w:val="yellow"/>
        </w:rPr>
        <w:t xml:space="preserve"> prior to beginning</w:t>
      </w:r>
      <w:r w:rsidR="00E117A8" w:rsidRPr="007D19BD">
        <w:rPr>
          <w:rFonts w:ascii="Calibri" w:hAnsi="Calibri" w:cs="Calibri"/>
          <w:highlight w:val="yellow"/>
        </w:rPr>
        <w:t xml:space="preserve">. </w:t>
      </w:r>
    </w:p>
    <w:p w14:paraId="1BAADC38" w14:textId="77777777" w:rsidR="0069329A" w:rsidRPr="007D19BD" w:rsidRDefault="0069329A" w:rsidP="00602F80">
      <w:pPr>
        <w:pStyle w:val="ListParagraph"/>
        <w:ind w:left="0"/>
        <w:jc w:val="both"/>
        <w:rPr>
          <w:rFonts w:ascii="Calibri" w:hAnsi="Calibri" w:cs="Calibri"/>
          <w:highlight w:val="yellow"/>
        </w:rPr>
      </w:pPr>
    </w:p>
    <w:p w14:paraId="583E25BA" w14:textId="0EAF9D29"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3.1. </w:t>
      </w:r>
      <w:r w:rsidR="00BF36AA" w:rsidRPr="007D19BD">
        <w:rPr>
          <w:rFonts w:ascii="Calibri" w:hAnsi="Calibri" w:cs="Calibri"/>
          <w:highlight w:val="yellow"/>
        </w:rPr>
        <w:t xml:space="preserve">RNA fragmentation and priming: </w:t>
      </w:r>
      <w:r w:rsidR="00BB4DF9" w:rsidRPr="007D19BD">
        <w:rPr>
          <w:rFonts w:ascii="Calibri" w:hAnsi="Calibri" w:cs="Calibri"/>
          <w:highlight w:val="yellow"/>
        </w:rPr>
        <w:t>P</w:t>
      </w:r>
      <w:r w:rsidR="00BF36AA" w:rsidRPr="007D19BD">
        <w:rPr>
          <w:rFonts w:ascii="Calibri" w:hAnsi="Calibri" w:cs="Calibri"/>
          <w:highlight w:val="yellow"/>
        </w:rPr>
        <w:t xml:space="preserve">ipette mix the following in a </w:t>
      </w:r>
      <w:r w:rsidR="00221565" w:rsidRPr="007D19BD">
        <w:rPr>
          <w:rFonts w:ascii="Calibri" w:hAnsi="Calibri" w:cs="Calibri"/>
          <w:highlight w:val="yellow"/>
        </w:rPr>
        <w:t>polymerase chain reaction (</w:t>
      </w:r>
      <w:r w:rsidR="00BF36AA" w:rsidRPr="007D19BD">
        <w:rPr>
          <w:rFonts w:ascii="Calibri" w:hAnsi="Calibri" w:cs="Calibri"/>
          <w:highlight w:val="yellow"/>
        </w:rPr>
        <w:t>PCR</w:t>
      </w:r>
      <w:r w:rsidR="00221565" w:rsidRPr="007D19BD">
        <w:rPr>
          <w:rFonts w:ascii="Calibri" w:hAnsi="Calibri" w:cs="Calibri"/>
          <w:highlight w:val="yellow"/>
        </w:rPr>
        <w:t>)</w:t>
      </w:r>
      <w:r w:rsidR="00BF36AA" w:rsidRPr="007D19BD">
        <w:rPr>
          <w:rFonts w:ascii="Calibri" w:hAnsi="Calibri" w:cs="Calibri"/>
          <w:highlight w:val="yellow"/>
        </w:rPr>
        <w:t xml:space="preserve"> tube: 3.5</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RNA sample, 0.5</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w:t>
      </w:r>
      <w:r w:rsidR="00D330F5" w:rsidRPr="007D19BD">
        <w:rPr>
          <w:rFonts w:ascii="Calibri" w:hAnsi="Calibri" w:cs="Calibri"/>
          <w:highlight w:val="yellow"/>
        </w:rPr>
        <w:t xml:space="preserve">1:2500 diluted </w:t>
      </w:r>
      <w:r w:rsidR="00BF36AA" w:rsidRPr="007D19BD">
        <w:rPr>
          <w:rFonts w:ascii="Calibri" w:hAnsi="Calibri" w:cs="Calibri"/>
          <w:highlight w:val="yellow"/>
        </w:rPr>
        <w:t>ERCC spike-in, 4</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first</w:t>
      </w:r>
      <w:r w:rsidR="002715B9" w:rsidRPr="007D19BD">
        <w:rPr>
          <w:rFonts w:ascii="Calibri" w:hAnsi="Calibri" w:cs="Calibri"/>
          <w:highlight w:val="yellow"/>
        </w:rPr>
        <w:t>-</w:t>
      </w:r>
      <w:r w:rsidR="00BF36AA" w:rsidRPr="007D19BD">
        <w:rPr>
          <w:rFonts w:ascii="Calibri" w:hAnsi="Calibri" w:cs="Calibri"/>
          <w:highlight w:val="yellow"/>
        </w:rPr>
        <w:t>strand reaction buffer (5x), 1</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random primers, and 1</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w:t>
      </w:r>
      <w:r w:rsidR="00D330F5" w:rsidRPr="007D19BD">
        <w:rPr>
          <w:rFonts w:ascii="Calibri" w:hAnsi="Calibri" w:cs="Calibri"/>
          <w:highlight w:val="yellow"/>
        </w:rPr>
        <w:t xml:space="preserve">1:100 diluted </w:t>
      </w:r>
      <w:r w:rsidR="00BF36AA" w:rsidRPr="007D19BD">
        <w:rPr>
          <w:rFonts w:ascii="Calibri" w:hAnsi="Calibri" w:cs="Calibri"/>
          <w:highlight w:val="yellow"/>
        </w:rPr>
        <w:t>rRNA</w:t>
      </w:r>
      <w:r w:rsidR="008A39C6" w:rsidRPr="007D19BD">
        <w:rPr>
          <w:rFonts w:ascii="Calibri" w:hAnsi="Calibri" w:cs="Calibri"/>
          <w:highlight w:val="yellow"/>
        </w:rPr>
        <w:t xml:space="preserve"> (</w:t>
      </w:r>
      <w:r w:rsidR="008A39C6" w:rsidRPr="007D19BD">
        <w:rPr>
          <w:rFonts w:ascii="Calibri" w:hAnsi="Calibri" w:cs="Calibri"/>
          <w:b/>
          <w:bCs/>
          <w:highlight w:val="yellow"/>
        </w:rPr>
        <w:t>Table of Materials</w:t>
      </w:r>
      <w:r w:rsidR="008A39C6" w:rsidRPr="007D19BD">
        <w:rPr>
          <w:rFonts w:ascii="Calibri" w:hAnsi="Calibri" w:cs="Calibri"/>
          <w:highlight w:val="yellow"/>
        </w:rPr>
        <w:t>)</w:t>
      </w:r>
      <w:r w:rsidR="00BF36AA" w:rsidRPr="007D19BD">
        <w:rPr>
          <w:rFonts w:ascii="Calibri" w:hAnsi="Calibri" w:cs="Calibri"/>
          <w:highlight w:val="yellow"/>
        </w:rPr>
        <w:t>. In a thermocycler, set the heated lid to 105</w:t>
      </w:r>
      <w:bookmarkStart w:id="0" w:name="_Hlk204426691"/>
      <w:r w:rsidR="002715B9" w:rsidRPr="007D19BD">
        <w:rPr>
          <w:rFonts w:ascii="Calibri" w:hAnsi="Calibri" w:cs="Calibri"/>
          <w:highlight w:val="yellow"/>
        </w:rPr>
        <w:t> </w:t>
      </w:r>
      <w:r w:rsidR="00BF36AA" w:rsidRPr="007D19BD">
        <w:rPr>
          <w:rFonts w:ascii="Calibri" w:hAnsi="Calibri" w:cs="Calibri"/>
          <w:highlight w:val="yellow"/>
        </w:rPr>
        <w:t>°</w:t>
      </w:r>
      <w:bookmarkEnd w:id="0"/>
      <w:r w:rsidR="00BF36AA" w:rsidRPr="007D19BD">
        <w:rPr>
          <w:rFonts w:ascii="Calibri" w:hAnsi="Calibri" w:cs="Calibri"/>
          <w:highlight w:val="yellow"/>
        </w:rPr>
        <w:t>C and incubate the samples at 75</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2 </w:t>
      </w:r>
      <w:r w:rsidR="00BF36AA" w:rsidRPr="007D19BD">
        <w:rPr>
          <w:rFonts w:ascii="Calibri" w:hAnsi="Calibri" w:cs="Calibri"/>
          <w:highlight w:val="yellow"/>
        </w:rPr>
        <w:t>min, 70</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2 </w:t>
      </w:r>
      <w:r w:rsidR="00BF36AA" w:rsidRPr="007D19BD">
        <w:rPr>
          <w:rFonts w:ascii="Calibri" w:hAnsi="Calibri" w:cs="Calibri"/>
          <w:highlight w:val="yellow"/>
        </w:rPr>
        <w:t>min, 65</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2 </w:t>
      </w:r>
      <w:r w:rsidR="00BF36AA" w:rsidRPr="007D19BD">
        <w:rPr>
          <w:rFonts w:ascii="Calibri" w:hAnsi="Calibri" w:cs="Calibri"/>
          <w:highlight w:val="yellow"/>
        </w:rPr>
        <w:t>min, 60</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2 </w:t>
      </w:r>
      <w:r w:rsidR="00BF36AA" w:rsidRPr="007D19BD">
        <w:rPr>
          <w:rFonts w:ascii="Calibri" w:hAnsi="Calibri" w:cs="Calibri"/>
          <w:highlight w:val="yellow"/>
        </w:rPr>
        <w:t>min, 55</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2 </w:t>
      </w:r>
      <w:r w:rsidR="00BF36AA" w:rsidRPr="007D19BD">
        <w:rPr>
          <w:rFonts w:ascii="Calibri" w:hAnsi="Calibri" w:cs="Calibri"/>
          <w:highlight w:val="yellow"/>
        </w:rPr>
        <w:t>min, 37</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5 </w:t>
      </w:r>
      <w:r w:rsidR="00BF36AA" w:rsidRPr="007D19BD">
        <w:rPr>
          <w:rFonts w:ascii="Calibri" w:hAnsi="Calibri" w:cs="Calibri"/>
          <w:highlight w:val="yellow"/>
        </w:rPr>
        <w:t>min, and 25</w:t>
      </w:r>
      <w:r w:rsidR="002715B9" w:rsidRPr="007D19BD">
        <w:rPr>
          <w:rFonts w:ascii="Calibri" w:hAnsi="Calibri" w:cs="Calibri"/>
          <w:highlight w:val="yellow"/>
        </w:rPr>
        <w:t> </w:t>
      </w:r>
      <w:r w:rsidR="00BF36AA" w:rsidRPr="007D19BD">
        <w:rPr>
          <w:rFonts w:ascii="Calibri" w:hAnsi="Calibri" w:cs="Calibri"/>
          <w:highlight w:val="yellow"/>
        </w:rPr>
        <w:t xml:space="preserve">°C for </w:t>
      </w:r>
      <w:r w:rsidR="002715B9" w:rsidRPr="007D19BD">
        <w:rPr>
          <w:rFonts w:ascii="Calibri" w:hAnsi="Calibri" w:cs="Calibri"/>
          <w:highlight w:val="yellow"/>
        </w:rPr>
        <w:t>5 </w:t>
      </w:r>
      <w:r w:rsidR="00BF36AA" w:rsidRPr="007D19BD">
        <w:rPr>
          <w:rFonts w:ascii="Calibri" w:hAnsi="Calibri" w:cs="Calibri"/>
          <w:highlight w:val="yellow"/>
        </w:rPr>
        <w:t>min. </w:t>
      </w:r>
    </w:p>
    <w:p w14:paraId="30AF253E" w14:textId="77777777" w:rsidR="0069329A" w:rsidRPr="007D19BD" w:rsidRDefault="0069329A" w:rsidP="00602F80">
      <w:pPr>
        <w:pStyle w:val="ListParagraph"/>
        <w:ind w:left="0"/>
        <w:jc w:val="both"/>
        <w:rPr>
          <w:rFonts w:ascii="Calibri" w:hAnsi="Calibri" w:cs="Calibri"/>
          <w:highlight w:val="yellow"/>
        </w:rPr>
      </w:pPr>
    </w:p>
    <w:p w14:paraId="3F495B07" w14:textId="1DF67C37"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3.2. </w:t>
      </w:r>
      <w:r w:rsidR="00BF36AA" w:rsidRPr="007D19BD">
        <w:rPr>
          <w:rFonts w:ascii="Calibri" w:hAnsi="Calibri" w:cs="Calibri"/>
          <w:highlight w:val="yellow"/>
        </w:rPr>
        <w:t>First</w:t>
      </w:r>
      <w:r w:rsidR="002715B9" w:rsidRPr="007D19BD">
        <w:rPr>
          <w:rFonts w:ascii="Calibri" w:hAnsi="Calibri" w:cs="Calibri"/>
          <w:highlight w:val="yellow"/>
        </w:rPr>
        <w:t>-</w:t>
      </w:r>
      <w:r w:rsidR="00BF36AA" w:rsidRPr="007D19BD">
        <w:rPr>
          <w:rFonts w:ascii="Calibri" w:hAnsi="Calibri" w:cs="Calibri"/>
          <w:highlight w:val="yellow"/>
        </w:rPr>
        <w:t>strand cDNA synthesis: Pipette mix the fragmented and primed RNA (10</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with 8</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nuclease</w:t>
      </w:r>
      <w:r w:rsidR="002715B9" w:rsidRPr="007D19BD">
        <w:rPr>
          <w:rFonts w:ascii="Calibri" w:hAnsi="Calibri" w:cs="Calibri"/>
          <w:highlight w:val="yellow"/>
        </w:rPr>
        <w:t>-</w:t>
      </w:r>
      <w:r w:rsidR="00BF36AA" w:rsidRPr="007D19BD">
        <w:rPr>
          <w:rFonts w:ascii="Calibri" w:hAnsi="Calibri" w:cs="Calibri"/>
          <w:highlight w:val="yellow"/>
        </w:rPr>
        <w:t>free water and 2</w:t>
      </w:r>
      <w:r w:rsidR="002715B9"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first</w:t>
      </w:r>
      <w:r w:rsidR="002715B9" w:rsidRPr="007D19BD">
        <w:rPr>
          <w:rFonts w:ascii="Calibri" w:hAnsi="Calibri" w:cs="Calibri"/>
          <w:highlight w:val="yellow"/>
        </w:rPr>
        <w:t>-</w:t>
      </w:r>
      <w:r w:rsidR="00BF36AA" w:rsidRPr="007D19BD">
        <w:rPr>
          <w:rFonts w:ascii="Calibri" w:hAnsi="Calibri" w:cs="Calibri"/>
          <w:highlight w:val="yellow"/>
        </w:rPr>
        <w:t>strand synthesis enzyme mix. In a thermocycler, set the heated lid to 105</w:t>
      </w:r>
      <w:r w:rsidR="002715B9" w:rsidRPr="007D19BD">
        <w:rPr>
          <w:rFonts w:ascii="Calibri" w:hAnsi="Calibri" w:cs="Calibri"/>
          <w:highlight w:val="yellow"/>
        </w:rPr>
        <w:t> </w:t>
      </w:r>
      <w:r w:rsidR="00BF36AA" w:rsidRPr="007D19BD">
        <w:rPr>
          <w:rFonts w:ascii="Calibri" w:hAnsi="Calibri" w:cs="Calibri"/>
          <w:highlight w:val="yellow"/>
        </w:rPr>
        <w:t>°C and incubate the samples at 25</w:t>
      </w:r>
      <w:r w:rsidR="002715B9" w:rsidRPr="007D19BD">
        <w:rPr>
          <w:rFonts w:ascii="Calibri" w:hAnsi="Calibri" w:cs="Calibri"/>
          <w:highlight w:val="yellow"/>
        </w:rPr>
        <w:t> </w:t>
      </w:r>
      <w:r w:rsidR="00BF36AA" w:rsidRPr="007D19BD">
        <w:rPr>
          <w:rFonts w:ascii="Calibri" w:hAnsi="Calibri" w:cs="Calibri"/>
          <w:highlight w:val="yellow"/>
        </w:rPr>
        <w:t>°C for 10</w:t>
      </w:r>
      <w:r w:rsidR="002715B9" w:rsidRPr="007D19BD">
        <w:rPr>
          <w:rFonts w:ascii="Calibri" w:hAnsi="Calibri" w:cs="Calibri"/>
          <w:highlight w:val="yellow"/>
        </w:rPr>
        <w:t> </w:t>
      </w:r>
      <w:r w:rsidR="00BF36AA" w:rsidRPr="007D19BD">
        <w:rPr>
          <w:rFonts w:ascii="Calibri" w:hAnsi="Calibri" w:cs="Calibri"/>
          <w:highlight w:val="yellow"/>
        </w:rPr>
        <w:t>min, 42</w:t>
      </w:r>
      <w:r w:rsidR="002715B9" w:rsidRPr="007D19BD">
        <w:rPr>
          <w:rFonts w:ascii="Calibri" w:hAnsi="Calibri" w:cs="Calibri"/>
          <w:highlight w:val="yellow"/>
        </w:rPr>
        <w:t> </w:t>
      </w:r>
      <w:r w:rsidR="00BF36AA" w:rsidRPr="007D19BD">
        <w:rPr>
          <w:rFonts w:ascii="Calibri" w:hAnsi="Calibri" w:cs="Calibri"/>
          <w:highlight w:val="yellow"/>
        </w:rPr>
        <w:t>°C for 15</w:t>
      </w:r>
      <w:r w:rsidR="002715B9" w:rsidRPr="007D19BD">
        <w:rPr>
          <w:rFonts w:ascii="Calibri" w:hAnsi="Calibri" w:cs="Calibri"/>
          <w:highlight w:val="yellow"/>
        </w:rPr>
        <w:t> </w:t>
      </w:r>
      <w:r w:rsidR="00BF36AA" w:rsidRPr="007D19BD">
        <w:rPr>
          <w:rFonts w:ascii="Calibri" w:hAnsi="Calibri" w:cs="Calibri"/>
          <w:highlight w:val="yellow"/>
        </w:rPr>
        <w:t>min, and 70</w:t>
      </w:r>
      <w:r w:rsidR="002715B9" w:rsidRPr="007D19BD">
        <w:rPr>
          <w:rFonts w:ascii="Calibri" w:hAnsi="Calibri" w:cs="Calibri"/>
          <w:highlight w:val="yellow"/>
        </w:rPr>
        <w:t> </w:t>
      </w:r>
      <w:r w:rsidR="00BF36AA" w:rsidRPr="007D19BD">
        <w:rPr>
          <w:rFonts w:ascii="Calibri" w:hAnsi="Calibri" w:cs="Calibri"/>
          <w:highlight w:val="yellow"/>
        </w:rPr>
        <w:t>°C for 15</w:t>
      </w:r>
      <w:r w:rsidR="002715B9" w:rsidRPr="007D19BD">
        <w:rPr>
          <w:rFonts w:ascii="Calibri" w:hAnsi="Calibri" w:cs="Calibri"/>
          <w:highlight w:val="yellow"/>
        </w:rPr>
        <w:t> </w:t>
      </w:r>
      <w:r w:rsidR="00BF36AA" w:rsidRPr="007D19BD">
        <w:rPr>
          <w:rFonts w:ascii="Calibri" w:hAnsi="Calibri" w:cs="Calibri"/>
          <w:highlight w:val="yellow"/>
        </w:rPr>
        <w:t>min. </w:t>
      </w:r>
    </w:p>
    <w:p w14:paraId="64A187E6" w14:textId="77777777" w:rsidR="0069329A" w:rsidRPr="007D19BD" w:rsidRDefault="0069329A" w:rsidP="00602F80">
      <w:pPr>
        <w:pStyle w:val="ListParagraph"/>
        <w:ind w:left="0"/>
        <w:jc w:val="both"/>
        <w:rPr>
          <w:rFonts w:ascii="Calibri" w:hAnsi="Calibri" w:cs="Calibri"/>
          <w:highlight w:val="yellow"/>
        </w:rPr>
      </w:pPr>
    </w:p>
    <w:p w14:paraId="2AE3E3A7" w14:textId="7B121B01"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3.3. </w:t>
      </w:r>
      <w:r w:rsidR="00BF36AA" w:rsidRPr="007D19BD">
        <w:rPr>
          <w:rFonts w:ascii="Calibri" w:hAnsi="Calibri" w:cs="Calibri"/>
          <w:highlight w:val="yellow"/>
        </w:rPr>
        <w:t>Second</w:t>
      </w:r>
      <w:r w:rsidR="002715B9" w:rsidRPr="007D19BD">
        <w:rPr>
          <w:rFonts w:ascii="Calibri" w:hAnsi="Calibri" w:cs="Calibri"/>
          <w:highlight w:val="yellow"/>
        </w:rPr>
        <w:t>-</w:t>
      </w:r>
      <w:r w:rsidR="00BF36AA" w:rsidRPr="007D19BD">
        <w:rPr>
          <w:rFonts w:ascii="Calibri" w:hAnsi="Calibri" w:cs="Calibri"/>
          <w:highlight w:val="yellow"/>
        </w:rPr>
        <w:t>strand cDNA synthesis: Pipette mix the first</w:t>
      </w:r>
      <w:r w:rsidR="002715B9" w:rsidRPr="007D19BD">
        <w:rPr>
          <w:rFonts w:ascii="Calibri" w:hAnsi="Calibri" w:cs="Calibri"/>
          <w:highlight w:val="yellow"/>
        </w:rPr>
        <w:t>-</w:t>
      </w:r>
      <w:r w:rsidR="00BF36AA" w:rsidRPr="007D19BD">
        <w:rPr>
          <w:rFonts w:ascii="Calibri" w:hAnsi="Calibri" w:cs="Calibri"/>
          <w:highlight w:val="yellow"/>
        </w:rPr>
        <w:t>strand synthesized DNA (20</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with 8</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second</w:t>
      </w:r>
      <w:r w:rsidR="00585D07" w:rsidRPr="007D19BD">
        <w:rPr>
          <w:rFonts w:ascii="Calibri" w:hAnsi="Calibri" w:cs="Calibri"/>
          <w:highlight w:val="yellow"/>
        </w:rPr>
        <w:t>-</w:t>
      </w:r>
      <w:r w:rsidR="00BF36AA" w:rsidRPr="007D19BD">
        <w:rPr>
          <w:rFonts w:ascii="Calibri" w:hAnsi="Calibri" w:cs="Calibri"/>
          <w:highlight w:val="yellow"/>
        </w:rPr>
        <w:t>strand synthesis reaction buffer and 4</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second</w:t>
      </w:r>
      <w:r w:rsidR="00585D07" w:rsidRPr="007D19BD">
        <w:rPr>
          <w:rFonts w:ascii="Calibri" w:hAnsi="Calibri" w:cs="Calibri"/>
          <w:highlight w:val="yellow"/>
        </w:rPr>
        <w:t>-</w:t>
      </w:r>
      <w:r w:rsidR="00BF36AA" w:rsidRPr="007D19BD">
        <w:rPr>
          <w:rFonts w:ascii="Calibri" w:hAnsi="Calibri" w:cs="Calibri"/>
          <w:highlight w:val="yellow"/>
        </w:rPr>
        <w:t xml:space="preserve">strand synthesis enzyme mix. In a thermocycler, incubate the samples for </w:t>
      </w:r>
      <w:r w:rsidR="00585D07" w:rsidRPr="007D19BD">
        <w:rPr>
          <w:rFonts w:ascii="Calibri" w:hAnsi="Calibri" w:cs="Calibri"/>
          <w:highlight w:val="yellow"/>
        </w:rPr>
        <w:t>1 </w:t>
      </w:r>
      <w:r w:rsidR="00BF36AA" w:rsidRPr="007D19BD">
        <w:rPr>
          <w:rFonts w:ascii="Calibri" w:hAnsi="Calibri" w:cs="Calibri"/>
          <w:highlight w:val="yellow"/>
        </w:rPr>
        <w:t>h at 16</w:t>
      </w:r>
      <w:r w:rsidR="00585D07" w:rsidRPr="007D19BD">
        <w:rPr>
          <w:rFonts w:ascii="Calibri" w:hAnsi="Calibri" w:cs="Calibri"/>
          <w:highlight w:val="yellow"/>
        </w:rPr>
        <w:t> </w:t>
      </w:r>
      <w:r w:rsidR="00BF36AA" w:rsidRPr="007D19BD">
        <w:rPr>
          <w:rFonts w:ascii="Calibri" w:hAnsi="Calibri" w:cs="Calibri"/>
          <w:highlight w:val="yellow"/>
        </w:rPr>
        <w:t>°C, with the heated lid turned off.</w:t>
      </w:r>
    </w:p>
    <w:p w14:paraId="312D114F" w14:textId="77777777" w:rsidR="0069329A" w:rsidRPr="007D19BD" w:rsidRDefault="0069329A" w:rsidP="00602F80">
      <w:pPr>
        <w:pStyle w:val="ListParagraph"/>
        <w:ind w:left="0"/>
        <w:jc w:val="both"/>
        <w:rPr>
          <w:rFonts w:ascii="Calibri" w:hAnsi="Calibri" w:cs="Calibri"/>
          <w:highlight w:val="yellow"/>
        </w:rPr>
      </w:pPr>
    </w:p>
    <w:p w14:paraId="45108552" w14:textId="51E992ED"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3.4. </w:t>
      </w:r>
      <w:r w:rsidR="00BF36AA" w:rsidRPr="007D19BD">
        <w:rPr>
          <w:rFonts w:ascii="Calibri" w:hAnsi="Calibri" w:cs="Calibri"/>
          <w:highlight w:val="yellow"/>
        </w:rPr>
        <w:t>Perform a magnetic bead purification (</w:t>
      </w:r>
      <w:r w:rsidR="00DB19D8" w:rsidRPr="007D19BD">
        <w:rPr>
          <w:rFonts w:ascii="Calibri" w:hAnsi="Calibri" w:cs="Calibri"/>
          <w:b/>
          <w:bCs/>
          <w:highlight w:val="yellow"/>
        </w:rPr>
        <w:t>S</w:t>
      </w:r>
      <w:r w:rsidR="00BF36AA" w:rsidRPr="007D19BD">
        <w:rPr>
          <w:rFonts w:ascii="Calibri" w:hAnsi="Calibri" w:cs="Calibri"/>
          <w:b/>
          <w:bCs/>
          <w:highlight w:val="yellow"/>
        </w:rPr>
        <w:t>upplementa</w:t>
      </w:r>
      <w:r w:rsidR="00A66437" w:rsidRPr="007D19BD">
        <w:rPr>
          <w:rFonts w:ascii="Calibri" w:hAnsi="Calibri" w:cs="Calibri"/>
          <w:b/>
          <w:bCs/>
          <w:highlight w:val="yellow"/>
        </w:rPr>
        <w:t>ry</w:t>
      </w:r>
      <w:r w:rsidR="00BF36AA" w:rsidRPr="007D19BD">
        <w:rPr>
          <w:rFonts w:ascii="Calibri" w:hAnsi="Calibri" w:cs="Calibri"/>
          <w:b/>
          <w:bCs/>
          <w:highlight w:val="yellow"/>
        </w:rPr>
        <w:t xml:space="preserve"> </w:t>
      </w:r>
      <w:r w:rsidR="00DB19D8" w:rsidRPr="007D19BD">
        <w:rPr>
          <w:rFonts w:ascii="Calibri" w:hAnsi="Calibri" w:cs="Calibri"/>
          <w:b/>
          <w:bCs/>
          <w:highlight w:val="yellow"/>
        </w:rPr>
        <w:t>Appendi</w:t>
      </w:r>
      <w:r w:rsidR="0069265D" w:rsidRPr="007D19BD">
        <w:rPr>
          <w:rFonts w:ascii="Calibri" w:hAnsi="Calibri" w:cs="Calibri"/>
          <w:b/>
          <w:bCs/>
          <w:highlight w:val="yellow"/>
        </w:rPr>
        <w:t>ces B</w:t>
      </w:r>
      <w:r w:rsidR="00BF36AA" w:rsidRPr="007D19BD">
        <w:rPr>
          <w:rFonts w:ascii="Calibri" w:hAnsi="Calibri" w:cs="Calibri"/>
          <w:highlight w:val="yellow"/>
        </w:rPr>
        <w:t>) using a 1.8x ratio of SPRI magnetic beads (144</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Elute into 53</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nuclease</w:t>
      </w:r>
      <w:r w:rsidR="00585D07" w:rsidRPr="007D19BD">
        <w:rPr>
          <w:rFonts w:ascii="Calibri" w:hAnsi="Calibri" w:cs="Calibri"/>
          <w:highlight w:val="yellow"/>
        </w:rPr>
        <w:t>-</w:t>
      </w:r>
      <w:r w:rsidR="00BF36AA" w:rsidRPr="007D19BD">
        <w:rPr>
          <w:rFonts w:ascii="Calibri" w:hAnsi="Calibri" w:cs="Calibri"/>
          <w:highlight w:val="yellow"/>
        </w:rPr>
        <w:t>free water and transfer 50</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w:t>
      </w:r>
      <w:r w:rsidR="00DB19D8" w:rsidRPr="007D19BD">
        <w:rPr>
          <w:rFonts w:ascii="Calibri" w:hAnsi="Calibri" w:cs="Calibri"/>
          <w:highlight w:val="yellow"/>
        </w:rPr>
        <w:t xml:space="preserve">the final </w:t>
      </w:r>
      <w:r w:rsidR="00BF36AA" w:rsidRPr="007D19BD">
        <w:rPr>
          <w:rFonts w:ascii="Calibri" w:hAnsi="Calibri" w:cs="Calibri"/>
          <w:highlight w:val="yellow"/>
        </w:rPr>
        <w:t xml:space="preserve">supernatant (containing purified double-strand cDNA) </w:t>
      </w:r>
      <w:r w:rsidR="00DB19D8" w:rsidRPr="007D19BD">
        <w:rPr>
          <w:rFonts w:ascii="Calibri" w:hAnsi="Calibri" w:cs="Calibri"/>
          <w:highlight w:val="yellow"/>
        </w:rPr>
        <w:t>t</w:t>
      </w:r>
      <w:r w:rsidR="00BF36AA" w:rsidRPr="007D19BD">
        <w:rPr>
          <w:rFonts w:ascii="Calibri" w:hAnsi="Calibri" w:cs="Calibri"/>
          <w:highlight w:val="yellow"/>
        </w:rPr>
        <w:t>o a clean nuclease</w:t>
      </w:r>
      <w:r w:rsidR="00DB19D8" w:rsidRPr="007D19BD">
        <w:rPr>
          <w:rFonts w:ascii="Calibri" w:hAnsi="Calibri" w:cs="Calibri"/>
          <w:highlight w:val="yellow"/>
        </w:rPr>
        <w:t>-</w:t>
      </w:r>
      <w:r w:rsidR="00BF36AA" w:rsidRPr="007D19BD">
        <w:rPr>
          <w:rFonts w:ascii="Calibri" w:hAnsi="Calibri" w:cs="Calibri"/>
          <w:highlight w:val="yellow"/>
        </w:rPr>
        <w:t>free PCR tube. At this point, the samples can be safely frozen at -20</w:t>
      </w:r>
      <w:r w:rsidR="00585D07" w:rsidRPr="007D19BD">
        <w:rPr>
          <w:rFonts w:ascii="Calibri" w:hAnsi="Calibri" w:cs="Calibri"/>
          <w:highlight w:val="yellow"/>
        </w:rPr>
        <w:t> </w:t>
      </w:r>
      <w:r w:rsidR="00BF36AA" w:rsidRPr="007D19BD">
        <w:rPr>
          <w:rFonts w:ascii="Calibri" w:hAnsi="Calibri" w:cs="Calibri"/>
          <w:highlight w:val="yellow"/>
        </w:rPr>
        <w:t>°C overnight if needed. </w:t>
      </w:r>
    </w:p>
    <w:p w14:paraId="5932050F" w14:textId="77777777" w:rsidR="0069329A" w:rsidRPr="007D19BD" w:rsidRDefault="0069329A" w:rsidP="00602F80">
      <w:pPr>
        <w:pStyle w:val="ListParagraph"/>
        <w:ind w:left="0"/>
        <w:jc w:val="both"/>
        <w:rPr>
          <w:rFonts w:ascii="Calibri" w:hAnsi="Calibri" w:cs="Calibri"/>
          <w:highlight w:val="yellow"/>
        </w:rPr>
      </w:pPr>
    </w:p>
    <w:p w14:paraId="527B6EEE" w14:textId="76A4E56D" w:rsidR="00E117A8"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3.5. </w:t>
      </w:r>
      <w:r w:rsidR="00BF36AA" w:rsidRPr="007D19BD">
        <w:rPr>
          <w:rFonts w:ascii="Calibri" w:hAnsi="Calibri" w:cs="Calibri"/>
          <w:highlight w:val="yellow"/>
        </w:rPr>
        <w:t xml:space="preserve">cDNA library end preparation: </w:t>
      </w:r>
      <w:r w:rsidR="00E117A8" w:rsidRPr="007D19BD">
        <w:rPr>
          <w:rFonts w:ascii="Calibri" w:hAnsi="Calibri" w:cs="Calibri"/>
          <w:highlight w:val="yellow"/>
        </w:rPr>
        <w:t xml:space="preserve">If the sample was stored at -20 °C overnight, thaw on ice prior to restarting. </w:t>
      </w:r>
      <w:r w:rsidR="00BF36AA" w:rsidRPr="007D19BD">
        <w:rPr>
          <w:rFonts w:ascii="Calibri" w:hAnsi="Calibri" w:cs="Calibri"/>
          <w:highlight w:val="yellow"/>
        </w:rPr>
        <w:t>Pipette mix the purified ds-cDNA (50</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with 7</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end-prep reaction buffer and 3</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 end</w:t>
      </w:r>
      <w:r w:rsidR="00585D07" w:rsidRPr="007D19BD">
        <w:rPr>
          <w:rFonts w:ascii="Calibri" w:hAnsi="Calibri" w:cs="Calibri"/>
          <w:highlight w:val="yellow"/>
        </w:rPr>
        <w:t>-</w:t>
      </w:r>
      <w:r w:rsidR="00BF36AA" w:rsidRPr="007D19BD">
        <w:rPr>
          <w:rFonts w:ascii="Calibri" w:hAnsi="Calibri" w:cs="Calibri"/>
          <w:highlight w:val="yellow"/>
        </w:rPr>
        <w:t xml:space="preserve">prep enzyme mix. </w:t>
      </w:r>
    </w:p>
    <w:p w14:paraId="724D644A" w14:textId="77777777" w:rsidR="0069329A" w:rsidRPr="007D19BD" w:rsidRDefault="0069329A" w:rsidP="00602F80">
      <w:pPr>
        <w:pStyle w:val="ListParagraph"/>
        <w:ind w:left="0"/>
        <w:jc w:val="both"/>
        <w:rPr>
          <w:rFonts w:ascii="Calibri" w:hAnsi="Calibri" w:cs="Calibri"/>
          <w:highlight w:val="yellow"/>
        </w:rPr>
      </w:pPr>
    </w:p>
    <w:p w14:paraId="374FED38" w14:textId="477B17DE"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3.6. </w:t>
      </w:r>
      <w:r w:rsidR="00BF36AA" w:rsidRPr="007D19BD">
        <w:rPr>
          <w:rFonts w:ascii="Calibri" w:hAnsi="Calibri" w:cs="Calibri"/>
          <w:highlight w:val="yellow"/>
        </w:rPr>
        <w:t>In a thermocycler, incubate the samples at 20</w:t>
      </w:r>
      <w:r w:rsidR="00585D07" w:rsidRPr="007D19BD">
        <w:rPr>
          <w:rFonts w:ascii="Calibri" w:hAnsi="Calibri" w:cs="Calibri"/>
          <w:highlight w:val="yellow"/>
        </w:rPr>
        <w:t> </w:t>
      </w:r>
      <w:r w:rsidR="00BF36AA" w:rsidRPr="007D19BD">
        <w:rPr>
          <w:rFonts w:ascii="Calibri" w:hAnsi="Calibri" w:cs="Calibri"/>
          <w:highlight w:val="yellow"/>
        </w:rPr>
        <w:t>°C for 30</w:t>
      </w:r>
      <w:r w:rsidR="00585D07" w:rsidRPr="007D19BD">
        <w:rPr>
          <w:rFonts w:ascii="Calibri" w:hAnsi="Calibri" w:cs="Calibri"/>
          <w:highlight w:val="yellow"/>
        </w:rPr>
        <w:t> </w:t>
      </w:r>
      <w:r w:rsidR="00BF36AA" w:rsidRPr="007D19BD">
        <w:rPr>
          <w:rFonts w:ascii="Calibri" w:hAnsi="Calibri" w:cs="Calibri"/>
          <w:highlight w:val="yellow"/>
        </w:rPr>
        <w:t>min, and 65</w:t>
      </w:r>
      <w:r w:rsidR="00585D07" w:rsidRPr="007D19BD">
        <w:rPr>
          <w:rFonts w:ascii="Calibri" w:hAnsi="Calibri" w:cs="Calibri"/>
          <w:highlight w:val="yellow"/>
        </w:rPr>
        <w:t> </w:t>
      </w:r>
      <w:r w:rsidR="00BF36AA" w:rsidRPr="007D19BD">
        <w:rPr>
          <w:rFonts w:ascii="Calibri" w:hAnsi="Calibri" w:cs="Calibri"/>
          <w:highlight w:val="yellow"/>
        </w:rPr>
        <w:t>°C for 30</w:t>
      </w:r>
      <w:r w:rsidR="00585D07" w:rsidRPr="007D19BD">
        <w:rPr>
          <w:rFonts w:ascii="Calibri" w:hAnsi="Calibri" w:cs="Calibri"/>
          <w:highlight w:val="yellow"/>
        </w:rPr>
        <w:t> </w:t>
      </w:r>
      <w:r w:rsidR="00BF36AA" w:rsidRPr="007D19BD">
        <w:rPr>
          <w:rFonts w:ascii="Calibri" w:hAnsi="Calibri" w:cs="Calibri"/>
          <w:highlight w:val="yellow"/>
        </w:rPr>
        <w:t>min, with the heated lid turned off.</w:t>
      </w:r>
    </w:p>
    <w:p w14:paraId="2CE4C907" w14:textId="77777777" w:rsidR="0069329A" w:rsidRPr="007D19BD" w:rsidRDefault="0069329A" w:rsidP="00602F80">
      <w:pPr>
        <w:pStyle w:val="ListParagraph"/>
        <w:ind w:left="0"/>
        <w:jc w:val="both"/>
        <w:rPr>
          <w:rFonts w:ascii="Calibri" w:hAnsi="Calibri" w:cs="Calibri"/>
          <w:highlight w:val="yellow"/>
        </w:rPr>
      </w:pPr>
    </w:p>
    <w:p w14:paraId="5FDDD41F" w14:textId="511E7DDB" w:rsidR="00E117A8"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3.7. </w:t>
      </w:r>
      <w:r w:rsidR="00DB19D8" w:rsidRPr="007D19BD">
        <w:rPr>
          <w:rFonts w:ascii="Calibri" w:hAnsi="Calibri" w:cs="Calibri"/>
          <w:highlight w:val="yellow"/>
        </w:rPr>
        <w:t>Adapter</w:t>
      </w:r>
      <w:r w:rsidR="00BF36AA" w:rsidRPr="007D19BD">
        <w:rPr>
          <w:rFonts w:ascii="Calibri" w:hAnsi="Calibri" w:cs="Calibri"/>
          <w:highlight w:val="yellow"/>
        </w:rPr>
        <w:t xml:space="preserve"> ligation</w:t>
      </w:r>
      <w:r w:rsidR="00DA3F2F" w:rsidRPr="007D19BD">
        <w:rPr>
          <w:rFonts w:ascii="Calibri" w:hAnsi="Calibri" w:cs="Calibri"/>
          <w:highlight w:val="yellow"/>
        </w:rPr>
        <w:t xml:space="preserve"> (perform this step on ice)</w:t>
      </w:r>
      <w:r w:rsidR="00BF36AA" w:rsidRPr="007D19BD">
        <w:rPr>
          <w:rFonts w:ascii="Calibri" w:hAnsi="Calibri" w:cs="Calibri"/>
          <w:highlight w:val="yellow"/>
        </w:rPr>
        <w:t xml:space="preserve">: Create a 1:100 dilution of </w:t>
      </w:r>
      <w:r w:rsidR="00DB19D8" w:rsidRPr="007D19BD">
        <w:rPr>
          <w:rFonts w:ascii="Calibri" w:hAnsi="Calibri" w:cs="Calibri"/>
          <w:highlight w:val="yellow"/>
        </w:rPr>
        <w:t>adapter</w:t>
      </w:r>
      <w:r w:rsidR="00BF36AA" w:rsidRPr="007D19BD">
        <w:rPr>
          <w:rFonts w:ascii="Calibri" w:hAnsi="Calibri" w:cs="Calibri"/>
          <w:highlight w:val="yellow"/>
        </w:rPr>
        <w:t xml:space="preserve"> in nuclease</w:t>
      </w:r>
      <w:r w:rsidR="00585D07" w:rsidRPr="007D19BD">
        <w:rPr>
          <w:rFonts w:ascii="Calibri" w:hAnsi="Calibri" w:cs="Calibri"/>
          <w:highlight w:val="yellow"/>
        </w:rPr>
        <w:t>-</w:t>
      </w:r>
      <w:r w:rsidR="00BF36AA" w:rsidRPr="007D19BD">
        <w:rPr>
          <w:rFonts w:ascii="Calibri" w:hAnsi="Calibri" w:cs="Calibri"/>
          <w:highlight w:val="yellow"/>
        </w:rPr>
        <w:t xml:space="preserve">free water. Pipette </w:t>
      </w:r>
      <w:r w:rsidR="00834289" w:rsidRPr="007D19BD">
        <w:rPr>
          <w:rFonts w:ascii="Calibri" w:hAnsi="Calibri" w:cs="Calibri"/>
          <w:highlight w:val="yellow"/>
        </w:rPr>
        <w:t>the end-preparation reaction mixture (60 µL) into a tube containing</w:t>
      </w:r>
      <w:r w:rsidR="00BF36AA" w:rsidRPr="007D19BD">
        <w:rPr>
          <w:rFonts w:ascii="Calibri" w:hAnsi="Calibri" w:cs="Calibri"/>
          <w:highlight w:val="yellow"/>
        </w:rPr>
        <w:t xml:space="preserve"> 30</w:t>
      </w:r>
      <w:r w:rsidR="00585D07" w:rsidRPr="007D19BD">
        <w:rPr>
          <w:rFonts w:ascii="Calibri" w:hAnsi="Calibri" w:cs="Calibri"/>
          <w:highlight w:val="yellow"/>
        </w:rPr>
        <w:t> </w:t>
      </w:r>
      <w:r w:rsidR="00323C1C" w:rsidRPr="007D19BD">
        <w:rPr>
          <w:rFonts w:ascii="Calibri" w:hAnsi="Calibri" w:cs="Calibri"/>
          <w:highlight w:val="yellow"/>
        </w:rPr>
        <w:t>µL</w:t>
      </w:r>
      <w:r w:rsidR="00585D07" w:rsidRPr="007D19BD">
        <w:rPr>
          <w:rFonts w:ascii="Calibri" w:hAnsi="Calibri" w:cs="Calibri"/>
          <w:highlight w:val="yellow"/>
        </w:rPr>
        <w:t xml:space="preserve"> </w:t>
      </w:r>
      <w:r w:rsidR="00BF36AA" w:rsidRPr="007D19BD">
        <w:rPr>
          <w:rFonts w:ascii="Calibri" w:hAnsi="Calibri" w:cs="Calibri"/>
          <w:highlight w:val="yellow"/>
        </w:rPr>
        <w:t>ligation master mix, 1</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ligation enhancer, and 2.5</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1:100 diluted </w:t>
      </w:r>
      <w:r w:rsidR="00DB19D8" w:rsidRPr="007D19BD">
        <w:rPr>
          <w:rFonts w:ascii="Calibri" w:hAnsi="Calibri" w:cs="Calibri"/>
          <w:highlight w:val="yellow"/>
        </w:rPr>
        <w:t>adapter</w:t>
      </w:r>
      <w:r w:rsidR="00BF36AA" w:rsidRPr="007D19BD">
        <w:rPr>
          <w:rFonts w:ascii="Calibri" w:hAnsi="Calibri" w:cs="Calibri"/>
          <w:highlight w:val="yellow"/>
        </w:rPr>
        <w:t xml:space="preserve">. Ensure </w:t>
      </w:r>
      <w:r w:rsidR="00525542" w:rsidRPr="007D19BD">
        <w:rPr>
          <w:rFonts w:ascii="Calibri" w:hAnsi="Calibri" w:cs="Calibri"/>
          <w:highlight w:val="yellow"/>
        </w:rPr>
        <w:t>the adapter is added separately (e.g., not premixed with the ligation master mix or ligation enhancer) to avoid adapter dimer formation</w:t>
      </w:r>
      <w:r w:rsidR="00BF36AA" w:rsidRPr="007D19BD">
        <w:rPr>
          <w:rFonts w:ascii="Calibri" w:hAnsi="Calibri" w:cs="Calibri"/>
          <w:highlight w:val="yellow"/>
        </w:rPr>
        <w:t xml:space="preserve">. </w:t>
      </w:r>
    </w:p>
    <w:p w14:paraId="50422717" w14:textId="77777777" w:rsidR="0069329A" w:rsidRPr="007D19BD" w:rsidRDefault="0069329A" w:rsidP="00602F80">
      <w:pPr>
        <w:pStyle w:val="ListParagraph"/>
        <w:ind w:left="0"/>
        <w:jc w:val="both"/>
        <w:rPr>
          <w:rFonts w:ascii="Calibri" w:hAnsi="Calibri" w:cs="Calibri"/>
          <w:highlight w:val="yellow"/>
        </w:rPr>
      </w:pPr>
    </w:p>
    <w:p w14:paraId="39700EBB" w14:textId="3332CF00" w:rsidR="00E117A8"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3.8. </w:t>
      </w:r>
      <w:r w:rsidR="00BF36AA" w:rsidRPr="007D19BD">
        <w:rPr>
          <w:rFonts w:ascii="Calibri" w:hAnsi="Calibri" w:cs="Calibri"/>
          <w:highlight w:val="yellow"/>
        </w:rPr>
        <w:t>In a thermocycler, incubate the samples at 20</w:t>
      </w:r>
      <w:r w:rsidR="00585D07" w:rsidRPr="007D19BD">
        <w:rPr>
          <w:rFonts w:ascii="Calibri" w:hAnsi="Calibri" w:cs="Calibri"/>
          <w:highlight w:val="yellow"/>
        </w:rPr>
        <w:t> </w:t>
      </w:r>
      <w:r w:rsidR="00BF36AA" w:rsidRPr="007D19BD">
        <w:rPr>
          <w:rFonts w:ascii="Calibri" w:hAnsi="Calibri" w:cs="Calibri"/>
          <w:highlight w:val="yellow"/>
        </w:rPr>
        <w:t>°C for 15</w:t>
      </w:r>
      <w:r w:rsidR="00585D07" w:rsidRPr="007D19BD">
        <w:rPr>
          <w:rFonts w:ascii="Calibri" w:hAnsi="Calibri" w:cs="Calibri"/>
          <w:highlight w:val="yellow"/>
        </w:rPr>
        <w:t> </w:t>
      </w:r>
      <w:r w:rsidR="00BF36AA" w:rsidRPr="007D19BD">
        <w:rPr>
          <w:rFonts w:ascii="Calibri" w:hAnsi="Calibri" w:cs="Calibri"/>
          <w:highlight w:val="yellow"/>
        </w:rPr>
        <w:t>min, with the heated lid turned off.</w:t>
      </w:r>
    </w:p>
    <w:p w14:paraId="1F5ECBCB" w14:textId="77777777" w:rsidR="0069329A" w:rsidRPr="007D19BD" w:rsidRDefault="0069329A" w:rsidP="00602F80">
      <w:pPr>
        <w:pStyle w:val="ListParagraph"/>
        <w:ind w:left="0"/>
        <w:jc w:val="both"/>
        <w:rPr>
          <w:rFonts w:ascii="Calibri" w:hAnsi="Calibri" w:cs="Calibri"/>
          <w:highlight w:val="yellow"/>
        </w:rPr>
      </w:pPr>
    </w:p>
    <w:p w14:paraId="14104E2F" w14:textId="49EE072D" w:rsidR="0069329A"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3.9. </w:t>
      </w:r>
      <w:r w:rsidR="00BF36AA" w:rsidRPr="007D19BD">
        <w:rPr>
          <w:rFonts w:ascii="Calibri" w:hAnsi="Calibri" w:cs="Calibri"/>
          <w:highlight w:val="yellow"/>
        </w:rPr>
        <w:t>Proceed immediately to magnetic bead purification (</w:t>
      </w:r>
      <w:r w:rsidR="00DB19D8" w:rsidRPr="007D19BD">
        <w:rPr>
          <w:rFonts w:ascii="Calibri" w:hAnsi="Calibri" w:cs="Calibri"/>
          <w:b/>
          <w:bCs/>
          <w:highlight w:val="yellow"/>
        </w:rPr>
        <w:t>S</w:t>
      </w:r>
      <w:r w:rsidR="00BF36AA" w:rsidRPr="007D19BD">
        <w:rPr>
          <w:rFonts w:ascii="Calibri" w:hAnsi="Calibri" w:cs="Calibri"/>
          <w:b/>
          <w:bCs/>
          <w:highlight w:val="yellow"/>
        </w:rPr>
        <w:t>upplementa</w:t>
      </w:r>
      <w:r w:rsidR="00A66437" w:rsidRPr="007D19BD">
        <w:rPr>
          <w:rFonts w:ascii="Calibri" w:hAnsi="Calibri" w:cs="Calibri"/>
          <w:b/>
          <w:bCs/>
          <w:highlight w:val="yellow"/>
        </w:rPr>
        <w:t>ry</w:t>
      </w:r>
      <w:r w:rsidR="00BF36AA" w:rsidRPr="007D19BD">
        <w:rPr>
          <w:rFonts w:ascii="Calibri" w:hAnsi="Calibri" w:cs="Calibri"/>
          <w:b/>
          <w:bCs/>
          <w:highlight w:val="yellow"/>
        </w:rPr>
        <w:t xml:space="preserve"> </w:t>
      </w:r>
      <w:r w:rsidR="00DB19D8" w:rsidRPr="007D19BD">
        <w:rPr>
          <w:rFonts w:ascii="Calibri" w:hAnsi="Calibri" w:cs="Calibri"/>
          <w:b/>
          <w:bCs/>
          <w:highlight w:val="yellow"/>
        </w:rPr>
        <w:t>Appendix 2</w:t>
      </w:r>
      <w:r w:rsidR="00BF36AA" w:rsidRPr="007D19BD">
        <w:rPr>
          <w:rFonts w:ascii="Calibri" w:hAnsi="Calibri" w:cs="Calibri"/>
          <w:highlight w:val="yellow"/>
        </w:rPr>
        <w:t>) using a 0.9x ratio of SPRI magnetic beads (87</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w:t>
      </w:r>
    </w:p>
    <w:p w14:paraId="396B7177" w14:textId="77777777" w:rsidR="0069329A" w:rsidRPr="007D19BD" w:rsidRDefault="0069329A" w:rsidP="00602F80">
      <w:pPr>
        <w:pStyle w:val="ListParagraph"/>
        <w:ind w:left="0"/>
        <w:jc w:val="both"/>
        <w:rPr>
          <w:rFonts w:ascii="Calibri" w:hAnsi="Calibri" w:cs="Calibri"/>
          <w:highlight w:val="yellow"/>
        </w:rPr>
      </w:pPr>
    </w:p>
    <w:p w14:paraId="6CA4A9F8" w14:textId="596B44CD"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3.10. </w:t>
      </w:r>
      <w:r w:rsidR="00BF36AA" w:rsidRPr="007D19BD">
        <w:rPr>
          <w:rFonts w:ascii="Calibri" w:hAnsi="Calibri" w:cs="Calibri"/>
          <w:highlight w:val="yellow"/>
        </w:rPr>
        <w:t>Elute into 17</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nuclease</w:t>
      </w:r>
      <w:r w:rsidR="00585D07" w:rsidRPr="007D19BD">
        <w:rPr>
          <w:rFonts w:ascii="Calibri" w:hAnsi="Calibri" w:cs="Calibri"/>
          <w:highlight w:val="yellow"/>
        </w:rPr>
        <w:t>-</w:t>
      </w:r>
      <w:r w:rsidR="00BF36AA" w:rsidRPr="007D19BD">
        <w:rPr>
          <w:rFonts w:ascii="Calibri" w:hAnsi="Calibri" w:cs="Calibri"/>
          <w:highlight w:val="yellow"/>
        </w:rPr>
        <w:t>free water,</w:t>
      </w:r>
      <w:r w:rsidR="00DB19D8" w:rsidRPr="007D19BD">
        <w:rPr>
          <w:rFonts w:ascii="Calibri" w:hAnsi="Calibri" w:cs="Calibri"/>
          <w:highlight w:val="yellow"/>
        </w:rPr>
        <w:t xml:space="preserve"> and</w:t>
      </w:r>
      <w:r w:rsidR="00BF36AA" w:rsidRPr="007D19BD">
        <w:rPr>
          <w:rFonts w:ascii="Calibri" w:hAnsi="Calibri" w:cs="Calibri"/>
          <w:highlight w:val="yellow"/>
        </w:rPr>
        <w:t xml:space="preserve"> transfer 15</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of</w:t>
      </w:r>
      <w:r w:rsidR="00DB19D8" w:rsidRPr="007D19BD">
        <w:rPr>
          <w:rFonts w:ascii="Calibri" w:hAnsi="Calibri" w:cs="Calibri"/>
          <w:highlight w:val="yellow"/>
        </w:rPr>
        <w:t xml:space="preserve"> the final</w:t>
      </w:r>
      <w:r w:rsidR="00BF36AA" w:rsidRPr="007D19BD">
        <w:rPr>
          <w:rFonts w:ascii="Calibri" w:hAnsi="Calibri" w:cs="Calibri"/>
          <w:highlight w:val="yellow"/>
        </w:rPr>
        <w:t xml:space="preserve"> supernatant to a clean nuclease</w:t>
      </w:r>
      <w:r w:rsidR="00DB19D8" w:rsidRPr="007D19BD">
        <w:rPr>
          <w:rFonts w:ascii="Calibri" w:hAnsi="Calibri" w:cs="Calibri"/>
          <w:highlight w:val="yellow"/>
        </w:rPr>
        <w:t>-</w:t>
      </w:r>
      <w:r w:rsidR="00BF36AA" w:rsidRPr="007D19BD">
        <w:rPr>
          <w:rFonts w:ascii="Calibri" w:hAnsi="Calibri" w:cs="Calibri"/>
          <w:highlight w:val="yellow"/>
        </w:rPr>
        <w:t>free PCR tube</w:t>
      </w:r>
    </w:p>
    <w:p w14:paraId="51966A99" w14:textId="77777777" w:rsidR="0069329A" w:rsidRPr="007D19BD" w:rsidRDefault="0069329A" w:rsidP="00602F80">
      <w:pPr>
        <w:pStyle w:val="ListParagraph"/>
        <w:ind w:left="0"/>
        <w:jc w:val="both"/>
        <w:rPr>
          <w:rFonts w:ascii="Calibri" w:hAnsi="Calibri" w:cs="Calibri"/>
          <w:highlight w:val="yellow"/>
        </w:rPr>
      </w:pPr>
    </w:p>
    <w:p w14:paraId="344C7D88" w14:textId="1800A692" w:rsidR="00643E5F"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3.11. </w:t>
      </w:r>
      <w:r w:rsidR="00BF36AA" w:rsidRPr="007D19BD">
        <w:rPr>
          <w:rFonts w:ascii="Calibri" w:hAnsi="Calibri" w:cs="Calibri"/>
          <w:highlight w:val="yellow"/>
        </w:rPr>
        <w:t>Barcoding PCR</w:t>
      </w:r>
      <w:r w:rsidR="00E117A8" w:rsidRPr="007D19BD">
        <w:rPr>
          <w:rFonts w:ascii="Calibri" w:hAnsi="Calibri" w:cs="Calibri"/>
          <w:highlight w:val="yellow"/>
        </w:rPr>
        <w:t>:</w:t>
      </w:r>
      <w:r w:rsidR="00BF36AA" w:rsidRPr="007D19BD">
        <w:rPr>
          <w:rFonts w:ascii="Calibri" w:hAnsi="Calibri" w:cs="Calibri"/>
          <w:highlight w:val="yellow"/>
        </w:rPr>
        <w:t xml:space="preserve"> Pipette </w:t>
      </w:r>
      <w:r w:rsidR="005F25B6" w:rsidRPr="007D19BD">
        <w:rPr>
          <w:rFonts w:ascii="Calibri" w:hAnsi="Calibri" w:cs="Calibri"/>
          <w:highlight w:val="yellow"/>
        </w:rPr>
        <w:t xml:space="preserve">the purified, adapter-ligated cDNA (15 µL) into a tube </w:t>
      </w:r>
      <w:r w:rsidR="00BF36AA" w:rsidRPr="007D19BD">
        <w:rPr>
          <w:rFonts w:ascii="Calibri" w:hAnsi="Calibri" w:cs="Calibri"/>
          <w:highlight w:val="yellow"/>
        </w:rPr>
        <w:t>with 3</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USER enzyme, 25</w:t>
      </w:r>
      <w:r w:rsidR="00585D07"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Q5 Master Mix, and</w:t>
      </w:r>
      <w:r w:rsidR="00585D07" w:rsidRPr="007D19BD">
        <w:rPr>
          <w:rFonts w:ascii="Calibri" w:hAnsi="Calibri" w:cs="Calibri"/>
          <w:highlight w:val="yellow"/>
        </w:rPr>
        <w:t> </w:t>
      </w:r>
      <w:r w:rsidR="00BF36AA" w:rsidRPr="007D19BD">
        <w:rPr>
          <w:rFonts w:ascii="Calibri" w:hAnsi="Calibri" w:cs="Calibri"/>
          <w:highlight w:val="yellow"/>
        </w:rPr>
        <w:t>10</w:t>
      </w:r>
      <w:r w:rsidR="00323C1C" w:rsidRPr="007D19BD">
        <w:rPr>
          <w:rFonts w:ascii="Calibri" w:hAnsi="Calibri" w:cs="Calibri"/>
          <w:highlight w:val="yellow"/>
        </w:rPr>
        <w:t> µL</w:t>
      </w:r>
      <w:r w:rsidR="00BF36AA" w:rsidRPr="007D19BD">
        <w:rPr>
          <w:rFonts w:ascii="Calibri" w:hAnsi="Calibri" w:cs="Calibri"/>
          <w:highlight w:val="yellow"/>
        </w:rPr>
        <w:t xml:space="preserve"> unique barcoded primers. In a thermocycler, set the heated lid to 105</w:t>
      </w:r>
      <w:r w:rsidR="00585D07" w:rsidRPr="007D19BD">
        <w:rPr>
          <w:rFonts w:ascii="Calibri" w:hAnsi="Calibri" w:cs="Calibri"/>
          <w:highlight w:val="yellow"/>
        </w:rPr>
        <w:t> </w:t>
      </w:r>
      <w:r w:rsidR="00BF36AA" w:rsidRPr="007D19BD">
        <w:rPr>
          <w:rFonts w:ascii="Calibri" w:hAnsi="Calibri" w:cs="Calibri"/>
          <w:highlight w:val="yellow"/>
        </w:rPr>
        <w:t>°C</w:t>
      </w:r>
      <w:r w:rsidR="005F25B6" w:rsidRPr="007D19BD">
        <w:rPr>
          <w:rFonts w:ascii="Calibri" w:hAnsi="Calibri" w:cs="Calibri"/>
          <w:highlight w:val="yellow"/>
        </w:rPr>
        <w:t xml:space="preserve">, incubate the samples at 37 °C for 15 min, then 98 °C for 30 s, and then perform </w:t>
      </w:r>
      <w:r w:rsidR="00BF36AA" w:rsidRPr="007D19BD">
        <w:rPr>
          <w:rFonts w:ascii="Calibri" w:hAnsi="Calibri" w:cs="Calibri"/>
          <w:highlight w:val="yellow"/>
        </w:rPr>
        <w:t>19 cycles of 98</w:t>
      </w:r>
      <w:r w:rsidR="00585D07" w:rsidRPr="007D19BD">
        <w:rPr>
          <w:rFonts w:ascii="Calibri" w:hAnsi="Calibri" w:cs="Calibri"/>
          <w:highlight w:val="yellow"/>
        </w:rPr>
        <w:t> </w:t>
      </w:r>
      <w:r w:rsidR="00BF36AA" w:rsidRPr="007D19BD">
        <w:rPr>
          <w:rFonts w:ascii="Calibri" w:hAnsi="Calibri" w:cs="Calibri"/>
          <w:highlight w:val="yellow"/>
        </w:rPr>
        <w:t>°C for 10</w:t>
      </w:r>
      <w:r w:rsidR="00585D07" w:rsidRPr="007D19BD">
        <w:rPr>
          <w:rFonts w:ascii="Calibri" w:hAnsi="Calibri" w:cs="Calibri"/>
          <w:highlight w:val="yellow"/>
        </w:rPr>
        <w:t> </w:t>
      </w:r>
      <w:r w:rsidR="00BF36AA" w:rsidRPr="007D19BD">
        <w:rPr>
          <w:rFonts w:ascii="Calibri" w:hAnsi="Calibri" w:cs="Calibri"/>
          <w:highlight w:val="yellow"/>
        </w:rPr>
        <w:t>s and 65</w:t>
      </w:r>
      <w:r w:rsidR="00585D07" w:rsidRPr="007D19BD">
        <w:rPr>
          <w:rFonts w:ascii="Calibri" w:hAnsi="Calibri" w:cs="Calibri"/>
          <w:highlight w:val="yellow"/>
        </w:rPr>
        <w:t> </w:t>
      </w:r>
      <w:r w:rsidR="00BF36AA" w:rsidRPr="007D19BD">
        <w:rPr>
          <w:rFonts w:ascii="Calibri" w:hAnsi="Calibri" w:cs="Calibri"/>
          <w:highlight w:val="yellow"/>
        </w:rPr>
        <w:t>°C for 75</w:t>
      </w:r>
      <w:r w:rsidR="00585D07" w:rsidRPr="007D19BD">
        <w:rPr>
          <w:rFonts w:ascii="Calibri" w:hAnsi="Calibri" w:cs="Calibri"/>
          <w:highlight w:val="yellow"/>
        </w:rPr>
        <w:t> </w:t>
      </w:r>
      <w:r w:rsidR="00BF36AA" w:rsidRPr="007D19BD">
        <w:rPr>
          <w:rFonts w:ascii="Calibri" w:hAnsi="Calibri" w:cs="Calibri"/>
          <w:highlight w:val="yellow"/>
        </w:rPr>
        <w:t>s. Finish the PCR by incubating at 65</w:t>
      </w:r>
      <w:r w:rsidR="00585D07" w:rsidRPr="007D19BD">
        <w:rPr>
          <w:rFonts w:ascii="Calibri" w:hAnsi="Calibri" w:cs="Calibri"/>
          <w:highlight w:val="yellow"/>
        </w:rPr>
        <w:t> </w:t>
      </w:r>
      <w:r w:rsidR="00BF36AA" w:rsidRPr="007D19BD">
        <w:rPr>
          <w:rFonts w:ascii="Calibri" w:hAnsi="Calibri" w:cs="Calibri"/>
          <w:highlight w:val="yellow"/>
        </w:rPr>
        <w:t>°C for 5</w:t>
      </w:r>
      <w:r w:rsidR="00585D07" w:rsidRPr="007D19BD">
        <w:rPr>
          <w:rFonts w:ascii="Calibri" w:hAnsi="Calibri" w:cs="Calibri"/>
          <w:highlight w:val="yellow"/>
        </w:rPr>
        <w:t> </w:t>
      </w:r>
      <w:r w:rsidR="00BF36AA" w:rsidRPr="007D19BD">
        <w:rPr>
          <w:rFonts w:ascii="Calibri" w:hAnsi="Calibri" w:cs="Calibri"/>
          <w:highlight w:val="yellow"/>
        </w:rPr>
        <w:t>min.</w:t>
      </w:r>
    </w:p>
    <w:p w14:paraId="08CD3329" w14:textId="77777777" w:rsidR="0069329A" w:rsidRPr="007D19BD" w:rsidRDefault="0069329A" w:rsidP="00602F80">
      <w:pPr>
        <w:pStyle w:val="ListParagraph"/>
        <w:ind w:left="0"/>
        <w:jc w:val="both"/>
        <w:rPr>
          <w:rFonts w:ascii="Calibri" w:hAnsi="Calibri" w:cs="Calibri"/>
          <w:highlight w:val="yellow"/>
        </w:rPr>
      </w:pPr>
    </w:p>
    <w:p w14:paraId="397FC70B" w14:textId="3E759208" w:rsidR="00BF36AA" w:rsidRPr="007D19BD" w:rsidRDefault="0069329A" w:rsidP="00602F80">
      <w:pPr>
        <w:pStyle w:val="ListParagraph"/>
        <w:ind w:left="0"/>
        <w:jc w:val="both"/>
        <w:rPr>
          <w:rFonts w:ascii="Calibri" w:hAnsi="Calibri" w:cs="Calibri"/>
          <w:highlight w:val="yellow"/>
        </w:rPr>
      </w:pPr>
      <w:r w:rsidRPr="007D19BD">
        <w:rPr>
          <w:rFonts w:ascii="Calibri" w:hAnsi="Calibri" w:cs="Calibri"/>
          <w:highlight w:val="yellow"/>
        </w:rPr>
        <w:t xml:space="preserve">3.12. </w:t>
      </w:r>
      <w:r w:rsidR="00BF36AA" w:rsidRPr="007D19BD">
        <w:rPr>
          <w:rFonts w:ascii="Calibri" w:hAnsi="Calibri" w:cs="Calibri"/>
          <w:highlight w:val="yellow"/>
        </w:rPr>
        <w:t>Perform a final magnetic bead purification using a 0.8x ratio of magnetic beads (43</w:t>
      </w:r>
      <w:r w:rsidR="000B52FB"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Elute into 23</w:t>
      </w:r>
      <w:r w:rsidR="000B52FB"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nuclease</w:t>
      </w:r>
      <w:r w:rsidR="000B52FB" w:rsidRPr="007D19BD">
        <w:rPr>
          <w:rFonts w:ascii="Calibri" w:hAnsi="Calibri" w:cs="Calibri"/>
          <w:highlight w:val="yellow"/>
        </w:rPr>
        <w:t>-</w:t>
      </w:r>
      <w:r w:rsidR="00BF36AA" w:rsidRPr="007D19BD">
        <w:rPr>
          <w:rFonts w:ascii="Calibri" w:hAnsi="Calibri" w:cs="Calibri"/>
          <w:highlight w:val="yellow"/>
        </w:rPr>
        <w:t>free water, and following the final bead separation step, transfer 20</w:t>
      </w:r>
      <w:r w:rsidR="000B52FB" w:rsidRPr="007D19BD">
        <w:rPr>
          <w:rFonts w:ascii="Calibri" w:hAnsi="Calibri" w:cs="Calibri"/>
          <w:highlight w:val="yellow"/>
        </w:rPr>
        <w:t> </w:t>
      </w:r>
      <w:r w:rsidR="00323C1C" w:rsidRPr="007D19BD">
        <w:rPr>
          <w:rFonts w:ascii="Calibri" w:hAnsi="Calibri" w:cs="Calibri"/>
          <w:highlight w:val="yellow"/>
        </w:rPr>
        <w:t>µL</w:t>
      </w:r>
      <w:r w:rsidR="00BF36AA" w:rsidRPr="007D19BD">
        <w:rPr>
          <w:rFonts w:ascii="Calibri" w:hAnsi="Calibri" w:cs="Calibri"/>
          <w:highlight w:val="yellow"/>
        </w:rPr>
        <w:t xml:space="preserve"> to a clean nuclease</w:t>
      </w:r>
      <w:r w:rsidR="000B52FB" w:rsidRPr="007D19BD">
        <w:rPr>
          <w:rFonts w:ascii="Calibri" w:hAnsi="Calibri" w:cs="Calibri"/>
          <w:highlight w:val="yellow"/>
        </w:rPr>
        <w:t>-</w:t>
      </w:r>
      <w:r w:rsidR="00BF36AA" w:rsidRPr="007D19BD">
        <w:rPr>
          <w:rFonts w:ascii="Calibri" w:hAnsi="Calibri" w:cs="Calibri"/>
          <w:highlight w:val="yellow"/>
        </w:rPr>
        <w:t>free PCR tube. At this point, the samples can be safely frozen at -20</w:t>
      </w:r>
      <w:r w:rsidR="000B52FB" w:rsidRPr="007D19BD">
        <w:rPr>
          <w:rFonts w:ascii="Calibri" w:hAnsi="Calibri" w:cs="Calibri"/>
          <w:highlight w:val="yellow"/>
        </w:rPr>
        <w:t> </w:t>
      </w:r>
      <w:r w:rsidR="00BF36AA" w:rsidRPr="007D19BD">
        <w:rPr>
          <w:rFonts w:ascii="Calibri" w:hAnsi="Calibri" w:cs="Calibri"/>
          <w:highlight w:val="yellow"/>
        </w:rPr>
        <w:t>°C overnight if needed. </w:t>
      </w:r>
    </w:p>
    <w:p w14:paraId="4C20D3E8" w14:textId="77777777" w:rsidR="0069329A" w:rsidRPr="007D19BD" w:rsidRDefault="0069329A" w:rsidP="00602F80">
      <w:pPr>
        <w:pStyle w:val="ListParagraph"/>
        <w:ind w:left="0"/>
        <w:jc w:val="both"/>
        <w:rPr>
          <w:rFonts w:ascii="Calibri" w:hAnsi="Calibri" w:cs="Calibri"/>
          <w:highlight w:val="yellow"/>
        </w:rPr>
      </w:pPr>
    </w:p>
    <w:p w14:paraId="04EB91D9" w14:textId="7AC3F5BE" w:rsidR="00524632" w:rsidRPr="00DB1AFF" w:rsidRDefault="00BF36AA" w:rsidP="00602F80">
      <w:pPr>
        <w:pStyle w:val="ListParagraph"/>
        <w:numPr>
          <w:ilvl w:val="0"/>
          <w:numId w:val="1"/>
        </w:numPr>
        <w:ind w:left="0" w:firstLine="0"/>
        <w:jc w:val="both"/>
        <w:rPr>
          <w:rFonts w:ascii="Calibri" w:hAnsi="Calibri" w:cs="Calibri"/>
          <w:b/>
          <w:bCs/>
        </w:rPr>
      </w:pPr>
      <w:r w:rsidRPr="00DB1AFF">
        <w:rPr>
          <w:rFonts w:ascii="Calibri" w:hAnsi="Calibri" w:cs="Calibri"/>
          <w:b/>
          <w:bCs/>
        </w:rPr>
        <w:t xml:space="preserve">CSF DNA </w:t>
      </w:r>
      <w:r w:rsidR="000535CF" w:rsidRPr="00DB1AFF">
        <w:rPr>
          <w:rFonts w:ascii="Calibri" w:hAnsi="Calibri" w:cs="Calibri"/>
          <w:b/>
          <w:bCs/>
        </w:rPr>
        <w:t xml:space="preserve">library preparation </w:t>
      </w:r>
    </w:p>
    <w:p w14:paraId="1700BFC4" w14:textId="77777777" w:rsidR="00524632" w:rsidRPr="00DB1AFF" w:rsidRDefault="00524632" w:rsidP="00602F80">
      <w:pPr>
        <w:pStyle w:val="ListParagraph"/>
        <w:ind w:left="0"/>
        <w:jc w:val="both"/>
        <w:rPr>
          <w:rFonts w:ascii="Calibri" w:hAnsi="Calibri" w:cs="Calibri"/>
        </w:rPr>
      </w:pPr>
    </w:p>
    <w:p w14:paraId="1B5AA202" w14:textId="47A35C74" w:rsidR="00643E5F" w:rsidRPr="00DB1AFF" w:rsidRDefault="00B64A9D" w:rsidP="00602F80">
      <w:pPr>
        <w:pStyle w:val="ListParagraph"/>
        <w:ind w:left="0"/>
        <w:jc w:val="both"/>
        <w:rPr>
          <w:rFonts w:ascii="Calibri" w:hAnsi="Calibri" w:cs="Calibri"/>
        </w:rPr>
      </w:pPr>
      <w:r w:rsidRPr="00DB1AFF">
        <w:rPr>
          <w:rFonts w:ascii="Calibri" w:hAnsi="Calibri" w:cs="Calibri"/>
        </w:rPr>
        <w:t xml:space="preserve">CAUTION: </w:t>
      </w:r>
      <w:r w:rsidR="003D081D" w:rsidRPr="00DB1AFF">
        <w:rPr>
          <w:rFonts w:ascii="Calibri" w:hAnsi="Calibri" w:cs="Calibri"/>
        </w:rPr>
        <w:t>Perform</w:t>
      </w:r>
      <w:r w:rsidRPr="00DB1AFF">
        <w:rPr>
          <w:rFonts w:ascii="Calibri" w:hAnsi="Calibri" w:cs="Calibri"/>
        </w:rPr>
        <w:t xml:space="preserve"> in an appropriate biosafety level cabinet with gloves and </w:t>
      </w:r>
      <w:r w:rsidR="000535CF" w:rsidRPr="00DB1AFF">
        <w:rPr>
          <w:rFonts w:ascii="Calibri" w:hAnsi="Calibri" w:cs="Calibri"/>
        </w:rPr>
        <w:t xml:space="preserve">a </w:t>
      </w:r>
      <w:r w:rsidRPr="00DB1AFF">
        <w:rPr>
          <w:rFonts w:ascii="Calibri" w:hAnsi="Calibri" w:cs="Calibri"/>
        </w:rPr>
        <w:t xml:space="preserve">laboratory coat. Reagents are harmful if swallowed, inhaled, or </w:t>
      </w:r>
      <w:proofErr w:type="gramStart"/>
      <w:r w:rsidR="000535CF" w:rsidRPr="00DB1AFF">
        <w:rPr>
          <w:rFonts w:ascii="Calibri" w:hAnsi="Calibri" w:cs="Calibri"/>
        </w:rPr>
        <w:t>come into contact with</w:t>
      </w:r>
      <w:proofErr w:type="gramEnd"/>
      <w:r w:rsidR="000535CF" w:rsidRPr="00DB1AFF">
        <w:rPr>
          <w:rFonts w:ascii="Calibri" w:hAnsi="Calibri" w:cs="Calibri"/>
        </w:rPr>
        <w:t xml:space="preserve"> </w:t>
      </w:r>
      <w:r w:rsidRPr="00DB1AFF">
        <w:rPr>
          <w:rFonts w:ascii="Calibri" w:hAnsi="Calibri" w:cs="Calibri"/>
        </w:rPr>
        <w:t>skin</w:t>
      </w:r>
      <w:r w:rsidR="000535CF" w:rsidRPr="00DB1AFF">
        <w:rPr>
          <w:rFonts w:ascii="Calibri" w:hAnsi="Calibri" w:cs="Calibri"/>
        </w:rPr>
        <w:t>.</w:t>
      </w:r>
      <w:r w:rsidR="009C2244" w:rsidRPr="00DB1AFF">
        <w:rPr>
          <w:rFonts w:ascii="Calibri" w:hAnsi="Calibri" w:cs="Calibri"/>
        </w:rPr>
        <w:t xml:space="preserve"> Dispose of used materials as hazardous chemical waste in compliance with local regulations</w:t>
      </w:r>
      <w:r w:rsidR="003D081D" w:rsidRPr="00DB1AFF">
        <w:rPr>
          <w:rFonts w:ascii="Calibri" w:hAnsi="Calibri" w:cs="Calibri"/>
        </w:rPr>
        <w:t>.</w:t>
      </w:r>
    </w:p>
    <w:p w14:paraId="07A2B531" w14:textId="77777777" w:rsidR="00524632" w:rsidRPr="00DB1AFF" w:rsidRDefault="00524632" w:rsidP="00602F80">
      <w:pPr>
        <w:pStyle w:val="ListParagraph"/>
        <w:ind w:left="0"/>
        <w:jc w:val="both"/>
        <w:rPr>
          <w:rFonts w:ascii="Calibri" w:hAnsi="Calibri" w:cs="Calibri"/>
        </w:rPr>
      </w:pPr>
    </w:p>
    <w:p w14:paraId="03AA1DD7" w14:textId="65582777" w:rsidR="00E117A8" w:rsidRPr="00DB1AFF" w:rsidRDefault="00AF67B8" w:rsidP="00602F80">
      <w:pPr>
        <w:pStyle w:val="ListParagraph"/>
        <w:ind w:left="0"/>
        <w:jc w:val="both"/>
        <w:rPr>
          <w:rFonts w:ascii="Calibri" w:hAnsi="Calibri" w:cs="Calibri"/>
        </w:rPr>
      </w:pPr>
      <w:r w:rsidRPr="00DB1AFF">
        <w:rPr>
          <w:rFonts w:ascii="Calibri" w:hAnsi="Calibri" w:cs="Calibri"/>
        </w:rPr>
        <w:t xml:space="preserve">4.1. </w:t>
      </w:r>
      <w:r w:rsidR="00E117A8" w:rsidRPr="00DB1AFF">
        <w:rPr>
          <w:rFonts w:ascii="Calibri" w:hAnsi="Calibri" w:cs="Calibri"/>
        </w:rPr>
        <w:t xml:space="preserve">If the </w:t>
      </w:r>
      <w:r w:rsidR="00191D7C" w:rsidRPr="00DB1AFF">
        <w:rPr>
          <w:rFonts w:ascii="Calibri" w:hAnsi="Calibri" w:cs="Calibri"/>
        </w:rPr>
        <w:t>extracted DNA</w:t>
      </w:r>
      <w:r w:rsidR="00E117A8" w:rsidRPr="00DB1AFF">
        <w:rPr>
          <w:rFonts w:ascii="Calibri" w:hAnsi="Calibri" w:cs="Calibri"/>
        </w:rPr>
        <w:t xml:space="preserve"> was stored at -20 °C overnight, thaw on ice prior to restarting.</w:t>
      </w:r>
    </w:p>
    <w:p w14:paraId="7859C16C" w14:textId="77777777" w:rsidR="00AF67B8" w:rsidRPr="00DB1AFF" w:rsidRDefault="00AF67B8" w:rsidP="00602F80">
      <w:pPr>
        <w:pStyle w:val="ListParagraph"/>
        <w:ind w:left="0"/>
        <w:jc w:val="both"/>
        <w:rPr>
          <w:rFonts w:ascii="Calibri" w:hAnsi="Calibri" w:cs="Calibri"/>
        </w:rPr>
      </w:pPr>
    </w:p>
    <w:p w14:paraId="1AFFBE4B" w14:textId="6748862C" w:rsidR="00E117A8" w:rsidRPr="00DB1AFF" w:rsidRDefault="00AF67B8" w:rsidP="00602F80">
      <w:pPr>
        <w:pStyle w:val="ListParagraph"/>
        <w:ind w:left="0"/>
        <w:jc w:val="both"/>
        <w:rPr>
          <w:rFonts w:ascii="Calibri" w:hAnsi="Calibri" w:cs="Calibri"/>
        </w:rPr>
      </w:pPr>
      <w:r w:rsidRPr="00DB1AFF">
        <w:rPr>
          <w:rFonts w:ascii="Calibri" w:hAnsi="Calibri" w:cs="Calibri"/>
        </w:rPr>
        <w:t xml:space="preserve">4.2. </w:t>
      </w:r>
      <w:r w:rsidR="00BF36AA" w:rsidRPr="00DB1AFF">
        <w:rPr>
          <w:rFonts w:ascii="Calibri" w:hAnsi="Calibri" w:cs="Calibri"/>
        </w:rPr>
        <w:t>DNA fragmentation and end</w:t>
      </w:r>
      <w:r w:rsidR="000B52FB" w:rsidRPr="00DB1AFF">
        <w:rPr>
          <w:rFonts w:ascii="Calibri" w:hAnsi="Calibri" w:cs="Calibri"/>
        </w:rPr>
        <w:t>-</w:t>
      </w:r>
      <w:r w:rsidR="00BF36AA" w:rsidRPr="00DB1AFF">
        <w:rPr>
          <w:rFonts w:ascii="Calibri" w:hAnsi="Calibri" w:cs="Calibri"/>
        </w:rPr>
        <w:t xml:space="preserve">preparation: </w:t>
      </w:r>
      <w:r w:rsidR="00BB4DF9" w:rsidRPr="00DB1AFF">
        <w:rPr>
          <w:rFonts w:ascii="Calibri" w:hAnsi="Calibri" w:cs="Calibri"/>
        </w:rPr>
        <w:t>M</w:t>
      </w:r>
      <w:r w:rsidR="00BF36AA" w:rsidRPr="00DB1AFF">
        <w:rPr>
          <w:rFonts w:ascii="Calibri" w:hAnsi="Calibri" w:cs="Calibri"/>
        </w:rPr>
        <w:t>ix the first</w:t>
      </w:r>
      <w:r w:rsidR="000B52FB" w:rsidRPr="00DB1AFF">
        <w:rPr>
          <w:rFonts w:ascii="Calibri" w:hAnsi="Calibri" w:cs="Calibri"/>
        </w:rPr>
        <w:t>-</w:t>
      </w:r>
      <w:r w:rsidR="00BF36AA" w:rsidRPr="00DB1AFF">
        <w:rPr>
          <w:rFonts w:ascii="Calibri" w:hAnsi="Calibri" w:cs="Calibri"/>
        </w:rPr>
        <w:t xml:space="preserve">strand reaction buffer thoroughly by </w:t>
      </w:r>
      <w:proofErr w:type="spellStart"/>
      <w:r w:rsidR="00BF36AA" w:rsidRPr="00DB1AFF">
        <w:rPr>
          <w:rFonts w:ascii="Calibri" w:hAnsi="Calibri" w:cs="Calibri"/>
        </w:rPr>
        <w:t>vortexing</w:t>
      </w:r>
      <w:proofErr w:type="spellEnd"/>
      <w:r w:rsidR="00BF36AA" w:rsidRPr="00DB1AFF">
        <w:rPr>
          <w:rFonts w:ascii="Calibri" w:hAnsi="Calibri" w:cs="Calibri"/>
        </w:rPr>
        <w:t xml:space="preserve"> and pipette mixing the solution</w:t>
      </w:r>
      <w:r w:rsidR="00DB19D8" w:rsidRPr="00DB1AFF">
        <w:rPr>
          <w:rFonts w:ascii="Calibri" w:hAnsi="Calibri" w:cs="Calibri"/>
        </w:rPr>
        <w:t xml:space="preserve"> to resuspend any precipitate. </w:t>
      </w:r>
      <w:r w:rsidR="00BF36AA" w:rsidRPr="00DB1AFF">
        <w:rPr>
          <w:rFonts w:ascii="Calibri" w:hAnsi="Calibri" w:cs="Calibri"/>
        </w:rPr>
        <w:t>Pipette mix 3.5</w:t>
      </w:r>
      <w:r w:rsidR="000B52FB" w:rsidRPr="00DB1AFF">
        <w:rPr>
          <w:rFonts w:ascii="Calibri" w:hAnsi="Calibri" w:cs="Calibri"/>
        </w:rPr>
        <w:t> </w:t>
      </w:r>
      <w:r w:rsidR="00323C1C" w:rsidRPr="00DB1AFF">
        <w:rPr>
          <w:rFonts w:ascii="Calibri" w:hAnsi="Calibri" w:cs="Calibri"/>
        </w:rPr>
        <w:t>µL</w:t>
      </w:r>
      <w:r w:rsidR="00BF36AA" w:rsidRPr="00DB1AFF">
        <w:rPr>
          <w:rFonts w:ascii="Calibri" w:hAnsi="Calibri" w:cs="Calibri"/>
        </w:rPr>
        <w:t xml:space="preserve"> </w:t>
      </w:r>
      <w:r w:rsidR="0085609D" w:rsidRPr="00DB1AFF">
        <w:rPr>
          <w:rFonts w:ascii="Calibri" w:hAnsi="Calibri" w:cs="Calibri"/>
        </w:rPr>
        <w:t xml:space="preserve">of </w:t>
      </w:r>
      <w:r w:rsidR="00BF36AA" w:rsidRPr="00DB1AFF">
        <w:rPr>
          <w:rFonts w:ascii="Calibri" w:hAnsi="Calibri" w:cs="Calibri"/>
        </w:rPr>
        <w:t>the extracted DNA, 22.5</w:t>
      </w:r>
      <w:r w:rsidR="000B52FB" w:rsidRPr="00DB1AFF">
        <w:rPr>
          <w:rFonts w:ascii="Calibri" w:hAnsi="Calibri" w:cs="Calibri"/>
        </w:rPr>
        <w:t> </w:t>
      </w:r>
      <w:r w:rsidR="00323C1C" w:rsidRPr="00DB1AFF">
        <w:rPr>
          <w:rFonts w:ascii="Calibri" w:hAnsi="Calibri" w:cs="Calibri"/>
        </w:rPr>
        <w:t>µL</w:t>
      </w:r>
      <w:r w:rsidR="00BF36AA" w:rsidRPr="00DB1AFF">
        <w:rPr>
          <w:rFonts w:ascii="Calibri" w:hAnsi="Calibri" w:cs="Calibri"/>
        </w:rPr>
        <w:t xml:space="preserve"> nuclease</w:t>
      </w:r>
      <w:r w:rsidR="000B52FB" w:rsidRPr="00DB1AFF">
        <w:rPr>
          <w:rFonts w:ascii="Calibri" w:hAnsi="Calibri" w:cs="Calibri"/>
        </w:rPr>
        <w:t>-</w:t>
      </w:r>
      <w:r w:rsidR="00BF36AA" w:rsidRPr="00DB1AFF">
        <w:rPr>
          <w:rFonts w:ascii="Calibri" w:hAnsi="Calibri" w:cs="Calibri"/>
        </w:rPr>
        <w:t>free water, 7</w:t>
      </w:r>
      <w:r w:rsidR="000B52FB" w:rsidRPr="00DB1AFF">
        <w:rPr>
          <w:rFonts w:ascii="Calibri" w:hAnsi="Calibri" w:cs="Calibri"/>
        </w:rPr>
        <w:t> </w:t>
      </w:r>
      <w:r w:rsidR="00323C1C" w:rsidRPr="00DB1AFF">
        <w:rPr>
          <w:rFonts w:ascii="Calibri" w:hAnsi="Calibri" w:cs="Calibri"/>
        </w:rPr>
        <w:t>µL</w:t>
      </w:r>
      <w:r w:rsidR="00BF36AA" w:rsidRPr="00DB1AFF">
        <w:rPr>
          <w:rFonts w:ascii="Calibri" w:hAnsi="Calibri" w:cs="Calibri"/>
        </w:rPr>
        <w:t xml:space="preserve"> first</w:t>
      </w:r>
      <w:r w:rsidR="000B52FB" w:rsidRPr="00DB1AFF">
        <w:rPr>
          <w:rFonts w:ascii="Calibri" w:hAnsi="Calibri" w:cs="Calibri"/>
        </w:rPr>
        <w:t>-</w:t>
      </w:r>
      <w:r w:rsidR="00BF36AA" w:rsidRPr="00DB1AFF">
        <w:rPr>
          <w:rFonts w:ascii="Calibri" w:hAnsi="Calibri" w:cs="Calibri"/>
        </w:rPr>
        <w:t>strand reaction buffer, and 2</w:t>
      </w:r>
      <w:r w:rsidR="000B52FB" w:rsidRPr="00DB1AFF">
        <w:rPr>
          <w:rFonts w:ascii="Calibri" w:hAnsi="Calibri" w:cs="Calibri"/>
        </w:rPr>
        <w:t> </w:t>
      </w:r>
      <w:r w:rsidR="00323C1C" w:rsidRPr="00DB1AFF">
        <w:rPr>
          <w:rFonts w:ascii="Calibri" w:hAnsi="Calibri" w:cs="Calibri"/>
        </w:rPr>
        <w:t>µL</w:t>
      </w:r>
      <w:r w:rsidR="00BF36AA" w:rsidRPr="00DB1AFF">
        <w:rPr>
          <w:rFonts w:ascii="Calibri" w:hAnsi="Calibri" w:cs="Calibri"/>
        </w:rPr>
        <w:t xml:space="preserve"> first</w:t>
      </w:r>
      <w:r w:rsidR="000B52FB" w:rsidRPr="00DB1AFF">
        <w:rPr>
          <w:rFonts w:ascii="Calibri" w:hAnsi="Calibri" w:cs="Calibri"/>
        </w:rPr>
        <w:t>-</w:t>
      </w:r>
      <w:r w:rsidR="00BF36AA" w:rsidRPr="00DB1AFF">
        <w:rPr>
          <w:rFonts w:ascii="Calibri" w:hAnsi="Calibri" w:cs="Calibri"/>
        </w:rPr>
        <w:t>strand enzyme mix.</w:t>
      </w:r>
    </w:p>
    <w:p w14:paraId="2B527E18" w14:textId="77777777" w:rsidR="00AF67B8" w:rsidRPr="00DB1AFF" w:rsidRDefault="00AF67B8" w:rsidP="00602F80">
      <w:pPr>
        <w:pStyle w:val="ListParagraph"/>
        <w:ind w:left="0"/>
        <w:jc w:val="both"/>
        <w:rPr>
          <w:rFonts w:ascii="Calibri" w:hAnsi="Calibri" w:cs="Calibri"/>
        </w:rPr>
      </w:pPr>
    </w:p>
    <w:p w14:paraId="5AC4EA4E" w14:textId="533A2C59" w:rsidR="00643E5F" w:rsidRPr="00DB1AFF" w:rsidRDefault="00AF67B8" w:rsidP="00602F80">
      <w:pPr>
        <w:jc w:val="both"/>
        <w:rPr>
          <w:rFonts w:ascii="Calibri" w:hAnsi="Calibri" w:cs="Calibri"/>
        </w:rPr>
      </w:pPr>
      <w:r w:rsidRPr="00DB1AFF">
        <w:rPr>
          <w:rFonts w:ascii="Calibri" w:hAnsi="Calibri" w:cs="Calibri"/>
        </w:rPr>
        <w:t xml:space="preserve">4.3. </w:t>
      </w:r>
      <w:r w:rsidR="00BF36AA" w:rsidRPr="00DB1AFF">
        <w:rPr>
          <w:rFonts w:ascii="Calibri" w:hAnsi="Calibri" w:cs="Calibri"/>
        </w:rPr>
        <w:t>In a thermocycler, set the heated lid to 105</w:t>
      </w:r>
      <w:r w:rsidR="0063751E" w:rsidRPr="00DB1AFF">
        <w:rPr>
          <w:rFonts w:ascii="Calibri" w:hAnsi="Calibri" w:cs="Calibri"/>
        </w:rPr>
        <w:t> </w:t>
      </w:r>
      <w:r w:rsidR="00BF36AA" w:rsidRPr="00DB1AFF">
        <w:rPr>
          <w:rFonts w:ascii="Calibri" w:hAnsi="Calibri" w:cs="Calibri"/>
        </w:rPr>
        <w:t>°C and incubate the samples at 37</w:t>
      </w:r>
      <w:r w:rsidR="0063751E" w:rsidRPr="00DB1AFF">
        <w:rPr>
          <w:rFonts w:ascii="Calibri" w:hAnsi="Calibri" w:cs="Calibri"/>
        </w:rPr>
        <w:t> </w:t>
      </w:r>
      <w:r w:rsidR="00BF36AA" w:rsidRPr="00DB1AFF">
        <w:rPr>
          <w:rFonts w:ascii="Calibri" w:hAnsi="Calibri" w:cs="Calibri"/>
        </w:rPr>
        <w:t>°C for</w:t>
      </w:r>
      <w:r w:rsidR="0063751E" w:rsidRPr="00DB1AFF">
        <w:rPr>
          <w:rFonts w:ascii="Calibri" w:hAnsi="Calibri" w:cs="Calibri"/>
        </w:rPr>
        <w:t xml:space="preserve"> 5 </w:t>
      </w:r>
      <w:r w:rsidR="00BF36AA" w:rsidRPr="00DB1AFF">
        <w:rPr>
          <w:rFonts w:ascii="Calibri" w:hAnsi="Calibri" w:cs="Calibri"/>
        </w:rPr>
        <w:t>min, then 65</w:t>
      </w:r>
      <w:r w:rsidR="0063751E" w:rsidRPr="00DB1AFF">
        <w:rPr>
          <w:rFonts w:ascii="Calibri" w:hAnsi="Calibri" w:cs="Calibri"/>
        </w:rPr>
        <w:t> </w:t>
      </w:r>
      <w:r w:rsidR="00BF36AA" w:rsidRPr="00DB1AFF">
        <w:rPr>
          <w:rFonts w:ascii="Calibri" w:hAnsi="Calibri" w:cs="Calibri"/>
        </w:rPr>
        <w:t>°C for 30</w:t>
      </w:r>
      <w:r w:rsidR="0063751E" w:rsidRPr="00DB1AFF">
        <w:rPr>
          <w:rFonts w:ascii="Calibri" w:hAnsi="Calibri" w:cs="Calibri"/>
        </w:rPr>
        <w:t> </w:t>
      </w:r>
      <w:r w:rsidR="00BF36AA" w:rsidRPr="00DB1AFF">
        <w:rPr>
          <w:rFonts w:ascii="Calibri" w:hAnsi="Calibri" w:cs="Calibri"/>
        </w:rPr>
        <w:t>min</w:t>
      </w:r>
      <w:r w:rsidR="0063751E" w:rsidRPr="00DB1AFF">
        <w:rPr>
          <w:rFonts w:ascii="Calibri" w:hAnsi="Calibri" w:cs="Calibri"/>
        </w:rPr>
        <w:t>.</w:t>
      </w:r>
    </w:p>
    <w:p w14:paraId="60DDE0FB" w14:textId="77777777" w:rsidR="00AF67B8" w:rsidRPr="00DB1AFF" w:rsidRDefault="00AF67B8" w:rsidP="00602F80">
      <w:pPr>
        <w:pStyle w:val="ListParagraph"/>
        <w:ind w:left="0"/>
        <w:jc w:val="both"/>
        <w:rPr>
          <w:rFonts w:ascii="Calibri" w:hAnsi="Calibri" w:cs="Calibri"/>
        </w:rPr>
      </w:pPr>
    </w:p>
    <w:p w14:paraId="27F197E1" w14:textId="3069C5DD" w:rsidR="00DB19D8" w:rsidRDefault="00AF67B8" w:rsidP="00602F80">
      <w:pPr>
        <w:pStyle w:val="ListParagraph"/>
        <w:ind w:left="0"/>
        <w:jc w:val="both"/>
        <w:rPr>
          <w:rFonts w:ascii="Calibri" w:hAnsi="Calibri" w:cs="Calibri"/>
        </w:rPr>
      </w:pPr>
      <w:r w:rsidRPr="00DB1AFF">
        <w:rPr>
          <w:rFonts w:ascii="Calibri" w:hAnsi="Calibri" w:cs="Calibri"/>
        </w:rPr>
        <w:t xml:space="preserve">4.4. </w:t>
      </w:r>
      <w:r w:rsidR="00FE23E2" w:rsidRPr="00DB1AFF">
        <w:rPr>
          <w:rFonts w:ascii="Calibri" w:hAnsi="Calibri" w:cs="Calibri"/>
        </w:rPr>
        <w:t xml:space="preserve">The adapter ligation and </w:t>
      </w:r>
      <w:r w:rsidR="00DB19D8" w:rsidRPr="00DB1AFF">
        <w:rPr>
          <w:rFonts w:ascii="Calibri" w:hAnsi="Calibri" w:cs="Calibri"/>
        </w:rPr>
        <w:t>barcoding PCR</w:t>
      </w:r>
      <w:r w:rsidR="00FE23E2" w:rsidRPr="00DB1AFF">
        <w:rPr>
          <w:rFonts w:ascii="Calibri" w:hAnsi="Calibri" w:cs="Calibri"/>
        </w:rPr>
        <w:t xml:space="preserve"> process is identical for the DNA and RNA libraries. Repeat</w:t>
      </w:r>
      <w:r w:rsidR="00DB19D8" w:rsidRPr="00DB1AFF">
        <w:rPr>
          <w:rFonts w:ascii="Calibri" w:hAnsi="Calibri" w:cs="Calibri"/>
        </w:rPr>
        <w:t xml:space="preserve"> </w:t>
      </w:r>
      <w:r w:rsidR="00BB4DF9" w:rsidRPr="00DB1AFF">
        <w:rPr>
          <w:rFonts w:ascii="Calibri" w:hAnsi="Calibri" w:cs="Calibri"/>
        </w:rPr>
        <w:t>sections</w:t>
      </w:r>
      <w:r w:rsidR="00DB19D8" w:rsidRPr="00DB1AFF">
        <w:rPr>
          <w:rFonts w:ascii="Calibri" w:hAnsi="Calibri" w:cs="Calibri"/>
        </w:rPr>
        <w:t xml:space="preserve"> 7</w:t>
      </w:r>
      <w:r w:rsidR="00BB4DF9" w:rsidRPr="00DB1AFF">
        <w:rPr>
          <w:rFonts w:ascii="Calibri" w:hAnsi="Calibri" w:cs="Calibri"/>
        </w:rPr>
        <w:t>–</w:t>
      </w:r>
      <w:r w:rsidR="00DB19D8" w:rsidRPr="00DB1AFF">
        <w:rPr>
          <w:rFonts w:ascii="Calibri" w:hAnsi="Calibri" w:cs="Calibri"/>
        </w:rPr>
        <w:t xml:space="preserve">10 of the “CSF RNA </w:t>
      </w:r>
      <w:r w:rsidR="0063751E" w:rsidRPr="00DB1AFF">
        <w:rPr>
          <w:rFonts w:ascii="Calibri" w:hAnsi="Calibri" w:cs="Calibri"/>
        </w:rPr>
        <w:t>L</w:t>
      </w:r>
      <w:r w:rsidR="00DB19D8" w:rsidRPr="00DB1AFF">
        <w:rPr>
          <w:rFonts w:ascii="Calibri" w:hAnsi="Calibri" w:cs="Calibri"/>
        </w:rPr>
        <w:t xml:space="preserve">ibrary </w:t>
      </w:r>
      <w:r w:rsidR="0063751E" w:rsidRPr="00DB1AFF">
        <w:rPr>
          <w:rFonts w:ascii="Calibri" w:hAnsi="Calibri" w:cs="Calibri"/>
        </w:rPr>
        <w:t>P</w:t>
      </w:r>
      <w:r w:rsidR="00DB19D8" w:rsidRPr="00DB1AFF">
        <w:rPr>
          <w:rFonts w:ascii="Calibri" w:hAnsi="Calibri" w:cs="Calibri"/>
        </w:rPr>
        <w:t xml:space="preserve">reparation” </w:t>
      </w:r>
      <w:r w:rsidR="00FE23E2" w:rsidRPr="00DB1AFF">
        <w:rPr>
          <w:rFonts w:ascii="Calibri" w:hAnsi="Calibri" w:cs="Calibri"/>
        </w:rPr>
        <w:t xml:space="preserve">with the fragmented and end-prepped DNA </w:t>
      </w:r>
      <w:r w:rsidR="00DB19D8" w:rsidRPr="00DB1AFF">
        <w:rPr>
          <w:rFonts w:ascii="Calibri" w:hAnsi="Calibri" w:cs="Calibri"/>
        </w:rPr>
        <w:t>to complete the DNA library preparation.</w:t>
      </w:r>
      <w:r w:rsidR="00DB19D8" w:rsidRPr="00800BBC">
        <w:rPr>
          <w:rFonts w:ascii="Calibri" w:hAnsi="Calibri" w:cs="Calibri"/>
        </w:rPr>
        <w:t xml:space="preserve"> </w:t>
      </w:r>
    </w:p>
    <w:p w14:paraId="245C8C3F" w14:textId="77777777" w:rsidR="00834289" w:rsidRPr="00800BBC" w:rsidRDefault="00834289" w:rsidP="00602F80">
      <w:pPr>
        <w:pStyle w:val="ListParagraph"/>
        <w:ind w:left="0"/>
        <w:jc w:val="both"/>
        <w:rPr>
          <w:rFonts w:ascii="Calibri" w:hAnsi="Calibri" w:cs="Calibri"/>
        </w:rPr>
      </w:pPr>
    </w:p>
    <w:p w14:paraId="4379AA6D" w14:textId="1FCA8B20" w:rsidR="00643E5F" w:rsidRPr="00834289" w:rsidRDefault="00BF36AA" w:rsidP="00602F80">
      <w:pPr>
        <w:pStyle w:val="ListParagraph"/>
        <w:numPr>
          <w:ilvl w:val="0"/>
          <w:numId w:val="1"/>
        </w:numPr>
        <w:ind w:left="0" w:firstLine="0"/>
        <w:jc w:val="both"/>
        <w:rPr>
          <w:rFonts w:ascii="Calibri" w:hAnsi="Calibri" w:cs="Calibri"/>
          <w:b/>
          <w:bCs/>
        </w:rPr>
      </w:pPr>
      <w:r w:rsidRPr="00834289">
        <w:rPr>
          <w:rFonts w:ascii="Calibri" w:hAnsi="Calibri" w:cs="Calibri"/>
          <w:b/>
          <w:bCs/>
        </w:rPr>
        <w:t xml:space="preserve">Library </w:t>
      </w:r>
      <w:r w:rsidR="00834289" w:rsidRPr="00834289">
        <w:rPr>
          <w:rFonts w:ascii="Calibri" w:hAnsi="Calibri" w:cs="Calibri"/>
          <w:b/>
          <w:bCs/>
        </w:rPr>
        <w:t xml:space="preserve">quality control </w:t>
      </w:r>
      <w:r w:rsidR="00834289">
        <w:rPr>
          <w:rFonts w:ascii="Calibri" w:hAnsi="Calibri" w:cs="Calibri"/>
          <w:b/>
          <w:bCs/>
        </w:rPr>
        <w:t xml:space="preserve">and </w:t>
      </w:r>
      <w:r w:rsidR="00834289" w:rsidRPr="00834289">
        <w:rPr>
          <w:rFonts w:ascii="Calibri" w:hAnsi="Calibri" w:cs="Calibri"/>
          <w:b/>
          <w:bCs/>
        </w:rPr>
        <w:t>pooling</w:t>
      </w:r>
    </w:p>
    <w:p w14:paraId="5FE45004" w14:textId="241E9319" w:rsidR="00643E5F" w:rsidRPr="007238C6" w:rsidRDefault="00AF67B8" w:rsidP="00602F80">
      <w:pPr>
        <w:pStyle w:val="ListParagraph"/>
        <w:ind w:left="0"/>
        <w:jc w:val="both"/>
        <w:rPr>
          <w:rFonts w:ascii="Calibri" w:hAnsi="Calibri" w:cs="Calibri"/>
          <w:highlight w:val="yellow"/>
        </w:rPr>
      </w:pPr>
      <w:r w:rsidRPr="007238C6">
        <w:rPr>
          <w:rFonts w:ascii="Calibri" w:hAnsi="Calibri" w:cs="Calibri"/>
          <w:highlight w:val="yellow"/>
        </w:rPr>
        <w:t xml:space="preserve">5.1. </w:t>
      </w:r>
      <w:r w:rsidR="00BF36AA" w:rsidRPr="007238C6">
        <w:rPr>
          <w:rFonts w:ascii="Calibri" w:hAnsi="Calibri" w:cs="Calibri"/>
          <w:highlight w:val="yellow"/>
        </w:rPr>
        <w:t xml:space="preserve">Quantify the concentration of the sample libraries via the DNA quantification kit and corresponding </w:t>
      </w:r>
      <w:r w:rsidR="00FE23E2" w:rsidRPr="007238C6">
        <w:rPr>
          <w:rFonts w:ascii="Calibri" w:hAnsi="Calibri" w:cs="Calibri"/>
          <w:highlight w:val="yellow"/>
        </w:rPr>
        <w:t>fluorometer</w:t>
      </w:r>
      <w:r w:rsidR="00191D7C" w:rsidRPr="007238C6">
        <w:rPr>
          <w:rFonts w:ascii="Calibri" w:hAnsi="Calibri" w:cs="Calibri"/>
          <w:highlight w:val="yellow"/>
        </w:rPr>
        <w:t xml:space="preserve">. </w:t>
      </w:r>
      <w:r w:rsidR="00BF36AA" w:rsidRPr="007238C6">
        <w:rPr>
          <w:rFonts w:ascii="Calibri" w:hAnsi="Calibri" w:cs="Calibri"/>
          <w:highlight w:val="yellow"/>
        </w:rPr>
        <w:t>Water controls should have substantially less (or unquantifiable) concentrations compared to the rest of the samples.</w:t>
      </w:r>
    </w:p>
    <w:p w14:paraId="03B5F4A6" w14:textId="77777777" w:rsidR="00AF67B8" w:rsidRPr="007238C6" w:rsidRDefault="00AF67B8" w:rsidP="00602F80">
      <w:pPr>
        <w:pStyle w:val="ListParagraph"/>
        <w:ind w:left="0"/>
        <w:jc w:val="both"/>
        <w:rPr>
          <w:rFonts w:ascii="Calibri" w:hAnsi="Calibri" w:cs="Calibri"/>
          <w:highlight w:val="yellow"/>
        </w:rPr>
      </w:pPr>
    </w:p>
    <w:p w14:paraId="0D700298" w14:textId="77777777" w:rsidR="000A67B6" w:rsidRDefault="00AF67B8" w:rsidP="00602F80">
      <w:pPr>
        <w:pStyle w:val="ListParagraph"/>
        <w:ind w:left="0"/>
        <w:jc w:val="both"/>
        <w:rPr>
          <w:rFonts w:ascii="Calibri" w:hAnsi="Calibri" w:cs="Calibri"/>
        </w:rPr>
      </w:pPr>
      <w:r w:rsidRPr="007238C6">
        <w:rPr>
          <w:rFonts w:ascii="Calibri" w:hAnsi="Calibri" w:cs="Calibri"/>
          <w:highlight w:val="yellow"/>
        </w:rPr>
        <w:t xml:space="preserve">5.2. </w:t>
      </w:r>
      <w:r w:rsidR="00BF36AA" w:rsidRPr="007238C6">
        <w:rPr>
          <w:rFonts w:ascii="Calibri" w:hAnsi="Calibri" w:cs="Calibri"/>
          <w:highlight w:val="yellow"/>
        </w:rPr>
        <w:t>Assess the sample library sizes by running the samples on an automated capillary electrophoresis machine.</w:t>
      </w:r>
      <w:r w:rsidR="00BF36AA" w:rsidRPr="00800BBC">
        <w:rPr>
          <w:rFonts w:ascii="Calibri" w:hAnsi="Calibri" w:cs="Calibri"/>
        </w:rPr>
        <w:t xml:space="preserve"> </w:t>
      </w:r>
    </w:p>
    <w:p w14:paraId="73C7B651" w14:textId="77777777" w:rsidR="000A67B6" w:rsidRDefault="000A67B6" w:rsidP="00602F80">
      <w:pPr>
        <w:pStyle w:val="ListParagraph"/>
        <w:ind w:left="0"/>
        <w:jc w:val="both"/>
        <w:rPr>
          <w:rFonts w:ascii="Calibri" w:hAnsi="Calibri" w:cs="Calibri"/>
        </w:rPr>
      </w:pPr>
    </w:p>
    <w:p w14:paraId="187DAACF" w14:textId="17D53DF3" w:rsidR="00191D7C" w:rsidRPr="00800BBC" w:rsidRDefault="000A67B6" w:rsidP="00602F80">
      <w:pPr>
        <w:pStyle w:val="ListParagraph"/>
        <w:ind w:left="0"/>
        <w:jc w:val="both"/>
        <w:rPr>
          <w:rFonts w:ascii="Calibri" w:hAnsi="Calibri" w:cs="Calibri"/>
        </w:rPr>
      </w:pPr>
      <w:r>
        <w:rPr>
          <w:rFonts w:ascii="Calibri" w:hAnsi="Calibri" w:cs="Calibri"/>
        </w:rPr>
        <w:t xml:space="preserve">5.3 </w:t>
      </w:r>
      <w:r w:rsidR="00BF36AA" w:rsidRPr="00800BBC">
        <w:rPr>
          <w:rFonts w:ascii="Calibri" w:hAnsi="Calibri" w:cs="Calibri"/>
        </w:rPr>
        <w:t xml:space="preserve">Alternatively, if </w:t>
      </w:r>
      <w:r>
        <w:rPr>
          <w:rFonts w:ascii="Calibri" w:hAnsi="Calibri" w:cs="Calibri"/>
        </w:rPr>
        <w:t>an automated capillary electrophoresis machine</w:t>
      </w:r>
      <w:r w:rsidR="00BF36AA" w:rsidRPr="00800BBC">
        <w:rPr>
          <w:rFonts w:ascii="Calibri" w:hAnsi="Calibri" w:cs="Calibri"/>
        </w:rPr>
        <w:t xml:space="preserve"> is not available, further amplify 1-2</w:t>
      </w:r>
      <w:r w:rsidR="007F17AF" w:rsidRPr="00800BBC">
        <w:rPr>
          <w:rFonts w:ascii="Calibri" w:hAnsi="Calibri" w:cs="Calibri"/>
        </w:rPr>
        <w:t> </w:t>
      </w:r>
      <w:r w:rsidR="00323C1C" w:rsidRPr="00800BBC">
        <w:rPr>
          <w:rFonts w:ascii="Calibri" w:hAnsi="Calibri" w:cs="Calibri"/>
        </w:rPr>
        <w:t>µL</w:t>
      </w:r>
      <w:r w:rsidR="00BF36AA" w:rsidRPr="00800BBC">
        <w:rPr>
          <w:rFonts w:ascii="Calibri" w:hAnsi="Calibri" w:cs="Calibri"/>
        </w:rPr>
        <w:t xml:space="preserve"> of the sample by performing a PCR reaction with Illumina universal primers</w:t>
      </w:r>
      <w:r w:rsidR="00E117A8" w:rsidRPr="00800BBC">
        <w:rPr>
          <w:rFonts w:ascii="Calibri" w:hAnsi="Calibri" w:cs="Calibri"/>
        </w:rPr>
        <w:t>,</w:t>
      </w:r>
      <w:r w:rsidR="00BF36AA" w:rsidRPr="00800BBC">
        <w:rPr>
          <w:rFonts w:ascii="Calibri" w:hAnsi="Calibri" w:cs="Calibri"/>
        </w:rPr>
        <w:t xml:space="preserve"> and then perform electrophoresis of 10</w:t>
      </w:r>
      <w:r w:rsidR="007F17AF" w:rsidRPr="00800BBC">
        <w:rPr>
          <w:rFonts w:ascii="Calibri" w:hAnsi="Calibri" w:cs="Calibri"/>
        </w:rPr>
        <w:t> </w:t>
      </w:r>
      <w:r w:rsidR="00323C1C" w:rsidRPr="00800BBC">
        <w:rPr>
          <w:rFonts w:ascii="Calibri" w:hAnsi="Calibri" w:cs="Calibri"/>
        </w:rPr>
        <w:t>µL</w:t>
      </w:r>
      <w:r w:rsidR="00BF36AA" w:rsidRPr="00800BBC">
        <w:rPr>
          <w:rFonts w:ascii="Calibri" w:hAnsi="Calibri" w:cs="Calibri"/>
        </w:rPr>
        <w:t xml:space="preserve"> of the </w:t>
      </w:r>
      <w:r w:rsidR="00FE23E2" w:rsidRPr="00800BBC">
        <w:rPr>
          <w:rFonts w:ascii="Calibri" w:hAnsi="Calibri" w:cs="Calibri"/>
        </w:rPr>
        <w:t xml:space="preserve">final product </w:t>
      </w:r>
      <w:r w:rsidR="00BF36AA" w:rsidRPr="00800BBC">
        <w:rPr>
          <w:rFonts w:ascii="Calibri" w:hAnsi="Calibri" w:cs="Calibri"/>
        </w:rPr>
        <w:t xml:space="preserve">on a 2% agarose gel. </w:t>
      </w:r>
      <w:r w:rsidR="009C2244" w:rsidRPr="00800BBC">
        <w:rPr>
          <w:rFonts w:ascii="Calibri" w:hAnsi="Calibri" w:cs="Calibri"/>
        </w:rPr>
        <w:t>Dispose of used materials as hazardous chemical waste in compliance with local regulations.</w:t>
      </w:r>
    </w:p>
    <w:p w14:paraId="7B5E42D6" w14:textId="77777777" w:rsidR="00AF67B8" w:rsidRDefault="00AF67B8" w:rsidP="00602F80">
      <w:pPr>
        <w:pStyle w:val="ListParagraph"/>
        <w:ind w:left="0"/>
        <w:jc w:val="both"/>
        <w:rPr>
          <w:rFonts w:ascii="Calibri" w:hAnsi="Calibri" w:cs="Calibri"/>
        </w:rPr>
      </w:pPr>
    </w:p>
    <w:p w14:paraId="172B2EA9" w14:textId="7FFFBEE5" w:rsidR="00643E5F" w:rsidRDefault="00AF67B8" w:rsidP="00602F80">
      <w:pPr>
        <w:pStyle w:val="ListParagraph"/>
        <w:ind w:left="0"/>
        <w:jc w:val="both"/>
        <w:rPr>
          <w:rFonts w:ascii="Calibri" w:hAnsi="Calibri" w:cs="Calibri"/>
        </w:rPr>
      </w:pPr>
      <w:r>
        <w:rPr>
          <w:rFonts w:ascii="Calibri" w:hAnsi="Calibri" w:cs="Calibri"/>
        </w:rPr>
        <w:t xml:space="preserve">NOTE: </w:t>
      </w:r>
      <w:r w:rsidR="00BF36AA" w:rsidRPr="00800BBC">
        <w:rPr>
          <w:rFonts w:ascii="Calibri" w:hAnsi="Calibri" w:cs="Calibri"/>
        </w:rPr>
        <w:t>The optimal library length is approximately 400</w:t>
      </w:r>
      <w:r w:rsidR="00BB4DF9" w:rsidRPr="008D1CAB">
        <w:rPr>
          <w:rFonts w:ascii="Calibri" w:hAnsi="Calibri" w:cs="Calibri"/>
        </w:rPr>
        <w:t>–</w:t>
      </w:r>
      <w:r w:rsidR="00BF36AA" w:rsidRPr="00800BBC">
        <w:rPr>
          <w:rFonts w:ascii="Calibri" w:hAnsi="Calibri" w:cs="Calibri"/>
        </w:rPr>
        <w:t xml:space="preserve">500 base pairs, so future fragmentation incubations should be adjusted accordingly if the library sizes are larger or shorter than desired. </w:t>
      </w:r>
      <w:r>
        <w:rPr>
          <w:rFonts w:ascii="Calibri" w:hAnsi="Calibri" w:cs="Calibri"/>
        </w:rPr>
        <w:t xml:space="preserve"> </w:t>
      </w:r>
      <w:r w:rsidR="00BF36AA" w:rsidRPr="00800BBC">
        <w:rPr>
          <w:rFonts w:ascii="Calibri" w:hAnsi="Calibri" w:cs="Calibri"/>
        </w:rPr>
        <w:t>In addition, it is critical to assess for the presence of adapter dimers, which are approximately 150 base pairs in length and occur when two adapter molecules inadvertently ligate together without an insert sequence. Even if present in low quantities, adapter dimers tend to cluster and sequence efficiently on the flow cell, reducing the proportion of usable reads during a sequencing run. As such, if adapter dimers are present, perform an additional magnetic bead purification with a 0.8x ratio of SPRI magnetic beads</w:t>
      </w:r>
      <w:r w:rsidR="00FE23E2" w:rsidRPr="00800BBC">
        <w:rPr>
          <w:rFonts w:ascii="Calibri" w:hAnsi="Calibri" w:cs="Calibri"/>
        </w:rPr>
        <w:t xml:space="preserve">. </w:t>
      </w:r>
      <w:r w:rsidR="00BF36AA" w:rsidRPr="00800BBC">
        <w:rPr>
          <w:rFonts w:ascii="Calibri" w:hAnsi="Calibri" w:cs="Calibri"/>
        </w:rPr>
        <w:t>(</w:t>
      </w:r>
      <w:r w:rsidR="00FE23E2" w:rsidRPr="00800BBC">
        <w:rPr>
          <w:rFonts w:ascii="Calibri" w:hAnsi="Calibri" w:cs="Calibri"/>
        </w:rPr>
        <w:t xml:space="preserve">Of note, </w:t>
      </w:r>
      <w:r w:rsidR="00BF36AA" w:rsidRPr="00800BBC">
        <w:rPr>
          <w:rFonts w:ascii="Calibri" w:hAnsi="Calibri" w:cs="Calibri"/>
        </w:rPr>
        <w:t xml:space="preserve">if &gt;10% of the sample is adapter dimer, it may take 2-3 rounds of magnetic bead purification to remove </w:t>
      </w:r>
      <w:r w:rsidR="00FE23E2" w:rsidRPr="00800BBC">
        <w:rPr>
          <w:rFonts w:ascii="Calibri" w:hAnsi="Calibri" w:cs="Calibri"/>
        </w:rPr>
        <w:t>most of</w:t>
      </w:r>
      <w:r w:rsidR="00BF36AA" w:rsidRPr="00800BBC">
        <w:rPr>
          <w:rFonts w:ascii="Calibri" w:hAnsi="Calibri" w:cs="Calibri"/>
        </w:rPr>
        <w:t xml:space="preserve"> the </w:t>
      </w:r>
      <w:r w:rsidR="00DB19D8" w:rsidRPr="00800BBC">
        <w:rPr>
          <w:rFonts w:ascii="Calibri" w:hAnsi="Calibri" w:cs="Calibri"/>
        </w:rPr>
        <w:t>adapter</w:t>
      </w:r>
      <w:r w:rsidR="00BF36AA" w:rsidRPr="00800BBC">
        <w:rPr>
          <w:rFonts w:ascii="Calibri" w:hAnsi="Calibri" w:cs="Calibri"/>
        </w:rPr>
        <w:t xml:space="preserve"> dimers).</w:t>
      </w:r>
    </w:p>
    <w:p w14:paraId="77D2735D" w14:textId="77777777" w:rsidR="00AF67B8" w:rsidRPr="00800BBC" w:rsidRDefault="00AF67B8" w:rsidP="00602F80">
      <w:pPr>
        <w:pStyle w:val="ListParagraph"/>
        <w:ind w:left="0"/>
        <w:jc w:val="both"/>
        <w:rPr>
          <w:rFonts w:ascii="Calibri" w:hAnsi="Calibri" w:cs="Calibri"/>
        </w:rPr>
      </w:pPr>
    </w:p>
    <w:p w14:paraId="11EDFCC4" w14:textId="3969A9A2" w:rsidR="00BF36AA" w:rsidRDefault="00AF67B8" w:rsidP="00602F80">
      <w:pPr>
        <w:pStyle w:val="ListParagraph"/>
        <w:ind w:left="0"/>
        <w:jc w:val="both"/>
        <w:rPr>
          <w:rFonts w:ascii="Calibri" w:hAnsi="Calibri" w:cs="Calibri"/>
        </w:rPr>
      </w:pPr>
      <w:r>
        <w:rPr>
          <w:rFonts w:ascii="Calibri" w:hAnsi="Calibri" w:cs="Calibri"/>
        </w:rPr>
        <w:t xml:space="preserve">5.3. </w:t>
      </w:r>
      <w:r w:rsidR="00FE23E2" w:rsidRPr="00800BBC">
        <w:rPr>
          <w:rFonts w:ascii="Calibri" w:hAnsi="Calibri" w:cs="Calibri"/>
        </w:rPr>
        <w:t>To</w:t>
      </w:r>
      <w:r w:rsidR="00BF36AA" w:rsidRPr="00800BBC">
        <w:rPr>
          <w:rFonts w:ascii="Calibri" w:hAnsi="Calibri" w:cs="Calibri"/>
        </w:rPr>
        <w:t xml:space="preserve"> ensure a similar depth of sequencing across samples within the same sequencing run, it is necessary to pool </w:t>
      </w:r>
      <w:r w:rsidR="00BF36AA" w:rsidRPr="00800BBC">
        <w:rPr>
          <w:rFonts w:ascii="Calibri" w:hAnsi="Calibri" w:cs="Calibri"/>
          <w:i/>
          <w:iCs/>
        </w:rPr>
        <w:t>equimolar</w:t>
      </w:r>
      <w:r w:rsidR="00BF36AA" w:rsidRPr="00800BBC">
        <w:rPr>
          <w:rFonts w:ascii="Calibri" w:hAnsi="Calibri" w:cs="Calibri"/>
        </w:rPr>
        <w:t xml:space="preserve"> quantities of each sample. </w:t>
      </w:r>
      <w:r w:rsidR="000A67B6">
        <w:rPr>
          <w:rFonts w:ascii="Calibri" w:hAnsi="Calibri" w:cs="Calibri"/>
        </w:rPr>
        <w:t>If the</w:t>
      </w:r>
      <w:r w:rsidR="00BF36AA" w:rsidRPr="00800BBC">
        <w:rPr>
          <w:rFonts w:ascii="Calibri" w:hAnsi="Calibri" w:cs="Calibri"/>
        </w:rPr>
        <w:t xml:space="preserve"> library sizes are comparable across all samples, </w:t>
      </w:r>
      <w:r w:rsidR="000A67B6">
        <w:rPr>
          <w:rFonts w:ascii="Calibri" w:hAnsi="Calibri" w:cs="Calibri"/>
        </w:rPr>
        <w:t>simply</w:t>
      </w:r>
      <w:r w:rsidR="00BF36AA" w:rsidRPr="00800BBC">
        <w:rPr>
          <w:rFonts w:ascii="Calibri" w:hAnsi="Calibri" w:cs="Calibri"/>
        </w:rPr>
        <w:t xml:space="preserve"> pool equivalent </w:t>
      </w:r>
      <w:r w:rsidR="00BF36AA" w:rsidRPr="00800BBC">
        <w:rPr>
          <w:rFonts w:ascii="Calibri" w:hAnsi="Calibri" w:cs="Calibri"/>
          <w:i/>
          <w:iCs/>
        </w:rPr>
        <w:t>masses</w:t>
      </w:r>
      <w:r w:rsidR="00BF36AA" w:rsidRPr="00800BBC">
        <w:rPr>
          <w:rFonts w:ascii="Calibri" w:hAnsi="Calibri" w:cs="Calibri"/>
        </w:rPr>
        <w:t xml:space="preserve"> of each </w:t>
      </w:r>
      <w:r w:rsidR="000A67B6">
        <w:rPr>
          <w:rFonts w:ascii="Calibri" w:hAnsi="Calibri" w:cs="Calibri"/>
        </w:rPr>
        <w:t>RNA library and repeat separately for each DNA library</w:t>
      </w:r>
      <w:r w:rsidR="00BF36AA" w:rsidRPr="00800BBC">
        <w:rPr>
          <w:rFonts w:ascii="Calibri" w:hAnsi="Calibri" w:cs="Calibri"/>
        </w:rPr>
        <w:t xml:space="preserve">. </w:t>
      </w:r>
    </w:p>
    <w:p w14:paraId="6D01E9FD" w14:textId="77777777" w:rsidR="00524632" w:rsidRPr="00800BBC" w:rsidRDefault="00524632" w:rsidP="00602F80">
      <w:pPr>
        <w:pStyle w:val="ListParagraph"/>
        <w:ind w:left="0"/>
        <w:jc w:val="both"/>
        <w:rPr>
          <w:rFonts w:ascii="Calibri" w:hAnsi="Calibri" w:cs="Calibri"/>
        </w:rPr>
      </w:pPr>
    </w:p>
    <w:p w14:paraId="69D65269" w14:textId="7682024F" w:rsidR="00643E5F" w:rsidRPr="00834289" w:rsidRDefault="00BF36AA" w:rsidP="00602F80">
      <w:pPr>
        <w:pStyle w:val="ListParagraph"/>
        <w:numPr>
          <w:ilvl w:val="0"/>
          <w:numId w:val="1"/>
        </w:numPr>
        <w:ind w:left="0" w:firstLine="0"/>
        <w:jc w:val="both"/>
        <w:rPr>
          <w:rFonts w:ascii="Calibri" w:hAnsi="Calibri" w:cs="Calibri"/>
          <w:b/>
          <w:bCs/>
        </w:rPr>
      </w:pPr>
      <w:r w:rsidRPr="00834289">
        <w:rPr>
          <w:rFonts w:ascii="Calibri" w:hAnsi="Calibri" w:cs="Calibri"/>
          <w:b/>
          <w:bCs/>
        </w:rPr>
        <w:t xml:space="preserve">Sequencing </w:t>
      </w:r>
      <w:r w:rsidR="006946BB">
        <w:rPr>
          <w:rFonts w:ascii="Calibri" w:hAnsi="Calibri" w:cs="Calibri"/>
          <w:b/>
          <w:bCs/>
        </w:rPr>
        <w:t>c</w:t>
      </w:r>
      <w:r w:rsidRPr="00834289">
        <w:rPr>
          <w:rFonts w:ascii="Calibri" w:hAnsi="Calibri" w:cs="Calibri"/>
          <w:b/>
          <w:bCs/>
        </w:rPr>
        <w:t>onsiderations</w:t>
      </w:r>
    </w:p>
    <w:p w14:paraId="0507A9D3" w14:textId="6224CB7D" w:rsidR="00643E5F" w:rsidRDefault="00AF67B8" w:rsidP="00602F80">
      <w:pPr>
        <w:pStyle w:val="ListParagraph"/>
        <w:ind w:left="0"/>
        <w:jc w:val="both"/>
        <w:rPr>
          <w:rFonts w:ascii="Calibri" w:hAnsi="Calibri" w:cs="Calibri"/>
        </w:rPr>
      </w:pPr>
      <w:r>
        <w:rPr>
          <w:rFonts w:ascii="Calibri" w:hAnsi="Calibri" w:cs="Calibri"/>
        </w:rPr>
        <w:t>6.1.</w:t>
      </w:r>
      <w:r w:rsidR="00C11BA6">
        <w:rPr>
          <w:rFonts w:ascii="Calibri" w:hAnsi="Calibri" w:cs="Calibri"/>
        </w:rPr>
        <w:t xml:space="preserve"> </w:t>
      </w:r>
      <w:r w:rsidR="00BF36AA" w:rsidRPr="00800BBC">
        <w:rPr>
          <w:rFonts w:ascii="Calibri" w:hAnsi="Calibri" w:cs="Calibri"/>
        </w:rPr>
        <w:t xml:space="preserve">The pooled samples are now ready for sequencing on Illumina sequencing devices. If </w:t>
      </w:r>
      <w:r w:rsidR="00191D7C" w:rsidRPr="00800BBC">
        <w:rPr>
          <w:rFonts w:ascii="Calibri" w:hAnsi="Calibri" w:cs="Calibri"/>
        </w:rPr>
        <w:t>sequencing in-house (rather than via a specialized sequencing core facility)</w:t>
      </w:r>
      <w:r w:rsidR="00BF36AA" w:rsidRPr="00800BBC">
        <w:rPr>
          <w:rFonts w:ascii="Calibri" w:hAnsi="Calibri" w:cs="Calibri"/>
        </w:rPr>
        <w:t>, carefully denature and dilute the pooled libraries according to the sequencing device instructions prior to loading the pool onto the reagent cartridge (typical concentration is 4</w:t>
      </w:r>
      <w:r w:rsidR="007F17AF" w:rsidRPr="00800BBC">
        <w:rPr>
          <w:rFonts w:ascii="Calibri" w:hAnsi="Calibri" w:cs="Calibri"/>
        </w:rPr>
        <w:t> </w:t>
      </w:r>
      <w:proofErr w:type="spellStart"/>
      <w:r w:rsidR="00BF36AA" w:rsidRPr="00800BBC">
        <w:rPr>
          <w:rFonts w:ascii="Calibri" w:hAnsi="Calibri" w:cs="Calibri"/>
        </w:rPr>
        <w:t>nM</w:t>
      </w:r>
      <w:proofErr w:type="spellEnd"/>
      <w:r w:rsidR="00BF36AA" w:rsidRPr="00800BBC">
        <w:rPr>
          <w:rFonts w:ascii="Calibri" w:hAnsi="Calibri" w:cs="Calibri"/>
        </w:rPr>
        <w:t xml:space="preserve"> for most Illumina sequencing platforms). </w:t>
      </w:r>
    </w:p>
    <w:p w14:paraId="47359973" w14:textId="77777777" w:rsidR="000A67B6" w:rsidRPr="00800BBC" w:rsidRDefault="000A67B6" w:rsidP="00602F80">
      <w:pPr>
        <w:pStyle w:val="ListParagraph"/>
        <w:ind w:left="0"/>
        <w:jc w:val="both"/>
        <w:rPr>
          <w:rFonts w:ascii="Calibri" w:hAnsi="Calibri" w:cs="Calibri"/>
        </w:rPr>
      </w:pPr>
    </w:p>
    <w:p w14:paraId="4B8A01D4" w14:textId="4246BEC4" w:rsidR="00643E5F" w:rsidRDefault="00AF67B8" w:rsidP="00602F80">
      <w:pPr>
        <w:pStyle w:val="ListParagraph"/>
        <w:ind w:left="0"/>
        <w:jc w:val="both"/>
        <w:rPr>
          <w:rFonts w:ascii="Calibri" w:hAnsi="Calibri" w:cs="Calibri"/>
        </w:rPr>
      </w:pPr>
      <w:r>
        <w:rPr>
          <w:rFonts w:ascii="Calibri" w:hAnsi="Calibri" w:cs="Calibri"/>
        </w:rPr>
        <w:t xml:space="preserve">6.2. </w:t>
      </w:r>
      <w:r w:rsidR="006B2D77" w:rsidRPr="00800BBC">
        <w:rPr>
          <w:rFonts w:ascii="Calibri" w:hAnsi="Calibri" w:cs="Calibri"/>
        </w:rPr>
        <w:t xml:space="preserve">Calculate the estimated sequencing depth by dividing the expected </w:t>
      </w:r>
      <w:r w:rsidR="00115763" w:rsidRPr="00800BBC">
        <w:rPr>
          <w:rFonts w:ascii="Calibri" w:hAnsi="Calibri" w:cs="Calibri"/>
        </w:rPr>
        <w:t xml:space="preserve">data yield for the Illumina flow cell by the number of multiplexed samples in the run. </w:t>
      </w:r>
    </w:p>
    <w:p w14:paraId="0A6A86A5" w14:textId="77777777" w:rsidR="000A67B6" w:rsidRDefault="000A67B6" w:rsidP="00602F80">
      <w:pPr>
        <w:pStyle w:val="ListParagraph"/>
        <w:ind w:left="0"/>
        <w:jc w:val="both"/>
        <w:rPr>
          <w:rFonts w:ascii="Calibri" w:hAnsi="Calibri" w:cs="Calibri"/>
        </w:rPr>
      </w:pPr>
    </w:p>
    <w:p w14:paraId="74177844" w14:textId="66AC8CBA" w:rsidR="000A67B6" w:rsidRDefault="000A67B6" w:rsidP="00602F80">
      <w:pPr>
        <w:pStyle w:val="ListParagraph"/>
        <w:ind w:left="0"/>
        <w:jc w:val="both"/>
        <w:rPr>
          <w:rFonts w:ascii="Calibri" w:hAnsi="Calibri" w:cs="Calibri"/>
        </w:rPr>
      </w:pPr>
      <w:r>
        <w:rPr>
          <w:rFonts w:ascii="Calibri" w:hAnsi="Calibri" w:cs="Calibri"/>
        </w:rPr>
        <w:t xml:space="preserve">NOTE: </w:t>
      </w:r>
      <w:r w:rsidRPr="00800BBC">
        <w:rPr>
          <w:rFonts w:ascii="Calibri" w:hAnsi="Calibri" w:cs="Calibri"/>
        </w:rPr>
        <w:t>Determining the desired sequencing depth depends on several factors</w:t>
      </w:r>
      <w:r w:rsidR="00C11BA6">
        <w:rPr>
          <w:rFonts w:ascii="Calibri" w:hAnsi="Calibri" w:cs="Calibri"/>
        </w:rPr>
        <w:t>,</w:t>
      </w:r>
      <w:r w:rsidRPr="00800BBC">
        <w:rPr>
          <w:rFonts w:ascii="Calibri" w:hAnsi="Calibri" w:cs="Calibri"/>
        </w:rPr>
        <w:t xml:space="preserve"> including cost, the sequencing device used, and the objectives of the experiment. Two examples of different sequencing depths are presented below in the Representative Results section.</w:t>
      </w:r>
    </w:p>
    <w:p w14:paraId="074F812B" w14:textId="77777777" w:rsidR="00524632" w:rsidRPr="00800BBC" w:rsidRDefault="00524632" w:rsidP="00602F80">
      <w:pPr>
        <w:pStyle w:val="ListParagraph"/>
        <w:ind w:left="0"/>
        <w:jc w:val="both"/>
        <w:rPr>
          <w:rFonts w:ascii="Calibri" w:hAnsi="Calibri" w:cs="Calibri"/>
        </w:rPr>
      </w:pPr>
    </w:p>
    <w:p w14:paraId="7F72061B" w14:textId="52E1B5A0" w:rsidR="00643E5F" w:rsidRPr="00834289" w:rsidRDefault="00BF36AA" w:rsidP="00602F80">
      <w:pPr>
        <w:pStyle w:val="ListParagraph"/>
        <w:numPr>
          <w:ilvl w:val="0"/>
          <w:numId w:val="1"/>
        </w:numPr>
        <w:ind w:left="0" w:firstLine="0"/>
        <w:jc w:val="both"/>
        <w:rPr>
          <w:rFonts w:ascii="Calibri" w:hAnsi="Calibri" w:cs="Calibri"/>
          <w:b/>
          <w:bCs/>
        </w:rPr>
      </w:pPr>
      <w:r w:rsidRPr="00834289">
        <w:rPr>
          <w:rFonts w:ascii="Calibri" w:hAnsi="Calibri" w:cs="Calibri"/>
          <w:b/>
          <w:bCs/>
        </w:rPr>
        <w:t>Data analysis for pathogen detection</w:t>
      </w:r>
    </w:p>
    <w:p w14:paraId="7EE2A0D8" w14:textId="5C5989E7" w:rsidR="00384537" w:rsidRPr="007238C6" w:rsidRDefault="00AF67B8" w:rsidP="00602F80">
      <w:pPr>
        <w:pStyle w:val="ListParagraph"/>
        <w:ind w:left="0"/>
        <w:jc w:val="both"/>
        <w:rPr>
          <w:rFonts w:ascii="Calibri" w:hAnsi="Calibri" w:cs="Calibri"/>
          <w:highlight w:val="yellow"/>
        </w:rPr>
      </w:pPr>
      <w:r>
        <w:rPr>
          <w:rFonts w:ascii="Calibri" w:hAnsi="Calibri" w:cs="Calibri"/>
        </w:rPr>
        <w:t xml:space="preserve">7.1. </w:t>
      </w:r>
      <w:r w:rsidR="00384537" w:rsidRPr="007238C6">
        <w:rPr>
          <w:rFonts w:ascii="Calibri" w:hAnsi="Calibri" w:cs="Calibri"/>
          <w:highlight w:val="yellow"/>
        </w:rPr>
        <w:t xml:space="preserve">Utilize </w:t>
      </w:r>
      <w:r w:rsidR="00BF36AA" w:rsidRPr="007238C6">
        <w:rPr>
          <w:rFonts w:ascii="Calibri" w:hAnsi="Calibri" w:cs="Calibri"/>
          <w:highlight w:val="yellow"/>
        </w:rPr>
        <w:t>the open-source web-based platform Chan Zuckerberg ID (</w:t>
      </w:r>
      <w:r w:rsidR="00221565" w:rsidRPr="007238C6">
        <w:rPr>
          <w:rFonts w:ascii="Calibri" w:hAnsi="Calibri" w:cs="Calibri"/>
          <w:highlight w:val="yellow"/>
        </w:rPr>
        <w:t xml:space="preserve">CZID, </w:t>
      </w:r>
      <w:hyperlink r:id="rId8" w:history="1">
        <w:r w:rsidR="00221565" w:rsidRPr="007238C6">
          <w:rPr>
            <w:rStyle w:val="Hyperlink"/>
            <w:rFonts w:ascii="Calibri" w:hAnsi="Calibri" w:cs="Calibri"/>
            <w:highlight w:val="yellow"/>
          </w:rPr>
          <w:t>https://www.czid.org</w:t>
        </w:r>
      </w:hyperlink>
      <w:r w:rsidR="00384537" w:rsidRPr="007238C6">
        <w:rPr>
          <w:rStyle w:val="Hyperlink"/>
          <w:rFonts w:ascii="Calibri" w:hAnsi="Calibri" w:cs="Calibri"/>
          <w:highlight w:val="yellow"/>
        </w:rPr>
        <w:t xml:space="preserve">, </w:t>
      </w:r>
      <w:r w:rsidR="00384537" w:rsidRPr="007238C6">
        <w:rPr>
          <w:rFonts w:ascii="Calibri" w:hAnsi="Calibri" w:cs="Calibri"/>
          <w:color w:val="467886" w:themeColor="hyperlink"/>
          <w:highlight w:val="yellow"/>
          <w:u w:val="single"/>
        </w:rPr>
        <w:t xml:space="preserve">Illumina </w:t>
      </w:r>
      <w:proofErr w:type="spellStart"/>
      <w:r w:rsidR="00384537" w:rsidRPr="007238C6">
        <w:rPr>
          <w:rFonts w:ascii="Calibri" w:hAnsi="Calibri" w:cs="Calibri"/>
          <w:color w:val="467886" w:themeColor="hyperlink"/>
          <w:highlight w:val="yellow"/>
          <w:u w:val="single"/>
        </w:rPr>
        <w:t>mNGS</w:t>
      </w:r>
      <w:proofErr w:type="spellEnd"/>
      <w:r w:rsidR="00384537" w:rsidRPr="007238C6">
        <w:rPr>
          <w:rFonts w:ascii="Calibri" w:hAnsi="Calibri" w:cs="Calibri"/>
          <w:color w:val="467886" w:themeColor="hyperlink"/>
          <w:highlight w:val="yellow"/>
          <w:u w:val="single"/>
        </w:rPr>
        <w:t xml:space="preserve"> Pipeline v8.3</w:t>
      </w:r>
      <w:r w:rsidR="00BF36AA" w:rsidRPr="007238C6">
        <w:rPr>
          <w:rFonts w:ascii="Calibri" w:hAnsi="Calibri" w:cs="Calibri"/>
          <w:highlight w:val="yellow"/>
        </w:rPr>
        <w:t>)</w:t>
      </w:r>
      <w:r w:rsidR="00384537" w:rsidRPr="007238C6">
        <w:rPr>
          <w:rFonts w:ascii="Calibri" w:hAnsi="Calibri" w:cs="Calibri"/>
          <w:highlight w:val="yellow"/>
        </w:rPr>
        <w:t xml:space="preserve"> to perform the metagenomic analysis for pathogen detection. </w:t>
      </w:r>
      <w:r w:rsidR="00BF36AA" w:rsidRPr="007238C6">
        <w:rPr>
          <w:rFonts w:ascii="Calibri" w:hAnsi="Calibri" w:cs="Calibri"/>
          <w:highlight w:val="yellow"/>
        </w:rPr>
        <w:t>CZID also includes options to upload samples via command line interface</w:t>
      </w:r>
      <w:r w:rsidR="004A7A23" w:rsidRPr="007238C6">
        <w:rPr>
          <w:rFonts w:ascii="Calibri" w:hAnsi="Calibri" w:cs="Calibri"/>
          <w:highlight w:val="yellow"/>
        </w:rPr>
        <w:t xml:space="preserve"> and </w:t>
      </w:r>
      <w:r w:rsidR="00BF36AA" w:rsidRPr="007238C6">
        <w:rPr>
          <w:rFonts w:ascii="Calibri" w:hAnsi="Calibri" w:cs="Calibri"/>
          <w:highlight w:val="yellow"/>
        </w:rPr>
        <w:t xml:space="preserve">direct transfer from an Illumina </w:t>
      </w:r>
      <w:proofErr w:type="spellStart"/>
      <w:r w:rsidR="00BF36AA" w:rsidRPr="007238C6">
        <w:rPr>
          <w:rFonts w:ascii="Calibri" w:hAnsi="Calibri" w:cs="Calibri"/>
          <w:highlight w:val="yellow"/>
        </w:rPr>
        <w:t>BaseSpace</w:t>
      </w:r>
      <w:proofErr w:type="spellEnd"/>
      <w:r w:rsidR="00BF36AA" w:rsidRPr="007238C6">
        <w:rPr>
          <w:rFonts w:ascii="Calibri" w:hAnsi="Calibri" w:cs="Calibri"/>
          <w:highlight w:val="yellow"/>
        </w:rPr>
        <w:t xml:space="preserve"> account to CZID. </w:t>
      </w:r>
      <w:r w:rsidR="006B2D77" w:rsidRPr="007238C6">
        <w:rPr>
          <w:rFonts w:ascii="Calibri" w:hAnsi="Calibri" w:cs="Calibri"/>
          <w:highlight w:val="yellow"/>
        </w:rPr>
        <w:t xml:space="preserve">A detailed overview of CZID </w:t>
      </w:r>
      <w:proofErr w:type="spellStart"/>
      <w:r w:rsidR="006B2D77" w:rsidRPr="007238C6">
        <w:rPr>
          <w:rFonts w:ascii="Calibri" w:hAnsi="Calibri" w:cs="Calibri"/>
          <w:highlight w:val="yellow"/>
        </w:rPr>
        <w:t>mNGS</w:t>
      </w:r>
      <w:proofErr w:type="spellEnd"/>
      <w:r w:rsidR="006B2D77" w:rsidRPr="007238C6">
        <w:rPr>
          <w:rFonts w:ascii="Calibri" w:hAnsi="Calibri" w:cs="Calibri"/>
          <w:highlight w:val="yellow"/>
        </w:rPr>
        <w:t xml:space="preserve"> data analysis is available </w:t>
      </w:r>
      <w:r w:rsidR="006B2D77" w:rsidRPr="007238C6">
        <w:rPr>
          <w:rFonts w:ascii="Calibri" w:hAnsi="Calibri" w:cs="Calibri"/>
          <w:highlight w:val="yellow"/>
        </w:rPr>
        <w:lastRenderedPageBreak/>
        <w:t xml:space="preserve">at </w:t>
      </w:r>
      <w:hyperlink r:id="rId9" w:history="1">
        <w:r w:rsidR="006B2D77" w:rsidRPr="007238C6">
          <w:rPr>
            <w:rStyle w:val="Hyperlink"/>
            <w:rFonts w:ascii="Calibri" w:hAnsi="Calibri" w:cs="Calibri"/>
            <w:highlight w:val="yellow"/>
          </w:rPr>
          <w:t>https://chanzuckerberg.zendesk.com/hc/en-us/articles/13770737266196-Guide-to-mNGS-Data-Analysis</w:t>
        </w:r>
      </w:hyperlink>
      <w:r w:rsidR="006B2D77" w:rsidRPr="007238C6">
        <w:rPr>
          <w:rFonts w:ascii="Calibri" w:hAnsi="Calibri" w:cs="Calibri"/>
          <w:highlight w:val="yellow"/>
        </w:rPr>
        <w:t xml:space="preserve"> </w:t>
      </w:r>
    </w:p>
    <w:p w14:paraId="3AB2FB82" w14:textId="77777777" w:rsidR="00AF67B8" w:rsidRPr="007238C6" w:rsidRDefault="00AF67B8" w:rsidP="00602F80">
      <w:pPr>
        <w:pStyle w:val="ListParagraph"/>
        <w:ind w:left="0"/>
        <w:jc w:val="both"/>
        <w:rPr>
          <w:rFonts w:ascii="Calibri" w:hAnsi="Calibri" w:cs="Calibri"/>
          <w:color w:val="467886" w:themeColor="hyperlink"/>
          <w:highlight w:val="yellow"/>
          <w:u w:val="single"/>
        </w:rPr>
      </w:pPr>
    </w:p>
    <w:p w14:paraId="7EB41566" w14:textId="373DD4F1" w:rsidR="00384537" w:rsidRDefault="00AF67B8" w:rsidP="00602F80">
      <w:pPr>
        <w:pStyle w:val="ListParagraph"/>
        <w:ind w:left="0"/>
        <w:jc w:val="both"/>
        <w:rPr>
          <w:rFonts w:ascii="Calibri" w:hAnsi="Calibri" w:cs="Calibri"/>
        </w:rPr>
      </w:pPr>
      <w:r w:rsidRPr="007238C6">
        <w:rPr>
          <w:rFonts w:ascii="Calibri" w:hAnsi="Calibri" w:cs="Calibri"/>
          <w:highlight w:val="yellow"/>
        </w:rPr>
        <w:t xml:space="preserve">7.2. </w:t>
      </w:r>
      <w:r w:rsidR="00BB4DF9" w:rsidRPr="007238C6">
        <w:rPr>
          <w:rFonts w:ascii="Calibri" w:hAnsi="Calibri" w:cs="Calibri"/>
          <w:highlight w:val="yellow"/>
        </w:rPr>
        <w:t>Log</w:t>
      </w:r>
      <w:r w:rsidR="00384537" w:rsidRPr="007238C6">
        <w:rPr>
          <w:rFonts w:ascii="Calibri" w:hAnsi="Calibri" w:cs="Calibri"/>
          <w:highlight w:val="yellow"/>
        </w:rPr>
        <w:t xml:space="preserve"> into CZID, click “</w:t>
      </w:r>
      <w:r w:rsidR="00384537" w:rsidRPr="007238C6">
        <w:rPr>
          <w:rFonts w:ascii="Calibri" w:hAnsi="Calibri" w:cs="Calibri"/>
          <w:b/>
          <w:bCs/>
          <w:highlight w:val="yellow"/>
        </w:rPr>
        <w:t>upload</w:t>
      </w:r>
      <w:r w:rsidR="00384537" w:rsidRPr="007238C6">
        <w:rPr>
          <w:rFonts w:ascii="Calibri" w:hAnsi="Calibri" w:cs="Calibri"/>
          <w:highlight w:val="yellow"/>
        </w:rPr>
        <w:t>,” select “</w:t>
      </w:r>
      <w:r w:rsidR="00384537" w:rsidRPr="007238C6">
        <w:rPr>
          <w:rFonts w:ascii="Calibri" w:hAnsi="Calibri" w:cs="Calibri"/>
          <w:b/>
          <w:bCs/>
          <w:highlight w:val="yellow"/>
        </w:rPr>
        <w:t>metagenomics</w:t>
      </w:r>
      <w:r w:rsidR="00384537" w:rsidRPr="007238C6">
        <w:rPr>
          <w:rFonts w:ascii="Calibri" w:hAnsi="Calibri" w:cs="Calibri"/>
          <w:highlight w:val="yellow"/>
        </w:rPr>
        <w:t xml:space="preserve">” for analysis type, and select the input </w:t>
      </w:r>
      <w:proofErr w:type="spellStart"/>
      <w:r w:rsidR="00384537" w:rsidRPr="007238C6">
        <w:rPr>
          <w:rFonts w:ascii="Calibri" w:hAnsi="Calibri" w:cs="Calibri"/>
          <w:highlight w:val="yellow"/>
        </w:rPr>
        <w:t>fastq</w:t>
      </w:r>
      <w:proofErr w:type="spellEnd"/>
      <w:r w:rsidR="00384537" w:rsidRPr="007238C6">
        <w:rPr>
          <w:rFonts w:ascii="Calibri" w:hAnsi="Calibri" w:cs="Calibri"/>
          <w:highlight w:val="yellow"/>
        </w:rPr>
        <w:t xml:space="preserve"> files from the sequencing run. Input the necessary information for each sample, including sample name, sample type (CSF), and nucleotide (RNA or DNA).</w:t>
      </w:r>
      <w:r w:rsidR="00384537" w:rsidRPr="00800BBC">
        <w:rPr>
          <w:rFonts w:ascii="Calibri" w:hAnsi="Calibri" w:cs="Calibri"/>
        </w:rPr>
        <w:t xml:space="preserve"> </w:t>
      </w:r>
    </w:p>
    <w:p w14:paraId="649BA8FF" w14:textId="77777777" w:rsidR="00AF67B8" w:rsidRPr="00800BBC" w:rsidRDefault="00AF67B8" w:rsidP="00602F80">
      <w:pPr>
        <w:pStyle w:val="ListParagraph"/>
        <w:ind w:left="0"/>
        <w:jc w:val="both"/>
        <w:rPr>
          <w:rFonts w:ascii="Calibri" w:hAnsi="Calibri" w:cs="Calibri"/>
        </w:rPr>
      </w:pPr>
    </w:p>
    <w:p w14:paraId="354DD85A" w14:textId="0A30F5AD" w:rsidR="00643E5F" w:rsidRDefault="00BB4DF9" w:rsidP="00602F80">
      <w:pPr>
        <w:pStyle w:val="ListParagraph"/>
        <w:ind w:left="0"/>
        <w:jc w:val="both"/>
        <w:rPr>
          <w:rFonts w:ascii="Calibri" w:hAnsi="Calibri" w:cs="Calibri"/>
        </w:rPr>
      </w:pPr>
      <w:r>
        <w:rPr>
          <w:rFonts w:ascii="Calibri" w:hAnsi="Calibri" w:cs="Calibri"/>
        </w:rPr>
        <w:t>NOTE:</w:t>
      </w:r>
      <w:r w:rsidR="007C3292">
        <w:rPr>
          <w:rFonts w:ascii="Calibri" w:hAnsi="Calibri" w:cs="Calibri"/>
        </w:rPr>
        <w:t xml:space="preserve"> T</w:t>
      </w:r>
      <w:r w:rsidR="00BF36AA" w:rsidRPr="00800BBC">
        <w:rPr>
          <w:rFonts w:ascii="Calibri" w:hAnsi="Calibri" w:cs="Calibri"/>
        </w:rPr>
        <w:t xml:space="preserve">he </w:t>
      </w:r>
      <w:r w:rsidR="006B2D77" w:rsidRPr="00800BBC">
        <w:rPr>
          <w:rFonts w:ascii="Calibri" w:hAnsi="Calibri" w:cs="Calibri"/>
        </w:rPr>
        <w:t xml:space="preserve">uploaded </w:t>
      </w:r>
      <w:r w:rsidR="00BF36AA" w:rsidRPr="00800BBC">
        <w:rPr>
          <w:rFonts w:ascii="Calibri" w:hAnsi="Calibri" w:cs="Calibri"/>
        </w:rPr>
        <w:t xml:space="preserve">files undergo automated processing via the CZID pipeline, which incorporates </w:t>
      </w:r>
      <w:r w:rsidR="00C4085D" w:rsidRPr="00800BBC">
        <w:rPr>
          <w:rFonts w:ascii="Calibri" w:hAnsi="Calibri" w:cs="Calibri"/>
        </w:rPr>
        <w:t>several</w:t>
      </w:r>
      <w:r w:rsidR="00BF36AA" w:rsidRPr="00800BBC">
        <w:rPr>
          <w:rFonts w:ascii="Calibri" w:hAnsi="Calibri" w:cs="Calibri"/>
        </w:rPr>
        <w:t xml:space="preserve"> computational tools such as STAR, Bowtie2, </w:t>
      </w:r>
      <w:proofErr w:type="spellStart"/>
      <w:r w:rsidR="00BF36AA" w:rsidRPr="00800BBC">
        <w:rPr>
          <w:rFonts w:ascii="Calibri" w:hAnsi="Calibri" w:cs="Calibri"/>
        </w:rPr>
        <w:t>Trimmomatic</w:t>
      </w:r>
      <w:proofErr w:type="spellEnd"/>
      <w:r w:rsidR="00BF36AA" w:rsidRPr="00800BBC">
        <w:rPr>
          <w:rFonts w:ascii="Calibri" w:hAnsi="Calibri" w:cs="Calibri"/>
        </w:rPr>
        <w:t xml:space="preserve">, </w:t>
      </w:r>
      <w:proofErr w:type="spellStart"/>
      <w:r w:rsidR="00BF36AA" w:rsidRPr="00800BBC">
        <w:rPr>
          <w:rFonts w:ascii="Calibri" w:hAnsi="Calibri" w:cs="Calibri"/>
        </w:rPr>
        <w:t>PriceSeq</w:t>
      </w:r>
      <w:proofErr w:type="spellEnd"/>
      <w:r w:rsidR="00BF36AA" w:rsidRPr="00800BBC">
        <w:rPr>
          <w:rFonts w:ascii="Calibri" w:hAnsi="Calibri" w:cs="Calibri"/>
        </w:rPr>
        <w:t xml:space="preserve">, and GSNAP, among others, to remove low-quality reads and human read sequences. The pipeline then aligns and assembles the </w:t>
      </w:r>
      <w:r w:rsidR="004A7A23" w:rsidRPr="00800BBC">
        <w:rPr>
          <w:rFonts w:ascii="Calibri" w:hAnsi="Calibri" w:cs="Calibri"/>
        </w:rPr>
        <w:t xml:space="preserve">filtered </w:t>
      </w:r>
      <w:r w:rsidR="00BF36AA" w:rsidRPr="00800BBC">
        <w:rPr>
          <w:rFonts w:ascii="Calibri" w:hAnsi="Calibri" w:cs="Calibri"/>
        </w:rPr>
        <w:t>sequences utilizing the National Center for Biotechnology Information (NCBI) nucleotide (NT) and protein (NR) databases via the Minimap2 and DIAMOND software programs, respectively. The final CZID output includes NT/NR taxon counts</w:t>
      </w:r>
      <w:r w:rsidR="007F17AF" w:rsidRPr="00800BBC">
        <w:rPr>
          <w:rFonts w:ascii="Calibri" w:hAnsi="Calibri" w:cs="Calibri"/>
        </w:rPr>
        <w:t xml:space="preserve"> and</w:t>
      </w:r>
      <w:r w:rsidR="00BF36AA" w:rsidRPr="00800BBC">
        <w:rPr>
          <w:rFonts w:ascii="Calibri" w:hAnsi="Calibri" w:cs="Calibri"/>
        </w:rPr>
        <w:t xml:space="preserve"> contig counts (contiguous, overlapping segments generated during assembly) for each sample. </w:t>
      </w:r>
    </w:p>
    <w:p w14:paraId="165B9ED2" w14:textId="77777777" w:rsidR="007C3292" w:rsidRPr="00800BBC" w:rsidRDefault="007C3292" w:rsidP="00602F80">
      <w:pPr>
        <w:pStyle w:val="ListParagraph"/>
        <w:ind w:left="0"/>
        <w:jc w:val="both"/>
        <w:rPr>
          <w:rFonts w:ascii="Calibri" w:hAnsi="Calibri" w:cs="Calibri"/>
        </w:rPr>
      </w:pPr>
    </w:p>
    <w:p w14:paraId="09926589" w14:textId="4196B48B" w:rsidR="00BB4DF9" w:rsidRPr="007238C6" w:rsidRDefault="007C3292" w:rsidP="00602F80">
      <w:pPr>
        <w:pStyle w:val="ListParagraph"/>
        <w:ind w:left="0"/>
        <w:jc w:val="both"/>
        <w:rPr>
          <w:rFonts w:ascii="Calibri" w:hAnsi="Calibri" w:cs="Calibri"/>
          <w:highlight w:val="yellow"/>
        </w:rPr>
      </w:pPr>
      <w:r>
        <w:rPr>
          <w:rFonts w:ascii="Calibri" w:hAnsi="Calibri" w:cs="Calibri"/>
        </w:rPr>
        <w:t>7.</w:t>
      </w:r>
      <w:r w:rsidR="00BB4DF9">
        <w:rPr>
          <w:rFonts w:ascii="Calibri" w:hAnsi="Calibri" w:cs="Calibri"/>
        </w:rPr>
        <w:t>3</w:t>
      </w:r>
      <w:r>
        <w:rPr>
          <w:rFonts w:ascii="Calibri" w:hAnsi="Calibri" w:cs="Calibri"/>
        </w:rPr>
        <w:t xml:space="preserve">. </w:t>
      </w:r>
      <w:r w:rsidR="00384537" w:rsidRPr="007238C6">
        <w:rPr>
          <w:rFonts w:ascii="Calibri" w:hAnsi="Calibri" w:cs="Calibri"/>
          <w:highlight w:val="yellow"/>
        </w:rPr>
        <w:t xml:space="preserve">Once processed, click the project folder containing the samples and navigate to the summary dashboard. </w:t>
      </w:r>
    </w:p>
    <w:p w14:paraId="6F73796A" w14:textId="77777777" w:rsidR="00BB4DF9" w:rsidRPr="007238C6" w:rsidRDefault="00BB4DF9" w:rsidP="00602F80">
      <w:pPr>
        <w:pStyle w:val="ListParagraph"/>
        <w:ind w:left="0"/>
        <w:jc w:val="both"/>
        <w:rPr>
          <w:rFonts w:ascii="Calibri" w:hAnsi="Calibri" w:cs="Calibri"/>
          <w:highlight w:val="yellow"/>
        </w:rPr>
      </w:pPr>
    </w:p>
    <w:p w14:paraId="73801AD0" w14:textId="6F159D6B" w:rsidR="006B2D77" w:rsidRPr="007238C6" w:rsidRDefault="00BB4DF9" w:rsidP="00602F80">
      <w:pPr>
        <w:pStyle w:val="ListParagraph"/>
        <w:ind w:left="0"/>
        <w:jc w:val="both"/>
        <w:rPr>
          <w:rFonts w:ascii="Calibri" w:hAnsi="Calibri" w:cs="Calibri"/>
          <w:highlight w:val="yellow"/>
        </w:rPr>
      </w:pPr>
      <w:r w:rsidRPr="007238C6">
        <w:rPr>
          <w:rFonts w:ascii="Calibri" w:hAnsi="Calibri" w:cs="Calibri"/>
          <w:highlight w:val="yellow"/>
        </w:rPr>
        <w:t xml:space="preserve">7.4. </w:t>
      </w:r>
      <w:r w:rsidR="0073047A" w:rsidRPr="007238C6">
        <w:rPr>
          <w:rFonts w:ascii="Calibri" w:hAnsi="Calibri" w:cs="Calibri"/>
          <w:highlight w:val="yellow"/>
        </w:rPr>
        <w:t>Scroll down to e</w:t>
      </w:r>
      <w:r w:rsidR="006B2D77" w:rsidRPr="007238C6">
        <w:rPr>
          <w:rFonts w:ascii="Calibri" w:hAnsi="Calibri" w:cs="Calibri"/>
          <w:highlight w:val="yellow"/>
        </w:rPr>
        <w:t>xamine the number of reads per sample (and compare to the expected number of reads based on the Illumina flow cell used and the number of samples multiplexed in the sequencing run), the percentage of reads passing quality control filtering</w:t>
      </w:r>
      <w:r w:rsidR="00C11BA6" w:rsidRPr="007238C6">
        <w:rPr>
          <w:rFonts w:ascii="Calibri" w:hAnsi="Calibri" w:cs="Calibri"/>
          <w:highlight w:val="yellow"/>
        </w:rPr>
        <w:t>,</w:t>
      </w:r>
      <w:r w:rsidR="006B2D77" w:rsidRPr="007238C6">
        <w:rPr>
          <w:rFonts w:ascii="Calibri" w:hAnsi="Calibri" w:cs="Calibri"/>
          <w:highlight w:val="yellow"/>
        </w:rPr>
        <w:t xml:space="preserve"> and the duplicate compression ratio to assess for biased PCR overamplification. </w:t>
      </w:r>
    </w:p>
    <w:p w14:paraId="006241F1" w14:textId="77777777" w:rsidR="007C3292" w:rsidRPr="007238C6" w:rsidRDefault="007C3292" w:rsidP="00602F80">
      <w:pPr>
        <w:pStyle w:val="ListParagraph"/>
        <w:ind w:left="0"/>
        <w:jc w:val="both"/>
        <w:rPr>
          <w:rFonts w:ascii="Calibri" w:hAnsi="Calibri" w:cs="Calibri"/>
          <w:highlight w:val="yellow"/>
        </w:rPr>
      </w:pPr>
    </w:p>
    <w:p w14:paraId="41693F36" w14:textId="53D5903A" w:rsidR="0073047A" w:rsidRPr="007238C6" w:rsidRDefault="007C3292" w:rsidP="00602F80">
      <w:pPr>
        <w:pStyle w:val="ListParagraph"/>
        <w:ind w:left="0"/>
        <w:jc w:val="both"/>
        <w:rPr>
          <w:rFonts w:ascii="Calibri" w:hAnsi="Calibri" w:cs="Calibri"/>
          <w:highlight w:val="yellow"/>
        </w:rPr>
      </w:pPr>
      <w:r w:rsidRPr="007238C6">
        <w:rPr>
          <w:rFonts w:ascii="Calibri" w:hAnsi="Calibri" w:cs="Calibri"/>
          <w:highlight w:val="yellow"/>
        </w:rPr>
        <w:t xml:space="preserve">7.5. </w:t>
      </w:r>
      <w:r w:rsidR="0073047A" w:rsidRPr="007238C6">
        <w:rPr>
          <w:rFonts w:ascii="Calibri" w:hAnsi="Calibri" w:cs="Calibri"/>
          <w:highlight w:val="yellow"/>
        </w:rPr>
        <w:t>The</w:t>
      </w:r>
      <w:r w:rsidR="00BF36AA" w:rsidRPr="007238C6">
        <w:rPr>
          <w:rFonts w:ascii="Calibri" w:hAnsi="Calibri" w:cs="Calibri"/>
          <w:highlight w:val="yellow"/>
        </w:rPr>
        <w:t xml:space="preserve"> presence of contamination by environmental nucleic acid fragments - either acquired during the CSF sample collection process, or during extraction/library preparation - is a common occurrence</w:t>
      </w:r>
      <w:r w:rsidR="00851A50" w:rsidRPr="007238C6">
        <w:rPr>
          <w:rFonts w:ascii="Calibri" w:hAnsi="Calibri" w:cs="Calibri"/>
          <w:highlight w:val="yellow"/>
        </w:rPr>
        <w:fldChar w:fldCharType="begin"/>
      </w:r>
      <w:r w:rsidR="00BF44AA" w:rsidRPr="007238C6">
        <w:rPr>
          <w:rFonts w:ascii="Calibri" w:hAnsi="Calibri" w:cs="Calibri"/>
          <w:highlight w:val="yellow"/>
        </w:rPr>
        <w:instrText xml:space="preserve"> ADDIN ZOTERO_ITEM CSL_CITATION {"citationID":"H5DzXGlm","properties":{"formattedCitation":"\\super 20\\nosupersub{}","plainCitation":"20","noteIndex":0},"citationItems":[{"id":302,"uris":["http://zotero.org/users/local/4EOi04XK/items/VJHFYGZW","http://zotero.org/users/14835897/items/VJHFYGZW"],"itemData":{"id":302,"type":"article-journal","abstract":"Metagenomic next-generation sequencing (mNGS) experiments involving small amounts of nucleic acid input are highly susceptible to erroneous conclusions resulting from unintentional sequencing of occult contaminants, especially those derived from molecular biology reagents. Recent work suggests that, for any given microbe detected by mNGS, an inverse linear relationship between microbial sequencing reads and sample mass implicates that microbe as a contaminant. By associating sequencing read output with the mass of a spike-in control, we demonstrate that contaminant nucleic acid can be quantified in order to identify the mass contributions of each constituent. In an experiment using a high-resolution (n = 96) dilution series of HeLa RNA spanning 3-logs of RNA mass input, we identified a complex set of contaminants totaling 9.1 ± 2.0 attograms. Given the competition between contamination and the true microbiome in ultra-low biomass samples such as respiratory fluid, quantification of the contamination within a given batch of biological samples can be used to determine a minimum mass input below which sequencing results may be distorted. Rather than completely censoring contaminant taxa from downstream analyses, we propose here a statistical approach that allows separation of the true microbial components from the actual contribution due to contamination. We demonstrate this approach using a batch of n = 97 human serum samples and note that despite E. coli contamination throughout the dataset, we are able to identify a patient sample with significantly more E. coli than expected from contamination alone. Importantly, our method assumes no prior understanding of possible contaminants, does not rely on any prior collection of environmental or reagent-only sequencing samples, and does not censor potentially clinically relevant taxa, thus making it a generalized approach to any kind of metagenomic sequencing, for any purpose, clinical or otherwise.","container-title":"Microbiome","DOI":"10.1186/s40168-019-0678-6","ISSN":"2049-2618","issue":"1","journalAbbreviation":"Microbiome","language":"eng","page":"62","PMID":"30992055","PMCID":"PMC6469116","source":"PubMed","title":"Towards precision quantification of contamination in metagenomic sequencing experiments","volume":"7","author":[{"family":"Zinter","given":"M. S."},{"family":"Mayday","given":"M. Y."},{"family":"Ryckman","given":"K. K."},{"family":"Jelliffe-Pawlowski","given":"L. L."},{"family":"DeRisi","given":"J. L."}],"issued":{"date-parts":[["2019",4,16]]}}}],"schema":"https://github.com/citation-style-language/schema/raw/master/csl-citation.json"} </w:instrText>
      </w:r>
      <w:r w:rsidR="00851A50" w:rsidRPr="007238C6">
        <w:rPr>
          <w:rFonts w:ascii="Calibri" w:hAnsi="Calibri" w:cs="Calibri"/>
          <w:highlight w:val="yellow"/>
        </w:rPr>
        <w:fldChar w:fldCharType="separate"/>
      </w:r>
      <w:r w:rsidR="008D1CAB" w:rsidRPr="007238C6">
        <w:rPr>
          <w:rFonts w:ascii="Calibri" w:hAnsi="Calibri" w:cs="Calibri"/>
          <w:kern w:val="0"/>
          <w:highlight w:val="yellow"/>
          <w:vertAlign w:val="superscript"/>
        </w:rPr>
        <w:t>20</w:t>
      </w:r>
      <w:r w:rsidR="00851A50" w:rsidRPr="007238C6">
        <w:rPr>
          <w:rFonts w:ascii="Calibri" w:hAnsi="Calibri" w:cs="Calibri"/>
          <w:highlight w:val="yellow"/>
        </w:rPr>
        <w:fldChar w:fldCharType="end"/>
      </w:r>
      <w:r w:rsidR="00BF44AA" w:rsidRPr="007238C6">
        <w:rPr>
          <w:rFonts w:ascii="Calibri" w:hAnsi="Calibri" w:cs="Calibri"/>
          <w:highlight w:val="yellow"/>
        </w:rPr>
        <w:t>.</w:t>
      </w:r>
      <w:r w:rsidR="00BF36AA" w:rsidRPr="007238C6">
        <w:rPr>
          <w:rFonts w:ascii="Calibri" w:hAnsi="Calibri" w:cs="Calibri"/>
          <w:highlight w:val="yellow"/>
        </w:rPr>
        <w:t xml:space="preserve"> </w:t>
      </w:r>
      <w:r w:rsidR="0073047A" w:rsidRPr="007238C6">
        <w:rPr>
          <w:rFonts w:ascii="Calibri" w:hAnsi="Calibri" w:cs="Calibri"/>
          <w:highlight w:val="yellow"/>
        </w:rPr>
        <w:t xml:space="preserve">To determine whether bacterial, fungal, and parasitic reads are true positives, potential methods utilizing the normalized read counts (reads per million, or </w:t>
      </w:r>
      <w:proofErr w:type="spellStart"/>
      <w:r w:rsidR="0073047A" w:rsidRPr="007238C6">
        <w:rPr>
          <w:rFonts w:ascii="Calibri" w:hAnsi="Calibri" w:cs="Calibri"/>
          <w:highlight w:val="yellow"/>
        </w:rPr>
        <w:t>rPM</w:t>
      </w:r>
      <w:proofErr w:type="spellEnd"/>
      <w:r w:rsidR="0073047A" w:rsidRPr="007238C6">
        <w:rPr>
          <w:rFonts w:ascii="Calibri" w:hAnsi="Calibri" w:cs="Calibri"/>
          <w:highlight w:val="yellow"/>
        </w:rPr>
        <w:t>) can be considered:</w:t>
      </w:r>
    </w:p>
    <w:p w14:paraId="0B1A6DD4" w14:textId="77777777" w:rsidR="007C3292" w:rsidRPr="007238C6" w:rsidRDefault="007C3292" w:rsidP="00602F80">
      <w:pPr>
        <w:pStyle w:val="ListParagraph"/>
        <w:ind w:left="0"/>
        <w:jc w:val="both"/>
        <w:rPr>
          <w:rFonts w:ascii="Calibri" w:hAnsi="Calibri" w:cs="Calibri"/>
          <w:highlight w:val="yellow"/>
        </w:rPr>
      </w:pPr>
    </w:p>
    <w:p w14:paraId="37C2F3B2" w14:textId="230D1B9E" w:rsidR="0073047A" w:rsidRPr="007238C6" w:rsidRDefault="007C3292" w:rsidP="00602F80">
      <w:pPr>
        <w:pStyle w:val="ListParagraph"/>
        <w:ind w:left="0"/>
        <w:jc w:val="both"/>
        <w:rPr>
          <w:rFonts w:ascii="Calibri" w:hAnsi="Calibri" w:cs="Calibri"/>
          <w:highlight w:val="yellow"/>
        </w:rPr>
      </w:pPr>
      <w:r w:rsidRPr="007238C6">
        <w:rPr>
          <w:rFonts w:ascii="Calibri" w:hAnsi="Calibri" w:cs="Calibri"/>
          <w:highlight w:val="yellow"/>
        </w:rPr>
        <w:t xml:space="preserve">7.5.1. </w:t>
      </w:r>
      <w:r w:rsidR="00BB4DF9" w:rsidRPr="007238C6">
        <w:rPr>
          <w:rFonts w:ascii="Calibri" w:hAnsi="Calibri" w:cs="Calibri"/>
          <w:highlight w:val="yellow"/>
        </w:rPr>
        <w:t xml:space="preserve">Create </w:t>
      </w:r>
      <w:r w:rsidR="0073047A" w:rsidRPr="007238C6">
        <w:rPr>
          <w:rFonts w:ascii="Calibri" w:hAnsi="Calibri" w:cs="Calibri"/>
          <w:highlight w:val="yellow"/>
        </w:rPr>
        <w:t>a background model (e.g.</w:t>
      </w:r>
      <w:r w:rsidR="00C11BA6" w:rsidRPr="007238C6">
        <w:rPr>
          <w:rFonts w:ascii="Calibri" w:hAnsi="Calibri" w:cs="Calibri"/>
          <w:highlight w:val="yellow"/>
        </w:rPr>
        <w:t>,</w:t>
      </w:r>
      <w:r w:rsidR="0073047A" w:rsidRPr="007238C6">
        <w:rPr>
          <w:rFonts w:ascii="Calibri" w:hAnsi="Calibri" w:cs="Calibri"/>
          <w:highlight w:val="yellow"/>
        </w:rPr>
        <w:t xml:space="preserve"> using water samples that have been extracted, prepared, and sequenced) directly within CZID to filter out any </w:t>
      </w:r>
      <w:proofErr w:type="spellStart"/>
      <w:r w:rsidR="0073047A" w:rsidRPr="007238C6">
        <w:rPr>
          <w:rFonts w:ascii="Calibri" w:hAnsi="Calibri" w:cs="Calibri"/>
          <w:highlight w:val="yellow"/>
        </w:rPr>
        <w:t>taxons</w:t>
      </w:r>
      <w:proofErr w:type="spellEnd"/>
      <w:r w:rsidR="0073047A" w:rsidRPr="007238C6">
        <w:rPr>
          <w:rFonts w:ascii="Calibri" w:hAnsi="Calibri" w:cs="Calibri"/>
          <w:highlight w:val="yellow"/>
        </w:rPr>
        <w:t xml:space="preserve"> with </w:t>
      </w:r>
      <w:proofErr w:type="spellStart"/>
      <w:r w:rsidR="0073047A" w:rsidRPr="007238C6">
        <w:rPr>
          <w:rFonts w:ascii="Calibri" w:hAnsi="Calibri" w:cs="Calibri"/>
          <w:highlight w:val="yellow"/>
        </w:rPr>
        <w:t>rPMs</w:t>
      </w:r>
      <w:proofErr w:type="spellEnd"/>
      <w:r w:rsidR="0073047A" w:rsidRPr="007238C6">
        <w:rPr>
          <w:rFonts w:ascii="Calibri" w:hAnsi="Calibri" w:cs="Calibri"/>
          <w:highlight w:val="yellow"/>
        </w:rPr>
        <w:t xml:space="preserve"> that are </w:t>
      </w:r>
      <w:proofErr w:type="gramStart"/>
      <w:r w:rsidR="0073047A" w:rsidRPr="007238C6">
        <w:rPr>
          <w:rFonts w:ascii="Calibri" w:hAnsi="Calibri" w:cs="Calibri"/>
          <w:highlight w:val="yellow"/>
        </w:rPr>
        <w:t>similar to</w:t>
      </w:r>
      <w:proofErr w:type="gramEnd"/>
      <w:r w:rsidR="0073047A" w:rsidRPr="007238C6">
        <w:rPr>
          <w:rFonts w:ascii="Calibri" w:hAnsi="Calibri" w:cs="Calibri"/>
          <w:highlight w:val="yellow"/>
        </w:rPr>
        <w:t xml:space="preserve"> or lower in abundance relative to the background model (and therefore, likely to represent contamination). Within the project folder, check each of the water control samples and then click “</w:t>
      </w:r>
      <w:r w:rsidR="0073047A" w:rsidRPr="007238C6">
        <w:rPr>
          <w:rFonts w:ascii="Calibri" w:hAnsi="Calibri" w:cs="Calibri"/>
          <w:b/>
          <w:bCs/>
          <w:highlight w:val="yellow"/>
        </w:rPr>
        <w:t>background model</w:t>
      </w:r>
      <w:r w:rsidR="0073047A" w:rsidRPr="007238C6">
        <w:rPr>
          <w:rFonts w:ascii="Calibri" w:hAnsi="Calibri" w:cs="Calibri"/>
          <w:highlight w:val="yellow"/>
        </w:rPr>
        <w:t>” to create. While analyzing each sample, select the background model and click “</w:t>
      </w:r>
      <w:r w:rsidR="0073047A" w:rsidRPr="007238C6">
        <w:rPr>
          <w:rFonts w:ascii="Calibri" w:hAnsi="Calibri" w:cs="Calibri"/>
          <w:b/>
          <w:bCs/>
          <w:highlight w:val="yellow"/>
        </w:rPr>
        <w:t>threshold filters</w:t>
      </w:r>
      <w:r w:rsidR="0073047A" w:rsidRPr="007238C6">
        <w:rPr>
          <w:rFonts w:ascii="Calibri" w:hAnsi="Calibri" w:cs="Calibri"/>
          <w:highlight w:val="yellow"/>
        </w:rPr>
        <w:t xml:space="preserve">” to apply </w:t>
      </w:r>
      <w:r w:rsidR="00C11BA6" w:rsidRPr="007238C6">
        <w:rPr>
          <w:rFonts w:ascii="Calibri" w:hAnsi="Calibri" w:cs="Calibri"/>
          <w:highlight w:val="yellow"/>
        </w:rPr>
        <w:t>an</w:t>
      </w:r>
      <w:r w:rsidR="0073047A" w:rsidRPr="007238C6">
        <w:rPr>
          <w:rFonts w:ascii="Calibri" w:hAnsi="Calibri" w:cs="Calibri"/>
          <w:highlight w:val="yellow"/>
        </w:rPr>
        <w:t xml:space="preserve"> “</w:t>
      </w:r>
      <w:r w:rsidR="0073047A" w:rsidRPr="007238C6">
        <w:rPr>
          <w:rFonts w:ascii="Calibri" w:hAnsi="Calibri" w:cs="Calibri"/>
          <w:b/>
          <w:bCs/>
          <w:highlight w:val="yellow"/>
        </w:rPr>
        <w:t>NTZ Score</w:t>
      </w:r>
      <w:r w:rsidR="0073047A" w:rsidRPr="007238C6">
        <w:rPr>
          <w:rFonts w:ascii="Calibri" w:hAnsi="Calibri" w:cs="Calibri"/>
          <w:highlight w:val="yellow"/>
        </w:rPr>
        <w:t>” &gt; 1 (or higher) to filter out likely contaminants.</w:t>
      </w:r>
    </w:p>
    <w:p w14:paraId="33419F15" w14:textId="77777777" w:rsidR="007C3292" w:rsidRPr="007238C6" w:rsidRDefault="007C3292" w:rsidP="00602F80">
      <w:pPr>
        <w:pStyle w:val="ListParagraph"/>
        <w:ind w:left="0"/>
        <w:jc w:val="both"/>
        <w:rPr>
          <w:rFonts w:ascii="Calibri" w:hAnsi="Calibri" w:cs="Calibri"/>
          <w:highlight w:val="yellow"/>
        </w:rPr>
      </w:pPr>
    </w:p>
    <w:p w14:paraId="1E1F3BA0" w14:textId="26234FF1" w:rsidR="00B64A9D" w:rsidRPr="00800BBC" w:rsidRDefault="007C3292" w:rsidP="00602F80">
      <w:pPr>
        <w:pStyle w:val="ListParagraph"/>
        <w:ind w:left="0"/>
        <w:jc w:val="both"/>
        <w:rPr>
          <w:rFonts w:ascii="Calibri" w:hAnsi="Calibri" w:cs="Calibri"/>
        </w:rPr>
      </w:pPr>
      <w:r w:rsidRPr="007238C6">
        <w:rPr>
          <w:rFonts w:ascii="Calibri" w:hAnsi="Calibri" w:cs="Calibri"/>
          <w:highlight w:val="yellow"/>
        </w:rPr>
        <w:t xml:space="preserve">7.5.2. </w:t>
      </w:r>
      <w:r w:rsidR="00BB4DF9" w:rsidRPr="007238C6">
        <w:rPr>
          <w:rFonts w:ascii="Calibri" w:hAnsi="Calibri" w:cs="Calibri"/>
          <w:highlight w:val="yellow"/>
        </w:rPr>
        <w:t>Utilize</w:t>
      </w:r>
      <w:r w:rsidR="00BF36AA" w:rsidRPr="007238C6">
        <w:rPr>
          <w:rFonts w:ascii="Calibri" w:hAnsi="Calibri" w:cs="Calibri"/>
          <w:highlight w:val="yellow"/>
        </w:rPr>
        <w:t xml:space="preserve"> pre-specifi</w:t>
      </w:r>
      <w:r w:rsidR="0085609D" w:rsidRPr="007238C6">
        <w:rPr>
          <w:rFonts w:ascii="Calibri" w:hAnsi="Calibri" w:cs="Calibri"/>
          <w:highlight w:val="yellow"/>
        </w:rPr>
        <w:t>ed</w:t>
      </w:r>
      <w:r w:rsidR="00BF36AA" w:rsidRPr="007238C6">
        <w:rPr>
          <w:rFonts w:ascii="Calibri" w:hAnsi="Calibri" w:cs="Calibri"/>
          <w:highlight w:val="yellow"/>
        </w:rPr>
        <w:t xml:space="preserve"> </w:t>
      </w:r>
      <w:proofErr w:type="spellStart"/>
      <w:r w:rsidR="00BF36AA" w:rsidRPr="007238C6">
        <w:rPr>
          <w:rFonts w:ascii="Calibri" w:hAnsi="Calibri" w:cs="Calibri"/>
          <w:highlight w:val="yellow"/>
        </w:rPr>
        <w:t>rPM</w:t>
      </w:r>
      <w:proofErr w:type="spellEnd"/>
      <w:r w:rsidR="00BF36AA" w:rsidRPr="007238C6">
        <w:rPr>
          <w:rFonts w:ascii="Calibri" w:hAnsi="Calibri" w:cs="Calibri"/>
          <w:highlight w:val="yellow"/>
        </w:rPr>
        <w:t xml:space="preserve"> thresholds, such as </w:t>
      </w:r>
      <w:proofErr w:type="spellStart"/>
      <w:r w:rsidR="00BF36AA" w:rsidRPr="007238C6">
        <w:rPr>
          <w:rFonts w:ascii="Calibri" w:hAnsi="Calibri" w:cs="Calibri"/>
          <w:highlight w:val="yellow"/>
        </w:rPr>
        <w:t>rpM</w:t>
      </w:r>
      <w:r w:rsidR="00BF36AA" w:rsidRPr="007238C6">
        <w:rPr>
          <w:rFonts w:ascii="Calibri" w:hAnsi="Calibri" w:cs="Calibri"/>
          <w:highlight w:val="yellow"/>
          <w:vertAlign w:val="subscript"/>
        </w:rPr>
        <w:t>sample</w:t>
      </w:r>
      <w:proofErr w:type="spellEnd"/>
      <w:r w:rsidR="00BF36AA" w:rsidRPr="007238C6">
        <w:rPr>
          <w:rFonts w:ascii="Calibri" w:hAnsi="Calibri" w:cs="Calibri"/>
          <w:highlight w:val="yellow"/>
        </w:rPr>
        <w:t xml:space="preserve"> &gt; 10*(average </w:t>
      </w:r>
      <w:proofErr w:type="spellStart"/>
      <w:r w:rsidR="00BF36AA" w:rsidRPr="007238C6">
        <w:rPr>
          <w:rFonts w:ascii="Calibri" w:hAnsi="Calibri" w:cs="Calibri"/>
          <w:highlight w:val="yellow"/>
        </w:rPr>
        <w:t>rPM</w:t>
      </w:r>
      <w:r w:rsidR="00BF36AA" w:rsidRPr="007238C6">
        <w:rPr>
          <w:rFonts w:ascii="Calibri" w:hAnsi="Calibri" w:cs="Calibri"/>
          <w:highlight w:val="yellow"/>
          <w:vertAlign w:val="subscript"/>
        </w:rPr>
        <w:t>controls</w:t>
      </w:r>
      <w:proofErr w:type="spellEnd"/>
      <w:r w:rsidR="00BF36AA" w:rsidRPr="007238C6">
        <w:rPr>
          <w:rFonts w:ascii="Calibri" w:hAnsi="Calibri" w:cs="Calibri"/>
          <w:highlight w:val="yellow"/>
        </w:rPr>
        <w:t>), or log10(</w:t>
      </w:r>
      <w:proofErr w:type="spellStart"/>
      <w:r w:rsidR="00BF36AA" w:rsidRPr="007238C6">
        <w:rPr>
          <w:rFonts w:ascii="Calibri" w:hAnsi="Calibri" w:cs="Calibri"/>
          <w:highlight w:val="yellow"/>
        </w:rPr>
        <w:t>rPM</w:t>
      </w:r>
      <w:r w:rsidR="00BF36AA" w:rsidRPr="007238C6">
        <w:rPr>
          <w:rFonts w:ascii="Calibri" w:hAnsi="Calibri" w:cs="Calibri"/>
          <w:highlight w:val="yellow"/>
          <w:vertAlign w:val="subscript"/>
        </w:rPr>
        <w:t>sample</w:t>
      </w:r>
      <w:proofErr w:type="spellEnd"/>
      <w:r w:rsidR="00BF36AA" w:rsidRPr="007238C6">
        <w:rPr>
          <w:rFonts w:ascii="Calibri" w:hAnsi="Calibri" w:cs="Calibri"/>
          <w:highlight w:val="yellow"/>
        </w:rPr>
        <w:t xml:space="preserve">) at least 1 log greater than log 10(average </w:t>
      </w:r>
      <w:proofErr w:type="spellStart"/>
      <w:r w:rsidR="00BF36AA" w:rsidRPr="007238C6">
        <w:rPr>
          <w:rFonts w:ascii="Calibri" w:hAnsi="Calibri" w:cs="Calibri"/>
          <w:highlight w:val="yellow"/>
        </w:rPr>
        <w:t>rPM</w:t>
      </w:r>
      <w:r w:rsidR="00BF36AA" w:rsidRPr="007238C6">
        <w:rPr>
          <w:rFonts w:ascii="Calibri" w:hAnsi="Calibri" w:cs="Calibri"/>
          <w:highlight w:val="yellow"/>
          <w:vertAlign w:val="subscript"/>
        </w:rPr>
        <w:t>entire</w:t>
      </w:r>
      <w:proofErr w:type="spellEnd"/>
      <w:r w:rsidR="00BF36AA" w:rsidRPr="007238C6">
        <w:rPr>
          <w:rFonts w:ascii="Calibri" w:hAnsi="Calibri" w:cs="Calibri"/>
          <w:highlight w:val="yellow"/>
          <w:vertAlign w:val="subscript"/>
        </w:rPr>
        <w:t xml:space="preserve"> cohort</w:t>
      </w:r>
      <w:r w:rsidR="00BF36AA" w:rsidRPr="007238C6">
        <w:rPr>
          <w:rFonts w:ascii="Calibri" w:hAnsi="Calibri" w:cs="Calibri"/>
          <w:highlight w:val="yellow"/>
        </w:rPr>
        <w:t xml:space="preserve">). </w:t>
      </w:r>
      <w:r w:rsidR="00BB4DF9" w:rsidRPr="007238C6">
        <w:rPr>
          <w:rFonts w:ascii="Calibri" w:hAnsi="Calibri" w:cs="Calibri"/>
          <w:highlight w:val="yellow"/>
        </w:rPr>
        <w:t xml:space="preserve">First, download </w:t>
      </w:r>
      <w:r w:rsidR="00B64A9D" w:rsidRPr="007238C6">
        <w:rPr>
          <w:rFonts w:ascii="Calibri" w:hAnsi="Calibri" w:cs="Calibri"/>
          <w:highlight w:val="yellow"/>
        </w:rPr>
        <w:t xml:space="preserve">the taxon-specific </w:t>
      </w:r>
      <w:proofErr w:type="spellStart"/>
      <w:r w:rsidR="00B64A9D" w:rsidRPr="007238C6">
        <w:rPr>
          <w:rFonts w:ascii="Calibri" w:hAnsi="Calibri" w:cs="Calibri"/>
          <w:highlight w:val="yellow"/>
        </w:rPr>
        <w:t>rPM</w:t>
      </w:r>
      <w:proofErr w:type="spellEnd"/>
      <w:r w:rsidR="00B64A9D" w:rsidRPr="007238C6">
        <w:rPr>
          <w:rFonts w:ascii="Calibri" w:hAnsi="Calibri" w:cs="Calibri"/>
          <w:highlight w:val="yellow"/>
        </w:rPr>
        <w:t xml:space="preserve"> for each sample by checking each sample on the project page, clicking download, and selecting “</w:t>
      </w:r>
      <w:r w:rsidR="00B64A9D" w:rsidRPr="007238C6">
        <w:rPr>
          <w:rFonts w:ascii="Calibri" w:hAnsi="Calibri" w:cs="Calibri"/>
          <w:b/>
          <w:bCs/>
          <w:highlight w:val="yellow"/>
        </w:rPr>
        <w:t>Combined Sample Taxon Results</w:t>
      </w:r>
      <w:r w:rsidR="00B64A9D" w:rsidRPr="007238C6">
        <w:rPr>
          <w:rFonts w:ascii="Calibri" w:hAnsi="Calibri" w:cs="Calibri"/>
          <w:highlight w:val="yellow"/>
        </w:rPr>
        <w:t>.” The resulting .csv file can be analyzed using statistical software such as R or Stata</w:t>
      </w:r>
      <w:r w:rsidR="006E2748" w:rsidRPr="007238C6">
        <w:rPr>
          <w:rFonts w:ascii="Calibri" w:hAnsi="Calibri" w:cs="Calibri"/>
          <w:highlight w:val="yellow"/>
        </w:rPr>
        <w:t xml:space="preserve"> as desired.</w:t>
      </w:r>
    </w:p>
    <w:p w14:paraId="5D351778" w14:textId="77777777" w:rsidR="007C3292" w:rsidRDefault="007C3292" w:rsidP="00602F80">
      <w:pPr>
        <w:pStyle w:val="ListParagraph"/>
        <w:ind w:left="0"/>
        <w:jc w:val="both"/>
        <w:rPr>
          <w:rFonts w:ascii="Calibri" w:hAnsi="Calibri" w:cs="Calibri"/>
        </w:rPr>
      </w:pPr>
    </w:p>
    <w:p w14:paraId="49A7E755" w14:textId="501439D5" w:rsidR="00BF36AA" w:rsidRPr="00800BBC" w:rsidRDefault="00BB4DF9" w:rsidP="00602F80">
      <w:pPr>
        <w:pStyle w:val="ListParagraph"/>
        <w:ind w:left="0"/>
        <w:jc w:val="both"/>
        <w:rPr>
          <w:rFonts w:ascii="Calibri" w:hAnsi="Calibri" w:cs="Calibri"/>
        </w:rPr>
      </w:pPr>
      <w:r>
        <w:rPr>
          <w:rFonts w:ascii="Calibri" w:hAnsi="Calibri" w:cs="Calibri"/>
        </w:rPr>
        <w:t>NOTE:</w:t>
      </w:r>
      <w:r w:rsidR="007C3292">
        <w:rPr>
          <w:rFonts w:ascii="Calibri" w:hAnsi="Calibri" w:cs="Calibri"/>
        </w:rPr>
        <w:t xml:space="preserve"> </w:t>
      </w:r>
      <w:r w:rsidR="00BF36AA" w:rsidRPr="00800BBC">
        <w:rPr>
          <w:rFonts w:ascii="Calibri" w:hAnsi="Calibri" w:cs="Calibri"/>
        </w:rPr>
        <w:t>Given the lower relative abundance of viral pathogens, any virus with known neuroinvasive potential and at least one read aligning to the viral genome</w:t>
      </w:r>
      <w:r w:rsidR="004A7A23" w:rsidRPr="00800BBC">
        <w:rPr>
          <w:rFonts w:ascii="Calibri" w:hAnsi="Calibri" w:cs="Calibri"/>
        </w:rPr>
        <w:t xml:space="preserve"> should be considered a positive result</w:t>
      </w:r>
      <w:r w:rsidR="00BF36AA" w:rsidRPr="00800BBC">
        <w:rPr>
          <w:rFonts w:ascii="Calibri" w:hAnsi="Calibri" w:cs="Calibri"/>
        </w:rPr>
        <w:t xml:space="preserve"> </w:t>
      </w:r>
      <w:r w:rsidR="00BF36AA" w:rsidRPr="00800BBC">
        <w:rPr>
          <w:rFonts w:ascii="Calibri" w:hAnsi="Calibri" w:cs="Calibri"/>
        </w:rPr>
        <w:lastRenderedPageBreak/>
        <w:t xml:space="preserve">(and ideally, confirmed via repeat </w:t>
      </w:r>
      <w:proofErr w:type="spellStart"/>
      <w:r w:rsidR="00BF36AA" w:rsidRPr="00800BBC">
        <w:rPr>
          <w:rFonts w:ascii="Calibri" w:hAnsi="Calibri" w:cs="Calibri"/>
        </w:rPr>
        <w:t>mNGS</w:t>
      </w:r>
      <w:proofErr w:type="spellEnd"/>
      <w:r w:rsidR="00BF36AA" w:rsidRPr="00800BBC">
        <w:rPr>
          <w:rFonts w:ascii="Calibri" w:hAnsi="Calibri" w:cs="Calibri"/>
        </w:rPr>
        <w:t xml:space="preserve"> or pathogen-specific clinical testing).</w:t>
      </w:r>
      <w:r w:rsidR="00A95B3D">
        <w:rPr>
          <w:rFonts w:ascii="Calibri" w:hAnsi="Calibri" w:cs="Calibri"/>
        </w:rPr>
        <w:t xml:space="preserve"> </w:t>
      </w:r>
      <w:r w:rsidR="00BF36AA" w:rsidRPr="00800BBC">
        <w:rPr>
          <w:rFonts w:ascii="Calibri" w:hAnsi="Calibri" w:cs="Calibri"/>
        </w:rPr>
        <w:t xml:space="preserve">In addition, the analytic pipeline </w:t>
      </w:r>
      <w:r w:rsidR="00BF36AA" w:rsidRPr="00800BBC">
        <w:rPr>
          <w:rFonts w:ascii="Calibri" w:hAnsi="Calibri" w:cs="Calibri"/>
          <w:i/>
          <w:iCs/>
        </w:rPr>
        <w:t>requires</w:t>
      </w:r>
      <w:r w:rsidR="00BF36AA" w:rsidRPr="00800BBC">
        <w:rPr>
          <w:rFonts w:ascii="Calibri" w:hAnsi="Calibri" w:cs="Calibri"/>
        </w:rPr>
        <w:t xml:space="preserve"> each read in the </w:t>
      </w:r>
      <w:proofErr w:type="spellStart"/>
      <w:r w:rsidR="00BF36AA" w:rsidRPr="00800BBC">
        <w:rPr>
          <w:rFonts w:ascii="Calibri" w:hAnsi="Calibri" w:cs="Calibri"/>
        </w:rPr>
        <w:t>fastq</w:t>
      </w:r>
      <w:proofErr w:type="spellEnd"/>
      <w:r w:rsidR="00BF36AA" w:rsidRPr="00800BBC">
        <w:rPr>
          <w:rFonts w:ascii="Calibri" w:hAnsi="Calibri" w:cs="Calibri"/>
        </w:rPr>
        <w:t xml:space="preserve"> file to be computationally aligned to the most likely reference genome in the NCBI database. As a result, some reads may be relatively non-specific to a particular pathogen and could theoretically have aligned to a broad range of organisms rather than the specific taxon assigned in CZID. Given this risk, manual confirmation of positive calls should be performed by confirming the alignment via the web-based NCBI BLAST tool (the specific reads for a taxon can be directly sent from CZID to NCBI BLAST</w:t>
      </w:r>
      <w:r w:rsidR="004A7A23" w:rsidRPr="00800BBC">
        <w:rPr>
          <w:rFonts w:ascii="Calibri" w:hAnsi="Calibri" w:cs="Calibri"/>
        </w:rPr>
        <w:t xml:space="preserve"> </w:t>
      </w:r>
      <w:r w:rsidR="00B64A9D" w:rsidRPr="00800BBC">
        <w:rPr>
          <w:rFonts w:ascii="Calibri" w:hAnsi="Calibri" w:cs="Calibri"/>
        </w:rPr>
        <w:t>by clicking the blast icon next to the relevant taxon</w:t>
      </w:r>
      <w:r w:rsidR="00BF36AA" w:rsidRPr="00800BBC">
        <w:rPr>
          <w:rFonts w:ascii="Calibri" w:hAnsi="Calibri" w:cs="Calibri"/>
        </w:rPr>
        <w:t>). </w:t>
      </w:r>
    </w:p>
    <w:p w14:paraId="4962726F" w14:textId="77777777" w:rsidR="00BF36AA" w:rsidRPr="00800BBC" w:rsidRDefault="00BF36AA" w:rsidP="00602F80">
      <w:pPr>
        <w:jc w:val="both"/>
        <w:rPr>
          <w:rFonts w:ascii="Calibri" w:hAnsi="Calibri" w:cs="Calibri"/>
        </w:rPr>
      </w:pPr>
    </w:p>
    <w:p w14:paraId="60CCDBE5" w14:textId="04636B84" w:rsidR="00BF36AA" w:rsidRPr="00800BBC" w:rsidRDefault="0069329A" w:rsidP="00602F80">
      <w:pPr>
        <w:jc w:val="both"/>
        <w:rPr>
          <w:rFonts w:ascii="Calibri" w:hAnsi="Calibri" w:cs="Calibri"/>
        </w:rPr>
      </w:pPr>
      <w:r w:rsidRPr="00800BBC">
        <w:rPr>
          <w:rFonts w:ascii="Calibri" w:hAnsi="Calibri" w:cs="Calibri"/>
          <w:b/>
          <w:bCs/>
        </w:rPr>
        <w:t>REPRESENTATIVE RESULTS:</w:t>
      </w:r>
    </w:p>
    <w:p w14:paraId="2621C305" w14:textId="77777777" w:rsidR="00040892" w:rsidRDefault="00D948A1" w:rsidP="00602F80">
      <w:pPr>
        <w:jc w:val="both"/>
        <w:rPr>
          <w:rFonts w:ascii="Calibri" w:hAnsi="Calibri" w:cs="Calibri"/>
          <w:b/>
          <w:bCs/>
        </w:rPr>
      </w:pPr>
      <w:r>
        <w:rPr>
          <w:rFonts w:ascii="Calibri" w:hAnsi="Calibri" w:cs="Calibri"/>
          <w:b/>
          <w:bCs/>
        </w:rPr>
        <w:t>Library quality control</w:t>
      </w:r>
    </w:p>
    <w:p w14:paraId="397F793C" w14:textId="5557C74A" w:rsidR="002B54D8" w:rsidRDefault="00BF36AA" w:rsidP="00602F80">
      <w:pPr>
        <w:jc w:val="both"/>
        <w:rPr>
          <w:rFonts w:ascii="Calibri" w:hAnsi="Calibri" w:cs="Calibri"/>
        </w:rPr>
      </w:pPr>
      <w:r w:rsidRPr="00800BBC">
        <w:rPr>
          <w:rFonts w:ascii="Calibri" w:hAnsi="Calibri" w:cs="Calibri"/>
        </w:rPr>
        <w:t>Following DNA/RNA extraction, the measured concentration of the extracted DNA is generally 1</w:t>
      </w:r>
      <w:r w:rsidR="00714EE6">
        <w:rPr>
          <w:rFonts w:ascii="Calibri" w:hAnsi="Calibri" w:cs="Calibri"/>
        </w:rPr>
        <w:t>–</w:t>
      </w:r>
      <w:r w:rsidRPr="00800BBC">
        <w:rPr>
          <w:rFonts w:ascii="Calibri" w:hAnsi="Calibri" w:cs="Calibri"/>
        </w:rPr>
        <w:t>10</w:t>
      </w:r>
      <w:r w:rsidR="004A3A9F" w:rsidRPr="00800BBC">
        <w:rPr>
          <w:rFonts w:ascii="Calibri" w:hAnsi="Calibri" w:cs="Calibri"/>
        </w:rPr>
        <w:t> </w:t>
      </w:r>
      <w:r w:rsidRPr="00800BBC">
        <w:rPr>
          <w:rFonts w:ascii="Calibri" w:hAnsi="Calibri" w:cs="Calibri"/>
        </w:rPr>
        <w:t>ng/</w:t>
      </w:r>
      <w:r w:rsidR="00323C1C" w:rsidRPr="00800BBC">
        <w:rPr>
          <w:rFonts w:ascii="Calibri" w:hAnsi="Calibri" w:cs="Calibri"/>
        </w:rPr>
        <w:t>µL</w:t>
      </w:r>
      <w:r w:rsidRPr="00800BBC">
        <w:rPr>
          <w:rFonts w:ascii="Calibri" w:hAnsi="Calibri" w:cs="Calibri"/>
        </w:rPr>
        <w:t xml:space="preserve">. However, the concentration of the extracted </w:t>
      </w:r>
      <w:r w:rsidR="004A7A23" w:rsidRPr="00800BBC">
        <w:rPr>
          <w:rFonts w:ascii="Calibri" w:hAnsi="Calibri" w:cs="Calibri"/>
        </w:rPr>
        <w:t>RNA is</w:t>
      </w:r>
      <w:r w:rsidRPr="00800BBC">
        <w:rPr>
          <w:rFonts w:ascii="Calibri" w:hAnsi="Calibri" w:cs="Calibri"/>
        </w:rPr>
        <w:t xml:space="preserve"> often on the order of </w:t>
      </w:r>
      <w:proofErr w:type="spellStart"/>
      <w:r w:rsidRPr="00800BBC">
        <w:rPr>
          <w:rFonts w:ascii="Calibri" w:hAnsi="Calibri" w:cs="Calibri"/>
        </w:rPr>
        <w:t>pg</w:t>
      </w:r>
      <w:proofErr w:type="spellEnd"/>
      <w:r w:rsidRPr="00800BBC">
        <w:rPr>
          <w:rFonts w:ascii="Calibri" w:hAnsi="Calibri" w:cs="Calibri"/>
        </w:rPr>
        <w:t>/</w:t>
      </w:r>
      <w:r w:rsidR="00323C1C" w:rsidRPr="00800BBC">
        <w:rPr>
          <w:rFonts w:ascii="Calibri" w:hAnsi="Calibri" w:cs="Calibri"/>
        </w:rPr>
        <w:t>µL</w:t>
      </w:r>
      <w:r w:rsidRPr="00800BBC">
        <w:rPr>
          <w:rFonts w:ascii="Calibri" w:hAnsi="Calibri" w:cs="Calibri"/>
        </w:rPr>
        <w:t xml:space="preserve">, and thus it is frequently undetectable by </w:t>
      </w:r>
      <w:r w:rsidR="00524632">
        <w:rPr>
          <w:rFonts w:ascii="Calibri" w:hAnsi="Calibri" w:cs="Calibri"/>
        </w:rPr>
        <w:t>spectrophotometers</w:t>
      </w:r>
      <w:r w:rsidRPr="00800BBC">
        <w:rPr>
          <w:rFonts w:ascii="Calibri" w:hAnsi="Calibri" w:cs="Calibri"/>
        </w:rPr>
        <w:t>. Following library preparation, the purified and amplified cDNA and DNA libraries are generally at a concentration of 0.5</w:t>
      </w:r>
      <w:r w:rsidR="00714EE6">
        <w:rPr>
          <w:rFonts w:ascii="Calibri" w:hAnsi="Calibri" w:cs="Calibri"/>
        </w:rPr>
        <w:t>–</w:t>
      </w:r>
      <w:r w:rsidRPr="00800BBC">
        <w:rPr>
          <w:rFonts w:ascii="Calibri" w:hAnsi="Calibri" w:cs="Calibri"/>
        </w:rPr>
        <w:t>10</w:t>
      </w:r>
      <w:r w:rsidR="004A3A9F" w:rsidRPr="00800BBC">
        <w:rPr>
          <w:rFonts w:ascii="Calibri" w:hAnsi="Calibri" w:cs="Calibri"/>
        </w:rPr>
        <w:t> </w:t>
      </w:r>
      <w:r w:rsidRPr="00800BBC">
        <w:rPr>
          <w:rFonts w:ascii="Calibri" w:hAnsi="Calibri" w:cs="Calibri"/>
        </w:rPr>
        <w:t>ng/</w:t>
      </w:r>
      <w:r w:rsidR="00323C1C" w:rsidRPr="00800BBC">
        <w:rPr>
          <w:rFonts w:ascii="Calibri" w:hAnsi="Calibri" w:cs="Calibri"/>
        </w:rPr>
        <w:t>µL</w:t>
      </w:r>
      <w:r w:rsidRPr="00800BBC">
        <w:rPr>
          <w:rFonts w:ascii="Calibri" w:hAnsi="Calibri" w:cs="Calibri"/>
        </w:rPr>
        <w:t xml:space="preserve"> and 10</w:t>
      </w:r>
      <w:r w:rsidR="00714EE6">
        <w:rPr>
          <w:rFonts w:ascii="Calibri" w:hAnsi="Calibri" w:cs="Calibri"/>
        </w:rPr>
        <w:t>–</w:t>
      </w:r>
      <w:r w:rsidRPr="00800BBC">
        <w:rPr>
          <w:rFonts w:ascii="Calibri" w:hAnsi="Calibri" w:cs="Calibri"/>
        </w:rPr>
        <w:t>30</w:t>
      </w:r>
      <w:r w:rsidR="004A3A9F" w:rsidRPr="00800BBC">
        <w:rPr>
          <w:rFonts w:ascii="Calibri" w:hAnsi="Calibri" w:cs="Calibri"/>
        </w:rPr>
        <w:t> </w:t>
      </w:r>
      <w:r w:rsidRPr="00800BBC">
        <w:rPr>
          <w:rFonts w:ascii="Calibri" w:hAnsi="Calibri" w:cs="Calibri"/>
        </w:rPr>
        <w:t>ng/</w:t>
      </w:r>
      <w:r w:rsidR="00323C1C" w:rsidRPr="00800BBC">
        <w:rPr>
          <w:rFonts w:ascii="Calibri" w:hAnsi="Calibri" w:cs="Calibri"/>
        </w:rPr>
        <w:t>µL</w:t>
      </w:r>
      <w:r w:rsidRPr="00800BBC">
        <w:rPr>
          <w:rFonts w:ascii="Calibri" w:hAnsi="Calibri" w:cs="Calibri"/>
        </w:rPr>
        <w:t xml:space="preserve">, respectively. The capillary electrophoresis and electropherogram data in </w:t>
      </w:r>
      <w:r w:rsidRPr="0069329A">
        <w:rPr>
          <w:rFonts w:ascii="Calibri" w:hAnsi="Calibri" w:cs="Calibri"/>
          <w:b/>
          <w:bCs/>
        </w:rPr>
        <w:t>Figure 2</w:t>
      </w:r>
      <w:r w:rsidR="0069329A" w:rsidRPr="0069329A">
        <w:rPr>
          <w:rFonts w:ascii="Calibri" w:hAnsi="Calibri" w:cs="Calibri"/>
          <w:b/>
          <w:bCs/>
        </w:rPr>
        <w:t>A</w:t>
      </w:r>
      <w:r w:rsidRPr="00800BBC">
        <w:rPr>
          <w:rFonts w:ascii="Calibri" w:hAnsi="Calibri" w:cs="Calibri"/>
        </w:rPr>
        <w:t xml:space="preserve"> demonstrate a cDNA sample library that is over</w:t>
      </w:r>
      <w:r w:rsidR="004A3A9F" w:rsidRPr="00800BBC">
        <w:rPr>
          <w:rFonts w:ascii="Calibri" w:hAnsi="Calibri" w:cs="Calibri"/>
        </w:rPr>
        <w:t>-</w:t>
      </w:r>
      <w:r w:rsidRPr="00800BBC">
        <w:rPr>
          <w:rFonts w:ascii="Calibri" w:hAnsi="Calibri" w:cs="Calibri"/>
        </w:rPr>
        <w:t xml:space="preserve">fragmented and contains adapter dimers. Prior to pooling and sequencing, the adapter dimers should be removed via additional </w:t>
      </w:r>
      <w:r w:rsidR="00524632">
        <w:rPr>
          <w:rFonts w:ascii="Calibri" w:hAnsi="Calibri" w:cs="Calibri"/>
        </w:rPr>
        <w:t>rounds</w:t>
      </w:r>
      <w:r w:rsidRPr="00800BBC">
        <w:rPr>
          <w:rFonts w:ascii="Calibri" w:hAnsi="Calibri" w:cs="Calibri"/>
        </w:rPr>
        <w:t xml:space="preserve"> of bead cleanup, using a 0.8x magnetic bead-to-sample ratio. In contrast, the data in </w:t>
      </w:r>
      <w:r w:rsidRPr="007C3292">
        <w:rPr>
          <w:rFonts w:ascii="Calibri" w:hAnsi="Calibri" w:cs="Calibri"/>
          <w:b/>
          <w:bCs/>
        </w:rPr>
        <w:t>Figure 2</w:t>
      </w:r>
      <w:r w:rsidR="007C3292">
        <w:rPr>
          <w:rFonts w:ascii="Calibri" w:hAnsi="Calibri" w:cs="Calibri"/>
          <w:b/>
          <w:bCs/>
        </w:rPr>
        <w:t>B</w:t>
      </w:r>
      <w:r w:rsidRPr="00800BBC">
        <w:rPr>
          <w:rFonts w:ascii="Calibri" w:hAnsi="Calibri" w:cs="Calibri"/>
        </w:rPr>
        <w:t xml:space="preserve"> show a higher quality cDNA library without significant adapter dimer </w:t>
      </w:r>
      <w:r w:rsidR="00221565" w:rsidRPr="00800BBC">
        <w:rPr>
          <w:rFonts w:ascii="Calibri" w:hAnsi="Calibri" w:cs="Calibri"/>
        </w:rPr>
        <w:t xml:space="preserve">contamination </w:t>
      </w:r>
      <w:r w:rsidRPr="00800BBC">
        <w:rPr>
          <w:rFonts w:ascii="Calibri" w:hAnsi="Calibri" w:cs="Calibri"/>
        </w:rPr>
        <w:t>that is ready for pooling and sequencing.</w:t>
      </w:r>
    </w:p>
    <w:p w14:paraId="5BD551EE" w14:textId="77777777" w:rsidR="002B54D8" w:rsidRDefault="002B54D8" w:rsidP="00602F80">
      <w:pPr>
        <w:jc w:val="both"/>
        <w:rPr>
          <w:rFonts w:ascii="Calibri" w:hAnsi="Calibri" w:cs="Calibri"/>
        </w:rPr>
      </w:pPr>
    </w:p>
    <w:p w14:paraId="2E1CDCA6" w14:textId="5BDA3BEC" w:rsidR="00BF36AA" w:rsidRPr="002B54D8" w:rsidRDefault="002B54D8" w:rsidP="00602F80">
      <w:pPr>
        <w:jc w:val="both"/>
        <w:rPr>
          <w:rFonts w:ascii="Calibri" w:hAnsi="Calibri" w:cs="Calibri"/>
          <w:b/>
          <w:bCs/>
        </w:rPr>
      </w:pPr>
      <w:r w:rsidRPr="002B54D8">
        <w:rPr>
          <w:rFonts w:ascii="Calibri" w:hAnsi="Calibri" w:cs="Calibri"/>
          <w:b/>
          <w:bCs/>
        </w:rPr>
        <w:t xml:space="preserve">                                                                     </w:t>
      </w:r>
      <w:r w:rsidR="000A56D3" w:rsidRPr="002B54D8">
        <w:rPr>
          <w:rFonts w:ascii="Calibri" w:hAnsi="Calibri" w:cs="Calibri"/>
          <w:b/>
          <w:bCs/>
        </w:rPr>
        <w:t xml:space="preserve"> [Place Figure 2 here]</w:t>
      </w:r>
    </w:p>
    <w:p w14:paraId="24499AD5" w14:textId="77777777" w:rsidR="00BF36AA" w:rsidRPr="00800BBC" w:rsidRDefault="00BF36AA" w:rsidP="00602F80">
      <w:pPr>
        <w:jc w:val="both"/>
        <w:rPr>
          <w:rFonts w:ascii="Calibri" w:hAnsi="Calibri" w:cs="Calibri"/>
        </w:rPr>
      </w:pPr>
    </w:p>
    <w:p w14:paraId="03367084" w14:textId="243C448D" w:rsidR="001F1783" w:rsidRDefault="00D948A1" w:rsidP="00602F80">
      <w:pPr>
        <w:jc w:val="both"/>
        <w:rPr>
          <w:rFonts w:ascii="Calibri" w:hAnsi="Calibri" w:cs="Calibri"/>
          <w:b/>
          <w:bCs/>
        </w:rPr>
      </w:pPr>
      <w:r>
        <w:rPr>
          <w:rFonts w:ascii="Calibri" w:hAnsi="Calibri" w:cs="Calibri"/>
          <w:b/>
          <w:bCs/>
        </w:rPr>
        <w:t xml:space="preserve">Representative </w:t>
      </w:r>
      <w:r w:rsidR="00A95B3D">
        <w:rPr>
          <w:rFonts w:ascii="Calibri" w:hAnsi="Calibri" w:cs="Calibri"/>
          <w:b/>
          <w:bCs/>
        </w:rPr>
        <w:t>c</w:t>
      </w:r>
      <w:r>
        <w:rPr>
          <w:rFonts w:ascii="Calibri" w:hAnsi="Calibri" w:cs="Calibri"/>
          <w:b/>
          <w:bCs/>
        </w:rPr>
        <w:t>ohort A</w:t>
      </w:r>
    </w:p>
    <w:p w14:paraId="36C59EA4" w14:textId="36DE24CC" w:rsidR="00BF36AA" w:rsidRPr="00800BBC" w:rsidRDefault="00BF36AA" w:rsidP="00602F80">
      <w:pPr>
        <w:jc w:val="both"/>
        <w:rPr>
          <w:rFonts w:ascii="Calibri" w:hAnsi="Calibri" w:cs="Calibri"/>
        </w:rPr>
      </w:pPr>
      <w:r w:rsidRPr="00800BBC">
        <w:rPr>
          <w:rFonts w:ascii="Calibri" w:hAnsi="Calibri" w:cs="Calibri"/>
        </w:rPr>
        <w:t xml:space="preserve">The </w:t>
      </w:r>
      <w:proofErr w:type="spellStart"/>
      <w:r w:rsidRPr="00800BBC">
        <w:rPr>
          <w:rFonts w:ascii="Calibri" w:hAnsi="Calibri" w:cs="Calibri"/>
        </w:rPr>
        <w:t>mNGS</w:t>
      </w:r>
      <w:proofErr w:type="spellEnd"/>
      <w:r w:rsidRPr="00800BBC">
        <w:rPr>
          <w:rFonts w:ascii="Calibri" w:hAnsi="Calibri" w:cs="Calibri"/>
        </w:rPr>
        <w:t xml:space="preserve"> results of two representative cohorts with suspected CNS infections are shown below. Cohort A contains 68 samples from a </w:t>
      </w:r>
      <w:r w:rsidR="002B54D8">
        <w:rPr>
          <w:rFonts w:ascii="Calibri" w:hAnsi="Calibri" w:cs="Calibri"/>
        </w:rPr>
        <w:t>TB-endemic</w:t>
      </w:r>
      <w:r w:rsidRPr="00800BBC">
        <w:rPr>
          <w:rFonts w:ascii="Calibri" w:hAnsi="Calibri" w:cs="Calibri"/>
        </w:rPr>
        <w:t xml:space="preserve"> population with a high prevalence of HIV. The samples were submitted to the UCSF Center for Advanced Technology for sequencing via the Illumina </w:t>
      </w:r>
      <w:proofErr w:type="spellStart"/>
      <w:r w:rsidRPr="00800BBC">
        <w:rPr>
          <w:rFonts w:ascii="Calibri" w:hAnsi="Calibri" w:cs="Calibri"/>
        </w:rPr>
        <w:t>NovaSeq</w:t>
      </w:r>
      <w:proofErr w:type="spellEnd"/>
      <w:r w:rsidRPr="00800BBC">
        <w:rPr>
          <w:rFonts w:ascii="Calibri" w:hAnsi="Calibri" w:cs="Calibri"/>
        </w:rPr>
        <w:t xml:space="preserve"> Platform as part of a larger pooled sequencing run, and the average depth was 116,150,823 DNA reads (standard deviation, SD: 37,770,481 reads), and 95,966,675 RNA reads (standard deviation, SD: 44,601,339 reads). After undergoing automated CZID computational filtering, there were an average of 2,168,623 DNA reads (SD: 1,064,346 reads) and 8,663,265 RNA reads (SD: 6,749,945 reads) that passed filters. </w:t>
      </w:r>
    </w:p>
    <w:p w14:paraId="5663DB6F" w14:textId="77777777" w:rsidR="00BF36AA" w:rsidRPr="00800BBC" w:rsidRDefault="00BF36AA" w:rsidP="00602F80">
      <w:pPr>
        <w:jc w:val="both"/>
        <w:rPr>
          <w:rFonts w:ascii="Calibri" w:hAnsi="Calibri" w:cs="Calibri"/>
        </w:rPr>
      </w:pPr>
    </w:p>
    <w:p w14:paraId="1B9F50D0" w14:textId="4693D87A" w:rsidR="001F1783" w:rsidRDefault="00D948A1" w:rsidP="00602F80">
      <w:pPr>
        <w:jc w:val="both"/>
        <w:rPr>
          <w:rFonts w:ascii="Calibri" w:hAnsi="Calibri" w:cs="Calibri"/>
          <w:b/>
          <w:bCs/>
        </w:rPr>
      </w:pPr>
      <w:r>
        <w:rPr>
          <w:rFonts w:ascii="Calibri" w:hAnsi="Calibri" w:cs="Calibri"/>
          <w:b/>
          <w:bCs/>
        </w:rPr>
        <w:t xml:space="preserve">Representative </w:t>
      </w:r>
      <w:r w:rsidR="00A95B3D">
        <w:rPr>
          <w:rFonts w:ascii="Calibri" w:hAnsi="Calibri" w:cs="Calibri"/>
          <w:b/>
          <w:bCs/>
        </w:rPr>
        <w:t>c</w:t>
      </w:r>
      <w:r>
        <w:rPr>
          <w:rFonts w:ascii="Calibri" w:hAnsi="Calibri" w:cs="Calibri"/>
          <w:b/>
          <w:bCs/>
        </w:rPr>
        <w:t>ohort B</w:t>
      </w:r>
    </w:p>
    <w:p w14:paraId="53DA88D8" w14:textId="3FB45722" w:rsidR="00D948A1" w:rsidRDefault="00BF36AA" w:rsidP="00602F80">
      <w:pPr>
        <w:jc w:val="both"/>
        <w:rPr>
          <w:rFonts w:ascii="Calibri" w:hAnsi="Calibri" w:cs="Calibri"/>
        </w:rPr>
      </w:pPr>
      <w:r w:rsidRPr="00800BBC">
        <w:rPr>
          <w:rFonts w:ascii="Calibri" w:hAnsi="Calibri" w:cs="Calibri"/>
        </w:rPr>
        <w:t>Cohort B, in contrast, contains 43 samples from a different resource-limited setting</w:t>
      </w:r>
      <w:r w:rsidR="002B54D8">
        <w:rPr>
          <w:rFonts w:ascii="Calibri" w:hAnsi="Calibri" w:cs="Calibri"/>
        </w:rPr>
        <w:t xml:space="preserve"> and was sequenced in-house at a shallower read depth on the Illumina </w:t>
      </w:r>
      <w:proofErr w:type="spellStart"/>
      <w:r w:rsidR="002B54D8">
        <w:rPr>
          <w:rFonts w:ascii="Calibri" w:hAnsi="Calibri" w:cs="Calibri"/>
        </w:rPr>
        <w:t>NextSeq</w:t>
      </w:r>
      <w:proofErr w:type="spellEnd"/>
      <w:r w:rsidR="002B54D8">
        <w:rPr>
          <w:rFonts w:ascii="Calibri" w:hAnsi="Calibri" w:cs="Calibri"/>
        </w:rPr>
        <w:t xml:space="preserve"> 500/550 system with High-Output 150-cycle</w:t>
      </w:r>
      <w:r w:rsidRPr="00800BBC">
        <w:rPr>
          <w:rFonts w:ascii="Calibri" w:hAnsi="Calibri" w:cs="Calibri"/>
        </w:rPr>
        <w:t xml:space="preserve"> reagent kits.</w:t>
      </w:r>
      <w:r w:rsidR="00FE03BA" w:rsidRPr="00800BBC">
        <w:rPr>
          <w:rFonts w:ascii="Calibri" w:hAnsi="Calibri" w:cs="Calibri"/>
        </w:rPr>
        <w:t xml:space="preserve"> To minimize costs and </w:t>
      </w:r>
      <w:r w:rsidR="000E25CF">
        <w:rPr>
          <w:rFonts w:ascii="Calibri" w:hAnsi="Calibri" w:cs="Calibri"/>
        </w:rPr>
        <w:t>maximize the number of samples that could be analyzed, ERCC was omitted, and the protocol was miniaturized by performing each reaction at 0.5x volume, thereby considerably reducing consumable costs</w:t>
      </w:r>
      <w:r w:rsidR="00FE03BA" w:rsidRPr="00800BBC">
        <w:rPr>
          <w:rFonts w:ascii="Calibri" w:hAnsi="Calibri" w:cs="Calibri"/>
        </w:rPr>
        <w:t xml:space="preserve">. </w:t>
      </w:r>
      <w:r w:rsidR="0075134B">
        <w:rPr>
          <w:rFonts w:ascii="Calibri" w:hAnsi="Calibri" w:cs="Calibri"/>
        </w:rPr>
        <w:t>Capillary electrophoresis</w:t>
      </w:r>
      <w:r w:rsidRPr="00800BBC">
        <w:rPr>
          <w:rFonts w:ascii="Calibri" w:hAnsi="Calibri" w:cs="Calibri"/>
        </w:rPr>
        <w:t xml:space="preserve"> was also </w:t>
      </w:r>
      <w:r w:rsidR="000E25CF">
        <w:rPr>
          <w:rFonts w:ascii="Calibri" w:hAnsi="Calibri" w:cs="Calibri"/>
        </w:rPr>
        <w:t>unavailable, so quality control was performed by over-amplifying the samples via additional rounds of PCR with universal Illumina primers to estimate</w:t>
      </w:r>
      <w:r w:rsidRPr="00800BBC">
        <w:rPr>
          <w:rFonts w:ascii="Calibri" w:hAnsi="Calibri" w:cs="Calibri"/>
        </w:rPr>
        <w:t xml:space="preserve"> library size and adapter dimer concentration</w:t>
      </w:r>
      <w:r w:rsidR="00DA3F2F" w:rsidRPr="00800BBC">
        <w:rPr>
          <w:rFonts w:ascii="Calibri" w:hAnsi="Calibri" w:cs="Calibri"/>
        </w:rPr>
        <w:t xml:space="preserve"> prior to pooling</w:t>
      </w:r>
      <w:r w:rsidRPr="00800BBC">
        <w:rPr>
          <w:rFonts w:ascii="Calibri" w:hAnsi="Calibri" w:cs="Calibri"/>
        </w:rPr>
        <w:t xml:space="preserve">. The RNA libraries were sequenced in a single run with an average depth of 13,033,943 reads per sample (SD 9,110,614 reads), whereas the DNA </w:t>
      </w:r>
      <w:r w:rsidRPr="00800BBC">
        <w:rPr>
          <w:rFonts w:ascii="Calibri" w:hAnsi="Calibri" w:cs="Calibri"/>
        </w:rPr>
        <w:lastRenderedPageBreak/>
        <w:t>libraries were split into two separate runs with an average depth of 30,203,814 reads per sample (SD: 18,634,933 reads). After computational processing, an average of 268,664 DNA reads (SD: 588,478 reads) and 3,696,052 RNA reads (SD: 3,756,262 reads) passed filters. </w:t>
      </w:r>
    </w:p>
    <w:p w14:paraId="55F04B56" w14:textId="77777777" w:rsidR="00D948A1" w:rsidRDefault="00D948A1" w:rsidP="00602F80">
      <w:pPr>
        <w:jc w:val="both"/>
        <w:rPr>
          <w:rFonts w:ascii="Calibri" w:hAnsi="Calibri" w:cs="Calibri"/>
        </w:rPr>
      </w:pPr>
    </w:p>
    <w:p w14:paraId="7CB25B91" w14:textId="72B2DFA2" w:rsidR="001F1783" w:rsidRDefault="00D948A1" w:rsidP="00602F80">
      <w:pPr>
        <w:jc w:val="both"/>
        <w:rPr>
          <w:rFonts w:ascii="Calibri" w:hAnsi="Calibri" w:cs="Calibri"/>
          <w:b/>
          <w:bCs/>
        </w:rPr>
      </w:pPr>
      <w:r>
        <w:rPr>
          <w:rFonts w:ascii="Calibri" w:hAnsi="Calibri" w:cs="Calibri"/>
          <w:b/>
          <w:bCs/>
        </w:rPr>
        <w:t xml:space="preserve">Pathogen </w:t>
      </w:r>
      <w:r w:rsidR="00A95B3D">
        <w:rPr>
          <w:rFonts w:ascii="Calibri" w:hAnsi="Calibri" w:cs="Calibri"/>
          <w:b/>
          <w:bCs/>
        </w:rPr>
        <w:t>d</w:t>
      </w:r>
      <w:r>
        <w:rPr>
          <w:rFonts w:ascii="Calibri" w:hAnsi="Calibri" w:cs="Calibri"/>
          <w:b/>
          <w:bCs/>
        </w:rPr>
        <w:t>etection</w:t>
      </w:r>
    </w:p>
    <w:p w14:paraId="6FB00690" w14:textId="0B775988" w:rsidR="002B54D8" w:rsidRDefault="00D948A1" w:rsidP="00602F80">
      <w:pPr>
        <w:jc w:val="both"/>
        <w:rPr>
          <w:rFonts w:ascii="Calibri" w:hAnsi="Calibri" w:cs="Calibri"/>
        </w:rPr>
      </w:pPr>
      <w:r>
        <w:rPr>
          <w:rFonts w:ascii="Calibri" w:hAnsi="Calibri" w:cs="Calibri"/>
          <w:b/>
          <w:bCs/>
        </w:rPr>
        <w:t>Figure 3</w:t>
      </w:r>
      <w:r w:rsidR="00BF36AA" w:rsidRPr="00800BBC">
        <w:rPr>
          <w:rFonts w:ascii="Calibri" w:hAnsi="Calibri" w:cs="Calibri"/>
        </w:rPr>
        <w:t xml:space="preserve"> demonstrates the diversity of the pathogens detected in these two cohorts. At least one pathogen was detected in 73.5% of Cohort A (50/58 samples) and 51.2% of Cohort B (22/43 samples). </w:t>
      </w:r>
    </w:p>
    <w:p w14:paraId="533AD029" w14:textId="77777777" w:rsidR="002B54D8" w:rsidRDefault="002B54D8" w:rsidP="00602F80">
      <w:pPr>
        <w:jc w:val="both"/>
        <w:rPr>
          <w:rFonts w:ascii="Calibri" w:hAnsi="Calibri" w:cs="Calibri"/>
        </w:rPr>
      </w:pPr>
    </w:p>
    <w:p w14:paraId="4E9D217F" w14:textId="4CF00AB7" w:rsidR="00B00BB7" w:rsidRPr="002B54D8" w:rsidRDefault="002B54D8" w:rsidP="00602F80">
      <w:pPr>
        <w:jc w:val="both"/>
        <w:rPr>
          <w:rFonts w:ascii="Calibri" w:hAnsi="Calibri" w:cs="Calibri"/>
          <w:b/>
          <w:bCs/>
        </w:rPr>
      </w:pPr>
      <w:r w:rsidRPr="002B54D8">
        <w:rPr>
          <w:rFonts w:ascii="Calibri" w:hAnsi="Calibri" w:cs="Calibri"/>
          <w:b/>
          <w:bCs/>
        </w:rPr>
        <w:t xml:space="preserve">                                                                </w:t>
      </w:r>
      <w:r w:rsidR="000A56D3" w:rsidRPr="002B54D8">
        <w:rPr>
          <w:rFonts w:ascii="Calibri" w:hAnsi="Calibri" w:cs="Calibri"/>
          <w:b/>
          <w:bCs/>
        </w:rPr>
        <w:t>[Place Figure 3 here]</w:t>
      </w:r>
    </w:p>
    <w:p w14:paraId="609FBE16" w14:textId="77777777" w:rsidR="00602071" w:rsidRDefault="00602071" w:rsidP="00602F80">
      <w:pPr>
        <w:jc w:val="both"/>
        <w:rPr>
          <w:rFonts w:ascii="Calibri" w:hAnsi="Calibri" w:cs="Calibri"/>
        </w:rPr>
      </w:pPr>
    </w:p>
    <w:p w14:paraId="34C8EE68" w14:textId="77777777" w:rsidR="00602071" w:rsidRDefault="00602071" w:rsidP="00602F80">
      <w:pPr>
        <w:jc w:val="both"/>
        <w:rPr>
          <w:rFonts w:ascii="Calibri" w:hAnsi="Calibri" w:cs="Calibri"/>
          <w:b/>
          <w:bCs/>
        </w:rPr>
      </w:pPr>
      <w:r>
        <w:rPr>
          <w:rFonts w:ascii="Calibri" w:hAnsi="Calibri" w:cs="Calibri"/>
          <w:b/>
          <w:bCs/>
        </w:rPr>
        <w:t>FIGURES AND TABLE LEGENDS:</w:t>
      </w:r>
    </w:p>
    <w:p w14:paraId="1B6EED44" w14:textId="20A8524E" w:rsidR="00602071" w:rsidRPr="0075134B" w:rsidRDefault="00602071" w:rsidP="00602F80">
      <w:pPr>
        <w:jc w:val="both"/>
        <w:rPr>
          <w:rFonts w:ascii="Calibri" w:hAnsi="Calibri" w:cs="Calibri"/>
        </w:rPr>
      </w:pPr>
      <w:r w:rsidRPr="00800BBC">
        <w:rPr>
          <w:rFonts w:ascii="Calibri" w:hAnsi="Calibri" w:cs="Calibri"/>
          <w:b/>
          <w:bCs/>
        </w:rPr>
        <w:t xml:space="preserve">Figure 1: </w:t>
      </w:r>
      <w:r w:rsidR="0075134B">
        <w:rPr>
          <w:rFonts w:ascii="Calibri" w:hAnsi="Calibri" w:cs="Calibri"/>
          <w:b/>
          <w:bCs/>
        </w:rPr>
        <w:t>Cerebrospinal fluid (CSF)</w:t>
      </w:r>
      <w:r w:rsidRPr="00800BBC">
        <w:rPr>
          <w:rFonts w:ascii="Calibri" w:hAnsi="Calibri" w:cs="Calibri"/>
          <w:b/>
          <w:bCs/>
        </w:rPr>
        <w:t xml:space="preserve"> </w:t>
      </w:r>
      <w:r w:rsidR="0075134B">
        <w:rPr>
          <w:rFonts w:ascii="Calibri" w:hAnsi="Calibri" w:cs="Calibri"/>
          <w:b/>
          <w:bCs/>
        </w:rPr>
        <w:t>metagenomic next-generation sequencing (</w:t>
      </w:r>
      <w:proofErr w:type="spellStart"/>
      <w:r w:rsidR="0075134B">
        <w:rPr>
          <w:rFonts w:ascii="Calibri" w:hAnsi="Calibri" w:cs="Calibri"/>
          <w:b/>
          <w:bCs/>
        </w:rPr>
        <w:t>mNGS</w:t>
      </w:r>
      <w:proofErr w:type="spellEnd"/>
      <w:r w:rsidR="0075134B">
        <w:rPr>
          <w:rFonts w:ascii="Calibri" w:hAnsi="Calibri" w:cs="Calibri"/>
          <w:b/>
          <w:bCs/>
        </w:rPr>
        <w:t>)</w:t>
      </w:r>
      <w:r w:rsidRPr="00800BBC">
        <w:rPr>
          <w:rFonts w:ascii="Calibri" w:hAnsi="Calibri" w:cs="Calibri"/>
          <w:b/>
          <w:bCs/>
        </w:rPr>
        <w:t xml:space="preserve"> sample processing and analytic workflow for pathogen detection</w:t>
      </w:r>
      <w:r w:rsidR="002B54D8">
        <w:rPr>
          <w:rFonts w:ascii="Calibri" w:hAnsi="Calibri" w:cs="Calibri"/>
          <w:b/>
          <w:bCs/>
        </w:rPr>
        <w:t>.</w:t>
      </w:r>
      <w:r w:rsidR="0075134B">
        <w:rPr>
          <w:rFonts w:ascii="Calibri" w:hAnsi="Calibri" w:cs="Calibri"/>
          <w:b/>
          <w:bCs/>
        </w:rPr>
        <w:t xml:space="preserve"> </w:t>
      </w:r>
      <w:r w:rsidR="0075134B">
        <w:rPr>
          <w:rFonts w:ascii="Calibri" w:hAnsi="Calibri" w:cs="Calibri"/>
        </w:rPr>
        <w:t xml:space="preserve">This diagram demonstrates the primary steps in the CSF </w:t>
      </w:r>
      <w:proofErr w:type="spellStart"/>
      <w:r w:rsidR="0075134B">
        <w:rPr>
          <w:rFonts w:ascii="Calibri" w:hAnsi="Calibri" w:cs="Calibri"/>
        </w:rPr>
        <w:t>mNGS</w:t>
      </w:r>
      <w:proofErr w:type="spellEnd"/>
      <w:r w:rsidR="0075134B">
        <w:rPr>
          <w:rFonts w:ascii="Calibri" w:hAnsi="Calibri" w:cs="Calibri"/>
        </w:rPr>
        <w:t xml:space="preserve"> wet-lab and bioinformatic pathways. </w:t>
      </w:r>
    </w:p>
    <w:p w14:paraId="0991093F" w14:textId="77777777" w:rsidR="00602071" w:rsidRPr="00800BBC" w:rsidRDefault="00602071" w:rsidP="00602F80">
      <w:pPr>
        <w:jc w:val="both"/>
        <w:rPr>
          <w:rFonts w:ascii="Calibri" w:hAnsi="Calibri" w:cs="Calibri"/>
        </w:rPr>
      </w:pPr>
    </w:p>
    <w:p w14:paraId="1C1C6A90" w14:textId="3F85BB6E" w:rsidR="00602071" w:rsidRPr="00800BBC" w:rsidRDefault="00602071" w:rsidP="00602F80">
      <w:pPr>
        <w:jc w:val="both"/>
        <w:rPr>
          <w:rFonts w:ascii="Calibri" w:hAnsi="Calibri" w:cs="Calibri"/>
        </w:rPr>
      </w:pPr>
      <w:r w:rsidRPr="00800BBC">
        <w:rPr>
          <w:rFonts w:ascii="Calibri" w:hAnsi="Calibri" w:cs="Calibri"/>
          <w:b/>
          <w:bCs/>
        </w:rPr>
        <w:t>Figure 2: Example of capillary electrophoresis and electropherogram results</w:t>
      </w:r>
      <w:r w:rsidRPr="00B02CE7">
        <w:rPr>
          <w:rFonts w:ascii="Calibri" w:hAnsi="Calibri" w:cs="Calibri"/>
          <w:b/>
          <w:bCs/>
        </w:rPr>
        <w:t>.</w:t>
      </w:r>
      <w:r>
        <w:rPr>
          <w:rFonts w:ascii="Calibri" w:hAnsi="Calibri" w:cs="Calibri"/>
        </w:rPr>
        <w:t xml:space="preserve"> </w:t>
      </w:r>
      <w:r w:rsidR="00524632">
        <w:rPr>
          <w:rFonts w:ascii="Calibri" w:hAnsi="Calibri" w:cs="Calibri"/>
        </w:rPr>
        <w:t>(</w:t>
      </w:r>
      <w:r w:rsidRPr="00524632">
        <w:rPr>
          <w:rFonts w:ascii="Calibri" w:hAnsi="Calibri" w:cs="Calibri"/>
          <w:b/>
          <w:bCs/>
        </w:rPr>
        <w:t>A</w:t>
      </w:r>
      <w:r w:rsidR="00524632" w:rsidRPr="00524632">
        <w:rPr>
          <w:rFonts w:ascii="Calibri" w:hAnsi="Calibri" w:cs="Calibri"/>
          <w:b/>
          <w:bCs/>
        </w:rPr>
        <w:t>–</w:t>
      </w:r>
      <w:r w:rsidRPr="00524632">
        <w:rPr>
          <w:rFonts w:ascii="Calibri" w:hAnsi="Calibri" w:cs="Calibri"/>
          <w:b/>
          <w:bCs/>
        </w:rPr>
        <w:t>B</w:t>
      </w:r>
      <w:r w:rsidR="00524632">
        <w:rPr>
          <w:rFonts w:ascii="Calibri" w:hAnsi="Calibri" w:cs="Calibri"/>
        </w:rPr>
        <w:t>)</w:t>
      </w:r>
      <w:r w:rsidRPr="002B54D8">
        <w:rPr>
          <w:rFonts w:ascii="Calibri" w:hAnsi="Calibri" w:cs="Calibri"/>
        </w:rPr>
        <w:t xml:space="preserve"> represent the capillary electrophoresis trace and electropherogram from a sample that contains adapter dimers (blue arrow). In addition, the average </w:t>
      </w:r>
      <w:r w:rsidR="002B54D8">
        <w:rPr>
          <w:rFonts w:ascii="Calibri" w:hAnsi="Calibri" w:cs="Calibri"/>
        </w:rPr>
        <w:t xml:space="preserve">library size </w:t>
      </w:r>
      <w:r w:rsidRPr="002B54D8">
        <w:rPr>
          <w:rFonts w:ascii="Calibri" w:hAnsi="Calibri" w:cs="Calibri"/>
        </w:rPr>
        <w:t xml:space="preserve">is slightly lower than desired, either due to sample degradation or over-fragmentation. </w:t>
      </w:r>
      <w:r w:rsidR="00524632">
        <w:rPr>
          <w:rFonts w:ascii="Calibri" w:hAnsi="Calibri" w:cs="Calibri"/>
        </w:rPr>
        <w:t>(</w:t>
      </w:r>
      <w:r w:rsidRPr="00524632">
        <w:rPr>
          <w:rFonts w:ascii="Calibri" w:hAnsi="Calibri" w:cs="Calibri"/>
          <w:b/>
          <w:bCs/>
        </w:rPr>
        <w:t>C</w:t>
      </w:r>
      <w:r w:rsidR="00524632" w:rsidRPr="00524632">
        <w:rPr>
          <w:rFonts w:ascii="Calibri" w:hAnsi="Calibri" w:cs="Calibri"/>
          <w:b/>
          <w:bCs/>
        </w:rPr>
        <w:t>–D</w:t>
      </w:r>
      <w:r w:rsidR="00524632">
        <w:rPr>
          <w:rFonts w:ascii="Calibri" w:hAnsi="Calibri" w:cs="Calibri"/>
        </w:rPr>
        <w:t>)</w:t>
      </w:r>
      <w:r w:rsidRPr="002B54D8">
        <w:rPr>
          <w:rFonts w:ascii="Calibri" w:hAnsi="Calibri" w:cs="Calibri"/>
        </w:rPr>
        <w:t xml:space="preserve"> demonstrate a high-quality library </w:t>
      </w:r>
      <w:r w:rsidR="00524632">
        <w:rPr>
          <w:rFonts w:ascii="Calibri" w:hAnsi="Calibri" w:cs="Calibri"/>
        </w:rPr>
        <w:t>with few adapter dimers and an</w:t>
      </w:r>
      <w:r w:rsidRPr="002B54D8">
        <w:rPr>
          <w:rFonts w:ascii="Calibri" w:hAnsi="Calibri" w:cs="Calibri"/>
        </w:rPr>
        <w:t xml:space="preserve"> optimal size (~400</w:t>
      </w:r>
      <w:r w:rsidR="002B54D8">
        <w:rPr>
          <w:rFonts w:ascii="Calibri" w:hAnsi="Calibri" w:cs="Calibri"/>
        </w:rPr>
        <w:t>–</w:t>
      </w:r>
      <w:r w:rsidRPr="002B54D8">
        <w:rPr>
          <w:rFonts w:ascii="Calibri" w:hAnsi="Calibri" w:cs="Calibri"/>
        </w:rPr>
        <w:t xml:space="preserve">500 base pairs) for Illumina sequencing. </w:t>
      </w:r>
      <w:r w:rsidR="00481984">
        <w:rPr>
          <w:rFonts w:ascii="Calibri" w:hAnsi="Calibri" w:cs="Calibri"/>
        </w:rPr>
        <w:t xml:space="preserve">Abbreviations; </w:t>
      </w:r>
      <w:r w:rsidRPr="002B54D8">
        <w:rPr>
          <w:rFonts w:ascii="Calibri" w:hAnsi="Calibri" w:cs="Calibri"/>
        </w:rPr>
        <w:t>bp</w:t>
      </w:r>
      <w:r w:rsidR="00481984">
        <w:rPr>
          <w:rFonts w:ascii="Calibri" w:hAnsi="Calibri" w:cs="Calibri"/>
        </w:rPr>
        <w:t xml:space="preserve"> =</w:t>
      </w:r>
      <w:r w:rsidRPr="002B54D8">
        <w:rPr>
          <w:rFonts w:ascii="Calibri" w:hAnsi="Calibri" w:cs="Calibri"/>
        </w:rPr>
        <w:t xml:space="preserve"> base pairs</w:t>
      </w:r>
      <w:r w:rsidR="00481984">
        <w:rPr>
          <w:rFonts w:ascii="Calibri" w:hAnsi="Calibri" w:cs="Calibri"/>
        </w:rPr>
        <w:t>.</w:t>
      </w:r>
    </w:p>
    <w:p w14:paraId="0930E464" w14:textId="77777777" w:rsidR="00602071" w:rsidRPr="00800BBC" w:rsidRDefault="00602071" w:rsidP="00602F80">
      <w:pPr>
        <w:jc w:val="both"/>
        <w:rPr>
          <w:rFonts w:ascii="Calibri" w:hAnsi="Calibri" w:cs="Calibri"/>
        </w:rPr>
      </w:pPr>
    </w:p>
    <w:p w14:paraId="33B68E25" w14:textId="03E7FAD7" w:rsidR="00602071" w:rsidRDefault="00602071" w:rsidP="00602F80">
      <w:pPr>
        <w:jc w:val="both"/>
        <w:rPr>
          <w:rFonts w:ascii="Calibri" w:hAnsi="Calibri" w:cs="Calibri"/>
        </w:rPr>
      </w:pPr>
      <w:r w:rsidRPr="00800BBC">
        <w:rPr>
          <w:rFonts w:ascii="Calibri" w:hAnsi="Calibri" w:cs="Calibri"/>
          <w:b/>
          <w:bCs/>
        </w:rPr>
        <w:t xml:space="preserve">Figure 3: Pathogens detected via CSF </w:t>
      </w:r>
      <w:proofErr w:type="spellStart"/>
      <w:r w:rsidRPr="00800BBC">
        <w:rPr>
          <w:rFonts w:ascii="Calibri" w:hAnsi="Calibri" w:cs="Calibri"/>
          <w:b/>
          <w:bCs/>
        </w:rPr>
        <w:t>mNGS</w:t>
      </w:r>
      <w:proofErr w:type="spellEnd"/>
      <w:r w:rsidRPr="00800BBC">
        <w:rPr>
          <w:rFonts w:ascii="Calibri" w:hAnsi="Calibri" w:cs="Calibri"/>
          <w:b/>
          <w:bCs/>
        </w:rPr>
        <w:t xml:space="preserve"> in two distinct clinical cohorts</w:t>
      </w:r>
      <w:r>
        <w:rPr>
          <w:rFonts w:ascii="Calibri" w:hAnsi="Calibri" w:cs="Calibri"/>
          <w:b/>
          <w:bCs/>
        </w:rPr>
        <w:t xml:space="preserve">. </w:t>
      </w:r>
      <w:r w:rsidRPr="002B54D8">
        <w:rPr>
          <w:rFonts w:ascii="Calibri" w:hAnsi="Calibri" w:cs="Calibri"/>
        </w:rPr>
        <w:t xml:space="preserve">Counts reflect total pathogens detected; some samples contained multiple pathogens. </w:t>
      </w:r>
      <w:r w:rsidR="00481984">
        <w:rPr>
          <w:rFonts w:ascii="Calibri" w:hAnsi="Calibri" w:cs="Calibri"/>
        </w:rPr>
        <w:t>Abbreviations; CSF =</w:t>
      </w:r>
      <w:r w:rsidR="00BB4DF9">
        <w:rPr>
          <w:rFonts w:ascii="Calibri" w:hAnsi="Calibri" w:cs="Calibri"/>
        </w:rPr>
        <w:t xml:space="preserve"> cerebrospinal fluid, </w:t>
      </w:r>
      <w:proofErr w:type="spellStart"/>
      <w:r w:rsidR="00BB4DF9">
        <w:rPr>
          <w:rFonts w:ascii="Calibri" w:hAnsi="Calibri" w:cs="Calibri"/>
        </w:rPr>
        <w:t>mNGS</w:t>
      </w:r>
      <w:proofErr w:type="spellEnd"/>
      <w:r w:rsidR="00BB4DF9">
        <w:rPr>
          <w:rFonts w:ascii="Calibri" w:hAnsi="Calibri" w:cs="Calibri"/>
        </w:rPr>
        <w:t xml:space="preserve"> = metagenomic next-generation sequencing</w:t>
      </w:r>
    </w:p>
    <w:p w14:paraId="28DB6DDE" w14:textId="77777777" w:rsidR="005553FA" w:rsidRDefault="005553FA" w:rsidP="00602F80">
      <w:pPr>
        <w:jc w:val="both"/>
        <w:rPr>
          <w:rFonts w:ascii="Calibri" w:hAnsi="Calibri" w:cs="Calibri"/>
        </w:rPr>
      </w:pPr>
    </w:p>
    <w:p w14:paraId="0BECD1AC" w14:textId="0BF512A4" w:rsidR="00A66437" w:rsidRPr="000A67B6" w:rsidRDefault="005553FA" w:rsidP="00602F80">
      <w:pPr>
        <w:jc w:val="both"/>
        <w:rPr>
          <w:rFonts w:ascii="Calibri" w:hAnsi="Calibri" w:cs="Calibri"/>
        </w:rPr>
      </w:pPr>
      <w:r w:rsidRPr="00A66437">
        <w:rPr>
          <w:rFonts w:ascii="Calibri" w:hAnsi="Calibri" w:cs="Calibri"/>
          <w:b/>
          <w:bCs/>
        </w:rPr>
        <w:t xml:space="preserve">Supplementary </w:t>
      </w:r>
      <w:r w:rsidR="000A7AF9">
        <w:rPr>
          <w:rFonts w:ascii="Calibri" w:hAnsi="Calibri" w:cs="Calibri"/>
          <w:b/>
          <w:bCs/>
        </w:rPr>
        <w:t>Appendi</w:t>
      </w:r>
      <w:r w:rsidR="00A2630A">
        <w:rPr>
          <w:rFonts w:ascii="Calibri" w:hAnsi="Calibri" w:cs="Calibri"/>
          <w:b/>
          <w:bCs/>
        </w:rPr>
        <w:t xml:space="preserve">ces: </w:t>
      </w:r>
      <w:r w:rsidR="003C4385">
        <w:rPr>
          <w:rFonts w:ascii="Calibri" w:hAnsi="Calibri" w:cs="Calibri"/>
        </w:rPr>
        <w:t>(</w:t>
      </w:r>
      <w:r w:rsidR="003C4385">
        <w:rPr>
          <w:rFonts w:ascii="Calibri" w:hAnsi="Calibri" w:cs="Calibri"/>
          <w:b/>
          <w:bCs/>
        </w:rPr>
        <w:t>A</w:t>
      </w:r>
      <w:r w:rsidR="003C4385" w:rsidRPr="003C4385">
        <w:rPr>
          <w:rFonts w:ascii="Calibri" w:hAnsi="Calibri" w:cs="Calibri"/>
        </w:rPr>
        <w:t>)</w:t>
      </w:r>
      <w:r w:rsidR="003C4385">
        <w:rPr>
          <w:rFonts w:ascii="Calibri" w:hAnsi="Calibri" w:cs="Calibri"/>
          <w:b/>
          <w:bCs/>
        </w:rPr>
        <w:t xml:space="preserve"> </w:t>
      </w:r>
      <w:r w:rsidR="00A66437" w:rsidRPr="00301326">
        <w:rPr>
          <w:rFonts w:ascii="Calibri" w:hAnsi="Calibri" w:cs="Calibri"/>
        </w:rPr>
        <w:t>CSF</w:t>
      </w:r>
      <w:r w:rsidR="003C4385" w:rsidRPr="00301326">
        <w:rPr>
          <w:rFonts w:ascii="Calibri" w:hAnsi="Calibri" w:cs="Calibri"/>
        </w:rPr>
        <w:t xml:space="preserve"> </w:t>
      </w:r>
      <w:r w:rsidR="000A7AF9" w:rsidRPr="00301326">
        <w:rPr>
          <w:rFonts w:ascii="Calibri" w:hAnsi="Calibri" w:cs="Calibri"/>
        </w:rPr>
        <w:t>nucleic acid extraction.</w:t>
      </w:r>
      <w:r w:rsidR="000A67B6">
        <w:rPr>
          <w:rFonts w:ascii="Calibri" w:hAnsi="Calibri" w:cs="Calibri"/>
          <w:b/>
          <w:bCs/>
        </w:rPr>
        <w:t xml:space="preserve"> </w:t>
      </w:r>
      <w:r w:rsidR="000A67B6">
        <w:rPr>
          <w:rFonts w:ascii="Calibri" w:hAnsi="Calibri" w:cs="Calibri"/>
        </w:rPr>
        <w:t>This contains additional steps for the CSF nucleic acid extraction protocol</w:t>
      </w:r>
      <w:r w:rsidR="00A2630A">
        <w:rPr>
          <w:rFonts w:ascii="Calibri" w:hAnsi="Calibri" w:cs="Calibri"/>
        </w:rPr>
        <w:t xml:space="preserve">. </w:t>
      </w:r>
      <w:r w:rsidR="003C4385">
        <w:rPr>
          <w:rFonts w:ascii="Calibri" w:hAnsi="Calibri" w:cs="Calibri"/>
        </w:rPr>
        <w:t>(</w:t>
      </w:r>
      <w:r w:rsidR="003C4385" w:rsidRPr="00301326">
        <w:rPr>
          <w:rFonts w:ascii="Calibri" w:hAnsi="Calibri" w:cs="Calibri"/>
          <w:b/>
          <w:bCs/>
        </w:rPr>
        <w:t>B</w:t>
      </w:r>
      <w:r w:rsidR="003C4385">
        <w:rPr>
          <w:rFonts w:ascii="Calibri" w:hAnsi="Calibri" w:cs="Calibri"/>
        </w:rPr>
        <w:t xml:space="preserve">) </w:t>
      </w:r>
      <w:r w:rsidR="00A66437" w:rsidRPr="00301326">
        <w:rPr>
          <w:rFonts w:ascii="Calibri" w:hAnsi="Calibri" w:cs="Calibri"/>
        </w:rPr>
        <w:t xml:space="preserve">Magnetic </w:t>
      </w:r>
      <w:r w:rsidR="000A7AF9" w:rsidRPr="00301326">
        <w:rPr>
          <w:rFonts w:ascii="Calibri" w:hAnsi="Calibri" w:cs="Calibri"/>
        </w:rPr>
        <w:t>bead purification.</w:t>
      </w:r>
      <w:r w:rsidR="000A67B6" w:rsidRPr="00301326">
        <w:rPr>
          <w:rFonts w:ascii="Calibri" w:hAnsi="Calibri" w:cs="Calibri"/>
        </w:rPr>
        <w:t xml:space="preserve"> This</w:t>
      </w:r>
      <w:r w:rsidR="000A67B6">
        <w:rPr>
          <w:rFonts w:ascii="Calibri" w:hAnsi="Calibri" w:cs="Calibri"/>
        </w:rPr>
        <w:t xml:space="preserve"> contains the general workflow for magnetic bead purification, which is used several times during the library preparation</w:t>
      </w:r>
    </w:p>
    <w:p w14:paraId="41FDFA89" w14:textId="77777777" w:rsidR="00BF36AA" w:rsidRPr="00800BBC" w:rsidRDefault="00BF36AA" w:rsidP="00602F80">
      <w:pPr>
        <w:jc w:val="both"/>
        <w:rPr>
          <w:rFonts w:ascii="Calibri" w:hAnsi="Calibri" w:cs="Calibri"/>
        </w:rPr>
      </w:pPr>
    </w:p>
    <w:p w14:paraId="47813A0D" w14:textId="702C3C06" w:rsidR="00BF36AA" w:rsidRPr="00800BBC" w:rsidRDefault="002B54D8" w:rsidP="00602F80">
      <w:pPr>
        <w:jc w:val="both"/>
        <w:rPr>
          <w:rFonts w:ascii="Calibri" w:hAnsi="Calibri" w:cs="Calibri"/>
        </w:rPr>
      </w:pPr>
      <w:r w:rsidRPr="00800BBC">
        <w:rPr>
          <w:rFonts w:ascii="Calibri" w:hAnsi="Calibri" w:cs="Calibri"/>
          <w:b/>
          <w:bCs/>
        </w:rPr>
        <w:t>DISCUSSION</w:t>
      </w:r>
      <w:r w:rsidRPr="002B54D8">
        <w:rPr>
          <w:rFonts w:ascii="Calibri" w:hAnsi="Calibri" w:cs="Calibri"/>
          <w:b/>
          <w:bCs/>
        </w:rPr>
        <w:t>: </w:t>
      </w:r>
    </w:p>
    <w:p w14:paraId="213C0F16" w14:textId="303FA526" w:rsidR="00BF36AA" w:rsidRPr="00800BBC" w:rsidRDefault="00BF36AA" w:rsidP="00602F80">
      <w:pPr>
        <w:jc w:val="both"/>
        <w:rPr>
          <w:rFonts w:ascii="Calibri" w:hAnsi="Calibri" w:cs="Calibri"/>
        </w:rPr>
      </w:pPr>
      <w:r w:rsidRPr="00800BBC">
        <w:rPr>
          <w:rFonts w:ascii="Calibri" w:hAnsi="Calibri" w:cs="Calibri"/>
        </w:rPr>
        <w:t>There are important considerations that may require alterations to this protocol</w:t>
      </w:r>
      <w:r w:rsidR="002B54D8">
        <w:rPr>
          <w:rFonts w:ascii="Calibri" w:hAnsi="Calibri" w:cs="Calibri"/>
        </w:rPr>
        <w:t>, depending on the desired sequencing depth, the sequencing platform used</w:t>
      </w:r>
      <w:r w:rsidRPr="00800BBC">
        <w:rPr>
          <w:rFonts w:ascii="Calibri" w:hAnsi="Calibri" w:cs="Calibri"/>
        </w:rPr>
        <w:t xml:space="preserve">, and the availability of equipment for quality control. </w:t>
      </w:r>
      <w:r w:rsidR="000E7DC9" w:rsidRPr="00800BBC">
        <w:rPr>
          <w:rFonts w:ascii="Calibri" w:hAnsi="Calibri" w:cs="Calibri"/>
        </w:rPr>
        <w:t>Nonetheless</w:t>
      </w:r>
      <w:r w:rsidRPr="00800BBC">
        <w:rPr>
          <w:rFonts w:ascii="Calibri" w:hAnsi="Calibri" w:cs="Calibri"/>
        </w:rPr>
        <w:t>, the two representative cohorts</w:t>
      </w:r>
      <w:r w:rsidR="004A7A23" w:rsidRPr="00800BBC">
        <w:rPr>
          <w:rFonts w:ascii="Calibri" w:hAnsi="Calibri" w:cs="Calibri"/>
        </w:rPr>
        <w:t xml:space="preserve"> presented here</w:t>
      </w:r>
      <w:r w:rsidRPr="00800BBC">
        <w:rPr>
          <w:rFonts w:ascii="Calibri" w:hAnsi="Calibri" w:cs="Calibri"/>
        </w:rPr>
        <w:t xml:space="preserve"> demonstrate that </w:t>
      </w:r>
      <w:r w:rsidR="002B54D8">
        <w:rPr>
          <w:rFonts w:ascii="Calibri" w:hAnsi="Calibri" w:cs="Calibri"/>
        </w:rPr>
        <w:t>robust pathogen detection is possible</w:t>
      </w:r>
      <w:r w:rsidRPr="00800BBC">
        <w:rPr>
          <w:rFonts w:ascii="Calibri" w:hAnsi="Calibri" w:cs="Calibri"/>
        </w:rPr>
        <w:t xml:space="preserve"> across a broad range of experimental conditions. Specifically, Cohort B demonstrated that</w:t>
      </w:r>
      <w:r w:rsidR="002B54D8">
        <w:rPr>
          <w:rFonts w:ascii="Calibri" w:hAnsi="Calibri" w:cs="Calibri"/>
        </w:rPr>
        <w:t xml:space="preserve">, despite several cost-saving measures – shallow-depth sequencing, the exclusion of ERCC controls, miniaturization of the protocol, and the use of traditional gel electrophoresis for quality control (rather than a bioanalyzer or </w:t>
      </w:r>
      <w:proofErr w:type="spellStart"/>
      <w:r w:rsidR="002B54D8">
        <w:rPr>
          <w:rFonts w:ascii="Calibri" w:hAnsi="Calibri" w:cs="Calibri"/>
        </w:rPr>
        <w:t>TapeStation</w:t>
      </w:r>
      <w:proofErr w:type="spellEnd"/>
      <w:r w:rsidR="002B54D8">
        <w:rPr>
          <w:rFonts w:ascii="Calibri" w:hAnsi="Calibri" w:cs="Calibri"/>
        </w:rPr>
        <w:t>) – a diverse range of neuroinvasive pathogens was</w:t>
      </w:r>
      <w:r w:rsidRPr="00800BBC">
        <w:rPr>
          <w:rFonts w:ascii="Calibri" w:hAnsi="Calibri" w:cs="Calibri"/>
        </w:rPr>
        <w:t xml:space="preserve"> still detected in the samples.</w:t>
      </w:r>
      <w:r w:rsidR="009F6CC3" w:rsidRPr="00800BBC">
        <w:rPr>
          <w:rFonts w:ascii="Calibri" w:hAnsi="Calibri" w:cs="Calibri"/>
        </w:rPr>
        <w:t xml:space="preserve"> </w:t>
      </w:r>
    </w:p>
    <w:p w14:paraId="4A979659" w14:textId="77777777" w:rsidR="00DA3F2F" w:rsidRPr="00800BBC" w:rsidRDefault="00DA3F2F" w:rsidP="00602F80">
      <w:pPr>
        <w:jc w:val="both"/>
        <w:rPr>
          <w:rFonts w:ascii="Calibri" w:hAnsi="Calibri" w:cs="Calibri"/>
        </w:rPr>
      </w:pPr>
    </w:p>
    <w:p w14:paraId="3D2E8C00" w14:textId="331AB952" w:rsidR="00DA3F2F" w:rsidRPr="00800BBC" w:rsidRDefault="00DA3F2F" w:rsidP="00602F80">
      <w:pPr>
        <w:jc w:val="both"/>
        <w:rPr>
          <w:rFonts w:ascii="Calibri" w:hAnsi="Calibri" w:cs="Calibri"/>
        </w:rPr>
      </w:pPr>
      <w:r w:rsidRPr="00800BBC">
        <w:rPr>
          <w:rFonts w:ascii="Calibri" w:hAnsi="Calibri" w:cs="Calibri"/>
        </w:rPr>
        <w:t xml:space="preserve">There are several critical steps and considerations to maximize the chances of success during the protocol. It is important to work efficiently during extraction (particularly prior to the addition of </w:t>
      </w:r>
      <w:r w:rsidRPr="00800BBC">
        <w:rPr>
          <w:rFonts w:ascii="Calibri" w:hAnsi="Calibri" w:cs="Calibri"/>
        </w:rPr>
        <w:lastRenderedPageBreak/>
        <w:t xml:space="preserve">DNA/RNA Shield) to avoid unwanted RNA degradation. </w:t>
      </w:r>
      <w:r w:rsidR="00D176A4" w:rsidRPr="00800BBC">
        <w:rPr>
          <w:rFonts w:ascii="Calibri" w:hAnsi="Calibri" w:cs="Calibri"/>
        </w:rPr>
        <w:t xml:space="preserve">During the various steps of library preparation, the mixtures should be </w:t>
      </w:r>
      <w:r w:rsidR="002B54D8">
        <w:rPr>
          <w:rFonts w:ascii="Calibri" w:hAnsi="Calibri" w:cs="Calibri"/>
        </w:rPr>
        <w:t>thoroughly mixed to ensure homogenization, while avoiding</w:t>
      </w:r>
      <w:r w:rsidR="00D176A4" w:rsidRPr="00800BBC">
        <w:rPr>
          <w:rFonts w:ascii="Calibri" w:hAnsi="Calibri" w:cs="Calibri"/>
        </w:rPr>
        <w:t xml:space="preserve"> excess bubbles</w:t>
      </w:r>
      <w:r w:rsidR="002B54D8">
        <w:rPr>
          <w:rFonts w:ascii="Calibri" w:hAnsi="Calibri" w:cs="Calibri"/>
        </w:rPr>
        <w:t>,</w:t>
      </w:r>
      <w:r w:rsidR="00D176A4" w:rsidRPr="00800BBC">
        <w:rPr>
          <w:rFonts w:ascii="Calibri" w:hAnsi="Calibri" w:cs="Calibri"/>
        </w:rPr>
        <w:t xml:space="preserve"> which can reduce library yield. If bubbles are apparent after mixing, gently </w:t>
      </w:r>
      <w:r w:rsidR="002B54D8">
        <w:rPr>
          <w:rFonts w:ascii="Calibri" w:hAnsi="Calibri" w:cs="Calibri"/>
        </w:rPr>
        <w:t>flick the PCR tube strip and pulse-spin</w:t>
      </w:r>
      <w:r w:rsidR="00D176A4" w:rsidRPr="00800BBC">
        <w:rPr>
          <w:rFonts w:ascii="Calibri" w:hAnsi="Calibri" w:cs="Calibri"/>
        </w:rPr>
        <w:t xml:space="preserve">. Adapter dimers are another critical consideration during the protocol. To reduce the likelihood of adapter dimer excess, </w:t>
      </w:r>
      <w:r w:rsidR="002B54D8">
        <w:rPr>
          <w:rFonts w:ascii="Calibri" w:hAnsi="Calibri" w:cs="Calibri"/>
        </w:rPr>
        <w:t>add the diluted adapter separately from the master mix while the PCR tubes are on ice, and mix thoroughly (ideally with a multichannel pipette</w:t>
      </w:r>
      <w:r w:rsidR="00D176A4" w:rsidRPr="00800BBC">
        <w:rPr>
          <w:rFonts w:ascii="Calibri" w:hAnsi="Calibri" w:cs="Calibri"/>
        </w:rPr>
        <w:t xml:space="preserve"> if preparing multiple samples). When</w:t>
      </w:r>
      <w:r w:rsidR="001639F5" w:rsidRPr="00800BBC">
        <w:rPr>
          <w:rFonts w:ascii="Calibri" w:hAnsi="Calibri" w:cs="Calibri"/>
        </w:rPr>
        <w:t xml:space="preserve"> excess</w:t>
      </w:r>
      <w:r w:rsidR="00D176A4" w:rsidRPr="00800BBC">
        <w:rPr>
          <w:rFonts w:ascii="Calibri" w:hAnsi="Calibri" w:cs="Calibri"/>
        </w:rPr>
        <w:t xml:space="preserve"> adapter dimers are</w:t>
      </w:r>
      <w:r w:rsidR="001639F5" w:rsidRPr="00800BBC">
        <w:rPr>
          <w:rFonts w:ascii="Calibri" w:hAnsi="Calibri" w:cs="Calibri"/>
        </w:rPr>
        <w:t xml:space="preserve"> present during quality control assessment, it is often necessary to perform 2</w:t>
      </w:r>
      <w:r w:rsidR="002B54D8">
        <w:rPr>
          <w:rFonts w:ascii="Calibri" w:hAnsi="Calibri" w:cs="Calibri"/>
        </w:rPr>
        <w:t>–</w:t>
      </w:r>
      <w:r w:rsidR="001639F5" w:rsidRPr="00800BBC">
        <w:rPr>
          <w:rFonts w:ascii="Calibri" w:hAnsi="Calibri" w:cs="Calibri"/>
        </w:rPr>
        <w:t>3 additional magnetic bead cleans (</w:t>
      </w:r>
      <w:r w:rsidR="002B54D8">
        <w:rPr>
          <w:rFonts w:ascii="Calibri" w:hAnsi="Calibri" w:cs="Calibri"/>
        </w:rPr>
        <w:t>at a 0.8x bead-to-library volume) to adequately remove them</w:t>
      </w:r>
      <w:r w:rsidR="001639F5" w:rsidRPr="00800BBC">
        <w:rPr>
          <w:rFonts w:ascii="Calibri" w:hAnsi="Calibri" w:cs="Calibri"/>
        </w:rPr>
        <w:t xml:space="preserve">. If this problem </w:t>
      </w:r>
      <w:r w:rsidR="002B54D8">
        <w:rPr>
          <w:rFonts w:ascii="Calibri" w:hAnsi="Calibri" w:cs="Calibri"/>
        </w:rPr>
        <w:t>persists despite optimal pipetting technique, consider further diluting the adapter before</w:t>
      </w:r>
      <w:r w:rsidR="001639F5" w:rsidRPr="00800BBC">
        <w:rPr>
          <w:rFonts w:ascii="Calibri" w:hAnsi="Calibri" w:cs="Calibri"/>
        </w:rPr>
        <w:t xml:space="preserve"> addition. </w:t>
      </w:r>
    </w:p>
    <w:p w14:paraId="2C43CB16" w14:textId="77777777" w:rsidR="001639F5" w:rsidRPr="00800BBC" w:rsidRDefault="001639F5" w:rsidP="00602F80">
      <w:pPr>
        <w:jc w:val="both"/>
        <w:rPr>
          <w:rFonts w:ascii="Calibri" w:hAnsi="Calibri" w:cs="Calibri"/>
        </w:rPr>
      </w:pPr>
    </w:p>
    <w:p w14:paraId="27F15406" w14:textId="59D6445B" w:rsidR="001639F5" w:rsidRPr="00800BBC" w:rsidRDefault="001639F5" w:rsidP="00602F80">
      <w:pPr>
        <w:jc w:val="both"/>
        <w:rPr>
          <w:rFonts w:ascii="Calibri" w:hAnsi="Calibri" w:cs="Calibri"/>
        </w:rPr>
      </w:pPr>
      <w:r w:rsidRPr="00800BBC">
        <w:rPr>
          <w:rFonts w:ascii="Calibri" w:hAnsi="Calibri" w:cs="Calibri"/>
        </w:rPr>
        <w:t xml:space="preserve">An important limitation specific to CSF </w:t>
      </w:r>
      <w:r w:rsidR="00014A87" w:rsidRPr="00800BBC">
        <w:rPr>
          <w:rFonts w:ascii="Calibri" w:hAnsi="Calibri" w:cs="Calibri"/>
        </w:rPr>
        <w:t xml:space="preserve">is that low RNA yield is common, particularly in samples with low pathogen burdens and low pleocytosis. The concentration of RNA is often unquantifiable via common </w:t>
      </w:r>
      <w:r w:rsidR="00D3381C" w:rsidRPr="00800BBC">
        <w:rPr>
          <w:rFonts w:ascii="Calibri" w:hAnsi="Calibri" w:cs="Calibri"/>
        </w:rPr>
        <w:t xml:space="preserve">accessible </w:t>
      </w:r>
      <w:r w:rsidR="00014A87" w:rsidRPr="00800BBC">
        <w:rPr>
          <w:rFonts w:ascii="Calibri" w:hAnsi="Calibri" w:cs="Calibri"/>
        </w:rPr>
        <w:t>quantification methods such as fl</w:t>
      </w:r>
      <w:r w:rsidR="00D3381C" w:rsidRPr="00800BBC">
        <w:rPr>
          <w:rFonts w:ascii="Calibri" w:hAnsi="Calibri" w:cs="Calibri"/>
        </w:rPr>
        <w:t xml:space="preserve">uorometry until the final PCR step is performed, which can make troubleshooting of low cDNA library yield challenging. </w:t>
      </w:r>
      <w:r w:rsidR="00F05926" w:rsidRPr="00800BBC">
        <w:rPr>
          <w:rFonts w:ascii="Calibri" w:hAnsi="Calibri" w:cs="Calibri"/>
        </w:rPr>
        <w:t xml:space="preserve">A common pitfall that can result in low RNA yield is </w:t>
      </w:r>
      <w:r w:rsidR="002B54D8">
        <w:rPr>
          <w:rFonts w:ascii="Calibri" w:hAnsi="Calibri" w:cs="Calibri"/>
        </w:rPr>
        <w:t>over-drying</w:t>
      </w:r>
      <w:r w:rsidR="00F05926" w:rsidRPr="00800BBC">
        <w:rPr>
          <w:rFonts w:ascii="Calibri" w:hAnsi="Calibri" w:cs="Calibri"/>
        </w:rPr>
        <w:t xml:space="preserve"> of the beads during the cleanup steps – to avoid this, elute in water once the beads appear matte to the naked eye, but have not developed any visible cracks. In addition, ensuring adequate mixing of the reagents with the sample </w:t>
      </w:r>
      <w:r w:rsidR="002B54D8">
        <w:rPr>
          <w:rFonts w:ascii="Calibri" w:hAnsi="Calibri" w:cs="Calibri"/>
        </w:rPr>
        <w:t>is</w:t>
      </w:r>
      <w:r w:rsidR="00F05926" w:rsidRPr="00800BBC">
        <w:rPr>
          <w:rFonts w:ascii="Calibri" w:hAnsi="Calibri" w:cs="Calibri"/>
        </w:rPr>
        <w:t xml:space="preserve"> critical, especially </w:t>
      </w:r>
      <w:r w:rsidR="00B02CE7">
        <w:rPr>
          <w:rFonts w:ascii="Calibri" w:hAnsi="Calibri" w:cs="Calibri"/>
        </w:rPr>
        <w:t>before cDNA synthesis</w:t>
      </w:r>
      <w:r w:rsidR="00F05926" w:rsidRPr="00800BBC">
        <w:rPr>
          <w:rFonts w:ascii="Calibri" w:hAnsi="Calibri" w:cs="Calibri"/>
        </w:rPr>
        <w:t xml:space="preserve">. This is particularly important if performing the miniaturized version of the protocol, where the sample and reagent volumes are minute and more prone to inconsistencies. If low RNA yield </w:t>
      </w:r>
      <w:r w:rsidR="00B02CE7">
        <w:rPr>
          <w:rFonts w:ascii="Calibri" w:hAnsi="Calibri" w:cs="Calibri"/>
        </w:rPr>
        <w:t>persists despite no identifiable issues in the library preparation protocol, the initial sample may be overly degraded (due to sample handling</w:t>
      </w:r>
      <w:r w:rsidR="00F05926" w:rsidRPr="00800BBC">
        <w:rPr>
          <w:rFonts w:ascii="Calibri" w:hAnsi="Calibri" w:cs="Calibri"/>
        </w:rPr>
        <w:t>, etc.), rendering the initial input RNA concentration too low for the enzymes to efficiently convert the RNA to cDNA. If this is the case, the researcher can consider eluting the final RNA product from the extraction into a smaller volume to boost the concentration. The addition of ERCC can also be helpful in these instances, as</w:t>
      </w:r>
      <w:r w:rsidR="0085609D" w:rsidRPr="00800BBC">
        <w:rPr>
          <w:rFonts w:ascii="Calibri" w:hAnsi="Calibri" w:cs="Calibri"/>
        </w:rPr>
        <w:t xml:space="preserve"> it</w:t>
      </w:r>
      <w:r w:rsidR="00F05926" w:rsidRPr="00800BBC">
        <w:rPr>
          <w:rFonts w:ascii="Calibri" w:hAnsi="Calibri" w:cs="Calibri"/>
        </w:rPr>
        <w:t xml:space="preserve"> can </w:t>
      </w:r>
      <w:r w:rsidR="0085609D" w:rsidRPr="00800BBC">
        <w:rPr>
          <w:rFonts w:ascii="Calibri" w:hAnsi="Calibri" w:cs="Calibri"/>
        </w:rPr>
        <w:t xml:space="preserve">act </w:t>
      </w:r>
      <w:r w:rsidR="00F05926" w:rsidRPr="00800BBC">
        <w:rPr>
          <w:rFonts w:ascii="Calibri" w:hAnsi="Calibri" w:cs="Calibri"/>
        </w:rPr>
        <w:t xml:space="preserve">as a “carrier” for the </w:t>
      </w:r>
      <w:r w:rsidR="009F6CC3" w:rsidRPr="00800BBC">
        <w:rPr>
          <w:rFonts w:ascii="Calibri" w:hAnsi="Calibri" w:cs="Calibri"/>
        </w:rPr>
        <w:t xml:space="preserve">sample RNA to boost the concentration and prevent the sample RNA from sticking to the tube walls. </w:t>
      </w:r>
    </w:p>
    <w:p w14:paraId="181B8ECB" w14:textId="77777777" w:rsidR="00BF36AA" w:rsidRPr="00800BBC" w:rsidRDefault="00BF36AA" w:rsidP="00602F80">
      <w:pPr>
        <w:jc w:val="both"/>
        <w:rPr>
          <w:rFonts w:ascii="Calibri" w:hAnsi="Calibri" w:cs="Calibri"/>
        </w:rPr>
      </w:pPr>
    </w:p>
    <w:p w14:paraId="6E05A03F" w14:textId="5CDF7D26" w:rsidR="00DA3F2F" w:rsidRPr="00800BBC" w:rsidRDefault="00BF36AA" w:rsidP="00602F80">
      <w:pPr>
        <w:jc w:val="both"/>
        <w:rPr>
          <w:rFonts w:ascii="Calibri" w:hAnsi="Calibri" w:cs="Calibri"/>
        </w:rPr>
      </w:pPr>
      <w:r w:rsidRPr="00800BBC">
        <w:rPr>
          <w:rFonts w:ascii="Calibri" w:hAnsi="Calibri" w:cs="Calibri"/>
        </w:rPr>
        <w:t>Additional modifications can also be made to this protocol to accommodate other research goals. For instance, a semi-automated workflow (e.g.</w:t>
      </w:r>
      <w:r w:rsidR="002B54D8">
        <w:rPr>
          <w:rFonts w:ascii="Calibri" w:hAnsi="Calibri" w:cs="Calibri"/>
        </w:rPr>
        <w:t>,</w:t>
      </w:r>
      <w:r w:rsidRPr="00800BBC">
        <w:rPr>
          <w:rFonts w:ascii="Calibri" w:hAnsi="Calibri" w:cs="Calibri"/>
        </w:rPr>
        <w:t xml:space="preserve"> utilizing Agilent Echo and Agilent Bravo automated liquid handling platforms)</w:t>
      </w:r>
      <w:r w:rsidR="00851A50" w:rsidRPr="00800BBC">
        <w:rPr>
          <w:rFonts w:ascii="Calibri" w:hAnsi="Calibri" w:cs="Calibri"/>
        </w:rPr>
        <w:fldChar w:fldCharType="begin"/>
      </w:r>
      <w:r w:rsidR="00BF44AA" w:rsidRPr="00800BBC">
        <w:rPr>
          <w:rFonts w:ascii="Calibri" w:hAnsi="Calibri" w:cs="Calibri"/>
        </w:rPr>
        <w:instrText xml:space="preserve"> ADDIN ZOTERO_ITEM CSL_CITATION {"citationID":"RUD5mz4N","properties":{"formattedCitation":"\\super 21\\nosupersub{}","plainCitation":"21","noteIndex":0},"citationItems":[{"id":299,"uris":["http://zotero.org/users/local/4EOi04XK/items/9X7ZZQVS","http://zotero.org/users/14835897/items/9X7ZZQVS"],"itemData":{"id":299,"type":"article-journal","abstract":"Preparation of high-quality sequencing libraries is a costly and time-consuming component of metagenomic next generation sequencing (mNGS). While the overall cost of sequencing has dropped significantly over recent years, the reagents needed to prepare sequencing samples are likely to become the dominant expense in the process. Furthermore, libraries prepared by hand are subject to human variability and needless waste due to limitations of manual pipetting volumes. Reduction of reaction volumes, combined with sub-microliter automated dispensing of reagents without consumable pipette tips, has the potential to provide significant advantages. Here, we describe the integration of several instruments, including the Labcyte Echo 525 acoustic liquid handler and the iSeq and NovaSeq Illumina sequencing platforms, to miniaturize and automate mNGS library preparation, significantly reducing the cost and the time required to prepare samples. Through the use of External RNA Controls Consortium (ERCC) spike-in RNAs, we demonstrated the fidelity of the miniaturized preparation to be equivalent to full volume reactions. Furthermore, detection of viral and microbial species from cell culture and patient samples was also maintained in the miniaturized libraries. For 384-well mNGS library preparations, we achieved cost savings of over 80% in materials and reagents alone, and reduced preparation time by 90% compared to manual approaches, without compromising quality or representation within the library.","container-title":"PloS One","DOI":"10.1371/journal.pone.0206194","ISSN":"1932-6203","issue":"1","journalAbbreviation":"PLoS One","language":"eng","page":"e0206194","PMID":"30629604","PMCID":"PMC6328170","source":"PubMed","title":"Miniaturization and optimization of 384-well compatible RNA sequencing library preparation","volume":"14","author":[{"family":"Mayday","given":"Madeline Y."},{"family":"Khan","given":"Lillian M."},{"family":"Chow","given":"Eric D."},{"family":"Zinter","given":"Matt S."},{"family":"DeRisi","given":"Joseph L."}],"issued":{"date-parts":[["2019"]]}}}],"schema":"https://github.com/citation-style-language/schema/raw/master/csl-citation.json"} </w:instrText>
      </w:r>
      <w:r w:rsidR="00851A50" w:rsidRPr="00800BBC">
        <w:rPr>
          <w:rFonts w:ascii="Calibri" w:hAnsi="Calibri" w:cs="Calibri"/>
        </w:rPr>
        <w:fldChar w:fldCharType="separate"/>
      </w:r>
      <w:r w:rsidR="008D1CAB" w:rsidRPr="008D1CAB">
        <w:rPr>
          <w:rFonts w:ascii="Calibri" w:hAnsi="Calibri" w:cs="Calibri"/>
          <w:kern w:val="0"/>
          <w:vertAlign w:val="superscript"/>
        </w:rPr>
        <w:t>21</w:t>
      </w:r>
      <w:r w:rsidR="00851A50" w:rsidRPr="00800BBC">
        <w:rPr>
          <w:rFonts w:ascii="Calibri" w:hAnsi="Calibri" w:cs="Calibri"/>
        </w:rPr>
        <w:fldChar w:fldCharType="end"/>
      </w:r>
      <w:r w:rsidRPr="00800BBC">
        <w:rPr>
          <w:rFonts w:ascii="Calibri" w:hAnsi="Calibri" w:cs="Calibri"/>
        </w:rPr>
        <w:t xml:space="preserve"> for </w:t>
      </w:r>
      <w:r w:rsidR="00C4085D" w:rsidRPr="00800BBC">
        <w:rPr>
          <w:rFonts w:ascii="Calibri" w:hAnsi="Calibri" w:cs="Calibri"/>
        </w:rPr>
        <w:t>higher</w:t>
      </w:r>
      <w:r w:rsidR="00A9020F" w:rsidRPr="00800BBC">
        <w:rPr>
          <w:rFonts w:ascii="Calibri" w:hAnsi="Calibri" w:cs="Calibri"/>
        </w:rPr>
        <w:t>-</w:t>
      </w:r>
      <w:r w:rsidR="00C4085D" w:rsidRPr="00800BBC">
        <w:rPr>
          <w:rFonts w:ascii="Calibri" w:hAnsi="Calibri" w:cs="Calibri"/>
        </w:rPr>
        <w:t>throughput</w:t>
      </w:r>
      <w:r w:rsidRPr="00800BBC">
        <w:rPr>
          <w:rFonts w:ascii="Calibri" w:hAnsi="Calibri" w:cs="Calibri"/>
        </w:rPr>
        <w:t xml:space="preserve"> </w:t>
      </w:r>
      <w:proofErr w:type="spellStart"/>
      <w:r w:rsidRPr="00800BBC">
        <w:rPr>
          <w:rFonts w:ascii="Calibri" w:hAnsi="Calibri" w:cs="Calibri"/>
        </w:rPr>
        <w:t>mNGS</w:t>
      </w:r>
      <w:proofErr w:type="spellEnd"/>
      <w:r w:rsidRPr="00800BBC">
        <w:rPr>
          <w:rFonts w:ascii="Calibri" w:hAnsi="Calibri" w:cs="Calibri"/>
        </w:rPr>
        <w:t xml:space="preserve"> applications has been successfully implemented in </w:t>
      </w:r>
      <w:r w:rsidR="00AF1BCF">
        <w:rPr>
          <w:rFonts w:ascii="Calibri" w:hAnsi="Calibri" w:cs="Calibri"/>
        </w:rPr>
        <w:t xml:space="preserve">the </w:t>
      </w:r>
      <w:r w:rsidR="00993C2B">
        <w:rPr>
          <w:rFonts w:ascii="Calibri" w:hAnsi="Calibri" w:cs="Calibri"/>
        </w:rPr>
        <w:t>author’s</w:t>
      </w:r>
      <w:r w:rsidRPr="00800BBC">
        <w:rPr>
          <w:rFonts w:ascii="Calibri" w:hAnsi="Calibri" w:cs="Calibri"/>
        </w:rPr>
        <w:t xml:space="preserve"> laboratory. In addition, apart from distinct modifications in the initial steps of the nucleic acid extraction, a similar library preparation protocol can be applied to serum and brain tissue specimens</w:t>
      </w:r>
      <w:r w:rsidR="00DF64F6" w:rsidRPr="00800BBC">
        <w:rPr>
          <w:rFonts w:ascii="Calibri" w:hAnsi="Calibri" w:cs="Calibri"/>
        </w:rPr>
        <w:fldChar w:fldCharType="begin"/>
      </w:r>
      <w:r w:rsidR="005005B7">
        <w:rPr>
          <w:rFonts w:ascii="Calibri" w:hAnsi="Calibri" w:cs="Calibri"/>
        </w:rPr>
        <w:instrText xml:space="preserve"> ADDIN ZOTERO_ITEM CSL_CITATION {"citationID":"IUDjl5X4","properties":{"formattedCitation":"\\super 22, 23\\nosupersub{}","plainCitation":"22, 23","noteIndex":0},"citationItems":[{"id":205,"uris":["http://zotero.org/users/local/4EOi04XK/items/IIZ8X6TF","http://zotero.org/users/14835897/items/IIZ8X6TF"],"itemData":{"id":205,"type":"article-journal","abstract":"Identifying the aetiology of CNS diseases, regardless of their infectious or non-infectious nature, is often intricate. Next-generation sequencing (NGS) has emerged as a powerful tool for sensitive and unbiased screening of tissue or body fluid specimens. This study aimed to investigate the underlying aetiology of patients with suspected infectious CNS diseases. Between April 2013 and October 2021, we collected brain tissue samples from 33 patients diagnosed with encephalitis or encephalitis-like CNS diseases, obtained via biopsy or autopsy, and underwent metagenomic NGS (mNGS) in conjunction with pathological evaluations. Moreover, we employed PCR-based assays and pathogen-specific immunostaining to corroborate the presence of pathogens within the tissue samples. Among the 33 patients, mNGS elucidated pathogen-specific genomic sequences in 7 cases (21.2%), including halobacteria (archaea), Balamuthia mandrillaris, Epstein-Barr virus, Toxoplasma gondii and herpes simplex virus. Additionally, brain tissue mNGS ruled out known pathogens, identifying 14 cases (42.4%) of non-infectious CNS diseases, which included neoplastic, autoimmune/inflammatory and amyloid angiopathy conditions. The adjustment of therapeutic strategies based on these findings led to improvements in clinical symptoms, imaging outcomes and patient prognosis. Brain biopsy serves as both a direct pathological research target and a valuable source of samples for unbiased high-throughput sequencing. Our study illustrates the reliability of mNGS on brain tissue, which significantly improves the diagnostic rate for suspected encephalitis or encephalitis-like diseases of unknown aetiology. These findings underscore the importance of mNGS in guiding more precise and effective therapeutic interventions for patients in clinical practice.","container-title":"Brain Communications","DOI":"10.1093/braincomms/fcaf165","ISSN":"2632-1297","issue":"3","journalAbbreviation":"Brain Commun","language":"eng","page":"fcaf165","PMID":"40342619","PMCID":"PMC12059644","source":"PubMed","title":"Brain biopsy and metagenomic sequencing enhance aetiological diagnosis of encephalitis","volume":"7","author":[{"family":"Sakiyama","given":"Yusuke"},{"family":"Yuan","given":"Jun-Hui"},{"family":"Yoshimura","given":"Akiko"},{"family":"Takeuchi","given":"Mika"},{"family":"Maki","given":"Yoshimitsu"},{"family":"Mori","given":"Takuma"},{"family":"Takei","given":"Jun"},{"family":"Ando","given":"Masahiro"},{"family":"Hiramatsu","given":"Yu"},{"family":"Nozuma","given":"Satoshi"},{"family":"Higuchi","given":"Yujiro"},{"family":"Yonezawa","given":"Hajime"},{"family":"Kirishima","given":"Mari"},{"family":"Suzuki","given":"Masayuki"},{"family":"Kano","given":"Takahiro"},{"family":"Tarisawa","given":"Monami"},{"family":"Hashiguchi","given":"Shunta"},{"family":"Kunii","given":"Misako"},{"family":"Sato","given":"Shoki"},{"family":"Takahashi-Iwata","given":"Ikuko"},{"family":"Hashiguchi","given":"Akihiro"},{"family":"Matsuura","given":"Eiji"},{"family":"Izumo","given":"Shuji"},{"family":"Tanimoto","given":"Akihide"},{"family":"Takashima","given":"Hiroshi"}],"issued":{"date-parts":[["2025"]]}},"label":"page"},{"id":206,"uris":["http://zotero.org/users/local/4EOi04XK/items/SLGKK8TL","http://zotero.org/users/14835897/items/SLGKK8TL"],"itemData":{"id":206,"type":"article-journal","abstract":"Objective:This study aimed to investigate the underlying etiology of CNS diseases in Japanese patients.Background:Identifying the etiology of central nervous system (CNS) diseases, regardless of their infectious or non-infectious nature, is often intricate. Next-generation sequencing (NGS) has emerged as a powerful tool for sensitive and unbiased screening of tissue or body fluid specimens.Design/Methods:Between April 2013 and October 2021, we collected brain tissue samples from 35 patients diagnosed with encephalitis or encephalitis-like CNS diseases, obtained via biopsy or autopsy. We utilized shotgun metagenomics NGS on brain tissues (mNGS-bt) to identify potential pathogens by analyzing non-human sequences against the BLAST nucleotide database. Comprehensive clinical, serological, pathological, and genetic assessments ensured the precision of pathogen identification.Results:Among the 35 patients, mNGS-bt elucidated pathogen-specific genomic sequences in eight cases (22.9%), including halobacteria (two cases), Balamuthia mandrillaris (one case), Epstein–Barr virus (two cases), JC polyomavirus (one case), toxoplasma gondii (one case), and herpes simplex virus (one case). Several cases exhibited concurrent infections with multiple pathogens. Fourteen cases without pathogen sequences, indicative of non-infectious CNS diseases (40%), were diagnosed with neoplastic diseases (seven cases), autoimmune/inflammatory disorders (six cases), and amyloid angiopathy (one case).Conclusions:This study, featuring the most substantial brain tissue sample collection to date, demonstrates that integrating mNGS-bt with comprehensive analyses substantially improves etiological diagnoses, with 62.9% (22/35) of cases attributed to infectious or non-infectious causes. These findings highlight the potential of mNGS-bt as a primary screening tool for patients with encephalitis or encephalitis-like CNS diseases of unknown etiology.Disclosure: Dr. Sakiyama has nothing to disclose. Dr. Yuan has nothing to disclose. Ms. Yoshimura has nothing to disclose. Dr. Takei has nothing to disclose. Dr. Ando has nothing to disclose. Dr. Takashima has nothing to disclose.","container-title":"Neurology","DOI":"10.1212/WNL.0000000000205375","issue":"7_supplement_1","page":"3782","publisher":"Wolters Kluwer","source":"neurology.org (Atypon)","title":"Etiological Insights of Encephalitis and Encephalitis-like Central Nervous System Diseases: Brain Tissue Metagenomic Next-generation Sequencing (S25.003)","title-short":"Etiological Insights of Encephalitis and Encephalitis-like Central Nervous System Diseases","volume":"102","author":[{"family":"Sakiyama","given":"Yusuke"},{"family":"Yuan","given":"Junhui"},{"family":"Yoshimura","given":"Akiko"},{"family":"Takei","given":"Jun"},{"family":"Ando","given":"Masahiro"},{"family":"Takashima","given":"Hiroshi"}],"issued":{"date-parts":[["2024",4,14]]}},"label":"page"}],"schema":"https://github.com/citation-style-language/schema/raw/master/csl-citation.json"} </w:instrText>
      </w:r>
      <w:r w:rsidR="00DF64F6" w:rsidRPr="00800BBC">
        <w:rPr>
          <w:rFonts w:ascii="Calibri" w:hAnsi="Calibri" w:cs="Calibri"/>
        </w:rPr>
        <w:fldChar w:fldCharType="separate"/>
      </w:r>
      <w:r w:rsidR="008D1CAB" w:rsidRPr="008D1CAB">
        <w:rPr>
          <w:rFonts w:ascii="Calibri" w:hAnsi="Calibri" w:cs="Calibri"/>
          <w:kern w:val="0"/>
          <w:vertAlign w:val="superscript"/>
        </w:rPr>
        <w:t>22,23</w:t>
      </w:r>
      <w:r w:rsidR="00DF64F6"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The protocol can also be adapted to allow for the incorporation of unique molecular identifiers (UMIs) to allow for more accurate read quantification in bulk RNA-seq transcriptomic applications</w:t>
      </w:r>
      <w:r w:rsidR="000E7DC9" w:rsidRPr="00800BBC">
        <w:rPr>
          <w:rFonts w:ascii="Calibri" w:hAnsi="Calibri" w:cs="Calibri"/>
        </w:rPr>
        <w:fldChar w:fldCharType="begin"/>
      </w:r>
      <w:r w:rsidR="00BF44AA" w:rsidRPr="00800BBC">
        <w:rPr>
          <w:rFonts w:ascii="Calibri" w:hAnsi="Calibri" w:cs="Calibri"/>
        </w:rPr>
        <w:instrText xml:space="preserve"> ADDIN ZOTERO_ITEM CSL_CITATION {"citationID":"xdfVg1lU","properties":{"formattedCitation":"\\super 24\\nosupersub{}","plainCitation":"24","noteIndex":0},"citationItems":[{"id":201,"uris":["http://zotero.org/users/local/4EOi04XK/items/AD3DU9L3","http://zotero.org/users/14835897/items/AD3DU9L3"],"itemData":{"id":201,"type":"article-journal","abstract":"Unique molecular identifiers are random oligonucleotide sequences that remove PCR amplification biases. However, the impact that PCR associated sequencing errors have on the accuracy of generating absolute counts of RNA molecules is underappreciated. We show that PCR errors are a source of inaccuracy in both bulk and single-cell sequencing data, and synthesizing unique molecular identifiers using homotrimeric nucleotide blocks provides an error-correcting solution that allows absolute counting of sequenced molecules.","container-title":"Nature Methods","DOI":"10.1038/s41592-024-02168-y","ISSN":"1548-7105","issue":"3","journalAbbreviation":"Nat Methods","language":"en","license":"2024 The Author(s)","page":"401-405","publisher":"Nature Publishing Group","source":"www.nature.com","title":"Correcting PCR amplification errors in unique molecular identifiers to generate accurate numbers of sequencing molecules","volume":"21","author":[{"family":"Sun","given":"Jianfeng"},{"family":"Philpott","given":"Martin"},{"family":"Loi","given":"Danson"},{"family":"Li","given":"Shuang"},{"family":"Monteagudo-Mesas","given":"Pablo"},{"family":"Hoffman","given":"Gabriela"},{"family":"Robson","given":"Jonathan"},{"family":"Mehta","given":"Neelam"},{"family":"Gamble","given":"Vicki"},{"family":"Brown","given":"Tom"},{"family":"Brown","given":"Tom"},{"family":"Canzar","given":"Stefan"},{"family":"Oppermann","given":"Udo"},{"family":"Cribbs","given":"Adam P."}],"issued":{"date-parts":[["2024",3]]}}}],"schema":"https://github.com/citation-style-language/schema/raw/master/csl-citation.json"} </w:instrText>
      </w:r>
      <w:r w:rsidR="000E7DC9" w:rsidRPr="00800BBC">
        <w:rPr>
          <w:rFonts w:ascii="Calibri" w:hAnsi="Calibri" w:cs="Calibri"/>
        </w:rPr>
        <w:fldChar w:fldCharType="separate"/>
      </w:r>
      <w:r w:rsidR="008D1CAB" w:rsidRPr="008D1CAB">
        <w:rPr>
          <w:rFonts w:ascii="Calibri" w:hAnsi="Calibri" w:cs="Calibri"/>
          <w:kern w:val="0"/>
          <w:vertAlign w:val="superscript"/>
        </w:rPr>
        <w:t>24</w:t>
      </w:r>
      <w:r w:rsidR="000E7DC9"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xml:space="preserve"> Furthermore, although </w:t>
      </w:r>
      <w:r w:rsidR="00993C2B">
        <w:rPr>
          <w:rFonts w:ascii="Calibri" w:hAnsi="Calibri" w:cs="Calibri"/>
        </w:rPr>
        <w:t>authors</w:t>
      </w:r>
      <w:r w:rsidRPr="00800BBC">
        <w:rPr>
          <w:rFonts w:ascii="Calibri" w:hAnsi="Calibri" w:cs="Calibri"/>
        </w:rPr>
        <w:t xml:space="preserve"> utilized CZID for the computational processing and to confirm detected pathogen reads, it is possible to use other workflows or to create custom pipelines that may be better suited to the researcher’s needs</w:t>
      </w:r>
      <w:r w:rsidR="000E7DC9" w:rsidRPr="00800BBC">
        <w:rPr>
          <w:rFonts w:ascii="Calibri" w:hAnsi="Calibri" w:cs="Calibri"/>
        </w:rPr>
        <w:fldChar w:fldCharType="begin"/>
      </w:r>
      <w:r w:rsidR="005005B7">
        <w:rPr>
          <w:rFonts w:ascii="Calibri" w:hAnsi="Calibri" w:cs="Calibri"/>
        </w:rPr>
        <w:instrText xml:space="preserve"> ADDIN ZOTERO_ITEM CSL_CITATION {"citationID":"mMmVqaGa","properties":{"formattedCitation":"\\super 25, 26\\nosupersub{}","plainCitation":"25, 26","noteIndex":0},"citationItems":[{"id":202,"uris":["http://zotero.org/users/local/4EOi04XK/items/PGEIH6IY","http://zotero.org/users/14835897/items/PGEIH6IY"],"itemData":{"id":202,"type":"article-journal","abstract":"Tools for rapid identification of novel and/or emerging viruses are urgently needed for clinical diagnosis of unexplained infections and pandemic preparedness. Here we developed and clinically validated a largely automated metagenomic next-generation sequencing (mNGS) assay for agnostic detection of respiratory viral pathogens from upper respiratory swab and bronchoalveolar lavage samples in &lt;24 h. The mNGS assay achieved mean limits of detection of 543 copies/mL, viral load quantification with 100% linearity, and 93.6% sensitivity, 93.8% specificity, and 93.7% accuracy compared to gold-standard clinical multiplex RT-PCR testing. Performance increased to 97.9% overall predictive agreement after discrepancy testing and clinical adjudication, which was superior to that of RT-PCR (95.0% agreement). To enable discovery of novel, sequence-divergent human viruses with pandemic potential, de novo assembly and translated nucleotide algorithms were incorporated into the automated SURPI+ computational pipeline used by the mNGS assay for pathogen detection. Using in silico analysis, we showed that after removal of all human viral sequences from the reference database, 70 (100%) of 70 representative human viral pathogens could still be identified based on homology to related animal or plant viruses. Our assay, which was granted breakthrough device designation from the US Food and Drug Administration (FDA) in August of 2023, demonstrates the feasibility of routine mNGS testing in clinical and public health laboratories, thus facilitating a robust and rapid response to the next viral pandemic.","container-title":"Nature Communications","DOI":"10.1038/s41467-024-51470-y","ISSN":"2041-1723","issue":"1","journalAbbreviation":"Nat Commun","language":"en","license":"2024 The Author(s)","page":"9016","publisher":"Nature Publishing Group","source":"www.nature.com","title":"Laboratory validation of a clinical metagenomic next-generation sequencing assay for respiratory virus detection and discovery","volume":"15","author":[{"family":"Tan","given":"Jessica Karielle"},{"family":"Servellita","given":"Venice"},{"family":"Stryke","given":"Doug"},{"family":"Kelly","given":"Emily"},{"family":"Streithorst","given":"Jessica"},{"family":"Sumimoto","given":"Nanami"},{"family":"Foresythe","given":"Abiodun"},{"family":"Huh","given":"Hee Jae"},{"family":"Nguyen","given":"Jenny"},{"family":"Oseguera","given":"Miriam"},{"family":"Brazer","given":"Noah"},{"family":"Tang","given":"Jack"},{"family":"Ingebrigtsen","given":"Danielle"},{"family":"Fung","given":"Becky"},{"family":"Reyes","given":"Helen"},{"family":"Hillberg","given":"Melissa"},{"family":"Chen","given":"Alice"},{"family":"Guevara","given":"Hugo"},{"family":"Yagi","given":"Shigeo"},{"family":"Morales","given":"Christina"},{"family":"Wadford","given":"Debra A."},{"family":"Mourani","given":"Peter M."},{"family":"Langelier","given":"Charles R."},{"family":"Lorenzi-Tognon","given":"Mikael","non-dropping-particle":"de"},{"family":"Benoit","given":"Patrick"},{"family":"Chiu","given":"Charles Y."}],"issued":{"date-parts":[["2024",11,12]]}},"label":"page"},{"id":203,"uris":["http://zotero.org/users/local/4EOi04XK/items/B29HZY69","http://zotero.org/users/14835897/items/B29HZY69"],"itemData":{"id":203,"type":"software","abstract":"Clin-mNGS: Automated pipeline for pathogen detection from clinical metagenomic data","genre":"Python","license":"MIT","note":"original-date: 2020-05-13T23:18:53Z","source":"GitHub","title":"Clin-mNGS: Automated pipeline for pathogen detection from clinical metagenomic data","URL":"https://github.com/AkshathaPrasanna/Clin-mNGS","author":[{"literal":"Akshatha, Prasanna"}],"accessed":{"date-parts":[["2025",7,27]]},"issued":{"date-parts":[["2025",6,25]]}},"label":"page"}],"schema":"https://github.com/citation-style-language/schema/raw/master/csl-citation.json"} </w:instrText>
      </w:r>
      <w:r w:rsidR="000E7DC9" w:rsidRPr="00800BBC">
        <w:rPr>
          <w:rFonts w:ascii="Calibri" w:hAnsi="Calibri" w:cs="Calibri"/>
        </w:rPr>
        <w:fldChar w:fldCharType="separate"/>
      </w:r>
      <w:r w:rsidR="008D1CAB" w:rsidRPr="008D1CAB">
        <w:rPr>
          <w:rFonts w:ascii="Calibri" w:hAnsi="Calibri" w:cs="Calibri"/>
          <w:kern w:val="0"/>
          <w:vertAlign w:val="superscript"/>
        </w:rPr>
        <w:t>25,26</w:t>
      </w:r>
      <w:r w:rsidR="000E7DC9" w:rsidRPr="00800BBC">
        <w:rPr>
          <w:rFonts w:ascii="Calibri" w:hAnsi="Calibri" w:cs="Calibri"/>
        </w:rPr>
        <w:fldChar w:fldCharType="end"/>
      </w:r>
      <w:r w:rsidR="00BF44AA" w:rsidRPr="00800BBC">
        <w:rPr>
          <w:rFonts w:ascii="Calibri" w:hAnsi="Calibri" w:cs="Calibri"/>
        </w:rPr>
        <w:t>.</w:t>
      </w:r>
      <w:r w:rsidRPr="00800BBC">
        <w:rPr>
          <w:rFonts w:ascii="Calibri" w:hAnsi="Calibri" w:cs="Calibri"/>
        </w:rPr>
        <w:t> </w:t>
      </w:r>
    </w:p>
    <w:p w14:paraId="1B0F1C41" w14:textId="77777777" w:rsidR="009F6CC3" w:rsidRPr="00800BBC" w:rsidRDefault="009F6CC3" w:rsidP="00602F80">
      <w:pPr>
        <w:jc w:val="both"/>
        <w:rPr>
          <w:rFonts w:ascii="Calibri" w:hAnsi="Calibri" w:cs="Calibri"/>
        </w:rPr>
      </w:pPr>
    </w:p>
    <w:p w14:paraId="651843B8" w14:textId="137BF310" w:rsidR="003D2B44" w:rsidRPr="00800BBC" w:rsidRDefault="009F6CC3" w:rsidP="00602F80">
      <w:pPr>
        <w:jc w:val="both"/>
        <w:rPr>
          <w:rFonts w:ascii="Calibri" w:hAnsi="Calibri" w:cs="Calibri"/>
        </w:rPr>
      </w:pPr>
      <w:r w:rsidRPr="00800BBC">
        <w:rPr>
          <w:rFonts w:ascii="Calibri" w:hAnsi="Calibri" w:cs="Calibri"/>
        </w:rPr>
        <w:t xml:space="preserve">It is important to note that this is a </w:t>
      </w:r>
      <w:r w:rsidRPr="00800BBC">
        <w:rPr>
          <w:rFonts w:ascii="Calibri" w:hAnsi="Calibri" w:cs="Calibri"/>
          <w:i/>
          <w:iCs/>
        </w:rPr>
        <w:t>research</w:t>
      </w:r>
      <w:r w:rsidRPr="00800BBC">
        <w:rPr>
          <w:rFonts w:ascii="Calibri" w:hAnsi="Calibri" w:cs="Calibri"/>
        </w:rPr>
        <w:t>-based protocol rather than a validated clinical assay</w:t>
      </w:r>
      <w:r w:rsidR="00BE3CE4">
        <w:rPr>
          <w:rFonts w:ascii="Calibri" w:hAnsi="Calibri" w:cs="Calibri"/>
        </w:rPr>
        <w:t>; thus,</w:t>
      </w:r>
      <w:r w:rsidRPr="00800BBC">
        <w:rPr>
          <w:rFonts w:ascii="Calibri" w:hAnsi="Calibri" w:cs="Calibri"/>
        </w:rPr>
        <w:t xml:space="preserve"> the results obtained from this protocol should not be viewed as a substitute for standard diagnostic methods or relied on in clinical care. </w:t>
      </w:r>
      <w:r w:rsidR="003D2B44" w:rsidRPr="00800BBC">
        <w:rPr>
          <w:rFonts w:ascii="Calibri" w:hAnsi="Calibri" w:cs="Calibri"/>
        </w:rPr>
        <w:t>Nonetheless</w:t>
      </w:r>
      <w:r w:rsidRPr="00800BBC">
        <w:rPr>
          <w:rFonts w:ascii="Calibri" w:hAnsi="Calibri" w:cs="Calibri"/>
        </w:rPr>
        <w:t xml:space="preserve">, this protocol offers an accessible entry point for researchers in a variety of settings to apply this technique to better understand </w:t>
      </w:r>
      <w:r w:rsidRPr="00800BBC">
        <w:rPr>
          <w:rFonts w:ascii="Calibri" w:hAnsi="Calibri" w:cs="Calibri"/>
        </w:rPr>
        <w:lastRenderedPageBreak/>
        <w:t xml:space="preserve">the epidemiology of CNS infections. </w:t>
      </w:r>
      <w:r w:rsidR="00EB7A33" w:rsidRPr="00800BBC">
        <w:rPr>
          <w:rFonts w:ascii="Calibri" w:hAnsi="Calibri" w:cs="Calibri"/>
        </w:rPr>
        <w:t xml:space="preserve">Unfortunately, the specific sensitivity and specificity of this protocol </w:t>
      </w:r>
      <w:r w:rsidR="003065F0">
        <w:rPr>
          <w:rFonts w:ascii="Calibri" w:hAnsi="Calibri" w:cs="Calibri"/>
        </w:rPr>
        <w:t>are</w:t>
      </w:r>
      <w:r w:rsidR="00EB7A33" w:rsidRPr="00800BBC">
        <w:rPr>
          <w:rFonts w:ascii="Calibri" w:hAnsi="Calibri" w:cs="Calibri"/>
        </w:rPr>
        <w:t xml:space="preserve"> not available for the two reference cohorts presented in the results above, due to </w:t>
      </w:r>
      <w:r w:rsidR="002878B0">
        <w:rPr>
          <w:rFonts w:ascii="Calibri" w:hAnsi="Calibri" w:cs="Calibri"/>
        </w:rPr>
        <w:t xml:space="preserve">the </w:t>
      </w:r>
      <w:r w:rsidR="00EB7A33" w:rsidRPr="00800BBC">
        <w:rPr>
          <w:rFonts w:ascii="Calibri" w:hAnsi="Calibri" w:cs="Calibri"/>
        </w:rPr>
        <w:t>very limited clinical testing available in both resource-limited settings. However, a meta</w:t>
      </w:r>
      <w:r w:rsidR="003D2B44" w:rsidRPr="00800BBC">
        <w:rPr>
          <w:rFonts w:ascii="Calibri" w:hAnsi="Calibri" w:cs="Calibri"/>
        </w:rPr>
        <w:t xml:space="preserve">-analysis of high-quality studies using clinically validated or research-based </w:t>
      </w:r>
      <w:proofErr w:type="spellStart"/>
      <w:r w:rsidR="003D2B44" w:rsidRPr="00800BBC">
        <w:rPr>
          <w:rFonts w:ascii="Calibri" w:hAnsi="Calibri" w:cs="Calibri"/>
        </w:rPr>
        <w:t>mNGS</w:t>
      </w:r>
      <w:proofErr w:type="spellEnd"/>
      <w:r w:rsidR="003D2B44" w:rsidRPr="00800BBC">
        <w:rPr>
          <w:rFonts w:ascii="Calibri" w:hAnsi="Calibri" w:cs="Calibri"/>
        </w:rPr>
        <w:t xml:space="preserve"> assays (including multiple studies from </w:t>
      </w:r>
      <w:r w:rsidR="00993C2B">
        <w:rPr>
          <w:rFonts w:ascii="Calibri" w:hAnsi="Calibri" w:cs="Calibri"/>
        </w:rPr>
        <w:t xml:space="preserve">author </w:t>
      </w:r>
      <w:r w:rsidR="003D2B44" w:rsidRPr="00800BBC">
        <w:rPr>
          <w:rFonts w:ascii="Calibri" w:hAnsi="Calibri" w:cs="Calibri"/>
        </w:rPr>
        <w:t>lab, utilizing similar variations of this protocol) found a</w:t>
      </w:r>
      <w:r w:rsidR="00EB7A33" w:rsidRPr="00800BBC">
        <w:rPr>
          <w:rFonts w:ascii="Calibri" w:hAnsi="Calibri" w:cs="Calibri"/>
        </w:rPr>
        <w:t xml:space="preserve"> pooled sensitivity of 0.70 (95% confidence interval [CI] 0.67–0.72) and a pooled specificity of 0.93 (95%</w:t>
      </w:r>
      <w:r w:rsidR="00481984">
        <w:rPr>
          <w:rFonts w:ascii="Calibri" w:hAnsi="Calibri" w:cs="Calibri"/>
        </w:rPr>
        <w:t xml:space="preserve"> </w:t>
      </w:r>
      <w:r w:rsidR="00EB7A33" w:rsidRPr="00800BBC">
        <w:rPr>
          <w:rFonts w:ascii="Calibri" w:hAnsi="Calibri" w:cs="Calibri"/>
        </w:rPr>
        <w:t>CI 0.92</w:t>
      </w:r>
      <w:r w:rsidR="005553FA" w:rsidRPr="00800BBC">
        <w:rPr>
          <w:rFonts w:ascii="Calibri" w:hAnsi="Calibri" w:cs="Calibri"/>
        </w:rPr>
        <w:t>–</w:t>
      </w:r>
      <w:r w:rsidR="00EB7A33" w:rsidRPr="00800BBC">
        <w:rPr>
          <w:rFonts w:ascii="Calibri" w:hAnsi="Calibri" w:cs="Calibri"/>
        </w:rPr>
        <w:t xml:space="preserve">0.94) </w:t>
      </w:r>
      <w:r w:rsidR="003D2B44" w:rsidRPr="00800BBC">
        <w:rPr>
          <w:rFonts w:ascii="Calibri" w:hAnsi="Calibri" w:cs="Calibri"/>
        </w:rPr>
        <w:t xml:space="preserve">for the diagnosis of CNS infection, </w:t>
      </w:r>
      <w:r w:rsidR="00EB7A33" w:rsidRPr="00800BBC">
        <w:rPr>
          <w:rFonts w:ascii="Calibri" w:hAnsi="Calibri" w:cs="Calibri"/>
        </w:rPr>
        <w:t>relative to the final diagnosis obtained by</w:t>
      </w:r>
      <w:r w:rsidR="003D2B44" w:rsidRPr="00800BBC">
        <w:rPr>
          <w:rFonts w:ascii="Calibri" w:hAnsi="Calibri" w:cs="Calibri"/>
        </w:rPr>
        <w:t xml:space="preserve"> clinical adjudication</w:t>
      </w:r>
      <w:r w:rsidR="003D2B44" w:rsidRPr="00800BBC">
        <w:rPr>
          <w:rFonts w:ascii="Calibri" w:hAnsi="Calibri" w:cs="Calibri"/>
        </w:rPr>
        <w:fldChar w:fldCharType="begin"/>
      </w:r>
      <w:r w:rsidR="003D2B44" w:rsidRPr="00800BBC">
        <w:rPr>
          <w:rFonts w:ascii="Calibri" w:hAnsi="Calibri" w:cs="Calibri"/>
        </w:rPr>
        <w:instrText xml:space="preserve"> ADDIN ZOTERO_ITEM CSL_CITATION {"citationID":"Kq2AV5D0","properties":{"unsorted":false,"formattedCitation":"\\super 27\\nosupersub{}","plainCitation":"27","noteIndex":0},"citationItems":[{"id":405,"uris":["http://zotero.org/users/14835897/items/ACFGXCQD"],"itemData":{"id":405,"type":"article-journal","abstract":"We aimed to assess the accuracy, clinical efficacy, and limitations of metagenomic next-generation sequencing (mNGS) for diagnosing infectious meningoencephalitis.We performed a systematic literature review and meta-analysis of studies that evaluated the performance of mNGS to determine the cause of infectious meningoencephalitis. We explored PubMed, Cumulative Index to Nursing and Allied Health, Embase, Cochrane Central Register of Controlled Trials, ClinicalTrials.gov, and Web of Science up to 12 November 2024. To perform a meta-analysis, we calculated the pooled diagnostic odds ratio (DOR) for mNGS and for conventional microbiological tests (CMTs) compared to the clinical diagnosis.Thirty-four studies met the inclusion criteria, with mNGS-positive rates ranging from 43.5% to 93.5% for infectious meningoencephalitis. The meta-analysis included 23 studies with 1660 patients. The pooled sensitivity was 0.70 (95% confidence interval [CI], .67–.72), and its specificity was 0.93 (95% CI, .92–.94). The DOR for mNGS was 26.7 (95% CI, 10.4–68.8), compared to 12.2 (95% CI, 3.2–47.0) for CMTs. For tuberculosis meningoencephalitis, mNGS demonstrated a pooled sensitivity of 0.67 (95% CI, .61–.72) and specificity of 0.97 (95% CI, .95–.99), with a DOR of 43.5 (95% CI, 7.4–256.6).Our review indicates that mNGS can be a valuable diagnostic tool for infectious meningoencephalitis, offering high sensitivity and specificity. mNGS's superior DOR compared to that of CMTs highlights its potential for more accurate diagnoses and targeted interventions. Further research is needed to optimize which patients and at what point in the diagnostic process mNGS should be used.","container-title":"Open Forum Infectious Diseases","DOI":"10.1093/ofid/ofaf274","ISSN":"2328-8957","issue":"5","journalAbbreviation":"Open Forum Infect Dis","page":"ofaf274","source":"Silverchair","title":"Metagenomic Next-generation Sequencing in Patients With Infectious Meningoencephalitis: A Comprehensive Systematic Literature Review and Meta-analysis","title-short":"Metagenomic Next-generation Sequencing in Patients With Infectious Meningoencephalitis","volume":"12","author":[{"family":"Marra","given":"Pedro S"},{"family":"Marra","given":"Alexandre R"},{"family":"Chen","given":"Eileen"},{"family":"Kobayashi","given":"Takaaki"},{"family":"Celeghini","given":"Patrícia Deffune"},{"family":"Gutfreund","given":"Maria Celidonio"},{"family":"Pardo","given":"Isabele"},{"family":"Lopes","given":"Gabriel O V"},{"family":"Hsieh","given":"Mariana Kim"},{"family":"Boodhoo","given":"Nicole A"},{"family":"Fu","given":"Daniel"},{"family":"Torres-Espinosa","given":"Michael A"},{"family":"Li","given":"Yimeng"},{"family":"Deliberato","given":"Rodrigo Octávio"},{"family":"Algain","given":"Sulwan Mujahid A"},{"family":"Salinas","given":"Jorge L"},{"family":"Edmond","given":"Michael B"},{"family":"Amgarten","given":"Deyvid Emanuel"},{"family":"Mello Malta","given":"Fernanda","non-dropping-particle":"de"},{"family":"Santos","given":"Nathalia Villa","non-dropping-particle":"dos"},{"family":"Pinho","given":"João Renato Rebello"},{"family":"Louine","given":"Martineau"},{"family":"Wilson","given":"Michael R"}],"issued":{"date-parts":[["2025",5,1]]}}}],"schema":"https://github.com/citation-style-language/schema/raw/master/csl-citation.json"} </w:instrText>
      </w:r>
      <w:r w:rsidR="003D2B44" w:rsidRPr="00800BBC">
        <w:rPr>
          <w:rFonts w:ascii="Calibri" w:hAnsi="Calibri" w:cs="Calibri"/>
        </w:rPr>
        <w:fldChar w:fldCharType="separate"/>
      </w:r>
      <w:r w:rsidR="008D1CAB" w:rsidRPr="008D1CAB">
        <w:rPr>
          <w:rFonts w:ascii="Calibri" w:hAnsi="Calibri" w:cs="Calibri"/>
          <w:kern w:val="0"/>
          <w:vertAlign w:val="superscript"/>
        </w:rPr>
        <w:t>27</w:t>
      </w:r>
      <w:r w:rsidR="003D2B44" w:rsidRPr="00800BBC">
        <w:rPr>
          <w:rFonts w:ascii="Calibri" w:hAnsi="Calibri" w:cs="Calibri"/>
        </w:rPr>
        <w:fldChar w:fldCharType="end"/>
      </w:r>
      <w:r w:rsidR="003D2B44" w:rsidRPr="00800BBC">
        <w:rPr>
          <w:rFonts w:ascii="Calibri" w:hAnsi="Calibri" w:cs="Calibri"/>
        </w:rPr>
        <w:t xml:space="preserve">. In comparison, the pooled sensitivity and specificity for conventional microbiologic testing (including culture, PCR, and antibody-based methods) </w:t>
      </w:r>
      <w:r w:rsidR="00524632">
        <w:rPr>
          <w:rFonts w:ascii="Calibri" w:hAnsi="Calibri" w:cs="Calibri"/>
        </w:rPr>
        <w:t>were</w:t>
      </w:r>
      <w:r w:rsidR="003D2B44" w:rsidRPr="00800BBC">
        <w:rPr>
          <w:rFonts w:ascii="Calibri" w:hAnsi="Calibri" w:cs="Calibri"/>
        </w:rPr>
        <w:t xml:space="preserve"> 0.37 [95% CI 0.34</w:t>
      </w:r>
      <w:r w:rsidR="005553FA" w:rsidRPr="00800BBC">
        <w:rPr>
          <w:rFonts w:ascii="Calibri" w:hAnsi="Calibri" w:cs="Calibri"/>
        </w:rPr>
        <w:t>–</w:t>
      </w:r>
      <w:r w:rsidR="003D2B44" w:rsidRPr="00800BBC">
        <w:rPr>
          <w:rFonts w:ascii="Calibri" w:hAnsi="Calibri" w:cs="Calibri"/>
        </w:rPr>
        <w:t>0.41] and 0.95 [0.94</w:t>
      </w:r>
      <w:r w:rsidR="00D12814">
        <w:rPr>
          <w:rFonts w:ascii="Calibri" w:hAnsi="Calibri" w:cs="Calibri"/>
        </w:rPr>
        <w:t>–</w:t>
      </w:r>
      <w:r w:rsidR="003D2B44" w:rsidRPr="00800BBC">
        <w:rPr>
          <w:rFonts w:ascii="Calibri" w:hAnsi="Calibri" w:cs="Calibri"/>
        </w:rPr>
        <w:t>0.96], respectively</w:t>
      </w:r>
      <w:r w:rsidR="003D2B44" w:rsidRPr="00800BBC">
        <w:rPr>
          <w:rFonts w:ascii="Calibri" w:hAnsi="Calibri" w:cs="Calibri"/>
        </w:rPr>
        <w:fldChar w:fldCharType="begin"/>
      </w:r>
      <w:r w:rsidR="003D2B44" w:rsidRPr="00800BBC">
        <w:rPr>
          <w:rFonts w:ascii="Calibri" w:hAnsi="Calibri" w:cs="Calibri"/>
        </w:rPr>
        <w:instrText xml:space="preserve"> ADDIN ZOTERO_ITEM CSL_CITATION {"citationID":"qUsd2vx6","properties":{"unsorted":false,"formattedCitation":"\\super 27\\nosupersub{}","plainCitation":"27","noteIndex":0},"citationItems":[{"id":405,"uris":["http://zotero.org/users/14835897/items/ACFGXCQD"],"itemData":{"id":405,"type":"article-journal","abstract":"We aimed to assess the accuracy, clinical efficacy, and limitations of metagenomic next-generation sequencing (mNGS) for diagnosing infectious meningoencephalitis.We performed a systematic literature review and meta-analysis of studies that evaluated the performance of mNGS to determine the cause of infectious meningoencephalitis. We explored PubMed, Cumulative Index to Nursing and Allied Health, Embase, Cochrane Central Register of Controlled Trials, ClinicalTrials.gov, and Web of Science up to 12 November 2024. To perform a meta-analysis, we calculated the pooled diagnostic odds ratio (DOR) for mNGS and for conventional microbiological tests (CMTs) compared to the clinical diagnosis.Thirty-four studies met the inclusion criteria, with mNGS-positive rates ranging from 43.5% to 93.5% for infectious meningoencephalitis. The meta-analysis included 23 studies with 1660 patients. The pooled sensitivity was 0.70 (95% confidence interval [CI], .67–.72), and its specificity was 0.93 (95% CI, .92–.94). The DOR for mNGS was 26.7 (95% CI, 10.4–68.8), compared to 12.2 (95% CI, 3.2–47.0) for CMTs. For tuberculosis meningoencephalitis, mNGS demonstrated a pooled sensitivity of 0.67 (95% CI, .61–.72) and specificity of 0.97 (95% CI, .95–.99), with a DOR of 43.5 (95% CI, 7.4–256.6).Our review indicates that mNGS can be a valuable diagnostic tool for infectious meningoencephalitis, offering high sensitivity and specificity. mNGS's superior DOR compared to that of CMTs highlights its potential for more accurate diagnoses and targeted interventions. Further research is needed to optimize which patients and at what point in the diagnostic process mNGS should be used.","container-title":"Open Forum Infectious Diseases","DOI":"10.1093/ofid/ofaf274","ISSN":"2328-8957","issue":"5","journalAbbreviation":"Open Forum Infect Dis","page":"ofaf274","source":"Silverchair","title":"Metagenomic Next-generation Sequencing in Patients With Infectious Meningoencephalitis: A Comprehensive Systematic Literature Review and Meta-analysis","title-short":"Metagenomic Next-generation Sequencing in Patients With Infectious Meningoencephalitis","volume":"12","author":[{"family":"Marra","given":"Pedro S"},{"family":"Marra","given":"Alexandre R"},{"family":"Chen","given":"Eileen"},{"family":"Kobayashi","given":"Takaaki"},{"family":"Celeghini","given":"Patrícia Deffune"},{"family":"Gutfreund","given":"Maria Celidonio"},{"family":"Pardo","given":"Isabele"},{"family":"Lopes","given":"Gabriel O V"},{"family":"Hsieh","given":"Mariana Kim"},{"family":"Boodhoo","given":"Nicole A"},{"family":"Fu","given":"Daniel"},{"family":"Torres-Espinosa","given":"Michael A"},{"family":"Li","given":"Yimeng"},{"family":"Deliberato","given":"Rodrigo Octávio"},{"family":"Algain","given":"Sulwan Mujahid A"},{"family":"Salinas","given":"Jorge L"},{"family":"Edmond","given":"Michael B"},{"family":"Amgarten","given":"Deyvid Emanuel"},{"family":"Mello Malta","given":"Fernanda","non-dropping-particle":"de"},{"family":"Santos","given":"Nathalia Villa","non-dropping-particle":"dos"},{"family":"Pinho","given":"João Renato Rebello"},{"family":"Louine","given":"Martineau"},{"family":"Wilson","given":"Michael R"}],"issued":{"date-parts":[["2025",5,1]]}}}],"schema":"https://github.com/citation-style-language/schema/raw/master/csl-citation.json"} </w:instrText>
      </w:r>
      <w:r w:rsidR="003D2B44" w:rsidRPr="00800BBC">
        <w:rPr>
          <w:rFonts w:ascii="Calibri" w:hAnsi="Calibri" w:cs="Calibri"/>
        </w:rPr>
        <w:fldChar w:fldCharType="separate"/>
      </w:r>
      <w:r w:rsidR="008D1CAB" w:rsidRPr="008D1CAB">
        <w:rPr>
          <w:rFonts w:ascii="Calibri" w:hAnsi="Calibri" w:cs="Calibri"/>
          <w:kern w:val="0"/>
          <w:vertAlign w:val="superscript"/>
        </w:rPr>
        <w:t>27</w:t>
      </w:r>
      <w:r w:rsidR="003D2B44" w:rsidRPr="00800BBC">
        <w:rPr>
          <w:rFonts w:ascii="Calibri" w:hAnsi="Calibri" w:cs="Calibri"/>
        </w:rPr>
        <w:fldChar w:fldCharType="end"/>
      </w:r>
      <w:r w:rsidR="003D2B44" w:rsidRPr="00800BBC">
        <w:rPr>
          <w:rFonts w:ascii="Calibri" w:hAnsi="Calibri" w:cs="Calibri"/>
        </w:rPr>
        <w:t xml:space="preserve">. </w:t>
      </w:r>
    </w:p>
    <w:p w14:paraId="42A93C7C" w14:textId="77777777" w:rsidR="003D2B44" w:rsidRPr="00800BBC" w:rsidRDefault="003D2B44" w:rsidP="00602F80">
      <w:pPr>
        <w:jc w:val="both"/>
        <w:rPr>
          <w:rFonts w:ascii="Calibri" w:hAnsi="Calibri" w:cs="Calibri"/>
        </w:rPr>
      </w:pPr>
    </w:p>
    <w:p w14:paraId="1A645FC4" w14:textId="51DACF63" w:rsidR="00BF36AA" w:rsidRPr="00800BBC" w:rsidRDefault="003D2B44" w:rsidP="00602F80">
      <w:pPr>
        <w:jc w:val="both"/>
        <w:rPr>
          <w:rFonts w:ascii="Calibri" w:hAnsi="Calibri" w:cs="Calibri"/>
        </w:rPr>
      </w:pPr>
      <w:r w:rsidRPr="00800BBC">
        <w:rPr>
          <w:rFonts w:ascii="Calibri" w:hAnsi="Calibri" w:cs="Calibri"/>
        </w:rPr>
        <w:t xml:space="preserve">As such, </w:t>
      </w:r>
      <w:r w:rsidR="00646056" w:rsidRPr="00800BBC">
        <w:rPr>
          <w:rFonts w:ascii="Calibri" w:hAnsi="Calibri" w:cs="Calibri"/>
        </w:rPr>
        <w:t xml:space="preserve">clinically validated </w:t>
      </w:r>
      <w:proofErr w:type="spellStart"/>
      <w:r w:rsidRPr="00800BBC">
        <w:rPr>
          <w:rFonts w:ascii="Calibri" w:hAnsi="Calibri" w:cs="Calibri"/>
        </w:rPr>
        <w:t>mNGS</w:t>
      </w:r>
      <w:proofErr w:type="spellEnd"/>
      <w:r w:rsidR="00646056" w:rsidRPr="00800BBC">
        <w:rPr>
          <w:rFonts w:ascii="Calibri" w:hAnsi="Calibri" w:cs="Calibri"/>
        </w:rPr>
        <w:t xml:space="preserve"> assays</w:t>
      </w:r>
      <w:r w:rsidRPr="00800BBC">
        <w:rPr>
          <w:rFonts w:ascii="Calibri" w:hAnsi="Calibri" w:cs="Calibri"/>
        </w:rPr>
        <w:t xml:space="preserve"> represent a useful adjunctive diagnostic tool, likely best used in conjunction with the </w:t>
      </w:r>
      <w:r w:rsidR="00EB7A33" w:rsidRPr="00800BBC">
        <w:rPr>
          <w:rFonts w:ascii="Calibri" w:hAnsi="Calibri" w:cs="Calibri"/>
        </w:rPr>
        <w:t xml:space="preserve">high-sensitivity tests </w:t>
      </w:r>
      <w:r w:rsidR="00524632">
        <w:rPr>
          <w:rFonts w:ascii="Calibri" w:hAnsi="Calibri" w:cs="Calibri"/>
        </w:rPr>
        <w:t xml:space="preserve">that </w:t>
      </w:r>
      <w:r w:rsidR="00EB7A33" w:rsidRPr="00800BBC">
        <w:rPr>
          <w:rFonts w:ascii="Calibri" w:hAnsi="Calibri" w:cs="Calibri"/>
        </w:rPr>
        <w:t xml:space="preserve">exist for several </w:t>
      </w:r>
      <w:r w:rsidR="00EB7A33" w:rsidRPr="00524632">
        <w:rPr>
          <w:rFonts w:ascii="Calibri" w:hAnsi="Calibri" w:cs="Calibri"/>
        </w:rPr>
        <w:t>treatable</w:t>
      </w:r>
      <w:r w:rsidR="00EB7A33" w:rsidRPr="00800BBC">
        <w:rPr>
          <w:rFonts w:ascii="Calibri" w:hAnsi="Calibri" w:cs="Calibri"/>
        </w:rPr>
        <w:t xml:space="preserve"> CNS infections (cryptococcus, human herpesvirus-1, varicella zoster virus). </w:t>
      </w:r>
      <w:r w:rsidR="00646056" w:rsidRPr="00800BBC">
        <w:rPr>
          <w:rFonts w:ascii="Calibri" w:hAnsi="Calibri" w:cs="Calibri"/>
        </w:rPr>
        <w:t>They are</w:t>
      </w:r>
      <w:r w:rsidRPr="00800BBC">
        <w:rPr>
          <w:rFonts w:ascii="Calibri" w:hAnsi="Calibri" w:cs="Calibri"/>
        </w:rPr>
        <w:t xml:space="preserve"> particularly valuable in immunocompromised hosts, who may harbor </w:t>
      </w:r>
      <w:r w:rsidR="00646056" w:rsidRPr="00800BBC">
        <w:rPr>
          <w:rFonts w:ascii="Calibri" w:hAnsi="Calibri" w:cs="Calibri"/>
        </w:rPr>
        <w:t>opportunistic and atypical CNS infections</w:t>
      </w:r>
      <w:r w:rsidRPr="00800BBC">
        <w:rPr>
          <w:rFonts w:ascii="Calibri" w:hAnsi="Calibri" w:cs="Calibri"/>
        </w:rPr>
        <w:fldChar w:fldCharType="begin"/>
      </w:r>
      <w:r w:rsidR="00646056" w:rsidRPr="00800BBC">
        <w:rPr>
          <w:rFonts w:ascii="Calibri" w:hAnsi="Calibri" w:cs="Calibri"/>
        </w:rPr>
        <w:instrText xml:space="preserve"> ADDIN ZOTERO_ITEM CSL_CITATION {"citationID":"AQfXz5D2","properties":{"unsorted":false,"formattedCitation":"\\super 28\\nosupersub{}","plainCitation":"28","noteIndex":0},"citationItems":[{"id":408,"uris":["http://zotero.org/users/14835897/items/DFD8M54B"],"itemData":{"id":408,"type":"article-journal","abstract":"Over the past two decades, the diagnosis rate for patients with encephalitis has remained poor despite advances in pathogen-specific testing such as PCR and antigen assays. Metagenomic next-generation sequencing (mNGS) of RNA and DNA extracted from cerebrospinal fluid and brain tissue now offers another strategy for diagnosing neurological infections. Given that mNGS simultaneously assays for a wide range of infectious agents in an unbiased manner, it can identify pathogens that were not part of a neurologist's initial differential diagnosis either because of the rarity of the infection, because the microorganism has not been previously associated with a clinical phenotype or because it is a newly discovered organism. This Review discusses the technical advantages and pitfalls of cerebrospinal fluid mNGS in the context of patients with neuroinflammatory syndromes, including encephalitis, meningitis and myelitis. We also speculate on how mNGS testing potentially fits into current diagnostic testing algorithms given data on mNGS test performance, cost and turnaround time. Finally, the Review highlights future directions for mNGS technology and other hypothesis-free testing methodologies that are in development.","container-title":"Nature Reviews. Neurology","DOI":"10.1038/s41582-020-0374-y","ISSN":"1759-4766","issue":"10","journalAbbreviation":"Nat Rev Neurol","language":"eng","page":"547-556","PMID":"32661342","PMCID":"PMC7356134","source":"PubMed","title":"Metagenomics for neurological infections - expanding our imagination","volume":"16","author":[{"family":"Ramachandran","given":"Prashanth S."},{"family":"Wilson","given":"Michael R."}],"issued":{"date-parts":[["2020",10]]}}}],"schema":"https://github.com/citation-style-language/schema/raw/master/csl-citation.json"} </w:instrText>
      </w:r>
      <w:r w:rsidRPr="00800BBC">
        <w:rPr>
          <w:rFonts w:ascii="Calibri" w:hAnsi="Calibri" w:cs="Calibri"/>
        </w:rPr>
        <w:fldChar w:fldCharType="separate"/>
      </w:r>
      <w:r w:rsidR="008D1CAB" w:rsidRPr="008D1CAB">
        <w:rPr>
          <w:rFonts w:ascii="Calibri" w:hAnsi="Calibri" w:cs="Calibri"/>
          <w:kern w:val="0"/>
          <w:vertAlign w:val="superscript"/>
        </w:rPr>
        <w:t>28</w:t>
      </w:r>
      <w:r w:rsidRPr="00800BBC">
        <w:rPr>
          <w:rFonts w:ascii="Calibri" w:hAnsi="Calibri" w:cs="Calibri"/>
        </w:rPr>
        <w:fldChar w:fldCharType="end"/>
      </w:r>
      <w:r w:rsidRPr="00800BBC">
        <w:rPr>
          <w:rFonts w:ascii="Calibri" w:hAnsi="Calibri" w:cs="Calibri"/>
        </w:rPr>
        <w:t xml:space="preserve">. </w:t>
      </w:r>
      <w:r w:rsidR="00646056" w:rsidRPr="00800BBC">
        <w:rPr>
          <w:rFonts w:ascii="Calibri" w:hAnsi="Calibri" w:cs="Calibri"/>
        </w:rPr>
        <w:t xml:space="preserve">Although the cost and accessibility of such assays limit their practical use in many settings, </w:t>
      </w:r>
      <w:proofErr w:type="spellStart"/>
      <w:r w:rsidR="00646056" w:rsidRPr="00800BBC">
        <w:rPr>
          <w:rFonts w:ascii="Calibri" w:hAnsi="Calibri" w:cs="Calibri"/>
        </w:rPr>
        <w:t>mNGS</w:t>
      </w:r>
      <w:proofErr w:type="spellEnd"/>
      <w:r w:rsidR="00646056" w:rsidRPr="00800BBC">
        <w:rPr>
          <w:rFonts w:ascii="Calibri" w:hAnsi="Calibri" w:cs="Calibri"/>
        </w:rPr>
        <w:t xml:space="preserve"> has the potential to reduce the diagnostic gap in CNS infections, improve antibiotic stewardship, and reduce overall healthcare utilization as the technology continues to scale. </w:t>
      </w:r>
      <w:r w:rsidR="00EB7A33" w:rsidRPr="00800BBC">
        <w:rPr>
          <w:rFonts w:ascii="Calibri" w:hAnsi="Calibri" w:cs="Calibri"/>
        </w:rPr>
        <w:t xml:space="preserve">As discussed above, interpretation of the sequencing results requires nuance and manual confirmation because of challenges related to the background contamination </w:t>
      </w:r>
      <w:r w:rsidR="00646056" w:rsidRPr="00800BBC">
        <w:rPr>
          <w:rFonts w:ascii="Calibri" w:hAnsi="Calibri" w:cs="Calibri"/>
        </w:rPr>
        <w:t>and sample handling considerations, and multidisciplinary interpretation with infectious disease specialists, neurologists, and laboratory medicine is strongly recommended</w:t>
      </w:r>
      <w:r w:rsidR="00EB7A33" w:rsidRPr="00800BBC">
        <w:rPr>
          <w:rFonts w:ascii="Calibri" w:hAnsi="Calibri" w:cs="Calibri"/>
        </w:rPr>
        <w:fldChar w:fldCharType="begin"/>
      </w:r>
      <w:r w:rsidR="005005B7">
        <w:rPr>
          <w:rFonts w:ascii="Calibri" w:hAnsi="Calibri" w:cs="Calibri"/>
        </w:rPr>
        <w:instrText xml:space="preserve"> ADDIN ZOTERO_ITEM CSL_CITATION {"citationID":"Vl1ncNXB","properties":{"formattedCitation":"\\super 29, 30\\nosupersub{}","plainCitation":"29, 30","noteIndex":0},"citationItems":[{"id":200,"uris":["http://zotero.org/users/local/4EOi04XK/items/Y8Q7QEBG","http://zotero.org/users/14835897/items/Y8Q7QEBG"],"itemData":{"id":200,"type":"article-journal","abstract":"BACKGROUND: The study of microbial communities has been revolutionised in recent years by the widespread adoption of culture independent analytical techniques such as 16S rRNA gene sequencing and metagenomics. One potential confounder of these sequence-based approaches is the presence of contamination in DNA extraction kits and other laboratory reagents.\nRESULTS: In this study we demonstrate that contaminating DNA is ubiquitous in commonly used DNA extraction kits and other laboratory reagents, varies greatly in composition between different kits and kit batches, and that this contamination critically impacts results obtained from samples containing a low microbial biomass. Contamination impacts both PCR-based 16S rRNA gene surveys and shotgun metagenomics. We provide an extensive list of potential contaminating genera, and guidelines on how to mitigate the effects of contamination.\nCONCLUSIONS: These results suggest that caution should be advised when applying sequence-based techniques to the study of microbiota present in low biomass environments. Concurrent sequencing of negative control samples is strongly advised.","container-title":"BMC biology","DOI":"10.1186/s12915-014-0087-z","ISSN":"1741-7007","journalAbbreviation":"BMC Biol","language":"eng","page":"87","PMID":"25387460","PMCID":"PMC4228153","source":"PubMed","title":"Reagent and laboratory contamination can critically impact sequence-based microbiome analyses","volume":"12","author":[{"family":"Salter","given":"Susannah J."},{"family":"Cox","given":"Michael J."},{"family":"Turek","given":"Elena M."},{"family":"Calus","given":"Szymon T."},{"family":"Cookson","given":"William O."},{"family":"Moffatt","given":"Miriam F."},{"family":"Turner","given":"Paul"},{"family":"Parkhill","given":"Julian"},{"family":"Loman","given":"Nicholas J."},{"family":"Walker","given":"Alan W."}],"issued":{"date-parts":[["2014",11,12]]}},"label":"page"},{"id":199,"uris":["http://zotero.org/users/local/4EOi04XK/items/KIX5FTKN","http://zotero.org/users/14835897/items/KIX5FTKN"],"itemData":{"id":199,"type":"article-journal","abstract":"Metagenomic next-generation sequencing (mNGS) has emerged as a promising single, universal pathogen detection method for infectious disease diagnostics. With the development of mNGS assays, it is essential for treating practitioners to understand both the power and limitations of the method as a diagnostic tool. , Agnostic metagenomic next-generation sequencing (mNGS) has emerged as a promising single, universal pathogen detection method for infectious disease diagnostics. This methodology allows for identification and genomic characterization of bacteria, fungi, parasites, and viruses without the need for a priori knowledge of a specific pathogen directly from clinical specimens. Although there are increasing reports of mNGS successes, several hurdles need to be addressed, such as differentiation of colonization from infection, extraneous sources of nucleic acid, method standardization, and data storage, protection, analysis, and interpretation. As more commercial and clinical microbiology laboratories develop mNGS assays, it is important for treating practitioners to understand both the power and limitations of this method as a diagnostic tool for infectious diseases.","container-title":"Clinical Infectious Diseases: An Official Publication of the Infectious Diseases Society of America","DOI":"10.1093/cid/cix881","ISSN":"1058-4838","issue":"5","journalAbbreviation":"Clin Infect Dis","page":"778-788","PMID":"29040428","PMCID":"PMC7108102","source":"PubMed Central","title":"Understanding the Promises and Hurdles of Metagenomic Next-Generation Sequencing as a Diagnostic Tool for Infectious Diseases","volume":"66","author":[{"family":"Simner","given":"Patricia J"},{"family":"Miller","given":"Steven"},{"family":"Carroll","given":"Karen C"}],"issued":{"date-parts":[["2018",3,1]]}},"label":"page"}],"schema":"https://github.com/citation-style-language/schema/raw/master/csl-citation.json"} </w:instrText>
      </w:r>
      <w:r w:rsidR="00EB7A33" w:rsidRPr="00800BBC">
        <w:rPr>
          <w:rFonts w:ascii="Calibri" w:hAnsi="Calibri" w:cs="Calibri"/>
        </w:rPr>
        <w:fldChar w:fldCharType="separate"/>
      </w:r>
      <w:r w:rsidR="008D1CAB" w:rsidRPr="008D1CAB">
        <w:rPr>
          <w:rFonts w:ascii="Calibri" w:hAnsi="Calibri" w:cs="Calibri"/>
          <w:kern w:val="0"/>
          <w:vertAlign w:val="superscript"/>
        </w:rPr>
        <w:t>29,30</w:t>
      </w:r>
      <w:r w:rsidR="00EB7A33" w:rsidRPr="00800BBC">
        <w:rPr>
          <w:rFonts w:ascii="Calibri" w:hAnsi="Calibri" w:cs="Calibri"/>
        </w:rPr>
        <w:fldChar w:fldCharType="end"/>
      </w:r>
      <w:r w:rsidR="00EB7A33" w:rsidRPr="00800BBC">
        <w:rPr>
          <w:rFonts w:ascii="Calibri" w:hAnsi="Calibri" w:cs="Calibri"/>
        </w:rPr>
        <w:t xml:space="preserve">. </w:t>
      </w:r>
    </w:p>
    <w:p w14:paraId="0144DFB2" w14:textId="77777777" w:rsidR="000E7DC9" w:rsidRPr="00800BBC" w:rsidRDefault="000E7DC9" w:rsidP="00602F80">
      <w:pPr>
        <w:jc w:val="both"/>
        <w:rPr>
          <w:rFonts w:ascii="Calibri" w:hAnsi="Calibri" w:cs="Calibri"/>
        </w:rPr>
      </w:pPr>
    </w:p>
    <w:p w14:paraId="5C281AA4" w14:textId="541245A2" w:rsidR="00AC0F79" w:rsidRDefault="000E7DC9" w:rsidP="00602F80">
      <w:pPr>
        <w:jc w:val="both"/>
        <w:rPr>
          <w:rFonts w:ascii="Calibri" w:hAnsi="Calibri" w:cs="Calibri"/>
        </w:rPr>
        <w:sectPr w:rsidR="00AC0F79" w:rsidSect="00800BBC">
          <w:pgSz w:w="12240" w:h="15840"/>
          <w:pgMar w:top="1440" w:right="1440" w:bottom="1440" w:left="1440" w:header="720" w:footer="720" w:gutter="0"/>
          <w:lnNumType w:countBy="1" w:restart="continuous"/>
          <w:cols w:space="720"/>
          <w:docGrid w:linePitch="326"/>
        </w:sectPr>
      </w:pPr>
      <w:r w:rsidRPr="00800BBC">
        <w:rPr>
          <w:rFonts w:ascii="Calibri" w:hAnsi="Calibri" w:cs="Calibri"/>
        </w:rPr>
        <w:t xml:space="preserve">Despite these challenges, CSF </w:t>
      </w:r>
      <w:proofErr w:type="spellStart"/>
      <w:r w:rsidRPr="00800BBC">
        <w:rPr>
          <w:rFonts w:ascii="Calibri" w:hAnsi="Calibri" w:cs="Calibri"/>
        </w:rPr>
        <w:t>mNGS</w:t>
      </w:r>
      <w:proofErr w:type="spellEnd"/>
      <w:r w:rsidRPr="00800BBC">
        <w:rPr>
          <w:rFonts w:ascii="Calibri" w:hAnsi="Calibri" w:cs="Calibri"/>
        </w:rPr>
        <w:t xml:space="preserve"> remains an important clinical and research-based tool for a variety of applications. The protocol presented here is reproducible and </w:t>
      </w:r>
      <w:r w:rsidR="00B02CE7">
        <w:rPr>
          <w:rFonts w:ascii="Calibri" w:hAnsi="Calibri" w:cs="Calibri"/>
        </w:rPr>
        <w:t xml:space="preserve">specifically optimized for CSF samples, which are the most </w:t>
      </w:r>
      <w:proofErr w:type="spellStart"/>
      <w:r w:rsidR="00B02CE7">
        <w:rPr>
          <w:rFonts w:ascii="Calibri" w:hAnsi="Calibri" w:cs="Calibri"/>
        </w:rPr>
        <w:t>paucicellular</w:t>
      </w:r>
      <w:proofErr w:type="spellEnd"/>
      <w:r w:rsidR="00B02CE7">
        <w:rPr>
          <w:rFonts w:ascii="Calibri" w:hAnsi="Calibri" w:cs="Calibri"/>
        </w:rPr>
        <w:t xml:space="preserve"> and challenging to sequence</w:t>
      </w:r>
      <w:r w:rsidRPr="00800BBC">
        <w:rPr>
          <w:rFonts w:ascii="Calibri" w:hAnsi="Calibri" w:cs="Calibri"/>
        </w:rPr>
        <w:t xml:space="preserve"> among commonly analyzed human bodily fluids. In addition, this workflow highlights CSF sample handling considerations to preserve nucleic acid integrity, modifications to standard kit-based workflows to optimize performance, and quality control steps </w:t>
      </w:r>
      <w:r w:rsidR="00B908D2">
        <w:rPr>
          <w:rFonts w:ascii="Calibri" w:hAnsi="Calibri" w:cs="Calibri"/>
        </w:rPr>
        <w:t>critical to ensuring that the final sample libraries are suitable</w:t>
      </w:r>
      <w:r w:rsidR="0070765D">
        <w:rPr>
          <w:rFonts w:ascii="Calibri" w:hAnsi="Calibri" w:cs="Calibri"/>
        </w:rPr>
        <w:t xml:space="preserve"> for high-throughput sequ</w:t>
      </w:r>
      <w:r w:rsidR="00F311E0">
        <w:rPr>
          <w:rFonts w:ascii="Calibri" w:hAnsi="Calibri" w:cs="Calibri"/>
        </w:rPr>
        <w:t>encin</w:t>
      </w:r>
      <w:r w:rsidR="00B00BB7">
        <w:rPr>
          <w:rFonts w:ascii="Calibri" w:hAnsi="Calibri" w:cs="Calibri"/>
        </w:rPr>
        <w:t>g.</w:t>
      </w:r>
    </w:p>
    <w:p w14:paraId="60FE2FD6" w14:textId="77777777" w:rsidR="002B54D8" w:rsidRDefault="002B54D8" w:rsidP="00602F80">
      <w:pPr>
        <w:jc w:val="both"/>
        <w:rPr>
          <w:rFonts w:ascii="Calibri" w:hAnsi="Calibri" w:cs="Calibri"/>
        </w:rPr>
      </w:pPr>
    </w:p>
    <w:p w14:paraId="47E2C97F" w14:textId="6F74BBF5" w:rsidR="002B54D8" w:rsidRPr="00800BBC" w:rsidRDefault="002B54D8" w:rsidP="00602F80">
      <w:pPr>
        <w:jc w:val="both"/>
        <w:rPr>
          <w:rFonts w:ascii="Calibri" w:hAnsi="Calibri" w:cs="Calibri"/>
          <w:b/>
          <w:bCs/>
        </w:rPr>
        <w:sectPr w:rsidR="002B54D8" w:rsidRPr="00800BBC" w:rsidSect="00AC0F79">
          <w:type w:val="continuous"/>
          <w:pgSz w:w="12240" w:h="15840"/>
          <w:pgMar w:top="1440" w:right="1440" w:bottom="1440" w:left="1440" w:header="720" w:footer="720" w:gutter="0"/>
          <w:lnNumType w:countBy="1" w:restart="continuous"/>
          <w:cols w:space="720"/>
          <w:docGrid w:linePitch="326"/>
        </w:sectPr>
      </w:pPr>
    </w:p>
    <w:p w14:paraId="3FA3904E" w14:textId="77777777" w:rsidR="002B54D8" w:rsidRDefault="002B54D8" w:rsidP="00602F80">
      <w:pPr>
        <w:jc w:val="both"/>
        <w:rPr>
          <w:rFonts w:ascii="Calibri" w:hAnsi="Calibri" w:cs="Calibri"/>
          <w:b/>
          <w:bCs/>
        </w:rPr>
      </w:pPr>
      <w:r w:rsidRPr="00800BBC">
        <w:rPr>
          <w:rFonts w:ascii="Calibri" w:hAnsi="Calibri" w:cs="Calibri"/>
          <w:b/>
          <w:bCs/>
        </w:rPr>
        <w:t xml:space="preserve">ACKNOWLEDGMENTS: </w:t>
      </w:r>
    </w:p>
    <w:p w14:paraId="267678AC" w14:textId="07DCE0AA" w:rsidR="006E2748" w:rsidRPr="00800BBC" w:rsidRDefault="006E2748" w:rsidP="00602F80">
      <w:pPr>
        <w:jc w:val="both"/>
        <w:rPr>
          <w:rFonts w:ascii="Calibri" w:hAnsi="Calibri" w:cs="Calibri"/>
        </w:rPr>
      </w:pPr>
      <w:r w:rsidRPr="00800BBC">
        <w:rPr>
          <w:rFonts w:ascii="Calibri" w:hAnsi="Calibri" w:cs="Calibri"/>
        </w:rPr>
        <w:t xml:space="preserve">This study was supported by funding from </w:t>
      </w:r>
      <w:r w:rsidR="00BF44AA" w:rsidRPr="00800BBC">
        <w:rPr>
          <w:rFonts w:ascii="Calibri" w:hAnsi="Calibri" w:cs="Calibri"/>
        </w:rPr>
        <w:t xml:space="preserve">the Fogarty International Center of the National Institutes of Health under Award Number D43TW009343. </w:t>
      </w:r>
      <w:r w:rsidRPr="00800BBC">
        <w:rPr>
          <w:rFonts w:ascii="Calibri" w:hAnsi="Calibri" w:cs="Calibri"/>
        </w:rPr>
        <w:t xml:space="preserve">We would like to thank the many researchers at the Wilson Lab, UCSF, and CZI who have contributed to the development and optimization of </w:t>
      </w:r>
      <w:proofErr w:type="spellStart"/>
      <w:r w:rsidRPr="00800BBC">
        <w:rPr>
          <w:rFonts w:ascii="Calibri" w:hAnsi="Calibri" w:cs="Calibri"/>
        </w:rPr>
        <w:t>mNGS</w:t>
      </w:r>
      <w:proofErr w:type="spellEnd"/>
      <w:r w:rsidRPr="00800BBC">
        <w:rPr>
          <w:rFonts w:ascii="Calibri" w:hAnsi="Calibri" w:cs="Calibri"/>
        </w:rPr>
        <w:t xml:space="preserve"> protocols for diverse research applications over the past several years. </w:t>
      </w:r>
    </w:p>
    <w:p w14:paraId="0C6112F9" w14:textId="77777777" w:rsidR="00BF44AA" w:rsidRPr="00800BBC" w:rsidRDefault="00BF44AA" w:rsidP="00602F80">
      <w:pPr>
        <w:jc w:val="both"/>
        <w:rPr>
          <w:rFonts w:ascii="Calibri" w:hAnsi="Calibri" w:cs="Calibri"/>
        </w:rPr>
      </w:pPr>
    </w:p>
    <w:p w14:paraId="39A3DAAD" w14:textId="42629DC7" w:rsidR="004032A1" w:rsidRDefault="004032A1" w:rsidP="00602F80">
      <w:pPr>
        <w:jc w:val="both"/>
        <w:rPr>
          <w:rFonts w:ascii="Calibri" w:hAnsi="Calibri" w:cs="Calibri"/>
        </w:rPr>
      </w:pPr>
      <w:r w:rsidRPr="00800BBC">
        <w:rPr>
          <w:rFonts w:ascii="Calibri" w:hAnsi="Calibri" w:cs="Calibri"/>
          <w:b/>
          <w:bCs/>
        </w:rPr>
        <w:t>DISCLOSURES</w:t>
      </w:r>
      <w:r w:rsidRPr="00800BBC">
        <w:rPr>
          <w:rFonts w:ascii="Calibri" w:hAnsi="Calibri" w:cs="Calibri"/>
        </w:rPr>
        <w:t xml:space="preserve">: </w:t>
      </w:r>
    </w:p>
    <w:p w14:paraId="3CB8B42E" w14:textId="61DAB2E4" w:rsidR="00BF44AA" w:rsidRPr="00800BBC" w:rsidRDefault="00BF44AA" w:rsidP="00602F80">
      <w:pPr>
        <w:jc w:val="both"/>
        <w:rPr>
          <w:rFonts w:ascii="Calibri" w:hAnsi="Calibri" w:cs="Calibri"/>
        </w:rPr>
      </w:pPr>
      <w:r w:rsidRPr="00800BBC">
        <w:rPr>
          <w:rFonts w:ascii="Calibri" w:hAnsi="Calibri" w:cs="Calibri"/>
        </w:rPr>
        <w:t xml:space="preserve">M.R.W. receives unrelated research grant funding from Roche/Genentech, Novartis, and Kyverna Therapeutics and is a founder and board member of Delve Bio Inc. He has </w:t>
      </w:r>
      <w:r w:rsidR="004032A1">
        <w:rPr>
          <w:rFonts w:ascii="Calibri" w:hAnsi="Calibri" w:cs="Calibri"/>
        </w:rPr>
        <w:t>provided consulting services to</w:t>
      </w:r>
      <w:r w:rsidRPr="00800BBC">
        <w:rPr>
          <w:rFonts w:ascii="Calibri" w:hAnsi="Calibri" w:cs="Calibri"/>
        </w:rPr>
        <w:t xml:space="preserve"> Pfizer, Vertex Pharmaceuticals, Ouro Medicines, and </w:t>
      </w:r>
      <w:proofErr w:type="spellStart"/>
      <w:r w:rsidRPr="00800BBC">
        <w:rPr>
          <w:rFonts w:ascii="Calibri" w:hAnsi="Calibri" w:cs="Calibri"/>
        </w:rPr>
        <w:t>Indapta</w:t>
      </w:r>
      <w:proofErr w:type="spellEnd"/>
      <w:r w:rsidRPr="00800BBC">
        <w:rPr>
          <w:rFonts w:ascii="Calibri" w:hAnsi="Calibri" w:cs="Calibri"/>
        </w:rPr>
        <w:t xml:space="preserve"> Therapeutics.</w:t>
      </w:r>
    </w:p>
    <w:p w14:paraId="74B599AC" w14:textId="77777777" w:rsidR="00BF36AA" w:rsidRPr="00800BBC" w:rsidRDefault="00BF36AA" w:rsidP="00602F80">
      <w:pPr>
        <w:jc w:val="both"/>
        <w:rPr>
          <w:rFonts w:ascii="Calibri" w:hAnsi="Calibri" w:cs="Calibri"/>
        </w:rPr>
      </w:pPr>
    </w:p>
    <w:p w14:paraId="44A18D4A" w14:textId="77777777" w:rsidR="005B04E5" w:rsidRPr="00800BBC" w:rsidRDefault="005B04E5" w:rsidP="00602F80">
      <w:pPr>
        <w:jc w:val="both"/>
        <w:rPr>
          <w:rFonts w:ascii="Calibri" w:hAnsi="Calibri" w:cs="Calibri"/>
          <w:b/>
          <w:bCs/>
        </w:rPr>
        <w:sectPr w:rsidR="005B04E5" w:rsidRPr="00800BBC" w:rsidSect="004032A1">
          <w:type w:val="continuous"/>
          <w:pgSz w:w="12240" w:h="15840"/>
          <w:pgMar w:top="1440" w:right="1440" w:bottom="1440" w:left="1440" w:header="720" w:footer="720" w:gutter="0"/>
          <w:lnNumType w:countBy="1" w:restart="continuous"/>
          <w:cols w:space="720"/>
          <w:docGrid w:linePitch="326"/>
        </w:sectPr>
      </w:pPr>
    </w:p>
    <w:p w14:paraId="031C45C1" w14:textId="6F2C51AF" w:rsidR="00643E5F" w:rsidRPr="00800BBC" w:rsidRDefault="004032A1" w:rsidP="00602F80">
      <w:pPr>
        <w:jc w:val="both"/>
        <w:rPr>
          <w:rFonts w:ascii="Calibri" w:hAnsi="Calibri" w:cs="Calibri"/>
          <w:b/>
          <w:bCs/>
        </w:rPr>
      </w:pPr>
      <w:r w:rsidRPr="00800BBC">
        <w:rPr>
          <w:rFonts w:ascii="Calibri" w:hAnsi="Calibri" w:cs="Calibri"/>
          <w:b/>
          <w:bCs/>
        </w:rPr>
        <w:t>REFERENCES</w:t>
      </w:r>
      <w:r w:rsidR="00643E5F" w:rsidRPr="00800BBC">
        <w:rPr>
          <w:rFonts w:ascii="Calibri" w:hAnsi="Calibri" w:cs="Calibri"/>
          <w:b/>
          <w:bCs/>
        </w:rPr>
        <w:t>:</w:t>
      </w:r>
    </w:p>
    <w:p w14:paraId="722937C9" w14:textId="238CEF9C" w:rsidR="008D1CAB" w:rsidRPr="008D1CAB" w:rsidRDefault="000F0FFF" w:rsidP="00602F80">
      <w:pPr>
        <w:pStyle w:val="Bibliography"/>
        <w:tabs>
          <w:tab w:val="clear" w:pos="380"/>
          <w:tab w:val="clear" w:pos="500"/>
          <w:tab w:val="left" w:pos="0"/>
        </w:tabs>
        <w:ind w:left="0" w:firstLine="0"/>
        <w:jc w:val="both"/>
        <w:rPr>
          <w:rFonts w:ascii="Calibri" w:hAnsi="Calibri" w:cs="Calibri"/>
        </w:rPr>
      </w:pPr>
      <w:r w:rsidRPr="00800BBC">
        <w:rPr>
          <w:rFonts w:ascii="Calibri" w:hAnsi="Calibri" w:cs="Calibri"/>
        </w:rPr>
        <w:fldChar w:fldCharType="begin"/>
      </w:r>
      <w:r w:rsidR="008D1CAB">
        <w:rPr>
          <w:rFonts w:ascii="Calibri" w:hAnsi="Calibri" w:cs="Calibri"/>
        </w:rPr>
        <w:instrText xml:space="preserve"> ADDIN ZOTERO_BIBL {"uncited":[],"omitted":[],"custom":[]} CSL_BIBLIOGRAPHY </w:instrText>
      </w:r>
      <w:r w:rsidRPr="00800BBC">
        <w:rPr>
          <w:rFonts w:ascii="Calibri" w:hAnsi="Calibri" w:cs="Calibri"/>
        </w:rPr>
        <w:fldChar w:fldCharType="separate"/>
      </w:r>
      <w:r w:rsidR="008D1CAB" w:rsidRPr="008D1CAB">
        <w:rPr>
          <w:rFonts w:ascii="Calibri" w:hAnsi="Calibri" w:cs="Calibri"/>
        </w:rPr>
        <w:t>1.</w:t>
      </w:r>
      <w:r w:rsidR="008D1CAB" w:rsidRPr="008D1CAB">
        <w:rPr>
          <w:rFonts w:ascii="Calibri" w:hAnsi="Calibri" w:cs="Calibri"/>
        </w:rPr>
        <w:tab/>
        <w:t>Chiu, C.</w:t>
      </w:r>
      <w:r w:rsidR="00481984">
        <w:rPr>
          <w:rFonts w:ascii="Calibri" w:hAnsi="Calibri" w:cs="Calibri"/>
        </w:rPr>
        <w:t xml:space="preserve"> </w:t>
      </w:r>
      <w:r w:rsidR="008D1CAB" w:rsidRPr="008D1CAB">
        <w:rPr>
          <w:rFonts w:ascii="Calibri" w:hAnsi="Calibri" w:cs="Calibri"/>
        </w:rPr>
        <w:t>Y., Miller, S.</w:t>
      </w:r>
      <w:r w:rsidR="00481984">
        <w:rPr>
          <w:rFonts w:ascii="Calibri" w:hAnsi="Calibri" w:cs="Calibri"/>
        </w:rPr>
        <w:t xml:space="preserve"> </w:t>
      </w:r>
      <w:r w:rsidR="008D1CAB" w:rsidRPr="008D1CAB">
        <w:rPr>
          <w:rFonts w:ascii="Calibri" w:hAnsi="Calibri" w:cs="Calibri"/>
        </w:rPr>
        <w:t xml:space="preserve">A. Clinical metagenomics. </w:t>
      </w:r>
      <w:r w:rsidR="008D1CAB" w:rsidRPr="008D1CAB">
        <w:rPr>
          <w:rFonts w:ascii="Calibri" w:hAnsi="Calibri" w:cs="Calibri"/>
          <w:i/>
          <w:iCs/>
        </w:rPr>
        <w:t>Nat Rev Genet</w:t>
      </w:r>
      <w:r w:rsidR="008D1CAB" w:rsidRPr="008D1CAB">
        <w:rPr>
          <w:rFonts w:ascii="Calibri" w:hAnsi="Calibri" w:cs="Calibri"/>
        </w:rPr>
        <w:t xml:space="preserve">. </w:t>
      </w:r>
      <w:r w:rsidR="008D1CAB" w:rsidRPr="008D1CAB">
        <w:rPr>
          <w:rFonts w:ascii="Calibri" w:hAnsi="Calibri" w:cs="Calibri"/>
          <w:b/>
          <w:bCs/>
        </w:rPr>
        <w:t>20</w:t>
      </w:r>
      <w:r w:rsidR="008D1CAB" w:rsidRPr="008D1CAB">
        <w:rPr>
          <w:rFonts w:ascii="Calibri" w:hAnsi="Calibri" w:cs="Calibri"/>
        </w:rPr>
        <w:t xml:space="preserve"> (6), 341–355</w:t>
      </w:r>
      <w:r w:rsidR="00481984">
        <w:rPr>
          <w:rFonts w:ascii="Calibri" w:hAnsi="Calibri" w:cs="Calibri"/>
        </w:rPr>
        <w:t xml:space="preserve"> </w:t>
      </w:r>
      <w:r w:rsidR="008D1CAB" w:rsidRPr="008D1CAB">
        <w:rPr>
          <w:rFonts w:ascii="Calibri" w:hAnsi="Calibri" w:cs="Calibri"/>
        </w:rPr>
        <w:t>(2019).</w:t>
      </w:r>
    </w:p>
    <w:p w14:paraId="324DFDD3" w14:textId="26E74A47"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lastRenderedPageBreak/>
        <w:t>2.</w:t>
      </w:r>
      <w:r w:rsidRPr="008D1CAB">
        <w:rPr>
          <w:rFonts w:ascii="Calibri" w:hAnsi="Calibri" w:cs="Calibri"/>
        </w:rPr>
        <w:tab/>
        <w:t>Wilson, M.</w:t>
      </w:r>
      <w:r w:rsidR="00481984">
        <w:rPr>
          <w:rFonts w:ascii="Calibri" w:hAnsi="Calibri" w:cs="Calibri"/>
        </w:rPr>
        <w:t xml:space="preserve"> </w:t>
      </w:r>
      <w:r w:rsidRPr="008D1CAB">
        <w:rPr>
          <w:rFonts w:ascii="Calibri" w:hAnsi="Calibri" w:cs="Calibri"/>
        </w:rPr>
        <w:t xml:space="preserve">R. et al. Clinical </w:t>
      </w:r>
      <w:r w:rsidR="00481984">
        <w:rPr>
          <w:rFonts w:ascii="Calibri" w:hAnsi="Calibri" w:cs="Calibri"/>
        </w:rPr>
        <w:t>m</w:t>
      </w:r>
      <w:r w:rsidRPr="008D1CAB">
        <w:rPr>
          <w:rFonts w:ascii="Calibri" w:hAnsi="Calibri" w:cs="Calibri"/>
        </w:rPr>
        <w:t xml:space="preserve">etagenomic </w:t>
      </w:r>
      <w:r w:rsidR="00481984">
        <w:rPr>
          <w:rFonts w:ascii="Calibri" w:hAnsi="Calibri" w:cs="Calibri"/>
        </w:rPr>
        <w:t>s</w:t>
      </w:r>
      <w:r w:rsidRPr="008D1CAB">
        <w:rPr>
          <w:rFonts w:ascii="Calibri" w:hAnsi="Calibri" w:cs="Calibri"/>
        </w:rPr>
        <w:t xml:space="preserve">equencing for </w:t>
      </w:r>
      <w:r w:rsidR="00481984">
        <w:rPr>
          <w:rFonts w:ascii="Calibri" w:hAnsi="Calibri" w:cs="Calibri"/>
        </w:rPr>
        <w:t>d</w:t>
      </w:r>
      <w:r w:rsidRPr="008D1CAB">
        <w:rPr>
          <w:rFonts w:ascii="Calibri" w:hAnsi="Calibri" w:cs="Calibri"/>
        </w:rPr>
        <w:t xml:space="preserve">iagnosis of </w:t>
      </w:r>
      <w:r w:rsidR="00481984">
        <w:rPr>
          <w:rFonts w:ascii="Calibri" w:hAnsi="Calibri" w:cs="Calibri"/>
        </w:rPr>
        <w:t>m</w:t>
      </w:r>
      <w:r w:rsidRPr="008D1CAB">
        <w:rPr>
          <w:rFonts w:ascii="Calibri" w:hAnsi="Calibri" w:cs="Calibri"/>
        </w:rPr>
        <w:t xml:space="preserve">eningitis and </w:t>
      </w:r>
      <w:r w:rsidR="00481984">
        <w:rPr>
          <w:rFonts w:ascii="Calibri" w:hAnsi="Calibri" w:cs="Calibri"/>
        </w:rPr>
        <w:t>e</w:t>
      </w:r>
      <w:r w:rsidRPr="008D1CAB">
        <w:rPr>
          <w:rFonts w:ascii="Calibri" w:hAnsi="Calibri" w:cs="Calibri"/>
        </w:rPr>
        <w:t xml:space="preserve">ncephalitis. </w:t>
      </w:r>
      <w:r w:rsidRPr="008D1CAB">
        <w:rPr>
          <w:rFonts w:ascii="Calibri" w:hAnsi="Calibri" w:cs="Calibri"/>
          <w:i/>
          <w:iCs/>
        </w:rPr>
        <w:t>N Engl J Med</w:t>
      </w:r>
      <w:r w:rsidRPr="008D1CAB">
        <w:rPr>
          <w:rFonts w:ascii="Calibri" w:hAnsi="Calibri" w:cs="Calibri"/>
        </w:rPr>
        <w:t xml:space="preserve">. </w:t>
      </w:r>
      <w:r w:rsidRPr="008D1CAB">
        <w:rPr>
          <w:rFonts w:ascii="Calibri" w:hAnsi="Calibri" w:cs="Calibri"/>
          <w:b/>
          <w:bCs/>
        </w:rPr>
        <w:t>380</w:t>
      </w:r>
      <w:r w:rsidRPr="008D1CAB">
        <w:rPr>
          <w:rFonts w:ascii="Calibri" w:hAnsi="Calibri" w:cs="Calibri"/>
        </w:rPr>
        <w:t xml:space="preserve"> (24), 2327–2340 (2019).</w:t>
      </w:r>
    </w:p>
    <w:p w14:paraId="750F5F64" w14:textId="05452C30"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3.</w:t>
      </w:r>
      <w:r w:rsidRPr="008D1CAB">
        <w:rPr>
          <w:rFonts w:ascii="Calibri" w:hAnsi="Calibri" w:cs="Calibri"/>
        </w:rPr>
        <w:tab/>
        <w:t>Forbes, J.</w:t>
      </w:r>
      <w:r w:rsidR="00481984">
        <w:rPr>
          <w:rFonts w:ascii="Calibri" w:hAnsi="Calibri" w:cs="Calibri"/>
        </w:rPr>
        <w:t xml:space="preserve"> </w:t>
      </w:r>
      <w:r w:rsidRPr="008D1CAB">
        <w:rPr>
          <w:rFonts w:ascii="Calibri" w:hAnsi="Calibri" w:cs="Calibri"/>
        </w:rPr>
        <w:t>D., Knox, N.</w:t>
      </w:r>
      <w:r w:rsidR="00481984">
        <w:rPr>
          <w:rFonts w:ascii="Calibri" w:hAnsi="Calibri" w:cs="Calibri"/>
        </w:rPr>
        <w:t xml:space="preserve"> </w:t>
      </w:r>
      <w:r w:rsidRPr="008D1CAB">
        <w:rPr>
          <w:rFonts w:ascii="Calibri" w:hAnsi="Calibri" w:cs="Calibri"/>
        </w:rPr>
        <w:t xml:space="preserve">C., Ronholm, J., Pagotto, F., Reimer, A. Metagenomics: </w:t>
      </w:r>
      <w:r w:rsidR="00976525" w:rsidRPr="008D1CAB">
        <w:rPr>
          <w:rFonts w:ascii="Calibri" w:hAnsi="Calibri" w:cs="Calibri"/>
        </w:rPr>
        <w:t>the next culture-independent game changer</w:t>
      </w:r>
      <w:r w:rsidRPr="008D1CAB">
        <w:rPr>
          <w:rFonts w:ascii="Calibri" w:hAnsi="Calibri" w:cs="Calibri"/>
        </w:rPr>
        <w:t xml:space="preserve">. </w:t>
      </w:r>
      <w:r w:rsidRPr="008D1CAB">
        <w:rPr>
          <w:rFonts w:ascii="Calibri" w:hAnsi="Calibri" w:cs="Calibri"/>
          <w:i/>
          <w:iCs/>
        </w:rPr>
        <w:t>Front. Microbiol.</w:t>
      </w:r>
      <w:r w:rsidRPr="008D1CAB">
        <w:rPr>
          <w:rFonts w:ascii="Calibri" w:hAnsi="Calibri" w:cs="Calibri"/>
        </w:rPr>
        <w:t xml:space="preserve"> </w:t>
      </w:r>
      <w:r w:rsidRPr="008D1CAB">
        <w:rPr>
          <w:rFonts w:ascii="Calibri" w:hAnsi="Calibri" w:cs="Calibri"/>
          <w:b/>
          <w:bCs/>
        </w:rPr>
        <w:t>8</w:t>
      </w:r>
      <w:r w:rsidRPr="008D1CAB">
        <w:rPr>
          <w:rFonts w:ascii="Calibri" w:hAnsi="Calibri" w:cs="Calibri"/>
        </w:rPr>
        <w:t>, doi: 10.3389/fmicb.2017.01069 (2017).</w:t>
      </w:r>
    </w:p>
    <w:p w14:paraId="69CB7410" w14:textId="450B8934"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4.</w:t>
      </w:r>
      <w:r w:rsidRPr="008D1CAB">
        <w:rPr>
          <w:rFonts w:ascii="Calibri" w:hAnsi="Calibri" w:cs="Calibri"/>
        </w:rPr>
        <w:tab/>
        <w:t xml:space="preserve">Wang, Z., Gerstein, M., Snyder, M. RNA-Seq: a revolutionary tool for transcriptomics. </w:t>
      </w:r>
      <w:r w:rsidRPr="008D1CAB">
        <w:rPr>
          <w:rFonts w:ascii="Calibri" w:hAnsi="Calibri" w:cs="Calibri"/>
          <w:i/>
          <w:iCs/>
        </w:rPr>
        <w:t>Nat Rev Genet</w:t>
      </w:r>
      <w:r w:rsidRPr="008D1CAB">
        <w:rPr>
          <w:rFonts w:ascii="Calibri" w:hAnsi="Calibri" w:cs="Calibri"/>
        </w:rPr>
        <w:t xml:space="preserve">. </w:t>
      </w:r>
      <w:r w:rsidRPr="008D1CAB">
        <w:rPr>
          <w:rFonts w:ascii="Calibri" w:hAnsi="Calibri" w:cs="Calibri"/>
          <w:b/>
          <w:bCs/>
        </w:rPr>
        <w:t>10</w:t>
      </w:r>
      <w:r w:rsidRPr="008D1CAB">
        <w:rPr>
          <w:rFonts w:ascii="Calibri" w:hAnsi="Calibri" w:cs="Calibri"/>
        </w:rPr>
        <w:t xml:space="preserve"> (1), 57–63 (2009).</w:t>
      </w:r>
    </w:p>
    <w:p w14:paraId="3D3089DE" w14:textId="00B5CC41"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5.</w:t>
      </w:r>
      <w:r w:rsidRPr="008D1CAB">
        <w:rPr>
          <w:rFonts w:ascii="Calibri" w:hAnsi="Calibri" w:cs="Calibri"/>
        </w:rPr>
        <w:tab/>
        <w:t>DNA Sequencing Costs: Data at &lt;https://www.genome.gov/about-genomics/fact-sheets/DNA-Sequencing-Costs-Data&gt;.</w:t>
      </w:r>
    </w:p>
    <w:p w14:paraId="0A25CD63" w14:textId="2DC34801"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7238C6">
        <w:rPr>
          <w:rFonts w:ascii="Calibri" w:hAnsi="Calibri" w:cs="Calibri"/>
          <w:lang w:val="de-DE"/>
        </w:rPr>
        <w:t>6.</w:t>
      </w:r>
      <w:r w:rsidRPr="007238C6">
        <w:rPr>
          <w:rFonts w:ascii="Calibri" w:hAnsi="Calibri" w:cs="Calibri"/>
          <w:lang w:val="de-DE"/>
        </w:rPr>
        <w:tab/>
        <w:t>Wilson, M.</w:t>
      </w:r>
      <w:r w:rsidR="000A67B6" w:rsidRPr="007238C6">
        <w:rPr>
          <w:rFonts w:ascii="Calibri" w:hAnsi="Calibri" w:cs="Calibri"/>
          <w:lang w:val="de-DE"/>
        </w:rPr>
        <w:t xml:space="preserve"> </w:t>
      </w:r>
      <w:r w:rsidRPr="007238C6">
        <w:rPr>
          <w:rFonts w:ascii="Calibri" w:hAnsi="Calibri" w:cs="Calibri"/>
          <w:lang w:val="de-DE"/>
        </w:rPr>
        <w:t xml:space="preserve">R. et al. </w:t>
      </w:r>
      <w:r w:rsidRPr="008D1CAB">
        <w:rPr>
          <w:rFonts w:ascii="Calibri" w:hAnsi="Calibri" w:cs="Calibri"/>
        </w:rPr>
        <w:t xml:space="preserve">Chronic </w:t>
      </w:r>
      <w:r w:rsidR="004D45EE" w:rsidRPr="008D1CAB">
        <w:rPr>
          <w:rFonts w:ascii="Calibri" w:hAnsi="Calibri" w:cs="Calibri"/>
        </w:rPr>
        <w:t xml:space="preserve">meningitis investigated via metagenomic next-generation sequencing. </w:t>
      </w:r>
      <w:r w:rsidRPr="008D1CAB">
        <w:rPr>
          <w:rFonts w:ascii="Calibri" w:hAnsi="Calibri" w:cs="Calibri"/>
          <w:i/>
          <w:iCs/>
        </w:rPr>
        <w:t>JAMA Neurology</w:t>
      </w:r>
      <w:r w:rsidRPr="008D1CAB">
        <w:rPr>
          <w:rFonts w:ascii="Calibri" w:hAnsi="Calibri" w:cs="Calibri"/>
        </w:rPr>
        <w:t xml:space="preserve">. </w:t>
      </w:r>
      <w:r w:rsidRPr="008D1CAB">
        <w:rPr>
          <w:rFonts w:ascii="Calibri" w:hAnsi="Calibri" w:cs="Calibri"/>
          <w:b/>
          <w:bCs/>
        </w:rPr>
        <w:t>75</w:t>
      </w:r>
      <w:r w:rsidRPr="008D1CAB">
        <w:rPr>
          <w:rFonts w:ascii="Calibri" w:hAnsi="Calibri" w:cs="Calibri"/>
        </w:rPr>
        <w:t xml:space="preserve"> (8), 947–955</w:t>
      </w:r>
      <w:r w:rsidR="000A67B6">
        <w:rPr>
          <w:rFonts w:ascii="Calibri" w:hAnsi="Calibri" w:cs="Calibri"/>
        </w:rPr>
        <w:t xml:space="preserve"> </w:t>
      </w:r>
      <w:r w:rsidRPr="008D1CAB">
        <w:rPr>
          <w:rFonts w:ascii="Calibri" w:hAnsi="Calibri" w:cs="Calibri"/>
        </w:rPr>
        <w:t>(2018).</w:t>
      </w:r>
    </w:p>
    <w:p w14:paraId="67450A3B" w14:textId="5E279346"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7.</w:t>
      </w:r>
      <w:r w:rsidRPr="008D1CAB">
        <w:rPr>
          <w:rFonts w:ascii="Calibri" w:hAnsi="Calibri" w:cs="Calibri"/>
        </w:rPr>
        <w:tab/>
        <w:t xml:space="preserve">Benoit, P. et al. Seven-year performance of a clinical metagenomic next-generation sequencing test for diagnosis of central nervous system infections. </w:t>
      </w:r>
      <w:r w:rsidRPr="008D1CAB">
        <w:rPr>
          <w:rFonts w:ascii="Calibri" w:hAnsi="Calibri" w:cs="Calibri"/>
          <w:i/>
          <w:iCs/>
        </w:rPr>
        <w:t>Nat Med</w:t>
      </w:r>
      <w:r w:rsidRPr="008D1CAB">
        <w:rPr>
          <w:rFonts w:ascii="Calibri" w:hAnsi="Calibri" w:cs="Calibri"/>
        </w:rPr>
        <w:t xml:space="preserve">. </w:t>
      </w:r>
      <w:r w:rsidRPr="008D1CAB">
        <w:rPr>
          <w:rFonts w:ascii="Calibri" w:hAnsi="Calibri" w:cs="Calibri"/>
          <w:b/>
          <w:bCs/>
        </w:rPr>
        <w:t>30</w:t>
      </w:r>
      <w:r w:rsidRPr="008D1CAB">
        <w:rPr>
          <w:rFonts w:ascii="Calibri" w:hAnsi="Calibri" w:cs="Calibri"/>
        </w:rPr>
        <w:t xml:space="preserve"> (12), 3522–3533</w:t>
      </w:r>
      <w:r w:rsidR="000A67B6">
        <w:rPr>
          <w:rFonts w:ascii="Calibri" w:hAnsi="Calibri" w:cs="Calibri"/>
        </w:rPr>
        <w:t xml:space="preserve"> </w:t>
      </w:r>
      <w:r w:rsidRPr="008D1CAB">
        <w:rPr>
          <w:rFonts w:ascii="Calibri" w:hAnsi="Calibri" w:cs="Calibri"/>
        </w:rPr>
        <w:t xml:space="preserve"> (2024).</w:t>
      </w:r>
    </w:p>
    <w:p w14:paraId="5EA66D45" w14:textId="098839FE"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8.</w:t>
      </w:r>
      <w:r w:rsidRPr="008D1CAB">
        <w:rPr>
          <w:rFonts w:ascii="Calibri" w:hAnsi="Calibri" w:cs="Calibri"/>
        </w:rPr>
        <w:tab/>
        <w:t>Glaser, C.</w:t>
      </w:r>
      <w:r w:rsidR="000A67B6">
        <w:rPr>
          <w:rFonts w:ascii="Calibri" w:hAnsi="Calibri" w:cs="Calibri"/>
        </w:rPr>
        <w:t xml:space="preserve"> </w:t>
      </w:r>
      <w:r w:rsidRPr="008D1CAB">
        <w:rPr>
          <w:rFonts w:ascii="Calibri" w:hAnsi="Calibri" w:cs="Calibri"/>
        </w:rPr>
        <w:t xml:space="preserve">A. et al. In </w:t>
      </w:r>
      <w:r w:rsidR="004D45EE" w:rsidRPr="008D1CAB">
        <w:rPr>
          <w:rFonts w:ascii="Calibri" w:hAnsi="Calibri" w:cs="Calibri"/>
        </w:rPr>
        <w:t xml:space="preserve">search of encephalitis etiologies: diagnostic challenges in the </w:t>
      </w:r>
      <w:r w:rsidR="00150D14">
        <w:rPr>
          <w:rFonts w:ascii="Calibri" w:hAnsi="Calibri" w:cs="Calibri"/>
        </w:rPr>
        <w:t>C</w:t>
      </w:r>
      <w:r w:rsidR="004D45EE" w:rsidRPr="008D1CAB">
        <w:rPr>
          <w:rFonts w:ascii="Calibri" w:hAnsi="Calibri" w:cs="Calibri"/>
        </w:rPr>
        <w:t>alifornia encephalitis project,</w:t>
      </w:r>
      <w:r w:rsidRPr="008D1CAB">
        <w:rPr>
          <w:rFonts w:ascii="Calibri" w:hAnsi="Calibri" w:cs="Calibri"/>
        </w:rPr>
        <w:t xml:space="preserve"> 1998—2000. </w:t>
      </w:r>
      <w:r w:rsidRPr="008D1CAB">
        <w:rPr>
          <w:rFonts w:ascii="Calibri" w:hAnsi="Calibri" w:cs="Calibri"/>
          <w:i/>
          <w:iCs/>
        </w:rPr>
        <w:t>Clinical Infectious Diseases</w:t>
      </w:r>
      <w:r w:rsidRPr="008D1CAB">
        <w:rPr>
          <w:rFonts w:ascii="Calibri" w:hAnsi="Calibri" w:cs="Calibri"/>
        </w:rPr>
        <w:t xml:space="preserve">. </w:t>
      </w:r>
      <w:r w:rsidRPr="008D1CAB">
        <w:rPr>
          <w:rFonts w:ascii="Calibri" w:hAnsi="Calibri" w:cs="Calibri"/>
          <w:b/>
          <w:bCs/>
        </w:rPr>
        <w:t>36</w:t>
      </w:r>
      <w:r w:rsidRPr="008D1CAB">
        <w:rPr>
          <w:rFonts w:ascii="Calibri" w:hAnsi="Calibri" w:cs="Calibri"/>
        </w:rPr>
        <w:t xml:space="preserve"> (6), 731–742 (2003).</w:t>
      </w:r>
    </w:p>
    <w:p w14:paraId="31BAE93A" w14:textId="7A4649B8"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9.</w:t>
      </w:r>
      <w:r w:rsidRPr="008D1CAB">
        <w:rPr>
          <w:rFonts w:ascii="Calibri" w:hAnsi="Calibri" w:cs="Calibri"/>
        </w:rPr>
        <w:tab/>
        <w:t xml:space="preserve">Ramachandran, P.S. et al. Integrating central nervous system metagenomics and host response for diagnosis of tuberculosis meningitis and its mimics. </w:t>
      </w:r>
      <w:r w:rsidRPr="008D1CAB">
        <w:rPr>
          <w:rFonts w:ascii="Calibri" w:hAnsi="Calibri" w:cs="Calibri"/>
          <w:i/>
          <w:iCs/>
        </w:rPr>
        <w:t>Nat Commun</w:t>
      </w:r>
      <w:r w:rsidRPr="008D1CAB">
        <w:rPr>
          <w:rFonts w:ascii="Calibri" w:hAnsi="Calibri" w:cs="Calibri"/>
        </w:rPr>
        <w:t xml:space="preserve">. </w:t>
      </w:r>
      <w:r w:rsidRPr="008D1CAB">
        <w:rPr>
          <w:rFonts w:ascii="Calibri" w:hAnsi="Calibri" w:cs="Calibri"/>
          <w:b/>
          <w:bCs/>
        </w:rPr>
        <w:t>13</w:t>
      </w:r>
      <w:r w:rsidRPr="008D1CAB">
        <w:rPr>
          <w:rFonts w:ascii="Calibri" w:hAnsi="Calibri" w:cs="Calibri"/>
        </w:rPr>
        <w:t>, 1675 (2022).</w:t>
      </w:r>
    </w:p>
    <w:p w14:paraId="6A9224E5" w14:textId="4F922D5C"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10.</w:t>
      </w:r>
      <w:r w:rsidRPr="008D1CAB">
        <w:rPr>
          <w:rFonts w:ascii="Calibri" w:hAnsi="Calibri" w:cs="Calibri"/>
        </w:rPr>
        <w:tab/>
        <w:t>Xing, Z. et al. Integrating DNA/RNA microbe detection and host response for accurate diagnosis, treatment</w:t>
      </w:r>
      <w:r w:rsidR="00E032BF">
        <w:rPr>
          <w:rFonts w:ascii="Calibri" w:hAnsi="Calibri" w:cs="Calibri"/>
        </w:rPr>
        <w:t>,</w:t>
      </w:r>
      <w:r w:rsidRPr="008D1CAB">
        <w:rPr>
          <w:rFonts w:ascii="Calibri" w:hAnsi="Calibri" w:cs="Calibri"/>
        </w:rPr>
        <w:t xml:space="preserve"> and prognosis of childhood infectious meningitis and encephalitis. </w:t>
      </w:r>
      <w:r w:rsidRPr="008D1CAB">
        <w:rPr>
          <w:rFonts w:ascii="Calibri" w:hAnsi="Calibri" w:cs="Calibri"/>
          <w:i/>
          <w:iCs/>
        </w:rPr>
        <w:t>J Transl Med</w:t>
      </w:r>
      <w:r w:rsidRPr="008D1CAB">
        <w:rPr>
          <w:rFonts w:ascii="Calibri" w:hAnsi="Calibri" w:cs="Calibri"/>
        </w:rPr>
        <w:t xml:space="preserve">. </w:t>
      </w:r>
      <w:r w:rsidRPr="008D1CAB">
        <w:rPr>
          <w:rFonts w:ascii="Calibri" w:hAnsi="Calibri" w:cs="Calibri"/>
          <w:b/>
          <w:bCs/>
        </w:rPr>
        <w:t>22</w:t>
      </w:r>
      <w:r w:rsidRPr="008D1CAB">
        <w:rPr>
          <w:rFonts w:ascii="Calibri" w:hAnsi="Calibri" w:cs="Calibri"/>
        </w:rPr>
        <w:t>, 583 (2024).</w:t>
      </w:r>
    </w:p>
    <w:p w14:paraId="039E4255" w14:textId="4B5F238B"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11.</w:t>
      </w:r>
      <w:r w:rsidRPr="008D1CAB">
        <w:rPr>
          <w:rFonts w:ascii="Calibri" w:hAnsi="Calibri" w:cs="Calibri"/>
        </w:rPr>
        <w:tab/>
        <w:t xml:space="preserve">Omura, C. et al. 298. Host </w:t>
      </w:r>
      <w:r w:rsidR="001C4694" w:rsidRPr="008D1CAB">
        <w:rPr>
          <w:rFonts w:ascii="Calibri" w:hAnsi="Calibri" w:cs="Calibri"/>
        </w:rPr>
        <w:t>response profiling from clinical metagenomic sequencing data for diagnosis of central nervous system infections.</w:t>
      </w:r>
      <w:r w:rsidRPr="008D1CAB">
        <w:rPr>
          <w:rFonts w:ascii="Calibri" w:hAnsi="Calibri" w:cs="Calibri"/>
        </w:rPr>
        <w:t xml:space="preserve"> </w:t>
      </w:r>
      <w:r w:rsidRPr="008D1CAB">
        <w:rPr>
          <w:rFonts w:ascii="Calibri" w:hAnsi="Calibri" w:cs="Calibri"/>
          <w:i/>
          <w:iCs/>
        </w:rPr>
        <w:t>Open Forum Infect Dis</w:t>
      </w:r>
      <w:r w:rsidRPr="008D1CAB">
        <w:rPr>
          <w:rFonts w:ascii="Calibri" w:hAnsi="Calibri" w:cs="Calibri"/>
        </w:rPr>
        <w:t xml:space="preserve">. </w:t>
      </w:r>
      <w:r w:rsidRPr="008D1CAB">
        <w:rPr>
          <w:rFonts w:ascii="Calibri" w:hAnsi="Calibri" w:cs="Calibri"/>
          <w:b/>
          <w:bCs/>
        </w:rPr>
        <w:t>12</w:t>
      </w:r>
      <w:r w:rsidRPr="008D1CAB">
        <w:rPr>
          <w:rFonts w:ascii="Calibri" w:hAnsi="Calibri" w:cs="Calibri"/>
        </w:rPr>
        <w:t xml:space="preserve"> (1), ofae631.088 (2025).</w:t>
      </w:r>
    </w:p>
    <w:p w14:paraId="696361E3" w14:textId="4A5E3221"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12.</w:t>
      </w:r>
      <w:r w:rsidRPr="008D1CAB">
        <w:rPr>
          <w:rFonts w:ascii="Calibri" w:hAnsi="Calibri" w:cs="Calibri"/>
        </w:rPr>
        <w:tab/>
        <w:t>Andriuk, L.</w:t>
      </w:r>
      <w:r w:rsidR="000A67B6">
        <w:rPr>
          <w:rFonts w:ascii="Calibri" w:hAnsi="Calibri" w:cs="Calibri"/>
        </w:rPr>
        <w:t xml:space="preserve"> </w:t>
      </w:r>
      <w:r w:rsidRPr="008D1CAB">
        <w:rPr>
          <w:rFonts w:ascii="Calibri" w:hAnsi="Calibri" w:cs="Calibri"/>
        </w:rPr>
        <w:t>V., Skochiĭ, P.</w:t>
      </w:r>
      <w:r w:rsidR="000A67B6">
        <w:rPr>
          <w:rFonts w:ascii="Calibri" w:hAnsi="Calibri" w:cs="Calibri"/>
        </w:rPr>
        <w:t xml:space="preserve"> </w:t>
      </w:r>
      <w:r w:rsidRPr="008D1CAB">
        <w:rPr>
          <w:rFonts w:ascii="Calibri" w:hAnsi="Calibri" w:cs="Calibri"/>
        </w:rPr>
        <w:t xml:space="preserve">G. Nucleic acids of the cerebrospinal fluid in acute disorders of cerebral circulation. </w:t>
      </w:r>
      <w:r w:rsidRPr="008D1CAB">
        <w:rPr>
          <w:rFonts w:ascii="Calibri" w:hAnsi="Calibri" w:cs="Calibri"/>
          <w:i/>
          <w:iCs/>
        </w:rPr>
        <w:t>Zh Nevropatol Psikhiatr Im S S Korsakova</w:t>
      </w:r>
      <w:r w:rsidRPr="008D1CAB">
        <w:rPr>
          <w:rFonts w:ascii="Calibri" w:hAnsi="Calibri" w:cs="Calibri"/>
        </w:rPr>
        <w:t xml:space="preserve">. </w:t>
      </w:r>
      <w:r w:rsidRPr="008D1CAB">
        <w:rPr>
          <w:rFonts w:ascii="Calibri" w:hAnsi="Calibri" w:cs="Calibri"/>
          <w:b/>
          <w:bCs/>
        </w:rPr>
        <w:t>88</w:t>
      </w:r>
      <w:r w:rsidRPr="008D1CAB">
        <w:rPr>
          <w:rFonts w:ascii="Calibri" w:hAnsi="Calibri" w:cs="Calibri"/>
        </w:rPr>
        <w:t xml:space="preserve"> (7), 32–34 (1988).</w:t>
      </w:r>
    </w:p>
    <w:p w14:paraId="24AF2559" w14:textId="08D4695E"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13.</w:t>
      </w:r>
      <w:r w:rsidRPr="008D1CAB">
        <w:rPr>
          <w:rFonts w:ascii="Calibri" w:hAnsi="Calibri" w:cs="Calibri"/>
        </w:rPr>
        <w:tab/>
        <w:t xml:space="preserve">Olausson, J. et al. Optimization of cerebrospinal fluid microbial DNA metagenomic sequencing diagnostics. </w:t>
      </w:r>
      <w:r w:rsidRPr="008D1CAB">
        <w:rPr>
          <w:rFonts w:ascii="Calibri" w:hAnsi="Calibri" w:cs="Calibri"/>
          <w:i/>
          <w:iCs/>
        </w:rPr>
        <w:t>Sci Rep</w:t>
      </w:r>
      <w:r w:rsidRPr="008D1CAB">
        <w:rPr>
          <w:rFonts w:ascii="Calibri" w:hAnsi="Calibri" w:cs="Calibri"/>
        </w:rPr>
        <w:t xml:space="preserve">. </w:t>
      </w:r>
      <w:r w:rsidRPr="008D1CAB">
        <w:rPr>
          <w:rFonts w:ascii="Calibri" w:hAnsi="Calibri" w:cs="Calibri"/>
          <w:b/>
          <w:bCs/>
        </w:rPr>
        <w:t>12</w:t>
      </w:r>
      <w:r w:rsidRPr="008D1CAB">
        <w:rPr>
          <w:rFonts w:ascii="Calibri" w:hAnsi="Calibri" w:cs="Calibri"/>
        </w:rPr>
        <w:t xml:space="preserve"> (1), 3378 (2022).</w:t>
      </w:r>
    </w:p>
    <w:p w14:paraId="6E387FAD" w14:textId="4F759BD2"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14.</w:t>
      </w:r>
      <w:r w:rsidRPr="008D1CAB">
        <w:rPr>
          <w:rFonts w:ascii="Calibri" w:hAnsi="Calibri" w:cs="Calibri"/>
        </w:rPr>
        <w:tab/>
        <w:t xml:space="preserve">Becskei, A., Rahaman, S. The life and death of RNA across temperatures. </w:t>
      </w:r>
      <w:r w:rsidRPr="008D1CAB">
        <w:rPr>
          <w:rFonts w:ascii="Calibri" w:hAnsi="Calibri" w:cs="Calibri"/>
          <w:i/>
          <w:iCs/>
        </w:rPr>
        <w:t>Comput Struct Biotechnol J</w:t>
      </w:r>
      <w:r w:rsidRPr="008D1CAB">
        <w:rPr>
          <w:rFonts w:ascii="Calibri" w:hAnsi="Calibri" w:cs="Calibri"/>
        </w:rPr>
        <w:t xml:space="preserve">. </w:t>
      </w:r>
      <w:r w:rsidRPr="008D1CAB">
        <w:rPr>
          <w:rFonts w:ascii="Calibri" w:hAnsi="Calibri" w:cs="Calibri"/>
          <w:b/>
          <w:bCs/>
        </w:rPr>
        <w:t>20</w:t>
      </w:r>
      <w:r w:rsidRPr="008D1CAB">
        <w:rPr>
          <w:rFonts w:ascii="Calibri" w:hAnsi="Calibri" w:cs="Calibri"/>
        </w:rPr>
        <w:t>, 4325–4336 (2022).</w:t>
      </w:r>
    </w:p>
    <w:p w14:paraId="08870078" w14:textId="61EDA8AA"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15.</w:t>
      </w:r>
      <w:r w:rsidRPr="008D1CAB">
        <w:rPr>
          <w:rFonts w:ascii="Calibri" w:hAnsi="Calibri" w:cs="Calibri"/>
        </w:rPr>
        <w:tab/>
        <w:t xml:space="preserve">Wang, C., Liu, H. Factors influencing degradation kinetics of mRNAs and half-lives of microRNAs, circRNAs, lncRNAs in blood </w:t>
      </w:r>
      <w:r w:rsidRPr="008A538C">
        <w:rPr>
          <w:rFonts w:ascii="Calibri" w:hAnsi="Calibri" w:cs="Calibri"/>
          <w:i/>
          <w:iCs/>
        </w:rPr>
        <w:t>in vitro</w:t>
      </w:r>
      <w:r w:rsidRPr="008D1CAB">
        <w:rPr>
          <w:rFonts w:ascii="Calibri" w:hAnsi="Calibri" w:cs="Calibri"/>
        </w:rPr>
        <w:t xml:space="preserve"> using quantitative PCR. </w:t>
      </w:r>
      <w:r w:rsidRPr="008D1CAB">
        <w:rPr>
          <w:rFonts w:ascii="Calibri" w:hAnsi="Calibri" w:cs="Calibri"/>
          <w:i/>
          <w:iCs/>
        </w:rPr>
        <w:t>Sci Rep</w:t>
      </w:r>
      <w:r w:rsidRPr="008D1CAB">
        <w:rPr>
          <w:rFonts w:ascii="Calibri" w:hAnsi="Calibri" w:cs="Calibri"/>
        </w:rPr>
        <w:t xml:space="preserve">. </w:t>
      </w:r>
      <w:r w:rsidRPr="008D1CAB">
        <w:rPr>
          <w:rFonts w:ascii="Calibri" w:hAnsi="Calibri" w:cs="Calibri"/>
          <w:b/>
          <w:bCs/>
        </w:rPr>
        <w:t>12</w:t>
      </w:r>
      <w:r w:rsidRPr="008D1CAB">
        <w:rPr>
          <w:rFonts w:ascii="Calibri" w:hAnsi="Calibri" w:cs="Calibri"/>
        </w:rPr>
        <w:t xml:space="preserve"> (1), 7259 (2022).</w:t>
      </w:r>
    </w:p>
    <w:p w14:paraId="3E29AF5F" w14:textId="60C003FF"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16.</w:t>
      </w:r>
      <w:r w:rsidRPr="008D1CAB">
        <w:rPr>
          <w:rFonts w:ascii="Calibri" w:hAnsi="Calibri" w:cs="Calibri"/>
        </w:rPr>
        <w:tab/>
        <w:t xml:space="preserve">Cb, T. et al. DNA/RNA </w:t>
      </w:r>
      <w:r w:rsidR="00EA0D35" w:rsidRPr="008D1CAB">
        <w:rPr>
          <w:rFonts w:ascii="Calibri" w:hAnsi="Calibri" w:cs="Calibri"/>
        </w:rPr>
        <w:t>preservation in glacial snow and ice samples.</w:t>
      </w:r>
      <w:r w:rsidRPr="008D1CAB">
        <w:rPr>
          <w:rFonts w:ascii="Calibri" w:hAnsi="Calibri" w:cs="Calibri"/>
        </w:rPr>
        <w:t xml:space="preserve"> </w:t>
      </w:r>
      <w:r w:rsidRPr="008D1CAB">
        <w:rPr>
          <w:rFonts w:ascii="Calibri" w:hAnsi="Calibri" w:cs="Calibri"/>
          <w:i/>
          <w:iCs/>
        </w:rPr>
        <w:t>Frontiers in microbiology</w:t>
      </w:r>
      <w:r w:rsidRPr="008D1CAB">
        <w:rPr>
          <w:rFonts w:ascii="Calibri" w:hAnsi="Calibri" w:cs="Calibri"/>
        </w:rPr>
        <w:t xml:space="preserve">. </w:t>
      </w:r>
      <w:r w:rsidRPr="008D1CAB">
        <w:rPr>
          <w:rFonts w:ascii="Calibri" w:hAnsi="Calibri" w:cs="Calibri"/>
          <w:b/>
          <w:bCs/>
        </w:rPr>
        <w:t>13</w:t>
      </w:r>
      <w:r w:rsidRPr="008D1CAB">
        <w:rPr>
          <w:rFonts w:ascii="Calibri" w:hAnsi="Calibri" w:cs="Calibri"/>
        </w:rPr>
        <w:t>, doi: 10.3389/fmicb.2022.894893 (2022).</w:t>
      </w:r>
    </w:p>
    <w:p w14:paraId="603996B1" w14:textId="53B4F776"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17.</w:t>
      </w:r>
      <w:r w:rsidRPr="008D1CAB">
        <w:rPr>
          <w:rFonts w:ascii="Calibri" w:hAnsi="Calibri" w:cs="Calibri"/>
        </w:rPr>
        <w:tab/>
        <w:t xml:space="preserve">J, K., E, M., A, K., A, K., A, M. Optimisation of sample storage and DNA extraction for human gut microbiota studies​. </w:t>
      </w:r>
      <w:r w:rsidRPr="008D1CAB">
        <w:rPr>
          <w:rFonts w:ascii="Calibri" w:hAnsi="Calibri" w:cs="Calibri"/>
          <w:i/>
          <w:iCs/>
        </w:rPr>
        <w:t>BMC microbiology</w:t>
      </w:r>
      <w:r w:rsidRPr="008D1CAB">
        <w:rPr>
          <w:rFonts w:ascii="Calibri" w:hAnsi="Calibri" w:cs="Calibri"/>
        </w:rPr>
        <w:t xml:space="preserve">. </w:t>
      </w:r>
      <w:r w:rsidRPr="008D1CAB">
        <w:rPr>
          <w:rFonts w:ascii="Calibri" w:hAnsi="Calibri" w:cs="Calibri"/>
          <w:b/>
          <w:bCs/>
        </w:rPr>
        <w:t>21</w:t>
      </w:r>
      <w:r w:rsidRPr="008D1CAB">
        <w:rPr>
          <w:rFonts w:ascii="Calibri" w:hAnsi="Calibri" w:cs="Calibri"/>
        </w:rPr>
        <w:t xml:space="preserve"> (1)</w:t>
      </w:r>
      <w:r w:rsidR="00DE45C8">
        <w:rPr>
          <w:rFonts w:ascii="Calibri" w:hAnsi="Calibri" w:cs="Calibri"/>
        </w:rPr>
        <w:t>,</w:t>
      </w:r>
      <w:r w:rsidRPr="008D1CAB">
        <w:rPr>
          <w:rFonts w:ascii="Calibri" w:hAnsi="Calibri" w:cs="Calibri"/>
        </w:rPr>
        <w:t xml:space="preserve"> doi: 10.1186/s12866-021-02233-y (2021).</w:t>
      </w:r>
    </w:p>
    <w:p w14:paraId="1C56F392" w14:textId="434C1ABB"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18.</w:t>
      </w:r>
      <w:r w:rsidRPr="008D1CAB">
        <w:rPr>
          <w:rFonts w:ascii="Calibri" w:hAnsi="Calibri" w:cs="Calibri"/>
        </w:rPr>
        <w:tab/>
        <w:t xml:space="preserve">X, J. et al. The </w:t>
      </w:r>
      <w:r w:rsidR="00EA0D35" w:rsidRPr="008D1CAB">
        <w:rPr>
          <w:rFonts w:ascii="Calibri" w:hAnsi="Calibri" w:cs="Calibri"/>
        </w:rPr>
        <w:t>impact of repeated freeze-thaw cycles on the quality of biomolecules in four different tissues</w:t>
      </w:r>
      <w:r w:rsidRPr="008D1CAB">
        <w:rPr>
          <w:rFonts w:ascii="Calibri" w:hAnsi="Calibri" w:cs="Calibri"/>
        </w:rPr>
        <w:t xml:space="preserve">. </w:t>
      </w:r>
      <w:r w:rsidRPr="008D1CAB">
        <w:rPr>
          <w:rFonts w:ascii="Calibri" w:hAnsi="Calibri" w:cs="Calibri"/>
          <w:i/>
          <w:iCs/>
        </w:rPr>
        <w:t>Biopreservation and biobanking</w:t>
      </w:r>
      <w:r w:rsidRPr="008D1CAB">
        <w:rPr>
          <w:rFonts w:ascii="Calibri" w:hAnsi="Calibri" w:cs="Calibri"/>
        </w:rPr>
        <w:t xml:space="preserve">. </w:t>
      </w:r>
      <w:r w:rsidRPr="008D1CAB">
        <w:rPr>
          <w:rFonts w:ascii="Calibri" w:hAnsi="Calibri" w:cs="Calibri"/>
          <w:b/>
          <w:bCs/>
        </w:rPr>
        <w:t>15</w:t>
      </w:r>
      <w:r w:rsidRPr="008D1CAB">
        <w:rPr>
          <w:rFonts w:ascii="Calibri" w:hAnsi="Calibri" w:cs="Calibri"/>
        </w:rPr>
        <w:t xml:space="preserve"> (5)</w:t>
      </w:r>
      <w:r w:rsidR="00DE45C8">
        <w:rPr>
          <w:rFonts w:ascii="Calibri" w:hAnsi="Calibri" w:cs="Calibri"/>
        </w:rPr>
        <w:t>,</w:t>
      </w:r>
      <w:r w:rsidRPr="008D1CAB">
        <w:rPr>
          <w:rFonts w:ascii="Calibri" w:hAnsi="Calibri" w:cs="Calibri"/>
        </w:rPr>
        <w:t xml:space="preserve"> doi: 10.1089/bio.2017.0064 (2017).</w:t>
      </w:r>
    </w:p>
    <w:p w14:paraId="4ECAF7C3" w14:textId="5E001842"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19.</w:t>
      </w:r>
      <w:r w:rsidRPr="008D1CAB">
        <w:rPr>
          <w:rFonts w:ascii="Calibri" w:hAnsi="Calibri" w:cs="Calibri"/>
        </w:rPr>
        <w:tab/>
        <w:t xml:space="preserve">Bp, K. et al. Multiple freeze-thaw cycles lead to a loss of consistency in poly(A)-enriched RNA sequencing. </w:t>
      </w:r>
      <w:r w:rsidRPr="008D1CAB">
        <w:rPr>
          <w:rFonts w:ascii="Calibri" w:hAnsi="Calibri" w:cs="Calibri"/>
          <w:i/>
          <w:iCs/>
        </w:rPr>
        <w:t>BMC genomics</w:t>
      </w:r>
      <w:r w:rsidRPr="008D1CAB">
        <w:rPr>
          <w:rFonts w:ascii="Calibri" w:hAnsi="Calibri" w:cs="Calibri"/>
        </w:rPr>
        <w:t xml:space="preserve">. </w:t>
      </w:r>
      <w:r w:rsidRPr="008D1CAB">
        <w:rPr>
          <w:rFonts w:ascii="Calibri" w:hAnsi="Calibri" w:cs="Calibri"/>
          <w:b/>
          <w:bCs/>
        </w:rPr>
        <w:t>22</w:t>
      </w:r>
      <w:r w:rsidRPr="008D1CAB">
        <w:rPr>
          <w:rFonts w:ascii="Calibri" w:hAnsi="Calibri" w:cs="Calibri"/>
        </w:rPr>
        <w:t xml:space="preserve"> (1)</w:t>
      </w:r>
      <w:r w:rsidR="00DE45C8">
        <w:rPr>
          <w:rFonts w:ascii="Calibri" w:hAnsi="Calibri" w:cs="Calibri"/>
        </w:rPr>
        <w:t>,</w:t>
      </w:r>
      <w:r w:rsidRPr="008D1CAB">
        <w:rPr>
          <w:rFonts w:ascii="Calibri" w:hAnsi="Calibri" w:cs="Calibri"/>
        </w:rPr>
        <w:t xml:space="preserve"> doi: 10.1186/s12864-021-07381-z (2021).</w:t>
      </w:r>
    </w:p>
    <w:p w14:paraId="5B8FD7DE" w14:textId="214C835A"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20.</w:t>
      </w:r>
      <w:r w:rsidRPr="008D1CAB">
        <w:rPr>
          <w:rFonts w:ascii="Calibri" w:hAnsi="Calibri" w:cs="Calibri"/>
        </w:rPr>
        <w:tab/>
        <w:t>Zinter, M.</w:t>
      </w:r>
      <w:r w:rsidR="000A67B6">
        <w:rPr>
          <w:rFonts w:ascii="Calibri" w:hAnsi="Calibri" w:cs="Calibri"/>
        </w:rPr>
        <w:t xml:space="preserve"> </w:t>
      </w:r>
      <w:r w:rsidRPr="008D1CAB">
        <w:rPr>
          <w:rFonts w:ascii="Calibri" w:hAnsi="Calibri" w:cs="Calibri"/>
        </w:rPr>
        <w:t>S., Mayday, M.</w:t>
      </w:r>
      <w:r w:rsidR="000A67B6">
        <w:rPr>
          <w:rFonts w:ascii="Calibri" w:hAnsi="Calibri" w:cs="Calibri"/>
        </w:rPr>
        <w:t xml:space="preserve"> </w:t>
      </w:r>
      <w:r w:rsidRPr="008D1CAB">
        <w:rPr>
          <w:rFonts w:ascii="Calibri" w:hAnsi="Calibri" w:cs="Calibri"/>
        </w:rPr>
        <w:t>Y., Ryckman, K.</w:t>
      </w:r>
      <w:r w:rsidR="000A67B6">
        <w:rPr>
          <w:rFonts w:ascii="Calibri" w:hAnsi="Calibri" w:cs="Calibri"/>
        </w:rPr>
        <w:t xml:space="preserve"> </w:t>
      </w:r>
      <w:r w:rsidRPr="008D1CAB">
        <w:rPr>
          <w:rFonts w:ascii="Calibri" w:hAnsi="Calibri" w:cs="Calibri"/>
        </w:rPr>
        <w:t>K., Jelliffe-Pawlowski, L.</w:t>
      </w:r>
      <w:r w:rsidR="000A67B6">
        <w:rPr>
          <w:rFonts w:ascii="Calibri" w:hAnsi="Calibri" w:cs="Calibri"/>
        </w:rPr>
        <w:t xml:space="preserve"> </w:t>
      </w:r>
      <w:r w:rsidRPr="008D1CAB">
        <w:rPr>
          <w:rFonts w:ascii="Calibri" w:hAnsi="Calibri" w:cs="Calibri"/>
        </w:rPr>
        <w:t>L., DeRisi, J.</w:t>
      </w:r>
      <w:r w:rsidR="000A67B6">
        <w:rPr>
          <w:rFonts w:ascii="Calibri" w:hAnsi="Calibri" w:cs="Calibri"/>
        </w:rPr>
        <w:t xml:space="preserve"> </w:t>
      </w:r>
      <w:r w:rsidRPr="008D1CAB">
        <w:rPr>
          <w:rFonts w:ascii="Calibri" w:hAnsi="Calibri" w:cs="Calibri"/>
        </w:rPr>
        <w:t xml:space="preserve">L. Towards precision quantification of contamination in metagenomic sequencing experiments. </w:t>
      </w:r>
      <w:r w:rsidRPr="008D1CAB">
        <w:rPr>
          <w:rFonts w:ascii="Calibri" w:hAnsi="Calibri" w:cs="Calibri"/>
          <w:i/>
          <w:iCs/>
        </w:rPr>
        <w:t>Microbiome</w:t>
      </w:r>
      <w:r w:rsidRPr="008D1CAB">
        <w:rPr>
          <w:rFonts w:ascii="Calibri" w:hAnsi="Calibri" w:cs="Calibri"/>
        </w:rPr>
        <w:t xml:space="preserve">. </w:t>
      </w:r>
      <w:r w:rsidRPr="008D1CAB">
        <w:rPr>
          <w:rFonts w:ascii="Calibri" w:hAnsi="Calibri" w:cs="Calibri"/>
          <w:b/>
          <w:bCs/>
        </w:rPr>
        <w:t>7</w:t>
      </w:r>
      <w:r w:rsidRPr="008D1CAB">
        <w:rPr>
          <w:rFonts w:ascii="Calibri" w:hAnsi="Calibri" w:cs="Calibri"/>
        </w:rPr>
        <w:t xml:space="preserve"> (1), 62 (2019).</w:t>
      </w:r>
    </w:p>
    <w:p w14:paraId="38594C4C" w14:textId="78D749AF"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lastRenderedPageBreak/>
        <w:t>21.</w:t>
      </w:r>
      <w:r w:rsidRPr="008D1CAB">
        <w:rPr>
          <w:rFonts w:ascii="Calibri" w:hAnsi="Calibri" w:cs="Calibri"/>
        </w:rPr>
        <w:tab/>
        <w:t>Mayday, M.</w:t>
      </w:r>
      <w:r w:rsidR="000A67B6">
        <w:rPr>
          <w:rFonts w:ascii="Calibri" w:hAnsi="Calibri" w:cs="Calibri"/>
        </w:rPr>
        <w:t xml:space="preserve"> </w:t>
      </w:r>
      <w:r w:rsidRPr="008D1CAB">
        <w:rPr>
          <w:rFonts w:ascii="Calibri" w:hAnsi="Calibri" w:cs="Calibri"/>
        </w:rPr>
        <w:t>Y., Khan, L.</w:t>
      </w:r>
      <w:r w:rsidR="000A67B6">
        <w:rPr>
          <w:rFonts w:ascii="Calibri" w:hAnsi="Calibri" w:cs="Calibri"/>
        </w:rPr>
        <w:t xml:space="preserve"> </w:t>
      </w:r>
      <w:r w:rsidRPr="008D1CAB">
        <w:rPr>
          <w:rFonts w:ascii="Calibri" w:hAnsi="Calibri" w:cs="Calibri"/>
        </w:rPr>
        <w:t>M., Chow, E.</w:t>
      </w:r>
      <w:r w:rsidR="000A67B6">
        <w:rPr>
          <w:rFonts w:ascii="Calibri" w:hAnsi="Calibri" w:cs="Calibri"/>
        </w:rPr>
        <w:t xml:space="preserve"> </w:t>
      </w:r>
      <w:r w:rsidRPr="008D1CAB">
        <w:rPr>
          <w:rFonts w:ascii="Calibri" w:hAnsi="Calibri" w:cs="Calibri"/>
        </w:rPr>
        <w:t>D., Zinter, M.</w:t>
      </w:r>
      <w:r w:rsidR="000A67B6">
        <w:rPr>
          <w:rFonts w:ascii="Calibri" w:hAnsi="Calibri" w:cs="Calibri"/>
        </w:rPr>
        <w:t xml:space="preserve"> </w:t>
      </w:r>
      <w:r w:rsidRPr="008D1CAB">
        <w:rPr>
          <w:rFonts w:ascii="Calibri" w:hAnsi="Calibri" w:cs="Calibri"/>
        </w:rPr>
        <w:t>S., DeRisi, J.</w:t>
      </w:r>
      <w:r w:rsidR="000A67B6">
        <w:rPr>
          <w:rFonts w:ascii="Calibri" w:hAnsi="Calibri" w:cs="Calibri"/>
        </w:rPr>
        <w:t xml:space="preserve"> </w:t>
      </w:r>
      <w:r w:rsidRPr="008D1CAB">
        <w:rPr>
          <w:rFonts w:ascii="Calibri" w:hAnsi="Calibri" w:cs="Calibri"/>
        </w:rPr>
        <w:t xml:space="preserve">L. Miniaturization and optimization of 384-well compatible RNA sequencing library preparation. </w:t>
      </w:r>
      <w:r w:rsidRPr="008D1CAB">
        <w:rPr>
          <w:rFonts w:ascii="Calibri" w:hAnsi="Calibri" w:cs="Calibri"/>
          <w:i/>
          <w:iCs/>
        </w:rPr>
        <w:t>PLoS One</w:t>
      </w:r>
      <w:r w:rsidRPr="008D1CAB">
        <w:rPr>
          <w:rFonts w:ascii="Calibri" w:hAnsi="Calibri" w:cs="Calibri"/>
        </w:rPr>
        <w:t xml:space="preserve">. </w:t>
      </w:r>
      <w:r w:rsidRPr="008D1CAB">
        <w:rPr>
          <w:rFonts w:ascii="Calibri" w:hAnsi="Calibri" w:cs="Calibri"/>
          <w:b/>
          <w:bCs/>
        </w:rPr>
        <w:t>14</w:t>
      </w:r>
      <w:r w:rsidRPr="008D1CAB">
        <w:rPr>
          <w:rFonts w:ascii="Calibri" w:hAnsi="Calibri" w:cs="Calibri"/>
        </w:rPr>
        <w:t xml:space="preserve"> (1), e0206194 (2019).</w:t>
      </w:r>
    </w:p>
    <w:p w14:paraId="54D0C19F" w14:textId="63DBD5B1"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22.</w:t>
      </w:r>
      <w:r w:rsidRPr="008D1CAB">
        <w:rPr>
          <w:rFonts w:ascii="Calibri" w:hAnsi="Calibri" w:cs="Calibri"/>
        </w:rPr>
        <w:tab/>
        <w:t xml:space="preserve">Sakiyama, Y. et al. Brain biopsy and metagenomic sequencing enhance aetiological diagnosis of encephalitis. </w:t>
      </w:r>
      <w:r w:rsidRPr="008D1CAB">
        <w:rPr>
          <w:rFonts w:ascii="Calibri" w:hAnsi="Calibri" w:cs="Calibri"/>
          <w:i/>
          <w:iCs/>
        </w:rPr>
        <w:t>Brain Commun</w:t>
      </w:r>
      <w:r w:rsidRPr="008D1CAB">
        <w:rPr>
          <w:rFonts w:ascii="Calibri" w:hAnsi="Calibri" w:cs="Calibri"/>
        </w:rPr>
        <w:t xml:space="preserve">. </w:t>
      </w:r>
      <w:r w:rsidRPr="008D1CAB">
        <w:rPr>
          <w:rFonts w:ascii="Calibri" w:hAnsi="Calibri" w:cs="Calibri"/>
          <w:b/>
          <w:bCs/>
        </w:rPr>
        <w:t>7</w:t>
      </w:r>
      <w:r w:rsidRPr="008D1CAB">
        <w:rPr>
          <w:rFonts w:ascii="Calibri" w:hAnsi="Calibri" w:cs="Calibri"/>
        </w:rPr>
        <w:t xml:space="preserve"> (3), fcaf165</w:t>
      </w:r>
      <w:r w:rsidR="003A682F">
        <w:rPr>
          <w:rFonts w:ascii="Calibri" w:hAnsi="Calibri" w:cs="Calibri"/>
        </w:rPr>
        <w:t>0</w:t>
      </w:r>
      <w:r w:rsidRPr="008D1CAB">
        <w:rPr>
          <w:rFonts w:ascii="Calibri" w:hAnsi="Calibri" w:cs="Calibri"/>
        </w:rPr>
        <w:t xml:space="preserve"> (2025).</w:t>
      </w:r>
    </w:p>
    <w:p w14:paraId="67A0CB93" w14:textId="3D7302CF"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23.</w:t>
      </w:r>
      <w:r w:rsidRPr="008D1CAB">
        <w:rPr>
          <w:rFonts w:ascii="Calibri" w:hAnsi="Calibri" w:cs="Calibri"/>
        </w:rPr>
        <w:tab/>
        <w:t>Sakiyama, Y., Yuan, J., Yoshimura, A., Takei, J., Ando, M., Takashima, H. Etiological</w:t>
      </w:r>
      <w:r w:rsidR="005B6B6B" w:rsidRPr="008D1CAB">
        <w:rPr>
          <w:rFonts w:ascii="Calibri" w:hAnsi="Calibri" w:cs="Calibri"/>
        </w:rPr>
        <w:t xml:space="preserve"> insights of encephalitis and encephalitis-like central nervous system diseases: brain tissue metagenomic next-generation sequencing</w:t>
      </w:r>
      <w:r w:rsidRPr="008D1CAB">
        <w:rPr>
          <w:rFonts w:ascii="Calibri" w:hAnsi="Calibri" w:cs="Calibri"/>
        </w:rPr>
        <w:t xml:space="preserve">. </w:t>
      </w:r>
      <w:r w:rsidRPr="008D1CAB">
        <w:rPr>
          <w:rFonts w:ascii="Calibri" w:hAnsi="Calibri" w:cs="Calibri"/>
          <w:i/>
          <w:iCs/>
        </w:rPr>
        <w:t>Neurology</w:t>
      </w:r>
      <w:r w:rsidRPr="008D1CAB">
        <w:rPr>
          <w:rFonts w:ascii="Calibri" w:hAnsi="Calibri" w:cs="Calibri"/>
        </w:rPr>
        <w:t xml:space="preserve">. </w:t>
      </w:r>
      <w:r w:rsidRPr="008D1CAB">
        <w:rPr>
          <w:rFonts w:ascii="Calibri" w:hAnsi="Calibri" w:cs="Calibri"/>
          <w:b/>
          <w:bCs/>
        </w:rPr>
        <w:t>102</w:t>
      </w:r>
      <w:r w:rsidRPr="008D1CAB">
        <w:rPr>
          <w:rFonts w:ascii="Calibri" w:hAnsi="Calibri" w:cs="Calibri"/>
        </w:rPr>
        <w:t xml:space="preserve"> (7</w:t>
      </w:r>
      <w:r w:rsidR="00DE45C8">
        <w:rPr>
          <w:rFonts w:ascii="Calibri" w:hAnsi="Calibri" w:cs="Calibri"/>
        </w:rPr>
        <w:t>–</w:t>
      </w:r>
      <w:r w:rsidRPr="008D1CAB">
        <w:rPr>
          <w:rFonts w:ascii="Calibri" w:hAnsi="Calibri" w:cs="Calibri"/>
        </w:rPr>
        <w:t>1), 3782 (2024).</w:t>
      </w:r>
    </w:p>
    <w:p w14:paraId="1EAEA5F0" w14:textId="4000AC11"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24.</w:t>
      </w:r>
      <w:r w:rsidRPr="008D1CAB">
        <w:rPr>
          <w:rFonts w:ascii="Calibri" w:hAnsi="Calibri" w:cs="Calibri"/>
        </w:rPr>
        <w:tab/>
        <w:t xml:space="preserve">Sun, J. et al. Correcting PCR amplification errors in unique molecular identifiers to generate accurate numbers of sequencing molecules. </w:t>
      </w:r>
      <w:r w:rsidRPr="008D1CAB">
        <w:rPr>
          <w:rFonts w:ascii="Calibri" w:hAnsi="Calibri" w:cs="Calibri"/>
          <w:i/>
          <w:iCs/>
        </w:rPr>
        <w:t>Nat Methods</w:t>
      </w:r>
      <w:r w:rsidRPr="008D1CAB">
        <w:rPr>
          <w:rFonts w:ascii="Calibri" w:hAnsi="Calibri" w:cs="Calibri"/>
        </w:rPr>
        <w:t xml:space="preserve">. </w:t>
      </w:r>
      <w:r w:rsidRPr="008D1CAB">
        <w:rPr>
          <w:rFonts w:ascii="Calibri" w:hAnsi="Calibri" w:cs="Calibri"/>
          <w:b/>
          <w:bCs/>
        </w:rPr>
        <w:t>21</w:t>
      </w:r>
      <w:r w:rsidRPr="008D1CAB">
        <w:rPr>
          <w:rFonts w:ascii="Calibri" w:hAnsi="Calibri" w:cs="Calibri"/>
        </w:rPr>
        <w:t xml:space="preserve"> (3), 401–405 (2024).</w:t>
      </w:r>
    </w:p>
    <w:p w14:paraId="2D20B25E" w14:textId="7A33C495"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25.</w:t>
      </w:r>
      <w:r w:rsidRPr="008D1CAB">
        <w:rPr>
          <w:rFonts w:ascii="Calibri" w:hAnsi="Calibri" w:cs="Calibri"/>
        </w:rPr>
        <w:tab/>
        <w:t>Tan, J.</w:t>
      </w:r>
      <w:r w:rsidR="000A67B6">
        <w:rPr>
          <w:rFonts w:ascii="Calibri" w:hAnsi="Calibri" w:cs="Calibri"/>
        </w:rPr>
        <w:t xml:space="preserve"> </w:t>
      </w:r>
      <w:r w:rsidRPr="008D1CAB">
        <w:rPr>
          <w:rFonts w:ascii="Calibri" w:hAnsi="Calibri" w:cs="Calibri"/>
        </w:rPr>
        <w:t xml:space="preserve">K. et al. Laboratory validation of a clinical metagenomic next-generation sequencing assay for respiratory virus detection and discovery. </w:t>
      </w:r>
      <w:r w:rsidRPr="008D1CAB">
        <w:rPr>
          <w:rFonts w:ascii="Calibri" w:hAnsi="Calibri" w:cs="Calibri"/>
          <w:i/>
          <w:iCs/>
        </w:rPr>
        <w:t>Nat Commun</w:t>
      </w:r>
      <w:r w:rsidRPr="008D1CAB">
        <w:rPr>
          <w:rFonts w:ascii="Calibri" w:hAnsi="Calibri" w:cs="Calibri"/>
        </w:rPr>
        <w:t xml:space="preserve">. </w:t>
      </w:r>
      <w:r w:rsidRPr="008D1CAB">
        <w:rPr>
          <w:rFonts w:ascii="Calibri" w:hAnsi="Calibri" w:cs="Calibri"/>
          <w:b/>
          <w:bCs/>
        </w:rPr>
        <w:t>15</w:t>
      </w:r>
      <w:r w:rsidR="003A682F">
        <w:rPr>
          <w:rFonts w:ascii="Calibri" w:hAnsi="Calibri" w:cs="Calibri"/>
        </w:rPr>
        <w:t>(1), 9016</w:t>
      </w:r>
      <w:r w:rsidRPr="008D1CAB">
        <w:rPr>
          <w:rFonts w:ascii="Calibri" w:hAnsi="Calibri" w:cs="Calibri"/>
        </w:rPr>
        <w:t xml:space="preserve"> (2024).</w:t>
      </w:r>
    </w:p>
    <w:p w14:paraId="5A67933E" w14:textId="16AD6D1B"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26.</w:t>
      </w:r>
      <w:r w:rsidRPr="008D1CAB">
        <w:rPr>
          <w:rFonts w:ascii="Calibri" w:hAnsi="Calibri" w:cs="Calibri"/>
        </w:rPr>
        <w:tab/>
        <w:t>Akshatha, Prasanna</w:t>
      </w:r>
      <w:r w:rsidR="003A682F">
        <w:rPr>
          <w:rFonts w:ascii="Calibri" w:hAnsi="Calibri" w:cs="Calibri"/>
        </w:rPr>
        <w:t>.</w:t>
      </w:r>
      <w:r w:rsidRPr="008D1CAB">
        <w:rPr>
          <w:rFonts w:ascii="Calibri" w:hAnsi="Calibri" w:cs="Calibri"/>
        </w:rPr>
        <w:t xml:space="preserve"> Clin-mNGS: Automated pipeline for pathogen detection from clinical metagenomic data. at &lt;https://github.com/AkshathaPrasanna/Clin-mNGS&gt; (2025).</w:t>
      </w:r>
    </w:p>
    <w:p w14:paraId="52889C38" w14:textId="3D269897"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2D7985">
        <w:rPr>
          <w:rFonts w:ascii="Calibri" w:hAnsi="Calibri" w:cs="Calibri"/>
          <w:lang w:val="pt-BR"/>
        </w:rPr>
        <w:t>27.</w:t>
      </w:r>
      <w:r w:rsidRPr="002D7985">
        <w:rPr>
          <w:rFonts w:ascii="Calibri" w:hAnsi="Calibri" w:cs="Calibri"/>
          <w:lang w:val="pt-BR"/>
        </w:rPr>
        <w:tab/>
        <w:t>Marra, P.</w:t>
      </w:r>
      <w:r w:rsidR="000A67B6">
        <w:rPr>
          <w:rFonts w:ascii="Calibri" w:hAnsi="Calibri" w:cs="Calibri"/>
          <w:lang w:val="pt-BR"/>
        </w:rPr>
        <w:t xml:space="preserve"> </w:t>
      </w:r>
      <w:r w:rsidRPr="002D7985">
        <w:rPr>
          <w:rFonts w:ascii="Calibri" w:hAnsi="Calibri" w:cs="Calibri"/>
          <w:lang w:val="pt-BR"/>
        </w:rPr>
        <w:t xml:space="preserve">S. et al. </w:t>
      </w:r>
      <w:r w:rsidRPr="008D1CAB">
        <w:rPr>
          <w:rFonts w:ascii="Calibri" w:hAnsi="Calibri" w:cs="Calibri"/>
        </w:rPr>
        <w:t xml:space="preserve">Metagenomic </w:t>
      </w:r>
      <w:r w:rsidR="00292B2B" w:rsidRPr="008D1CAB">
        <w:rPr>
          <w:rFonts w:ascii="Calibri" w:hAnsi="Calibri" w:cs="Calibri"/>
        </w:rPr>
        <w:t>next-generation sequencing in patients with infectious meningoencephalitis: a comprehensive systematic literature review and meta-analysis</w:t>
      </w:r>
      <w:r w:rsidRPr="008D1CAB">
        <w:rPr>
          <w:rFonts w:ascii="Calibri" w:hAnsi="Calibri" w:cs="Calibri"/>
        </w:rPr>
        <w:t xml:space="preserve">. </w:t>
      </w:r>
      <w:r w:rsidRPr="008D1CAB">
        <w:rPr>
          <w:rFonts w:ascii="Calibri" w:hAnsi="Calibri" w:cs="Calibri"/>
          <w:i/>
          <w:iCs/>
        </w:rPr>
        <w:t>Open Forum Infect Dis</w:t>
      </w:r>
      <w:r w:rsidRPr="008D1CAB">
        <w:rPr>
          <w:rFonts w:ascii="Calibri" w:hAnsi="Calibri" w:cs="Calibri"/>
        </w:rPr>
        <w:t xml:space="preserve">. </w:t>
      </w:r>
      <w:r w:rsidRPr="008D1CAB">
        <w:rPr>
          <w:rFonts w:ascii="Calibri" w:hAnsi="Calibri" w:cs="Calibri"/>
          <w:b/>
          <w:bCs/>
        </w:rPr>
        <w:t>12</w:t>
      </w:r>
      <w:r w:rsidRPr="008D1CAB">
        <w:rPr>
          <w:rFonts w:ascii="Calibri" w:hAnsi="Calibri" w:cs="Calibri"/>
        </w:rPr>
        <w:t xml:space="preserve"> (5), ofaf274 (2025).</w:t>
      </w:r>
    </w:p>
    <w:p w14:paraId="5DDE035B" w14:textId="45EE698E"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28.</w:t>
      </w:r>
      <w:r w:rsidRPr="008D1CAB">
        <w:rPr>
          <w:rFonts w:ascii="Calibri" w:hAnsi="Calibri" w:cs="Calibri"/>
        </w:rPr>
        <w:tab/>
        <w:t>Ramachandran, P.</w:t>
      </w:r>
      <w:r w:rsidR="000A67B6">
        <w:rPr>
          <w:rFonts w:ascii="Calibri" w:hAnsi="Calibri" w:cs="Calibri"/>
        </w:rPr>
        <w:t xml:space="preserve"> </w:t>
      </w:r>
      <w:r w:rsidRPr="008D1CAB">
        <w:rPr>
          <w:rFonts w:ascii="Calibri" w:hAnsi="Calibri" w:cs="Calibri"/>
        </w:rPr>
        <w:t>S., Wilson, M.</w:t>
      </w:r>
      <w:r w:rsidR="000A67B6">
        <w:rPr>
          <w:rFonts w:ascii="Calibri" w:hAnsi="Calibri" w:cs="Calibri"/>
        </w:rPr>
        <w:t xml:space="preserve"> </w:t>
      </w:r>
      <w:r w:rsidRPr="008D1CAB">
        <w:rPr>
          <w:rFonts w:ascii="Calibri" w:hAnsi="Calibri" w:cs="Calibri"/>
        </w:rPr>
        <w:t xml:space="preserve">R. Metagenomics for neurological infections - expanding our imagination. </w:t>
      </w:r>
      <w:r w:rsidRPr="008D1CAB">
        <w:rPr>
          <w:rFonts w:ascii="Calibri" w:hAnsi="Calibri" w:cs="Calibri"/>
          <w:i/>
          <w:iCs/>
        </w:rPr>
        <w:t>Nat Rev Neurol</w:t>
      </w:r>
      <w:r w:rsidRPr="008D1CAB">
        <w:rPr>
          <w:rFonts w:ascii="Calibri" w:hAnsi="Calibri" w:cs="Calibri"/>
        </w:rPr>
        <w:t xml:space="preserve">. </w:t>
      </w:r>
      <w:r w:rsidRPr="008D1CAB">
        <w:rPr>
          <w:rFonts w:ascii="Calibri" w:hAnsi="Calibri" w:cs="Calibri"/>
          <w:b/>
          <w:bCs/>
        </w:rPr>
        <w:t>16</w:t>
      </w:r>
      <w:r w:rsidRPr="008D1CAB">
        <w:rPr>
          <w:rFonts w:ascii="Calibri" w:hAnsi="Calibri" w:cs="Calibri"/>
        </w:rPr>
        <w:t xml:space="preserve"> (10), 547–556 (2020).</w:t>
      </w:r>
    </w:p>
    <w:p w14:paraId="2933B34B" w14:textId="6A5FEC1C"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29.</w:t>
      </w:r>
      <w:r w:rsidRPr="008D1CAB">
        <w:rPr>
          <w:rFonts w:ascii="Calibri" w:hAnsi="Calibri" w:cs="Calibri"/>
        </w:rPr>
        <w:tab/>
        <w:t>Salter, S.</w:t>
      </w:r>
      <w:r w:rsidR="000A67B6">
        <w:rPr>
          <w:rFonts w:ascii="Calibri" w:hAnsi="Calibri" w:cs="Calibri"/>
        </w:rPr>
        <w:t xml:space="preserve"> </w:t>
      </w:r>
      <w:r w:rsidRPr="008D1CAB">
        <w:rPr>
          <w:rFonts w:ascii="Calibri" w:hAnsi="Calibri" w:cs="Calibri"/>
        </w:rPr>
        <w:t xml:space="preserve">J. et al. Reagent and laboratory contamination can critically impact sequence-based microbiome analyses. </w:t>
      </w:r>
      <w:r w:rsidRPr="008D1CAB">
        <w:rPr>
          <w:rFonts w:ascii="Calibri" w:hAnsi="Calibri" w:cs="Calibri"/>
          <w:i/>
          <w:iCs/>
        </w:rPr>
        <w:t>BMC Biol</w:t>
      </w:r>
      <w:r w:rsidRPr="008D1CAB">
        <w:rPr>
          <w:rFonts w:ascii="Calibri" w:hAnsi="Calibri" w:cs="Calibri"/>
        </w:rPr>
        <w:t xml:space="preserve">. </w:t>
      </w:r>
      <w:r w:rsidRPr="008D1CAB">
        <w:rPr>
          <w:rFonts w:ascii="Calibri" w:hAnsi="Calibri" w:cs="Calibri"/>
          <w:b/>
          <w:bCs/>
        </w:rPr>
        <w:t>12</w:t>
      </w:r>
      <w:r w:rsidRPr="008D1CAB">
        <w:rPr>
          <w:rFonts w:ascii="Calibri" w:hAnsi="Calibri" w:cs="Calibri"/>
        </w:rPr>
        <w:t>, 87 (2014).</w:t>
      </w:r>
    </w:p>
    <w:p w14:paraId="3F721A0A" w14:textId="4AB41D27" w:rsidR="008D1CAB" w:rsidRPr="008D1CAB" w:rsidRDefault="008D1CAB" w:rsidP="00602F80">
      <w:pPr>
        <w:pStyle w:val="Bibliography"/>
        <w:tabs>
          <w:tab w:val="clear" w:pos="380"/>
          <w:tab w:val="clear" w:pos="500"/>
          <w:tab w:val="left" w:pos="0"/>
        </w:tabs>
        <w:ind w:left="0" w:firstLine="0"/>
        <w:jc w:val="both"/>
        <w:rPr>
          <w:rFonts w:ascii="Calibri" w:hAnsi="Calibri" w:cs="Calibri"/>
        </w:rPr>
      </w:pPr>
      <w:r w:rsidRPr="008D1CAB">
        <w:rPr>
          <w:rFonts w:ascii="Calibri" w:hAnsi="Calibri" w:cs="Calibri"/>
        </w:rPr>
        <w:t>30.</w:t>
      </w:r>
      <w:r w:rsidRPr="008D1CAB">
        <w:rPr>
          <w:rFonts w:ascii="Calibri" w:hAnsi="Calibri" w:cs="Calibri"/>
        </w:rPr>
        <w:tab/>
        <w:t>Simner, P.</w:t>
      </w:r>
      <w:r w:rsidR="000A67B6">
        <w:rPr>
          <w:rFonts w:ascii="Calibri" w:hAnsi="Calibri" w:cs="Calibri"/>
        </w:rPr>
        <w:t xml:space="preserve"> </w:t>
      </w:r>
      <w:r w:rsidRPr="008D1CAB">
        <w:rPr>
          <w:rFonts w:ascii="Calibri" w:hAnsi="Calibri" w:cs="Calibri"/>
        </w:rPr>
        <w:t>J., Miller, S., Carroll, K.</w:t>
      </w:r>
      <w:r w:rsidR="000A67B6">
        <w:rPr>
          <w:rFonts w:ascii="Calibri" w:hAnsi="Calibri" w:cs="Calibri"/>
        </w:rPr>
        <w:t xml:space="preserve"> </w:t>
      </w:r>
      <w:r w:rsidRPr="008D1CAB">
        <w:rPr>
          <w:rFonts w:ascii="Calibri" w:hAnsi="Calibri" w:cs="Calibri"/>
        </w:rPr>
        <w:t xml:space="preserve">C. Understanding the </w:t>
      </w:r>
      <w:r w:rsidR="0019716B" w:rsidRPr="008D1CAB">
        <w:rPr>
          <w:rFonts w:ascii="Calibri" w:hAnsi="Calibri" w:cs="Calibri"/>
        </w:rPr>
        <w:t>promises and hurdles of metagenomic next-generation sequencing as a diagnostic tool for infectious diseases.</w:t>
      </w:r>
      <w:r w:rsidRPr="008D1CAB">
        <w:rPr>
          <w:rFonts w:ascii="Calibri" w:hAnsi="Calibri" w:cs="Calibri"/>
        </w:rPr>
        <w:t xml:space="preserve"> </w:t>
      </w:r>
      <w:r w:rsidRPr="008D1CAB">
        <w:rPr>
          <w:rFonts w:ascii="Calibri" w:hAnsi="Calibri" w:cs="Calibri"/>
          <w:i/>
          <w:iCs/>
        </w:rPr>
        <w:t>Clin Infect Dis</w:t>
      </w:r>
      <w:r w:rsidRPr="008D1CAB">
        <w:rPr>
          <w:rFonts w:ascii="Calibri" w:hAnsi="Calibri" w:cs="Calibri"/>
        </w:rPr>
        <w:t xml:space="preserve">. </w:t>
      </w:r>
      <w:r w:rsidRPr="008D1CAB">
        <w:rPr>
          <w:rFonts w:ascii="Calibri" w:hAnsi="Calibri" w:cs="Calibri"/>
          <w:b/>
          <w:bCs/>
        </w:rPr>
        <w:t>66</w:t>
      </w:r>
      <w:r w:rsidRPr="008D1CAB">
        <w:rPr>
          <w:rFonts w:ascii="Calibri" w:hAnsi="Calibri" w:cs="Calibri"/>
        </w:rPr>
        <w:t xml:space="preserve"> (5), 778–788 (2018).</w:t>
      </w:r>
    </w:p>
    <w:p w14:paraId="1730A046" w14:textId="175DCAA7" w:rsidR="00643E5F" w:rsidRPr="00800BBC" w:rsidRDefault="000F0FFF" w:rsidP="00602F80">
      <w:pPr>
        <w:pStyle w:val="Bibliography"/>
        <w:tabs>
          <w:tab w:val="clear" w:pos="380"/>
          <w:tab w:val="clear" w:pos="500"/>
          <w:tab w:val="left" w:pos="0"/>
        </w:tabs>
        <w:ind w:left="0" w:firstLine="0"/>
        <w:jc w:val="both"/>
        <w:rPr>
          <w:rFonts w:ascii="Calibri" w:hAnsi="Calibri" w:cs="Calibri"/>
        </w:rPr>
      </w:pPr>
      <w:r w:rsidRPr="00800BBC">
        <w:rPr>
          <w:rFonts w:ascii="Calibri" w:hAnsi="Calibri" w:cs="Calibri"/>
        </w:rPr>
        <w:fldChar w:fldCharType="end"/>
      </w:r>
    </w:p>
    <w:sectPr w:rsidR="00643E5F" w:rsidRPr="00800BBC" w:rsidSect="004032A1">
      <w:type w:val="continuous"/>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AB91" w14:textId="77777777" w:rsidR="00F132A4" w:rsidRDefault="00F132A4" w:rsidP="00384537">
      <w:r>
        <w:separator/>
      </w:r>
    </w:p>
  </w:endnote>
  <w:endnote w:type="continuationSeparator" w:id="0">
    <w:p w14:paraId="6567CF4B" w14:textId="77777777" w:rsidR="00F132A4" w:rsidRDefault="00F132A4" w:rsidP="00384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081D" w14:textId="77777777" w:rsidR="00F132A4" w:rsidRDefault="00F132A4" w:rsidP="00384537">
      <w:r>
        <w:separator/>
      </w:r>
    </w:p>
  </w:footnote>
  <w:footnote w:type="continuationSeparator" w:id="0">
    <w:p w14:paraId="3FAB6023" w14:textId="77777777" w:rsidR="00F132A4" w:rsidRDefault="00F132A4" w:rsidP="00384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4323"/>
    <w:multiLevelType w:val="multilevel"/>
    <w:tmpl w:val="AEB84B9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AA765F"/>
    <w:multiLevelType w:val="hybridMultilevel"/>
    <w:tmpl w:val="FFE8FF2C"/>
    <w:lvl w:ilvl="0" w:tplc="6792B986">
      <w:start w:val="7"/>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B23733"/>
    <w:multiLevelType w:val="multilevel"/>
    <w:tmpl w:val="AD12384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943BB5"/>
    <w:multiLevelType w:val="multilevel"/>
    <w:tmpl w:val="99A61026"/>
    <w:lvl w:ilvl="0">
      <w:start w:val="1"/>
      <w:numFmt w:val="decimal"/>
      <w:lvlText w:val="%1."/>
      <w:lvlJc w:val="left"/>
      <w:pPr>
        <w:tabs>
          <w:tab w:val="num" w:pos="720"/>
        </w:tabs>
        <w:ind w:left="720" w:hanging="360"/>
      </w:pPr>
      <w:rPr>
        <w:rFonts w:hint="default"/>
        <w:b/>
        <w:bCs/>
      </w:rPr>
    </w:lvl>
    <w:lvl w:ilvl="1">
      <w:start w:val="1"/>
      <w:numFmt w:val="none"/>
      <w:lvlText w:val="2.1"/>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788619633">
    <w:abstractNumId w:val="4"/>
  </w:num>
  <w:num w:numId="2" w16cid:durableId="891966280">
    <w:abstractNumId w:val="3"/>
    <w:lvlOverride w:ilvl="0">
      <w:lvl w:ilvl="0">
        <w:numFmt w:val="decimal"/>
        <w:lvlText w:val="%1."/>
        <w:lvlJc w:val="left"/>
      </w:lvl>
    </w:lvlOverride>
  </w:num>
  <w:num w:numId="3" w16cid:durableId="328023682">
    <w:abstractNumId w:val="3"/>
    <w:lvlOverride w:ilvl="1">
      <w:lvl w:ilvl="1">
        <w:numFmt w:val="lowerLetter"/>
        <w:lvlText w:val="%2."/>
        <w:lvlJc w:val="left"/>
      </w:lvl>
    </w:lvlOverride>
  </w:num>
  <w:num w:numId="4" w16cid:durableId="250969881">
    <w:abstractNumId w:val="3"/>
    <w:lvlOverride w:ilvl="1">
      <w:lvl w:ilvl="1">
        <w:numFmt w:val="lowerLetter"/>
        <w:lvlText w:val="%2."/>
        <w:lvlJc w:val="left"/>
      </w:lvl>
    </w:lvlOverride>
  </w:num>
  <w:num w:numId="5" w16cid:durableId="274530740">
    <w:abstractNumId w:val="3"/>
    <w:lvlOverride w:ilvl="1">
      <w:lvl w:ilvl="1">
        <w:numFmt w:val="lowerLetter"/>
        <w:lvlText w:val="%2."/>
        <w:lvlJc w:val="left"/>
      </w:lvl>
    </w:lvlOverride>
  </w:num>
  <w:num w:numId="6" w16cid:durableId="504634139">
    <w:abstractNumId w:val="3"/>
    <w:lvlOverride w:ilvl="1">
      <w:lvl w:ilvl="1">
        <w:numFmt w:val="lowerLetter"/>
        <w:lvlText w:val="%2."/>
        <w:lvlJc w:val="left"/>
      </w:lvl>
    </w:lvlOverride>
  </w:num>
  <w:num w:numId="7" w16cid:durableId="1330599123">
    <w:abstractNumId w:val="3"/>
    <w:lvlOverride w:ilvl="2">
      <w:lvl w:ilvl="2">
        <w:numFmt w:val="lowerRoman"/>
        <w:lvlText w:val="%3."/>
        <w:lvlJc w:val="right"/>
      </w:lvl>
    </w:lvlOverride>
  </w:num>
  <w:num w:numId="8" w16cid:durableId="954678701">
    <w:abstractNumId w:val="3"/>
    <w:lvlOverride w:ilvl="2">
      <w:lvl w:ilvl="2">
        <w:numFmt w:val="lowerRoman"/>
        <w:lvlText w:val="%3."/>
        <w:lvlJc w:val="right"/>
      </w:lvl>
    </w:lvlOverride>
  </w:num>
  <w:num w:numId="9" w16cid:durableId="296037007">
    <w:abstractNumId w:val="3"/>
    <w:lvlOverride w:ilvl="0">
      <w:lvl w:ilvl="0">
        <w:numFmt w:val="decimal"/>
        <w:lvlText w:val="%1."/>
        <w:lvlJc w:val="left"/>
      </w:lvl>
    </w:lvlOverride>
  </w:num>
  <w:num w:numId="10" w16cid:durableId="1166551361">
    <w:abstractNumId w:val="3"/>
    <w:lvlOverride w:ilvl="1">
      <w:lvl w:ilvl="1">
        <w:numFmt w:val="lowerLetter"/>
        <w:lvlText w:val="%2."/>
        <w:lvlJc w:val="left"/>
      </w:lvl>
    </w:lvlOverride>
  </w:num>
  <w:num w:numId="11" w16cid:durableId="699937770">
    <w:abstractNumId w:val="3"/>
    <w:lvlOverride w:ilvl="1">
      <w:lvl w:ilvl="1">
        <w:numFmt w:val="lowerLetter"/>
        <w:lvlText w:val="%2."/>
        <w:lvlJc w:val="left"/>
      </w:lvl>
    </w:lvlOverride>
  </w:num>
  <w:num w:numId="12" w16cid:durableId="561411548">
    <w:abstractNumId w:val="3"/>
    <w:lvlOverride w:ilvl="1">
      <w:lvl w:ilvl="1">
        <w:numFmt w:val="lowerLetter"/>
        <w:lvlText w:val="%2."/>
        <w:lvlJc w:val="left"/>
      </w:lvl>
    </w:lvlOverride>
  </w:num>
  <w:num w:numId="13" w16cid:durableId="747072955">
    <w:abstractNumId w:val="3"/>
    <w:lvlOverride w:ilvl="1">
      <w:lvl w:ilvl="1">
        <w:numFmt w:val="lowerLetter"/>
        <w:lvlText w:val="%2."/>
        <w:lvlJc w:val="left"/>
      </w:lvl>
    </w:lvlOverride>
  </w:num>
  <w:num w:numId="14" w16cid:durableId="1853110657">
    <w:abstractNumId w:val="3"/>
    <w:lvlOverride w:ilvl="1">
      <w:lvl w:ilvl="1">
        <w:numFmt w:val="lowerLetter"/>
        <w:lvlText w:val="%2."/>
        <w:lvlJc w:val="left"/>
      </w:lvl>
    </w:lvlOverride>
  </w:num>
  <w:num w:numId="15" w16cid:durableId="1083336222">
    <w:abstractNumId w:val="3"/>
    <w:lvlOverride w:ilvl="1">
      <w:lvl w:ilvl="1">
        <w:numFmt w:val="lowerLetter"/>
        <w:lvlText w:val="%2."/>
        <w:lvlJc w:val="left"/>
      </w:lvl>
    </w:lvlOverride>
  </w:num>
  <w:num w:numId="16" w16cid:durableId="342244654">
    <w:abstractNumId w:val="3"/>
    <w:lvlOverride w:ilvl="1">
      <w:lvl w:ilvl="1">
        <w:numFmt w:val="lowerLetter"/>
        <w:lvlText w:val="%2."/>
        <w:lvlJc w:val="left"/>
      </w:lvl>
    </w:lvlOverride>
  </w:num>
  <w:num w:numId="17" w16cid:durableId="737556896">
    <w:abstractNumId w:val="3"/>
    <w:lvlOverride w:ilvl="1">
      <w:lvl w:ilvl="1">
        <w:numFmt w:val="lowerLetter"/>
        <w:lvlText w:val="%2."/>
        <w:lvlJc w:val="left"/>
      </w:lvl>
    </w:lvlOverride>
  </w:num>
  <w:num w:numId="18" w16cid:durableId="819422590">
    <w:abstractNumId w:val="3"/>
    <w:lvlOverride w:ilvl="1">
      <w:lvl w:ilvl="1">
        <w:numFmt w:val="lowerLetter"/>
        <w:lvlText w:val="%2."/>
        <w:lvlJc w:val="left"/>
      </w:lvl>
    </w:lvlOverride>
  </w:num>
  <w:num w:numId="19" w16cid:durableId="226189877">
    <w:abstractNumId w:val="3"/>
    <w:lvlOverride w:ilvl="1">
      <w:lvl w:ilvl="1">
        <w:numFmt w:val="lowerLetter"/>
        <w:lvlText w:val="%2."/>
        <w:lvlJc w:val="left"/>
      </w:lvl>
    </w:lvlOverride>
  </w:num>
  <w:num w:numId="20" w16cid:durableId="1570534772">
    <w:abstractNumId w:val="3"/>
    <w:lvlOverride w:ilvl="0">
      <w:lvl w:ilvl="0">
        <w:numFmt w:val="decimal"/>
        <w:lvlText w:val="%1."/>
        <w:lvlJc w:val="left"/>
      </w:lvl>
    </w:lvlOverride>
  </w:num>
  <w:num w:numId="21" w16cid:durableId="356809547">
    <w:abstractNumId w:val="3"/>
    <w:lvlOverride w:ilvl="1">
      <w:lvl w:ilvl="1">
        <w:numFmt w:val="lowerLetter"/>
        <w:lvlText w:val="%2."/>
        <w:lvlJc w:val="left"/>
      </w:lvl>
    </w:lvlOverride>
  </w:num>
  <w:num w:numId="22" w16cid:durableId="1423408038">
    <w:abstractNumId w:val="3"/>
    <w:lvlOverride w:ilvl="1">
      <w:lvl w:ilvl="1">
        <w:numFmt w:val="lowerLetter"/>
        <w:lvlText w:val="%2."/>
        <w:lvlJc w:val="left"/>
      </w:lvl>
    </w:lvlOverride>
  </w:num>
  <w:num w:numId="23" w16cid:durableId="1413430231">
    <w:abstractNumId w:val="3"/>
    <w:lvlOverride w:ilvl="1">
      <w:lvl w:ilvl="1">
        <w:numFmt w:val="lowerLetter"/>
        <w:lvlText w:val="%2."/>
        <w:lvlJc w:val="left"/>
      </w:lvl>
    </w:lvlOverride>
  </w:num>
  <w:num w:numId="24" w16cid:durableId="252932617">
    <w:abstractNumId w:val="3"/>
    <w:lvlOverride w:ilvl="1">
      <w:lvl w:ilvl="1">
        <w:numFmt w:val="lowerLetter"/>
        <w:lvlText w:val="%2."/>
        <w:lvlJc w:val="left"/>
      </w:lvl>
    </w:lvlOverride>
  </w:num>
  <w:num w:numId="25" w16cid:durableId="2086147756">
    <w:abstractNumId w:val="3"/>
    <w:lvlOverride w:ilvl="1">
      <w:lvl w:ilvl="1">
        <w:numFmt w:val="lowerLetter"/>
        <w:lvlText w:val="%2."/>
        <w:lvlJc w:val="left"/>
      </w:lvl>
    </w:lvlOverride>
  </w:num>
  <w:num w:numId="26" w16cid:durableId="631207465">
    <w:abstractNumId w:val="3"/>
    <w:lvlOverride w:ilvl="0">
      <w:lvl w:ilvl="0">
        <w:numFmt w:val="decimal"/>
        <w:lvlText w:val="%1."/>
        <w:lvlJc w:val="left"/>
      </w:lvl>
    </w:lvlOverride>
  </w:num>
  <w:num w:numId="27" w16cid:durableId="14698853">
    <w:abstractNumId w:val="3"/>
    <w:lvlOverride w:ilvl="1">
      <w:lvl w:ilvl="1">
        <w:numFmt w:val="lowerLetter"/>
        <w:lvlText w:val="%2."/>
        <w:lvlJc w:val="left"/>
      </w:lvl>
    </w:lvlOverride>
  </w:num>
  <w:num w:numId="28" w16cid:durableId="598220474">
    <w:abstractNumId w:val="3"/>
    <w:lvlOverride w:ilvl="1">
      <w:lvl w:ilvl="1">
        <w:numFmt w:val="lowerLetter"/>
        <w:lvlText w:val="%2."/>
        <w:lvlJc w:val="left"/>
      </w:lvl>
    </w:lvlOverride>
  </w:num>
  <w:num w:numId="29" w16cid:durableId="2003971983">
    <w:abstractNumId w:val="3"/>
    <w:lvlOverride w:ilvl="1">
      <w:lvl w:ilvl="1">
        <w:numFmt w:val="lowerLetter"/>
        <w:lvlText w:val="%2."/>
        <w:lvlJc w:val="left"/>
      </w:lvl>
    </w:lvlOverride>
  </w:num>
  <w:num w:numId="30" w16cid:durableId="14237576">
    <w:abstractNumId w:val="3"/>
    <w:lvlOverride w:ilvl="0">
      <w:lvl w:ilvl="0">
        <w:numFmt w:val="decimal"/>
        <w:lvlText w:val="%1."/>
        <w:lvlJc w:val="left"/>
      </w:lvl>
    </w:lvlOverride>
  </w:num>
  <w:num w:numId="31" w16cid:durableId="1313020895">
    <w:abstractNumId w:val="3"/>
    <w:lvlOverride w:ilvl="1">
      <w:lvl w:ilvl="1">
        <w:numFmt w:val="lowerLetter"/>
        <w:lvlText w:val="%2."/>
        <w:lvlJc w:val="left"/>
      </w:lvl>
    </w:lvlOverride>
  </w:num>
  <w:num w:numId="32" w16cid:durableId="970785131">
    <w:abstractNumId w:val="3"/>
    <w:lvlOverride w:ilvl="1">
      <w:lvl w:ilvl="1">
        <w:numFmt w:val="lowerLetter"/>
        <w:lvlText w:val="%2."/>
        <w:lvlJc w:val="left"/>
      </w:lvl>
    </w:lvlOverride>
  </w:num>
  <w:num w:numId="33" w16cid:durableId="1465274847">
    <w:abstractNumId w:val="3"/>
    <w:lvlOverride w:ilvl="1">
      <w:lvl w:ilvl="1">
        <w:numFmt w:val="lowerLetter"/>
        <w:lvlText w:val="%2."/>
        <w:lvlJc w:val="left"/>
      </w:lvl>
    </w:lvlOverride>
  </w:num>
  <w:num w:numId="34" w16cid:durableId="465664422">
    <w:abstractNumId w:val="3"/>
    <w:lvlOverride w:ilvl="1">
      <w:lvl w:ilvl="1">
        <w:numFmt w:val="lowerLetter"/>
        <w:lvlText w:val="%2."/>
        <w:lvlJc w:val="left"/>
      </w:lvl>
    </w:lvlOverride>
  </w:num>
  <w:num w:numId="35" w16cid:durableId="556553406">
    <w:abstractNumId w:val="3"/>
    <w:lvlOverride w:ilvl="0">
      <w:lvl w:ilvl="0">
        <w:numFmt w:val="decimal"/>
        <w:lvlText w:val="%1."/>
        <w:lvlJc w:val="left"/>
      </w:lvl>
    </w:lvlOverride>
  </w:num>
  <w:num w:numId="36" w16cid:durableId="526066689">
    <w:abstractNumId w:val="3"/>
    <w:lvlOverride w:ilvl="1">
      <w:lvl w:ilvl="1">
        <w:numFmt w:val="lowerLetter"/>
        <w:lvlText w:val="%2."/>
        <w:lvlJc w:val="left"/>
      </w:lvl>
    </w:lvlOverride>
  </w:num>
  <w:num w:numId="37" w16cid:durableId="838691507">
    <w:abstractNumId w:val="3"/>
    <w:lvlOverride w:ilvl="1">
      <w:lvl w:ilvl="1">
        <w:numFmt w:val="lowerLetter"/>
        <w:lvlText w:val="%2."/>
        <w:lvlJc w:val="left"/>
      </w:lvl>
    </w:lvlOverride>
  </w:num>
  <w:num w:numId="38" w16cid:durableId="1433165408">
    <w:abstractNumId w:val="3"/>
    <w:lvlOverride w:ilvl="1">
      <w:lvl w:ilvl="1">
        <w:numFmt w:val="lowerLetter"/>
        <w:lvlText w:val="%2."/>
        <w:lvlJc w:val="left"/>
      </w:lvl>
    </w:lvlOverride>
  </w:num>
  <w:num w:numId="39" w16cid:durableId="1806267584">
    <w:abstractNumId w:val="3"/>
    <w:lvlOverride w:ilvl="1">
      <w:lvl w:ilvl="1">
        <w:numFmt w:val="lowerLetter"/>
        <w:lvlText w:val="%2."/>
        <w:lvlJc w:val="left"/>
      </w:lvl>
    </w:lvlOverride>
  </w:num>
  <w:num w:numId="40" w16cid:durableId="771782741">
    <w:abstractNumId w:val="2"/>
  </w:num>
  <w:num w:numId="41" w16cid:durableId="1389301934">
    <w:abstractNumId w:val="0"/>
  </w:num>
  <w:num w:numId="42" w16cid:durableId="1163542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AA"/>
    <w:rsid w:val="000036D5"/>
    <w:rsid w:val="00014A87"/>
    <w:rsid w:val="00014C80"/>
    <w:rsid w:val="00040892"/>
    <w:rsid w:val="000535CF"/>
    <w:rsid w:val="00065387"/>
    <w:rsid w:val="000A1FFF"/>
    <w:rsid w:val="000A56D3"/>
    <w:rsid w:val="000A67B6"/>
    <w:rsid w:val="000A7AF9"/>
    <w:rsid w:val="000B1BF9"/>
    <w:rsid w:val="000B52FB"/>
    <w:rsid w:val="000C024C"/>
    <w:rsid w:val="000D514E"/>
    <w:rsid w:val="000E25CF"/>
    <w:rsid w:val="000E7DC9"/>
    <w:rsid w:val="000F0FFF"/>
    <w:rsid w:val="000F2050"/>
    <w:rsid w:val="00115763"/>
    <w:rsid w:val="00150D14"/>
    <w:rsid w:val="001612CF"/>
    <w:rsid w:val="001639F5"/>
    <w:rsid w:val="00191D7C"/>
    <w:rsid w:val="0019716B"/>
    <w:rsid w:val="001B15B4"/>
    <w:rsid w:val="001B6F9F"/>
    <w:rsid w:val="001B7F76"/>
    <w:rsid w:val="001C4694"/>
    <w:rsid w:val="001D3614"/>
    <w:rsid w:val="001E2CAF"/>
    <w:rsid w:val="001E5997"/>
    <w:rsid w:val="001F1783"/>
    <w:rsid w:val="00205484"/>
    <w:rsid w:val="002169BF"/>
    <w:rsid w:val="00221565"/>
    <w:rsid w:val="00223758"/>
    <w:rsid w:val="00224B38"/>
    <w:rsid w:val="00233CFD"/>
    <w:rsid w:val="00245AC8"/>
    <w:rsid w:val="002708C6"/>
    <w:rsid w:val="002715B9"/>
    <w:rsid w:val="002878B0"/>
    <w:rsid w:val="00292B2B"/>
    <w:rsid w:val="002B54D8"/>
    <w:rsid w:val="002D7985"/>
    <w:rsid w:val="002F60D9"/>
    <w:rsid w:val="00301326"/>
    <w:rsid w:val="00305872"/>
    <w:rsid w:val="003065F0"/>
    <w:rsid w:val="00323C1C"/>
    <w:rsid w:val="00336178"/>
    <w:rsid w:val="00354A64"/>
    <w:rsid w:val="00355F31"/>
    <w:rsid w:val="00377EF4"/>
    <w:rsid w:val="00384537"/>
    <w:rsid w:val="00387552"/>
    <w:rsid w:val="003961D4"/>
    <w:rsid w:val="003A682F"/>
    <w:rsid w:val="003C4385"/>
    <w:rsid w:val="003D081D"/>
    <w:rsid w:val="003D2B44"/>
    <w:rsid w:val="003F1FAB"/>
    <w:rsid w:val="003F2A89"/>
    <w:rsid w:val="004032A1"/>
    <w:rsid w:val="00481984"/>
    <w:rsid w:val="00482B88"/>
    <w:rsid w:val="004A378C"/>
    <w:rsid w:val="004A3A9F"/>
    <w:rsid w:val="004A7A23"/>
    <w:rsid w:val="004B161D"/>
    <w:rsid w:val="004D2DA3"/>
    <w:rsid w:val="004D45EE"/>
    <w:rsid w:val="005005B7"/>
    <w:rsid w:val="00520158"/>
    <w:rsid w:val="00524632"/>
    <w:rsid w:val="00525542"/>
    <w:rsid w:val="00544384"/>
    <w:rsid w:val="005478F8"/>
    <w:rsid w:val="005553FA"/>
    <w:rsid w:val="005723A4"/>
    <w:rsid w:val="00577576"/>
    <w:rsid w:val="00585D07"/>
    <w:rsid w:val="00587F6F"/>
    <w:rsid w:val="005A116F"/>
    <w:rsid w:val="005B04E5"/>
    <w:rsid w:val="005B6B6B"/>
    <w:rsid w:val="005F25B6"/>
    <w:rsid w:val="00602071"/>
    <w:rsid w:val="00602F80"/>
    <w:rsid w:val="0063751E"/>
    <w:rsid w:val="00643E5F"/>
    <w:rsid w:val="00646056"/>
    <w:rsid w:val="006604F7"/>
    <w:rsid w:val="00671A12"/>
    <w:rsid w:val="00672299"/>
    <w:rsid w:val="0069265D"/>
    <w:rsid w:val="0069329A"/>
    <w:rsid w:val="006946BB"/>
    <w:rsid w:val="006A6EA5"/>
    <w:rsid w:val="006B2D77"/>
    <w:rsid w:val="006E2748"/>
    <w:rsid w:val="006E6FCD"/>
    <w:rsid w:val="006F30C7"/>
    <w:rsid w:val="006F5D15"/>
    <w:rsid w:val="0070765D"/>
    <w:rsid w:val="00714EE6"/>
    <w:rsid w:val="00716AAD"/>
    <w:rsid w:val="00716BDA"/>
    <w:rsid w:val="007238C6"/>
    <w:rsid w:val="0073047A"/>
    <w:rsid w:val="0075134B"/>
    <w:rsid w:val="007708D1"/>
    <w:rsid w:val="00770F41"/>
    <w:rsid w:val="007861E0"/>
    <w:rsid w:val="007965D2"/>
    <w:rsid w:val="007A37F1"/>
    <w:rsid w:val="007B00A0"/>
    <w:rsid w:val="007C3292"/>
    <w:rsid w:val="007D19BD"/>
    <w:rsid w:val="007E0CDD"/>
    <w:rsid w:val="007E3099"/>
    <w:rsid w:val="007E4F92"/>
    <w:rsid w:val="007F17AF"/>
    <w:rsid w:val="00800BBC"/>
    <w:rsid w:val="00812117"/>
    <w:rsid w:val="00834289"/>
    <w:rsid w:val="00851A50"/>
    <w:rsid w:val="0085609D"/>
    <w:rsid w:val="0089395C"/>
    <w:rsid w:val="008A2AA1"/>
    <w:rsid w:val="008A39C6"/>
    <w:rsid w:val="008A538C"/>
    <w:rsid w:val="008D1CAB"/>
    <w:rsid w:val="008D33F8"/>
    <w:rsid w:val="008E2A86"/>
    <w:rsid w:val="00916684"/>
    <w:rsid w:val="00933459"/>
    <w:rsid w:val="009416D9"/>
    <w:rsid w:val="00971A8B"/>
    <w:rsid w:val="009734E1"/>
    <w:rsid w:val="009758B5"/>
    <w:rsid w:val="00976525"/>
    <w:rsid w:val="00991B05"/>
    <w:rsid w:val="00993C2B"/>
    <w:rsid w:val="009C0C87"/>
    <w:rsid w:val="009C2244"/>
    <w:rsid w:val="009D03DD"/>
    <w:rsid w:val="009F6CC3"/>
    <w:rsid w:val="00A20CF2"/>
    <w:rsid w:val="00A2630A"/>
    <w:rsid w:val="00A5706C"/>
    <w:rsid w:val="00A610C8"/>
    <w:rsid w:val="00A66437"/>
    <w:rsid w:val="00A7044E"/>
    <w:rsid w:val="00A9020F"/>
    <w:rsid w:val="00A925CB"/>
    <w:rsid w:val="00A95B3D"/>
    <w:rsid w:val="00AC0F79"/>
    <w:rsid w:val="00AF1BCF"/>
    <w:rsid w:val="00AF2B76"/>
    <w:rsid w:val="00AF67B8"/>
    <w:rsid w:val="00B00BB7"/>
    <w:rsid w:val="00B02CE7"/>
    <w:rsid w:val="00B16A5F"/>
    <w:rsid w:val="00B4313E"/>
    <w:rsid w:val="00B64A9D"/>
    <w:rsid w:val="00B77EE6"/>
    <w:rsid w:val="00B848CD"/>
    <w:rsid w:val="00B908D2"/>
    <w:rsid w:val="00BB4DF9"/>
    <w:rsid w:val="00BB75C8"/>
    <w:rsid w:val="00BE3CE4"/>
    <w:rsid w:val="00BF36AA"/>
    <w:rsid w:val="00BF44AA"/>
    <w:rsid w:val="00C11BA6"/>
    <w:rsid w:val="00C4085D"/>
    <w:rsid w:val="00C55E62"/>
    <w:rsid w:val="00C70F7D"/>
    <w:rsid w:val="00C72F86"/>
    <w:rsid w:val="00CA3F7E"/>
    <w:rsid w:val="00CC0AB2"/>
    <w:rsid w:val="00CD6EB3"/>
    <w:rsid w:val="00CE49B6"/>
    <w:rsid w:val="00D107F4"/>
    <w:rsid w:val="00D12814"/>
    <w:rsid w:val="00D176A4"/>
    <w:rsid w:val="00D21C98"/>
    <w:rsid w:val="00D330F5"/>
    <w:rsid w:val="00D3381C"/>
    <w:rsid w:val="00D835EC"/>
    <w:rsid w:val="00D948A1"/>
    <w:rsid w:val="00D9516B"/>
    <w:rsid w:val="00DA3F2F"/>
    <w:rsid w:val="00DA7488"/>
    <w:rsid w:val="00DB19D8"/>
    <w:rsid w:val="00DB1AFF"/>
    <w:rsid w:val="00DC4E4E"/>
    <w:rsid w:val="00DE45C8"/>
    <w:rsid w:val="00DF64F6"/>
    <w:rsid w:val="00E032BF"/>
    <w:rsid w:val="00E117A8"/>
    <w:rsid w:val="00E13080"/>
    <w:rsid w:val="00E31253"/>
    <w:rsid w:val="00E57385"/>
    <w:rsid w:val="00E5780B"/>
    <w:rsid w:val="00E66FAA"/>
    <w:rsid w:val="00E8450E"/>
    <w:rsid w:val="00E927C0"/>
    <w:rsid w:val="00EA0D35"/>
    <w:rsid w:val="00EA5D6A"/>
    <w:rsid w:val="00EB7A33"/>
    <w:rsid w:val="00ED5118"/>
    <w:rsid w:val="00EE5A29"/>
    <w:rsid w:val="00EF757E"/>
    <w:rsid w:val="00F05926"/>
    <w:rsid w:val="00F12FD9"/>
    <w:rsid w:val="00F132A4"/>
    <w:rsid w:val="00F311E0"/>
    <w:rsid w:val="00F413A8"/>
    <w:rsid w:val="00FA6A16"/>
    <w:rsid w:val="00FD47D2"/>
    <w:rsid w:val="00FE03BA"/>
    <w:rsid w:val="00FE23E2"/>
    <w:rsid w:val="00FF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2FB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DC9"/>
  </w:style>
  <w:style w:type="paragraph" w:styleId="Heading1">
    <w:name w:val="heading 1"/>
    <w:basedOn w:val="Normal"/>
    <w:next w:val="Normal"/>
    <w:link w:val="Heading1Char"/>
    <w:uiPriority w:val="9"/>
    <w:qFormat/>
    <w:rsid w:val="00BF3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6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6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6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6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6AA"/>
    <w:rPr>
      <w:rFonts w:eastAsiaTheme="majorEastAsia" w:cstheme="majorBidi"/>
      <w:color w:val="272727" w:themeColor="text1" w:themeTint="D8"/>
    </w:rPr>
  </w:style>
  <w:style w:type="paragraph" w:styleId="Title">
    <w:name w:val="Title"/>
    <w:basedOn w:val="Normal"/>
    <w:next w:val="Normal"/>
    <w:link w:val="TitleChar"/>
    <w:uiPriority w:val="10"/>
    <w:qFormat/>
    <w:rsid w:val="00BF36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6A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6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36AA"/>
    <w:rPr>
      <w:i/>
      <w:iCs/>
      <w:color w:val="404040" w:themeColor="text1" w:themeTint="BF"/>
    </w:rPr>
  </w:style>
  <w:style w:type="paragraph" w:styleId="ListParagraph">
    <w:name w:val="List Paragraph"/>
    <w:basedOn w:val="Normal"/>
    <w:uiPriority w:val="34"/>
    <w:qFormat/>
    <w:rsid w:val="00BF36AA"/>
    <w:pPr>
      <w:ind w:left="720"/>
      <w:contextualSpacing/>
    </w:pPr>
  </w:style>
  <w:style w:type="character" w:styleId="IntenseEmphasis">
    <w:name w:val="Intense Emphasis"/>
    <w:basedOn w:val="DefaultParagraphFont"/>
    <w:uiPriority w:val="21"/>
    <w:qFormat/>
    <w:rsid w:val="00BF36AA"/>
    <w:rPr>
      <w:i/>
      <w:iCs/>
      <w:color w:val="0F4761" w:themeColor="accent1" w:themeShade="BF"/>
    </w:rPr>
  </w:style>
  <w:style w:type="paragraph" w:styleId="IntenseQuote">
    <w:name w:val="Intense Quote"/>
    <w:basedOn w:val="Normal"/>
    <w:next w:val="Normal"/>
    <w:link w:val="IntenseQuoteChar"/>
    <w:uiPriority w:val="30"/>
    <w:qFormat/>
    <w:rsid w:val="00BF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6AA"/>
    <w:rPr>
      <w:i/>
      <w:iCs/>
      <w:color w:val="0F4761" w:themeColor="accent1" w:themeShade="BF"/>
    </w:rPr>
  </w:style>
  <w:style w:type="character" w:styleId="IntenseReference">
    <w:name w:val="Intense Reference"/>
    <w:basedOn w:val="DefaultParagraphFont"/>
    <w:uiPriority w:val="32"/>
    <w:qFormat/>
    <w:rsid w:val="00BF36AA"/>
    <w:rPr>
      <w:b/>
      <w:bCs/>
      <w:smallCaps/>
      <w:color w:val="0F4761" w:themeColor="accent1" w:themeShade="BF"/>
      <w:spacing w:val="5"/>
    </w:rPr>
  </w:style>
  <w:style w:type="character" w:styleId="Hyperlink">
    <w:name w:val="Hyperlink"/>
    <w:basedOn w:val="DefaultParagraphFont"/>
    <w:uiPriority w:val="99"/>
    <w:unhideWhenUsed/>
    <w:rsid w:val="00BF36AA"/>
    <w:rPr>
      <w:color w:val="467886" w:themeColor="hyperlink"/>
      <w:u w:val="single"/>
    </w:rPr>
  </w:style>
  <w:style w:type="character" w:customStyle="1" w:styleId="UnresolvedMention1">
    <w:name w:val="Unresolved Mention1"/>
    <w:basedOn w:val="DefaultParagraphFont"/>
    <w:uiPriority w:val="99"/>
    <w:semiHidden/>
    <w:unhideWhenUsed/>
    <w:rsid w:val="00BF36AA"/>
    <w:rPr>
      <w:color w:val="605E5C"/>
      <w:shd w:val="clear" w:color="auto" w:fill="E1DFDD"/>
    </w:rPr>
  </w:style>
  <w:style w:type="paragraph" w:styleId="Bibliography">
    <w:name w:val="Bibliography"/>
    <w:basedOn w:val="Normal"/>
    <w:next w:val="Normal"/>
    <w:uiPriority w:val="37"/>
    <w:unhideWhenUsed/>
    <w:rsid w:val="000F0FFF"/>
    <w:pPr>
      <w:tabs>
        <w:tab w:val="left" w:pos="380"/>
        <w:tab w:val="left" w:pos="500"/>
      </w:tabs>
      <w:ind w:left="384" w:hanging="384"/>
    </w:pPr>
  </w:style>
  <w:style w:type="character" w:styleId="CommentReference">
    <w:name w:val="annotation reference"/>
    <w:basedOn w:val="DefaultParagraphFont"/>
    <w:uiPriority w:val="99"/>
    <w:semiHidden/>
    <w:unhideWhenUsed/>
    <w:rsid w:val="005B04E5"/>
    <w:rPr>
      <w:sz w:val="16"/>
      <w:szCs w:val="16"/>
    </w:rPr>
  </w:style>
  <w:style w:type="paragraph" w:styleId="CommentText">
    <w:name w:val="annotation text"/>
    <w:basedOn w:val="Normal"/>
    <w:link w:val="CommentTextChar"/>
    <w:uiPriority w:val="99"/>
    <w:unhideWhenUsed/>
    <w:rsid w:val="005B04E5"/>
    <w:rPr>
      <w:sz w:val="20"/>
      <w:szCs w:val="20"/>
    </w:rPr>
  </w:style>
  <w:style w:type="character" w:customStyle="1" w:styleId="CommentTextChar">
    <w:name w:val="Comment Text Char"/>
    <w:basedOn w:val="DefaultParagraphFont"/>
    <w:link w:val="CommentText"/>
    <w:uiPriority w:val="99"/>
    <w:rsid w:val="005B04E5"/>
    <w:rPr>
      <w:sz w:val="20"/>
      <w:szCs w:val="20"/>
    </w:rPr>
  </w:style>
  <w:style w:type="paragraph" w:styleId="CommentSubject">
    <w:name w:val="annotation subject"/>
    <w:basedOn w:val="CommentText"/>
    <w:next w:val="CommentText"/>
    <w:link w:val="CommentSubjectChar"/>
    <w:uiPriority w:val="99"/>
    <w:semiHidden/>
    <w:unhideWhenUsed/>
    <w:rsid w:val="005B04E5"/>
    <w:rPr>
      <w:b/>
      <w:bCs/>
    </w:rPr>
  </w:style>
  <w:style w:type="character" w:customStyle="1" w:styleId="CommentSubjectChar">
    <w:name w:val="Comment Subject Char"/>
    <w:basedOn w:val="CommentTextChar"/>
    <w:link w:val="CommentSubject"/>
    <w:uiPriority w:val="99"/>
    <w:semiHidden/>
    <w:rsid w:val="005B04E5"/>
    <w:rPr>
      <w:b/>
      <w:bCs/>
      <w:sz w:val="20"/>
      <w:szCs w:val="20"/>
    </w:rPr>
  </w:style>
  <w:style w:type="paragraph" w:styleId="Revision">
    <w:name w:val="Revision"/>
    <w:hidden/>
    <w:uiPriority w:val="99"/>
    <w:semiHidden/>
    <w:rsid w:val="00E31253"/>
  </w:style>
  <w:style w:type="paragraph" w:styleId="Header">
    <w:name w:val="header"/>
    <w:basedOn w:val="Normal"/>
    <w:link w:val="HeaderChar"/>
    <w:uiPriority w:val="99"/>
    <w:unhideWhenUsed/>
    <w:rsid w:val="00384537"/>
    <w:pPr>
      <w:tabs>
        <w:tab w:val="center" w:pos="4680"/>
        <w:tab w:val="right" w:pos="9360"/>
      </w:tabs>
    </w:pPr>
  </w:style>
  <w:style w:type="character" w:customStyle="1" w:styleId="HeaderChar">
    <w:name w:val="Header Char"/>
    <w:basedOn w:val="DefaultParagraphFont"/>
    <w:link w:val="Header"/>
    <w:uiPriority w:val="99"/>
    <w:rsid w:val="00384537"/>
  </w:style>
  <w:style w:type="paragraph" w:styleId="Footer">
    <w:name w:val="footer"/>
    <w:basedOn w:val="Normal"/>
    <w:link w:val="FooterChar"/>
    <w:uiPriority w:val="99"/>
    <w:unhideWhenUsed/>
    <w:rsid w:val="00384537"/>
    <w:pPr>
      <w:tabs>
        <w:tab w:val="center" w:pos="4680"/>
        <w:tab w:val="right" w:pos="9360"/>
      </w:tabs>
    </w:pPr>
  </w:style>
  <w:style w:type="character" w:customStyle="1" w:styleId="FooterChar">
    <w:name w:val="Footer Char"/>
    <w:basedOn w:val="DefaultParagraphFont"/>
    <w:link w:val="Footer"/>
    <w:uiPriority w:val="99"/>
    <w:rsid w:val="00384537"/>
  </w:style>
  <w:style w:type="character" w:styleId="LineNumber">
    <w:name w:val="line number"/>
    <w:basedOn w:val="DefaultParagraphFont"/>
    <w:uiPriority w:val="99"/>
    <w:semiHidden/>
    <w:unhideWhenUsed/>
    <w:rsid w:val="00800BBC"/>
  </w:style>
  <w:style w:type="paragraph" w:styleId="BalloonText">
    <w:name w:val="Balloon Text"/>
    <w:basedOn w:val="Normal"/>
    <w:link w:val="BalloonTextChar"/>
    <w:uiPriority w:val="99"/>
    <w:semiHidden/>
    <w:unhideWhenUsed/>
    <w:rsid w:val="00CC0A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A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81566">
      <w:bodyDiv w:val="1"/>
      <w:marLeft w:val="0"/>
      <w:marRight w:val="0"/>
      <w:marTop w:val="0"/>
      <w:marBottom w:val="0"/>
      <w:divBdr>
        <w:top w:val="none" w:sz="0" w:space="0" w:color="auto"/>
        <w:left w:val="none" w:sz="0" w:space="0" w:color="auto"/>
        <w:bottom w:val="none" w:sz="0" w:space="0" w:color="auto"/>
        <w:right w:val="none" w:sz="0" w:space="0" w:color="auto"/>
      </w:divBdr>
    </w:div>
    <w:div w:id="1028487229">
      <w:bodyDiv w:val="1"/>
      <w:marLeft w:val="0"/>
      <w:marRight w:val="0"/>
      <w:marTop w:val="0"/>
      <w:marBottom w:val="0"/>
      <w:divBdr>
        <w:top w:val="none" w:sz="0" w:space="0" w:color="auto"/>
        <w:left w:val="none" w:sz="0" w:space="0" w:color="auto"/>
        <w:bottom w:val="none" w:sz="0" w:space="0" w:color="auto"/>
        <w:right w:val="none" w:sz="0" w:space="0" w:color="auto"/>
      </w:divBdr>
    </w:div>
    <w:div w:id="1911843452">
      <w:bodyDiv w:val="1"/>
      <w:marLeft w:val="0"/>
      <w:marRight w:val="0"/>
      <w:marTop w:val="0"/>
      <w:marBottom w:val="0"/>
      <w:divBdr>
        <w:top w:val="none" w:sz="0" w:space="0" w:color="auto"/>
        <w:left w:val="none" w:sz="0" w:space="0" w:color="auto"/>
        <w:bottom w:val="none" w:sz="0" w:space="0" w:color="auto"/>
        <w:right w:val="none" w:sz="0" w:space="0" w:color="auto"/>
      </w:divBdr>
    </w:div>
    <w:div w:id="1982029448">
      <w:bodyDiv w:val="1"/>
      <w:marLeft w:val="0"/>
      <w:marRight w:val="0"/>
      <w:marTop w:val="0"/>
      <w:marBottom w:val="0"/>
      <w:divBdr>
        <w:top w:val="none" w:sz="0" w:space="0" w:color="auto"/>
        <w:left w:val="none" w:sz="0" w:space="0" w:color="auto"/>
        <w:bottom w:val="none" w:sz="0" w:space="0" w:color="auto"/>
        <w:right w:val="none" w:sz="0" w:space="0" w:color="auto"/>
      </w:divBdr>
    </w:div>
    <w:div w:id="2037925790">
      <w:bodyDiv w:val="1"/>
      <w:marLeft w:val="0"/>
      <w:marRight w:val="0"/>
      <w:marTop w:val="0"/>
      <w:marBottom w:val="0"/>
      <w:divBdr>
        <w:top w:val="none" w:sz="0" w:space="0" w:color="auto"/>
        <w:left w:val="none" w:sz="0" w:space="0" w:color="auto"/>
        <w:bottom w:val="none" w:sz="0" w:space="0" w:color="auto"/>
        <w:right w:val="none" w:sz="0" w:space="0" w:color="auto"/>
      </w:divBdr>
    </w:div>
    <w:div w:id="206675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zid.org" TargetMode="External"/><Relationship Id="rId3" Type="http://schemas.openxmlformats.org/officeDocument/2006/relationships/settings" Target="settings.xml"/><Relationship Id="rId7" Type="http://schemas.openxmlformats.org/officeDocument/2006/relationships/hyperlink" Target="mailto:Sumanth.Reddy@ucsf.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hanzuckerberg.zendesk.com/hc/en-us/articles/13770737266196-Guide-to-mNGS-Data-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20853</Words>
  <Characters>108436</Characters>
  <Application>Microsoft Office Word</Application>
  <DocSecurity>0</DocSecurity>
  <Lines>2168</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2026-03-09T12:40:00Z</dcterms:created>
  <dcterms:modified xsi:type="dcterms:W3CDTF">2026-03-17T16:34:00Z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zotero-version="8.0.3"&gt;&lt;session id="0nqgEUeq"/&gt;&lt;style id="http://www.zotero.org/styles/journal-of-visualized-experiments" hasBibliography="1" bibliographyStyleHasBeenSet="1"/&gt;&lt;prefs&gt;&lt;pref name="fieldType" value="Field"/&gt;&lt;/prefs&gt;&lt;/da</vt:lpwstr>
  </property>
  <property fmtid="{D5CDD505-2E9C-101B-9397-08002B2CF9AE}" pid="3" name="ZOTERO_PREF_2">
    <vt:lpwstr>ta&gt;</vt:lpwstr>
  </property>
  <property fmtid="{D5CDD505-2E9C-101B-9397-08002B2CF9AE}" pid="4" name="GrammarlyDocumentId">
    <vt:lpwstr>556fb0ba-ff7e-423c-9fd1-aad9acc8ec5a</vt:lpwstr>
  </property>
</Properties>
</file>