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BE3C" w14:textId="77777777" w:rsidR="004527E5" w:rsidRDefault="00000000">
      <w:pPr>
        <w:rPr>
          <w:rFonts w:asciiTheme="majorHAnsi" w:hAnsiTheme="majorHAnsi" w:cstheme="majorHAnsi"/>
        </w:rPr>
      </w:pPr>
      <w:r>
        <w:rPr>
          <w:rFonts w:asciiTheme="majorHAnsi" w:hAnsiTheme="majorHAnsi" w:cstheme="majorHAnsi"/>
          <w:b/>
        </w:rPr>
        <w:t>TITLE:</w:t>
      </w:r>
      <w:r>
        <w:rPr>
          <w:rFonts w:asciiTheme="majorHAnsi" w:hAnsiTheme="majorHAnsi" w:cstheme="majorHAnsi"/>
        </w:rPr>
        <w:t xml:space="preserve"> </w:t>
      </w:r>
    </w:p>
    <w:p w14:paraId="1E90D5FF" w14:textId="77777777" w:rsidR="004527E5" w:rsidRDefault="00000000">
      <w:pPr>
        <w:rPr>
          <w:rFonts w:asciiTheme="majorHAnsi" w:hAnsiTheme="majorHAnsi" w:cstheme="majorHAnsi"/>
          <w:bCs/>
        </w:rPr>
      </w:pPr>
      <w:r>
        <w:rPr>
          <w:rFonts w:asciiTheme="majorHAnsi" w:hAnsiTheme="majorHAnsi" w:cstheme="majorHAnsi"/>
          <w:bCs/>
        </w:rPr>
        <w:t>Therapeutic Massage for Psychological Well-being in Geriatric Oncology</w:t>
      </w:r>
    </w:p>
    <w:p w14:paraId="356E5514" w14:textId="77777777" w:rsidR="004527E5" w:rsidRDefault="004527E5">
      <w:pPr>
        <w:rPr>
          <w:rFonts w:asciiTheme="majorHAnsi" w:hAnsiTheme="majorHAnsi" w:cstheme="majorHAnsi"/>
          <w:bCs/>
        </w:rPr>
      </w:pPr>
    </w:p>
    <w:p w14:paraId="64C2B801" w14:textId="77777777" w:rsidR="004527E5" w:rsidRDefault="00000000">
      <w:pPr>
        <w:rPr>
          <w:rFonts w:asciiTheme="majorHAnsi" w:hAnsiTheme="majorHAnsi" w:cstheme="majorHAnsi"/>
        </w:rPr>
      </w:pPr>
      <w:r>
        <w:rPr>
          <w:rFonts w:asciiTheme="majorHAnsi" w:hAnsiTheme="majorHAnsi" w:cstheme="majorHAnsi"/>
          <w:b/>
        </w:rPr>
        <w:t xml:space="preserve">AUTHORS AND AFFILIATIONS: </w:t>
      </w:r>
    </w:p>
    <w:p w14:paraId="1D19F31B" w14:textId="77777777" w:rsidR="004527E5" w:rsidRDefault="00000000">
      <w:pPr>
        <w:rPr>
          <w:rFonts w:asciiTheme="majorHAnsi" w:eastAsia="SimHei" w:hAnsiTheme="majorHAnsi" w:cstheme="majorHAnsi"/>
          <w:vertAlign w:val="superscript"/>
        </w:rPr>
      </w:pPr>
      <w:r>
        <w:rPr>
          <w:rFonts w:asciiTheme="majorHAnsi" w:eastAsia="SimHei" w:hAnsiTheme="majorHAnsi" w:cstheme="majorHAnsi"/>
        </w:rPr>
        <w:t>Xin Liu</w:t>
      </w:r>
      <w:r>
        <w:rPr>
          <w:rFonts w:asciiTheme="majorHAnsi" w:eastAsia="SimHei" w:hAnsiTheme="majorHAnsi" w:cstheme="majorHAnsi"/>
          <w:vertAlign w:val="superscript"/>
        </w:rPr>
        <w:t>1#</w:t>
      </w:r>
      <w:r>
        <w:rPr>
          <w:rFonts w:asciiTheme="majorHAnsi" w:eastAsia="SimHei" w:hAnsiTheme="majorHAnsi" w:cstheme="majorHAnsi"/>
        </w:rPr>
        <w:t>, Shuaiyan Wang</w:t>
      </w:r>
      <w:r>
        <w:rPr>
          <w:rFonts w:asciiTheme="majorHAnsi" w:eastAsia="SimHei" w:hAnsiTheme="majorHAnsi" w:cstheme="majorHAnsi"/>
          <w:vertAlign w:val="superscript"/>
        </w:rPr>
        <w:t>2#</w:t>
      </w:r>
      <w:r>
        <w:rPr>
          <w:rFonts w:asciiTheme="majorHAnsi" w:eastAsia="SimHei" w:hAnsiTheme="majorHAnsi" w:cstheme="majorHAnsi"/>
        </w:rPr>
        <w:t>, Yuxi Lv</w:t>
      </w:r>
      <w:r>
        <w:rPr>
          <w:rFonts w:asciiTheme="majorHAnsi" w:eastAsia="SimHei" w:hAnsiTheme="majorHAnsi" w:cstheme="majorHAnsi"/>
          <w:vertAlign w:val="superscript"/>
        </w:rPr>
        <w:t>3</w:t>
      </w:r>
      <w:r>
        <w:rPr>
          <w:rFonts w:asciiTheme="majorHAnsi" w:eastAsia="SimHei" w:hAnsiTheme="majorHAnsi" w:cstheme="majorHAnsi"/>
        </w:rPr>
        <w:t>, Juncheng Tong</w:t>
      </w:r>
      <w:r>
        <w:rPr>
          <w:rFonts w:asciiTheme="majorHAnsi" w:eastAsia="SimHei" w:hAnsiTheme="majorHAnsi" w:cstheme="majorHAnsi"/>
          <w:vertAlign w:val="superscript"/>
        </w:rPr>
        <w:t>2</w:t>
      </w:r>
      <w:r>
        <w:rPr>
          <w:rFonts w:asciiTheme="majorHAnsi" w:eastAsia="SimHei" w:hAnsiTheme="majorHAnsi" w:cstheme="majorHAnsi"/>
        </w:rPr>
        <w:t>, Yue Hu</w:t>
      </w:r>
      <w:r>
        <w:rPr>
          <w:rFonts w:asciiTheme="majorHAnsi" w:eastAsia="SimHei" w:hAnsiTheme="majorHAnsi" w:cstheme="majorHAnsi"/>
          <w:vertAlign w:val="superscript"/>
        </w:rPr>
        <w:t>4</w:t>
      </w:r>
      <w:r>
        <w:rPr>
          <w:rFonts w:asciiTheme="majorHAnsi" w:eastAsia="SimHei" w:hAnsiTheme="majorHAnsi" w:cstheme="majorHAnsi"/>
        </w:rPr>
        <w:t>, Minghui Xia</w:t>
      </w:r>
      <w:r>
        <w:rPr>
          <w:rFonts w:asciiTheme="majorHAnsi" w:eastAsia="SimHei" w:hAnsiTheme="majorHAnsi" w:cstheme="majorHAnsi"/>
          <w:vertAlign w:val="superscript"/>
        </w:rPr>
        <w:t>5</w:t>
      </w:r>
      <w:r>
        <w:rPr>
          <w:rFonts w:asciiTheme="majorHAnsi" w:eastAsia="SimHei" w:hAnsiTheme="majorHAnsi" w:cstheme="majorHAnsi"/>
        </w:rPr>
        <w:t>, Xiaoli Yin</w:t>
      </w:r>
      <w:r>
        <w:rPr>
          <w:rFonts w:asciiTheme="majorHAnsi" w:eastAsia="SimHei" w:hAnsiTheme="majorHAnsi" w:cstheme="majorHAnsi"/>
          <w:vertAlign w:val="superscript"/>
        </w:rPr>
        <w:t xml:space="preserve"> 6</w:t>
      </w:r>
      <w:r>
        <w:rPr>
          <w:rFonts w:asciiTheme="majorHAnsi" w:eastAsia="SimHei" w:hAnsiTheme="majorHAnsi" w:cstheme="majorHAnsi"/>
        </w:rPr>
        <w:t>, Mingfei Zhou</w:t>
      </w:r>
      <w:r>
        <w:rPr>
          <w:rFonts w:asciiTheme="majorHAnsi" w:eastAsia="SimHei" w:hAnsiTheme="majorHAnsi" w:cstheme="majorHAnsi"/>
          <w:vertAlign w:val="superscript"/>
        </w:rPr>
        <w:t>6</w:t>
      </w:r>
      <w:r>
        <w:rPr>
          <w:rFonts w:asciiTheme="majorHAnsi" w:eastAsia="SimHei" w:hAnsiTheme="majorHAnsi" w:cstheme="majorHAnsi"/>
        </w:rPr>
        <w:t>, Dongsheng Wang</w:t>
      </w:r>
      <w:r>
        <w:rPr>
          <w:rFonts w:asciiTheme="majorHAnsi" w:eastAsia="SimHei" w:hAnsiTheme="majorHAnsi" w:cstheme="majorHAnsi"/>
          <w:vertAlign w:val="superscript"/>
        </w:rPr>
        <w:t>7</w:t>
      </w:r>
      <w:r>
        <w:rPr>
          <w:rFonts w:asciiTheme="majorHAnsi" w:eastAsia="SimHei" w:hAnsiTheme="majorHAnsi" w:cstheme="majorHAnsi"/>
        </w:rPr>
        <w:t>, Beidou Wang</w:t>
      </w:r>
      <w:r>
        <w:rPr>
          <w:rFonts w:asciiTheme="majorHAnsi" w:eastAsia="SimHei" w:hAnsiTheme="majorHAnsi" w:cstheme="majorHAnsi"/>
          <w:vertAlign w:val="superscript"/>
        </w:rPr>
        <w:t>8</w:t>
      </w:r>
      <w:r>
        <w:rPr>
          <w:rFonts w:asciiTheme="majorHAnsi" w:eastAsia="SimHei" w:hAnsiTheme="majorHAnsi" w:cstheme="majorHAnsi"/>
        </w:rPr>
        <w:t>, Jianhua Sun</w:t>
      </w:r>
      <w:r>
        <w:rPr>
          <w:rFonts w:asciiTheme="majorHAnsi" w:eastAsia="SimHei" w:hAnsiTheme="majorHAnsi" w:cstheme="majorHAnsi"/>
          <w:vertAlign w:val="superscript"/>
        </w:rPr>
        <w:t>4</w:t>
      </w:r>
      <w:r>
        <w:rPr>
          <w:rFonts w:asciiTheme="majorHAnsi" w:eastAsia="SimHei" w:hAnsiTheme="majorHAnsi" w:cstheme="majorHAnsi"/>
        </w:rPr>
        <w:t>, Longkui Jiang</w:t>
      </w:r>
      <w:r>
        <w:rPr>
          <w:rFonts w:asciiTheme="majorHAnsi" w:eastAsia="SimHei" w:hAnsiTheme="majorHAnsi" w:cstheme="majorHAnsi"/>
          <w:vertAlign w:val="superscript"/>
        </w:rPr>
        <w:t>9</w:t>
      </w:r>
      <w:r>
        <w:rPr>
          <w:rFonts w:asciiTheme="majorHAnsi" w:eastAsia="SimHei" w:hAnsiTheme="majorHAnsi" w:cstheme="majorHAnsi"/>
        </w:rPr>
        <w:t>, Yunchuan Wu</w:t>
      </w:r>
      <w:r>
        <w:rPr>
          <w:rFonts w:asciiTheme="majorHAnsi" w:eastAsia="SimHei" w:hAnsiTheme="majorHAnsi" w:cstheme="majorHAnsi"/>
          <w:vertAlign w:val="superscript"/>
        </w:rPr>
        <w:t>3*</w:t>
      </w:r>
      <w:r>
        <w:rPr>
          <w:rFonts w:asciiTheme="majorHAnsi" w:eastAsia="SimHei" w:hAnsiTheme="majorHAnsi" w:cstheme="majorHAnsi"/>
        </w:rPr>
        <w:t>, Yuhang Wang</w:t>
      </w:r>
      <w:r>
        <w:rPr>
          <w:rFonts w:asciiTheme="majorHAnsi" w:eastAsia="SimHei" w:hAnsiTheme="majorHAnsi" w:cstheme="majorHAnsi"/>
          <w:vertAlign w:val="superscript"/>
        </w:rPr>
        <w:t>3*</w:t>
      </w:r>
    </w:p>
    <w:p w14:paraId="07900623" w14:textId="77777777" w:rsidR="004527E5" w:rsidRDefault="004527E5">
      <w:pPr>
        <w:rPr>
          <w:rFonts w:asciiTheme="majorHAnsi" w:eastAsia="SimHei" w:hAnsiTheme="majorHAnsi" w:cstheme="majorHAnsi"/>
          <w:vertAlign w:val="superscript"/>
        </w:rPr>
      </w:pPr>
    </w:p>
    <w:p w14:paraId="3B483073" w14:textId="77777777" w:rsidR="004527E5" w:rsidRDefault="00000000">
      <w:pPr>
        <w:rPr>
          <w:rFonts w:asciiTheme="majorHAnsi" w:hAnsiTheme="majorHAnsi" w:cstheme="majorHAnsi"/>
        </w:rPr>
      </w:pPr>
      <w:r>
        <w:rPr>
          <w:rFonts w:asciiTheme="majorHAnsi" w:eastAsia="SimHei" w:hAnsiTheme="majorHAnsi" w:cstheme="majorHAnsi"/>
          <w:vertAlign w:val="superscript"/>
        </w:rPr>
        <w:t>#</w:t>
      </w:r>
      <w:r>
        <w:rPr>
          <w:rFonts w:asciiTheme="majorHAnsi" w:hAnsiTheme="majorHAnsi" w:cstheme="majorHAnsi"/>
        </w:rPr>
        <w:t>These authors contributed equally to this work.</w:t>
      </w:r>
    </w:p>
    <w:p w14:paraId="5B778D68" w14:textId="77777777" w:rsidR="004527E5" w:rsidRDefault="004527E5">
      <w:pPr>
        <w:rPr>
          <w:rFonts w:asciiTheme="majorHAnsi" w:eastAsia="SimHei" w:hAnsiTheme="majorHAnsi" w:cstheme="majorHAnsi"/>
          <w:vertAlign w:val="superscript"/>
        </w:rPr>
      </w:pPr>
    </w:p>
    <w:p w14:paraId="1478C2A0" w14:textId="77777777" w:rsidR="004527E5" w:rsidRDefault="00000000">
      <w:pPr>
        <w:numPr>
          <w:ilvl w:val="0"/>
          <w:numId w:val="1"/>
        </w:numPr>
        <w:ind w:left="0" w:firstLine="0"/>
        <w:rPr>
          <w:rFonts w:asciiTheme="majorHAnsi" w:eastAsia="SimHei" w:hAnsiTheme="majorHAnsi" w:cstheme="majorHAnsi"/>
          <w:lang w:eastAsia="zh-CN"/>
        </w:rPr>
      </w:pPr>
      <w:r>
        <w:rPr>
          <w:rFonts w:asciiTheme="majorHAnsi" w:eastAsia="SimHei" w:hAnsiTheme="majorHAnsi" w:cstheme="majorHAnsi"/>
          <w:lang w:eastAsia="zh-CN"/>
        </w:rPr>
        <w:t xml:space="preserve">The First Clinical Medical College, </w:t>
      </w:r>
      <w:r>
        <w:rPr>
          <w:rFonts w:asciiTheme="majorHAnsi" w:hAnsiTheme="majorHAnsi" w:cstheme="majorHAnsi"/>
        </w:rPr>
        <w:t>Nanjing University of Chinese Medicine, Nanjing, Jiangsu, China</w:t>
      </w:r>
    </w:p>
    <w:p w14:paraId="77CF208E" w14:textId="77777777" w:rsidR="004527E5" w:rsidRDefault="00000000">
      <w:pPr>
        <w:numPr>
          <w:ilvl w:val="0"/>
          <w:numId w:val="1"/>
        </w:numPr>
        <w:ind w:left="0" w:firstLine="0"/>
        <w:rPr>
          <w:rFonts w:asciiTheme="majorHAnsi" w:eastAsia="SimHei" w:hAnsiTheme="majorHAnsi" w:cstheme="majorHAnsi"/>
          <w:lang w:eastAsia="zh-CN"/>
        </w:rPr>
      </w:pPr>
      <w:r>
        <w:rPr>
          <w:rFonts w:asciiTheme="majorHAnsi" w:eastAsia="SimHei" w:hAnsiTheme="majorHAnsi" w:cstheme="majorHAnsi"/>
          <w:lang w:eastAsia="zh-CN"/>
        </w:rPr>
        <w:t xml:space="preserve">School of Elderly Care Services and Management, </w:t>
      </w:r>
      <w:r>
        <w:rPr>
          <w:rFonts w:asciiTheme="majorHAnsi" w:hAnsiTheme="majorHAnsi" w:cstheme="majorHAnsi"/>
        </w:rPr>
        <w:t>Nanjing University of Chinese Medicine, Nanjing, Jiangsu, China</w:t>
      </w:r>
    </w:p>
    <w:p w14:paraId="6020DCC6" w14:textId="77777777" w:rsidR="004527E5" w:rsidRDefault="00000000">
      <w:pPr>
        <w:numPr>
          <w:ilvl w:val="0"/>
          <w:numId w:val="1"/>
        </w:numPr>
        <w:ind w:left="0" w:firstLine="0"/>
        <w:rPr>
          <w:rFonts w:asciiTheme="majorHAnsi" w:hAnsiTheme="majorHAnsi" w:cstheme="majorHAnsi"/>
        </w:rPr>
      </w:pPr>
      <w:r>
        <w:rPr>
          <w:rFonts w:asciiTheme="majorHAnsi" w:hAnsiTheme="majorHAnsi" w:cstheme="majorHAnsi"/>
        </w:rPr>
        <w:t>School of Acupuncture-Moxibustion and Tuina</w:t>
      </w:r>
      <w:r>
        <w:rPr>
          <w:rFonts w:asciiTheme="majorHAnsi" w:eastAsia="SimSun" w:hAnsiTheme="majorHAnsi" w:cstheme="majorHAnsi"/>
          <w:lang w:eastAsia="zh-CN"/>
        </w:rPr>
        <w:t xml:space="preserve"> </w:t>
      </w:r>
      <w:r>
        <w:rPr>
          <w:rFonts w:asciiTheme="majorHAnsi" w:hAnsiTheme="majorHAnsi" w:cstheme="majorHAnsi"/>
        </w:rPr>
        <w:t>Nanjing University of Chinese Medicine, Nanjing, Jiangsu, China</w:t>
      </w:r>
    </w:p>
    <w:p w14:paraId="67C27510" w14:textId="77777777" w:rsidR="004527E5" w:rsidRDefault="00000000">
      <w:pPr>
        <w:numPr>
          <w:ilvl w:val="0"/>
          <w:numId w:val="1"/>
        </w:numPr>
        <w:ind w:left="0" w:firstLine="0"/>
        <w:rPr>
          <w:rFonts w:asciiTheme="majorHAnsi" w:hAnsiTheme="majorHAnsi" w:cstheme="majorHAnsi"/>
        </w:rPr>
      </w:pPr>
      <w:r>
        <w:rPr>
          <w:rFonts w:asciiTheme="majorHAnsi" w:hAnsiTheme="majorHAnsi" w:cstheme="majorHAnsi"/>
        </w:rPr>
        <w:t>Affiliated Hospital of Nanjing University of Chinese Medicine, Nanjing, Jiangsu, China</w:t>
      </w:r>
    </w:p>
    <w:p w14:paraId="2A11DE8D" w14:textId="77777777" w:rsidR="004527E5" w:rsidRDefault="00000000">
      <w:pPr>
        <w:numPr>
          <w:ilvl w:val="0"/>
          <w:numId w:val="1"/>
        </w:numPr>
        <w:ind w:left="0" w:firstLine="0"/>
        <w:rPr>
          <w:rFonts w:asciiTheme="majorHAnsi" w:eastAsia="SimHei" w:hAnsiTheme="majorHAnsi" w:cstheme="majorHAnsi"/>
        </w:rPr>
      </w:pPr>
      <w:r>
        <w:rPr>
          <w:rFonts w:asciiTheme="majorHAnsi" w:eastAsia="SimHei" w:hAnsiTheme="majorHAnsi" w:cstheme="majorHAnsi"/>
        </w:rPr>
        <w:t xml:space="preserve">Affiliated Hospital of Nantong University, Nantong, </w:t>
      </w:r>
      <w:r>
        <w:rPr>
          <w:rFonts w:asciiTheme="majorHAnsi" w:hAnsiTheme="majorHAnsi" w:cstheme="majorHAnsi"/>
        </w:rPr>
        <w:t>Jiangsu, China</w:t>
      </w:r>
    </w:p>
    <w:p w14:paraId="0A9384BE" w14:textId="77777777" w:rsidR="004527E5" w:rsidRDefault="00000000">
      <w:pPr>
        <w:numPr>
          <w:ilvl w:val="0"/>
          <w:numId w:val="1"/>
        </w:numPr>
        <w:ind w:left="0" w:firstLine="0"/>
        <w:rPr>
          <w:rFonts w:asciiTheme="majorHAnsi" w:hAnsiTheme="majorHAnsi" w:cstheme="majorHAnsi"/>
        </w:rPr>
      </w:pPr>
      <w:r>
        <w:rPr>
          <w:rFonts w:asciiTheme="majorHAnsi" w:hAnsiTheme="majorHAnsi" w:cstheme="majorHAnsi"/>
        </w:rPr>
        <w:t>Nanjing Xiaohang Hospital, Nanjing, Jiangsu, China</w:t>
      </w:r>
    </w:p>
    <w:p w14:paraId="5858255E" w14:textId="77777777" w:rsidR="004527E5" w:rsidRDefault="00000000">
      <w:pPr>
        <w:numPr>
          <w:ilvl w:val="0"/>
          <w:numId w:val="1"/>
        </w:numPr>
        <w:ind w:left="0" w:firstLine="0"/>
        <w:rPr>
          <w:rFonts w:asciiTheme="majorHAnsi" w:hAnsiTheme="majorHAnsi" w:cstheme="majorHAnsi"/>
        </w:rPr>
      </w:pPr>
      <w:r>
        <w:rPr>
          <w:rFonts w:asciiTheme="majorHAnsi" w:hAnsiTheme="majorHAnsi" w:cstheme="majorHAnsi"/>
        </w:rPr>
        <w:t>Nanjing Red Cross Hospital, Nanjing, Jiangsu, China</w:t>
      </w:r>
    </w:p>
    <w:p w14:paraId="489E77C4" w14:textId="77777777" w:rsidR="004527E5" w:rsidRDefault="00000000">
      <w:pPr>
        <w:numPr>
          <w:ilvl w:val="0"/>
          <w:numId w:val="1"/>
        </w:numPr>
        <w:ind w:left="0" w:firstLine="0"/>
        <w:rPr>
          <w:rFonts w:asciiTheme="majorHAnsi" w:hAnsiTheme="majorHAnsi" w:cstheme="majorHAnsi"/>
        </w:rPr>
      </w:pPr>
      <w:r>
        <w:rPr>
          <w:rFonts w:asciiTheme="majorHAnsi" w:eastAsia="SimHei" w:hAnsiTheme="majorHAnsi" w:cstheme="majorHAnsi"/>
        </w:rPr>
        <w:t>Pizhou Chinese Medicine Hospital</w:t>
      </w:r>
      <w:r>
        <w:rPr>
          <w:rFonts w:asciiTheme="majorHAnsi" w:hAnsiTheme="majorHAnsi" w:cstheme="majorHAnsi"/>
        </w:rPr>
        <w:t xml:space="preserve">, </w:t>
      </w:r>
      <w:r>
        <w:rPr>
          <w:rFonts w:asciiTheme="majorHAnsi" w:eastAsia="SimHei" w:hAnsiTheme="majorHAnsi" w:cstheme="majorHAnsi"/>
        </w:rPr>
        <w:t>Xuzhou</w:t>
      </w:r>
      <w:r>
        <w:rPr>
          <w:rFonts w:asciiTheme="majorHAnsi" w:hAnsiTheme="majorHAnsi" w:cstheme="majorHAnsi"/>
        </w:rPr>
        <w:t>, Jiangsu, China</w:t>
      </w:r>
    </w:p>
    <w:p w14:paraId="02657445" w14:textId="77777777" w:rsidR="004527E5" w:rsidRDefault="00000000">
      <w:pPr>
        <w:numPr>
          <w:ilvl w:val="0"/>
          <w:numId w:val="1"/>
        </w:numPr>
        <w:ind w:left="0" w:firstLine="0"/>
        <w:rPr>
          <w:rFonts w:asciiTheme="majorHAnsi" w:eastAsia="SimHei" w:hAnsiTheme="majorHAnsi" w:cstheme="majorHAnsi"/>
          <w:lang w:eastAsia="zh-CN"/>
        </w:rPr>
      </w:pPr>
      <w:r>
        <w:rPr>
          <w:rFonts w:asciiTheme="majorHAnsi" w:hAnsiTheme="majorHAnsi" w:cstheme="majorHAnsi"/>
        </w:rPr>
        <w:t>The Research Center of Chinese Medicine Culture, Nanjing University of Chinese Medicine, Nanjing, Jiangsu, China</w:t>
      </w:r>
    </w:p>
    <w:p w14:paraId="092A3B49" w14:textId="77777777" w:rsidR="004527E5" w:rsidRDefault="004527E5">
      <w:pPr>
        <w:rPr>
          <w:rFonts w:asciiTheme="majorHAnsi" w:hAnsiTheme="majorHAnsi" w:cstheme="majorHAnsi"/>
        </w:rPr>
      </w:pPr>
    </w:p>
    <w:p w14:paraId="34310630" w14:textId="77777777" w:rsidR="004527E5" w:rsidRDefault="00000000">
      <w:pPr>
        <w:rPr>
          <w:rFonts w:asciiTheme="majorHAnsi" w:hAnsiTheme="majorHAnsi" w:cstheme="majorHAnsi"/>
          <w:b/>
          <w:bCs/>
        </w:rPr>
      </w:pPr>
      <w:r>
        <w:rPr>
          <w:rFonts w:asciiTheme="majorHAnsi" w:hAnsiTheme="majorHAnsi" w:cstheme="majorHAnsi"/>
          <w:b/>
          <w:bCs/>
        </w:rPr>
        <w:t>Email addresses of the co-authors:</w:t>
      </w:r>
    </w:p>
    <w:p w14:paraId="57C71F6A" w14:textId="77777777" w:rsidR="004527E5" w:rsidRPr="008A4E8C" w:rsidRDefault="00000000">
      <w:pPr>
        <w:rPr>
          <w:rFonts w:asciiTheme="majorHAnsi" w:eastAsia="SimHei" w:hAnsiTheme="majorHAnsi" w:cstheme="majorHAnsi"/>
          <w:lang w:val="de-DE"/>
        </w:rPr>
      </w:pPr>
      <w:r w:rsidRPr="008A4E8C">
        <w:rPr>
          <w:rFonts w:asciiTheme="majorHAnsi" w:eastAsia="SimHei" w:hAnsiTheme="majorHAnsi" w:cstheme="majorHAnsi"/>
          <w:lang w:val="de-DE"/>
        </w:rPr>
        <w:t>Xin Liu, 2567516340@qq.com</w:t>
      </w:r>
    </w:p>
    <w:p w14:paraId="0D0D1B1C" w14:textId="77777777" w:rsidR="004527E5" w:rsidRPr="008A4E8C" w:rsidRDefault="00000000">
      <w:pPr>
        <w:rPr>
          <w:rFonts w:asciiTheme="majorHAnsi" w:eastAsia="SimHei" w:hAnsiTheme="majorHAnsi" w:cstheme="majorHAnsi"/>
          <w:lang w:val="de-DE"/>
        </w:rPr>
      </w:pPr>
      <w:r w:rsidRPr="008A4E8C">
        <w:rPr>
          <w:rFonts w:asciiTheme="majorHAnsi" w:eastAsia="SimHei" w:hAnsiTheme="majorHAnsi" w:cstheme="majorHAnsi"/>
          <w:lang w:val="de-DE"/>
        </w:rPr>
        <w:t>Shuaiyan Wang, 3153186880@qq.com</w:t>
      </w:r>
    </w:p>
    <w:p w14:paraId="4AD5CB0D" w14:textId="77777777" w:rsidR="004527E5" w:rsidRDefault="00000000">
      <w:pPr>
        <w:rPr>
          <w:rFonts w:asciiTheme="majorHAnsi" w:eastAsia="SimHei" w:hAnsiTheme="majorHAnsi" w:cstheme="majorHAnsi"/>
        </w:rPr>
      </w:pPr>
      <w:r>
        <w:rPr>
          <w:rFonts w:asciiTheme="majorHAnsi" w:eastAsia="SimHei" w:hAnsiTheme="majorHAnsi" w:cstheme="majorHAnsi"/>
        </w:rPr>
        <w:t>Yuxi Lv, 1830358705@qq.com</w:t>
      </w:r>
    </w:p>
    <w:p w14:paraId="06DB8F50" w14:textId="77777777" w:rsidR="004527E5" w:rsidRDefault="00000000">
      <w:pPr>
        <w:rPr>
          <w:rFonts w:asciiTheme="majorHAnsi" w:eastAsia="SimHei" w:hAnsiTheme="majorHAnsi" w:cstheme="majorHAnsi"/>
          <w:b/>
          <w:bCs/>
        </w:rPr>
      </w:pPr>
      <w:r>
        <w:rPr>
          <w:rFonts w:asciiTheme="majorHAnsi" w:eastAsia="SimHei" w:hAnsiTheme="majorHAnsi" w:cstheme="majorHAnsi"/>
        </w:rPr>
        <w:t>Juncheng Tong, juncheng_tong@njucm.edu.cn</w:t>
      </w:r>
    </w:p>
    <w:p w14:paraId="30159E85" w14:textId="77777777" w:rsidR="004527E5" w:rsidRDefault="00000000">
      <w:pPr>
        <w:rPr>
          <w:rFonts w:asciiTheme="majorHAnsi" w:eastAsia="SimHei" w:hAnsiTheme="majorHAnsi" w:cstheme="majorHAnsi"/>
        </w:rPr>
      </w:pPr>
      <w:r>
        <w:rPr>
          <w:rFonts w:asciiTheme="majorHAnsi" w:eastAsia="SimHei" w:hAnsiTheme="majorHAnsi" w:cstheme="majorHAnsi"/>
        </w:rPr>
        <w:t>Yue Hu, 1569196365@qq.com</w:t>
      </w:r>
    </w:p>
    <w:p w14:paraId="486F1F78" w14:textId="77777777" w:rsidR="004527E5" w:rsidRDefault="00000000">
      <w:pPr>
        <w:rPr>
          <w:rFonts w:asciiTheme="majorHAnsi" w:eastAsia="SimHei" w:hAnsiTheme="majorHAnsi" w:cstheme="majorHAnsi"/>
        </w:rPr>
      </w:pPr>
      <w:r>
        <w:rPr>
          <w:rFonts w:asciiTheme="majorHAnsi" w:eastAsia="SimHei" w:hAnsiTheme="majorHAnsi" w:cstheme="majorHAnsi"/>
        </w:rPr>
        <w:t>Minghui Xia, 417798466@qq.com</w:t>
      </w:r>
    </w:p>
    <w:p w14:paraId="6A171F8C" w14:textId="77777777" w:rsidR="004527E5" w:rsidRDefault="00000000">
      <w:pPr>
        <w:rPr>
          <w:rFonts w:asciiTheme="majorHAnsi" w:eastAsia="SimHei" w:hAnsiTheme="majorHAnsi" w:cstheme="majorHAnsi"/>
        </w:rPr>
      </w:pPr>
      <w:r>
        <w:rPr>
          <w:rFonts w:asciiTheme="majorHAnsi" w:eastAsia="SimHei" w:hAnsiTheme="majorHAnsi" w:cstheme="majorHAnsi"/>
        </w:rPr>
        <w:t>Xiaoli Yin, yinxli@163.com</w:t>
      </w:r>
    </w:p>
    <w:p w14:paraId="14223FB7" w14:textId="77777777" w:rsidR="004527E5" w:rsidRPr="008A4E8C" w:rsidRDefault="00000000">
      <w:pPr>
        <w:rPr>
          <w:rFonts w:asciiTheme="majorHAnsi" w:eastAsia="SimHei" w:hAnsiTheme="majorHAnsi" w:cstheme="majorHAnsi"/>
          <w:lang w:val="de-DE"/>
        </w:rPr>
      </w:pPr>
      <w:r w:rsidRPr="008A4E8C">
        <w:rPr>
          <w:rFonts w:asciiTheme="majorHAnsi" w:eastAsia="SimHei" w:hAnsiTheme="majorHAnsi" w:cstheme="majorHAnsi"/>
          <w:lang w:val="de-DE"/>
        </w:rPr>
        <w:t>Mingfei Zhou, zmfxh@126.com</w:t>
      </w:r>
    </w:p>
    <w:p w14:paraId="00F2FAA5" w14:textId="77777777" w:rsidR="004527E5" w:rsidRPr="008A4E8C" w:rsidRDefault="00000000">
      <w:pPr>
        <w:rPr>
          <w:rFonts w:asciiTheme="majorHAnsi" w:eastAsia="SimHei" w:hAnsiTheme="majorHAnsi" w:cstheme="majorHAnsi"/>
          <w:lang w:val="de-DE"/>
        </w:rPr>
      </w:pPr>
      <w:r w:rsidRPr="008A4E8C">
        <w:rPr>
          <w:rFonts w:asciiTheme="majorHAnsi" w:eastAsia="SimHei" w:hAnsiTheme="majorHAnsi" w:cstheme="majorHAnsi"/>
          <w:lang w:val="de-DE"/>
        </w:rPr>
        <w:t>Dongsheng Wang, 349594141@qq.com</w:t>
      </w:r>
    </w:p>
    <w:p w14:paraId="04863109" w14:textId="77777777" w:rsidR="004527E5" w:rsidRPr="008A4E8C" w:rsidRDefault="00000000">
      <w:pPr>
        <w:rPr>
          <w:rFonts w:asciiTheme="majorHAnsi" w:eastAsia="SimHei" w:hAnsiTheme="majorHAnsi" w:cstheme="majorHAnsi"/>
          <w:b/>
          <w:bCs/>
          <w:lang w:val="de-DE"/>
        </w:rPr>
      </w:pPr>
      <w:r w:rsidRPr="008A4E8C">
        <w:rPr>
          <w:rFonts w:asciiTheme="majorHAnsi" w:eastAsia="SimHei" w:hAnsiTheme="majorHAnsi" w:cstheme="majorHAnsi"/>
          <w:lang w:val="de-DE"/>
        </w:rPr>
        <w:t>Beidou Wang, 67699476@qq.com</w:t>
      </w:r>
    </w:p>
    <w:p w14:paraId="2B13D660" w14:textId="77777777" w:rsidR="004527E5" w:rsidRPr="008A4E8C" w:rsidRDefault="00000000">
      <w:pPr>
        <w:rPr>
          <w:rFonts w:asciiTheme="majorHAnsi" w:eastAsia="SimHei" w:hAnsiTheme="majorHAnsi" w:cstheme="majorHAnsi"/>
          <w:lang w:val="de-DE"/>
        </w:rPr>
      </w:pPr>
      <w:r w:rsidRPr="008A4E8C">
        <w:rPr>
          <w:rFonts w:asciiTheme="majorHAnsi" w:eastAsia="SimHei" w:hAnsiTheme="majorHAnsi" w:cstheme="majorHAnsi"/>
          <w:lang w:val="de-DE"/>
        </w:rPr>
        <w:t>Jianhua Sun, 377201634@qq.com</w:t>
      </w:r>
    </w:p>
    <w:p w14:paraId="3313F760" w14:textId="77777777" w:rsidR="004527E5" w:rsidRDefault="00000000">
      <w:pPr>
        <w:rPr>
          <w:rFonts w:asciiTheme="majorHAnsi" w:hAnsiTheme="majorHAnsi" w:cstheme="majorHAnsi"/>
        </w:rPr>
      </w:pPr>
      <w:r>
        <w:rPr>
          <w:rFonts w:asciiTheme="majorHAnsi" w:eastAsia="SimHei" w:hAnsiTheme="majorHAnsi" w:cstheme="majorHAnsi"/>
        </w:rPr>
        <w:t>Longkui Jiang, jianglongkui@njucm.eud.cn</w:t>
      </w:r>
    </w:p>
    <w:p w14:paraId="2005F7E7" w14:textId="77777777" w:rsidR="004527E5" w:rsidRDefault="004527E5">
      <w:pPr>
        <w:rPr>
          <w:rFonts w:asciiTheme="majorHAnsi" w:hAnsiTheme="majorHAnsi" w:cstheme="majorHAnsi"/>
        </w:rPr>
      </w:pPr>
    </w:p>
    <w:p w14:paraId="200428D5" w14:textId="77777777" w:rsidR="004527E5" w:rsidRDefault="00000000">
      <w:pPr>
        <w:rPr>
          <w:rFonts w:asciiTheme="majorHAnsi" w:hAnsiTheme="majorHAnsi" w:cstheme="majorHAnsi"/>
          <w:b/>
          <w:bCs/>
        </w:rPr>
      </w:pPr>
      <w:r>
        <w:rPr>
          <w:rFonts w:asciiTheme="majorHAnsi" w:hAnsiTheme="majorHAnsi" w:cstheme="majorHAnsi"/>
          <w:b/>
          <w:bCs/>
        </w:rPr>
        <w:t>*Corresponding authors:</w:t>
      </w:r>
    </w:p>
    <w:p w14:paraId="5A9F2F48" w14:textId="77777777" w:rsidR="004527E5" w:rsidRDefault="00000000">
      <w:pPr>
        <w:rPr>
          <w:rFonts w:asciiTheme="majorHAnsi" w:hAnsiTheme="majorHAnsi" w:cstheme="majorHAnsi"/>
        </w:rPr>
      </w:pPr>
      <w:r>
        <w:rPr>
          <w:rFonts w:asciiTheme="majorHAnsi" w:hAnsiTheme="majorHAnsi" w:cstheme="majorHAnsi"/>
        </w:rPr>
        <w:t>Yuhang Wang, wangyuhang@njucm.edu.cn</w:t>
      </w:r>
    </w:p>
    <w:p w14:paraId="27E5D2AF" w14:textId="77777777" w:rsidR="004527E5" w:rsidRDefault="00000000">
      <w:pPr>
        <w:rPr>
          <w:rFonts w:asciiTheme="majorHAnsi" w:hAnsiTheme="majorHAnsi" w:cstheme="majorHAnsi"/>
        </w:rPr>
      </w:pPr>
      <w:r>
        <w:rPr>
          <w:rFonts w:asciiTheme="majorHAnsi" w:eastAsia="SimHei" w:hAnsiTheme="majorHAnsi" w:cstheme="majorHAnsi"/>
        </w:rPr>
        <w:t>Yunchuan Wu, njwych@126.com</w:t>
      </w:r>
    </w:p>
    <w:p w14:paraId="36D04690" w14:textId="77777777" w:rsidR="004527E5" w:rsidRDefault="004527E5">
      <w:pPr>
        <w:rPr>
          <w:rFonts w:asciiTheme="majorHAnsi" w:hAnsiTheme="majorHAnsi" w:cstheme="majorHAnsi"/>
        </w:rPr>
      </w:pPr>
    </w:p>
    <w:p w14:paraId="6F2FC49F" w14:textId="77777777" w:rsidR="004527E5" w:rsidRDefault="00000000">
      <w:pPr>
        <w:rPr>
          <w:rFonts w:asciiTheme="majorHAnsi" w:hAnsiTheme="majorHAnsi" w:cstheme="majorHAnsi"/>
        </w:rPr>
      </w:pPr>
      <w:r>
        <w:rPr>
          <w:rFonts w:asciiTheme="majorHAnsi" w:hAnsiTheme="majorHAnsi" w:cstheme="majorHAnsi"/>
          <w:b/>
        </w:rPr>
        <w:t>SUMMARY:</w:t>
      </w:r>
      <w:r>
        <w:rPr>
          <w:rFonts w:asciiTheme="majorHAnsi" w:hAnsiTheme="majorHAnsi" w:cstheme="majorHAnsi"/>
        </w:rPr>
        <w:t xml:space="preserve"> </w:t>
      </w:r>
    </w:p>
    <w:p w14:paraId="1696FE73" w14:textId="77777777" w:rsidR="004527E5" w:rsidRDefault="00000000">
      <w:pPr>
        <w:rPr>
          <w:rFonts w:asciiTheme="majorHAnsi" w:hAnsiTheme="majorHAnsi" w:cstheme="majorHAnsi"/>
        </w:rPr>
      </w:pPr>
      <w:r>
        <w:rPr>
          <w:rFonts w:asciiTheme="majorHAnsi" w:hAnsiTheme="majorHAnsi" w:cstheme="majorHAnsi"/>
        </w:rPr>
        <w:t xml:space="preserve">This study presents a therapeutic massage protocol to address psychological problems such as </w:t>
      </w:r>
      <w:r>
        <w:rPr>
          <w:rFonts w:asciiTheme="majorHAnsi" w:hAnsiTheme="majorHAnsi" w:cstheme="majorHAnsi"/>
        </w:rPr>
        <w:lastRenderedPageBreak/>
        <w:t>depression and anxiety in elderly cancer patients, aiming to support the integration of complementary therapies into comprehensive geriatric oncology care.</w:t>
      </w:r>
    </w:p>
    <w:p w14:paraId="39AC50D4" w14:textId="77777777" w:rsidR="004527E5" w:rsidRDefault="004527E5">
      <w:pPr>
        <w:rPr>
          <w:rFonts w:asciiTheme="majorHAnsi" w:hAnsiTheme="majorHAnsi" w:cstheme="majorHAnsi"/>
        </w:rPr>
      </w:pPr>
    </w:p>
    <w:p w14:paraId="22A5A0B2" w14:textId="77777777" w:rsidR="004527E5" w:rsidRDefault="00000000">
      <w:pPr>
        <w:rPr>
          <w:rFonts w:asciiTheme="majorHAnsi" w:hAnsiTheme="majorHAnsi" w:cstheme="majorHAnsi"/>
        </w:rPr>
      </w:pPr>
      <w:r>
        <w:rPr>
          <w:rFonts w:asciiTheme="majorHAnsi" w:hAnsiTheme="majorHAnsi" w:cstheme="majorHAnsi"/>
          <w:b/>
        </w:rPr>
        <w:t>ABSTRACT:</w:t>
      </w:r>
      <w:r>
        <w:rPr>
          <w:rFonts w:asciiTheme="majorHAnsi" w:hAnsiTheme="majorHAnsi" w:cstheme="majorHAnsi"/>
        </w:rPr>
        <w:t xml:space="preserve"> </w:t>
      </w:r>
    </w:p>
    <w:p w14:paraId="471291AC"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Psychological distress, particularly depression and anxiety, is highly prevalent among elderly cancer patients. Such psychological distress has been shown to significantly affect quality of life, treatment adherence, and overall prognosis. Although pharmacological treatments are available, they may increase the risk of adverse effects and drug interactions in older adults. Therefore, safe and effective non-pharmacological interventions tailored to geriatric oncology populations are urgently needed. Traditional Chinese massage (Tui Na), which has historically been used to harmonize the body and mind, may alleviate cancer-related psychosomatic disorders by modulating autonomic nervous system activity and mitigating affective disturbances. This study presents a standardized therapeutic massage protocol applied in elderly cancer patients with clinically diagnosed anxiety and/or depression. The primary outcomes were changes in depression and anxiety, and quality of life was assessed as a secondary outcome. Adverse events were monitored to evaluate safety.</w:t>
      </w:r>
    </w:p>
    <w:p w14:paraId="2E6B587D" w14:textId="77777777" w:rsidR="004527E5" w:rsidRDefault="004527E5">
      <w:pPr>
        <w:widowControl/>
        <w:rPr>
          <w:rFonts w:asciiTheme="majorHAnsi" w:eastAsia="Times New Roman" w:hAnsiTheme="majorHAnsi" w:cstheme="majorHAnsi"/>
          <w:lang w:val="en-IN" w:eastAsia="en-IN"/>
        </w:rPr>
      </w:pPr>
    </w:p>
    <w:p w14:paraId="672E878D"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This study demonstrates the application of therapeutic massage as a complementary, non-pharmacological intervention for psychological distress in elderly cancer patients. The findings support the integration of massage therapy into comprehensive geriatric oncology care and suggest a safe and feasible approach to improving mental well-being in this vulnerable population.</w:t>
      </w:r>
    </w:p>
    <w:p w14:paraId="7F132BBF" w14:textId="77777777" w:rsidR="004527E5" w:rsidRDefault="004527E5">
      <w:pPr>
        <w:rPr>
          <w:rFonts w:asciiTheme="majorHAnsi" w:hAnsiTheme="majorHAnsi" w:cstheme="majorHAnsi"/>
        </w:rPr>
      </w:pPr>
    </w:p>
    <w:p w14:paraId="1D824470" w14:textId="77777777" w:rsidR="004527E5" w:rsidRDefault="00000000">
      <w:pPr>
        <w:rPr>
          <w:rFonts w:asciiTheme="majorHAnsi" w:hAnsiTheme="majorHAnsi" w:cstheme="majorHAnsi"/>
        </w:rPr>
      </w:pPr>
      <w:r>
        <w:rPr>
          <w:rFonts w:asciiTheme="majorHAnsi" w:hAnsiTheme="majorHAnsi" w:cstheme="majorHAnsi"/>
          <w:b/>
        </w:rPr>
        <w:t>INTRODUCTION:</w:t>
      </w:r>
      <w:r>
        <w:rPr>
          <w:rFonts w:asciiTheme="majorHAnsi" w:hAnsiTheme="majorHAnsi" w:cstheme="majorHAnsi"/>
        </w:rPr>
        <w:t xml:space="preserve"> </w:t>
      </w:r>
    </w:p>
    <w:p w14:paraId="29882E84"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The progression of malignancies is inextricably linked to biological aging, a key driver of oncogenesis</w:t>
      </w:r>
      <w:r>
        <w:rPr>
          <w:rFonts w:asciiTheme="majorHAnsi" w:eastAsia="Times New Roman" w:hAnsiTheme="majorHAnsi" w:cstheme="majorHAnsi"/>
          <w:vertAlign w:val="superscript"/>
          <w:lang w:val="en-IN" w:eastAsia="en-IN"/>
        </w:rPr>
        <w:t>1</w:t>
      </w:r>
      <w:r>
        <w:rPr>
          <w:rFonts w:asciiTheme="majorHAnsi" w:eastAsia="Times New Roman" w:hAnsiTheme="majorHAnsi" w:cstheme="majorHAnsi"/>
          <w:lang w:val="en-IN" w:eastAsia="en-IN"/>
        </w:rPr>
        <w:t>. Population research demonstrates that seniors (≥ 65 years) represent 54% of incident malignancies globally and contribute disproportionately to 70% of cancer deaths</w:t>
      </w:r>
      <w:r>
        <w:rPr>
          <w:rFonts w:asciiTheme="majorHAnsi" w:eastAsia="Times New Roman" w:hAnsiTheme="majorHAnsi" w:cstheme="majorHAnsi"/>
          <w:vertAlign w:val="superscript"/>
          <w:lang w:val="en-IN" w:eastAsia="en-IN"/>
        </w:rPr>
        <w:t>2,3</w:t>
      </w:r>
      <w:r>
        <w:rPr>
          <w:rFonts w:asciiTheme="majorHAnsi" w:eastAsia="Times New Roman" w:hAnsiTheme="majorHAnsi" w:cstheme="majorHAnsi"/>
          <w:lang w:val="en-IN" w:eastAsia="en-IN"/>
        </w:rPr>
        <w:t>. Elderly cancer cohorts present distinctive clinical dilemmas. Relative to younger counterparts, these patients frequently manifest atypical symptom onset, heightened multimorbidity prevalence, and deficient psychosocial safety nets</w:t>
      </w:r>
      <w:r>
        <w:rPr>
          <w:rFonts w:asciiTheme="majorHAnsi" w:eastAsia="Times New Roman" w:hAnsiTheme="majorHAnsi" w:cstheme="majorHAnsi"/>
          <w:vertAlign w:val="superscript"/>
          <w:lang w:val="en-IN" w:eastAsia="en-IN"/>
        </w:rPr>
        <w:t>4-6</w:t>
      </w:r>
      <w:r>
        <w:rPr>
          <w:rFonts w:asciiTheme="majorHAnsi" w:eastAsia="Times New Roman" w:hAnsiTheme="majorHAnsi" w:cstheme="majorHAnsi"/>
          <w:lang w:val="en-IN" w:eastAsia="en-IN"/>
        </w:rPr>
        <w:t>. A salient issue involves the elevated incidence of concurrent psychiatric conditions, wherein anxiety (23%) and depressive disorders (26%) surpass population norms by substantial margins</w:t>
      </w:r>
      <w:r>
        <w:rPr>
          <w:rFonts w:asciiTheme="majorHAnsi" w:eastAsia="Times New Roman" w:hAnsiTheme="majorHAnsi" w:cstheme="majorHAnsi"/>
          <w:vertAlign w:val="superscript"/>
          <w:lang w:val="en-IN" w:eastAsia="en-IN"/>
        </w:rPr>
        <w:t>7,8</w:t>
      </w:r>
      <w:r>
        <w:rPr>
          <w:rFonts w:asciiTheme="majorHAnsi" w:eastAsia="Times New Roman" w:hAnsiTheme="majorHAnsi" w:cstheme="majorHAnsi"/>
          <w:lang w:val="en-IN" w:eastAsia="en-IN"/>
        </w:rPr>
        <w:t>.</w:t>
      </w:r>
    </w:p>
    <w:p w14:paraId="686D4FC6" w14:textId="77777777" w:rsidR="004527E5" w:rsidRDefault="004527E5">
      <w:pPr>
        <w:widowControl/>
        <w:rPr>
          <w:rFonts w:asciiTheme="majorHAnsi" w:eastAsia="Times New Roman" w:hAnsiTheme="majorHAnsi" w:cstheme="majorHAnsi"/>
          <w:lang w:val="en-IN" w:eastAsia="en-IN"/>
        </w:rPr>
      </w:pPr>
    </w:p>
    <w:p w14:paraId="449A4641"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Psychological distress in elderly cancer patients is multifactorial, involving biological, psychological, and social mechanisms. Age-related neuroendocrine dysregulation, chronic inflammation, and hypothalamic–pituitary–adrenal (HPA) axis dysfunction contributes to increased vulnerability to depression and anxiety. In addition, cancer-related symptoms such as pain, fatigue, and sleep disturbance further exacerbate psychological distress. Social factors, including functional decline, reduced independence, and diminished social support, also contribute to emotional vulnerability in geriatric oncology populations. These interconnected mechanisms highlight the complexity of psychological distress in elderly cancer patients and underscore the need for integrative therapeutic approaches.</w:t>
      </w:r>
    </w:p>
    <w:p w14:paraId="6D8617F5" w14:textId="77777777" w:rsidR="004527E5" w:rsidRDefault="004527E5">
      <w:pPr>
        <w:widowControl/>
        <w:rPr>
          <w:rFonts w:asciiTheme="majorHAnsi" w:eastAsia="Times New Roman" w:hAnsiTheme="majorHAnsi" w:cstheme="majorHAnsi"/>
          <w:lang w:val="en-IN" w:eastAsia="en-IN"/>
        </w:rPr>
      </w:pPr>
    </w:p>
    <w:p w14:paraId="4C5204DE"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Psychological comorbidities in malignancy patients propagate multifaceted consequences: they degrade life satisfaction, undermine therapeutic compliance, attenuate clinical response rates, and amplify mortality hazards</w:t>
      </w:r>
      <w:r>
        <w:rPr>
          <w:rFonts w:asciiTheme="majorHAnsi" w:eastAsia="Times New Roman" w:hAnsiTheme="majorHAnsi" w:cstheme="majorHAnsi"/>
          <w:vertAlign w:val="superscript"/>
          <w:lang w:val="en-IN" w:eastAsia="en-IN"/>
        </w:rPr>
        <w:t>9,10</w:t>
      </w:r>
      <w:r>
        <w:rPr>
          <w:rFonts w:asciiTheme="majorHAnsi" w:eastAsia="Times New Roman" w:hAnsiTheme="majorHAnsi" w:cstheme="majorHAnsi"/>
          <w:lang w:val="en-IN" w:eastAsia="en-IN"/>
        </w:rPr>
        <w:t>. Although pharmacotherapy and psychotherapy are considered standard treatments for psychological distress in cancer patients, their application in elderly populations presents specific challenges. Antidepressants and anxiolytics may increase the risk of adverse effects such as sedation, falls, drug-drug interactions, and cognitive impairment, particularly in patients with multimorbidity and polypharmacy. Psychotherapy, including cognitive behavioral therapy, may be limited by cognitive decline, reduced physical endurance, and accessibility barriers in older adults.</w:t>
      </w:r>
    </w:p>
    <w:p w14:paraId="0191A406" w14:textId="77777777" w:rsidR="004527E5" w:rsidRDefault="004527E5">
      <w:pPr>
        <w:widowControl/>
        <w:rPr>
          <w:rFonts w:asciiTheme="majorHAnsi" w:eastAsia="Times New Roman" w:hAnsiTheme="majorHAnsi" w:cstheme="majorHAnsi"/>
          <w:lang w:val="en-IN" w:eastAsia="en-IN"/>
        </w:rPr>
      </w:pPr>
    </w:p>
    <w:p w14:paraId="4B4E38D2"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In Traditional Chinese Medicine theory, psychological distress in elderly cancer patients is often attributed to disharmony of Qi and blood, deficiency of vital energy, and imbalance of the heart-liver-spleen systems. Aging and malignancy are believed to weaken vital Qi, leading to emotional disturbances such as anxiety and depression. Traditional Chinese medical massage (Tui Na) is a Chinese medical therapy that applies manipulation to points or body areas for disease treatment and prevention, as well as promoting health. It has been shown to regulate qi (The intangible, high-mobility nutritive substance that maintains vital activities) and blood circulation, as well as adjust the upper warmer. It also helps regulate and calm the mind. Its non-invasive therapeutic profile and evidence-based efficacy have been substantiated by multiple randomized controlled trials (RCTs)</w:t>
      </w:r>
      <w:r>
        <w:rPr>
          <w:rFonts w:asciiTheme="majorHAnsi" w:eastAsia="Times New Roman" w:hAnsiTheme="majorHAnsi" w:cstheme="majorHAnsi"/>
          <w:vertAlign w:val="superscript"/>
          <w:lang w:val="en-IN" w:eastAsia="en-IN"/>
        </w:rPr>
        <w:t>11-14</w:t>
      </w:r>
      <w:r>
        <w:rPr>
          <w:rFonts w:asciiTheme="majorHAnsi" w:eastAsia="Times New Roman" w:hAnsiTheme="majorHAnsi" w:cstheme="majorHAnsi"/>
          <w:lang w:val="en-IN" w:eastAsia="en-IN"/>
        </w:rPr>
        <w:t>. Emerging research suggests Tui Na interventions may ameliorate cancer-related psychosomatic disorders by modulating autonomic nervous system activity and mitigating affective disturbances</w:t>
      </w:r>
      <w:r>
        <w:rPr>
          <w:rFonts w:asciiTheme="majorHAnsi" w:eastAsia="Times New Roman" w:hAnsiTheme="majorHAnsi" w:cstheme="majorHAnsi"/>
          <w:vertAlign w:val="superscript"/>
          <w:lang w:val="en-IN" w:eastAsia="en-IN"/>
        </w:rPr>
        <w:t>15,16</w:t>
      </w:r>
      <w:r>
        <w:rPr>
          <w:rFonts w:asciiTheme="majorHAnsi" w:eastAsia="Times New Roman" w:hAnsiTheme="majorHAnsi" w:cstheme="majorHAnsi"/>
          <w:lang w:val="en-IN" w:eastAsia="en-IN"/>
        </w:rPr>
        <w:t>. Despite growing interest in personalized cancer care, there is still a lack of focused studies and treatment guidelines specifically designed to address the unique biological and physiological needs of elderly cancer patients.</w:t>
      </w:r>
    </w:p>
    <w:p w14:paraId="12E6A470" w14:textId="77777777" w:rsidR="004527E5" w:rsidRDefault="004527E5">
      <w:pPr>
        <w:widowControl/>
        <w:rPr>
          <w:rFonts w:asciiTheme="majorHAnsi" w:eastAsia="Times New Roman" w:hAnsiTheme="majorHAnsi" w:cstheme="majorHAnsi"/>
          <w:lang w:val="en-IN" w:eastAsia="en-IN"/>
        </w:rPr>
      </w:pPr>
    </w:p>
    <w:p w14:paraId="353F1AF4"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Previous systematic reviews and meta-analyses show that massage therapy significantly improves anxiety, quality of life, and pain in cancer patients. For example, a 2024 meta-analysis of 36 RCTs involving 3,671 patients reported notable benefits for anxiety and quality of life</w:t>
      </w:r>
      <w:r>
        <w:rPr>
          <w:rFonts w:asciiTheme="majorHAnsi" w:eastAsia="Times New Roman" w:hAnsiTheme="majorHAnsi" w:cstheme="majorHAnsi"/>
          <w:vertAlign w:val="superscript"/>
          <w:lang w:val="en-IN" w:eastAsia="en-IN"/>
        </w:rPr>
        <w:t>17</w:t>
      </w:r>
      <w:r>
        <w:rPr>
          <w:rFonts w:asciiTheme="majorHAnsi" w:eastAsia="Times New Roman" w:hAnsiTheme="majorHAnsi" w:cstheme="majorHAnsi"/>
          <w:lang w:val="en-IN" w:eastAsia="en-IN"/>
        </w:rPr>
        <w:t>, and another review focusing on post-surgical breast cancer patients (7 studies) demonstrated reductions in both pain and anxiety</w:t>
      </w:r>
      <w:r>
        <w:rPr>
          <w:rFonts w:asciiTheme="majorHAnsi" w:eastAsia="Times New Roman" w:hAnsiTheme="majorHAnsi" w:cstheme="majorHAnsi"/>
          <w:vertAlign w:val="superscript"/>
          <w:lang w:val="en-IN" w:eastAsia="en-IN"/>
        </w:rPr>
        <w:t>18</w:t>
      </w:r>
      <w:r>
        <w:rPr>
          <w:rFonts w:asciiTheme="majorHAnsi" w:eastAsia="Times New Roman" w:hAnsiTheme="majorHAnsi" w:cstheme="majorHAnsi"/>
          <w:lang w:val="en-IN" w:eastAsia="en-IN"/>
        </w:rPr>
        <w:t>. However, there remains a lack of focused studies specifically targeting elderly cancer patients with clinically diagnosed depression and anxiety. This study applies the Hamilton Depression scale-17 (HAMD), Hamilton Anxiety scale (HAMA), and Functional Assessment of Cancer Therapy-General (FACT-G) to evaluate psychological outcomes in this population.</w:t>
      </w:r>
    </w:p>
    <w:p w14:paraId="50F9DA4E" w14:textId="77777777" w:rsidR="004527E5" w:rsidRDefault="004527E5">
      <w:pPr>
        <w:rPr>
          <w:rFonts w:asciiTheme="majorHAnsi" w:hAnsiTheme="majorHAnsi" w:cstheme="majorHAnsi"/>
          <w:b/>
        </w:rPr>
      </w:pPr>
    </w:p>
    <w:p w14:paraId="1C38D01C" w14:textId="77777777" w:rsidR="004527E5" w:rsidRDefault="00000000">
      <w:pPr>
        <w:widowControl/>
        <w:outlineLvl w:val="1"/>
        <w:rPr>
          <w:rFonts w:asciiTheme="majorHAnsi" w:eastAsia="Times New Roman" w:hAnsiTheme="majorHAnsi" w:cstheme="majorHAnsi"/>
          <w:b/>
          <w:bCs/>
          <w:lang w:val="en-IN" w:eastAsia="en-IN"/>
        </w:rPr>
      </w:pPr>
      <w:r>
        <w:rPr>
          <w:rFonts w:asciiTheme="majorHAnsi" w:eastAsia="Times New Roman" w:hAnsiTheme="majorHAnsi" w:cstheme="majorHAnsi"/>
          <w:b/>
          <w:bCs/>
          <w:lang w:val="en-IN" w:eastAsia="en-IN"/>
        </w:rPr>
        <w:t>PROTOCOL:</w:t>
      </w:r>
    </w:p>
    <w:p w14:paraId="4A94799E" w14:textId="77777777" w:rsidR="004527E5" w:rsidRDefault="004527E5">
      <w:pPr>
        <w:widowControl/>
        <w:rPr>
          <w:rFonts w:asciiTheme="majorHAnsi" w:eastAsia="Times New Roman" w:hAnsiTheme="majorHAnsi" w:cstheme="majorHAnsi"/>
          <w:b/>
          <w:bCs/>
          <w:lang w:val="en-IN" w:eastAsia="en-IN"/>
        </w:rPr>
      </w:pPr>
    </w:p>
    <w:p w14:paraId="3D0A8C1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This protocol was adopted for a study registered in the International Traditional Medicine Clinical Trial Registry under Registration Number: ITMCTR2023000039. Written informed consent was obtained from all participants. </w:t>
      </w:r>
    </w:p>
    <w:p w14:paraId="58AE666A" w14:textId="77777777" w:rsidR="004527E5" w:rsidRDefault="004527E5">
      <w:pPr>
        <w:widowControl/>
        <w:rPr>
          <w:rFonts w:asciiTheme="majorHAnsi" w:eastAsia="Times New Roman" w:hAnsiTheme="majorHAnsi" w:cstheme="majorHAnsi"/>
          <w:lang w:val="en-IN" w:eastAsia="en-IN"/>
        </w:rPr>
      </w:pPr>
    </w:p>
    <w:p w14:paraId="359BD297" w14:textId="77777777" w:rsidR="004527E5" w:rsidRDefault="00000000">
      <w:pPr>
        <w:widowControl/>
        <w:numPr>
          <w:ilvl w:val="0"/>
          <w:numId w:val="2"/>
        </w:numPr>
        <w:tabs>
          <w:tab w:val="clear" w:pos="720"/>
        </w:tabs>
        <w:ind w:left="0" w:firstLine="0"/>
        <w:rPr>
          <w:rFonts w:asciiTheme="majorHAnsi" w:eastAsia="Times New Roman" w:hAnsiTheme="majorHAnsi" w:cstheme="majorHAnsi"/>
          <w:b/>
          <w:bCs/>
          <w:lang w:val="en-IN" w:eastAsia="en-IN"/>
        </w:rPr>
      </w:pPr>
      <w:r>
        <w:rPr>
          <w:rFonts w:asciiTheme="majorHAnsi" w:eastAsia="Times New Roman" w:hAnsiTheme="majorHAnsi" w:cstheme="majorHAnsi"/>
          <w:b/>
          <w:bCs/>
          <w:lang w:val="en-IN" w:eastAsia="en-IN"/>
        </w:rPr>
        <w:t>Research subjects</w:t>
      </w:r>
    </w:p>
    <w:p w14:paraId="35EABBC7"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br/>
        <w:t>1.1. Identify elderly cancer patients through daily electronic screening of oncology admissions across participating hospitals.</w:t>
      </w:r>
    </w:p>
    <w:p w14:paraId="0932A1BB"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br/>
        <w:t xml:space="preserve">1.2. Invite eligible patients during routine clinic visits using a standardized recruiter-led script and REDCap checklist. </w:t>
      </w:r>
    </w:p>
    <w:p w14:paraId="76732DA4" w14:textId="77777777" w:rsidR="004527E5" w:rsidRDefault="004527E5">
      <w:pPr>
        <w:widowControl/>
        <w:rPr>
          <w:rFonts w:asciiTheme="majorHAnsi" w:eastAsia="Times New Roman" w:hAnsiTheme="majorHAnsi" w:cstheme="majorHAnsi"/>
          <w:lang w:val="en-IN" w:eastAsia="en-IN"/>
        </w:rPr>
      </w:pPr>
    </w:p>
    <w:p w14:paraId="3BAADAF3" w14:textId="77777777" w:rsidR="004527E5" w:rsidRDefault="00000000">
      <w:pPr>
        <w:widowControl/>
        <w:numPr>
          <w:ilvl w:val="0"/>
          <w:numId w:val="2"/>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b/>
          <w:bCs/>
          <w:lang w:val="en-IN" w:eastAsia="en-IN"/>
        </w:rPr>
        <w:t>Inclusion criteria</w:t>
      </w:r>
    </w:p>
    <w:p w14:paraId="249E652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br/>
        <w:t>2.1. Enroll patients with a confirmed cancer diagnosis (all cancer types acceptable), aged 65 years or older, who communicate normally and demonstrate no cognitive impairment (Mini-Mental State Examination ≥ 24), assessed by specialists to have anxiety and/or depression (HAMD-17 ≥ 7 or HAMA ≥ 7) with symptoms present for at least 2 consecutive weeks, using anti-anxiety/depression medications.</w:t>
      </w:r>
    </w:p>
    <w:p w14:paraId="6B9C8BCC"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br/>
        <w:t xml:space="preserve">2.2. Obtain voluntary signed informed consent from all participants. </w:t>
      </w:r>
    </w:p>
    <w:p w14:paraId="6FABF523" w14:textId="77777777" w:rsidR="004527E5" w:rsidRDefault="004527E5">
      <w:pPr>
        <w:widowControl/>
        <w:rPr>
          <w:rFonts w:asciiTheme="majorHAnsi" w:eastAsia="Times New Roman" w:hAnsiTheme="majorHAnsi" w:cstheme="majorHAnsi"/>
          <w:lang w:val="en-IN" w:eastAsia="en-IN"/>
        </w:rPr>
      </w:pPr>
    </w:p>
    <w:p w14:paraId="32E82C70" w14:textId="77777777" w:rsidR="004527E5" w:rsidRDefault="00000000">
      <w:pPr>
        <w:widowControl/>
        <w:numPr>
          <w:ilvl w:val="0"/>
          <w:numId w:val="2"/>
        </w:numPr>
        <w:tabs>
          <w:tab w:val="clear" w:pos="720"/>
        </w:tabs>
        <w:ind w:left="0" w:firstLine="0"/>
        <w:rPr>
          <w:rFonts w:asciiTheme="majorHAnsi" w:eastAsia="Times New Roman" w:hAnsiTheme="majorHAnsi" w:cstheme="majorHAnsi"/>
          <w:b/>
          <w:bCs/>
          <w:lang w:val="en-IN" w:eastAsia="en-IN"/>
        </w:rPr>
      </w:pPr>
      <w:r>
        <w:rPr>
          <w:rFonts w:asciiTheme="majorHAnsi" w:eastAsia="Times New Roman" w:hAnsiTheme="majorHAnsi" w:cstheme="majorHAnsi"/>
          <w:b/>
          <w:bCs/>
          <w:lang w:val="en-IN" w:eastAsia="en-IN"/>
        </w:rPr>
        <w:t>Exclusion criteria</w:t>
      </w:r>
    </w:p>
    <w:p w14:paraId="0FFD8DB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br/>
        <w:t xml:space="preserve">3.1. Exclude individuals with recurrent depression or anxiety disorder defined as ≥ 2 documented episodes in the past 2 years or any prior episode requiring hospitalization ≥ 7 days; who received massage therapy intended to regulate mental state within the past 6 months; with primary psychotic disorders, bipolar disorder, severe personality disorder, or other major psychiatric illnesses requiring specialized treatment; with concomitant central nervous system lesions; currently participating in other clinical trials; with skin cancer; with significantly abnormal coagulation function or apparent skin lesions in the massage area; taking medications that may affect emotions (e.g., systemic corticosteroids, anabolic steroids, lithium, valproate, benzodiazepines); meeting criteria of Diagnostic and Statistical Manual of Mental Disorders (DSM-5) for disorders other than depression or anxiety unless the disorder is clearly secondary to cancer and HAMD/HAMA scores remain above inclusion thresholds; deemed unsuitable by specialist doctors, including but not limited to uncontrolled hypertension, severe osteoporosis, cardiovascular instability, cancer-related fragility, thrombocytopenia, or other conditions that may increase the risk of massage therapy. </w:t>
      </w:r>
    </w:p>
    <w:p w14:paraId="0D338FB0" w14:textId="77777777" w:rsidR="004527E5" w:rsidRDefault="004527E5">
      <w:pPr>
        <w:widowControl/>
        <w:rPr>
          <w:rFonts w:asciiTheme="majorHAnsi" w:eastAsia="Times New Roman" w:hAnsiTheme="majorHAnsi" w:cstheme="majorHAnsi"/>
          <w:lang w:val="en-IN" w:eastAsia="en-IN"/>
        </w:rPr>
      </w:pPr>
    </w:p>
    <w:p w14:paraId="0E1C085D"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NOTE: Include patients with advanced-stage cancer only if clinically stable and assessed as able to tolerate manual therapy.</w:t>
      </w:r>
    </w:p>
    <w:p w14:paraId="64799ED1" w14:textId="77777777" w:rsidR="004527E5" w:rsidRDefault="004527E5">
      <w:pPr>
        <w:widowControl/>
        <w:rPr>
          <w:rFonts w:asciiTheme="majorHAnsi" w:eastAsia="Times New Roman" w:hAnsiTheme="majorHAnsi" w:cstheme="majorHAnsi"/>
          <w:lang w:val="en-IN" w:eastAsia="en-IN"/>
        </w:rPr>
      </w:pPr>
    </w:p>
    <w:p w14:paraId="28CE9942" w14:textId="77777777" w:rsidR="004527E5" w:rsidRDefault="00000000">
      <w:pPr>
        <w:pStyle w:val="ListParagraph"/>
        <w:numPr>
          <w:ilvl w:val="0"/>
          <w:numId w:val="2"/>
        </w:numPr>
        <w:tabs>
          <w:tab w:val="clear" w:pos="720"/>
        </w:tabs>
        <w:spacing w:after="0" w:line="240" w:lineRule="auto"/>
        <w:ind w:left="0" w:firstLine="0"/>
        <w:jc w:val="both"/>
        <w:rPr>
          <w:rFonts w:asciiTheme="majorHAnsi" w:eastAsia="Times New Roman" w:hAnsiTheme="majorHAnsi" w:cstheme="majorHAnsi"/>
          <w:b/>
          <w:bCs/>
          <w:sz w:val="24"/>
          <w:szCs w:val="24"/>
          <w:lang w:val="en-IN" w:eastAsia="en-IN"/>
        </w:rPr>
      </w:pPr>
      <w:r>
        <w:rPr>
          <w:rFonts w:asciiTheme="majorHAnsi" w:eastAsia="Times New Roman" w:hAnsiTheme="majorHAnsi" w:cstheme="majorHAnsi"/>
          <w:b/>
          <w:bCs/>
          <w:sz w:val="24"/>
          <w:szCs w:val="24"/>
          <w:lang w:val="en-IN" w:eastAsia="en-IN"/>
        </w:rPr>
        <w:t>Treatment protocol</w:t>
      </w:r>
    </w:p>
    <w:p w14:paraId="18DA50F2" w14:textId="77777777" w:rsidR="004527E5" w:rsidRDefault="004527E5">
      <w:pPr>
        <w:pStyle w:val="ListParagraph"/>
        <w:spacing w:after="0" w:line="240" w:lineRule="auto"/>
        <w:ind w:left="0"/>
        <w:jc w:val="both"/>
        <w:rPr>
          <w:rFonts w:asciiTheme="majorHAnsi" w:eastAsia="Times New Roman" w:hAnsiTheme="majorHAnsi" w:cstheme="majorHAnsi"/>
          <w:b/>
          <w:bCs/>
          <w:sz w:val="24"/>
          <w:szCs w:val="24"/>
          <w:lang w:val="en-IN" w:eastAsia="en-IN"/>
        </w:rPr>
      </w:pPr>
    </w:p>
    <w:p w14:paraId="0A6010D6" w14:textId="77777777" w:rsidR="004527E5" w:rsidRDefault="00000000">
      <w:pPr>
        <w:pStyle w:val="ListParagraph"/>
        <w:spacing w:after="0" w:line="240" w:lineRule="auto"/>
        <w:ind w:left="0"/>
        <w:jc w:val="both"/>
        <w:rPr>
          <w:rFonts w:asciiTheme="majorHAnsi" w:eastAsia="Times New Roman" w:hAnsiTheme="majorHAnsi" w:cstheme="majorHAnsi"/>
          <w:b/>
          <w:bCs/>
          <w:sz w:val="24"/>
          <w:szCs w:val="24"/>
          <w:lang w:val="en-IN" w:eastAsia="en-IN"/>
        </w:rPr>
      </w:pPr>
      <w:r>
        <w:rPr>
          <w:rFonts w:asciiTheme="majorHAnsi" w:eastAsia="Times New Roman" w:hAnsiTheme="majorHAnsi" w:cstheme="majorHAnsi"/>
          <w:sz w:val="24"/>
          <w:szCs w:val="24"/>
          <w:lang w:val="en-IN" w:eastAsia="en-IN"/>
        </w:rPr>
        <w:t xml:space="preserve">NOTE: Refer to </w:t>
      </w:r>
      <w:r>
        <w:rPr>
          <w:rFonts w:asciiTheme="majorHAnsi" w:eastAsia="Times New Roman" w:hAnsiTheme="majorHAnsi" w:cstheme="majorHAnsi"/>
          <w:b/>
          <w:bCs/>
          <w:sz w:val="24"/>
          <w:szCs w:val="24"/>
          <w:lang w:val="en-IN" w:eastAsia="en-IN"/>
        </w:rPr>
        <w:t>Figure 1B-D</w:t>
      </w:r>
      <w:r>
        <w:rPr>
          <w:rFonts w:asciiTheme="majorHAnsi" w:eastAsia="Times New Roman" w:hAnsiTheme="majorHAnsi" w:cstheme="majorHAnsi"/>
          <w:sz w:val="24"/>
          <w:szCs w:val="24"/>
          <w:lang w:val="en-IN" w:eastAsia="en-IN"/>
        </w:rPr>
        <w:t xml:space="preserve"> and </w:t>
      </w:r>
      <w:r>
        <w:rPr>
          <w:rFonts w:asciiTheme="majorHAnsi" w:eastAsia="Times New Roman" w:hAnsiTheme="majorHAnsi" w:cstheme="majorHAnsi"/>
          <w:b/>
          <w:bCs/>
          <w:sz w:val="24"/>
          <w:szCs w:val="24"/>
          <w:lang w:val="en-IN" w:eastAsia="en-IN"/>
        </w:rPr>
        <w:t>Figure 2B-D</w:t>
      </w:r>
      <w:r>
        <w:rPr>
          <w:rFonts w:asciiTheme="majorHAnsi" w:eastAsia="Times New Roman" w:hAnsiTheme="majorHAnsi" w:cstheme="majorHAnsi"/>
          <w:sz w:val="24"/>
          <w:szCs w:val="24"/>
          <w:lang w:val="en-IN" w:eastAsia="en-IN"/>
        </w:rPr>
        <w:t xml:space="preserve"> for operational procedures.</w:t>
      </w:r>
    </w:p>
    <w:p w14:paraId="227288B5" w14:textId="77777777" w:rsidR="004527E5"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Pr>
          <w:rFonts w:asciiTheme="majorHAnsi" w:eastAsia="Times New Roman" w:hAnsiTheme="majorHAnsi" w:cstheme="majorHAnsi"/>
          <w:sz w:val="24"/>
          <w:szCs w:val="24"/>
          <w:lang w:val="en-IN" w:eastAsia="en-IN"/>
        </w:rPr>
        <w:br/>
        <w:t>4.1.</w:t>
      </w:r>
      <w:r>
        <w:rPr>
          <w:rFonts w:asciiTheme="majorHAnsi" w:eastAsia="Times New Roman" w:hAnsiTheme="majorHAnsi" w:cstheme="majorHAnsi"/>
          <w:sz w:val="24"/>
          <w:szCs w:val="24"/>
          <w:highlight w:val="yellow"/>
          <w:lang w:val="en-IN" w:eastAsia="en-IN"/>
        </w:rPr>
        <w:t xml:space="preserve"> Select bilateral acupoints: Taiyang (EX-HN5), Neiguan (PC6), Shenmen (HT7), Taichong (LR3), Xinshu (BL15), Ganshu (BL18), and Pishu (BL20).</w:t>
      </w:r>
    </w:p>
    <w:p w14:paraId="1EF34C9E" w14:textId="77777777" w:rsidR="004527E5"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Pr>
          <w:rFonts w:asciiTheme="majorHAnsi" w:eastAsia="Times New Roman" w:hAnsiTheme="majorHAnsi" w:cstheme="majorHAnsi"/>
          <w:sz w:val="24"/>
          <w:szCs w:val="24"/>
          <w:highlight w:val="yellow"/>
          <w:lang w:val="en-IN" w:eastAsia="en-IN"/>
        </w:rPr>
        <w:lastRenderedPageBreak/>
        <w:br/>
        <w:t>4.2. Position the patient supine or sitting for anterior/limb points; position the patient prone or sitting for posterior/back points as appropriate.</w:t>
      </w:r>
    </w:p>
    <w:p w14:paraId="76CEFA19" w14:textId="77777777" w:rsidR="004527E5"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Pr>
          <w:rFonts w:asciiTheme="majorHAnsi" w:eastAsia="Times New Roman" w:hAnsiTheme="majorHAnsi" w:cstheme="majorHAnsi"/>
          <w:sz w:val="24"/>
          <w:szCs w:val="24"/>
          <w:highlight w:val="yellow"/>
          <w:lang w:val="en-IN" w:eastAsia="en-IN"/>
        </w:rPr>
        <w:br/>
        <w:t>4.3. Apply massage to Taiyang, Neiguan, Shenmen, and Taichong bilaterally for 2 min per acupoint using standardized techniques (6–10 N, 120–160 times per min).</w:t>
      </w:r>
    </w:p>
    <w:p w14:paraId="7D5D93D4" w14:textId="77777777" w:rsidR="004527E5"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Pr>
          <w:rFonts w:asciiTheme="majorHAnsi" w:eastAsia="Times New Roman" w:hAnsiTheme="majorHAnsi" w:cstheme="majorHAnsi"/>
          <w:sz w:val="24"/>
          <w:szCs w:val="24"/>
          <w:highlight w:val="yellow"/>
          <w:lang w:val="en-IN" w:eastAsia="en-IN"/>
        </w:rPr>
        <w:br/>
        <w:t xml:space="preserve">4.4. Position the patient prone or sitting and apply kneading massage to Xinshu, Ganshu, and Pishu bilaterally for 2 min per acupoint. </w:t>
      </w:r>
    </w:p>
    <w:p w14:paraId="09FD2ADF" w14:textId="77777777" w:rsidR="004527E5" w:rsidRDefault="004527E5">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p>
    <w:p w14:paraId="5062746B"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NOTE: Maintain a total operation time of approximately 15–20 min per session. Deliver treatments once every other day, three times per week, for 4 weeks. Conduct all sessions during morning clinical hours at a consistent time of day.</w:t>
      </w:r>
    </w:p>
    <w:p w14:paraId="6C190AAE"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CAUTION: Massage therapy in elderly cancer patients should be performed cautiously. Adjust pressure according to patient tolerance and discontinue immediately if pain, dizziness, or other adverse symptoms occur.</w:t>
      </w:r>
    </w:p>
    <w:p w14:paraId="17BB9EF0" w14:textId="77777777" w:rsidR="004527E5" w:rsidRDefault="004527E5">
      <w:pPr>
        <w:widowControl/>
        <w:rPr>
          <w:rFonts w:asciiTheme="majorHAnsi" w:eastAsia="Times New Roman" w:hAnsiTheme="majorHAnsi" w:cstheme="majorHAnsi"/>
          <w:lang w:val="en-IN" w:eastAsia="en-IN"/>
        </w:rPr>
      </w:pPr>
    </w:p>
    <w:p w14:paraId="13CD1C0E" w14:textId="77777777" w:rsidR="004527E5" w:rsidRPr="008A4E8C" w:rsidRDefault="00000000">
      <w:pPr>
        <w:pStyle w:val="ListParagraph"/>
        <w:numPr>
          <w:ilvl w:val="0"/>
          <w:numId w:val="3"/>
        </w:numPr>
        <w:tabs>
          <w:tab w:val="clear" w:pos="720"/>
        </w:tabs>
        <w:spacing w:after="0" w:line="240" w:lineRule="auto"/>
        <w:ind w:left="0" w:firstLine="0"/>
        <w:jc w:val="both"/>
        <w:rPr>
          <w:rFonts w:asciiTheme="majorHAnsi" w:eastAsia="Times New Roman" w:hAnsiTheme="majorHAnsi" w:cstheme="majorHAnsi"/>
          <w:b/>
          <w:bCs/>
          <w:sz w:val="24"/>
          <w:szCs w:val="24"/>
          <w:highlight w:val="yellow"/>
          <w:lang w:val="en-IN" w:eastAsia="en-IN"/>
        </w:rPr>
      </w:pPr>
      <w:r w:rsidRPr="008A4E8C">
        <w:rPr>
          <w:rFonts w:asciiTheme="majorHAnsi" w:eastAsia="Times New Roman" w:hAnsiTheme="majorHAnsi" w:cstheme="majorHAnsi"/>
          <w:b/>
          <w:bCs/>
          <w:sz w:val="24"/>
          <w:szCs w:val="24"/>
          <w:highlight w:val="yellow"/>
          <w:lang w:val="en-IN" w:eastAsia="en-IN"/>
        </w:rPr>
        <w:t>Observation period</w:t>
      </w:r>
    </w:p>
    <w:p w14:paraId="3EBA07C6"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 xml:space="preserve">5.1. Observe participants for a total of 8 weeks: 4 weeks of treatment (weeks 1–4) and 4 weeks of follow-up (weeks 5–8). </w:t>
      </w:r>
    </w:p>
    <w:p w14:paraId="01C903BC" w14:textId="77777777" w:rsidR="004527E5" w:rsidRPr="008A4E8C" w:rsidRDefault="004527E5">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p>
    <w:p w14:paraId="17A0FDBE" w14:textId="77777777" w:rsidR="004527E5" w:rsidRPr="008A4E8C" w:rsidRDefault="00000000">
      <w:pPr>
        <w:widowControl/>
        <w:numPr>
          <w:ilvl w:val="0"/>
          <w:numId w:val="3"/>
        </w:numPr>
        <w:tabs>
          <w:tab w:val="clear" w:pos="720"/>
        </w:tabs>
        <w:ind w:left="0" w:firstLine="0"/>
        <w:rPr>
          <w:rFonts w:asciiTheme="majorHAnsi" w:eastAsia="Times New Roman" w:hAnsiTheme="majorHAnsi" w:cstheme="majorHAnsi"/>
          <w:b/>
          <w:bCs/>
          <w:highlight w:val="yellow"/>
          <w:lang w:val="en-IN" w:eastAsia="en-IN"/>
        </w:rPr>
      </w:pPr>
      <w:r w:rsidRPr="008A4E8C">
        <w:rPr>
          <w:rFonts w:asciiTheme="majorHAnsi" w:eastAsia="Times New Roman" w:hAnsiTheme="majorHAnsi" w:cstheme="majorHAnsi"/>
          <w:b/>
          <w:bCs/>
          <w:highlight w:val="yellow"/>
          <w:lang w:val="en-IN" w:eastAsia="en-IN"/>
        </w:rPr>
        <w:t>Outcome assessment</w:t>
      </w:r>
    </w:p>
    <w:p w14:paraId="16332F94" w14:textId="77777777" w:rsidR="004527E5" w:rsidRPr="008A4E8C" w:rsidRDefault="00000000">
      <w:pPr>
        <w:widowControl/>
        <w:rPr>
          <w:rFonts w:asciiTheme="majorHAnsi" w:eastAsia="Times New Roman" w:hAnsiTheme="majorHAnsi" w:cstheme="majorHAnsi"/>
          <w:highlight w:val="yellow"/>
          <w:lang w:val="en-IN" w:eastAsia="en-IN"/>
        </w:rPr>
      </w:pPr>
      <w:r w:rsidRPr="008A4E8C">
        <w:rPr>
          <w:rFonts w:asciiTheme="majorHAnsi" w:eastAsia="Times New Roman" w:hAnsiTheme="majorHAnsi" w:cstheme="majorHAnsi"/>
          <w:highlight w:val="yellow"/>
          <w:lang w:val="en-IN" w:eastAsia="en-IN"/>
        </w:rPr>
        <w:br/>
        <w:t>6.1. Assess HAMD-17, HAMA, and FACT-G at baseline (day 1), end of treatment (week 4), and end of follow-up (week 8).</w:t>
      </w:r>
    </w:p>
    <w:p w14:paraId="44B50B2B" w14:textId="77777777" w:rsidR="004527E5" w:rsidRPr="008A4E8C" w:rsidRDefault="00000000">
      <w:pPr>
        <w:widowControl/>
        <w:rPr>
          <w:rFonts w:asciiTheme="majorHAnsi" w:eastAsia="Times New Roman" w:hAnsiTheme="majorHAnsi" w:cstheme="majorHAnsi"/>
          <w:highlight w:val="yellow"/>
          <w:lang w:val="en-IN" w:eastAsia="en-IN"/>
        </w:rPr>
      </w:pPr>
      <w:r w:rsidRPr="008A4E8C">
        <w:rPr>
          <w:rFonts w:asciiTheme="majorHAnsi" w:eastAsia="Times New Roman" w:hAnsiTheme="majorHAnsi" w:cstheme="majorHAnsi"/>
          <w:highlight w:val="yellow"/>
          <w:lang w:val="en-IN" w:eastAsia="en-IN"/>
        </w:rPr>
        <w:br/>
        <w:t>6.2. Record changes in primary tumor status at week 4 and week 8.</w:t>
      </w:r>
    </w:p>
    <w:p w14:paraId="707A589E" w14:textId="77777777" w:rsidR="004527E5" w:rsidRPr="008A4E8C" w:rsidRDefault="00000000">
      <w:pPr>
        <w:widowControl/>
        <w:rPr>
          <w:rFonts w:asciiTheme="majorHAnsi" w:eastAsia="Times New Roman" w:hAnsiTheme="majorHAnsi" w:cstheme="majorHAnsi"/>
          <w:highlight w:val="yellow"/>
          <w:lang w:val="en-IN" w:eastAsia="en-IN"/>
        </w:rPr>
      </w:pPr>
      <w:r w:rsidRPr="008A4E8C">
        <w:rPr>
          <w:rFonts w:asciiTheme="majorHAnsi" w:eastAsia="Times New Roman" w:hAnsiTheme="majorHAnsi" w:cstheme="majorHAnsi"/>
          <w:highlight w:val="yellow"/>
          <w:lang w:val="en-IN" w:eastAsia="en-IN"/>
        </w:rPr>
        <w:br/>
        <w:t xml:space="preserve">6.3. Record any changes to anticancer therapy during treatment and follow-up periods. </w:t>
      </w:r>
    </w:p>
    <w:p w14:paraId="20A6AA19" w14:textId="77777777" w:rsidR="004527E5" w:rsidRPr="008A4E8C" w:rsidRDefault="004527E5">
      <w:pPr>
        <w:widowControl/>
        <w:rPr>
          <w:rFonts w:asciiTheme="majorHAnsi" w:eastAsia="Times New Roman" w:hAnsiTheme="majorHAnsi" w:cstheme="majorHAnsi"/>
          <w:highlight w:val="yellow"/>
          <w:lang w:val="en-IN" w:eastAsia="en-IN"/>
        </w:rPr>
      </w:pPr>
    </w:p>
    <w:p w14:paraId="34D84EEF" w14:textId="77777777" w:rsidR="004527E5" w:rsidRPr="008A4E8C" w:rsidRDefault="00000000">
      <w:pPr>
        <w:widowControl/>
        <w:rPr>
          <w:rFonts w:asciiTheme="majorHAnsi" w:eastAsia="Times New Roman" w:hAnsiTheme="majorHAnsi" w:cstheme="majorHAnsi"/>
          <w:highlight w:val="yellow"/>
          <w:lang w:val="en-IN" w:eastAsia="en-IN"/>
        </w:rPr>
      </w:pPr>
      <w:r w:rsidRPr="008A4E8C">
        <w:rPr>
          <w:rFonts w:asciiTheme="majorHAnsi" w:eastAsia="Times New Roman" w:hAnsiTheme="majorHAnsi" w:cstheme="majorHAnsi"/>
          <w:highlight w:val="yellow"/>
          <w:lang w:val="en-IN" w:eastAsia="en-IN"/>
        </w:rPr>
        <w:t>NOTE: Record anticancer treatment changes as “no change” or “change,” defined as any modification, interruption, or discontinuation documented in the medical record.</w:t>
      </w:r>
    </w:p>
    <w:p w14:paraId="6958F619" w14:textId="77777777" w:rsidR="004527E5" w:rsidRPr="008A4E8C" w:rsidRDefault="004527E5">
      <w:pPr>
        <w:widowControl/>
        <w:rPr>
          <w:rFonts w:asciiTheme="majorHAnsi" w:eastAsia="Times New Roman" w:hAnsiTheme="majorHAnsi" w:cstheme="majorHAnsi"/>
          <w:highlight w:val="yellow"/>
          <w:lang w:val="en-IN" w:eastAsia="en-IN"/>
        </w:rPr>
      </w:pPr>
    </w:p>
    <w:p w14:paraId="14E5FDAB" w14:textId="77777777" w:rsidR="004527E5" w:rsidRPr="008A4E8C" w:rsidRDefault="00000000">
      <w:pPr>
        <w:pStyle w:val="ListParagraph"/>
        <w:numPr>
          <w:ilvl w:val="0"/>
          <w:numId w:val="3"/>
        </w:numPr>
        <w:tabs>
          <w:tab w:val="clear" w:pos="720"/>
        </w:tabs>
        <w:spacing w:after="0" w:line="240" w:lineRule="auto"/>
        <w:ind w:left="0" w:firstLine="0"/>
        <w:jc w:val="both"/>
        <w:rPr>
          <w:rFonts w:asciiTheme="majorHAnsi" w:eastAsia="Times New Roman" w:hAnsiTheme="majorHAnsi" w:cstheme="majorHAnsi"/>
          <w:b/>
          <w:bCs/>
          <w:sz w:val="24"/>
          <w:szCs w:val="24"/>
          <w:highlight w:val="yellow"/>
          <w:lang w:val="en-IN" w:eastAsia="en-IN"/>
        </w:rPr>
      </w:pPr>
      <w:r w:rsidRPr="008A4E8C">
        <w:rPr>
          <w:rFonts w:asciiTheme="majorHAnsi" w:eastAsia="Times New Roman" w:hAnsiTheme="majorHAnsi" w:cstheme="majorHAnsi"/>
          <w:b/>
          <w:bCs/>
          <w:sz w:val="24"/>
          <w:szCs w:val="24"/>
          <w:highlight w:val="yellow"/>
          <w:lang w:val="en-IN" w:eastAsia="en-IN"/>
        </w:rPr>
        <w:t>Adverse event recording</w:t>
      </w:r>
    </w:p>
    <w:p w14:paraId="564141C4"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7.1. Record all adverse events related to massage operations, including skin damage, pain, and subcutaneous congestion.</w:t>
      </w:r>
    </w:p>
    <w:p w14:paraId="2084E255" w14:textId="77777777" w:rsidR="004527E5" w:rsidRPr="008A4E8C" w:rsidRDefault="00000000">
      <w:pPr>
        <w:widowControl/>
        <w:rPr>
          <w:rFonts w:asciiTheme="majorHAnsi" w:eastAsia="Times New Roman" w:hAnsiTheme="majorHAnsi" w:cstheme="majorHAnsi"/>
          <w:highlight w:val="yellow"/>
          <w:lang w:val="en-IN" w:eastAsia="en-IN"/>
        </w:rPr>
      </w:pPr>
      <w:r w:rsidRPr="008A4E8C">
        <w:rPr>
          <w:rFonts w:asciiTheme="majorHAnsi" w:eastAsia="Times New Roman" w:hAnsiTheme="majorHAnsi" w:cstheme="majorHAnsi"/>
          <w:highlight w:val="yellow"/>
          <w:lang w:val="en-IN" w:eastAsia="en-IN"/>
        </w:rPr>
        <w:br/>
        <w:t>7.2. Grade adverse events by severity (mild, moderate, severe) and relatedness to the intervention (definite, probable, possible, unlikely, or unrelated). Define these grades as follows: Mild: transient symptoms not requiring treatment; Moderate: symptoms requiring observation or minor intervention; Severe: symptoms requiring treatment, discontinuation, or hospitalization.</w:t>
      </w:r>
    </w:p>
    <w:p w14:paraId="24EBA076"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lastRenderedPageBreak/>
        <w:br/>
        <w:t xml:space="preserve">7.3. Report serious adverse events to the principal investigator and relevant authorities. </w:t>
      </w:r>
    </w:p>
    <w:p w14:paraId="7E779093" w14:textId="77777777" w:rsidR="004527E5" w:rsidRPr="008A4E8C" w:rsidRDefault="004527E5">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p>
    <w:p w14:paraId="4BF26311" w14:textId="77777777" w:rsidR="004527E5" w:rsidRPr="008A4E8C" w:rsidRDefault="00000000">
      <w:pPr>
        <w:pStyle w:val="ListParagraph"/>
        <w:numPr>
          <w:ilvl w:val="0"/>
          <w:numId w:val="4"/>
        </w:numPr>
        <w:tabs>
          <w:tab w:val="clear" w:pos="720"/>
        </w:tabs>
        <w:spacing w:after="0" w:line="240" w:lineRule="auto"/>
        <w:ind w:left="0" w:firstLine="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t>Concomitant therapy recording</w:t>
      </w:r>
    </w:p>
    <w:p w14:paraId="2CCF7332"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 xml:space="preserve">8.1. Document clinically indicated pharmacotherapy, including drug, dose, and duration. </w:t>
      </w:r>
    </w:p>
    <w:p w14:paraId="2D830DD9" w14:textId="77777777" w:rsidR="004527E5" w:rsidRPr="008A4E8C" w:rsidRDefault="004527E5">
      <w:pPr>
        <w:widowControl/>
        <w:rPr>
          <w:rFonts w:asciiTheme="majorHAnsi" w:eastAsia="Times New Roman" w:hAnsiTheme="majorHAnsi" w:cstheme="majorHAnsi"/>
          <w:highlight w:val="yellow"/>
          <w:lang w:val="en-IN" w:eastAsia="en-IN"/>
        </w:rPr>
      </w:pPr>
    </w:p>
    <w:p w14:paraId="17B6F8A7" w14:textId="77777777" w:rsidR="004527E5" w:rsidRPr="008A4E8C" w:rsidRDefault="00000000">
      <w:pPr>
        <w:pStyle w:val="ListParagraph"/>
        <w:numPr>
          <w:ilvl w:val="1"/>
          <w:numId w:val="5"/>
        </w:numPr>
        <w:spacing w:after="0" w:line="240" w:lineRule="auto"/>
        <w:ind w:left="0" w:firstLine="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t>Termination criteria</w:t>
      </w:r>
    </w:p>
    <w:p w14:paraId="616DE8B2"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8.1. Terminate participation in cases of withdrawal or loss to follow-up.</w:t>
      </w:r>
    </w:p>
    <w:p w14:paraId="5084E02F"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8.2. Terminate participation if adverse reactions render continuation unsafe.</w:t>
      </w:r>
    </w:p>
    <w:p w14:paraId="14995E04"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8.3. Terminate participation if disease progression prevents continuation.</w:t>
      </w:r>
    </w:p>
    <w:p w14:paraId="5AB88B5B"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 xml:space="preserve">8.4. Terminate participation if medications affecting the emotional state become necessary. </w:t>
      </w:r>
    </w:p>
    <w:p w14:paraId="74C6FBF8" w14:textId="77777777" w:rsidR="004527E5" w:rsidRPr="008A4E8C" w:rsidRDefault="004527E5">
      <w:pPr>
        <w:widowControl/>
        <w:rPr>
          <w:rFonts w:asciiTheme="majorHAnsi" w:eastAsia="Times New Roman" w:hAnsiTheme="majorHAnsi" w:cstheme="majorHAnsi"/>
          <w:highlight w:val="yellow"/>
          <w:lang w:val="en-IN" w:eastAsia="en-IN"/>
        </w:rPr>
      </w:pPr>
    </w:p>
    <w:p w14:paraId="10BD581A" w14:textId="77777777" w:rsidR="004527E5" w:rsidRPr="008A4E8C" w:rsidRDefault="00000000">
      <w:pPr>
        <w:pStyle w:val="ListParagraph"/>
        <w:numPr>
          <w:ilvl w:val="0"/>
          <w:numId w:val="5"/>
        </w:numPr>
        <w:spacing w:after="0" w:line="240" w:lineRule="auto"/>
        <w:ind w:left="0" w:firstLine="0"/>
        <w:jc w:val="both"/>
        <w:rPr>
          <w:rFonts w:asciiTheme="majorHAnsi" w:eastAsia="Times New Roman" w:hAnsiTheme="majorHAnsi" w:cstheme="majorHAnsi"/>
          <w:b/>
          <w:bCs/>
          <w:sz w:val="24"/>
          <w:szCs w:val="24"/>
          <w:highlight w:val="yellow"/>
          <w:lang w:val="en-IN" w:eastAsia="en-IN"/>
        </w:rPr>
      </w:pPr>
      <w:r w:rsidRPr="008A4E8C">
        <w:rPr>
          <w:rFonts w:asciiTheme="majorHAnsi" w:eastAsia="Times New Roman" w:hAnsiTheme="majorHAnsi" w:cstheme="majorHAnsi"/>
          <w:b/>
          <w:bCs/>
          <w:sz w:val="24"/>
          <w:szCs w:val="24"/>
          <w:highlight w:val="yellow"/>
          <w:lang w:val="en-IN" w:eastAsia="en-IN"/>
        </w:rPr>
        <w:t>Quality control</w:t>
      </w:r>
    </w:p>
    <w:p w14:paraId="4AE98C6D"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9.1. Train and certify all therapists in acupoint localization, manipulation techniques, and treatment rhythm.</w:t>
      </w:r>
    </w:p>
    <w:p w14:paraId="7CBD072A" w14:textId="77777777" w:rsidR="004527E5" w:rsidRPr="008A4E8C" w:rsidRDefault="00000000">
      <w:pPr>
        <w:pStyle w:val="ListParagraph"/>
        <w:spacing w:after="0" w:line="240" w:lineRule="auto"/>
        <w:ind w:left="0"/>
        <w:jc w:val="both"/>
        <w:rPr>
          <w:rFonts w:asciiTheme="majorHAnsi" w:eastAsia="Times New Roman" w:hAnsiTheme="majorHAnsi" w:cstheme="majorHAnsi"/>
          <w:sz w:val="24"/>
          <w:szCs w:val="24"/>
          <w:highlight w:val="yellow"/>
          <w:lang w:val="en-IN" w:eastAsia="en-IN"/>
        </w:rPr>
      </w:pPr>
      <w:r w:rsidRPr="008A4E8C">
        <w:rPr>
          <w:rFonts w:asciiTheme="majorHAnsi" w:eastAsia="Times New Roman" w:hAnsiTheme="majorHAnsi" w:cstheme="majorHAnsi"/>
          <w:sz w:val="24"/>
          <w:szCs w:val="24"/>
          <w:highlight w:val="yellow"/>
          <w:lang w:val="en-IN" w:eastAsia="en-IN"/>
        </w:rPr>
        <w:br/>
        <w:t>9.2. Provide standardized operation manuals and instructional materials.</w:t>
      </w:r>
    </w:p>
    <w:p w14:paraId="7AC8C0BA" w14:textId="77777777" w:rsidR="004527E5" w:rsidRDefault="00000000">
      <w:pPr>
        <w:pStyle w:val="ListParagraph"/>
        <w:spacing w:after="0" w:line="240" w:lineRule="auto"/>
        <w:ind w:left="0"/>
        <w:jc w:val="both"/>
        <w:rPr>
          <w:rFonts w:asciiTheme="majorHAnsi" w:eastAsia="Times New Roman" w:hAnsiTheme="majorHAnsi" w:cstheme="majorHAnsi"/>
          <w:sz w:val="24"/>
          <w:szCs w:val="24"/>
          <w:lang w:val="en-IN" w:eastAsia="en-IN"/>
        </w:rPr>
      </w:pPr>
      <w:r w:rsidRPr="008A4E8C">
        <w:rPr>
          <w:rFonts w:asciiTheme="majorHAnsi" w:eastAsia="Times New Roman" w:hAnsiTheme="majorHAnsi" w:cstheme="majorHAnsi"/>
          <w:sz w:val="24"/>
          <w:szCs w:val="24"/>
          <w:highlight w:val="yellow"/>
          <w:lang w:val="en-IN" w:eastAsia="en-IN"/>
        </w:rPr>
        <w:br/>
        <w:t>9.3. Conduct periodic supervision and fidelity checks.</w:t>
      </w:r>
      <w:r>
        <w:rPr>
          <w:rFonts w:asciiTheme="majorHAnsi" w:eastAsia="Times New Roman" w:hAnsiTheme="majorHAnsi" w:cstheme="majorHAnsi"/>
          <w:sz w:val="24"/>
          <w:szCs w:val="24"/>
          <w:lang w:val="en-IN" w:eastAsia="en-IN"/>
        </w:rPr>
        <w:t xml:space="preserve"> </w:t>
      </w:r>
    </w:p>
    <w:p w14:paraId="0296A41F" w14:textId="77777777" w:rsidR="004527E5" w:rsidRDefault="004527E5">
      <w:pPr>
        <w:rPr>
          <w:rFonts w:asciiTheme="majorHAnsi" w:hAnsiTheme="majorHAnsi" w:cstheme="majorHAnsi"/>
          <w:b/>
        </w:rPr>
      </w:pPr>
    </w:p>
    <w:p w14:paraId="6822F92C" w14:textId="77777777" w:rsidR="004527E5" w:rsidRDefault="00000000">
      <w:pPr>
        <w:rPr>
          <w:rFonts w:asciiTheme="majorHAnsi" w:hAnsiTheme="majorHAnsi" w:cstheme="majorHAnsi"/>
          <w:b/>
        </w:rPr>
      </w:pPr>
      <w:r>
        <w:rPr>
          <w:rFonts w:asciiTheme="majorHAnsi" w:hAnsiTheme="majorHAnsi" w:cstheme="majorHAnsi"/>
          <w:b/>
        </w:rPr>
        <w:t>REPRESENTATIVE RESULTS:</w:t>
      </w:r>
    </w:p>
    <w:p w14:paraId="20BE0ADE"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To verify the practical feasibility and procedural fidelity of the intervention protocol, 13 participants undergoing therapeutic massage were included for representative procedural evaluation during the implementation phase. This intervention involves standardized acupoint manipulation and operator–participant interaction as defined in the protocol. The detailed operational workflow, therapist positioning, acupoint sequence, and manipulation procedures are illustrated in </w:t>
      </w:r>
      <w:r>
        <w:rPr>
          <w:rFonts w:asciiTheme="majorHAnsi" w:eastAsia="Times New Roman" w:hAnsiTheme="majorHAnsi" w:cstheme="majorHAnsi"/>
          <w:b/>
          <w:bCs/>
          <w:lang w:val="en-IN" w:eastAsia="en-IN"/>
        </w:rPr>
        <w:t xml:space="preserve">Figure 1 </w:t>
      </w:r>
      <w:r>
        <w:rPr>
          <w:rFonts w:asciiTheme="majorHAnsi" w:eastAsia="Times New Roman" w:hAnsiTheme="majorHAnsi" w:cstheme="majorHAnsi"/>
          <w:lang w:val="en-IN" w:eastAsia="en-IN"/>
        </w:rPr>
        <w:t>and</w:t>
      </w:r>
      <w:r>
        <w:rPr>
          <w:rFonts w:asciiTheme="majorHAnsi" w:eastAsia="Times New Roman" w:hAnsiTheme="majorHAnsi" w:cstheme="majorHAnsi"/>
          <w:b/>
          <w:bCs/>
          <w:lang w:val="en-IN" w:eastAsia="en-IN"/>
        </w:rPr>
        <w:t xml:space="preserve"> Figure 2</w:t>
      </w:r>
      <w:r>
        <w:rPr>
          <w:rFonts w:asciiTheme="majorHAnsi" w:eastAsia="Times New Roman" w:hAnsiTheme="majorHAnsi" w:cstheme="majorHAnsi"/>
          <w:lang w:val="en-IN" w:eastAsia="en-IN"/>
        </w:rPr>
        <w:t>, providing visual confirmation of procedural standardization and reproducibility. These observations demonstrate the technical feasibility, safety, and internal consistency of the intervention.</w:t>
      </w:r>
    </w:p>
    <w:p w14:paraId="35B3B71F" w14:textId="77777777" w:rsidR="004527E5" w:rsidRDefault="004527E5">
      <w:pPr>
        <w:widowControl/>
        <w:rPr>
          <w:rFonts w:asciiTheme="majorHAnsi" w:eastAsia="Times New Roman" w:hAnsiTheme="majorHAnsi" w:cstheme="majorHAnsi"/>
          <w:lang w:val="en-IN" w:eastAsia="en-IN"/>
        </w:rPr>
      </w:pPr>
    </w:p>
    <w:p w14:paraId="4A84FD3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Among the 13 participants, 12 completed all scheduled treatment and follow-up visits, whereas one participant had incomplete case report form (CRF) entries at Weeks 4 and 8. For the remaining 12 participants, the treatment completion rate, follow-up attainment rate, and CRF integrity all reached 100%, and no adverse events were observed, indicating procedural reliability and safety of the massage technique.</w:t>
      </w:r>
    </w:p>
    <w:p w14:paraId="6AF443AF" w14:textId="77777777" w:rsidR="004527E5" w:rsidRDefault="004527E5">
      <w:pPr>
        <w:widowControl/>
        <w:rPr>
          <w:rFonts w:asciiTheme="majorHAnsi" w:eastAsia="Times New Roman" w:hAnsiTheme="majorHAnsi" w:cstheme="majorHAnsi"/>
          <w:lang w:val="en-IN" w:eastAsia="en-IN"/>
        </w:rPr>
      </w:pPr>
    </w:p>
    <w:p w14:paraId="37D57CB2"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b/>
          <w:bCs/>
          <w:lang w:val="en-IN" w:eastAsia="en-IN"/>
        </w:rPr>
        <w:t>Figure 3</w:t>
      </w:r>
      <w:r>
        <w:rPr>
          <w:rFonts w:asciiTheme="majorHAnsi" w:eastAsia="Times New Roman" w:hAnsiTheme="majorHAnsi" w:cstheme="majorHAnsi"/>
          <w:lang w:val="en-IN" w:eastAsia="en-IN"/>
        </w:rPr>
        <w:t xml:space="preserve"> shows the temporal trends in emotional and quality-of-life scores across the 8-week observation period. The mean HAMA score decreased from 19.42 (± 9.18) at baseline to 5.08 (± </w:t>
      </w:r>
      <w:r>
        <w:rPr>
          <w:rFonts w:asciiTheme="majorHAnsi" w:eastAsia="Times New Roman" w:hAnsiTheme="majorHAnsi" w:cstheme="majorHAnsi"/>
          <w:lang w:val="en-IN" w:eastAsia="en-IN"/>
        </w:rPr>
        <w:lastRenderedPageBreak/>
        <w:t>3.00) at Week 4 and slightly increased to 7.00 (± 2.63) at Week 8 (</w:t>
      </w:r>
      <w:r>
        <w:rPr>
          <w:rFonts w:asciiTheme="majorHAnsi" w:eastAsia="Times New Roman" w:hAnsiTheme="majorHAnsi" w:cstheme="majorHAnsi"/>
          <w:b/>
          <w:bCs/>
          <w:lang w:val="en-IN" w:eastAsia="en-IN"/>
        </w:rPr>
        <w:t>Table 1</w:t>
      </w:r>
      <w:r>
        <w:rPr>
          <w:rFonts w:asciiTheme="majorHAnsi" w:eastAsia="Times New Roman" w:hAnsiTheme="majorHAnsi" w:cstheme="majorHAnsi"/>
          <w:lang w:val="en-IN" w:eastAsia="en-IN"/>
        </w:rPr>
        <w:t>). Similarly, the mean HAMD score declined from 27.33 (± 12.39) at baseline to 8.17 (± 4.39) at Week 4 and increased to 11.00 (± 4.26) at Week 8 (</w:t>
      </w:r>
      <w:r>
        <w:rPr>
          <w:rFonts w:asciiTheme="majorHAnsi" w:eastAsia="Times New Roman" w:hAnsiTheme="majorHAnsi" w:cstheme="majorHAnsi"/>
          <w:b/>
          <w:bCs/>
          <w:lang w:val="en-IN" w:eastAsia="en-IN"/>
        </w:rPr>
        <w:t>Table 1</w:t>
      </w:r>
      <w:r>
        <w:rPr>
          <w:rFonts w:asciiTheme="majorHAnsi" w:eastAsia="Times New Roman" w:hAnsiTheme="majorHAnsi" w:cstheme="majorHAnsi"/>
          <w:lang w:val="en-IN" w:eastAsia="en-IN"/>
        </w:rPr>
        <w:t>). These results indicate improvement in anxiety and depressive symptoms during the treatment phase (Weeks 1–4), followed by partial return of symptoms after treatment cessation.</w:t>
      </w:r>
    </w:p>
    <w:p w14:paraId="141D96B4" w14:textId="77777777" w:rsidR="004527E5" w:rsidRDefault="004527E5">
      <w:pPr>
        <w:widowControl/>
        <w:rPr>
          <w:rFonts w:asciiTheme="majorHAnsi" w:eastAsia="Times New Roman" w:hAnsiTheme="majorHAnsi" w:cstheme="majorHAnsi"/>
          <w:lang w:val="en-IN" w:eastAsia="en-IN"/>
        </w:rPr>
      </w:pPr>
    </w:p>
    <w:p w14:paraId="4E2B294B"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In contrast, the FACT score, where higher values denote better health-related quality of life, increased from 47.00 (± 22.45) at baseline to 54.25 (± 6.40) at Week 4, then decreased to 50.42 (± 4.70) at Week 8 (</w:t>
      </w:r>
      <w:r>
        <w:rPr>
          <w:rFonts w:asciiTheme="majorHAnsi" w:eastAsia="Times New Roman" w:hAnsiTheme="majorHAnsi" w:cstheme="majorHAnsi"/>
          <w:b/>
          <w:bCs/>
          <w:lang w:val="en-IN" w:eastAsia="en-IN"/>
        </w:rPr>
        <w:t>Table 1</w:t>
      </w:r>
      <w:r>
        <w:rPr>
          <w:rFonts w:asciiTheme="majorHAnsi" w:eastAsia="Times New Roman" w:hAnsiTheme="majorHAnsi" w:cstheme="majorHAnsi"/>
          <w:lang w:val="en-IN" w:eastAsia="en-IN"/>
        </w:rPr>
        <w:t>). This pattern reflects improvement in perceived quality of life during active intervention, with some reduction after discontinuation.</w:t>
      </w:r>
    </w:p>
    <w:p w14:paraId="68DBFB09" w14:textId="77777777" w:rsidR="004527E5" w:rsidRDefault="004527E5">
      <w:pPr>
        <w:widowControl/>
        <w:rPr>
          <w:rFonts w:asciiTheme="majorHAnsi" w:eastAsia="Times New Roman" w:hAnsiTheme="majorHAnsi" w:cstheme="majorHAnsi"/>
          <w:lang w:val="en-IN" w:eastAsia="en-IN"/>
        </w:rPr>
      </w:pPr>
    </w:p>
    <w:p w14:paraId="5A3A6B79"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These representative findings indicate that the standardized massage protocol was feasible, safe, and well tolerated, and was associated with improvements in emotional symptoms and quality of life during treatment. The attenuation observed at follow-up suggests that sustained or repeated intervention may be required to maintain these effects in elderly cancer patients.</w:t>
      </w:r>
    </w:p>
    <w:p w14:paraId="0E39EDAE" w14:textId="77777777" w:rsidR="004527E5" w:rsidRDefault="004527E5">
      <w:pPr>
        <w:rPr>
          <w:rFonts w:asciiTheme="majorHAnsi" w:hAnsiTheme="majorHAnsi" w:cstheme="majorHAnsi"/>
          <w:bCs/>
        </w:rPr>
      </w:pPr>
    </w:p>
    <w:p w14:paraId="5F5FF531" w14:textId="77777777" w:rsidR="004527E5" w:rsidRDefault="00000000">
      <w:pPr>
        <w:rPr>
          <w:rFonts w:asciiTheme="majorHAnsi" w:hAnsiTheme="majorHAnsi" w:cstheme="majorHAnsi"/>
        </w:rPr>
      </w:pPr>
      <w:r>
        <w:rPr>
          <w:rFonts w:asciiTheme="majorHAnsi" w:hAnsiTheme="majorHAnsi" w:cstheme="majorHAnsi"/>
          <w:b/>
        </w:rPr>
        <w:t>FIGURE AND TABLE LEGENDS:</w:t>
      </w:r>
      <w:r>
        <w:rPr>
          <w:rFonts w:asciiTheme="majorHAnsi" w:hAnsiTheme="majorHAnsi" w:cstheme="majorHAnsi"/>
        </w:rPr>
        <w:t xml:space="preserve"> </w:t>
      </w:r>
    </w:p>
    <w:p w14:paraId="7F4E2F7D" w14:textId="77777777" w:rsidR="004527E5" w:rsidRDefault="004527E5">
      <w:pPr>
        <w:widowControl/>
        <w:textAlignment w:val="center"/>
        <w:rPr>
          <w:rFonts w:asciiTheme="majorHAnsi" w:eastAsia="SimSun" w:hAnsiTheme="majorHAnsi" w:cstheme="majorHAnsi"/>
          <w:lang w:eastAsia="zh-CN" w:bidi="ar"/>
        </w:rPr>
      </w:pPr>
    </w:p>
    <w:p w14:paraId="7580D4AE" w14:textId="77777777" w:rsidR="004527E5" w:rsidRDefault="00000000">
      <w:pPr>
        <w:widowControl/>
        <w:textAlignment w:val="center"/>
        <w:rPr>
          <w:rFonts w:asciiTheme="majorHAnsi" w:eastAsia="SimSun" w:hAnsiTheme="majorHAnsi" w:cstheme="majorHAnsi"/>
          <w:lang w:val="en-IN" w:eastAsia="zh-CN" w:bidi="ar"/>
        </w:rPr>
      </w:pPr>
      <w:r>
        <w:rPr>
          <w:rFonts w:asciiTheme="majorHAnsi" w:eastAsia="SimSun" w:hAnsiTheme="majorHAnsi" w:cstheme="majorHAnsi"/>
          <w:b/>
          <w:bCs/>
          <w:lang w:val="en-IN" w:eastAsia="zh-CN" w:bidi="ar"/>
        </w:rPr>
        <w:t>Figure 1. Acupoint locations and operation demonstrations for EX-HN5 (Taiyang), PC6 (Neiguan), and HT7 (Shenmen).</w:t>
      </w:r>
      <w:r>
        <w:rPr>
          <w:rFonts w:asciiTheme="majorHAnsi" w:eastAsia="SimSun" w:hAnsiTheme="majorHAnsi" w:cstheme="majorHAnsi"/>
          <w:lang w:val="en-IN" w:eastAsia="zh-CN" w:bidi="ar"/>
        </w:rPr>
        <w:t xml:space="preserve"> (</w:t>
      </w:r>
      <w:r>
        <w:rPr>
          <w:rFonts w:asciiTheme="majorHAnsi" w:eastAsia="SimSun" w:hAnsiTheme="majorHAnsi" w:cstheme="majorHAnsi"/>
          <w:b/>
          <w:bCs/>
          <w:lang w:val="en-IN" w:eastAsia="zh-CN" w:bidi="ar"/>
        </w:rPr>
        <w:t>A</w:t>
      </w:r>
      <w:r>
        <w:rPr>
          <w:rFonts w:asciiTheme="majorHAnsi" w:eastAsia="SimSun" w:hAnsiTheme="majorHAnsi" w:cstheme="majorHAnsi"/>
          <w:lang w:val="en-IN" w:eastAsia="zh-CN" w:bidi="ar"/>
        </w:rPr>
        <w:t>) Standard acupoint locations of EX-HN5, PC6, and HT7. Demonstration of operating (</w:t>
      </w:r>
      <w:r>
        <w:rPr>
          <w:rFonts w:asciiTheme="majorHAnsi" w:eastAsia="SimSun" w:hAnsiTheme="majorHAnsi" w:cstheme="majorHAnsi"/>
          <w:b/>
          <w:bCs/>
          <w:lang w:val="en-IN" w:eastAsia="zh-CN" w:bidi="ar"/>
        </w:rPr>
        <w:t>B</w:t>
      </w:r>
      <w:r>
        <w:rPr>
          <w:rFonts w:asciiTheme="majorHAnsi" w:eastAsia="SimSun" w:hAnsiTheme="majorHAnsi" w:cstheme="majorHAnsi"/>
          <w:lang w:val="en-IN" w:eastAsia="zh-CN" w:bidi="ar"/>
        </w:rPr>
        <w:t>) EX-HN5 (Taiyang), showing therapist positioning, hand placement, and manipulation technique, (</w:t>
      </w:r>
      <w:r>
        <w:rPr>
          <w:rFonts w:asciiTheme="majorHAnsi" w:eastAsia="SimSun" w:hAnsiTheme="majorHAnsi" w:cstheme="majorHAnsi"/>
          <w:b/>
          <w:bCs/>
          <w:lang w:val="en-IN" w:eastAsia="zh-CN" w:bidi="ar"/>
        </w:rPr>
        <w:t>C</w:t>
      </w:r>
      <w:r>
        <w:rPr>
          <w:rFonts w:asciiTheme="majorHAnsi" w:eastAsia="SimSun" w:hAnsiTheme="majorHAnsi" w:cstheme="majorHAnsi"/>
          <w:lang w:val="en-IN" w:eastAsia="zh-CN" w:bidi="ar"/>
        </w:rPr>
        <w:t>) PC6 (Neiguan), showing therapist positioning, hand placement, and manipulation technique, (</w:t>
      </w:r>
      <w:r>
        <w:rPr>
          <w:rFonts w:asciiTheme="majorHAnsi" w:eastAsia="SimSun" w:hAnsiTheme="majorHAnsi" w:cstheme="majorHAnsi"/>
          <w:b/>
          <w:bCs/>
          <w:lang w:val="en-IN" w:eastAsia="zh-CN" w:bidi="ar"/>
        </w:rPr>
        <w:t>D</w:t>
      </w:r>
      <w:r>
        <w:rPr>
          <w:rFonts w:asciiTheme="majorHAnsi" w:eastAsia="SimSun" w:hAnsiTheme="majorHAnsi" w:cstheme="majorHAnsi"/>
          <w:lang w:val="en-IN" w:eastAsia="zh-CN" w:bidi="ar"/>
        </w:rPr>
        <w:t>) HT7 (Shenmen), showing therapist positioning, hand placement, and manipulation technique.</w:t>
      </w:r>
    </w:p>
    <w:p w14:paraId="6A6C043B" w14:textId="77777777" w:rsidR="004527E5" w:rsidRDefault="004527E5">
      <w:pPr>
        <w:widowControl/>
        <w:textAlignment w:val="center"/>
        <w:rPr>
          <w:rFonts w:asciiTheme="majorHAnsi" w:eastAsia="SimSun" w:hAnsiTheme="majorHAnsi" w:cstheme="majorHAnsi"/>
          <w:lang w:val="en-IN" w:eastAsia="zh-CN" w:bidi="ar"/>
        </w:rPr>
      </w:pPr>
    </w:p>
    <w:p w14:paraId="4CEB305D" w14:textId="77777777" w:rsidR="004527E5" w:rsidRDefault="00000000">
      <w:pPr>
        <w:widowControl/>
        <w:textAlignment w:val="center"/>
        <w:rPr>
          <w:rFonts w:asciiTheme="majorHAnsi" w:eastAsia="SimSun" w:hAnsiTheme="majorHAnsi" w:cstheme="majorHAnsi"/>
          <w:lang w:val="en-IN" w:eastAsia="zh-CN" w:bidi="ar"/>
        </w:rPr>
      </w:pPr>
      <w:r>
        <w:rPr>
          <w:rFonts w:asciiTheme="majorHAnsi" w:eastAsia="SimSun" w:hAnsiTheme="majorHAnsi" w:cstheme="majorHAnsi"/>
          <w:b/>
          <w:bCs/>
          <w:lang w:val="en-IN" w:eastAsia="zh-CN" w:bidi="ar"/>
        </w:rPr>
        <w:t>Figure 2. Acupoint locations and operation demonstrations for LR3 (Taichong), BL15 (Xinshu), BL18 (Ganshu), and BL20 (Pishu).</w:t>
      </w:r>
      <w:r>
        <w:rPr>
          <w:rFonts w:asciiTheme="majorHAnsi" w:eastAsia="SimSun" w:hAnsiTheme="majorHAnsi" w:cstheme="majorHAnsi"/>
          <w:lang w:val="en-IN" w:eastAsia="zh-CN" w:bidi="ar"/>
        </w:rPr>
        <w:t xml:space="preserve"> (</w:t>
      </w:r>
      <w:r>
        <w:rPr>
          <w:rFonts w:asciiTheme="majorHAnsi" w:eastAsia="SimSun" w:hAnsiTheme="majorHAnsi" w:cstheme="majorHAnsi"/>
          <w:b/>
          <w:bCs/>
          <w:lang w:val="en-IN" w:eastAsia="zh-CN" w:bidi="ar"/>
        </w:rPr>
        <w:t>A</w:t>
      </w:r>
      <w:r>
        <w:rPr>
          <w:rFonts w:asciiTheme="majorHAnsi" w:eastAsia="SimSun" w:hAnsiTheme="majorHAnsi" w:cstheme="majorHAnsi"/>
          <w:lang w:val="en-IN" w:eastAsia="zh-CN" w:bidi="ar"/>
        </w:rPr>
        <w:t>) Standard acupoint locations of LR3, BL15, BL18, and BL20. Demonstration of operating (</w:t>
      </w:r>
      <w:r>
        <w:rPr>
          <w:rFonts w:asciiTheme="majorHAnsi" w:eastAsia="SimSun" w:hAnsiTheme="majorHAnsi" w:cstheme="majorHAnsi"/>
          <w:b/>
          <w:bCs/>
          <w:lang w:val="en-IN" w:eastAsia="zh-CN" w:bidi="ar"/>
        </w:rPr>
        <w:t>B</w:t>
      </w:r>
      <w:r>
        <w:rPr>
          <w:rFonts w:asciiTheme="majorHAnsi" w:eastAsia="SimSun" w:hAnsiTheme="majorHAnsi" w:cstheme="majorHAnsi"/>
          <w:lang w:val="en-IN" w:eastAsia="zh-CN" w:bidi="ar"/>
        </w:rPr>
        <w:t>) LR3 (Taichong), showing therapist positioning, hand placement, and manipulation technique, (</w:t>
      </w:r>
      <w:r>
        <w:rPr>
          <w:rFonts w:asciiTheme="majorHAnsi" w:eastAsia="SimSun" w:hAnsiTheme="majorHAnsi" w:cstheme="majorHAnsi"/>
          <w:b/>
          <w:bCs/>
          <w:lang w:val="en-IN" w:eastAsia="zh-CN" w:bidi="ar"/>
        </w:rPr>
        <w:t>C</w:t>
      </w:r>
      <w:r>
        <w:rPr>
          <w:rFonts w:asciiTheme="majorHAnsi" w:eastAsia="SimSun" w:hAnsiTheme="majorHAnsi" w:cstheme="majorHAnsi"/>
          <w:lang w:val="en-IN" w:eastAsia="zh-CN" w:bidi="ar"/>
        </w:rPr>
        <w:t>) BL15 (Xinshu), showing therapist positioning, hand placement, and manipulation technique, (</w:t>
      </w:r>
      <w:r>
        <w:rPr>
          <w:rFonts w:asciiTheme="majorHAnsi" w:eastAsia="SimSun" w:hAnsiTheme="majorHAnsi" w:cstheme="majorHAnsi"/>
          <w:b/>
          <w:bCs/>
          <w:lang w:val="en-IN" w:eastAsia="zh-CN" w:bidi="ar"/>
        </w:rPr>
        <w:t>D</w:t>
      </w:r>
      <w:r>
        <w:rPr>
          <w:rFonts w:asciiTheme="majorHAnsi" w:eastAsia="SimSun" w:hAnsiTheme="majorHAnsi" w:cstheme="majorHAnsi"/>
          <w:lang w:val="en-IN" w:eastAsia="zh-CN" w:bidi="ar"/>
        </w:rPr>
        <w:t>) BL18 (Ganshu), showing therapist positioning, hand placement, and manipulation technique, (</w:t>
      </w:r>
      <w:r>
        <w:rPr>
          <w:rFonts w:asciiTheme="majorHAnsi" w:eastAsia="SimSun" w:hAnsiTheme="majorHAnsi" w:cstheme="majorHAnsi"/>
          <w:b/>
          <w:bCs/>
          <w:lang w:val="en-IN" w:eastAsia="zh-CN" w:bidi="ar"/>
        </w:rPr>
        <w:t>E</w:t>
      </w:r>
      <w:r>
        <w:rPr>
          <w:rFonts w:asciiTheme="majorHAnsi" w:eastAsia="SimSun" w:hAnsiTheme="majorHAnsi" w:cstheme="majorHAnsi"/>
          <w:lang w:val="en-IN" w:eastAsia="zh-CN" w:bidi="ar"/>
        </w:rPr>
        <w:t>) BL20 (Pishu), showing therapist positioning, hand placement, and manipulation technique.</w:t>
      </w:r>
    </w:p>
    <w:p w14:paraId="75AB2CF5" w14:textId="77777777" w:rsidR="004527E5" w:rsidRDefault="004527E5">
      <w:pPr>
        <w:widowControl/>
        <w:textAlignment w:val="center"/>
        <w:rPr>
          <w:rFonts w:asciiTheme="majorHAnsi" w:eastAsia="SimSun" w:hAnsiTheme="majorHAnsi" w:cstheme="majorHAnsi"/>
          <w:lang w:val="en-IN" w:eastAsia="zh-CN" w:bidi="ar"/>
        </w:rPr>
      </w:pPr>
    </w:p>
    <w:p w14:paraId="42E8B6A7" w14:textId="77777777" w:rsidR="004527E5" w:rsidRDefault="00000000">
      <w:pPr>
        <w:widowControl/>
        <w:textAlignment w:val="center"/>
        <w:rPr>
          <w:rFonts w:asciiTheme="majorHAnsi" w:eastAsia="SimSun" w:hAnsiTheme="majorHAnsi" w:cstheme="majorHAnsi"/>
          <w:lang w:val="en-IN" w:eastAsia="zh-CN" w:bidi="ar"/>
        </w:rPr>
      </w:pPr>
      <w:r>
        <w:rPr>
          <w:rFonts w:asciiTheme="majorHAnsi" w:eastAsia="SimSun" w:hAnsiTheme="majorHAnsi" w:cstheme="majorHAnsi"/>
          <w:b/>
          <w:bCs/>
          <w:lang w:val="en-IN" w:eastAsia="zh-CN" w:bidi="ar"/>
        </w:rPr>
        <w:t>Figure 3. Time-course trends of HAMA, HAMD, and FACT-G scores during the intervention period.</w:t>
      </w:r>
      <w:r>
        <w:rPr>
          <w:rFonts w:asciiTheme="majorHAnsi" w:eastAsia="SimSun" w:hAnsiTheme="majorHAnsi" w:cstheme="majorHAnsi"/>
          <w:lang w:val="en-IN" w:eastAsia="zh-CN" w:bidi="ar"/>
        </w:rPr>
        <w:t xml:space="preserve"> HAMA and HAMD scores decreased during the treatment phase and showed slight increases at follow-up, whereas FACT-G scores improved during treatment and declined modestly after intervention cessation. Data are presented as mean ± SD.</w:t>
      </w:r>
    </w:p>
    <w:p w14:paraId="74B4040C" w14:textId="77777777" w:rsidR="004527E5" w:rsidRDefault="004527E5">
      <w:pPr>
        <w:widowControl/>
        <w:textAlignment w:val="center"/>
        <w:rPr>
          <w:rFonts w:asciiTheme="majorHAnsi" w:eastAsia="SimSun" w:hAnsiTheme="majorHAnsi" w:cstheme="majorHAnsi"/>
          <w:lang w:eastAsia="zh-CN" w:bidi="ar"/>
        </w:rPr>
      </w:pPr>
    </w:p>
    <w:p w14:paraId="390C4954" w14:textId="77777777" w:rsidR="004527E5" w:rsidRDefault="00000000">
      <w:pPr>
        <w:rPr>
          <w:rFonts w:asciiTheme="majorHAnsi" w:eastAsia="DengXian" w:hAnsiTheme="majorHAnsi" w:cstheme="majorHAnsi"/>
        </w:rPr>
      </w:pPr>
      <w:r>
        <w:rPr>
          <w:rFonts w:asciiTheme="majorHAnsi" w:hAnsiTheme="majorHAnsi" w:cstheme="majorHAnsi"/>
          <w:b/>
          <w:bCs/>
        </w:rPr>
        <w:t>Table 1.</w:t>
      </w:r>
      <w:r>
        <w:rPr>
          <w:rFonts w:asciiTheme="majorHAnsi" w:eastAsia="DengXian" w:hAnsiTheme="majorHAnsi" w:cstheme="majorHAnsi"/>
        </w:rPr>
        <w:t xml:space="preserve"> </w:t>
      </w:r>
      <w:r>
        <w:rPr>
          <w:rFonts w:asciiTheme="majorHAnsi" w:eastAsia="SimSun" w:hAnsiTheme="majorHAnsi" w:cstheme="majorHAnsi"/>
          <w:b/>
          <w:bCs/>
          <w:lang w:eastAsia="zh-CN" w:bidi="ar"/>
        </w:rPr>
        <w:t xml:space="preserve">Mean (± SD) scores of HAMA, HAMD, and FACT-G. </w:t>
      </w:r>
      <w:r>
        <w:rPr>
          <w:rFonts w:asciiTheme="majorHAnsi" w:eastAsia="SimSun" w:hAnsiTheme="majorHAnsi" w:cstheme="majorHAnsi"/>
          <w:lang w:eastAsia="zh-CN" w:bidi="ar"/>
        </w:rPr>
        <w:t xml:space="preserve">The table </w:t>
      </w:r>
      <w:r>
        <w:rPr>
          <w:rFonts w:asciiTheme="majorHAnsi" w:eastAsia="DengXian" w:hAnsiTheme="majorHAnsi" w:cstheme="majorHAnsi"/>
        </w:rPr>
        <w:t xml:space="preserve">shows </w:t>
      </w:r>
      <w:r>
        <w:rPr>
          <w:rFonts w:asciiTheme="majorHAnsi" w:eastAsia="SimSun" w:hAnsiTheme="majorHAnsi" w:cstheme="majorHAnsi"/>
          <w:lang w:eastAsia="zh-CN" w:bidi="ar"/>
        </w:rPr>
        <w:t>Mean (± SD) scores of HAMA, HAMD, and FACT-G</w:t>
      </w:r>
      <w:r>
        <w:rPr>
          <w:rFonts w:asciiTheme="majorHAnsi" w:eastAsia="DengXian" w:hAnsiTheme="majorHAnsi" w:cstheme="majorHAnsi"/>
        </w:rPr>
        <w:t xml:space="preserve"> </w:t>
      </w:r>
      <w:r>
        <w:rPr>
          <w:rFonts w:asciiTheme="majorHAnsi" w:eastAsia="SimSun" w:hAnsiTheme="majorHAnsi" w:cstheme="majorHAnsi"/>
          <w:lang w:eastAsia="zh-CN" w:bidi="ar"/>
        </w:rPr>
        <w:t>at baseline, Week 4, and Week 8 in the preliminary feasibility phase of the Massage to Regulate the Mind intervention.</w:t>
      </w:r>
    </w:p>
    <w:p w14:paraId="2765F6DB" w14:textId="77777777" w:rsidR="004527E5" w:rsidRDefault="004527E5">
      <w:pPr>
        <w:rPr>
          <w:rFonts w:asciiTheme="majorHAnsi" w:hAnsiTheme="majorHAnsi" w:cstheme="majorHAnsi"/>
        </w:rPr>
      </w:pPr>
    </w:p>
    <w:p w14:paraId="0DBBF326" w14:textId="77777777" w:rsidR="004527E5" w:rsidRDefault="00000000">
      <w:pPr>
        <w:rPr>
          <w:rFonts w:asciiTheme="majorHAnsi" w:hAnsiTheme="majorHAnsi" w:cstheme="majorHAnsi"/>
        </w:rPr>
      </w:pPr>
      <w:r>
        <w:rPr>
          <w:rFonts w:asciiTheme="majorHAnsi" w:hAnsiTheme="majorHAnsi" w:cstheme="majorHAnsi"/>
          <w:b/>
        </w:rPr>
        <w:t xml:space="preserve">DISCUSSION: </w:t>
      </w:r>
    </w:p>
    <w:p w14:paraId="7E6BA622"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The paucity of geriatric-focused clinical trials has hindered comprehensive understanding of cancer-related psychosocial morbidity and therapeutic needs in older adults with malignancies</w:t>
      </w:r>
      <w:r>
        <w:rPr>
          <w:rFonts w:asciiTheme="majorHAnsi" w:eastAsia="Times New Roman" w:hAnsiTheme="majorHAnsi" w:cstheme="majorHAnsi"/>
          <w:vertAlign w:val="superscript"/>
          <w:lang w:val="en-IN" w:eastAsia="en-IN"/>
        </w:rPr>
        <w:t>19-21</w:t>
      </w:r>
      <w:r>
        <w:rPr>
          <w:rFonts w:asciiTheme="majorHAnsi" w:eastAsia="Times New Roman" w:hAnsiTheme="majorHAnsi" w:cstheme="majorHAnsi"/>
          <w:lang w:val="en-IN" w:eastAsia="en-IN"/>
        </w:rPr>
        <w:t>. Clinically, affective disorders such as anxiety and depression in this population are frequently misattributed to neoplastic pathophysiology alone, neglecting synergistic interactions with age-specific vulnerabilities. Diagnostic oversight is exacerbated by somatization tendencies, as older patients predominantly report somatic symptoms rather than emotional distress, perpetuating underrecognition of psychiatric comorbidities</w:t>
      </w:r>
      <w:r>
        <w:rPr>
          <w:rFonts w:asciiTheme="majorHAnsi" w:eastAsia="Times New Roman" w:hAnsiTheme="majorHAnsi" w:cstheme="majorHAnsi"/>
          <w:vertAlign w:val="superscript"/>
          <w:lang w:val="en-IN" w:eastAsia="en-IN"/>
        </w:rPr>
        <w:t>22</w:t>
      </w:r>
      <w:r>
        <w:rPr>
          <w:rFonts w:asciiTheme="majorHAnsi" w:eastAsia="Times New Roman" w:hAnsiTheme="majorHAnsi" w:cstheme="majorHAnsi"/>
          <w:lang w:val="en-IN" w:eastAsia="en-IN"/>
        </w:rPr>
        <w:t>. Furthermore, clinicians often normalize these conditions as predictable responses to life-threatening diagnoses, contributing to insufficient attention to mental health optimization in geriatric oncology.</w:t>
      </w:r>
    </w:p>
    <w:p w14:paraId="02D16270" w14:textId="77777777" w:rsidR="004527E5" w:rsidRDefault="004527E5">
      <w:pPr>
        <w:widowControl/>
        <w:rPr>
          <w:rFonts w:asciiTheme="majorHAnsi" w:eastAsia="Times New Roman" w:hAnsiTheme="majorHAnsi" w:cstheme="majorHAnsi"/>
          <w:lang w:val="en-IN" w:eastAsia="en-IN"/>
        </w:rPr>
      </w:pPr>
    </w:p>
    <w:p w14:paraId="35BA0E5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While cancer can be emotionally distressing for patients of any age, older adults often contend with additional psychological and physical burdens. For example: cognitive impairment</w:t>
      </w:r>
      <w:r>
        <w:rPr>
          <w:rFonts w:asciiTheme="majorHAnsi" w:eastAsia="Times New Roman" w:hAnsiTheme="majorHAnsi" w:cstheme="majorHAnsi"/>
          <w:vertAlign w:val="superscript"/>
          <w:lang w:val="en-IN" w:eastAsia="en-IN"/>
        </w:rPr>
        <w:t>23-25</w:t>
      </w:r>
      <w:r>
        <w:rPr>
          <w:rFonts w:asciiTheme="majorHAnsi" w:eastAsia="Times New Roman" w:hAnsiTheme="majorHAnsi" w:cstheme="majorHAnsi"/>
          <w:lang w:val="en-IN" w:eastAsia="en-IN"/>
        </w:rPr>
        <w:t>; increased psychological vulnerability</w:t>
      </w:r>
      <w:r>
        <w:rPr>
          <w:rFonts w:asciiTheme="majorHAnsi" w:eastAsia="Times New Roman" w:hAnsiTheme="majorHAnsi" w:cstheme="majorHAnsi"/>
          <w:vertAlign w:val="superscript"/>
          <w:lang w:val="en-IN" w:eastAsia="en-IN"/>
        </w:rPr>
        <w:t>26,27</w:t>
      </w:r>
      <w:r>
        <w:rPr>
          <w:rFonts w:asciiTheme="majorHAnsi" w:eastAsia="Times New Roman" w:hAnsiTheme="majorHAnsi" w:cstheme="majorHAnsi"/>
          <w:lang w:val="en-IN" w:eastAsia="en-IN"/>
        </w:rPr>
        <w:t>; loneliness and isolation</w:t>
      </w:r>
      <w:r>
        <w:rPr>
          <w:rFonts w:asciiTheme="majorHAnsi" w:eastAsia="Times New Roman" w:hAnsiTheme="majorHAnsi" w:cstheme="majorHAnsi"/>
          <w:vertAlign w:val="superscript"/>
          <w:lang w:val="en-IN" w:eastAsia="en-IN"/>
        </w:rPr>
        <w:t>28,29</w:t>
      </w:r>
      <w:r>
        <w:rPr>
          <w:rFonts w:asciiTheme="majorHAnsi" w:eastAsia="Times New Roman" w:hAnsiTheme="majorHAnsi" w:cstheme="majorHAnsi"/>
          <w:lang w:val="en-IN" w:eastAsia="en-IN"/>
        </w:rPr>
        <w:t>; fear of dependence</w:t>
      </w:r>
      <w:r>
        <w:rPr>
          <w:rFonts w:asciiTheme="majorHAnsi" w:eastAsia="Times New Roman" w:hAnsiTheme="majorHAnsi" w:cstheme="majorHAnsi"/>
          <w:vertAlign w:val="superscript"/>
          <w:lang w:val="en-IN" w:eastAsia="en-IN"/>
        </w:rPr>
        <w:t>30,31</w:t>
      </w:r>
      <w:r>
        <w:rPr>
          <w:rFonts w:asciiTheme="majorHAnsi" w:eastAsia="Times New Roman" w:hAnsiTheme="majorHAnsi" w:cstheme="majorHAnsi"/>
          <w:lang w:val="en-IN" w:eastAsia="en-IN"/>
        </w:rPr>
        <w:t>; existential distress</w:t>
      </w:r>
      <w:r>
        <w:rPr>
          <w:rFonts w:asciiTheme="majorHAnsi" w:eastAsia="Times New Roman" w:hAnsiTheme="majorHAnsi" w:cstheme="majorHAnsi"/>
          <w:vertAlign w:val="superscript"/>
          <w:lang w:val="en-IN" w:eastAsia="en-IN"/>
        </w:rPr>
        <w:t>32,33</w:t>
      </w:r>
      <w:r>
        <w:rPr>
          <w:rFonts w:asciiTheme="majorHAnsi" w:eastAsia="Times New Roman" w:hAnsiTheme="majorHAnsi" w:cstheme="majorHAnsi"/>
          <w:lang w:val="en-IN" w:eastAsia="en-IN"/>
        </w:rPr>
        <w:t>; financial burden</w:t>
      </w:r>
      <w:r>
        <w:rPr>
          <w:rFonts w:asciiTheme="majorHAnsi" w:eastAsia="Times New Roman" w:hAnsiTheme="majorHAnsi" w:cstheme="majorHAnsi"/>
          <w:vertAlign w:val="superscript"/>
          <w:lang w:val="en-IN" w:eastAsia="en-IN"/>
        </w:rPr>
        <w:t>34-36</w:t>
      </w:r>
      <w:r>
        <w:rPr>
          <w:rFonts w:asciiTheme="majorHAnsi" w:eastAsia="Times New Roman" w:hAnsiTheme="majorHAnsi" w:cstheme="majorHAnsi"/>
          <w:lang w:val="en-IN" w:eastAsia="en-IN"/>
        </w:rPr>
        <w:t>; regrets and reflection</w:t>
      </w:r>
      <w:r>
        <w:rPr>
          <w:rFonts w:asciiTheme="majorHAnsi" w:eastAsia="Times New Roman" w:hAnsiTheme="majorHAnsi" w:cstheme="majorHAnsi"/>
          <w:vertAlign w:val="superscript"/>
          <w:lang w:val="en-IN" w:eastAsia="en-IN"/>
        </w:rPr>
        <w:t>37</w:t>
      </w:r>
      <w:r>
        <w:rPr>
          <w:rFonts w:asciiTheme="majorHAnsi" w:eastAsia="Times New Roman" w:hAnsiTheme="majorHAnsi" w:cstheme="majorHAnsi"/>
          <w:lang w:val="en-IN" w:eastAsia="en-IN"/>
        </w:rPr>
        <w:t>; decline in physical function</w:t>
      </w:r>
      <w:r>
        <w:rPr>
          <w:rFonts w:asciiTheme="majorHAnsi" w:eastAsia="Times New Roman" w:hAnsiTheme="majorHAnsi" w:cstheme="majorHAnsi"/>
          <w:vertAlign w:val="superscript"/>
          <w:lang w:val="en-IN" w:eastAsia="en-IN"/>
        </w:rPr>
        <w:t>38-40</w:t>
      </w:r>
      <w:r>
        <w:rPr>
          <w:rFonts w:asciiTheme="majorHAnsi" w:eastAsia="Times New Roman" w:hAnsiTheme="majorHAnsi" w:cstheme="majorHAnsi"/>
          <w:lang w:val="en-IN" w:eastAsia="en-IN"/>
        </w:rPr>
        <w:t>; concerns about treatment discontinuation</w:t>
      </w:r>
      <w:r>
        <w:rPr>
          <w:rFonts w:asciiTheme="majorHAnsi" w:eastAsia="Times New Roman" w:hAnsiTheme="majorHAnsi" w:cstheme="majorHAnsi"/>
          <w:vertAlign w:val="superscript"/>
          <w:lang w:val="en-IN" w:eastAsia="en-IN"/>
        </w:rPr>
        <w:t>41,42</w:t>
      </w:r>
      <w:r>
        <w:rPr>
          <w:rFonts w:asciiTheme="majorHAnsi" w:eastAsia="Times New Roman" w:hAnsiTheme="majorHAnsi" w:cstheme="majorHAnsi"/>
          <w:lang w:val="en-IN" w:eastAsia="en-IN"/>
        </w:rPr>
        <w:t>; changing social and family roles</w:t>
      </w:r>
      <w:r>
        <w:rPr>
          <w:rFonts w:asciiTheme="majorHAnsi" w:eastAsia="Times New Roman" w:hAnsiTheme="majorHAnsi" w:cstheme="majorHAnsi"/>
          <w:vertAlign w:val="superscript"/>
          <w:lang w:val="en-IN" w:eastAsia="en-IN"/>
        </w:rPr>
        <w:t>43-45</w:t>
      </w:r>
      <w:r>
        <w:rPr>
          <w:rFonts w:asciiTheme="majorHAnsi" w:eastAsia="Times New Roman" w:hAnsiTheme="majorHAnsi" w:cstheme="majorHAnsi"/>
          <w:lang w:val="en-IN" w:eastAsia="en-IN"/>
        </w:rPr>
        <w:t>. These factors highlight the multifactorial nature of psychosocial distress in geriatric oncology populations and underscore the need for integrative and individualized approaches to management.</w:t>
      </w:r>
    </w:p>
    <w:p w14:paraId="3DC62862" w14:textId="77777777" w:rsidR="004527E5" w:rsidRDefault="004527E5">
      <w:pPr>
        <w:widowControl/>
        <w:rPr>
          <w:rFonts w:asciiTheme="majorHAnsi" w:eastAsia="Times New Roman" w:hAnsiTheme="majorHAnsi" w:cstheme="majorHAnsi"/>
          <w:lang w:val="en-IN" w:eastAsia="en-IN"/>
        </w:rPr>
      </w:pPr>
    </w:p>
    <w:p w14:paraId="76080839"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The potential role of manual therapy in oncological care has gained increasing attention. Empirical studies suggest that manipulative interventions may alleviate cancer-related fatigue</w:t>
      </w:r>
      <w:r>
        <w:rPr>
          <w:rFonts w:asciiTheme="majorHAnsi" w:eastAsia="Times New Roman" w:hAnsiTheme="majorHAnsi" w:cstheme="majorHAnsi"/>
          <w:vertAlign w:val="superscript"/>
          <w:lang w:val="en-IN" w:eastAsia="en-IN"/>
        </w:rPr>
        <w:t>46</w:t>
      </w:r>
      <w:r>
        <w:rPr>
          <w:rFonts w:asciiTheme="majorHAnsi" w:eastAsia="Times New Roman" w:hAnsiTheme="majorHAnsi" w:cstheme="majorHAnsi"/>
          <w:lang w:val="en-IN" w:eastAsia="en-IN"/>
        </w:rPr>
        <w:t>, reduce lymphedema and improve upper extremity mobility</w:t>
      </w:r>
      <w:r>
        <w:rPr>
          <w:rFonts w:asciiTheme="majorHAnsi" w:eastAsia="Times New Roman" w:hAnsiTheme="majorHAnsi" w:cstheme="majorHAnsi"/>
          <w:vertAlign w:val="superscript"/>
          <w:lang w:val="en-IN" w:eastAsia="en-IN"/>
        </w:rPr>
        <w:t>47</w:t>
      </w:r>
      <w:r>
        <w:rPr>
          <w:rFonts w:asciiTheme="majorHAnsi" w:eastAsia="Times New Roman" w:hAnsiTheme="majorHAnsi" w:cstheme="majorHAnsi"/>
          <w:lang w:val="en-IN" w:eastAsia="en-IN"/>
        </w:rPr>
        <w:t>, and improve sleep disturbances in patients with cancer</w:t>
      </w:r>
      <w:r>
        <w:rPr>
          <w:rFonts w:asciiTheme="majorHAnsi" w:eastAsia="Times New Roman" w:hAnsiTheme="majorHAnsi" w:cstheme="majorHAnsi"/>
          <w:vertAlign w:val="superscript"/>
          <w:lang w:val="en-IN" w:eastAsia="en-IN"/>
        </w:rPr>
        <w:t>16</w:t>
      </w:r>
      <w:r>
        <w:rPr>
          <w:rFonts w:asciiTheme="majorHAnsi" w:eastAsia="Times New Roman" w:hAnsiTheme="majorHAnsi" w:cstheme="majorHAnsi"/>
          <w:lang w:val="en-IN" w:eastAsia="en-IN"/>
        </w:rPr>
        <w:t>. Additional evidence indicates benefits in symptom management, including constipation and cancer-related pain</w:t>
      </w:r>
      <w:r>
        <w:rPr>
          <w:rFonts w:asciiTheme="majorHAnsi" w:eastAsia="Times New Roman" w:hAnsiTheme="majorHAnsi" w:cstheme="majorHAnsi"/>
          <w:vertAlign w:val="superscript"/>
          <w:lang w:val="en-IN" w:eastAsia="en-IN"/>
        </w:rPr>
        <w:t>49,50</w:t>
      </w:r>
      <w:r>
        <w:rPr>
          <w:rFonts w:asciiTheme="majorHAnsi" w:eastAsia="Times New Roman" w:hAnsiTheme="majorHAnsi" w:cstheme="majorHAnsi"/>
          <w:lang w:val="en-IN" w:eastAsia="en-IN"/>
        </w:rPr>
        <w:t>. Rooted in Traditional Chinese Medicine, somatosensory therapies have long been used for psychosomatic regulation, with emerging evidence suggesting possible neuroendocrine and immune effects on mood regulation. In elderly cancer patients, massage may contribute to psychological well-being through several mechanisms, including stress reduction</w:t>
      </w:r>
      <w:r>
        <w:rPr>
          <w:rFonts w:asciiTheme="majorHAnsi" w:eastAsia="Times New Roman" w:hAnsiTheme="majorHAnsi" w:cstheme="majorHAnsi"/>
          <w:vertAlign w:val="superscript"/>
          <w:lang w:val="en-IN" w:eastAsia="en-IN"/>
        </w:rPr>
        <w:t>51,52</w:t>
      </w:r>
      <w:r>
        <w:rPr>
          <w:rFonts w:asciiTheme="majorHAnsi" w:eastAsia="Times New Roman" w:hAnsiTheme="majorHAnsi" w:cstheme="majorHAnsi"/>
          <w:lang w:val="en-IN" w:eastAsia="en-IN"/>
        </w:rPr>
        <w:t>, pain relief</w:t>
      </w:r>
      <w:r>
        <w:rPr>
          <w:rFonts w:asciiTheme="majorHAnsi" w:eastAsia="Times New Roman" w:hAnsiTheme="majorHAnsi" w:cstheme="majorHAnsi"/>
          <w:vertAlign w:val="superscript"/>
          <w:lang w:val="en-IN" w:eastAsia="en-IN"/>
        </w:rPr>
        <w:t>53-55</w:t>
      </w:r>
      <w:r>
        <w:rPr>
          <w:rFonts w:asciiTheme="majorHAnsi" w:eastAsia="Times New Roman" w:hAnsiTheme="majorHAnsi" w:cstheme="majorHAnsi"/>
          <w:lang w:val="en-IN" w:eastAsia="en-IN"/>
        </w:rPr>
        <w:t>, improved sleep, enhanced social interaction, and increased sense of support.</w:t>
      </w:r>
    </w:p>
    <w:p w14:paraId="2D305DA2" w14:textId="77777777" w:rsidR="004527E5" w:rsidRDefault="004527E5">
      <w:pPr>
        <w:widowControl/>
        <w:rPr>
          <w:rFonts w:asciiTheme="majorHAnsi" w:eastAsia="Times New Roman" w:hAnsiTheme="majorHAnsi" w:cstheme="majorHAnsi"/>
          <w:lang w:val="en-IN" w:eastAsia="en-IN"/>
        </w:rPr>
      </w:pPr>
    </w:p>
    <w:p w14:paraId="3384CB1F"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The present study demonstrates the feasibility of implementing a standardized therapeutic massage protocol in elderly cancer patients, with high treatment completion, consistent follow-up, and no observed adverse events. The representative observations further show improvements in anxiety, depression, and quality of life during the treatment phase, with partial attenuation after discontinuation. These findings support the feasibility, safety, and potential clinical relevance of this intervention in this population.</w:t>
      </w:r>
    </w:p>
    <w:p w14:paraId="087131BE" w14:textId="77777777" w:rsidR="004527E5" w:rsidRDefault="004527E5">
      <w:pPr>
        <w:widowControl/>
        <w:rPr>
          <w:rFonts w:asciiTheme="majorHAnsi" w:eastAsia="Times New Roman" w:hAnsiTheme="majorHAnsi" w:cstheme="majorHAnsi"/>
          <w:lang w:val="en-IN" w:eastAsia="en-IN"/>
        </w:rPr>
      </w:pPr>
    </w:p>
    <w:p w14:paraId="798DF274"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Several critical steps were essential to ensure the reliability of the intervention. Therapist training and standardization minimized inter-operator variability, while maintaining a consistent treatment environment reduced external variability. Adherence to predefined acupoint locations and treatment sequence was important for preserving intervention fidelity.</w:t>
      </w:r>
    </w:p>
    <w:p w14:paraId="559B4154" w14:textId="77777777" w:rsidR="004527E5" w:rsidRDefault="004527E5">
      <w:pPr>
        <w:widowControl/>
        <w:rPr>
          <w:rFonts w:asciiTheme="majorHAnsi" w:eastAsia="Times New Roman" w:hAnsiTheme="majorHAnsi" w:cstheme="majorHAnsi"/>
          <w:lang w:val="en-IN" w:eastAsia="en-IN"/>
        </w:rPr>
      </w:pPr>
    </w:p>
    <w:p w14:paraId="402610A7"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During implementation, practical considerations were necessary. Elderly cancer patients often present with frailty, pain, or limited mobility, requiring individualized adjustments in patient </w:t>
      </w:r>
      <w:r>
        <w:rPr>
          <w:rFonts w:asciiTheme="majorHAnsi" w:eastAsia="Times New Roman" w:hAnsiTheme="majorHAnsi" w:cstheme="majorHAnsi"/>
          <w:lang w:val="en-IN" w:eastAsia="en-IN"/>
        </w:rPr>
        <w:lastRenderedPageBreak/>
        <w:t>positioning and manipulation intensity to ensure comfort and safety. When patients experienced discomfort or fatigue, treatment duration or intensity was modified accordingly while maintaining the overall protocol structure. These adaptations were important for balancing standardization with patient-centered care.</w:t>
      </w:r>
    </w:p>
    <w:p w14:paraId="0F59A80B" w14:textId="77777777" w:rsidR="004527E5" w:rsidRDefault="004527E5">
      <w:pPr>
        <w:widowControl/>
        <w:rPr>
          <w:rFonts w:asciiTheme="majorHAnsi" w:eastAsia="Times New Roman" w:hAnsiTheme="majorHAnsi" w:cstheme="majorHAnsi"/>
          <w:lang w:val="en-IN" w:eastAsia="en-IN"/>
        </w:rPr>
      </w:pPr>
    </w:p>
    <w:p w14:paraId="7D906B82"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Despite efforts to standardize the protocol, several limitations should be acknowledged. Manual therapy inherently involves operator-dependent variability, which may affect treatment consistency. In addition, the absence of objective measurement of manipulation pressure represents a limitation, as pressure intensity may influence outcomes.</w:t>
      </w:r>
    </w:p>
    <w:p w14:paraId="28795F4D" w14:textId="77777777" w:rsidR="004527E5" w:rsidRDefault="004527E5">
      <w:pPr>
        <w:widowControl/>
        <w:rPr>
          <w:rFonts w:asciiTheme="majorHAnsi" w:eastAsia="Times New Roman" w:hAnsiTheme="majorHAnsi" w:cstheme="majorHAnsi"/>
          <w:lang w:val="en-IN" w:eastAsia="en-IN"/>
        </w:rPr>
      </w:pPr>
    </w:p>
    <w:p w14:paraId="5349D73A"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Compared with pharmacological and psychological approaches, therapeutic massage represents a non-pharmacological option that may be suitable for elderly cancer patients with multimorbidity and polypharmacy. Unlike medication-based interventions, massage avoids drug-related adverse effects and drug–drug interactions. The present protocol incorporates standardized acupoint-based manipulation, which may enhance reproducibility in clinical application.</w:t>
      </w:r>
    </w:p>
    <w:p w14:paraId="52D2A622" w14:textId="77777777" w:rsidR="004527E5" w:rsidRDefault="004527E5">
      <w:pPr>
        <w:widowControl/>
        <w:rPr>
          <w:rFonts w:asciiTheme="majorHAnsi" w:eastAsia="Times New Roman" w:hAnsiTheme="majorHAnsi" w:cstheme="majorHAnsi"/>
          <w:lang w:val="en-IN" w:eastAsia="en-IN"/>
        </w:rPr>
      </w:pPr>
    </w:p>
    <w:p w14:paraId="763C4CED"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This protocol may have broader applications beyond elderly cancer populations. The standardized intervention may be adapted for other populations experiencing psychological distress, including palliative care and chronic disease populations. Future work may incorporate objective biomechanical measurements, such as pressure sensors or motion tracking, to further refine intervention standardization. Integration with multidisciplinary supportive care programs may also enhance clinical applicability.</w:t>
      </w:r>
    </w:p>
    <w:p w14:paraId="0260137E" w14:textId="77777777" w:rsidR="004527E5" w:rsidRDefault="004527E5">
      <w:pPr>
        <w:rPr>
          <w:rFonts w:asciiTheme="majorHAnsi" w:hAnsiTheme="majorHAnsi" w:cstheme="majorHAnsi"/>
        </w:rPr>
      </w:pPr>
    </w:p>
    <w:p w14:paraId="3AD871C3" w14:textId="77777777" w:rsidR="004527E5" w:rsidRDefault="00000000">
      <w:pPr>
        <w:rPr>
          <w:rFonts w:asciiTheme="majorHAnsi" w:hAnsiTheme="majorHAnsi" w:cstheme="majorHAnsi"/>
        </w:rPr>
      </w:pPr>
      <w:r>
        <w:rPr>
          <w:rFonts w:asciiTheme="majorHAnsi" w:hAnsiTheme="majorHAnsi" w:cstheme="majorHAnsi"/>
          <w:b/>
        </w:rPr>
        <w:t xml:space="preserve">ACKNOWLEDGMENTS: </w:t>
      </w:r>
    </w:p>
    <w:p w14:paraId="1C910708" w14:textId="77777777" w:rsidR="004527E5" w:rsidRDefault="00000000">
      <w:pPr>
        <w:pStyle w:val="NormalWeb"/>
        <w:widowControl/>
        <w:spacing w:beforeAutospacing="0" w:afterAutospacing="0"/>
        <w:jc w:val="both"/>
        <w:rPr>
          <w:rFonts w:asciiTheme="majorHAnsi" w:eastAsia="SimSun" w:hAnsiTheme="majorHAnsi" w:cstheme="majorHAnsi"/>
        </w:rPr>
      </w:pPr>
      <w:r>
        <w:rPr>
          <w:rFonts w:asciiTheme="majorHAnsi" w:hAnsiTheme="majorHAnsi" w:cstheme="majorHAnsi"/>
        </w:rPr>
        <w:t xml:space="preserve">Funding was provided by the Jiangsu Commission of Health (No. LKM2023030); the Jiangsu Health Development Research Center/State Contraceptives Adverse Reaction Surveillance Center (No. JSHD2021008); School of Elderly Care Services and Management/School of Aging Industry, Nanjing University of Chinese Medicine (No. 2025YLFWYGL018); ‌Jiangsu Provincial Administration of Traditional Chinese Medicine (No. </w:t>
      </w:r>
      <w:r>
        <w:rPr>
          <w:rFonts w:asciiTheme="majorHAnsi" w:eastAsia=".applesystemuifontrounded" w:hAnsiTheme="majorHAnsi" w:cstheme="majorHAnsi"/>
          <w:lang w:bidi="ar"/>
        </w:rPr>
        <w:t>MS2025003)</w:t>
      </w:r>
    </w:p>
    <w:p w14:paraId="02C78970" w14:textId="77777777" w:rsidR="004527E5" w:rsidRDefault="004527E5">
      <w:pPr>
        <w:rPr>
          <w:rFonts w:asciiTheme="majorHAnsi" w:hAnsiTheme="majorHAnsi" w:cstheme="majorHAnsi"/>
        </w:rPr>
      </w:pPr>
    </w:p>
    <w:p w14:paraId="3BF044C3" w14:textId="77777777" w:rsidR="004527E5" w:rsidRDefault="00000000">
      <w:pPr>
        <w:rPr>
          <w:rFonts w:asciiTheme="majorHAnsi" w:hAnsiTheme="majorHAnsi" w:cstheme="majorHAnsi"/>
        </w:rPr>
      </w:pPr>
      <w:r>
        <w:rPr>
          <w:rFonts w:asciiTheme="majorHAnsi" w:hAnsiTheme="majorHAnsi" w:cstheme="majorHAnsi"/>
          <w:b/>
        </w:rPr>
        <w:t xml:space="preserve">DISCLOSURES: </w:t>
      </w:r>
    </w:p>
    <w:p w14:paraId="0B8AB3BA" w14:textId="77777777" w:rsidR="004527E5" w:rsidRDefault="00000000">
      <w:pPr>
        <w:widowControl/>
        <w:rPr>
          <w:rFonts w:asciiTheme="majorHAnsi" w:hAnsiTheme="majorHAnsi" w:cstheme="majorHAnsi"/>
        </w:rPr>
      </w:pPr>
      <w:r>
        <w:rPr>
          <w:rFonts w:asciiTheme="majorHAnsi" w:eastAsia="SimSun" w:hAnsiTheme="majorHAnsi" w:cstheme="majorHAnsi"/>
          <w:lang w:eastAsia="zh-CN" w:bidi="ar"/>
        </w:rPr>
        <w:t xml:space="preserve">The authors have no conflicts of interest to disclose. </w:t>
      </w:r>
    </w:p>
    <w:p w14:paraId="631DAA9A" w14:textId="77777777" w:rsidR="004527E5" w:rsidRDefault="004527E5">
      <w:pPr>
        <w:rPr>
          <w:rFonts w:asciiTheme="majorHAnsi" w:hAnsiTheme="majorHAnsi" w:cstheme="majorHAnsi"/>
        </w:rPr>
      </w:pPr>
    </w:p>
    <w:p w14:paraId="0426D374" w14:textId="77777777" w:rsidR="004527E5" w:rsidRDefault="00000000">
      <w:pPr>
        <w:widowControl/>
        <w:rPr>
          <w:rFonts w:asciiTheme="majorHAnsi" w:eastAsia="Times New Roman" w:hAnsiTheme="majorHAnsi" w:cstheme="majorHAnsi"/>
          <w:lang w:val="en-IN" w:eastAsia="en-IN"/>
        </w:rPr>
      </w:pPr>
      <w:r>
        <w:rPr>
          <w:rFonts w:asciiTheme="majorHAnsi" w:eastAsia="Times New Roman" w:hAnsiTheme="majorHAnsi" w:cstheme="majorHAnsi"/>
          <w:b/>
          <w:bCs/>
          <w:lang w:val="en-IN" w:eastAsia="en-IN"/>
        </w:rPr>
        <w:t>REFERENCES:</w:t>
      </w:r>
    </w:p>
    <w:p w14:paraId="608AC621"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L., Lankhorst, L., Bernards, R. Exploiting senescence for the treatment of cancer. </w:t>
      </w:r>
      <w:r>
        <w:rPr>
          <w:rFonts w:asciiTheme="majorHAnsi" w:eastAsia="Times New Roman" w:hAnsiTheme="majorHAnsi" w:cstheme="majorHAnsi"/>
          <w:i/>
          <w:iCs/>
          <w:lang w:val="en-IN" w:eastAsia="en-IN"/>
        </w:rPr>
        <w:t>Nat Rev Cancer.</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22</w:t>
      </w:r>
      <w:r>
        <w:rPr>
          <w:rFonts w:asciiTheme="majorHAnsi" w:eastAsia="Times New Roman" w:hAnsiTheme="majorHAnsi" w:cstheme="majorHAnsi"/>
          <w:lang w:val="en-IN" w:eastAsia="en-IN"/>
        </w:rPr>
        <w:t xml:space="preserve"> (6), 340–355 (2022). </w:t>
      </w:r>
    </w:p>
    <w:p w14:paraId="46DFDAA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Sedrak, M. S. et al. Older adult participation in cancer clinical trials: a systematic review of barriers and interventions. </w:t>
      </w:r>
      <w:r>
        <w:rPr>
          <w:rFonts w:asciiTheme="majorHAnsi" w:eastAsia="Times New Roman" w:hAnsiTheme="majorHAnsi" w:cstheme="majorHAnsi"/>
          <w:i/>
          <w:iCs/>
          <w:lang w:val="en-IN" w:eastAsia="en-IN"/>
        </w:rPr>
        <w:t>CA Cancer J Clin.</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71</w:t>
      </w:r>
      <w:r>
        <w:rPr>
          <w:rFonts w:asciiTheme="majorHAnsi" w:eastAsia="Times New Roman" w:hAnsiTheme="majorHAnsi" w:cstheme="majorHAnsi"/>
          <w:lang w:val="en-IN" w:eastAsia="en-IN"/>
        </w:rPr>
        <w:t xml:space="preserve"> (1), 78–92 (2021). </w:t>
      </w:r>
    </w:p>
    <w:p w14:paraId="14D3D30C"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sidRPr="008A4E8C">
        <w:rPr>
          <w:rFonts w:asciiTheme="majorHAnsi" w:eastAsia="Times New Roman" w:hAnsiTheme="majorHAnsi" w:cstheme="majorHAnsi"/>
          <w:lang w:val="de-DE" w:eastAsia="en-IN"/>
        </w:rPr>
        <w:t xml:space="preserve">Siegel, R. L., Miller, K. D., Fuchs, H. E., Jemal, A. Cancer statistics, 2021. </w:t>
      </w:r>
      <w:r>
        <w:rPr>
          <w:rFonts w:asciiTheme="majorHAnsi" w:eastAsia="Times New Roman" w:hAnsiTheme="majorHAnsi" w:cstheme="majorHAnsi"/>
          <w:i/>
          <w:iCs/>
          <w:lang w:val="en-IN" w:eastAsia="en-IN"/>
        </w:rPr>
        <w:t>CA Cancer J Clin.</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71</w:t>
      </w:r>
      <w:r>
        <w:rPr>
          <w:rFonts w:asciiTheme="majorHAnsi" w:eastAsia="Times New Roman" w:hAnsiTheme="majorHAnsi" w:cstheme="majorHAnsi"/>
          <w:lang w:val="en-IN" w:eastAsia="en-IN"/>
        </w:rPr>
        <w:t xml:space="preserve"> (1), 7–33 (2021). </w:t>
      </w:r>
    </w:p>
    <w:p w14:paraId="1D542471"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Zeng, H. et al. Cancer survival statistics in China 2019–2021: a multicenter, population-based study. </w:t>
      </w:r>
      <w:r>
        <w:rPr>
          <w:rFonts w:asciiTheme="majorHAnsi" w:eastAsia="Times New Roman" w:hAnsiTheme="majorHAnsi" w:cstheme="majorHAnsi"/>
          <w:i/>
          <w:iCs/>
          <w:lang w:val="en-IN" w:eastAsia="en-IN"/>
        </w:rPr>
        <w:t>J Natl Cancer Cent.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4</w:t>
      </w:r>
      <w:r>
        <w:rPr>
          <w:rFonts w:asciiTheme="majorHAnsi" w:eastAsia="Times New Roman" w:hAnsiTheme="majorHAnsi" w:cstheme="majorHAnsi"/>
          <w:lang w:val="en-IN" w:eastAsia="en-IN"/>
        </w:rPr>
        <w:t xml:space="preserve"> (3), 203–213 (2024). </w:t>
      </w:r>
    </w:p>
    <w:p w14:paraId="4006B58E"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 xml:space="preserve">Utuama, O. et al. Racial/ethnic, age and sex disparities in leukemia survival among adults in the United States during 1973–2014 period. </w:t>
      </w:r>
      <w:r>
        <w:rPr>
          <w:rFonts w:asciiTheme="majorHAnsi" w:eastAsia="Times New Roman" w:hAnsiTheme="majorHAnsi" w:cstheme="majorHAnsi"/>
          <w:i/>
          <w:iCs/>
          <w:lang w:val="en-IN" w:eastAsia="en-IN"/>
        </w:rPr>
        <w:t>PLoS One.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14</w:t>
      </w:r>
      <w:r>
        <w:rPr>
          <w:rFonts w:asciiTheme="majorHAnsi" w:eastAsia="Times New Roman" w:hAnsiTheme="majorHAnsi" w:cstheme="majorHAnsi"/>
          <w:lang w:val="en-IN" w:eastAsia="en-IN"/>
        </w:rPr>
        <w:t xml:space="preserve"> (8), e0220864 (2019). </w:t>
      </w:r>
    </w:p>
    <w:p w14:paraId="5C6FCC6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Santucci, C. et al. Progress in cancer mortality, incidence, and survival: a global overview. </w:t>
      </w:r>
      <w:r>
        <w:rPr>
          <w:rFonts w:asciiTheme="majorHAnsi" w:eastAsia="Times New Roman" w:hAnsiTheme="majorHAnsi" w:cstheme="majorHAnsi"/>
          <w:i/>
          <w:iCs/>
          <w:lang w:val="en-IN" w:eastAsia="en-IN"/>
        </w:rPr>
        <w:t>Eur J Cancer Prev.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29</w:t>
      </w:r>
      <w:r>
        <w:rPr>
          <w:rFonts w:asciiTheme="majorHAnsi" w:eastAsia="Times New Roman" w:hAnsiTheme="majorHAnsi" w:cstheme="majorHAnsi"/>
          <w:lang w:val="en-IN" w:eastAsia="en-IN"/>
        </w:rPr>
        <w:t xml:space="preserve"> (5), 367–381 (2020). </w:t>
      </w:r>
    </w:p>
    <w:p w14:paraId="4801274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Calder, A. E., Hasler, G. Towards an understanding of psychedelic-induced neuroplasticity. </w:t>
      </w:r>
      <w:r>
        <w:rPr>
          <w:rFonts w:asciiTheme="majorHAnsi" w:eastAsia="Times New Roman" w:hAnsiTheme="majorHAnsi" w:cstheme="majorHAnsi"/>
          <w:i/>
          <w:iCs/>
          <w:lang w:val="en-IN" w:eastAsia="en-IN"/>
        </w:rPr>
        <w:t>Neuropsychopharmacology.</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48</w:t>
      </w:r>
      <w:r>
        <w:rPr>
          <w:rFonts w:asciiTheme="majorHAnsi" w:eastAsia="Times New Roman" w:hAnsiTheme="majorHAnsi" w:cstheme="majorHAnsi"/>
          <w:lang w:val="en-IN" w:eastAsia="en-IN"/>
        </w:rPr>
        <w:t xml:space="preserve"> (1), 104–112 (2023). </w:t>
      </w:r>
    </w:p>
    <w:p w14:paraId="6F4D3199"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Lundt, A., Jentschke, E. Long-term changes of symptoms of anxiety, depression, and fatigue in cancer patients 6 months after the end of yoga therapy. </w:t>
      </w:r>
      <w:r>
        <w:rPr>
          <w:rFonts w:asciiTheme="majorHAnsi" w:eastAsia="Times New Roman" w:hAnsiTheme="majorHAnsi" w:cstheme="majorHAnsi"/>
          <w:i/>
          <w:iCs/>
          <w:lang w:val="en-IN" w:eastAsia="en-IN"/>
        </w:rPr>
        <w:t>Integr Cancer Ther.</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18</w:t>
      </w:r>
      <w:r>
        <w:rPr>
          <w:rFonts w:asciiTheme="majorHAnsi" w:eastAsia="Times New Roman" w:hAnsiTheme="majorHAnsi" w:cstheme="majorHAnsi"/>
          <w:lang w:val="en-IN" w:eastAsia="en-IN"/>
        </w:rPr>
        <w:t xml:space="preserve">, 1534735418822096 (2019). </w:t>
      </w:r>
    </w:p>
    <w:p w14:paraId="7F74B41D"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Javan Biparva, A. et al. Global depression in breast cancer patients: systematic review and meta-analysis. </w:t>
      </w:r>
      <w:r>
        <w:rPr>
          <w:rFonts w:asciiTheme="majorHAnsi" w:eastAsia="Times New Roman" w:hAnsiTheme="majorHAnsi" w:cstheme="majorHAnsi"/>
          <w:i/>
          <w:iCs/>
          <w:lang w:val="en-IN" w:eastAsia="en-IN"/>
        </w:rPr>
        <w:t>PLoS One.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18</w:t>
      </w:r>
      <w:r>
        <w:rPr>
          <w:rFonts w:asciiTheme="majorHAnsi" w:eastAsia="Times New Roman" w:hAnsiTheme="majorHAnsi" w:cstheme="majorHAnsi"/>
          <w:lang w:val="en-IN" w:eastAsia="en-IN"/>
        </w:rPr>
        <w:t xml:space="preserve"> (7), e0287372 (2023). </w:t>
      </w:r>
    </w:p>
    <w:p w14:paraId="3B2EAE5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X. et al. Prognostic value of depression and anxiety on breast cancer recurrence and mortality: a systematic review and meta-analysis of 282,203 patients. </w:t>
      </w:r>
      <w:r>
        <w:rPr>
          <w:rFonts w:asciiTheme="majorHAnsi" w:eastAsia="Times New Roman" w:hAnsiTheme="majorHAnsi" w:cstheme="majorHAnsi"/>
          <w:i/>
          <w:iCs/>
          <w:lang w:val="en-IN" w:eastAsia="en-IN"/>
        </w:rPr>
        <w:t>Mol Psychiatry.</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25</w:t>
      </w:r>
      <w:r>
        <w:rPr>
          <w:rFonts w:asciiTheme="majorHAnsi" w:eastAsia="Times New Roman" w:hAnsiTheme="majorHAnsi" w:cstheme="majorHAnsi"/>
          <w:lang w:val="en-IN" w:eastAsia="en-IN"/>
        </w:rPr>
        <w:t xml:space="preserve"> (12), 3186–3197 (2020). </w:t>
      </w:r>
    </w:p>
    <w:p w14:paraId="08E3893E"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Gong, M. et al. Effects of aromatherapy on anxiety: a meta-analysis of randomized controlled trials. </w:t>
      </w:r>
      <w:r>
        <w:rPr>
          <w:rFonts w:asciiTheme="majorHAnsi" w:eastAsia="Times New Roman" w:hAnsiTheme="majorHAnsi" w:cstheme="majorHAnsi"/>
          <w:i/>
          <w:iCs/>
          <w:lang w:val="en-IN" w:eastAsia="en-IN"/>
        </w:rPr>
        <w:t>J Affect Disord.</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274</w:t>
      </w:r>
      <w:r>
        <w:rPr>
          <w:rFonts w:asciiTheme="majorHAnsi" w:eastAsia="Times New Roman" w:hAnsiTheme="majorHAnsi" w:cstheme="majorHAnsi"/>
          <w:lang w:val="en-IN" w:eastAsia="en-IN"/>
        </w:rPr>
        <w:t xml:space="preserve">, 1028–1040 (2020). </w:t>
      </w:r>
    </w:p>
    <w:p w14:paraId="1C14BB22"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R., Huang, X., Wang, Y., Akbari, M. Non-pharmacologic approaches in preoperative anxiety, a comprehensive review. </w:t>
      </w:r>
      <w:r>
        <w:rPr>
          <w:rFonts w:asciiTheme="majorHAnsi" w:eastAsia="Times New Roman" w:hAnsiTheme="majorHAnsi" w:cstheme="majorHAnsi"/>
          <w:i/>
          <w:iCs/>
          <w:lang w:val="en-IN" w:eastAsia="en-IN"/>
        </w:rPr>
        <w:t>Front Public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w:t>
      </w:r>
      <w:r>
        <w:rPr>
          <w:rFonts w:asciiTheme="majorHAnsi" w:eastAsia="Times New Roman" w:hAnsiTheme="majorHAnsi" w:cstheme="majorHAnsi"/>
          <w:lang w:val="en-IN" w:eastAsia="en-IN"/>
        </w:rPr>
        <w:t xml:space="preserve">, 854673 (2022). </w:t>
      </w:r>
    </w:p>
    <w:p w14:paraId="625BD640"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Li, F. B. et al. Effects of music, massage, exercise, or acupuncture in the treatment of depression among college students: a network meta-analysis. </w:t>
      </w:r>
      <w:r>
        <w:rPr>
          <w:rFonts w:asciiTheme="majorHAnsi" w:eastAsia="Times New Roman" w:hAnsiTheme="majorHAnsi" w:cstheme="majorHAnsi"/>
          <w:i/>
          <w:iCs/>
          <w:lang w:val="en-IN" w:eastAsia="en-IN"/>
        </w:rPr>
        <w:t>Neuropsychiatr Dis Treat.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19</w:t>
      </w:r>
      <w:r>
        <w:rPr>
          <w:rFonts w:asciiTheme="majorHAnsi" w:eastAsia="Times New Roman" w:hAnsiTheme="majorHAnsi" w:cstheme="majorHAnsi"/>
          <w:lang w:val="en-IN" w:eastAsia="en-IN"/>
        </w:rPr>
        <w:t xml:space="preserve">, 1725–1739 (2023). </w:t>
      </w:r>
    </w:p>
    <w:p w14:paraId="7837395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Li, D. et al. The effects of aromatherapy on anxiety and depression in people with cancer: a systematic review and meta-analysis. </w:t>
      </w:r>
      <w:r>
        <w:rPr>
          <w:rFonts w:asciiTheme="majorHAnsi" w:eastAsia="Times New Roman" w:hAnsiTheme="majorHAnsi" w:cstheme="majorHAnsi"/>
          <w:i/>
          <w:iCs/>
          <w:lang w:val="en-IN" w:eastAsia="en-IN"/>
        </w:rPr>
        <w:t>Front Public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w:t>
      </w:r>
      <w:r>
        <w:rPr>
          <w:rFonts w:asciiTheme="majorHAnsi" w:eastAsia="Times New Roman" w:hAnsiTheme="majorHAnsi" w:cstheme="majorHAnsi"/>
          <w:lang w:val="en-IN" w:eastAsia="en-IN"/>
        </w:rPr>
        <w:t xml:space="preserve">, 853056 (2022). </w:t>
      </w:r>
    </w:p>
    <w:p w14:paraId="79A0254E"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Qin, S. et al. Effectiveness and safety of massage in the treatment of anxiety and depression in patients with cancer: a protocol for systematic review and meta-analysis. </w:t>
      </w:r>
      <w:r>
        <w:rPr>
          <w:rFonts w:asciiTheme="majorHAnsi" w:eastAsia="Times New Roman" w:hAnsiTheme="majorHAnsi" w:cstheme="majorHAnsi"/>
          <w:i/>
          <w:iCs/>
          <w:lang w:val="en-IN" w:eastAsia="en-IN"/>
        </w:rPr>
        <w:t>Medicine (Baltimore).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99</w:t>
      </w:r>
      <w:r>
        <w:rPr>
          <w:rFonts w:asciiTheme="majorHAnsi" w:eastAsia="Times New Roman" w:hAnsiTheme="majorHAnsi" w:cstheme="majorHAnsi"/>
          <w:lang w:val="en-IN" w:eastAsia="en-IN"/>
        </w:rPr>
        <w:t xml:space="preserve"> (39), e22262 (2020). </w:t>
      </w:r>
    </w:p>
    <w:p w14:paraId="0FC42C08"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Samuel, S. R. et al. Randomized control trial evidence for the benefits of massage and relaxation therapy on sleep in cancer survivors-a systematic review. </w:t>
      </w:r>
      <w:r>
        <w:rPr>
          <w:rFonts w:asciiTheme="majorHAnsi" w:eastAsia="Times New Roman" w:hAnsiTheme="majorHAnsi" w:cstheme="majorHAnsi"/>
          <w:i/>
          <w:iCs/>
          <w:lang w:val="en-IN" w:eastAsia="en-IN"/>
        </w:rPr>
        <w:t>J Cancer Surviv.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15</w:t>
      </w:r>
      <w:r>
        <w:rPr>
          <w:rFonts w:asciiTheme="majorHAnsi" w:eastAsia="Times New Roman" w:hAnsiTheme="majorHAnsi" w:cstheme="majorHAnsi"/>
          <w:lang w:val="en-IN" w:eastAsia="en-IN"/>
        </w:rPr>
        <w:t xml:space="preserve"> (5), 799–810 (2021). </w:t>
      </w:r>
    </w:p>
    <w:p w14:paraId="73D9EAC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Win Myint, O. et al. Effectiveness of massage therapy for cancer pain, quality of life and anxiety levels: a systematic review and meta-analysis. </w:t>
      </w:r>
      <w:r>
        <w:rPr>
          <w:rFonts w:asciiTheme="majorHAnsi" w:eastAsia="Times New Roman" w:hAnsiTheme="majorHAnsi" w:cstheme="majorHAnsi"/>
          <w:i/>
          <w:iCs/>
          <w:lang w:val="en-IN" w:eastAsia="en-IN"/>
        </w:rPr>
        <w:t>J Clin Nurs.</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34</w:t>
      </w:r>
      <w:r>
        <w:rPr>
          <w:rFonts w:asciiTheme="majorHAnsi" w:eastAsia="Times New Roman" w:hAnsiTheme="majorHAnsi" w:cstheme="majorHAnsi"/>
          <w:lang w:val="en-IN" w:eastAsia="en-IN"/>
        </w:rPr>
        <w:t xml:space="preserve"> (1), 49–87 (2025). </w:t>
      </w:r>
    </w:p>
    <w:p w14:paraId="0A108CC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Cole, J. S., Olson, A. D., Dupont-Versteegden, E. E. The effects of massage therapy in decreasing pain and anxiety in post-surgical patients with breast cancer: a systematic review and meta-analysis. </w:t>
      </w:r>
      <w:r>
        <w:rPr>
          <w:rFonts w:asciiTheme="majorHAnsi" w:eastAsia="Times New Roman" w:hAnsiTheme="majorHAnsi" w:cstheme="majorHAnsi"/>
          <w:i/>
          <w:iCs/>
          <w:lang w:val="en-IN" w:eastAsia="en-IN"/>
        </w:rPr>
        <w:t>Glob Adv Integr Med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13</w:t>
      </w:r>
      <w:r>
        <w:rPr>
          <w:rFonts w:asciiTheme="majorHAnsi" w:eastAsia="Times New Roman" w:hAnsiTheme="majorHAnsi" w:cstheme="majorHAnsi"/>
          <w:lang w:val="en-IN" w:eastAsia="en-IN"/>
        </w:rPr>
        <w:t xml:space="preserve">, 27536130241245099 (2024). </w:t>
      </w:r>
    </w:p>
    <w:p w14:paraId="37F5F9B9"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Nipp, R. D., Subbiah, I. M., Loscalzo, M. Convergence of geriatrics and palliative care to deliver personalized supportive care for older adults with cancer. </w:t>
      </w:r>
      <w:r>
        <w:rPr>
          <w:rFonts w:asciiTheme="majorHAnsi" w:eastAsia="Times New Roman" w:hAnsiTheme="majorHAnsi" w:cstheme="majorHAnsi"/>
          <w:i/>
          <w:iCs/>
          <w:lang w:val="en-IN" w:eastAsia="en-IN"/>
        </w:rPr>
        <w:t>J Clin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39</w:t>
      </w:r>
      <w:r>
        <w:rPr>
          <w:rFonts w:asciiTheme="majorHAnsi" w:eastAsia="Times New Roman" w:hAnsiTheme="majorHAnsi" w:cstheme="majorHAnsi"/>
          <w:lang w:val="en-IN" w:eastAsia="en-IN"/>
        </w:rPr>
        <w:t xml:space="preserve"> (19), 2185–2194 (2021). </w:t>
      </w:r>
    </w:p>
    <w:p w14:paraId="727A0DF6"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Low, C. E. et al. Association of depression with all-cause and cancer-specific mortality in older adults with cancer: systematic review, meta-analysis, and meta-regression. </w:t>
      </w:r>
      <w:r>
        <w:rPr>
          <w:rFonts w:asciiTheme="majorHAnsi" w:eastAsia="Times New Roman" w:hAnsiTheme="majorHAnsi" w:cstheme="majorHAnsi"/>
          <w:i/>
          <w:iCs/>
          <w:lang w:val="en-IN" w:eastAsia="en-IN"/>
        </w:rPr>
        <w:t>J Geriatr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15</w:t>
      </w:r>
      <w:r>
        <w:rPr>
          <w:rFonts w:asciiTheme="majorHAnsi" w:eastAsia="Times New Roman" w:hAnsiTheme="majorHAnsi" w:cstheme="majorHAnsi"/>
          <w:lang w:val="en-IN" w:eastAsia="en-IN"/>
        </w:rPr>
        <w:t xml:space="preserve"> (4), 101700 (2024). </w:t>
      </w:r>
    </w:p>
    <w:p w14:paraId="4F769BD0"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Dubianski, R., Wildes, T. M., Wildiers, H. SIOG guidelines-essential for good clinical practice in geriatric oncology. </w:t>
      </w:r>
      <w:r>
        <w:rPr>
          <w:rFonts w:asciiTheme="majorHAnsi" w:eastAsia="Times New Roman" w:hAnsiTheme="majorHAnsi" w:cstheme="majorHAnsi"/>
          <w:i/>
          <w:iCs/>
          <w:lang w:val="en-IN" w:eastAsia="en-IN"/>
        </w:rPr>
        <w:t>J Geriatr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w:t>
      </w:r>
      <w:r>
        <w:rPr>
          <w:rFonts w:asciiTheme="majorHAnsi" w:eastAsia="Times New Roman" w:hAnsiTheme="majorHAnsi" w:cstheme="majorHAnsi"/>
          <w:lang w:val="en-IN" w:eastAsia="en-IN"/>
        </w:rPr>
        <w:t xml:space="preserve"> (2), 196–198 (2019). </w:t>
      </w:r>
    </w:p>
    <w:p w14:paraId="144467BC"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Silva, S. et al. Towards a better understanding of the factors associated with distress in elderly cancer patients: a systematic review. </w:t>
      </w:r>
      <w:r>
        <w:rPr>
          <w:rFonts w:asciiTheme="majorHAnsi" w:eastAsia="Times New Roman" w:hAnsiTheme="majorHAnsi" w:cstheme="majorHAnsi"/>
          <w:i/>
          <w:iCs/>
          <w:lang w:val="en-IN" w:eastAsia="en-IN"/>
        </w:rPr>
        <w:t>Int J Environ Res Public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19</w:t>
      </w:r>
      <w:r>
        <w:rPr>
          <w:rFonts w:asciiTheme="majorHAnsi" w:eastAsia="Times New Roman" w:hAnsiTheme="majorHAnsi" w:cstheme="majorHAnsi"/>
          <w:lang w:val="en-IN" w:eastAsia="en-IN"/>
        </w:rPr>
        <w:t xml:space="preserve"> (6), 3424 (2022). </w:t>
      </w:r>
    </w:p>
    <w:p w14:paraId="1F4C63B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 xml:space="preserve">Bai, W. et al. Worldwide prevalence of mild cognitive impairment among community dwellers aged 50 years and older: a meta-analysis and systematic review of epidemiology studies. </w:t>
      </w:r>
      <w:r>
        <w:rPr>
          <w:rFonts w:asciiTheme="majorHAnsi" w:eastAsia="Times New Roman" w:hAnsiTheme="majorHAnsi" w:cstheme="majorHAnsi"/>
          <w:i/>
          <w:iCs/>
          <w:lang w:val="en-IN" w:eastAsia="en-IN"/>
        </w:rPr>
        <w:t>Age Ageing.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51</w:t>
      </w:r>
      <w:r>
        <w:rPr>
          <w:rFonts w:asciiTheme="majorHAnsi" w:eastAsia="Times New Roman" w:hAnsiTheme="majorHAnsi" w:cstheme="majorHAnsi"/>
          <w:lang w:val="en-IN" w:eastAsia="en-IN"/>
        </w:rPr>
        <w:t xml:space="preserve"> (8), afac173 (2022). </w:t>
      </w:r>
    </w:p>
    <w:p w14:paraId="509A9489"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Lange, M. et al. Cancer-related cognitive impairment: an update on state of the art, detection, and management strategies in cancer survivors. </w:t>
      </w:r>
      <w:r>
        <w:rPr>
          <w:rFonts w:asciiTheme="majorHAnsi" w:eastAsia="Times New Roman" w:hAnsiTheme="majorHAnsi" w:cstheme="majorHAnsi"/>
          <w:i/>
          <w:iCs/>
          <w:lang w:val="en-IN" w:eastAsia="en-IN"/>
        </w:rPr>
        <w:t>Ann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30</w:t>
      </w:r>
      <w:r>
        <w:rPr>
          <w:rFonts w:asciiTheme="majorHAnsi" w:eastAsia="Times New Roman" w:hAnsiTheme="majorHAnsi" w:cstheme="majorHAnsi"/>
          <w:lang w:val="en-IN" w:eastAsia="en-IN"/>
        </w:rPr>
        <w:t xml:space="preserve"> (12), 1925–1940 (2019). </w:t>
      </w:r>
    </w:p>
    <w:p w14:paraId="55412DED"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sidRPr="008A4E8C">
        <w:rPr>
          <w:rFonts w:asciiTheme="majorHAnsi" w:eastAsia="Times New Roman" w:hAnsiTheme="majorHAnsi" w:cstheme="majorHAnsi"/>
          <w:lang w:val="de-DE" w:eastAsia="en-IN"/>
        </w:rPr>
        <w:t xml:space="preserve">Gibson, E. M. et al. </w:t>
      </w:r>
      <w:r>
        <w:rPr>
          <w:rFonts w:asciiTheme="majorHAnsi" w:eastAsia="Times New Roman" w:hAnsiTheme="majorHAnsi" w:cstheme="majorHAnsi"/>
          <w:lang w:val="en-IN" w:eastAsia="en-IN"/>
        </w:rPr>
        <w:t xml:space="preserve">Methotrexate chemotherapy induces persistent tri-glial dysregulation that underlies chemotherapy-related cognitive impairment. </w:t>
      </w:r>
      <w:r>
        <w:rPr>
          <w:rFonts w:asciiTheme="majorHAnsi" w:eastAsia="Times New Roman" w:hAnsiTheme="majorHAnsi" w:cstheme="majorHAnsi"/>
          <w:i/>
          <w:iCs/>
          <w:lang w:val="en-IN" w:eastAsia="en-IN"/>
        </w:rPr>
        <w:t>Cell.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176</w:t>
      </w:r>
      <w:r>
        <w:rPr>
          <w:rFonts w:asciiTheme="majorHAnsi" w:eastAsia="Times New Roman" w:hAnsiTheme="majorHAnsi" w:cstheme="majorHAnsi"/>
          <w:lang w:val="en-IN" w:eastAsia="en-IN"/>
        </w:rPr>
        <w:t xml:space="preserve"> (1–2), 43–55.e13 (2019). </w:t>
      </w:r>
    </w:p>
    <w:p w14:paraId="408BB4FD"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Grassi, L., Riba, M. Cancer and severe mental illness: bi-directional problems and potential solutions. </w:t>
      </w:r>
      <w:r>
        <w:rPr>
          <w:rFonts w:asciiTheme="majorHAnsi" w:eastAsia="Times New Roman" w:hAnsiTheme="majorHAnsi" w:cstheme="majorHAnsi"/>
          <w:i/>
          <w:iCs/>
          <w:lang w:val="en-IN" w:eastAsia="en-IN"/>
        </w:rPr>
        <w:t>Psychooncology.</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29</w:t>
      </w:r>
      <w:r>
        <w:rPr>
          <w:rFonts w:asciiTheme="majorHAnsi" w:eastAsia="Times New Roman" w:hAnsiTheme="majorHAnsi" w:cstheme="majorHAnsi"/>
          <w:lang w:val="en-IN" w:eastAsia="en-IN"/>
        </w:rPr>
        <w:t xml:space="preserve"> (10), 1445–1451 (2020). </w:t>
      </w:r>
    </w:p>
    <w:p w14:paraId="4AAB2A39"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Gu, D. et al. Association between depression and healthcare expenditures among elderly cancer patients. </w:t>
      </w:r>
      <w:r>
        <w:rPr>
          <w:rFonts w:asciiTheme="majorHAnsi" w:eastAsia="Times New Roman" w:hAnsiTheme="majorHAnsi" w:cstheme="majorHAnsi"/>
          <w:i/>
          <w:iCs/>
          <w:lang w:val="en-IN" w:eastAsia="en-IN"/>
        </w:rPr>
        <w:t>BMC Psychiatry.</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w:t>
      </w:r>
      <w:r>
        <w:rPr>
          <w:rFonts w:asciiTheme="majorHAnsi" w:eastAsia="Times New Roman" w:hAnsiTheme="majorHAnsi" w:cstheme="majorHAnsi"/>
          <w:lang w:val="en-IN" w:eastAsia="en-IN"/>
        </w:rPr>
        <w:t xml:space="preserve"> (1), 131 (2020). </w:t>
      </w:r>
    </w:p>
    <w:p w14:paraId="237F9E28"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Fakoya, O. A., McCorry, N. K., Donnelly, M. Loneliness and social isolation interventions for older adults: a scoping review of reviews. </w:t>
      </w:r>
      <w:r>
        <w:rPr>
          <w:rFonts w:asciiTheme="majorHAnsi" w:eastAsia="Times New Roman" w:hAnsiTheme="majorHAnsi" w:cstheme="majorHAnsi"/>
          <w:i/>
          <w:iCs/>
          <w:lang w:val="en-IN" w:eastAsia="en-IN"/>
        </w:rPr>
        <w:t>BMC Public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w:t>
      </w:r>
      <w:r>
        <w:rPr>
          <w:rFonts w:asciiTheme="majorHAnsi" w:eastAsia="Times New Roman" w:hAnsiTheme="majorHAnsi" w:cstheme="majorHAnsi"/>
          <w:lang w:val="en-IN" w:eastAsia="en-IN"/>
        </w:rPr>
        <w:t xml:space="preserve"> (1), 129 (2020). </w:t>
      </w:r>
    </w:p>
    <w:p w14:paraId="71E32903"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F. et al. A systematic review and meta-analysis of 90 cohort studies of social isolation, loneliness and mortality. </w:t>
      </w:r>
      <w:r>
        <w:rPr>
          <w:rFonts w:asciiTheme="majorHAnsi" w:eastAsia="Times New Roman" w:hAnsiTheme="majorHAnsi" w:cstheme="majorHAnsi"/>
          <w:i/>
          <w:iCs/>
          <w:lang w:val="en-IN" w:eastAsia="en-IN"/>
        </w:rPr>
        <w:t>Nat Hum Behav.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7</w:t>
      </w:r>
      <w:r>
        <w:rPr>
          <w:rFonts w:asciiTheme="majorHAnsi" w:eastAsia="Times New Roman" w:hAnsiTheme="majorHAnsi" w:cstheme="majorHAnsi"/>
          <w:lang w:val="en-IN" w:eastAsia="en-IN"/>
        </w:rPr>
        <w:t xml:space="preserve"> (8), 1307–1319 (2023). </w:t>
      </w:r>
    </w:p>
    <w:p w14:paraId="32A9590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Gómez-Gómez, M. E., Zapico, S. C. Frailty, cognitive decline, neurodegenerative diseases and nutrition interventions. </w:t>
      </w:r>
      <w:r>
        <w:rPr>
          <w:rFonts w:asciiTheme="majorHAnsi" w:eastAsia="Times New Roman" w:hAnsiTheme="majorHAnsi" w:cstheme="majorHAnsi"/>
          <w:i/>
          <w:iCs/>
          <w:lang w:val="en-IN" w:eastAsia="en-IN"/>
        </w:rPr>
        <w:t>Int J Mol Sci.</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w:t>
      </w:r>
      <w:r>
        <w:rPr>
          <w:rFonts w:asciiTheme="majorHAnsi" w:eastAsia="Times New Roman" w:hAnsiTheme="majorHAnsi" w:cstheme="majorHAnsi"/>
          <w:lang w:val="en-IN" w:eastAsia="en-IN"/>
        </w:rPr>
        <w:t xml:space="preserve"> (11), 2842 (2019). </w:t>
      </w:r>
    </w:p>
    <w:p w14:paraId="25C9C5B4"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J. et al. Loneliness among older Chinese individuals: the status quo and relationships with activity-related factors. </w:t>
      </w:r>
      <w:r>
        <w:rPr>
          <w:rFonts w:asciiTheme="majorHAnsi" w:eastAsia="Times New Roman" w:hAnsiTheme="majorHAnsi" w:cstheme="majorHAnsi"/>
          <w:i/>
          <w:iCs/>
          <w:lang w:val="en-IN" w:eastAsia="en-IN"/>
        </w:rPr>
        <w:t>BMC Geriatr.</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24</w:t>
      </w:r>
      <w:r>
        <w:rPr>
          <w:rFonts w:asciiTheme="majorHAnsi" w:eastAsia="Times New Roman" w:hAnsiTheme="majorHAnsi" w:cstheme="majorHAnsi"/>
          <w:lang w:val="en-IN" w:eastAsia="en-IN"/>
        </w:rPr>
        <w:t xml:space="preserve"> (1), 42 (2024). </w:t>
      </w:r>
    </w:p>
    <w:p w14:paraId="48B2418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Clancy, A. et al. The meaning of dignity for older adults: a meta-synthesis. </w:t>
      </w:r>
      <w:r>
        <w:rPr>
          <w:rFonts w:asciiTheme="majorHAnsi" w:eastAsia="Times New Roman" w:hAnsiTheme="majorHAnsi" w:cstheme="majorHAnsi"/>
          <w:i/>
          <w:iCs/>
          <w:lang w:val="en-IN" w:eastAsia="en-IN"/>
        </w:rPr>
        <w:t>Nurs Ethics.</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28</w:t>
      </w:r>
      <w:r>
        <w:rPr>
          <w:rFonts w:asciiTheme="majorHAnsi" w:eastAsia="Times New Roman" w:hAnsiTheme="majorHAnsi" w:cstheme="majorHAnsi"/>
          <w:lang w:val="en-IN" w:eastAsia="en-IN"/>
        </w:rPr>
        <w:t xml:space="preserve"> (6), 878–894 (2021). </w:t>
      </w:r>
    </w:p>
    <w:p w14:paraId="798918F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Teater, B., Chonody, J. M. How do older adults define successful aging? A scoping review. </w:t>
      </w:r>
      <w:r>
        <w:rPr>
          <w:rFonts w:asciiTheme="majorHAnsi" w:eastAsia="Times New Roman" w:hAnsiTheme="majorHAnsi" w:cstheme="majorHAnsi"/>
          <w:i/>
          <w:iCs/>
          <w:lang w:val="en-IN" w:eastAsia="en-IN"/>
        </w:rPr>
        <w:t>Int J Aging Hum Dev.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91</w:t>
      </w:r>
      <w:r>
        <w:rPr>
          <w:rFonts w:asciiTheme="majorHAnsi" w:eastAsia="Times New Roman" w:hAnsiTheme="majorHAnsi" w:cstheme="majorHAnsi"/>
          <w:lang w:val="en-IN" w:eastAsia="en-IN"/>
        </w:rPr>
        <w:t xml:space="preserve"> (4), 599–625 (2020). </w:t>
      </w:r>
    </w:p>
    <w:p w14:paraId="1B904AD3"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McLean, L., Hong, W., McLachlan, S. A. Financial toxicity in patients with cancer attending a public Australian tertiary hospital: a pilot study. </w:t>
      </w:r>
      <w:r>
        <w:rPr>
          <w:rFonts w:asciiTheme="majorHAnsi" w:eastAsia="Times New Roman" w:hAnsiTheme="majorHAnsi" w:cstheme="majorHAnsi"/>
          <w:i/>
          <w:iCs/>
          <w:lang w:val="en-IN" w:eastAsia="en-IN"/>
        </w:rPr>
        <w:t>Asia Pac J Clin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17</w:t>
      </w:r>
      <w:r>
        <w:rPr>
          <w:rFonts w:asciiTheme="majorHAnsi" w:eastAsia="Times New Roman" w:hAnsiTheme="majorHAnsi" w:cstheme="majorHAnsi"/>
          <w:lang w:val="en-IN" w:eastAsia="en-IN"/>
        </w:rPr>
        <w:t xml:space="preserve"> (3), 245–252 (2021). </w:t>
      </w:r>
    </w:p>
    <w:p w14:paraId="09933B06"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sidRPr="008A4E8C">
        <w:rPr>
          <w:rFonts w:asciiTheme="majorHAnsi" w:eastAsia="Times New Roman" w:hAnsiTheme="majorHAnsi" w:cstheme="majorHAnsi"/>
          <w:lang w:val="de-DE" w:eastAsia="en-IN"/>
        </w:rPr>
        <w:t xml:space="preserve">Liang, M. I. et al. </w:t>
      </w:r>
      <w:r>
        <w:rPr>
          <w:rFonts w:asciiTheme="majorHAnsi" w:eastAsia="Times New Roman" w:hAnsiTheme="majorHAnsi" w:cstheme="majorHAnsi"/>
          <w:lang w:val="en-IN" w:eastAsia="en-IN"/>
        </w:rPr>
        <w:t xml:space="preserve">Extensive financial hardship among gynecologic cancer patients starting a new line of therapy. </w:t>
      </w:r>
      <w:r>
        <w:rPr>
          <w:rFonts w:asciiTheme="majorHAnsi" w:eastAsia="Times New Roman" w:hAnsiTheme="majorHAnsi" w:cstheme="majorHAnsi"/>
          <w:i/>
          <w:iCs/>
          <w:lang w:val="en-IN" w:eastAsia="en-IN"/>
        </w:rPr>
        <w:t>Gynecol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156</w:t>
      </w:r>
      <w:r>
        <w:rPr>
          <w:rFonts w:asciiTheme="majorHAnsi" w:eastAsia="Times New Roman" w:hAnsiTheme="majorHAnsi" w:cstheme="majorHAnsi"/>
          <w:lang w:val="en-IN" w:eastAsia="en-IN"/>
        </w:rPr>
        <w:t xml:space="preserve"> (2), 271–277 (2020). </w:t>
      </w:r>
    </w:p>
    <w:p w14:paraId="704C1BC2"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Haier, J., Schaefers, J. Economic perspective of cancer care and its consequences for vulnerable groups. </w:t>
      </w:r>
      <w:r>
        <w:rPr>
          <w:rFonts w:asciiTheme="majorHAnsi" w:eastAsia="Times New Roman" w:hAnsiTheme="majorHAnsi" w:cstheme="majorHAnsi"/>
          <w:i/>
          <w:iCs/>
          <w:lang w:val="en-IN" w:eastAsia="en-IN"/>
        </w:rPr>
        <w:t>Cancers (Basel).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14</w:t>
      </w:r>
      <w:r>
        <w:rPr>
          <w:rFonts w:asciiTheme="majorHAnsi" w:eastAsia="Times New Roman" w:hAnsiTheme="majorHAnsi" w:cstheme="majorHAnsi"/>
          <w:lang w:val="en-IN" w:eastAsia="en-IN"/>
        </w:rPr>
        <w:t xml:space="preserve"> (13), 3158 (2022). </w:t>
      </w:r>
    </w:p>
    <w:p w14:paraId="32D1E5B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Kyota, A., Kanda, K. How to come to terms with facing death: a qualitative study examining the experiences of patients with terminal cancer. </w:t>
      </w:r>
      <w:r>
        <w:rPr>
          <w:rFonts w:asciiTheme="majorHAnsi" w:eastAsia="Times New Roman" w:hAnsiTheme="majorHAnsi" w:cstheme="majorHAnsi"/>
          <w:i/>
          <w:iCs/>
          <w:lang w:val="en-IN" w:eastAsia="en-IN"/>
        </w:rPr>
        <w:t>BMC Palliat Care.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18</w:t>
      </w:r>
      <w:r>
        <w:rPr>
          <w:rFonts w:asciiTheme="majorHAnsi" w:eastAsia="Times New Roman" w:hAnsiTheme="majorHAnsi" w:cstheme="majorHAnsi"/>
          <w:lang w:val="en-IN" w:eastAsia="en-IN"/>
        </w:rPr>
        <w:t xml:space="preserve"> (1), 33 (2019). </w:t>
      </w:r>
    </w:p>
    <w:p w14:paraId="3966DAFA"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Dipietro, L. et al. Physical activity, injurious falls, and physical function in aging: an umbrella review. </w:t>
      </w:r>
      <w:r>
        <w:rPr>
          <w:rFonts w:asciiTheme="majorHAnsi" w:eastAsia="Times New Roman" w:hAnsiTheme="majorHAnsi" w:cstheme="majorHAnsi"/>
          <w:i/>
          <w:iCs/>
          <w:lang w:val="en-IN" w:eastAsia="en-IN"/>
        </w:rPr>
        <w:t>Med Sci Sports Exerc.</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51</w:t>
      </w:r>
      <w:r>
        <w:rPr>
          <w:rFonts w:asciiTheme="majorHAnsi" w:eastAsia="Times New Roman" w:hAnsiTheme="majorHAnsi" w:cstheme="majorHAnsi"/>
          <w:lang w:val="en-IN" w:eastAsia="en-IN"/>
        </w:rPr>
        <w:t xml:space="preserve"> (6), 1303–1313 (2019). </w:t>
      </w:r>
    </w:p>
    <w:p w14:paraId="39EB6A7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Izquierdo, M. et al. International exercise recommendations in older adults (ICFSR): expert consensus guidelines. </w:t>
      </w:r>
      <w:r>
        <w:rPr>
          <w:rFonts w:asciiTheme="majorHAnsi" w:eastAsia="Times New Roman" w:hAnsiTheme="majorHAnsi" w:cstheme="majorHAnsi"/>
          <w:i/>
          <w:iCs/>
          <w:lang w:val="en-IN" w:eastAsia="en-IN"/>
        </w:rPr>
        <w:t>J Nutr Health Aging.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25</w:t>
      </w:r>
      <w:r>
        <w:rPr>
          <w:rFonts w:asciiTheme="majorHAnsi" w:eastAsia="Times New Roman" w:hAnsiTheme="majorHAnsi" w:cstheme="majorHAnsi"/>
          <w:lang w:val="en-IN" w:eastAsia="en-IN"/>
        </w:rPr>
        <w:t xml:space="preserve"> (7), 824–853 (2021). </w:t>
      </w:r>
    </w:p>
    <w:p w14:paraId="175FE8D7"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Tagliafico, A. S., Bignotti, B., Torri, L., Rossi, F. Sarcopenia: how to measure, when and why. </w:t>
      </w:r>
      <w:r>
        <w:rPr>
          <w:rFonts w:asciiTheme="majorHAnsi" w:eastAsia="Times New Roman" w:hAnsiTheme="majorHAnsi" w:cstheme="majorHAnsi"/>
          <w:i/>
          <w:iCs/>
          <w:lang w:val="en-IN" w:eastAsia="en-IN"/>
        </w:rPr>
        <w:t>Radiol Med.</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127</w:t>
      </w:r>
      <w:r>
        <w:rPr>
          <w:rFonts w:asciiTheme="majorHAnsi" w:eastAsia="Times New Roman" w:hAnsiTheme="majorHAnsi" w:cstheme="majorHAnsi"/>
          <w:lang w:val="en-IN" w:eastAsia="en-IN"/>
        </w:rPr>
        <w:t xml:space="preserve"> (3), 228–237 (2022). </w:t>
      </w:r>
    </w:p>
    <w:p w14:paraId="55744DE1"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Chalif, E. J. et al. Pituitary adenoma in the elderly: surgical outcomes and treatment trends in the United States. </w:t>
      </w:r>
      <w:r>
        <w:rPr>
          <w:rFonts w:asciiTheme="majorHAnsi" w:eastAsia="Times New Roman" w:hAnsiTheme="majorHAnsi" w:cstheme="majorHAnsi"/>
          <w:i/>
          <w:iCs/>
          <w:lang w:val="en-IN" w:eastAsia="en-IN"/>
        </w:rPr>
        <w:t>J Neurosurg.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137</w:t>
      </w:r>
      <w:r>
        <w:rPr>
          <w:rFonts w:asciiTheme="majorHAnsi" w:eastAsia="Times New Roman" w:hAnsiTheme="majorHAnsi" w:cstheme="majorHAnsi"/>
          <w:lang w:val="en-IN" w:eastAsia="en-IN"/>
        </w:rPr>
        <w:t xml:space="preserve"> (6), 1687–1698 (2022). </w:t>
      </w:r>
    </w:p>
    <w:p w14:paraId="69DC9F68"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Aoki, T. et al. Quality of life of Japanese elderly oral cancer patients during the perioperative period. </w:t>
      </w:r>
      <w:r>
        <w:rPr>
          <w:rFonts w:asciiTheme="majorHAnsi" w:eastAsia="Times New Roman" w:hAnsiTheme="majorHAnsi" w:cstheme="majorHAnsi"/>
          <w:i/>
          <w:iCs/>
          <w:lang w:val="en-IN" w:eastAsia="en-IN"/>
        </w:rPr>
        <w:t>Int J Oral Maxillofac Surg.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50</w:t>
      </w:r>
      <w:r>
        <w:rPr>
          <w:rFonts w:asciiTheme="majorHAnsi" w:eastAsia="Times New Roman" w:hAnsiTheme="majorHAnsi" w:cstheme="majorHAnsi"/>
          <w:lang w:val="en-IN" w:eastAsia="en-IN"/>
        </w:rPr>
        <w:t xml:space="preserve"> (9), 1138–1146 (2021). </w:t>
      </w:r>
    </w:p>
    <w:p w14:paraId="4FDC3D7C"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Mohile, S. G. et al. Communication with older patients with cancer using geriatric assessment: a cluster-randomized clinical trial from the National Cancer Institute Community Oncology Research Program. </w:t>
      </w:r>
      <w:r>
        <w:rPr>
          <w:rFonts w:asciiTheme="majorHAnsi" w:eastAsia="Times New Roman" w:hAnsiTheme="majorHAnsi" w:cstheme="majorHAnsi"/>
          <w:i/>
          <w:iCs/>
          <w:lang w:val="en-IN" w:eastAsia="en-IN"/>
        </w:rPr>
        <w:t>JAMA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6</w:t>
      </w:r>
      <w:r>
        <w:rPr>
          <w:rFonts w:asciiTheme="majorHAnsi" w:eastAsia="Times New Roman" w:hAnsiTheme="majorHAnsi" w:cstheme="majorHAnsi"/>
          <w:lang w:val="en-IN" w:eastAsia="en-IN"/>
        </w:rPr>
        <w:t xml:space="preserve"> (2), 196–204 (2020). </w:t>
      </w:r>
    </w:p>
    <w:p w14:paraId="4F2F9CAE"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 xml:space="preserve">Pivodic, L. et al. Changes in social, psychological and physical well-being in the last 5 years of life of older people with cancer: a longitudinal study. </w:t>
      </w:r>
      <w:r>
        <w:rPr>
          <w:rFonts w:asciiTheme="majorHAnsi" w:eastAsia="Times New Roman" w:hAnsiTheme="majorHAnsi" w:cstheme="majorHAnsi"/>
          <w:i/>
          <w:iCs/>
          <w:lang w:val="en-IN" w:eastAsia="en-IN"/>
        </w:rPr>
        <w:t>Age Ageing.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50</w:t>
      </w:r>
      <w:r>
        <w:rPr>
          <w:rFonts w:asciiTheme="majorHAnsi" w:eastAsia="Times New Roman" w:hAnsiTheme="majorHAnsi" w:cstheme="majorHAnsi"/>
          <w:lang w:val="en-IN" w:eastAsia="en-IN"/>
        </w:rPr>
        <w:t xml:space="preserve"> (5), 1829–1833 (2021). </w:t>
      </w:r>
    </w:p>
    <w:p w14:paraId="709AA8D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Brashear, N. How is hope reimagined at the end of life? </w:t>
      </w:r>
      <w:r>
        <w:rPr>
          <w:rFonts w:asciiTheme="majorHAnsi" w:eastAsia="Times New Roman" w:hAnsiTheme="majorHAnsi" w:cstheme="majorHAnsi"/>
          <w:i/>
          <w:iCs/>
          <w:lang w:val="en-IN" w:eastAsia="en-IN"/>
        </w:rPr>
        <w:t>Clin J Oncol Nurs.</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23</w:t>
      </w:r>
      <w:r>
        <w:rPr>
          <w:rFonts w:asciiTheme="majorHAnsi" w:eastAsia="Times New Roman" w:hAnsiTheme="majorHAnsi" w:cstheme="majorHAnsi"/>
          <w:lang w:val="en-IN" w:eastAsia="en-IN"/>
        </w:rPr>
        <w:t xml:space="preserve"> (4), 448 (2019). </w:t>
      </w:r>
    </w:p>
    <w:p w14:paraId="784CDE1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T. et al. Massage therapy for fatigue management in breast cancer survivors: a systematic review and descriptive analysis of randomized controlled trials. </w:t>
      </w:r>
      <w:r>
        <w:rPr>
          <w:rFonts w:asciiTheme="majorHAnsi" w:eastAsia="Times New Roman" w:hAnsiTheme="majorHAnsi" w:cstheme="majorHAnsi"/>
          <w:i/>
          <w:iCs/>
          <w:lang w:val="en-IN" w:eastAsia="en-IN"/>
        </w:rPr>
        <w:t>Evid Based Complement Alternat Med.</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2021</w:t>
      </w:r>
      <w:r>
        <w:rPr>
          <w:rFonts w:asciiTheme="majorHAnsi" w:eastAsia="Times New Roman" w:hAnsiTheme="majorHAnsi" w:cstheme="majorHAnsi"/>
          <w:lang w:val="en-IN" w:eastAsia="en-IN"/>
        </w:rPr>
        <w:t xml:space="preserve">, 9967574 (2021). </w:t>
      </w:r>
    </w:p>
    <w:p w14:paraId="37F19816"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Thompson, B. et al. Manual lymphatic drainage treatment for lymphedema: a systematic review of the literature. </w:t>
      </w:r>
      <w:r>
        <w:rPr>
          <w:rFonts w:asciiTheme="majorHAnsi" w:eastAsia="Times New Roman" w:hAnsiTheme="majorHAnsi" w:cstheme="majorHAnsi"/>
          <w:i/>
          <w:iCs/>
          <w:lang w:val="en-IN" w:eastAsia="en-IN"/>
        </w:rPr>
        <w:t>J Cancer Surviv.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15</w:t>
      </w:r>
      <w:r>
        <w:rPr>
          <w:rFonts w:asciiTheme="majorHAnsi" w:eastAsia="Times New Roman" w:hAnsiTheme="majorHAnsi" w:cstheme="majorHAnsi"/>
          <w:lang w:val="en-IN" w:eastAsia="en-IN"/>
        </w:rPr>
        <w:t xml:space="preserve"> (2), 244–258 (2021). </w:t>
      </w:r>
    </w:p>
    <w:p w14:paraId="4A645B9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Rodgers-Melnick, S. N. et al. Massage therapy for children, adolescents, and young adults: clinical delivery and effectiveness in hematology and oncology. </w:t>
      </w:r>
      <w:r>
        <w:rPr>
          <w:rFonts w:asciiTheme="majorHAnsi" w:eastAsia="Times New Roman" w:hAnsiTheme="majorHAnsi" w:cstheme="majorHAnsi"/>
          <w:i/>
          <w:iCs/>
          <w:lang w:val="en-IN" w:eastAsia="en-IN"/>
        </w:rPr>
        <w:t>Pediatr Blood Cancer.</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70</w:t>
      </w:r>
      <w:r>
        <w:rPr>
          <w:rFonts w:asciiTheme="majorHAnsi" w:eastAsia="Times New Roman" w:hAnsiTheme="majorHAnsi" w:cstheme="majorHAnsi"/>
          <w:lang w:val="en-IN" w:eastAsia="en-IN"/>
        </w:rPr>
        <w:t xml:space="preserve"> (4), e30243 (2023). </w:t>
      </w:r>
    </w:p>
    <w:p w14:paraId="071A49EF"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Dehghan, M., Malakoutikhah, A., Ghaedi Heidari, F., Zakeri, M. A. The effect of abdominal massage on gastrointestinal functions: a systematic review. </w:t>
      </w:r>
      <w:r>
        <w:rPr>
          <w:rFonts w:asciiTheme="majorHAnsi" w:eastAsia="Times New Roman" w:hAnsiTheme="majorHAnsi" w:cstheme="majorHAnsi"/>
          <w:i/>
          <w:iCs/>
          <w:lang w:val="en-IN" w:eastAsia="en-IN"/>
        </w:rPr>
        <w:t>Complement Ther Med.</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54</w:t>
      </w:r>
      <w:r>
        <w:rPr>
          <w:rFonts w:asciiTheme="majorHAnsi" w:eastAsia="Times New Roman" w:hAnsiTheme="majorHAnsi" w:cstheme="majorHAnsi"/>
          <w:lang w:val="en-IN" w:eastAsia="en-IN"/>
        </w:rPr>
        <w:t xml:space="preserve">, 102553 (2020). </w:t>
      </w:r>
    </w:p>
    <w:p w14:paraId="16931165"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Anderson, K. D., Downey, M. Foot reflexology: an intervention for pain and nausea among inpatients with cancer. </w:t>
      </w:r>
      <w:r>
        <w:rPr>
          <w:rFonts w:asciiTheme="majorHAnsi" w:eastAsia="Times New Roman" w:hAnsiTheme="majorHAnsi" w:cstheme="majorHAnsi"/>
          <w:i/>
          <w:iCs/>
          <w:lang w:val="en-IN" w:eastAsia="en-IN"/>
        </w:rPr>
        <w:t>Clin J Oncol Nurs.</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25</w:t>
      </w:r>
      <w:r>
        <w:rPr>
          <w:rFonts w:asciiTheme="majorHAnsi" w:eastAsia="Times New Roman" w:hAnsiTheme="majorHAnsi" w:cstheme="majorHAnsi"/>
          <w:lang w:val="en-IN" w:eastAsia="en-IN"/>
        </w:rPr>
        <w:t xml:space="preserve"> (5), 539–545 (2021). </w:t>
      </w:r>
    </w:p>
    <w:p w14:paraId="230F12AE"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Zhang, Y. et al. Natural volatile oils derived from herbal medicines: a promising therapy way for treating depressive disorder. </w:t>
      </w:r>
      <w:r>
        <w:rPr>
          <w:rFonts w:asciiTheme="majorHAnsi" w:eastAsia="Times New Roman" w:hAnsiTheme="majorHAnsi" w:cstheme="majorHAnsi"/>
          <w:i/>
          <w:iCs/>
          <w:lang w:val="en-IN" w:eastAsia="en-IN"/>
        </w:rPr>
        <w:t>Pharmacol Res.</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164</w:t>
      </w:r>
      <w:r>
        <w:rPr>
          <w:rFonts w:asciiTheme="majorHAnsi" w:eastAsia="Times New Roman" w:hAnsiTheme="majorHAnsi" w:cstheme="majorHAnsi"/>
          <w:lang w:val="en-IN" w:eastAsia="en-IN"/>
        </w:rPr>
        <w:t xml:space="preserve">, 105376 (2021). </w:t>
      </w:r>
    </w:p>
    <w:p w14:paraId="144C5F87"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Li, D. et al. The effects of aromatherapy on anxiety and depression in people with cancer: a systematic review and meta-analysis. </w:t>
      </w:r>
      <w:r>
        <w:rPr>
          <w:rFonts w:asciiTheme="majorHAnsi" w:eastAsia="Times New Roman" w:hAnsiTheme="majorHAnsi" w:cstheme="majorHAnsi"/>
          <w:i/>
          <w:iCs/>
          <w:lang w:val="en-IN" w:eastAsia="en-IN"/>
        </w:rPr>
        <w:t>Front Public Health.</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w:t>
      </w:r>
      <w:r>
        <w:rPr>
          <w:rFonts w:asciiTheme="majorHAnsi" w:eastAsia="Times New Roman" w:hAnsiTheme="majorHAnsi" w:cstheme="majorHAnsi"/>
          <w:lang w:val="en-IN" w:eastAsia="en-IN"/>
        </w:rPr>
        <w:t xml:space="preserve">, 853056 (2022). </w:t>
      </w:r>
    </w:p>
    <w:p w14:paraId="50F96801"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Maindet, C. et al. Strategies of complementary and integrative therapies in cancer-related pain-attaining exhaustive cancer pain management. </w:t>
      </w:r>
      <w:r>
        <w:rPr>
          <w:rFonts w:asciiTheme="majorHAnsi" w:eastAsia="Times New Roman" w:hAnsiTheme="majorHAnsi" w:cstheme="majorHAnsi"/>
          <w:i/>
          <w:iCs/>
          <w:lang w:val="en-IN" w:eastAsia="en-IN"/>
        </w:rPr>
        <w:t>Support Care Cancer.</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27</w:t>
      </w:r>
      <w:r>
        <w:rPr>
          <w:rFonts w:asciiTheme="majorHAnsi" w:eastAsia="Times New Roman" w:hAnsiTheme="majorHAnsi" w:cstheme="majorHAnsi"/>
          <w:lang w:val="en-IN" w:eastAsia="en-IN"/>
        </w:rPr>
        <w:t xml:space="preserve"> (8), 3119–3132 (2019). </w:t>
      </w:r>
    </w:p>
    <w:p w14:paraId="0B17BD6B"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Zhang, Y. et al. Massage therapy can effectively relieve cancer pain: a meta-analysis. </w:t>
      </w:r>
      <w:r>
        <w:rPr>
          <w:rFonts w:asciiTheme="majorHAnsi" w:eastAsia="Times New Roman" w:hAnsiTheme="majorHAnsi" w:cstheme="majorHAnsi"/>
          <w:i/>
          <w:iCs/>
          <w:lang w:val="en-IN" w:eastAsia="en-IN"/>
        </w:rPr>
        <w:t>Medicine (Baltimore).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102</w:t>
      </w:r>
      <w:r>
        <w:rPr>
          <w:rFonts w:asciiTheme="majorHAnsi" w:eastAsia="Times New Roman" w:hAnsiTheme="majorHAnsi" w:cstheme="majorHAnsi"/>
          <w:lang w:val="en-IN" w:eastAsia="en-IN"/>
        </w:rPr>
        <w:t xml:space="preserve"> (27), e33939 (2023). </w:t>
      </w:r>
    </w:p>
    <w:p w14:paraId="28CA5730" w14:textId="77777777" w:rsidR="004527E5" w:rsidRDefault="00000000">
      <w:pPr>
        <w:widowControl/>
        <w:numPr>
          <w:ilvl w:val="0"/>
          <w:numId w:val="6"/>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Mestdagh, F., Steyaert, A., Lavand'homme, P. Cancer pain management: a narrative review of current concepts, strategies, and techniques. </w:t>
      </w:r>
      <w:r>
        <w:rPr>
          <w:rFonts w:asciiTheme="majorHAnsi" w:eastAsia="Times New Roman" w:hAnsiTheme="majorHAnsi" w:cstheme="majorHAnsi"/>
          <w:i/>
          <w:iCs/>
          <w:lang w:val="en-IN" w:eastAsia="en-IN"/>
        </w:rPr>
        <w:t>Curr Oncol.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30</w:t>
      </w:r>
      <w:r>
        <w:rPr>
          <w:rFonts w:asciiTheme="majorHAnsi" w:eastAsia="Times New Roman" w:hAnsiTheme="majorHAnsi" w:cstheme="majorHAnsi"/>
          <w:lang w:val="en-IN" w:eastAsia="en-IN"/>
        </w:rPr>
        <w:t xml:space="preserve"> (7), 6838–6858 (2023).</w:t>
      </w:r>
    </w:p>
    <w:p w14:paraId="757F9172" w14:textId="77777777" w:rsidR="004527E5" w:rsidRDefault="004527E5">
      <w:pPr>
        <w:rPr>
          <w:rFonts w:asciiTheme="majorHAnsi" w:hAnsiTheme="majorHAnsi" w:cstheme="majorHAnsi"/>
        </w:rPr>
      </w:pPr>
    </w:p>
    <w:sectPr w:rsidR="004527E5">
      <w:headerReference w:type="default" r:id="rId7"/>
      <w:headerReference w:type="first" r:id="rId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A4CD" w14:textId="77777777" w:rsidR="00E65E9E" w:rsidRDefault="00E65E9E">
      <w:r>
        <w:separator/>
      </w:r>
    </w:p>
  </w:endnote>
  <w:endnote w:type="continuationSeparator" w:id="0">
    <w:p w14:paraId="1C43A3FB" w14:textId="77777777" w:rsidR="00E65E9E" w:rsidRDefault="00E65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default"/>
    <w:sig w:usb0="00000287" w:usb1="00000000" w:usb2="00000000" w:usb3="00000000" w:csb0="2000009F" w:csb1="00000000"/>
  </w:font>
  <w:font w:name="Segoe UI">
    <w:altName w:val="苹方-简"/>
    <w:panose1 w:val="020B0502040204020203"/>
    <w:charset w:val="00"/>
    <w:family w:val="swiss"/>
    <w:pitch w:val="default"/>
    <w:sig w:usb0="00000000" w:usb1="00000000" w:usb2="00000009" w:usb3="00000000" w:csb0="000001FF" w:csb1="00000000"/>
  </w:font>
  <w:font w:name="DengXian">
    <w:altName w:val="等线"/>
    <w:panose1 w:val="02010600030101010101"/>
    <w:charset w:val="86"/>
    <w:family w:val="auto"/>
    <w:pitch w:val="default"/>
    <w:sig w:usb0="00000000" w:usb1="00000000" w:usb2="00000016" w:usb3="00000000" w:csb0="0004000F" w:csb1="00000000"/>
  </w:font>
  <w:font w:name="PingFang SC">
    <w:charset w:val="86"/>
    <w:family w:val="auto"/>
    <w:pitch w:val="default"/>
    <w:sig w:usb0="A00002FF" w:usb1="7ACFFDFB" w:usb2="00000017" w:usb3="00000000" w:csb0="00040001" w:csb1="00000000"/>
  </w:font>
  <w:font w:name="Helvetica Neue">
    <w:charset w:val="00"/>
    <w:family w:val="auto"/>
    <w:pitch w:val="default"/>
    <w:sig w:usb0="E50002FF" w:usb1="500079DB" w:usb2="00000010" w:usb3="00000000" w:csb0="00000000" w:csb1="00000000"/>
  </w:font>
  <w:font w:name="SimHei">
    <w:altName w:val="黑体"/>
    <w:panose1 w:val="02010600030101010101"/>
    <w:charset w:val="86"/>
    <w:family w:val="modern"/>
    <w:pitch w:val="default"/>
    <w:sig w:usb0="00000000" w:usb1="00000000" w:usb2="00000016" w:usb3="00000000" w:csb0="00040001" w:csb1="00000000"/>
  </w:font>
  <w:font w:name=".applesystemuifontrounded">
    <w:altName w:val="苹方-简"/>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8079E" w14:textId="77777777" w:rsidR="00E65E9E" w:rsidRDefault="00E65E9E">
      <w:r>
        <w:separator/>
      </w:r>
    </w:p>
  </w:footnote>
  <w:footnote w:type="continuationSeparator" w:id="0">
    <w:p w14:paraId="4AB764D2" w14:textId="77777777" w:rsidR="00E65E9E" w:rsidRDefault="00E65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3B41" w14:textId="77777777" w:rsidR="004527E5"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C004" w14:textId="77777777" w:rsidR="004527E5" w:rsidRDefault="00000000">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FF5914"/>
    <w:multiLevelType w:val="singleLevel"/>
    <w:tmpl w:val="A7FF5914"/>
    <w:lvl w:ilvl="0">
      <w:start w:val="1"/>
      <w:numFmt w:val="decimal"/>
      <w:lvlText w:val="%1."/>
      <w:lvlJc w:val="left"/>
      <w:pPr>
        <w:ind w:left="425" w:hanging="425"/>
      </w:pPr>
      <w:rPr>
        <w:rFonts w:hint="default"/>
      </w:rPr>
    </w:lvl>
  </w:abstractNum>
  <w:abstractNum w:abstractNumId="1" w15:restartNumberingAfterBreak="0">
    <w:nsid w:val="3E9C351C"/>
    <w:multiLevelType w:val="multilevel"/>
    <w:tmpl w:val="3E9C351C"/>
    <w:lvl w:ilvl="0">
      <w:start w:val="8"/>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531342C1"/>
    <w:multiLevelType w:val="multilevel"/>
    <w:tmpl w:val="531342C1"/>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EA770EA"/>
    <w:multiLevelType w:val="multilevel"/>
    <w:tmpl w:val="5EA770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F894799"/>
    <w:multiLevelType w:val="multilevel"/>
    <w:tmpl w:val="5F89479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7FE95969"/>
    <w:multiLevelType w:val="multilevel"/>
    <w:tmpl w:val="7FE95969"/>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637250362">
    <w:abstractNumId w:val="0"/>
  </w:num>
  <w:num w:numId="2" w16cid:durableId="2023626169">
    <w:abstractNumId w:val="3"/>
  </w:num>
  <w:num w:numId="3" w16cid:durableId="1916892050">
    <w:abstractNumId w:val="5"/>
  </w:num>
  <w:num w:numId="4" w16cid:durableId="772632854">
    <w:abstractNumId w:val="1"/>
  </w:num>
  <w:num w:numId="5" w16cid:durableId="1558857154">
    <w:abstractNumId w:val="2"/>
  </w:num>
  <w:num w:numId="6" w16cid:durableId="1659579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25FB2"/>
    <w:rsid w:val="00034DD1"/>
    <w:rsid w:val="0004355D"/>
    <w:rsid w:val="0005636C"/>
    <w:rsid w:val="00057B67"/>
    <w:rsid w:val="00061E0E"/>
    <w:rsid w:val="0007506F"/>
    <w:rsid w:val="00076815"/>
    <w:rsid w:val="00081F44"/>
    <w:rsid w:val="00082A5F"/>
    <w:rsid w:val="000B41B6"/>
    <w:rsid w:val="000E2ABF"/>
    <w:rsid w:val="000E3F21"/>
    <w:rsid w:val="000E4C51"/>
    <w:rsid w:val="000F7790"/>
    <w:rsid w:val="00147CBA"/>
    <w:rsid w:val="001515A2"/>
    <w:rsid w:val="0015327B"/>
    <w:rsid w:val="001624E4"/>
    <w:rsid w:val="00181A81"/>
    <w:rsid w:val="0018412F"/>
    <w:rsid w:val="00194C04"/>
    <w:rsid w:val="00194CE8"/>
    <w:rsid w:val="001959A2"/>
    <w:rsid w:val="001A1CA1"/>
    <w:rsid w:val="001A3D0F"/>
    <w:rsid w:val="001A6FC3"/>
    <w:rsid w:val="001C1542"/>
    <w:rsid w:val="001D1578"/>
    <w:rsid w:val="001F3109"/>
    <w:rsid w:val="00210DD6"/>
    <w:rsid w:val="00214319"/>
    <w:rsid w:val="00216774"/>
    <w:rsid w:val="0023296D"/>
    <w:rsid w:val="00232DDC"/>
    <w:rsid w:val="00252077"/>
    <w:rsid w:val="00273EDD"/>
    <w:rsid w:val="00312C09"/>
    <w:rsid w:val="003160E0"/>
    <w:rsid w:val="0031658E"/>
    <w:rsid w:val="00327853"/>
    <w:rsid w:val="00345A90"/>
    <w:rsid w:val="00351087"/>
    <w:rsid w:val="003548DA"/>
    <w:rsid w:val="00356228"/>
    <w:rsid w:val="00356880"/>
    <w:rsid w:val="00357324"/>
    <w:rsid w:val="00387CDA"/>
    <w:rsid w:val="003A5297"/>
    <w:rsid w:val="003D67E2"/>
    <w:rsid w:val="0040579A"/>
    <w:rsid w:val="00414ADE"/>
    <w:rsid w:val="004361C8"/>
    <w:rsid w:val="00436F4D"/>
    <w:rsid w:val="00441A76"/>
    <w:rsid w:val="004527E5"/>
    <w:rsid w:val="00457C8C"/>
    <w:rsid w:val="004620C9"/>
    <w:rsid w:val="004939EE"/>
    <w:rsid w:val="004969D3"/>
    <w:rsid w:val="004C0985"/>
    <w:rsid w:val="004D362E"/>
    <w:rsid w:val="004D6D3E"/>
    <w:rsid w:val="004F6AD9"/>
    <w:rsid w:val="005033DC"/>
    <w:rsid w:val="00513CCF"/>
    <w:rsid w:val="00516914"/>
    <w:rsid w:val="00551D82"/>
    <w:rsid w:val="0055344F"/>
    <w:rsid w:val="00572ECA"/>
    <w:rsid w:val="005734D7"/>
    <w:rsid w:val="00575E55"/>
    <w:rsid w:val="00585BF5"/>
    <w:rsid w:val="00596150"/>
    <w:rsid w:val="005A637B"/>
    <w:rsid w:val="005E1EE7"/>
    <w:rsid w:val="00604100"/>
    <w:rsid w:val="00615035"/>
    <w:rsid w:val="0062009D"/>
    <w:rsid w:val="00620842"/>
    <w:rsid w:val="00622578"/>
    <w:rsid w:val="006239A1"/>
    <w:rsid w:val="00634672"/>
    <w:rsid w:val="00647209"/>
    <w:rsid w:val="00663CFB"/>
    <w:rsid w:val="006755EE"/>
    <w:rsid w:val="006824BF"/>
    <w:rsid w:val="006A6821"/>
    <w:rsid w:val="006C69C8"/>
    <w:rsid w:val="006E4797"/>
    <w:rsid w:val="006E7C64"/>
    <w:rsid w:val="007004E7"/>
    <w:rsid w:val="00702ADE"/>
    <w:rsid w:val="0070444F"/>
    <w:rsid w:val="00714BE0"/>
    <w:rsid w:val="00736371"/>
    <w:rsid w:val="007506B8"/>
    <w:rsid w:val="00751D3D"/>
    <w:rsid w:val="00757AA4"/>
    <w:rsid w:val="0079683A"/>
    <w:rsid w:val="007A4BBA"/>
    <w:rsid w:val="007B488F"/>
    <w:rsid w:val="007B72A4"/>
    <w:rsid w:val="007C051F"/>
    <w:rsid w:val="007D6BE0"/>
    <w:rsid w:val="007F13E9"/>
    <w:rsid w:val="007F2030"/>
    <w:rsid w:val="007F2772"/>
    <w:rsid w:val="007F5EB0"/>
    <w:rsid w:val="00833B96"/>
    <w:rsid w:val="008425A4"/>
    <w:rsid w:val="008461C6"/>
    <w:rsid w:val="0085421A"/>
    <w:rsid w:val="0085548D"/>
    <w:rsid w:val="00862CE7"/>
    <w:rsid w:val="008A4859"/>
    <w:rsid w:val="008A4E8C"/>
    <w:rsid w:val="008A7A39"/>
    <w:rsid w:val="008B2D50"/>
    <w:rsid w:val="008B35D2"/>
    <w:rsid w:val="008C2F5D"/>
    <w:rsid w:val="008D293E"/>
    <w:rsid w:val="008E19AC"/>
    <w:rsid w:val="00901C81"/>
    <w:rsid w:val="00911EF7"/>
    <w:rsid w:val="00921A44"/>
    <w:rsid w:val="00936E08"/>
    <w:rsid w:val="009409EA"/>
    <w:rsid w:val="00943269"/>
    <w:rsid w:val="00964208"/>
    <w:rsid w:val="00967D64"/>
    <w:rsid w:val="00992A8E"/>
    <w:rsid w:val="00994F50"/>
    <w:rsid w:val="00A0361E"/>
    <w:rsid w:val="00A1684A"/>
    <w:rsid w:val="00A35853"/>
    <w:rsid w:val="00A61636"/>
    <w:rsid w:val="00A624BE"/>
    <w:rsid w:val="00AB09B0"/>
    <w:rsid w:val="00AB4038"/>
    <w:rsid w:val="00B3375C"/>
    <w:rsid w:val="00B66177"/>
    <w:rsid w:val="00B80DB1"/>
    <w:rsid w:val="00B81064"/>
    <w:rsid w:val="00B83D05"/>
    <w:rsid w:val="00B87681"/>
    <w:rsid w:val="00BD3767"/>
    <w:rsid w:val="00BE22A2"/>
    <w:rsid w:val="00BE2769"/>
    <w:rsid w:val="00C11D93"/>
    <w:rsid w:val="00C27C71"/>
    <w:rsid w:val="00C366E0"/>
    <w:rsid w:val="00C430E5"/>
    <w:rsid w:val="00C550F3"/>
    <w:rsid w:val="00C6324B"/>
    <w:rsid w:val="00C652D8"/>
    <w:rsid w:val="00C875D1"/>
    <w:rsid w:val="00CB1713"/>
    <w:rsid w:val="00CB1783"/>
    <w:rsid w:val="00D07A90"/>
    <w:rsid w:val="00D2510B"/>
    <w:rsid w:val="00D57F1F"/>
    <w:rsid w:val="00D661BB"/>
    <w:rsid w:val="00D86D57"/>
    <w:rsid w:val="00D959E7"/>
    <w:rsid w:val="00DA154A"/>
    <w:rsid w:val="00DA3C5C"/>
    <w:rsid w:val="00DC0E61"/>
    <w:rsid w:val="00DC18A7"/>
    <w:rsid w:val="00DD0ABC"/>
    <w:rsid w:val="00DD0D2A"/>
    <w:rsid w:val="00DE2290"/>
    <w:rsid w:val="00E03054"/>
    <w:rsid w:val="00E120DD"/>
    <w:rsid w:val="00E401D5"/>
    <w:rsid w:val="00E50FCF"/>
    <w:rsid w:val="00E57705"/>
    <w:rsid w:val="00E61A0A"/>
    <w:rsid w:val="00E65E9E"/>
    <w:rsid w:val="00E67F96"/>
    <w:rsid w:val="00EB1E68"/>
    <w:rsid w:val="00EC0649"/>
    <w:rsid w:val="00EC57F0"/>
    <w:rsid w:val="00ED751A"/>
    <w:rsid w:val="00F22FB1"/>
    <w:rsid w:val="00F36869"/>
    <w:rsid w:val="00F41DE1"/>
    <w:rsid w:val="00F511BF"/>
    <w:rsid w:val="00F518A8"/>
    <w:rsid w:val="00F561EB"/>
    <w:rsid w:val="00F72213"/>
    <w:rsid w:val="00FA3B53"/>
    <w:rsid w:val="00FA6C9C"/>
    <w:rsid w:val="00FB796C"/>
    <w:rsid w:val="00FE1EAC"/>
    <w:rsid w:val="00FF4595"/>
    <w:rsid w:val="1DEBADB0"/>
    <w:rsid w:val="27332653"/>
    <w:rsid w:val="3DE4580B"/>
    <w:rsid w:val="3FEFC93A"/>
    <w:rsid w:val="47EC7EB7"/>
    <w:rsid w:val="5C6FB533"/>
    <w:rsid w:val="5FF76722"/>
    <w:rsid w:val="67D9A341"/>
    <w:rsid w:val="6ABC4B4C"/>
    <w:rsid w:val="75B74011"/>
    <w:rsid w:val="77CBB8D6"/>
    <w:rsid w:val="7DFE3914"/>
    <w:rsid w:val="7FF74792"/>
    <w:rsid w:val="7FF91F84"/>
    <w:rsid w:val="7FFBC8E4"/>
    <w:rsid w:val="9FF38608"/>
    <w:rsid w:val="ADFFB5FF"/>
    <w:rsid w:val="AFEFD72C"/>
    <w:rsid w:val="D7DF3847"/>
    <w:rsid w:val="DCBFCF05"/>
    <w:rsid w:val="DDFBF67E"/>
    <w:rsid w:val="DF7DB511"/>
    <w:rsid w:val="DFAB9CF9"/>
    <w:rsid w:val="EBEF5658"/>
    <w:rsid w:val="F3CAF3D3"/>
    <w:rsid w:val="F6F9DB8C"/>
    <w:rsid w:val="F97FF3D0"/>
    <w:rsid w:val="FABFE632"/>
    <w:rsid w:val="FE7B075A"/>
    <w:rsid w:val="FEB7BBDD"/>
    <w:rsid w:val="FEE61FD9"/>
    <w:rsid w:val="FF2DB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A688C"/>
  <w15:docId w15:val="{D9839A29-D240-469B-8658-9A1D76EB8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Footer">
    <w:name w:val="footer"/>
    <w:basedOn w:val="Normal"/>
    <w:link w:val="FooterChar"/>
    <w:uiPriority w:val="99"/>
    <w:unhideWhenUsed/>
    <w:pPr>
      <w:tabs>
        <w:tab w:val="center" w:pos="4680"/>
        <w:tab w:val="right" w:pos="936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pPr>
      <w:spacing w:beforeAutospacing="1" w:afterAutospacing="1"/>
      <w:jc w:val="left"/>
    </w:pPr>
    <w:rPr>
      <w:rFonts w:cs="Times New Roman"/>
      <w:lang w:eastAsia="zh-CN"/>
    </w:rPr>
  </w:style>
  <w:style w:type="paragraph" w:styleId="Title">
    <w:name w:val="Title"/>
    <w:basedOn w:val="Normal"/>
    <w:next w:val="Normal"/>
    <w:uiPriority w:val="10"/>
    <w:qFormat/>
    <w:pPr>
      <w:keepNext/>
      <w:keepLines/>
      <w:spacing w:before="480" w:after="120"/>
    </w:pPr>
    <w:rPr>
      <w:b/>
      <w:sz w:val="72"/>
      <w:szCs w:val="72"/>
    </w:rPr>
  </w:style>
  <w:style w:type="paragraph" w:styleId="CommentSubject">
    <w:name w:val="annotation subject"/>
    <w:basedOn w:val="CommentText"/>
    <w:next w:val="CommentText"/>
    <w:link w:val="CommentSubjectChar"/>
    <w:uiPriority w:val="99"/>
    <w:semiHidden/>
    <w:unhideWhenUsed/>
    <w:rPr>
      <w:b/>
      <w:bCs/>
    </w:rPr>
  </w:style>
  <w:style w:type="character" w:styleId="FollowedHyperlink">
    <w:name w:val="FollowedHyperlink"/>
    <w:basedOn w:val="DefaultParagraphFont"/>
    <w:uiPriority w:val="99"/>
    <w:semiHidden/>
    <w:unhideWhenUsed/>
    <w:rPr>
      <w:color w:val="800080" w:themeColor="followedHyperlink"/>
      <w:u w:val="single"/>
    </w:rPr>
  </w:style>
  <w:style w:type="character" w:styleId="LineNumber">
    <w:name w:val="lin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uiPriority w:val="99"/>
  </w:style>
  <w:style w:type="paragraph" w:customStyle="1" w:styleId="Revision1">
    <w:name w:val="Revision1"/>
    <w:hidden/>
    <w:uiPriority w:val="99"/>
    <w:semiHidden/>
    <w:rPr>
      <w:rFonts w:ascii="Calibri" w:eastAsia="Calibri" w:hAnsi="Calibri" w:cs="Calibri"/>
      <w:sz w:val="24"/>
      <w:szCs w:val="24"/>
      <w:lang w:val="en-US" w:eastAsia="en-US"/>
    </w:rPr>
  </w:style>
  <w:style w:type="paragraph" w:styleId="ListParagraph">
    <w:name w:val="List Paragraph"/>
    <w:basedOn w:val="Normal"/>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f01">
    <w:name w:val="cf01"/>
    <w:basedOn w:val="DefaultParagraphFont"/>
    <w:rPr>
      <w:rFonts w:ascii="Segoe UI" w:hAnsi="Segoe UI" w:cs="Segoe UI" w:hint="default"/>
      <w:sz w:val="18"/>
      <w:szCs w:val="18"/>
    </w:rPr>
  </w:style>
  <w:style w:type="paragraph" w:customStyle="1" w:styleId="EndNoteBibliography">
    <w:name w:val="EndNote Bibliography"/>
    <w:basedOn w:val="Normal"/>
    <w:qFormat/>
    <w:rPr>
      <w:sz w:val="20"/>
    </w:rPr>
  </w:style>
  <w:style w:type="character" w:customStyle="1" w:styleId="font11">
    <w:name w:val="font11"/>
    <w:basedOn w:val="DefaultParagraphFont"/>
    <w:rPr>
      <w:rFonts w:ascii="Times New Roman" w:hAnsi="Times New Roman" w:cs="Times New Roman" w:hint="default"/>
      <w:color w:val="000000"/>
      <w:sz w:val="22"/>
      <w:szCs w:val="22"/>
      <w:u w:val="none"/>
    </w:rPr>
  </w:style>
  <w:style w:type="character" w:customStyle="1" w:styleId="font01">
    <w:name w:val="font01"/>
    <w:basedOn w:val="DefaultParagraphFont"/>
    <w:rPr>
      <w:rFonts w:ascii="DengXian" w:eastAsia="DengXian" w:hAnsi="DengXian" w:cs="DengXian" w:hint="default"/>
      <w:color w:val="000000"/>
      <w:sz w:val="22"/>
      <w:szCs w:val="22"/>
      <w:u w:val="none"/>
    </w:rPr>
  </w:style>
  <w:style w:type="character" w:customStyle="1" w:styleId="font21">
    <w:name w:val="font21"/>
    <w:basedOn w:val="DefaultParagraphFont"/>
    <w:rPr>
      <w:rFonts w:ascii="PingFang SC" w:eastAsia="PingFang SC" w:hAnsi="PingFang SC" w:cs="PingFang SC"/>
      <w:color w:val="000000"/>
      <w:sz w:val="22"/>
      <w:szCs w:val="22"/>
      <w:u w:val="none"/>
    </w:rPr>
  </w:style>
  <w:style w:type="paragraph" w:customStyle="1" w:styleId="p2">
    <w:name w:val="p2"/>
    <w:basedOn w:val="Normal"/>
    <w:pPr>
      <w:jc w:val="left"/>
    </w:pPr>
    <w:rPr>
      <w:rFonts w:ascii="Helvetica Neue" w:eastAsia="Helvetica Neue" w:hAnsi="Helvetica Neue" w:cs="Times New Roman"/>
      <w:sz w:val="26"/>
      <w:szCs w:val="26"/>
      <w:lang w:eastAsia="zh-CN"/>
    </w:rPr>
  </w:style>
  <w:style w:type="paragraph" w:customStyle="1" w:styleId="p1">
    <w:name w:val="p1"/>
    <w:basedOn w:val="Normal"/>
    <w:pPr>
      <w:jc w:val="left"/>
    </w:pPr>
    <w:rPr>
      <w:rFonts w:ascii="Helvetica Neue" w:eastAsia="Helvetica Neue" w:hAnsi="Helvetica Neue" w:cs="Times New Roman"/>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4815</Words>
  <Characters>27452</Characters>
  <Application>Microsoft Office Word</Application>
  <DocSecurity>0</DocSecurity>
  <Lines>228</Lines>
  <Paragraphs>64</Paragraphs>
  <ScaleCrop>false</ScaleCrop>
  <Company/>
  <LinksUpToDate>false</LinksUpToDate>
  <CharactersWithSpaces>32203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Swati Madhu</cp:lastModifiedBy>
  <cp:revision>4</cp:revision>
  <dcterms:created xsi:type="dcterms:W3CDTF">2026-04-01T22:05:00Z</dcterms:created>
  <dcterms:modified xsi:type="dcterms:W3CDTF">2026-04-08T06:52:00Z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ProductBuildVer">
    <vt:lpwstr>2052-6.5.1.8687</vt:lpwstr>
  </property>
  <property fmtid="{D5CDD505-2E9C-101B-9397-08002B2CF9AE}" pid="4" name="ICV">
    <vt:lpwstr>C016EFE2B2B1488B28CBCF69425C4C16_43</vt:lpwstr>
  </property>
</Properties>
</file>