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34C00" w14:textId="267E3F27" w:rsidR="006D41BB" w:rsidRPr="00462158" w:rsidRDefault="006D41BB" w:rsidP="00462158">
      <w:pPr>
        <w:widowControl w:val="0"/>
        <w:jc w:val="both"/>
        <w:rPr>
          <w:rFonts w:asciiTheme="majorHAnsi" w:hAnsiTheme="majorHAnsi" w:cstheme="majorHAnsi"/>
          <w:b/>
          <w:bCs/>
        </w:rPr>
      </w:pPr>
      <w:bookmarkStart w:id="0" w:name="_Hlk218427328"/>
      <w:r w:rsidRPr="00462158">
        <w:rPr>
          <w:rFonts w:asciiTheme="majorHAnsi" w:hAnsiTheme="majorHAnsi" w:cstheme="majorHAnsi"/>
          <w:b/>
          <w:bCs/>
        </w:rPr>
        <w:t>TITLE:</w:t>
      </w:r>
    </w:p>
    <w:p w14:paraId="10B6BE59" w14:textId="64FBE5A8" w:rsidR="00AF091D" w:rsidRPr="00462158" w:rsidRDefault="005F75B1" w:rsidP="00462158">
      <w:pPr>
        <w:widowControl w:val="0"/>
        <w:jc w:val="both"/>
        <w:rPr>
          <w:rFonts w:asciiTheme="majorHAnsi" w:hAnsiTheme="majorHAnsi" w:cstheme="majorHAnsi"/>
        </w:rPr>
      </w:pPr>
      <w:r w:rsidRPr="00462158">
        <w:rPr>
          <w:rFonts w:asciiTheme="majorHAnsi" w:hAnsiTheme="majorHAnsi" w:cstheme="majorHAnsi"/>
        </w:rPr>
        <w:t>Postoperative Recovery and Stability of Chronic Intracranial Multi</w:t>
      </w:r>
      <w:r w:rsidR="006D41BB" w:rsidRPr="00462158">
        <w:rPr>
          <w:rFonts w:asciiTheme="majorHAnsi" w:hAnsiTheme="majorHAnsi" w:cstheme="majorHAnsi"/>
        </w:rPr>
        <w:t>e</w:t>
      </w:r>
      <w:r w:rsidRPr="00462158">
        <w:rPr>
          <w:rFonts w:asciiTheme="majorHAnsi" w:hAnsiTheme="majorHAnsi" w:cstheme="majorHAnsi"/>
        </w:rPr>
        <w:t xml:space="preserve">lectrode </w:t>
      </w:r>
      <w:r w:rsidR="006D41BB" w:rsidRPr="00462158">
        <w:rPr>
          <w:rFonts w:asciiTheme="majorHAnsi" w:eastAsiaTheme="minorEastAsia" w:hAnsiTheme="majorHAnsi" w:cstheme="majorHAnsi"/>
        </w:rPr>
        <w:t>Electroencephalography</w:t>
      </w:r>
      <w:r w:rsidRPr="00462158">
        <w:rPr>
          <w:rFonts w:asciiTheme="majorHAnsi" w:hAnsiTheme="majorHAnsi" w:cstheme="majorHAnsi"/>
        </w:rPr>
        <w:t xml:space="preserve"> Recording in Rats </w:t>
      </w:r>
    </w:p>
    <w:p w14:paraId="10B6BE5A" w14:textId="77777777" w:rsidR="00AF091D" w:rsidRPr="00462158" w:rsidRDefault="00AF091D" w:rsidP="00462158">
      <w:pPr>
        <w:jc w:val="both"/>
        <w:rPr>
          <w:rFonts w:asciiTheme="majorHAnsi" w:hAnsiTheme="majorHAnsi" w:cstheme="majorHAnsi"/>
        </w:rPr>
      </w:pPr>
    </w:p>
    <w:p w14:paraId="10B6BE5B" w14:textId="77777777" w:rsidR="00AF091D" w:rsidRPr="00462158" w:rsidRDefault="005F75B1" w:rsidP="00462158">
      <w:pPr>
        <w:jc w:val="both"/>
        <w:rPr>
          <w:rFonts w:asciiTheme="majorHAnsi" w:hAnsiTheme="majorHAnsi" w:cstheme="majorHAnsi"/>
        </w:rPr>
      </w:pPr>
      <w:r w:rsidRPr="00462158">
        <w:rPr>
          <w:rFonts w:asciiTheme="majorHAnsi" w:hAnsiTheme="majorHAnsi" w:cstheme="majorHAnsi"/>
          <w:b/>
        </w:rPr>
        <w:t xml:space="preserve">AUTHORS AND AFFILIATIONS: </w:t>
      </w:r>
    </w:p>
    <w:p w14:paraId="10B6BE5C" w14:textId="77777777" w:rsidR="00AF091D" w:rsidRPr="00462158" w:rsidRDefault="005F75B1" w:rsidP="00462158">
      <w:pPr>
        <w:jc w:val="both"/>
        <w:rPr>
          <w:rFonts w:asciiTheme="majorHAnsi" w:eastAsiaTheme="minorEastAsia" w:hAnsiTheme="majorHAnsi" w:cstheme="majorHAnsi"/>
        </w:rPr>
      </w:pPr>
      <w:proofErr w:type="spellStart"/>
      <w:r w:rsidRPr="00462158">
        <w:rPr>
          <w:rFonts w:asciiTheme="majorHAnsi" w:eastAsiaTheme="minorEastAsia" w:hAnsiTheme="majorHAnsi" w:cstheme="majorHAnsi"/>
        </w:rPr>
        <w:t>Fenqin</w:t>
      </w:r>
      <w:proofErr w:type="spellEnd"/>
      <w:r w:rsidRPr="00462158">
        <w:rPr>
          <w:rFonts w:asciiTheme="majorHAnsi" w:eastAsiaTheme="minorEastAsia" w:hAnsiTheme="majorHAnsi" w:cstheme="majorHAnsi"/>
        </w:rPr>
        <w:t xml:space="preserve"> Xue</w:t>
      </w:r>
      <w:r w:rsidRPr="00462158">
        <w:rPr>
          <w:rFonts w:asciiTheme="majorHAnsi" w:eastAsiaTheme="minorEastAsia" w:hAnsiTheme="majorHAnsi" w:cstheme="majorHAnsi"/>
          <w:vertAlign w:val="superscript"/>
        </w:rPr>
        <w:t>1*</w:t>
      </w:r>
      <w:r w:rsidRPr="00462158">
        <w:rPr>
          <w:rFonts w:asciiTheme="majorHAnsi" w:eastAsiaTheme="minorEastAsia" w:hAnsiTheme="majorHAnsi" w:cstheme="majorHAnsi"/>
        </w:rPr>
        <w:t xml:space="preserve">, </w:t>
      </w:r>
      <w:proofErr w:type="spellStart"/>
      <w:r w:rsidRPr="00462158">
        <w:rPr>
          <w:rFonts w:asciiTheme="majorHAnsi" w:eastAsiaTheme="minorEastAsia" w:hAnsiTheme="majorHAnsi" w:cstheme="majorHAnsi"/>
        </w:rPr>
        <w:t>Zhize</w:t>
      </w:r>
      <w:proofErr w:type="spellEnd"/>
      <w:r w:rsidRPr="00462158">
        <w:rPr>
          <w:rFonts w:asciiTheme="majorHAnsi" w:eastAsiaTheme="minorEastAsia" w:hAnsiTheme="majorHAnsi" w:cstheme="majorHAnsi"/>
        </w:rPr>
        <w:t xml:space="preserve"> Gao</w:t>
      </w:r>
      <w:r w:rsidRPr="00462158">
        <w:rPr>
          <w:rFonts w:asciiTheme="majorHAnsi" w:eastAsiaTheme="minorEastAsia" w:hAnsiTheme="majorHAnsi" w:cstheme="majorHAnsi"/>
          <w:vertAlign w:val="superscript"/>
        </w:rPr>
        <w:t>2*</w:t>
      </w:r>
      <w:r w:rsidRPr="00462158">
        <w:rPr>
          <w:rFonts w:asciiTheme="majorHAnsi" w:eastAsiaTheme="minorEastAsia" w:hAnsiTheme="majorHAnsi" w:cstheme="majorHAnsi"/>
        </w:rPr>
        <w:t>, Xiang Qi</w:t>
      </w:r>
      <w:r w:rsidRPr="00462158">
        <w:rPr>
          <w:rFonts w:asciiTheme="majorHAnsi" w:eastAsiaTheme="minorEastAsia" w:hAnsiTheme="majorHAnsi" w:cstheme="majorHAnsi"/>
          <w:vertAlign w:val="superscript"/>
        </w:rPr>
        <w:t>3</w:t>
      </w:r>
      <w:r w:rsidRPr="00462158">
        <w:rPr>
          <w:rFonts w:asciiTheme="majorHAnsi" w:eastAsiaTheme="minorEastAsia" w:hAnsiTheme="majorHAnsi" w:cstheme="majorHAnsi"/>
        </w:rPr>
        <w:t>, Jingyi Li</w:t>
      </w:r>
      <w:r w:rsidRPr="00462158">
        <w:rPr>
          <w:rFonts w:asciiTheme="majorHAnsi" w:eastAsiaTheme="minorEastAsia" w:hAnsiTheme="majorHAnsi" w:cstheme="majorHAnsi"/>
          <w:vertAlign w:val="superscript"/>
        </w:rPr>
        <w:t>2</w:t>
      </w:r>
      <w:r w:rsidRPr="00462158">
        <w:rPr>
          <w:rFonts w:asciiTheme="majorHAnsi" w:eastAsiaTheme="minorEastAsia" w:hAnsiTheme="majorHAnsi" w:cstheme="majorHAnsi"/>
        </w:rPr>
        <w:t>, Bing Song</w:t>
      </w:r>
      <w:r w:rsidRPr="00462158">
        <w:rPr>
          <w:rFonts w:asciiTheme="majorHAnsi" w:eastAsiaTheme="minorEastAsia" w:hAnsiTheme="majorHAnsi" w:cstheme="majorHAnsi"/>
          <w:vertAlign w:val="superscript"/>
        </w:rPr>
        <w:t>4</w:t>
      </w:r>
      <w:r w:rsidRPr="00462158">
        <w:rPr>
          <w:rFonts w:asciiTheme="majorHAnsi" w:eastAsiaTheme="minorEastAsia" w:hAnsiTheme="majorHAnsi" w:cstheme="majorHAnsi"/>
        </w:rPr>
        <w:t>, Jianwei Zhang</w:t>
      </w:r>
      <w:r w:rsidRPr="00462158">
        <w:rPr>
          <w:rFonts w:asciiTheme="majorHAnsi" w:eastAsiaTheme="minorEastAsia" w:hAnsiTheme="majorHAnsi" w:cstheme="majorHAnsi"/>
          <w:vertAlign w:val="superscript"/>
        </w:rPr>
        <w:t>5,6</w:t>
      </w:r>
      <w:r w:rsidRPr="00462158">
        <w:rPr>
          <w:rFonts w:asciiTheme="majorHAnsi" w:eastAsiaTheme="minorEastAsia" w:hAnsiTheme="majorHAnsi" w:cstheme="majorHAnsi"/>
        </w:rPr>
        <w:t>#, Zhonghua Shi</w:t>
      </w:r>
      <w:r w:rsidRPr="00462158">
        <w:rPr>
          <w:rFonts w:asciiTheme="majorHAnsi" w:eastAsiaTheme="minorEastAsia" w:hAnsiTheme="majorHAnsi" w:cstheme="majorHAnsi"/>
          <w:vertAlign w:val="superscript"/>
        </w:rPr>
        <w:t>2,7,8#</w:t>
      </w:r>
    </w:p>
    <w:p w14:paraId="10B6BE5D" w14:textId="77777777" w:rsidR="00AF091D" w:rsidRPr="00462158" w:rsidRDefault="00AF091D" w:rsidP="00462158">
      <w:pPr>
        <w:jc w:val="both"/>
        <w:rPr>
          <w:rFonts w:asciiTheme="majorHAnsi" w:eastAsiaTheme="minorEastAsia" w:hAnsiTheme="majorHAnsi" w:cstheme="majorHAnsi"/>
        </w:rPr>
      </w:pPr>
    </w:p>
    <w:p w14:paraId="10B6BE5E" w14:textId="77777777" w:rsidR="00AF091D" w:rsidRPr="00462158" w:rsidRDefault="005F75B1" w:rsidP="00462158">
      <w:pPr>
        <w:jc w:val="both"/>
        <w:rPr>
          <w:rFonts w:asciiTheme="majorHAnsi" w:eastAsiaTheme="minorEastAsia" w:hAnsiTheme="majorHAnsi" w:cstheme="majorHAnsi"/>
        </w:rPr>
      </w:pPr>
      <w:r w:rsidRPr="00462158">
        <w:rPr>
          <w:rFonts w:asciiTheme="majorHAnsi" w:eastAsia="SimSun" w:hAnsiTheme="majorHAnsi" w:cstheme="majorHAnsi"/>
        </w:rPr>
        <w:t>*</w:t>
      </w:r>
      <w:r w:rsidRPr="00462158">
        <w:rPr>
          <w:rFonts w:asciiTheme="majorHAnsi" w:hAnsiTheme="majorHAnsi" w:cstheme="majorHAnsi"/>
        </w:rPr>
        <w:t xml:space="preserve"> These authors contributed equally to</w:t>
      </w:r>
      <w:r w:rsidRPr="00462158">
        <w:rPr>
          <w:rFonts w:asciiTheme="majorHAnsi" w:hAnsiTheme="majorHAnsi" w:cstheme="majorHAnsi"/>
          <w:spacing w:val="-1"/>
        </w:rPr>
        <w:t xml:space="preserve"> this work.</w:t>
      </w:r>
    </w:p>
    <w:p w14:paraId="10B6BE5F" w14:textId="77777777" w:rsidR="00AF091D" w:rsidRPr="00462158" w:rsidRDefault="00AF091D" w:rsidP="00462158">
      <w:pPr>
        <w:jc w:val="both"/>
        <w:rPr>
          <w:rFonts w:asciiTheme="majorHAnsi" w:eastAsiaTheme="minorEastAsia" w:hAnsiTheme="majorHAnsi" w:cstheme="majorHAnsi"/>
        </w:rPr>
      </w:pPr>
    </w:p>
    <w:p w14:paraId="10B6BE60" w14:textId="08D6A33E"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1</w:t>
      </w:r>
      <w:r w:rsidRPr="00462158">
        <w:rPr>
          <w:rFonts w:asciiTheme="majorHAnsi" w:eastAsiaTheme="minorEastAsia" w:hAnsiTheme="majorHAnsi" w:cstheme="majorHAnsi"/>
        </w:rPr>
        <w:t>Core Facilities Center, Capital Medical University, Beijing, China</w:t>
      </w:r>
    </w:p>
    <w:p w14:paraId="10B6BE61" w14:textId="27BB4F49"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2</w:t>
      </w:r>
      <w:r w:rsidRPr="00462158">
        <w:rPr>
          <w:rFonts w:asciiTheme="majorHAnsi" w:eastAsiaTheme="minorEastAsia" w:hAnsiTheme="majorHAnsi" w:cstheme="majorHAnsi"/>
        </w:rPr>
        <w:t xml:space="preserve">Department of Neurosurgery, Intensive Care Unit, Beijing </w:t>
      </w:r>
      <w:proofErr w:type="spellStart"/>
      <w:r w:rsidRPr="00462158">
        <w:rPr>
          <w:rFonts w:asciiTheme="majorHAnsi" w:eastAsiaTheme="minorEastAsia" w:hAnsiTheme="majorHAnsi" w:cstheme="majorHAnsi"/>
        </w:rPr>
        <w:t>Sanbo</w:t>
      </w:r>
      <w:proofErr w:type="spellEnd"/>
      <w:r w:rsidRPr="00462158">
        <w:rPr>
          <w:rFonts w:asciiTheme="majorHAnsi" w:eastAsiaTheme="minorEastAsia" w:hAnsiTheme="majorHAnsi" w:cstheme="majorHAnsi"/>
        </w:rPr>
        <w:t xml:space="preserve"> Brain Hospital, Capital Medical University, Beijing, China</w:t>
      </w:r>
    </w:p>
    <w:p w14:paraId="10B6BE62" w14:textId="5495BEDD"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3</w:t>
      </w:r>
      <w:r w:rsidRPr="00462158">
        <w:rPr>
          <w:rFonts w:asciiTheme="majorHAnsi" w:eastAsiaTheme="minorEastAsia" w:hAnsiTheme="majorHAnsi" w:cstheme="majorHAnsi"/>
        </w:rPr>
        <w:t xml:space="preserve">Department of Neurosurgery, Anesthesiology, Beijing </w:t>
      </w:r>
      <w:proofErr w:type="spellStart"/>
      <w:r w:rsidRPr="00462158">
        <w:rPr>
          <w:rFonts w:asciiTheme="majorHAnsi" w:eastAsiaTheme="minorEastAsia" w:hAnsiTheme="majorHAnsi" w:cstheme="majorHAnsi"/>
        </w:rPr>
        <w:t>Sanbo</w:t>
      </w:r>
      <w:proofErr w:type="spellEnd"/>
      <w:r w:rsidRPr="00462158">
        <w:rPr>
          <w:rFonts w:asciiTheme="majorHAnsi" w:eastAsiaTheme="minorEastAsia" w:hAnsiTheme="majorHAnsi" w:cstheme="majorHAnsi"/>
        </w:rPr>
        <w:t xml:space="preserve"> Brain Hospital, Capital Medical University, Beijing, China</w:t>
      </w:r>
    </w:p>
    <w:p w14:paraId="10B6BE63" w14:textId="4A514609"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4</w:t>
      </w:r>
      <w:r w:rsidRPr="00462158">
        <w:rPr>
          <w:rFonts w:asciiTheme="majorHAnsi" w:eastAsiaTheme="minorEastAsia" w:hAnsiTheme="majorHAnsi" w:cstheme="majorHAnsi"/>
        </w:rPr>
        <w:t>First Affiliated Hospital of Jinzhou Medical University, Jinzhou, China</w:t>
      </w:r>
    </w:p>
    <w:p w14:paraId="10B6BE64" w14:textId="77D6D183"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5</w:t>
      </w:r>
      <w:r w:rsidRPr="00462158">
        <w:rPr>
          <w:rFonts w:asciiTheme="majorHAnsi" w:eastAsiaTheme="minorEastAsia" w:hAnsiTheme="majorHAnsi" w:cstheme="majorHAnsi"/>
        </w:rPr>
        <w:t xml:space="preserve">Department of Cardiology, Beijing </w:t>
      </w:r>
      <w:proofErr w:type="spellStart"/>
      <w:r w:rsidRPr="00462158">
        <w:rPr>
          <w:rFonts w:asciiTheme="majorHAnsi" w:eastAsiaTheme="minorEastAsia" w:hAnsiTheme="majorHAnsi" w:cstheme="majorHAnsi"/>
        </w:rPr>
        <w:t>Anzhen</w:t>
      </w:r>
      <w:proofErr w:type="spellEnd"/>
      <w:r w:rsidRPr="00462158">
        <w:rPr>
          <w:rFonts w:asciiTheme="majorHAnsi" w:eastAsiaTheme="minorEastAsia" w:hAnsiTheme="majorHAnsi" w:cstheme="majorHAnsi"/>
        </w:rPr>
        <w:t xml:space="preserve"> Hospital, Capital Medical University, Beijing, China</w:t>
      </w:r>
    </w:p>
    <w:p w14:paraId="10B6BE65" w14:textId="330C351F"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6</w:t>
      </w:r>
      <w:r w:rsidRPr="00462158">
        <w:rPr>
          <w:rFonts w:asciiTheme="majorHAnsi" w:eastAsiaTheme="minorEastAsia" w:hAnsiTheme="majorHAnsi" w:cstheme="majorHAnsi"/>
        </w:rPr>
        <w:t>Institute of Heart Lung and Blood Vessel Disease, Beijing Key Laboratory of Precision Medicine of Coronary Atherosclerotic Disease, Clinical center for coronary heart disease, Capital Medical University, Beijing, China</w:t>
      </w:r>
    </w:p>
    <w:p w14:paraId="10B6BE66" w14:textId="5ED85D56"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7</w:t>
      </w:r>
      <w:r w:rsidRPr="00462158">
        <w:rPr>
          <w:rFonts w:asciiTheme="majorHAnsi" w:eastAsiaTheme="minorEastAsia" w:hAnsiTheme="majorHAnsi" w:cstheme="majorHAnsi"/>
        </w:rPr>
        <w:t>Laboratory for Clinical Medicine, Capital Medical University, Beijing, China</w:t>
      </w:r>
    </w:p>
    <w:p w14:paraId="10B6BE67" w14:textId="3AFDA334" w:rsidR="00AF091D" w:rsidRPr="00462158" w:rsidRDefault="005F75B1" w:rsidP="00462158">
      <w:pPr>
        <w:jc w:val="both"/>
        <w:rPr>
          <w:rFonts w:asciiTheme="majorHAnsi" w:eastAsiaTheme="minorEastAsia" w:hAnsiTheme="majorHAnsi" w:cstheme="majorHAnsi"/>
        </w:rPr>
      </w:pPr>
      <w:r w:rsidRPr="00462158">
        <w:rPr>
          <w:rFonts w:asciiTheme="majorHAnsi" w:eastAsiaTheme="minorEastAsia" w:hAnsiTheme="majorHAnsi" w:cstheme="majorHAnsi"/>
          <w:vertAlign w:val="superscript"/>
        </w:rPr>
        <w:t>8</w:t>
      </w:r>
      <w:r w:rsidRPr="00462158">
        <w:rPr>
          <w:rFonts w:asciiTheme="majorHAnsi" w:eastAsiaTheme="minorEastAsia" w:hAnsiTheme="majorHAnsi" w:cstheme="majorHAnsi"/>
        </w:rPr>
        <w:t>Department of Physiology, Amsterdam University Medical Centre, Amsterdam, The Netherlands</w:t>
      </w:r>
    </w:p>
    <w:p w14:paraId="10B6BE68" w14:textId="77777777" w:rsidR="00AF091D" w:rsidRPr="00462158" w:rsidRDefault="00AF091D" w:rsidP="00462158">
      <w:pPr>
        <w:jc w:val="both"/>
        <w:rPr>
          <w:rFonts w:asciiTheme="majorHAnsi" w:eastAsiaTheme="minorEastAsia" w:hAnsiTheme="majorHAnsi" w:cstheme="majorHAnsi"/>
        </w:rPr>
      </w:pPr>
    </w:p>
    <w:p w14:paraId="10B6BE69" w14:textId="77777777" w:rsidR="00AF091D" w:rsidRPr="00462158" w:rsidRDefault="005F75B1" w:rsidP="00462158">
      <w:pPr>
        <w:jc w:val="both"/>
        <w:rPr>
          <w:rFonts w:asciiTheme="majorHAnsi" w:hAnsiTheme="majorHAnsi" w:cstheme="majorHAnsi"/>
          <w:b/>
          <w:bCs/>
        </w:rPr>
      </w:pPr>
      <w:r w:rsidRPr="00462158">
        <w:rPr>
          <w:rFonts w:asciiTheme="majorHAnsi" w:hAnsiTheme="majorHAnsi" w:cstheme="majorHAnsi"/>
          <w:b/>
          <w:bCs/>
        </w:rPr>
        <w:t>Email addresses of the co-authors:</w:t>
      </w:r>
    </w:p>
    <w:p w14:paraId="10B6BE6A" w14:textId="77777777" w:rsidR="00AF091D" w:rsidRPr="004722BF" w:rsidRDefault="005F75B1" w:rsidP="00462158">
      <w:pPr>
        <w:jc w:val="both"/>
        <w:rPr>
          <w:rFonts w:asciiTheme="majorHAnsi" w:hAnsiTheme="majorHAnsi" w:cstheme="majorHAnsi"/>
          <w:lang w:val="de-DE"/>
        </w:rPr>
      </w:pPr>
      <w:bookmarkStart w:id="1" w:name="_Hlk197779098"/>
      <w:r w:rsidRPr="004722BF">
        <w:rPr>
          <w:rFonts w:asciiTheme="majorHAnsi" w:hAnsiTheme="majorHAnsi" w:cstheme="majorHAnsi"/>
          <w:lang w:val="de-DE"/>
        </w:rPr>
        <w:t>Fenqin Xue</w:t>
      </w:r>
      <w:r w:rsidRPr="004722BF">
        <w:rPr>
          <w:rFonts w:asciiTheme="majorHAnsi" w:eastAsia="SimSun" w:hAnsiTheme="majorHAnsi" w:cstheme="majorHAnsi"/>
          <w:lang w:val="de-DE"/>
        </w:rPr>
        <w:t xml:space="preserve"> </w:t>
      </w:r>
      <w:r w:rsidRPr="004722BF">
        <w:rPr>
          <w:rFonts w:asciiTheme="majorHAnsi" w:hAnsiTheme="majorHAnsi" w:cstheme="majorHAnsi"/>
          <w:lang w:val="de-DE"/>
        </w:rPr>
        <w:t>(xuefenqin@ccmu.edu.cn)</w:t>
      </w:r>
    </w:p>
    <w:p w14:paraId="10B6BE6B" w14:textId="77777777" w:rsidR="00AF091D" w:rsidRPr="004722BF" w:rsidRDefault="005F75B1" w:rsidP="00462158">
      <w:pPr>
        <w:jc w:val="both"/>
        <w:rPr>
          <w:rFonts w:asciiTheme="majorHAnsi" w:hAnsiTheme="majorHAnsi" w:cstheme="majorHAnsi"/>
          <w:lang w:val="de-DE"/>
        </w:rPr>
      </w:pPr>
      <w:r w:rsidRPr="004722BF">
        <w:rPr>
          <w:rFonts w:asciiTheme="majorHAnsi" w:hAnsiTheme="majorHAnsi" w:cstheme="majorHAnsi"/>
          <w:lang w:val="de-DE"/>
        </w:rPr>
        <w:t>Zhize Gao (</w:t>
      </w:r>
      <w:r w:rsidRPr="004722BF">
        <w:rPr>
          <w:rStyle w:val="Hyperlink"/>
          <w:rFonts w:asciiTheme="majorHAnsi" w:hAnsiTheme="majorHAnsi" w:cstheme="majorHAnsi"/>
          <w:color w:val="auto"/>
          <w:lang w:val="de-DE"/>
        </w:rPr>
        <w:t>gaozhize2023@163.com</w:t>
      </w:r>
      <w:r w:rsidRPr="004722BF">
        <w:rPr>
          <w:rFonts w:asciiTheme="majorHAnsi" w:hAnsiTheme="majorHAnsi" w:cstheme="majorHAnsi"/>
          <w:lang w:val="de-DE"/>
        </w:rPr>
        <w:t>)</w:t>
      </w:r>
    </w:p>
    <w:p w14:paraId="10B6BE6C" w14:textId="77777777" w:rsidR="00AF091D" w:rsidRPr="004722BF" w:rsidRDefault="005F75B1" w:rsidP="00462158">
      <w:pPr>
        <w:jc w:val="both"/>
        <w:rPr>
          <w:rFonts w:asciiTheme="majorHAnsi" w:hAnsiTheme="majorHAnsi" w:cstheme="majorHAnsi"/>
          <w:lang w:val="de-DE"/>
        </w:rPr>
      </w:pPr>
      <w:r w:rsidRPr="004722BF">
        <w:rPr>
          <w:rFonts w:asciiTheme="majorHAnsi" w:hAnsiTheme="majorHAnsi" w:cstheme="majorHAnsi"/>
          <w:lang w:val="de-DE"/>
        </w:rPr>
        <w:t>Xiang Qi (</w:t>
      </w:r>
      <w:r w:rsidRPr="004722BF">
        <w:rPr>
          <w:rStyle w:val="Hyperlink"/>
          <w:rFonts w:asciiTheme="majorHAnsi" w:hAnsiTheme="majorHAnsi" w:cstheme="majorHAnsi"/>
          <w:color w:val="auto"/>
          <w:lang w:val="de-DE"/>
        </w:rPr>
        <w:t>DocxiangQ@163.com</w:t>
      </w:r>
      <w:r w:rsidRPr="004722BF">
        <w:rPr>
          <w:rFonts w:asciiTheme="majorHAnsi" w:hAnsiTheme="majorHAnsi" w:cstheme="majorHAnsi"/>
          <w:lang w:val="de-DE"/>
        </w:rPr>
        <w:t>)</w:t>
      </w:r>
    </w:p>
    <w:p w14:paraId="10B6BE6D" w14:textId="77777777" w:rsidR="00AF091D" w:rsidRPr="00462158" w:rsidRDefault="005F75B1" w:rsidP="00462158">
      <w:pPr>
        <w:jc w:val="both"/>
        <w:rPr>
          <w:rFonts w:asciiTheme="majorHAnsi" w:hAnsiTheme="majorHAnsi" w:cstheme="majorHAnsi"/>
        </w:rPr>
      </w:pPr>
      <w:r w:rsidRPr="00462158">
        <w:rPr>
          <w:rFonts w:asciiTheme="majorHAnsi" w:hAnsiTheme="majorHAnsi" w:cstheme="majorHAnsi"/>
        </w:rPr>
        <w:t>Jingyi Li (</w:t>
      </w:r>
      <w:r w:rsidRPr="00462158">
        <w:rPr>
          <w:rStyle w:val="Hyperlink"/>
          <w:rFonts w:asciiTheme="majorHAnsi" w:hAnsiTheme="majorHAnsi" w:cstheme="majorHAnsi"/>
          <w:color w:val="auto"/>
        </w:rPr>
        <w:t>lijingyiz@163.com</w:t>
      </w:r>
      <w:r w:rsidRPr="00462158">
        <w:rPr>
          <w:rFonts w:asciiTheme="majorHAnsi" w:hAnsiTheme="majorHAnsi" w:cstheme="majorHAnsi"/>
        </w:rPr>
        <w:t>)</w:t>
      </w:r>
    </w:p>
    <w:p w14:paraId="10B6BE6E" w14:textId="77777777" w:rsidR="00AF091D" w:rsidRPr="00462158" w:rsidRDefault="005F75B1" w:rsidP="00462158">
      <w:pPr>
        <w:jc w:val="both"/>
        <w:rPr>
          <w:rFonts w:asciiTheme="majorHAnsi" w:hAnsiTheme="majorHAnsi" w:cstheme="majorHAnsi"/>
          <w:vertAlign w:val="superscript"/>
        </w:rPr>
      </w:pPr>
      <w:r w:rsidRPr="00462158">
        <w:rPr>
          <w:rFonts w:asciiTheme="majorHAnsi" w:eastAsiaTheme="minorEastAsia" w:hAnsiTheme="majorHAnsi" w:cstheme="majorHAnsi"/>
        </w:rPr>
        <w:t xml:space="preserve">Bing Song </w:t>
      </w:r>
      <w:r w:rsidRPr="00462158">
        <w:rPr>
          <w:rFonts w:asciiTheme="majorHAnsi" w:hAnsiTheme="majorHAnsi" w:cstheme="majorHAnsi"/>
        </w:rPr>
        <w:t>(</w:t>
      </w:r>
      <w:r w:rsidRPr="00462158">
        <w:rPr>
          <w:rStyle w:val="Hyperlink"/>
          <w:rFonts w:asciiTheme="majorHAnsi" w:hAnsiTheme="majorHAnsi" w:cstheme="majorHAnsi"/>
          <w:color w:val="auto"/>
        </w:rPr>
        <w:t>bingsong2025@163.com</w:t>
      </w:r>
      <w:r w:rsidRPr="00462158">
        <w:rPr>
          <w:rFonts w:asciiTheme="majorHAnsi" w:hAnsiTheme="majorHAnsi" w:cstheme="majorHAnsi"/>
        </w:rPr>
        <w:t>)</w:t>
      </w:r>
    </w:p>
    <w:p w14:paraId="10B6BE6F" w14:textId="77777777" w:rsidR="00AF091D" w:rsidRPr="00462158" w:rsidRDefault="00AF091D" w:rsidP="00462158">
      <w:pPr>
        <w:jc w:val="both"/>
        <w:rPr>
          <w:rFonts w:asciiTheme="majorHAnsi" w:hAnsiTheme="majorHAnsi" w:cstheme="majorHAnsi"/>
        </w:rPr>
      </w:pPr>
    </w:p>
    <w:p w14:paraId="10B6BE70" w14:textId="053B10D1" w:rsidR="00AF091D" w:rsidRPr="00462158" w:rsidRDefault="005F75B1" w:rsidP="00462158">
      <w:pPr>
        <w:jc w:val="both"/>
        <w:rPr>
          <w:rFonts w:asciiTheme="majorHAnsi" w:hAnsiTheme="majorHAnsi" w:cstheme="majorHAnsi"/>
          <w:b/>
          <w:bCs/>
        </w:rPr>
      </w:pPr>
      <w:r w:rsidRPr="00462158">
        <w:rPr>
          <w:rFonts w:asciiTheme="majorHAnsi" w:hAnsiTheme="majorHAnsi" w:cstheme="majorHAnsi"/>
          <w:b/>
          <w:bCs/>
          <w:vertAlign w:val="superscript"/>
        </w:rPr>
        <w:t>#</w:t>
      </w:r>
      <w:r w:rsidRPr="00462158">
        <w:rPr>
          <w:rFonts w:asciiTheme="majorHAnsi" w:hAnsiTheme="majorHAnsi" w:cstheme="majorHAnsi"/>
          <w:b/>
          <w:bCs/>
        </w:rPr>
        <w:t>Email address of the corresponding author:</w:t>
      </w:r>
    </w:p>
    <w:p w14:paraId="10B6BE71" w14:textId="77777777" w:rsidR="00AF091D" w:rsidRPr="004722BF" w:rsidRDefault="005F75B1" w:rsidP="00462158">
      <w:pPr>
        <w:jc w:val="both"/>
        <w:rPr>
          <w:rFonts w:asciiTheme="majorHAnsi" w:hAnsiTheme="majorHAnsi" w:cstheme="majorHAnsi"/>
          <w:lang w:val="de-DE"/>
        </w:rPr>
      </w:pPr>
      <w:r w:rsidRPr="004722BF">
        <w:rPr>
          <w:rFonts w:asciiTheme="majorHAnsi" w:hAnsiTheme="majorHAnsi" w:cstheme="majorHAnsi"/>
          <w:lang w:val="de-DE"/>
        </w:rPr>
        <w:t>Zhonghua Shi</w:t>
      </w:r>
      <w:r w:rsidRPr="004722BF">
        <w:rPr>
          <w:rFonts w:asciiTheme="majorHAnsi" w:hAnsiTheme="majorHAnsi" w:cstheme="majorHAnsi"/>
          <w:lang w:val="de-DE"/>
        </w:rPr>
        <w:tab/>
        <w:t>(</w:t>
      </w:r>
      <w:r w:rsidRPr="004722BF">
        <w:rPr>
          <w:rStyle w:val="Hyperlink"/>
          <w:rFonts w:asciiTheme="majorHAnsi" w:hAnsiTheme="majorHAnsi" w:cstheme="majorHAnsi"/>
          <w:color w:val="auto"/>
          <w:lang w:val="de-DE"/>
        </w:rPr>
        <w:t>z.shi@mail.ccmu.edu.cn</w:t>
      </w:r>
      <w:r w:rsidRPr="004722BF">
        <w:rPr>
          <w:rFonts w:asciiTheme="majorHAnsi" w:hAnsiTheme="majorHAnsi" w:cstheme="majorHAnsi"/>
          <w:lang w:val="de-DE"/>
        </w:rPr>
        <w:t>)</w:t>
      </w:r>
    </w:p>
    <w:bookmarkEnd w:id="1"/>
    <w:p w14:paraId="2EC932CB" w14:textId="77777777" w:rsidR="00AF091D" w:rsidRPr="004722BF" w:rsidRDefault="005F75B1" w:rsidP="00462158">
      <w:pPr>
        <w:jc w:val="both"/>
        <w:rPr>
          <w:rStyle w:val="Hyperlink"/>
          <w:rFonts w:asciiTheme="majorHAnsi" w:hAnsiTheme="majorHAnsi" w:cstheme="majorHAnsi"/>
          <w:color w:val="auto"/>
          <w:lang w:val="de-DE"/>
        </w:rPr>
      </w:pPr>
      <w:r w:rsidRPr="004722BF">
        <w:rPr>
          <w:rFonts w:asciiTheme="majorHAnsi" w:eastAsiaTheme="minorEastAsia" w:hAnsiTheme="majorHAnsi" w:cstheme="majorHAnsi"/>
          <w:lang w:val="de-DE"/>
        </w:rPr>
        <w:t xml:space="preserve">Jianwei Zhang </w:t>
      </w:r>
      <w:r w:rsidRPr="004722BF">
        <w:rPr>
          <w:rFonts w:asciiTheme="majorHAnsi" w:hAnsiTheme="majorHAnsi" w:cstheme="majorHAnsi"/>
          <w:lang w:val="de-DE"/>
        </w:rPr>
        <w:t>(</w:t>
      </w:r>
      <w:r w:rsidRPr="004722BF">
        <w:rPr>
          <w:rStyle w:val="Hyperlink"/>
          <w:rFonts w:asciiTheme="majorHAnsi" w:hAnsiTheme="majorHAnsi" w:cstheme="majorHAnsi"/>
          <w:color w:val="auto"/>
          <w:lang w:val="de-DE"/>
        </w:rPr>
        <w:t>zhangjianwei_2003@sina.com</w:t>
      </w:r>
    </w:p>
    <w:p w14:paraId="10B6BE73" w14:textId="77777777" w:rsidR="00AF091D" w:rsidRPr="004722BF" w:rsidRDefault="00AF091D" w:rsidP="00462158">
      <w:pPr>
        <w:jc w:val="both"/>
        <w:rPr>
          <w:rFonts w:asciiTheme="majorHAnsi" w:hAnsiTheme="majorHAnsi" w:cstheme="majorHAnsi"/>
          <w:b/>
          <w:lang w:val="de-DE"/>
        </w:rPr>
      </w:pPr>
    </w:p>
    <w:p w14:paraId="7C66A717" w14:textId="6E47BF5F" w:rsidR="003736D2" w:rsidRPr="004722BF" w:rsidRDefault="003736D2" w:rsidP="00462158">
      <w:pPr>
        <w:jc w:val="both"/>
        <w:rPr>
          <w:rFonts w:asciiTheme="majorHAnsi" w:hAnsiTheme="majorHAnsi" w:cstheme="majorHAnsi"/>
          <w:b/>
          <w:bCs/>
          <w:lang w:val="de-DE"/>
        </w:rPr>
      </w:pPr>
      <w:r w:rsidRPr="004722BF">
        <w:rPr>
          <w:rFonts w:asciiTheme="majorHAnsi" w:hAnsiTheme="majorHAnsi" w:cstheme="majorHAnsi"/>
          <w:b/>
          <w:bCs/>
          <w:lang w:val="de-DE"/>
        </w:rPr>
        <w:t xml:space="preserve">KEYWORDS: </w:t>
      </w:r>
    </w:p>
    <w:p w14:paraId="735CADFF" w14:textId="46606DF2" w:rsidR="003736D2" w:rsidRPr="00462158" w:rsidRDefault="003736D2" w:rsidP="00462158">
      <w:pPr>
        <w:jc w:val="both"/>
        <w:rPr>
          <w:rFonts w:asciiTheme="majorHAnsi" w:eastAsiaTheme="minorEastAsia" w:hAnsiTheme="majorHAnsi" w:cstheme="majorHAnsi"/>
        </w:rPr>
      </w:pPr>
      <w:r w:rsidRPr="00462158">
        <w:rPr>
          <w:rFonts w:asciiTheme="majorHAnsi" w:hAnsiTheme="majorHAnsi" w:cstheme="majorHAnsi"/>
          <w:bCs/>
        </w:rPr>
        <w:t>Chronic intracranial electrodes; Rat; Electrode stability; Multi-site EEG</w:t>
      </w:r>
    </w:p>
    <w:p w14:paraId="0DB0CF59" w14:textId="77777777" w:rsidR="003736D2" w:rsidRPr="00462158" w:rsidRDefault="003736D2" w:rsidP="00462158">
      <w:pPr>
        <w:jc w:val="both"/>
        <w:rPr>
          <w:rFonts w:asciiTheme="majorHAnsi" w:hAnsiTheme="majorHAnsi" w:cstheme="majorHAnsi"/>
          <w:b/>
        </w:rPr>
      </w:pPr>
    </w:p>
    <w:p w14:paraId="10B6BE74" w14:textId="77777777" w:rsidR="00AF091D" w:rsidRPr="00462158" w:rsidRDefault="005F75B1" w:rsidP="00462158">
      <w:pPr>
        <w:jc w:val="both"/>
        <w:rPr>
          <w:rFonts w:asciiTheme="majorHAnsi" w:eastAsia="SimSun" w:hAnsiTheme="majorHAnsi" w:cstheme="majorHAnsi"/>
          <w:b/>
        </w:rPr>
      </w:pPr>
      <w:r w:rsidRPr="00462158">
        <w:rPr>
          <w:rFonts w:asciiTheme="majorHAnsi" w:hAnsiTheme="majorHAnsi" w:cstheme="majorHAnsi"/>
          <w:b/>
        </w:rPr>
        <w:t>SUMMARY</w:t>
      </w:r>
      <w:r w:rsidRPr="00462158">
        <w:rPr>
          <w:rFonts w:asciiTheme="majorHAnsi" w:eastAsia="SimSun" w:hAnsiTheme="majorHAnsi" w:cstheme="majorHAnsi"/>
          <w:b/>
        </w:rPr>
        <w:t xml:space="preserve">  </w:t>
      </w:r>
    </w:p>
    <w:p w14:paraId="10B6BE75" w14:textId="235BC6AE" w:rsidR="00AF091D" w:rsidRPr="00462158" w:rsidRDefault="008C2BE6" w:rsidP="00462158">
      <w:pPr>
        <w:jc w:val="both"/>
        <w:rPr>
          <w:rFonts w:asciiTheme="majorHAnsi" w:eastAsiaTheme="minorEastAsia" w:hAnsiTheme="majorHAnsi" w:cstheme="majorHAnsi"/>
        </w:rPr>
      </w:pPr>
      <w:r w:rsidRPr="00462158">
        <w:rPr>
          <w:rFonts w:asciiTheme="majorHAnsi" w:hAnsiTheme="majorHAnsi" w:cstheme="majorHAnsi"/>
        </w:rPr>
        <w:t>This protocol outlines a standardized framework for post-surgical evaluation after chronic multi-electrode EEG implantation in rats, including sequential monitoring of signal quality, behavioral recovery, and neuroinflammatory markers to determine appropriate initiation of stable long-term recordings.</w:t>
      </w:r>
    </w:p>
    <w:p w14:paraId="079C4E9F" w14:textId="77777777" w:rsidR="003736D2" w:rsidRPr="00462158" w:rsidRDefault="003736D2" w:rsidP="00462158">
      <w:pPr>
        <w:jc w:val="both"/>
        <w:rPr>
          <w:rFonts w:asciiTheme="majorHAnsi" w:eastAsiaTheme="minorEastAsia" w:hAnsiTheme="majorHAnsi" w:cstheme="majorHAnsi"/>
        </w:rPr>
      </w:pPr>
    </w:p>
    <w:p w14:paraId="10B6BE76" w14:textId="77777777" w:rsidR="00AF091D" w:rsidRPr="00462158" w:rsidRDefault="005F75B1" w:rsidP="00462158">
      <w:pPr>
        <w:jc w:val="both"/>
        <w:rPr>
          <w:rFonts w:asciiTheme="majorHAnsi" w:hAnsiTheme="majorHAnsi" w:cstheme="majorHAnsi"/>
        </w:rPr>
      </w:pPr>
      <w:r w:rsidRPr="00462158">
        <w:rPr>
          <w:rFonts w:asciiTheme="majorHAnsi" w:hAnsiTheme="majorHAnsi" w:cstheme="majorHAnsi"/>
          <w:b/>
        </w:rPr>
        <w:t>ABSTRACT</w:t>
      </w:r>
      <w:r w:rsidRPr="00462158">
        <w:rPr>
          <w:rFonts w:asciiTheme="majorHAnsi" w:hAnsiTheme="majorHAnsi" w:cstheme="majorHAnsi"/>
        </w:rPr>
        <w:t xml:space="preserve"> </w:t>
      </w:r>
    </w:p>
    <w:p w14:paraId="4BD54663" w14:textId="61125E01" w:rsidR="00640EDE" w:rsidRPr="00462158" w:rsidRDefault="00640EDE"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lastRenderedPageBreak/>
        <w:t xml:space="preserve">Intracranial multi-electrode implantation enables simultaneous acquisition of neural signals across brain regions but introduces post-surgical perturbations that can affect data quality and experimental timing. This protocol describes a standardized workflow for chronic multi-site intracranial EEG electrode implantation and structured post-implantation assessment in Sprague–Dawley rats. Tungsten wire electrodes are </w:t>
      </w:r>
      <w:proofErr w:type="spellStart"/>
      <w:r w:rsidRPr="00462158">
        <w:rPr>
          <w:rFonts w:asciiTheme="majorHAnsi" w:hAnsiTheme="majorHAnsi" w:cstheme="majorHAnsi"/>
        </w:rPr>
        <w:t>stereotactically</w:t>
      </w:r>
      <w:proofErr w:type="spellEnd"/>
      <w:r w:rsidRPr="00462158">
        <w:rPr>
          <w:rFonts w:asciiTheme="majorHAnsi" w:hAnsiTheme="majorHAnsi" w:cstheme="majorHAnsi"/>
        </w:rPr>
        <w:t xml:space="preserve"> implanted at three predefined intracranial sites (anterior cingulate cortex, hippocampus </w:t>
      </w:r>
      <w:r w:rsidR="00A13F0E">
        <w:rPr>
          <w:rFonts w:asciiTheme="majorHAnsi" w:hAnsiTheme="majorHAnsi" w:cstheme="majorHAnsi"/>
        </w:rPr>
        <w:t>CA1</w:t>
      </w:r>
      <w:r w:rsidRPr="00462158">
        <w:rPr>
          <w:rFonts w:asciiTheme="majorHAnsi" w:hAnsiTheme="majorHAnsi" w:cstheme="majorHAnsi"/>
        </w:rPr>
        <w:t>, and entorhinal cortex) using a surgical strategy designed to minimize tissue disruption.</w:t>
      </w:r>
    </w:p>
    <w:p w14:paraId="27901919" w14:textId="77777777" w:rsidR="00640EDE" w:rsidRPr="00462158" w:rsidRDefault="00640EDE" w:rsidP="00462158">
      <w:pPr>
        <w:pStyle w:val="NormalWeb"/>
        <w:spacing w:before="0" w:beforeAutospacing="0" w:after="0" w:afterAutospacing="0"/>
        <w:jc w:val="both"/>
        <w:rPr>
          <w:rFonts w:asciiTheme="majorHAnsi" w:hAnsiTheme="majorHAnsi" w:cstheme="majorHAnsi"/>
          <w:lang w:val="en-IN" w:eastAsia="en-IN"/>
        </w:rPr>
      </w:pPr>
    </w:p>
    <w:p w14:paraId="4FFA303C" w14:textId="77777777" w:rsidR="00640EDE" w:rsidRPr="00462158" w:rsidRDefault="00640EDE"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t>Following implantation, the protocol specifies longitudinal evaluation across five domains: electrode localization accuracy, local field potential integrity, pain-related behavior, feeding behavior, and neuroinflammatory markers. Electrophysiological and behavioral assessments are conducted at predefined postoperative time points (baseline and postoperative days 1, 4, 7, 10, and 13) to support consistent monitoring of early post-surgical effects (n = 3). Histological analyses are used to characterize local tissue responses at later stages (baseline and postoperative days 3, 6, 9, and 13; n = 3 per time point).</w:t>
      </w:r>
    </w:p>
    <w:p w14:paraId="6703F116" w14:textId="77777777" w:rsidR="00640EDE" w:rsidRPr="00462158" w:rsidRDefault="00640EDE" w:rsidP="00462158">
      <w:pPr>
        <w:pStyle w:val="NormalWeb"/>
        <w:spacing w:before="0" w:beforeAutospacing="0" w:after="0" w:afterAutospacing="0"/>
        <w:jc w:val="both"/>
        <w:rPr>
          <w:rFonts w:asciiTheme="majorHAnsi" w:hAnsiTheme="majorHAnsi" w:cstheme="majorHAnsi"/>
        </w:rPr>
      </w:pPr>
    </w:p>
    <w:p w14:paraId="4C1959B1" w14:textId="77777777" w:rsidR="00640EDE" w:rsidRPr="00462158" w:rsidRDefault="00640EDE"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t>Operational criteria and assessment intervals are provided to guide decisions regarding experimental readiness and initiation of long-term recordings. This protocol provides a structured approach to post-implantation monitoring and informs the appropriate timing of downstream neurophysiological experiments.</w:t>
      </w:r>
    </w:p>
    <w:p w14:paraId="10B6BE79" w14:textId="77777777" w:rsidR="00AF091D" w:rsidRPr="00462158" w:rsidRDefault="00AF091D" w:rsidP="00462158">
      <w:pPr>
        <w:jc w:val="both"/>
        <w:rPr>
          <w:rFonts w:asciiTheme="majorHAnsi" w:eastAsiaTheme="minorEastAsia" w:hAnsiTheme="majorHAnsi" w:cstheme="majorHAnsi"/>
          <w:b/>
        </w:rPr>
      </w:pPr>
    </w:p>
    <w:p w14:paraId="698C6228" w14:textId="08F60201" w:rsidR="006744E8" w:rsidRPr="00462158" w:rsidRDefault="006744E8" w:rsidP="00462158">
      <w:pPr>
        <w:jc w:val="both"/>
        <w:rPr>
          <w:rFonts w:asciiTheme="majorHAnsi" w:eastAsiaTheme="minorEastAsia" w:hAnsiTheme="majorHAnsi" w:cstheme="majorHAnsi"/>
          <w:b/>
        </w:rPr>
      </w:pPr>
      <w:r w:rsidRPr="00462158">
        <w:rPr>
          <w:rFonts w:asciiTheme="majorHAnsi" w:eastAsiaTheme="minorEastAsia" w:hAnsiTheme="majorHAnsi" w:cstheme="majorHAnsi"/>
          <w:b/>
        </w:rPr>
        <w:t>INTRODUCTION:</w:t>
      </w:r>
    </w:p>
    <w:p w14:paraId="7C7958F1" w14:textId="77777777" w:rsidR="00891E9A" w:rsidRPr="00462158" w:rsidRDefault="00891E9A"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t>Intracranial electroencephalography (EEG) enables high-resolution measurement of neural activity by recording signals directly from brain tissue</w:t>
      </w:r>
      <w:r w:rsidRPr="00462158">
        <w:rPr>
          <w:rFonts w:asciiTheme="majorHAnsi" w:hAnsiTheme="majorHAnsi" w:cstheme="majorHAnsi"/>
          <w:vertAlign w:val="superscript"/>
        </w:rPr>
        <w:t>1,2</w:t>
      </w:r>
      <w:r w:rsidRPr="00462158">
        <w:rPr>
          <w:rFonts w:asciiTheme="majorHAnsi" w:hAnsiTheme="majorHAnsi" w:cstheme="majorHAnsi"/>
        </w:rPr>
        <w:t>, providing advantages in spatial specificity and signal fidelity over scalp EEG approaches</w:t>
      </w:r>
      <w:r w:rsidRPr="00462158">
        <w:rPr>
          <w:rFonts w:asciiTheme="majorHAnsi" w:hAnsiTheme="majorHAnsi" w:cstheme="majorHAnsi"/>
          <w:vertAlign w:val="superscript"/>
        </w:rPr>
        <w:t>3</w:t>
      </w:r>
      <w:r w:rsidRPr="00462158">
        <w:rPr>
          <w:rFonts w:asciiTheme="majorHAnsi" w:hAnsiTheme="majorHAnsi" w:cstheme="majorHAnsi"/>
        </w:rPr>
        <w:t>. Multiple-region intracranial recordings offer insights into network-level interactions, which are widely used to investigate neural dynamics underlying cognition and disease and are commonly implemented in rodent models for mechanistic and longitudinal studies</w:t>
      </w:r>
      <w:r w:rsidRPr="00462158">
        <w:rPr>
          <w:rFonts w:asciiTheme="majorHAnsi" w:hAnsiTheme="majorHAnsi" w:cstheme="majorHAnsi"/>
          <w:vertAlign w:val="superscript"/>
        </w:rPr>
        <w:t>4,5</w:t>
      </w:r>
      <w:r w:rsidRPr="00462158">
        <w:rPr>
          <w:rFonts w:asciiTheme="majorHAnsi" w:hAnsiTheme="majorHAnsi" w:cstheme="majorHAnsi"/>
        </w:rPr>
        <w:t>.</w:t>
      </w:r>
    </w:p>
    <w:p w14:paraId="715129A1" w14:textId="77777777" w:rsidR="006744E8" w:rsidRPr="00462158" w:rsidRDefault="006744E8" w:rsidP="00462158">
      <w:pPr>
        <w:pStyle w:val="NormalWeb"/>
        <w:spacing w:before="0" w:beforeAutospacing="0" w:after="0" w:afterAutospacing="0"/>
        <w:jc w:val="both"/>
        <w:rPr>
          <w:rFonts w:asciiTheme="majorHAnsi" w:hAnsiTheme="majorHAnsi" w:cstheme="majorHAnsi"/>
          <w:lang w:val="en-IN" w:eastAsia="en-IN"/>
        </w:rPr>
      </w:pPr>
    </w:p>
    <w:p w14:paraId="56562244" w14:textId="77777777" w:rsidR="00891E9A" w:rsidRPr="00462158" w:rsidRDefault="00891E9A"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t>Tungsten wire electrodes are commonly employed for chronic recordings because of their mechanical stability and biocompatibility</w:t>
      </w:r>
      <w:r w:rsidRPr="00462158">
        <w:rPr>
          <w:rFonts w:asciiTheme="majorHAnsi" w:hAnsiTheme="majorHAnsi" w:cstheme="majorHAnsi"/>
          <w:vertAlign w:val="superscript"/>
        </w:rPr>
        <w:t>6-8</w:t>
      </w:r>
      <w:r w:rsidRPr="00462158">
        <w:rPr>
          <w:rFonts w:asciiTheme="majorHAnsi" w:hAnsiTheme="majorHAnsi" w:cstheme="majorHAnsi"/>
        </w:rPr>
        <w:t>. However, implantation requires invasive surgery that can temporarily disrupt neural physiology, tissue integrity, and animal behavior</w:t>
      </w:r>
      <w:r w:rsidRPr="00462158">
        <w:rPr>
          <w:rFonts w:asciiTheme="majorHAnsi" w:hAnsiTheme="majorHAnsi" w:cstheme="majorHAnsi"/>
          <w:vertAlign w:val="superscript"/>
        </w:rPr>
        <w:t>9-11</w:t>
      </w:r>
      <w:r w:rsidRPr="00462158">
        <w:rPr>
          <w:rFonts w:asciiTheme="majorHAnsi" w:hAnsiTheme="majorHAnsi" w:cstheme="majorHAnsi"/>
        </w:rPr>
        <w:t>. Challenges such as acute surgical stress, local inflammation, glial responses, and changes in feeding or nociceptive behavior can influence signal quality and experimental interpretation during the early post-implantation period</w:t>
      </w:r>
      <w:r w:rsidRPr="00462158">
        <w:rPr>
          <w:rFonts w:asciiTheme="majorHAnsi" w:hAnsiTheme="majorHAnsi" w:cstheme="majorHAnsi"/>
          <w:vertAlign w:val="superscript"/>
        </w:rPr>
        <w:t>12-14</w:t>
      </w:r>
      <w:r w:rsidRPr="00462158">
        <w:rPr>
          <w:rFonts w:asciiTheme="majorHAnsi" w:hAnsiTheme="majorHAnsi" w:cstheme="majorHAnsi"/>
        </w:rPr>
        <w:t>. However, this recovery period remains largely empirical, with reported recovery windows ranging from 5 to 7 days</w:t>
      </w:r>
      <w:r w:rsidRPr="00462158">
        <w:rPr>
          <w:rFonts w:asciiTheme="majorHAnsi" w:hAnsiTheme="majorHAnsi" w:cstheme="majorHAnsi"/>
          <w:vertAlign w:val="superscript"/>
        </w:rPr>
        <w:t>15,16</w:t>
      </w:r>
      <w:r w:rsidRPr="00462158">
        <w:rPr>
          <w:rFonts w:asciiTheme="majorHAnsi" w:hAnsiTheme="majorHAnsi" w:cstheme="majorHAnsi"/>
        </w:rPr>
        <w:t>. Prolonged delays, conversely, may introduce additional confounds related to tissue remodeling or electrode displacement</w:t>
      </w:r>
      <w:r w:rsidRPr="00462158">
        <w:rPr>
          <w:rFonts w:asciiTheme="majorHAnsi" w:hAnsiTheme="majorHAnsi" w:cstheme="majorHAnsi"/>
          <w:vertAlign w:val="superscript"/>
        </w:rPr>
        <w:t>17</w:t>
      </w:r>
      <w:r w:rsidRPr="00462158">
        <w:rPr>
          <w:rFonts w:asciiTheme="majorHAnsi" w:hAnsiTheme="majorHAnsi" w:cstheme="majorHAnsi"/>
        </w:rPr>
        <w:t>.</w:t>
      </w:r>
    </w:p>
    <w:p w14:paraId="06B7EEDA" w14:textId="77777777" w:rsidR="006744E8" w:rsidRPr="00462158" w:rsidRDefault="006744E8" w:rsidP="00462158">
      <w:pPr>
        <w:pStyle w:val="NormalWeb"/>
        <w:spacing w:before="0" w:beforeAutospacing="0" w:after="0" w:afterAutospacing="0"/>
        <w:jc w:val="both"/>
        <w:rPr>
          <w:rFonts w:asciiTheme="majorHAnsi" w:hAnsiTheme="majorHAnsi" w:cstheme="majorHAnsi"/>
        </w:rPr>
      </w:pPr>
    </w:p>
    <w:p w14:paraId="416D6956" w14:textId="45A24A6F" w:rsidR="00891E9A" w:rsidRPr="00462158" w:rsidRDefault="00891E9A" w:rsidP="00462158">
      <w:pPr>
        <w:pStyle w:val="NormalWeb"/>
        <w:spacing w:before="0" w:beforeAutospacing="0" w:after="0" w:afterAutospacing="0"/>
        <w:jc w:val="both"/>
        <w:rPr>
          <w:rFonts w:asciiTheme="majorHAnsi" w:hAnsiTheme="majorHAnsi" w:cstheme="majorHAnsi"/>
        </w:rPr>
      </w:pPr>
      <w:r w:rsidRPr="00462158">
        <w:rPr>
          <w:rFonts w:asciiTheme="majorHAnsi" w:hAnsiTheme="majorHAnsi" w:cstheme="majorHAnsi"/>
        </w:rPr>
        <w:t xml:space="preserve">Despite the widespread use of chronic intracranial EEG, there is no standardized framework for post-implantation monitoring that integrates electrophysiological, behavioral, inflammatory, and histological assessments to inform experimental timing. Therefore, the present protocol addresses this gap by outlining a structured approach for evaluating post-implantation status in a chronic intracranial multi-electrode implantation model in anesthetized Sprague–Dawley (SD) </w:t>
      </w:r>
      <w:r w:rsidRPr="00462158">
        <w:rPr>
          <w:rFonts w:asciiTheme="majorHAnsi" w:hAnsiTheme="majorHAnsi" w:cstheme="majorHAnsi"/>
        </w:rPr>
        <w:lastRenderedPageBreak/>
        <w:t xml:space="preserve">rats (6 weeks old). Using tungsten wire electrodes implanted in the anterior cingulate cortex (Cg1), hippocampus </w:t>
      </w:r>
      <w:r w:rsidR="00A13F0E">
        <w:rPr>
          <w:rFonts w:asciiTheme="majorHAnsi" w:hAnsiTheme="majorHAnsi" w:cstheme="majorHAnsi"/>
        </w:rPr>
        <w:t>CA1</w:t>
      </w:r>
      <w:r w:rsidRPr="00462158">
        <w:rPr>
          <w:rFonts w:asciiTheme="majorHAnsi" w:hAnsiTheme="majorHAnsi" w:cstheme="majorHAnsi"/>
        </w:rPr>
        <w:t>, and entorhinal cortex (EC), the protocol specifies longitudinal assessment of electrode stability, EEG signal characteristics, behavioral indicators, and inflammatory markers over a two-week period. Although assessments are performed under general anesthesia for practical convenience, this approach does not affect the primary aim of establishing a framework for electrode implantation and stability. This protocol is intended to guide post-surgical monitoring and support consistent determination of appropriate time points for initiating downstream neurophysiological studies.</w:t>
      </w:r>
    </w:p>
    <w:p w14:paraId="10B6BE7E" w14:textId="77777777" w:rsidR="00AF091D" w:rsidRPr="00462158" w:rsidRDefault="00AF091D" w:rsidP="00462158">
      <w:pPr>
        <w:jc w:val="both"/>
        <w:rPr>
          <w:rFonts w:asciiTheme="majorHAnsi" w:hAnsiTheme="majorHAnsi" w:cstheme="majorHAnsi"/>
        </w:rPr>
      </w:pPr>
    </w:p>
    <w:p w14:paraId="10B6BE7F" w14:textId="77777777" w:rsidR="00AF091D" w:rsidRPr="00462158" w:rsidRDefault="005F75B1" w:rsidP="00462158">
      <w:pPr>
        <w:jc w:val="both"/>
        <w:rPr>
          <w:rFonts w:asciiTheme="majorHAnsi" w:hAnsiTheme="majorHAnsi" w:cstheme="majorHAnsi"/>
        </w:rPr>
      </w:pPr>
      <w:r w:rsidRPr="00462158">
        <w:rPr>
          <w:rFonts w:asciiTheme="majorHAnsi" w:hAnsiTheme="majorHAnsi" w:cstheme="majorHAnsi"/>
          <w:b/>
        </w:rPr>
        <w:t>PROTOCOL</w:t>
      </w:r>
    </w:p>
    <w:p w14:paraId="12DD8A73" w14:textId="732EB58E" w:rsidR="00957803" w:rsidRPr="00957803" w:rsidRDefault="00957803" w:rsidP="00462158">
      <w:pPr>
        <w:jc w:val="both"/>
        <w:outlineLvl w:val="1"/>
        <w:rPr>
          <w:rFonts w:asciiTheme="majorHAnsi" w:hAnsiTheme="majorHAnsi" w:cstheme="majorHAnsi"/>
          <w:b/>
          <w:bCs/>
          <w:lang w:val="en-IN" w:eastAsia="en-IN"/>
        </w:rPr>
      </w:pPr>
    </w:p>
    <w:p w14:paraId="58152BC7" w14:textId="77777777" w:rsidR="00957803" w:rsidRPr="00462158" w:rsidRDefault="00957803" w:rsidP="00462158">
      <w:pPr>
        <w:jc w:val="both"/>
        <w:rPr>
          <w:rFonts w:asciiTheme="majorHAnsi" w:hAnsiTheme="majorHAnsi" w:cstheme="majorHAnsi"/>
          <w:lang w:val="en-IN" w:eastAsia="en-IN"/>
        </w:rPr>
      </w:pPr>
      <w:r w:rsidRPr="00957803">
        <w:rPr>
          <w:rFonts w:asciiTheme="majorHAnsi" w:hAnsiTheme="majorHAnsi" w:cstheme="majorHAnsi"/>
          <w:lang w:val="en-IN" w:eastAsia="en-IN"/>
        </w:rPr>
        <w:t>All animal procedures were performed in accordance with institutional guidelines and approved by the Institutional Animal Care and Use Committee of Capital Medical University (Approval ID: AEEI-2024-391).</w:t>
      </w:r>
    </w:p>
    <w:p w14:paraId="6BCC9FCD" w14:textId="77777777" w:rsidR="00B711B0" w:rsidRPr="00957803" w:rsidRDefault="00B711B0" w:rsidP="00462158">
      <w:pPr>
        <w:jc w:val="both"/>
        <w:rPr>
          <w:rFonts w:asciiTheme="majorHAnsi" w:hAnsiTheme="majorHAnsi" w:cstheme="majorHAnsi"/>
          <w:lang w:val="en-IN" w:eastAsia="en-IN"/>
        </w:rPr>
      </w:pPr>
    </w:p>
    <w:p w14:paraId="3F3D4E81" w14:textId="0AC6D213" w:rsidR="00957803" w:rsidRPr="00462158"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t>Animal preparation</w:t>
      </w:r>
    </w:p>
    <w:p w14:paraId="1D533CF3" w14:textId="77777777" w:rsidR="00B711B0" w:rsidRPr="00462158" w:rsidRDefault="00B711B0" w:rsidP="00462158">
      <w:pPr>
        <w:pStyle w:val="ListParagraph"/>
        <w:spacing w:after="0" w:line="240" w:lineRule="auto"/>
        <w:ind w:left="0"/>
        <w:jc w:val="both"/>
        <w:outlineLvl w:val="2"/>
        <w:rPr>
          <w:rFonts w:asciiTheme="majorHAnsi" w:hAnsiTheme="majorHAnsi" w:cstheme="majorHAnsi"/>
          <w:b/>
          <w:bCs/>
          <w:sz w:val="24"/>
          <w:szCs w:val="24"/>
          <w:lang w:val="en-IN" w:eastAsia="en-IN"/>
        </w:rPr>
      </w:pPr>
    </w:p>
    <w:p w14:paraId="0E825C64" w14:textId="5DDB8F46"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Obtain 6-week-old male SD rats (body weight 220–230 g).</w:t>
      </w:r>
      <w:r w:rsidR="00B6199A" w:rsidRPr="00462158">
        <w:rPr>
          <w:rFonts w:asciiTheme="majorHAnsi" w:hAnsiTheme="majorHAnsi" w:cstheme="majorHAnsi"/>
          <w:sz w:val="24"/>
          <w:szCs w:val="24"/>
          <w:lang w:val="en-IN" w:eastAsia="en-IN"/>
        </w:rPr>
        <w:t xml:space="preserve"> </w:t>
      </w:r>
      <w:r w:rsidRPr="00462158">
        <w:rPr>
          <w:rFonts w:asciiTheme="majorHAnsi" w:hAnsiTheme="majorHAnsi" w:cstheme="majorHAnsi"/>
          <w:sz w:val="24"/>
          <w:szCs w:val="24"/>
          <w:lang w:val="en-IN" w:eastAsia="en-IN"/>
        </w:rPr>
        <w:t xml:space="preserve">House </w:t>
      </w:r>
      <w:r w:rsidR="00B6199A" w:rsidRPr="00462158">
        <w:rPr>
          <w:rFonts w:asciiTheme="majorHAnsi" w:hAnsiTheme="majorHAnsi" w:cstheme="majorHAnsi"/>
          <w:sz w:val="24"/>
          <w:szCs w:val="24"/>
          <w:lang w:val="en-IN" w:eastAsia="en-IN"/>
        </w:rPr>
        <w:t xml:space="preserve">the </w:t>
      </w:r>
      <w:r w:rsidRPr="00462158">
        <w:rPr>
          <w:rFonts w:asciiTheme="majorHAnsi" w:hAnsiTheme="majorHAnsi" w:cstheme="majorHAnsi"/>
          <w:sz w:val="24"/>
          <w:szCs w:val="24"/>
          <w:lang w:val="en-IN" w:eastAsia="en-IN"/>
        </w:rPr>
        <w:t xml:space="preserve">animals in a specific pathogen-free environment (24 ± 2 °C, 50 ± 10% humidity, 12 h light/dark cycle). Provide food and water </w:t>
      </w:r>
      <w:r w:rsidRPr="00462158">
        <w:rPr>
          <w:rFonts w:asciiTheme="majorHAnsi" w:hAnsiTheme="majorHAnsi" w:cstheme="majorHAnsi"/>
          <w:i/>
          <w:iCs/>
          <w:sz w:val="24"/>
          <w:szCs w:val="24"/>
          <w:lang w:val="en-IN" w:eastAsia="en-IN"/>
        </w:rPr>
        <w:t>ad libitum</w:t>
      </w:r>
      <w:r w:rsidRPr="00462158">
        <w:rPr>
          <w:rFonts w:asciiTheme="majorHAnsi" w:hAnsiTheme="majorHAnsi" w:cstheme="majorHAnsi"/>
          <w:sz w:val="24"/>
          <w:szCs w:val="24"/>
          <w:lang w:val="en-IN" w:eastAsia="en-IN"/>
        </w:rPr>
        <w:t>.</w:t>
      </w:r>
      <w:r w:rsidR="00B6199A" w:rsidRPr="00462158">
        <w:rPr>
          <w:rFonts w:asciiTheme="majorHAnsi" w:hAnsiTheme="majorHAnsi" w:cstheme="majorHAnsi"/>
          <w:sz w:val="24"/>
          <w:szCs w:val="24"/>
          <w:lang w:val="en-IN" w:eastAsia="en-IN"/>
        </w:rPr>
        <w:t xml:space="preserve"> </w:t>
      </w:r>
      <w:r w:rsidRPr="00462158">
        <w:rPr>
          <w:rFonts w:asciiTheme="majorHAnsi" w:hAnsiTheme="majorHAnsi" w:cstheme="majorHAnsi"/>
          <w:sz w:val="24"/>
          <w:szCs w:val="24"/>
          <w:lang w:val="en-IN" w:eastAsia="en-IN"/>
        </w:rPr>
        <w:t>Acclimate</w:t>
      </w:r>
      <w:r w:rsidR="00B6199A" w:rsidRPr="00462158">
        <w:rPr>
          <w:rFonts w:asciiTheme="majorHAnsi" w:hAnsiTheme="majorHAnsi" w:cstheme="majorHAnsi"/>
          <w:sz w:val="24"/>
          <w:szCs w:val="24"/>
          <w:lang w:val="en-IN" w:eastAsia="en-IN"/>
        </w:rPr>
        <w:t xml:space="preserve"> the</w:t>
      </w:r>
      <w:r w:rsidRPr="00462158">
        <w:rPr>
          <w:rFonts w:asciiTheme="majorHAnsi" w:hAnsiTheme="majorHAnsi" w:cstheme="majorHAnsi"/>
          <w:sz w:val="24"/>
          <w:szCs w:val="24"/>
          <w:lang w:val="en-IN" w:eastAsia="en-IN"/>
        </w:rPr>
        <w:t xml:space="preserve"> rats for 7 days prior to surgery.</w:t>
      </w:r>
    </w:p>
    <w:p w14:paraId="6F6C601F" w14:textId="77777777" w:rsidR="003467AC" w:rsidRPr="00462158" w:rsidRDefault="003467AC" w:rsidP="00462158">
      <w:pPr>
        <w:pStyle w:val="ListParagraph"/>
        <w:spacing w:after="0" w:line="240" w:lineRule="auto"/>
        <w:ind w:left="0"/>
        <w:jc w:val="both"/>
        <w:rPr>
          <w:rFonts w:asciiTheme="majorHAnsi" w:hAnsiTheme="majorHAnsi" w:cstheme="majorHAnsi"/>
          <w:sz w:val="24"/>
          <w:szCs w:val="24"/>
          <w:lang w:val="en-IN" w:eastAsia="en-IN"/>
        </w:rPr>
      </w:pPr>
    </w:p>
    <w:p w14:paraId="3A1F2F10" w14:textId="33E474F5"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Following electrode implantation, house rats individually under the same environmental conditions to prevent damage to the </w:t>
      </w:r>
      <w:proofErr w:type="spellStart"/>
      <w:r w:rsidRPr="00462158">
        <w:rPr>
          <w:rFonts w:asciiTheme="majorHAnsi" w:hAnsiTheme="majorHAnsi" w:cstheme="majorHAnsi"/>
          <w:sz w:val="24"/>
          <w:szCs w:val="24"/>
          <w:lang w:val="en-IN" w:eastAsia="en-IN"/>
        </w:rPr>
        <w:t>headstage</w:t>
      </w:r>
      <w:proofErr w:type="spellEnd"/>
      <w:r w:rsidRPr="00462158">
        <w:rPr>
          <w:rFonts w:asciiTheme="majorHAnsi" w:hAnsiTheme="majorHAnsi" w:cstheme="majorHAnsi"/>
          <w:sz w:val="24"/>
          <w:szCs w:val="24"/>
          <w:lang w:val="en-IN" w:eastAsia="en-IN"/>
        </w:rPr>
        <w:t>.</w:t>
      </w:r>
    </w:p>
    <w:p w14:paraId="7D68C0E5" w14:textId="77777777" w:rsidR="003467AC" w:rsidRPr="00462158" w:rsidRDefault="003467AC" w:rsidP="00462158">
      <w:pPr>
        <w:jc w:val="both"/>
        <w:rPr>
          <w:rFonts w:asciiTheme="majorHAnsi" w:hAnsiTheme="majorHAnsi" w:cstheme="majorHAnsi"/>
          <w:lang w:val="en-IN" w:eastAsia="en-IN"/>
        </w:rPr>
      </w:pPr>
    </w:p>
    <w:p w14:paraId="595D3E45" w14:textId="77669C78" w:rsidR="00957803" w:rsidRPr="00462158" w:rsidRDefault="00957803" w:rsidP="00462158">
      <w:pPr>
        <w:jc w:val="both"/>
        <w:rPr>
          <w:rFonts w:asciiTheme="majorHAnsi" w:hAnsiTheme="majorHAnsi" w:cstheme="majorHAnsi"/>
          <w:lang w:val="en-IN" w:eastAsia="en-IN"/>
        </w:rPr>
      </w:pPr>
      <w:r w:rsidRPr="00957803">
        <w:rPr>
          <w:rFonts w:asciiTheme="majorHAnsi" w:hAnsiTheme="majorHAnsi" w:cstheme="majorHAnsi"/>
          <w:lang w:val="en-IN" w:eastAsia="en-IN"/>
        </w:rPr>
        <w:t>N</w:t>
      </w:r>
      <w:r w:rsidR="003467AC" w:rsidRPr="00462158">
        <w:rPr>
          <w:rFonts w:asciiTheme="majorHAnsi" w:hAnsiTheme="majorHAnsi" w:cstheme="majorHAnsi"/>
          <w:lang w:val="en-IN" w:eastAsia="en-IN"/>
        </w:rPr>
        <w:t>OTE</w:t>
      </w:r>
      <w:r w:rsidRPr="00957803">
        <w:rPr>
          <w:rFonts w:asciiTheme="majorHAnsi" w:hAnsiTheme="majorHAnsi" w:cstheme="majorHAnsi"/>
          <w:lang w:val="en-IN" w:eastAsia="en-IN"/>
        </w:rPr>
        <w:t xml:space="preserve">: The study flowchart and the corresponding measurements are presented in </w:t>
      </w:r>
      <w:r w:rsidRPr="00957803">
        <w:rPr>
          <w:rFonts w:asciiTheme="majorHAnsi" w:hAnsiTheme="majorHAnsi" w:cstheme="majorHAnsi"/>
          <w:b/>
          <w:bCs/>
          <w:lang w:val="en-IN" w:eastAsia="en-IN"/>
        </w:rPr>
        <w:t>Figure 1A</w:t>
      </w:r>
      <w:r w:rsidRPr="00957803">
        <w:rPr>
          <w:rFonts w:asciiTheme="majorHAnsi" w:hAnsiTheme="majorHAnsi" w:cstheme="majorHAnsi"/>
          <w:lang w:val="en-IN" w:eastAsia="en-IN"/>
        </w:rPr>
        <w:t xml:space="preserve">. Reagents and equipment are listed in the </w:t>
      </w:r>
      <w:r w:rsidRPr="00957803">
        <w:rPr>
          <w:rFonts w:asciiTheme="majorHAnsi" w:hAnsiTheme="majorHAnsi" w:cstheme="majorHAnsi"/>
          <w:b/>
          <w:bCs/>
          <w:lang w:val="en-IN" w:eastAsia="en-IN"/>
        </w:rPr>
        <w:t>Table of Materials</w:t>
      </w:r>
      <w:r w:rsidRPr="00957803">
        <w:rPr>
          <w:rFonts w:asciiTheme="majorHAnsi" w:hAnsiTheme="majorHAnsi" w:cstheme="majorHAnsi"/>
          <w:lang w:val="en-IN" w:eastAsia="en-IN"/>
        </w:rPr>
        <w:t>.</w:t>
      </w:r>
    </w:p>
    <w:p w14:paraId="2A4B5EFD" w14:textId="77777777" w:rsidR="003467AC" w:rsidRPr="00957803" w:rsidRDefault="003467AC" w:rsidP="00462158">
      <w:pPr>
        <w:jc w:val="both"/>
        <w:rPr>
          <w:rFonts w:asciiTheme="majorHAnsi" w:hAnsiTheme="majorHAnsi" w:cstheme="majorHAnsi"/>
          <w:lang w:val="en-IN" w:eastAsia="en-IN"/>
        </w:rPr>
      </w:pPr>
    </w:p>
    <w:p w14:paraId="28E83ABC" w14:textId="077912A8" w:rsidR="00957803" w:rsidRPr="003655F4"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highlight w:val="yellow"/>
          <w:lang w:val="en-IN" w:eastAsia="en-IN"/>
        </w:rPr>
      </w:pPr>
      <w:r w:rsidRPr="003655F4">
        <w:rPr>
          <w:rFonts w:asciiTheme="majorHAnsi" w:hAnsiTheme="majorHAnsi" w:cstheme="majorHAnsi"/>
          <w:b/>
          <w:bCs/>
          <w:sz w:val="24"/>
          <w:szCs w:val="24"/>
          <w:highlight w:val="yellow"/>
          <w:lang w:val="en-IN" w:eastAsia="en-IN"/>
        </w:rPr>
        <w:t>Multielectrode implantation surgery</w:t>
      </w:r>
    </w:p>
    <w:p w14:paraId="4B728F61" w14:textId="77777777" w:rsidR="003467AC" w:rsidRPr="00462158" w:rsidRDefault="003467AC" w:rsidP="00462158">
      <w:pPr>
        <w:pStyle w:val="ListParagraph"/>
        <w:spacing w:after="0" w:line="240" w:lineRule="auto"/>
        <w:ind w:left="0"/>
        <w:jc w:val="both"/>
        <w:outlineLvl w:val="2"/>
        <w:rPr>
          <w:rFonts w:asciiTheme="majorHAnsi" w:hAnsiTheme="majorHAnsi" w:cstheme="majorHAnsi"/>
          <w:b/>
          <w:bCs/>
          <w:sz w:val="24"/>
          <w:szCs w:val="24"/>
          <w:lang w:val="en-IN" w:eastAsia="en-IN"/>
        </w:rPr>
      </w:pPr>
    </w:p>
    <w:p w14:paraId="702219B5" w14:textId="146C0A0D"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Anesthetize rats with isoflurane (3–4% induction, 2% maintenance) delivered with oxygen at 2 L/min.</w:t>
      </w:r>
    </w:p>
    <w:p w14:paraId="0873E1F6" w14:textId="77777777" w:rsidR="000D55FB" w:rsidRPr="003655F4" w:rsidRDefault="000D55FB" w:rsidP="00462158">
      <w:pPr>
        <w:pStyle w:val="ListParagraph"/>
        <w:spacing w:after="0" w:line="240" w:lineRule="auto"/>
        <w:ind w:left="0"/>
        <w:jc w:val="both"/>
        <w:rPr>
          <w:rFonts w:asciiTheme="majorHAnsi" w:hAnsiTheme="majorHAnsi" w:cstheme="majorHAnsi"/>
          <w:sz w:val="24"/>
          <w:szCs w:val="24"/>
          <w:highlight w:val="yellow"/>
          <w:lang w:val="en-IN" w:eastAsia="en-IN"/>
        </w:rPr>
      </w:pPr>
    </w:p>
    <w:p w14:paraId="674125AB" w14:textId="149C13E6"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Place the rat in a stereotaxic frame and maintain body temperature at 37 °C using a thermostatically controlled heating pad. Apply erythromycin ophthalmic ointment to prevent corneal drying.</w:t>
      </w:r>
    </w:p>
    <w:p w14:paraId="72EF97E7" w14:textId="77777777" w:rsidR="000D55FB" w:rsidRPr="003655F4" w:rsidRDefault="000D55FB" w:rsidP="00462158">
      <w:pPr>
        <w:jc w:val="both"/>
        <w:rPr>
          <w:rFonts w:asciiTheme="majorHAnsi" w:hAnsiTheme="majorHAnsi" w:cstheme="majorHAnsi"/>
          <w:highlight w:val="yellow"/>
          <w:lang w:val="en-IN" w:eastAsia="en-IN"/>
        </w:rPr>
      </w:pPr>
    </w:p>
    <w:p w14:paraId="494F0722" w14:textId="6AFAC5AD"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Shave the scalp and disinfect with 0.5% iodophor solution.</w:t>
      </w:r>
    </w:p>
    <w:p w14:paraId="1C2C81D2" w14:textId="77777777" w:rsidR="000D55FB" w:rsidRPr="003655F4" w:rsidRDefault="000D55FB" w:rsidP="00462158">
      <w:pPr>
        <w:jc w:val="both"/>
        <w:rPr>
          <w:rFonts w:asciiTheme="majorHAnsi" w:hAnsiTheme="majorHAnsi" w:cstheme="majorHAnsi"/>
          <w:highlight w:val="yellow"/>
          <w:lang w:val="en-IN" w:eastAsia="en-IN"/>
        </w:rPr>
      </w:pPr>
    </w:p>
    <w:p w14:paraId="77D18069" w14:textId="10865FE6"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Perform a midline scalp incision (1 × 2 cm) to expose the skull and gently remove the periosteum using sterile cotton swabs.</w:t>
      </w:r>
    </w:p>
    <w:p w14:paraId="78E4666D" w14:textId="77777777" w:rsidR="000D55FB" w:rsidRPr="003655F4" w:rsidRDefault="000D55FB" w:rsidP="00462158">
      <w:pPr>
        <w:jc w:val="both"/>
        <w:rPr>
          <w:rFonts w:asciiTheme="majorHAnsi" w:hAnsiTheme="majorHAnsi" w:cstheme="majorHAnsi"/>
          <w:highlight w:val="yellow"/>
          <w:lang w:val="en-IN" w:eastAsia="en-IN"/>
        </w:rPr>
      </w:pPr>
    </w:p>
    <w:p w14:paraId="3B382CEA" w14:textId="0892222B" w:rsidR="00957803" w:rsidRPr="003655F4" w:rsidRDefault="00957803" w:rsidP="00462158">
      <w:pPr>
        <w:pStyle w:val="ListParagraph"/>
        <w:numPr>
          <w:ilvl w:val="1"/>
          <w:numId w:val="2"/>
        </w:numPr>
        <w:spacing w:after="0" w:line="240" w:lineRule="auto"/>
        <w:ind w:left="0" w:firstLine="0"/>
        <w:jc w:val="both"/>
        <w:outlineLvl w:val="3"/>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Skull preparation and drilling</w:t>
      </w:r>
    </w:p>
    <w:p w14:paraId="099DCA60" w14:textId="77777777" w:rsidR="005847DA" w:rsidRPr="00462158" w:rsidRDefault="005847DA" w:rsidP="00462158">
      <w:pPr>
        <w:jc w:val="both"/>
        <w:outlineLvl w:val="3"/>
        <w:rPr>
          <w:rFonts w:asciiTheme="majorHAnsi" w:hAnsiTheme="majorHAnsi" w:cstheme="majorHAnsi"/>
          <w:b/>
          <w:bCs/>
          <w:lang w:val="en-IN" w:eastAsia="en-IN"/>
        </w:rPr>
      </w:pPr>
    </w:p>
    <w:p w14:paraId="751FCEB8" w14:textId="7AEA5608"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lastRenderedPageBreak/>
        <w:t>Identify bregma and lambda and level the skull in both anterior–posterior and medial–lateral planes.</w:t>
      </w:r>
    </w:p>
    <w:p w14:paraId="4DEEEB70" w14:textId="77777777" w:rsidR="005847DA" w:rsidRPr="003655F4" w:rsidRDefault="005847DA" w:rsidP="00462158">
      <w:pPr>
        <w:pStyle w:val="ListParagraph"/>
        <w:spacing w:after="0" w:line="240" w:lineRule="auto"/>
        <w:ind w:left="0"/>
        <w:jc w:val="both"/>
        <w:rPr>
          <w:rFonts w:asciiTheme="majorHAnsi" w:hAnsiTheme="majorHAnsi" w:cstheme="majorHAnsi"/>
          <w:sz w:val="24"/>
          <w:szCs w:val="24"/>
          <w:highlight w:val="yellow"/>
          <w:lang w:val="en-IN" w:eastAsia="en-IN"/>
        </w:rPr>
      </w:pPr>
    </w:p>
    <w:p w14:paraId="604A4E25" w14:textId="7758AFED"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Drill burr holes (≤2 mm diameter) at target coordinates using a low-speed dental drill with intermittent saline irrigation.</w:t>
      </w:r>
    </w:p>
    <w:p w14:paraId="5088CAEF" w14:textId="77777777" w:rsidR="005847DA" w:rsidRPr="00462158" w:rsidRDefault="005847DA" w:rsidP="00462158">
      <w:pPr>
        <w:jc w:val="both"/>
        <w:rPr>
          <w:rFonts w:asciiTheme="majorHAnsi" w:hAnsiTheme="majorHAnsi" w:cstheme="majorHAnsi"/>
          <w:lang w:val="en-IN" w:eastAsia="en-IN"/>
        </w:rPr>
      </w:pPr>
    </w:p>
    <w:p w14:paraId="1DA4D176" w14:textId="4615B6F2" w:rsidR="00957803" w:rsidRPr="003655F4" w:rsidRDefault="00957803" w:rsidP="00462158">
      <w:pPr>
        <w:pStyle w:val="ListParagraph"/>
        <w:numPr>
          <w:ilvl w:val="1"/>
          <w:numId w:val="2"/>
        </w:numPr>
        <w:spacing w:after="0" w:line="240" w:lineRule="auto"/>
        <w:ind w:left="0" w:firstLine="0"/>
        <w:jc w:val="both"/>
        <w:outlineLvl w:val="3"/>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Electrode preparation and insertion</w:t>
      </w:r>
    </w:p>
    <w:p w14:paraId="7F9409D2" w14:textId="77777777" w:rsidR="005847DA" w:rsidRPr="00462158" w:rsidRDefault="005847DA" w:rsidP="00462158">
      <w:pPr>
        <w:jc w:val="both"/>
        <w:outlineLvl w:val="3"/>
        <w:rPr>
          <w:rFonts w:asciiTheme="majorHAnsi" w:hAnsiTheme="majorHAnsi" w:cstheme="majorHAnsi"/>
          <w:b/>
          <w:bCs/>
          <w:lang w:val="en-IN" w:eastAsia="en-IN"/>
        </w:rPr>
      </w:pPr>
    </w:p>
    <w:p w14:paraId="5704648C" w14:textId="170978CB"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Use polyimide-insulated tungsten wire electrodes (shank diameter: 300 µm) with an exposed tip length of 4–8 mm (flush-cut end). Measure electrode impedance (|Z|) at 1 kHz; acceptable values range from 7–10 </w:t>
      </w:r>
      <w:proofErr w:type="spellStart"/>
      <w:r w:rsidRPr="00462158">
        <w:rPr>
          <w:rFonts w:asciiTheme="majorHAnsi" w:hAnsiTheme="majorHAnsi" w:cstheme="majorHAnsi"/>
          <w:sz w:val="24"/>
          <w:szCs w:val="24"/>
          <w:lang w:val="en-IN" w:eastAsia="en-IN"/>
        </w:rPr>
        <w:t>kΩ</w:t>
      </w:r>
      <w:proofErr w:type="spellEnd"/>
      <w:r w:rsidRPr="00462158">
        <w:rPr>
          <w:rFonts w:asciiTheme="majorHAnsi" w:hAnsiTheme="majorHAnsi" w:cstheme="majorHAnsi"/>
          <w:sz w:val="24"/>
          <w:szCs w:val="24"/>
          <w:lang w:val="en-IN" w:eastAsia="en-IN"/>
        </w:rPr>
        <w:t xml:space="preserve"> with a phase angle ranging from 1°–2°.</w:t>
      </w:r>
    </w:p>
    <w:p w14:paraId="6388BF2B" w14:textId="77777777" w:rsidR="00F03D2F" w:rsidRPr="00462158" w:rsidRDefault="00F03D2F" w:rsidP="00462158">
      <w:pPr>
        <w:pStyle w:val="ListParagraph"/>
        <w:spacing w:after="0" w:line="240" w:lineRule="auto"/>
        <w:ind w:left="0"/>
        <w:jc w:val="both"/>
        <w:rPr>
          <w:rFonts w:asciiTheme="majorHAnsi" w:hAnsiTheme="majorHAnsi" w:cstheme="majorHAnsi"/>
          <w:sz w:val="24"/>
          <w:szCs w:val="24"/>
          <w:lang w:val="en-IN" w:eastAsia="en-IN"/>
        </w:rPr>
      </w:pPr>
    </w:p>
    <w:p w14:paraId="2949E007" w14:textId="078FEAD3"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Slowly insert electrodes into the following regions:</w:t>
      </w:r>
      <w:r w:rsidR="00F03D2F" w:rsidRPr="003655F4">
        <w:rPr>
          <w:rFonts w:asciiTheme="majorHAnsi" w:hAnsiTheme="majorHAnsi" w:cstheme="majorHAnsi"/>
          <w:sz w:val="24"/>
          <w:szCs w:val="24"/>
          <w:highlight w:val="yellow"/>
          <w:lang w:val="en-IN" w:eastAsia="en-IN"/>
        </w:rPr>
        <w:t xml:space="preserve"> </w:t>
      </w:r>
      <w:r w:rsidRPr="003655F4">
        <w:rPr>
          <w:rFonts w:asciiTheme="majorHAnsi" w:hAnsiTheme="majorHAnsi" w:cstheme="majorHAnsi"/>
          <w:sz w:val="24"/>
          <w:szCs w:val="24"/>
          <w:highlight w:val="yellow"/>
          <w:lang w:val="en-IN" w:eastAsia="en-IN"/>
        </w:rPr>
        <w:t>Cg1 (anterior cingulate cortex): AP +1.2 mm, ML −0.2 mm, DV −2.4 mm</w:t>
      </w:r>
      <w:r w:rsidR="00F03D2F" w:rsidRPr="003655F4">
        <w:rPr>
          <w:rFonts w:asciiTheme="majorHAnsi" w:hAnsiTheme="majorHAnsi" w:cstheme="majorHAnsi"/>
          <w:sz w:val="24"/>
          <w:szCs w:val="24"/>
          <w:highlight w:val="yellow"/>
          <w:lang w:val="en-IN" w:eastAsia="en-IN"/>
        </w:rPr>
        <w:t xml:space="preserve">; </w:t>
      </w:r>
      <w:r w:rsidR="00A13F0E" w:rsidRPr="003655F4">
        <w:rPr>
          <w:rFonts w:asciiTheme="majorHAnsi" w:hAnsiTheme="majorHAnsi" w:cstheme="majorHAnsi"/>
          <w:sz w:val="24"/>
          <w:szCs w:val="24"/>
          <w:highlight w:val="yellow"/>
          <w:lang w:val="en-IN" w:eastAsia="en-IN"/>
        </w:rPr>
        <w:t>CA1</w:t>
      </w:r>
      <w:r w:rsidRPr="003655F4">
        <w:rPr>
          <w:rFonts w:asciiTheme="majorHAnsi" w:hAnsiTheme="majorHAnsi" w:cstheme="majorHAnsi"/>
          <w:sz w:val="24"/>
          <w:szCs w:val="24"/>
          <w:highlight w:val="yellow"/>
          <w:lang w:val="en-IN" w:eastAsia="en-IN"/>
        </w:rPr>
        <w:t xml:space="preserve"> (hippocampus): AP −3.3 mm, ML −1.8 mm, DV −3.0 mm</w:t>
      </w:r>
      <w:r w:rsidR="00F03D2F" w:rsidRPr="003655F4">
        <w:rPr>
          <w:rFonts w:asciiTheme="majorHAnsi" w:hAnsiTheme="majorHAnsi" w:cstheme="majorHAnsi"/>
          <w:sz w:val="24"/>
          <w:szCs w:val="24"/>
          <w:highlight w:val="yellow"/>
          <w:lang w:val="en-IN" w:eastAsia="en-IN"/>
        </w:rPr>
        <w:t xml:space="preserve">; </w:t>
      </w:r>
      <w:r w:rsidRPr="003655F4">
        <w:rPr>
          <w:rFonts w:asciiTheme="majorHAnsi" w:hAnsiTheme="majorHAnsi" w:cstheme="majorHAnsi"/>
          <w:sz w:val="24"/>
          <w:szCs w:val="24"/>
          <w:highlight w:val="yellow"/>
          <w:lang w:val="en-IN" w:eastAsia="en-IN"/>
        </w:rPr>
        <w:t>EC (entorhinal cortex): AP −6.7 mm, ML −4.0 mm, DV −8.0 mm</w:t>
      </w:r>
      <w:r w:rsidR="00F03D2F" w:rsidRPr="003655F4">
        <w:rPr>
          <w:rFonts w:asciiTheme="majorHAnsi" w:hAnsiTheme="majorHAnsi" w:cstheme="majorHAnsi"/>
          <w:sz w:val="24"/>
          <w:szCs w:val="24"/>
          <w:highlight w:val="yellow"/>
          <w:lang w:val="en-IN" w:eastAsia="en-IN"/>
        </w:rPr>
        <w:t>.</w:t>
      </w:r>
    </w:p>
    <w:p w14:paraId="5745EA08" w14:textId="77777777" w:rsidR="00F03D2F" w:rsidRPr="00462158" w:rsidRDefault="00F03D2F" w:rsidP="00462158">
      <w:pPr>
        <w:jc w:val="both"/>
        <w:rPr>
          <w:rFonts w:asciiTheme="majorHAnsi" w:hAnsiTheme="majorHAnsi" w:cstheme="majorHAnsi"/>
          <w:lang w:val="en-IN" w:eastAsia="en-IN"/>
        </w:rPr>
      </w:pPr>
    </w:p>
    <w:p w14:paraId="122431B4" w14:textId="5177A5EC"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 xml:space="preserve">Implant one stainless-steel skull screw over the contralateral </w:t>
      </w:r>
      <w:r w:rsidR="00A13F0E" w:rsidRPr="003655F4">
        <w:rPr>
          <w:rFonts w:asciiTheme="majorHAnsi" w:hAnsiTheme="majorHAnsi" w:cstheme="majorHAnsi"/>
          <w:sz w:val="24"/>
          <w:szCs w:val="24"/>
          <w:highlight w:val="yellow"/>
          <w:lang w:val="en-IN" w:eastAsia="en-IN"/>
        </w:rPr>
        <w:t>CA1</w:t>
      </w:r>
      <w:r w:rsidRPr="003655F4">
        <w:rPr>
          <w:rFonts w:asciiTheme="majorHAnsi" w:hAnsiTheme="majorHAnsi" w:cstheme="majorHAnsi"/>
          <w:sz w:val="24"/>
          <w:szCs w:val="24"/>
          <w:highlight w:val="yellow"/>
          <w:lang w:val="en-IN" w:eastAsia="en-IN"/>
        </w:rPr>
        <w:t xml:space="preserve"> region and use it as the ground electrode.</w:t>
      </w:r>
    </w:p>
    <w:p w14:paraId="1B67CE74" w14:textId="77777777" w:rsidR="00F03D2F" w:rsidRPr="00462158" w:rsidRDefault="00F03D2F" w:rsidP="00462158">
      <w:pPr>
        <w:jc w:val="both"/>
        <w:rPr>
          <w:rFonts w:asciiTheme="majorHAnsi" w:hAnsiTheme="majorHAnsi" w:cstheme="majorHAnsi"/>
          <w:lang w:val="en-IN" w:eastAsia="en-IN"/>
        </w:rPr>
      </w:pPr>
    </w:p>
    <w:p w14:paraId="119392F8" w14:textId="14583D6C" w:rsidR="00957803" w:rsidRPr="003655F4" w:rsidRDefault="00957803" w:rsidP="00462158">
      <w:pPr>
        <w:pStyle w:val="ListParagraph"/>
        <w:numPr>
          <w:ilvl w:val="1"/>
          <w:numId w:val="2"/>
        </w:numPr>
        <w:spacing w:after="0" w:line="240" w:lineRule="auto"/>
        <w:ind w:left="0" w:firstLine="0"/>
        <w:jc w:val="both"/>
        <w:outlineLvl w:val="3"/>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Electrode fixation and closure</w:t>
      </w:r>
    </w:p>
    <w:p w14:paraId="7B28ECBC" w14:textId="77777777" w:rsidR="00F03D2F" w:rsidRPr="003655F4" w:rsidRDefault="00F03D2F" w:rsidP="00462158">
      <w:pPr>
        <w:pStyle w:val="ListParagraph"/>
        <w:spacing w:after="0" w:line="240" w:lineRule="auto"/>
        <w:ind w:left="0"/>
        <w:jc w:val="both"/>
        <w:outlineLvl w:val="3"/>
        <w:rPr>
          <w:rFonts w:asciiTheme="majorHAnsi" w:hAnsiTheme="majorHAnsi" w:cstheme="majorHAnsi"/>
          <w:b/>
          <w:bCs/>
          <w:sz w:val="24"/>
          <w:szCs w:val="24"/>
          <w:highlight w:val="yellow"/>
          <w:lang w:val="en-IN" w:eastAsia="en-IN"/>
        </w:rPr>
      </w:pPr>
    </w:p>
    <w:p w14:paraId="6579FFFF" w14:textId="2D78AB4F"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Verify correct electrode depth and targeting using stereotaxic coordinates during implantation; confirm electrode localization post hoc by histological identification of electrode tracks.</w:t>
      </w:r>
    </w:p>
    <w:p w14:paraId="2A4C31EA" w14:textId="77777777" w:rsidR="00F03D2F" w:rsidRPr="003655F4" w:rsidRDefault="00F03D2F" w:rsidP="00462158">
      <w:pPr>
        <w:pStyle w:val="ListParagraph"/>
        <w:spacing w:after="0" w:line="240" w:lineRule="auto"/>
        <w:ind w:left="0"/>
        <w:jc w:val="both"/>
        <w:rPr>
          <w:rFonts w:asciiTheme="majorHAnsi" w:hAnsiTheme="majorHAnsi" w:cstheme="majorHAnsi"/>
          <w:sz w:val="24"/>
          <w:szCs w:val="24"/>
          <w:highlight w:val="yellow"/>
          <w:lang w:val="en-IN" w:eastAsia="en-IN"/>
        </w:rPr>
      </w:pPr>
    </w:p>
    <w:p w14:paraId="145EB38E" w14:textId="2DB544DA"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Secure electrodes and screws using dental resin (cure 30–60 s per layer).</w:t>
      </w:r>
    </w:p>
    <w:p w14:paraId="29DD4635" w14:textId="77777777" w:rsidR="00F03D2F" w:rsidRPr="003655F4" w:rsidRDefault="00F03D2F" w:rsidP="00462158">
      <w:pPr>
        <w:jc w:val="both"/>
        <w:rPr>
          <w:rFonts w:asciiTheme="majorHAnsi" w:hAnsiTheme="majorHAnsi" w:cstheme="majorHAnsi"/>
          <w:highlight w:val="yellow"/>
          <w:lang w:val="en-IN" w:eastAsia="en-IN"/>
        </w:rPr>
      </w:pPr>
    </w:p>
    <w:p w14:paraId="101B00DE" w14:textId="019A7608" w:rsidR="00957803" w:rsidRPr="003655F4"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 xml:space="preserve">Connect electrode leads to a </w:t>
      </w:r>
      <w:proofErr w:type="spellStart"/>
      <w:r w:rsidRPr="003655F4">
        <w:rPr>
          <w:rFonts w:asciiTheme="majorHAnsi" w:hAnsiTheme="majorHAnsi" w:cstheme="majorHAnsi"/>
          <w:sz w:val="24"/>
          <w:szCs w:val="24"/>
          <w:highlight w:val="yellow"/>
          <w:lang w:val="en-IN" w:eastAsia="en-IN"/>
        </w:rPr>
        <w:t>headstage</w:t>
      </w:r>
      <w:proofErr w:type="spellEnd"/>
      <w:r w:rsidRPr="003655F4">
        <w:rPr>
          <w:rFonts w:asciiTheme="majorHAnsi" w:hAnsiTheme="majorHAnsi" w:cstheme="majorHAnsi"/>
          <w:sz w:val="24"/>
          <w:szCs w:val="24"/>
          <w:highlight w:val="yellow"/>
          <w:lang w:val="en-IN" w:eastAsia="en-IN"/>
        </w:rPr>
        <w:t xml:space="preserve"> connector and suture the surrounding skin.</w:t>
      </w:r>
    </w:p>
    <w:p w14:paraId="5B175790" w14:textId="77777777" w:rsidR="00F03D2F" w:rsidRPr="003655F4" w:rsidRDefault="00F03D2F" w:rsidP="00462158">
      <w:pPr>
        <w:jc w:val="both"/>
        <w:rPr>
          <w:rFonts w:asciiTheme="majorHAnsi" w:hAnsiTheme="majorHAnsi" w:cstheme="majorHAnsi"/>
          <w:highlight w:val="yellow"/>
          <w:lang w:val="en-IN" w:eastAsia="en-IN"/>
        </w:rPr>
      </w:pPr>
    </w:p>
    <w:p w14:paraId="76FCF38D" w14:textId="62331BB6"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Record baseline EEG activity for 30 min at the corresponding time point (</w:t>
      </w:r>
      <w:r w:rsidRPr="003655F4">
        <w:rPr>
          <w:rFonts w:asciiTheme="majorHAnsi" w:hAnsiTheme="majorHAnsi" w:cstheme="majorHAnsi"/>
          <w:b/>
          <w:bCs/>
          <w:sz w:val="24"/>
          <w:szCs w:val="24"/>
          <w:highlight w:val="yellow"/>
          <w:lang w:val="en-IN" w:eastAsia="en-IN"/>
        </w:rPr>
        <w:t>Figure 1A</w:t>
      </w:r>
      <w:r w:rsidRPr="003655F4">
        <w:rPr>
          <w:rFonts w:asciiTheme="majorHAnsi" w:hAnsiTheme="majorHAnsi" w:cstheme="majorHAnsi"/>
          <w:sz w:val="24"/>
          <w:szCs w:val="24"/>
          <w:highlight w:val="yellow"/>
          <w:lang w:val="en-IN" w:eastAsia="en-IN"/>
        </w:rPr>
        <w:t xml:space="preserve">) while maintaining </w:t>
      </w:r>
      <w:proofErr w:type="spellStart"/>
      <w:r w:rsidRPr="003655F4">
        <w:rPr>
          <w:rFonts w:asciiTheme="majorHAnsi" w:hAnsiTheme="majorHAnsi" w:cstheme="majorHAnsi"/>
          <w:sz w:val="24"/>
          <w:szCs w:val="24"/>
          <w:highlight w:val="yellow"/>
          <w:lang w:val="en-IN" w:eastAsia="en-IN"/>
        </w:rPr>
        <w:t>anesthesia</w:t>
      </w:r>
      <w:proofErr w:type="spellEnd"/>
      <w:r w:rsidRPr="003655F4">
        <w:rPr>
          <w:rFonts w:asciiTheme="majorHAnsi" w:hAnsiTheme="majorHAnsi" w:cstheme="majorHAnsi"/>
          <w:sz w:val="24"/>
          <w:szCs w:val="24"/>
          <w:highlight w:val="yellow"/>
          <w:lang w:val="en-IN" w:eastAsia="en-IN"/>
        </w:rPr>
        <w:t>.</w:t>
      </w:r>
    </w:p>
    <w:p w14:paraId="1A42290E" w14:textId="77777777" w:rsidR="00F03D2F" w:rsidRPr="00462158" w:rsidRDefault="00F03D2F" w:rsidP="00462158">
      <w:pPr>
        <w:pStyle w:val="ListParagraph"/>
        <w:spacing w:after="0" w:line="240" w:lineRule="auto"/>
        <w:ind w:left="0"/>
        <w:jc w:val="both"/>
        <w:rPr>
          <w:rFonts w:asciiTheme="majorHAnsi" w:hAnsiTheme="majorHAnsi" w:cstheme="majorHAnsi"/>
          <w:sz w:val="24"/>
          <w:szCs w:val="24"/>
          <w:lang w:val="en-IN" w:eastAsia="en-IN"/>
        </w:rPr>
      </w:pPr>
    </w:p>
    <w:p w14:paraId="7EBBC2BD" w14:textId="7457007D" w:rsidR="00957803" w:rsidRPr="00462158"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t>Postoperative care and handling</w:t>
      </w:r>
    </w:p>
    <w:p w14:paraId="277D2317" w14:textId="77777777" w:rsidR="00F03D2F" w:rsidRPr="00462158" w:rsidRDefault="00F03D2F" w:rsidP="00462158">
      <w:pPr>
        <w:pStyle w:val="ListParagraph"/>
        <w:spacing w:after="0" w:line="240" w:lineRule="auto"/>
        <w:ind w:left="0"/>
        <w:jc w:val="both"/>
        <w:outlineLvl w:val="2"/>
        <w:rPr>
          <w:rFonts w:asciiTheme="majorHAnsi" w:hAnsiTheme="majorHAnsi" w:cstheme="majorHAnsi"/>
          <w:b/>
          <w:bCs/>
          <w:sz w:val="24"/>
          <w:szCs w:val="24"/>
          <w:lang w:val="en-IN" w:eastAsia="en-IN"/>
        </w:rPr>
      </w:pPr>
    </w:p>
    <w:p w14:paraId="042AD7BB" w14:textId="4165F4FE"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Allow rats to recover on a warming pad until fully ambulatory.</w:t>
      </w:r>
    </w:p>
    <w:p w14:paraId="6CAC3A6A" w14:textId="77777777" w:rsidR="00F03D2F" w:rsidRPr="00462158" w:rsidRDefault="00F03D2F" w:rsidP="00462158">
      <w:pPr>
        <w:jc w:val="both"/>
        <w:rPr>
          <w:rFonts w:asciiTheme="majorHAnsi" w:hAnsiTheme="majorHAnsi" w:cstheme="majorHAnsi"/>
          <w:lang w:val="en-IN" w:eastAsia="en-IN"/>
        </w:rPr>
      </w:pPr>
    </w:p>
    <w:p w14:paraId="7AA2D934" w14:textId="4AE33829"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House rats under controlled temperature and humidity with soft bedding and </w:t>
      </w:r>
      <w:r w:rsidRPr="00462158">
        <w:rPr>
          <w:rFonts w:asciiTheme="majorHAnsi" w:hAnsiTheme="majorHAnsi" w:cstheme="majorHAnsi"/>
          <w:i/>
          <w:iCs/>
          <w:sz w:val="24"/>
          <w:szCs w:val="24"/>
          <w:lang w:val="en-IN" w:eastAsia="en-IN"/>
        </w:rPr>
        <w:t>ad libitum</w:t>
      </w:r>
      <w:r w:rsidRPr="00462158">
        <w:rPr>
          <w:rFonts w:asciiTheme="majorHAnsi" w:hAnsiTheme="majorHAnsi" w:cstheme="majorHAnsi"/>
          <w:sz w:val="24"/>
          <w:szCs w:val="24"/>
          <w:lang w:val="en-IN" w:eastAsia="en-IN"/>
        </w:rPr>
        <w:t xml:space="preserve"> access to food and water to mitigate stress.</w:t>
      </w:r>
    </w:p>
    <w:p w14:paraId="66577EAB" w14:textId="77777777" w:rsidR="00F03D2F" w:rsidRPr="00462158" w:rsidRDefault="00F03D2F" w:rsidP="00462158">
      <w:pPr>
        <w:jc w:val="both"/>
        <w:rPr>
          <w:rFonts w:asciiTheme="majorHAnsi" w:hAnsiTheme="majorHAnsi" w:cstheme="majorHAnsi"/>
          <w:lang w:val="en-IN" w:eastAsia="en-IN"/>
        </w:rPr>
      </w:pPr>
    </w:p>
    <w:p w14:paraId="5473898A" w14:textId="51A02523"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Inspect incision sites, electrode stability, and </w:t>
      </w:r>
      <w:proofErr w:type="spellStart"/>
      <w:r w:rsidRPr="00462158">
        <w:rPr>
          <w:rFonts w:asciiTheme="majorHAnsi" w:hAnsiTheme="majorHAnsi" w:cstheme="majorHAnsi"/>
          <w:sz w:val="24"/>
          <w:szCs w:val="24"/>
          <w:lang w:val="en-IN" w:eastAsia="en-IN"/>
        </w:rPr>
        <w:t>headstage</w:t>
      </w:r>
      <w:proofErr w:type="spellEnd"/>
      <w:r w:rsidRPr="00462158">
        <w:rPr>
          <w:rFonts w:asciiTheme="majorHAnsi" w:hAnsiTheme="majorHAnsi" w:cstheme="majorHAnsi"/>
          <w:sz w:val="24"/>
          <w:szCs w:val="24"/>
          <w:lang w:val="en-IN" w:eastAsia="en-IN"/>
        </w:rPr>
        <w:t xml:space="preserve"> integrity daily.</w:t>
      </w:r>
    </w:p>
    <w:p w14:paraId="75ACB6F4" w14:textId="77777777" w:rsidR="00F03D2F" w:rsidRPr="00462158" w:rsidRDefault="00F03D2F" w:rsidP="00462158">
      <w:pPr>
        <w:jc w:val="both"/>
        <w:rPr>
          <w:rFonts w:asciiTheme="majorHAnsi" w:hAnsiTheme="majorHAnsi" w:cstheme="majorHAnsi"/>
          <w:lang w:val="en-IN" w:eastAsia="en-IN"/>
        </w:rPr>
      </w:pPr>
    </w:p>
    <w:p w14:paraId="6F705177" w14:textId="2576DBB8"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House animals individually, provide daily wound care (0.5% iodophor solution), and monitor welfare without pharmacological agents to avoid confounding effects, in line with previous studies</w:t>
      </w:r>
      <w:r w:rsidRPr="00462158">
        <w:rPr>
          <w:rFonts w:asciiTheme="majorHAnsi" w:hAnsiTheme="majorHAnsi" w:cstheme="majorHAnsi"/>
          <w:sz w:val="24"/>
          <w:szCs w:val="24"/>
          <w:vertAlign w:val="superscript"/>
          <w:lang w:val="en-IN" w:eastAsia="en-IN"/>
        </w:rPr>
        <w:t>6,18</w:t>
      </w:r>
      <w:r w:rsidRPr="00462158">
        <w:rPr>
          <w:rFonts w:asciiTheme="majorHAnsi" w:hAnsiTheme="majorHAnsi" w:cstheme="majorHAnsi"/>
          <w:sz w:val="24"/>
          <w:szCs w:val="24"/>
          <w:lang w:val="en-IN" w:eastAsia="en-IN"/>
        </w:rPr>
        <w:t>.</w:t>
      </w:r>
    </w:p>
    <w:p w14:paraId="35712422" w14:textId="77777777" w:rsidR="00F03D2F" w:rsidRPr="00462158" w:rsidRDefault="00F03D2F" w:rsidP="00462158">
      <w:pPr>
        <w:jc w:val="both"/>
        <w:rPr>
          <w:rFonts w:asciiTheme="majorHAnsi" w:hAnsiTheme="majorHAnsi" w:cstheme="majorHAnsi"/>
          <w:lang w:val="en-IN" w:eastAsia="en-IN"/>
        </w:rPr>
      </w:pPr>
    </w:p>
    <w:p w14:paraId="611CA2F7" w14:textId="04B1A319" w:rsidR="00957803" w:rsidRPr="003655F4"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highlight w:val="yellow"/>
          <w:lang w:val="en-IN" w:eastAsia="en-IN"/>
        </w:rPr>
      </w:pPr>
      <w:r w:rsidRPr="003655F4">
        <w:rPr>
          <w:rFonts w:asciiTheme="majorHAnsi" w:hAnsiTheme="majorHAnsi" w:cstheme="majorHAnsi"/>
          <w:b/>
          <w:bCs/>
          <w:sz w:val="24"/>
          <w:szCs w:val="24"/>
          <w:highlight w:val="yellow"/>
          <w:lang w:val="en-IN" w:eastAsia="en-IN"/>
        </w:rPr>
        <w:t>Longitudinal EEG recording</w:t>
      </w:r>
    </w:p>
    <w:p w14:paraId="12EDD163" w14:textId="77777777" w:rsidR="00F03D2F" w:rsidRPr="00462158" w:rsidRDefault="00F03D2F" w:rsidP="00462158">
      <w:pPr>
        <w:pStyle w:val="ListParagraph"/>
        <w:spacing w:after="0" w:line="240" w:lineRule="auto"/>
        <w:ind w:left="0"/>
        <w:jc w:val="both"/>
        <w:outlineLvl w:val="2"/>
        <w:rPr>
          <w:rFonts w:asciiTheme="majorHAnsi" w:hAnsiTheme="majorHAnsi" w:cstheme="majorHAnsi"/>
          <w:b/>
          <w:bCs/>
          <w:sz w:val="24"/>
          <w:szCs w:val="24"/>
          <w:lang w:val="en-IN" w:eastAsia="en-IN"/>
        </w:rPr>
      </w:pPr>
    </w:p>
    <w:p w14:paraId="22A4D05F" w14:textId="2F28702B"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3655F4">
        <w:rPr>
          <w:rFonts w:asciiTheme="majorHAnsi" w:hAnsiTheme="majorHAnsi" w:cstheme="majorHAnsi"/>
          <w:sz w:val="24"/>
          <w:szCs w:val="24"/>
          <w:highlight w:val="yellow"/>
          <w:lang w:val="en-IN" w:eastAsia="en-IN"/>
        </w:rPr>
        <w:t>Perform EEG recordings on days 1</w:t>
      </w:r>
      <w:r w:rsidRPr="00462158">
        <w:rPr>
          <w:rFonts w:asciiTheme="majorHAnsi" w:hAnsiTheme="majorHAnsi" w:cstheme="majorHAnsi"/>
          <w:sz w:val="24"/>
          <w:szCs w:val="24"/>
          <w:lang w:val="en-IN" w:eastAsia="en-IN"/>
        </w:rPr>
        <w:t>, 4, 7, 10, and 13 post</w:t>
      </w:r>
      <w:r w:rsidR="00770146">
        <w:rPr>
          <w:rFonts w:asciiTheme="majorHAnsi" w:hAnsiTheme="majorHAnsi" w:cstheme="majorHAnsi"/>
          <w:sz w:val="24"/>
          <w:szCs w:val="24"/>
          <w:lang w:val="en-IN" w:eastAsia="en-IN"/>
        </w:rPr>
        <w:t xml:space="preserve"> </w:t>
      </w:r>
      <w:r w:rsidRPr="00462158">
        <w:rPr>
          <w:rFonts w:asciiTheme="majorHAnsi" w:hAnsiTheme="majorHAnsi" w:cstheme="majorHAnsi"/>
          <w:sz w:val="24"/>
          <w:szCs w:val="24"/>
          <w:lang w:val="en-IN" w:eastAsia="en-IN"/>
        </w:rPr>
        <w:t>implantation.</w:t>
      </w:r>
    </w:p>
    <w:p w14:paraId="3A0F66A2" w14:textId="77777777" w:rsidR="00F03D2F" w:rsidRPr="00462158" w:rsidRDefault="00F03D2F" w:rsidP="00462158">
      <w:pPr>
        <w:pStyle w:val="ListParagraph"/>
        <w:spacing w:after="0" w:line="240" w:lineRule="auto"/>
        <w:ind w:left="0"/>
        <w:jc w:val="both"/>
        <w:rPr>
          <w:rFonts w:asciiTheme="majorHAnsi" w:hAnsiTheme="majorHAnsi" w:cstheme="majorHAnsi"/>
          <w:sz w:val="24"/>
          <w:szCs w:val="24"/>
          <w:lang w:val="en-IN" w:eastAsia="en-IN"/>
        </w:rPr>
      </w:pPr>
    </w:p>
    <w:p w14:paraId="27DAA2E8" w14:textId="455B9AD9"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Anesthetize rats with isoflurane (3–4% induction, 1.5% maintenance).</w:t>
      </w:r>
    </w:p>
    <w:p w14:paraId="7188A700" w14:textId="77777777" w:rsidR="00F03D2F" w:rsidRPr="003655F4" w:rsidRDefault="00F03D2F" w:rsidP="00462158">
      <w:pPr>
        <w:jc w:val="both"/>
        <w:rPr>
          <w:rFonts w:asciiTheme="majorHAnsi" w:hAnsiTheme="majorHAnsi" w:cstheme="majorHAnsi"/>
          <w:highlight w:val="yellow"/>
          <w:lang w:val="en-IN" w:eastAsia="en-IN"/>
        </w:rPr>
      </w:pPr>
    </w:p>
    <w:p w14:paraId="09A86252" w14:textId="43053EF4"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Stabilize recording cables to minimize motion artifacts and electromagnetic noise.</w:t>
      </w:r>
    </w:p>
    <w:p w14:paraId="039726CF" w14:textId="77777777" w:rsidR="00F03D2F" w:rsidRPr="003655F4" w:rsidRDefault="00F03D2F" w:rsidP="00462158">
      <w:pPr>
        <w:jc w:val="both"/>
        <w:rPr>
          <w:rFonts w:asciiTheme="majorHAnsi" w:hAnsiTheme="majorHAnsi" w:cstheme="majorHAnsi"/>
          <w:highlight w:val="yellow"/>
          <w:lang w:val="en-IN" w:eastAsia="en-IN"/>
        </w:rPr>
      </w:pPr>
    </w:p>
    <w:p w14:paraId="1BD09492" w14:textId="5772DC94"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Record EEG for 30 min starting at 9:00 a.m. to control for circadian variability.</w:t>
      </w:r>
    </w:p>
    <w:p w14:paraId="4DB989CB" w14:textId="77777777" w:rsidR="00F03D2F" w:rsidRPr="00462158" w:rsidRDefault="00F03D2F" w:rsidP="00462158">
      <w:pPr>
        <w:jc w:val="both"/>
        <w:rPr>
          <w:rFonts w:asciiTheme="majorHAnsi" w:hAnsiTheme="majorHAnsi" w:cstheme="majorHAnsi"/>
          <w:lang w:val="en-IN" w:eastAsia="en-IN"/>
        </w:rPr>
      </w:pPr>
    </w:p>
    <w:p w14:paraId="3DBE08A1" w14:textId="1D61A394" w:rsidR="00957803" w:rsidRPr="00462158" w:rsidRDefault="00F03D2F" w:rsidP="00462158">
      <w:pPr>
        <w:pStyle w:val="ListParagraph"/>
        <w:numPr>
          <w:ilvl w:val="1"/>
          <w:numId w:val="2"/>
        </w:numPr>
        <w:spacing w:after="0" w:line="240" w:lineRule="auto"/>
        <w:ind w:left="0" w:firstLine="0"/>
        <w:jc w:val="both"/>
        <w:outlineLvl w:val="3"/>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Use the following a</w:t>
      </w:r>
      <w:r w:rsidR="00957803" w:rsidRPr="00462158">
        <w:rPr>
          <w:rFonts w:asciiTheme="majorHAnsi" w:hAnsiTheme="majorHAnsi" w:cstheme="majorHAnsi"/>
          <w:sz w:val="24"/>
          <w:szCs w:val="24"/>
          <w:lang w:val="en-IN" w:eastAsia="en-IN"/>
        </w:rPr>
        <w:t>cquisition parameters</w:t>
      </w:r>
      <w:r w:rsidRPr="00462158">
        <w:rPr>
          <w:rFonts w:asciiTheme="majorHAnsi" w:hAnsiTheme="majorHAnsi" w:cstheme="majorHAnsi"/>
          <w:sz w:val="24"/>
          <w:szCs w:val="24"/>
          <w:lang w:val="en-IN" w:eastAsia="en-IN"/>
        </w:rPr>
        <w:t>: s</w:t>
      </w:r>
      <w:r w:rsidR="00957803" w:rsidRPr="00462158">
        <w:rPr>
          <w:rFonts w:asciiTheme="majorHAnsi" w:hAnsiTheme="majorHAnsi" w:cstheme="majorHAnsi"/>
          <w:sz w:val="24"/>
          <w:szCs w:val="24"/>
          <w:lang w:val="en-IN" w:eastAsia="en-IN"/>
        </w:rPr>
        <w:t>ampling rate: 1</w:t>
      </w:r>
      <w:r w:rsidRPr="00462158">
        <w:rPr>
          <w:rFonts w:asciiTheme="majorHAnsi" w:hAnsiTheme="majorHAnsi" w:cstheme="majorHAnsi"/>
          <w:sz w:val="24"/>
          <w:szCs w:val="24"/>
          <w:lang w:val="en-IN" w:eastAsia="en-IN"/>
        </w:rPr>
        <w:t>,</w:t>
      </w:r>
      <w:r w:rsidR="00957803" w:rsidRPr="00462158">
        <w:rPr>
          <w:rFonts w:asciiTheme="majorHAnsi" w:hAnsiTheme="majorHAnsi" w:cstheme="majorHAnsi"/>
          <w:sz w:val="24"/>
          <w:szCs w:val="24"/>
          <w:lang w:val="en-IN" w:eastAsia="en-IN"/>
        </w:rPr>
        <w:t>000 Hz; hardware band-pass filter: 0.5–40 Hz; gain: 8–10.</w:t>
      </w:r>
      <w:r w:rsidR="00731D2C" w:rsidRPr="00462158">
        <w:rPr>
          <w:rFonts w:asciiTheme="majorHAnsi" w:hAnsiTheme="majorHAnsi" w:cstheme="majorHAnsi"/>
          <w:sz w:val="24"/>
          <w:szCs w:val="24"/>
          <w:lang w:val="en-IN" w:eastAsia="en-IN"/>
        </w:rPr>
        <w:t xml:space="preserve"> </w:t>
      </w:r>
      <w:r w:rsidR="00957803" w:rsidRPr="00462158">
        <w:rPr>
          <w:rFonts w:asciiTheme="majorHAnsi" w:hAnsiTheme="majorHAnsi" w:cstheme="majorHAnsi"/>
          <w:sz w:val="24"/>
          <w:szCs w:val="24"/>
          <w:lang w:val="en-IN" w:eastAsia="en-IN"/>
        </w:rPr>
        <w:t>Perform additional filtering and artifact rejection offline.</w:t>
      </w:r>
    </w:p>
    <w:p w14:paraId="7E23A0C6" w14:textId="77777777" w:rsidR="00731D2C" w:rsidRPr="00462158" w:rsidRDefault="00731D2C" w:rsidP="00462158">
      <w:pPr>
        <w:jc w:val="both"/>
        <w:rPr>
          <w:rFonts w:asciiTheme="majorHAnsi" w:hAnsiTheme="majorHAnsi" w:cstheme="majorHAnsi"/>
          <w:lang w:val="en-IN" w:eastAsia="en-IN"/>
        </w:rPr>
      </w:pPr>
    </w:p>
    <w:p w14:paraId="3E5DDFEE" w14:textId="01F12A8D"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Acceptable EEG signals show stable baselines, minimal noise or drift, and physiologically plausible amplitude and frequency content; exclude recordings not meeting these criteria.</w:t>
      </w:r>
    </w:p>
    <w:p w14:paraId="31BE7BD6" w14:textId="77777777" w:rsidR="00731D2C" w:rsidRPr="00462158" w:rsidRDefault="00731D2C" w:rsidP="00462158">
      <w:pPr>
        <w:jc w:val="both"/>
        <w:outlineLvl w:val="2"/>
        <w:rPr>
          <w:rFonts w:asciiTheme="majorHAnsi" w:hAnsiTheme="majorHAnsi" w:cstheme="majorHAnsi"/>
          <w:lang w:val="en-IN" w:eastAsia="en-IN"/>
        </w:rPr>
      </w:pPr>
    </w:p>
    <w:p w14:paraId="55820853" w14:textId="28CDA131" w:rsidR="00957803" w:rsidRPr="00462158"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t>EEG signal analysis</w:t>
      </w:r>
    </w:p>
    <w:p w14:paraId="25D21D19" w14:textId="77777777" w:rsidR="00CD6B73" w:rsidRPr="00462158" w:rsidRDefault="00CD6B73" w:rsidP="00462158">
      <w:pPr>
        <w:pStyle w:val="ListParagraph"/>
        <w:spacing w:after="0" w:line="240" w:lineRule="auto"/>
        <w:ind w:left="0"/>
        <w:jc w:val="both"/>
        <w:outlineLvl w:val="2"/>
        <w:rPr>
          <w:rFonts w:asciiTheme="majorHAnsi" w:hAnsiTheme="majorHAnsi" w:cstheme="majorHAnsi"/>
          <w:b/>
          <w:bCs/>
          <w:sz w:val="24"/>
          <w:szCs w:val="24"/>
          <w:lang w:val="en-IN" w:eastAsia="en-IN"/>
        </w:rPr>
      </w:pPr>
    </w:p>
    <w:p w14:paraId="788640C0" w14:textId="489F17FF"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proofErr w:type="spellStart"/>
      <w:r w:rsidRPr="00462158">
        <w:rPr>
          <w:rFonts w:asciiTheme="majorHAnsi" w:hAnsiTheme="majorHAnsi" w:cstheme="majorHAnsi"/>
          <w:sz w:val="24"/>
          <w:szCs w:val="24"/>
          <w:lang w:val="en-IN" w:eastAsia="en-IN"/>
        </w:rPr>
        <w:t>Analyze</w:t>
      </w:r>
      <w:proofErr w:type="spellEnd"/>
      <w:r w:rsidRPr="00462158">
        <w:rPr>
          <w:rFonts w:asciiTheme="majorHAnsi" w:hAnsiTheme="majorHAnsi" w:cstheme="majorHAnsi"/>
          <w:sz w:val="24"/>
          <w:szCs w:val="24"/>
          <w:lang w:val="en-IN" w:eastAsia="en-IN"/>
        </w:rPr>
        <w:t xml:space="preserve"> EEG signals</w:t>
      </w:r>
      <w:r w:rsidR="00CD6B73" w:rsidRPr="00462158">
        <w:rPr>
          <w:rFonts w:asciiTheme="majorHAnsi" w:hAnsiTheme="majorHAnsi" w:cstheme="majorHAnsi"/>
          <w:sz w:val="24"/>
          <w:szCs w:val="24"/>
          <w:lang w:val="en-IN" w:eastAsia="en-IN"/>
        </w:rPr>
        <w:t xml:space="preserve"> using the referenced software. </w:t>
      </w:r>
    </w:p>
    <w:p w14:paraId="3A20095F" w14:textId="77777777" w:rsidR="00206CB1" w:rsidRPr="00462158" w:rsidRDefault="00206CB1" w:rsidP="00462158">
      <w:pPr>
        <w:jc w:val="both"/>
        <w:rPr>
          <w:rFonts w:asciiTheme="majorHAnsi" w:hAnsiTheme="majorHAnsi" w:cstheme="majorHAnsi"/>
          <w:lang w:val="en-IN" w:eastAsia="en-IN"/>
        </w:rPr>
      </w:pPr>
    </w:p>
    <w:p w14:paraId="516EF578" w14:textId="4631FA14"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Visually inspect signals and remove segments with motion or electrical artifacts.</w:t>
      </w:r>
    </w:p>
    <w:p w14:paraId="5EDB9760" w14:textId="77777777" w:rsidR="00206CB1" w:rsidRPr="00462158" w:rsidRDefault="00206CB1" w:rsidP="00462158">
      <w:pPr>
        <w:jc w:val="both"/>
        <w:rPr>
          <w:rFonts w:asciiTheme="majorHAnsi" w:hAnsiTheme="majorHAnsi" w:cstheme="majorHAnsi"/>
          <w:lang w:val="en-IN" w:eastAsia="en-IN"/>
        </w:rPr>
      </w:pPr>
    </w:p>
    <w:p w14:paraId="28CBCFD7" w14:textId="7A70FC66"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Compute power spectral density (PSD) using </w:t>
      </w:r>
      <w:r w:rsidRPr="00462158">
        <w:rPr>
          <w:rFonts w:asciiTheme="majorHAnsi" w:hAnsiTheme="majorHAnsi" w:cstheme="majorHAnsi"/>
          <w:b/>
          <w:bCs/>
          <w:sz w:val="24"/>
          <w:szCs w:val="24"/>
          <w:lang w:val="en-IN" w:eastAsia="en-IN"/>
        </w:rPr>
        <w:t>FFT (</w:t>
      </w:r>
      <w:proofErr w:type="spellStart"/>
      <w:r w:rsidRPr="00462158">
        <w:rPr>
          <w:rFonts w:asciiTheme="majorHAnsi" w:hAnsiTheme="majorHAnsi" w:cstheme="majorHAnsi"/>
          <w:b/>
          <w:bCs/>
          <w:sz w:val="24"/>
          <w:szCs w:val="24"/>
          <w:lang w:val="en-IN" w:eastAsia="en-IN"/>
        </w:rPr>
        <w:t>pwelch</w:t>
      </w:r>
      <w:proofErr w:type="spellEnd"/>
      <w:r w:rsidRPr="00462158">
        <w:rPr>
          <w:rFonts w:asciiTheme="majorHAnsi" w:hAnsiTheme="majorHAnsi" w:cstheme="majorHAnsi"/>
          <w:b/>
          <w:bCs/>
          <w:sz w:val="24"/>
          <w:szCs w:val="24"/>
          <w:lang w:val="en-IN" w:eastAsia="en-IN"/>
        </w:rPr>
        <w:t xml:space="preserve"> function)</w:t>
      </w:r>
      <w:r w:rsidRPr="00462158">
        <w:rPr>
          <w:rFonts w:asciiTheme="majorHAnsi" w:hAnsiTheme="majorHAnsi" w:cstheme="majorHAnsi"/>
          <w:sz w:val="24"/>
          <w:szCs w:val="24"/>
          <w:lang w:val="en-IN" w:eastAsia="en-IN"/>
        </w:rPr>
        <w:t>.</w:t>
      </w:r>
    </w:p>
    <w:p w14:paraId="0F8F3375" w14:textId="77777777" w:rsidR="00206CB1" w:rsidRPr="00462158" w:rsidRDefault="00206CB1" w:rsidP="00462158">
      <w:pPr>
        <w:jc w:val="both"/>
        <w:rPr>
          <w:rFonts w:asciiTheme="majorHAnsi" w:hAnsiTheme="majorHAnsi" w:cstheme="majorHAnsi"/>
          <w:lang w:val="en-IN" w:eastAsia="en-IN"/>
        </w:rPr>
      </w:pPr>
    </w:p>
    <w:p w14:paraId="2DF13D61" w14:textId="79C3BC5A"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Quantify oscillatory activity by calculating the </w:t>
      </w:r>
      <w:r w:rsidRPr="00462158">
        <w:rPr>
          <w:rFonts w:asciiTheme="majorHAnsi" w:hAnsiTheme="majorHAnsi" w:cstheme="majorHAnsi"/>
          <w:b/>
          <w:bCs/>
          <w:sz w:val="24"/>
          <w:szCs w:val="24"/>
          <w:lang w:val="en-IN" w:eastAsia="en-IN"/>
        </w:rPr>
        <w:t>area under the PSD curve (</w:t>
      </w:r>
      <w:proofErr w:type="spellStart"/>
      <w:r w:rsidRPr="00462158">
        <w:rPr>
          <w:rFonts w:asciiTheme="majorHAnsi" w:hAnsiTheme="majorHAnsi" w:cstheme="majorHAnsi"/>
          <w:b/>
          <w:bCs/>
          <w:sz w:val="24"/>
          <w:szCs w:val="24"/>
          <w:lang w:val="en-IN" w:eastAsia="en-IN"/>
        </w:rPr>
        <w:t>AUCpsd</w:t>
      </w:r>
      <w:proofErr w:type="spellEnd"/>
      <w:r w:rsidRPr="00462158">
        <w:rPr>
          <w:rFonts w:asciiTheme="majorHAnsi" w:hAnsiTheme="majorHAnsi" w:cstheme="majorHAnsi"/>
          <w:b/>
          <w:bCs/>
          <w:sz w:val="24"/>
          <w:szCs w:val="24"/>
          <w:lang w:val="en-IN" w:eastAsia="en-IN"/>
        </w:rPr>
        <w:t xml:space="preserve">) </w:t>
      </w:r>
      <w:r w:rsidRPr="00462158">
        <w:rPr>
          <w:rFonts w:asciiTheme="majorHAnsi" w:hAnsiTheme="majorHAnsi" w:cstheme="majorHAnsi"/>
          <w:sz w:val="24"/>
          <w:szCs w:val="24"/>
          <w:lang w:val="en-IN" w:eastAsia="en-IN"/>
        </w:rPr>
        <w:t>for predefined frequency bands.</w:t>
      </w:r>
    </w:p>
    <w:p w14:paraId="0B1BD44C" w14:textId="77777777" w:rsidR="00206CB1" w:rsidRPr="00462158" w:rsidRDefault="00206CB1" w:rsidP="00462158">
      <w:pPr>
        <w:jc w:val="both"/>
        <w:rPr>
          <w:rFonts w:asciiTheme="majorHAnsi" w:hAnsiTheme="majorHAnsi" w:cstheme="majorHAnsi"/>
          <w:lang w:val="en-IN" w:eastAsia="en-IN"/>
        </w:rPr>
      </w:pPr>
    </w:p>
    <w:p w14:paraId="1ACC76A7" w14:textId="7517FD9D"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Calculate the signal-to-noise ratio (SNR) as the ratio of power in the target signal band (0.5–40 Hz) to the background noise band (40–80 Hz).</w:t>
      </w:r>
    </w:p>
    <w:p w14:paraId="4DC7D6F6" w14:textId="77777777" w:rsidR="00206CB1" w:rsidRPr="00462158" w:rsidRDefault="00206CB1" w:rsidP="00462158">
      <w:pPr>
        <w:jc w:val="both"/>
        <w:rPr>
          <w:rFonts w:asciiTheme="majorHAnsi" w:hAnsiTheme="majorHAnsi" w:cstheme="majorHAnsi"/>
          <w:lang w:val="en-IN" w:eastAsia="en-IN"/>
        </w:rPr>
      </w:pPr>
    </w:p>
    <w:p w14:paraId="30F091ED" w14:textId="35B0058D" w:rsidR="00957803" w:rsidRPr="00957803" w:rsidRDefault="00957803" w:rsidP="00462158">
      <w:pPr>
        <w:jc w:val="both"/>
        <w:rPr>
          <w:rFonts w:asciiTheme="majorHAnsi" w:hAnsiTheme="majorHAnsi" w:cstheme="majorHAnsi"/>
          <w:lang w:val="en-IN" w:eastAsia="en-IN"/>
        </w:rPr>
      </w:pPr>
      <w:r w:rsidRPr="00957803">
        <w:rPr>
          <w:rFonts w:asciiTheme="majorHAnsi" w:hAnsiTheme="majorHAnsi" w:cstheme="majorHAnsi"/>
          <w:lang w:val="en-IN" w:eastAsia="en-IN"/>
        </w:rPr>
        <w:t>N</w:t>
      </w:r>
      <w:r w:rsidR="00206CB1" w:rsidRPr="00462158">
        <w:rPr>
          <w:rFonts w:asciiTheme="majorHAnsi" w:hAnsiTheme="majorHAnsi" w:cstheme="majorHAnsi"/>
          <w:lang w:val="en-IN" w:eastAsia="en-IN"/>
        </w:rPr>
        <w:t>OTE</w:t>
      </w:r>
      <w:r w:rsidRPr="00957803">
        <w:rPr>
          <w:rFonts w:asciiTheme="majorHAnsi" w:hAnsiTheme="majorHAnsi" w:cstheme="majorHAnsi"/>
          <w:lang w:val="en-IN" w:eastAsia="en-IN"/>
        </w:rPr>
        <w:t>: Stable signals exhibit consistent PSD profiles across consecutive recording days.</w:t>
      </w:r>
    </w:p>
    <w:p w14:paraId="4793F7AC" w14:textId="77777777" w:rsidR="00206CB1" w:rsidRPr="00462158" w:rsidRDefault="00206CB1" w:rsidP="00462158">
      <w:pPr>
        <w:jc w:val="both"/>
        <w:outlineLvl w:val="2"/>
        <w:rPr>
          <w:rFonts w:asciiTheme="majorHAnsi" w:hAnsiTheme="majorHAnsi" w:cstheme="majorHAnsi"/>
          <w:lang w:val="en-IN" w:eastAsia="en-IN"/>
        </w:rPr>
      </w:pPr>
    </w:p>
    <w:p w14:paraId="5ED5FDFF" w14:textId="268B630C" w:rsidR="00957803" w:rsidRPr="003655F4"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highlight w:val="yellow"/>
          <w:lang w:val="en-IN" w:eastAsia="en-IN"/>
        </w:rPr>
      </w:pPr>
      <w:r w:rsidRPr="003655F4">
        <w:rPr>
          <w:rFonts w:asciiTheme="majorHAnsi" w:hAnsiTheme="majorHAnsi" w:cstheme="majorHAnsi"/>
          <w:b/>
          <w:bCs/>
          <w:sz w:val="24"/>
          <w:szCs w:val="24"/>
          <w:highlight w:val="yellow"/>
          <w:lang w:val="en-IN" w:eastAsia="en-IN"/>
        </w:rPr>
        <w:t>Pain assessment</w:t>
      </w:r>
    </w:p>
    <w:p w14:paraId="1C60260C" w14:textId="77777777" w:rsidR="00206CB1" w:rsidRPr="00462158" w:rsidRDefault="00206CB1" w:rsidP="00462158">
      <w:pPr>
        <w:jc w:val="both"/>
        <w:outlineLvl w:val="2"/>
        <w:rPr>
          <w:rFonts w:asciiTheme="majorHAnsi" w:hAnsiTheme="majorHAnsi" w:cstheme="majorHAnsi"/>
          <w:b/>
          <w:bCs/>
          <w:lang w:val="en-IN" w:eastAsia="en-IN"/>
        </w:rPr>
      </w:pPr>
    </w:p>
    <w:p w14:paraId="527E1B7E" w14:textId="5EC1E108" w:rsidR="00957803" w:rsidRPr="003655F4"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3655F4">
        <w:rPr>
          <w:rFonts w:asciiTheme="majorHAnsi" w:hAnsiTheme="majorHAnsi" w:cstheme="majorHAnsi"/>
          <w:sz w:val="24"/>
          <w:szCs w:val="24"/>
          <w:highlight w:val="yellow"/>
          <w:lang w:val="en-IN" w:eastAsia="en-IN"/>
        </w:rPr>
        <w:t>Assess pain using the Rat Grimace Scale</w:t>
      </w:r>
      <w:r w:rsidRPr="003655F4">
        <w:rPr>
          <w:rFonts w:asciiTheme="majorHAnsi" w:hAnsiTheme="majorHAnsi" w:cstheme="majorHAnsi"/>
          <w:sz w:val="24"/>
          <w:szCs w:val="24"/>
          <w:highlight w:val="yellow"/>
          <w:vertAlign w:val="superscript"/>
          <w:lang w:val="en-IN" w:eastAsia="en-IN"/>
        </w:rPr>
        <w:t>19,20</w:t>
      </w:r>
      <w:r w:rsidRPr="003655F4">
        <w:rPr>
          <w:rFonts w:asciiTheme="majorHAnsi" w:hAnsiTheme="majorHAnsi" w:cstheme="majorHAnsi"/>
          <w:sz w:val="24"/>
          <w:szCs w:val="24"/>
          <w:highlight w:val="yellow"/>
          <w:lang w:val="en-IN" w:eastAsia="en-IN"/>
        </w:rPr>
        <w:t xml:space="preserve"> one day before surgery (baseline) and on all recording days.</w:t>
      </w:r>
    </w:p>
    <w:p w14:paraId="42ACBD9D" w14:textId="77777777" w:rsidR="00206CB1" w:rsidRPr="00462158" w:rsidRDefault="00206CB1" w:rsidP="00462158">
      <w:pPr>
        <w:pStyle w:val="ListParagraph"/>
        <w:spacing w:after="0" w:line="240" w:lineRule="auto"/>
        <w:ind w:left="0"/>
        <w:jc w:val="both"/>
        <w:rPr>
          <w:rFonts w:asciiTheme="majorHAnsi" w:hAnsiTheme="majorHAnsi" w:cstheme="majorHAnsi"/>
          <w:sz w:val="24"/>
          <w:szCs w:val="24"/>
          <w:lang w:val="en-IN" w:eastAsia="en-IN"/>
        </w:rPr>
      </w:pPr>
    </w:p>
    <w:p w14:paraId="45289FBF" w14:textId="7BB74EB1" w:rsidR="00206CB1"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Use an observation chamber (25 cm × 15 cm × 15 cm) and position the camera in the upper left corner at a 45</w:t>
      </w:r>
      <w:r w:rsidR="00206CB1" w:rsidRPr="004722BF">
        <w:rPr>
          <w:rFonts w:asciiTheme="majorHAnsi" w:hAnsiTheme="majorHAnsi" w:cstheme="majorHAnsi"/>
          <w:sz w:val="24"/>
          <w:szCs w:val="24"/>
          <w:highlight w:val="yellow"/>
          <w:lang w:val="en-IN"/>
        </w:rPr>
        <w:sym w:font="Symbol" w:char="F0B0"/>
      </w:r>
      <w:r w:rsidRPr="004722BF">
        <w:rPr>
          <w:rFonts w:asciiTheme="majorHAnsi" w:hAnsiTheme="majorHAnsi" w:cstheme="majorHAnsi"/>
          <w:sz w:val="24"/>
          <w:szCs w:val="24"/>
          <w:highlight w:val="yellow"/>
          <w:lang w:val="en-IN" w:eastAsia="en-IN"/>
        </w:rPr>
        <w:t xml:space="preserve"> angle.</w:t>
      </w:r>
    </w:p>
    <w:p w14:paraId="2DFDB074" w14:textId="77777777" w:rsidR="00770146" w:rsidRPr="004722BF" w:rsidRDefault="00770146" w:rsidP="00770146">
      <w:pPr>
        <w:pStyle w:val="ListParagraph"/>
        <w:spacing w:after="0" w:line="240" w:lineRule="auto"/>
        <w:ind w:left="0"/>
        <w:jc w:val="both"/>
        <w:rPr>
          <w:rFonts w:asciiTheme="majorHAnsi" w:hAnsiTheme="majorHAnsi" w:cstheme="majorHAnsi"/>
          <w:sz w:val="24"/>
          <w:szCs w:val="24"/>
          <w:highlight w:val="yellow"/>
          <w:lang w:val="en-IN" w:eastAsia="en-IN"/>
        </w:rPr>
      </w:pPr>
    </w:p>
    <w:p w14:paraId="30D24A06" w14:textId="62029A8E" w:rsidR="00957803"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Capture facial images, randomize image order, and score orbital tightening, nose/cheek flattening, whisker changes, and ear position (0–2 scale).</w:t>
      </w:r>
    </w:p>
    <w:p w14:paraId="751DFD23" w14:textId="77777777" w:rsidR="00206CB1" w:rsidRPr="00462158" w:rsidRDefault="00206CB1" w:rsidP="00462158">
      <w:pPr>
        <w:jc w:val="both"/>
        <w:rPr>
          <w:rFonts w:asciiTheme="majorHAnsi" w:hAnsiTheme="majorHAnsi" w:cstheme="majorHAnsi"/>
          <w:lang w:val="en-IN" w:eastAsia="en-IN"/>
        </w:rPr>
      </w:pPr>
    </w:p>
    <w:p w14:paraId="4DE56645" w14:textId="6BA66832" w:rsidR="00206CB1"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lastRenderedPageBreak/>
        <w:t>Sum scores to generate a total pain score per animal per time point.</w:t>
      </w:r>
    </w:p>
    <w:p w14:paraId="4AAAC126" w14:textId="77777777" w:rsidR="00206CB1" w:rsidRPr="004722BF" w:rsidRDefault="00206CB1" w:rsidP="00462158">
      <w:pPr>
        <w:jc w:val="both"/>
        <w:outlineLvl w:val="2"/>
        <w:rPr>
          <w:rFonts w:asciiTheme="majorHAnsi" w:hAnsiTheme="majorHAnsi" w:cstheme="majorHAnsi"/>
          <w:highlight w:val="yellow"/>
          <w:lang w:val="en-IN" w:eastAsia="en-IN"/>
        </w:rPr>
      </w:pPr>
    </w:p>
    <w:p w14:paraId="2F782A7A" w14:textId="43DB9237" w:rsidR="00957803" w:rsidRPr="004722BF"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highlight w:val="yellow"/>
          <w:lang w:val="en-IN" w:eastAsia="en-IN"/>
        </w:rPr>
      </w:pPr>
      <w:r w:rsidRPr="004722BF">
        <w:rPr>
          <w:rFonts w:asciiTheme="majorHAnsi" w:hAnsiTheme="majorHAnsi" w:cstheme="majorHAnsi"/>
          <w:b/>
          <w:bCs/>
          <w:sz w:val="24"/>
          <w:szCs w:val="24"/>
          <w:highlight w:val="yellow"/>
          <w:lang w:val="en-IN" w:eastAsia="en-IN"/>
        </w:rPr>
        <w:t xml:space="preserve">Feeding </w:t>
      </w:r>
      <w:proofErr w:type="spellStart"/>
      <w:r w:rsidRPr="004722BF">
        <w:rPr>
          <w:rFonts w:asciiTheme="majorHAnsi" w:hAnsiTheme="majorHAnsi" w:cstheme="majorHAnsi"/>
          <w:b/>
          <w:bCs/>
          <w:sz w:val="24"/>
          <w:szCs w:val="24"/>
          <w:highlight w:val="yellow"/>
          <w:lang w:val="en-IN" w:eastAsia="en-IN"/>
        </w:rPr>
        <w:t>behavior</w:t>
      </w:r>
      <w:proofErr w:type="spellEnd"/>
      <w:r w:rsidRPr="004722BF">
        <w:rPr>
          <w:rFonts w:asciiTheme="majorHAnsi" w:hAnsiTheme="majorHAnsi" w:cstheme="majorHAnsi"/>
          <w:b/>
          <w:bCs/>
          <w:sz w:val="24"/>
          <w:szCs w:val="24"/>
          <w:highlight w:val="yellow"/>
          <w:lang w:val="en-IN" w:eastAsia="en-IN"/>
        </w:rPr>
        <w:t xml:space="preserve"> and body weight</w:t>
      </w:r>
    </w:p>
    <w:p w14:paraId="6761445D" w14:textId="77777777" w:rsidR="00206CB1" w:rsidRPr="004722BF" w:rsidRDefault="00206CB1" w:rsidP="00462158">
      <w:pPr>
        <w:pStyle w:val="ListParagraph"/>
        <w:spacing w:after="0" w:line="240" w:lineRule="auto"/>
        <w:ind w:left="0"/>
        <w:jc w:val="both"/>
        <w:outlineLvl w:val="2"/>
        <w:rPr>
          <w:rFonts w:asciiTheme="majorHAnsi" w:hAnsiTheme="majorHAnsi" w:cstheme="majorHAnsi"/>
          <w:b/>
          <w:bCs/>
          <w:sz w:val="24"/>
          <w:szCs w:val="24"/>
          <w:highlight w:val="yellow"/>
          <w:lang w:val="en-IN" w:eastAsia="en-IN"/>
        </w:rPr>
      </w:pPr>
    </w:p>
    <w:p w14:paraId="30024B49" w14:textId="44416D63" w:rsidR="00957803"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 xml:space="preserve">Weigh rats and measure food intake daily. Calculate food intake by subtracting the remaining chow from </w:t>
      </w:r>
      <w:proofErr w:type="spellStart"/>
      <w:r w:rsidRPr="004722BF">
        <w:rPr>
          <w:rFonts w:asciiTheme="majorHAnsi" w:hAnsiTheme="majorHAnsi" w:cstheme="majorHAnsi"/>
          <w:sz w:val="24"/>
          <w:szCs w:val="24"/>
          <w:highlight w:val="yellow"/>
          <w:lang w:val="en-IN" w:eastAsia="en-IN"/>
        </w:rPr>
        <w:t>preweighed</w:t>
      </w:r>
      <w:proofErr w:type="spellEnd"/>
      <w:r w:rsidRPr="004722BF">
        <w:rPr>
          <w:rFonts w:asciiTheme="majorHAnsi" w:hAnsiTheme="majorHAnsi" w:cstheme="majorHAnsi"/>
          <w:sz w:val="24"/>
          <w:szCs w:val="24"/>
          <w:highlight w:val="yellow"/>
          <w:lang w:val="en-IN" w:eastAsia="en-IN"/>
        </w:rPr>
        <w:t xml:space="preserve"> food after 24 h.</w:t>
      </w:r>
    </w:p>
    <w:p w14:paraId="052A060D" w14:textId="77777777" w:rsidR="00206CB1" w:rsidRPr="004722BF" w:rsidRDefault="00206CB1" w:rsidP="00462158">
      <w:pPr>
        <w:pStyle w:val="ListParagraph"/>
        <w:spacing w:after="0" w:line="240" w:lineRule="auto"/>
        <w:ind w:left="0"/>
        <w:jc w:val="both"/>
        <w:rPr>
          <w:rFonts w:asciiTheme="majorHAnsi" w:hAnsiTheme="majorHAnsi" w:cstheme="majorHAnsi"/>
          <w:sz w:val="24"/>
          <w:szCs w:val="24"/>
          <w:highlight w:val="yellow"/>
          <w:lang w:val="en-IN" w:eastAsia="en-IN"/>
        </w:rPr>
      </w:pPr>
    </w:p>
    <w:p w14:paraId="630EF580" w14:textId="6BB7807F" w:rsidR="00957803"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 xml:space="preserve">Record rat </w:t>
      </w:r>
      <w:proofErr w:type="spellStart"/>
      <w:r w:rsidRPr="004722BF">
        <w:rPr>
          <w:rFonts w:asciiTheme="majorHAnsi" w:hAnsiTheme="majorHAnsi" w:cstheme="majorHAnsi"/>
          <w:sz w:val="24"/>
          <w:szCs w:val="24"/>
          <w:highlight w:val="yellow"/>
          <w:lang w:val="en-IN" w:eastAsia="en-IN"/>
        </w:rPr>
        <w:t>behavior</w:t>
      </w:r>
      <w:proofErr w:type="spellEnd"/>
      <w:r w:rsidRPr="004722BF">
        <w:rPr>
          <w:rFonts w:asciiTheme="majorHAnsi" w:hAnsiTheme="majorHAnsi" w:cstheme="majorHAnsi"/>
          <w:sz w:val="24"/>
          <w:szCs w:val="24"/>
          <w:highlight w:val="yellow"/>
          <w:lang w:val="en-IN" w:eastAsia="en-IN"/>
        </w:rPr>
        <w:t xml:space="preserve"> continuously for 24 h using a video recording system. </w:t>
      </w:r>
      <w:proofErr w:type="spellStart"/>
      <w:r w:rsidRPr="004722BF">
        <w:rPr>
          <w:rFonts w:asciiTheme="majorHAnsi" w:hAnsiTheme="majorHAnsi" w:cstheme="majorHAnsi"/>
          <w:sz w:val="24"/>
          <w:szCs w:val="24"/>
          <w:highlight w:val="yellow"/>
          <w:lang w:val="en-IN" w:eastAsia="en-IN"/>
        </w:rPr>
        <w:t>Analyze</w:t>
      </w:r>
      <w:proofErr w:type="spellEnd"/>
      <w:r w:rsidRPr="004722BF">
        <w:rPr>
          <w:rFonts w:asciiTheme="majorHAnsi" w:hAnsiTheme="majorHAnsi" w:cstheme="majorHAnsi"/>
          <w:sz w:val="24"/>
          <w:szCs w:val="24"/>
          <w:highlight w:val="yellow"/>
          <w:lang w:val="en-IN" w:eastAsia="en-IN"/>
        </w:rPr>
        <w:t xml:space="preserve"> feeding </w:t>
      </w:r>
      <w:proofErr w:type="spellStart"/>
      <w:r w:rsidRPr="004722BF">
        <w:rPr>
          <w:rFonts w:asciiTheme="majorHAnsi" w:hAnsiTheme="majorHAnsi" w:cstheme="majorHAnsi"/>
          <w:sz w:val="24"/>
          <w:szCs w:val="24"/>
          <w:highlight w:val="yellow"/>
          <w:lang w:val="en-IN" w:eastAsia="en-IN"/>
        </w:rPr>
        <w:t>behavior</w:t>
      </w:r>
      <w:proofErr w:type="spellEnd"/>
      <w:r w:rsidRPr="004722BF">
        <w:rPr>
          <w:rFonts w:asciiTheme="majorHAnsi" w:hAnsiTheme="majorHAnsi" w:cstheme="majorHAnsi"/>
          <w:sz w:val="24"/>
          <w:szCs w:val="24"/>
          <w:highlight w:val="yellow"/>
          <w:lang w:val="en-IN" w:eastAsia="en-IN"/>
        </w:rPr>
        <w:t xml:space="preserve"> offline by experimenters blinded to experimental conditions.</w:t>
      </w:r>
    </w:p>
    <w:p w14:paraId="2AD314BE" w14:textId="77777777" w:rsidR="00206CB1" w:rsidRPr="004722BF" w:rsidRDefault="00206CB1" w:rsidP="00462158">
      <w:pPr>
        <w:jc w:val="both"/>
        <w:rPr>
          <w:rFonts w:asciiTheme="majorHAnsi" w:hAnsiTheme="majorHAnsi" w:cstheme="majorHAnsi"/>
          <w:highlight w:val="yellow"/>
          <w:lang w:val="en-IN" w:eastAsia="en-IN"/>
        </w:rPr>
      </w:pPr>
    </w:p>
    <w:p w14:paraId="4FED225D" w14:textId="398B5D70" w:rsidR="00957803"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Monitor feeding continuously using an automated system. Define a feeding bout as ≥1 event lasting 5 s–15 min</w:t>
      </w:r>
      <w:r w:rsidRPr="004722BF">
        <w:rPr>
          <w:rFonts w:asciiTheme="majorHAnsi" w:hAnsiTheme="majorHAnsi" w:cstheme="majorHAnsi"/>
          <w:sz w:val="24"/>
          <w:szCs w:val="24"/>
          <w:highlight w:val="yellow"/>
          <w:vertAlign w:val="superscript"/>
          <w:lang w:val="en-IN" w:eastAsia="en-IN"/>
        </w:rPr>
        <w:t>21</w:t>
      </w:r>
      <w:r w:rsidRPr="004722BF">
        <w:rPr>
          <w:rFonts w:asciiTheme="majorHAnsi" w:hAnsiTheme="majorHAnsi" w:cstheme="majorHAnsi"/>
          <w:sz w:val="24"/>
          <w:szCs w:val="24"/>
          <w:highlight w:val="yellow"/>
          <w:lang w:val="en-IN" w:eastAsia="en-IN"/>
        </w:rPr>
        <w:t>.</w:t>
      </w:r>
    </w:p>
    <w:p w14:paraId="187FC9E1" w14:textId="77777777" w:rsidR="00206CB1" w:rsidRPr="004722BF" w:rsidRDefault="00206CB1" w:rsidP="00462158">
      <w:pPr>
        <w:jc w:val="both"/>
        <w:rPr>
          <w:rFonts w:asciiTheme="majorHAnsi" w:hAnsiTheme="majorHAnsi" w:cstheme="majorHAnsi"/>
          <w:highlight w:val="yellow"/>
          <w:lang w:val="en-IN" w:eastAsia="en-IN"/>
        </w:rPr>
      </w:pPr>
    </w:p>
    <w:p w14:paraId="574C3515" w14:textId="2D9311E8" w:rsidR="00957803" w:rsidRPr="004722BF"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highlight w:val="yellow"/>
          <w:lang w:val="en-IN" w:eastAsia="en-IN"/>
        </w:rPr>
      </w:pPr>
      <w:r w:rsidRPr="004722BF">
        <w:rPr>
          <w:rFonts w:asciiTheme="majorHAnsi" w:hAnsiTheme="majorHAnsi" w:cstheme="majorHAnsi"/>
          <w:sz w:val="24"/>
          <w:szCs w:val="24"/>
          <w:highlight w:val="yellow"/>
          <w:lang w:val="en-IN" w:eastAsia="en-IN"/>
        </w:rPr>
        <w:t>Calculate body weight-adjusted intake (g × 100/g body weight); mean intake per meal (g/number of meal events); and intake rate (g/total feeding duration in min).</w:t>
      </w:r>
    </w:p>
    <w:p w14:paraId="13E1E81C" w14:textId="77777777" w:rsidR="00206CB1" w:rsidRPr="00462158" w:rsidRDefault="00206CB1" w:rsidP="00462158">
      <w:pPr>
        <w:jc w:val="both"/>
        <w:rPr>
          <w:rFonts w:asciiTheme="majorHAnsi" w:hAnsiTheme="majorHAnsi" w:cstheme="majorHAnsi"/>
          <w:lang w:val="en-IN" w:eastAsia="en-IN"/>
        </w:rPr>
      </w:pPr>
    </w:p>
    <w:p w14:paraId="29600606" w14:textId="392F54DA" w:rsidR="00957803" w:rsidRPr="00462158"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t>Neuroinflammation assessment</w:t>
      </w:r>
    </w:p>
    <w:p w14:paraId="31EAE1BA" w14:textId="77777777" w:rsidR="00206CB1" w:rsidRPr="00462158" w:rsidRDefault="00206CB1" w:rsidP="00462158">
      <w:pPr>
        <w:jc w:val="both"/>
        <w:outlineLvl w:val="2"/>
        <w:rPr>
          <w:rFonts w:asciiTheme="majorHAnsi" w:hAnsiTheme="majorHAnsi" w:cstheme="majorHAnsi"/>
          <w:b/>
          <w:bCs/>
          <w:lang w:val="en-IN" w:eastAsia="en-IN"/>
        </w:rPr>
      </w:pPr>
    </w:p>
    <w:p w14:paraId="63D3ECF8" w14:textId="4D9AC4D2"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Euthanize rats using an overdose of isoflurane followed by decapitation.</w:t>
      </w:r>
    </w:p>
    <w:p w14:paraId="383D5754" w14:textId="77777777" w:rsidR="00206CB1" w:rsidRPr="00462158" w:rsidRDefault="00206CB1" w:rsidP="00462158">
      <w:pPr>
        <w:pStyle w:val="ListParagraph"/>
        <w:spacing w:after="0" w:line="240" w:lineRule="auto"/>
        <w:ind w:left="0"/>
        <w:jc w:val="both"/>
        <w:rPr>
          <w:rFonts w:asciiTheme="majorHAnsi" w:hAnsiTheme="majorHAnsi" w:cstheme="majorHAnsi"/>
          <w:sz w:val="24"/>
          <w:szCs w:val="24"/>
          <w:lang w:val="en-IN" w:eastAsia="en-IN"/>
        </w:rPr>
      </w:pPr>
    </w:p>
    <w:p w14:paraId="5436C94C" w14:textId="4A682447"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Collect brain tissue from implanted hemispheres at baseline and postoperative days 3, 6, 9, and 13 (n = 3 per time point).</w:t>
      </w:r>
    </w:p>
    <w:p w14:paraId="1B9F3EED" w14:textId="77777777" w:rsidR="00206CB1" w:rsidRPr="00462158" w:rsidRDefault="00206CB1" w:rsidP="00462158">
      <w:pPr>
        <w:jc w:val="both"/>
        <w:rPr>
          <w:rFonts w:asciiTheme="majorHAnsi" w:hAnsiTheme="majorHAnsi" w:cstheme="majorHAnsi"/>
          <w:lang w:val="en-IN" w:eastAsia="en-IN"/>
        </w:rPr>
      </w:pPr>
    </w:p>
    <w:p w14:paraId="54D55554" w14:textId="1FF5AE8E" w:rsidR="00957803" w:rsidRPr="00462158" w:rsidRDefault="00957803" w:rsidP="00462158">
      <w:pPr>
        <w:pStyle w:val="ListParagraph"/>
        <w:numPr>
          <w:ilvl w:val="1"/>
          <w:numId w:val="2"/>
        </w:numPr>
        <w:spacing w:after="0" w:line="240" w:lineRule="auto"/>
        <w:ind w:left="0" w:firstLine="0"/>
        <w:jc w:val="both"/>
        <w:outlineLvl w:val="3"/>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t>Western blotting</w:t>
      </w:r>
    </w:p>
    <w:p w14:paraId="7540C069" w14:textId="77777777" w:rsidR="00206CB1" w:rsidRPr="00462158" w:rsidRDefault="00206CB1" w:rsidP="00462158">
      <w:pPr>
        <w:jc w:val="both"/>
        <w:outlineLvl w:val="3"/>
        <w:rPr>
          <w:rFonts w:asciiTheme="majorHAnsi" w:hAnsiTheme="majorHAnsi" w:cstheme="majorHAnsi"/>
          <w:b/>
          <w:bCs/>
          <w:lang w:val="en-IN" w:eastAsia="en-IN"/>
        </w:rPr>
      </w:pPr>
    </w:p>
    <w:p w14:paraId="173766DD" w14:textId="6C6841B1"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Extract total protein from brain tissue and quantify protein concentration using a bicinchoninic acid (BCA) assay. Adjust all samples to a final concentration of 2 µg/µL and denature at 100 °C for 5 min.</w:t>
      </w:r>
    </w:p>
    <w:p w14:paraId="06EC5413" w14:textId="77777777" w:rsidR="00206CB1" w:rsidRPr="00462158" w:rsidRDefault="00206CB1" w:rsidP="00462158">
      <w:pPr>
        <w:pStyle w:val="ListParagraph"/>
        <w:spacing w:after="0" w:line="240" w:lineRule="auto"/>
        <w:ind w:left="0"/>
        <w:jc w:val="both"/>
        <w:rPr>
          <w:rFonts w:asciiTheme="majorHAnsi" w:hAnsiTheme="majorHAnsi" w:cstheme="majorHAnsi"/>
          <w:sz w:val="24"/>
          <w:szCs w:val="24"/>
          <w:lang w:val="en-IN" w:eastAsia="en-IN"/>
        </w:rPr>
      </w:pPr>
    </w:p>
    <w:p w14:paraId="4371DC9D" w14:textId="65218ABD"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Separate proteins by 10% SDS-PAGE at 120 V for 90 min, loading 20 µg of protein per lane.</w:t>
      </w:r>
    </w:p>
    <w:p w14:paraId="09930955" w14:textId="77777777" w:rsidR="00206CB1" w:rsidRPr="00462158" w:rsidRDefault="00206CB1" w:rsidP="00462158">
      <w:pPr>
        <w:pStyle w:val="ListParagraph"/>
        <w:spacing w:after="0" w:line="240" w:lineRule="auto"/>
        <w:ind w:left="0"/>
        <w:jc w:val="both"/>
        <w:rPr>
          <w:rFonts w:asciiTheme="majorHAnsi" w:hAnsiTheme="majorHAnsi" w:cstheme="majorHAnsi"/>
          <w:sz w:val="24"/>
          <w:szCs w:val="24"/>
          <w:lang w:val="en-IN" w:eastAsia="en-IN"/>
        </w:rPr>
      </w:pPr>
    </w:p>
    <w:p w14:paraId="001782EB" w14:textId="77777777" w:rsidR="00206CB1" w:rsidRPr="00462158" w:rsidRDefault="00206CB1"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p>
    <w:p w14:paraId="07233675" w14:textId="658A85AE" w:rsidR="00206CB1" w:rsidRPr="00462158" w:rsidRDefault="00957803" w:rsidP="00462158">
      <w:pPr>
        <w:jc w:val="both"/>
        <w:rPr>
          <w:rFonts w:asciiTheme="majorHAnsi" w:hAnsiTheme="majorHAnsi" w:cstheme="majorHAnsi"/>
          <w:lang w:val="en-IN" w:eastAsia="en-IN"/>
        </w:rPr>
      </w:pPr>
      <w:r w:rsidRPr="00957803">
        <w:rPr>
          <w:rFonts w:asciiTheme="majorHAnsi" w:hAnsiTheme="majorHAnsi" w:cstheme="majorHAnsi"/>
          <w:lang w:val="en-IN" w:eastAsia="en-IN"/>
        </w:rPr>
        <w:t>8.3.3. Transfer proteins onto a PVDF membrane at 300 mA for 1 h.</w:t>
      </w:r>
    </w:p>
    <w:p w14:paraId="14D03AEC" w14:textId="77777777" w:rsidR="00206CB1" w:rsidRPr="00957803" w:rsidRDefault="00206CB1" w:rsidP="00462158">
      <w:pPr>
        <w:jc w:val="both"/>
        <w:rPr>
          <w:rFonts w:asciiTheme="majorHAnsi" w:hAnsiTheme="majorHAnsi" w:cstheme="majorHAnsi"/>
          <w:lang w:val="en-IN" w:eastAsia="en-IN"/>
        </w:rPr>
      </w:pPr>
    </w:p>
    <w:p w14:paraId="065FD493" w14:textId="46DA5B59"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Block membranes and incubate overnight at 4 °C with primary antibodies against </w:t>
      </w:r>
      <w:proofErr w:type="spellStart"/>
      <w:r w:rsidRPr="00462158">
        <w:rPr>
          <w:rFonts w:asciiTheme="majorHAnsi" w:hAnsiTheme="majorHAnsi" w:cstheme="majorHAnsi"/>
          <w:sz w:val="24"/>
          <w:szCs w:val="24"/>
          <w:lang w:val="en-IN" w:eastAsia="en-IN"/>
        </w:rPr>
        <w:t>tumor</w:t>
      </w:r>
      <w:proofErr w:type="spellEnd"/>
      <w:r w:rsidRPr="00462158">
        <w:rPr>
          <w:rFonts w:asciiTheme="majorHAnsi" w:hAnsiTheme="majorHAnsi" w:cstheme="majorHAnsi"/>
          <w:sz w:val="24"/>
          <w:szCs w:val="24"/>
          <w:lang w:val="en-IN" w:eastAsia="en-IN"/>
        </w:rPr>
        <w:t xml:space="preserve"> necrosis factor-α (TNF-α) and interleukin-6 (IL-6) (1:1</w:t>
      </w:r>
      <w:r w:rsidR="00206CB1" w:rsidRPr="00462158">
        <w:rPr>
          <w:rFonts w:asciiTheme="majorHAnsi" w:hAnsiTheme="majorHAnsi" w:cstheme="majorHAnsi"/>
          <w:sz w:val="24"/>
          <w:szCs w:val="24"/>
          <w:lang w:val="en-IN" w:eastAsia="en-IN"/>
        </w:rPr>
        <w:t>,</w:t>
      </w:r>
      <w:r w:rsidRPr="00462158">
        <w:rPr>
          <w:rFonts w:asciiTheme="majorHAnsi" w:hAnsiTheme="majorHAnsi" w:cstheme="majorHAnsi"/>
          <w:sz w:val="24"/>
          <w:szCs w:val="24"/>
          <w:lang w:val="en-IN" w:eastAsia="en-IN"/>
        </w:rPr>
        <w:t>000).</w:t>
      </w:r>
    </w:p>
    <w:p w14:paraId="03E6BFB8" w14:textId="77777777" w:rsidR="00206CB1" w:rsidRPr="00462158" w:rsidRDefault="00206CB1" w:rsidP="00462158">
      <w:pPr>
        <w:pStyle w:val="ListParagraph"/>
        <w:spacing w:after="0" w:line="240" w:lineRule="auto"/>
        <w:ind w:left="0"/>
        <w:jc w:val="both"/>
        <w:rPr>
          <w:rFonts w:asciiTheme="majorHAnsi" w:hAnsiTheme="majorHAnsi" w:cstheme="majorHAnsi"/>
          <w:sz w:val="24"/>
          <w:szCs w:val="24"/>
          <w:lang w:val="en-IN" w:eastAsia="en-IN"/>
        </w:rPr>
      </w:pPr>
    </w:p>
    <w:p w14:paraId="256AC9E6" w14:textId="2940C045"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Incubate with HRP-conjugated secondary antibody (1:20,000, 2 h, room temperature).</w:t>
      </w:r>
    </w:p>
    <w:p w14:paraId="4439E302" w14:textId="77777777" w:rsidR="00206CB1" w:rsidRPr="00462158" w:rsidRDefault="00206CB1" w:rsidP="00462158">
      <w:pPr>
        <w:jc w:val="both"/>
        <w:rPr>
          <w:rFonts w:asciiTheme="majorHAnsi" w:hAnsiTheme="majorHAnsi" w:cstheme="majorHAnsi"/>
          <w:lang w:val="en-IN" w:eastAsia="en-IN"/>
        </w:rPr>
      </w:pPr>
    </w:p>
    <w:p w14:paraId="0CD03365" w14:textId="258C965D"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 xml:space="preserve">Visualize bands using ECL and image with a </w:t>
      </w:r>
      <w:r w:rsidR="00206CB1" w:rsidRPr="00462158">
        <w:rPr>
          <w:rFonts w:asciiTheme="majorHAnsi" w:hAnsiTheme="majorHAnsi" w:cstheme="majorHAnsi"/>
          <w:sz w:val="24"/>
          <w:szCs w:val="24"/>
          <w:lang w:val="en-IN" w:eastAsia="en-IN"/>
        </w:rPr>
        <w:t>chemiluminescence</w:t>
      </w:r>
      <w:r w:rsidR="00A41F73" w:rsidRPr="00462158">
        <w:rPr>
          <w:rFonts w:asciiTheme="majorHAnsi" w:hAnsiTheme="majorHAnsi" w:cstheme="majorHAnsi"/>
          <w:sz w:val="24"/>
          <w:szCs w:val="24"/>
          <w:lang w:val="en-IN" w:eastAsia="en-IN"/>
        </w:rPr>
        <w:t xml:space="preserve"> imaging</w:t>
      </w:r>
      <w:r w:rsidRPr="00462158">
        <w:rPr>
          <w:rFonts w:asciiTheme="majorHAnsi" w:hAnsiTheme="majorHAnsi" w:cstheme="majorHAnsi"/>
          <w:sz w:val="24"/>
          <w:szCs w:val="24"/>
          <w:lang w:val="en-IN" w:eastAsia="en-IN"/>
        </w:rPr>
        <w:t xml:space="preserve"> system using the automatic exposure mode.</w:t>
      </w:r>
    </w:p>
    <w:p w14:paraId="43E10CC5" w14:textId="77777777" w:rsidR="00206CB1" w:rsidRPr="00462158" w:rsidRDefault="00206CB1" w:rsidP="00462158">
      <w:pPr>
        <w:jc w:val="both"/>
        <w:rPr>
          <w:rFonts w:asciiTheme="majorHAnsi" w:hAnsiTheme="majorHAnsi" w:cstheme="majorHAnsi"/>
          <w:lang w:val="en-IN" w:eastAsia="en-IN"/>
        </w:rPr>
      </w:pPr>
    </w:p>
    <w:p w14:paraId="2A5072C9" w14:textId="1CC4BADD" w:rsidR="00957803" w:rsidRPr="00462158" w:rsidRDefault="00957803" w:rsidP="00462158">
      <w:pPr>
        <w:pStyle w:val="ListParagraph"/>
        <w:numPr>
          <w:ilvl w:val="2"/>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Perform densitometry using ImageJ.</w:t>
      </w:r>
    </w:p>
    <w:p w14:paraId="16F1E167" w14:textId="77777777" w:rsidR="00206CB1" w:rsidRPr="00462158" w:rsidRDefault="00206CB1" w:rsidP="00462158">
      <w:pPr>
        <w:jc w:val="both"/>
        <w:rPr>
          <w:rFonts w:asciiTheme="majorHAnsi" w:hAnsiTheme="majorHAnsi" w:cstheme="majorHAnsi"/>
          <w:lang w:val="en-IN" w:eastAsia="en-IN"/>
        </w:rPr>
      </w:pPr>
    </w:p>
    <w:p w14:paraId="0425C819" w14:textId="04447967" w:rsidR="00957803" w:rsidRPr="00462158" w:rsidRDefault="00957803" w:rsidP="00462158">
      <w:pPr>
        <w:pStyle w:val="ListParagraph"/>
        <w:numPr>
          <w:ilvl w:val="0"/>
          <w:numId w:val="2"/>
        </w:numPr>
        <w:spacing w:after="0" w:line="240" w:lineRule="auto"/>
        <w:ind w:left="0" w:firstLine="0"/>
        <w:jc w:val="both"/>
        <w:outlineLvl w:val="2"/>
        <w:rPr>
          <w:rFonts w:asciiTheme="majorHAnsi" w:hAnsiTheme="majorHAnsi" w:cstheme="majorHAnsi"/>
          <w:b/>
          <w:bCs/>
          <w:sz w:val="24"/>
          <w:szCs w:val="24"/>
          <w:lang w:val="en-IN" w:eastAsia="en-IN"/>
        </w:rPr>
      </w:pPr>
      <w:r w:rsidRPr="00462158">
        <w:rPr>
          <w:rFonts w:asciiTheme="majorHAnsi" w:hAnsiTheme="majorHAnsi" w:cstheme="majorHAnsi"/>
          <w:b/>
          <w:bCs/>
          <w:sz w:val="24"/>
          <w:szCs w:val="24"/>
          <w:lang w:val="en-IN" w:eastAsia="en-IN"/>
        </w:rPr>
        <w:lastRenderedPageBreak/>
        <w:t>Safety and waste disposal</w:t>
      </w:r>
    </w:p>
    <w:p w14:paraId="4856A0F6" w14:textId="77777777" w:rsidR="00A223D8" w:rsidRPr="00462158" w:rsidRDefault="00A223D8" w:rsidP="00462158">
      <w:pPr>
        <w:jc w:val="both"/>
        <w:outlineLvl w:val="2"/>
        <w:rPr>
          <w:rFonts w:asciiTheme="majorHAnsi" w:hAnsiTheme="majorHAnsi" w:cstheme="majorHAnsi"/>
          <w:b/>
          <w:bCs/>
          <w:lang w:val="en-IN" w:eastAsia="en-IN"/>
        </w:rPr>
      </w:pPr>
    </w:p>
    <w:p w14:paraId="387A07FA" w14:textId="4B73A578"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Handle isoflurane using an active scavenging system.</w:t>
      </w:r>
    </w:p>
    <w:p w14:paraId="1A7D7B95" w14:textId="77777777" w:rsidR="00526FF8" w:rsidRPr="00462158" w:rsidRDefault="00526FF8" w:rsidP="00462158">
      <w:pPr>
        <w:jc w:val="both"/>
        <w:rPr>
          <w:rFonts w:asciiTheme="majorHAnsi" w:hAnsiTheme="majorHAnsi" w:cstheme="majorHAnsi"/>
          <w:lang w:val="en-IN" w:eastAsia="en-IN"/>
        </w:rPr>
      </w:pPr>
    </w:p>
    <w:p w14:paraId="3C90D1B2" w14:textId="05DA32A8"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Dispose of sharps and biological tissues in designated biohazard containers.</w:t>
      </w:r>
    </w:p>
    <w:p w14:paraId="160FE463" w14:textId="77777777" w:rsidR="00526FF8" w:rsidRPr="00462158" w:rsidRDefault="00526FF8" w:rsidP="00462158">
      <w:pPr>
        <w:jc w:val="both"/>
        <w:rPr>
          <w:rFonts w:asciiTheme="majorHAnsi" w:hAnsiTheme="majorHAnsi" w:cstheme="majorHAnsi"/>
          <w:lang w:val="en-IN" w:eastAsia="en-IN"/>
        </w:rPr>
      </w:pPr>
    </w:p>
    <w:p w14:paraId="1AC96545" w14:textId="184E4DD2" w:rsidR="00957803" w:rsidRPr="00462158" w:rsidRDefault="00957803" w:rsidP="00462158">
      <w:pPr>
        <w:pStyle w:val="ListParagraph"/>
        <w:numPr>
          <w:ilvl w:val="1"/>
          <w:numId w:val="2"/>
        </w:numPr>
        <w:spacing w:after="0" w:line="240" w:lineRule="auto"/>
        <w:ind w:left="0" w:firstLine="0"/>
        <w:jc w:val="both"/>
        <w:rPr>
          <w:rFonts w:asciiTheme="majorHAnsi" w:hAnsiTheme="majorHAnsi" w:cstheme="majorHAnsi"/>
          <w:sz w:val="24"/>
          <w:szCs w:val="24"/>
          <w:lang w:val="en-IN" w:eastAsia="en-IN"/>
        </w:rPr>
      </w:pPr>
      <w:r w:rsidRPr="00462158">
        <w:rPr>
          <w:rFonts w:asciiTheme="majorHAnsi" w:hAnsiTheme="majorHAnsi" w:cstheme="majorHAnsi"/>
          <w:sz w:val="24"/>
          <w:szCs w:val="24"/>
          <w:lang w:val="en-IN" w:eastAsia="en-IN"/>
        </w:rPr>
        <w:t>Dispose of chemical reagents according to institutional safety regulations.</w:t>
      </w:r>
    </w:p>
    <w:p w14:paraId="10B6BECA" w14:textId="77777777" w:rsidR="00AF091D" w:rsidRPr="00462158" w:rsidRDefault="00AF091D" w:rsidP="00462158">
      <w:pPr>
        <w:jc w:val="both"/>
        <w:rPr>
          <w:rFonts w:asciiTheme="majorHAnsi" w:hAnsiTheme="majorHAnsi" w:cstheme="majorHAnsi"/>
          <w:b/>
        </w:rPr>
      </w:pPr>
    </w:p>
    <w:p w14:paraId="127CB450" w14:textId="77777777" w:rsidR="00E07A34" w:rsidRPr="00E07A34" w:rsidRDefault="00E07A34" w:rsidP="00462158">
      <w:pPr>
        <w:jc w:val="both"/>
        <w:outlineLvl w:val="1"/>
        <w:rPr>
          <w:rFonts w:asciiTheme="majorHAnsi" w:hAnsiTheme="majorHAnsi" w:cstheme="majorHAnsi"/>
          <w:b/>
          <w:bCs/>
          <w:lang w:val="en-IN" w:eastAsia="en-IN"/>
        </w:rPr>
      </w:pPr>
      <w:r w:rsidRPr="00E07A34">
        <w:rPr>
          <w:rFonts w:asciiTheme="majorHAnsi" w:hAnsiTheme="majorHAnsi" w:cstheme="majorHAnsi"/>
          <w:b/>
          <w:bCs/>
          <w:lang w:val="en-IN" w:eastAsia="en-IN"/>
        </w:rPr>
        <w:t>REPRESENTATIVE RESULTS</w:t>
      </w:r>
    </w:p>
    <w:p w14:paraId="551E1FED" w14:textId="72B7A4E6"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 xml:space="preserve">All 21 SD rats tolerated intracranial electrode implantation and completed the study protocol. Longitudinal measures (EEG, body weight, feeding </w:t>
      </w:r>
      <w:proofErr w:type="spellStart"/>
      <w:r w:rsidRPr="00E07A34">
        <w:rPr>
          <w:rFonts w:asciiTheme="majorHAnsi" w:hAnsiTheme="majorHAnsi" w:cstheme="majorHAnsi"/>
          <w:lang w:val="en-IN" w:eastAsia="en-IN"/>
        </w:rPr>
        <w:t>behavior</w:t>
      </w:r>
      <w:proofErr w:type="spellEnd"/>
      <w:r w:rsidRPr="00E07A34">
        <w:rPr>
          <w:rFonts w:asciiTheme="majorHAnsi" w:hAnsiTheme="majorHAnsi" w:cstheme="majorHAnsi"/>
          <w:lang w:val="en-IN" w:eastAsia="en-IN"/>
        </w:rPr>
        <w:t xml:space="preserve">, and pain scores) were collected from the same animals across time points (n = 3), while neuroinflammatory assessments were terminal measures at each time point (n = 3 rats per day: baseline, 1, 4, 7, 10, 13). Data were assessed for normality using Shapiro-Wilk tests. Normally distributed data are expressed as mean ± SEM and compared using one-way or repeated-measures ANOVA with Bonferroni correction. Non-parametric data were </w:t>
      </w:r>
      <w:proofErr w:type="spellStart"/>
      <w:r w:rsidRPr="00E07A34">
        <w:rPr>
          <w:rFonts w:asciiTheme="majorHAnsi" w:hAnsiTheme="majorHAnsi" w:cstheme="majorHAnsi"/>
          <w:lang w:val="en-IN" w:eastAsia="en-IN"/>
        </w:rPr>
        <w:t>analyzed</w:t>
      </w:r>
      <w:proofErr w:type="spellEnd"/>
      <w:r w:rsidRPr="00E07A34">
        <w:rPr>
          <w:rFonts w:asciiTheme="majorHAnsi" w:hAnsiTheme="majorHAnsi" w:cstheme="majorHAnsi"/>
          <w:lang w:val="en-IN" w:eastAsia="en-IN"/>
        </w:rPr>
        <w:t xml:space="preserve"> using the Kruskal-Wallis test with Dunn’s post hoc test. A two-sided p &lt; 0.05 was considered statistically significant. EEG signal recovery is defined as a plateau in </w:t>
      </w:r>
      <w:proofErr w:type="spellStart"/>
      <w:r w:rsidRPr="00E07A34">
        <w:rPr>
          <w:rFonts w:asciiTheme="majorHAnsi" w:hAnsiTheme="majorHAnsi" w:cstheme="majorHAnsi"/>
          <w:lang w:val="en-IN" w:eastAsia="en-IN"/>
        </w:rPr>
        <w:t>AUCpsd</w:t>
      </w:r>
      <w:proofErr w:type="spellEnd"/>
      <w:r w:rsidRPr="00E07A34">
        <w:rPr>
          <w:rFonts w:asciiTheme="majorHAnsi" w:hAnsiTheme="majorHAnsi" w:cstheme="majorHAnsi"/>
          <w:lang w:val="en-IN" w:eastAsia="en-IN"/>
        </w:rPr>
        <w:t xml:space="preserve"> across consecutive time points, while feeding, body weight, and RGS scores are considered recovered when returning to baseline.</w:t>
      </w:r>
    </w:p>
    <w:p w14:paraId="08653942" w14:textId="77777777" w:rsidR="00526FF8" w:rsidRPr="00E07A34" w:rsidRDefault="00526FF8" w:rsidP="00462158">
      <w:pPr>
        <w:jc w:val="both"/>
        <w:rPr>
          <w:rFonts w:asciiTheme="majorHAnsi" w:hAnsiTheme="majorHAnsi" w:cstheme="majorHAnsi"/>
          <w:lang w:val="en-IN" w:eastAsia="en-IN"/>
        </w:rPr>
      </w:pPr>
    </w:p>
    <w:p w14:paraId="7FBBB025" w14:textId="47DC946D" w:rsidR="00E07A34" w:rsidRPr="00E07A34" w:rsidRDefault="00E07A34" w:rsidP="00462158">
      <w:pPr>
        <w:jc w:val="both"/>
        <w:outlineLvl w:val="2"/>
        <w:rPr>
          <w:rFonts w:asciiTheme="majorHAnsi" w:hAnsiTheme="majorHAnsi" w:cstheme="majorHAnsi"/>
          <w:b/>
          <w:bCs/>
          <w:lang w:val="en-IN" w:eastAsia="en-IN"/>
        </w:rPr>
      </w:pPr>
      <w:r w:rsidRPr="00E07A34">
        <w:rPr>
          <w:rFonts w:asciiTheme="majorHAnsi" w:hAnsiTheme="majorHAnsi" w:cstheme="majorHAnsi"/>
          <w:b/>
          <w:bCs/>
          <w:lang w:val="en-IN" w:eastAsia="en-IN"/>
        </w:rPr>
        <w:t>Electrode localization</w:t>
      </w:r>
    </w:p>
    <w:p w14:paraId="5E616E9B" w14:textId="4DEC2474"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 xml:space="preserve">Histological verification on day 13 confirmed that electrode tips were accurately located within the Cg1, </w:t>
      </w:r>
      <w:r w:rsidR="00FD1571">
        <w:rPr>
          <w:rFonts w:asciiTheme="majorHAnsi" w:hAnsiTheme="majorHAnsi" w:cstheme="majorHAnsi"/>
          <w:lang w:val="en-IN" w:eastAsia="en-IN"/>
        </w:rPr>
        <w:t>hippocampus</w:t>
      </w:r>
      <w:r w:rsidRPr="00E07A34">
        <w:rPr>
          <w:rFonts w:asciiTheme="majorHAnsi" w:hAnsiTheme="majorHAnsi" w:cstheme="majorHAnsi"/>
          <w:lang w:val="en-IN" w:eastAsia="en-IN"/>
        </w:rPr>
        <w:t xml:space="preserve"> </w:t>
      </w:r>
      <w:r w:rsidR="00A13F0E">
        <w:rPr>
          <w:rFonts w:asciiTheme="majorHAnsi" w:hAnsiTheme="majorHAnsi" w:cstheme="majorHAnsi"/>
          <w:lang w:val="en-IN" w:eastAsia="en-IN"/>
        </w:rPr>
        <w:t>CA1</w:t>
      </w:r>
      <w:r w:rsidRPr="00E07A34">
        <w:rPr>
          <w:rFonts w:asciiTheme="majorHAnsi" w:hAnsiTheme="majorHAnsi" w:cstheme="majorHAnsi"/>
          <w:lang w:val="en-IN" w:eastAsia="en-IN"/>
        </w:rPr>
        <w:t xml:space="preserve">, and EC. Electrode tracks aligned with stereotaxic coordinates are presented in </w:t>
      </w:r>
      <w:r w:rsidRPr="00E07A34">
        <w:rPr>
          <w:rFonts w:asciiTheme="majorHAnsi" w:hAnsiTheme="majorHAnsi" w:cstheme="majorHAnsi"/>
          <w:b/>
          <w:bCs/>
          <w:lang w:val="en-IN" w:eastAsia="en-IN"/>
        </w:rPr>
        <w:t>Figure 2</w:t>
      </w:r>
      <w:r w:rsidRPr="00E07A34">
        <w:rPr>
          <w:rFonts w:asciiTheme="majorHAnsi" w:hAnsiTheme="majorHAnsi" w:cstheme="majorHAnsi"/>
          <w:lang w:val="en-IN" w:eastAsia="en-IN"/>
        </w:rPr>
        <w:t>.</w:t>
      </w:r>
    </w:p>
    <w:p w14:paraId="7FC42432" w14:textId="77777777" w:rsidR="00526FF8" w:rsidRPr="00E07A34" w:rsidRDefault="00526FF8" w:rsidP="00462158">
      <w:pPr>
        <w:jc w:val="both"/>
        <w:rPr>
          <w:rFonts w:asciiTheme="majorHAnsi" w:hAnsiTheme="majorHAnsi" w:cstheme="majorHAnsi"/>
          <w:lang w:val="en-IN" w:eastAsia="en-IN"/>
        </w:rPr>
      </w:pPr>
    </w:p>
    <w:p w14:paraId="5ADD1131" w14:textId="08A42125" w:rsidR="00E07A34" w:rsidRPr="00E07A34" w:rsidRDefault="00E07A34" w:rsidP="00462158">
      <w:pPr>
        <w:jc w:val="both"/>
        <w:outlineLvl w:val="2"/>
        <w:rPr>
          <w:rFonts w:asciiTheme="majorHAnsi" w:hAnsiTheme="majorHAnsi" w:cstheme="majorHAnsi"/>
          <w:b/>
          <w:bCs/>
          <w:lang w:val="en-IN" w:eastAsia="en-IN"/>
        </w:rPr>
      </w:pPr>
      <w:r w:rsidRPr="00E07A34">
        <w:rPr>
          <w:rFonts w:asciiTheme="majorHAnsi" w:hAnsiTheme="majorHAnsi" w:cstheme="majorHAnsi"/>
          <w:b/>
          <w:bCs/>
          <w:lang w:val="en-IN" w:eastAsia="en-IN"/>
        </w:rPr>
        <w:t>EEG signal recovery</w:t>
      </w:r>
    </w:p>
    <w:p w14:paraId="6DE95951" w14:textId="2BB99F5C"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 xml:space="preserve">EEG signals collected under </w:t>
      </w:r>
      <w:proofErr w:type="spellStart"/>
      <w:r w:rsidRPr="00E07A34">
        <w:rPr>
          <w:rFonts w:asciiTheme="majorHAnsi" w:hAnsiTheme="majorHAnsi" w:cstheme="majorHAnsi"/>
          <w:lang w:val="en-IN" w:eastAsia="en-IN"/>
        </w:rPr>
        <w:t>anesthesia</w:t>
      </w:r>
      <w:proofErr w:type="spellEnd"/>
      <w:r w:rsidRPr="00E07A34">
        <w:rPr>
          <w:rFonts w:asciiTheme="majorHAnsi" w:hAnsiTheme="majorHAnsi" w:cstheme="majorHAnsi"/>
          <w:lang w:val="en-IN" w:eastAsia="en-IN"/>
        </w:rPr>
        <w:t xml:space="preserve"> on days 1, 4, 7, 10, and 13 are shown in Figure 3. On day 1, PSD values were reduced at all sites (Cg1: 0.607 ± 0.555 × 10⁻² μV²/Hz; </w:t>
      </w:r>
      <w:r w:rsidR="00A13F0E">
        <w:rPr>
          <w:rFonts w:asciiTheme="majorHAnsi" w:hAnsiTheme="majorHAnsi" w:cstheme="majorHAnsi"/>
          <w:lang w:val="en-IN" w:eastAsia="en-IN"/>
        </w:rPr>
        <w:t>CA1</w:t>
      </w:r>
      <w:r w:rsidRPr="00E07A34">
        <w:rPr>
          <w:rFonts w:asciiTheme="majorHAnsi" w:hAnsiTheme="majorHAnsi" w:cstheme="majorHAnsi"/>
          <w:lang w:val="en-IN" w:eastAsia="en-IN"/>
        </w:rPr>
        <w:t xml:space="preserve">: 0.415 ± 0.208 × 10⁻² μV²/Hz; EC: 0.871 ± 0.533 × 10⁻³ μV²/Hz). By day 4, PSD increased significantly (Cg1: 3.25 ± 0.716 × 10⁻² μV²/Hz; </w:t>
      </w:r>
      <w:r w:rsidR="00A13F0E">
        <w:rPr>
          <w:rFonts w:asciiTheme="majorHAnsi" w:hAnsiTheme="majorHAnsi" w:cstheme="majorHAnsi"/>
          <w:lang w:val="en-IN" w:eastAsia="en-IN"/>
        </w:rPr>
        <w:t>CA1</w:t>
      </w:r>
      <w:r w:rsidRPr="00E07A34">
        <w:rPr>
          <w:rFonts w:asciiTheme="majorHAnsi" w:hAnsiTheme="majorHAnsi" w:cstheme="majorHAnsi"/>
          <w:lang w:val="en-IN" w:eastAsia="en-IN"/>
        </w:rPr>
        <w:t xml:space="preserve">: 8.33 ± 1.36 × 10⁻² μV²/Hz; EC: 5.12 ± 1.08 × 10⁻³ μV²/Hz; all p &lt; 0.05 vs. day 1) and remained stable through day 13. Time-frequency analysis confirmed progressive restoration of oscillatory activity. Similar patterns were observed in </w:t>
      </w:r>
      <w:proofErr w:type="spellStart"/>
      <w:r w:rsidRPr="00E07A34">
        <w:rPr>
          <w:rFonts w:asciiTheme="majorHAnsi" w:hAnsiTheme="majorHAnsi" w:cstheme="majorHAnsi"/>
          <w:lang w:val="en-IN" w:eastAsia="en-IN"/>
        </w:rPr>
        <w:t>AUCpsd</w:t>
      </w:r>
      <w:proofErr w:type="spellEnd"/>
      <w:r w:rsidRPr="00E07A34">
        <w:rPr>
          <w:rFonts w:asciiTheme="majorHAnsi" w:hAnsiTheme="majorHAnsi" w:cstheme="majorHAnsi"/>
          <w:lang w:val="en-IN" w:eastAsia="en-IN"/>
        </w:rPr>
        <w:t xml:space="preserve">. The signal-to-noise ratios (SNRs) in Cg1, </w:t>
      </w:r>
      <w:r w:rsidR="00A13F0E">
        <w:rPr>
          <w:rFonts w:asciiTheme="majorHAnsi" w:hAnsiTheme="majorHAnsi" w:cstheme="majorHAnsi"/>
          <w:lang w:val="en-IN" w:eastAsia="en-IN"/>
        </w:rPr>
        <w:t>CA1</w:t>
      </w:r>
      <w:r w:rsidRPr="00E07A34">
        <w:rPr>
          <w:rFonts w:asciiTheme="majorHAnsi" w:hAnsiTheme="majorHAnsi" w:cstheme="majorHAnsi"/>
          <w:lang w:val="en-IN" w:eastAsia="en-IN"/>
        </w:rPr>
        <w:t>, and EC, calculated as the power ratio between the 0.5–40 Hz and 40–80 Hz bands, did not differ significantly across days 1, 4, 7, 10, and 13.</w:t>
      </w:r>
    </w:p>
    <w:p w14:paraId="255EF112" w14:textId="77777777" w:rsidR="00526FF8" w:rsidRPr="00E07A34" w:rsidRDefault="00526FF8" w:rsidP="00462158">
      <w:pPr>
        <w:jc w:val="both"/>
        <w:rPr>
          <w:rFonts w:asciiTheme="majorHAnsi" w:hAnsiTheme="majorHAnsi" w:cstheme="majorHAnsi"/>
          <w:lang w:val="en-IN" w:eastAsia="en-IN"/>
        </w:rPr>
      </w:pPr>
    </w:p>
    <w:p w14:paraId="2C14746F" w14:textId="0BB87A92" w:rsidR="00E07A34" w:rsidRPr="00E07A34" w:rsidRDefault="00E07A34" w:rsidP="00462158">
      <w:pPr>
        <w:jc w:val="both"/>
        <w:outlineLvl w:val="2"/>
        <w:rPr>
          <w:rFonts w:asciiTheme="majorHAnsi" w:hAnsiTheme="majorHAnsi" w:cstheme="majorHAnsi"/>
          <w:b/>
          <w:bCs/>
          <w:lang w:val="en-IN" w:eastAsia="en-IN"/>
        </w:rPr>
      </w:pPr>
      <w:r w:rsidRPr="00E07A34">
        <w:rPr>
          <w:rFonts w:asciiTheme="majorHAnsi" w:hAnsiTheme="majorHAnsi" w:cstheme="majorHAnsi"/>
          <w:b/>
          <w:bCs/>
          <w:lang w:val="en-IN" w:eastAsia="en-IN"/>
        </w:rPr>
        <w:t>Pain sensation</w:t>
      </w:r>
    </w:p>
    <w:p w14:paraId="27C3917B" w14:textId="77777777"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RGS scores peaked at 2.5 ± 0.26 on day 1 and declined to 0.67 ± 0.06 by day 4 (p &lt; 0.01 vs. day 1). Scores returned to zero by day 7 and remained unchanged thereafter, demonstrating that acute pain subsided within the first week (</w:t>
      </w:r>
      <w:r w:rsidRPr="00E07A34">
        <w:rPr>
          <w:rFonts w:asciiTheme="majorHAnsi" w:hAnsiTheme="majorHAnsi" w:cstheme="majorHAnsi"/>
          <w:b/>
          <w:bCs/>
          <w:lang w:val="en-IN" w:eastAsia="en-IN"/>
        </w:rPr>
        <w:t>Figure 4</w:t>
      </w:r>
      <w:r w:rsidRPr="00E07A34">
        <w:rPr>
          <w:rFonts w:asciiTheme="majorHAnsi" w:hAnsiTheme="majorHAnsi" w:cstheme="majorHAnsi"/>
          <w:lang w:val="en-IN" w:eastAsia="en-IN"/>
        </w:rPr>
        <w:t>).</w:t>
      </w:r>
    </w:p>
    <w:p w14:paraId="16C6B896" w14:textId="77777777" w:rsidR="00526FF8" w:rsidRPr="00E07A34" w:rsidRDefault="00526FF8" w:rsidP="00462158">
      <w:pPr>
        <w:jc w:val="both"/>
        <w:rPr>
          <w:rFonts w:asciiTheme="majorHAnsi" w:hAnsiTheme="majorHAnsi" w:cstheme="majorHAnsi"/>
          <w:lang w:val="en-IN" w:eastAsia="en-IN"/>
        </w:rPr>
      </w:pPr>
    </w:p>
    <w:p w14:paraId="14B0D648" w14:textId="18DCF583" w:rsidR="00E07A34" w:rsidRPr="00E07A34" w:rsidRDefault="00E07A34" w:rsidP="00462158">
      <w:pPr>
        <w:jc w:val="both"/>
        <w:outlineLvl w:val="2"/>
        <w:rPr>
          <w:rFonts w:asciiTheme="majorHAnsi" w:hAnsiTheme="majorHAnsi" w:cstheme="majorHAnsi"/>
          <w:b/>
          <w:bCs/>
          <w:lang w:val="en-IN" w:eastAsia="en-IN"/>
        </w:rPr>
      </w:pPr>
      <w:r w:rsidRPr="00E07A34">
        <w:rPr>
          <w:rFonts w:asciiTheme="majorHAnsi" w:hAnsiTheme="majorHAnsi" w:cstheme="majorHAnsi"/>
          <w:b/>
          <w:bCs/>
          <w:lang w:val="en-IN" w:eastAsia="en-IN"/>
        </w:rPr>
        <w:t xml:space="preserve">Body weight and feeding </w:t>
      </w:r>
      <w:proofErr w:type="spellStart"/>
      <w:r w:rsidRPr="00E07A34">
        <w:rPr>
          <w:rFonts w:asciiTheme="majorHAnsi" w:hAnsiTheme="majorHAnsi" w:cstheme="majorHAnsi"/>
          <w:b/>
          <w:bCs/>
          <w:lang w:val="en-IN" w:eastAsia="en-IN"/>
        </w:rPr>
        <w:t>behavior</w:t>
      </w:r>
      <w:proofErr w:type="spellEnd"/>
    </w:p>
    <w:p w14:paraId="5F193D47" w14:textId="77777777"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 xml:space="preserve">Body weight and feeding activity were recorded longitudinally. Body weight decreased from baseline (249.6 ± 3.0 g) to 240.0 ± 1.6 g on day 1 (p = 0.087), recovered by day 4 (251.2 ± 1.7 g, p = 0.987 vs. baseline), and exceeded baseline by day 13 (291.4 ± 4.2 g, p &lt; 0.001). Food intake was </w:t>
      </w:r>
      <w:r w:rsidRPr="00E07A34">
        <w:rPr>
          <w:rFonts w:asciiTheme="majorHAnsi" w:hAnsiTheme="majorHAnsi" w:cstheme="majorHAnsi"/>
          <w:lang w:val="en-IN" w:eastAsia="en-IN"/>
        </w:rPr>
        <w:lastRenderedPageBreak/>
        <w:t>halved on day 1 (4.7 ± 0.6 g vs. 11.9 ± 0.9 g at baseline, p &lt; 0.001), with fewer meal events (7.3 ± 0.9 vs. 18.0 ± 1.2, p &lt; 0.001), reduced normalized intake (2.0 ± 0.3 g/100 g vs. 4.8 ± 0.4 g/100 g, p &lt; 0.001), and slower eating rate (0.06 ± 0.01 g/min vs. 0.15 ± 0.01 g/min, p = 0.001). Single-meal intake remained unchanged, suggesting reduced frequency rather than capacity. By day 4, feeding parameters returned to baseline and remained stable (</w:t>
      </w:r>
      <w:r w:rsidRPr="00E07A34">
        <w:rPr>
          <w:rFonts w:asciiTheme="majorHAnsi" w:hAnsiTheme="majorHAnsi" w:cstheme="majorHAnsi"/>
          <w:b/>
          <w:bCs/>
          <w:lang w:val="en-IN" w:eastAsia="en-IN"/>
        </w:rPr>
        <w:t>Figure 5</w:t>
      </w:r>
      <w:r w:rsidRPr="00E07A34">
        <w:rPr>
          <w:rFonts w:asciiTheme="majorHAnsi" w:hAnsiTheme="majorHAnsi" w:cstheme="majorHAnsi"/>
          <w:lang w:val="en-IN" w:eastAsia="en-IN"/>
        </w:rPr>
        <w:t>).</w:t>
      </w:r>
    </w:p>
    <w:p w14:paraId="7E6B3D34" w14:textId="77777777" w:rsidR="00526FF8" w:rsidRPr="00E07A34" w:rsidRDefault="00526FF8" w:rsidP="00462158">
      <w:pPr>
        <w:jc w:val="both"/>
        <w:rPr>
          <w:rFonts w:asciiTheme="majorHAnsi" w:hAnsiTheme="majorHAnsi" w:cstheme="majorHAnsi"/>
          <w:lang w:val="en-IN" w:eastAsia="en-IN"/>
        </w:rPr>
      </w:pPr>
    </w:p>
    <w:p w14:paraId="2AA4918D" w14:textId="798ED717" w:rsidR="00526FF8" w:rsidRPr="00E07A34" w:rsidRDefault="00E07A34" w:rsidP="00462158">
      <w:pPr>
        <w:jc w:val="both"/>
        <w:outlineLvl w:val="2"/>
        <w:rPr>
          <w:rFonts w:asciiTheme="majorHAnsi" w:hAnsiTheme="majorHAnsi" w:cstheme="majorHAnsi"/>
          <w:b/>
          <w:bCs/>
          <w:lang w:val="en-IN" w:eastAsia="en-IN"/>
        </w:rPr>
      </w:pPr>
      <w:r w:rsidRPr="00E07A34">
        <w:rPr>
          <w:rFonts w:asciiTheme="majorHAnsi" w:hAnsiTheme="majorHAnsi" w:cstheme="majorHAnsi"/>
          <w:b/>
          <w:bCs/>
          <w:lang w:val="en-IN" w:eastAsia="en-IN"/>
        </w:rPr>
        <w:t>Neuroinflammatory response.</w:t>
      </w:r>
    </w:p>
    <w:p w14:paraId="439612AA" w14:textId="77777777"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Western blotting assessment (n = 3 per time point) revealed upregulation of TNF-α and IL-6 on day 1 (TNF-α: 0.416 ± 0.063 vs. 0.102 ± 0.047, p &lt; 0.001; IL-6: 0.469 ± 0.048 vs. 0.095 ± 0.045, p = 0.005). IL-6 remained elevated through day 4 (0.345 ± 0.056, p = 0.033) but declined thereafter. By day 13, both markers showed partial resolution, although levels remained mildly elevated compared to baseline, suggesting a sustained but attenuated inflammatory state (</w:t>
      </w:r>
      <w:r w:rsidRPr="00E07A34">
        <w:rPr>
          <w:rFonts w:asciiTheme="majorHAnsi" w:hAnsiTheme="majorHAnsi" w:cstheme="majorHAnsi"/>
          <w:b/>
          <w:bCs/>
          <w:lang w:val="en-IN" w:eastAsia="en-IN"/>
        </w:rPr>
        <w:t>Figure 6</w:t>
      </w:r>
      <w:r w:rsidRPr="00E07A34">
        <w:rPr>
          <w:rFonts w:asciiTheme="majorHAnsi" w:hAnsiTheme="majorHAnsi" w:cstheme="majorHAnsi"/>
          <w:lang w:val="en-IN" w:eastAsia="en-IN"/>
        </w:rPr>
        <w:t>).</w:t>
      </w:r>
    </w:p>
    <w:p w14:paraId="3ED4DE12" w14:textId="77777777" w:rsidR="00526FF8" w:rsidRPr="00E07A34" w:rsidRDefault="00526FF8" w:rsidP="00462158">
      <w:pPr>
        <w:jc w:val="both"/>
        <w:rPr>
          <w:rFonts w:asciiTheme="majorHAnsi" w:hAnsiTheme="majorHAnsi" w:cstheme="majorHAnsi"/>
          <w:lang w:val="en-IN" w:eastAsia="en-IN"/>
        </w:rPr>
      </w:pPr>
    </w:p>
    <w:p w14:paraId="6F56DA39" w14:textId="77777777" w:rsidR="00E07A34" w:rsidRPr="00462158" w:rsidRDefault="00E07A34" w:rsidP="00462158">
      <w:pPr>
        <w:jc w:val="both"/>
        <w:rPr>
          <w:rFonts w:asciiTheme="majorHAnsi" w:hAnsiTheme="majorHAnsi" w:cstheme="majorHAnsi"/>
          <w:lang w:val="en-IN" w:eastAsia="en-IN"/>
        </w:rPr>
      </w:pPr>
      <w:r w:rsidRPr="00E07A34">
        <w:rPr>
          <w:rFonts w:asciiTheme="majorHAnsi" w:hAnsiTheme="majorHAnsi" w:cstheme="majorHAnsi"/>
          <w:lang w:val="en-IN" w:eastAsia="en-IN"/>
        </w:rPr>
        <w:t xml:space="preserve">Across all domains, post-implantation disturbances peaked on day 1. EEG signals, feeding </w:t>
      </w:r>
      <w:proofErr w:type="spellStart"/>
      <w:r w:rsidRPr="00E07A34">
        <w:rPr>
          <w:rFonts w:asciiTheme="majorHAnsi" w:hAnsiTheme="majorHAnsi" w:cstheme="majorHAnsi"/>
          <w:lang w:val="en-IN" w:eastAsia="en-IN"/>
        </w:rPr>
        <w:t>behavior</w:t>
      </w:r>
      <w:proofErr w:type="spellEnd"/>
      <w:r w:rsidRPr="00E07A34">
        <w:rPr>
          <w:rFonts w:asciiTheme="majorHAnsi" w:hAnsiTheme="majorHAnsi" w:cstheme="majorHAnsi"/>
          <w:lang w:val="en-IN" w:eastAsia="en-IN"/>
        </w:rPr>
        <w:t xml:space="preserve">, and pain scores stabilized by days 4–7, whereas inflammation persisted longer but diminished progressively. These results suggest a minimum 4-day recovery period for stable recordings, while inflammation should be considered in studies extending beyond the acute phase. It is important to note that electrophysiological data were collected under </w:t>
      </w:r>
      <w:proofErr w:type="spellStart"/>
      <w:r w:rsidRPr="00E07A34">
        <w:rPr>
          <w:rFonts w:asciiTheme="majorHAnsi" w:hAnsiTheme="majorHAnsi" w:cstheme="majorHAnsi"/>
          <w:lang w:val="en-IN" w:eastAsia="en-IN"/>
        </w:rPr>
        <w:t>anesthesia</w:t>
      </w:r>
      <w:proofErr w:type="spellEnd"/>
      <w:r w:rsidRPr="00E07A34">
        <w:rPr>
          <w:rFonts w:asciiTheme="majorHAnsi" w:hAnsiTheme="majorHAnsi" w:cstheme="majorHAnsi"/>
          <w:lang w:val="en-IN" w:eastAsia="en-IN"/>
        </w:rPr>
        <w:t>, and recovery is defined within that recording context.</w:t>
      </w:r>
    </w:p>
    <w:p w14:paraId="0CB547C3" w14:textId="77777777" w:rsidR="00526FF8" w:rsidRPr="00E07A34" w:rsidRDefault="00526FF8" w:rsidP="00462158">
      <w:pPr>
        <w:jc w:val="both"/>
        <w:rPr>
          <w:rFonts w:asciiTheme="majorHAnsi" w:hAnsiTheme="majorHAnsi" w:cstheme="majorHAnsi"/>
          <w:lang w:val="en-IN" w:eastAsia="en-IN"/>
        </w:rPr>
      </w:pPr>
    </w:p>
    <w:p w14:paraId="10B6BED4" w14:textId="217B9CF6" w:rsidR="00AF091D" w:rsidRPr="00462158" w:rsidRDefault="005F75B1" w:rsidP="00462158">
      <w:pPr>
        <w:jc w:val="both"/>
        <w:rPr>
          <w:rFonts w:asciiTheme="majorHAnsi" w:hAnsiTheme="majorHAnsi" w:cstheme="majorHAnsi"/>
          <w:b/>
        </w:rPr>
      </w:pPr>
      <w:r w:rsidRPr="00462158">
        <w:rPr>
          <w:rFonts w:asciiTheme="majorHAnsi" w:hAnsiTheme="majorHAnsi" w:cstheme="majorHAnsi"/>
          <w:b/>
        </w:rPr>
        <w:t>FIGURE AND TABLE LEGENDS</w:t>
      </w:r>
      <w:r w:rsidR="00526FF8" w:rsidRPr="00462158">
        <w:rPr>
          <w:rFonts w:asciiTheme="majorHAnsi" w:hAnsiTheme="majorHAnsi" w:cstheme="majorHAnsi"/>
          <w:b/>
        </w:rPr>
        <w:t>:</w:t>
      </w:r>
    </w:p>
    <w:p w14:paraId="5642A091" w14:textId="6303A477"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t>Fig</w:t>
      </w:r>
      <w:r w:rsidR="00526FF8" w:rsidRPr="00462158">
        <w:rPr>
          <w:rStyle w:val="Strong"/>
          <w:rFonts w:asciiTheme="majorHAnsi" w:hAnsiTheme="majorHAnsi" w:cstheme="majorHAnsi"/>
        </w:rPr>
        <w:t>ure</w:t>
      </w:r>
      <w:r w:rsidRPr="00462158">
        <w:rPr>
          <w:rStyle w:val="Strong"/>
          <w:rFonts w:asciiTheme="majorHAnsi" w:hAnsiTheme="majorHAnsi" w:cstheme="majorHAnsi"/>
        </w:rPr>
        <w:t xml:space="preserve"> 1. Experimental design and electrode implantation</w:t>
      </w:r>
      <w:r w:rsidR="00526FF8" w:rsidRPr="00462158">
        <w:rPr>
          <w:rStyle w:val="Strong"/>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w:t>
      </w:r>
      <w:r w:rsidRPr="00462158">
        <w:rPr>
          <w:rFonts w:asciiTheme="majorHAnsi" w:hAnsiTheme="majorHAnsi" w:cstheme="majorHAnsi"/>
        </w:rPr>
        <w:t xml:space="preserve">) Timeline of the </w:t>
      </w:r>
      <w:proofErr w:type="gramStart"/>
      <w:r w:rsidRPr="00462158">
        <w:rPr>
          <w:rFonts w:asciiTheme="majorHAnsi" w:hAnsiTheme="majorHAnsi" w:cstheme="majorHAnsi"/>
        </w:rPr>
        <w:t>13</w:t>
      </w:r>
      <w:r w:rsidR="00526FF8" w:rsidRPr="00462158">
        <w:rPr>
          <w:rFonts w:asciiTheme="majorHAnsi" w:hAnsiTheme="majorHAnsi" w:cstheme="majorHAnsi"/>
        </w:rPr>
        <w:t xml:space="preserve"> </w:t>
      </w:r>
      <w:r w:rsidRPr="00462158">
        <w:rPr>
          <w:rFonts w:asciiTheme="majorHAnsi" w:hAnsiTheme="majorHAnsi" w:cstheme="majorHAnsi"/>
        </w:rPr>
        <w:t>day</w:t>
      </w:r>
      <w:proofErr w:type="gramEnd"/>
      <w:r w:rsidRPr="00462158">
        <w:rPr>
          <w:rFonts w:asciiTheme="majorHAnsi" w:hAnsiTheme="majorHAnsi" w:cstheme="majorHAnsi"/>
        </w:rPr>
        <w:t xml:space="preserve"> experimental protocol. Baseline data were collected on day −1 (the day before surgery), followed by implantation on day 0 and recordings on days 1, 4, 7, 10, and 13 (√). (</w:t>
      </w:r>
      <w:r w:rsidRPr="00462158">
        <w:rPr>
          <w:rFonts w:asciiTheme="majorHAnsi" w:hAnsiTheme="majorHAnsi" w:cstheme="majorHAnsi"/>
          <w:b/>
          <w:bCs/>
        </w:rPr>
        <w:t>B</w:t>
      </w:r>
      <w:r w:rsidRPr="00462158">
        <w:rPr>
          <w:rFonts w:asciiTheme="majorHAnsi" w:hAnsiTheme="majorHAnsi" w:cstheme="majorHAnsi"/>
        </w:rPr>
        <w:t>) Stereotaxic coordinates of target regions relative to bregma: anterior cingulate cortex, hippocamp</w:t>
      </w:r>
      <w:r w:rsidR="00B1517D" w:rsidRPr="00462158">
        <w:rPr>
          <w:rFonts w:asciiTheme="majorHAnsi" w:hAnsiTheme="majorHAnsi" w:cstheme="majorHAnsi"/>
        </w:rPr>
        <w:t>us</w:t>
      </w:r>
      <w:r w:rsidRPr="00462158">
        <w:rPr>
          <w:rFonts w:asciiTheme="majorHAnsi" w:hAnsiTheme="majorHAnsi" w:cstheme="majorHAnsi"/>
        </w:rPr>
        <w:t xml:space="preserve">, and entorhinal cortex. </w:t>
      </w:r>
      <w:r w:rsidR="00230B63" w:rsidRPr="00462158">
        <w:rPr>
          <w:rFonts w:asciiTheme="majorHAnsi" w:hAnsiTheme="majorHAnsi" w:cstheme="majorHAnsi"/>
        </w:rPr>
        <w:t xml:space="preserve">Abbreviations: </w:t>
      </w:r>
      <w:r w:rsidRPr="00462158">
        <w:rPr>
          <w:rFonts w:asciiTheme="majorHAnsi" w:hAnsiTheme="majorHAnsi" w:cstheme="majorHAnsi"/>
        </w:rPr>
        <w:t>AP = anteroposterior, ML = mediolateral, DV = dorsoventral</w:t>
      </w:r>
      <w:r w:rsidR="00230B63" w:rsidRPr="00462158">
        <w:rPr>
          <w:rFonts w:asciiTheme="majorHAnsi" w:hAnsiTheme="majorHAnsi" w:cstheme="majorHAnsi"/>
        </w:rPr>
        <w:t>; Cg1 = anterior cingulate cortex; EC = entorhinal cortex</w:t>
      </w:r>
      <w:r w:rsidR="00B1517D" w:rsidRPr="00462158">
        <w:rPr>
          <w:rFonts w:asciiTheme="majorHAnsi" w:hAnsiTheme="majorHAnsi" w:cstheme="majorHAnsi"/>
        </w:rPr>
        <w:t xml:space="preserve">; </w:t>
      </w:r>
      <w:r w:rsidR="00A13F0E">
        <w:rPr>
          <w:rFonts w:asciiTheme="majorHAnsi" w:hAnsiTheme="majorHAnsi" w:cstheme="majorHAnsi"/>
        </w:rPr>
        <w:t>CA1</w:t>
      </w:r>
      <w:r w:rsidR="00B1517D" w:rsidRPr="00462158">
        <w:rPr>
          <w:rFonts w:asciiTheme="majorHAnsi" w:hAnsiTheme="majorHAnsi" w:cstheme="majorHAnsi"/>
        </w:rPr>
        <w:t xml:space="preserve"> = hippocampus. </w:t>
      </w:r>
    </w:p>
    <w:p w14:paraId="6B606C08" w14:textId="77777777" w:rsidR="00230B63" w:rsidRPr="00462158" w:rsidRDefault="00230B63" w:rsidP="00462158">
      <w:pPr>
        <w:pStyle w:val="NormalWeb"/>
        <w:spacing w:before="0" w:beforeAutospacing="0" w:after="0" w:afterAutospacing="0"/>
        <w:jc w:val="both"/>
        <w:rPr>
          <w:rFonts w:asciiTheme="majorHAnsi" w:hAnsiTheme="majorHAnsi" w:cstheme="majorHAnsi"/>
          <w:lang w:val="en-IN" w:eastAsia="en-IN"/>
        </w:rPr>
      </w:pPr>
    </w:p>
    <w:p w14:paraId="5516B9D5" w14:textId="503DF742"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t>Fig</w:t>
      </w:r>
      <w:r w:rsidR="00B1517D" w:rsidRPr="00462158">
        <w:rPr>
          <w:rStyle w:val="Strong"/>
          <w:rFonts w:asciiTheme="majorHAnsi" w:hAnsiTheme="majorHAnsi" w:cstheme="majorHAnsi"/>
        </w:rPr>
        <w:t>ure</w:t>
      </w:r>
      <w:r w:rsidRPr="00462158">
        <w:rPr>
          <w:rStyle w:val="Strong"/>
          <w:rFonts w:asciiTheme="majorHAnsi" w:hAnsiTheme="majorHAnsi" w:cstheme="majorHAnsi"/>
        </w:rPr>
        <w:t xml:space="preserve"> 2. Verification of electrode placement</w:t>
      </w:r>
      <w:r w:rsidR="00B1517D" w:rsidRPr="00462158">
        <w:rPr>
          <w:rStyle w:val="Strong"/>
          <w:rFonts w:asciiTheme="majorHAnsi" w:hAnsiTheme="majorHAnsi" w:cstheme="majorHAnsi"/>
        </w:rPr>
        <w:t>.</w:t>
      </w:r>
      <w:r w:rsidR="00B1517D" w:rsidRPr="00462158">
        <w:rPr>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w:t>
      </w:r>
      <w:r w:rsidRPr="00462158">
        <w:rPr>
          <w:rFonts w:asciiTheme="majorHAnsi" w:hAnsiTheme="majorHAnsi" w:cstheme="majorHAnsi"/>
        </w:rPr>
        <w:t>) Schematic illustration of stereotaxic implantation targeting the cingulate cortex (blue), hippocam</w:t>
      </w:r>
      <w:r w:rsidR="00B1517D" w:rsidRPr="00462158">
        <w:rPr>
          <w:rFonts w:asciiTheme="majorHAnsi" w:hAnsiTheme="majorHAnsi" w:cstheme="majorHAnsi"/>
        </w:rPr>
        <w:t>pus</w:t>
      </w:r>
      <w:r w:rsidRPr="00462158">
        <w:rPr>
          <w:rFonts w:asciiTheme="majorHAnsi" w:hAnsiTheme="majorHAnsi" w:cstheme="majorHAnsi"/>
        </w:rPr>
        <w:t xml:space="preserve"> (orange), and entorhinal cortex (green). (</w:t>
      </w:r>
      <w:r w:rsidRPr="00462158">
        <w:rPr>
          <w:rFonts w:asciiTheme="majorHAnsi" w:hAnsiTheme="majorHAnsi" w:cstheme="majorHAnsi"/>
          <w:b/>
          <w:bCs/>
        </w:rPr>
        <w:t>B</w:t>
      </w:r>
      <w:r w:rsidRPr="00462158">
        <w:rPr>
          <w:rFonts w:asciiTheme="majorHAnsi" w:hAnsiTheme="majorHAnsi" w:cstheme="majorHAnsi"/>
        </w:rPr>
        <w:t>) Representative coronal brain sections on day 13 showing electrode tracks (arrows). Left: magnified view (scale bar = 0.5 mm). Right: full section (scale bar = 2 mm). n = 3 rats at 13 days after surgery.</w:t>
      </w:r>
      <w:r w:rsidR="00B1517D" w:rsidRPr="00462158">
        <w:rPr>
          <w:rFonts w:asciiTheme="majorHAnsi" w:hAnsiTheme="majorHAnsi" w:cstheme="majorHAnsi"/>
        </w:rPr>
        <w:t xml:space="preserve"> Abbreviations: Cg1 = anterior cingulate cortex; EC = entorhinal cortex; </w:t>
      </w:r>
      <w:r w:rsidR="00A13F0E">
        <w:rPr>
          <w:rFonts w:asciiTheme="majorHAnsi" w:hAnsiTheme="majorHAnsi" w:cstheme="majorHAnsi"/>
        </w:rPr>
        <w:t>CA1</w:t>
      </w:r>
      <w:r w:rsidR="00B1517D" w:rsidRPr="00462158">
        <w:rPr>
          <w:rFonts w:asciiTheme="majorHAnsi" w:hAnsiTheme="majorHAnsi" w:cstheme="majorHAnsi"/>
        </w:rPr>
        <w:t xml:space="preserve"> = hippocampus.</w:t>
      </w:r>
    </w:p>
    <w:p w14:paraId="55B24886" w14:textId="77777777" w:rsidR="00B1517D" w:rsidRPr="00462158" w:rsidRDefault="00B1517D" w:rsidP="00462158">
      <w:pPr>
        <w:pStyle w:val="NormalWeb"/>
        <w:spacing w:before="0" w:beforeAutospacing="0" w:after="0" w:afterAutospacing="0"/>
        <w:jc w:val="both"/>
        <w:rPr>
          <w:rFonts w:asciiTheme="majorHAnsi" w:hAnsiTheme="majorHAnsi" w:cstheme="majorHAnsi"/>
        </w:rPr>
      </w:pPr>
    </w:p>
    <w:p w14:paraId="63E41471" w14:textId="6BF95671"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t>Fig</w:t>
      </w:r>
      <w:r w:rsidR="00B1517D" w:rsidRPr="00462158">
        <w:rPr>
          <w:rStyle w:val="Strong"/>
          <w:rFonts w:asciiTheme="majorHAnsi" w:hAnsiTheme="majorHAnsi" w:cstheme="majorHAnsi"/>
        </w:rPr>
        <w:t>ure</w:t>
      </w:r>
      <w:r w:rsidRPr="00462158">
        <w:rPr>
          <w:rStyle w:val="Strong"/>
          <w:rFonts w:asciiTheme="majorHAnsi" w:hAnsiTheme="majorHAnsi" w:cstheme="majorHAnsi"/>
        </w:rPr>
        <w:t xml:space="preserve"> 3. EEG recovery after implantation</w:t>
      </w:r>
      <w:r w:rsidR="00B1517D" w:rsidRPr="00462158">
        <w:rPr>
          <w:rStyle w:val="Strong"/>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w:t>
      </w:r>
      <w:r w:rsidRPr="00462158">
        <w:rPr>
          <w:rFonts w:asciiTheme="majorHAnsi" w:hAnsiTheme="majorHAnsi" w:cstheme="majorHAnsi"/>
        </w:rPr>
        <w:t xml:space="preserve">) Representative intracranial local field potential waveforms recorded from Cg1, </w:t>
      </w:r>
      <w:r w:rsidR="00A13F0E">
        <w:rPr>
          <w:rFonts w:asciiTheme="majorHAnsi" w:hAnsiTheme="majorHAnsi" w:cstheme="majorHAnsi"/>
        </w:rPr>
        <w:t>CA1</w:t>
      </w:r>
      <w:r w:rsidRPr="00462158">
        <w:rPr>
          <w:rFonts w:asciiTheme="majorHAnsi" w:hAnsiTheme="majorHAnsi" w:cstheme="majorHAnsi"/>
        </w:rPr>
        <w:t>, and EC at each time point. (</w:t>
      </w:r>
      <w:r w:rsidRPr="00462158">
        <w:rPr>
          <w:rFonts w:asciiTheme="majorHAnsi" w:hAnsiTheme="majorHAnsi" w:cstheme="majorHAnsi"/>
          <w:b/>
          <w:bCs/>
        </w:rPr>
        <w:t>B</w:t>
      </w:r>
      <w:r w:rsidRPr="00462158">
        <w:rPr>
          <w:rFonts w:asciiTheme="majorHAnsi" w:hAnsiTheme="majorHAnsi" w:cstheme="majorHAnsi"/>
        </w:rPr>
        <w:t>) Time-frequency spectrograms illustrating changes in oscillatory activity over time. (</w:t>
      </w:r>
      <w:r w:rsidRPr="00462158">
        <w:rPr>
          <w:rFonts w:asciiTheme="majorHAnsi" w:hAnsiTheme="majorHAnsi" w:cstheme="majorHAnsi"/>
          <w:b/>
          <w:bCs/>
        </w:rPr>
        <w:t>C</w:t>
      </w:r>
      <w:r w:rsidRPr="00462158">
        <w:rPr>
          <w:rFonts w:asciiTheme="majorHAnsi" w:hAnsiTheme="majorHAnsi" w:cstheme="majorHAnsi"/>
        </w:rPr>
        <w:t xml:space="preserve">) PSD plots from Cg1, </w:t>
      </w:r>
      <w:r w:rsidR="00A13F0E">
        <w:rPr>
          <w:rFonts w:asciiTheme="majorHAnsi" w:hAnsiTheme="majorHAnsi" w:cstheme="majorHAnsi"/>
        </w:rPr>
        <w:t>CA1</w:t>
      </w:r>
      <w:r w:rsidRPr="00462158">
        <w:rPr>
          <w:rFonts w:asciiTheme="majorHAnsi" w:hAnsiTheme="majorHAnsi" w:cstheme="majorHAnsi"/>
        </w:rPr>
        <w:t>, and EC across time points. (</w:t>
      </w:r>
      <w:r w:rsidRPr="00462158">
        <w:rPr>
          <w:rFonts w:asciiTheme="majorHAnsi" w:hAnsiTheme="majorHAnsi" w:cstheme="majorHAnsi"/>
          <w:b/>
          <w:bCs/>
        </w:rPr>
        <w:t>D</w:t>
      </w:r>
      <w:r w:rsidRPr="00462158">
        <w:rPr>
          <w:rFonts w:asciiTheme="majorHAnsi" w:hAnsiTheme="majorHAnsi" w:cstheme="majorHAnsi"/>
        </w:rPr>
        <w:t xml:space="preserve">) Quantitative </w:t>
      </w:r>
      <w:proofErr w:type="spellStart"/>
      <w:r w:rsidRPr="00462158">
        <w:rPr>
          <w:rFonts w:asciiTheme="majorHAnsi" w:hAnsiTheme="majorHAnsi" w:cstheme="majorHAnsi"/>
        </w:rPr>
        <w:t>AUCpsd</w:t>
      </w:r>
      <w:proofErr w:type="spellEnd"/>
      <w:r w:rsidRPr="00462158">
        <w:rPr>
          <w:rFonts w:asciiTheme="majorHAnsi" w:hAnsiTheme="majorHAnsi" w:cstheme="majorHAnsi"/>
        </w:rPr>
        <w:t xml:space="preserve"> analysis. (</w:t>
      </w:r>
      <w:r w:rsidRPr="00462158">
        <w:rPr>
          <w:rFonts w:asciiTheme="majorHAnsi" w:hAnsiTheme="majorHAnsi" w:cstheme="majorHAnsi"/>
          <w:b/>
          <w:bCs/>
        </w:rPr>
        <w:t>E</w:t>
      </w:r>
      <w:r w:rsidRPr="00462158">
        <w:rPr>
          <w:rFonts w:asciiTheme="majorHAnsi" w:hAnsiTheme="majorHAnsi" w:cstheme="majorHAnsi"/>
        </w:rPr>
        <w:t xml:space="preserve">) Quantitative SNR ratio. Data = mean ± SEM. Kruskal–Wallis with Dunn’s test. *P &lt; 0.05, **P &lt; 0.01 vs. day 1. n = 3 animals (same animals as in </w:t>
      </w:r>
      <w:r w:rsidRPr="00462158">
        <w:rPr>
          <w:rFonts w:asciiTheme="majorHAnsi" w:hAnsiTheme="majorHAnsi" w:cstheme="majorHAnsi"/>
          <w:b/>
          <w:bCs/>
        </w:rPr>
        <w:t>Fig</w:t>
      </w:r>
      <w:r w:rsidR="002A5008" w:rsidRPr="00462158">
        <w:rPr>
          <w:rFonts w:asciiTheme="majorHAnsi" w:hAnsiTheme="majorHAnsi" w:cstheme="majorHAnsi"/>
          <w:b/>
          <w:bCs/>
        </w:rPr>
        <w:t>ure</w:t>
      </w:r>
      <w:r w:rsidRPr="00462158">
        <w:rPr>
          <w:rFonts w:asciiTheme="majorHAnsi" w:hAnsiTheme="majorHAnsi" w:cstheme="majorHAnsi"/>
          <w:b/>
          <w:bCs/>
        </w:rPr>
        <w:t xml:space="preserve"> 2</w:t>
      </w:r>
      <w:r w:rsidRPr="00462158">
        <w:rPr>
          <w:rFonts w:asciiTheme="majorHAnsi" w:hAnsiTheme="majorHAnsi" w:cstheme="majorHAnsi"/>
        </w:rPr>
        <w:t xml:space="preserve">). LFP = local field potential; PSD = power spectral density; Cg1 = cingulate cortex; </w:t>
      </w:r>
      <w:r w:rsidR="00A13F0E">
        <w:rPr>
          <w:rFonts w:asciiTheme="majorHAnsi" w:hAnsiTheme="majorHAnsi" w:cstheme="majorHAnsi"/>
        </w:rPr>
        <w:t>CA1</w:t>
      </w:r>
      <w:r w:rsidRPr="00462158">
        <w:rPr>
          <w:rFonts w:asciiTheme="majorHAnsi" w:hAnsiTheme="majorHAnsi" w:cstheme="majorHAnsi"/>
        </w:rPr>
        <w:t xml:space="preserve"> = hippocampal </w:t>
      </w:r>
      <w:r w:rsidR="00A13F0E">
        <w:rPr>
          <w:rFonts w:asciiTheme="majorHAnsi" w:hAnsiTheme="majorHAnsi" w:cstheme="majorHAnsi"/>
        </w:rPr>
        <w:t>CA1</w:t>
      </w:r>
      <w:r w:rsidRPr="00462158">
        <w:rPr>
          <w:rFonts w:asciiTheme="majorHAnsi" w:hAnsiTheme="majorHAnsi" w:cstheme="majorHAnsi"/>
        </w:rPr>
        <w:t>; EC = entorhinal cortex; AUC = area under the curve; SNR = signal-to-noise ratio.</w:t>
      </w:r>
    </w:p>
    <w:p w14:paraId="7ACD1AC1" w14:textId="77777777" w:rsidR="00571AB7" w:rsidRPr="00462158" w:rsidRDefault="00571AB7" w:rsidP="00462158">
      <w:pPr>
        <w:pStyle w:val="NormalWeb"/>
        <w:spacing w:before="0" w:beforeAutospacing="0" w:after="0" w:afterAutospacing="0"/>
        <w:jc w:val="both"/>
        <w:rPr>
          <w:rFonts w:asciiTheme="majorHAnsi" w:hAnsiTheme="majorHAnsi" w:cstheme="majorHAnsi"/>
        </w:rPr>
      </w:pPr>
    </w:p>
    <w:p w14:paraId="3FF11AC0" w14:textId="2B9B5FDE"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lastRenderedPageBreak/>
        <w:t>Fig</w:t>
      </w:r>
      <w:r w:rsidR="002A5008" w:rsidRPr="00462158">
        <w:rPr>
          <w:rStyle w:val="Strong"/>
          <w:rFonts w:asciiTheme="majorHAnsi" w:hAnsiTheme="majorHAnsi" w:cstheme="majorHAnsi"/>
        </w:rPr>
        <w:t>ure</w:t>
      </w:r>
      <w:r w:rsidRPr="00462158">
        <w:rPr>
          <w:rStyle w:val="Strong"/>
          <w:rFonts w:asciiTheme="majorHAnsi" w:hAnsiTheme="majorHAnsi" w:cstheme="majorHAnsi"/>
        </w:rPr>
        <w:t xml:space="preserve"> 4. Pain sensation post-implantation</w:t>
      </w:r>
      <w:r w:rsidR="002A5008" w:rsidRPr="00462158">
        <w:rPr>
          <w:rStyle w:val="Strong"/>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A–E</w:t>
      </w:r>
      <w:r w:rsidRPr="00462158">
        <w:rPr>
          <w:rFonts w:asciiTheme="majorHAnsi" w:hAnsiTheme="majorHAnsi" w:cstheme="majorHAnsi"/>
        </w:rPr>
        <w:t>) Representative RGS images across time points. (</w:t>
      </w:r>
      <w:r w:rsidRPr="00462158">
        <w:rPr>
          <w:rFonts w:asciiTheme="majorHAnsi" w:hAnsiTheme="majorHAnsi" w:cstheme="majorHAnsi"/>
          <w:b/>
          <w:bCs/>
        </w:rPr>
        <w:t>F</w:t>
      </w:r>
      <w:r w:rsidRPr="00462158">
        <w:rPr>
          <w:rFonts w:asciiTheme="majorHAnsi" w:hAnsiTheme="majorHAnsi" w:cstheme="majorHAnsi"/>
        </w:rPr>
        <w:t xml:space="preserve">) Quantitative RGS scores. Data = mean ± SEM. Kruskal–Wallis with Dunn’s test. *P &lt; 0.05 vs. day 1. n = 3 animals (same animals as in </w:t>
      </w:r>
      <w:r w:rsidRPr="00462158">
        <w:rPr>
          <w:rFonts w:asciiTheme="majorHAnsi" w:hAnsiTheme="majorHAnsi" w:cstheme="majorHAnsi"/>
          <w:b/>
          <w:bCs/>
        </w:rPr>
        <w:t>Fig</w:t>
      </w:r>
      <w:r w:rsidR="002A5008" w:rsidRPr="00462158">
        <w:rPr>
          <w:rFonts w:asciiTheme="majorHAnsi" w:hAnsiTheme="majorHAnsi" w:cstheme="majorHAnsi"/>
          <w:b/>
          <w:bCs/>
        </w:rPr>
        <w:t>ure</w:t>
      </w:r>
      <w:r w:rsidRPr="00462158">
        <w:rPr>
          <w:rFonts w:asciiTheme="majorHAnsi" w:hAnsiTheme="majorHAnsi" w:cstheme="majorHAnsi"/>
          <w:b/>
          <w:bCs/>
        </w:rPr>
        <w:t xml:space="preserve"> 2</w:t>
      </w:r>
      <w:r w:rsidRPr="00462158">
        <w:rPr>
          <w:rFonts w:asciiTheme="majorHAnsi" w:hAnsiTheme="majorHAnsi" w:cstheme="majorHAnsi"/>
        </w:rPr>
        <w:t>). RGS = Rat Grimace Scale.</w:t>
      </w:r>
    </w:p>
    <w:p w14:paraId="702B8D9C" w14:textId="77777777" w:rsidR="002A5008" w:rsidRPr="00462158" w:rsidRDefault="002A5008" w:rsidP="00462158">
      <w:pPr>
        <w:pStyle w:val="NormalWeb"/>
        <w:spacing w:before="0" w:beforeAutospacing="0" w:after="0" w:afterAutospacing="0"/>
        <w:jc w:val="both"/>
        <w:rPr>
          <w:rFonts w:asciiTheme="majorHAnsi" w:hAnsiTheme="majorHAnsi" w:cstheme="majorHAnsi"/>
        </w:rPr>
      </w:pPr>
    </w:p>
    <w:p w14:paraId="1F9C2094" w14:textId="2634642B"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t>Fig</w:t>
      </w:r>
      <w:r w:rsidR="002A5008" w:rsidRPr="00462158">
        <w:rPr>
          <w:rStyle w:val="Strong"/>
          <w:rFonts w:asciiTheme="majorHAnsi" w:hAnsiTheme="majorHAnsi" w:cstheme="majorHAnsi"/>
        </w:rPr>
        <w:t xml:space="preserve">ure </w:t>
      </w:r>
      <w:r w:rsidRPr="00462158">
        <w:rPr>
          <w:rStyle w:val="Strong"/>
          <w:rFonts w:asciiTheme="majorHAnsi" w:hAnsiTheme="majorHAnsi" w:cstheme="majorHAnsi"/>
        </w:rPr>
        <w:t>5. Feeding behavior and body weight</w:t>
      </w:r>
      <w:r w:rsidR="002A5008" w:rsidRPr="00462158">
        <w:rPr>
          <w:rStyle w:val="Strong"/>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w:t>
      </w:r>
      <w:r w:rsidRPr="00462158">
        <w:rPr>
          <w:rFonts w:asciiTheme="majorHAnsi" w:hAnsiTheme="majorHAnsi" w:cstheme="majorHAnsi"/>
        </w:rPr>
        <w:t>) Body weight. (</w:t>
      </w:r>
      <w:r w:rsidRPr="00462158">
        <w:rPr>
          <w:rFonts w:asciiTheme="majorHAnsi" w:hAnsiTheme="majorHAnsi" w:cstheme="majorHAnsi"/>
          <w:b/>
          <w:bCs/>
        </w:rPr>
        <w:t>B</w:t>
      </w:r>
      <w:r w:rsidRPr="00462158">
        <w:rPr>
          <w:rFonts w:asciiTheme="majorHAnsi" w:hAnsiTheme="majorHAnsi" w:cstheme="majorHAnsi"/>
        </w:rPr>
        <w:t>) Total food intake. (</w:t>
      </w:r>
      <w:r w:rsidRPr="00462158">
        <w:rPr>
          <w:rFonts w:asciiTheme="majorHAnsi" w:hAnsiTheme="majorHAnsi" w:cstheme="majorHAnsi"/>
          <w:b/>
          <w:bCs/>
        </w:rPr>
        <w:t>C</w:t>
      </w:r>
      <w:r w:rsidRPr="00462158">
        <w:rPr>
          <w:rFonts w:asciiTheme="majorHAnsi" w:hAnsiTheme="majorHAnsi" w:cstheme="majorHAnsi"/>
        </w:rPr>
        <w:t>) Meal events. (</w:t>
      </w:r>
      <w:r w:rsidRPr="00462158">
        <w:rPr>
          <w:rFonts w:asciiTheme="majorHAnsi" w:hAnsiTheme="majorHAnsi" w:cstheme="majorHAnsi"/>
          <w:b/>
          <w:bCs/>
        </w:rPr>
        <w:t>D</w:t>
      </w:r>
      <w:r w:rsidRPr="00462158">
        <w:rPr>
          <w:rFonts w:asciiTheme="majorHAnsi" w:hAnsiTheme="majorHAnsi" w:cstheme="majorHAnsi"/>
        </w:rPr>
        <w:t>) Normalized intake. (</w:t>
      </w:r>
      <w:r w:rsidRPr="00462158">
        <w:rPr>
          <w:rFonts w:asciiTheme="majorHAnsi" w:hAnsiTheme="majorHAnsi" w:cstheme="majorHAnsi"/>
          <w:b/>
          <w:bCs/>
        </w:rPr>
        <w:t>E</w:t>
      </w:r>
      <w:r w:rsidRPr="00462158">
        <w:rPr>
          <w:rFonts w:asciiTheme="majorHAnsi" w:hAnsiTheme="majorHAnsi" w:cstheme="majorHAnsi"/>
        </w:rPr>
        <w:t>) Intake per meal. (</w:t>
      </w:r>
      <w:r w:rsidRPr="00462158">
        <w:rPr>
          <w:rFonts w:asciiTheme="majorHAnsi" w:hAnsiTheme="majorHAnsi" w:cstheme="majorHAnsi"/>
          <w:b/>
          <w:bCs/>
        </w:rPr>
        <w:t>F</w:t>
      </w:r>
      <w:r w:rsidRPr="00462158">
        <w:rPr>
          <w:rFonts w:asciiTheme="majorHAnsi" w:hAnsiTheme="majorHAnsi" w:cstheme="majorHAnsi"/>
        </w:rPr>
        <w:t xml:space="preserve">) Eating rate. Data = mean ± SEM. One-way ANOVA with Bonferroni correction. *P &lt; 0.05, **P &lt; 0.01, ***P &lt; 0.001 vs. baseline. n = 3 animals (same animals as in </w:t>
      </w:r>
      <w:r w:rsidRPr="00462158">
        <w:rPr>
          <w:rFonts w:asciiTheme="majorHAnsi" w:hAnsiTheme="majorHAnsi" w:cstheme="majorHAnsi"/>
          <w:b/>
          <w:bCs/>
        </w:rPr>
        <w:t>Fig</w:t>
      </w:r>
      <w:r w:rsidR="002A5008" w:rsidRPr="00462158">
        <w:rPr>
          <w:rFonts w:asciiTheme="majorHAnsi" w:hAnsiTheme="majorHAnsi" w:cstheme="majorHAnsi"/>
          <w:b/>
          <w:bCs/>
        </w:rPr>
        <w:t>ure</w:t>
      </w:r>
      <w:r w:rsidRPr="00462158">
        <w:rPr>
          <w:rFonts w:asciiTheme="majorHAnsi" w:hAnsiTheme="majorHAnsi" w:cstheme="majorHAnsi"/>
          <w:b/>
          <w:bCs/>
        </w:rPr>
        <w:t xml:space="preserve"> 2</w:t>
      </w:r>
      <w:r w:rsidRPr="00462158">
        <w:rPr>
          <w:rFonts w:asciiTheme="majorHAnsi" w:hAnsiTheme="majorHAnsi" w:cstheme="majorHAnsi"/>
        </w:rPr>
        <w:t>).</w:t>
      </w:r>
    </w:p>
    <w:p w14:paraId="4F790E5C" w14:textId="77777777" w:rsidR="002A5008" w:rsidRPr="00462158" w:rsidRDefault="002A5008" w:rsidP="00462158">
      <w:pPr>
        <w:pStyle w:val="NormalWeb"/>
        <w:spacing w:before="0" w:beforeAutospacing="0" w:after="0" w:afterAutospacing="0"/>
        <w:jc w:val="both"/>
        <w:rPr>
          <w:rFonts w:asciiTheme="majorHAnsi" w:hAnsiTheme="majorHAnsi" w:cstheme="majorHAnsi"/>
        </w:rPr>
      </w:pPr>
    </w:p>
    <w:p w14:paraId="439A85AA" w14:textId="14FF3F23" w:rsidR="007B148F" w:rsidRPr="00462158" w:rsidRDefault="007B148F" w:rsidP="00462158">
      <w:pPr>
        <w:pStyle w:val="NormalWeb"/>
        <w:spacing w:before="0" w:beforeAutospacing="0" w:after="0" w:afterAutospacing="0"/>
        <w:jc w:val="both"/>
        <w:rPr>
          <w:rFonts w:asciiTheme="majorHAnsi" w:hAnsiTheme="majorHAnsi" w:cstheme="majorHAnsi"/>
        </w:rPr>
      </w:pPr>
      <w:r w:rsidRPr="00462158">
        <w:rPr>
          <w:rStyle w:val="Strong"/>
          <w:rFonts w:asciiTheme="majorHAnsi" w:hAnsiTheme="majorHAnsi" w:cstheme="majorHAnsi"/>
        </w:rPr>
        <w:t>Fig</w:t>
      </w:r>
      <w:r w:rsidR="002A5008" w:rsidRPr="00462158">
        <w:rPr>
          <w:rStyle w:val="Strong"/>
          <w:rFonts w:asciiTheme="majorHAnsi" w:hAnsiTheme="majorHAnsi" w:cstheme="majorHAnsi"/>
        </w:rPr>
        <w:t>ure</w:t>
      </w:r>
      <w:r w:rsidRPr="00462158">
        <w:rPr>
          <w:rStyle w:val="Strong"/>
          <w:rFonts w:asciiTheme="majorHAnsi" w:hAnsiTheme="majorHAnsi" w:cstheme="majorHAnsi"/>
        </w:rPr>
        <w:t xml:space="preserve"> 6. Inflammatory response</w:t>
      </w:r>
      <w:r w:rsidR="002A5008" w:rsidRPr="00462158">
        <w:rPr>
          <w:rStyle w:val="Strong"/>
          <w:rFonts w:asciiTheme="majorHAnsi" w:hAnsiTheme="majorHAnsi" w:cstheme="majorHAnsi"/>
        </w:rPr>
        <w:t xml:space="preserve">. </w:t>
      </w:r>
      <w:r w:rsidRPr="00462158">
        <w:rPr>
          <w:rFonts w:asciiTheme="majorHAnsi" w:hAnsiTheme="majorHAnsi" w:cstheme="majorHAnsi"/>
        </w:rPr>
        <w:t>(</w:t>
      </w:r>
      <w:r w:rsidRPr="00462158">
        <w:rPr>
          <w:rFonts w:asciiTheme="majorHAnsi" w:hAnsiTheme="majorHAnsi" w:cstheme="majorHAnsi"/>
          <w:b/>
          <w:bCs/>
        </w:rPr>
        <w:t>A</w:t>
      </w:r>
      <w:r w:rsidRPr="00462158">
        <w:rPr>
          <w:rFonts w:asciiTheme="majorHAnsi" w:hAnsiTheme="majorHAnsi" w:cstheme="majorHAnsi"/>
        </w:rPr>
        <w:t>) Representative immunoblots of TNF-α and IL-6. (</w:t>
      </w:r>
      <w:proofErr w:type="gramStart"/>
      <w:r w:rsidRPr="00462158">
        <w:rPr>
          <w:rFonts w:asciiTheme="majorHAnsi" w:hAnsiTheme="majorHAnsi" w:cstheme="majorHAnsi"/>
          <w:b/>
          <w:bCs/>
        </w:rPr>
        <w:t>B</w:t>
      </w:r>
      <w:r w:rsidR="00D97E89" w:rsidRPr="00462158">
        <w:rPr>
          <w:rFonts w:asciiTheme="majorHAnsi" w:hAnsiTheme="majorHAnsi" w:cstheme="majorHAnsi"/>
          <w:b/>
          <w:bCs/>
        </w:rPr>
        <w:t>,</w:t>
      </w:r>
      <w:r w:rsidRPr="00462158">
        <w:rPr>
          <w:rFonts w:asciiTheme="majorHAnsi" w:hAnsiTheme="majorHAnsi" w:cstheme="majorHAnsi"/>
          <w:b/>
          <w:bCs/>
        </w:rPr>
        <w:t>C</w:t>
      </w:r>
      <w:proofErr w:type="gramEnd"/>
      <w:r w:rsidRPr="00462158">
        <w:rPr>
          <w:rFonts w:asciiTheme="majorHAnsi" w:hAnsiTheme="majorHAnsi" w:cstheme="majorHAnsi"/>
        </w:rPr>
        <w:t xml:space="preserve">) Quantitative expression levels across time points. Data = mean ± SEM. One-way ANOVA with Bonferroni correction. *P &lt; 0.05, **P &lt; 0.01, ***P &lt; 0.001 vs. baseline. n = 18 total (n = 3 animals per time point). </w:t>
      </w:r>
      <w:r w:rsidR="00D97E89" w:rsidRPr="00462158">
        <w:rPr>
          <w:rFonts w:asciiTheme="majorHAnsi" w:hAnsiTheme="majorHAnsi" w:cstheme="majorHAnsi"/>
        </w:rPr>
        <w:t xml:space="preserve">Abbreviations: </w:t>
      </w:r>
      <w:r w:rsidRPr="00462158">
        <w:rPr>
          <w:rFonts w:asciiTheme="majorHAnsi" w:hAnsiTheme="majorHAnsi" w:cstheme="majorHAnsi"/>
        </w:rPr>
        <w:t>TNF-α = tumor necrosis factor-α; IL-6 = interleukin-6.</w:t>
      </w:r>
    </w:p>
    <w:p w14:paraId="10B6BEE1" w14:textId="77777777" w:rsidR="00AF091D" w:rsidRPr="00462158" w:rsidRDefault="00AF091D" w:rsidP="00462158">
      <w:pPr>
        <w:pStyle w:val="CommentText"/>
        <w:rPr>
          <w:rFonts w:asciiTheme="majorHAnsi" w:eastAsia="Times New Roman" w:hAnsiTheme="majorHAnsi" w:cstheme="majorHAnsi"/>
          <w:b/>
          <w:sz w:val="24"/>
          <w:szCs w:val="24"/>
          <w:lang w:eastAsia="zh-CN"/>
        </w:rPr>
      </w:pPr>
    </w:p>
    <w:p w14:paraId="10B6BEE2" w14:textId="77777777" w:rsidR="00AF091D" w:rsidRPr="00462158" w:rsidRDefault="005F75B1" w:rsidP="00462158">
      <w:pPr>
        <w:pStyle w:val="CommentText"/>
        <w:rPr>
          <w:rFonts w:asciiTheme="majorHAnsi" w:eastAsia="Times New Roman" w:hAnsiTheme="majorHAnsi" w:cstheme="majorHAnsi"/>
          <w:b/>
          <w:sz w:val="24"/>
          <w:szCs w:val="24"/>
          <w:lang w:eastAsia="zh-CN"/>
        </w:rPr>
      </w:pPr>
      <w:r w:rsidRPr="00462158">
        <w:rPr>
          <w:rFonts w:asciiTheme="majorHAnsi" w:eastAsia="Times New Roman" w:hAnsiTheme="majorHAnsi" w:cstheme="majorHAnsi"/>
          <w:b/>
          <w:sz w:val="24"/>
          <w:szCs w:val="24"/>
          <w:lang w:eastAsia="zh-CN"/>
        </w:rPr>
        <w:t>DISCUSSION</w:t>
      </w:r>
    </w:p>
    <w:p w14:paraId="3B137BC3"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Chronic intracranial electrode implantation for EEG monitoring in rodents remains a cornerstone technique for investigating neural dynamics at high temporal resolution. Establishing an appropriate postoperative monitoring and recovery window is critical for ensuring both signal reliability and animal welfare. This study provides a structured framework for evaluating electrophysiological stability,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xml:space="preserve"> outcomes, and inflammatory responses following multi-electrode implantation in SD rats, offering practical guidance for implementation in long-term recording protocols.</w:t>
      </w:r>
    </w:p>
    <w:p w14:paraId="0F234958" w14:textId="77777777" w:rsidR="00D97E89" w:rsidRPr="00DE18E0" w:rsidRDefault="00D97E89" w:rsidP="00462158">
      <w:pPr>
        <w:jc w:val="both"/>
        <w:rPr>
          <w:rFonts w:asciiTheme="majorHAnsi" w:hAnsiTheme="majorHAnsi" w:cstheme="majorHAnsi"/>
          <w:lang w:val="en-IN" w:eastAsia="en-IN"/>
        </w:rPr>
      </w:pPr>
    </w:p>
    <w:p w14:paraId="757FCCEA" w14:textId="27753A9F"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EEG, </w:t>
      </w:r>
      <w:proofErr w:type="spellStart"/>
      <w:r w:rsidR="00D97E89" w:rsidRPr="00462158">
        <w:rPr>
          <w:rFonts w:asciiTheme="majorHAnsi" w:hAnsiTheme="majorHAnsi" w:cstheme="majorHAnsi"/>
          <w:b/>
          <w:bCs/>
          <w:lang w:val="en-IN" w:eastAsia="en-IN"/>
        </w:rPr>
        <w:t>b</w:t>
      </w:r>
      <w:r w:rsidRPr="00DE18E0">
        <w:rPr>
          <w:rFonts w:asciiTheme="majorHAnsi" w:hAnsiTheme="majorHAnsi" w:cstheme="majorHAnsi"/>
          <w:b/>
          <w:bCs/>
          <w:lang w:val="en-IN" w:eastAsia="en-IN"/>
        </w:rPr>
        <w:t>ehavioral</w:t>
      </w:r>
      <w:proofErr w:type="spellEnd"/>
      <w:r w:rsidRPr="00DE18E0">
        <w:rPr>
          <w:rFonts w:asciiTheme="majorHAnsi" w:hAnsiTheme="majorHAnsi" w:cstheme="majorHAnsi"/>
          <w:b/>
          <w:bCs/>
          <w:lang w:val="en-IN" w:eastAsia="en-IN"/>
        </w:rPr>
        <w:t xml:space="preserve">, and </w:t>
      </w:r>
      <w:r w:rsidR="00D97E89" w:rsidRPr="00462158">
        <w:rPr>
          <w:rFonts w:asciiTheme="majorHAnsi" w:hAnsiTheme="majorHAnsi" w:cstheme="majorHAnsi"/>
          <w:b/>
          <w:bCs/>
          <w:lang w:val="en-IN" w:eastAsia="en-IN"/>
        </w:rPr>
        <w:t>p</w:t>
      </w:r>
      <w:r w:rsidRPr="00DE18E0">
        <w:rPr>
          <w:rFonts w:asciiTheme="majorHAnsi" w:hAnsiTheme="majorHAnsi" w:cstheme="majorHAnsi"/>
          <w:b/>
          <w:bCs/>
          <w:lang w:val="en-IN" w:eastAsia="en-IN"/>
        </w:rPr>
        <w:t xml:space="preserve">hysiological </w:t>
      </w:r>
      <w:r w:rsidR="00D97E89" w:rsidRPr="00462158">
        <w:rPr>
          <w:rFonts w:asciiTheme="majorHAnsi" w:hAnsiTheme="majorHAnsi" w:cstheme="majorHAnsi"/>
          <w:b/>
          <w:bCs/>
          <w:lang w:val="en-IN" w:eastAsia="en-IN"/>
        </w:rPr>
        <w:t>r</w:t>
      </w:r>
      <w:r w:rsidRPr="00DE18E0">
        <w:rPr>
          <w:rFonts w:asciiTheme="majorHAnsi" w:hAnsiTheme="majorHAnsi" w:cstheme="majorHAnsi"/>
          <w:b/>
          <w:bCs/>
          <w:lang w:val="en-IN" w:eastAsia="en-IN"/>
        </w:rPr>
        <w:t>ecovery</w:t>
      </w:r>
    </w:p>
    <w:p w14:paraId="42E52E7C" w14:textId="669FA2D0"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Using a combined electrophysiological,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xml:space="preserve">, and physiological monitoring framework, this protocol demonstrates that intracranial EEG signals undergo a predictable stabilization process following multi-electrode implantation. EEG spectral power initially decreased post-surgery on day 1 but stabilized within 3–4 days across all regions (Cg1, </w:t>
      </w:r>
      <w:r w:rsidR="00A13F0E">
        <w:rPr>
          <w:rFonts w:asciiTheme="majorHAnsi" w:hAnsiTheme="majorHAnsi" w:cstheme="majorHAnsi"/>
          <w:lang w:val="en-IN" w:eastAsia="en-IN"/>
        </w:rPr>
        <w:t>CA1</w:t>
      </w:r>
      <w:r w:rsidRPr="00DE18E0">
        <w:rPr>
          <w:rFonts w:asciiTheme="majorHAnsi" w:hAnsiTheme="majorHAnsi" w:cstheme="majorHAnsi"/>
          <w:lang w:val="en-IN" w:eastAsia="en-IN"/>
        </w:rPr>
        <w:t>, and EC). This early suppression is consistent with prior reports attributing postoperative EEG disturbance to tissue disruption, glial activation, and local inflammatory responses surrounding the electrode shaft</w:t>
      </w:r>
      <w:r w:rsidRPr="00DE18E0">
        <w:rPr>
          <w:rFonts w:asciiTheme="majorHAnsi" w:hAnsiTheme="majorHAnsi" w:cstheme="majorHAnsi"/>
          <w:vertAlign w:val="superscript"/>
          <w:lang w:val="en-IN" w:eastAsia="en-IN"/>
        </w:rPr>
        <w:t>22,23</w:t>
      </w:r>
      <w:r w:rsidRPr="00DE18E0">
        <w:rPr>
          <w:rFonts w:asciiTheme="majorHAnsi" w:hAnsiTheme="majorHAnsi" w:cstheme="majorHAnsi"/>
          <w:lang w:val="en-IN" w:eastAsia="en-IN"/>
        </w:rPr>
        <w:t>. Importantly, functional EEG recovery precedes the full resolution of neuroinflammatory markers, suggesting that compensatory processes such as synaptic plasticity</w:t>
      </w:r>
      <w:r w:rsidRPr="00DE18E0">
        <w:rPr>
          <w:rFonts w:asciiTheme="majorHAnsi" w:hAnsiTheme="majorHAnsi" w:cstheme="majorHAnsi"/>
          <w:vertAlign w:val="superscript"/>
          <w:lang w:val="en-IN" w:eastAsia="en-IN"/>
        </w:rPr>
        <w:t>24</w:t>
      </w:r>
      <w:r w:rsidRPr="00DE18E0">
        <w:rPr>
          <w:rFonts w:asciiTheme="majorHAnsi" w:hAnsiTheme="majorHAnsi" w:cstheme="majorHAnsi"/>
          <w:lang w:val="en-IN" w:eastAsia="en-IN"/>
        </w:rPr>
        <w:t xml:space="preserve"> and microcircuit adaptation</w:t>
      </w:r>
      <w:r w:rsidRPr="00DE18E0">
        <w:rPr>
          <w:rFonts w:asciiTheme="majorHAnsi" w:hAnsiTheme="majorHAnsi" w:cstheme="majorHAnsi"/>
          <w:vertAlign w:val="superscript"/>
          <w:lang w:val="en-IN" w:eastAsia="en-IN"/>
        </w:rPr>
        <w:t>25</w:t>
      </w:r>
      <w:r w:rsidRPr="00DE18E0">
        <w:rPr>
          <w:rFonts w:asciiTheme="majorHAnsi" w:hAnsiTheme="majorHAnsi" w:cstheme="majorHAnsi"/>
          <w:lang w:val="en-IN" w:eastAsia="en-IN"/>
        </w:rPr>
        <w:t xml:space="preserve"> contribute to stabilization of network activity. From a practical standpoint, this supports the initiation of EEG data collection as early as day 4, while highlighting that additional consideration should be given to residual inflammatory activity in studies involving neuroimmune interactions</w:t>
      </w:r>
      <w:r w:rsidRPr="00DE18E0">
        <w:rPr>
          <w:rFonts w:asciiTheme="majorHAnsi" w:hAnsiTheme="majorHAnsi" w:cstheme="majorHAnsi"/>
          <w:vertAlign w:val="superscript"/>
          <w:lang w:val="en-IN" w:eastAsia="en-IN"/>
        </w:rPr>
        <w:t>26</w:t>
      </w:r>
      <w:r w:rsidRPr="00DE18E0">
        <w:rPr>
          <w:rFonts w:asciiTheme="majorHAnsi" w:hAnsiTheme="majorHAnsi" w:cstheme="majorHAnsi"/>
          <w:lang w:val="en-IN" w:eastAsia="en-IN"/>
        </w:rPr>
        <w:t>. Based on prior studies</w:t>
      </w:r>
      <w:r w:rsidRPr="00DE18E0">
        <w:rPr>
          <w:rFonts w:asciiTheme="majorHAnsi" w:hAnsiTheme="majorHAnsi" w:cstheme="majorHAnsi"/>
          <w:vertAlign w:val="superscript"/>
          <w:lang w:val="en-IN" w:eastAsia="en-IN"/>
        </w:rPr>
        <w:t>27,28</w:t>
      </w:r>
      <w:r w:rsidRPr="00DE18E0">
        <w:rPr>
          <w:rFonts w:asciiTheme="majorHAnsi" w:hAnsiTheme="majorHAnsi" w:cstheme="majorHAnsi"/>
          <w:lang w:val="en-IN" w:eastAsia="en-IN"/>
        </w:rPr>
        <w:t>, TNF-α and IL-6 were selected as representative inflammatory markers to assess the implanted hemisphere, allowing this study to partially reflect the overall impact of recovery time on neuroinflammatory status.</w:t>
      </w:r>
    </w:p>
    <w:p w14:paraId="6CDCDB2F" w14:textId="77777777" w:rsidR="00A654BD" w:rsidRPr="00DE18E0" w:rsidRDefault="00A654BD" w:rsidP="00462158">
      <w:pPr>
        <w:jc w:val="both"/>
        <w:rPr>
          <w:rFonts w:asciiTheme="majorHAnsi" w:hAnsiTheme="majorHAnsi" w:cstheme="majorHAnsi"/>
          <w:lang w:val="en-IN" w:eastAsia="en-IN"/>
        </w:rPr>
      </w:pPr>
    </w:p>
    <w:p w14:paraId="6D352017"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Electrode implantation produced transient disruptions in physiological homeostasis. Rats exhibited weight loss, reduced food intake, and elevated Rat Grimace Scale scores on day 1, reflecting acute post-surgical pain and stress responses. By day 4, both weight and feeding parameters had normalized, and pain sensitivity returned to baseline by day 7. Notably, these findings align with the recovery trajectory of electrophysiological signals, indicating that systemic </w:t>
      </w:r>
      <w:r w:rsidRPr="00DE18E0">
        <w:rPr>
          <w:rFonts w:asciiTheme="majorHAnsi" w:hAnsiTheme="majorHAnsi" w:cstheme="majorHAnsi"/>
          <w:lang w:val="en-IN" w:eastAsia="en-IN"/>
        </w:rPr>
        <w:lastRenderedPageBreak/>
        <w:t xml:space="preserve">recovery and neural stabilization occur in parallel. For protocol implementation, this underscores the necessity of careful perioperative monitoring of feeding </w:t>
      </w:r>
      <w:proofErr w:type="spellStart"/>
      <w:r w:rsidRPr="00DE18E0">
        <w:rPr>
          <w:rFonts w:asciiTheme="majorHAnsi" w:hAnsiTheme="majorHAnsi" w:cstheme="majorHAnsi"/>
          <w:lang w:val="en-IN" w:eastAsia="en-IN"/>
        </w:rPr>
        <w:t>behavior</w:t>
      </w:r>
      <w:proofErr w:type="spellEnd"/>
      <w:r w:rsidRPr="00DE18E0">
        <w:rPr>
          <w:rFonts w:asciiTheme="majorHAnsi" w:hAnsiTheme="majorHAnsi" w:cstheme="majorHAnsi"/>
          <w:lang w:val="en-IN" w:eastAsia="en-IN"/>
        </w:rPr>
        <w:t xml:space="preserve"> and body weight, not only as welfare measures but also as indirect indicators of when reliable data collection can begin.</w:t>
      </w:r>
    </w:p>
    <w:p w14:paraId="75AC7837" w14:textId="77777777" w:rsidR="00A654BD" w:rsidRPr="00DE18E0" w:rsidRDefault="00A654BD" w:rsidP="00462158">
      <w:pPr>
        <w:jc w:val="both"/>
        <w:rPr>
          <w:rFonts w:asciiTheme="majorHAnsi" w:hAnsiTheme="majorHAnsi" w:cstheme="majorHAnsi"/>
          <w:lang w:val="en-IN" w:eastAsia="en-IN"/>
        </w:rPr>
      </w:pPr>
    </w:p>
    <w:p w14:paraId="2A1CF26A" w14:textId="706F7224"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Critical </w:t>
      </w:r>
      <w:r w:rsidR="00A654BD" w:rsidRPr="00462158">
        <w:rPr>
          <w:rFonts w:asciiTheme="majorHAnsi" w:hAnsiTheme="majorHAnsi" w:cstheme="majorHAnsi"/>
          <w:b/>
          <w:bCs/>
          <w:lang w:val="en-IN" w:eastAsia="en-IN"/>
        </w:rPr>
        <w:t>t</w:t>
      </w:r>
      <w:r w:rsidRPr="00DE18E0">
        <w:rPr>
          <w:rFonts w:asciiTheme="majorHAnsi" w:hAnsiTheme="majorHAnsi" w:cstheme="majorHAnsi"/>
          <w:b/>
          <w:bCs/>
          <w:lang w:val="en-IN" w:eastAsia="en-IN"/>
        </w:rPr>
        <w:t xml:space="preserve">echnical </w:t>
      </w:r>
      <w:r w:rsidR="00A654BD" w:rsidRPr="00462158">
        <w:rPr>
          <w:rFonts w:asciiTheme="majorHAnsi" w:hAnsiTheme="majorHAnsi" w:cstheme="majorHAnsi"/>
          <w:b/>
          <w:bCs/>
          <w:lang w:val="en-IN" w:eastAsia="en-IN"/>
        </w:rPr>
        <w:t>s</w:t>
      </w:r>
      <w:r w:rsidRPr="00DE18E0">
        <w:rPr>
          <w:rFonts w:asciiTheme="majorHAnsi" w:hAnsiTheme="majorHAnsi" w:cstheme="majorHAnsi"/>
          <w:b/>
          <w:bCs/>
          <w:lang w:val="en-IN" w:eastAsia="en-IN"/>
        </w:rPr>
        <w:t xml:space="preserve">teps </w:t>
      </w:r>
      <w:r w:rsidR="00A654BD" w:rsidRPr="00462158">
        <w:rPr>
          <w:rFonts w:asciiTheme="majorHAnsi" w:hAnsiTheme="majorHAnsi" w:cstheme="majorHAnsi"/>
          <w:b/>
          <w:bCs/>
          <w:lang w:val="en-IN" w:eastAsia="en-IN"/>
        </w:rPr>
        <w:t>d</w:t>
      </w:r>
      <w:r w:rsidRPr="00DE18E0">
        <w:rPr>
          <w:rFonts w:asciiTheme="majorHAnsi" w:hAnsiTheme="majorHAnsi" w:cstheme="majorHAnsi"/>
          <w:b/>
          <w:bCs/>
          <w:lang w:val="en-IN" w:eastAsia="en-IN"/>
        </w:rPr>
        <w:t xml:space="preserve">etermining </w:t>
      </w:r>
      <w:r w:rsidR="00A654BD" w:rsidRPr="00462158">
        <w:rPr>
          <w:rFonts w:asciiTheme="majorHAnsi" w:hAnsiTheme="majorHAnsi" w:cstheme="majorHAnsi"/>
          <w:b/>
          <w:bCs/>
          <w:lang w:val="en-IN" w:eastAsia="en-IN"/>
        </w:rPr>
        <w:t>i</w:t>
      </w:r>
      <w:r w:rsidRPr="00DE18E0">
        <w:rPr>
          <w:rFonts w:asciiTheme="majorHAnsi" w:hAnsiTheme="majorHAnsi" w:cstheme="majorHAnsi"/>
          <w:b/>
          <w:bCs/>
          <w:lang w:val="en-IN" w:eastAsia="en-IN"/>
        </w:rPr>
        <w:t xml:space="preserve">mplantation </w:t>
      </w:r>
      <w:r w:rsidR="00A654BD" w:rsidRPr="00462158">
        <w:rPr>
          <w:rFonts w:asciiTheme="majorHAnsi" w:hAnsiTheme="majorHAnsi" w:cstheme="majorHAnsi"/>
          <w:b/>
          <w:bCs/>
          <w:lang w:val="en-IN" w:eastAsia="en-IN"/>
        </w:rPr>
        <w:t>s</w:t>
      </w:r>
      <w:r w:rsidRPr="00DE18E0">
        <w:rPr>
          <w:rFonts w:asciiTheme="majorHAnsi" w:hAnsiTheme="majorHAnsi" w:cstheme="majorHAnsi"/>
          <w:b/>
          <w:bCs/>
          <w:lang w:val="en-IN" w:eastAsia="en-IN"/>
        </w:rPr>
        <w:t xml:space="preserve">uccess and EEG </w:t>
      </w:r>
      <w:r w:rsidR="00A654BD" w:rsidRPr="00462158">
        <w:rPr>
          <w:rFonts w:asciiTheme="majorHAnsi" w:hAnsiTheme="majorHAnsi" w:cstheme="majorHAnsi"/>
          <w:b/>
          <w:bCs/>
          <w:lang w:val="en-IN" w:eastAsia="en-IN"/>
        </w:rPr>
        <w:t>s</w:t>
      </w:r>
      <w:r w:rsidRPr="00DE18E0">
        <w:rPr>
          <w:rFonts w:asciiTheme="majorHAnsi" w:hAnsiTheme="majorHAnsi" w:cstheme="majorHAnsi"/>
          <w:b/>
          <w:bCs/>
          <w:lang w:val="en-IN" w:eastAsia="en-IN"/>
        </w:rPr>
        <w:t>tability</w:t>
      </w:r>
    </w:p>
    <w:p w14:paraId="338CA141"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Several technical steps within the protocol are particularly critical for successful implantation and long-term EEG stability. Accurate skull leveling</w:t>
      </w:r>
      <w:r w:rsidRPr="00DE18E0">
        <w:rPr>
          <w:rFonts w:asciiTheme="majorHAnsi" w:hAnsiTheme="majorHAnsi" w:cstheme="majorHAnsi"/>
          <w:vertAlign w:val="superscript"/>
          <w:lang w:val="en-IN" w:eastAsia="en-IN"/>
        </w:rPr>
        <w:t>29</w:t>
      </w:r>
      <w:r w:rsidRPr="00DE18E0">
        <w:rPr>
          <w:rFonts w:asciiTheme="majorHAnsi" w:hAnsiTheme="majorHAnsi" w:cstheme="majorHAnsi"/>
          <w:lang w:val="en-IN" w:eastAsia="en-IN"/>
        </w:rPr>
        <w:t xml:space="preserve"> is essential to ensure correct stereotaxic targeting and consistent electrode depth across animals. Precise burr-hole drilling minimizes cortical compression and reduces insertion-related tissue damage</w:t>
      </w:r>
      <w:r w:rsidRPr="00DE18E0">
        <w:rPr>
          <w:rFonts w:asciiTheme="majorHAnsi" w:hAnsiTheme="majorHAnsi" w:cstheme="majorHAnsi"/>
          <w:vertAlign w:val="superscript"/>
          <w:lang w:val="en-IN" w:eastAsia="en-IN"/>
        </w:rPr>
        <w:t>30</w:t>
      </w:r>
      <w:r w:rsidRPr="00DE18E0">
        <w:rPr>
          <w:rFonts w:asciiTheme="majorHAnsi" w:hAnsiTheme="majorHAnsi" w:cstheme="majorHAnsi"/>
          <w:lang w:val="en-IN" w:eastAsia="en-IN"/>
        </w:rPr>
        <w:t>. Controlled electrode insertion and secure fixation with dental resin are necessary to prevent micromovements that can destabilize signals and exacerbate local inflammation</w:t>
      </w:r>
      <w:r w:rsidRPr="00DE18E0">
        <w:rPr>
          <w:rFonts w:asciiTheme="majorHAnsi" w:hAnsiTheme="majorHAnsi" w:cstheme="majorHAnsi"/>
          <w:vertAlign w:val="superscript"/>
          <w:lang w:val="en-IN" w:eastAsia="en-IN"/>
        </w:rPr>
        <w:t>30</w:t>
      </w:r>
      <w:r w:rsidRPr="00DE18E0">
        <w:rPr>
          <w:rFonts w:asciiTheme="majorHAnsi" w:hAnsiTheme="majorHAnsi" w:cstheme="majorHAnsi"/>
          <w:lang w:val="en-IN" w:eastAsia="en-IN"/>
        </w:rPr>
        <w:t xml:space="preserve">. Proper placement of reference and ground electrodes is critical for minimizing noise and ensuring signal fidelity. Finally, effective cable and </w:t>
      </w:r>
      <w:proofErr w:type="spellStart"/>
      <w:r w:rsidRPr="00DE18E0">
        <w:rPr>
          <w:rFonts w:asciiTheme="majorHAnsi" w:hAnsiTheme="majorHAnsi" w:cstheme="majorHAnsi"/>
          <w:lang w:val="en-IN" w:eastAsia="en-IN"/>
        </w:rPr>
        <w:t>headstage</w:t>
      </w:r>
      <w:proofErr w:type="spellEnd"/>
      <w:r w:rsidRPr="00DE18E0">
        <w:rPr>
          <w:rFonts w:asciiTheme="majorHAnsi" w:hAnsiTheme="majorHAnsi" w:cstheme="majorHAnsi"/>
          <w:lang w:val="en-IN" w:eastAsia="en-IN"/>
        </w:rPr>
        <w:t xml:space="preserve"> stabilization reduces mechanical strain during movement, which is essential for maintaining stable recordings in freely behaving animals. Together, these steps directly influence signal quality, recovery trajectories, and long-term recording success.</w:t>
      </w:r>
    </w:p>
    <w:p w14:paraId="24E7AE3E" w14:textId="77777777" w:rsidR="00A654BD" w:rsidRPr="00DE18E0" w:rsidRDefault="00A654BD" w:rsidP="00462158">
      <w:pPr>
        <w:jc w:val="both"/>
        <w:rPr>
          <w:rFonts w:asciiTheme="majorHAnsi" w:hAnsiTheme="majorHAnsi" w:cstheme="majorHAnsi"/>
          <w:lang w:val="en-IN" w:eastAsia="en-IN"/>
        </w:rPr>
      </w:pPr>
    </w:p>
    <w:p w14:paraId="3512FECD" w14:textId="60E67816"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Troubleshooting and </w:t>
      </w:r>
      <w:r w:rsidR="00A654BD" w:rsidRPr="00462158">
        <w:rPr>
          <w:rFonts w:asciiTheme="majorHAnsi" w:hAnsiTheme="majorHAnsi" w:cstheme="majorHAnsi"/>
          <w:b/>
          <w:bCs/>
          <w:lang w:val="en-IN" w:eastAsia="en-IN"/>
        </w:rPr>
        <w:t>c</w:t>
      </w:r>
      <w:r w:rsidRPr="00DE18E0">
        <w:rPr>
          <w:rFonts w:asciiTheme="majorHAnsi" w:hAnsiTheme="majorHAnsi" w:cstheme="majorHAnsi"/>
          <w:b/>
          <w:bCs/>
          <w:lang w:val="en-IN" w:eastAsia="en-IN"/>
        </w:rPr>
        <w:t xml:space="preserve">ommon </w:t>
      </w:r>
      <w:r w:rsidR="00A654BD" w:rsidRPr="00462158">
        <w:rPr>
          <w:rFonts w:asciiTheme="majorHAnsi" w:hAnsiTheme="majorHAnsi" w:cstheme="majorHAnsi"/>
          <w:b/>
          <w:bCs/>
          <w:lang w:val="en-IN" w:eastAsia="en-IN"/>
        </w:rPr>
        <w:t>p</w:t>
      </w:r>
      <w:r w:rsidRPr="00DE18E0">
        <w:rPr>
          <w:rFonts w:asciiTheme="majorHAnsi" w:hAnsiTheme="majorHAnsi" w:cstheme="majorHAnsi"/>
          <w:b/>
          <w:bCs/>
          <w:lang w:val="en-IN" w:eastAsia="en-IN"/>
        </w:rPr>
        <w:t>itfalls</w:t>
      </w:r>
    </w:p>
    <w:p w14:paraId="34C5BD30"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This protocol incorporates explicit troubleshooting guidance for common issues encountered in chronic intracranial EEG studies. Unstable or drifting signals are often attributable to inadequate electrode fixation and can typically be resolved by reinforcing resin stabilization and rechecking mechanical integrity. Excessive noise should prompt inspection of reference and ground electrode placement, impedance measurements, and cable shielding. Suspected electrode displacement may require reassessment of implantation geometry and, if necessary, exclusion of affected channels. Unexpected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xml:space="preserve"> suppression or prolonged weight loss should trigger evaluation for postoperative complications, delayed recovery, or excessive restraint from </w:t>
      </w:r>
      <w:proofErr w:type="spellStart"/>
      <w:r w:rsidRPr="00DE18E0">
        <w:rPr>
          <w:rFonts w:asciiTheme="majorHAnsi" w:hAnsiTheme="majorHAnsi" w:cstheme="majorHAnsi"/>
          <w:lang w:val="en-IN" w:eastAsia="en-IN"/>
        </w:rPr>
        <w:t>headstage</w:t>
      </w:r>
      <w:proofErr w:type="spellEnd"/>
      <w:r w:rsidRPr="00DE18E0">
        <w:rPr>
          <w:rFonts w:asciiTheme="majorHAnsi" w:hAnsiTheme="majorHAnsi" w:cstheme="majorHAnsi"/>
          <w:lang w:val="en-IN" w:eastAsia="en-IN"/>
        </w:rPr>
        <w:t xml:space="preserve"> hardware. Implementing these checks allows early identification and correction of technical or biological confounders.</w:t>
      </w:r>
    </w:p>
    <w:p w14:paraId="296D5C49" w14:textId="77777777" w:rsidR="00A654BD" w:rsidRPr="00DE18E0" w:rsidRDefault="00A654BD" w:rsidP="00462158">
      <w:pPr>
        <w:jc w:val="both"/>
        <w:rPr>
          <w:rFonts w:asciiTheme="majorHAnsi" w:hAnsiTheme="majorHAnsi" w:cstheme="majorHAnsi"/>
          <w:lang w:val="en-IN" w:eastAsia="en-IN"/>
        </w:rPr>
      </w:pPr>
    </w:p>
    <w:p w14:paraId="20F7B58D" w14:textId="624ADB2D"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Comparison to </w:t>
      </w:r>
      <w:r w:rsidR="00A654BD" w:rsidRPr="00462158">
        <w:rPr>
          <w:rFonts w:asciiTheme="majorHAnsi" w:hAnsiTheme="majorHAnsi" w:cstheme="majorHAnsi"/>
          <w:b/>
          <w:bCs/>
          <w:lang w:val="en-IN" w:eastAsia="en-IN"/>
        </w:rPr>
        <w:t>e</w:t>
      </w:r>
      <w:r w:rsidRPr="00DE18E0">
        <w:rPr>
          <w:rFonts w:asciiTheme="majorHAnsi" w:hAnsiTheme="majorHAnsi" w:cstheme="majorHAnsi"/>
          <w:b/>
          <w:bCs/>
          <w:lang w:val="en-IN" w:eastAsia="en-IN"/>
        </w:rPr>
        <w:t xml:space="preserve">xisting </w:t>
      </w:r>
      <w:r w:rsidR="00A654BD" w:rsidRPr="00462158">
        <w:rPr>
          <w:rFonts w:asciiTheme="majorHAnsi" w:hAnsiTheme="majorHAnsi" w:cstheme="majorHAnsi"/>
          <w:b/>
          <w:bCs/>
          <w:lang w:val="en-IN" w:eastAsia="en-IN"/>
        </w:rPr>
        <w:t>a</w:t>
      </w:r>
      <w:r w:rsidRPr="00DE18E0">
        <w:rPr>
          <w:rFonts w:asciiTheme="majorHAnsi" w:hAnsiTheme="majorHAnsi" w:cstheme="majorHAnsi"/>
          <w:b/>
          <w:bCs/>
          <w:lang w:val="en-IN" w:eastAsia="en-IN"/>
        </w:rPr>
        <w:t xml:space="preserve">pproaches and </w:t>
      </w:r>
      <w:r w:rsidR="00A654BD" w:rsidRPr="00462158">
        <w:rPr>
          <w:rFonts w:asciiTheme="majorHAnsi" w:hAnsiTheme="majorHAnsi" w:cstheme="majorHAnsi"/>
          <w:b/>
          <w:bCs/>
          <w:lang w:val="en-IN" w:eastAsia="en-IN"/>
        </w:rPr>
        <w:t>a</w:t>
      </w:r>
      <w:r w:rsidRPr="00DE18E0">
        <w:rPr>
          <w:rFonts w:asciiTheme="majorHAnsi" w:hAnsiTheme="majorHAnsi" w:cstheme="majorHAnsi"/>
          <w:b/>
          <w:bCs/>
          <w:lang w:val="en-IN" w:eastAsia="en-IN"/>
        </w:rPr>
        <w:t xml:space="preserve">dded </w:t>
      </w:r>
      <w:r w:rsidR="00A654BD" w:rsidRPr="00462158">
        <w:rPr>
          <w:rFonts w:asciiTheme="majorHAnsi" w:hAnsiTheme="majorHAnsi" w:cstheme="majorHAnsi"/>
          <w:b/>
          <w:bCs/>
          <w:lang w:val="en-IN" w:eastAsia="en-IN"/>
        </w:rPr>
        <w:t>v</w:t>
      </w:r>
      <w:r w:rsidRPr="00DE18E0">
        <w:rPr>
          <w:rFonts w:asciiTheme="majorHAnsi" w:hAnsiTheme="majorHAnsi" w:cstheme="majorHAnsi"/>
          <w:b/>
          <w:bCs/>
          <w:lang w:val="en-IN" w:eastAsia="en-IN"/>
        </w:rPr>
        <w:t xml:space="preserve">alue of </w:t>
      </w:r>
      <w:r w:rsidR="00A654BD" w:rsidRPr="00462158">
        <w:rPr>
          <w:rFonts w:asciiTheme="majorHAnsi" w:hAnsiTheme="majorHAnsi" w:cstheme="majorHAnsi"/>
          <w:b/>
          <w:bCs/>
          <w:lang w:val="en-IN" w:eastAsia="en-IN"/>
        </w:rPr>
        <w:t>t</w:t>
      </w:r>
      <w:r w:rsidRPr="00DE18E0">
        <w:rPr>
          <w:rFonts w:asciiTheme="majorHAnsi" w:hAnsiTheme="majorHAnsi" w:cstheme="majorHAnsi"/>
          <w:b/>
          <w:bCs/>
          <w:lang w:val="en-IN" w:eastAsia="en-IN"/>
        </w:rPr>
        <w:t xml:space="preserve">his </w:t>
      </w:r>
      <w:r w:rsidR="00A654BD" w:rsidRPr="00462158">
        <w:rPr>
          <w:rFonts w:asciiTheme="majorHAnsi" w:hAnsiTheme="majorHAnsi" w:cstheme="majorHAnsi"/>
          <w:b/>
          <w:bCs/>
          <w:lang w:val="en-IN" w:eastAsia="en-IN"/>
        </w:rPr>
        <w:t>p</w:t>
      </w:r>
      <w:r w:rsidRPr="00DE18E0">
        <w:rPr>
          <w:rFonts w:asciiTheme="majorHAnsi" w:hAnsiTheme="majorHAnsi" w:cstheme="majorHAnsi"/>
          <w:b/>
          <w:bCs/>
          <w:lang w:val="en-IN" w:eastAsia="en-IN"/>
        </w:rPr>
        <w:t>rotocol</w:t>
      </w:r>
    </w:p>
    <w:p w14:paraId="59FCB744"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In previous intracranial electrode studies, EEG recording was initiated after 5–7 days without systematic evaluation of electrophysiological,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or physiological recovery</w:t>
      </w:r>
      <w:r w:rsidRPr="00DE18E0">
        <w:rPr>
          <w:rFonts w:asciiTheme="majorHAnsi" w:hAnsiTheme="majorHAnsi" w:cstheme="majorHAnsi"/>
          <w:vertAlign w:val="superscript"/>
          <w:lang w:val="en-IN" w:eastAsia="en-IN"/>
        </w:rPr>
        <w:t>15,16</w:t>
      </w:r>
      <w:r w:rsidRPr="00DE18E0">
        <w:rPr>
          <w:rFonts w:asciiTheme="majorHAnsi" w:hAnsiTheme="majorHAnsi" w:cstheme="majorHAnsi"/>
          <w:lang w:val="en-IN" w:eastAsia="en-IN"/>
        </w:rPr>
        <w:t xml:space="preserve">. This protocol provides an integrated, multi-domain assessment that characterizes recovery trajectories rather than relying on arbitrary time points. By demonstrating that stable EEG activity can be achieved by day 4 in most animals, while also documenting residual inflammatory processes, this approach offers a more nuanced framework for balancing early data collection with biological validity. The inclusion of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xml:space="preserve"> and physiological metrics further distinguishes this protocol from conventional practices and enhances reproducibility across laboratories.</w:t>
      </w:r>
    </w:p>
    <w:p w14:paraId="1C4175AF" w14:textId="77777777" w:rsidR="00A654BD" w:rsidRPr="00DE18E0" w:rsidRDefault="00A654BD" w:rsidP="00462158">
      <w:pPr>
        <w:jc w:val="both"/>
        <w:rPr>
          <w:rFonts w:asciiTheme="majorHAnsi" w:hAnsiTheme="majorHAnsi" w:cstheme="majorHAnsi"/>
          <w:lang w:val="en-IN" w:eastAsia="en-IN"/>
        </w:rPr>
      </w:pPr>
    </w:p>
    <w:p w14:paraId="4F0F8BC3" w14:textId="5230F312"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Applications and </w:t>
      </w:r>
      <w:r w:rsidR="00A654BD" w:rsidRPr="00462158">
        <w:rPr>
          <w:rFonts w:asciiTheme="majorHAnsi" w:hAnsiTheme="majorHAnsi" w:cstheme="majorHAnsi"/>
          <w:b/>
          <w:bCs/>
          <w:lang w:val="en-IN" w:eastAsia="en-IN"/>
        </w:rPr>
        <w:t>d</w:t>
      </w:r>
      <w:r w:rsidRPr="00DE18E0">
        <w:rPr>
          <w:rFonts w:asciiTheme="majorHAnsi" w:hAnsiTheme="majorHAnsi" w:cstheme="majorHAnsi"/>
          <w:b/>
          <w:bCs/>
          <w:lang w:val="en-IN" w:eastAsia="en-IN"/>
        </w:rPr>
        <w:t xml:space="preserve">ecision </w:t>
      </w:r>
      <w:r w:rsidR="00A654BD" w:rsidRPr="00462158">
        <w:rPr>
          <w:rFonts w:asciiTheme="majorHAnsi" w:hAnsiTheme="majorHAnsi" w:cstheme="majorHAnsi"/>
          <w:b/>
          <w:bCs/>
          <w:lang w:val="en-IN" w:eastAsia="en-IN"/>
        </w:rPr>
        <w:t>r</w:t>
      </w:r>
      <w:r w:rsidRPr="00DE18E0">
        <w:rPr>
          <w:rFonts w:asciiTheme="majorHAnsi" w:hAnsiTheme="majorHAnsi" w:cstheme="majorHAnsi"/>
          <w:b/>
          <w:bCs/>
          <w:lang w:val="en-IN" w:eastAsia="en-IN"/>
        </w:rPr>
        <w:t xml:space="preserve">ules for </w:t>
      </w:r>
      <w:r w:rsidR="00A654BD" w:rsidRPr="00462158">
        <w:rPr>
          <w:rFonts w:asciiTheme="majorHAnsi" w:hAnsiTheme="majorHAnsi" w:cstheme="majorHAnsi"/>
          <w:b/>
          <w:bCs/>
          <w:lang w:val="en-IN" w:eastAsia="en-IN"/>
        </w:rPr>
        <w:t>d</w:t>
      </w:r>
      <w:r w:rsidRPr="00DE18E0">
        <w:rPr>
          <w:rFonts w:asciiTheme="majorHAnsi" w:hAnsiTheme="majorHAnsi" w:cstheme="majorHAnsi"/>
          <w:b/>
          <w:bCs/>
          <w:lang w:val="en-IN" w:eastAsia="en-IN"/>
        </w:rPr>
        <w:t xml:space="preserve">ata </w:t>
      </w:r>
      <w:r w:rsidR="00A654BD" w:rsidRPr="00462158">
        <w:rPr>
          <w:rFonts w:asciiTheme="majorHAnsi" w:hAnsiTheme="majorHAnsi" w:cstheme="majorHAnsi"/>
          <w:b/>
          <w:bCs/>
          <w:lang w:val="en-IN" w:eastAsia="en-IN"/>
        </w:rPr>
        <w:t>a</w:t>
      </w:r>
      <w:r w:rsidRPr="00DE18E0">
        <w:rPr>
          <w:rFonts w:asciiTheme="majorHAnsi" w:hAnsiTheme="majorHAnsi" w:cstheme="majorHAnsi"/>
          <w:b/>
          <w:bCs/>
          <w:lang w:val="en-IN" w:eastAsia="en-IN"/>
        </w:rPr>
        <w:t>cquisition</w:t>
      </w:r>
    </w:p>
    <w:p w14:paraId="22718C70" w14:textId="0EA7A472"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 xml:space="preserve">This recovery framework is particularly </w:t>
      </w:r>
      <w:r w:rsidR="00A654BD" w:rsidRPr="00462158">
        <w:rPr>
          <w:rFonts w:asciiTheme="majorHAnsi" w:hAnsiTheme="majorHAnsi" w:cstheme="majorHAnsi"/>
          <w:lang w:val="en-IN" w:eastAsia="en-IN"/>
        </w:rPr>
        <w:t>well-suited</w:t>
      </w:r>
      <w:r w:rsidRPr="00DE18E0">
        <w:rPr>
          <w:rFonts w:asciiTheme="majorHAnsi" w:hAnsiTheme="majorHAnsi" w:cstheme="majorHAnsi"/>
          <w:lang w:val="en-IN" w:eastAsia="en-IN"/>
        </w:rPr>
        <w:t xml:space="preserve"> for longitudinal EEG studies involving multi-site recordings, </w:t>
      </w:r>
      <w:proofErr w:type="spellStart"/>
      <w:r w:rsidRPr="00DE18E0">
        <w:rPr>
          <w:rFonts w:asciiTheme="majorHAnsi" w:hAnsiTheme="majorHAnsi" w:cstheme="majorHAnsi"/>
          <w:lang w:val="en-IN" w:eastAsia="en-IN"/>
        </w:rPr>
        <w:t>behavioral</w:t>
      </w:r>
      <w:proofErr w:type="spellEnd"/>
      <w:r w:rsidRPr="00DE18E0">
        <w:rPr>
          <w:rFonts w:asciiTheme="majorHAnsi" w:hAnsiTheme="majorHAnsi" w:cstheme="majorHAnsi"/>
          <w:lang w:val="en-IN" w:eastAsia="en-IN"/>
        </w:rPr>
        <w:t xml:space="preserve"> paradigms, pharmacological interventions, and disease models requiring repeated or early post-implantation measurements. Although no universal thresholds for readiness to record are defined, the protocol provides actionable criteria, including stable electrode impedance, consistent PSD across sessions, normalization of feeding </w:t>
      </w:r>
      <w:proofErr w:type="spellStart"/>
      <w:r w:rsidRPr="00DE18E0">
        <w:rPr>
          <w:rFonts w:asciiTheme="majorHAnsi" w:hAnsiTheme="majorHAnsi" w:cstheme="majorHAnsi"/>
          <w:lang w:val="en-IN" w:eastAsia="en-IN"/>
        </w:rPr>
        <w:t>behavior</w:t>
      </w:r>
      <w:proofErr w:type="spellEnd"/>
      <w:r w:rsidRPr="00DE18E0">
        <w:rPr>
          <w:rFonts w:asciiTheme="majorHAnsi" w:hAnsiTheme="majorHAnsi" w:cstheme="majorHAnsi"/>
          <w:lang w:val="en-IN" w:eastAsia="en-IN"/>
        </w:rPr>
        <w:t xml:space="preserve"> and </w:t>
      </w:r>
      <w:r w:rsidRPr="00DE18E0">
        <w:rPr>
          <w:rFonts w:asciiTheme="majorHAnsi" w:hAnsiTheme="majorHAnsi" w:cstheme="majorHAnsi"/>
          <w:lang w:val="en-IN" w:eastAsia="en-IN"/>
        </w:rPr>
        <w:lastRenderedPageBreak/>
        <w:t>body weight, and resolution of acute pain indicators. These parameters allow investigators to tailor recording initiation to individual recovery trajectories while maintaining methodological rigor.</w:t>
      </w:r>
    </w:p>
    <w:p w14:paraId="47BD68C3" w14:textId="77777777" w:rsidR="00A654BD" w:rsidRPr="00DE18E0" w:rsidRDefault="00A654BD" w:rsidP="00462158">
      <w:pPr>
        <w:jc w:val="both"/>
        <w:rPr>
          <w:rFonts w:asciiTheme="majorHAnsi" w:hAnsiTheme="majorHAnsi" w:cstheme="majorHAnsi"/>
          <w:lang w:val="en-IN" w:eastAsia="en-IN"/>
        </w:rPr>
      </w:pPr>
    </w:p>
    <w:p w14:paraId="79255AEF" w14:textId="3478F92D" w:rsidR="00DE18E0" w:rsidRPr="00DE18E0" w:rsidRDefault="00DE18E0" w:rsidP="00462158">
      <w:pPr>
        <w:jc w:val="both"/>
        <w:outlineLvl w:val="1"/>
        <w:rPr>
          <w:rFonts w:asciiTheme="majorHAnsi" w:hAnsiTheme="majorHAnsi" w:cstheme="majorHAnsi"/>
          <w:b/>
          <w:bCs/>
          <w:lang w:val="en-IN" w:eastAsia="en-IN"/>
        </w:rPr>
      </w:pPr>
      <w:r w:rsidRPr="00DE18E0">
        <w:rPr>
          <w:rFonts w:asciiTheme="majorHAnsi" w:hAnsiTheme="majorHAnsi" w:cstheme="majorHAnsi"/>
          <w:b/>
          <w:bCs/>
          <w:lang w:val="en-IN" w:eastAsia="en-IN"/>
        </w:rPr>
        <w:t xml:space="preserve">Limitations and </w:t>
      </w:r>
      <w:r w:rsidR="00A654BD" w:rsidRPr="00462158">
        <w:rPr>
          <w:rFonts w:asciiTheme="majorHAnsi" w:hAnsiTheme="majorHAnsi" w:cstheme="majorHAnsi"/>
          <w:b/>
          <w:bCs/>
          <w:lang w:val="en-IN" w:eastAsia="en-IN"/>
        </w:rPr>
        <w:t>f</w:t>
      </w:r>
      <w:r w:rsidRPr="00DE18E0">
        <w:rPr>
          <w:rFonts w:asciiTheme="majorHAnsi" w:hAnsiTheme="majorHAnsi" w:cstheme="majorHAnsi"/>
          <w:b/>
          <w:bCs/>
          <w:lang w:val="en-IN" w:eastAsia="en-IN"/>
        </w:rPr>
        <w:t xml:space="preserve">uture </w:t>
      </w:r>
      <w:r w:rsidR="00A654BD" w:rsidRPr="00462158">
        <w:rPr>
          <w:rFonts w:asciiTheme="majorHAnsi" w:hAnsiTheme="majorHAnsi" w:cstheme="majorHAnsi"/>
          <w:b/>
          <w:bCs/>
          <w:lang w:val="en-IN" w:eastAsia="en-IN"/>
        </w:rPr>
        <w:t>d</w:t>
      </w:r>
      <w:r w:rsidRPr="00DE18E0">
        <w:rPr>
          <w:rFonts w:asciiTheme="majorHAnsi" w:hAnsiTheme="majorHAnsi" w:cstheme="majorHAnsi"/>
          <w:b/>
          <w:bCs/>
          <w:lang w:val="en-IN" w:eastAsia="en-IN"/>
        </w:rPr>
        <w:t>irections</w:t>
      </w:r>
    </w:p>
    <w:p w14:paraId="291E7025" w14:textId="77777777" w:rsidR="00DE18E0" w:rsidRPr="00462158" w:rsidRDefault="00DE18E0" w:rsidP="00462158">
      <w:pPr>
        <w:jc w:val="both"/>
        <w:rPr>
          <w:rFonts w:asciiTheme="majorHAnsi" w:hAnsiTheme="majorHAnsi" w:cstheme="majorHAnsi"/>
          <w:lang w:val="en-IN" w:eastAsia="en-IN"/>
        </w:rPr>
      </w:pPr>
      <w:r w:rsidRPr="00DE18E0">
        <w:rPr>
          <w:rFonts w:asciiTheme="majorHAnsi" w:hAnsiTheme="majorHAnsi" w:cstheme="majorHAnsi"/>
          <w:lang w:val="en-IN" w:eastAsia="en-IN"/>
        </w:rPr>
        <w:t>The two-week observation window provides insight into early and sub-acute recovery but does not capture potential long-term complications</w:t>
      </w:r>
      <w:r w:rsidRPr="00DE18E0">
        <w:rPr>
          <w:rFonts w:asciiTheme="majorHAnsi" w:hAnsiTheme="majorHAnsi" w:cstheme="majorHAnsi"/>
          <w:vertAlign w:val="superscript"/>
          <w:lang w:val="en-IN" w:eastAsia="en-IN"/>
        </w:rPr>
        <w:t>27,31</w:t>
      </w:r>
      <w:r w:rsidRPr="00DE18E0">
        <w:rPr>
          <w:rFonts w:asciiTheme="majorHAnsi" w:hAnsiTheme="majorHAnsi" w:cstheme="majorHAnsi"/>
          <w:lang w:val="en-IN" w:eastAsia="en-IN"/>
        </w:rPr>
        <w:t xml:space="preserve"> such as electrode drift, encapsulation, or chronic gliosis. Expanding the temporal scope of recovery studies, including larger sample sizes and additional markers of neural plasticity, will be essential for fully validating electrode stability in long-duration studies. Furthermore, although rats are a practical small-animal model, differences in immune and healing responses across species highlight the need for translational caution when extrapolating to primates or clinical contexts. Although recorded under anesthesia</w:t>
      </w:r>
      <w:r w:rsidRPr="00DE18E0">
        <w:rPr>
          <w:rFonts w:asciiTheme="majorHAnsi" w:hAnsiTheme="majorHAnsi" w:cstheme="majorHAnsi"/>
          <w:vertAlign w:val="superscript"/>
          <w:lang w:val="en-IN" w:eastAsia="en-IN"/>
        </w:rPr>
        <w:t>32</w:t>
      </w:r>
      <w:r w:rsidRPr="00DE18E0">
        <w:rPr>
          <w:rFonts w:asciiTheme="majorHAnsi" w:hAnsiTheme="majorHAnsi" w:cstheme="majorHAnsi"/>
          <w:lang w:val="en-IN" w:eastAsia="en-IN"/>
        </w:rPr>
        <w:t xml:space="preserve">, the EEG data reflect underlying network dynamics and serve as a proxy for resting activity, with the caveat that </w:t>
      </w:r>
      <w:proofErr w:type="spellStart"/>
      <w:r w:rsidRPr="00DE18E0">
        <w:rPr>
          <w:rFonts w:asciiTheme="majorHAnsi" w:hAnsiTheme="majorHAnsi" w:cstheme="majorHAnsi"/>
          <w:lang w:val="en-IN" w:eastAsia="en-IN"/>
        </w:rPr>
        <w:t>anesthetic</w:t>
      </w:r>
      <w:proofErr w:type="spellEnd"/>
      <w:r w:rsidRPr="00DE18E0">
        <w:rPr>
          <w:rFonts w:asciiTheme="majorHAnsi" w:hAnsiTheme="majorHAnsi" w:cstheme="majorHAnsi"/>
          <w:lang w:val="en-IN" w:eastAsia="en-IN"/>
        </w:rPr>
        <w:t xml:space="preserve"> effects may modulate signal features.</w:t>
      </w:r>
    </w:p>
    <w:p w14:paraId="0FC115E2" w14:textId="1BC8B409" w:rsidR="00DE18E0" w:rsidRPr="00DE18E0" w:rsidRDefault="00DE18E0" w:rsidP="00462158">
      <w:pPr>
        <w:jc w:val="both"/>
        <w:outlineLvl w:val="1"/>
        <w:rPr>
          <w:rFonts w:asciiTheme="majorHAnsi" w:hAnsiTheme="majorHAnsi" w:cstheme="majorHAnsi"/>
          <w:b/>
          <w:bCs/>
          <w:lang w:val="en-IN" w:eastAsia="en-IN"/>
        </w:rPr>
      </w:pPr>
    </w:p>
    <w:p w14:paraId="7D713BCA" w14:textId="04BD0E3D" w:rsidR="00DE18E0" w:rsidRPr="00DE18E0" w:rsidRDefault="00A654BD" w:rsidP="00462158">
      <w:pPr>
        <w:jc w:val="both"/>
        <w:rPr>
          <w:rFonts w:asciiTheme="majorHAnsi" w:hAnsiTheme="majorHAnsi" w:cstheme="majorHAnsi"/>
          <w:lang w:val="en-IN" w:eastAsia="en-IN"/>
        </w:rPr>
      </w:pPr>
      <w:r w:rsidRPr="00462158">
        <w:rPr>
          <w:rFonts w:asciiTheme="majorHAnsi" w:hAnsiTheme="majorHAnsi" w:cstheme="majorHAnsi"/>
          <w:lang w:val="en-IN" w:eastAsia="en-IN"/>
        </w:rPr>
        <w:t>In conclusion, t</w:t>
      </w:r>
      <w:r w:rsidR="00DE18E0" w:rsidRPr="00DE18E0">
        <w:rPr>
          <w:rFonts w:asciiTheme="majorHAnsi" w:hAnsiTheme="majorHAnsi" w:cstheme="majorHAnsi"/>
          <w:lang w:val="en-IN" w:eastAsia="en-IN"/>
        </w:rPr>
        <w:t xml:space="preserve">his protocol provides a systematic framework for postoperative assessment following chronic intracranial electrode implantation. Electrophysiological signals and systemic measures typically stabilize within 3–4 days, supporting reliable EEG acquisition within the first postoperative week, although mild neuroinflammation may persist without precluding functional recovery. By integrating technical checkpoints with </w:t>
      </w:r>
      <w:proofErr w:type="spellStart"/>
      <w:r w:rsidR="00DE18E0" w:rsidRPr="00DE18E0">
        <w:rPr>
          <w:rFonts w:asciiTheme="majorHAnsi" w:hAnsiTheme="majorHAnsi" w:cstheme="majorHAnsi"/>
          <w:lang w:val="en-IN" w:eastAsia="en-IN"/>
        </w:rPr>
        <w:t>behavioral</w:t>
      </w:r>
      <w:proofErr w:type="spellEnd"/>
      <w:r w:rsidR="00DE18E0" w:rsidRPr="00DE18E0">
        <w:rPr>
          <w:rFonts w:asciiTheme="majorHAnsi" w:hAnsiTheme="majorHAnsi" w:cstheme="majorHAnsi"/>
          <w:lang w:val="en-IN" w:eastAsia="en-IN"/>
        </w:rPr>
        <w:t>, physiological, and electrophysiological criteria, this approach improves reproducibility, supports animal welfare, and offers practical guidance for determining appropriate recording time points in chronic EEG studies.</w:t>
      </w:r>
    </w:p>
    <w:p w14:paraId="10B6BEF4" w14:textId="77777777" w:rsidR="00AF091D" w:rsidRPr="00462158" w:rsidRDefault="00AF091D" w:rsidP="00462158">
      <w:pPr>
        <w:jc w:val="both"/>
        <w:rPr>
          <w:rFonts w:asciiTheme="majorHAnsi" w:hAnsiTheme="majorHAnsi" w:cstheme="majorHAnsi"/>
          <w:lang w:eastAsia="en-US"/>
        </w:rPr>
      </w:pPr>
    </w:p>
    <w:p w14:paraId="10B6BEF5" w14:textId="77777777" w:rsidR="00AF091D" w:rsidRPr="00462158" w:rsidRDefault="005F75B1" w:rsidP="00462158">
      <w:pPr>
        <w:jc w:val="both"/>
        <w:rPr>
          <w:rFonts w:asciiTheme="majorHAnsi" w:hAnsiTheme="majorHAnsi" w:cstheme="majorHAnsi"/>
        </w:rPr>
      </w:pPr>
      <w:r w:rsidRPr="00462158">
        <w:rPr>
          <w:rFonts w:asciiTheme="majorHAnsi" w:hAnsiTheme="majorHAnsi" w:cstheme="majorHAnsi"/>
          <w:b/>
        </w:rPr>
        <w:t>ACKNOWLEDGMENTS</w:t>
      </w:r>
    </w:p>
    <w:p w14:paraId="3E077F5A" w14:textId="3203970E" w:rsidR="00DE18E0" w:rsidRPr="00462158" w:rsidRDefault="00DE18E0" w:rsidP="00462158">
      <w:pPr>
        <w:jc w:val="both"/>
        <w:rPr>
          <w:rFonts w:asciiTheme="majorHAnsi" w:hAnsiTheme="majorHAnsi" w:cstheme="majorHAnsi"/>
          <w:b/>
        </w:rPr>
      </w:pPr>
      <w:r w:rsidRPr="00462158">
        <w:rPr>
          <w:rFonts w:asciiTheme="majorHAnsi" w:hAnsiTheme="majorHAnsi" w:cstheme="majorHAnsi"/>
        </w:rPr>
        <w:t>This work was supported by the Excellent Young Talents Project of Capital Medical University (A2308).</w:t>
      </w:r>
    </w:p>
    <w:p w14:paraId="10B6BEF7" w14:textId="77777777" w:rsidR="00AF091D" w:rsidRPr="00462158" w:rsidRDefault="00AF091D" w:rsidP="00462158">
      <w:pPr>
        <w:jc w:val="both"/>
        <w:rPr>
          <w:rFonts w:asciiTheme="majorHAnsi" w:hAnsiTheme="majorHAnsi" w:cstheme="majorHAnsi"/>
          <w:b/>
        </w:rPr>
      </w:pPr>
    </w:p>
    <w:p w14:paraId="10B6BEF8" w14:textId="77777777" w:rsidR="00AF091D" w:rsidRPr="00462158" w:rsidRDefault="005F75B1" w:rsidP="00462158">
      <w:pPr>
        <w:jc w:val="both"/>
        <w:rPr>
          <w:rFonts w:asciiTheme="majorHAnsi" w:hAnsiTheme="majorHAnsi" w:cstheme="majorHAnsi"/>
          <w:b/>
        </w:rPr>
      </w:pPr>
      <w:r w:rsidRPr="00462158">
        <w:rPr>
          <w:rFonts w:asciiTheme="majorHAnsi" w:hAnsiTheme="majorHAnsi" w:cstheme="majorHAnsi"/>
          <w:b/>
        </w:rPr>
        <w:t xml:space="preserve">DISCLOSURES </w:t>
      </w:r>
    </w:p>
    <w:p w14:paraId="10B6BEF9" w14:textId="2C2E64B1" w:rsidR="00AF091D" w:rsidRPr="00462158" w:rsidRDefault="00E6230C" w:rsidP="00462158">
      <w:pPr>
        <w:jc w:val="both"/>
        <w:rPr>
          <w:rFonts w:asciiTheme="majorHAnsi" w:hAnsiTheme="majorHAnsi" w:cstheme="majorHAnsi"/>
        </w:rPr>
      </w:pPr>
      <w:r w:rsidRPr="00462158">
        <w:rPr>
          <w:rFonts w:asciiTheme="majorHAnsi" w:hAnsiTheme="majorHAnsi" w:cstheme="majorHAnsi"/>
        </w:rPr>
        <w:t>The authors have n</w:t>
      </w:r>
      <w:r w:rsidR="005F75B1" w:rsidRPr="00462158">
        <w:rPr>
          <w:rFonts w:asciiTheme="majorHAnsi" w:hAnsiTheme="majorHAnsi" w:cstheme="majorHAnsi"/>
        </w:rPr>
        <w:t>o conflicts of interest</w:t>
      </w:r>
      <w:r w:rsidRPr="00462158">
        <w:rPr>
          <w:rFonts w:asciiTheme="majorHAnsi" w:hAnsiTheme="majorHAnsi" w:cstheme="majorHAnsi"/>
        </w:rPr>
        <w:t xml:space="preserve"> to declare</w:t>
      </w:r>
      <w:r w:rsidR="005F75B1" w:rsidRPr="00462158">
        <w:rPr>
          <w:rFonts w:asciiTheme="majorHAnsi" w:hAnsiTheme="majorHAnsi" w:cstheme="majorHAnsi"/>
        </w:rPr>
        <w:t>.</w:t>
      </w:r>
    </w:p>
    <w:p w14:paraId="10B6BEFC" w14:textId="77777777" w:rsidR="00AF091D" w:rsidRPr="00462158" w:rsidRDefault="00AF091D" w:rsidP="00462158">
      <w:pPr>
        <w:jc w:val="both"/>
        <w:rPr>
          <w:rFonts w:asciiTheme="majorHAnsi" w:hAnsiTheme="majorHAnsi" w:cstheme="majorHAnsi"/>
        </w:rPr>
      </w:pPr>
    </w:p>
    <w:p w14:paraId="10B6BEFF" w14:textId="521F1CA0" w:rsidR="00AF091D" w:rsidRPr="00462158" w:rsidRDefault="00E6230C" w:rsidP="00462158">
      <w:pPr>
        <w:jc w:val="both"/>
        <w:rPr>
          <w:rFonts w:asciiTheme="majorHAnsi" w:hAnsiTheme="majorHAnsi" w:cstheme="majorHAnsi"/>
          <w:b/>
          <w:bCs/>
        </w:rPr>
      </w:pPr>
      <w:r w:rsidRPr="00462158">
        <w:rPr>
          <w:rFonts w:asciiTheme="majorHAnsi" w:hAnsiTheme="majorHAnsi" w:cstheme="majorHAnsi"/>
          <w:b/>
          <w:bCs/>
        </w:rPr>
        <w:t>REFERENCES:</w:t>
      </w:r>
    </w:p>
    <w:bookmarkEnd w:id="0"/>
    <w:p w14:paraId="3993CAF3"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lang w:val="en-IN" w:eastAsia="en-IN"/>
        </w:rPr>
      </w:pPr>
      <w:r w:rsidRPr="004722BF">
        <w:rPr>
          <w:rFonts w:asciiTheme="majorHAnsi" w:hAnsiTheme="majorHAnsi" w:cstheme="majorHAnsi"/>
          <w:lang w:val="de-DE"/>
        </w:rPr>
        <w:t xml:space="preserve">Adewole, D. O. et al. </w:t>
      </w:r>
      <w:r w:rsidRPr="00462158">
        <w:rPr>
          <w:rFonts w:asciiTheme="majorHAnsi" w:hAnsiTheme="majorHAnsi" w:cstheme="majorHAnsi"/>
        </w:rPr>
        <w:t xml:space="preserve">The evolution of </w:t>
      </w:r>
      <w:proofErr w:type="spellStart"/>
      <w:r w:rsidRPr="00462158">
        <w:rPr>
          <w:rFonts w:asciiTheme="majorHAnsi" w:hAnsiTheme="majorHAnsi" w:cstheme="majorHAnsi"/>
        </w:rPr>
        <w:t>neuroprosthetic</w:t>
      </w:r>
      <w:proofErr w:type="spellEnd"/>
      <w:r w:rsidRPr="00462158">
        <w:rPr>
          <w:rFonts w:asciiTheme="majorHAnsi" w:hAnsiTheme="majorHAnsi" w:cstheme="majorHAnsi"/>
        </w:rPr>
        <w:t xml:space="preserve"> interfaces. </w:t>
      </w:r>
      <w:r w:rsidRPr="00462158">
        <w:rPr>
          <w:rStyle w:val="Emphasis"/>
          <w:rFonts w:asciiTheme="majorHAnsi" w:hAnsiTheme="majorHAnsi" w:cstheme="majorHAnsi"/>
        </w:rPr>
        <w:t>Crit Rev Biomed Eng</w:t>
      </w:r>
      <w:r w:rsidRPr="00462158">
        <w:rPr>
          <w:rFonts w:asciiTheme="majorHAnsi" w:hAnsiTheme="majorHAnsi" w:cstheme="majorHAnsi"/>
        </w:rPr>
        <w:t xml:space="preserve">. </w:t>
      </w:r>
      <w:r w:rsidRPr="00462158">
        <w:rPr>
          <w:rStyle w:val="Strong"/>
          <w:rFonts w:asciiTheme="majorHAnsi" w:hAnsiTheme="majorHAnsi" w:cstheme="majorHAnsi"/>
        </w:rPr>
        <w:t>44</w:t>
      </w:r>
      <w:r w:rsidRPr="00462158">
        <w:rPr>
          <w:rFonts w:asciiTheme="majorHAnsi" w:hAnsiTheme="majorHAnsi" w:cstheme="majorHAnsi"/>
        </w:rPr>
        <w:t xml:space="preserve"> (1–2), 123–152 (2016).</w:t>
      </w:r>
    </w:p>
    <w:p w14:paraId="75DD8D3D"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Patil, A. C., Thakor, N. V. Implantable </w:t>
      </w:r>
      <w:proofErr w:type="spellStart"/>
      <w:r w:rsidRPr="00462158">
        <w:rPr>
          <w:rFonts w:asciiTheme="majorHAnsi" w:hAnsiTheme="majorHAnsi" w:cstheme="majorHAnsi"/>
        </w:rPr>
        <w:t>neurotechnologies</w:t>
      </w:r>
      <w:proofErr w:type="spellEnd"/>
      <w:r w:rsidRPr="00462158">
        <w:rPr>
          <w:rFonts w:asciiTheme="majorHAnsi" w:hAnsiTheme="majorHAnsi" w:cstheme="majorHAnsi"/>
        </w:rPr>
        <w:t xml:space="preserve">: a review of micro- and nanoelectrodes for neural recording. </w:t>
      </w:r>
      <w:r w:rsidRPr="00462158">
        <w:rPr>
          <w:rStyle w:val="Emphasis"/>
          <w:rFonts w:asciiTheme="majorHAnsi" w:hAnsiTheme="majorHAnsi" w:cstheme="majorHAnsi"/>
        </w:rPr>
        <w:t xml:space="preserve">Med Biol Eng </w:t>
      </w:r>
      <w:proofErr w:type="spellStart"/>
      <w:r w:rsidRPr="00462158">
        <w:rPr>
          <w:rStyle w:val="Emphasis"/>
          <w:rFonts w:asciiTheme="majorHAnsi" w:hAnsiTheme="majorHAnsi" w:cstheme="majorHAnsi"/>
        </w:rPr>
        <w:t>Comput</w:t>
      </w:r>
      <w:proofErr w:type="spellEnd"/>
      <w:r w:rsidRPr="00462158">
        <w:rPr>
          <w:rFonts w:asciiTheme="majorHAnsi" w:hAnsiTheme="majorHAnsi" w:cstheme="majorHAnsi"/>
        </w:rPr>
        <w:t xml:space="preserve">. </w:t>
      </w:r>
      <w:r w:rsidRPr="00462158">
        <w:rPr>
          <w:rStyle w:val="Strong"/>
          <w:rFonts w:asciiTheme="majorHAnsi" w:hAnsiTheme="majorHAnsi" w:cstheme="majorHAnsi"/>
        </w:rPr>
        <w:t>54</w:t>
      </w:r>
      <w:r w:rsidRPr="00462158">
        <w:rPr>
          <w:rFonts w:asciiTheme="majorHAnsi" w:hAnsiTheme="majorHAnsi" w:cstheme="majorHAnsi"/>
        </w:rPr>
        <w:t xml:space="preserve"> (1), 23–44 (2016).</w:t>
      </w:r>
    </w:p>
    <w:p w14:paraId="4F804981"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Ball, T., Kern, M., Mutschler, I., </w:t>
      </w:r>
      <w:proofErr w:type="spellStart"/>
      <w:r w:rsidRPr="00462158">
        <w:rPr>
          <w:rFonts w:asciiTheme="majorHAnsi" w:hAnsiTheme="majorHAnsi" w:cstheme="majorHAnsi"/>
        </w:rPr>
        <w:t>Aertsen</w:t>
      </w:r>
      <w:proofErr w:type="spellEnd"/>
      <w:r w:rsidRPr="00462158">
        <w:rPr>
          <w:rFonts w:asciiTheme="majorHAnsi" w:hAnsiTheme="majorHAnsi" w:cstheme="majorHAnsi"/>
        </w:rPr>
        <w:t>, A., Schulze-</w:t>
      </w:r>
      <w:proofErr w:type="spellStart"/>
      <w:r w:rsidRPr="00462158">
        <w:rPr>
          <w:rFonts w:asciiTheme="majorHAnsi" w:hAnsiTheme="majorHAnsi" w:cstheme="majorHAnsi"/>
        </w:rPr>
        <w:t>Bonhage</w:t>
      </w:r>
      <w:proofErr w:type="spellEnd"/>
      <w:r w:rsidRPr="00462158">
        <w:rPr>
          <w:rFonts w:asciiTheme="majorHAnsi" w:hAnsiTheme="majorHAnsi" w:cstheme="majorHAnsi"/>
        </w:rPr>
        <w:t xml:space="preserve">, A. Signal quality of simultaneously recorded invasive and non-invasive EEG. </w:t>
      </w:r>
      <w:r w:rsidRPr="00462158">
        <w:rPr>
          <w:rStyle w:val="Emphasis"/>
          <w:rFonts w:asciiTheme="majorHAnsi" w:hAnsiTheme="majorHAnsi" w:cstheme="majorHAnsi"/>
        </w:rPr>
        <w:t>Neuroimage</w:t>
      </w:r>
      <w:r w:rsidRPr="00462158">
        <w:rPr>
          <w:rFonts w:asciiTheme="majorHAnsi" w:hAnsiTheme="majorHAnsi" w:cstheme="majorHAnsi"/>
        </w:rPr>
        <w:t xml:space="preserve">. </w:t>
      </w:r>
      <w:r w:rsidRPr="00462158">
        <w:rPr>
          <w:rStyle w:val="Strong"/>
          <w:rFonts w:asciiTheme="majorHAnsi" w:hAnsiTheme="majorHAnsi" w:cstheme="majorHAnsi"/>
        </w:rPr>
        <w:t>46</w:t>
      </w:r>
      <w:r w:rsidRPr="00462158">
        <w:rPr>
          <w:rFonts w:asciiTheme="majorHAnsi" w:hAnsiTheme="majorHAnsi" w:cstheme="majorHAnsi"/>
        </w:rPr>
        <w:t xml:space="preserve"> (3), 708–716 (2009).</w:t>
      </w:r>
    </w:p>
    <w:p w14:paraId="0790CCE2"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Gao, R., Peterson, E. J., Voytek, B. Inferring synaptic excitation/inhibition balance from field potentials. </w:t>
      </w:r>
      <w:r w:rsidRPr="00462158">
        <w:rPr>
          <w:rStyle w:val="Emphasis"/>
          <w:rFonts w:asciiTheme="majorHAnsi" w:hAnsiTheme="majorHAnsi" w:cstheme="majorHAnsi"/>
        </w:rPr>
        <w:t>Neuroimage</w:t>
      </w:r>
      <w:r w:rsidRPr="00462158">
        <w:rPr>
          <w:rFonts w:asciiTheme="majorHAnsi" w:hAnsiTheme="majorHAnsi" w:cstheme="majorHAnsi"/>
        </w:rPr>
        <w:t xml:space="preserve">. </w:t>
      </w:r>
      <w:r w:rsidRPr="00462158">
        <w:rPr>
          <w:rStyle w:val="Strong"/>
          <w:rFonts w:asciiTheme="majorHAnsi" w:hAnsiTheme="majorHAnsi" w:cstheme="majorHAnsi"/>
        </w:rPr>
        <w:t>158</w:t>
      </w:r>
      <w:r w:rsidRPr="00462158">
        <w:rPr>
          <w:rFonts w:asciiTheme="majorHAnsi" w:hAnsiTheme="majorHAnsi" w:cstheme="majorHAnsi"/>
        </w:rPr>
        <w:t>, 70–78 (2017).</w:t>
      </w:r>
    </w:p>
    <w:p w14:paraId="5910A69C"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Wang, Z., Peng, Y. B. Multi-region local field potential signatures in response to the formalin-induced inflammatory stimulus in male rats. </w:t>
      </w:r>
      <w:r w:rsidRPr="00462158">
        <w:rPr>
          <w:rStyle w:val="Emphasis"/>
          <w:rFonts w:asciiTheme="majorHAnsi" w:hAnsiTheme="majorHAnsi" w:cstheme="majorHAnsi"/>
        </w:rPr>
        <w:t>Brain Res</w:t>
      </w:r>
      <w:r w:rsidRPr="00462158">
        <w:rPr>
          <w:rFonts w:asciiTheme="majorHAnsi" w:hAnsiTheme="majorHAnsi" w:cstheme="majorHAnsi"/>
        </w:rPr>
        <w:t xml:space="preserve">. </w:t>
      </w:r>
      <w:r w:rsidRPr="00462158">
        <w:rPr>
          <w:rStyle w:val="Strong"/>
          <w:rFonts w:asciiTheme="majorHAnsi" w:hAnsiTheme="majorHAnsi" w:cstheme="majorHAnsi"/>
        </w:rPr>
        <w:t>1778</w:t>
      </w:r>
      <w:r w:rsidRPr="00462158">
        <w:rPr>
          <w:rFonts w:asciiTheme="majorHAnsi" w:hAnsiTheme="majorHAnsi" w:cstheme="majorHAnsi"/>
        </w:rPr>
        <w:t>, 147779 (2022).</w:t>
      </w:r>
    </w:p>
    <w:p w14:paraId="6ED48476"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lastRenderedPageBreak/>
        <w:t>Morales-</w:t>
      </w:r>
      <w:proofErr w:type="spellStart"/>
      <w:r w:rsidRPr="00462158">
        <w:rPr>
          <w:rFonts w:asciiTheme="majorHAnsi" w:hAnsiTheme="majorHAnsi" w:cstheme="majorHAnsi"/>
        </w:rPr>
        <w:t>Villagrán</w:t>
      </w:r>
      <w:proofErr w:type="spellEnd"/>
      <w:r w:rsidRPr="00462158">
        <w:rPr>
          <w:rFonts w:asciiTheme="majorHAnsi" w:hAnsiTheme="majorHAnsi" w:cstheme="majorHAnsi"/>
        </w:rPr>
        <w:t xml:space="preserve">, A., Medina-Ceja, L., López-Pérez, S. J. Simultaneous glutamate and EEG activity measurements during seizures in rat hippocampal region with the use of an electrochemical biosensor. </w:t>
      </w:r>
      <w:r w:rsidRPr="00462158">
        <w:rPr>
          <w:rStyle w:val="Emphasis"/>
          <w:rFonts w:asciiTheme="majorHAnsi" w:hAnsiTheme="majorHAnsi" w:cstheme="majorHAnsi"/>
        </w:rPr>
        <w:t xml:space="preserve">J </w:t>
      </w:r>
      <w:proofErr w:type="spellStart"/>
      <w:r w:rsidRPr="00462158">
        <w:rPr>
          <w:rStyle w:val="Emphasis"/>
          <w:rFonts w:asciiTheme="majorHAnsi" w:hAnsiTheme="majorHAnsi" w:cstheme="majorHAnsi"/>
        </w:rPr>
        <w:t>Neurosci</w:t>
      </w:r>
      <w:proofErr w:type="spellEnd"/>
      <w:r w:rsidRPr="00462158">
        <w:rPr>
          <w:rStyle w:val="Emphasis"/>
          <w:rFonts w:asciiTheme="majorHAnsi" w:hAnsiTheme="majorHAnsi" w:cstheme="majorHAnsi"/>
        </w:rPr>
        <w:t xml:space="preserve"> Methods</w:t>
      </w:r>
      <w:r w:rsidRPr="00462158">
        <w:rPr>
          <w:rFonts w:asciiTheme="majorHAnsi" w:hAnsiTheme="majorHAnsi" w:cstheme="majorHAnsi"/>
        </w:rPr>
        <w:t xml:space="preserve">. </w:t>
      </w:r>
      <w:r w:rsidRPr="00462158">
        <w:rPr>
          <w:rStyle w:val="Strong"/>
          <w:rFonts w:asciiTheme="majorHAnsi" w:hAnsiTheme="majorHAnsi" w:cstheme="majorHAnsi"/>
        </w:rPr>
        <w:t>168</w:t>
      </w:r>
      <w:r w:rsidRPr="00462158">
        <w:rPr>
          <w:rFonts w:asciiTheme="majorHAnsi" w:hAnsiTheme="majorHAnsi" w:cstheme="majorHAnsi"/>
        </w:rPr>
        <w:t xml:space="preserve"> (1), 48–53 (2008).</w:t>
      </w:r>
    </w:p>
    <w:p w14:paraId="69EAA23E"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Bragin, A., </w:t>
      </w:r>
      <w:proofErr w:type="spellStart"/>
      <w:r w:rsidRPr="00462158">
        <w:rPr>
          <w:rFonts w:asciiTheme="majorHAnsi" w:hAnsiTheme="majorHAnsi" w:cstheme="majorHAnsi"/>
        </w:rPr>
        <w:t>Azizyan</w:t>
      </w:r>
      <w:proofErr w:type="spellEnd"/>
      <w:r w:rsidRPr="00462158">
        <w:rPr>
          <w:rFonts w:asciiTheme="majorHAnsi" w:hAnsiTheme="majorHAnsi" w:cstheme="majorHAnsi"/>
        </w:rPr>
        <w:t xml:space="preserve">, A., </w:t>
      </w:r>
      <w:proofErr w:type="spellStart"/>
      <w:r w:rsidRPr="00462158">
        <w:rPr>
          <w:rFonts w:asciiTheme="majorHAnsi" w:hAnsiTheme="majorHAnsi" w:cstheme="majorHAnsi"/>
        </w:rPr>
        <w:t>Almajano</w:t>
      </w:r>
      <w:proofErr w:type="spellEnd"/>
      <w:r w:rsidRPr="00462158">
        <w:rPr>
          <w:rFonts w:asciiTheme="majorHAnsi" w:hAnsiTheme="majorHAnsi" w:cstheme="majorHAnsi"/>
        </w:rPr>
        <w:t xml:space="preserve">, J., Wilson, C. L., Engel, J., Jr. Analysis of chronic seizure onsets after intrahippocampal kainic acid injection in freely moving rats. </w:t>
      </w:r>
      <w:r w:rsidRPr="00462158">
        <w:rPr>
          <w:rStyle w:val="Emphasis"/>
          <w:rFonts w:asciiTheme="majorHAnsi" w:hAnsiTheme="majorHAnsi" w:cstheme="majorHAnsi"/>
        </w:rPr>
        <w:t>Epilepsia</w:t>
      </w:r>
      <w:r w:rsidRPr="00462158">
        <w:rPr>
          <w:rFonts w:asciiTheme="majorHAnsi" w:hAnsiTheme="majorHAnsi" w:cstheme="majorHAnsi"/>
        </w:rPr>
        <w:t xml:space="preserve">. </w:t>
      </w:r>
      <w:r w:rsidRPr="00462158">
        <w:rPr>
          <w:rStyle w:val="Strong"/>
          <w:rFonts w:asciiTheme="majorHAnsi" w:hAnsiTheme="majorHAnsi" w:cstheme="majorHAnsi"/>
        </w:rPr>
        <w:t>46</w:t>
      </w:r>
      <w:r w:rsidRPr="00462158">
        <w:rPr>
          <w:rFonts w:asciiTheme="majorHAnsi" w:hAnsiTheme="majorHAnsi" w:cstheme="majorHAnsi"/>
        </w:rPr>
        <w:t xml:space="preserve"> (10), 1592–1598 (2005).</w:t>
      </w:r>
    </w:p>
    <w:p w14:paraId="695F1CA2" w14:textId="3183EFDE"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t>Andiné</w:t>
      </w:r>
      <w:proofErr w:type="spellEnd"/>
      <w:r w:rsidRPr="00462158">
        <w:rPr>
          <w:rFonts w:asciiTheme="majorHAnsi" w:hAnsiTheme="majorHAnsi" w:cstheme="majorHAnsi"/>
        </w:rPr>
        <w:t xml:space="preserve">, P., Rudolphi, K. A., Fredholm, B. B., Hagberg, H. Effect of propentofylline (HWA 285) on extracellular purines and excitatory amino acids in </w:t>
      </w:r>
      <w:r w:rsidR="00A13F0E">
        <w:rPr>
          <w:rFonts w:asciiTheme="majorHAnsi" w:hAnsiTheme="majorHAnsi" w:cstheme="majorHAnsi"/>
        </w:rPr>
        <w:t>CA1</w:t>
      </w:r>
      <w:r w:rsidRPr="00462158">
        <w:rPr>
          <w:rFonts w:asciiTheme="majorHAnsi" w:hAnsiTheme="majorHAnsi" w:cstheme="majorHAnsi"/>
        </w:rPr>
        <w:t xml:space="preserve"> of rat hippocampus during transient </w:t>
      </w:r>
      <w:proofErr w:type="spellStart"/>
      <w:r w:rsidRPr="00462158">
        <w:rPr>
          <w:rFonts w:asciiTheme="majorHAnsi" w:hAnsiTheme="majorHAnsi" w:cstheme="majorHAnsi"/>
        </w:rPr>
        <w:t>ischaemia</w:t>
      </w:r>
      <w:proofErr w:type="spellEnd"/>
      <w:r w:rsidRPr="00462158">
        <w:rPr>
          <w:rFonts w:asciiTheme="majorHAnsi" w:hAnsiTheme="majorHAnsi" w:cstheme="majorHAnsi"/>
        </w:rPr>
        <w:t xml:space="preserve">. </w:t>
      </w:r>
      <w:r w:rsidRPr="00462158">
        <w:rPr>
          <w:rStyle w:val="Emphasis"/>
          <w:rFonts w:asciiTheme="majorHAnsi" w:hAnsiTheme="majorHAnsi" w:cstheme="majorHAnsi"/>
        </w:rPr>
        <w:t>Br J Pharmacol</w:t>
      </w:r>
      <w:r w:rsidRPr="00462158">
        <w:rPr>
          <w:rFonts w:asciiTheme="majorHAnsi" w:hAnsiTheme="majorHAnsi" w:cstheme="majorHAnsi"/>
        </w:rPr>
        <w:t xml:space="preserve">. </w:t>
      </w:r>
      <w:r w:rsidRPr="00462158">
        <w:rPr>
          <w:rStyle w:val="Strong"/>
          <w:rFonts w:asciiTheme="majorHAnsi" w:hAnsiTheme="majorHAnsi" w:cstheme="majorHAnsi"/>
        </w:rPr>
        <w:t>100</w:t>
      </w:r>
      <w:r w:rsidRPr="00462158">
        <w:rPr>
          <w:rFonts w:asciiTheme="majorHAnsi" w:hAnsiTheme="majorHAnsi" w:cstheme="majorHAnsi"/>
        </w:rPr>
        <w:t xml:space="preserve"> (4), 814–818 (1990).</w:t>
      </w:r>
    </w:p>
    <w:p w14:paraId="00DA5337"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Jech, R. et al. Deep brain stimulation of the subthalamic nucleus affects resting EEG and visual evoked potentials in Parkinson's disease. </w:t>
      </w:r>
      <w:r w:rsidRPr="00462158">
        <w:rPr>
          <w:rStyle w:val="Emphasis"/>
          <w:rFonts w:asciiTheme="majorHAnsi" w:hAnsiTheme="majorHAnsi" w:cstheme="majorHAnsi"/>
        </w:rPr>
        <w:t xml:space="preserve">Clin </w:t>
      </w:r>
      <w:proofErr w:type="spellStart"/>
      <w:r w:rsidRPr="00462158">
        <w:rPr>
          <w:rStyle w:val="Emphasis"/>
          <w:rFonts w:asciiTheme="majorHAnsi" w:hAnsiTheme="majorHAnsi" w:cstheme="majorHAnsi"/>
        </w:rPr>
        <w:t>Neurophysiol</w:t>
      </w:r>
      <w:proofErr w:type="spellEnd"/>
      <w:r w:rsidRPr="00462158">
        <w:rPr>
          <w:rFonts w:asciiTheme="majorHAnsi" w:hAnsiTheme="majorHAnsi" w:cstheme="majorHAnsi"/>
        </w:rPr>
        <w:t xml:space="preserve">. </w:t>
      </w:r>
      <w:r w:rsidRPr="00462158">
        <w:rPr>
          <w:rStyle w:val="Strong"/>
          <w:rFonts w:asciiTheme="majorHAnsi" w:hAnsiTheme="majorHAnsi" w:cstheme="majorHAnsi"/>
        </w:rPr>
        <w:t>117</w:t>
      </w:r>
      <w:r w:rsidRPr="00462158">
        <w:rPr>
          <w:rFonts w:asciiTheme="majorHAnsi" w:hAnsiTheme="majorHAnsi" w:cstheme="majorHAnsi"/>
        </w:rPr>
        <w:t xml:space="preserve"> (5), 1017–1028 (2006).</w:t>
      </w:r>
    </w:p>
    <w:p w14:paraId="52B708B8"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Makowiecki, K., Garrett, A., Clark, V., Graham, S. L., Rodger, J. Reliability of VEP recordings using chronically implanted screw electrodes in mice. </w:t>
      </w:r>
      <w:proofErr w:type="spellStart"/>
      <w:r w:rsidRPr="00462158">
        <w:rPr>
          <w:rStyle w:val="Emphasis"/>
          <w:rFonts w:asciiTheme="majorHAnsi" w:hAnsiTheme="majorHAnsi" w:cstheme="majorHAnsi"/>
        </w:rPr>
        <w:t>Transl</w:t>
      </w:r>
      <w:proofErr w:type="spellEnd"/>
      <w:r w:rsidRPr="00462158">
        <w:rPr>
          <w:rStyle w:val="Emphasis"/>
          <w:rFonts w:asciiTheme="majorHAnsi" w:hAnsiTheme="majorHAnsi" w:cstheme="majorHAnsi"/>
        </w:rPr>
        <w:t xml:space="preserve"> Vis Sci Technol</w:t>
      </w:r>
      <w:r w:rsidRPr="00462158">
        <w:rPr>
          <w:rFonts w:asciiTheme="majorHAnsi" w:hAnsiTheme="majorHAnsi" w:cstheme="majorHAnsi"/>
        </w:rPr>
        <w:t xml:space="preserve">. </w:t>
      </w:r>
      <w:r w:rsidRPr="00462158">
        <w:rPr>
          <w:rStyle w:val="Strong"/>
          <w:rFonts w:asciiTheme="majorHAnsi" w:hAnsiTheme="majorHAnsi" w:cstheme="majorHAnsi"/>
        </w:rPr>
        <w:t>4</w:t>
      </w:r>
      <w:r w:rsidRPr="00462158">
        <w:rPr>
          <w:rFonts w:asciiTheme="majorHAnsi" w:hAnsiTheme="majorHAnsi" w:cstheme="majorHAnsi"/>
        </w:rPr>
        <w:t xml:space="preserve"> (2), 15 (2015).</w:t>
      </w:r>
    </w:p>
    <w:p w14:paraId="52D66D56"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York, M. K. et al. Cognitive declines following bilateral subthalamic nucleus deep brain stimulation for the treatment of Parkinson's disease. </w:t>
      </w:r>
      <w:r w:rsidRPr="00462158">
        <w:rPr>
          <w:rStyle w:val="Emphasis"/>
          <w:rFonts w:asciiTheme="majorHAnsi" w:hAnsiTheme="majorHAnsi" w:cstheme="majorHAnsi"/>
        </w:rPr>
        <w:t xml:space="preserve">J Neurol </w:t>
      </w:r>
      <w:proofErr w:type="spellStart"/>
      <w:r w:rsidRPr="00462158">
        <w:rPr>
          <w:rStyle w:val="Emphasis"/>
          <w:rFonts w:asciiTheme="majorHAnsi" w:hAnsiTheme="majorHAnsi" w:cstheme="majorHAnsi"/>
        </w:rPr>
        <w:t>Neurosurg</w:t>
      </w:r>
      <w:proofErr w:type="spellEnd"/>
      <w:r w:rsidRPr="00462158">
        <w:rPr>
          <w:rStyle w:val="Emphasis"/>
          <w:rFonts w:asciiTheme="majorHAnsi" w:hAnsiTheme="majorHAnsi" w:cstheme="majorHAnsi"/>
        </w:rPr>
        <w:t xml:space="preserve"> Psychiatry</w:t>
      </w:r>
      <w:r w:rsidRPr="00462158">
        <w:rPr>
          <w:rFonts w:asciiTheme="majorHAnsi" w:hAnsiTheme="majorHAnsi" w:cstheme="majorHAnsi"/>
        </w:rPr>
        <w:t xml:space="preserve">. </w:t>
      </w:r>
      <w:r w:rsidRPr="00462158">
        <w:rPr>
          <w:rStyle w:val="Strong"/>
          <w:rFonts w:asciiTheme="majorHAnsi" w:hAnsiTheme="majorHAnsi" w:cstheme="majorHAnsi"/>
        </w:rPr>
        <w:t>79</w:t>
      </w:r>
      <w:r w:rsidRPr="00462158">
        <w:rPr>
          <w:rFonts w:asciiTheme="majorHAnsi" w:hAnsiTheme="majorHAnsi" w:cstheme="majorHAnsi"/>
        </w:rPr>
        <w:t xml:space="preserve"> (7), 789–795 (2008).</w:t>
      </w:r>
    </w:p>
    <w:p w14:paraId="072D502A"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Zhang, D. et al. </w:t>
      </w:r>
      <w:proofErr w:type="spellStart"/>
      <w:r w:rsidRPr="00462158">
        <w:rPr>
          <w:rFonts w:asciiTheme="majorHAnsi" w:hAnsiTheme="majorHAnsi" w:cstheme="majorHAnsi"/>
        </w:rPr>
        <w:t>Tenuigenin</w:t>
      </w:r>
      <w:proofErr w:type="spellEnd"/>
      <w:r w:rsidRPr="00462158">
        <w:rPr>
          <w:rFonts w:asciiTheme="majorHAnsi" w:hAnsiTheme="majorHAnsi" w:cstheme="majorHAnsi"/>
        </w:rPr>
        <w:t xml:space="preserve"> promotes non-rapid eye movement sleep via the GABA(A) receptor and exerts </w:t>
      </w:r>
      <w:proofErr w:type="spellStart"/>
      <w:r w:rsidRPr="00462158">
        <w:rPr>
          <w:rFonts w:asciiTheme="majorHAnsi" w:hAnsiTheme="majorHAnsi" w:cstheme="majorHAnsi"/>
        </w:rPr>
        <w:t>somnogenic</w:t>
      </w:r>
      <w:proofErr w:type="spellEnd"/>
      <w:r w:rsidRPr="00462158">
        <w:rPr>
          <w:rFonts w:asciiTheme="majorHAnsi" w:hAnsiTheme="majorHAnsi" w:cstheme="majorHAnsi"/>
        </w:rPr>
        <w:t xml:space="preserve"> effect in a MPTP mouse model of Parkinson's disease. </w:t>
      </w:r>
      <w:r w:rsidRPr="00462158">
        <w:rPr>
          <w:rStyle w:val="Emphasis"/>
          <w:rFonts w:asciiTheme="majorHAnsi" w:hAnsiTheme="majorHAnsi" w:cstheme="majorHAnsi"/>
        </w:rPr>
        <w:t xml:space="preserve">Biomed </w:t>
      </w:r>
      <w:proofErr w:type="spellStart"/>
      <w:r w:rsidRPr="00462158">
        <w:rPr>
          <w:rStyle w:val="Emphasis"/>
          <w:rFonts w:asciiTheme="majorHAnsi" w:hAnsiTheme="majorHAnsi" w:cstheme="majorHAnsi"/>
        </w:rPr>
        <w:t>Pharmacother</w:t>
      </w:r>
      <w:proofErr w:type="spellEnd"/>
      <w:r w:rsidRPr="00462158">
        <w:rPr>
          <w:rFonts w:asciiTheme="majorHAnsi" w:hAnsiTheme="majorHAnsi" w:cstheme="majorHAnsi"/>
        </w:rPr>
        <w:t xml:space="preserve">. </w:t>
      </w:r>
      <w:r w:rsidRPr="00462158">
        <w:rPr>
          <w:rStyle w:val="Strong"/>
          <w:rFonts w:asciiTheme="majorHAnsi" w:hAnsiTheme="majorHAnsi" w:cstheme="majorHAnsi"/>
        </w:rPr>
        <w:t>165</w:t>
      </w:r>
      <w:r w:rsidRPr="00462158">
        <w:rPr>
          <w:rFonts w:asciiTheme="majorHAnsi" w:hAnsiTheme="majorHAnsi" w:cstheme="majorHAnsi"/>
        </w:rPr>
        <w:t>, 115259 (2023).</w:t>
      </w:r>
    </w:p>
    <w:p w14:paraId="70691F84"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Sun, X. et al. Longitudinal analysis of sleep-wake states in neonatal rats subjected to hypoxia-ischemia. </w:t>
      </w:r>
      <w:r w:rsidRPr="00462158">
        <w:rPr>
          <w:rStyle w:val="Emphasis"/>
          <w:rFonts w:asciiTheme="majorHAnsi" w:hAnsiTheme="majorHAnsi" w:cstheme="majorHAnsi"/>
        </w:rPr>
        <w:t>Nat Sci Sleep</w:t>
      </w:r>
      <w:r w:rsidRPr="00462158">
        <w:rPr>
          <w:rFonts w:asciiTheme="majorHAnsi" w:hAnsiTheme="majorHAnsi" w:cstheme="majorHAnsi"/>
        </w:rPr>
        <w:t xml:space="preserve">. </w:t>
      </w:r>
      <w:r w:rsidRPr="00462158">
        <w:rPr>
          <w:rStyle w:val="Strong"/>
          <w:rFonts w:asciiTheme="majorHAnsi" w:hAnsiTheme="majorHAnsi" w:cstheme="majorHAnsi"/>
        </w:rPr>
        <w:t>14</w:t>
      </w:r>
      <w:r w:rsidRPr="00462158">
        <w:rPr>
          <w:rFonts w:asciiTheme="majorHAnsi" w:hAnsiTheme="majorHAnsi" w:cstheme="majorHAnsi"/>
        </w:rPr>
        <w:t>, 335–346 (2022).</w:t>
      </w:r>
    </w:p>
    <w:p w14:paraId="0BEAF701"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Rensing, N., Moy, B., Friedman, J. L., Galindo, R., Wong, M. Longitudinal analysis of developmental changes in electroencephalography patterns and sleep-wake states of the neonatal mouse. </w:t>
      </w:r>
      <w:proofErr w:type="spellStart"/>
      <w:r w:rsidRPr="00462158">
        <w:rPr>
          <w:rStyle w:val="Emphasis"/>
          <w:rFonts w:asciiTheme="majorHAnsi" w:hAnsiTheme="majorHAnsi" w:cstheme="majorHAnsi"/>
        </w:rPr>
        <w:t>PLoS</w:t>
      </w:r>
      <w:proofErr w:type="spellEnd"/>
      <w:r w:rsidRPr="00462158">
        <w:rPr>
          <w:rStyle w:val="Emphasis"/>
          <w:rFonts w:asciiTheme="majorHAnsi" w:hAnsiTheme="majorHAnsi" w:cstheme="majorHAnsi"/>
        </w:rPr>
        <w:t xml:space="preserve"> One</w:t>
      </w:r>
      <w:r w:rsidRPr="00462158">
        <w:rPr>
          <w:rFonts w:asciiTheme="majorHAnsi" w:hAnsiTheme="majorHAnsi" w:cstheme="majorHAnsi"/>
        </w:rPr>
        <w:t xml:space="preserve">. </w:t>
      </w:r>
      <w:r w:rsidRPr="00462158">
        <w:rPr>
          <w:rStyle w:val="Strong"/>
          <w:rFonts w:asciiTheme="majorHAnsi" w:hAnsiTheme="majorHAnsi" w:cstheme="majorHAnsi"/>
        </w:rPr>
        <w:t>13</w:t>
      </w:r>
      <w:r w:rsidRPr="00462158">
        <w:rPr>
          <w:rFonts w:asciiTheme="majorHAnsi" w:hAnsiTheme="majorHAnsi" w:cstheme="majorHAnsi"/>
        </w:rPr>
        <w:t xml:space="preserve"> (11), e0207031 (2018).</w:t>
      </w:r>
    </w:p>
    <w:p w14:paraId="50129224"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t>Bastianini</w:t>
      </w:r>
      <w:proofErr w:type="spellEnd"/>
      <w:r w:rsidRPr="00462158">
        <w:rPr>
          <w:rFonts w:asciiTheme="majorHAnsi" w:hAnsiTheme="majorHAnsi" w:cstheme="majorHAnsi"/>
        </w:rPr>
        <w:t xml:space="preserve">, S. et al. Ageing-related modification of sleep and breathing in orexin-knockout narcoleptic mice. </w:t>
      </w:r>
      <w:r w:rsidRPr="00462158">
        <w:rPr>
          <w:rStyle w:val="Emphasis"/>
          <w:rFonts w:asciiTheme="majorHAnsi" w:hAnsiTheme="majorHAnsi" w:cstheme="majorHAnsi"/>
        </w:rPr>
        <w:t>J Sleep Res</w:t>
      </w:r>
      <w:r w:rsidRPr="00462158">
        <w:rPr>
          <w:rFonts w:asciiTheme="majorHAnsi" w:hAnsiTheme="majorHAnsi" w:cstheme="majorHAnsi"/>
        </w:rPr>
        <w:t xml:space="preserve">. </w:t>
      </w:r>
      <w:r w:rsidRPr="00462158">
        <w:rPr>
          <w:rStyle w:val="Strong"/>
          <w:rFonts w:asciiTheme="majorHAnsi" w:hAnsiTheme="majorHAnsi" w:cstheme="majorHAnsi"/>
        </w:rPr>
        <w:t>34</w:t>
      </w:r>
      <w:r w:rsidRPr="00462158">
        <w:rPr>
          <w:rFonts w:asciiTheme="majorHAnsi" w:hAnsiTheme="majorHAnsi" w:cstheme="majorHAnsi"/>
        </w:rPr>
        <w:t xml:space="preserve"> (2), e14287 (2025).</w:t>
      </w:r>
    </w:p>
    <w:p w14:paraId="737D526E"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Cao, Q. et al. </w:t>
      </w:r>
      <w:proofErr w:type="spellStart"/>
      <w:r w:rsidRPr="00462158">
        <w:rPr>
          <w:rFonts w:asciiTheme="majorHAnsi" w:hAnsiTheme="majorHAnsi" w:cstheme="majorHAnsi"/>
        </w:rPr>
        <w:t>Tenuifolin</w:t>
      </w:r>
      <w:proofErr w:type="spellEnd"/>
      <w:r w:rsidRPr="00462158">
        <w:rPr>
          <w:rFonts w:asciiTheme="majorHAnsi" w:hAnsiTheme="majorHAnsi" w:cstheme="majorHAnsi"/>
        </w:rPr>
        <w:t xml:space="preserve">, a saponin derived from Radix </w:t>
      </w:r>
      <w:proofErr w:type="spellStart"/>
      <w:r w:rsidRPr="00462158">
        <w:rPr>
          <w:rFonts w:asciiTheme="majorHAnsi" w:hAnsiTheme="majorHAnsi" w:cstheme="majorHAnsi"/>
        </w:rPr>
        <w:t>Polygalae</w:t>
      </w:r>
      <w:proofErr w:type="spellEnd"/>
      <w:r w:rsidRPr="00462158">
        <w:rPr>
          <w:rFonts w:asciiTheme="majorHAnsi" w:hAnsiTheme="majorHAnsi" w:cstheme="majorHAnsi"/>
        </w:rPr>
        <w:t xml:space="preserve">, exhibits sleep-enhancing effects in mice. </w:t>
      </w:r>
      <w:r w:rsidRPr="00462158">
        <w:rPr>
          <w:rStyle w:val="Emphasis"/>
          <w:rFonts w:asciiTheme="majorHAnsi" w:hAnsiTheme="majorHAnsi" w:cstheme="majorHAnsi"/>
        </w:rPr>
        <w:t>Phytomedicine</w:t>
      </w:r>
      <w:r w:rsidRPr="00462158">
        <w:rPr>
          <w:rFonts w:asciiTheme="majorHAnsi" w:hAnsiTheme="majorHAnsi" w:cstheme="majorHAnsi"/>
        </w:rPr>
        <w:t xml:space="preserve">. </w:t>
      </w:r>
      <w:r w:rsidRPr="00462158">
        <w:rPr>
          <w:rStyle w:val="Strong"/>
          <w:rFonts w:asciiTheme="majorHAnsi" w:hAnsiTheme="majorHAnsi" w:cstheme="majorHAnsi"/>
        </w:rPr>
        <w:t>23</w:t>
      </w:r>
      <w:r w:rsidRPr="00462158">
        <w:rPr>
          <w:rFonts w:asciiTheme="majorHAnsi" w:hAnsiTheme="majorHAnsi" w:cstheme="majorHAnsi"/>
        </w:rPr>
        <w:t xml:space="preserve"> (14), 1797–1805 (2016).</w:t>
      </w:r>
    </w:p>
    <w:p w14:paraId="29D0409F"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t>Chiprés</w:t>
      </w:r>
      <w:proofErr w:type="spellEnd"/>
      <w:r w:rsidRPr="00462158">
        <w:rPr>
          <w:rFonts w:asciiTheme="majorHAnsi" w:hAnsiTheme="majorHAnsi" w:cstheme="majorHAnsi"/>
        </w:rPr>
        <w:t xml:space="preserve">-Tinajero, G. A., Núñez-Ochoa, M. A., Medina-Ceja, L. Changes in physiological and pathological </w:t>
      </w:r>
      <w:proofErr w:type="spellStart"/>
      <w:r w:rsidRPr="00462158">
        <w:rPr>
          <w:rFonts w:asciiTheme="majorHAnsi" w:hAnsiTheme="majorHAnsi" w:cstheme="majorHAnsi"/>
        </w:rPr>
        <w:t>behaviours</w:t>
      </w:r>
      <w:proofErr w:type="spellEnd"/>
      <w:r w:rsidRPr="00462158">
        <w:rPr>
          <w:rFonts w:asciiTheme="majorHAnsi" w:hAnsiTheme="majorHAnsi" w:cstheme="majorHAnsi"/>
        </w:rPr>
        <w:t xml:space="preserve"> produced by deep microelectrode implantation surgery in rats: a temporal analysis. </w:t>
      </w:r>
      <w:proofErr w:type="spellStart"/>
      <w:r w:rsidRPr="00462158">
        <w:rPr>
          <w:rStyle w:val="Emphasis"/>
          <w:rFonts w:asciiTheme="majorHAnsi" w:hAnsiTheme="majorHAnsi" w:cstheme="majorHAnsi"/>
        </w:rPr>
        <w:t>Behav</w:t>
      </w:r>
      <w:proofErr w:type="spellEnd"/>
      <w:r w:rsidRPr="00462158">
        <w:rPr>
          <w:rStyle w:val="Emphasis"/>
          <w:rFonts w:asciiTheme="majorHAnsi" w:hAnsiTheme="majorHAnsi" w:cstheme="majorHAnsi"/>
        </w:rPr>
        <w:t xml:space="preserve"> Neurol</w:t>
      </w:r>
      <w:r w:rsidRPr="00462158">
        <w:rPr>
          <w:rFonts w:asciiTheme="majorHAnsi" w:hAnsiTheme="majorHAnsi" w:cstheme="majorHAnsi"/>
        </w:rPr>
        <w:t xml:space="preserve">. </w:t>
      </w:r>
      <w:r w:rsidRPr="00462158">
        <w:rPr>
          <w:rStyle w:val="Strong"/>
          <w:rFonts w:asciiTheme="majorHAnsi" w:hAnsiTheme="majorHAnsi" w:cstheme="majorHAnsi"/>
        </w:rPr>
        <w:t>2020</w:t>
      </w:r>
      <w:r w:rsidRPr="00462158">
        <w:rPr>
          <w:rFonts w:asciiTheme="majorHAnsi" w:hAnsiTheme="majorHAnsi" w:cstheme="majorHAnsi"/>
        </w:rPr>
        <w:t>, 4385706 (2020).</w:t>
      </w:r>
    </w:p>
    <w:p w14:paraId="354BD493"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Bragin, A. et al. Pathologic electrographic changes after experimental traumatic brain injury. </w:t>
      </w:r>
      <w:r w:rsidRPr="00462158">
        <w:rPr>
          <w:rStyle w:val="Emphasis"/>
          <w:rFonts w:asciiTheme="majorHAnsi" w:hAnsiTheme="majorHAnsi" w:cstheme="majorHAnsi"/>
        </w:rPr>
        <w:t>Epilepsia</w:t>
      </w:r>
      <w:r w:rsidRPr="00462158">
        <w:rPr>
          <w:rFonts w:asciiTheme="majorHAnsi" w:hAnsiTheme="majorHAnsi" w:cstheme="majorHAnsi"/>
        </w:rPr>
        <w:t xml:space="preserve">. </w:t>
      </w:r>
      <w:r w:rsidRPr="00462158">
        <w:rPr>
          <w:rStyle w:val="Strong"/>
          <w:rFonts w:asciiTheme="majorHAnsi" w:hAnsiTheme="majorHAnsi" w:cstheme="majorHAnsi"/>
        </w:rPr>
        <w:t>57</w:t>
      </w:r>
      <w:r w:rsidRPr="00462158">
        <w:rPr>
          <w:rFonts w:asciiTheme="majorHAnsi" w:hAnsiTheme="majorHAnsi" w:cstheme="majorHAnsi"/>
        </w:rPr>
        <w:t xml:space="preserve"> (5), 735–745 (2016).</w:t>
      </w:r>
    </w:p>
    <w:p w14:paraId="3926E9D0"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t>Deuis</w:t>
      </w:r>
      <w:proofErr w:type="spellEnd"/>
      <w:r w:rsidRPr="00462158">
        <w:rPr>
          <w:rFonts w:asciiTheme="majorHAnsi" w:hAnsiTheme="majorHAnsi" w:cstheme="majorHAnsi"/>
        </w:rPr>
        <w:t xml:space="preserve">, J. R., </w:t>
      </w:r>
      <w:proofErr w:type="spellStart"/>
      <w:r w:rsidRPr="00462158">
        <w:rPr>
          <w:rFonts w:asciiTheme="majorHAnsi" w:hAnsiTheme="majorHAnsi" w:cstheme="majorHAnsi"/>
        </w:rPr>
        <w:t>Dvorakova</w:t>
      </w:r>
      <w:proofErr w:type="spellEnd"/>
      <w:r w:rsidRPr="00462158">
        <w:rPr>
          <w:rFonts w:asciiTheme="majorHAnsi" w:hAnsiTheme="majorHAnsi" w:cstheme="majorHAnsi"/>
        </w:rPr>
        <w:t xml:space="preserve">, L. S., Vetter, I. Methods used to evaluate pain behaviors in rodents. </w:t>
      </w:r>
      <w:r w:rsidRPr="00462158">
        <w:rPr>
          <w:rStyle w:val="Emphasis"/>
          <w:rFonts w:asciiTheme="majorHAnsi" w:hAnsiTheme="majorHAnsi" w:cstheme="majorHAnsi"/>
        </w:rPr>
        <w:t xml:space="preserve">Front Mol </w:t>
      </w:r>
      <w:proofErr w:type="spellStart"/>
      <w:r w:rsidRPr="00462158">
        <w:rPr>
          <w:rStyle w:val="Emphasis"/>
          <w:rFonts w:asciiTheme="majorHAnsi" w:hAnsiTheme="majorHAnsi" w:cstheme="majorHAnsi"/>
        </w:rPr>
        <w:t>Neurosci</w:t>
      </w:r>
      <w:proofErr w:type="spellEnd"/>
      <w:r w:rsidRPr="00462158">
        <w:rPr>
          <w:rFonts w:asciiTheme="majorHAnsi" w:hAnsiTheme="majorHAnsi" w:cstheme="majorHAnsi"/>
        </w:rPr>
        <w:t xml:space="preserve">. </w:t>
      </w:r>
      <w:r w:rsidRPr="00462158">
        <w:rPr>
          <w:rStyle w:val="Strong"/>
          <w:rFonts w:asciiTheme="majorHAnsi" w:hAnsiTheme="majorHAnsi" w:cstheme="majorHAnsi"/>
        </w:rPr>
        <w:t>10</w:t>
      </w:r>
      <w:r w:rsidRPr="00462158">
        <w:rPr>
          <w:rFonts w:asciiTheme="majorHAnsi" w:hAnsiTheme="majorHAnsi" w:cstheme="majorHAnsi"/>
        </w:rPr>
        <w:t>, 284 (2017).</w:t>
      </w:r>
    </w:p>
    <w:p w14:paraId="24E4A54F"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722BF">
        <w:rPr>
          <w:rFonts w:asciiTheme="majorHAnsi" w:hAnsiTheme="majorHAnsi" w:cstheme="majorHAnsi"/>
          <w:lang w:val="de-DE"/>
        </w:rPr>
        <w:t xml:space="preserve">Langford, D. J. et al. </w:t>
      </w:r>
      <w:r w:rsidRPr="00462158">
        <w:rPr>
          <w:rFonts w:asciiTheme="majorHAnsi" w:hAnsiTheme="majorHAnsi" w:cstheme="majorHAnsi"/>
        </w:rPr>
        <w:t xml:space="preserve">Coding of facial expressions of pain in the laboratory mouse. </w:t>
      </w:r>
      <w:r w:rsidRPr="00462158">
        <w:rPr>
          <w:rStyle w:val="Emphasis"/>
          <w:rFonts w:asciiTheme="majorHAnsi" w:hAnsiTheme="majorHAnsi" w:cstheme="majorHAnsi"/>
        </w:rPr>
        <w:t>Nat Methods</w:t>
      </w:r>
      <w:r w:rsidRPr="00462158">
        <w:rPr>
          <w:rFonts w:asciiTheme="majorHAnsi" w:hAnsiTheme="majorHAnsi" w:cstheme="majorHAnsi"/>
        </w:rPr>
        <w:t xml:space="preserve">. </w:t>
      </w:r>
      <w:r w:rsidRPr="00462158">
        <w:rPr>
          <w:rStyle w:val="Strong"/>
          <w:rFonts w:asciiTheme="majorHAnsi" w:hAnsiTheme="majorHAnsi" w:cstheme="majorHAnsi"/>
        </w:rPr>
        <w:t>7</w:t>
      </w:r>
      <w:r w:rsidRPr="00462158">
        <w:rPr>
          <w:rFonts w:asciiTheme="majorHAnsi" w:hAnsiTheme="majorHAnsi" w:cstheme="majorHAnsi"/>
        </w:rPr>
        <w:t xml:space="preserve"> (6), 447–449 (2010).</w:t>
      </w:r>
    </w:p>
    <w:p w14:paraId="72A68BE2"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Barahona, M. J., Rojas, J., Uribe, E. A., García-Robles, M. A. Tympanic membrane rupture during stereotaxic surgery disturbs the normal feeding behavior in rats. </w:t>
      </w:r>
      <w:r w:rsidRPr="00462158">
        <w:rPr>
          <w:rStyle w:val="Emphasis"/>
          <w:rFonts w:asciiTheme="majorHAnsi" w:hAnsiTheme="majorHAnsi" w:cstheme="majorHAnsi"/>
        </w:rPr>
        <w:t xml:space="preserve">Front </w:t>
      </w:r>
      <w:proofErr w:type="spellStart"/>
      <w:r w:rsidRPr="00462158">
        <w:rPr>
          <w:rStyle w:val="Emphasis"/>
          <w:rFonts w:asciiTheme="majorHAnsi" w:hAnsiTheme="majorHAnsi" w:cstheme="majorHAnsi"/>
        </w:rPr>
        <w:t>Behav</w:t>
      </w:r>
      <w:proofErr w:type="spellEnd"/>
      <w:r w:rsidRPr="00462158">
        <w:rPr>
          <w:rStyle w:val="Emphasis"/>
          <w:rFonts w:asciiTheme="majorHAnsi" w:hAnsiTheme="majorHAnsi" w:cstheme="majorHAnsi"/>
        </w:rPr>
        <w:t xml:space="preserve"> </w:t>
      </w:r>
      <w:proofErr w:type="spellStart"/>
      <w:r w:rsidRPr="00462158">
        <w:rPr>
          <w:rStyle w:val="Emphasis"/>
          <w:rFonts w:asciiTheme="majorHAnsi" w:hAnsiTheme="majorHAnsi" w:cstheme="majorHAnsi"/>
        </w:rPr>
        <w:t>Neurosci</w:t>
      </w:r>
      <w:proofErr w:type="spellEnd"/>
      <w:r w:rsidRPr="00462158">
        <w:rPr>
          <w:rFonts w:asciiTheme="majorHAnsi" w:hAnsiTheme="majorHAnsi" w:cstheme="majorHAnsi"/>
        </w:rPr>
        <w:t xml:space="preserve">. </w:t>
      </w:r>
      <w:r w:rsidRPr="00462158">
        <w:rPr>
          <w:rStyle w:val="Strong"/>
          <w:rFonts w:asciiTheme="majorHAnsi" w:hAnsiTheme="majorHAnsi" w:cstheme="majorHAnsi"/>
        </w:rPr>
        <w:t>14</w:t>
      </w:r>
      <w:r w:rsidRPr="00462158">
        <w:rPr>
          <w:rFonts w:asciiTheme="majorHAnsi" w:hAnsiTheme="majorHAnsi" w:cstheme="majorHAnsi"/>
        </w:rPr>
        <w:t>, 591204 (2020).</w:t>
      </w:r>
    </w:p>
    <w:p w14:paraId="7A51422D"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Moss, J., Ryder, T., Aziz, T. Z., Graeber, M. B., Bain, P. G. Electron microscopy of tissue adherent to explanted electrodes in dystonia and Parkinson's disease. </w:t>
      </w:r>
      <w:r w:rsidRPr="00462158">
        <w:rPr>
          <w:rStyle w:val="Emphasis"/>
          <w:rFonts w:asciiTheme="majorHAnsi" w:hAnsiTheme="majorHAnsi" w:cstheme="majorHAnsi"/>
        </w:rPr>
        <w:t>Brain</w:t>
      </w:r>
      <w:r w:rsidRPr="00462158">
        <w:rPr>
          <w:rFonts w:asciiTheme="majorHAnsi" w:hAnsiTheme="majorHAnsi" w:cstheme="majorHAnsi"/>
        </w:rPr>
        <w:t xml:space="preserve">. </w:t>
      </w:r>
      <w:r w:rsidRPr="00462158">
        <w:rPr>
          <w:rStyle w:val="Strong"/>
          <w:rFonts w:asciiTheme="majorHAnsi" w:hAnsiTheme="majorHAnsi" w:cstheme="majorHAnsi"/>
        </w:rPr>
        <w:t>127</w:t>
      </w:r>
      <w:r w:rsidRPr="00462158">
        <w:rPr>
          <w:rFonts w:asciiTheme="majorHAnsi" w:hAnsiTheme="majorHAnsi" w:cstheme="majorHAnsi"/>
        </w:rPr>
        <w:t xml:space="preserve"> (Pt 12), 2755–2763 (2004).</w:t>
      </w:r>
    </w:p>
    <w:p w14:paraId="1A64B9E7"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lastRenderedPageBreak/>
        <w:t>Kronenbuerger</w:t>
      </w:r>
      <w:proofErr w:type="spellEnd"/>
      <w:r w:rsidRPr="00462158">
        <w:rPr>
          <w:rFonts w:asciiTheme="majorHAnsi" w:hAnsiTheme="majorHAnsi" w:cstheme="majorHAnsi"/>
        </w:rPr>
        <w:t xml:space="preserve">, M. et al. Brain alterations with deep brain stimulation: new insight from a neuropathological case series. </w:t>
      </w:r>
      <w:r w:rsidRPr="00462158">
        <w:rPr>
          <w:rStyle w:val="Emphasis"/>
          <w:rFonts w:asciiTheme="majorHAnsi" w:hAnsiTheme="majorHAnsi" w:cstheme="majorHAnsi"/>
        </w:rPr>
        <w:t xml:space="preserve">Mov </w:t>
      </w:r>
      <w:proofErr w:type="spellStart"/>
      <w:r w:rsidRPr="00462158">
        <w:rPr>
          <w:rStyle w:val="Emphasis"/>
          <w:rFonts w:asciiTheme="majorHAnsi" w:hAnsiTheme="majorHAnsi" w:cstheme="majorHAnsi"/>
        </w:rPr>
        <w:t>Disord</w:t>
      </w:r>
      <w:proofErr w:type="spellEnd"/>
      <w:r w:rsidRPr="00462158">
        <w:rPr>
          <w:rFonts w:asciiTheme="majorHAnsi" w:hAnsiTheme="majorHAnsi" w:cstheme="majorHAnsi"/>
        </w:rPr>
        <w:t xml:space="preserve">. </w:t>
      </w:r>
      <w:r w:rsidRPr="00462158">
        <w:rPr>
          <w:rStyle w:val="Strong"/>
          <w:rFonts w:asciiTheme="majorHAnsi" w:hAnsiTheme="majorHAnsi" w:cstheme="majorHAnsi"/>
        </w:rPr>
        <w:t>30</w:t>
      </w:r>
      <w:r w:rsidRPr="00462158">
        <w:rPr>
          <w:rFonts w:asciiTheme="majorHAnsi" w:hAnsiTheme="majorHAnsi" w:cstheme="majorHAnsi"/>
        </w:rPr>
        <w:t xml:space="preserve"> (8), 1125–1130 (2015).</w:t>
      </w:r>
    </w:p>
    <w:p w14:paraId="253C88A5"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Bishop, B. Neural plasticity: part 3. Responses to lesions in the peripheral nervous system. </w:t>
      </w:r>
      <w:r w:rsidRPr="00462158">
        <w:rPr>
          <w:rStyle w:val="Emphasis"/>
          <w:rFonts w:asciiTheme="majorHAnsi" w:hAnsiTheme="majorHAnsi" w:cstheme="majorHAnsi"/>
        </w:rPr>
        <w:t>Phys Ther</w:t>
      </w:r>
      <w:r w:rsidRPr="00462158">
        <w:rPr>
          <w:rFonts w:asciiTheme="majorHAnsi" w:hAnsiTheme="majorHAnsi" w:cstheme="majorHAnsi"/>
        </w:rPr>
        <w:t xml:space="preserve">. </w:t>
      </w:r>
      <w:r w:rsidRPr="00462158">
        <w:rPr>
          <w:rStyle w:val="Strong"/>
          <w:rFonts w:asciiTheme="majorHAnsi" w:hAnsiTheme="majorHAnsi" w:cstheme="majorHAnsi"/>
        </w:rPr>
        <w:t>62</w:t>
      </w:r>
      <w:r w:rsidRPr="00462158">
        <w:rPr>
          <w:rFonts w:asciiTheme="majorHAnsi" w:hAnsiTheme="majorHAnsi" w:cstheme="majorHAnsi"/>
        </w:rPr>
        <w:t xml:space="preserve"> (9), 1275–1282 (1982).</w:t>
      </w:r>
    </w:p>
    <w:p w14:paraId="1E52DE7C"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Bui, A., Kim, H. K., Maroso, M., Soltesz, I. Microcircuits in epilepsy: heterogeneity and hub cells in network synchronization. </w:t>
      </w:r>
      <w:r w:rsidRPr="00462158">
        <w:rPr>
          <w:rStyle w:val="Emphasis"/>
          <w:rFonts w:asciiTheme="majorHAnsi" w:hAnsiTheme="majorHAnsi" w:cstheme="majorHAnsi"/>
        </w:rPr>
        <w:t xml:space="preserve">Cold Spring Harb </w:t>
      </w:r>
      <w:proofErr w:type="spellStart"/>
      <w:r w:rsidRPr="00462158">
        <w:rPr>
          <w:rStyle w:val="Emphasis"/>
          <w:rFonts w:asciiTheme="majorHAnsi" w:hAnsiTheme="majorHAnsi" w:cstheme="majorHAnsi"/>
        </w:rPr>
        <w:t>Perspect</w:t>
      </w:r>
      <w:proofErr w:type="spellEnd"/>
      <w:r w:rsidRPr="00462158">
        <w:rPr>
          <w:rStyle w:val="Emphasis"/>
          <w:rFonts w:asciiTheme="majorHAnsi" w:hAnsiTheme="majorHAnsi" w:cstheme="majorHAnsi"/>
        </w:rPr>
        <w:t xml:space="preserve"> Med</w:t>
      </w:r>
      <w:r w:rsidRPr="00462158">
        <w:rPr>
          <w:rFonts w:asciiTheme="majorHAnsi" w:hAnsiTheme="majorHAnsi" w:cstheme="majorHAnsi"/>
        </w:rPr>
        <w:t xml:space="preserve">. </w:t>
      </w:r>
      <w:r w:rsidRPr="00462158">
        <w:rPr>
          <w:rStyle w:val="Strong"/>
          <w:rFonts w:asciiTheme="majorHAnsi" w:hAnsiTheme="majorHAnsi" w:cstheme="majorHAnsi"/>
        </w:rPr>
        <w:t>5</w:t>
      </w:r>
      <w:r w:rsidRPr="00462158">
        <w:rPr>
          <w:rFonts w:asciiTheme="majorHAnsi" w:hAnsiTheme="majorHAnsi" w:cstheme="majorHAnsi"/>
        </w:rPr>
        <w:t xml:space="preserve"> (11), a022889 (2015).</w:t>
      </w:r>
    </w:p>
    <w:p w14:paraId="6C2E0BE4"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proofErr w:type="spellStart"/>
      <w:r w:rsidRPr="00462158">
        <w:rPr>
          <w:rFonts w:asciiTheme="majorHAnsi" w:hAnsiTheme="majorHAnsi" w:cstheme="majorHAnsi"/>
        </w:rPr>
        <w:t>Gaire</w:t>
      </w:r>
      <w:proofErr w:type="spellEnd"/>
      <w:r w:rsidRPr="00462158">
        <w:rPr>
          <w:rFonts w:asciiTheme="majorHAnsi" w:hAnsiTheme="majorHAnsi" w:cstheme="majorHAnsi"/>
        </w:rPr>
        <w:t xml:space="preserve">, J. et al. The role of inflammation on the functionality of intracortical microelectrodes. </w:t>
      </w:r>
      <w:r w:rsidRPr="00462158">
        <w:rPr>
          <w:rStyle w:val="Emphasis"/>
          <w:rFonts w:asciiTheme="majorHAnsi" w:hAnsiTheme="majorHAnsi" w:cstheme="majorHAnsi"/>
        </w:rPr>
        <w:t>J Neural Eng</w:t>
      </w:r>
      <w:r w:rsidRPr="00462158">
        <w:rPr>
          <w:rFonts w:asciiTheme="majorHAnsi" w:hAnsiTheme="majorHAnsi" w:cstheme="majorHAnsi"/>
        </w:rPr>
        <w:t xml:space="preserve">. </w:t>
      </w:r>
      <w:r w:rsidRPr="00462158">
        <w:rPr>
          <w:rStyle w:val="Strong"/>
          <w:rFonts w:asciiTheme="majorHAnsi" w:hAnsiTheme="majorHAnsi" w:cstheme="majorHAnsi"/>
        </w:rPr>
        <w:t>15</w:t>
      </w:r>
      <w:r w:rsidRPr="00462158">
        <w:rPr>
          <w:rFonts w:asciiTheme="majorHAnsi" w:hAnsiTheme="majorHAnsi" w:cstheme="majorHAnsi"/>
        </w:rPr>
        <w:t xml:space="preserve"> (6), 066027 (2018).</w:t>
      </w:r>
    </w:p>
    <w:p w14:paraId="3D8B29A8"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Polikov, V. S., </w:t>
      </w:r>
      <w:proofErr w:type="spellStart"/>
      <w:r w:rsidRPr="00462158">
        <w:rPr>
          <w:rFonts w:asciiTheme="majorHAnsi" w:hAnsiTheme="majorHAnsi" w:cstheme="majorHAnsi"/>
        </w:rPr>
        <w:t>Tresco</w:t>
      </w:r>
      <w:proofErr w:type="spellEnd"/>
      <w:r w:rsidRPr="00462158">
        <w:rPr>
          <w:rFonts w:asciiTheme="majorHAnsi" w:hAnsiTheme="majorHAnsi" w:cstheme="majorHAnsi"/>
        </w:rPr>
        <w:t xml:space="preserve">, P. A., Reichert, W. M. Response of brain tissue to chronically implanted neural electrodes. </w:t>
      </w:r>
      <w:r w:rsidRPr="00462158">
        <w:rPr>
          <w:rStyle w:val="Emphasis"/>
          <w:rFonts w:asciiTheme="majorHAnsi" w:hAnsiTheme="majorHAnsi" w:cstheme="majorHAnsi"/>
        </w:rPr>
        <w:t xml:space="preserve">J </w:t>
      </w:r>
      <w:proofErr w:type="spellStart"/>
      <w:r w:rsidRPr="00462158">
        <w:rPr>
          <w:rStyle w:val="Emphasis"/>
          <w:rFonts w:asciiTheme="majorHAnsi" w:hAnsiTheme="majorHAnsi" w:cstheme="majorHAnsi"/>
        </w:rPr>
        <w:t>Neurosci</w:t>
      </w:r>
      <w:proofErr w:type="spellEnd"/>
      <w:r w:rsidRPr="00462158">
        <w:rPr>
          <w:rStyle w:val="Emphasis"/>
          <w:rFonts w:asciiTheme="majorHAnsi" w:hAnsiTheme="majorHAnsi" w:cstheme="majorHAnsi"/>
        </w:rPr>
        <w:t xml:space="preserve"> Methods</w:t>
      </w:r>
      <w:r w:rsidRPr="00462158">
        <w:rPr>
          <w:rFonts w:asciiTheme="majorHAnsi" w:hAnsiTheme="majorHAnsi" w:cstheme="majorHAnsi"/>
        </w:rPr>
        <w:t xml:space="preserve">. </w:t>
      </w:r>
      <w:r w:rsidRPr="00462158">
        <w:rPr>
          <w:rStyle w:val="Strong"/>
          <w:rFonts w:asciiTheme="majorHAnsi" w:hAnsiTheme="majorHAnsi" w:cstheme="majorHAnsi"/>
        </w:rPr>
        <w:t>148</w:t>
      </w:r>
      <w:r w:rsidRPr="00462158">
        <w:rPr>
          <w:rFonts w:asciiTheme="majorHAnsi" w:hAnsiTheme="majorHAnsi" w:cstheme="majorHAnsi"/>
        </w:rPr>
        <w:t xml:space="preserve"> (1), 1–18 (2005).</w:t>
      </w:r>
    </w:p>
    <w:p w14:paraId="1EC9E760"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McConnell, G. C. et al. Implanted neural electrodes cause chronic, local inflammation that is correlated with local neurodegeneration. </w:t>
      </w:r>
      <w:r w:rsidRPr="00462158">
        <w:rPr>
          <w:rStyle w:val="Emphasis"/>
          <w:rFonts w:asciiTheme="majorHAnsi" w:hAnsiTheme="majorHAnsi" w:cstheme="majorHAnsi"/>
        </w:rPr>
        <w:t>J Neural Eng</w:t>
      </w:r>
      <w:r w:rsidRPr="00462158">
        <w:rPr>
          <w:rFonts w:asciiTheme="majorHAnsi" w:hAnsiTheme="majorHAnsi" w:cstheme="majorHAnsi"/>
        </w:rPr>
        <w:t xml:space="preserve">. </w:t>
      </w:r>
      <w:r w:rsidRPr="00462158">
        <w:rPr>
          <w:rStyle w:val="Strong"/>
          <w:rFonts w:asciiTheme="majorHAnsi" w:hAnsiTheme="majorHAnsi" w:cstheme="majorHAnsi"/>
        </w:rPr>
        <w:t>6</w:t>
      </w:r>
      <w:r w:rsidRPr="00462158">
        <w:rPr>
          <w:rFonts w:asciiTheme="majorHAnsi" w:hAnsiTheme="majorHAnsi" w:cstheme="majorHAnsi"/>
        </w:rPr>
        <w:t xml:space="preserve"> (5), 056003 (2009).</w:t>
      </w:r>
    </w:p>
    <w:p w14:paraId="42BE2371"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722BF">
        <w:rPr>
          <w:rFonts w:asciiTheme="majorHAnsi" w:hAnsiTheme="majorHAnsi" w:cstheme="majorHAnsi"/>
          <w:lang w:val="de-DE"/>
        </w:rPr>
        <w:t xml:space="preserve">Radeen, K. R. et al. </w:t>
      </w:r>
      <w:r w:rsidRPr="00462158">
        <w:rPr>
          <w:rFonts w:asciiTheme="majorHAnsi" w:hAnsiTheme="majorHAnsi" w:cstheme="majorHAnsi"/>
        </w:rPr>
        <w:t xml:space="preserve">A cost-effective and minimally invasive protocol for chronic multi-site electroencephalography recording in freely moving mice. </w:t>
      </w:r>
      <w:r w:rsidRPr="00462158">
        <w:rPr>
          <w:rStyle w:val="Emphasis"/>
          <w:rFonts w:asciiTheme="majorHAnsi" w:hAnsiTheme="majorHAnsi" w:cstheme="majorHAnsi"/>
        </w:rPr>
        <w:t>J Vis Exp</w:t>
      </w:r>
      <w:r w:rsidRPr="00462158">
        <w:rPr>
          <w:rFonts w:asciiTheme="majorHAnsi" w:hAnsiTheme="majorHAnsi" w:cstheme="majorHAnsi"/>
        </w:rPr>
        <w:t xml:space="preserve">. </w:t>
      </w:r>
      <w:r w:rsidRPr="00462158">
        <w:rPr>
          <w:rStyle w:val="Strong"/>
          <w:rFonts w:asciiTheme="majorHAnsi" w:hAnsiTheme="majorHAnsi" w:cstheme="majorHAnsi"/>
        </w:rPr>
        <w:t>224</w:t>
      </w:r>
      <w:r w:rsidRPr="00462158">
        <w:rPr>
          <w:rFonts w:asciiTheme="majorHAnsi" w:hAnsiTheme="majorHAnsi" w:cstheme="majorHAnsi"/>
        </w:rPr>
        <w:t xml:space="preserve"> (2025).</w:t>
      </w:r>
    </w:p>
    <w:p w14:paraId="13629087"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Gulino, M., Kim, D., </w:t>
      </w:r>
      <w:proofErr w:type="spellStart"/>
      <w:r w:rsidRPr="00462158">
        <w:rPr>
          <w:rFonts w:asciiTheme="majorHAnsi" w:hAnsiTheme="majorHAnsi" w:cstheme="majorHAnsi"/>
        </w:rPr>
        <w:t>Pané</w:t>
      </w:r>
      <w:proofErr w:type="spellEnd"/>
      <w:r w:rsidRPr="00462158">
        <w:rPr>
          <w:rFonts w:asciiTheme="majorHAnsi" w:hAnsiTheme="majorHAnsi" w:cstheme="majorHAnsi"/>
        </w:rPr>
        <w:t xml:space="preserve">, S., Santos, S. D., </w:t>
      </w:r>
      <w:proofErr w:type="spellStart"/>
      <w:r w:rsidRPr="00462158">
        <w:rPr>
          <w:rFonts w:asciiTheme="majorHAnsi" w:hAnsiTheme="majorHAnsi" w:cstheme="majorHAnsi"/>
        </w:rPr>
        <w:t>Pêgo</w:t>
      </w:r>
      <w:proofErr w:type="spellEnd"/>
      <w:r w:rsidRPr="00462158">
        <w:rPr>
          <w:rFonts w:asciiTheme="majorHAnsi" w:hAnsiTheme="majorHAnsi" w:cstheme="majorHAnsi"/>
        </w:rPr>
        <w:t xml:space="preserve">, A. P. Tissue response to neural implants: the use of model systems toward new design solutions of implantable microelectrodes. </w:t>
      </w:r>
      <w:r w:rsidRPr="00462158">
        <w:rPr>
          <w:rStyle w:val="Emphasis"/>
          <w:rFonts w:asciiTheme="majorHAnsi" w:hAnsiTheme="majorHAnsi" w:cstheme="majorHAnsi"/>
        </w:rPr>
        <w:t xml:space="preserve">Front </w:t>
      </w:r>
      <w:proofErr w:type="spellStart"/>
      <w:r w:rsidRPr="00462158">
        <w:rPr>
          <w:rStyle w:val="Emphasis"/>
          <w:rFonts w:asciiTheme="majorHAnsi" w:hAnsiTheme="majorHAnsi" w:cstheme="majorHAnsi"/>
        </w:rPr>
        <w:t>Neurosci</w:t>
      </w:r>
      <w:proofErr w:type="spellEnd"/>
      <w:r w:rsidRPr="00462158">
        <w:rPr>
          <w:rFonts w:asciiTheme="majorHAnsi" w:hAnsiTheme="majorHAnsi" w:cstheme="majorHAnsi"/>
        </w:rPr>
        <w:t xml:space="preserve">. </w:t>
      </w:r>
      <w:r w:rsidRPr="00462158">
        <w:rPr>
          <w:rStyle w:val="Strong"/>
          <w:rFonts w:asciiTheme="majorHAnsi" w:hAnsiTheme="majorHAnsi" w:cstheme="majorHAnsi"/>
        </w:rPr>
        <w:t>13</w:t>
      </w:r>
      <w:r w:rsidRPr="00462158">
        <w:rPr>
          <w:rFonts w:asciiTheme="majorHAnsi" w:hAnsiTheme="majorHAnsi" w:cstheme="majorHAnsi"/>
        </w:rPr>
        <w:t>, 689 (2019).</w:t>
      </w:r>
    </w:p>
    <w:p w14:paraId="474F42CA"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Green, R. A., Lovell, N. H., Wallace, G. G., Poole-Warren, L. A. Conducting polymers for neural interfaces: challenges in developing an effective long-term implant. </w:t>
      </w:r>
      <w:r w:rsidRPr="00462158">
        <w:rPr>
          <w:rStyle w:val="Emphasis"/>
          <w:rFonts w:asciiTheme="majorHAnsi" w:hAnsiTheme="majorHAnsi" w:cstheme="majorHAnsi"/>
        </w:rPr>
        <w:t>Biomaterials</w:t>
      </w:r>
      <w:r w:rsidRPr="00462158">
        <w:rPr>
          <w:rFonts w:asciiTheme="majorHAnsi" w:hAnsiTheme="majorHAnsi" w:cstheme="majorHAnsi"/>
        </w:rPr>
        <w:t xml:space="preserve">. </w:t>
      </w:r>
      <w:r w:rsidRPr="00462158">
        <w:rPr>
          <w:rStyle w:val="Strong"/>
          <w:rFonts w:asciiTheme="majorHAnsi" w:hAnsiTheme="majorHAnsi" w:cstheme="majorHAnsi"/>
        </w:rPr>
        <w:t>29</w:t>
      </w:r>
      <w:r w:rsidRPr="00462158">
        <w:rPr>
          <w:rFonts w:asciiTheme="majorHAnsi" w:hAnsiTheme="majorHAnsi" w:cstheme="majorHAnsi"/>
        </w:rPr>
        <w:t xml:space="preserve"> (24–25), 3393–3399 (2008).</w:t>
      </w:r>
    </w:p>
    <w:p w14:paraId="46C21E9E" w14:textId="77777777" w:rsidR="00E6230C" w:rsidRPr="00462158" w:rsidRDefault="00E6230C" w:rsidP="00462158">
      <w:pPr>
        <w:pStyle w:val="NormalWeb"/>
        <w:numPr>
          <w:ilvl w:val="0"/>
          <w:numId w:val="1"/>
        </w:numPr>
        <w:tabs>
          <w:tab w:val="clear" w:pos="720"/>
        </w:tabs>
        <w:spacing w:before="0" w:beforeAutospacing="0" w:after="0" w:afterAutospacing="0"/>
        <w:ind w:left="0" w:firstLine="0"/>
        <w:jc w:val="both"/>
        <w:rPr>
          <w:rFonts w:asciiTheme="majorHAnsi" w:hAnsiTheme="majorHAnsi" w:cstheme="majorHAnsi"/>
        </w:rPr>
      </w:pPr>
      <w:r w:rsidRPr="00462158">
        <w:rPr>
          <w:rFonts w:asciiTheme="majorHAnsi" w:hAnsiTheme="majorHAnsi" w:cstheme="majorHAnsi"/>
        </w:rPr>
        <w:t xml:space="preserve">Wang, Z. et al. Cortical complexity and connectivity during isoflurane-induced general anesthesia: a rat study. </w:t>
      </w:r>
      <w:r w:rsidRPr="00462158">
        <w:rPr>
          <w:rStyle w:val="Emphasis"/>
          <w:rFonts w:asciiTheme="majorHAnsi" w:hAnsiTheme="majorHAnsi" w:cstheme="majorHAnsi"/>
        </w:rPr>
        <w:t>J Neural Eng</w:t>
      </w:r>
      <w:r w:rsidRPr="00462158">
        <w:rPr>
          <w:rFonts w:asciiTheme="majorHAnsi" w:hAnsiTheme="majorHAnsi" w:cstheme="majorHAnsi"/>
        </w:rPr>
        <w:t xml:space="preserve">. </w:t>
      </w:r>
      <w:r w:rsidRPr="00462158">
        <w:rPr>
          <w:rStyle w:val="Strong"/>
          <w:rFonts w:asciiTheme="majorHAnsi" w:hAnsiTheme="majorHAnsi" w:cstheme="majorHAnsi"/>
        </w:rPr>
        <w:t>19</w:t>
      </w:r>
      <w:r w:rsidRPr="00462158">
        <w:rPr>
          <w:rFonts w:asciiTheme="majorHAnsi" w:hAnsiTheme="majorHAnsi" w:cstheme="majorHAnsi"/>
        </w:rPr>
        <w:t xml:space="preserve"> (3), 036012 (2022).</w:t>
      </w:r>
    </w:p>
    <w:p w14:paraId="10B6BF21" w14:textId="115D0BA1" w:rsidR="00AF091D" w:rsidRPr="00462158" w:rsidRDefault="00AF091D" w:rsidP="00462158">
      <w:pPr>
        <w:jc w:val="both"/>
        <w:rPr>
          <w:rFonts w:asciiTheme="majorHAnsi" w:hAnsiTheme="majorHAnsi" w:cstheme="majorHAnsi"/>
          <w:bCs/>
        </w:rPr>
      </w:pPr>
    </w:p>
    <w:sectPr w:rsidR="00AF091D" w:rsidRPr="00462158" w:rsidSect="006D41BB">
      <w:headerReference w:type="even" r:id="rId8"/>
      <w:headerReference w:type="default" r:id="rId9"/>
      <w:footerReference w:type="even" r:id="rId10"/>
      <w:footerReference w:type="default"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F3765" w14:textId="77777777" w:rsidR="004E0715" w:rsidRDefault="004E0715">
      <w:r>
        <w:separator/>
      </w:r>
    </w:p>
  </w:endnote>
  <w:endnote w:type="continuationSeparator" w:id="0">
    <w:p w14:paraId="4AFD76DF" w14:textId="77777777" w:rsidR="004E0715" w:rsidRDefault="004E0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BF25" w14:textId="77777777" w:rsidR="00AF091D" w:rsidRDefault="00AF091D">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BF26" w14:textId="77777777" w:rsidR="00AF091D" w:rsidRDefault="005F75B1">
    <w:pPr>
      <w:spacing w:line="176" w:lineRule="auto"/>
      <w:ind w:left="8211"/>
    </w:pP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79C77" w14:textId="77777777" w:rsidR="004E0715" w:rsidRDefault="004E0715">
      <w:r>
        <w:separator/>
      </w:r>
    </w:p>
  </w:footnote>
  <w:footnote w:type="continuationSeparator" w:id="0">
    <w:p w14:paraId="3860BA95" w14:textId="77777777" w:rsidR="004E0715" w:rsidRDefault="004E0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BF23" w14:textId="77777777" w:rsidR="00AF091D" w:rsidRDefault="00AF091D">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BF24" w14:textId="77777777" w:rsidR="00AF091D" w:rsidRDefault="005F75B1">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BF27" w14:textId="783E9935" w:rsidR="00AF091D" w:rsidRDefault="00AF091D">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57A96"/>
    <w:multiLevelType w:val="multilevel"/>
    <w:tmpl w:val="5442C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4C052F"/>
    <w:multiLevelType w:val="multilevel"/>
    <w:tmpl w:val="032E5CC8"/>
    <w:lvl w:ilvl="0">
      <w:start w:val="1"/>
      <w:numFmt w:val="decimal"/>
      <w:lvlText w:val="%1."/>
      <w:lvlJc w:val="left"/>
      <w:pPr>
        <w:ind w:left="720" w:hanging="360"/>
      </w:pPr>
      <w:rPr>
        <w:rFonts w:hint="default"/>
      </w:rPr>
    </w:lvl>
    <w:lvl w:ilvl="1">
      <w:start w:val="1"/>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94592735">
    <w:abstractNumId w:val="0"/>
  </w:num>
  <w:num w:numId="2" w16cid:durableId="74510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x5atpx9wf9e9edadtvesf3z2vzfptafxxt&quot;&gt;My EndNote Library&lt;record-ids&gt;&lt;item&gt;478&lt;/item&gt;&lt;item&gt;479&lt;/item&gt;&lt;item&gt;480&lt;/item&gt;&lt;item&gt;484&lt;/item&gt;&lt;item&gt;485&lt;/item&gt;&lt;item&gt;486&lt;/item&gt;&lt;item&gt;487&lt;/item&gt;&lt;item&gt;488&lt;/item&gt;&lt;item&gt;489&lt;/item&gt;&lt;item&gt;490&lt;/item&gt;&lt;item&gt;491&lt;/item&gt;&lt;item&gt;492&lt;/item&gt;&lt;item&gt;493&lt;/item&gt;&lt;item&gt;494&lt;/item&gt;&lt;item&gt;495&lt;/item&gt;&lt;item&gt;496&lt;/item&gt;&lt;item&gt;497&lt;/item&gt;&lt;item&gt;499&lt;/item&gt;&lt;item&gt;500&lt;/item&gt;&lt;item&gt;504&lt;/item&gt;&lt;item&gt;505&lt;/item&gt;&lt;item&gt;506&lt;/item&gt;&lt;item&gt;507&lt;/item&gt;&lt;item&gt;508&lt;/item&gt;&lt;item&gt;516&lt;/item&gt;&lt;/record-ids&gt;&lt;/item&gt;&lt;/Libraries&gt;"/>
  </w:docVars>
  <w:rsids>
    <w:rsidRoot w:val="006E4797"/>
    <w:rsid w:val="0000515B"/>
    <w:rsid w:val="0000629B"/>
    <w:rsid w:val="00011457"/>
    <w:rsid w:val="00013652"/>
    <w:rsid w:val="00034DD1"/>
    <w:rsid w:val="00036311"/>
    <w:rsid w:val="00042BE4"/>
    <w:rsid w:val="00042E72"/>
    <w:rsid w:val="0004355D"/>
    <w:rsid w:val="00057B67"/>
    <w:rsid w:val="00061E0E"/>
    <w:rsid w:val="00064AC1"/>
    <w:rsid w:val="000663F1"/>
    <w:rsid w:val="00072505"/>
    <w:rsid w:val="00074DBC"/>
    <w:rsid w:val="0007504B"/>
    <w:rsid w:val="0007506F"/>
    <w:rsid w:val="00076815"/>
    <w:rsid w:val="00081F44"/>
    <w:rsid w:val="00082A5F"/>
    <w:rsid w:val="00084706"/>
    <w:rsid w:val="00090919"/>
    <w:rsid w:val="00091183"/>
    <w:rsid w:val="000A1A95"/>
    <w:rsid w:val="000A3B59"/>
    <w:rsid w:val="000A7CE2"/>
    <w:rsid w:val="000B024E"/>
    <w:rsid w:val="000B41B6"/>
    <w:rsid w:val="000C3712"/>
    <w:rsid w:val="000D211A"/>
    <w:rsid w:val="000D55FB"/>
    <w:rsid w:val="000D639B"/>
    <w:rsid w:val="000E2ABF"/>
    <w:rsid w:val="000E3F21"/>
    <w:rsid w:val="000E4C51"/>
    <w:rsid w:val="000E4D6D"/>
    <w:rsid w:val="000E59FA"/>
    <w:rsid w:val="000E7FDD"/>
    <w:rsid w:val="00102596"/>
    <w:rsid w:val="00121EA0"/>
    <w:rsid w:val="001340DF"/>
    <w:rsid w:val="00141315"/>
    <w:rsid w:val="00143C03"/>
    <w:rsid w:val="00147CBA"/>
    <w:rsid w:val="0015327B"/>
    <w:rsid w:val="001624E4"/>
    <w:rsid w:val="00174484"/>
    <w:rsid w:val="00181A81"/>
    <w:rsid w:val="0018530A"/>
    <w:rsid w:val="00185501"/>
    <w:rsid w:val="00194C04"/>
    <w:rsid w:val="00194CE8"/>
    <w:rsid w:val="001959A2"/>
    <w:rsid w:val="00196287"/>
    <w:rsid w:val="001A1CA1"/>
    <w:rsid w:val="001C0BEF"/>
    <w:rsid w:val="001C0F24"/>
    <w:rsid w:val="001D5C5F"/>
    <w:rsid w:val="001E0C66"/>
    <w:rsid w:val="001E3870"/>
    <w:rsid w:val="001E4C7E"/>
    <w:rsid w:val="001E6092"/>
    <w:rsid w:val="001F3109"/>
    <w:rsid w:val="00204E07"/>
    <w:rsid w:val="002062B5"/>
    <w:rsid w:val="00206CB1"/>
    <w:rsid w:val="00210DD6"/>
    <w:rsid w:val="00211612"/>
    <w:rsid w:val="00214319"/>
    <w:rsid w:val="00215AC3"/>
    <w:rsid w:val="00221554"/>
    <w:rsid w:val="00224C7A"/>
    <w:rsid w:val="0022671E"/>
    <w:rsid w:val="00230B63"/>
    <w:rsid w:val="00231263"/>
    <w:rsid w:val="0023296D"/>
    <w:rsid w:val="00232DDC"/>
    <w:rsid w:val="002418DC"/>
    <w:rsid w:val="00245B1F"/>
    <w:rsid w:val="00250E4C"/>
    <w:rsid w:val="00252077"/>
    <w:rsid w:val="00273EDD"/>
    <w:rsid w:val="00274193"/>
    <w:rsid w:val="0027432B"/>
    <w:rsid w:val="00282740"/>
    <w:rsid w:val="00282B53"/>
    <w:rsid w:val="00286953"/>
    <w:rsid w:val="002872DF"/>
    <w:rsid w:val="00294BDD"/>
    <w:rsid w:val="002A5008"/>
    <w:rsid w:val="002A7907"/>
    <w:rsid w:val="002B6483"/>
    <w:rsid w:val="002B6F5B"/>
    <w:rsid w:val="002D45A5"/>
    <w:rsid w:val="002D54DA"/>
    <w:rsid w:val="002E17B3"/>
    <w:rsid w:val="002F316A"/>
    <w:rsid w:val="002F735C"/>
    <w:rsid w:val="003021A4"/>
    <w:rsid w:val="00303B64"/>
    <w:rsid w:val="003040FB"/>
    <w:rsid w:val="0031658E"/>
    <w:rsid w:val="00321846"/>
    <w:rsid w:val="003241F8"/>
    <w:rsid w:val="003341F9"/>
    <w:rsid w:val="00336ED2"/>
    <w:rsid w:val="00344E27"/>
    <w:rsid w:val="003467AC"/>
    <w:rsid w:val="00351087"/>
    <w:rsid w:val="003533DD"/>
    <w:rsid w:val="003548DA"/>
    <w:rsid w:val="00356E9D"/>
    <w:rsid w:val="003655F4"/>
    <w:rsid w:val="00370F7A"/>
    <w:rsid w:val="003736D2"/>
    <w:rsid w:val="00373D93"/>
    <w:rsid w:val="00387CDA"/>
    <w:rsid w:val="003A5297"/>
    <w:rsid w:val="003B23EE"/>
    <w:rsid w:val="003C7CC7"/>
    <w:rsid w:val="003D5B35"/>
    <w:rsid w:val="003D67E2"/>
    <w:rsid w:val="003E0D52"/>
    <w:rsid w:val="003F0C28"/>
    <w:rsid w:val="003F6EA3"/>
    <w:rsid w:val="0040579A"/>
    <w:rsid w:val="0041322D"/>
    <w:rsid w:val="00414ADE"/>
    <w:rsid w:val="00421F72"/>
    <w:rsid w:val="0042417F"/>
    <w:rsid w:val="00430D1E"/>
    <w:rsid w:val="00433DB4"/>
    <w:rsid w:val="00434FB8"/>
    <w:rsid w:val="004361C8"/>
    <w:rsid w:val="00436F4D"/>
    <w:rsid w:val="00437F2F"/>
    <w:rsid w:val="00450D77"/>
    <w:rsid w:val="004620C9"/>
    <w:rsid w:val="00462158"/>
    <w:rsid w:val="00463218"/>
    <w:rsid w:val="00464789"/>
    <w:rsid w:val="00470E10"/>
    <w:rsid w:val="004722BF"/>
    <w:rsid w:val="00475A70"/>
    <w:rsid w:val="00480BBA"/>
    <w:rsid w:val="004939EE"/>
    <w:rsid w:val="004969D3"/>
    <w:rsid w:val="004A4066"/>
    <w:rsid w:val="004A6F2C"/>
    <w:rsid w:val="004B39F4"/>
    <w:rsid w:val="004B40D0"/>
    <w:rsid w:val="004B7DA3"/>
    <w:rsid w:val="004C0985"/>
    <w:rsid w:val="004C1810"/>
    <w:rsid w:val="004D362E"/>
    <w:rsid w:val="004E0715"/>
    <w:rsid w:val="004F146E"/>
    <w:rsid w:val="004F57ED"/>
    <w:rsid w:val="004F6AD9"/>
    <w:rsid w:val="00513CCF"/>
    <w:rsid w:val="00516914"/>
    <w:rsid w:val="00523A9F"/>
    <w:rsid w:val="00526FF8"/>
    <w:rsid w:val="00532147"/>
    <w:rsid w:val="0054060A"/>
    <w:rsid w:val="00543873"/>
    <w:rsid w:val="00546DD4"/>
    <w:rsid w:val="005513C7"/>
    <w:rsid w:val="00551D82"/>
    <w:rsid w:val="0055587E"/>
    <w:rsid w:val="00563468"/>
    <w:rsid w:val="00563C36"/>
    <w:rsid w:val="00567851"/>
    <w:rsid w:val="00571AB7"/>
    <w:rsid w:val="00571DE8"/>
    <w:rsid w:val="00572DFB"/>
    <w:rsid w:val="005734D7"/>
    <w:rsid w:val="00575E55"/>
    <w:rsid w:val="005845FF"/>
    <w:rsid w:val="005847DA"/>
    <w:rsid w:val="00585BF5"/>
    <w:rsid w:val="00590822"/>
    <w:rsid w:val="005A637B"/>
    <w:rsid w:val="005B2706"/>
    <w:rsid w:val="005C3BC1"/>
    <w:rsid w:val="005C5408"/>
    <w:rsid w:val="005C56AB"/>
    <w:rsid w:val="005C6FC8"/>
    <w:rsid w:val="005D0EFA"/>
    <w:rsid w:val="005D1B4C"/>
    <w:rsid w:val="005D3C26"/>
    <w:rsid w:val="005D5799"/>
    <w:rsid w:val="005D6176"/>
    <w:rsid w:val="005E1EE7"/>
    <w:rsid w:val="005E3B45"/>
    <w:rsid w:val="005E64DC"/>
    <w:rsid w:val="005F1F9B"/>
    <w:rsid w:val="005F75B1"/>
    <w:rsid w:val="006013B1"/>
    <w:rsid w:val="00604100"/>
    <w:rsid w:val="00607716"/>
    <w:rsid w:val="00615035"/>
    <w:rsid w:val="00622578"/>
    <w:rsid w:val="006230F7"/>
    <w:rsid w:val="006239A1"/>
    <w:rsid w:val="00627DBE"/>
    <w:rsid w:val="00631CEC"/>
    <w:rsid w:val="00634672"/>
    <w:rsid w:val="00640EDE"/>
    <w:rsid w:val="006554DC"/>
    <w:rsid w:val="00667F69"/>
    <w:rsid w:val="00667FAD"/>
    <w:rsid w:val="00671029"/>
    <w:rsid w:val="00672440"/>
    <w:rsid w:val="006744E8"/>
    <w:rsid w:val="006755EE"/>
    <w:rsid w:val="006824BF"/>
    <w:rsid w:val="006A3B58"/>
    <w:rsid w:val="006B7E23"/>
    <w:rsid w:val="006D41BB"/>
    <w:rsid w:val="006E4797"/>
    <w:rsid w:val="006E73E1"/>
    <w:rsid w:val="006E7C64"/>
    <w:rsid w:val="006F6145"/>
    <w:rsid w:val="00702ADE"/>
    <w:rsid w:val="0070444F"/>
    <w:rsid w:val="00706EAC"/>
    <w:rsid w:val="00714BE0"/>
    <w:rsid w:val="007239C9"/>
    <w:rsid w:val="00725628"/>
    <w:rsid w:val="00727BA2"/>
    <w:rsid w:val="00731D2C"/>
    <w:rsid w:val="00736371"/>
    <w:rsid w:val="00736CBE"/>
    <w:rsid w:val="0074241F"/>
    <w:rsid w:val="00751D3D"/>
    <w:rsid w:val="007541AA"/>
    <w:rsid w:val="0075580F"/>
    <w:rsid w:val="00763372"/>
    <w:rsid w:val="007641B0"/>
    <w:rsid w:val="00765D1F"/>
    <w:rsid w:val="00770146"/>
    <w:rsid w:val="00780FAC"/>
    <w:rsid w:val="00790BBC"/>
    <w:rsid w:val="00792D8D"/>
    <w:rsid w:val="007954DA"/>
    <w:rsid w:val="007A4BBA"/>
    <w:rsid w:val="007B148F"/>
    <w:rsid w:val="007B488F"/>
    <w:rsid w:val="007B72A4"/>
    <w:rsid w:val="007B7A35"/>
    <w:rsid w:val="007C2D6C"/>
    <w:rsid w:val="007C44B3"/>
    <w:rsid w:val="007C6252"/>
    <w:rsid w:val="007C7DF2"/>
    <w:rsid w:val="007D4205"/>
    <w:rsid w:val="007D4959"/>
    <w:rsid w:val="007D6BE0"/>
    <w:rsid w:val="007E1CF5"/>
    <w:rsid w:val="007E25F3"/>
    <w:rsid w:val="007F0C46"/>
    <w:rsid w:val="007F13E9"/>
    <w:rsid w:val="007F2030"/>
    <w:rsid w:val="00803EF4"/>
    <w:rsid w:val="00805906"/>
    <w:rsid w:val="00805F92"/>
    <w:rsid w:val="008323C4"/>
    <w:rsid w:val="00833B96"/>
    <w:rsid w:val="00837B1D"/>
    <w:rsid w:val="00840EED"/>
    <w:rsid w:val="008425A4"/>
    <w:rsid w:val="008430A6"/>
    <w:rsid w:val="008461C6"/>
    <w:rsid w:val="0085421A"/>
    <w:rsid w:val="00854448"/>
    <w:rsid w:val="0085548D"/>
    <w:rsid w:val="008565A8"/>
    <w:rsid w:val="0085740E"/>
    <w:rsid w:val="00872DFD"/>
    <w:rsid w:val="00876677"/>
    <w:rsid w:val="00880F54"/>
    <w:rsid w:val="00883339"/>
    <w:rsid w:val="0089181A"/>
    <w:rsid w:val="00891E9A"/>
    <w:rsid w:val="008A4859"/>
    <w:rsid w:val="008A5ED6"/>
    <w:rsid w:val="008B046E"/>
    <w:rsid w:val="008B2D50"/>
    <w:rsid w:val="008B35D2"/>
    <w:rsid w:val="008B4DE4"/>
    <w:rsid w:val="008C2BE6"/>
    <w:rsid w:val="008C7634"/>
    <w:rsid w:val="008D1BA8"/>
    <w:rsid w:val="008D293E"/>
    <w:rsid w:val="008D48D8"/>
    <w:rsid w:val="008D601E"/>
    <w:rsid w:val="008D64EA"/>
    <w:rsid w:val="008E19AC"/>
    <w:rsid w:val="008E6C7C"/>
    <w:rsid w:val="00901164"/>
    <w:rsid w:val="00911EC1"/>
    <w:rsid w:val="009175AC"/>
    <w:rsid w:val="00922C89"/>
    <w:rsid w:val="009249CE"/>
    <w:rsid w:val="009265F8"/>
    <w:rsid w:val="009409EA"/>
    <w:rsid w:val="00955A0B"/>
    <w:rsid w:val="00957803"/>
    <w:rsid w:val="0096151A"/>
    <w:rsid w:val="0096477B"/>
    <w:rsid w:val="00965007"/>
    <w:rsid w:val="009719A3"/>
    <w:rsid w:val="009723A2"/>
    <w:rsid w:val="00972C17"/>
    <w:rsid w:val="00982FEA"/>
    <w:rsid w:val="0098545A"/>
    <w:rsid w:val="00993ADA"/>
    <w:rsid w:val="00994F50"/>
    <w:rsid w:val="009A0EF8"/>
    <w:rsid w:val="009A5E3A"/>
    <w:rsid w:val="009B2E8A"/>
    <w:rsid w:val="009C3A1B"/>
    <w:rsid w:val="009C42EA"/>
    <w:rsid w:val="009D36ED"/>
    <w:rsid w:val="009D6B2D"/>
    <w:rsid w:val="009E22A7"/>
    <w:rsid w:val="009E4832"/>
    <w:rsid w:val="00A1096A"/>
    <w:rsid w:val="00A12CCE"/>
    <w:rsid w:val="00A13F0E"/>
    <w:rsid w:val="00A141FF"/>
    <w:rsid w:val="00A1684A"/>
    <w:rsid w:val="00A223D8"/>
    <w:rsid w:val="00A32E27"/>
    <w:rsid w:val="00A33C86"/>
    <w:rsid w:val="00A35E02"/>
    <w:rsid w:val="00A41AB9"/>
    <w:rsid w:val="00A41F73"/>
    <w:rsid w:val="00A5111A"/>
    <w:rsid w:val="00A57BF6"/>
    <w:rsid w:val="00A57C58"/>
    <w:rsid w:val="00A61636"/>
    <w:rsid w:val="00A624BE"/>
    <w:rsid w:val="00A6526B"/>
    <w:rsid w:val="00A654BD"/>
    <w:rsid w:val="00A76EB2"/>
    <w:rsid w:val="00A76EB8"/>
    <w:rsid w:val="00A827BB"/>
    <w:rsid w:val="00A9021A"/>
    <w:rsid w:val="00A9280B"/>
    <w:rsid w:val="00A92A44"/>
    <w:rsid w:val="00A95660"/>
    <w:rsid w:val="00A97894"/>
    <w:rsid w:val="00A978B4"/>
    <w:rsid w:val="00AA313C"/>
    <w:rsid w:val="00AB4038"/>
    <w:rsid w:val="00AB775A"/>
    <w:rsid w:val="00AC5FFD"/>
    <w:rsid w:val="00AD07A1"/>
    <w:rsid w:val="00AD1492"/>
    <w:rsid w:val="00AF091D"/>
    <w:rsid w:val="00AF7D89"/>
    <w:rsid w:val="00B10000"/>
    <w:rsid w:val="00B1517D"/>
    <w:rsid w:val="00B17ADB"/>
    <w:rsid w:val="00B21F24"/>
    <w:rsid w:val="00B32DA3"/>
    <w:rsid w:val="00B45EC7"/>
    <w:rsid w:val="00B52416"/>
    <w:rsid w:val="00B5420C"/>
    <w:rsid w:val="00B577F5"/>
    <w:rsid w:val="00B57DFD"/>
    <w:rsid w:val="00B6199A"/>
    <w:rsid w:val="00B66177"/>
    <w:rsid w:val="00B711B0"/>
    <w:rsid w:val="00B76F3A"/>
    <w:rsid w:val="00B81064"/>
    <w:rsid w:val="00B87681"/>
    <w:rsid w:val="00B87E98"/>
    <w:rsid w:val="00BA5D93"/>
    <w:rsid w:val="00BA7A64"/>
    <w:rsid w:val="00BB1CAD"/>
    <w:rsid w:val="00BB1CF9"/>
    <w:rsid w:val="00BB4252"/>
    <w:rsid w:val="00BB45CD"/>
    <w:rsid w:val="00BB4603"/>
    <w:rsid w:val="00BB6C6E"/>
    <w:rsid w:val="00BC401D"/>
    <w:rsid w:val="00BC74EE"/>
    <w:rsid w:val="00BD3767"/>
    <w:rsid w:val="00BE0A12"/>
    <w:rsid w:val="00BE0E79"/>
    <w:rsid w:val="00BE157C"/>
    <w:rsid w:val="00BE18FC"/>
    <w:rsid w:val="00BE22A2"/>
    <w:rsid w:val="00BE2769"/>
    <w:rsid w:val="00C01131"/>
    <w:rsid w:val="00C02761"/>
    <w:rsid w:val="00C03EE7"/>
    <w:rsid w:val="00C04E84"/>
    <w:rsid w:val="00C11D93"/>
    <w:rsid w:val="00C1695B"/>
    <w:rsid w:val="00C219F4"/>
    <w:rsid w:val="00C27C71"/>
    <w:rsid w:val="00C366E0"/>
    <w:rsid w:val="00C41442"/>
    <w:rsid w:val="00C43649"/>
    <w:rsid w:val="00C47765"/>
    <w:rsid w:val="00C550F3"/>
    <w:rsid w:val="00C5727D"/>
    <w:rsid w:val="00C601AE"/>
    <w:rsid w:val="00C652D8"/>
    <w:rsid w:val="00C66F4E"/>
    <w:rsid w:val="00C71249"/>
    <w:rsid w:val="00C74C3B"/>
    <w:rsid w:val="00C75936"/>
    <w:rsid w:val="00C8016C"/>
    <w:rsid w:val="00C8642D"/>
    <w:rsid w:val="00C875D1"/>
    <w:rsid w:val="00C92073"/>
    <w:rsid w:val="00C936FC"/>
    <w:rsid w:val="00CA1430"/>
    <w:rsid w:val="00CB1713"/>
    <w:rsid w:val="00CB1783"/>
    <w:rsid w:val="00CB7173"/>
    <w:rsid w:val="00CC1B55"/>
    <w:rsid w:val="00CD2C06"/>
    <w:rsid w:val="00CD6B73"/>
    <w:rsid w:val="00CE23B7"/>
    <w:rsid w:val="00CE2845"/>
    <w:rsid w:val="00CE6A62"/>
    <w:rsid w:val="00CE7451"/>
    <w:rsid w:val="00CF35F5"/>
    <w:rsid w:val="00CF7DDC"/>
    <w:rsid w:val="00D00647"/>
    <w:rsid w:val="00D07A90"/>
    <w:rsid w:val="00D10F60"/>
    <w:rsid w:val="00D11463"/>
    <w:rsid w:val="00D13967"/>
    <w:rsid w:val="00D236E0"/>
    <w:rsid w:val="00D2510B"/>
    <w:rsid w:val="00D31947"/>
    <w:rsid w:val="00D32706"/>
    <w:rsid w:val="00D341F0"/>
    <w:rsid w:val="00D37BFD"/>
    <w:rsid w:val="00D40AA6"/>
    <w:rsid w:val="00D454A5"/>
    <w:rsid w:val="00D47C29"/>
    <w:rsid w:val="00D55BD5"/>
    <w:rsid w:val="00D57F1F"/>
    <w:rsid w:val="00D661BB"/>
    <w:rsid w:val="00D775DF"/>
    <w:rsid w:val="00D82CF0"/>
    <w:rsid w:val="00D86443"/>
    <w:rsid w:val="00D86D57"/>
    <w:rsid w:val="00D8731A"/>
    <w:rsid w:val="00D959E7"/>
    <w:rsid w:val="00D973D0"/>
    <w:rsid w:val="00D97E89"/>
    <w:rsid w:val="00DA154A"/>
    <w:rsid w:val="00DA3C5C"/>
    <w:rsid w:val="00DA552E"/>
    <w:rsid w:val="00DB2F43"/>
    <w:rsid w:val="00DC048A"/>
    <w:rsid w:val="00DC097E"/>
    <w:rsid w:val="00DC0E61"/>
    <w:rsid w:val="00DC18A7"/>
    <w:rsid w:val="00DC5406"/>
    <w:rsid w:val="00DC7D7E"/>
    <w:rsid w:val="00DD0D2A"/>
    <w:rsid w:val="00DD1B30"/>
    <w:rsid w:val="00DD21C5"/>
    <w:rsid w:val="00DE18E0"/>
    <w:rsid w:val="00DE5E2A"/>
    <w:rsid w:val="00DE608D"/>
    <w:rsid w:val="00DF5EAC"/>
    <w:rsid w:val="00E00C62"/>
    <w:rsid w:val="00E03054"/>
    <w:rsid w:val="00E07A34"/>
    <w:rsid w:val="00E23FD6"/>
    <w:rsid w:val="00E356EF"/>
    <w:rsid w:val="00E401D5"/>
    <w:rsid w:val="00E40F9F"/>
    <w:rsid w:val="00E53122"/>
    <w:rsid w:val="00E60660"/>
    <w:rsid w:val="00E613D4"/>
    <w:rsid w:val="00E6230C"/>
    <w:rsid w:val="00E65C87"/>
    <w:rsid w:val="00E70A55"/>
    <w:rsid w:val="00E73CAC"/>
    <w:rsid w:val="00E77A92"/>
    <w:rsid w:val="00E87859"/>
    <w:rsid w:val="00E90A2B"/>
    <w:rsid w:val="00E9779A"/>
    <w:rsid w:val="00EA2301"/>
    <w:rsid w:val="00EA26A2"/>
    <w:rsid w:val="00EB1E68"/>
    <w:rsid w:val="00EB649A"/>
    <w:rsid w:val="00EC0649"/>
    <w:rsid w:val="00EC3F20"/>
    <w:rsid w:val="00EC57F0"/>
    <w:rsid w:val="00ED139C"/>
    <w:rsid w:val="00ED6321"/>
    <w:rsid w:val="00ED6348"/>
    <w:rsid w:val="00EE0A77"/>
    <w:rsid w:val="00EF3B13"/>
    <w:rsid w:val="00F024C4"/>
    <w:rsid w:val="00F03D2F"/>
    <w:rsid w:val="00F14A86"/>
    <w:rsid w:val="00F22D53"/>
    <w:rsid w:val="00F22FB1"/>
    <w:rsid w:val="00F24B0C"/>
    <w:rsid w:val="00F36869"/>
    <w:rsid w:val="00F41DE1"/>
    <w:rsid w:val="00F60C1D"/>
    <w:rsid w:val="00F649A2"/>
    <w:rsid w:val="00F67854"/>
    <w:rsid w:val="00F67917"/>
    <w:rsid w:val="00F71C2D"/>
    <w:rsid w:val="00F72213"/>
    <w:rsid w:val="00F83698"/>
    <w:rsid w:val="00F908B1"/>
    <w:rsid w:val="00F95935"/>
    <w:rsid w:val="00FA0D4A"/>
    <w:rsid w:val="00FA2C55"/>
    <w:rsid w:val="00FA3B53"/>
    <w:rsid w:val="00FA3B66"/>
    <w:rsid w:val="00FA6C9C"/>
    <w:rsid w:val="00FC106A"/>
    <w:rsid w:val="00FC572C"/>
    <w:rsid w:val="00FD0C29"/>
    <w:rsid w:val="00FD1571"/>
    <w:rsid w:val="00FD1F52"/>
    <w:rsid w:val="00FD2695"/>
    <w:rsid w:val="00FD5E01"/>
    <w:rsid w:val="00FE7AB8"/>
    <w:rsid w:val="00FF09E6"/>
    <w:rsid w:val="00FF2AA7"/>
    <w:rsid w:val="00FF5B06"/>
    <w:rsid w:val="018527B2"/>
    <w:rsid w:val="04F63B9F"/>
    <w:rsid w:val="15A27EB6"/>
    <w:rsid w:val="15D477F7"/>
    <w:rsid w:val="1C297CB8"/>
    <w:rsid w:val="1D5F2E99"/>
    <w:rsid w:val="1E297DE5"/>
    <w:rsid w:val="23D8608E"/>
    <w:rsid w:val="25A344BE"/>
    <w:rsid w:val="2D672B23"/>
    <w:rsid w:val="3B7C58E2"/>
    <w:rsid w:val="46315947"/>
    <w:rsid w:val="4EBC33B2"/>
    <w:rsid w:val="58920A6D"/>
    <w:rsid w:val="5F3B69F6"/>
    <w:rsid w:val="5FF71D69"/>
    <w:rsid w:val="616723F2"/>
    <w:rsid w:val="62DB4492"/>
    <w:rsid w:val="7D2C6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6BE55"/>
  <w15:docId w15:val="{3755D9F3-2692-4E7F-8D1E-11E18848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zh-CN"/>
    </w:rPr>
  </w:style>
  <w:style w:type="paragraph" w:styleId="Heading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lang w:eastAsia="en-US"/>
    </w:rPr>
  </w:style>
  <w:style w:type="paragraph" w:styleId="Heading2">
    <w:name w:val="heading 2"/>
    <w:basedOn w:val="Normal"/>
    <w:next w:val="Normal"/>
    <w:link w:val="Heading2Char"/>
    <w:uiPriority w:val="9"/>
    <w:unhideWhenUsed/>
    <w:qFormat/>
    <w:pPr>
      <w:keepNext/>
      <w:widowControl w:val="0"/>
      <w:jc w:val="both"/>
      <w:outlineLvl w:val="1"/>
    </w:pPr>
    <w:rPr>
      <w:rFonts w:ascii="Calibri" w:eastAsia="Calibri" w:hAnsi="Calibri" w:cs="Calibri"/>
      <w:b/>
      <w:lang w:eastAsia="en-US"/>
    </w:rPr>
  </w:style>
  <w:style w:type="paragraph" w:styleId="Heading3">
    <w:name w:val="heading 3"/>
    <w:basedOn w:val="Normal"/>
    <w:next w:val="Normal"/>
    <w:uiPriority w:val="9"/>
    <w:unhideWhenUsed/>
    <w:qFormat/>
    <w:pPr>
      <w:keepNext/>
      <w:keepLines/>
      <w:widowControl w:val="0"/>
      <w:spacing w:before="200"/>
      <w:jc w:val="both"/>
      <w:outlineLvl w:val="2"/>
    </w:pPr>
    <w:rPr>
      <w:rFonts w:ascii="Cambria" w:eastAsia="Cambria" w:hAnsi="Cambria" w:cs="Cambria"/>
      <w:b/>
      <w:color w:val="4F81BD"/>
      <w:lang w:eastAsia="en-US"/>
    </w:rPr>
  </w:style>
  <w:style w:type="paragraph" w:styleId="Heading4">
    <w:name w:val="heading 4"/>
    <w:basedOn w:val="Normal"/>
    <w:next w:val="Normal"/>
    <w:uiPriority w:val="9"/>
    <w:semiHidden/>
    <w:unhideWhenUsed/>
    <w:qFormat/>
    <w:pPr>
      <w:keepNext/>
      <w:keepLines/>
      <w:widowControl w:val="0"/>
      <w:spacing w:before="240" w:after="40"/>
      <w:jc w:val="both"/>
      <w:outlineLvl w:val="3"/>
    </w:pPr>
    <w:rPr>
      <w:rFonts w:ascii="Calibri" w:eastAsia="Calibri" w:hAnsi="Calibri" w:cs="Calibri"/>
      <w:b/>
      <w:lang w:eastAsia="en-U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widowControl w:val="0"/>
      <w:jc w:val="both"/>
    </w:pPr>
    <w:rPr>
      <w:rFonts w:ascii="Calibri" w:eastAsia="Calibri" w:hAnsi="Calibri" w:cs="Calibri"/>
      <w:sz w:val="20"/>
      <w:szCs w:val="20"/>
      <w:lang w:eastAsia="en-US"/>
    </w:rPr>
  </w:style>
  <w:style w:type="paragraph" w:styleId="BodyText">
    <w:name w:val="Body Text"/>
    <w:basedOn w:val="Normal"/>
    <w:link w:val="BodyTextChar"/>
    <w:semiHidden/>
    <w:qFormat/>
    <w:pPr>
      <w:widowControl w:val="0"/>
      <w:jc w:val="both"/>
    </w:pPr>
    <w:rPr>
      <w:rFonts w:ascii="Arial" w:eastAsia="Arial" w:hAnsi="Arial" w:cs="Arial"/>
      <w:lang w:eastAsia="en-US"/>
    </w:rPr>
  </w:style>
  <w:style w:type="paragraph" w:styleId="Date">
    <w:name w:val="Date"/>
    <w:basedOn w:val="Normal"/>
    <w:next w:val="Normal"/>
    <w:link w:val="DateChar"/>
    <w:uiPriority w:val="99"/>
    <w:semiHidden/>
    <w:unhideWhenUsed/>
    <w:qFormat/>
  </w:style>
  <w:style w:type="paragraph" w:styleId="BalloonText">
    <w:name w:val="Balloon Text"/>
    <w:basedOn w:val="Normal"/>
    <w:link w:val="BalloonTextChar"/>
    <w:uiPriority w:val="99"/>
    <w:semiHidden/>
    <w:unhideWhenUsed/>
    <w:qFormat/>
    <w:pPr>
      <w:widowControl w:val="0"/>
      <w:jc w:val="both"/>
    </w:pPr>
    <w:rPr>
      <w:rFonts w:eastAsia="Calibri"/>
      <w:sz w:val="18"/>
      <w:szCs w:val="18"/>
      <w:lang w:eastAsia="en-US"/>
    </w:rPr>
  </w:style>
  <w:style w:type="paragraph" w:styleId="Footer">
    <w:name w:val="footer"/>
    <w:basedOn w:val="Normal"/>
    <w:link w:val="FooterChar"/>
    <w:uiPriority w:val="99"/>
    <w:unhideWhenUsed/>
    <w:qFormat/>
    <w:pPr>
      <w:widowControl w:val="0"/>
      <w:tabs>
        <w:tab w:val="center" w:pos="4680"/>
        <w:tab w:val="right" w:pos="9360"/>
      </w:tabs>
      <w:jc w:val="both"/>
    </w:pPr>
    <w:rPr>
      <w:rFonts w:ascii="Calibri" w:eastAsia="Calibri" w:hAnsi="Calibri" w:cs="Calibri"/>
      <w:lang w:eastAsia="en-US"/>
    </w:rPr>
  </w:style>
  <w:style w:type="paragraph" w:styleId="Header">
    <w:name w:val="header"/>
    <w:basedOn w:val="Normal"/>
    <w:link w:val="HeaderChar"/>
    <w:uiPriority w:val="99"/>
    <w:unhideWhenUsed/>
    <w:qFormat/>
    <w:pPr>
      <w:widowControl w:val="0"/>
      <w:tabs>
        <w:tab w:val="center" w:pos="4680"/>
        <w:tab w:val="right" w:pos="9360"/>
      </w:tabs>
      <w:jc w:val="both"/>
    </w:pPr>
    <w:rPr>
      <w:rFonts w:ascii="Calibri" w:eastAsia="Calibri" w:hAnsi="Calibri" w:cs="Calibri"/>
      <w:lang w:eastAsia="en-US"/>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lang w:eastAsia="en-US"/>
    </w:rPr>
  </w:style>
  <w:style w:type="paragraph" w:styleId="NormalWeb">
    <w:name w:val="Normal (Web)"/>
    <w:basedOn w:val="Normal"/>
    <w:uiPriority w:val="99"/>
    <w:unhideWhenUsed/>
    <w:qFormat/>
    <w:pPr>
      <w:spacing w:before="100" w:beforeAutospacing="1" w:after="100" w:afterAutospacing="1"/>
    </w:pPr>
  </w:style>
  <w:style w:type="paragraph" w:styleId="Title">
    <w:name w:val="Title"/>
    <w:basedOn w:val="Normal"/>
    <w:next w:val="Normal"/>
    <w:uiPriority w:val="10"/>
    <w:qFormat/>
    <w:pPr>
      <w:keepNext/>
      <w:keepLines/>
      <w:widowControl w:val="0"/>
      <w:spacing w:before="480" w:after="120"/>
      <w:jc w:val="both"/>
    </w:pPr>
    <w:rPr>
      <w:rFonts w:ascii="Calibri" w:eastAsia="Calibri" w:hAnsi="Calibri" w:cs="Calibri"/>
      <w:b/>
      <w:sz w:val="72"/>
      <w:szCs w:val="72"/>
      <w:lang w:eastAsia="en-US"/>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eastAsia="Calibri" w:hAnsi="Calibri" w:cs="Calibri"/>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p1">
    <w:name w:val="p1"/>
    <w:basedOn w:val="Normal"/>
    <w:qFormat/>
    <w:pPr>
      <w:widowControl w:val="0"/>
      <w:spacing w:before="100" w:beforeAutospacing="1" w:after="100" w:afterAutospacing="1"/>
      <w:jc w:val="both"/>
    </w:pPr>
    <w:rPr>
      <w:rFonts w:ascii="Calibri" w:eastAsia="Calibri" w:hAnsi="Calibri" w:cs="Calibri"/>
      <w:lang w:eastAsia="en-US"/>
    </w:rPr>
  </w:style>
  <w:style w:type="character" w:customStyle="1" w:styleId="BalloonTextChar">
    <w:name w:val="Balloon Text Char"/>
    <w:basedOn w:val="DefaultParagraphFont"/>
    <w:link w:val="BalloonText"/>
    <w:uiPriority w:val="99"/>
    <w:semiHidden/>
    <w:qFormat/>
    <w:rPr>
      <w:rFonts w:ascii="Times New Roman" w:hAnsi="Times New Roman" w:cs="Times New Roman"/>
      <w:sz w:val="18"/>
      <w:szCs w:val="18"/>
      <w:lang w:eastAsia="en-US"/>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p2">
    <w:name w:val="p2"/>
    <w:basedOn w:val="Normal"/>
    <w:qFormat/>
    <w:pPr>
      <w:spacing w:before="100" w:beforeAutospacing="1" w:after="100" w:afterAutospacing="1"/>
    </w:pPr>
  </w:style>
  <w:style w:type="paragraph" w:customStyle="1" w:styleId="p3">
    <w:name w:val="p3"/>
    <w:basedOn w:val="Normal"/>
    <w:qFormat/>
    <w:pPr>
      <w:spacing w:before="100" w:beforeAutospacing="1" w:after="100" w:afterAutospacing="1"/>
    </w:pPr>
  </w:style>
  <w:style w:type="character" w:customStyle="1" w:styleId="s1">
    <w:name w:val="s1"/>
    <w:basedOn w:val="DefaultParagraphFont"/>
    <w:qFormat/>
  </w:style>
  <w:style w:type="character" w:customStyle="1" w:styleId="text-token-text-primary">
    <w:name w:val="text-token-text-primary"/>
    <w:basedOn w:val="DefaultParagraphFont"/>
    <w:qFormat/>
  </w:style>
  <w:style w:type="paragraph" w:customStyle="1" w:styleId="isselectedend">
    <w:name w:val="isselectedend"/>
    <w:basedOn w:val="Normal"/>
    <w:qFormat/>
    <w:pPr>
      <w:spacing w:before="100" w:beforeAutospacing="1" w:after="100" w:afterAutospacing="1"/>
    </w:pPr>
  </w:style>
  <w:style w:type="paragraph" w:customStyle="1" w:styleId="1">
    <w:name w:val="修订1"/>
    <w:hidden/>
    <w:uiPriority w:val="99"/>
    <w:semiHidden/>
    <w:qFormat/>
    <w:rPr>
      <w:rFonts w:ascii="Calibri" w:eastAsia="Calibri" w:hAnsi="Calibri" w:cs="Calibri"/>
      <w:sz w:val="24"/>
      <w:szCs w:val="24"/>
      <w:lang w:val="en-US" w:eastAsia="en-US"/>
    </w:rPr>
  </w:style>
  <w:style w:type="character" w:customStyle="1" w:styleId="DateChar">
    <w:name w:val="Date Char"/>
    <w:basedOn w:val="DefaultParagraphFont"/>
    <w:link w:val="Date"/>
    <w:uiPriority w:val="99"/>
    <w:semiHidden/>
    <w:qFormat/>
    <w:rPr>
      <w:rFonts w:eastAsia="Calibri"/>
      <w:sz w:val="24"/>
      <w:szCs w:val="24"/>
      <w:lang w:eastAsia="en-US"/>
    </w:rPr>
  </w:style>
  <w:style w:type="character" w:customStyle="1" w:styleId="HeaderChar">
    <w:name w:val="Header Char"/>
    <w:basedOn w:val="DefaultParagraphFont"/>
    <w:link w:val="Header"/>
    <w:uiPriority w:val="99"/>
    <w:qFormat/>
    <w:rPr>
      <w:rFonts w:eastAsia="Calibri"/>
      <w:sz w:val="24"/>
      <w:szCs w:val="24"/>
      <w:lang w:eastAsia="en-US"/>
    </w:rPr>
  </w:style>
  <w:style w:type="character" w:customStyle="1" w:styleId="Heading2Char">
    <w:name w:val="Heading 2 Char"/>
    <w:basedOn w:val="DefaultParagraphFont"/>
    <w:link w:val="Heading2"/>
    <w:uiPriority w:val="9"/>
    <w:qFormat/>
    <w:rPr>
      <w:rFonts w:eastAsia="Calibri"/>
      <w:b/>
      <w:sz w:val="24"/>
      <w:szCs w:val="24"/>
      <w:lang w:eastAsia="en-US"/>
    </w:rPr>
  </w:style>
  <w:style w:type="paragraph" w:customStyle="1" w:styleId="EndNoteBibliographyTitle">
    <w:name w:val="EndNote Bibliography Title"/>
    <w:basedOn w:val="Normal"/>
    <w:link w:val="EndNoteBibliographyTitleChar"/>
    <w:qFormat/>
    <w:pPr>
      <w:jc w:val="center"/>
    </w:pPr>
  </w:style>
  <w:style w:type="character" w:customStyle="1" w:styleId="BodyTextChar">
    <w:name w:val="Body Text Char"/>
    <w:basedOn w:val="DefaultParagraphFont"/>
    <w:link w:val="BodyText"/>
    <w:semiHidden/>
    <w:qFormat/>
    <w:rPr>
      <w:rFonts w:ascii="Arial" w:eastAsia="Arial" w:hAnsi="Arial" w:cs="Arial"/>
      <w:sz w:val="24"/>
      <w:szCs w:val="24"/>
      <w:lang w:eastAsia="en-US"/>
    </w:rPr>
  </w:style>
  <w:style w:type="character" w:customStyle="1" w:styleId="EndNoteBibliographyTitleChar">
    <w:name w:val="EndNote Bibliography Title Char"/>
    <w:basedOn w:val="BodyTextChar"/>
    <w:link w:val="EndNoteBibliographyTitle"/>
    <w:qFormat/>
    <w:rPr>
      <w:rFonts w:ascii="Arial" w:eastAsia="Times New Roman" w:hAnsi="Arial" w:cs="Arial"/>
      <w:sz w:val="24"/>
      <w:szCs w:val="24"/>
      <w:lang w:eastAsia="en-US"/>
    </w:rPr>
  </w:style>
  <w:style w:type="paragraph" w:customStyle="1" w:styleId="EndNoteBibliography">
    <w:name w:val="EndNote Bibliography"/>
    <w:basedOn w:val="Normal"/>
    <w:link w:val="EndNoteBibliographyChar"/>
    <w:qFormat/>
  </w:style>
  <w:style w:type="character" w:customStyle="1" w:styleId="EndNoteBibliographyChar">
    <w:name w:val="EndNote Bibliography Char"/>
    <w:basedOn w:val="BodyTextChar"/>
    <w:link w:val="EndNoteBibliography"/>
    <w:qFormat/>
    <w:rPr>
      <w:rFonts w:ascii="Arial" w:eastAsia="Times New Roman" w:hAnsi="Arial" w:cs="Arial"/>
      <w:sz w:val="24"/>
      <w:szCs w:val="24"/>
      <w:lang w:eastAsia="en-US"/>
    </w:rPr>
  </w:style>
  <w:style w:type="character" w:styleId="Emphasis">
    <w:name w:val="Emphasis"/>
    <w:basedOn w:val="DefaultParagraphFont"/>
    <w:uiPriority w:val="20"/>
    <w:qFormat/>
    <w:rsid w:val="00E623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4692</Words>
  <Characters>28109</Characters>
  <Application>Microsoft Office Word</Application>
  <DocSecurity>0</DocSecurity>
  <Lines>540</Lines>
  <Paragraphs>201</Paragraphs>
  <ScaleCrop>false</ScaleCrop>
  <Company/>
  <LinksUpToDate>false</LinksUpToDate>
  <CharactersWithSpaces>32600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Swati Madhu</cp:lastModifiedBy>
  <cp:revision>3</cp:revision>
  <dcterms:created xsi:type="dcterms:W3CDTF">2026-03-11T00:49:00Z</dcterms:created>
  <dcterms:modified xsi:type="dcterms:W3CDTF">2026-03-15T07:31:00Z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eyJoZGlkIjoiMzEwNTM5NzYwMDRjMzkwZTVkZjY2ODkwMGIxNGU0OTUiLCJ1c2VySWQiOiI5OTM3MDA4MzIifQ==</vt:lpwstr>
  </property>
  <property fmtid="{D5CDD505-2E9C-101B-9397-08002B2CF9AE}" pid="4" name="KSOProductBuildVer">
    <vt:lpwstr>2052-12.1.0.24034</vt:lpwstr>
  </property>
  <property fmtid="{D5CDD505-2E9C-101B-9397-08002B2CF9AE}" pid="5" name="ICV">
    <vt:lpwstr>D80D3915CDA94714AAAF997B678A81C9_12</vt:lpwstr>
  </property>
</Properties>
</file>