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F8CD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69880</w:t>
      </w:r>
    </w:p>
    <w:p w14:paraId="4443A24B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1B5FE92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A18E7">
          <w:rPr>
            <w:rStyle w:val="Hyperlink"/>
            <w:rFonts w:eastAsia="Times New Roman" w:cstheme="minorHAnsi"/>
            <w:b/>
          </w:rPr>
          <w:t>https://review.jove.com/account/file-uploader?src=21313448</w:t>
        </w:r>
      </w:hyperlink>
    </w:p>
    <w:p w14:paraId="6DF41362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4798899E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41E44558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proofErr w:type="spellStart"/>
      <w:r>
        <w:rPr>
          <w:rStyle w:val="ArticleTitle"/>
          <w:rFonts w:cstheme="minorHAnsi"/>
        </w:rPr>
        <w:t>MeRIP</w:t>
      </w:r>
      <w:proofErr w:type="spellEnd"/>
      <w:r>
        <w:rPr>
          <w:rStyle w:val="ArticleTitle"/>
          <w:rFonts w:cstheme="minorHAnsi"/>
        </w:rPr>
        <w:t>-qPCR Assay for Detecting m6A Modification Levels of Specific RNA in Osteosarcoma Cells</w:t>
      </w:r>
    </w:p>
    <w:p w14:paraId="6D451DBA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0F9263D5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0C8E35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Binghan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Yan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Junli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Suxia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Peng Zhao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Fulai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Chujie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Zhou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Junjie Tong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Xinyu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Yuping Hong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Mengchen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Yin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Xingyuan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Yanping Yang</w:t>
      </w:r>
      <w:r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proofErr w:type="gramEnd"/>
    </w:p>
    <w:p w14:paraId="42B8916C" w14:textId="77777777" w:rsidR="004A18E7" w:rsidRDefault="004A18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DAFB3FA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Longhua Hospital, Shanghai University of Traditional Chinese Medicine</w:t>
      </w:r>
    </w:p>
    <w:p w14:paraId="18984C33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Key Laboratory of Theory and Therapy of Muscles and Bones, Ministry of Education</w:t>
      </w:r>
    </w:p>
    <w:p w14:paraId="25AFF3DB" w14:textId="77777777" w:rsidR="004A18E7" w:rsidRDefault="004A18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A2ADC4B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09520AE2" w14:textId="77777777" w:rsidR="004A18E7" w:rsidRDefault="004A18E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782737" w14:textId="77777777" w:rsidR="004A18E7" w:rsidRDefault="004A18E7">
      <w:pPr>
        <w:outlineLvl w:val="0"/>
        <w:rPr>
          <w:rFonts w:eastAsia="Times New Roman" w:cstheme="minorHAnsi"/>
        </w:rPr>
      </w:pPr>
    </w:p>
    <w:p w14:paraId="3B853BC7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153101F" w14:textId="77777777" w:rsidR="004A18E7" w:rsidRDefault="00000000">
      <w:pPr>
        <w:rPr>
          <w:rFonts w:ascii="Calibri" w:hAnsi="Calibri" w:cs="Calibri"/>
        </w:rPr>
      </w:pPr>
      <w:bookmarkStart w:id="0" w:name="_Hlk25233958"/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 w:rsidR="004A18E7"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6A9E2C08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510C26A4" w14:textId="77777777" w:rsidR="004A18E7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5A3350EC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Binghan</w:t>
      </w:r>
      <w:proofErr w:type="spellEnd"/>
      <w:r>
        <w:rPr>
          <w:rFonts w:ascii="Calibri" w:hAnsi="Calibri" w:cs="Calibri"/>
        </w:rPr>
        <w:t xml:space="preserve"> Yan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(12024110@shutcm.edu.cn)</w:t>
      </w:r>
    </w:p>
    <w:p w14:paraId="7DB4446C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Junli</w:t>
      </w:r>
      <w:proofErr w:type="spellEnd"/>
      <w:r>
        <w:rPr>
          <w:rFonts w:ascii="Calibri" w:hAnsi="Calibri" w:cs="Calibri"/>
        </w:rPr>
        <w:t xml:space="preserve"> Chang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(changjunli2008@shutcm.edu.cn)</w:t>
      </w:r>
    </w:p>
    <w:p w14:paraId="07B1E982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Suxia</w:t>
      </w:r>
      <w:proofErr w:type="spellEnd"/>
      <w:r>
        <w:rPr>
          <w:rFonts w:ascii="Calibri" w:hAnsi="Calibri" w:cs="Calibri"/>
        </w:rPr>
        <w:t xml:space="preserve"> Guo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(15738356725@shutcm.edu.cn)</w:t>
      </w:r>
    </w:p>
    <w:p w14:paraId="4F57E6E2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Peng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(pengzhao@shutcm.edu.cn)</w:t>
      </w:r>
    </w:p>
    <w:p w14:paraId="7A4150F4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Fulai</w:t>
      </w:r>
      <w:proofErr w:type="spellEnd"/>
      <w:r>
        <w:rPr>
          <w:rFonts w:ascii="Calibri" w:hAnsi="Calibri" w:cs="Calibri"/>
        </w:rPr>
        <w:t xml:space="preserve">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(13407152665@163.com)</w:t>
      </w:r>
    </w:p>
    <w:p w14:paraId="36CB8D36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Chujie</w:t>
      </w:r>
      <w:proofErr w:type="spellEnd"/>
      <w:r>
        <w:rPr>
          <w:rFonts w:ascii="Calibri" w:hAnsi="Calibri" w:cs="Calibri"/>
        </w:rPr>
        <w:t xml:space="preserve"> Zhou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(zcj981016@163.com)</w:t>
      </w:r>
    </w:p>
    <w:p w14:paraId="39F53219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Junjie Tong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(1091394237@qq.com)</w:t>
      </w:r>
    </w:p>
    <w:p w14:paraId="0E8FCEFD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Xinyu Zhang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="004A18E7">
          <w:rPr>
            <w:rStyle w:val="Hyperlink"/>
            <w:rFonts w:ascii="Calibri" w:hAnsi="Calibri" w:cs="Calibri"/>
          </w:rPr>
          <w:t>m15853095133@163.com</w:t>
        </w:r>
      </w:hyperlink>
      <w:r>
        <w:rPr>
          <w:rFonts w:ascii="Calibri" w:hAnsi="Calibri" w:cs="Calibri"/>
        </w:rPr>
        <w:t>)</w:t>
      </w:r>
    </w:p>
    <w:p w14:paraId="3E047496" w14:textId="77777777" w:rsidR="004A18E7" w:rsidRDefault="00000000">
      <w:pPr>
        <w:rPr>
          <w:rFonts w:ascii="Calibri" w:hAnsi="Calibri" w:cs="Calibri"/>
          <w:kern w:val="2"/>
        </w:rPr>
      </w:pPr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10" w:history="1">
        <w:r w:rsidR="004A18E7"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4BF96C91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Yuping Hong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(Paddington9580@outlook.com) </w:t>
      </w:r>
    </w:p>
    <w:p w14:paraId="3AC6DADB" w14:textId="77777777" w:rsidR="004A18E7" w:rsidRDefault="00000000">
      <w:pPr>
        <w:rPr>
          <w:rFonts w:ascii="Calibri" w:hAnsi="Calibri" w:cs="Calibri"/>
          <w:kern w:val="2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79C6D7C6" w14:textId="77777777" w:rsidR="004A18E7" w:rsidRDefault="00000000">
      <w:pPr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Mengchen</w:t>
      </w:r>
      <w:proofErr w:type="spellEnd"/>
      <w:r>
        <w:rPr>
          <w:rFonts w:ascii="Calibri" w:eastAsia="Arial Unicode MS" w:hAnsi="Calibri" w:cs="Calibri"/>
        </w:rPr>
        <w:t xml:space="preserve"> Yin</w:t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  <w:t>(yinmengcheng0513@126.com)</w:t>
      </w:r>
    </w:p>
    <w:p w14:paraId="5C50CD6D" w14:textId="77777777" w:rsidR="004A18E7" w:rsidRDefault="004A18E7">
      <w:pPr>
        <w:outlineLvl w:val="0"/>
        <w:rPr>
          <w:rFonts w:cstheme="minorHAnsi"/>
          <w:b/>
          <w:sz w:val="22"/>
          <w:szCs w:val="22"/>
        </w:rPr>
      </w:pPr>
    </w:p>
    <w:p w14:paraId="22E5AA3D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5FC09F41" w14:textId="77777777" w:rsidR="00EF0F67" w:rsidRDefault="00EF0F67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7BAA6A2F" w14:textId="77777777" w:rsidR="004A18E7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53B88AA7" w14:textId="77777777" w:rsidR="004A18E7" w:rsidRDefault="004A18E7"/>
    <w:p w14:paraId="69AC12FD" w14:textId="77777777" w:rsidR="004A18E7" w:rsidRDefault="00000000">
      <w:pPr>
        <w:numPr>
          <w:ilvl w:val="0"/>
          <w:numId w:val="1"/>
        </w:num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09616A73" w14:textId="77777777" w:rsidR="004A18E7" w:rsidRDefault="004A18E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3D7EE3" w14:textId="77777777" w:rsidR="004A18E7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</w:p>
    <w:p w14:paraId="4739C4BF" w14:textId="77777777" w:rsidR="004A18E7" w:rsidRDefault="004A18E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0E3DBE03" w14:textId="77777777" w:rsidR="004A18E7" w:rsidRDefault="00000000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</w:p>
    <w:p w14:paraId="71AF3EC5" w14:textId="77777777" w:rsidR="004A18E7" w:rsidRDefault="004A18E7">
      <w:pPr>
        <w:spacing w:before="120"/>
        <w:rPr>
          <w:rFonts w:eastAsia="Times New Roman" w:cstheme="minorHAnsi"/>
        </w:rPr>
      </w:pPr>
    </w:p>
    <w:p w14:paraId="6B0808EB" w14:textId="77777777" w:rsidR="004A18E7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EF0F67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2E4B1B3B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126063A7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16DBC082" w14:textId="77777777" w:rsidR="004A18E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774EF9B" w14:textId="77777777" w:rsidR="004A18E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13</w:t>
      </w:r>
    </w:p>
    <w:p w14:paraId="2C18BF83" w14:textId="77777777" w:rsidR="004A18E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29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4C77D2E4" w14:textId="77777777" w:rsidR="004A18E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BE2478D" w14:textId="77777777" w:rsidR="004A18E7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22DFB415" w14:textId="77777777" w:rsidR="004A18E7" w:rsidRDefault="004A18E7">
      <w:pPr>
        <w:rPr>
          <w:rFonts w:cstheme="minorHAnsi"/>
          <w:b/>
        </w:rPr>
      </w:pPr>
    </w:p>
    <w:p w14:paraId="7B0C4485" w14:textId="77777777" w:rsidR="004A18E7" w:rsidRDefault="004A18E7">
      <w:pPr>
        <w:rPr>
          <w:rFonts w:eastAsia="Times New Roman" w:cstheme="minorHAnsi"/>
          <w:b/>
        </w:rPr>
      </w:pPr>
    </w:p>
    <w:p w14:paraId="20AD99AE" w14:textId="77777777" w:rsidR="004A18E7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3EED6953" w14:textId="77777777" w:rsidR="004A18E7" w:rsidRDefault="004A18E7">
      <w:pPr>
        <w:rPr>
          <w:rFonts w:cstheme="minorHAnsi"/>
          <w:b/>
          <w:bCs/>
          <w:color w:val="auto"/>
          <w:shd w:val="clear" w:color="auto" w:fill="FFFFFF"/>
        </w:rPr>
      </w:pPr>
    </w:p>
    <w:p w14:paraId="34EE6913" w14:textId="77777777" w:rsidR="004A18E7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 w:rsidRPr="00973CBD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</w:t>
      </w:r>
      <w:r>
        <w:rPr>
          <w:rFonts w:cstheme="minorHAnsi"/>
          <w:color w:val="auto"/>
          <w:shd w:val="clear" w:color="auto" w:fill="FFFFFF"/>
        </w:rPr>
        <w:t>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941C22A" w14:textId="77777777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eastAsia="SimSun" w:cstheme="minorHAnsi"/>
          <w:lang w:eastAsia="zh-CN"/>
        </w:rPr>
        <w:t xml:space="preserve"> </w:t>
      </w:r>
      <w:r>
        <w:rPr>
          <w:rFonts w:cstheme="minorHAnsi" w:hint="eastAsia"/>
        </w:rPr>
        <w:t>My research focuses on osteosarcoma</w:t>
      </w:r>
      <w:r>
        <w:rPr>
          <w:rFonts w:cstheme="minorHAnsi"/>
        </w:rPr>
        <w:t>. I am</w:t>
      </w:r>
      <w:r>
        <w:rPr>
          <w:rFonts w:eastAsia="SimSun" w:cstheme="minorHAnsi" w:hint="eastAsia"/>
          <w:lang w:eastAsia="zh-CN"/>
        </w:rPr>
        <w:t xml:space="preserve"> trying</w:t>
      </w:r>
      <w:r>
        <w:rPr>
          <w:rFonts w:cstheme="minorHAnsi" w:hint="eastAsia"/>
        </w:rPr>
        <w:t xml:space="preserve"> to address the advantages of </w:t>
      </w:r>
      <w:proofErr w:type="spellStart"/>
      <w:r>
        <w:rPr>
          <w:rFonts w:cstheme="minorHAnsi" w:hint="eastAsia"/>
        </w:rPr>
        <w:t>MeRIP</w:t>
      </w:r>
      <w:proofErr w:type="spellEnd"/>
      <w:r>
        <w:rPr>
          <w:rFonts w:cstheme="minorHAnsi" w:hint="eastAsia"/>
        </w:rPr>
        <w:t>-qPCR compared with other techniques and future research directions.</w:t>
      </w:r>
    </w:p>
    <w:p w14:paraId="2AC28AF1" w14:textId="77777777" w:rsid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459168C" w14:textId="77777777" w:rsidR="004A18E7" w:rsidRDefault="004A18E7">
      <w:pPr>
        <w:rPr>
          <w:rFonts w:eastAsia="Times New Roman" w:cstheme="minorHAnsi"/>
          <w:b/>
          <w:bCs/>
        </w:rPr>
      </w:pPr>
    </w:p>
    <w:p w14:paraId="68C2A7EA" w14:textId="77777777" w:rsidR="004A18E7" w:rsidRDefault="004A18E7">
      <w:pPr>
        <w:rPr>
          <w:rFonts w:eastAsia="Times New Roman" w:cstheme="minorHAnsi"/>
          <w:b/>
          <w:bCs/>
        </w:rPr>
      </w:pPr>
    </w:p>
    <w:p w14:paraId="0EB0988C" w14:textId="77777777" w:rsidR="004A18E7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27D8F2DA" w14:textId="77777777" w:rsidR="004A18E7" w:rsidRDefault="004A18E7">
      <w:pPr>
        <w:rPr>
          <w:rFonts w:eastAsia="Times New Roman" w:cstheme="minorHAnsi"/>
          <w:b/>
          <w:bCs/>
        </w:rPr>
      </w:pPr>
    </w:p>
    <w:p w14:paraId="48E94D51" w14:textId="77777777" w:rsidR="004A18E7" w:rsidRDefault="004A18E7">
      <w:pPr>
        <w:rPr>
          <w:rFonts w:eastAsia="Times New Roman" w:cstheme="minorHAnsi"/>
          <w:b/>
          <w:bCs/>
        </w:rPr>
      </w:pPr>
    </w:p>
    <w:p w14:paraId="3947F824" w14:textId="77777777" w:rsidR="004A18E7" w:rsidRDefault="00000000">
      <w:pPr>
        <w:rPr>
          <w:rFonts w:eastAsia="Times New Roman" w:cstheme="minorHAnsi"/>
          <w:sz w:val="28"/>
          <w:szCs w:val="28"/>
        </w:rPr>
      </w:pPr>
      <w:r w:rsidRPr="00973CBD">
        <w:rPr>
          <w:rFonts w:cstheme="minorHAnsi"/>
          <w:strike/>
          <w:color w:val="auto"/>
          <w:shd w:val="clear" w:color="auto" w:fill="FFFFFF"/>
        </w:rPr>
        <w:t xml:space="preserve">What </w:t>
      </w:r>
      <w:proofErr w:type="gramStart"/>
      <w:r w:rsidRPr="00973CBD">
        <w:rPr>
          <w:rFonts w:cstheme="minorHAnsi"/>
          <w:strike/>
          <w:color w:val="auto"/>
          <w:shd w:val="clear" w:color="auto" w:fill="FFFFFF"/>
        </w:rPr>
        <w:t>advantage</w:t>
      </w:r>
      <w:proofErr w:type="gramEnd"/>
      <w:r w:rsidRPr="00973CBD">
        <w:rPr>
          <w:rFonts w:cstheme="minorHAnsi"/>
          <w:strike/>
          <w:color w:val="auto"/>
          <w:shd w:val="clear" w:color="auto" w:fill="FFFFFF"/>
        </w:rPr>
        <w:t xml:space="preserve"> does your protocol offer compared to other techniques</w:t>
      </w:r>
      <w:r>
        <w:rPr>
          <w:rFonts w:cstheme="minorHAnsi"/>
          <w:color w:val="000000"/>
          <w:shd w:val="clear" w:color="auto" w:fill="FFFFFF"/>
        </w:rPr>
        <w:t>?</w:t>
      </w:r>
    </w:p>
    <w:p w14:paraId="19073D25" w14:textId="77777777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cstheme="minorHAnsi" w:hint="eastAsia"/>
        </w:rPr>
        <w:t>MeRIP</w:t>
      </w:r>
      <w:proofErr w:type="spellEnd"/>
      <w:r>
        <w:rPr>
          <w:rFonts w:cstheme="minorHAnsi" w:hint="eastAsia"/>
        </w:rPr>
        <w:t>-qPCR sensitively detects low-abundance m6A, enables regional localization, and offers a low-cost alternative to sequencing-based approaches with antibody enrichment efficiency</w:t>
      </w:r>
      <w:r>
        <w:rPr>
          <w:rFonts w:cstheme="minorHAnsi"/>
        </w:rPr>
        <w:t>.</w:t>
      </w:r>
    </w:p>
    <w:p w14:paraId="45C17388" w14:textId="77777777" w:rsid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97A0000" w14:textId="77777777" w:rsidR="004A18E7" w:rsidRDefault="00000000">
      <w:pPr>
        <w:spacing w:before="120"/>
        <w:rPr>
          <w:rFonts w:eastAsia="Times New Roman" w:cstheme="minorHAnsi"/>
        </w:rPr>
      </w:pPr>
      <w:r w:rsidRPr="00973CBD">
        <w:rPr>
          <w:rFonts w:cstheme="minorHAnsi"/>
          <w:strike/>
          <w:color w:val="auto"/>
          <w:shd w:val="clear" w:color="auto" w:fill="FFFFFF"/>
        </w:rPr>
        <w:t>What questions will future research focus on</w:t>
      </w:r>
      <w:r>
        <w:rPr>
          <w:rFonts w:cstheme="minorHAnsi"/>
          <w:color w:val="000000"/>
          <w:shd w:val="clear" w:color="auto" w:fill="FFFFFF"/>
        </w:rPr>
        <w:t>?</w:t>
      </w:r>
    </w:p>
    <w:p w14:paraId="485EC070" w14:textId="77777777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Future studies are expected to further </w:t>
      </w:r>
      <w:r>
        <w:rPr>
          <w:rFonts w:cstheme="minorHAnsi"/>
        </w:rPr>
        <w:t>integrate</w:t>
      </w:r>
      <w:r>
        <w:rPr>
          <w:rFonts w:cstheme="minorHAnsi" w:hint="eastAsia"/>
        </w:rPr>
        <w:t xml:space="preserve"> </w:t>
      </w:r>
      <w:proofErr w:type="spellStart"/>
      <w:r>
        <w:rPr>
          <w:rFonts w:cstheme="minorHAnsi" w:hint="eastAsia"/>
        </w:rPr>
        <w:t>MeRIP</w:t>
      </w:r>
      <w:proofErr w:type="spellEnd"/>
      <w:r>
        <w:rPr>
          <w:rFonts w:cstheme="minorHAnsi" w:hint="eastAsia"/>
        </w:rPr>
        <w:t>-qPCR with nanopore sequencing to improve accuracy, resolution, and functional interpretation of m6A modifications.</w:t>
      </w:r>
    </w:p>
    <w:p w14:paraId="76096A9E" w14:textId="77777777" w:rsidR="00EF0F67" w:rsidRP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624C18BF" w14:textId="77777777" w:rsidR="004A18E7" w:rsidRDefault="004A18E7">
      <w:pPr>
        <w:contextualSpacing/>
        <w:outlineLvl w:val="0"/>
        <w:rPr>
          <w:rFonts w:eastAsia="Times New Roman" w:cstheme="minorHAnsi"/>
          <w:b/>
        </w:rPr>
      </w:pPr>
    </w:p>
    <w:p w14:paraId="1C5E4037" w14:textId="77777777" w:rsidR="004A18E7" w:rsidRDefault="004A18E7">
      <w:pPr>
        <w:contextualSpacing/>
        <w:outlineLvl w:val="0"/>
        <w:rPr>
          <w:rFonts w:eastAsia="Times New Roman" w:cstheme="minorHAnsi"/>
          <w:b/>
        </w:rPr>
      </w:pPr>
    </w:p>
    <w:p w14:paraId="66D235E0" w14:textId="77777777" w:rsidR="004A18E7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969BF8C" w14:textId="77777777" w:rsidR="00EF0F67" w:rsidRDefault="00EF0F6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8E62A49" w14:textId="77777777" w:rsidR="004A18E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0F116DA" w14:textId="77777777" w:rsidR="004A18E7" w:rsidRDefault="004A18E7">
      <w:pPr>
        <w:rPr>
          <w:rFonts w:cstheme="minorHAnsi"/>
        </w:rPr>
      </w:pPr>
    </w:p>
    <w:p w14:paraId="0C0664FE" w14:textId="77777777" w:rsidR="004A18E7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Methylated RNA Immunoprecipitation from Osteosarcoma Cells for Downstream Purification and Analysis</w:t>
      </w:r>
    </w:p>
    <w:p w14:paraId="6C5D15CC" w14:textId="77777777" w:rsidR="004A18E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eastAsia="SimSun" w:cstheme="minorHAnsi" w:hint="eastAsia"/>
          <w:lang w:eastAsia="zh-CN"/>
        </w:rPr>
        <w:t>Binghan</w:t>
      </w:r>
      <w:proofErr w:type="spellEnd"/>
      <w:r>
        <w:rPr>
          <w:rFonts w:eastAsia="SimSun" w:cstheme="minorHAnsi" w:hint="eastAsia"/>
          <w:lang w:eastAsia="zh-CN"/>
        </w:rPr>
        <w:t xml:space="preserve"> Yan</w:t>
      </w:r>
      <w:r>
        <w:rPr>
          <w:rFonts w:cstheme="minorHAnsi"/>
        </w:rPr>
        <w:t xml:space="preserve"> </w:t>
      </w:r>
    </w:p>
    <w:p w14:paraId="4A1A35C9" w14:textId="77777777" w:rsidR="004A18E7" w:rsidRPr="00EF0F67" w:rsidRDefault="004A18E7" w:rsidP="00EF0F67">
      <w:pPr>
        <w:spacing w:before="120"/>
        <w:rPr>
          <w:rFonts w:cstheme="minorHAnsi"/>
        </w:rPr>
      </w:pPr>
    </w:p>
    <w:p w14:paraId="6A8E3177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To begin, remove the culture medium from a 3.5-centimeter dish containing osteosarcoma cells </w:t>
      </w:r>
      <w:r>
        <w:rPr>
          <w:b/>
          <w:bCs/>
        </w:rPr>
        <w:t xml:space="preserve">[1]. </w:t>
      </w:r>
      <w:r>
        <w:t xml:space="preserve">Gently wash the once with pre-chilled PBS </w:t>
      </w:r>
      <w:r>
        <w:rPr>
          <w:b/>
          <w:bCs/>
        </w:rPr>
        <w:t>[2]</w:t>
      </w:r>
      <w:r>
        <w:t xml:space="preserve">. Add an appropriate volume of RNA lysis buffer directly to the dish to fully lyse the cells </w:t>
      </w:r>
      <w:r>
        <w:rPr>
          <w:b/>
          <w:bCs/>
        </w:rPr>
        <w:t xml:space="preserve">[3]. </w:t>
      </w:r>
      <w:r w:rsidR="00EF0F67">
        <w:t>Gently</w:t>
      </w:r>
      <w:r w:rsidR="00EF0F67">
        <w:rPr>
          <w:b/>
          <w:bCs/>
        </w:rPr>
        <w:t xml:space="preserve"> </w:t>
      </w:r>
      <w:r w:rsidR="00EF0F67">
        <w:t>pipette</w:t>
      </w:r>
      <w:r>
        <w:t xml:space="preserve"> the suspension to homogenize </w:t>
      </w:r>
      <w:r>
        <w:rPr>
          <w:b/>
          <w:bCs/>
        </w:rPr>
        <w:t>[4]</w:t>
      </w:r>
      <w:r>
        <w:t>.</w:t>
      </w:r>
    </w:p>
    <w:p w14:paraId="6C0C8D13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WIDE: Talent removing the culture medium from a 3.5-centimeter dish containing osteosarcoma cells. </w:t>
      </w:r>
    </w:p>
    <w:p w14:paraId="388D12DB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adding pre-chilled phosphate-buffered saline to the dish. </w:t>
      </w:r>
    </w:p>
    <w:p w14:paraId="17192644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RNA lysis buffer to the dish.</w:t>
      </w:r>
    </w:p>
    <w:p w14:paraId="3ADDB5DA" w14:textId="77777777" w:rsidR="004A18E7" w:rsidRDefault="00000000">
      <w:pPr>
        <w:pStyle w:val="ShotDescription"/>
        <w:numPr>
          <w:ilvl w:val="2"/>
          <w:numId w:val="3"/>
        </w:numPr>
      </w:pPr>
      <w:r>
        <w:t>Talent pipetting gently to homogenize the cells.</w:t>
      </w:r>
    </w:p>
    <w:p w14:paraId="66963A0B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Transfer the cell suspension into a 1.5-milliliter microcentrifuge tube </w:t>
      </w:r>
      <w:r>
        <w:rPr>
          <w:b/>
          <w:bCs/>
        </w:rPr>
        <w:t>[1]</w:t>
      </w:r>
      <w:r>
        <w:t xml:space="preserve">. Then centrifuge the microcentrifuge tube at 1,000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  <w:bCs/>
        </w:rPr>
        <w:t>[2]</w:t>
      </w:r>
      <w:r>
        <w:t xml:space="preserve">. Carefully remove the microcentrifuge tube after centrifugation </w:t>
      </w:r>
      <w:r>
        <w:rPr>
          <w:b/>
          <w:bCs/>
        </w:rPr>
        <w:t>[3]</w:t>
      </w:r>
      <w:r>
        <w:t>.</w:t>
      </w:r>
    </w:p>
    <w:p w14:paraId="2C3DADA3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homogenized cell suspension into a 1.5-milliliter microcentrifuge tube.</w:t>
      </w:r>
    </w:p>
    <w:p w14:paraId="553B006F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microcentrifuge tube into a centrifuge and setting it to 1,000 g for 5 minutes at 4 degrees Celsius.</w:t>
      </w:r>
    </w:p>
    <w:p w14:paraId="538C8155" w14:textId="77777777" w:rsidR="004A18E7" w:rsidRDefault="00000000">
      <w:pPr>
        <w:pStyle w:val="ShotDescription"/>
        <w:numPr>
          <w:ilvl w:val="2"/>
          <w:numId w:val="3"/>
        </w:numPr>
      </w:pPr>
      <w:r>
        <w:t>Talent removing the microcentrifuge tube from the centrifuge.</w:t>
      </w:r>
    </w:p>
    <w:p w14:paraId="504A8001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Using a 1-milliliter pipette, aspirate the supernatant completely without disturbing the pellet at the bottom </w:t>
      </w:r>
      <w:r>
        <w:rPr>
          <w:b/>
          <w:bCs/>
        </w:rPr>
        <w:t>[1]</w:t>
      </w:r>
      <w:r>
        <w:t xml:space="preserve">. Then add 300 microliters of Lysis Buffer to the cell pellet </w:t>
      </w:r>
      <w:r>
        <w:rPr>
          <w:b/>
          <w:bCs/>
        </w:rPr>
        <w:t>[2]</w:t>
      </w:r>
      <w:r>
        <w:t>.</w:t>
      </w:r>
    </w:p>
    <w:p w14:paraId="551D964E" w14:textId="77777777" w:rsidR="004A18E7" w:rsidRDefault="00000000">
      <w:pPr>
        <w:pStyle w:val="ShotDescription"/>
        <w:numPr>
          <w:ilvl w:val="2"/>
          <w:numId w:val="3"/>
        </w:numPr>
      </w:pPr>
      <w:r>
        <w:t>Talent carefully aspirating the supernatant with a 1-milliliter pipette, avoiding contact with the cell pellet.</w:t>
      </w:r>
    </w:p>
    <w:p w14:paraId="6B1C1669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300 microliters of Lysis Buffer to the pellet in the microcentrifuge tube.</w:t>
      </w:r>
    </w:p>
    <w:p w14:paraId="2F949F73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Mix thoroughly by inverting the tube 30 times until the solution appears clear and viscous with no visible clumps </w:t>
      </w:r>
      <w:r>
        <w:rPr>
          <w:b/>
          <w:bCs/>
        </w:rPr>
        <w:t>[1]</w:t>
      </w:r>
      <w:r>
        <w:t xml:space="preserve">. Then incubate the tube at room temperature for 2 minutes before RNA precipitation </w:t>
      </w:r>
      <w:r>
        <w:rPr>
          <w:b/>
          <w:bCs/>
        </w:rPr>
        <w:t>[2]</w:t>
      </w:r>
      <w:r>
        <w:t>.</w:t>
      </w:r>
    </w:p>
    <w:p w14:paraId="73B5C86E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inverting the microcentrifuge tube 30 times to mix the contents until the </w:t>
      </w:r>
      <w:r>
        <w:lastRenderedPageBreak/>
        <w:t>solution is clear and viscous.</w:t>
      </w:r>
    </w:p>
    <w:p w14:paraId="1FD71302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on the bench for incubation at room temperature.</w:t>
      </w:r>
    </w:p>
    <w:p w14:paraId="1900EEB3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For methylated RNA immunoprecipitation, add the listed reagents to the tube </w:t>
      </w:r>
      <w:r>
        <w:rPr>
          <w:b/>
          <w:bCs/>
        </w:rPr>
        <w:t xml:space="preserve">[1]. </w:t>
      </w:r>
      <w:r>
        <w:t xml:space="preserve">Close the cap of the PCR tube tightly for immunocapture </w:t>
      </w:r>
      <w:r>
        <w:rPr>
          <w:b/>
          <w:bCs/>
        </w:rPr>
        <w:t>[2]</w:t>
      </w:r>
      <w:r>
        <w:t xml:space="preserve">. Then place the PCR tube on a rotator or rolling shaker and incubate </w:t>
      </w:r>
      <w:r>
        <w:rPr>
          <w:b/>
          <w:bCs/>
        </w:rPr>
        <w:t>[3-TXT]</w:t>
      </w:r>
      <w:r>
        <w:t>.</w:t>
      </w:r>
    </w:p>
    <w:p w14:paraId="53D1FAA1" w14:textId="77777777" w:rsidR="004A18E7" w:rsidRDefault="00000000">
      <w:pPr>
        <w:pStyle w:val="ShotDescription"/>
        <w:numPr>
          <w:ilvl w:val="2"/>
          <w:numId w:val="3"/>
        </w:numPr>
      </w:pPr>
      <w:r>
        <w:t>LAB MEDIA: Table 1</w:t>
      </w:r>
    </w:p>
    <w:p w14:paraId="3988D5C5" w14:textId="6F4348C8" w:rsidR="004A18E7" w:rsidRDefault="00000000">
      <w:pPr>
        <w:pStyle w:val="ShotDescription"/>
        <w:numPr>
          <w:ilvl w:val="2"/>
          <w:numId w:val="3"/>
        </w:numPr>
      </w:pPr>
      <w:r>
        <w:t>Talent sealing the PCR tube cap containing the reagents tightly.</w:t>
      </w:r>
      <w:r w:rsidR="00973CBD">
        <w:t xml:space="preserve"> </w:t>
      </w:r>
      <w:r w:rsidR="00973CBD" w:rsidRPr="00973CBD">
        <w:rPr>
          <w:b/>
          <w:bCs/>
          <w:highlight w:val="green"/>
        </w:rPr>
        <w:t>Videographer’s NOTE:</w:t>
      </w:r>
      <w:r w:rsidR="00973CBD" w:rsidRPr="00973CBD">
        <w:t xml:space="preserve"> </w:t>
      </w:r>
      <w:r w:rsidR="00973CBD" w:rsidRPr="00973CBD">
        <w:rPr>
          <w:highlight w:val="green"/>
        </w:rPr>
        <w:t>Clip A0032, the effective footage is the last 10 seconds when the tube gets sealed</w:t>
      </w:r>
    </w:p>
    <w:p w14:paraId="17428FF4" w14:textId="7D1FAEED" w:rsidR="00973CBD" w:rsidRPr="00973CBD" w:rsidRDefault="00973CBD" w:rsidP="00973CBD">
      <w:pPr>
        <w:pStyle w:val="ShotDescription"/>
        <w:ind w:firstLine="0"/>
      </w:pPr>
      <w:r w:rsidRPr="00973CBD">
        <w:rPr>
          <w:b/>
          <w:bCs/>
          <w:highlight w:val="green"/>
        </w:rPr>
        <w:t xml:space="preserve">Note from </w:t>
      </w:r>
      <w:proofErr w:type="spellStart"/>
      <w:r w:rsidRPr="00973CBD">
        <w:rPr>
          <w:b/>
          <w:bCs/>
          <w:highlight w:val="green"/>
        </w:rPr>
        <w:t>postshoot</w:t>
      </w:r>
      <w:proofErr w:type="spellEnd"/>
      <w:r w:rsidRPr="00973CBD">
        <w:rPr>
          <w:b/>
          <w:bCs/>
          <w:highlight w:val="green"/>
        </w:rPr>
        <w:t xml:space="preserve"> integrator</w:t>
      </w:r>
      <w:r w:rsidRPr="00973CBD">
        <w:rPr>
          <w:highlight w:val="green"/>
        </w:rPr>
        <w:t xml:space="preserve">: The videographer did not specify the shot numbers for these notes. I have put these </w:t>
      </w:r>
      <w:r>
        <w:rPr>
          <w:highlight w:val="green"/>
        </w:rPr>
        <w:t xml:space="preserve">together, </w:t>
      </w:r>
      <w:r w:rsidRPr="00973CBD">
        <w:rPr>
          <w:highlight w:val="green"/>
        </w:rPr>
        <w:t>looking at the sho</w:t>
      </w:r>
      <w:r>
        <w:rPr>
          <w:highlight w:val="green"/>
        </w:rPr>
        <w:t>t description, so please check the shot</w:t>
      </w:r>
      <w:r>
        <w:t xml:space="preserve"> </w:t>
      </w:r>
    </w:p>
    <w:p w14:paraId="517DB3E4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placing the PCR tube onto a rotator or rolling shaker. </w:t>
      </w:r>
      <w:r>
        <w:rPr>
          <w:b/>
          <w:bCs/>
        </w:rPr>
        <w:t>TXT: Incubation: RT, 90 min</w:t>
      </w:r>
    </w:p>
    <w:p w14:paraId="5E6B1D0D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Now, transfer the PCR tube onto a magnetic stand </w:t>
      </w:r>
      <w:r>
        <w:rPr>
          <w:b/>
          <w:bCs/>
        </w:rPr>
        <w:t>[1]</w:t>
      </w:r>
      <w:r>
        <w:t xml:space="preserve">. Allow the tube to sit for 2 minutes until the solution becomes clear and the beads are captured on the tube wall </w:t>
      </w:r>
      <w:r>
        <w:rPr>
          <w:b/>
          <w:bCs/>
        </w:rPr>
        <w:t>[2]</w:t>
      </w:r>
      <w:r>
        <w:t xml:space="preserve">. Then carefully aspirate and discard the supernatant without disturbing the beads </w:t>
      </w:r>
      <w:r>
        <w:rPr>
          <w:b/>
          <w:bCs/>
        </w:rPr>
        <w:t>[3]</w:t>
      </w:r>
      <w:r>
        <w:t>.</w:t>
      </w:r>
    </w:p>
    <w:p w14:paraId="4E4652CA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PCR tube onto the magnetic stand.</w:t>
      </w:r>
    </w:p>
    <w:p w14:paraId="7AE2EBC4" w14:textId="77777777" w:rsidR="004A18E7" w:rsidRDefault="00000000">
      <w:pPr>
        <w:pStyle w:val="ShotDescription"/>
        <w:numPr>
          <w:ilvl w:val="2"/>
          <w:numId w:val="3"/>
        </w:numPr>
      </w:pPr>
      <w:r>
        <w:t>Shot of the tube sitting on the magnetic stand as the solution clears and beads gather on the wall.</w:t>
      </w:r>
    </w:p>
    <w:p w14:paraId="6E7BBCFB" w14:textId="77777777" w:rsidR="004A18E7" w:rsidRDefault="00000000">
      <w:pPr>
        <w:pStyle w:val="ShotDescription"/>
        <w:numPr>
          <w:ilvl w:val="2"/>
          <w:numId w:val="3"/>
        </w:numPr>
      </w:pPr>
      <w:r>
        <w:t>Talent carefully aspirating and discarding the supernatant while keeping the beads undisturbed.</w:t>
      </w:r>
    </w:p>
    <w:p w14:paraId="1C0DCFEA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While keeping the tube on the magnetic stand, add 150 microliters of Wash Buffer </w:t>
      </w:r>
      <w:r>
        <w:rPr>
          <w:b/>
          <w:bCs/>
        </w:rPr>
        <w:t>[1]</w:t>
      </w:r>
      <w:r>
        <w:t xml:space="preserve">. Remove the tube from the magnetic stand and tilt it upside down gently to fully resuspend the beads </w:t>
      </w:r>
      <w:r>
        <w:rPr>
          <w:b/>
          <w:bCs/>
        </w:rPr>
        <w:t>[2]</w:t>
      </w:r>
      <w:r>
        <w:t>.</w:t>
      </w:r>
    </w:p>
    <w:p w14:paraId="58EDF8AE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150 microliters of Wash Buffer into the PCR tube while it remains on the magnetic stand.</w:t>
      </w:r>
    </w:p>
    <w:p w14:paraId="3C6A1FA6" w14:textId="77777777" w:rsidR="004A18E7" w:rsidRDefault="00000000">
      <w:pPr>
        <w:pStyle w:val="ShotDescription"/>
        <w:numPr>
          <w:ilvl w:val="2"/>
          <w:numId w:val="3"/>
        </w:numPr>
      </w:pPr>
      <w:r>
        <w:t>Talent removing the PCR tube and gently tilting it upside down to resuspend the beads.</w:t>
      </w:r>
    </w:p>
    <w:p w14:paraId="4E4D077C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Return the tube to the magnetic stand </w:t>
      </w:r>
      <w:r>
        <w:rPr>
          <w:b/>
          <w:bCs/>
        </w:rPr>
        <w:t>[1]</w:t>
      </w:r>
      <w:r>
        <w:t xml:space="preserve">. After 2 minutes, when the solution clears, discard the supernatant </w:t>
      </w:r>
      <w:r>
        <w:rPr>
          <w:b/>
          <w:bCs/>
        </w:rPr>
        <w:t>[2]</w:t>
      </w:r>
      <w:r>
        <w:t>.</w:t>
      </w:r>
    </w:p>
    <w:p w14:paraId="7C24F443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back on the magnetic stand.</w:t>
      </w:r>
    </w:p>
    <w:p w14:paraId="30BBB4D6" w14:textId="77777777" w:rsidR="004A18E7" w:rsidRDefault="00000000">
      <w:pPr>
        <w:pStyle w:val="ShotDescription"/>
        <w:numPr>
          <w:ilvl w:val="2"/>
          <w:numId w:val="3"/>
        </w:numPr>
      </w:pPr>
      <w:r>
        <w:t>Talent discarding the clear supernatant.</w:t>
      </w:r>
    </w:p>
    <w:p w14:paraId="2C155162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Now, transfer the PCR tube into a thermal cycler and incubate </w:t>
      </w:r>
      <w:r>
        <w:rPr>
          <w:b/>
          <w:bCs/>
        </w:rPr>
        <w:t>[1-TXT]</w:t>
      </w:r>
      <w:r>
        <w:t xml:space="preserve">. Carefully transfer the entire supernatant to a new 0.2-milliliter PCR tube </w:t>
      </w:r>
      <w:r>
        <w:rPr>
          <w:b/>
          <w:bCs/>
        </w:rPr>
        <w:t>[2]</w:t>
      </w:r>
      <w:r>
        <w:t>.</w:t>
      </w:r>
    </w:p>
    <w:p w14:paraId="48DFD5B2" w14:textId="08D58B1A" w:rsidR="004A18E7" w:rsidRDefault="00000000" w:rsidP="00973CBD">
      <w:pPr>
        <w:pStyle w:val="ShotDescription"/>
        <w:numPr>
          <w:ilvl w:val="2"/>
          <w:numId w:val="3"/>
        </w:numPr>
        <w:ind w:firstLine="0"/>
      </w:pPr>
      <w:r>
        <w:lastRenderedPageBreak/>
        <w:t xml:space="preserve">Talent placing the PCR tube into the thermal cycler and setting the temperature to 55 degrees Celsius. </w:t>
      </w:r>
      <w:r w:rsidRPr="00973CBD">
        <w:rPr>
          <w:b/>
          <w:bCs/>
        </w:rPr>
        <w:t>TXT: Incubation: 55°C, 15 min</w:t>
      </w:r>
      <w:r w:rsidR="00973CBD" w:rsidRPr="00973CBD">
        <w:rPr>
          <w:b/>
          <w:bCs/>
        </w:rPr>
        <w:t xml:space="preserve"> </w:t>
      </w:r>
      <w:r w:rsidR="00973CBD" w:rsidRPr="00973CBD">
        <w:rPr>
          <w:b/>
          <w:bCs/>
          <w:highlight w:val="green"/>
        </w:rPr>
        <w:t xml:space="preserve">Videographer’s NOTE: </w:t>
      </w:r>
      <w:r w:rsidR="00973CBD" w:rsidRPr="00973CBD">
        <w:rPr>
          <w:highlight w:val="green"/>
        </w:rPr>
        <w:t>Clip A0045, the effective footage is the last 10 seconds when the temperature reaches 55 degrees</w:t>
      </w:r>
      <w:r w:rsidR="00973CBD" w:rsidRPr="00973CBD">
        <w:t>.</w:t>
      </w:r>
    </w:p>
    <w:p w14:paraId="4E15F73D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20 microliters of supernatant into a new 0.2-milliliter PCR tube.</w:t>
      </w:r>
    </w:p>
    <w:p w14:paraId="3BBAB661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Add 20 microliters of RNA Purification Solution to each sample tube, negative control tube, and input tube </w:t>
      </w:r>
      <w:r>
        <w:rPr>
          <w:b/>
          <w:bCs/>
        </w:rPr>
        <w:t>[1]</w:t>
      </w:r>
      <w:r>
        <w:t xml:space="preserve">. Then pipette 160 microliters of 100 percent ethanol </w:t>
      </w:r>
      <w:r>
        <w:rPr>
          <w:b/>
          <w:bCs/>
        </w:rPr>
        <w:t>[2]</w:t>
      </w:r>
      <w:r>
        <w:t>.</w:t>
      </w:r>
    </w:p>
    <w:p w14:paraId="04F36B34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20 microliters of RNA Purification Solution to all designated tubes.</w:t>
      </w:r>
    </w:p>
    <w:p w14:paraId="096453B4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160 microliters of 100 percent ethanol to the tube.</w:t>
      </w:r>
    </w:p>
    <w:p w14:paraId="68EBE180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Vortex the RNA Binding Beads to resuspend them </w:t>
      </w:r>
      <w:r>
        <w:rPr>
          <w:b/>
          <w:bCs/>
        </w:rPr>
        <w:t>[1]</w:t>
      </w:r>
      <w:r>
        <w:t xml:space="preserve">. Then transfer 2 microliters of resuspended RNA Binding Beads to each tube </w:t>
      </w:r>
      <w:r>
        <w:rPr>
          <w:b/>
          <w:bCs/>
        </w:rPr>
        <w:t>[2]</w:t>
      </w:r>
      <w:r>
        <w:t>.</w:t>
      </w:r>
    </w:p>
    <w:p w14:paraId="3C36E5C9" w14:textId="77777777" w:rsidR="004A18E7" w:rsidRDefault="00000000">
      <w:pPr>
        <w:pStyle w:val="ShotDescription"/>
        <w:numPr>
          <w:ilvl w:val="2"/>
          <w:numId w:val="3"/>
        </w:numPr>
      </w:pPr>
      <w:r>
        <w:t>Talent vortexing the tube of RNA Binding Beads.</w:t>
      </w:r>
    </w:p>
    <w:p w14:paraId="211A1448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2 microliters of RNA Binding Beads into each sample tube.</w:t>
      </w:r>
    </w:p>
    <w:p w14:paraId="0088D3D8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Place the tube on a magnetic stand </w:t>
      </w:r>
      <w:r>
        <w:rPr>
          <w:b/>
          <w:bCs/>
        </w:rPr>
        <w:t xml:space="preserve">[1] </w:t>
      </w:r>
      <w:r>
        <w:t>and add 150 microliters of freshly prepared 90 percent ethanol</w:t>
      </w:r>
      <w:r>
        <w:rPr>
          <w:b/>
          <w:bCs/>
        </w:rPr>
        <w:t xml:space="preserve"> [2]</w:t>
      </w:r>
      <w:r>
        <w:t xml:space="preserve">. </w:t>
      </w:r>
    </w:p>
    <w:p w14:paraId="1C33B61A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on the magnetic stand.</w:t>
      </w:r>
    </w:p>
    <w:p w14:paraId="06DDB281" w14:textId="77777777" w:rsidR="004A18E7" w:rsidRDefault="00EF0F67">
      <w:pPr>
        <w:pStyle w:val="ShotDescription"/>
        <w:numPr>
          <w:ilvl w:val="2"/>
          <w:numId w:val="3"/>
        </w:numPr>
      </w:pPr>
      <w:r>
        <w:t>Talent adding 150 microliters of 90 percent ethanol.</w:t>
      </w:r>
    </w:p>
    <w:p w14:paraId="0215C08B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After a 30-second incubation, pipette 13 microliters of Elution Buffer to the dried beads </w:t>
      </w:r>
      <w:r>
        <w:rPr>
          <w:b/>
          <w:bCs/>
        </w:rPr>
        <w:t>[1]</w:t>
      </w:r>
      <w:r>
        <w:t xml:space="preserve">. Then carefully transfer the entire </w:t>
      </w:r>
      <w:r w:rsidR="00EF0F67">
        <w:t>supernatant to</w:t>
      </w:r>
      <w:r>
        <w:t xml:space="preserve"> a new RNase-free PCR tube for further analysis </w:t>
      </w:r>
      <w:r>
        <w:rPr>
          <w:b/>
          <w:bCs/>
        </w:rPr>
        <w:t>[2]</w:t>
      </w:r>
      <w:r>
        <w:t>.</w:t>
      </w:r>
    </w:p>
    <w:p w14:paraId="17883CC6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13 microliters of Elution Buffer to the dried beads in the PCR tube.</w:t>
      </w:r>
    </w:p>
    <w:p w14:paraId="60903077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supernatant to a new RNase-free PCR tube.</w:t>
      </w:r>
    </w:p>
    <w:p w14:paraId="16A024BB" w14:textId="77777777" w:rsidR="004A18E7" w:rsidRDefault="004A18E7"/>
    <w:p w14:paraId="18ADCD7D" w14:textId="77777777" w:rsidR="004A18E7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5EB0E6AF" w14:textId="77777777" w:rsidR="004A18E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38EC335" w14:textId="77777777" w:rsidR="004A18E7" w:rsidRDefault="004A18E7">
      <w:pPr>
        <w:ind w:left="360"/>
        <w:outlineLvl w:val="0"/>
        <w:rPr>
          <w:rFonts w:cstheme="minorHAnsi"/>
          <w:lang w:eastAsia="zh-TW"/>
        </w:rPr>
      </w:pPr>
    </w:p>
    <w:p w14:paraId="56E396DA" w14:textId="77777777" w:rsidR="004A18E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41F17C9" w14:textId="77777777" w:rsidR="004A18E7" w:rsidRDefault="004A18E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E07E1E" w14:textId="77777777" w:rsidR="004A18E7" w:rsidRDefault="00000000">
      <w:pPr>
        <w:pStyle w:val="Narration"/>
        <w:numPr>
          <w:ilvl w:val="1"/>
          <w:numId w:val="3"/>
        </w:numPr>
      </w:pPr>
      <w:r>
        <w:t>c-</w:t>
      </w:r>
      <w:proofErr w:type="spellStart"/>
      <w:r>
        <w:t>Myc</w:t>
      </w:r>
      <w:proofErr w:type="spellEnd"/>
      <w:r>
        <w:t xml:space="preserve"> </w:t>
      </w:r>
      <w:r>
        <w:rPr>
          <w:i/>
          <w:iCs/>
          <w:color w:val="EE0000"/>
        </w:rPr>
        <w:t>(</w:t>
      </w:r>
      <w:r w:rsidR="00EF0F67" w:rsidRPr="00EF0F67">
        <w:rPr>
          <w:i/>
          <w:iCs/>
          <w:color w:val="EE0000"/>
        </w:rPr>
        <w:t>C- /</w:t>
      </w:r>
      <w:proofErr w:type="spellStart"/>
      <w:r w:rsidR="00EF0F67" w:rsidRPr="00EF0F67">
        <w:rPr>
          <w:i/>
          <w:iCs/>
          <w:color w:val="EE0000"/>
        </w:rPr>
        <w:t>mɪk</w:t>
      </w:r>
      <w:proofErr w:type="spellEnd"/>
      <w:r w:rsidR="00EF0F67" w:rsidRPr="00EF0F67">
        <w:rPr>
          <w:i/>
          <w:iCs/>
          <w:color w:val="EE0000"/>
        </w:rPr>
        <w:t>/</w:t>
      </w:r>
      <w:r>
        <w:rPr>
          <w:i/>
          <w:iCs/>
          <w:color w:val="EE0000"/>
        </w:rPr>
        <w:t xml:space="preserve">) </w:t>
      </w:r>
      <w:r>
        <w:t xml:space="preserve">enrichment using the anti-N6-methyladenosine antibody was significantly higher than with immunoglobulin G control in both hFOB1.19 </w:t>
      </w:r>
      <w:r>
        <w:rPr>
          <w:i/>
          <w:iCs/>
          <w:color w:val="EE0000"/>
        </w:rPr>
        <w:t>(H-Fob-1-point-One-Nine)</w:t>
      </w:r>
      <w:r>
        <w:rPr>
          <w:i/>
          <w:iCs/>
        </w:rPr>
        <w:t xml:space="preserve"> </w:t>
      </w:r>
      <w:r>
        <w:t xml:space="preserve">and 143B </w:t>
      </w:r>
      <w:r>
        <w:rPr>
          <w:i/>
          <w:iCs/>
          <w:color w:val="EE0000"/>
        </w:rPr>
        <w:t xml:space="preserve">(One-forty-Three-B) </w:t>
      </w:r>
      <w:r>
        <w:t xml:space="preserve">cells </w:t>
      </w:r>
      <w:r>
        <w:rPr>
          <w:b/>
        </w:rPr>
        <w:t>[1]</w:t>
      </w:r>
      <w:r>
        <w:t>.</w:t>
      </w:r>
    </w:p>
    <w:p w14:paraId="2A5327BB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LAB MEDIA: Figure 2. </w:t>
      </w:r>
      <w:r>
        <w:rPr>
          <w:i/>
          <w:iCs/>
          <w:color w:val="0000FF"/>
        </w:rPr>
        <w:t>Video editor: Highlight the blue and red bars labeled “</w:t>
      </w:r>
      <w:proofErr w:type="spellStart"/>
      <w:r>
        <w:rPr>
          <w:i/>
          <w:iCs/>
          <w:color w:val="0000FF"/>
        </w:rPr>
        <w:t>anti-m⁶A</w:t>
      </w:r>
      <w:proofErr w:type="spellEnd"/>
      <w:r>
        <w:rPr>
          <w:i/>
          <w:iCs/>
          <w:color w:val="0000FF"/>
        </w:rPr>
        <w:t>”</w:t>
      </w:r>
    </w:p>
    <w:p w14:paraId="5327FAD0" w14:textId="77777777" w:rsidR="004A18E7" w:rsidRDefault="00000000">
      <w:pPr>
        <w:pStyle w:val="Narration"/>
        <w:numPr>
          <w:ilvl w:val="1"/>
          <w:numId w:val="3"/>
        </w:numPr>
      </w:pPr>
      <w:r>
        <w:t>The c-</w:t>
      </w:r>
      <w:proofErr w:type="spellStart"/>
      <w:r>
        <w:t>Myc</w:t>
      </w:r>
      <w:proofErr w:type="spellEnd"/>
      <w:r>
        <w:t xml:space="preserve"> N6-methyladenosine modification level was significantly higher in 143B cells than in hFOB1.19 cells </w:t>
      </w:r>
      <w:r>
        <w:rPr>
          <w:b/>
        </w:rPr>
        <w:t>[1]</w:t>
      </w:r>
      <w:r>
        <w:t>.</w:t>
      </w:r>
    </w:p>
    <w:p w14:paraId="3FCDDB26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LAB MEDIA: Figure 2. </w:t>
      </w:r>
      <w:r>
        <w:rPr>
          <w:i/>
          <w:iCs/>
          <w:color w:val="0000FF"/>
        </w:rPr>
        <w:t>Video editor: Highlight the red bar for “</w:t>
      </w:r>
      <w:proofErr w:type="spellStart"/>
      <w:r>
        <w:rPr>
          <w:i/>
          <w:iCs/>
          <w:color w:val="0000FF"/>
        </w:rPr>
        <w:t>anti-m⁶A</w:t>
      </w:r>
      <w:proofErr w:type="spellEnd"/>
      <w:r>
        <w:rPr>
          <w:i/>
          <w:iCs/>
          <w:color w:val="0000FF"/>
        </w:rPr>
        <w:t>”</w:t>
      </w:r>
      <w:r>
        <w:rPr>
          <w:color w:val="0000FF"/>
        </w:rPr>
        <w:t xml:space="preserve"> </w:t>
      </w:r>
    </w:p>
    <w:p w14:paraId="575D159F" w14:textId="77777777" w:rsidR="004A18E7" w:rsidRDefault="004A18E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9136648" w14:textId="77777777" w:rsidR="004A18E7" w:rsidRDefault="004A18E7">
      <w:pPr>
        <w:rPr>
          <w:rFonts w:eastAsia="Times New Roman" w:cstheme="minorHAnsi"/>
          <w:sz w:val="52"/>
        </w:rPr>
      </w:pPr>
    </w:p>
    <w:p w14:paraId="5689E4CF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Osteosarcoma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https://www.merriam-webster.com/dictionary/osteosarcoma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ɑːstioʊˌsɑːrˈkoʊmə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ahs·tee·oh·sar·KOH·muh</w:t>
      </w:r>
      <w:proofErr w:type="spellEnd"/>
    </w:p>
    <w:p w14:paraId="031BB597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Phosphate-buffered saline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https://www.merriam-webster.com/dictionary/phosphate-buffered%20saline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fɑːsˌfeɪt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bʌfərd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səˈliːn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FAHS·fayt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BUF·erd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suh·LEEN</w:t>
      </w:r>
      <w:proofErr w:type="spellEnd"/>
    </w:p>
    <w:p w14:paraId="591213E8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Lysis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https://www.merriam-webster.com/dictionary/lysis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laɪsɪs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LY·sis</w:t>
      </w:r>
      <w:proofErr w:type="spellEnd"/>
    </w:p>
    <w:p w14:paraId="25929203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Homogenize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https://www.merriam-webster.com/dictionary/homogenize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həˈmɑːdʒəˌnaɪz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huh·MAHJ·uh·nyze</w:t>
      </w:r>
      <w:proofErr w:type="spellEnd"/>
    </w:p>
    <w:p w14:paraId="02F848B2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Microcentrifuge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https://www.merriam-webster.com/dictionary/microcentrifuge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maɪkroʊˈsɛntrɪˌfjuːdʒ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MY·kroh·SEN·truh·fyooj</w:t>
      </w:r>
      <w:proofErr w:type="spellEnd"/>
    </w:p>
    <w:p w14:paraId="0A0992B5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Centrifuge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</w:r>
      <w:r w:rsidRPr="00973CBD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sɛntrɪˌfjuːdʒ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SEN·truh·fyooj</w:t>
      </w:r>
      <w:proofErr w:type="spellEnd"/>
    </w:p>
    <w:p w14:paraId="2C4DEC85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Supernatant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https://www.merriam-webster.com/dictionary/supernatant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suːpərˈneɪtənt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SOO·per·NAY·tuhnt</w:t>
      </w:r>
      <w:proofErr w:type="spellEnd"/>
    </w:p>
    <w:p w14:paraId="44776EB7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Pellet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https://www.merriam-webster.com/dictionary/pellet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pɛlɪt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PEH·lit</w:t>
      </w:r>
      <w:proofErr w:type="spellEnd"/>
    </w:p>
    <w:p w14:paraId="34DF4D38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Immunoprecipitation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https://www.merriam-webster.com/dictionary/immunoprecipitation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ɪmjənoʊprɪˌsɪpɪˈteɪʃən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ih·MYOO·noh·pruh·sip·uh·TAY·shuhn</w:t>
      </w:r>
      <w:proofErr w:type="spellEnd"/>
    </w:p>
    <w:p w14:paraId="75A21A55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Immunocapture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https://www.merriam-webster.com/dictionary/immunocapture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ɪmjənoʊˈkæptʃər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ih·MYOO·noh·KAP·chur</w:t>
      </w:r>
      <w:proofErr w:type="spellEnd"/>
    </w:p>
    <w:p w14:paraId="66D92989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Methylated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https://www.merriam-webster.com/dictionary/methylated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mɛθəˌleɪtɪd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METH·uh·lay·tid</w:t>
      </w:r>
      <w:proofErr w:type="spellEnd"/>
    </w:p>
    <w:p w14:paraId="341B53F2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Magnetic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https://www.merriam-webster.com/dictionary/magnetic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mæɡˈnɛtɪk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mag·NET·ik</w:t>
      </w:r>
      <w:proofErr w:type="spellEnd"/>
    </w:p>
    <w:p w14:paraId="17704954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Thermal cycler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https://www.merriam-webster.com/dictionary/thermal%20cycler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θɝːməl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saɪklər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THUR·muhl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SY·kler</w:t>
      </w:r>
      <w:proofErr w:type="spellEnd"/>
    </w:p>
    <w:p w14:paraId="49B9C9E5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Ethanol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https://www.merriam-webster.com/dictionary/ethanol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ɛθəˌnɔːl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ETH·uh·nawl</w:t>
      </w:r>
      <w:proofErr w:type="spellEnd"/>
    </w:p>
    <w:p w14:paraId="778340BD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Vortex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https://www.merriam-webster.com/dictionary/vortex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vɔːrtɛks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VOR·teks</w:t>
      </w:r>
      <w:proofErr w:type="spellEnd"/>
    </w:p>
    <w:p w14:paraId="015777BE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Elution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https://www.merriam-webster.com/dictionary/elution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ɪˈluːʃən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ih·LOO·shuhn</w:t>
      </w:r>
      <w:proofErr w:type="spellEnd"/>
    </w:p>
    <w:p w14:paraId="139968DA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RNase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https://www.merriam-webster.com/dictionary/RNase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</w:r>
      <w:r w:rsidRPr="00973CBD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ɑːrˌneɪs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AR·nays</w:t>
      </w:r>
      <w:proofErr w:type="spellEnd"/>
    </w:p>
    <w:p w14:paraId="7F5828D7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Enrichment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https://www.merriam-webster.com/dictionary/enrichment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ɪnˈrɪtʃmənt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in·RICH·muhnt</w:t>
      </w:r>
      <w:proofErr w:type="spellEnd"/>
    </w:p>
    <w:p w14:paraId="7423CDE8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N6-methyladenosine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https://www.merriam-webster.com/dictionary/methyladenosine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mɛθəlˌædəˈnoʊsiːn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METH·uhl·AD·uh·NOH·seen</w:t>
      </w:r>
      <w:proofErr w:type="spellEnd"/>
    </w:p>
    <w:p w14:paraId="1C9F2103" w14:textId="77777777" w:rsidR="00973CBD" w:rsidRPr="00973CBD" w:rsidRDefault="00973CBD" w:rsidP="00973CB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73CBD">
        <w:rPr>
          <w:rFonts w:ascii="Times New Roman" w:eastAsia="Times New Roman" w:hAnsi="Times New Roman" w:cs="Times New Roman"/>
          <w:color w:val="auto"/>
        </w:rPr>
        <w:t>Immunoglobulin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history="1">
        <w:r w:rsidRPr="00973CB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https://www.merriam-webster.com/dictionary/immunoglobulin</w:t>
        </w:r>
      </w:hyperlink>
      <w:r w:rsidRPr="00973CB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ɪmjənoʊˈɡlɑːbjəlɪn</w:t>
      </w:r>
      <w:proofErr w:type="spellEnd"/>
      <w:r w:rsidRPr="00973CBD">
        <w:rPr>
          <w:rFonts w:ascii="Times New Roman" w:eastAsia="Times New Roman" w:hAnsi="Times New Roman" w:cs="Times New Roman"/>
          <w:color w:val="auto"/>
        </w:rPr>
        <w:t>/</w:t>
      </w:r>
      <w:r w:rsidRPr="00973CB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73CBD">
        <w:rPr>
          <w:rFonts w:ascii="Times New Roman" w:eastAsia="Times New Roman" w:hAnsi="Times New Roman" w:cs="Times New Roman"/>
          <w:color w:val="auto"/>
        </w:rPr>
        <w:t>ih·MYOO·noh·GLAH·byuh·lin</w:t>
      </w:r>
      <w:proofErr w:type="spellEnd"/>
    </w:p>
    <w:p w14:paraId="08E57098" w14:textId="77777777" w:rsidR="00973CBD" w:rsidRDefault="00973CBD">
      <w:pPr>
        <w:rPr>
          <w:rFonts w:eastAsia="Times New Roman" w:cstheme="minorHAnsi"/>
          <w:sz w:val="52"/>
        </w:rPr>
      </w:pPr>
    </w:p>
    <w:sectPr w:rsidR="00973CBD">
      <w:headerReference w:type="default" r:id="rId31"/>
      <w:footerReference w:type="even" r:id="rId32"/>
      <w:footerReference w:type="default" r:id="rId3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2BAD" w14:textId="77777777" w:rsidR="00A20FB0" w:rsidRDefault="00A20FB0">
      <w:r>
        <w:separator/>
      </w:r>
    </w:p>
  </w:endnote>
  <w:endnote w:type="continuationSeparator" w:id="0">
    <w:p w14:paraId="5464198E" w14:textId="77777777" w:rsidR="00A20FB0" w:rsidRDefault="00A2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397AB7E" w14:textId="77777777" w:rsidR="004A18E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9ACACD" w14:textId="77777777" w:rsidR="004A18E7" w:rsidRDefault="004A18E7">
    <w:pPr>
      <w:pStyle w:val="Footer"/>
      <w:ind w:right="360"/>
    </w:pPr>
  </w:p>
  <w:p w14:paraId="396305FF" w14:textId="77777777" w:rsidR="004A18E7" w:rsidRDefault="004A1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DE1" w14:textId="77777777" w:rsidR="004A18E7" w:rsidRPr="00EF0F67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973CBD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 w:rsidR="00EF0F67">
      <w:rPr>
        <w:rFonts w:cstheme="minorHAnsi"/>
        <w:lang w:val="en-IN"/>
      </w:rPr>
      <w:t xml:space="preserve"> </w:t>
    </w:r>
    <w:r>
      <w:rPr>
        <w:rFonts w:cstheme="minorHAnsi"/>
      </w:rPr>
      <w:tab/>
    </w:r>
    <w:r w:rsidR="00EF0F67">
      <w:rPr>
        <w:rFonts w:cstheme="minorHAnsi"/>
        <w:lang w:val="en-IN"/>
      </w:rPr>
      <w:t xml:space="preserve">December 30, </w:t>
    </w:r>
    <w:proofErr w:type="gramStart"/>
    <w:r w:rsidR="00EF0F67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0E64" w14:textId="77777777" w:rsidR="00A20FB0" w:rsidRDefault="00A20FB0">
      <w:r>
        <w:separator/>
      </w:r>
    </w:p>
  </w:footnote>
  <w:footnote w:type="continuationSeparator" w:id="0">
    <w:p w14:paraId="531D5FD0" w14:textId="77777777" w:rsidR="00A20FB0" w:rsidRDefault="00A2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353C" w14:textId="77777777" w:rsidR="004A18E7" w:rsidRDefault="00000000" w:rsidP="00EF0F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6089110" wp14:editId="51B1E86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F67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F0F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49B82ED0" w14:textId="77777777" w:rsidR="004A18E7" w:rsidRDefault="004A1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7FA636"/>
    <w:multiLevelType w:val="singleLevel"/>
    <w:tmpl w:val="CF7FA63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F41776"/>
    <w:multiLevelType w:val="multilevel"/>
    <w:tmpl w:val="5B16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490227">
    <w:abstractNumId w:val="0"/>
  </w:num>
  <w:num w:numId="2" w16cid:durableId="1131899662">
    <w:abstractNumId w:val="5"/>
  </w:num>
  <w:num w:numId="3" w16cid:durableId="1660647847">
    <w:abstractNumId w:val="4"/>
  </w:num>
  <w:num w:numId="4" w16cid:durableId="903415826">
    <w:abstractNumId w:val="3"/>
  </w:num>
  <w:num w:numId="5" w16cid:durableId="195121668">
    <w:abstractNumId w:val="2"/>
  </w:num>
  <w:num w:numId="6" w16cid:durableId="105527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commondata" w:val="eyJoZGlkIjoiMzY0YjM5NWM0YzFkMzdiZjNmOWE4YTI4MjJlOWZiNmMifQ=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2A9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40A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116B"/>
    <w:rsid w:val="00226089"/>
    <w:rsid w:val="00226866"/>
    <w:rsid w:val="00236E0A"/>
    <w:rsid w:val="002422D6"/>
    <w:rsid w:val="002448C1"/>
    <w:rsid w:val="00244CDB"/>
    <w:rsid w:val="002476CD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CA6"/>
    <w:rsid w:val="003F2246"/>
    <w:rsid w:val="003F4B52"/>
    <w:rsid w:val="004018D8"/>
    <w:rsid w:val="004034B6"/>
    <w:rsid w:val="004114EA"/>
    <w:rsid w:val="00414B4F"/>
    <w:rsid w:val="00415AF2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C7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18E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83A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C24"/>
    <w:rsid w:val="008123C3"/>
    <w:rsid w:val="00816F53"/>
    <w:rsid w:val="00817D9F"/>
    <w:rsid w:val="008236D5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3CBD"/>
    <w:rsid w:val="00975BC2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0FB0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0E8"/>
    <w:rsid w:val="00C9250E"/>
    <w:rsid w:val="00C94C6B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8E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EC5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0F6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17E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  <w:rsid w:val="0FFF5EE5"/>
    <w:rsid w:val="2ABBA5B9"/>
    <w:rsid w:val="4BED767A"/>
    <w:rsid w:val="69FAE0E3"/>
    <w:rsid w:val="779EFEBD"/>
    <w:rsid w:val="B7EE49EE"/>
    <w:rsid w:val="BCB3F953"/>
    <w:rsid w:val="CFFFD3EA"/>
    <w:rsid w:val="F3C84721"/>
    <w:rsid w:val="F4EFB951"/>
    <w:rsid w:val="FBF6AAD2"/>
    <w:rsid w:val="FD798943"/>
    <w:rsid w:val="FFBBF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DC000"/>
  <w14:defaultImageDpi w14:val="330"/>
  <w15:docId w15:val="{4EE90ED9-C1E0-47AB-AD65-A73BB55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lysis" TargetMode="External"/><Relationship Id="rId18" Type="http://schemas.openxmlformats.org/officeDocument/2006/relationships/hyperlink" Target="https://www.merriam-webster.com/dictionary/pellet" TargetMode="External"/><Relationship Id="rId26" Type="http://schemas.openxmlformats.org/officeDocument/2006/relationships/hyperlink" Target="https://www.merriam-webster.com/dictionary/elu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methylate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313448" TargetMode="External"/><Relationship Id="rId12" Type="http://schemas.openxmlformats.org/officeDocument/2006/relationships/hyperlink" Target="https://www.merriam-webster.com/dictionary/phosphate-buffered%20saline" TargetMode="External"/><Relationship Id="rId17" Type="http://schemas.openxmlformats.org/officeDocument/2006/relationships/hyperlink" Target="https://www.merriam-webster.com/dictionary/supernatant" TargetMode="External"/><Relationship Id="rId25" Type="http://schemas.openxmlformats.org/officeDocument/2006/relationships/hyperlink" Target="https://www.merriam-webster.com/dictionary/vorte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entrifuge" TargetMode="External"/><Relationship Id="rId20" Type="http://schemas.openxmlformats.org/officeDocument/2006/relationships/hyperlink" Target="https://www.merriam-webster.com/dictionary/immunocapture" TargetMode="External"/><Relationship Id="rId29" Type="http://schemas.openxmlformats.org/officeDocument/2006/relationships/hyperlink" Target="https://www.merriam-webster.com/dictionary/methyladenosi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osteosarcoma" TargetMode="External"/><Relationship Id="rId24" Type="http://schemas.openxmlformats.org/officeDocument/2006/relationships/hyperlink" Target="https://www.merriam-webster.com/dictionary/ethano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icrocentrifuge" TargetMode="External"/><Relationship Id="rId23" Type="http://schemas.openxmlformats.org/officeDocument/2006/relationships/hyperlink" Target="https://www.merriam-webster.com/dictionary/thermal%20cycler" TargetMode="External"/><Relationship Id="rId28" Type="http://schemas.openxmlformats.org/officeDocument/2006/relationships/hyperlink" Target="https://www.merriam-webster.com/dictionary/enrichment" TargetMode="External"/><Relationship Id="rId10" Type="http://schemas.openxmlformats.org/officeDocument/2006/relationships/hyperlink" Target="mailto:yanpingyangks@163.com)" TargetMode="External"/><Relationship Id="rId19" Type="http://schemas.openxmlformats.org/officeDocument/2006/relationships/hyperlink" Target="https://www.merriam-webster.com/dictionary/immunoprecipitation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15853095133@163.com" TargetMode="External"/><Relationship Id="rId14" Type="http://schemas.openxmlformats.org/officeDocument/2006/relationships/hyperlink" Target="https://www.merriam-webster.com/dictionary/homogenize" TargetMode="External"/><Relationship Id="rId22" Type="http://schemas.openxmlformats.org/officeDocument/2006/relationships/hyperlink" Target="https://www.merriam-webster.com/dictionary/magnetic" TargetMode="External"/><Relationship Id="rId27" Type="http://schemas.openxmlformats.org/officeDocument/2006/relationships/hyperlink" Target="https://www.merriam-webster.com/dictionary/RNase" TargetMode="External"/><Relationship Id="rId30" Type="http://schemas.openxmlformats.org/officeDocument/2006/relationships/hyperlink" Target="https://www.merriam-webster.com/dictionary/immunoglobulin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yanpingyangks@163.com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2034</Words>
  <Characters>11600</Characters>
  <Application>Microsoft Office Word</Application>
  <DocSecurity>0</DocSecurity>
  <Lines>96</Lines>
  <Paragraphs>27</Paragraphs>
  <ScaleCrop>false</ScaleCrop>
  <Company>UC Irvine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2026-01-22T02:43:00Z</dcterms:created>
  <dcterms:modified xsi:type="dcterms:W3CDTF">2026-01-22T02:43:00Z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2052-6.11.0.8885</vt:lpwstr>
  </property>
  <property fmtid="{D5CDD505-2E9C-101B-9397-08002B2CF9AE}" pid="4" name="ICV">
    <vt:lpwstr>D88A7C9DD51596E820944B69212515F4_42</vt:lpwstr>
  </property>
</Properties>
</file>