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4B872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B07BF">
        <w:rPr>
          <w:rFonts w:eastAsia="Times New Roman" w:cstheme="minorHAnsi"/>
          <w:b/>
        </w:rPr>
        <w:t>69839</w:t>
      </w:r>
    </w:p>
    <w:p w14:paraId="2F6924E5" w14:textId="7E58D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B07BF">
        <w:rPr>
          <w:rFonts w:eastAsia="Times New Roman" w:cstheme="minorHAnsi"/>
          <w:b/>
        </w:rPr>
        <w:t>Poornima G</w:t>
      </w:r>
    </w:p>
    <w:p w14:paraId="6FB9233B" w14:textId="5DA603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B07BF" w:rsidRPr="003F31A5">
          <w:rPr>
            <w:rStyle w:val="Hyperlink"/>
            <w:rFonts w:eastAsia="Times New Roman" w:cstheme="minorHAnsi"/>
            <w:b/>
          </w:rPr>
          <w:t>https://review.jove.com/account/file-uploader?src=21300943</w:t>
        </w:r>
      </w:hyperlink>
      <w:r w:rsidR="003B07B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98D1F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B07BF" w:rsidRPr="003B07BF">
        <w:rPr>
          <w:rStyle w:val="ArticleTitle"/>
          <w:rFonts w:cstheme="minorHAnsi"/>
        </w:rPr>
        <w:t>Biological Standardization of Human ASC-Based Biofabrication for Reproducible Macroscale Tissue Constructs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630F04D" w14:textId="303DF539" w:rsidR="003B07BF" w:rsidRPr="003B07BF" w:rsidRDefault="003B07BF" w:rsidP="003B07BF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3B07BF">
        <w:rPr>
          <w:rFonts w:eastAsia="Times New Roman" w:cstheme="minorHAnsi"/>
          <w:b/>
          <w:sz w:val="28"/>
          <w:szCs w:val="28"/>
          <w:lang w:val="en"/>
        </w:rPr>
        <w:t>Aline Pimentel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1,2#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Larissa Resende Vieira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1,3#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Bianca Montenegro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Isabelle Diederichs</w:t>
      </w:r>
      <w:sdt>
        <w:sdtPr>
          <w:rPr>
            <w:rFonts w:eastAsia="Times New Roman" w:cstheme="minorHAnsi"/>
            <w:b/>
            <w:sz w:val="28"/>
            <w:szCs w:val="28"/>
            <w:lang w:val="en"/>
          </w:rPr>
          <w:tag w:val="goog_rdk_1"/>
          <w:id w:val="2057895603"/>
        </w:sdtPr>
        <w:sdtContent/>
      </w:sdt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4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Larissa Fontes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1,5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Maria Eduarda Domingos Esteves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1,6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Rayla Russo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1,6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Leonardo Boldrini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1,2,5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José Mauro Granjeiro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1,2,5</w:t>
      </w:r>
      <w:r w:rsidRPr="003B07BF">
        <w:rPr>
          <w:rFonts w:eastAsia="Times New Roman" w:cstheme="minorHAnsi"/>
          <w:b/>
          <w:sz w:val="28"/>
          <w:szCs w:val="28"/>
          <w:lang w:val="en"/>
        </w:rPr>
        <w:t>, Leandra Santos Baptista</w:t>
      </w:r>
      <w:r w:rsidRPr="003B07BF">
        <w:rPr>
          <w:rFonts w:eastAsia="Times New Roman" w:cstheme="minorHAnsi"/>
          <w:b/>
          <w:sz w:val="28"/>
          <w:szCs w:val="28"/>
          <w:vertAlign w:val="superscript"/>
          <w:lang w:val="en"/>
        </w:rPr>
        <w:t>2,5,6</w:t>
      </w:r>
    </w:p>
    <w:p w14:paraId="6E7F8533" w14:textId="77777777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</w:p>
    <w:p w14:paraId="2D25DD74" w14:textId="22B24DB5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Laboratory of Eukaryotic Cell Biology (Labio), National Institute of Metrology, Quality and Technology (INMETRO)</w:t>
      </w:r>
    </w:p>
    <w:p w14:paraId="20AD8296" w14:textId="6E52C095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2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Post-graduation Program of Translational Biomedicine (Biotrans), UNIGRANRIO</w:t>
      </w:r>
    </w:p>
    <w:p w14:paraId="3B7766FF" w14:textId="59D74384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3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Post-graduation Program in Biotechnology, National Institute of Metrology, Quality and Technology (INMETRO)</w:t>
      </w:r>
    </w:p>
    <w:p w14:paraId="6EB70872" w14:textId="4EBC182F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4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Post-graduation Program in Science and Technology of Polymers, Laboratory of Catalysis for Polymerization, Recycling and Biodegradable Polymers (LCPRB), Institute of Macromolecules, Federal University of Rio de Janeiro</w:t>
      </w:r>
    </w:p>
    <w:p w14:paraId="7ECBE603" w14:textId="68FA0E2C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5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Post-graduation Program in Metrology and Technology, National Institute of Metrology, Quality and Technology (INMETRO)</w:t>
      </w:r>
    </w:p>
    <w:p w14:paraId="6F43F0CE" w14:textId="7DEF6F33" w:rsidR="003B07BF" w:rsidRPr="003B07BF" w:rsidRDefault="003B07BF" w:rsidP="003B07BF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3B07BF">
        <w:rPr>
          <w:rFonts w:eastAsia="Times New Roman" w:cstheme="minorHAnsi"/>
          <w:bCs/>
          <w:sz w:val="28"/>
          <w:szCs w:val="28"/>
          <w:vertAlign w:val="superscript"/>
          <w:lang w:val="en"/>
        </w:rPr>
        <w:t>6</w:t>
      </w:r>
      <w:r w:rsidRPr="003B07BF">
        <w:rPr>
          <w:rFonts w:eastAsia="Times New Roman" w:cstheme="minorHAnsi"/>
          <w:bCs/>
          <w:sz w:val="28"/>
          <w:szCs w:val="28"/>
          <w:lang w:val="en"/>
        </w:rPr>
        <w:t>Federal University of Rio de Janeiro, Duque de Caxias Prof. Geraldo Cidade Campus</w:t>
      </w:r>
    </w:p>
    <w:p w14:paraId="1C7A0872" w14:textId="77777777" w:rsidR="003B07BF" w:rsidRPr="003B07BF" w:rsidRDefault="003B07BF" w:rsidP="003B07BF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74A3CDA1" w14:textId="196EA2F7" w:rsidR="00D6314B" w:rsidRPr="00B07A3B" w:rsidRDefault="003B07BF" w:rsidP="003B07BF">
      <w:pPr>
        <w:outlineLvl w:val="0"/>
        <w:rPr>
          <w:rFonts w:eastAsia="Times New Roman" w:cstheme="minorHAnsi"/>
          <w:b/>
          <w:sz w:val="28"/>
          <w:szCs w:val="28"/>
        </w:rPr>
      </w:pPr>
      <w:sdt>
        <w:sdtPr>
          <w:rPr>
            <w:rFonts w:eastAsia="Times New Roman" w:cstheme="minorHAnsi"/>
            <w:b/>
            <w:sz w:val="28"/>
            <w:szCs w:val="28"/>
            <w:lang w:val="en"/>
          </w:rPr>
          <w:tag w:val="goog_rdk_2"/>
          <w:id w:val="1143854823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  <w:lang w:val="en"/>
          </w:rPr>
          <w:tag w:val="goog_rdk_3"/>
          <w:id w:val="-1312333467"/>
        </w:sdtPr>
        <w:sdtContent/>
      </w:sdt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F3BD721" w:rsidR="004E0C5A" w:rsidRDefault="003B07BF" w:rsidP="004E0C5A">
      <w:pPr>
        <w:outlineLvl w:val="0"/>
        <w:rPr>
          <w:rFonts w:eastAsia="Times New Roman" w:cstheme="minorHAnsi"/>
        </w:rPr>
      </w:pPr>
      <w:bookmarkStart w:id="0" w:name="_Hlk25233958"/>
      <w:r w:rsidRPr="003B07BF">
        <w:rPr>
          <w:rFonts w:eastAsia="Times New Roman" w:cstheme="minorHAnsi"/>
        </w:rPr>
        <w:t xml:space="preserve">Leandra Santos Baptista </w:t>
      </w:r>
      <w:r w:rsidRPr="003B07B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B07BF">
        <w:rPr>
          <w:rFonts w:eastAsia="Times New Roman" w:cstheme="minorHAnsi"/>
        </w:rPr>
        <w:t>leandrabaptista@caxias.ufrj.br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4A10185" w14:textId="4B7E18BB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Aline Pimentel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 xml:space="preserve">alinepimentel.biomed@gmail.com  </w:t>
      </w:r>
    </w:p>
    <w:p w14:paraId="3FC432DE" w14:textId="0A49C7AE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lastRenderedPageBreak/>
        <w:t xml:space="preserve">Larissa Resende Vieira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>lrvieira@colaborador.inmetro.gov.br</w:t>
      </w:r>
    </w:p>
    <w:p w14:paraId="64E04989" w14:textId="6CEA0EBD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Bianca Montenegro 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>biancamontenegro@ufrj.br</w:t>
      </w:r>
    </w:p>
    <w:p w14:paraId="0B71F346" w14:textId="74D34127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Isabelle Diederichs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 xml:space="preserve">isabelle.diederichs@ima.ufrj.br  </w:t>
      </w:r>
    </w:p>
    <w:p w14:paraId="2D8E8A7D" w14:textId="48C62702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Larissa Fontes 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 xml:space="preserve">larissa1106fontes@gmail.com  </w:t>
      </w:r>
    </w:p>
    <w:p w14:paraId="5063B0E1" w14:textId="61BA7277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Maria Eduarda Domingos Esteves </w:t>
      </w:r>
      <w:r w:rsidRPr="003B07BF">
        <w:rPr>
          <w:rFonts w:cstheme="minorHAnsi"/>
          <w:bCs/>
        </w:rPr>
        <w:tab/>
        <w:t>eduardasteves18@gmail.com</w:t>
      </w:r>
    </w:p>
    <w:p w14:paraId="1B858EEB" w14:textId="3E4226DD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Rayla Russo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 xml:space="preserve">raylarussonsc@gmail.com  </w:t>
      </w:r>
    </w:p>
    <w:p w14:paraId="6DC8856A" w14:textId="6BC34BDC" w:rsidR="003B07BF" w:rsidRPr="003B07BF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Leonardo Boldrini 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>lcboldrini@inmetro.gov.br</w:t>
      </w:r>
    </w:p>
    <w:p w14:paraId="12916965" w14:textId="7B554E02" w:rsidR="003B5E26" w:rsidRPr="004F6CCB" w:rsidRDefault="003B07BF" w:rsidP="003B07BF">
      <w:pPr>
        <w:outlineLvl w:val="0"/>
        <w:rPr>
          <w:rFonts w:cstheme="minorHAnsi"/>
          <w:bCs/>
        </w:rPr>
      </w:pPr>
      <w:r w:rsidRPr="003B07BF">
        <w:rPr>
          <w:rFonts w:cstheme="minorHAnsi"/>
          <w:bCs/>
        </w:rPr>
        <w:t xml:space="preserve">José Mauro Granjeiro </w:t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</w:r>
      <w:r w:rsidRPr="003B07BF">
        <w:rPr>
          <w:rFonts w:cstheme="minorHAnsi"/>
          <w:bCs/>
        </w:rPr>
        <w:tab/>
        <w:t>jmgranjeiro@inmetro.gov.br</w:t>
      </w:r>
    </w:p>
    <w:p w14:paraId="578A8719" w14:textId="77777777" w:rsidR="003B07BF" w:rsidRDefault="003B07BF" w:rsidP="003B07BF">
      <w:pPr>
        <w:outlineLvl w:val="0"/>
        <w:rPr>
          <w:rFonts w:eastAsia="Times New Roman" w:cstheme="minorHAnsi"/>
        </w:rPr>
      </w:pPr>
      <w:r w:rsidRPr="003B07BF">
        <w:rPr>
          <w:rFonts w:eastAsia="Times New Roman" w:cstheme="minorHAnsi"/>
        </w:rPr>
        <w:t xml:space="preserve">Leandra Santos Baptista </w:t>
      </w:r>
      <w:r w:rsidRPr="003B07B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3B07BF">
        <w:rPr>
          <w:rFonts w:eastAsia="Times New Roman" w:cstheme="minorHAnsi"/>
        </w:rPr>
        <w:t>leandrabaptista@caxias.ufrj.br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07CF52F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E22BB">
        <w:rPr>
          <w:rFonts w:cstheme="minorHAnsi"/>
          <w:bCs/>
          <w:sz w:val="22"/>
          <w:szCs w:val="22"/>
        </w:rPr>
        <w:t>30</w:t>
      </w:r>
    </w:p>
    <w:p w14:paraId="5AAC9C6C" w14:textId="77BCCAE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E22BB">
        <w:rPr>
          <w:rFonts w:cstheme="minorHAnsi"/>
          <w:bCs/>
          <w:sz w:val="22"/>
          <w:szCs w:val="22"/>
        </w:rPr>
        <w:t>60 (13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CB86C8D" w:rsidR="00A13CC3" w:rsidRDefault="00A13CC3" w:rsidP="003B07B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1FF25E1C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3EA86E4" w:rsidR="00CE10F2" w:rsidRDefault="002E733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7330">
        <w:rPr>
          <w:rFonts w:cstheme="minorHAnsi"/>
          <w:b/>
          <w:bCs/>
        </w:rPr>
        <w:t>3D Printing and Photocrosslinking of GelMA Scaffolds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F310D55" w:rsidR="00125924" w:rsidRPr="007E22BB" w:rsidRDefault="007E22B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E22BB">
        <w:rPr>
          <w:color w:val="7030A0"/>
        </w:rPr>
        <w:t xml:space="preserve">To prepare the printer for scaffold fabrication, return the printhead to the home position </w:t>
      </w:r>
      <w:r w:rsidRPr="007E22BB">
        <w:rPr>
          <w:b/>
          <w:color w:val="7030A0"/>
        </w:rPr>
        <w:t>[1]</w:t>
      </w:r>
      <w:r w:rsidRPr="007E22BB">
        <w:rPr>
          <w:color w:val="7030A0"/>
        </w:rPr>
        <w:t xml:space="preserve"> and load the previously generated G-code file </w:t>
      </w:r>
      <w:r w:rsidRPr="007E22BB">
        <w:rPr>
          <w:b/>
          <w:color w:val="7030A0"/>
        </w:rPr>
        <w:t>[2]</w:t>
      </w:r>
      <w:r w:rsidRPr="007E22BB">
        <w:rPr>
          <w:color w:val="7030A0"/>
        </w:rPr>
        <w:t>.</w:t>
      </w:r>
    </w:p>
    <w:p w14:paraId="7605F9E4" w14:textId="508B10F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E22BB" w:rsidRPr="00AB205F">
        <w:rPr>
          <w:lang w:val="en-IN" w:eastAsia="en-IN"/>
        </w:rPr>
        <w:t>Talent returning the printhead to the home position</w:t>
      </w:r>
      <w:r w:rsidR="007E22BB">
        <w:rPr>
          <w:lang w:val="en-IN" w:eastAsia="en-IN"/>
        </w:rPr>
        <w:t>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8FDB2D9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Load the previously generated G-code file in the software.</w:t>
      </w:r>
    </w:p>
    <w:p w14:paraId="7250DAE5" w14:textId="0DBB3AAC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Using the appropriate manual control tool in the software, extrude some of the hydrogel from the syringe to ensure material flow through the nozzle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  <w:r>
        <w:rPr>
          <w:lang w:eastAsia="en-IN"/>
        </w:rPr>
        <w:t xml:space="preserve"> </w:t>
      </w:r>
      <w:r w:rsidRPr="00AB205F">
        <w:rPr>
          <w:lang w:eastAsia="en-IN"/>
        </w:rPr>
        <w:t xml:space="preserve">Start the printing process </w:t>
      </w:r>
      <w:r w:rsidRPr="00AB205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B205F">
        <w:rPr>
          <w:b/>
          <w:bCs/>
          <w:lang w:eastAsia="en-IN"/>
        </w:rPr>
        <w:t>]</w:t>
      </w:r>
      <w:r w:rsidRPr="00AB205F">
        <w:rPr>
          <w:lang w:eastAsia="en-IN"/>
        </w:rPr>
        <w:t>.</w:t>
      </w:r>
    </w:p>
    <w:p w14:paraId="6EC090B5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Use the manual control tool in the software to extrude hydrogel from the syringe through the nozzle.</w:t>
      </w:r>
    </w:p>
    <w:p w14:paraId="7B5EAD14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Click the control used to start the printing process.</w:t>
      </w:r>
    </w:p>
    <w:p w14:paraId="7A22C7D5" w14:textId="77FF5680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After printing, perform photocrosslinking of the resulting scaffold using the 3D bioprinter's ultraviolet light system for 5 minutes at a light intensity of 20 milliwatts per square centimeter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2359220E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printed scaffold in the 3D bioprinter for photocrosslinking.</w:t>
      </w:r>
    </w:p>
    <w:p w14:paraId="2D7C2750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Use the same depolymerized 2% agarose solution used for fabricating the micromolds to attach the 3D-printed scaffolds to the wells of a 12-well culture plate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Secure the scaffolds to the bottoms of the wells to provide greater stability and prevent displacement during spheroid seeding and throughout the culture period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0EFCF2B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lastRenderedPageBreak/>
        <w:t>Talent applying the depolymerized 2% agarose solution to attach the 3D-printed scaffolds to the wells of a 12-well culture plate.</w:t>
      </w:r>
    </w:p>
    <w:p w14:paraId="18F746D8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securing the scaffolds to the bottoms of the wells.</w:t>
      </w:r>
    </w:p>
    <w:p w14:paraId="61659E70" w14:textId="740DF394" w:rsidR="007E22BB" w:rsidRPr="0072331A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72331A">
        <w:rPr>
          <w:lang w:eastAsia="en-IN"/>
        </w:rPr>
        <w:t xml:space="preserve">Capture stereomicroscope images of the scaffolds to assess printing quality and visualize the scaffold structure </w:t>
      </w:r>
      <w:r w:rsidRPr="0072331A">
        <w:rPr>
          <w:b/>
          <w:bCs/>
          <w:lang w:eastAsia="en-IN"/>
        </w:rPr>
        <w:t>[1]</w:t>
      </w:r>
      <w:r w:rsidRPr="0072331A">
        <w:rPr>
          <w:lang w:eastAsia="en-IN"/>
        </w:rPr>
        <w:t xml:space="preserve">. Use a ruler or a caliper reference to calibrate the images and measure the scaffold and pore dimensions accurately </w:t>
      </w:r>
      <w:r w:rsidRPr="0072331A">
        <w:rPr>
          <w:b/>
          <w:bCs/>
          <w:lang w:eastAsia="en-IN"/>
        </w:rPr>
        <w:t>[2]</w:t>
      </w:r>
      <w:r w:rsidRPr="0072331A">
        <w:rPr>
          <w:lang w:eastAsia="en-IN"/>
        </w:rPr>
        <w:t>.</w:t>
      </w:r>
      <w:r>
        <w:rPr>
          <w:lang w:eastAsia="en-IN"/>
        </w:rPr>
        <w:t xml:space="preserve"> </w:t>
      </w:r>
      <w:r w:rsidRPr="007E22BB">
        <w:rPr>
          <w:color w:val="auto"/>
          <w:highlight w:val="yellow"/>
          <w:lang w:eastAsia="en-IN"/>
        </w:rPr>
        <w:t>Authors: These steps are summarised as we are already over the 55-shot limit</w:t>
      </w:r>
    </w:p>
    <w:p w14:paraId="127C23F4" w14:textId="7E3059F5" w:rsidR="007E22BB" w:rsidRPr="0072331A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2331A">
        <w:rPr>
          <w:lang w:val="en-IN" w:eastAsia="en-IN"/>
        </w:rPr>
        <w:t>Talent capturing images of the scaffolds using a stereomicroscope.</w:t>
      </w:r>
    </w:p>
    <w:p w14:paraId="3F7C0562" w14:textId="77777777" w:rsidR="007E22BB" w:rsidRPr="0072331A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2331A">
        <w:rPr>
          <w:lang w:val="en-IN" w:eastAsia="en-IN"/>
        </w:rPr>
        <w:t>Talent positioning a ruler or a caliper as a reference beside the scaffold for image calibration and dimensional measurement</w:t>
      </w:r>
    </w:p>
    <w:p w14:paraId="13E74DDB" w14:textId="77777777" w:rsidR="007E22BB" w:rsidRPr="00AB205F" w:rsidRDefault="007E22BB" w:rsidP="007E22BB">
      <w:pPr>
        <w:pStyle w:val="ShotDescription"/>
        <w:ind w:firstLine="0"/>
        <w:rPr>
          <w:lang w:val="en-IN" w:eastAsia="en-IN"/>
        </w:rPr>
      </w:pPr>
    </w:p>
    <w:p w14:paraId="2BA28873" w14:textId="77777777" w:rsidR="007E22BB" w:rsidRPr="00AB205F" w:rsidRDefault="007E22BB" w:rsidP="007E22BB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15597EF8" w14:textId="77777777" w:rsidR="007E22BB" w:rsidRDefault="007E22BB" w:rsidP="007E22BB"/>
    <w:p w14:paraId="2568A5BF" w14:textId="77777777" w:rsidR="007E22BB" w:rsidRDefault="007E22BB" w:rsidP="007E22BB"/>
    <w:p w14:paraId="590AC9E1" w14:textId="3A23DF36" w:rsidR="007E22BB" w:rsidRDefault="002E7330" w:rsidP="007E22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7330">
        <w:rPr>
          <w:rFonts w:cstheme="minorHAnsi"/>
          <w:b/>
          <w:bCs/>
        </w:rPr>
        <w:t>Preparation of hADSCs by Trypsinization</w:t>
      </w:r>
    </w:p>
    <w:p w14:paraId="0DEF91DC" w14:textId="77777777" w:rsidR="007E22BB" w:rsidRDefault="007E22BB" w:rsidP="007E22B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9417996"/>
          <w:placeholder>
            <w:docPart w:val="C1D7E6C5BD714CB1A5714DD7B1B34EA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A7C356" w14:textId="77777777" w:rsidR="007E22BB" w:rsidRDefault="007E22BB" w:rsidP="007E22BB"/>
    <w:p w14:paraId="59FD9355" w14:textId="4996937C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>Transfer the contents of the culture flask to a waste container</w:t>
      </w:r>
      <w:r>
        <w:rPr>
          <w:lang w:eastAsia="en-IN"/>
        </w:rPr>
        <w:t xml:space="preserve"> </w:t>
      </w:r>
      <w:r w:rsidRPr="00AB205F">
        <w:rPr>
          <w:lang w:eastAsia="en-IN"/>
        </w:rPr>
        <w:t xml:space="preserve">in a biological safety cabinet </w:t>
      </w:r>
      <w:r w:rsidRPr="00AB205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B205F">
        <w:rPr>
          <w:b/>
          <w:bCs/>
          <w:lang w:eastAsia="en-IN"/>
        </w:rPr>
        <w:t>]</w:t>
      </w:r>
      <w:r w:rsidRPr="00AB205F">
        <w:rPr>
          <w:lang w:eastAsia="en-IN"/>
        </w:rPr>
        <w:t>.</w:t>
      </w:r>
    </w:p>
    <w:p w14:paraId="4A2C2F75" w14:textId="6D9D6F18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transferring the contents of the culture flask to a waste container</w:t>
      </w:r>
      <w:r>
        <w:rPr>
          <w:lang w:val="en-IN" w:eastAsia="en-IN"/>
        </w:rPr>
        <w:t xml:space="preserve"> under a hood</w:t>
      </w:r>
      <w:r w:rsidRPr="00AB205F">
        <w:rPr>
          <w:lang w:val="en-IN" w:eastAsia="en-IN"/>
        </w:rPr>
        <w:t>.</w:t>
      </w:r>
    </w:p>
    <w:p w14:paraId="1C25660F" w14:textId="272A8011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Wash the monolayer </w:t>
      </w:r>
      <w:r>
        <w:rPr>
          <w:lang w:eastAsia="en-IN"/>
        </w:rPr>
        <w:t xml:space="preserve">twice </w:t>
      </w:r>
      <w:r w:rsidRPr="00AB205F">
        <w:rPr>
          <w:lang w:eastAsia="en-IN"/>
        </w:rPr>
        <w:t xml:space="preserve">with 1× phosphate-buffered saline </w:t>
      </w:r>
      <w:r w:rsidRPr="00AB205F">
        <w:rPr>
          <w:b/>
          <w:bCs/>
          <w:lang w:eastAsia="en-IN"/>
        </w:rPr>
        <w:t>[1]</w:t>
      </w:r>
      <w:r>
        <w:rPr>
          <w:lang w:eastAsia="en-IN"/>
        </w:rPr>
        <w:t xml:space="preserve"> and d</w:t>
      </w:r>
      <w:r w:rsidRPr="00AB205F">
        <w:rPr>
          <w:lang w:eastAsia="en-IN"/>
        </w:rPr>
        <w:t xml:space="preserve">iscard the solution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</w:t>
      </w:r>
    </w:p>
    <w:p w14:paraId="61C91D05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1× phosphate-buffered saline to the monolayer.</w:t>
      </w:r>
    </w:p>
    <w:p w14:paraId="7B6B4545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discarding the phosphate-buffered saline solution.</w:t>
      </w:r>
    </w:p>
    <w:p w14:paraId="5688E68F" w14:textId="7478B1A9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>Add a 0.125% trypsin</w:t>
      </w:r>
      <w:r>
        <w:rPr>
          <w:lang w:eastAsia="en-IN"/>
        </w:rPr>
        <w:t xml:space="preserve"> EDTA</w:t>
      </w:r>
      <w:r w:rsidRPr="00AB205F">
        <w:rPr>
          <w:lang w:eastAsia="en-IN"/>
        </w:rPr>
        <w:t xml:space="preserve"> solution sufficient to cover the monolayer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Close the flask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Incubate in a humidified incubator at 37 degrees Celsius for up to 5 minutes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5D01DE7A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a 0.125% trypsin/ethylenediaminetetraacetic acid solution to the culture flask.</w:t>
      </w:r>
    </w:p>
    <w:p w14:paraId="2BC0E90E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closing the culture flask.</w:t>
      </w:r>
    </w:p>
    <w:p w14:paraId="22B985CB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culture flask in a humidified incubator.</w:t>
      </w:r>
    </w:p>
    <w:p w14:paraId="424E9011" w14:textId="2565B97F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>Inactivate the trypsin</w:t>
      </w:r>
      <w:r>
        <w:rPr>
          <w:lang w:eastAsia="en-IN"/>
        </w:rPr>
        <w:t xml:space="preserve"> EDTA</w:t>
      </w:r>
      <w:r w:rsidRPr="00AB205F">
        <w:rPr>
          <w:lang w:eastAsia="en-IN"/>
        </w:rPr>
        <w:t xml:space="preserve"> by adding an equal volume of Dulbecco's Modified Eagle Medium supplemented with 10% fetal bovine serum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5AF9B56A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lastRenderedPageBreak/>
        <w:t>Talent adding Dulbecco's Modified Eagle Medium supplemented with 10% fetal bovine serum to the culture flask.</w:t>
      </w:r>
    </w:p>
    <w:p w14:paraId="38B18A29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Collect the cell suspension using a serological pipette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Transfer the cell suspension to centrifuge tubes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Centrifuge at 400 g for 5 minutes at room temperature between 20 and 25 degrees Celsius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0E0E1AE4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collecting the cell suspension with a serological pipette.</w:t>
      </w:r>
    </w:p>
    <w:p w14:paraId="4E2A680E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transferring the cell suspension into centrifuge tubes.</w:t>
      </w:r>
    </w:p>
    <w:p w14:paraId="4BE6C903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centrifuge tubes in the centrifuge.</w:t>
      </w:r>
    </w:p>
    <w:p w14:paraId="6FBA4F74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Carefully discard the supernatant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59870D66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discarding the supernatant from the centrifuge tube.</w:t>
      </w:r>
    </w:p>
    <w:p w14:paraId="2D19F06D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Resuspend the cell pellet in Dulbecco's Modified Eagle Medium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Homogenize the suspension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Take an aliquot for cell counting and viability assessment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57294E6D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resuspending the cell pellet in Dulbecco's Modified Eagle Medium.</w:t>
      </w:r>
    </w:p>
    <w:p w14:paraId="66B29AB7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homogenizing the cell suspension.</w:t>
      </w:r>
    </w:p>
    <w:p w14:paraId="6CE646A1" w14:textId="77777777" w:rsidR="007E22BB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transferring an aliquot of the cell suspension for cell counting and viability assessment.</w:t>
      </w:r>
    </w:p>
    <w:p w14:paraId="2B9DE927" w14:textId="77777777" w:rsidR="007E22BB" w:rsidRDefault="007E22BB" w:rsidP="007E22BB">
      <w:pPr>
        <w:pStyle w:val="ShotDescription"/>
        <w:ind w:left="907" w:firstLine="0"/>
        <w:rPr>
          <w:lang w:val="en-IN" w:eastAsia="en-IN"/>
        </w:rPr>
      </w:pPr>
    </w:p>
    <w:p w14:paraId="31A8BBEF" w14:textId="77777777" w:rsidR="007E22BB" w:rsidRDefault="007E22BB" w:rsidP="007E22BB">
      <w:pPr>
        <w:pStyle w:val="ShotDescription"/>
        <w:ind w:left="907" w:firstLine="0"/>
        <w:rPr>
          <w:lang w:val="en-IN" w:eastAsia="en-IN"/>
        </w:rPr>
      </w:pPr>
    </w:p>
    <w:p w14:paraId="50B85912" w14:textId="77777777" w:rsidR="007E22BB" w:rsidRDefault="007E22BB" w:rsidP="007E22BB">
      <w:pPr>
        <w:pStyle w:val="ShotDescription"/>
        <w:ind w:left="907" w:firstLine="0"/>
        <w:rPr>
          <w:lang w:val="en-IN" w:eastAsia="en-IN"/>
        </w:rPr>
      </w:pPr>
    </w:p>
    <w:p w14:paraId="197ED444" w14:textId="00A09C4E" w:rsidR="007E22BB" w:rsidRDefault="002E7330" w:rsidP="007E22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7330">
        <w:rPr>
          <w:rFonts w:cstheme="minorHAnsi"/>
          <w:b/>
          <w:bCs/>
        </w:rPr>
        <w:t>Generation of hADSC Spheroids in Agarose Micromolds</w:t>
      </w:r>
    </w:p>
    <w:p w14:paraId="31A20614" w14:textId="77777777" w:rsidR="007E22BB" w:rsidRDefault="007E22BB" w:rsidP="007E22B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76997421"/>
          <w:placeholder>
            <w:docPart w:val="C3ECCBC4B8E04B71BC934114FA9BA4C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270A76" w14:textId="77777777" w:rsidR="007E22BB" w:rsidRPr="00AB205F" w:rsidRDefault="007E22BB" w:rsidP="007E22BB">
      <w:pPr>
        <w:pStyle w:val="ShotDescription"/>
        <w:ind w:left="907" w:firstLine="0"/>
        <w:rPr>
          <w:lang w:val="en-IN" w:eastAsia="en-IN"/>
        </w:rPr>
      </w:pPr>
    </w:p>
    <w:p w14:paraId="59307AC2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Separate the appropriate number of cells for each mold into a 15 milliliter centrifuge tube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For human adipose-derived stem cells, prepare 1 × 10⁶ cells for each agarose mold containing 81 recesses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33E25073" w14:textId="6B93FDE4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transferring the required number of cells into a 15 milliliter centrifuge tube.</w:t>
      </w:r>
    </w:p>
    <w:p w14:paraId="0C351BCE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preparing 1 × 10⁶ human adipose-derived stem cells for an agarose mold containing 81 recesses.</w:t>
      </w:r>
    </w:p>
    <w:p w14:paraId="6C786102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Add 1× phosphate-buffered saline to the centrifuge tube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Centrifuge at 500 g for 5 minutes at room temperature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Discard the supernatant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 xml:space="preserve">. Add fresh 1× phosphate-buffered saline </w:t>
      </w:r>
      <w:r w:rsidRPr="00AB205F">
        <w:rPr>
          <w:b/>
          <w:bCs/>
          <w:lang w:eastAsia="en-IN"/>
        </w:rPr>
        <w:t>[4]</w:t>
      </w:r>
      <w:r w:rsidRPr="00AB205F">
        <w:rPr>
          <w:lang w:eastAsia="en-IN"/>
        </w:rPr>
        <w:t xml:space="preserve">. Repeat the washing procedure two more times </w:t>
      </w:r>
      <w:r w:rsidRPr="00AB205F">
        <w:rPr>
          <w:b/>
          <w:bCs/>
          <w:lang w:eastAsia="en-IN"/>
        </w:rPr>
        <w:t>[5]</w:t>
      </w:r>
      <w:r w:rsidRPr="00AB205F">
        <w:rPr>
          <w:lang w:eastAsia="en-IN"/>
        </w:rPr>
        <w:t>.</w:t>
      </w:r>
    </w:p>
    <w:p w14:paraId="612E8C40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1× phosphate-buffered saline to the centrifuge tube.</w:t>
      </w:r>
    </w:p>
    <w:p w14:paraId="51C75D46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lastRenderedPageBreak/>
        <w:t>Talent placing the centrifuge tube in the centrifuge.</w:t>
      </w:r>
    </w:p>
    <w:p w14:paraId="68522117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discarding the supernatant.</w:t>
      </w:r>
    </w:p>
    <w:p w14:paraId="31CC6751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fresh 1× phosphate-buffered saline to the centrifuge tube.</w:t>
      </w:r>
    </w:p>
    <w:p w14:paraId="09A460DA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repeating the washing procedure.</w:t>
      </w:r>
    </w:p>
    <w:p w14:paraId="0224372F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After the third centrifugation, carefully discard the supernatant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Dry the tube opening with sterile gauze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Return the tube to a vertical position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4265AB17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discarding the supernatant after the third centrifugation.</w:t>
      </w:r>
    </w:p>
    <w:p w14:paraId="516160DB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drying the tube opening with sterile gauze.</w:t>
      </w:r>
    </w:p>
    <w:p w14:paraId="1FCD97B0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returning the centrifuge tube to a vertical position.</w:t>
      </w:r>
    </w:p>
    <w:p w14:paraId="2D410485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Resuspend the cell pellet in 120 microliters of 3D culture medium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Homogenize the suspension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Adjust the suspension volume to 200 microliters with additional 3D culture medium if necessary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32572408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resuspending the cell pellet in 120 microliters of 3D culture medium.</w:t>
      </w:r>
    </w:p>
    <w:p w14:paraId="540E05D8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homogenizing the cell suspension.</w:t>
      </w:r>
    </w:p>
    <w:p w14:paraId="39031F7D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additional 3D culture medium to adjust the suspension volume to 200 microliters.</w:t>
      </w:r>
    </w:p>
    <w:p w14:paraId="47DBC717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Aspirate 200 microliters of the cell suspension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Plate the suspension in the center of the mold while avoiding bubble formation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55719E89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aspirating 200 microliters of the cell suspension.</w:t>
      </w:r>
    </w:p>
    <w:p w14:paraId="02DBDE2B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plating the cell suspension in the center of the mold.</w:t>
      </w:r>
    </w:p>
    <w:p w14:paraId="47E6B66B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Leave the plate in the biological safety cabinet for 5 minutes to allow the cells to settle into the recesses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78F0F37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plate in the biological safety cabinet.</w:t>
      </w:r>
    </w:p>
    <w:p w14:paraId="4EB865AF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Place the plate in a humidified incubator for 40 minutes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1321BB6D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plate in a humidified incubator.</w:t>
      </w:r>
    </w:p>
    <w:p w14:paraId="101FF7B4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After incubation, carefully add 2 milliliters of 3D medium to each well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Return the plate to a humidified incubator at 37 degrees Celsius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356E6339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2 milliliters of 3D medium to each well.</w:t>
      </w:r>
    </w:p>
    <w:p w14:paraId="66E14956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plate back into the humidified incubator.</w:t>
      </w:r>
    </w:p>
    <w:p w14:paraId="6BC75AF4" w14:textId="77777777" w:rsidR="007E22BB" w:rsidRDefault="007E22BB" w:rsidP="007E22BB"/>
    <w:p w14:paraId="59F9465D" w14:textId="77777777" w:rsidR="007E22BB" w:rsidRDefault="007E22BB" w:rsidP="007E22BB"/>
    <w:p w14:paraId="4B0D4436" w14:textId="77777777" w:rsidR="007E22BB" w:rsidRDefault="007E22BB" w:rsidP="007E22BB"/>
    <w:p w14:paraId="56FEB112" w14:textId="77777777" w:rsidR="007E22BB" w:rsidRDefault="007E22BB" w:rsidP="007E22BB"/>
    <w:p w14:paraId="7470F216" w14:textId="69128C9A" w:rsidR="007E22BB" w:rsidRDefault="002E7330" w:rsidP="007E22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7330">
        <w:rPr>
          <w:rFonts w:cstheme="minorHAnsi"/>
          <w:b/>
          <w:bCs/>
        </w:rPr>
        <w:lastRenderedPageBreak/>
        <w:t>Morphometric Analysis of Spheroid Diameter and Sphericity</w:t>
      </w:r>
    </w:p>
    <w:p w14:paraId="2C041A2C" w14:textId="77777777" w:rsidR="007E22BB" w:rsidRDefault="007E22BB" w:rsidP="007E22B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87828171"/>
          <w:placeholder>
            <w:docPart w:val="2741C06978E848D3BC6C7F256825282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3DBD722" w14:textId="77777777" w:rsidR="007E22BB" w:rsidRDefault="007E22BB" w:rsidP="007E22BB"/>
    <w:p w14:paraId="23D8F3CB" w14:textId="77777777" w:rsidR="007E22BB" w:rsidRDefault="007E22BB" w:rsidP="007E22BB"/>
    <w:p w14:paraId="550D6E50" w14:textId="77777777" w:rsidR="007E22BB" w:rsidRDefault="007E22BB" w:rsidP="007E22BB"/>
    <w:p w14:paraId="7F4DDC68" w14:textId="77777777" w:rsidR="007E22BB" w:rsidRDefault="007E22BB" w:rsidP="007E22BB"/>
    <w:p w14:paraId="690D90D1" w14:textId="2B9B8DCF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</w:t>
      </w:r>
      <w:r w:rsidRPr="00AB205F">
        <w:rPr>
          <w:lang w:eastAsia="en-IN"/>
        </w:rPr>
        <w:t xml:space="preserve">apture images of the spheroids positioned along the two diagonals of the agarose micromold, forming an X pattern, using an inverted optical microscope equipped with a digital camera and a 10× objective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Calibrate the image scale using the 100 micrometer scale bar before measuring the diameters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487998B0" w14:textId="56BE924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capturing images of the spheroids positioned along the two diagonals of the agarose micromold using the inverted optical microscope.</w:t>
      </w:r>
    </w:p>
    <w:p w14:paraId="7BE36DF4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Show the calibration of the image scale using the 100 micrometer scale bar.</w:t>
      </w:r>
    </w:p>
    <w:p w14:paraId="5EFE178F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Determine the major diameter of each photographed spheroid using the software’s </w:t>
      </w:r>
      <w:r w:rsidRPr="00AB205F">
        <w:rPr>
          <w:b/>
          <w:bCs/>
          <w:lang w:eastAsia="en-IN"/>
        </w:rPr>
        <w:t>Line</w:t>
      </w:r>
      <w:r w:rsidRPr="00AB205F">
        <w:rPr>
          <w:lang w:eastAsia="en-IN"/>
        </w:rPr>
        <w:t xml:space="preserve"> tool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Measure the minor diameter by performing a second perpendicular measurement at an approximate 90 degree angle to the first measurement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54DAB4C5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 xml:space="preserve">SCREEN: Show the major diameter of a spheroid being measured using the </w:t>
      </w:r>
      <w:r w:rsidRPr="00AB205F">
        <w:rPr>
          <w:b/>
          <w:bCs/>
          <w:lang w:val="en-IN" w:eastAsia="en-IN"/>
        </w:rPr>
        <w:t>Line</w:t>
      </w:r>
      <w:r w:rsidRPr="00AB205F">
        <w:rPr>
          <w:lang w:val="en-IN" w:eastAsia="en-IN"/>
        </w:rPr>
        <w:t xml:space="preserve"> tool.</w:t>
      </w:r>
    </w:p>
    <w:p w14:paraId="6555D204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Show the minor diameter of the same spheroid being measured perpendicular to the first measurement.</w:t>
      </w:r>
    </w:p>
    <w:p w14:paraId="2866C53C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Calculate the mean diameter of each spheroid as the arithmetic mean of the two previously measured perpendicular diameters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Calculate the sphericity as the ratio of the largest diameter to the smallest diameter of each spheroid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 xml:space="preserve">. Consider values closer to 1 as indicating greater uniformity and a more spherical shape </w:t>
      </w:r>
      <w:r w:rsidRPr="00AB205F">
        <w:rPr>
          <w:b/>
          <w:bCs/>
          <w:lang w:eastAsia="en-IN"/>
        </w:rPr>
        <w:t>[3]</w:t>
      </w:r>
      <w:r w:rsidRPr="00AB205F">
        <w:rPr>
          <w:lang w:eastAsia="en-IN"/>
        </w:rPr>
        <w:t>.</w:t>
      </w:r>
    </w:p>
    <w:p w14:paraId="09A96A37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Show the calculation of the mean diameter from the two perpendicular diameter measurements.</w:t>
      </w:r>
    </w:p>
    <w:p w14:paraId="435C642C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Show the calculation of spheroid sphericity using the largest and smallest diameters.</w:t>
      </w:r>
    </w:p>
    <w:p w14:paraId="4A7BBB8F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Display the sphericity values approaching 1.</w:t>
      </w:r>
    </w:p>
    <w:p w14:paraId="07D7330C" w14:textId="77777777" w:rsidR="007E22BB" w:rsidRDefault="007E22BB" w:rsidP="007E22BB"/>
    <w:p w14:paraId="65CDFB85" w14:textId="77777777" w:rsidR="007E22BB" w:rsidRDefault="007E22BB" w:rsidP="007E22BB"/>
    <w:p w14:paraId="0E05EA47" w14:textId="27213B3B" w:rsidR="007E22BB" w:rsidRDefault="003B07BF" w:rsidP="007E22B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B07BF">
        <w:rPr>
          <w:rFonts w:cstheme="minorHAnsi"/>
          <w:b/>
          <w:bCs/>
        </w:rPr>
        <w:t>Spheroid Seeding into GelMA Scaffolds and Bioassembly</w:t>
      </w:r>
    </w:p>
    <w:p w14:paraId="13F9645C" w14:textId="77777777" w:rsidR="007E22BB" w:rsidRDefault="007E22BB" w:rsidP="007E22B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CC36B47A407E4153A13E8A39BE8742E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A36F2A" w14:textId="77777777" w:rsidR="007E22BB" w:rsidRDefault="007E22BB" w:rsidP="007E22BB"/>
    <w:p w14:paraId="71CE3F83" w14:textId="77777777" w:rsidR="007E22BB" w:rsidRDefault="007E22BB" w:rsidP="007E22BB"/>
    <w:p w14:paraId="2A3704F2" w14:textId="77777777" w:rsidR="007E22BB" w:rsidRDefault="007E22BB" w:rsidP="007E22BB"/>
    <w:p w14:paraId="1BC57369" w14:textId="4A5D5612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A</w:t>
      </w:r>
      <w:r w:rsidRPr="00AB205F">
        <w:rPr>
          <w:lang w:eastAsia="en-IN"/>
        </w:rPr>
        <w:t xml:space="preserve">fter 24 hours of spheroid formation, collect the spheroids from the agarose micromolds using a pipette with wide-bore tips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Transfer the spheroids to 2 milliliter microtubes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00E93F2B" w14:textId="77777777" w:rsidR="007E22BB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WIDE: Talent collecting the spheroids from the agarose micromolds using a pipette with wide-bore tips.</w:t>
      </w:r>
    </w:p>
    <w:p w14:paraId="0F28F4B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transferring the spheroids into 2 milliliter microtubes.</w:t>
      </w:r>
    </w:p>
    <w:p w14:paraId="313FFA40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When the spheroids settle at the bottom of the microtubes, discard the supernatant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7E70475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removing and discarding the supernatant from the microtube.</w:t>
      </w:r>
    </w:p>
    <w:p w14:paraId="346D03B9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Resuspend the spheroids in 50 microliters of 3D Medium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553493DE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resuspending the spheroids in 50 microliters of 3D Medium.</w:t>
      </w:r>
    </w:p>
    <w:p w14:paraId="5D19864F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Using a pipette with wide-bore tips, collect the spheroids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Gently embed the spheroids in the GelMA scaffold pores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37427CA9" w14:textId="77777777" w:rsidR="007E22BB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collecting the spheroids with a pipette fitted with wide-bore tips.</w:t>
      </w:r>
    </w:p>
    <w:p w14:paraId="0CB531D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gently embedding the spheroids into the GelMA scaffold pores.</w:t>
      </w:r>
    </w:p>
    <w:p w14:paraId="1E44F146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After depositing the spheroids into the GelMA support pore, wait 20 to 40 minutes to allow the spheroids to settle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Add 1 milliliter of 3D Medium to each well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55E8D5CE" w14:textId="77777777" w:rsidR="007E22BB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placing the scaffold containing the spheroids aside to allow settling.</w:t>
      </w:r>
    </w:p>
    <w:p w14:paraId="605F35B2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1 milliliter of 3D Medium to each well.</w:t>
      </w:r>
    </w:p>
    <w:p w14:paraId="3F9BE327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After 24 hours, add 1 milliliter of 3D Medium to each well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>.</w:t>
      </w:r>
    </w:p>
    <w:p w14:paraId="5A6621D0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adding 1 milliliter of 3D Medium to each well.</w:t>
      </w:r>
    </w:p>
    <w:p w14:paraId="1B2C0FD1" w14:textId="77777777" w:rsidR="007E22BB" w:rsidRPr="00AB205F" w:rsidRDefault="007E22BB" w:rsidP="007E22BB">
      <w:pPr>
        <w:pStyle w:val="Narration"/>
        <w:numPr>
          <w:ilvl w:val="1"/>
          <w:numId w:val="3"/>
        </w:numPr>
        <w:rPr>
          <w:lang w:eastAsia="en-IN"/>
        </w:rPr>
      </w:pPr>
      <w:r w:rsidRPr="00AB205F">
        <w:rPr>
          <w:lang w:eastAsia="en-IN"/>
        </w:rPr>
        <w:t xml:space="preserve">Monitor the fusion of the spheroids within the pores of the GelMA scaffolds by phase-contrast microscopy and stereomicroscopy </w:t>
      </w:r>
      <w:r w:rsidRPr="00AB205F">
        <w:rPr>
          <w:b/>
          <w:bCs/>
          <w:lang w:eastAsia="en-IN"/>
        </w:rPr>
        <w:t>[1]</w:t>
      </w:r>
      <w:r w:rsidRPr="00AB205F">
        <w:rPr>
          <w:lang w:eastAsia="en-IN"/>
        </w:rPr>
        <w:t xml:space="preserve">. Acquire images every 24 hours from day 0, immediately after seeding, to day 3, corresponding to 72 hours </w:t>
      </w:r>
      <w:r w:rsidRPr="00AB205F">
        <w:rPr>
          <w:b/>
          <w:bCs/>
          <w:lang w:eastAsia="en-IN"/>
        </w:rPr>
        <w:t>[2]</w:t>
      </w:r>
      <w:r w:rsidRPr="00AB205F">
        <w:rPr>
          <w:lang w:eastAsia="en-IN"/>
        </w:rPr>
        <w:t>.</w:t>
      </w:r>
    </w:p>
    <w:p w14:paraId="046783F2" w14:textId="77777777" w:rsidR="007E22BB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Talent monitoring the spheroid fusion within the GelMA scaffold pores using phase-contrast microscopy and stereomicroscopy.</w:t>
      </w:r>
    </w:p>
    <w:p w14:paraId="123D852D" w14:textId="77777777" w:rsidR="007E22BB" w:rsidRPr="00AB205F" w:rsidRDefault="007E22BB" w:rsidP="007E22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05F">
        <w:rPr>
          <w:lang w:val="en-IN" w:eastAsia="en-IN"/>
        </w:rPr>
        <w:t>SCREEN: Show the image acquisition time points from day 0 through day 3 at 24-hour intervals</w:t>
      </w:r>
    </w:p>
    <w:p w14:paraId="5D2AD3E8" w14:textId="77777777" w:rsidR="007E22BB" w:rsidRDefault="007E22BB" w:rsidP="007E22BB"/>
    <w:p w14:paraId="09689C4F" w14:textId="5EB0B08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EAD603F" w14:textId="22791CA6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Human adipose-derived stem cells cultured in a monolayer </w:t>
      </w:r>
      <w:r w:rsidRPr="00C22807">
        <w:rPr>
          <w:b/>
        </w:rPr>
        <w:t>[1]</w:t>
      </w:r>
      <w:r w:rsidRPr="00C22807">
        <w:t xml:space="preserve"> were successfully induced to form compact, well-defined spheroids within 24 hours after seeding into agarose micromolds </w:t>
      </w:r>
      <w:r w:rsidRPr="00C22807">
        <w:rPr>
          <w:b/>
        </w:rPr>
        <w:t>[2]</w:t>
      </w:r>
      <w:r w:rsidRPr="00C22807">
        <w:t>.</w:t>
      </w:r>
    </w:p>
    <w:p w14:paraId="1C523452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2C. Video editor: Highlight the spread-out cell layer visible across the image before spheroid formation.</w:t>
      </w:r>
    </w:p>
    <w:p w14:paraId="18ADE2B1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2D. Video editor: Highlight the single round cell cluster in the center of the image after 24 hours.</w:t>
      </w:r>
    </w:p>
    <w:p w14:paraId="61DE5CEB" w14:textId="77777777" w:rsidR="003B07BF" w:rsidRPr="00C22807" w:rsidRDefault="003B07BF" w:rsidP="003B07BF">
      <w:pPr>
        <w:rPr>
          <w:color w:val="7030A0"/>
          <w:lang w:val="en-GB"/>
        </w:rPr>
      </w:pPr>
    </w:p>
    <w:p w14:paraId="2A9F7B30" w14:textId="08D4C165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>The morphometric analysis revealed a mean spheroid diameter of</w:t>
      </w:r>
      <w:r>
        <w:t xml:space="preserve"> about</w:t>
      </w:r>
      <w:r w:rsidRPr="00C22807">
        <w:t xml:space="preserve"> 239.8 micrometers at 24 hours </w:t>
      </w:r>
      <w:r w:rsidRPr="00C22807">
        <w:rPr>
          <w:b/>
        </w:rPr>
        <w:t>[1]</w:t>
      </w:r>
      <w:r w:rsidRPr="00C22807">
        <w:t xml:space="preserve"> and a sphericity value close to 1</w:t>
      </w:r>
      <w:r>
        <w:t xml:space="preserve"> </w:t>
      </w:r>
      <w:r w:rsidRPr="00C22807">
        <w:rPr>
          <w:b/>
        </w:rPr>
        <w:t>[2]</w:t>
      </w:r>
      <w:r w:rsidRPr="00C22807">
        <w:t>.</w:t>
      </w:r>
    </w:p>
    <w:p w14:paraId="4345B5C8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2E. Video editor: Highlight the bar corresponding to the spheroid diameter measured at 24 hours.</w:t>
      </w:r>
    </w:p>
    <w:p w14:paraId="645B8F39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2F. Video editor: Highlight the bar corresponding to the spheroid sphericity measured at 24 hours.</w:t>
      </w:r>
    </w:p>
    <w:p w14:paraId="2792682F" w14:textId="77777777" w:rsidR="003B07BF" w:rsidRPr="00C22807" w:rsidRDefault="003B07BF" w:rsidP="003B07BF">
      <w:pPr>
        <w:rPr>
          <w:color w:val="7030A0"/>
          <w:lang w:val="en-GB"/>
        </w:rPr>
      </w:pPr>
    </w:p>
    <w:p w14:paraId="36B38AD2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The CAD model of the 3-dimensional printed scaffold was designed with 2 pores </w:t>
      </w:r>
      <w:r w:rsidRPr="00C22807">
        <w:rPr>
          <w:b/>
        </w:rPr>
        <w:t>[1]</w:t>
      </w:r>
      <w:r w:rsidRPr="00C22807">
        <w:t xml:space="preserve">, occupying approximately one-third of the scaffold’s total diameter </w:t>
      </w:r>
      <w:r w:rsidRPr="00C22807">
        <w:rPr>
          <w:b/>
        </w:rPr>
        <w:t>[2]</w:t>
      </w:r>
      <w:r w:rsidRPr="00C22807">
        <w:t>.</w:t>
      </w:r>
    </w:p>
    <w:p w14:paraId="20E17986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3A. Video editor: Highlight the 2 circular openings shown in the scaffold design.</w:t>
      </w:r>
    </w:p>
    <w:p w14:paraId="04FFDE5A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3A. Video editor: Emphasize the full scaffold width marked across the model.</w:t>
      </w:r>
    </w:p>
    <w:p w14:paraId="6701DFE9" w14:textId="77777777" w:rsidR="003B07BF" w:rsidRPr="00C22807" w:rsidRDefault="003B07BF" w:rsidP="003B07BF">
      <w:pPr>
        <w:rPr>
          <w:color w:val="7030A0"/>
          <w:lang w:val="en-GB"/>
        </w:rPr>
      </w:pPr>
    </w:p>
    <w:p w14:paraId="4DF7D6D8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The sliced 3-dimensional model was visualized in the printing software after G-code generation </w:t>
      </w:r>
      <w:r w:rsidRPr="00C22807">
        <w:rPr>
          <w:b/>
        </w:rPr>
        <w:t>[1]</w:t>
      </w:r>
      <w:r w:rsidRPr="00C22807">
        <w:t xml:space="preserve">, and the GelMA hydrogel scaffolds were successfully printed </w:t>
      </w:r>
      <w:r w:rsidRPr="00C22807">
        <w:rPr>
          <w:b/>
        </w:rPr>
        <w:t>[2]</w:t>
      </w:r>
      <w:r w:rsidRPr="00C22807">
        <w:t>.</w:t>
      </w:r>
    </w:p>
    <w:p w14:paraId="37F9F735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 xml:space="preserve">LAB MEDIA: Figure 3C. Video editor: Show the sliced scaffold design displayed in </w:t>
      </w:r>
      <w:r w:rsidRPr="00C22807">
        <w:rPr>
          <w:lang w:val="en-GB"/>
        </w:rPr>
        <w:lastRenderedPageBreak/>
        <w:t>the software window.</w:t>
      </w:r>
    </w:p>
    <w:p w14:paraId="0B8D84D3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3D. Video editor: Show the printed scaffold positioned above the ruler scale.</w:t>
      </w:r>
    </w:p>
    <w:p w14:paraId="4F2D3A97" w14:textId="77777777" w:rsidR="003B07BF" w:rsidRPr="00C22807" w:rsidRDefault="003B07BF" w:rsidP="003B07BF">
      <w:pPr>
        <w:rPr>
          <w:color w:val="7030A0"/>
          <w:lang w:val="en-GB"/>
        </w:rPr>
      </w:pPr>
    </w:p>
    <w:p w14:paraId="152D8594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No significant differences were detected between the dimensions of the 3-dimensional model and those of the printed scaffolds for the scaffold diameter </w:t>
      </w:r>
      <w:r w:rsidRPr="00C22807">
        <w:rPr>
          <w:b/>
        </w:rPr>
        <w:t>[1]</w:t>
      </w:r>
      <w:r w:rsidRPr="00C22807">
        <w:t xml:space="preserve">, the pore diameter </w:t>
      </w:r>
      <w:r w:rsidRPr="00C22807">
        <w:rPr>
          <w:b/>
        </w:rPr>
        <w:t>[2]</w:t>
      </w:r>
      <w:r w:rsidRPr="00C22807">
        <w:t xml:space="preserve">, and the scaffold thickness </w:t>
      </w:r>
      <w:r w:rsidRPr="00C22807">
        <w:rPr>
          <w:b/>
        </w:rPr>
        <w:t>[3]</w:t>
      </w:r>
      <w:r w:rsidRPr="00C22807">
        <w:t>.</w:t>
      </w:r>
    </w:p>
    <w:p w14:paraId="0E6A46A0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3F. Video editor: Highlight both bars labelled “3D Model” and “Printed Scaffold” and the “ns” label above them.</w:t>
      </w:r>
    </w:p>
    <w:p w14:paraId="1E242305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3G. Video editor: Highlight both bars labelled “3D Model” and “Printed Scaffold” and the “ns” label above them.</w:t>
      </w:r>
    </w:p>
    <w:p w14:paraId="6B6047D0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3H. Video editor: Highlight both bars labelled “3D Model” and “Printed Scaffold” and the “ns” label above them.</w:t>
      </w:r>
    </w:p>
    <w:p w14:paraId="67AFDDF6" w14:textId="77777777" w:rsidR="003B07BF" w:rsidRPr="00C22807" w:rsidRDefault="003B07BF" w:rsidP="003B07BF">
      <w:pPr>
        <w:rPr>
          <w:color w:val="7030A0"/>
          <w:lang w:val="en-GB"/>
        </w:rPr>
      </w:pPr>
    </w:p>
    <w:p w14:paraId="60E319AE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The spheroids were distributed within the scaffold pore regions immediately after transfer </w:t>
      </w:r>
      <w:r w:rsidRPr="00C22807">
        <w:rPr>
          <w:b/>
        </w:rPr>
        <w:t>[1]</w:t>
      </w:r>
      <w:r w:rsidRPr="00C22807">
        <w:t xml:space="preserve">, showed partial coalescence after 48 hours </w:t>
      </w:r>
      <w:r w:rsidRPr="00C22807">
        <w:rPr>
          <w:b/>
        </w:rPr>
        <w:t>[2]</w:t>
      </w:r>
      <w:r w:rsidRPr="00C22807">
        <w:t xml:space="preserve">, and showed extensive fusion after 72 hours </w:t>
      </w:r>
      <w:r w:rsidRPr="00C22807">
        <w:rPr>
          <w:b/>
        </w:rPr>
        <w:t>[3]</w:t>
      </w:r>
      <w:r w:rsidRPr="00C22807">
        <w:t>.</w:t>
      </w:r>
    </w:p>
    <w:p w14:paraId="035D16F5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4A. Video editor: Highlight the individual round spheroids visible inside the scaffold pore area.</w:t>
      </w:r>
    </w:p>
    <w:p w14:paraId="25467A51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4B. Video editor: Highlight the region where neighboring spheroids have begun merging into a larger structure.</w:t>
      </w:r>
    </w:p>
    <w:p w14:paraId="1BCF2994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4C. Video editor: Highlight the large continuous tissue mass occupying the pore region.</w:t>
      </w:r>
    </w:p>
    <w:p w14:paraId="757AD66C" w14:textId="77777777" w:rsidR="003B07BF" w:rsidRPr="00C22807" w:rsidRDefault="003B07BF" w:rsidP="003B07BF">
      <w:pPr>
        <w:rPr>
          <w:color w:val="7030A0"/>
          <w:lang w:val="en-GB"/>
        </w:rPr>
      </w:pPr>
    </w:p>
    <w:p w14:paraId="0480EE44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After 72 hours, a macroscale biological construct estimated to occupy 80% of the entire pore diameter was visible under stereomicroscopy </w:t>
      </w:r>
      <w:r w:rsidRPr="00C22807">
        <w:rPr>
          <w:b/>
        </w:rPr>
        <w:t>[1]</w:t>
      </w:r>
      <w:r w:rsidRPr="00C22807">
        <w:t>.</w:t>
      </w:r>
    </w:p>
    <w:p w14:paraId="61415216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4D. Video editor: Highlight the fused biological construct and its size relative to the pore opening.</w:t>
      </w:r>
    </w:p>
    <w:p w14:paraId="21F6F65A" w14:textId="77777777" w:rsidR="003B07BF" w:rsidRPr="00C22807" w:rsidRDefault="003B07BF" w:rsidP="003B07BF">
      <w:pPr>
        <w:rPr>
          <w:color w:val="7030A0"/>
          <w:lang w:val="en-GB"/>
        </w:rPr>
      </w:pPr>
    </w:p>
    <w:p w14:paraId="1A55A4CD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Confocal imaging confirmed the formation of a single fused construct within the pore after 72 hours </w:t>
      </w:r>
      <w:r w:rsidRPr="00C22807">
        <w:rPr>
          <w:b/>
        </w:rPr>
        <w:t>[1]</w:t>
      </w:r>
      <w:r w:rsidRPr="00C22807">
        <w:t>.</w:t>
      </w:r>
    </w:p>
    <w:p w14:paraId="62A01899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t>LAB MEDIA: Figure 4E. Video editor: Highlight the continuous green structure occupying the image area.</w:t>
      </w:r>
    </w:p>
    <w:p w14:paraId="32DC9467" w14:textId="77777777" w:rsidR="003B07BF" w:rsidRPr="00C22807" w:rsidRDefault="003B07BF" w:rsidP="003B07BF">
      <w:pPr>
        <w:rPr>
          <w:color w:val="7030A0"/>
          <w:lang w:val="en-GB"/>
        </w:rPr>
      </w:pPr>
    </w:p>
    <w:p w14:paraId="5335FFB2" w14:textId="77777777" w:rsidR="003B07BF" w:rsidRPr="00C22807" w:rsidRDefault="003B07BF" w:rsidP="003B07BF">
      <w:pPr>
        <w:pStyle w:val="Narration"/>
        <w:numPr>
          <w:ilvl w:val="1"/>
          <w:numId w:val="3"/>
        </w:numPr>
      </w:pPr>
      <w:r w:rsidRPr="00C22807">
        <w:t xml:space="preserve">The resulting construct measured 3,711.08 micrometers in length </w:t>
      </w:r>
      <w:r w:rsidRPr="00C22807">
        <w:rPr>
          <w:b/>
        </w:rPr>
        <w:t>[1]</w:t>
      </w:r>
      <w:r w:rsidRPr="00C22807">
        <w:t xml:space="preserve"> and 4,258.97 micrometers in width </w:t>
      </w:r>
      <w:r w:rsidRPr="00C22807">
        <w:rPr>
          <w:b/>
        </w:rPr>
        <w:t>[2]</w:t>
      </w:r>
      <w:r w:rsidRPr="00C22807">
        <w:t>.</w:t>
      </w:r>
    </w:p>
    <w:p w14:paraId="599F260E" w14:textId="77777777" w:rsidR="003B07BF" w:rsidRPr="00C22807" w:rsidRDefault="003B07BF" w:rsidP="003B07BF">
      <w:pPr>
        <w:pStyle w:val="ShotDescription"/>
        <w:numPr>
          <w:ilvl w:val="2"/>
          <w:numId w:val="3"/>
        </w:numPr>
        <w:rPr>
          <w:lang w:val="en-GB"/>
        </w:rPr>
      </w:pPr>
      <w:r w:rsidRPr="00C22807">
        <w:rPr>
          <w:lang w:val="en-GB"/>
        </w:rPr>
        <w:lastRenderedPageBreak/>
        <w:t>LAB MEDIA: Figure 4E. Video editor: Highlight the horizontal measurement label showing 3,711.08 micrometers.</w:t>
      </w:r>
    </w:p>
    <w:p w14:paraId="4983D17C" w14:textId="77777777" w:rsidR="003B07BF" w:rsidRPr="00C22807" w:rsidRDefault="003B07BF" w:rsidP="003B07BF">
      <w:pPr>
        <w:pStyle w:val="ShotDescription"/>
        <w:numPr>
          <w:ilvl w:val="2"/>
          <w:numId w:val="3"/>
        </w:numPr>
      </w:pPr>
      <w:r w:rsidRPr="00C22807">
        <w:rPr>
          <w:lang w:val="en-GB"/>
        </w:rPr>
        <w:t>LAB MEDIA: Figure 4E. Video editor: Highlight the vertical measurement label showing 4,258.97 micrometers.</w:t>
      </w:r>
    </w:p>
    <w:p w14:paraId="2A0085A3" w14:textId="61085930" w:rsidR="00495959" w:rsidRPr="00B07A3B" w:rsidRDefault="00495959" w:rsidP="003B07BF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CC15ABE" w14:textId="77777777" w:rsidR="004F6CCB" w:rsidRDefault="004F6CCB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BB452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B452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BB452C">
        <w:rPr>
          <w:rFonts w:ascii="Calibri" w:hAnsi="Calibri" w:cs="Calibri"/>
          <w:color w:val="000000"/>
          <w:highlight w:val="yellow"/>
        </w:rPr>
        <w:t xml:space="preserve">screen capture videos of the shots labeled as SCREEN, </w:t>
      </w:r>
      <w:r>
        <w:rPr>
          <w:rFonts w:ascii="Calibri" w:hAnsi="Calibri" w:cs="Calibri"/>
          <w:color w:val="000000"/>
          <w:highlight w:val="yellow"/>
        </w:rPr>
        <w:t>write</w:t>
      </w:r>
      <w:r w:rsidRPr="00BB452C">
        <w:rPr>
          <w:rFonts w:ascii="Calibri" w:hAnsi="Calibri" w:cs="Calibri"/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rFonts w:ascii="Calibri" w:hAnsi="Calibri" w:cs="Calibri"/>
          <w:color w:val="000000"/>
          <w:highlight w:val="yellow"/>
        </w:rPr>
        <w:t xml:space="preserve">as </w:t>
      </w:r>
      <w:r w:rsidRPr="00F92DDD">
        <w:rPr>
          <w:rFonts w:ascii="Calibri" w:hAnsi="Calibri" w:cs="Calibri"/>
          <w:color w:val="000000"/>
          <w:highlight w:val="yellow"/>
        </w:rPr>
        <w:t>possible</w:t>
      </w:r>
      <w:bookmarkEnd w:id="6"/>
      <w:r w:rsidRPr="00F92DDD">
        <w:rPr>
          <w:rFonts w:ascii="Calibri" w:hAnsi="Calibri" w:cs="Calibri"/>
          <w:b/>
          <w:bCs/>
          <w:color w:val="000000"/>
        </w:rPr>
        <w:t xml:space="preserve">: </w:t>
      </w:r>
      <w:bookmarkEnd w:id="7"/>
    </w:p>
    <w:p w14:paraId="2A47722B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p w14:paraId="36E44423" w14:textId="77777777" w:rsidR="00084C9A" w:rsidRPr="009D12C2" w:rsidRDefault="00084C9A" w:rsidP="00084C9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8"/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lastRenderedPageBreak/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9"/>
    </w:p>
    <w:bookmarkEnd w:id="10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F1134" w14:textId="77777777" w:rsidR="0012105B" w:rsidRDefault="0012105B">
      <w:r>
        <w:separator/>
      </w:r>
    </w:p>
    <w:p w14:paraId="0BF3D568" w14:textId="77777777" w:rsidR="0012105B" w:rsidRDefault="0012105B"/>
  </w:endnote>
  <w:endnote w:type="continuationSeparator" w:id="0">
    <w:p w14:paraId="771A8C56" w14:textId="77777777" w:rsidR="0012105B" w:rsidRDefault="0012105B">
      <w:r>
        <w:continuationSeparator/>
      </w:r>
    </w:p>
    <w:p w14:paraId="5086C630" w14:textId="77777777" w:rsidR="0012105B" w:rsidRDefault="001210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7B41B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E22B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D196" w14:textId="77777777" w:rsidR="0012105B" w:rsidRDefault="0012105B">
      <w:r>
        <w:separator/>
      </w:r>
    </w:p>
    <w:p w14:paraId="283D3F63" w14:textId="77777777" w:rsidR="0012105B" w:rsidRDefault="0012105B"/>
  </w:footnote>
  <w:footnote w:type="continuationSeparator" w:id="0">
    <w:p w14:paraId="5B6CD874" w14:textId="77777777" w:rsidR="0012105B" w:rsidRDefault="0012105B">
      <w:r>
        <w:continuationSeparator/>
      </w:r>
    </w:p>
    <w:p w14:paraId="79B8C4FC" w14:textId="77777777" w:rsidR="0012105B" w:rsidRDefault="001210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05B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33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7BF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22B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077FF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22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22B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22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22B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E22B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22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30094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C36B47A407E4153A13E8A39BE874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457AD-481D-4714-87A8-199983E7F081}"/>
      </w:docPartPr>
      <w:docPartBody>
        <w:p w:rsidR="00000000" w:rsidRDefault="00EC64BA" w:rsidP="00EC64BA">
          <w:pPr>
            <w:pStyle w:val="CC36B47A407E4153A13E8A39BE8742E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741C06978E848D3BC6C7F2568252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66959-EC76-4712-BEC5-C9A3F28F21D3}"/>
      </w:docPartPr>
      <w:docPartBody>
        <w:p w:rsidR="00000000" w:rsidRDefault="00EC64BA" w:rsidP="00EC64BA">
          <w:pPr>
            <w:pStyle w:val="2741C06978E848D3BC6C7F25682528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3ECCBC4B8E04B71BC934114FA9BA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E1CEF-D45D-40FA-A13A-1C408C87061D}"/>
      </w:docPartPr>
      <w:docPartBody>
        <w:p w:rsidR="00000000" w:rsidRDefault="00EC64BA" w:rsidP="00EC64BA">
          <w:pPr>
            <w:pStyle w:val="C3ECCBC4B8E04B71BC934114FA9BA4C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1D7E6C5BD714CB1A5714DD7B1B34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A618E-6C42-4755-B652-5B2408596033}"/>
      </w:docPartPr>
      <w:docPartBody>
        <w:p w:rsidR="00000000" w:rsidRDefault="00EC64BA" w:rsidP="00EC64BA">
          <w:pPr>
            <w:pStyle w:val="C1D7E6C5BD714CB1A5714DD7B1B34EA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363A8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077FF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C64BA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36B47A407E4153A13E8A39BE8742EF">
    <w:name w:val="CC36B47A407E4153A13E8A39BE8742EF"/>
    <w:rsid w:val="00EC64B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741C06978E848D3BC6C7F2568252825">
    <w:name w:val="2741C06978E848D3BC6C7F2568252825"/>
    <w:rsid w:val="00EC64B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3ECCBC4B8E04B71BC934114FA9BA4CF">
    <w:name w:val="C3ECCBC4B8E04B71BC934114FA9BA4CF"/>
    <w:rsid w:val="00EC64B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D7E6C5BD714CB1A5714DD7B1B34EA7">
    <w:name w:val="C1D7E6C5BD714CB1A5714DD7B1B34EA7"/>
    <w:rsid w:val="00EC64B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16</Pages>
  <Words>3609</Words>
  <Characters>20576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24137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2026-06-21T20:30:00Z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