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FBDD0" w14:textId="77777777" w:rsidR="0006118E" w:rsidRPr="00AA3A03" w:rsidRDefault="00F44AA8" w:rsidP="00AA3A03">
      <w:pPr>
        <w:pBdr>
          <w:top w:val="nil"/>
          <w:left w:val="nil"/>
          <w:bottom w:val="nil"/>
          <w:right w:val="nil"/>
          <w:between w:val="nil"/>
        </w:pBdr>
        <w:rPr>
          <w:b/>
        </w:rPr>
      </w:pPr>
      <w:r w:rsidRPr="00AA3A03">
        <w:rPr>
          <w:b/>
        </w:rPr>
        <w:t>TITLE:</w:t>
      </w:r>
    </w:p>
    <w:p w14:paraId="5F94C74A" w14:textId="7BD845EA" w:rsidR="00BB7904" w:rsidRPr="00AA3A03" w:rsidRDefault="00F44AA8" w:rsidP="00AA3A03">
      <w:pPr>
        <w:rPr>
          <w:b/>
        </w:rPr>
      </w:pPr>
      <w:r w:rsidRPr="00AA3A03">
        <w:rPr>
          <w:rStyle w:val="Textoennegrita"/>
          <w:b w:val="0"/>
        </w:rPr>
        <w:t>Thermal Evaluation of Microbial Consortia for Drought Tolerance in Lettuce</w:t>
      </w:r>
    </w:p>
    <w:p w14:paraId="038DBDDB" w14:textId="77777777" w:rsidR="00BB7904" w:rsidRPr="00AA3A03" w:rsidRDefault="00BB7904" w:rsidP="00AA3A03">
      <w:pPr>
        <w:rPr>
          <w:b/>
        </w:rPr>
      </w:pPr>
    </w:p>
    <w:p w14:paraId="28EC465A" w14:textId="77777777" w:rsidR="0006118E" w:rsidRPr="00AA3A03" w:rsidRDefault="00F44AA8" w:rsidP="00AA3A03">
      <w:pPr>
        <w:rPr>
          <w:b/>
          <w:lang w:val="es-MX"/>
        </w:rPr>
      </w:pPr>
      <w:r w:rsidRPr="00AA3A03">
        <w:rPr>
          <w:b/>
          <w:lang w:val="es-MX"/>
        </w:rPr>
        <w:t>AUTHORS AND AFFILIATIONS:</w:t>
      </w:r>
    </w:p>
    <w:p w14:paraId="0E4010B1" w14:textId="48977AD6" w:rsidR="00CA1797" w:rsidRPr="00AA3A03" w:rsidRDefault="00F44AA8" w:rsidP="00AA3A03">
      <w:pPr>
        <w:rPr>
          <w:lang w:val="es-MX"/>
        </w:rPr>
      </w:pPr>
      <w:r w:rsidRPr="00AA3A03">
        <w:rPr>
          <w:lang w:val="es-MX"/>
        </w:rPr>
        <w:t>Blanca C</w:t>
      </w:r>
      <w:r w:rsidR="00692631" w:rsidRPr="00AA3A03">
        <w:rPr>
          <w:lang w:val="es-MX"/>
        </w:rPr>
        <w:t>ecilia</w:t>
      </w:r>
      <w:r w:rsidRPr="00AA3A03">
        <w:rPr>
          <w:lang w:val="es-MX"/>
        </w:rPr>
        <w:t xml:space="preserve"> López Ramírez</w:t>
      </w:r>
      <w:r w:rsidRPr="00AA3A03">
        <w:rPr>
          <w:vertAlign w:val="superscript"/>
          <w:lang w:val="es-MX"/>
        </w:rPr>
        <w:t>1</w:t>
      </w:r>
      <w:r w:rsidRPr="00AA3A03">
        <w:rPr>
          <w:lang w:val="es-MX"/>
        </w:rPr>
        <w:t>, Tania Fernanda Valtierra Arreola</w:t>
      </w:r>
      <w:r w:rsidRPr="00AA3A03">
        <w:rPr>
          <w:vertAlign w:val="superscript"/>
          <w:lang w:val="es-MX"/>
        </w:rPr>
        <w:t>2</w:t>
      </w:r>
      <w:r w:rsidRPr="00AA3A03">
        <w:rPr>
          <w:lang w:val="es-MX"/>
        </w:rPr>
        <w:t>, Georgina del Carmen Mota Valtierra</w:t>
      </w:r>
      <w:r w:rsidRPr="00AA3A03">
        <w:rPr>
          <w:vertAlign w:val="superscript"/>
          <w:lang w:val="es-MX"/>
        </w:rPr>
        <w:t>3</w:t>
      </w:r>
      <w:r w:rsidR="00FC1C61" w:rsidRPr="00FC1C61">
        <w:rPr>
          <w:lang w:val="es-MX"/>
        </w:rPr>
        <w:t>*</w:t>
      </w:r>
      <w:r w:rsidRPr="00AA3A03">
        <w:rPr>
          <w:lang w:val="es-MX"/>
        </w:rPr>
        <w:t xml:space="preserve">, </w:t>
      </w:r>
      <w:r w:rsidR="00081255" w:rsidRPr="00AA3A03">
        <w:rPr>
          <w:lang w:val="es-MX"/>
        </w:rPr>
        <w:t>Humberto Aguirre Becerra</w:t>
      </w:r>
      <w:r w:rsidR="00081255" w:rsidRPr="00AA3A03">
        <w:rPr>
          <w:vertAlign w:val="superscript"/>
          <w:lang w:val="es-MX"/>
        </w:rPr>
        <w:t>3</w:t>
      </w:r>
      <w:r w:rsidR="00081255" w:rsidRPr="00AA3A03">
        <w:rPr>
          <w:lang w:val="es-MX"/>
        </w:rPr>
        <w:t xml:space="preserve">, </w:t>
      </w:r>
      <w:r w:rsidRPr="00AA3A03">
        <w:rPr>
          <w:lang w:val="es-MX"/>
        </w:rPr>
        <w:t>Luis Ramón Sánchez Rico</w:t>
      </w:r>
      <w:r w:rsidRPr="00AA3A03">
        <w:rPr>
          <w:vertAlign w:val="superscript"/>
          <w:lang w:val="es-MX"/>
        </w:rPr>
        <w:t>1</w:t>
      </w:r>
      <w:r w:rsidRPr="00AA3A03">
        <w:rPr>
          <w:lang w:val="es-MX"/>
        </w:rPr>
        <w:t>, Luis A. Noriega González</w:t>
      </w:r>
      <w:r w:rsidRPr="00AA3A03">
        <w:rPr>
          <w:vertAlign w:val="superscript"/>
          <w:lang w:val="es-MX"/>
        </w:rPr>
        <w:t>1</w:t>
      </w:r>
      <w:r w:rsidRPr="00AA3A03">
        <w:rPr>
          <w:lang w:val="es-MX"/>
        </w:rPr>
        <w:t>, Ma. Cristina Vázquez Hernandez</w:t>
      </w:r>
      <w:r w:rsidRPr="00AA3A03">
        <w:rPr>
          <w:vertAlign w:val="superscript"/>
          <w:lang w:val="es-MX"/>
        </w:rPr>
        <w:t>1</w:t>
      </w:r>
      <w:r w:rsidRPr="00AA3A03">
        <w:rPr>
          <w:lang w:val="es-MX"/>
        </w:rPr>
        <w:t>*</w:t>
      </w:r>
    </w:p>
    <w:p w14:paraId="50B3D599" w14:textId="77777777" w:rsidR="00CA1797" w:rsidRPr="00AA3A03" w:rsidRDefault="00CA1797" w:rsidP="00AA3A03">
      <w:pPr>
        <w:rPr>
          <w:lang w:val="es-MX"/>
        </w:rPr>
      </w:pPr>
    </w:p>
    <w:p w14:paraId="7F857686" w14:textId="68DC26BD" w:rsidR="00EB4840" w:rsidRPr="00AA3A03" w:rsidRDefault="00F44AA8" w:rsidP="00AA3A03">
      <w:pPr>
        <w:rPr>
          <w:bCs/>
        </w:rPr>
      </w:pPr>
      <w:r w:rsidRPr="00AA3A03">
        <w:rPr>
          <w:bCs/>
          <w:vertAlign w:val="superscript"/>
        </w:rPr>
        <w:t>1</w:t>
      </w:r>
      <w:r w:rsidRPr="00AA3A03">
        <w:rPr>
          <w:bCs/>
        </w:rPr>
        <w:t>Mexico</w:t>
      </w:r>
      <w:r w:rsidRPr="00AA3A03">
        <w:rPr>
          <w:bCs/>
          <w:vertAlign w:val="superscript"/>
        </w:rPr>
        <w:t xml:space="preserve"> </w:t>
      </w:r>
      <w:r w:rsidRPr="00AA3A03">
        <w:rPr>
          <w:bCs/>
        </w:rPr>
        <w:t>National Technological/IT of Roque</w:t>
      </w:r>
      <w:r w:rsidR="00BE7284">
        <w:rPr>
          <w:bCs/>
        </w:rPr>
        <w:t xml:space="preserve">, </w:t>
      </w:r>
      <w:r w:rsidRPr="00AA3A03">
        <w:rPr>
          <w:bCs/>
        </w:rPr>
        <w:t>Celaya-Juventino Rosas Highway, Km. 8. Roque</w:t>
      </w:r>
      <w:r w:rsidR="008E2682">
        <w:rPr>
          <w:bCs/>
        </w:rPr>
        <w:t xml:space="preserve">, </w:t>
      </w:r>
      <w:r w:rsidRPr="00AA3A03">
        <w:rPr>
          <w:bCs/>
        </w:rPr>
        <w:t>Celaya</w:t>
      </w:r>
      <w:r w:rsidR="008E2682">
        <w:rPr>
          <w:bCs/>
        </w:rPr>
        <w:t xml:space="preserve">, </w:t>
      </w:r>
      <w:r w:rsidRPr="00AA3A03">
        <w:rPr>
          <w:bCs/>
        </w:rPr>
        <w:t>Guanajuato</w:t>
      </w:r>
      <w:r w:rsidR="008E2682">
        <w:rPr>
          <w:bCs/>
        </w:rPr>
        <w:t xml:space="preserve">, </w:t>
      </w:r>
      <w:r w:rsidRPr="00AA3A03">
        <w:rPr>
          <w:bCs/>
        </w:rPr>
        <w:t>Mexico</w:t>
      </w:r>
    </w:p>
    <w:p w14:paraId="109CBF3B" w14:textId="51145018" w:rsidR="00EB4840" w:rsidRPr="00AA3A03" w:rsidRDefault="00F44AA8" w:rsidP="00AA3A03">
      <w:pPr>
        <w:rPr>
          <w:bCs/>
        </w:rPr>
      </w:pPr>
      <w:r w:rsidRPr="00AA3A03">
        <w:rPr>
          <w:bCs/>
          <w:vertAlign w:val="superscript"/>
        </w:rPr>
        <w:t>2</w:t>
      </w:r>
      <w:r w:rsidRPr="00AA3A03">
        <w:rPr>
          <w:bCs/>
        </w:rPr>
        <w:t>Master's Degree in Engineering Sciences</w:t>
      </w:r>
      <w:r w:rsidR="00E76F79">
        <w:rPr>
          <w:bCs/>
        </w:rPr>
        <w:t xml:space="preserve">, </w:t>
      </w:r>
      <w:r w:rsidR="00B36C32" w:rsidRPr="00AA3A03">
        <w:rPr>
          <w:bCs/>
        </w:rPr>
        <w:t>Mexico</w:t>
      </w:r>
      <w:r w:rsidR="00B36C32" w:rsidRPr="00AA3A03">
        <w:rPr>
          <w:bCs/>
          <w:vertAlign w:val="superscript"/>
        </w:rPr>
        <w:t xml:space="preserve"> </w:t>
      </w:r>
      <w:r w:rsidR="00B36C32" w:rsidRPr="00AA3A03">
        <w:rPr>
          <w:bCs/>
        </w:rPr>
        <w:t>National Technological/</w:t>
      </w:r>
      <w:r w:rsidRPr="00AA3A03">
        <w:rPr>
          <w:bCs/>
        </w:rPr>
        <w:t>IT of Celaya</w:t>
      </w:r>
      <w:r w:rsidR="00E76F79">
        <w:rPr>
          <w:bCs/>
        </w:rPr>
        <w:t xml:space="preserve">, </w:t>
      </w:r>
      <w:r w:rsidRPr="00AA3A03">
        <w:rPr>
          <w:bCs/>
        </w:rPr>
        <w:t xml:space="preserve">Antonio García Cubas Pte #600/Av. </w:t>
      </w:r>
      <w:proofErr w:type="spellStart"/>
      <w:r w:rsidRPr="00AA3A03">
        <w:rPr>
          <w:bCs/>
        </w:rPr>
        <w:t>Tecnol</w:t>
      </w:r>
      <w:r w:rsidR="008E1E23" w:rsidRPr="00AA3A03">
        <w:rPr>
          <w:bCs/>
        </w:rPr>
        <w:t>ó</w:t>
      </w:r>
      <w:r w:rsidRPr="00AA3A03">
        <w:rPr>
          <w:bCs/>
        </w:rPr>
        <w:t>gico</w:t>
      </w:r>
      <w:proofErr w:type="spellEnd"/>
      <w:r w:rsidR="00E76F79">
        <w:rPr>
          <w:bCs/>
        </w:rPr>
        <w:t xml:space="preserve">, </w:t>
      </w:r>
      <w:r w:rsidRPr="00AA3A03">
        <w:rPr>
          <w:bCs/>
        </w:rPr>
        <w:t xml:space="preserve">Celaya, </w:t>
      </w:r>
      <w:proofErr w:type="spellStart"/>
      <w:r w:rsidRPr="00AA3A03">
        <w:rPr>
          <w:bCs/>
        </w:rPr>
        <w:t>Gto</w:t>
      </w:r>
      <w:proofErr w:type="spellEnd"/>
      <w:r w:rsidR="00E76F79">
        <w:rPr>
          <w:bCs/>
        </w:rPr>
        <w:t xml:space="preserve">, </w:t>
      </w:r>
      <w:r w:rsidRPr="00AA3A03">
        <w:rPr>
          <w:bCs/>
        </w:rPr>
        <w:t>Mexico</w:t>
      </w:r>
    </w:p>
    <w:p w14:paraId="55450943" w14:textId="72113A70" w:rsidR="00CA1797" w:rsidRPr="00AA3A03" w:rsidRDefault="00F44AA8" w:rsidP="00AA3A03">
      <w:pPr>
        <w:rPr>
          <w:bCs/>
        </w:rPr>
      </w:pPr>
      <w:r w:rsidRPr="00AA3A03">
        <w:rPr>
          <w:bCs/>
          <w:vertAlign w:val="superscript"/>
        </w:rPr>
        <w:t>3</w:t>
      </w:r>
      <w:r w:rsidRPr="00AA3A03">
        <w:rPr>
          <w:bCs/>
        </w:rPr>
        <w:t>Engineering</w:t>
      </w:r>
      <w:r w:rsidR="00B36C32" w:rsidRPr="00AA3A03">
        <w:rPr>
          <w:bCs/>
        </w:rPr>
        <w:t xml:space="preserve"> Faculty of the</w:t>
      </w:r>
      <w:r w:rsidRPr="00AA3A03">
        <w:rPr>
          <w:bCs/>
        </w:rPr>
        <w:t xml:space="preserve"> Autonomous University of Querétaro. Av. Cerro de las Campanas s/n. Santiago de Querétaro</w:t>
      </w:r>
      <w:r w:rsidR="00E76F79">
        <w:rPr>
          <w:bCs/>
        </w:rPr>
        <w:t xml:space="preserve">, </w:t>
      </w:r>
      <w:r w:rsidRPr="00AA3A03">
        <w:rPr>
          <w:bCs/>
        </w:rPr>
        <w:t>Querétaro</w:t>
      </w:r>
      <w:r w:rsidR="00E76F79">
        <w:rPr>
          <w:bCs/>
        </w:rPr>
        <w:t xml:space="preserve">, </w:t>
      </w:r>
      <w:r w:rsidRPr="00AA3A03">
        <w:rPr>
          <w:bCs/>
        </w:rPr>
        <w:t>Mexico</w:t>
      </w:r>
    </w:p>
    <w:p w14:paraId="6860E48B" w14:textId="77777777" w:rsidR="00EB4840" w:rsidRPr="00AA3A03" w:rsidRDefault="00EB4840" w:rsidP="00AA3A03">
      <w:pPr>
        <w:rPr>
          <w:bCs/>
        </w:rPr>
      </w:pPr>
    </w:p>
    <w:p w14:paraId="1113DCDE" w14:textId="20B8CFB6" w:rsidR="000737CC" w:rsidRPr="00AA3A03" w:rsidRDefault="00F44AA8" w:rsidP="00AA3A03">
      <w:pPr>
        <w:rPr>
          <w:bCs/>
        </w:rPr>
      </w:pPr>
      <w:r w:rsidRPr="00AA3A03">
        <w:rPr>
          <w:bCs/>
        </w:rPr>
        <w:t>Email addresses of the co-authors:</w:t>
      </w:r>
    </w:p>
    <w:p w14:paraId="3BF6E785" w14:textId="6506CD21" w:rsidR="00B859A7" w:rsidRPr="00AA3A03" w:rsidRDefault="00F44AA8" w:rsidP="00AA3A03">
      <w:pPr>
        <w:rPr>
          <w:lang w:val="es-MX"/>
        </w:rPr>
      </w:pPr>
      <w:r w:rsidRPr="00AA3A03">
        <w:rPr>
          <w:lang w:val="es-MX"/>
        </w:rPr>
        <w:t xml:space="preserve">Blanca </w:t>
      </w:r>
      <w:r w:rsidR="007C045C" w:rsidRPr="00AA3A03">
        <w:rPr>
          <w:lang w:val="es-MX"/>
        </w:rPr>
        <w:t xml:space="preserve">Cecilia </w:t>
      </w:r>
      <w:r w:rsidRPr="00AA3A03">
        <w:rPr>
          <w:lang w:val="es-MX"/>
        </w:rPr>
        <w:t>López</w:t>
      </w:r>
      <w:r w:rsidR="007C045C" w:rsidRPr="00AA3A03">
        <w:rPr>
          <w:lang w:val="es-MX"/>
        </w:rPr>
        <w:t xml:space="preserve"> Ramírez</w:t>
      </w:r>
      <w:r w:rsidR="00014D05" w:rsidRPr="00AA3A03">
        <w:rPr>
          <w:lang w:val="es-MX"/>
        </w:rPr>
        <w:tab/>
      </w:r>
      <w:r w:rsidR="00014D05" w:rsidRPr="00AA3A03">
        <w:rPr>
          <w:lang w:val="es-MX"/>
        </w:rPr>
        <w:tab/>
      </w:r>
      <w:r w:rsidR="007C045C" w:rsidRPr="00AA3A03">
        <w:rPr>
          <w:lang w:val="es-MX"/>
        </w:rPr>
        <w:tab/>
      </w:r>
      <w:r w:rsidR="00014D05" w:rsidRPr="00AA3A03">
        <w:rPr>
          <w:lang w:val="es-MX"/>
        </w:rPr>
        <w:t>(</w:t>
      </w:r>
      <w:hyperlink r:id="rId8" w:history="1">
        <w:r w:rsidR="00014D05" w:rsidRPr="00AA3A03">
          <w:rPr>
            <w:rStyle w:val="Hipervnculo"/>
            <w:lang w:val="es-MX"/>
          </w:rPr>
          <w:t>blanca.lr@roque.tecnm.mx</w:t>
        </w:r>
      </w:hyperlink>
      <w:r w:rsidR="00014D05" w:rsidRPr="00AA3A03">
        <w:t>)</w:t>
      </w:r>
    </w:p>
    <w:p w14:paraId="29EBFCF6" w14:textId="64DE6FCB" w:rsidR="00B36C32" w:rsidRPr="00AA3A03" w:rsidRDefault="00F44AA8" w:rsidP="00AA3A03">
      <w:pPr>
        <w:rPr>
          <w:lang w:val="es-MX"/>
        </w:rPr>
      </w:pPr>
      <w:r w:rsidRPr="00AA3A03">
        <w:rPr>
          <w:lang w:val="es-MX"/>
        </w:rPr>
        <w:t xml:space="preserve">Tania </w:t>
      </w:r>
      <w:r w:rsidR="007C045C" w:rsidRPr="00AA3A03">
        <w:rPr>
          <w:lang w:val="es-MX"/>
        </w:rPr>
        <w:t xml:space="preserve">Fernanda </w:t>
      </w:r>
      <w:r w:rsidRPr="00AA3A03">
        <w:rPr>
          <w:lang w:val="es-MX"/>
        </w:rPr>
        <w:t>Valtierra</w:t>
      </w:r>
      <w:r w:rsidR="007C045C" w:rsidRPr="00AA3A03">
        <w:rPr>
          <w:lang w:val="es-MX"/>
        </w:rPr>
        <w:t xml:space="preserve"> Arreola</w:t>
      </w:r>
      <w:r w:rsidRPr="00AA3A03">
        <w:rPr>
          <w:lang w:val="es-MX"/>
        </w:rPr>
        <w:tab/>
      </w:r>
      <w:r w:rsidR="007C045C" w:rsidRPr="00AA3A03">
        <w:rPr>
          <w:lang w:val="es-MX"/>
        </w:rPr>
        <w:tab/>
      </w:r>
      <w:r w:rsidRPr="00AA3A03">
        <w:rPr>
          <w:lang w:val="es-MX"/>
        </w:rPr>
        <w:t>(</w:t>
      </w:r>
      <w:hyperlink r:id="rId9" w:history="1">
        <w:r w:rsidRPr="00AA3A03">
          <w:rPr>
            <w:rStyle w:val="Hipervnculo"/>
          </w:rPr>
          <w:t>m2403089@itcelaya.edu.mx</w:t>
        </w:r>
      </w:hyperlink>
      <w:r w:rsidRPr="00AA3A03">
        <w:t>)</w:t>
      </w:r>
    </w:p>
    <w:p w14:paraId="1B12A351" w14:textId="1757E9E3" w:rsidR="00081255" w:rsidRPr="00AA3A03" w:rsidRDefault="00F44AA8" w:rsidP="00AA3A03">
      <w:r w:rsidRPr="00AA3A03">
        <w:t>Humberto Aguirre</w:t>
      </w:r>
      <w:r w:rsidR="007C045C" w:rsidRPr="00AA3A03">
        <w:t xml:space="preserve"> Becerra</w:t>
      </w:r>
      <w:r w:rsidRPr="00AA3A03">
        <w:tab/>
      </w:r>
      <w:r w:rsidRPr="00AA3A03">
        <w:tab/>
      </w:r>
      <w:r w:rsidR="007C045C" w:rsidRPr="00AA3A03">
        <w:tab/>
        <w:t>(</w:t>
      </w:r>
      <w:hyperlink r:id="rId10" w:history="1">
        <w:r w:rsidRPr="00AA3A03">
          <w:rPr>
            <w:rStyle w:val="Hipervnculo"/>
          </w:rPr>
          <w:t>humberto.aguirreb@uaq.mx</w:t>
        </w:r>
      </w:hyperlink>
      <w:r w:rsidRPr="00AA3A03">
        <w:t>)</w:t>
      </w:r>
    </w:p>
    <w:p w14:paraId="1B56189A" w14:textId="2082F809" w:rsidR="00014D05" w:rsidRPr="00AA3A03" w:rsidRDefault="00F44AA8" w:rsidP="00AA3A03">
      <w:pPr>
        <w:rPr>
          <w:lang w:val="es-MX"/>
        </w:rPr>
      </w:pPr>
      <w:r w:rsidRPr="00AA3A03">
        <w:rPr>
          <w:lang w:val="es-MX"/>
        </w:rPr>
        <w:t xml:space="preserve">Luis </w:t>
      </w:r>
      <w:r w:rsidR="007C045C" w:rsidRPr="00AA3A03">
        <w:rPr>
          <w:lang w:val="es-MX"/>
        </w:rPr>
        <w:t xml:space="preserve">Ramón </w:t>
      </w:r>
      <w:r w:rsidR="00B56C13" w:rsidRPr="00AA3A03">
        <w:rPr>
          <w:lang w:val="es-MX"/>
        </w:rPr>
        <w:t>Sánchez</w:t>
      </w:r>
      <w:r w:rsidR="007C045C" w:rsidRPr="00AA3A03">
        <w:rPr>
          <w:lang w:val="es-MX"/>
        </w:rPr>
        <w:t xml:space="preserve"> Rico</w:t>
      </w:r>
      <w:r w:rsidR="00604E20" w:rsidRPr="00AA3A03">
        <w:rPr>
          <w:lang w:val="es-MX"/>
        </w:rPr>
        <w:tab/>
      </w:r>
      <w:r w:rsidR="00604E20" w:rsidRPr="00AA3A03">
        <w:rPr>
          <w:lang w:val="es-MX"/>
        </w:rPr>
        <w:tab/>
      </w:r>
      <w:r w:rsidR="007C045C" w:rsidRPr="00AA3A03">
        <w:rPr>
          <w:lang w:val="es-MX"/>
        </w:rPr>
        <w:tab/>
      </w:r>
      <w:r w:rsidR="00604E20" w:rsidRPr="00AA3A03">
        <w:rPr>
          <w:lang w:val="es-MX"/>
        </w:rPr>
        <w:t>(</w:t>
      </w:r>
      <w:hyperlink r:id="rId11" w:history="1">
        <w:r w:rsidR="00604E20" w:rsidRPr="00AA3A03">
          <w:rPr>
            <w:rStyle w:val="Hipervnculo"/>
            <w:lang w:val="es-MX"/>
          </w:rPr>
          <w:t>luis.sr@roque.tecnm.mx</w:t>
        </w:r>
      </w:hyperlink>
      <w:r w:rsidR="00604E20" w:rsidRPr="00AA3A03">
        <w:t>)</w:t>
      </w:r>
    </w:p>
    <w:p w14:paraId="5642C521" w14:textId="5499EF6C" w:rsidR="00B859A7" w:rsidRPr="00AA3A03" w:rsidRDefault="00F44AA8" w:rsidP="00AA3A03">
      <w:pPr>
        <w:rPr>
          <w:lang w:val="es-MX"/>
        </w:rPr>
      </w:pPr>
      <w:r w:rsidRPr="00AA3A03">
        <w:rPr>
          <w:lang w:val="es-MX"/>
        </w:rPr>
        <w:t xml:space="preserve">Luis </w:t>
      </w:r>
      <w:r w:rsidR="007C045C" w:rsidRPr="00AA3A03">
        <w:rPr>
          <w:lang w:val="es-MX"/>
        </w:rPr>
        <w:t xml:space="preserve">Alberto </w:t>
      </w:r>
      <w:r w:rsidRPr="00AA3A03">
        <w:rPr>
          <w:lang w:val="es-MX"/>
        </w:rPr>
        <w:t>Noriega</w:t>
      </w:r>
      <w:r w:rsidR="007C045C" w:rsidRPr="00AA3A03">
        <w:rPr>
          <w:lang w:val="es-MX"/>
        </w:rPr>
        <w:t xml:space="preserve"> González</w:t>
      </w:r>
      <w:r w:rsidR="00EC0BC1" w:rsidRPr="00AA3A03">
        <w:rPr>
          <w:lang w:val="es-MX"/>
        </w:rPr>
        <w:tab/>
      </w:r>
      <w:r w:rsidR="00EC0BC1" w:rsidRPr="00AA3A03">
        <w:rPr>
          <w:lang w:val="es-MX"/>
        </w:rPr>
        <w:tab/>
        <w:t>(</w:t>
      </w:r>
      <w:hyperlink r:id="rId12" w:history="1">
        <w:r w:rsidR="00EC0BC1" w:rsidRPr="00AA3A03">
          <w:rPr>
            <w:rStyle w:val="Hipervnculo"/>
            <w:lang w:val="es-MX"/>
          </w:rPr>
          <w:t>luis.ng@roque.tecnm.mx</w:t>
        </w:r>
      </w:hyperlink>
      <w:r w:rsidR="00EC0BC1" w:rsidRPr="00AA3A03">
        <w:rPr>
          <w:lang w:val="es-MX"/>
        </w:rPr>
        <w:t>)</w:t>
      </w:r>
    </w:p>
    <w:p w14:paraId="3160314A" w14:textId="77777777" w:rsidR="00020C5E" w:rsidRPr="00AA3A03" w:rsidRDefault="00020C5E" w:rsidP="00AA3A03"/>
    <w:p w14:paraId="3EE4F35B" w14:textId="5F76DD68" w:rsidR="00020C5E" w:rsidRPr="00AA3A03" w:rsidRDefault="00F44AA8" w:rsidP="00AA3A03">
      <w:r w:rsidRPr="00AA3A03">
        <w:t>*Corresponding author</w:t>
      </w:r>
      <w:r w:rsidR="00FC1C61">
        <w:t>s</w:t>
      </w:r>
      <w:r w:rsidRPr="00AA3A03">
        <w:t xml:space="preserve">: </w:t>
      </w:r>
    </w:p>
    <w:p w14:paraId="7058CE29" w14:textId="04F5DE1F" w:rsidR="00020C5E" w:rsidRPr="00AA3A03" w:rsidRDefault="00F44AA8" w:rsidP="00AA3A03">
      <w:pPr>
        <w:rPr>
          <w:bCs/>
        </w:rPr>
      </w:pPr>
      <w:r w:rsidRPr="00AA3A03">
        <w:rPr>
          <w:lang w:val="es-MX"/>
        </w:rPr>
        <w:t>Ma. Cristina Vázquez Hernández</w:t>
      </w:r>
      <w:r w:rsidRPr="00AA3A03">
        <w:rPr>
          <w:lang w:val="es-MX"/>
        </w:rPr>
        <w:tab/>
      </w:r>
      <w:r w:rsidRPr="00AA3A03">
        <w:rPr>
          <w:lang w:val="es-MX"/>
        </w:rPr>
        <w:tab/>
        <w:t>(</w:t>
      </w:r>
      <w:hyperlink r:id="rId13" w:history="1">
        <w:r w:rsidRPr="00AA3A03">
          <w:rPr>
            <w:rStyle w:val="Hipervnculo"/>
          </w:rPr>
          <w:t>ma.vh@roque.tecnm.mx</w:t>
        </w:r>
      </w:hyperlink>
      <w:r w:rsidRPr="00AA3A03">
        <w:t>)</w:t>
      </w:r>
    </w:p>
    <w:p w14:paraId="1F845163" w14:textId="6BE8D4E5" w:rsidR="00B859A7" w:rsidRPr="00AA3A03" w:rsidRDefault="00F44AA8" w:rsidP="00AA3A03">
      <w:pPr>
        <w:rPr>
          <w:bCs/>
        </w:rPr>
      </w:pPr>
      <w:r w:rsidRPr="00AA3A03">
        <w:rPr>
          <w:lang w:val="es-MX"/>
        </w:rPr>
        <w:t>Georgina del Carmen Mota Valtierra</w:t>
      </w:r>
      <w:r w:rsidRPr="00AA3A03">
        <w:rPr>
          <w:lang w:val="es-MX"/>
        </w:rPr>
        <w:tab/>
        <w:t>(</w:t>
      </w:r>
      <w:hyperlink r:id="rId14" w:history="1">
        <w:r w:rsidRPr="00AA3A03">
          <w:rPr>
            <w:rStyle w:val="Hipervnculo"/>
            <w:lang w:val="es-MX"/>
          </w:rPr>
          <w:t>georgina.mota@uaq.mx</w:t>
        </w:r>
      </w:hyperlink>
      <w:r w:rsidRPr="00AA3A03">
        <w:t>)</w:t>
      </w:r>
    </w:p>
    <w:p w14:paraId="4138BACD" w14:textId="77777777" w:rsidR="008E1E23" w:rsidRPr="00AA3A03" w:rsidRDefault="008E1E23" w:rsidP="00AA3A03">
      <w:pPr>
        <w:rPr>
          <w:bCs/>
        </w:rPr>
      </w:pPr>
    </w:p>
    <w:p w14:paraId="4BA82171" w14:textId="77777777" w:rsidR="0006118E" w:rsidRPr="00AA3A03" w:rsidRDefault="00F44AA8" w:rsidP="00AA3A03">
      <w:r w:rsidRPr="00AA3A03">
        <w:rPr>
          <w:b/>
        </w:rPr>
        <w:t>SUMMARY:</w:t>
      </w:r>
    </w:p>
    <w:p w14:paraId="314B72DB" w14:textId="50F9B724" w:rsidR="0006118E" w:rsidRPr="00AA3A03" w:rsidRDefault="00F44AA8" w:rsidP="00AA3A03">
      <w:pPr>
        <w:shd w:val="clear" w:color="auto" w:fill="FFFFFF" w:themeFill="background1"/>
      </w:pPr>
      <w:r w:rsidRPr="00AA3A03">
        <w:t>This study demonstrates that microbial inoculants, particularly a 67-strain consortium</w:t>
      </w:r>
      <w:r w:rsidR="0064738C" w:rsidRPr="00AA3A03">
        <w:t>,</w:t>
      </w:r>
      <w:r w:rsidRPr="00AA3A03">
        <w:t xml:space="preserve"> mitigate water stress in </w:t>
      </w:r>
      <w:r w:rsidRPr="00AA3A03">
        <w:rPr>
          <w:i/>
          <w:iCs/>
        </w:rPr>
        <w:t>Lactuca sativa</w:t>
      </w:r>
      <w:r w:rsidRPr="00AA3A03">
        <w:t xml:space="preserve"> by acting as physiological buffers. Using infrared thermography and the Crop Water Stress Index (CWSI), we quantified how microbial-mediated Induced Systemic Tolerance (IST) maintains </w:t>
      </w:r>
      <w:proofErr w:type="spellStart"/>
      <w:r w:rsidRPr="00AA3A03">
        <w:t>transpirational</w:t>
      </w:r>
      <w:proofErr w:type="spellEnd"/>
      <w:r w:rsidRPr="00AA3A03">
        <w:t xml:space="preserve"> cooling and prevents homeostatic collapse under severe water deficit</w:t>
      </w:r>
      <w:r w:rsidR="0079590C" w:rsidRPr="00AA3A03">
        <w:t>.</w:t>
      </w:r>
    </w:p>
    <w:p w14:paraId="16420F25" w14:textId="77777777" w:rsidR="00B63C78" w:rsidRPr="00AA3A03" w:rsidRDefault="00B63C78" w:rsidP="00AA3A03">
      <w:pPr>
        <w:rPr>
          <w:b/>
        </w:rPr>
      </w:pPr>
    </w:p>
    <w:p w14:paraId="36820477" w14:textId="77777777" w:rsidR="0006118E" w:rsidRPr="00AA3A03" w:rsidRDefault="00F44AA8" w:rsidP="00AA3A03">
      <w:pPr>
        <w:rPr>
          <w:b/>
        </w:rPr>
      </w:pPr>
      <w:r w:rsidRPr="00AA3A03">
        <w:rPr>
          <w:b/>
        </w:rPr>
        <w:t>ABSTRACT:</w:t>
      </w:r>
    </w:p>
    <w:p w14:paraId="0A50875B" w14:textId="16BCBF70" w:rsidR="00AD4E8F" w:rsidRPr="00AA3A03" w:rsidRDefault="00F44AA8" w:rsidP="00AA3A03">
      <w:r w:rsidRPr="00AA3A03">
        <w:t xml:space="preserve">Increased water scarcity </w:t>
      </w:r>
      <w:r w:rsidR="002A1AF6" w:rsidRPr="00AA3A03">
        <w:t>represents</w:t>
      </w:r>
      <w:r w:rsidRPr="00AA3A03">
        <w:t xml:space="preserve"> a significant threat to global lettuce production, reducing crop quality and yield. While producers often resort to overfertilization to mitigate water stress, biological alternatives </w:t>
      </w:r>
      <w:r w:rsidR="005D0446" w:rsidRPr="00AA3A03">
        <w:t>such as</w:t>
      </w:r>
      <w:r w:rsidRPr="00AA3A03">
        <w:t xml:space="preserve"> microbial inoculants offer a more sustainable approach. This study evaluated the effectiveness of a 67-strain microbial consortium and a </w:t>
      </w:r>
      <w:proofErr w:type="spellStart"/>
      <w:r w:rsidRPr="00AA3A03">
        <w:rPr>
          <w:i/>
          <w:iCs/>
        </w:rPr>
        <w:t>Trichoderma</w:t>
      </w:r>
      <w:proofErr w:type="spellEnd"/>
      <w:r w:rsidRPr="00AA3A03">
        <w:rPr>
          <w:i/>
          <w:iCs/>
        </w:rPr>
        <w:t xml:space="preserve"> </w:t>
      </w:r>
      <w:proofErr w:type="spellStart"/>
      <w:r w:rsidRPr="00AA3A03">
        <w:rPr>
          <w:i/>
          <w:iCs/>
        </w:rPr>
        <w:t>harzianum</w:t>
      </w:r>
      <w:proofErr w:type="spellEnd"/>
      <w:r w:rsidRPr="00AA3A03">
        <w:t xml:space="preserve"> isolate in enhancing water stress tolerance in </w:t>
      </w:r>
      <w:r w:rsidR="0006087F" w:rsidRPr="00AA3A03">
        <w:t>Romaine</w:t>
      </w:r>
      <w:r w:rsidRPr="00AA3A03">
        <w:t xml:space="preserve"> lettuce (</w:t>
      </w:r>
      <w:r w:rsidRPr="00AA3A03">
        <w:rPr>
          <w:i/>
          <w:iCs/>
        </w:rPr>
        <w:t>Lactuca sativa</w:t>
      </w:r>
      <w:r w:rsidRPr="00AA3A03">
        <w:t xml:space="preserve"> var. </w:t>
      </w:r>
      <w:proofErr w:type="spellStart"/>
      <w:r w:rsidRPr="00AA3A03">
        <w:t>Paspartu</w:t>
      </w:r>
      <w:proofErr w:type="spellEnd"/>
      <w:r w:rsidRPr="00AA3A03">
        <w:t xml:space="preserve">) under controlled conditions. Nine treatments were established, combining microbial inoculation with three irrigation levels (50%, 75%, and 100% of evapotranspiration). Crop water status was monitored using infrared thermography to calculate the Crop Water Stress Index (CWSI) </w:t>
      </w:r>
      <w:r w:rsidR="005D0446" w:rsidRPr="00AA3A03">
        <w:t>from fluctuations in</w:t>
      </w:r>
      <w:r w:rsidRPr="00AA3A03">
        <w:t xml:space="preserve"> canopy temperature (Tc).</w:t>
      </w:r>
      <w:r w:rsidR="001B7819" w:rsidRPr="00AA3A03">
        <w:t xml:space="preserve"> </w:t>
      </w:r>
      <w:r w:rsidRPr="00AA3A03">
        <w:t>The statistical analysis (ANOVA) of the CWSI showed no global</w:t>
      </w:r>
      <w:r w:rsidR="005D0446" w:rsidRPr="00AA3A03">
        <w:t>ly</w:t>
      </w:r>
      <w:r w:rsidRPr="00AA3A03">
        <w:t xml:space="preserve"> significant differences between treatments (F = 0.67,</w:t>
      </w:r>
      <w:r w:rsidRPr="00AA3A03">
        <w:rPr>
          <w:i/>
        </w:rPr>
        <w:t xml:space="preserve"> p</w:t>
      </w:r>
      <w:r w:rsidRPr="00AA3A03">
        <w:t xml:space="preserve"> = 0.778); however, distinct </w:t>
      </w:r>
      <w:r w:rsidRPr="00AA3A03">
        <w:lastRenderedPageBreak/>
        <w:t>numerical trends were observed during peak thermal stress events. Under severe water deficit (50% irrigation), plants inoculated with the microbial consortium maintained lower CWSI values (averaging 0.38) compared to non-inoculated controls, which reached maximum stress thresholds (CWSI = 1.0). Furthermore, microbial treatments demonstrated a faster thermal recovery following acute stress periods. These results suggest that while global variance is high, microbial consortia function as physiological buffers that enhance transpiration efficiency. Infrared thermography proved to be a precise, non-destructive tool for early detection of water stress. This study highlights the potential of beneficial microorganisms to improve crop resilience and provides a standardized protocol for thermal evaluation in horticultural research.</w:t>
      </w:r>
    </w:p>
    <w:p w14:paraId="092288C5" w14:textId="77777777" w:rsidR="0006118E" w:rsidRPr="00AA3A03" w:rsidRDefault="0006118E" w:rsidP="00AA3A03"/>
    <w:p w14:paraId="0CE5AF95" w14:textId="77777777" w:rsidR="0006118E" w:rsidRPr="00AA3A03" w:rsidRDefault="00F44AA8" w:rsidP="00AA3A03">
      <w:pPr>
        <w:rPr>
          <w:b/>
        </w:rPr>
      </w:pPr>
      <w:r w:rsidRPr="00AA3A03">
        <w:rPr>
          <w:b/>
        </w:rPr>
        <w:t>INTRODUCTION:</w:t>
      </w:r>
    </w:p>
    <w:p w14:paraId="145590DB" w14:textId="2C0BC25D" w:rsidR="00F56012" w:rsidRPr="00AA3A03" w:rsidRDefault="00F44AA8" w:rsidP="00AA3A03">
      <w:pPr>
        <w:pBdr>
          <w:top w:val="nil"/>
          <w:left w:val="nil"/>
          <w:bottom w:val="nil"/>
          <w:right w:val="nil"/>
          <w:between w:val="nil"/>
        </w:pBdr>
      </w:pPr>
      <w:r w:rsidRPr="00AA3A03">
        <w:t>Lettuce (</w:t>
      </w:r>
      <w:r w:rsidRPr="00AA3A03">
        <w:rPr>
          <w:i/>
          <w:iCs/>
        </w:rPr>
        <w:t>Lactuca sativa</w:t>
      </w:r>
      <w:r w:rsidRPr="00AA3A03">
        <w:t xml:space="preserve"> L.) is a high-value horticultural crop characterized by a shallow root system and high-water content, making it exceptionally sensitive to hydric defici</w:t>
      </w:r>
      <w:r w:rsidR="005D0446" w:rsidRPr="00AA3A03">
        <w:t>t</w:t>
      </w:r>
      <w:r w:rsidR="005D0446" w:rsidRPr="00AA3A03">
        <w:rPr>
          <w:vertAlign w:val="superscript"/>
        </w:rPr>
        <w:t>1</w:t>
      </w:r>
      <w:r w:rsidRPr="00AA3A03">
        <w:t>. Under water stress, plants activate immediate physiological responses, primarily stomatal closure, to minimize water loss through transpiration</w:t>
      </w:r>
      <w:r w:rsidR="00AE07EF" w:rsidRPr="00AA3A03">
        <w:rPr>
          <w:vertAlign w:val="superscript"/>
        </w:rPr>
        <w:t>2</w:t>
      </w:r>
      <w:r w:rsidRPr="00AA3A03">
        <w:t xml:space="preserve">. While this mechanism preserves internal water status, it leads to a significant increase in canopy temperature (Tc) due to </w:t>
      </w:r>
      <w:r w:rsidR="005D0446" w:rsidRPr="00AA3A03">
        <w:t xml:space="preserve">reduced </w:t>
      </w:r>
      <w:r w:rsidRPr="00AA3A03">
        <w:t>evaporative cooling</w:t>
      </w:r>
      <w:r w:rsidR="003B27F3" w:rsidRPr="00AA3A03">
        <w:rPr>
          <w:vertAlign w:val="superscript"/>
        </w:rPr>
        <w:t>3</w:t>
      </w:r>
      <w:r w:rsidR="0008386B" w:rsidRPr="00AA3A03">
        <w:t xml:space="preserve">. </w:t>
      </w:r>
      <w:r w:rsidRPr="00AA3A03">
        <w:t>In greenhouse production and controlled environments, managing these thermal and hydric fluctuations is fundamental to maintaining yield and quality</w:t>
      </w:r>
      <w:r w:rsidR="003B27F3" w:rsidRPr="00AA3A03">
        <w:rPr>
          <w:vertAlign w:val="superscript"/>
        </w:rPr>
        <w:t>4</w:t>
      </w:r>
      <w:r w:rsidR="0008386B" w:rsidRPr="00AA3A03">
        <w:t>.</w:t>
      </w:r>
    </w:p>
    <w:p w14:paraId="32592452" w14:textId="77777777" w:rsidR="00E2426C" w:rsidRPr="00AA3A03" w:rsidRDefault="00E2426C" w:rsidP="00AA3A03">
      <w:pPr>
        <w:pBdr>
          <w:top w:val="nil"/>
          <w:left w:val="nil"/>
          <w:bottom w:val="nil"/>
          <w:right w:val="nil"/>
          <w:between w:val="nil"/>
        </w:pBdr>
      </w:pPr>
    </w:p>
    <w:p w14:paraId="6071266F" w14:textId="6A4F3DC7" w:rsidR="00BE2839" w:rsidRPr="00AA3A03" w:rsidRDefault="00C8276A" w:rsidP="00AA3A03">
      <w:pPr>
        <w:pBdr>
          <w:top w:val="nil"/>
          <w:left w:val="nil"/>
          <w:bottom w:val="nil"/>
          <w:right w:val="nil"/>
          <w:between w:val="nil"/>
        </w:pBdr>
      </w:pPr>
      <w:r w:rsidRPr="00AA3A03">
        <w:t xml:space="preserve">The </w:t>
      </w:r>
      <w:r w:rsidR="00F44AA8" w:rsidRPr="00AA3A03">
        <w:t xml:space="preserve">literature </w:t>
      </w:r>
      <w:r w:rsidRPr="00AA3A03">
        <w:t xml:space="preserve">provides evidence of </w:t>
      </w:r>
      <w:r w:rsidR="00F44AA8" w:rsidRPr="00AA3A03">
        <w:t>a critical negative correlation between canopy temperature (Tc) and crop productivity under water-limited conditions. This relationship is further substantiated by the identification of multiple quantitative trait loci (QTLs) for Tc that exhibit pleiotropic effects on both biomass accumulation and final yield</w:t>
      </w:r>
      <w:r w:rsidR="003B27F3" w:rsidRPr="00AA3A03">
        <w:rPr>
          <w:vertAlign w:val="superscript"/>
        </w:rPr>
        <w:t>4</w:t>
      </w:r>
      <w:r w:rsidR="00F44AA8" w:rsidRPr="00AA3A03">
        <w:t xml:space="preserve">. In the field of water stress monitoring, infrared thermography has demonstrated </w:t>
      </w:r>
      <w:r w:rsidRPr="00AA3A03">
        <w:t>greater</w:t>
      </w:r>
      <w:r w:rsidR="00F44AA8" w:rsidRPr="00AA3A03">
        <w:t xml:space="preserve"> sensitivity than the </w:t>
      </w:r>
      <w:r w:rsidR="00F44AA8" w:rsidRPr="00AA3A03">
        <w:rPr>
          <w:bCs/>
        </w:rPr>
        <w:t>Normalized Difference Vegetation Index (NDVI)</w:t>
      </w:r>
      <w:r w:rsidR="00F44AA8" w:rsidRPr="00AA3A03">
        <w:t xml:space="preserve">, enabling the detection of subtle hydric fluctuations that </w:t>
      </w:r>
      <w:r w:rsidRPr="00AA3A03">
        <w:t xml:space="preserve">are </w:t>
      </w:r>
      <w:r w:rsidR="00F44AA8" w:rsidRPr="00AA3A03">
        <w:t xml:space="preserve">often imperceptible to traditional spectral vegetation indices. In this context, algorithms based on canopy temperature (Tc) represent a non-invasive, expeditious, and precise methodology for diagnosing tissue water status. Among these, the </w:t>
      </w:r>
      <w:r w:rsidR="00F44AA8" w:rsidRPr="00AA3A03">
        <w:rPr>
          <w:bCs/>
        </w:rPr>
        <w:t>Crop Water Stress Index (CWSI)</w:t>
      </w:r>
      <w:r w:rsidR="00F44AA8" w:rsidRPr="00AA3A03">
        <w:t xml:space="preserve"> stands out as the most robust and widely implemented parameter for physiological characterization and the optimization of irrigation regimes. The versatility of the CWSI has been validated across a broad range of taxa, including high-value tree and herbaceous crops such as olive, grapevine, sugar beet, maize, rice, wheat, and cotton</w:t>
      </w:r>
      <w:r w:rsidR="003B27F3" w:rsidRPr="00AA3A03">
        <w:rPr>
          <w:vertAlign w:val="superscript"/>
        </w:rPr>
        <w:t>5</w:t>
      </w:r>
      <w:r w:rsidR="00F44AA8" w:rsidRPr="00AA3A03">
        <w:t>.</w:t>
      </w:r>
    </w:p>
    <w:p w14:paraId="1C2DF3C8" w14:textId="77777777" w:rsidR="00E2426C" w:rsidRPr="00AA3A03" w:rsidRDefault="00E2426C" w:rsidP="00AA3A03">
      <w:pPr>
        <w:pBdr>
          <w:top w:val="nil"/>
          <w:left w:val="nil"/>
          <w:bottom w:val="nil"/>
          <w:right w:val="nil"/>
          <w:between w:val="nil"/>
        </w:pBdr>
      </w:pPr>
    </w:p>
    <w:p w14:paraId="4FF5DEE1" w14:textId="094C4119" w:rsidR="00F56012" w:rsidRPr="00AA3A03" w:rsidRDefault="00F44AA8" w:rsidP="00AA3A03">
      <w:pPr>
        <w:pBdr>
          <w:top w:val="nil"/>
          <w:left w:val="nil"/>
          <w:bottom w:val="nil"/>
          <w:right w:val="nil"/>
          <w:between w:val="nil"/>
        </w:pBdr>
      </w:pPr>
      <w:r w:rsidRPr="00AA3A03">
        <w:t xml:space="preserve">In contrast, infrared thermography (IRT) has emerged as a robust, non-destructive tool for real-time monitoring of crop water status. By calculating the Crop Water Stress Index (CWSI) </w:t>
      </w:r>
      <w:r w:rsidR="00C8276A" w:rsidRPr="00AA3A03">
        <w:t>from</w:t>
      </w:r>
      <w:r w:rsidRPr="00AA3A03">
        <w:t xml:space="preserve"> T</w:t>
      </w:r>
      <w:r w:rsidR="00BE2839" w:rsidRPr="00AA3A03">
        <w:t>c</w:t>
      </w:r>
      <w:r w:rsidRPr="00AA3A03">
        <w:t xml:space="preserve"> differences, researchers can quantify stress before visual wilting symptoms appear</w:t>
      </w:r>
      <w:r w:rsidR="003B27F3" w:rsidRPr="00AA3A03">
        <w:rPr>
          <w:vertAlign w:val="superscript"/>
        </w:rPr>
        <w:t>6</w:t>
      </w:r>
      <w:r w:rsidR="00BE2839" w:rsidRPr="00AA3A03">
        <w:t xml:space="preserve">. </w:t>
      </w:r>
      <w:r w:rsidRPr="00AA3A03">
        <w:t>However, despite the precision of IRT, there is a need to explore biological strategies that mitigate the heat accumulation detected by these sensors</w:t>
      </w:r>
      <w:r w:rsidR="003B27F3" w:rsidRPr="00AA3A03">
        <w:rPr>
          <w:vertAlign w:val="superscript"/>
        </w:rPr>
        <w:t>6</w:t>
      </w:r>
      <w:r w:rsidR="00BE2839" w:rsidRPr="00AA3A03">
        <w:t>.</w:t>
      </w:r>
      <w:r w:rsidR="00E2426C" w:rsidRPr="00AA3A03">
        <w:t xml:space="preserve"> </w:t>
      </w:r>
      <w:r w:rsidRPr="00AA3A03">
        <w:t>The use of plant growth-promoting microorganisms (PGPM) represents a promising biotechnological approach to enhancing drought tolerance</w:t>
      </w:r>
      <w:r w:rsidR="003B27F3" w:rsidRPr="00AA3A03">
        <w:rPr>
          <w:vertAlign w:val="superscript"/>
        </w:rPr>
        <w:t>7</w:t>
      </w:r>
      <w:r w:rsidRPr="00AA3A03">
        <w:t xml:space="preserve">. Microbial consortia, including fungi such as </w:t>
      </w:r>
      <w:r w:rsidRPr="00AA3A03">
        <w:rPr>
          <w:i/>
          <w:iCs/>
        </w:rPr>
        <w:t>Trichoderma</w:t>
      </w:r>
      <w:r w:rsidRPr="00AA3A03">
        <w:t xml:space="preserve"> and various beneficial bacteria, can improve water uptake </w:t>
      </w:r>
      <w:r w:rsidR="00967638" w:rsidRPr="00AA3A03">
        <w:t xml:space="preserve">by modifying </w:t>
      </w:r>
      <w:r w:rsidRPr="00AA3A03">
        <w:t xml:space="preserve">root architecture and </w:t>
      </w:r>
      <w:r w:rsidR="00967638" w:rsidRPr="00AA3A03">
        <w:t xml:space="preserve">regulating the </w:t>
      </w:r>
      <w:r w:rsidRPr="00AA3A03">
        <w:t>antioxidant system</w:t>
      </w:r>
      <w:r w:rsidR="003B27F3" w:rsidRPr="00AA3A03">
        <w:rPr>
          <w:vertAlign w:val="superscript"/>
        </w:rPr>
        <w:t>8,9</w:t>
      </w:r>
      <w:r w:rsidRPr="00AA3A03">
        <w:t xml:space="preserve">. </w:t>
      </w:r>
      <w:r w:rsidR="003610EA" w:rsidRPr="00AA3A03">
        <w:t xml:space="preserve">The capacity of microbial consortia to function as </w:t>
      </w:r>
      <w:r w:rsidR="003610EA" w:rsidRPr="00AA3A03">
        <w:rPr>
          <w:bCs/>
        </w:rPr>
        <w:t>physiological buffer</w:t>
      </w:r>
      <w:r w:rsidR="008F6BB3" w:rsidRPr="00AA3A03">
        <w:rPr>
          <w:bCs/>
        </w:rPr>
        <w:t>s</w:t>
      </w:r>
      <w:r w:rsidR="003610EA" w:rsidRPr="00AA3A03">
        <w:t xml:space="preserve"> or biological support system</w:t>
      </w:r>
      <w:r w:rsidR="008F6BB3" w:rsidRPr="00AA3A03">
        <w:t>s</w:t>
      </w:r>
      <w:r w:rsidR="003610EA" w:rsidRPr="00AA3A03">
        <w:t xml:space="preserve"> for crops against abiotic stress is well-documented. Unlike individual inoculants, these complex communities provide a multi-faceted defense mechanism that stabilizes plant </w:t>
      </w:r>
      <w:r w:rsidR="003610EA" w:rsidRPr="00AA3A03">
        <w:lastRenderedPageBreak/>
        <w:t>homeostasis under adverse conditions</w:t>
      </w:r>
      <w:r w:rsidR="003B27F3" w:rsidRPr="00AA3A03">
        <w:rPr>
          <w:vertAlign w:val="superscript"/>
        </w:rPr>
        <w:t>10,11</w:t>
      </w:r>
      <w:r w:rsidR="003610EA" w:rsidRPr="00AA3A03">
        <w:t>. While the discrete effects of isolated microorganisms have been extensively reported, the synergistic resilience offered by diverse consortia</w:t>
      </w:r>
      <w:r w:rsidR="003435FA" w:rsidRPr="00AA3A03">
        <w:t>(</w:t>
      </w:r>
      <w:r w:rsidR="003610EA" w:rsidRPr="00AA3A03">
        <w:t>facilitating continuous nutrient flux and thermal regulation</w:t>
      </w:r>
      <w:r w:rsidR="003435FA" w:rsidRPr="00AA3A03">
        <w:t>)</w:t>
      </w:r>
      <w:r w:rsidR="003610EA" w:rsidRPr="00AA3A03">
        <w:t>remains a critical area of biotechnological interes</w:t>
      </w:r>
      <w:r w:rsidR="008F6BB3" w:rsidRPr="00AA3A03">
        <w:t>t</w:t>
      </w:r>
      <w:r w:rsidR="008F6BB3" w:rsidRPr="00AA3A03">
        <w:rPr>
          <w:vertAlign w:val="superscript"/>
        </w:rPr>
        <w:t>1</w:t>
      </w:r>
      <w:r w:rsidR="003B27F3" w:rsidRPr="00AA3A03">
        <w:rPr>
          <w:vertAlign w:val="superscript"/>
        </w:rPr>
        <w:t>2,13</w:t>
      </w:r>
      <w:r w:rsidR="00E947E6" w:rsidRPr="00AA3A03">
        <w:t xml:space="preserve">. </w:t>
      </w:r>
      <w:r w:rsidR="00AE07EF" w:rsidRPr="00AA3A03">
        <w:t>Research</w:t>
      </w:r>
      <w:r w:rsidRPr="00AA3A03">
        <w:t xml:space="preserve"> integrating multi-strain consortia and evaluating their impact through high-resolution thermographic analysis in </w:t>
      </w:r>
      <w:r w:rsidR="0006087F" w:rsidRPr="00AA3A03">
        <w:t>Romaine</w:t>
      </w:r>
      <w:r w:rsidRPr="00AA3A03">
        <w:t xml:space="preserve"> lettuce is limited.</w:t>
      </w:r>
    </w:p>
    <w:p w14:paraId="171D9BB3" w14:textId="77777777" w:rsidR="00E2426C" w:rsidRPr="00AA3A03" w:rsidRDefault="00E2426C" w:rsidP="00AA3A03">
      <w:pPr>
        <w:pBdr>
          <w:top w:val="nil"/>
          <w:left w:val="nil"/>
          <w:bottom w:val="nil"/>
          <w:right w:val="nil"/>
          <w:between w:val="nil"/>
        </w:pBdr>
      </w:pPr>
    </w:p>
    <w:p w14:paraId="35FADB63" w14:textId="0003D590" w:rsidR="00F522EC" w:rsidRPr="00AA3A03" w:rsidRDefault="00F44AA8" w:rsidP="00AA3A03">
      <w:pPr>
        <w:pBdr>
          <w:top w:val="nil"/>
          <w:left w:val="nil"/>
          <w:bottom w:val="nil"/>
          <w:right w:val="nil"/>
          <w:between w:val="nil"/>
        </w:pBdr>
        <w:rPr>
          <w:bCs/>
        </w:rPr>
      </w:pPr>
      <w:r w:rsidRPr="00AA3A03">
        <w:rPr>
          <w:bCs/>
        </w:rPr>
        <w:t xml:space="preserve">The objective of this study was to evaluate the effectiveness of a complex microbial consortium (67 strains) compared to a single-strain </w:t>
      </w:r>
      <w:proofErr w:type="spellStart"/>
      <w:r w:rsidRPr="00AA3A03">
        <w:rPr>
          <w:bCs/>
          <w:i/>
          <w:iCs/>
        </w:rPr>
        <w:t>Trichoderma</w:t>
      </w:r>
      <w:proofErr w:type="spellEnd"/>
      <w:r w:rsidRPr="00AA3A03">
        <w:rPr>
          <w:bCs/>
          <w:i/>
          <w:iCs/>
        </w:rPr>
        <w:t xml:space="preserve"> </w:t>
      </w:r>
      <w:proofErr w:type="spellStart"/>
      <w:r w:rsidRPr="00AA3A03">
        <w:rPr>
          <w:bCs/>
          <w:i/>
          <w:iCs/>
        </w:rPr>
        <w:t>harzianum</w:t>
      </w:r>
      <w:proofErr w:type="spellEnd"/>
      <w:r w:rsidRPr="00AA3A03">
        <w:rPr>
          <w:bCs/>
        </w:rPr>
        <w:t xml:space="preserve"> inoculation in mitigating water stress. Using infrared thermography and the CWSI as primary diagnostic tools, we aimed to determine if microbial inoculation maintains lower canopy temperatures and higher transpiration rates under different levels of water deficit (50%, 75%, and 100%). </w:t>
      </w:r>
      <w:r w:rsidR="00E21C56">
        <w:rPr>
          <w:bCs/>
        </w:rPr>
        <w:t>This</w:t>
      </w:r>
      <w:r w:rsidRPr="00AA3A03">
        <w:rPr>
          <w:bCs/>
        </w:rPr>
        <w:t xml:space="preserve"> research question focused on whether a highly diversified consortium could provide superior thermal and physiological buffering compared to single-strain treatments. </w:t>
      </w:r>
      <w:r w:rsidR="00E21C56">
        <w:rPr>
          <w:bCs/>
        </w:rPr>
        <w:t>It was</w:t>
      </w:r>
      <w:r w:rsidRPr="00AA3A03">
        <w:rPr>
          <w:bCs/>
        </w:rPr>
        <w:t xml:space="preserve"> hypothesized that the</w:t>
      </w:r>
      <w:r w:rsidR="0064738C" w:rsidRPr="00AA3A03">
        <w:rPr>
          <w:bCs/>
        </w:rPr>
        <w:t xml:space="preserve"> microbial</w:t>
      </w:r>
      <w:r w:rsidRPr="00AA3A03">
        <w:rPr>
          <w:bCs/>
        </w:rPr>
        <w:t xml:space="preserve"> consortium would significantly enhance water stress tolerance, particu</w:t>
      </w:r>
      <w:r w:rsidR="00932B94" w:rsidRPr="00AA3A03">
        <w:rPr>
          <w:bCs/>
        </w:rPr>
        <w:t>larly under severe deficit (50%</w:t>
      </w:r>
      <w:r w:rsidRPr="00AA3A03">
        <w:rPr>
          <w:bCs/>
        </w:rPr>
        <w:t xml:space="preserve">), by maintaining lower CWSI values and preserving key growth parameters, specifically plant height and biomass accumulation. This study addresses </w:t>
      </w:r>
      <w:r w:rsidR="00881D39" w:rsidRPr="00AA3A03">
        <w:rPr>
          <w:bCs/>
        </w:rPr>
        <w:t>a</w:t>
      </w:r>
      <w:r w:rsidRPr="00AA3A03">
        <w:rPr>
          <w:bCs/>
        </w:rPr>
        <w:t xml:space="preserve"> research gap </w:t>
      </w:r>
      <w:r w:rsidR="00881D39" w:rsidRPr="00AA3A03">
        <w:rPr>
          <w:bCs/>
        </w:rPr>
        <w:t>by examining</w:t>
      </w:r>
      <w:r w:rsidRPr="00AA3A03">
        <w:rPr>
          <w:bCs/>
        </w:rPr>
        <w:t xml:space="preserve"> the synergistic effect of diverse microbial populations on the thermal regulation and structural development of lettuce under controlled environmental conditions</w:t>
      </w:r>
      <w:r w:rsidR="00AB3CF3">
        <w:rPr>
          <w:bCs/>
        </w:rPr>
        <w:t>.</w:t>
      </w:r>
    </w:p>
    <w:p w14:paraId="1395DCA7" w14:textId="77777777" w:rsidR="0006118E" w:rsidRPr="00AA3A03" w:rsidRDefault="0006118E" w:rsidP="00AA3A03">
      <w:pPr>
        <w:rPr>
          <w:b/>
        </w:rPr>
      </w:pPr>
    </w:p>
    <w:p w14:paraId="773E9C53" w14:textId="3E02B2E5" w:rsidR="0006118E" w:rsidRPr="00AA3A03" w:rsidRDefault="00F44AA8" w:rsidP="00AA3A03">
      <w:pPr>
        <w:rPr>
          <w:b/>
        </w:rPr>
      </w:pPr>
      <w:r w:rsidRPr="00AA3A03">
        <w:rPr>
          <w:b/>
        </w:rPr>
        <w:t>PROTOCOL:</w:t>
      </w:r>
    </w:p>
    <w:p w14:paraId="4B0D80CC" w14:textId="5C558E4F" w:rsidR="00056DC2" w:rsidRPr="00AA3A03" w:rsidRDefault="00F44AA8" w:rsidP="00AA3A03">
      <w:r w:rsidRPr="00AA3A03">
        <w:t>The experimental workflow for evaluating the efficacy of microbial inoculants in enhancing water</w:t>
      </w:r>
      <w:r w:rsidR="00B73753" w:rsidRPr="00AA3A03">
        <w:t>-</w:t>
      </w:r>
      <w:r w:rsidRPr="00AA3A03">
        <w:t xml:space="preserve">stress tolerance in </w:t>
      </w:r>
      <w:r w:rsidR="0006087F" w:rsidRPr="00AA3A03">
        <w:t>Romaine</w:t>
      </w:r>
      <w:r w:rsidRPr="00AA3A03">
        <w:t xml:space="preserve"> lettuce (</w:t>
      </w:r>
      <w:r w:rsidRPr="00AA3A03">
        <w:rPr>
          <w:i/>
          <w:iCs/>
        </w:rPr>
        <w:t>Lactuca sativa</w:t>
      </w:r>
      <w:r w:rsidRPr="00AA3A03">
        <w:t xml:space="preserve"> L. var. </w:t>
      </w:r>
      <w:proofErr w:type="spellStart"/>
      <w:r w:rsidRPr="00AA3A03">
        <w:t>Paspartu</w:t>
      </w:r>
      <w:proofErr w:type="spellEnd"/>
      <w:r w:rsidRPr="00AA3A03">
        <w:t xml:space="preserve">) is </w:t>
      </w:r>
      <w:r w:rsidR="00B73753" w:rsidRPr="00AA3A03">
        <w:t xml:space="preserve">summarized </w:t>
      </w:r>
      <w:r w:rsidRPr="00AA3A03">
        <w:t xml:space="preserve">in </w:t>
      </w:r>
      <w:r w:rsidRPr="00994223">
        <w:rPr>
          <w:b/>
        </w:rPr>
        <w:t xml:space="preserve">Figure </w:t>
      </w:r>
      <w:r w:rsidR="007C0E12" w:rsidRPr="00994223">
        <w:rPr>
          <w:b/>
        </w:rPr>
        <w:t>1</w:t>
      </w:r>
      <w:r w:rsidRPr="00AA3A03">
        <w:t xml:space="preserve">. The protocol integrated continuous monitoring of precise irrigation regimes with periodic </w:t>
      </w:r>
      <w:r w:rsidR="00B73753" w:rsidRPr="00AA3A03">
        <w:t xml:space="preserve">acquisition of </w:t>
      </w:r>
      <w:r w:rsidRPr="00AA3A03">
        <w:t>physiological and thermal data.</w:t>
      </w:r>
      <w:r w:rsidR="00E2426C" w:rsidRPr="00AA3A03">
        <w:t xml:space="preserve"> </w:t>
      </w:r>
      <w:r w:rsidRPr="00AA3A03">
        <w:t xml:space="preserve">Two distinct microbial products were utilized: </w:t>
      </w:r>
      <w:r w:rsidRPr="00AA3A03">
        <w:rPr>
          <w:bCs/>
        </w:rPr>
        <w:t xml:space="preserve">(I) </w:t>
      </w:r>
      <w:r w:rsidR="0064738C" w:rsidRPr="00AA3A03">
        <w:rPr>
          <w:bCs/>
        </w:rPr>
        <w:t>microbial consortium</w:t>
      </w:r>
      <w:r w:rsidRPr="00AA3A03">
        <w:t xml:space="preserve">, a complex consortium of 67 strains comprising PGPR, actinomycetes, and beneficial fungi, designed to act as a physiological buffer through root colonization and exopolysaccharide (EPS) secretion; and </w:t>
      </w:r>
      <w:r w:rsidRPr="00AA3A03">
        <w:rPr>
          <w:bCs/>
        </w:rPr>
        <w:t xml:space="preserve">(II) </w:t>
      </w:r>
      <w:proofErr w:type="spellStart"/>
      <w:r w:rsidR="0064738C" w:rsidRPr="00AA3A03">
        <w:rPr>
          <w:bCs/>
          <w:i/>
        </w:rPr>
        <w:t>Trichoderma</w:t>
      </w:r>
      <w:proofErr w:type="spellEnd"/>
      <w:r w:rsidR="0064738C" w:rsidRPr="00AA3A03">
        <w:rPr>
          <w:bCs/>
          <w:i/>
        </w:rPr>
        <w:t xml:space="preserve"> </w:t>
      </w:r>
      <w:proofErr w:type="spellStart"/>
      <w:r w:rsidR="0064738C" w:rsidRPr="00AA3A03">
        <w:rPr>
          <w:bCs/>
          <w:i/>
        </w:rPr>
        <w:t>harzianum</w:t>
      </w:r>
      <w:proofErr w:type="spellEnd"/>
      <w:r w:rsidRPr="00AA3A03">
        <w:t xml:space="preserve">, a single-strain inoculant of </w:t>
      </w:r>
      <w:proofErr w:type="spellStart"/>
      <w:r w:rsidRPr="00AA3A03">
        <w:rPr>
          <w:i/>
          <w:iCs/>
        </w:rPr>
        <w:t>Trichoderma</w:t>
      </w:r>
      <w:proofErr w:type="spellEnd"/>
      <w:r w:rsidRPr="00AA3A03">
        <w:rPr>
          <w:i/>
          <w:iCs/>
        </w:rPr>
        <w:t xml:space="preserve"> </w:t>
      </w:r>
      <w:proofErr w:type="spellStart"/>
      <w:r w:rsidRPr="00AA3A03">
        <w:rPr>
          <w:i/>
          <w:iCs/>
        </w:rPr>
        <w:t>harzianum</w:t>
      </w:r>
      <w:proofErr w:type="spellEnd"/>
      <w:r w:rsidRPr="00AA3A03">
        <w:t xml:space="preserve"> aimed at inducing systemic resistance and modifying root architecture. </w:t>
      </w:r>
      <w:r w:rsidR="004A3B24">
        <w:t>The reagents, equipment</w:t>
      </w:r>
      <w:r w:rsidR="00F90A2B">
        <w:t>,</w:t>
      </w:r>
      <w:r w:rsidR="004A3B24">
        <w:t xml:space="preserve"> and software used are listed in the </w:t>
      </w:r>
      <w:r w:rsidR="004A3B24" w:rsidRPr="004A3B24">
        <w:rPr>
          <w:b/>
          <w:bCs/>
        </w:rPr>
        <w:t>Table of Materials</w:t>
      </w:r>
      <w:r w:rsidR="004A3B24">
        <w:t>.</w:t>
      </w:r>
    </w:p>
    <w:p w14:paraId="2633B970" w14:textId="77777777" w:rsidR="00056DC2" w:rsidRPr="00AA3A03" w:rsidRDefault="00056DC2" w:rsidP="00AA3A03">
      <w:pPr>
        <w:rPr>
          <w:b/>
        </w:rPr>
      </w:pPr>
    </w:p>
    <w:p w14:paraId="35B85589" w14:textId="77777777" w:rsidR="00F90A2B" w:rsidRPr="00F90A2B" w:rsidRDefault="00F44AA8" w:rsidP="00AA3A03">
      <w:pPr>
        <w:rPr>
          <w:b/>
          <w:iCs/>
        </w:rPr>
      </w:pPr>
      <w:r w:rsidRPr="00F90A2B">
        <w:rPr>
          <w:b/>
          <w:iCs/>
        </w:rPr>
        <w:t xml:space="preserve">1. </w:t>
      </w:r>
      <w:r w:rsidR="00C973E7" w:rsidRPr="00F90A2B">
        <w:rPr>
          <w:b/>
          <w:iCs/>
        </w:rPr>
        <w:t xml:space="preserve">Microbial </w:t>
      </w:r>
      <w:r w:rsidRPr="00F90A2B">
        <w:rPr>
          <w:b/>
          <w:iCs/>
        </w:rPr>
        <w:t>inoculation</w:t>
      </w:r>
    </w:p>
    <w:p w14:paraId="4387F683" w14:textId="19BAFE3E" w:rsidR="00056DC2" w:rsidRPr="00AA3A03" w:rsidRDefault="00F44AA8" w:rsidP="00AA3A03">
      <w:r w:rsidRPr="00AA3A03">
        <w:t>A standardized inoculation regime was implemented for both microbial treatments, consisting of six soil-drenched applications targeting the rhizosphere using high-precision micropipettes to simulate field-scale dosages. The first phase occurred during the seedling stage at 5 and 15 days after sowing (DAS). At 30 DAS, seedlings were transplanted into larger cavity trays, with the second phase of inoculations performed 1 day after transplanting (DAT), followed by successi</w:t>
      </w:r>
      <w:r w:rsidR="007827DE" w:rsidRPr="00AA3A03">
        <w:t>ve applications at 7, 15, and 20</w:t>
      </w:r>
      <w:r w:rsidRPr="00AA3A03">
        <w:t xml:space="preserve"> DAT.</w:t>
      </w:r>
    </w:p>
    <w:p w14:paraId="518CC61A" w14:textId="3656DB6F" w:rsidR="00E2426C" w:rsidRPr="00AA3A03" w:rsidRDefault="00E2426C" w:rsidP="00AA3A03"/>
    <w:p w14:paraId="5208EA49" w14:textId="300BA120" w:rsidR="00056DC2" w:rsidRDefault="00F44AA8" w:rsidP="00AA3A03">
      <w:r w:rsidRPr="00AA3A03">
        <w:t xml:space="preserve">For the </w:t>
      </w:r>
      <w:r w:rsidR="0064738C" w:rsidRPr="00AA3A03">
        <w:rPr>
          <w:bCs/>
        </w:rPr>
        <w:t>microbial</w:t>
      </w:r>
      <w:r w:rsidRPr="00AA3A03">
        <w:rPr>
          <w:bCs/>
        </w:rPr>
        <w:t xml:space="preserve"> consortium</w:t>
      </w:r>
      <w:r w:rsidRPr="00AA3A03">
        <w:t xml:space="preserve">, dosages were adjusted according to plant phenology: the initial two applications were </w:t>
      </w:r>
      <w:r w:rsidR="006F7029" w:rsidRPr="00AA3A03">
        <w:t xml:space="preserve">applied at </w:t>
      </w:r>
      <w:r w:rsidRPr="00AA3A03">
        <w:t xml:space="preserve">500 g/ha (3 mL/plant), followed by a high-concentration dose of 2 kg/ha at transplanting, and concluding with three maintenance doses of 300 g/ha. Similarly, </w:t>
      </w:r>
      <w:r w:rsidR="0064738C" w:rsidRPr="00AA3A03">
        <w:rPr>
          <w:bCs/>
          <w:i/>
        </w:rPr>
        <w:t xml:space="preserve">T. </w:t>
      </w:r>
      <w:proofErr w:type="spellStart"/>
      <w:r w:rsidR="0064738C" w:rsidRPr="00AA3A03">
        <w:rPr>
          <w:bCs/>
          <w:i/>
        </w:rPr>
        <w:t>harzianum</w:t>
      </w:r>
      <w:proofErr w:type="spellEnd"/>
      <w:r w:rsidRPr="00AA3A03">
        <w:t xml:space="preserve"> was applied at 1 L/ha during the first two stages, 3 L/ha at transplanting, and 1 L/ha for the final three applications. This phased approach was designed to ensure robust root </w:t>
      </w:r>
      <w:r w:rsidRPr="00AA3A03">
        <w:lastRenderedPageBreak/>
        <w:t>colonization and to maintain the microbial population's role as a physiological buffer throughout the critical growth and stress-induction periods.</w:t>
      </w:r>
    </w:p>
    <w:p w14:paraId="3ABBD19D" w14:textId="77777777" w:rsidR="00A526FD" w:rsidRPr="00A526FD" w:rsidRDefault="00A526FD" w:rsidP="00AA3A03">
      <w:pPr>
        <w:rPr>
          <w:iCs/>
        </w:rPr>
      </w:pPr>
    </w:p>
    <w:p w14:paraId="370ADDFA" w14:textId="77777777" w:rsidR="00A526FD" w:rsidRPr="00A526FD" w:rsidRDefault="00F44AA8" w:rsidP="00AA3A03">
      <w:pPr>
        <w:rPr>
          <w:b/>
          <w:iCs/>
        </w:rPr>
      </w:pPr>
      <w:r w:rsidRPr="00A526FD">
        <w:rPr>
          <w:b/>
          <w:iCs/>
        </w:rPr>
        <w:t xml:space="preserve">2. </w:t>
      </w:r>
      <w:r w:rsidR="005F3A4E" w:rsidRPr="00A526FD">
        <w:rPr>
          <w:b/>
          <w:iCs/>
        </w:rPr>
        <w:t>Crop</w:t>
      </w:r>
      <w:r w:rsidR="00A526FD" w:rsidRPr="00A526FD">
        <w:rPr>
          <w:b/>
          <w:iCs/>
        </w:rPr>
        <w:t xml:space="preserve"> p</w:t>
      </w:r>
      <w:r w:rsidRPr="00A526FD">
        <w:rPr>
          <w:b/>
          <w:iCs/>
        </w:rPr>
        <w:t>reparation</w:t>
      </w:r>
    </w:p>
    <w:p w14:paraId="6CB7A8C6" w14:textId="411882BE" w:rsidR="0006118E" w:rsidRPr="00AA3A03" w:rsidRDefault="00E07DE3" w:rsidP="00AA3A03">
      <w:r w:rsidRPr="00AA3A03">
        <w:t xml:space="preserve">Certified </w:t>
      </w:r>
      <w:r w:rsidR="0006087F" w:rsidRPr="00AA3A03">
        <w:t>Romaine</w:t>
      </w:r>
      <w:r w:rsidRPr="00AA3A03">
        <w:t xml:space="preserve"> lettuce seeds (</w:t>
      </w:r>
      <w:r w:rsidRPr="00AA3A03">
        <w:rPr>
          <w:i/>
          <w:iCs/>
        </w:rPr>
        <w:t>Lactuca sativa</w:t>
      </w:r>
      <w:r w:rsidRPr="00AA3A03">
        <w:t xml:space="preserve"> L. var. </w:t>
      </w:r>
      <w:proofErr w:type="spellStart"/>
      <w:r w:rsidRPr="00AA3A03">
        <w:t>Paspartu</w:t>
      </w:r>
      <w:proofErr w:type="spellEnd"/>
      <w:r w:rsidRPr="00AA3A03">
        <w:t>) were germinated in 311-cavity polystyrene trays (11 mL per cavity) using a professional-grade peat moss-based substrate at a depth of 1 cm. Germination was conducted in a controlled bioclimatic chamber maintained at a temperature range of 15 °C to 22 °C and a relative humidity of 60</w:t>
      </w:r>
      <w:r w:rsidR="00E55A47">
        <w:t>%–</w:t>
      </w:r>
      <w:r w:rsidRPr="00AA3A03">
        <w:t>70%. Upon reaching 90% germination (approximately 3</w:t>
      </w:r>
      <w:r w:rsidR="00E55A47">
        <w:t>–</w:t>
      </w:r>
      <w:r w:rsidRPr="00AA3A03">
        <w:t>5 days after sowing), seedlings were transplanted into larger trays with a 55 mL root</w:t>
      </w:r>
      <w:r w:rsidR="00574D2C" w:rsidRPr="00AA3A03">
        <w:t>-</w:t>
      </w:r>
      <w:r w:rsidRPr="00AA3A03">
        <w:t>ball capacity to allow for unrestricted root development (</w:t>
      </w:r>
      <w:r w:rsidRPr="00E55A47">
        <w:rPr>
          <w:b/>
        </w:rPr>
        <w:t xml:space="preserve">Figure </w:t>
      </w:r>
      <w:r w:rsidR="007C0E12" w:rsidRPr="00E55A47">
        <w:rPr>
          <w:b/>
        </w:rPr>
        <w:t>2</w:t>
      </w:r>
      <w:r w:rsidR="00E55A47">
        <w:rPr>
          <w:bCs/>
        </w:rPr>
        <w:t xml:space="preserve"> and </w:t>
      </w:r>
      <w:r w:rsidR="00584282" w:rsidRPr="00E55A47">
        <w:rPr>
          <w:b/>
        </w:rPr>
        <w:t xml:space="preserve">Figure </w:t>
      </w:r>
      <w:r w:rsidR="007C0E12" w:rsidRPr="00E55A47">
        <w:rPr>
          <w:b/>
        </w:rPr>
        <w:t>3</w:t>
      </w:r>
      <w:r w:rsidRPr="00AA3A03">
        <w:t>).</w:t>
      </w:r>
      <w:r w:rsidR="00E2426C" w:rsidRPr="00AA3A03">
        <w:t xml:space="preserve"> </w:t>
      </w:r>
      <w:r w:rsidRPr="00AA3A03">
        <w:t xml:space="preserve">The trial was organized in a </w:t>
      </w:r>
      <w:r w:rsidRPr="00AA3A03">
        <w:rPr>
          <w:bCs/>
        </w:rPr>
        <w:t>completely randomized design (CRD)</w:t>
      </w:r>
      <w:r w:rsidRPr="00AA3A03">
        <w:t xml:space="preserve">, </w:t>
      </w:r>
      <w:r w:rsidR="00574D2C" w:rsidRPr="00AA3A03">
        <w:t>with</w:t>
      </w:r>
      <w:r w:rsidRPr="00AA3A03">
        <w:t xml:space="preserve"> 9 experimental units (trays), </w:t>
      </w:r>
      <w:r w:rsidR="00574D2C" w:rsidRPr="00AA3A03">
        <w:t>and</w:t>
      </w:r>
      <w:r w:rsidRPr="00AA3A03">
        <w:t xml:space="preserve"> 20 seedlings per tray. This setup was structured to accommodate a 3 × 3 factorial arrangement (3 microbial treatments × 3 irrigation regimes). Detailed substrate physical-chemical properties and specific bioclimatic chamber programming</w:t>
      </w:r>
      <w:r w:rsidR="007314B6" w:rsidRPr="00AA3A03">
        <w:rPr>
          <w:vertAlign w:val="superscript"/>
        </w:rPr>
        <w:t>14</w:t>
      </w:r>
      <w:r w:rsidR="007314B6">
        <w:rPr>
          <w:vertAlign w:val="superscript"/>
        </w:rPr>
        <w:t xml:space="preserve"> </w:t>
      </w:r>
      <w:r w:rsidRPr="00AA3A03">
        <w:t xml:space="preserve">are provided </w:t>
      </w:r>
      <w:r w:rsidR="007314B6">
        <w:t xml:space="preserve">in </w:t>
      </w:r>
      <w:r w:rsidR="00F44AA8" w:rsidRPr="007314B6">
        <w:rPr>
          <w:b/>
          <w:bCs/>
        </w:rPr>
        <w:t xml:space="preserve">Figure </w:t>
      </w:r>
      <w:r w:rsidR="007C0E12" w:rsidRPr="007314B6">
        <w:rPr>
          <w:b/>
          <w:bCs/>
        </w:rPr>
        <w:t>3</w:t>
      </w:r>
      <w:r w:rsidR="00584282" w:rsidRPr="00AA3A03">
        <w:t xml:space="preserve">, </w:t>
      </w:r>
      <w:r w:rsidR="00E62C49" w:rsidRPr="007314B6">
        <w:rPr>
          <w:b/>
          <w:bCs/>
        </w:rPr>
        <w:t xml:space="preserve">Supplementary </w:t>
      </w:r>
      <w:r w:rsidR="00584282" w:rsidRPr="007314B6">
        <w:rPr>
          <w:b/>
          <w:bCs/>
        </w:rPr>
        <w:t xml:space="preserve">Table </w:t>
      </w:r>
      <w:r w:rsidR="0006087F" w:rsidRPr="007314B6">
        <w:rPr>
          <w:b/>
          <w:bCs/>
        </w:rPr>
        <w:t>1</w:t>
      </w:r>
      <w:r w:rsidR="00584282" w:rsidRPr="00AA3A03">
        <w:t xml:space="preserve">, </w:t>
      </w:r>
      <w:r w:rsidR="00E62C49" w:rsidRPr="007314B6">
        <w:rPr>
          <w:b/>
          <w:bCs/>
        </w:rPr>
        <w:t xml:space="preserve">Supplementary </w:t>
      </w:r>
      <w:r w:rsidR="00584282" w:rsidRPr="007314B6">
        <w:rPr>
          <w:b/>
          <w:bCs/>
        </w:rPr>
        <w:t xml:space="preserve">Table </w:t>
      </w:r>
      <w:r w:rsidR="0006087F" w:rsidRPr="007314B6">
        <w:rPr>
          <w:b/>
          <w:bCs/>
        </w:rPr>
        <w:t>2</w:t>
      </w:r>
      <w:r w:rsidR="00584282" w:rsidRPr="00AA3A03">
        <w:t xml:space="preserve">, and </w:t>
      </w:r>
      <w:r w:rsidR="00E62C49" w:rsidRPr="007314B6">
        <w:rPr>
          <w:b/>
          <w:bCs/>
        </w:rPr>
        <w:t xml:space="preserve">Supplementary </w:t>
      </w:r>
      <w:r w:rsidR="00584282" w:rsidRPr="007314B6">
        <w:rPr>
          <w:b/>
          <w:bCs/>
        </w:rPr>
        <w:t xml:space="preserve">Table </w:t>
      </w:r>
      <w:r w:rsidR="0006087F" w:rsidRPr="007314B6">
        <w:rPr>
          <w:b/>
          <w:bCs/>
        </w:rPr>
        <w:t>3</w:t>
      </w:r>
      <w:r w:rsidR="00F44AA8" w:rsidRPr="00AA3A03">
        <w:t>.</w:t>
      </w:r>
    </w:p>
    <w:p w14:paraId="5CD29FD3" w14:textId="77777777" w:rsidR="0006118E" w:rsidRPr="00AA3A03" w:rsidRDefault="0006118E" w:rsidP="00AA3A03"/>
    <w:p w14:paraId="2359F3F4" w14:textId="6F43C9AE" w:rsidR="00E07DE3" w:rsidRPr="00AA3A03" w:rsidRDefault="00F44AA8" w:rsidP="00AA3A03">
      <w:r w:rsidRPr="00AA3A03">
        <w:t xml:space="preserve">Experimental trays were distributed using a </w:t>
      </w:r>
      <w:r w:rsidRPr="00AA3A03">
        <w:rPr>
          <w:bCs/>
        </w:rPr>
        <w:t>completely randomized layout</w:t>
      </w:r>
      <w:r w:rsidRPr="00AA3A03">
        <w:t xml:space="preserve"> within the bioclimatic chamber to eliminate edge effects and ensure uniform exposure. The chamber was programmed to simulate dynamic field-like conditions, utilizing a high-temperature regime to replicate open-field thermal stress. During the vegetative stage, environmental parameters were maintained within a variable relative humidity range</w:t>
      </w:r>
      <w:r w:rsidR="00136EC5">
        <w:t>,</w:t>
      </w:r>
      <w:r w:rsidRPr="00AA3A03">
        <w:t xml:space="preserve"> and a </w:t>
      </w:r>
      <w:r w:rsidRPr="00AA3A03">
        <w:rPr>
          <w:bCs/>
        </w:rPr>
        <w:t>9-h photoperiod</w:t>
      </w:r>
      <w:r w:rsidRPr="00AA3A03">
        <w:t xml:space="preserve"> provided by high-intensity LED lighting (set above 50% of maximum capacity to ensure adequate photosynthetically active radiation)</w:t>
      </w:r>
      <w:r w:rsidR="00577E99" w:rsidRPr="00AA3A03">
        <w:rPr>
          <w:vertAlign w:val="superscript"/>
        </w:rPr>
        <w:t>15</w:t>
      </w:r>
      <w:r w:rsidRPr="00AA3A03">
        <w:t>.</w:t>
      </w:r>
      <w:r w:rsidR="00E2426C" w:rsidRPr="00AA3A03">
        <w:t xml:space="preserve"> </w:t>
      </w:r>
      <w:r w:rsidRPr="00AA3A03">
        <w:t>Following the establishment phase, the environmental program was adjusted to reflect the intensifying requirements of the water</w:t>
      </w:r>
      <w:r w:rsidR="00574D2C" w:rsidRPr="00AA3A03">
        <w:t>-</w:t>
      </w:r>
      <w:r w:rsidRPr="00AA3A03">
        <w:t>deficit treatments, as illustrated in the stepwise atmospheric transitions</w:t>
      </w:r>
      <w:r w:rsidR="00136EC5" w:rsidRPr="00AA3A03">
        <w:rPr>
          <w:vertAlign w:val="superscript"/>
        </w:rPr>
        <w:t>15</w:t>
      </w:r>
      <w:r w:rsidR="00136EC5" w:rsidRPr="00AA3A03">
        <w:t xml:space="preserve"> </w:t>
      </w:r>
      <w:r w:rsidRPr="00AA3A03">
        <w:t>(</w:t>
      </w:r>
      <w:r w:rsidRPr="00136EC5">
        <w:rPr>
          <w:b/>
        </w:rPr>
        <w:t xml:space="preserve">Figure </w:t>
      </w:r>
      <w:r w:rsidR="007C0E12" w:rsidRPr="00136EC5">
        <w:rPr>
          <w:b/>
        </w:rPr>
        <w:t>4</w:t>
      </w:r>
      <w:r w:rsidR="00136EC5">
        <w:rPr>
          <w:bCs/>
        </w:rPr>
        <w:t xml:space="preserve"> and </w:t>
      </w:r>
      <w:r w:rsidR="005B2D9C" w:rsidRPr="00136EC5">
        <w:rPr>
          <w:b/>
        </w:rPr>
        <w:t xml:space="preserve">Figure </w:t>
      </w:r>
      <w:r w:rsidR="007C0E12" w:rsidRPr="00136EC5">
        <w:rPr>
          <w:b/>
        </w:rPr>
        <w:t>5</w:t>
      </w:r>
      <w:r w:rsidRPr="00AA3A03">
        <w:t xml:space="preserve">). Specific diurnal/nocturnal setpoints for temperature, humidity, and light intensity are detailed in </w:t>
      </w:r>
      <w:r w:rsidR="00E62C49" w:rsidRPr="00136EC5">
        <w:rPr>
          <w:b/>
          <w:bCs/>
        </w:rPr>
        <w:t xml:space="preserve">Supplementary </w:t>
      </w:r>
      <w:r w:rsidRPr="00136EC5">
        <w:rPr>
          <w:b/>
          <w:bCs/>
        </w:rPr>
        <w:t>T</w:t>
      </w:r>
      <w:r w:rsidR="00584282" w:rsidRPr="00136EC5">
        <w:rPr>
          <w:b/>
          <w:bCs/>
        </w:rPr>
        <w:t>able</w:t>
      </w:r>
      <w:r w:rsidRPr="00136EC5">
        <w:rPr>
          <w:b/>
          <w:bCs/>
        </w:rPr>
        <w:t xml:space="preserve"> </w:t>
      </w:r>
      <w:r w:rsidR="0006087F" w:rsidRPr="00136EC5">
        <w:rPr>
          <w:b/>
          <w:bCs/>
        </w:rPr>
        <w:t>1</w:t>
      </w:r>
      <w:r w:rsidRPr="00AA3A03">
        <w:rPr>
          <w:bCs/>
        </w:rPr>
        <w:t xml:space="preserve"> and </w:t>
      </w:r>
      <w:r w:rsidR="00E62C49" w:rsidRPr="00136EC5">
        <w:rPr>
          <w:b/>
          <w:bCs/>
        </w:rPr>
        <w:t xml:space="preserve">Supplementary </w:t>
      </w:r>
      <w:r w:rsidR="00584282" w:rsidRPr="00136EC5">
        <w:rPr>
          <w:b/>
          <w:bCs/>
        </w:rPr>
        <w:t xml:space="preserve">Table </w:t>
      </w:r>
      <w:r w:rsidR="0006087F" w:rsidRPr="00136EC5">
        <w:rPr>
          <w:b/>
          <w:bCs/>
        </w:rPr>
        <w:t>2</w:t>
      </w:r>
      <w:r w:rsidRPr="00AA3A03">
        <w:t xml:space="preserve"> to streamline the main protocol.</w:t>
      </w:r>
    </w:p>
    <w:p w14:paraId="7590DCD5" w14:textId="77777777" w:rsidR="0006118E" w:rsidRPr="00AA3A03" w:rsidRDefault="0006118E" w:rsidP="00AA3A03"/>
    <w:p w14:paraId="3FCB5E19" w14:textId="2988317A" w:rsidR="00E07DE3" w:rsidRPr="00AA3A03" w:rsidRDefault="00F44AA8" w:rsidP="00AA3A03">
      <w:r w:rsidRPr="00AA3A03">
        <w:t xml:space="preserve">The fertilization strategy was designed to meet the specific phenological requirements of </w:t>
      </w:r>
      <w:r w:rsidR="0006087F" w:rsidRPr="00AA3A03">
        <w:t>Romaine</w:t>
      </w:r>
      <w:r w:rsidRPr="00AA3A03">
        <w:t xml:space="preserve"> lettuce, maintaining a balanced nutrient flux throughout the vegetative cycle. During the seedling stage (12 to 24 DAS), nutrients were supplied </w:t>
      </w:r>
      <w:r w:rsidRPr="00760592">
        <w:rPr>
          <w:i/>
          <w:iCs/>
        </w:rPr>
        <w:t>via</w:t>
      </w:r>
      <w:r w:rsidRPr="00AA3A03">
        <w:t xml:space="preserve"> targeted applications of </w:t>
      </w:r>
      <w:r w:rsidRPr="00AA3A03">
        <w:rPr>
          <w:bCs/>
        </w:rPr>
        <w:t>Potassium Nitrate (KNO</w:t>
      </w:r>
      <w:r w:rsidRPr="00AA3A03">
        <w:rPr>
          <w:bCs/>
          <w:vertAlign w:val="subscript"/>
        </w:rPr>
        <w:t>3</w:t>
      </w:r>
      <w:r w:rsidRPr="00AA3A03">
        <w:rPr>
          <w:bCs/>
        </w:rPr>
        <w:t>)</w:t>
      </w:r>
      <w:r w:rsidRPr="00AA3A03">
        <w:t xml:space="preserve">, </w:t>
      </w:r>
      <w:r w:rsidRPr="00AA3A03">
        <w:rPr>
          <w:bCs/>
        </w:rPr>
        <w:t>Monopotassium Phosphate (KH</w:t>
      </w:r>
      <w:r w:rsidRPr="00AA3A03">
        <w:rPr>
          <w:bCs/>
          <w:vertAlign w:val="subscript"/>
        </w:rPr>
        <w:t>2</w:t>
      </w:r>
      <w:r w:rsidRPr="00AA3A03">
        <w:rPr>
          <w:bCs/>
        </w:rPr>
        <w:t>PO</w:t>
      </w:r>
      <w:r w:rsidRPr="00AA3A03">
        <w:rPr>
          <w:bCs/>
          <w:vertAlign w:val="subscript"/>
        </w:rPr>
        <w:t>4</w:t>
      </w:r>
      <w:r w:rsidRPr="00AA3A03">
        <w:rPr>
          <w:bCs/>
        </w:rPr>
        <w:t>)</w:t>
      </w:r>
      <w:r w:rsidRPr="00AA3A03">
        <w:t xml:space="preserve">, and </w:t>
      </w:r>
      <w:r w:rsidRPr="00AA3A03">
        <w:rPr>
          <w:bCs/>
        </w:rPr>
        <w:t>Calcium Nitrate (</w:t>
      </w:r>
      <w:proofErr w:type="gramStart"/>
      <w:r w:rsidRPr="00AA3A03">
        <w:rPr>
          <w:bCs/>
        </w:rPr>
        <w:t>Ca(</w:t>
      </w:r>
      <w:proofErr w:type="gramEnd"/>
      <w:r w:rsidRPr="00AA3A03">
        <w:rPr>
          <w:bCs/>
        </w:rPr>
        <w:t>NO</w:t>
      </w:r>
      <w:r w:rsidRPr="00AA3A03">
        <w:rPr>
          <w:bCs/>
          <w:vertAlign w:val="subscript"/>
        </w:rPr>
        <w:t>3</w:t>
      </w:r>
      <w:r w:rsidRPr="00AA3A03">
        <w:rPr>
          <w:bCs/>
        </w:rPr>
        <w:t>)</w:t>
      </w:r>
      <w:r w:rsidRPr="00AA3A03">
        <w:rPr>
          <w:bCs/>
          <w:vertAlign w:val="subscript"/>
        </w:rPr>
        <w:t>2</w:t>
      </w:r>
      <w:r w:rsidRPr="00AA3A03">
        <w:rPr>
          <w:bCs/>
        </w:rPr>
        <w:t>)</w:t>
      </w:r>
      <w:r w:rsidRPr="00AA3A03">
        <w:t xml:space="preserve">. To enhance early establishment, a commercial </w:t>
      </w:r>
      <w:proofErr w:type="spellStart"/>
      <w:r w:rsidRPr="00AA3A03">
        <w:t>biostimulant</w:t>
      </w:r>
      <w:proofErr w:type="spellEnd"/>
      <w:r w:rsidRPr="00AA3A03">
        <w:t xml:space="preserve"> was supplemented during the first 24 days</w:t>
      </w:r>
      <w:r w:rsidR="006700FF" w:rsidRPr="00AA3A03">
        <w:rPr>
          <w:vertAlign w:val="superscript"/>
        </w:rPr>
        <w:t>16</w:t>
      </w:r>
      <w:r w:rsidRPr="00AA3A03">
        <w:t>.</w:t>
      </w:r>
    </w:p>
    <w:p w14:paraId="330C3B0C" w14:textId="77777777" w:rsidR="00574D2C" w:rsidRPr="00AA3A03" w:rsidRDefault="00574D2C" w:rsidP="00AA3A03"/>
    <w:p w14:paraId="77E5BCE5" w14:textId="5A7CCC31" w:rsidR="00E07DE3" w:rsidRPr="00AA3A03" w:rsidRDefault="00F44AA8" w:rsidP="00AA3A03">
      <w:r w:rsidRPr="00AA3A03">
        <w:t xml:space="preserve">From 26 DAS through the final evaluation at 76 DAS, the fertigation program transitioned to a maintenance regime where the </w:t>
      </w:r>
      <w:proofErr w:type="spellStart"/>
      <w:r w:rsidRPr="00AA3A03">
        <w:t>biostimulant</w:t>
      </w:r>
      <w:proofErr w:type="spellEnd"/>
      <w:r w:rsidRPr="00AA3A03">
        <w:t xml:space="preserve"> was eliminated to isolate the specific effects of the microbial inoculants. All applications were calibrated to maintain optimal electrical conductivity (EC) and pH within the rhizosphere. The complete chronological schedule of mineral concentrations and specific dosing volumes</w:t>
      </w:r>
      <w:r w:rsidR="000E216B" w:rsidRPr="00AA3A03">
        <w:rPr>
          <w:bCs/>
          <w:vertAlign w:val="superscript"/>
        </w:rPr>
        <w:t>16</w:t>
      </w:r>
      <w:r w:rsidR="000E216B">
        <w:rPr>
          <w:bCs/>
          <w:vertAlign w:val="superscript"/>
        </w:rPr>
        <w:t xml:space="preserve"> </w:t>
      </w:r>
      <w:r w:rsidRPr="00AA3A03">
        <w:t xml:space="preserve">is detailed in </w:t>
      </w:r>
      <w:r w:rsidRPr="000E216B">
        <w:rPr>
          <w:b/>
        </w:rPr>
        <w:t xml:space="preserve">Supplementary Table </w:t>
      </w:r>
      <w:r w:rsidR="007F7DA9" w:rsidRPr="000E216B">
        <w:rPr>
          <w:b/>
        </w:rPr>
        <w:t>3</w:t>
      </w:r>
      <w:r w:rsidRPr="00AA3A03">
        <w:t>.</w:t>
      </w:r>
    </w:p>
    <w:p w14:paraId="2D4953A0" w14:textId="77777777" w:rsidR="0006118E" w:rsidRPr="00AA3A03" w:rsidRDefault="0006118E" w:rsidP="00AA3A03"/>
    <w:p w14:paraId="7119DC9E" w14:textId="19FBA920" w:rsidR="0006118E" w:rsidRPr="00F42F5C" w:rsidRDefault="00AA2E54" w:rsidP="00AA3A03">
      <w:pPr>
        <w:rPr>
          <w:iCs/>
        </w:rPr>
      </w:pPr>
      <w:r w:rsidRPr="00F42F5C">
        <w:rPr>
          <w:b/>
          <w:iCs/>
        </w:rPr>
        <w:t>3</w:t>
      </w:r>
      <w:r w:rsidR="00F44AA8" w:rsidRPr="00F42F5C">
        <w:rPr>
          <w:b/>
          <w:iCs/>
        </w:rPr>
        <w:t xml:space="preserve">. Treatment with </w:t>
      </w:r>
      <w:r w:rsidR="00574D2C" w:rsidRPr="00F42F5C">
        <w:rPr>
          <w:b/>
          <w:iCs/>
        </w:rPr>
        <w:t>m</w:t>
      </w:r>
      <w:r w:rsidR="00F44AA8" w:rsidRPr="00F42F5C">
        <w:rPr>
          <w:b/>
          <w:iCs/>
        </w:rPr>
        <w:t>icroorganisms</w:t>
      </w:r>
    </w:p>
    <w:p w14:paraId="15B82A77" w14:textId="1796049A" w:rsidR="009F6B81" w:rsidRPr="00AA3A03" w:rsidRDefault="00F44AA8" w:rsidP="00AA3A03">
      <w:r w:rsidRPr="00AA3A03">
        <w:t xml:space="preserve">To evaluate the efficacy of biological interventions against hydric stress, three distinct treatments were established: </w:t>
      </w:r>
      <w:r w:rsidRPr="00AA3A03">
        <w:rPr>
          <w:bCs/>
        </w:rPr>
        <w:t xml:space="preserve">(I) </w:t>
      </w:r>
      <w:r w:rsidR="0064738C" w:rsidRPr="00AA3A03">
        <w:rPr>
          <w:bCs/>
        </w:rPr>
        <w:t>microbial consortium</w:t>
      </w:r>
      <w:r w:rsidRPr="00AA3A03">
        <w:t xml:space="preserve">, a high-diversity microbial consortium comprising 67 beneficial strains, including </w:t>
      </w:r>
      <w:r w:rsidRPr="00AA3A03">
        <w:rPr>
          <w:bCs/>
        </w:rPr>
        <w:t>Plant Growth-Promoting Rhizobacteria (PGPR)</w:t>
      </w:r>
      <w:r w:rsidRPr="00AA3A03">
        <w:t xml:space="preserve">, </w:t>
      </w:r>
      <w:r w:rsidRPr="00AA3A03">
        <w:rPr>
          <w:bCs/>
        </w:rPr>
        <w:t>Actinomycetes</w:t>
      </w:r>
      <w:r w:rsidRPr="00AA3A03">
        <w:t xml:space="preserve">, and </w:t>
      </w:r>
      <w:r w:rsidRPr="00AA3A03">
        <w:lastRenderedPageBreak/>
        <w:t xml:space="preserve">fungi; </w:t>
      </w:r>
      <w:r w:rsidRPr="00AA3A03">
        <w:rPr>
          <w:bCs/>
        </w:rPr>
        <w:t xml:space="preserve">(II) </w:t>
      </w:r>
      <w:r w:rsidR="0064738C" w:rsidRPr="00AA3A03">
        <w:rPr>
          <w:bCs/>
          <w:i/>
        </w:rPr>
        <w:t xml:space="preserve">T. </w:t>
      </w:r>
      <w:proofErr w:type="spellStart"/>
      <w:r w:rsidR="0064738C" w:rsidRPr="00AA3A03">
        <w:rPr>
          <w:bCs/>
          <w:i/>
        </w:rPr>
        <w:t>harzianum</w:t>
      </w:r>
      <w:proofErr w:type="spellEnd"/>
      <w:r w:rsidRPr="00AA3A03">
        <w:t xml:space="preserve">, a specialized single-strain formulation of </w:t>
      </w:r>
      <w:proofErr w:type="spellStart"/>
      <w:r w:rsidRPr="00AA3A03">
        <w:rPr>
          <w:bCs/>
          <w:i/>
          <w:iCs/>
        </w:rPr>
        <w:t>Trichoderma</w:t>
      </w:r>
      <w:proofErr w:type="spellEnd"/>
      <w:r w:rsidRPr="00AA3A03">
        <w:rPr>
          <w:bCs/>
          <w:i/>
          <w:iCs/>
        </w:rPr>
        <w:t xml:space="preserve"> </w:t>
      </w:r>
      <w:proofErr w:type="spellStart"/>
      <w:r w:rsidRPr="00AA3A03">
        <w:rPr>
          <w:bCs/>
          <w:i/>
          <w:iCs/>
        </w:rPr>
        <w:t>harzianum</w:t>
      </w:r>
      <w:proofErr w:type="spellEnd"/>
      <w:r w:rsidRPr="00AA3A03">
        <w:t xml:space="preserve">; and </w:t>
      </w:r>
      <w:r w:rsidRPr="00AA3A03">
        <w:rPr>
          <w:bCs/>
        </w:rPr>
        <w:t>(III) a non-inoculated Control</w:t>
      </w:r>
      <w:r w:rsidRPr="00AA3A03">
        <w:t xml:space="preserve">. These treatments were selected based on their potential for </w:t>
      </w:r>
      <w:r w:rsidRPr="00AA3A03">
        <w:rPr>
          <w:bCs/>
        </w:rPr>
        <w:t>Induced Systemic Tolerance (IST)</w:t>
      </w:r>
      <w:r w:rsidRPr="00AA3A03">
        <w:t>, primarily through mechanisms such as root architecture modification, ACC-deaminase</w:t>
      </w:r>
      <w:r w:rsidR="00574D2C" w:rsidRPr="00AA3A03">
        <w:t xml:space="preserve"> production</w:t>
      </w:r>
      <w:r w:rsidRPr="00AA3A03">
        <w:t>, and exopolysaccharide (EPS) secretion.</w:t>
      </w:r>
    </w:p>
    <w:p w14:paraId="3BF1AAE6" w14:textId="77777777" w:rsidR="00574D2C" w:rsidRPr="00AA3A03" w:rsidRDefault="00574D2C" w:rsidP="00AA3A03"/>
    <w:p w14:paraId="5541D02D" w14:textId="544416E1" w:rsidR="009F6B81" w:rsidRPr="00AA3A03" w:rsidRDefault="00F44AA8" w:rsidP="00AA3A03">
      <w:r w:rsidRPr="00AA3A03">
        <w:t xml:space="preserve">Inoculation followed a phased strategic approach. The initial application (3 mL per plant) was performed </w:t>
      </w:r>
      <w:r w:rsidRPr="00760592">
        <w:rPr>
          <w:i/>
          <w:iCs/>
        </w:rPr>
        <w:t>via</w:t>
      </w:r>
      <w:r w:rsidRPr="00AA3A03">
        <w:t xml:space="preserve"> high-precision micropipette directly </w:t>
      </w:r>
      <w:r w:rsidR="00574D2C" w:rsidRPr="00AA3A03">
        <w:t>in</w:t>
      </w:r>
      <w:r w:rsidRPr="00AA3A03">
        <w:t xml:space="preserve">to the rhizosphere at the second true leaf stage to ensure early </w:t>
      </w:r>
      <w:r w:rsidRPr="00AA3A03">
        <w:rPr>
          <w:bCs/>
        </w:rPr>
        <w:t>root colonization</w:t>
      </w:r>
      <w:r w:rsidRPr="00AA3A03">
        <w:t xml:space="preserve">. Subsequent applications were calibrated to field-scale equivalents (simulating a density of 75,000 plants/ha). For </w:t>
      </w:r>
      <w:r w:rsidR="0064738C" w:rsidRPr="00AA3A03">
        <w:rPr>
          <w:bCs/>
          <w:i/>
        </w:rPr>
        <w:t xml:space="preserve">T. </w:t>
      </w:r>
      <w:proofErr w:type="spellStart"/>
      <w:r w:rsidR="0064738C" w:rsidRPr="00AA3A03">
        <w:rPr>
          <w:bCs/>
          <w:i/>
        </w:rPr>
        <w:t>harzianum</w:t>
      </w:r>
      <w:proofErr w:type="spellEnd"/>
      <w:r w:rsidRPr="00AA3A03">
        <w:t>, a concentration</w:t>
      </w:r>
      <w:r w:rsidR="00574D2C" w:rsidRPr="00AA3A03">
        <w:t xml:space="preserve"> of</w:t>
      </w:r>
      <w:r w:rsidRPr="00AA3A03">
        <w:t xml:space="preserve"> 2 L/ha was applied, while </w:t>
      </w:r>
      <w:r w:rsidR="00574D2C" w:rsidRPr="00AA3A03">
        <w:t xml:space="preserve">the </w:t>
      </w:r>
      <w:r w:rsidR="0064738C" w:rsidRPr="00AA3A03">
        <w:rPr>
          <w:bCs/>
        </w:rPr>
        <w:t>microbial consortium</w:t>
      </w:r>
      <w:r w:rsidRPr="00AA3A03">
        <w:t xml:space="preserve"> was administered at 1 kg/ha. These formulations were dissolved in the irrigation water and applied every 15 days to maintain a stable microbial population as a </w:t>
      </w:r>
      <w:r w:rsidRPr="00AA3A03">
        <w:rPr>
          <w:bCs/>
        </w:rPr>
        <w:t>physiological buffer</w:t>
      </w:r>
      <w:r w:rsidRPr="00AA3A03">
        <w:t xml:space="preserve"> throughout the vegetative cycle</w:t>
      </w:r>
      <w:r w:rsidR="003477C4" w:rsidRPr="00AA3A03">
        <w:rPr>
          <w:vertAlign w:val="superscript"/>
        </w:rPr>
        <w:t>17</w:t>
      </w:r>
      <w:r w:rsidRPr="00AA3A03">
        <w:t>.</w:t>
      </w:r>
    </w:p>
    <w:p w14:paraId="08317BC8" w14:textId="77777777" w:rsidR="0006118E" w:rsidRPr="00F42F5C" w:rsidRDefault="0006118E" w:rsidP="00AA3A03">
      <w:pPr>
        <w:rPr>
          <w:iCs/>
        </w:rPr>
      </w:pPr>
    </w:p>
    <w:p w14:paraId="4AE9E229" w14:textId="77777777" w:rsidR="00F42F5C" w:rsidRPr="00F42F5C" w:rsidRDefault="00AA2E54" w:rsidP="00AA3A03">
      <w:pPr>
        <w:rPr>
          <w:b/>
          <w:iCs/>
        </w:rPr>
      </w:pPr>
      <w:r w:rsidRPr="00F42F5C">
        <w:rPr>
          <w:b/>
          <w:iCs/>
        </w:rPr>
        <w:t>4</w:t>
      </w:r>
      <w:r w:rsidR="00F44AA8" w:rsidRPr="00F42F5C">
        <w:rPr>
          <w:b/>
          <w:iCs/>
        </w:rPr>
        <w:t xml:space="preserve">. </w:t>
      </w:r>
      <w:r w:rsidR="00F44AA8" w:rsidRPr="003E31EF">
        <w:rPr>
          <w:b/>
          <w:iCs/>
          <w:highlight w:val="yellow"/>
        </w:rPr>
        <w:t>Different irrigation treatments</w:t>
      </w:r>
    </w:p>
    <w:p w14:paraId="6D666E29" w14:textId="1E30A2FF" w:rsidR="0006118E" w:rsidRPr="00AA3A03" w:rsidRDefault="009F6B81" w:rsidP="00AA3A03">
      <w:pPr>
        <w:rPr>
          <w:b/>
          <w:i/>
        </w:rPr>
      </w:pPr>
      <w:r w:rsidRPr="003E31EF">
        <w:rPr>
          <w:bCs/>
          <w:iCs/>
          <w:highlight w:val="yellow"/>
        </w:rPr>
        <w:t xml:space="preserve">To evaluate the physiological and agronomic plasticity of </w:t>
      </w:r>
      <w:r w:rsidRPr="003E31EF">
        <w:rPr>
          <w:bCs/>
          <w:i/>
          <w:highlight w:val="yellow"/>
        </w:rPr>
        <w:t>L. sativa</w:t>
      </w:r>
      <w:r w:rsidRPr="003E31EF">
        <w:rPr>
          <w:bCs/>
          <w:iCs/>
          <w:highlight w:val="yellow"/>
        </w:rPr>
        <w:t xml:space="preserve"> under varying hydric conditions, three irrigation regimes were implemented based on the replacement of crop evapotranspiration (</w:t>
      </w:r>
      <w:proofErr w:type="spellStart"/>
      <w:r w:rsidRPr="003E31EF">
        <w:rPr>
          <w:bCs/>
          <w:iCs/>
          <w:highlight w:val="yellow"/>
        </w:rPr>
        <w:t>ETc</w:t>
      </w:r>
      <w:proofErr w:type="spellEnd"/>
      <w:r w:rsidRPr="003E31EF">
        <w:rPr>
          <w:bCs/>
          <w:iCs/>
          <w:highlight w:val="yellow"/>
        </w:rPr>
        <w:t xml:space="preserve">). The volumetric water content was calibrated against the </w:t>
      </w:r>
      <w:r w:rsidR="00294E62" w:rsidRPr="003E31EF">
        <w:rPr>
          <w:bCs/>
          <w:iCs/>
          <w:highlight w:val="yellow"/>
        </w:rPr>
        <w:t xml:space="preserve">substrate’s </w:t>
      </w:r>
      <w:r w:rsidRPr="003E31EF">
        <w:rPr>
          <w:bCs/>
          <w:iCs/>
          <w:highlight w:val="yellow"/>
        </w:rPr>
        <w:t>field capacity (FC) to ensure precis</w:t>
      </w:r>
      <w:r w:rsidR="00294E62" w:rsidRPr="003E31EF">
        <w:rPr>
          <w:bCs/>
          <w:iCs/>
          <w:highlight w:val="yellow"/>
        </w:rPr>
        <w:t>e</w:t>
      </w:r>
      <w:r w:rsidRPr="003E31EF">
        <w:rPr>
          <w:bCs/>
          <w:iCs/>
          <w:highlight w:val="yellow"/>
        </w:rPr>
        <w:t xml:space="preserve"> stress induction. The regimes were defined as follows: (I) Control/Well-watered (</w:t>
      </w:r>
      <w:r w:rsidR="00E2426C" w:rsidRPr="003E31EF">
        <w:rPr>
          <w:bCs/>
          <w:iCs/>
          <w:highlight w:val="yellow"/>
        </w:rPr>
        <w:t>CC-</w:t>
      </w:r>
      <w:r w:rsidRPr="003E31EF">
        <w:rPr>
          <w:bCs/>
          <w:iCs/>
          <w:highlight w:val="yellow"/>
        </w:rPr>
        <w:t xml:space="preserve">100% </w:t>
      </w:r>
      <w:proofErr w:type="spellStart"/>
      <w:r w:rsidRPr="003E31EF">
        <w:rPr>
          <w:bCs/>
          <w:iCs/>
          <w:highlight w:val="yellow"/>
        </w:rPr>
        <w:t>ETc</w:t>
      </w:r>
      <w:proofErr w:type="spellEnd"/>
      <w:r w:rsidRPr="003E31EF">
        <w:rPr>
          <w:bCs/>
          <w:iCs/>
          <w:highlight w:val="yellow"/>
        </w:rPr>
        <w:t xml:space="preserve">), where full evapotranspiration was replenished; (II) Moderate Water Deficit (75% </w:t>
      </w:r>
      <w:proofErr w:type="spellStart"/>
      <w:r w:rsidRPr="003E31EF">
        <w:rPr>
          <w:bCs/>
          <w:iCs/>
          <w:highlight w:val="yellow"/>
        </w:rPr>
        <w:t>ETc</w:t>
      </w:r>
      <w:proofErr w:type="spellEnd"/>
      <w:r w:rsidRPr="003E31EF">
        <w:rPr>
          <w:bCs/>
          <w:iCs/>
          <w:highlight w:val="yellow"/>
        </w:rPr>
        <w:t xml:space="preserve">), designed to induce intermediate hydraulic limitation; and (III) Severe Water Deficit (50% </w:t>
      </w:r>
      <w:proofErr w:type="spellStart"/>
      <w:r w:rsidRPr="003E31EF">
        <w:rPr>
          <w:bCs/>
          <w:iCs/>
          <w:highlight w:val="yellow"/>
        </w:rPr>
        <w:t>ETc</w:t>
      </w:r>
      <w:proofErr w:type="spellEnd"/>
      <w:r w:rsidRPr="003E31EF">
        <w:rPr>
          <w:bCs/>
          <w:iCs/>
          <w:highlight w:val="yellow"/>
        </w:rPr>
        <w:t xml:space="preserve">), aimed at generating critical water stress. </w:t>
      </w:r>
      <w:r w:rsidR="00614F6A" w:rsidRPr="003E31EF">
        <w:rPr>
          <w:bCs/>
          <w:iCs/>
          <w:highlight w:val="yellow"/>
        </w:rPr>
        <w:t xml:space="preserve">Irrigation was administered daily after capturing thermal images using graduated pipettes to ensure accurate replacement of the volume of water </w:t>
      </w:r>
      <w:r w:rsidR="00E565DF" w:rsidRPr="003E31EF">
        <w:rPr>
          <w:bCs/>
          <w:iCs/>
          <w:highlight w:val="yellow"/>
        </w:rPr>
        <w:t>lost through evapotranspiration</w:t>
      </w:r>
      <w:r w:rsidR="00E565DF" w:rsidRPr="003E31EF">
        <w:rPr>
          <w:bCs/>
          <w:iCs/>
          <w:highlight w:val="yellow"/>
          <w:vertAlign w:val="superscript"/>
        </w:rPr>
        <w:t>18</w:t>
      </w:r>
      <w:r w:rsidR="00F44AA8" w:rsidRPr="003E31EF">
        <w:rPr>
          <w:highlight w:val="yellow"/>
        </w:rPr>
        <w:t>.</w:t>
      </w:r>
    </w:p>
    <w:p w14:paraId="0D9D182E" w14:textId="77777777" w:rsidR="0006118E" w:rsidRPr="00AA3A03" w:rsidRDefault="0006118E" w:rsidP="00AA3A03"/>
    <w:p w14:paraId="61FF90E2" w14:textId="77777777" w:rsidR="0001671E" w:rsidRPr="003E31EF" w:rsidRDefault="00AA2E54" w:rsidP="00AA3A03">
      <w:pPr>
        <w:rPr>
          <w:b/>
          <w:iCs/>
          <w:highlight w:val="yellow"/>
        </w:rPr>
      </w:pPr>
      <w:r w:rsidRPr="0001671E">
        <w:rPr>
          <w:b/>
          <w:iCs/>
        </w:rPr>
        <w:t>5</w:t>
      </w:r>
      <w:r w:rsidR="00F44AA8" w:rsidRPr="0001671E">
        <w:rPr>
          <w:b/>
          <w:iCs/>
        </w:rPr>
        <w:t xml:space="preserve">. </w:t>
      </w:r>
      <w:r w:rsidR="00F44AA8" w:rsidRPr="003E31EF">
        <w:rPr>
          <w:b/>
          <w:iCs/>
          <w:highlight w:val="yellow"/>
        </w:rPr>
        <w:t>Data and image recording</w:t>
      </w:r>
    </w:p>
    <w:p w14:paraId="1F4CBBAA" w14:textId="08216E43" w:rsidR="004A111E" w:rsidRPr="003E31EF" w:rsidRDefault="00F44AA8" w:rsidP="00AA3A03">
      <w:pPr>
        <w:rPr>
          <w:color w:val="EE0000"/>
          <w:highlight w:val="yellow"/>
        </w:rPr>
      </w:pPr>
      <w:r w:rsidRPr="003E31EF">
        <w:rPr>
          <w:color w:val="000000" w:themeColor="text1"/>
          <w:highlight w:val="yellow"/>
        </w:rPr>
        <w:t>To evaluate the plants' thermal distribution and water status, infrared thermal images</w:t>
      </w:r>
      <w:r w:rsidR="0095450F" w:rsidRPr="003E31EF">
        <w:rPr>
          <w:color w:val="000000" w:themeColor="text1"/>
          <w:highlight w:val="yellow"/>
        </w:rPr>
        <w:t xml:space="preserve"> were</w:t>
      </w:r>
      <w:r w:rsidRPr="003E31EF">
        <w:rPr>
          <w:color w:val="000000" w:themeColor="text1"/>
          <w:highlight w:val="yellow"/>
        </w:rPr>
        <w:t xml:space="preserve"> </w:t>
      </w:r>
      <w:r w:rsidR="0095450F" w:rsidRPr="003E31EF">
        <w:rPr>
          <w:color w:val="000000" w:themeColor="text1"/>
          <w:highlight w:val="yellow"/>
        </w:rPr>
        <w:t xml:space="preserve">captured </w:t>
      </w:r>
      <w:r w:rsidRPr="003E31EF">
        <w:rPr>
          <w:color w:val="000000" w:themeColor="text1"/>
          <w:highlight w:val="yellow"/>
        </w:rPr>
        <w:t xml:space="preserve">daily from Monday to Friday throughout the experimental period. </w:t>
      </w:r>
      <w:r w:rsidR="00AF4D07" w:rsidRPr="003E31EF">
        <w:rPr>
          <w:color w:val="000000" w:themeColor="text1"/>
          <w:highlight w:val="yellow"/>
        </w:rPr>
        <w:t>A</w:t>
      </w:r>
      <w:r w:rsidRPr="003E31EF">
        <w:rPr>
          <w:color w:val="000000" w:themeColor="text1"/>
          <w:highlight w:val="yellow"/>
        </w:rPr>
        <w:t xml:space="preserve">ll photographic recordings </w:t>
      </w:r>
      <w:r w:rsidR="00AF4D07" w:rsidRPr="003E31EF">
        <w:rPr>
          <w:color w:val="000000" w:themeColor="text1"/>
          <w:highlight w:val="yellow"/>
        </w:rPr>
        <w:t xml:space="preserve">were conducted </w:t>
      </w:r>
      <w:r w:rsidRPr="003E31EF">
        <w:rPr>
          <w:color w:val="000000" w:themeColor="text1"/>
          <w:highlight w:val="yellow"/>
        </w:rPr>
        <w:t xml:space="preserve">between 12:00 PM and 2:00 PM to standardize measurements during the period of maximum transpiration and solar intensity. It is critical to take these images immediately </w:t>
      </w:r>
      <w:r w:rsidR="006A3FE3" w:rsidRPr="003E31EF">
        <w:rPr>
          <w:color w:val="000000" w:themeColor="text1"/>
          <w:highlight w:val="yellow"/>
        </w:rPr>
        <w:t>before</w:t>
      </w:r>
      <w:r w:rsidRPr="003E31EF">
        <w:rPr>
          <w:color w:val="000000" w:themeColor="text1"/>
          <w:highlight w:val="yellow"/>
        </w:rPr>
        <w:t xml:space="preserve"> the daily irrigation treatments to record the cumulative water stress experienced by the plants over the previous 24-h cycle. For image acquisition, the infrared thermal camera </w:t>
      </w:r>
      <w:r w:rsidR="003C7E59" w:rsidRPr="003E31EF">
        <w:rPr>
          <w:color w:val="000000" w:themeColor="text1"/>
          <w:highlight w:val="yellow"/>
        </w:rPr>
        <w:t xml:space="preserve">was connected </w:t>
      </w:r>
      <w:r w:rsidRPr="003E31EF">
        <w:rPr>
          <w:color w:val="000000" w:themeColor="text1"/>
          <w:highlight w:val="yellow"/>
        </w:rPr>
        <w:t>to a mobile device and maintain</w:t>
      </w:r>
      <w:r w:rsidR="003C7E59" w:rsidRPr="003E31EF">
        <w:rPr>
          <w:color w:val="000000" w:themeColor="text1"/>
          <w:highlight w:val="yellow"/>
        </w:rPr>
        <w:t>ed</w:t>
      </w:r>
      <w:r w:rsidRPr="003E31EF">
        <w:rPr>
          <w:color w:val="000000" w:themeColor="text1"/>
          <w:highlight w:val="yellow"/>
        </w:rPr>
        <w:t xml:space="preserve"> a perpendicular orientation relative to the back of the lettuce plants at a consistent distance of 60</w:t>
      </w:r>
      <w:r w:rsidR="003C7E59" w:rsidRPr="003E31EF">
        <w:rPr>
          <w:color w:val="000000" w:themeColor="text1"/>
          <w:highlight w:val="yellow"/>
        </w:rPr>
        <w:t>–</w:t>
      </w:r>
      <w:r w:rsidRPr="003E31EF">
        <w:rPr>
          <w:color w:val="000000" w:themeColor="text1"/>
          <w:highlight w:val="yellow"/>
        </w:rPr>
        <w:t xml:space="preserve">70 cm. </w:t>
      </w:r>
      <w:r w:rsidR="003C7E59" w:rsidRPr="003E31EF">
        <w:rPr>
          <w:color w:val="000000" w:themeColor="text1"/>
          <w:highlight w:val="yellow"/>
        </w:rPr>
        <w:t>T</w:t>
      </w:r>
      <w:r w:rsidRPr="003E31EF">
        <w:rPr>
          <w:color w:val="000000" w:themeColor="text1"/>
          <w:highlight w:val="yellow"/>
        </w:rPr>
        <w:t xml:space="preserve">he software </w:t>
      </w:r>
      <w:r w:rsidR="003C7E59" w:rsidRPr="003E31EF">
        <w:rPr>
          <w:color w:val="000000" w:themeColor="text1"/>
          <w:highlight w:val="yellow"/>
        </w:rPr>
        <w:t xml:space="preserve">was configured </w:t>
      </w:r>
      <w:r w:rsidRPr="003E31EF">
        <w:rPr>
          <w:color w:val="000000" w:themeColor="text1"/>
          <w:highlight w:val="yellow"/>
        </w:rPr>
        <w:t xml:space="preserve">with a multi-color thermal palette </w:t>
      </w:r>
      <w:r w:rsidR="00D210D2" w:rsidRPr="003E31EF">
        <w:rPr>
          <w:color w:val="000000" w:themeColor="text1"/>
          <w:highlight w:val="yellow"/>
        </w:rPr>
        <w:t>in which temperature gradients are represented from lowest to highest: starting with purple (coldest), transitioning through royal blue, turquoise, green (mid</w:t>
      </w:r>
      <w:r w:rsidRPr="003E31EF">
        <w:rPr>
          <w:color w:val="000000" w:themeColor="text1"/>
          <w:highlight w:val="yellow"/>
        </w:rPr>
        <w:t xml:space="preserve">point), yellow, orange, and finally red (hottest). Within the software interface, the specific tray area containing the plant canopy </w:t>
      </w:r>
      <w:r w:rsidR="00F12B8D" w:rsidRPr="003E31EF">
        <w:rPr>
          <w:color w:val="000000" w:themeColor="text1"/>
          <w:highlight w:val="yellow"/>
        </w:rPr>
        <w:t xml:space="preserve">was manually selected </w:t>
      </w:r>
      <w:r w:rsidRPr="003E31EF">
        <w:rPr>
          <w:color w:val="000000" w:themeColor="text1"/>
          <w:highlight w:val="yellow"/>
        </w:rPr>
        <w:t xml:space="preserve">to capture the thermal data. This color scale serves as a physiological indicator: well-hydrated plants exhibit cooler canopy temperatures (purple/blue) due to active transpiration, while dehydrated plants display higher </w:t>
      </w:r>
      <w:r w:rsidR="006A3FE3" w:rsidRPr="003E31EF">
        <w:rPr>
          <w:color w:val="000000" w:themeColor="text1"/>
          <w:highlight w:val="yellow"/>
        </w:rPr>
        <w:t xml:space="preserve">canopy </w:t>
      </w:r>
      <w:r w:rsidRPr="003E31EF">
        <w:rPr>
          <w:color w:val="000000" w:themeColor="text1"/>
          <w:highlight w:val="yellow"/>
        </w:rPr>
        <w:t xml:space="preserve">temperatures (orange/red) </w:t>
      </w:r>
      <w:r w:rsidR="006A3FE3" w:rsidRPr="003E31EF">
        <w:rPr>
          <w:color w:val="000000" w:themeColor="text1"/>
          <w:highlight w:val="yellow"/>
        </w:rPr>
        <w:t xml:space="preserve">due to </w:t>
      </w:r>
      <w:r w:rsidRPr="003E31EF">
        <w:rPr>
          <w:color w:val="000000" w:themeColor="text1"/>
          <w:highlight w:val="yellow"/>
        </w:rPr>
        <w:t>stomatal closure and reduced evaporative cooling.</w:t>
      </w:r>
      <w:r w:rsidRPr="00AA3A03">
        <w:rPr>
          <w:color w:val="000000" w:themeColor="text1"/>
        </w:rPr>
        <w:t xml:space="preserve"> </w:t>
      </w:r>
      <w:r w:rsidRPr="003E31EF">
        <w:rPr>
          <w:color w:val="000000" w:themeColor="text1"/>
          <w:highlight w:val="yellow"/>
        </w:rPr>
        <w:t xml:space="preserve">Subsequently, these high-resolution images </w:t>
      </w:r>
      <w:r w:rsidR="00D31F24" w:rsidRPr="003E31EF">
        <w:rPr>
          <w:color w:val="000000" w:themeColor="text1"/>
          <w:highlight w:val="yellow"/>
        </w:rPr>
        <w:t>were processed</w:t>
      </w:r>
      <w:r w:rsidR="00D210D2" w:rsidRPr="003E31EF">
        <w:rPr>
          <w:color w:val="000000" w:themeColor="text1"/>
          <w:highlight w:val="yellow"/>
        </w:rPr>
        <w:t xml:space="preserve"> </w:t>
      </w:r>
      <w:r w:rsidRPr="003E31EF">
        <w:rPr>
          <w:color w:val="000000" w:themeColor="text1"/>
          <w:highlight w:val="yellow"/>
        </w:rPr>
        <w:t xml:space="preserve">using the three-point measurement function </w:t>
      </w:r>
      <w:r w:rsidR="006A3FE3" w:rsidRPr="003E31EF">
        <w:rPr>
          <w:color w:val="000000" w:themeColor="text1"/>
          <w:highlight w:val="yellow"/>
        </w:rPr>
        <w:t>over</w:t>
      </w:r>
      <w:r w:rsidRPr="003E31EF">
        <w:rPr>
          <w:color w:val="000000" w:themeColor="text1"/>
          <w:highlight w:val="yellow"/>
        </w:rPr>
        <w:t xml:space="preserve"> specific regions of interest (ROI) to extract precise canopy temperature (</w:t>
      </w:r>
      <m:oMath>
        <m:sSub>
          <m:sSubPr>
            <m:ctrlPr>
              <w:rPr>
                <w:rFonts w:ascii="Cambria Math" w:eastAsia="Cambria Math" w:hAnsi="Cambria Math"/>
                <w:highlight w:val="yellow"/>
              </w:rPr>
            </m:ctrlPr>
          </m:sSubPr>
          <m:e>
            <m:r>
              <w:rPr>
                <w:rFonts w:ascii="Cambria Math" w:eastAsia="Cambria Math" w:hAnsi="Cambria Math"/>
                <w:highlight w:val="yellow"/>
              </w:rPr>
              <m:t>T</m:t>
            </m:r>
          </m:e>
          <m:sub>
            <m:r>
              <w:rPr>
                <w:rFonts w:ascii="Cambria Math" w:eastAsia="Cambria Math" w:hAnsi="Cambria Math"/>
                <w:highlight w:val="yellow"/>
              </w:rPr>
              <m:t>c</m:t>
            </m:r>
          </m:sub>
        </m:sSub>
      </m:oMath>
      <w:r w:rsidRPr="003E31EF">
        <w:rPr>
          <w:color w:val="000000" w:themeColor="text1"/>
          <w:highlight w:val="yellow"/>
        </w:rPr>
        <w:t>) values for the calculation of the Crop Water Stress Index (CWSI).</w:t>
      </w:r>
    </w:p>
    <w:p w14:paraId="389DADCB" w14:textId="77777777" w:rsidR="0006118E" w:rsidRPr="003E31EF" w:rsidRDefault="0006118E" w:rsidP="00AA3A03">
      <w:pPr>
        <w:rPr>
          <w:highlight w:val="yellow"/>
        </w:rPr>
      </w:pPr>
    </w:p>
    <w:p w14:paraId="142115AC" w14:textId="77777777" w:rsidR="0006118E" w:rsidRPr="003E31EF" w:rsidRDefault="00F44AA8" w:rsidP="00AA3A03">
      <w:pPr>
        <w:rPr>
          <w:rFonts w:eastAsia="Cambria Math"/>
        </w:rPr>
      </w:pPr>
      <m:oMathPara>
        <m:oMathParaPr>
          <m:jc m:val="left"/>
        </m:oMathParaPr>
        <m:oMath>
          <m:r>
            <w:rPr>
              <w:rFonts w:ascii="Cambria Math" w:eastAsia="Cambria Math" w:hAnsi="Cambria Math"/>
            </w:rPr>
            <w:lastRenderedPageBreak/>
            <m:t xml:space="preserve">CWSI= </m:t>
          </m:r>
          <m:f>
            <m:fPr>
              <m:ctrlPr>
                <w:rPr>
                  <w:rFonts w:ascii="Cambria Math" w:eastAsia="Cambria Math" w:hAnsi="Cambria Math"/>
                </w:rPr>
              </m:ctrlPr>
            </m:fPr>
            <m:num>
              <m:sSub>
                <m:sSubPr>
                  <m:ctrlPr>
                    <w:rPr>
                      <w:rFonts w:ascii="Cambria Math" w:eastAsia="Cambria Math" w:hAnsi="Cambria Math"/>
                    </w:rPr>
                  </m:ctrlPr>
                </m:sSubPr>
                <m:e>
                  <m:r>
                    <w:rPr>
                      <w:rFonts w:ascii="Cambria Math" w:eastAsia="Cambria Math" w:hAnsi="Cambria Math"/>
                    </w:rPr>
                    <m:t>T</m:t>
                  </m:r>
                </m:e>
                <m:sub>
                  <m:r>
                    <w:rPr>
                      <w:rFonts w:ascii="Cambria Math" w:eastAsia="Cambria Math" w:hAnsi="Cambria Math"/>
                    </w:rPr>
                    <m:t>c</m:t>
                  </m:r>
                </m:sub>
              </m:sSub>
              <m: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T</m:t>
                  </m:r>
                </m:e>
                <m:sub>
                  <m:r>
                    <w:rPr>
                      <w:rFonts w:ascii="Cambria Math" w:eastAsia="Cambria Math" w:hAnsi="Cambria Math"/>
                    </w:rPr>
                    <m:t>w</m:t>
                  </m:r>
                </m:sub>
              </m:sSub>
            </m:num>
            <m:den>
              <m:sSub>
                <m:sSubPr>
                  <m:ctrlPr>
                    <w:rPr>
                      <w:rFonts w:ascii="Cambria Math" w:eastAsia="Cambria Math" w:hAnsi="Cambria Math"/>
                    </w:rPr>
                  </m:ctrlPr>
                </m:sSubPr>
                <m:e>
                  <m:r>
                    <w:rPr>
                      <w:rFonts w:ascii="Cambria Math" w:eastAsia="Cambria Math" w:hAnsi="Cambria Math"/>
                    </w:rPr>
                    <m:t>T</m:t>
                  </m:r>
                </m:e>
                <m:sub>
                  <m:r>
                    <w:rPr>
                      <w:rFonts w:ascii="Cambria Math" w:eastAsia="Cambria Math" w:hAnsi="Cambria Math"/>
                    </w:rPr>
                    <m:t>d</m:t>
                  </m:r>
                </m:sub>
              </m:sSub>
              <m: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T</m:t>
                  </m:r>
                </m:e>
                <m:sub>
                  <m:r>
                    <w:rPr>
                      <w:rFonts w:ascii="Cambria Math" w:eastAsia="Cambria Math" w:hAnsi="Cambria Math"/>
                    </w:rPr>
                    <m:t>w</m:t>
                  </m:r>
                </m:sub>
              </m:sSub>
            </m:den>
          </m:f>
          <m:r>
            <w:rPr>
              <w:rFonts w:ascii="Cambria Math" w:eastAsia="Cambria Math" w:hAnsi="Cambria Math"/>
            </w:rPr>
            <m:t xml:space="preserve"> </m:t>
          </m:r>
        </m:oMath>
      </m:oMathPara>
    </w:p>
    <w:p w14:paraId="149915A9" w14:textId="77777777" w:rsidR="0006118E" w:rsidRPr="003E31EF" w:rsidRDefault="00F44AA8" w:rsidP="00AA3A03">
      <w:pPr>
        <w:rPr>
          <w:highlight w:val="yellow"/>
        </w:rPr>
      </w:pPr>
      <w:r w:rsidRPr="003E31EF">
        <w:rPr>
          <w:highlight w:val="yellow"/>
        </w:rPr>
        <w:t>If CWSI is:</w:t>
      </w:r>
    </w:p>
    <w:p w14:paraId="4FE0BC66" w14:textId="77777777" w:rsidR="0006118E" w:rsidRPr="003E31EF" w:rsidRDefault="0006118E" w:rsidP="00AA3A03">
      <w:pPr>
        <w:rPr>
          <w:highlight w:val="yellow"/>
        </w:rPr>
      </w:pPr>
    </w:p>
    <w:p w14:paraId="7BA8843F" w14:textId="0082ADD8" w:rsidR="0006118E" w:rsidRPr="003E31EF" w:rsidRDefault="00F44AA8" w:rsidP="00AA3A03">
      <w:pPr>
        <w:rPr>
          <w:highlight w:val="yellow"/>
        </w:rPr>
      </w:pPr>
      <w:r w:rsidRPr="003E31EF">
        <w:rPr>
          <w:highlight w:val="yellow"/>
        </w:rPr>
        <w:t xml:space="preserve">  ͌0</w:t>
      </w:r>
      <w:r w:rsidR="00F8753A" w:rsidRPr="003E31EF">
        <w:rPr>
          <w:highlight w:val="yellow"/>
        </w:rPr>
        <w:t>,</w:t>
      </w:r>
      <w:r w:rsidRPr="003E31EF">
        <w:rPr>
          <w:highlight w:val="yellow"/>
        </w:rPr>
        <w:t xml:space="preserve"> then the crop is not under water stress</w:t>
      </w:r>
    </w:p>
    <w:p w14:paraId="0AE65402" w14:textId="77777777" w:rsidR="0006118E" w:rsidRPr="003E31EF" w:rsidRDefault="00F44AA8" w:rsidP="00AA3A03">
      <w:r w:rsidRPr="003E31EF">
        <w:rPr>
          <w:highlight w:val="yellow"/>
        </w:rPr>
        <w:t xml:space="preserve">  ͌1 then the crop is under severe water stress</w:t>
      </w:r>
      <w:bookmarkStart w:id="0" w:name="_GoBack"/>
      <w:bookmarkEnd w:id="0"/>
    </w:p>
    <w:p w14:paraId="25D177BC" w14:textId="77777777" w:rsidR="0006118E" w:rsidRPr="003E31EF" w:rsidRDefault="00F44AA8" w:rsidP="00AA3A03">
      <w:r w:rsidRPr="003E31EF">
        <w:t xml:space="preserve">Where: </w:t>
      </w:r>
    </w:p>
    <w:p w14:paraId="6FEB28B5" w14:textId="3BA53774" w:rsidR="0006118E" w:rsidRPr="00AA3A03" w:rsidRDefault="00F44AA8" w:rsidP="00AA3A03">
      <w:r w:rsidRPr="003E31EF">
        <w:t xml:space="preserve"> </w:t>
      </w:r>
      <w:r w:rsidRPr="003E31EF">
        <w:rPr>
          <w:b/>
          <w:i/>
        </w:rPr>
        <w:t>Tc</w:t>
      </w:r>
      <w:r w:rsidRPr="003E31EF">
        <w:t xml:space="preserve"> is the </w:t>
      </w:r>
      <w:r w:rsidR="006A3FE3" w:rsidRPr="003E31EF">
        <w:t xml:space="preserve">crop </w:t>
      </w:r>
      <w:r w:rsidRPr="003E31EF">
        <w:t>canopy temperature, measured with infrared imaging.</w:t>
      </w:r>
      <w:r w:rsidR="00F8753A" w:rsidRPr="003E31EF">
        <w:t xml:space="preserve"> </w:t>
      </w:r>
      <w:r w:rsidRPr="003E31EF">
        <w:rPr>
          <w:b/>
          <w:i/>
        </w:rPr>
        <w:t>Tw</w:t>
      </w:r>
      <w:r w:rsidRPr="003E31EF">
        <w:t xml:space="preserve"> is the canopy temperature unde</w:t>
      </w:r>
      <w:r w:rsidR="00E565DF" w:rsidRPr="003E31EF">
        <w:t xml:space="preserve">r non-water stress conditions. </w:t>
      </w:r>
      <w:r w:rsidRPr="003E31EF">
        <w:rPr>
          <w:b/>
          <w:i/>
        </w:rPr>
        <w:t>Td</w:t>
      </w:r>
      <w:r w:rsidRPr="003E31EF">
        <w:t xml:space="preserve"> is the canopy temperature under maximum water stress conditions</w:t>
      </w:r>
      <w:r w:rsidR="00E565DF" w:rsidRPr="003E31EF">
        <w:rPr>
          <w:vertAlign w:val="superscript"/>
        </w:rPr>
        <w:t>19</w:t>
      </w:r>
      <w:r w:rsidRPr="003E31EF">
        <w:t>.</w:t>
      </w:r>
    </w:p>
    <w:p w14:paraId="2B85978C" w14:textId="77777777" w:rsidR="0006118E" w:rsidRPr="00AA3A03" w:rsidRDefault="0006118E" w:rsidP="00AA3A03"/>
    <w:p w14:paraId="3F13B000" w14:textId="74BF4575" w:rsidR="0006118E" w:rsidRPr="00AA3A03" w:rsidRDefault="00F44AA8" w:rsidP="00AA3A03">
      <w:r w:rsidRPr="003E31EF">
        <w:rPr>
          <w:highlight w:val="yellow"/>
        </w:rPr>
        <w:t>Indicators of plant growth, development, and physiological condition, such as height, leaf number, and leaf temperature</w:t>
      </w:r>
      <w:r w:rsidR="006A3FE3" w:rsidRPr="003E31EF">
        <w:rPr>
          <w:highlight w:val="yellow"/>
        </w:rPr>
        <w:t>,</w:t>
      </w:r>
      <w:r w:rsidRPr="003E31EF">
        <w:rPr>
          <w:highlight w:val="yellow"/>
        </w:rPr>
        <w:t xml:space="preserve"> assessed using infrared thermography</w:t>
      </w:r>
      <w:r w:rsidR="006A3FE3" w:rsidRPr="003E31EF">
        <w:rPr>
          <w:highlight w:val="yellow"/>
        </w:rPr>
        <w:t>,</w:t>
      </w:r>
      <w:r w:rsidR="007F7DA9" w:rsidRPr="003E31EF">
        <w:rPr>
          <w:highlight w:val="yellow"/>
        </w:rPr>
        <w:t xml:space="preserve"> are shown in </w:t>
      </w:r>
      <w:r w:rsidR="00E62C49" w:rsidRPr="003E31EF">
        <w:rPr>
          <w:b/>
          <w:bCs/>
          <w:highlight w:val="yellow"/>
        </w:rPr>
        <w:t xml:space="preserve">Supplementary </w:t>
      </w:r>
      <w:r w:rsidR="007F7DA9" w:rsidRPr="003E31EF">
        <w:rPr>
          <w:b/>
          <w:bCs/>
          <w:highlight w:val="yellow"/>
        </w:rPr>
        <w:t>Table 4</w:t>
      </w:r>
      <w:r w:rsidRPr="003E31EF">
        <w:rPr>
          <w:highlight w:val="yellow"/>
        </w:rPr>
        <w:t xml:space="preserve"> </w:t>
      </w:r>
      <w:r w:rsidR="006A3FE3" w:rsidRPr="003E31EF">
        <w:rPr>
          <w:highlight w:val="yellow"/>
        </w:rPr>
        <w:t xml:space="preserve">along </w:t>
      </w:r>
      <w:r w:rsidRPr="003E31EF">
        <w:rPr>
          <w:highlight w:val="yellow"/>
        </w:rPr>
        <w:t xml:space="preserve">with </w:t>
      </w:r>
      <w:r w:rsidR="006A3FE3" w:rsidRPr="003E31EF">
        <w:rPr>
          <w:highlight w:val="yellow"/>
        </w:rPr>
        <w:t xml:space="preserve">the </w:t>
      </w:r>
      <w:r w:rsidRPr="003E31EF">
        <w:rPr>
          <w:highlight w:val="yellow"/>
        </w:rPr>
        <w:t>study variables</w:t>
      </w:r>
      <w:r w:rsidR="006A3FE3" w:rsidRPr="003E31EF">
        <w:rPr>
          <w:highlight w:val="yellow"/>
        </w:rPr>
        <w:t xml:space="preserve"> and</w:t>
      </w:r>
      <w:r w:rsidRPr="003E31EF">
        <w:rPr>
          <w:highlight w:val="yellow"/>
        </w:rPr>
        <w:t xml:space="preserve"> conceptual and operational definitions used in the experiment. The combination of these variables allowed for a comprehensive assessment of the impact of the experimental treatments on the physiological performance and development of each plant.</w:t>
      </w:r>
    </w:p>
    <w:p w14:paraId="7153B72E" w14:textId="77777777" w:rsidR="0006118E" w:rsidRPr="00AA3A03" w:rsidRDefault="0006118E" w:rsidP="00AA3A03"/>
    <w:p w14:paraId="324C6930" w14:textId="77777777" w:rsidR="00015BDB" w:rsidRPr="00015BDB" w:rsidRDefault="00AA2E54" w:rsidP="00AA3A03">
      <w:pPr>
        <w:rPr>
          <w:b/>
          <w:iCs/>
        </w:rPr>
      </w:pPr>
      <w:r w:rsidRPr="00015BDB">
        <w:rPr>
          <w:b/>
          <w:iCs/>
        </w:rPr>
        <w:t>6</w:t>
      </w:r>
      <w:r w:rsidR="00F44AA8" w:rsidRPr="00015BDB">
        <w:rPr>
          <w:b/>
          <w:iCs/>
        </w:rPr>
        <w:t>. Data analysis</w:t>
      </w:r>
    </w:p>
    <w:p w14:paraId="78A61237" w14:textId="68724580" w:rsidR="009C1B84" w:rsidRPr="00AA3A03" w:rsidRDefault="00F44AA8" w:rsidP="00AA3A03">
      <w:r w:rsidRPr="00AA3A03">
        <w:t>Physiological and morphological data were analyzed using a One-Way ANOVA for each irrigation regime to determine the effect of the different microbial treatments. All statistical procedures were performed using statistical software. Before conducting the inferential analysis, the fundamental requirements for parametric statistics were verified to ensure the reliability of the results. The normality of the residuals was confirmed using the Anderson-Darling test</w:t>
      </w:r>
      <w:r w:rsidR="003435FA" w:rsidRPr="00AA3A03">
        <w:t xml:space="preserve"> </w:t>
      </w:r>
      <w:r w:rsidR="005537AA" w:rsidRPr="00AA3A03">
        <w:t>(</w:t>
      </w:r>
      <w:r w:rsidRPr="00015BDB">
        <w:rPr>
          <w:i/>
          <w:iCs/>
        </w:rPr>
        <w:t>p</w:t>
      </w:r>
      <w:r w:rsidRPr="00AA3A03">
        <w:t xml:space="preserve"> &gt; 0.100</w:t>
      </w:r>
      <w:r w:rsidR="005537AA" w:rsidRPr="00AA3A03">
        <w:t>),</w:t>
      </w:r>
      <w:r w:rsidRPr="00AA3A03">
        <w:t xml:space="preserve"> indicating </w:t>
      </w:r>
      <w:r w:rsidR="005537AA" w:rsidRPr="00AA3A03">
        <w:t>normality</w:t>
      </w:r>
      <w:r w:rsidRPr="00AA3A03">
        <w:t xml:space="preserve">. Additionally, the homogeneity of variances was validated </w:t>
      </w:r>
      <w:r w:rsidR="005537AA" w:rsidRPr="00AA3A03">
        <w:t xml:space="preserve">using </w:t>
      </w:r>
      <w:r w:rsidRPr="00AA3A03">
        <w:t xml:space="preserve">Levene’s test </w:t>
      </w:r>
      <w:r w:rsidR="005537AA" w:rsidRPr="00AA3A03">
        <w:t>(</w:t>
      </w:r>
      <w:r w:rsidRPr="00015BDB">
        <w:rPr>
          <w:i/>
          <w:iCs/>
        </w:rPr>
        <w:t>p</w:t>
      </w:r>
      <w:r w:rsidR="00015BDB">
        <w:t xml:space="preserve"> </w:t>
      </w:r>
      <w:r w:rsidRPr="00AA3A03">
        <w:t>=</w:t>
      </w:r>
      <w:r w:rsidR="00015BDB">
        <w:t xml:space="preserve"> </w:t>
      </w:r>
      <w:r w:rsidRPr="00AA3A03">
        <w:t>0.989</w:t>
      </w:r>
      <w:r w:rsidR="005537AA" w:rsidRPr="00AA3A03">
        <w:t>),</w:t>
      </w:r>
      <w:r w:rsidR="003435FA" w:rsidRPr="00AA3A03">
        <w:t xml:space="preserve"> </w:t>
      </w:r>
      <w:r w:rsidRPr="00AA3A03">
        <w:t>confirm</w:t>
      </w:r>
      <w:r w:rsidR="005537AA" w:rsidRPr="00AA3A03">
        <w:t>ing</w:t>
      </w:r>
      <w:r w:rsidRPr="00AA3A03">
        <w:t xml:space="preserve"> high homoscedasticity across groups. Since both assumptions were met, the Tukey HSD (Honestly Significant Difference) post-hoc test was </w:t>
      </w:r>
      <w:r w:rsidR="005537AA" w:rsidRPr="00AA3A03">
        <w:t>used</w:t>
      </w:r>
      <w:r w:rsidRPr="00AA3A03">
        <w:t xml:space="preserve"> to identify significant differences (</w:t>
      </w:r>
      <w:r w:rsidRPr="00015BDB">
        <w:rPr>
          <w:i/>
          <w:iCs/>
        </w:rPr>
        <w:t>p</w:t>
      </w:r>
      <w:r w:rsidRPr="00AA3A03">
        <w:t xml:space="preserve"> &lt; 0.05) among the </w:t>
      </w:r>
      <w:r w:rsidR="007861E3">
        <w:t>T</w:t>
      </w:r>
      <w:r w:rsidRPr="00AA3A03">
        <w:t>reatment means. The individual plant was defined as the experimental unit for all statistical evaluations</w:t>
      </w:r>
      <w:r w:rsidR="00590928">
        <w:t>.</w:t>
      </w:r>
    </w:p>
    <w:p w14:paraId="6F496D73" w14:textId="77777777" w:rsidR="00B379D6" w:rsidRPr="00AA3A03" w:rsidRDefault="00B379D6" w:rsidP="00AA3A03">
      <w:pPr>
        <w:pBdr>
          <w:top w:val="nil"/>
          <w:left w:val="nil"/>
          <w:bottom w:val="nil"/>
          <w:right w:val="nil"/>
          <w:between w:val="nil"/>
        </w:pBdr>
        <w:rPr>
          <w:b/>
        </w:rPr>
      </w:pPr>
    </w:p>
    <w:p w14:paraId="6EF8BE59" w14:textId="77777777" w:rsidR="00B379D6" w:rsidRDefault="00F44AA8" w:rsidP="00AA3A03">
      <w:pPr>
        <w:pBdr>
          <w:top w:val="nil"/>
          <w:left w:val="nil"/>
          <w:bottom w:val="nil"/>
          <w:right w:val="nil"/>
          <w:between w:val="nil"/>
        </w:pBdr>
        <w:rPr>
          <w:b/>
        </w:rPr>
      </w:pPr>
      <w:r w:rsidRPr="00AA3A03">
        <w:rPr>
          <w:b/>
        </w:rPr>
        <w:t>RESULTS:</w:t>
      </w:r>
    </w:p>
    <w:p w14:paraId="1C739BA9" w14:textId="77777777" w:rsidR="000D54E3" w:rsidRPr="000D54E3" w:rsidRDefault="000D54E3" w:rsidP="00AA3A03">
      <w:pPr>
        <w:pBdr>
          <w:top w:val="nil"/>
          <w:left w:val="nil"/>
          <w:bottom w:val="nil"/>
          <w:right w:val="nil"/>
          <w:between w:val="nil"/>
        </w:pBdr>
        <w:rPr>
          <w:iCs/>
        </w:rPr>
      </w:pPr>
    </w:p>
    <w:p w14:paraId="3DF0EB0A" w14:textId="23808F21" w:rsidR="000D54E3" w:rsidRPr="000D54E3" w:rsidRDefault="00F44AA8" w:rsidP="00AA3A03">
      <w:pPr>
        <w:rPr>
          <w:iCs/>
        </w:rPr>
      </w:pPr>
      <w:r w:rsidRPr="000D54E3">
        <w:rPr>
          <w:b/>
          <w:iCs/>
        </w:rPr>
        <w:t>Stress resistance of treatments with respect to hydration at three levels</w:t>
      </w:r>
    </w:p>
    <w:p w14:paraId="57AB59FC" w14:textId="4A807AB9" w:rsidR="00B379D6" w:rsidRPr="00AA3A03" w:rsidRDefault="00F44AA8" w:rsidP="00AA3A03">
      <w:pPr>
        <w:rPr>
          <w:color w:val="000000" w:themeColor="text1"/>
        </w:rPr>
      </w:pPr>
      <w:r w:rsidRPr="00AA3A03">
        <w:t xml:space="preserve">The physiological and morphological response </w:t>
      </w:r>
      <w:r w:rsidR="003B0ED4" w:rsidRPr="00AA3A03">
        <w:t>of lettuce (</w:t>
      </w:r>
      <w:r w:rsidR="003B0ED4" w:rsidRPr="00AA3A03">
        <w:rPr>
          <w:i/>
        </w:rPr>
        <w:t>Lactuca sativa</w:t>
      </w:r>
      <w:r w:rsidR="003B0ED4" w:rsidRPr="00AA3A03">
        <w:t xml:space="preserve"> L. var. </w:t>
      </w:r>
      <w:proofErr w:type="spellStart"/>
      <w:r w:rsidR="003B0ED4" w:rsidRPr="00AA3A03">
        <w:t>Paspartu</w:t>
      </w:r>
      <w:proofErr w:type="spellEnd"/>
      <w:r w:rsidR="003B0ED4" w:rsidRPr="00AA3A03">
        <w:t xml:space="preserve">) </w:t>
      </w:r>
      <w:r w:rsidR="00DA03BA" w:rsidRPr="00AA3A03">
        <w:t xml:space="preserve">to water stress </w:t>
      </w:r>
      <w:r w:rsidR="009E6AD7" w:rsidRPr="00AA3A03">
        <w:t>was</w:t>
      </w:r>
      <w:r w:rsidRPr="00AA3A03">
        <w:t xml:space="preserve"> evaluated across three irriga</w:t>
      </w:r>
      <w:r w:rsidR="003B0ED4" w:rsidRPr="00AA3A03">
        <w:t>tion levels (50%, 75%, and 100%</w:t>
      </w:r>
      <w:r w:rsidRPr="00AA3A03">
        <w:t xml:space="preserve">). A </w:t>
      </w:r>
      <w:r w:rsidRPr="00AA3A03">
        <w:rPr>
          <w:bCs/>
        </w:rPr>
        <w:t>one-way factorial ANOVA</w:t>
      </w:r>
      <w:r w:rsidRPr="00AA3A03">
        <w:t xml:space="preserve"> was conducted to determine the main effects</w:t>
      </w:r>
      <w:r w:rsidR="00096D8D" w:rsidRPr="00AA3A03">
        <w:t xml:space="preserve"> of microbial treatments (Treatments (T): TI: </w:t>
      </w:r>
      <w:r w:rsidRPr="00AA3A03">
        <w:t xml:space="preserve">Microbial consortium, </w:t>
      </w:r>
      <w:r w:rsidR="00577E99" w:rsidRPr="00AA3A03">
        <w:t>TII</w:t>
      </w:r>
      <w:r w:rsidR="00096D8D" w:rsidRPr="00AA3A03">
        <w:t xml:space="preserve">: </w:t>
      </w:r>
      <w:proofErr w:type="spellStart"/>
      <w:r w:rsidRPr="00AA3A03">
        <w:rPr>
          <w:i/>
        </w:rPr>
        <w:t>Trichoderma</w:t>
      </w:r>
      <w:proofErr w:type="spellEnd"/>
      <w:r w:rsidRPr="00AA3A03">
        <w:rPr>
          <w:i/>
        </w:rPr>
        <w:t xml:space="preserve"> </w:t>
      </w:r>
      <w:proofErr w:type="spellStart"/>
      <w:r w:rsidRPr="00AA3A03">
        <w:rPr>
          <w:i/>
        </w:rPr>
        <w:t>harzianum</w:t>
      </w:r>
      <w:proofErr w:type="spellEnd"/>
      <w:r w:rsidRPr="00AA3A03">
        <w:t xml:space="preserve">, and </w:t>
      </w:r>
      <w:r w:rsidR="00096D8D" w:rsidRPr="00AA3A03">
        <w:t xml:space="preserve">TC: </w:t>
      </w:r>
      <w:r w:rsidRPr="00AA3A03">
        <w:t>Control), days after sowing (DAS), and their interaction (T -</w:t>
      </w:r>
      <w:r w:rsidR="00096D8D" w:rsidRPr="00AA3A03">
        <w:t xml:space="preserve"> DAS) on the performance</w:t>
      </w:r>
      <w:r w:rsidRPr="00AA3A03">
        <w:t xml:space="preserve"> parameters: </w:t>
      </w:r>
      <w:r w:rsidR="00366494" w:rsidRPr="00AA3A03">
        <w:t>Leaf Number</w:t>
      </w:r>
      <w:r w:rsidRPr="00AA3A03">
        <w:t xml:space="preserve"> (</w:t>
      </w:r>
      <w:r w:rsidR="003435FA" w:rsidRPr="00AA3A03">
        <w:t>LN</w:t>
      </w:r>
      <w:r w:rsidRPr="00AA3A03">
        <w:t xml:space="preserve">), Leaf Length (LL), Leaf Width (LW), Stem Diameter (SD), and Plant Height (PH). During the initial establishment phase, baseline measurements indicated uniform seedling development across all groups </w:t>
      </w:r>
      <w:r w:rsidR="008A15F3" w:rsidRPr="00AA3A03">
        <w:t>before</w:t>
      </w:r>
      <w:r w:rsidRPr="00AA3A03">
        <w:t xml:space="preserve"> the onset of differential irrigation</w:t>
      </w:r>
      <w:r w:rsidR="00096D8D" w:rsidRPr="00AA3A03">
        <w:t>, arguing that the results obtained are due to the factors analyzed (</w:t>
      </w:r>
      <w:r w:rsidR="00096D8D" w:rsidRPr="00302DD9">
        <w:rPr>
          <w:b/>
          <w:bCs/>
        </w:rPr>
        <w:t>Figure 6</w:t>
      </w:r>
      <w:r w:rsidR="00096D8D" w:rsidRPr="00AA3A03">
        <w:t>). The average plant height of the three treatments at this phenological stage was 35.58 mm, with no statistically significant difference. Similarly, the number of true leaves, leaf length, leaf width, and stem diameter showed no significant differences</w:t>
      </w:r>
      <w:r w:rsidR="009E6AD7" w:rsidRPr="00AA3A03">
        <w:t xml:space="preserve"> (</w:t>
      </w:r>
      <w:r w:rsidR="00096D8D" w:rsidRPr="00302DD9">
        <w:rPr>
          <w:b/>
          <w:bCs/>
        </w:rPr>
        <w:t xml:space="preserve">Table </w:t>
      </w:r>
      <w:r w:rsidR="00A470F5" w:rsidRPr="00302DD9">
        <w:rPr>
          <w:b/>
          <w:bCs/>
        </w:rPr>
        <w:t>1</w:t>
      </w:r>
      <w:r w:rsidR="009E6AD7" w:rsidRPr="00AA3A03">
        <w:t>)</w:t>
      </w:r>
      <w:r w:rsidR="00CB336C" w:rsidRPr="00AA3A03">
        <w:rPr>
          <w:color w:val="000000" w:themeColor="text1"/>
        </w:rPr>
        <w:t xml:space="preserve">. </w:t>
      </w:r>
    </w:p>
    <w:p w14:paraId="37A149C2" w14:textId="2575AF5E" w:rsidR="00D00B6A" w:rsidRPr="00AA3A03" w:rsidRDefault="00D00B6A" w:rsidP="00AA3A03">
      <w:pPr>
        <w:rPr>
          <w:color w:val="000000" w:themeColor="text1"/>
        </w:rPr>
      </w:pPr>
    </w:p>
    <w:p w14:paraId="26FAD610" w14:textId="20D40EE9" w:rsidR="00D00B6A" w:rsidRPr="00AA3A03" w:rsidRDefault="00F44AA8" w:rsidP="00AA3A03">
      <w:r w:rsidRPr="00AA3A03">
        <w:t>The results of the water stress treatments at 50% irrigation show</w:t>
      </w:r>
      <w:r w:rsidR="0074632A" w:rsidRPr="00AA3A03">
        <w:t>ed</w:t>
      </w:r>
      <w:r w:rsidRPr="00AA3A03">
        <w:t xml:space="preserve"> a statistically significant difference in the number of leaves in treatment 3, which was not inoculated with microorganisms (TC), presenting a lower number of leaves compared to treatments I and II (</w:t>
      </w:r>
      <w:r w:rsidRPr="00302DD9">
        <w:rPr>
          <w:b/>
          <w:bCs/>
        </w:rPr>
        <w:t>Figure 7</w:t>
      </w:r>
      <w:r w:rsidRPr="00AA3A03">
        <w:t>). Treatment I, in addition to having a greater number of leaves, has shorter and narrower leaves, as well as a smaller stem diameter compared t</w:t>
      </w:r>
      <w:r w:rsidR="007F7DA9" w:rsidRPr="00AA3A03">
        <w:t>o the control treatment (</w:t>
      </w:r>
      <w:r w:rsidR="00A470F5" w:rsidRPr="00302DD9">
        <w:rPr>
          <w:b/>
          <w:bCs/>
        </w:rPr>
        <w:t>Table 2</w:t>
      </w:r>
      <w:r w:rsidRPr="00AA3A03">
        <w:t xml:space="preserve">). No statistically significant differences were found in the plant height variable. A thinner stem and smaller leaves are typical adaptations to reduce the transpiration surface and prevent excessive water loss. TC, </w:t>
      </w:r>
      <w:r w:rsidR="0074632A" w:rsidRPr="00AA3A03">
        <w:t>with</w:t>
      </w:r>
      <w:r w:rsidRPr="00AA3A03">
        <w:t xml:space="preserve"> fewer but larger leaves, d</w:t>
      </w:r>
      <w:r w:rsidR="0074632A" w:rsidRPr="00AA3A03">
        <w:t>id</w:t>
      </w:r>
      <w:r w:rsidRPr="00AA3A03">
        <w:t xml:space="preserve"> not achieve the same thermal “defense” efficiency as inoculated plants, which is reflected in higher CWSI values (greater thermal stress). This result confirms the hypothesis of the </w:t>
      </w:r>
      <w:proofErr w:type="spellStart"/>
      <w:r w:rsidRPr="00AA3A03">
        <w:t>biostimulant</w:t>
      </w:r>
      <w:proofErr w:type="spellEnd"/>
      <w:r w:rsidRPr="00AA3A03">
        <w:t xml:space="preserve"> effect of microorganisms. While severe water stress (50%) normally induces leaf senescence and stops the formation of new primordia to </w:t>
      </w:r>
      <w:r w:rsidR="0074632A" w:rsidRPr="00AA3A03">
        <w:t>conserve</w:t>
      </w:r>
      <w:r w:rsidRPr="00AA3A03">
        <w:t xml:space="preserve"> energy, treatments I and II maintain</w:t>
      </w:r>
      <w:r w:rsidR="0074632A" w:rsidRPr="00AA3A03">
        <w:t>ed</w:t>
      </w:r>
      <w:r w:rsidRPr="00AA3A03">
        <w:t xml:space="preserve"> cell division. The inoculated microorganisms stimulate the plant defense system and apparently act as physiological buffers, allowing plants to continue producing leaf biomass even under severe water restriction. </w:t>
      </w:r>
    </w:p>
    <w:p w14:paraId="2F5B5CDC" w14:textId="09FDC817" w:rsidR="00D00B6A" w:rsidRPr="00AA3A03" w:rsidRDefault="00D00B6A" w:rsidP="00AA3A03"/>
    <w:p w14:paraId="5A7F62F0" w14:textId="13DAA88A" w:rsidR="001162F4" w:rsidRPr="00AA3A03" w:rsidRDefault="00A470F5" w:rsidP="00AA3A03">
      <w:r w:rsidRPr="007861E3">
        <w:rPr>
          <w:b/>
          <w:bCs/>
        </w:rPr>
        <w:t>Table 3</w:t>
      </w:r>
      <w:r w:rsidR="00D00B6A" w:rsidRPr="007861E3">
        <w:rPr>
          <w:b/>
          <w:bCs/>
        </w:rPr>
        <w:t xml:space="preserve"> </w:t>
      </w:r>
      <w:r w:rsidR="00D00B6A" w:rsidRPr="00AA3A03">
        <w:t xml:space="preserve">shows the results of water stress at 75% irrigation at field capacity. Plants inoculated with </w:t>
      </w:r>
      <w:r w:rsidR="007861E3">
        <w:t>T</w:t>
      </w:r>
      <w:r w:rsidR="00D00B6A" w:rsidRPr="00AA3A03">
        <w:t xml:space="preserve">reatment I, </w:t>
      </w:r>
      <w:r w:rsidR="007861E3">
        <w:t>T</w:t>
      </w:r>
      <w:r w:rsidR="00D00B6A" w:rsidRPr="00AA3A03">
        <w:t xml:space="preserve">reatment II, and </w:t>
      </w:r>
      <w:r w:rsidR="007861E3">
        <w:t>T</w:t>
      </w:r>
      <w:r w:rsidR="00D00B6A" w:rsidRPr="00AA3A03">
        <w:t xml:space="preserve">reatment III showed statistically significant differences in the number of leaves (TI: 22.62%, </w:t>
      </w:r>
      <w:r w:rsidR="00577E99" w:rsidRPr="00AA3A03">
        <w:t>TIII</w:t>
      </w:r>
      <w:r w:rsidR="00D00B6A" w:rsidRPr="00AA3A03">
        <w:t xml:space="preserve">: 6.41% fewer leaves than </w:t>
      </w:r>
      <w:r w:rsidR="00577E99" w:rsidRPr="00AA3A03">
        <w:t>TII</w:t>
      </w:r>
      <w:r w:rsidR="00D00B6A" w:rsidRPr="00AA3A03">
        <w:t xml:space="preserve">), as shown in </w:t>
      </w:r>
      <w:r w:rsidR="00D00B6A" w:rsidRPr="007861E3">
        <w:rPr>
          <w:b/>
          <w:bCs/>
        </w:rPr>
        <w:t>Figure 8</w:t>
      </w:r>
      <w:r w:rsidR="00D00B6A" w:rsidRPr="00AA3A03">
        <w:t>. For the LL variable, there was also a statistically significant difference between treatments (</w:t>
      </w:r>
      <w:r w:rsidR="00577E99" w:rsidRPr="00AA3A03">
        <w:t>TI</w:t>
      </w:r>
      <w:r w:rsidR="00D00B6A" w:rsidRPr="00AA3A03">
        <w:t xml:space="preserve">: 29.35%, </w:t>
      </w:r>
      <w:r w:rsidR="00577E99" w:rsidRPr="00AA3A03">
        <w:t>TIII</w:t>
      </w:r>
      <w:r w:rsidR="00D00B6A" w:rsidRPr="00AA3A03">
        <w:t>: 27.91</w:t>
      </w:r>
      <w:r w:rsidR="001C0123" w:rsidRPr="00AA3A03">
        <w:t>%</w:t>
      </w:r>
      <w:r w:rsidR="00D00B6A" w:rsidRPr="00AA3A03">
        <w:t xml:space="preserve"> greater leaf length than </w:t>
      </w:r>
      <w:r w:rsidR="00577E99" w:rsidRPr="00AA3A03">
        <w:t>TII</w:t>
      </w:r>
      <w:r w:rsidR="00D00B6A" w:rsidRPr="00AA3A03">
        <w:t xml:space="preserve">). With regard to the LW variable, </w:t>
      </w:r>
      <w:r w:rsidR="00577E99" w:rsidRPr="00AA3A03">
        <w:t>TIII</w:t>
      </w:r>
      <w:r w:rsidR="00D00B6A" w:rsidRPr="00AA3A03">
        <w:t xml:space="preserve"> and </w:t>
      </w:r>
      <w:r w:rsidR="00577E99" w:rsidRPr="00AA3A03">
        <w:t>TI</w:t>
      </w:r>
      <w:r w:rsidR="00D00B6A" w:rsidRPr="00AA3A03">
        <w:t xml:space="preserve"> did not show a significant difference between treatments, but </w:t>
      </w:r>
      <w:r w:rsidR="00577E99" w:rsidRPr="00AA3A03">
        <w:t>TII</w:t>
      </w:r>
      <w:r w:rsidR="00D00B6A" w:rsidRPr="00AA3A03">
        <w:t xml:space="preserve"> </w:t>
      </w:r>
      <w:r w:rsidR="00F80BDE" w:rsidRPr="00AA3A03">
        <w:t xml:space="preserve">showed a </w:t>
      </w:r>
      <w:r w:rsidR="00D00B6A" w:rsidRPr="00AA3A03">
        <w:t xml:space="preserve">37% </w:t>
      </w:r>
      <w:r w:rsidR="00F80BDE" w:rsidRPr="00AA3A03">
        <w:t>reduction in</w:t>
      </w:r>
      <w:r w:rsidR="00D00B6A" w:rsidRPr="00AA3A03">
        <w:t xml:space="preserve"> width </w:t>
      </w:r>
      <w:r w:rsidR="00F80BDE" w:rsidRPr="00AA3A03">
        <w:t>compared to</w:t>
      </w:r>
      <w:r w:rsidR="00D00B6A" w:rsidRPr="00AA3A03">
        <w:t xml:space="preserve"> </w:t>
      </w:r>
      <w:r w:rsidR="00577E99" w:rsidRPr="00AA3A03">
        <w:t>TIII</w:t>
      </w:r>
      <w:r w:rsidR="00D00B6A" w:rsidRPr="00AA3A03">
        <w:t xml:space="preserve"> and </w:t>
      </w:r>
      <w:r w:rsidR="00577E99" w:rsidRPr="00AA3A03">
        <w:t>TI</w:t>
      </w:r>
      <w:r w:rsidR="00D00B6A" w:rsidRPr="00AA3A03">
        <w:t xml:space="preserve">. It is worth </w:t>
      </w:r>
      <w:r w:rsidR="00F80BDE" w:rsidRPr="00AA3A03">
        <w:t>noting</w:t>
      </w:r>
      <w:r w:rsidR="00D00B6A" w:rsidRPr="00AA3A03">
        <w:t xml:space="preserve"> that there </w:t>
      </w:r>
      <w:r w:rsidR="00F80BDE" w:rsidRPr="00AA3A03">
        <w:t>was</w:t>
      </w:r>
      <w:r w:rsidR="00D00B6A" w:rsidRPr="00AA3A03">
        <w:t xml:space="preserve"> </w:t>
      </w:r>
      <w:r w:rsidR="007861E3">
        <w:t xml:space="preserve">a </w:t>
      </w:r>
      <w:r w:rsidR="00D00B6A" w:rsidRPr="00AA3A03">
        <w:t xml:space="preserve">statistically significant difference in stem diameter between treatments </w:t>
      </w:r>
      <w:r w:rsidR="00577E99" w:rsidRPr="00AA3A03">
        <w:t>TI</w:t>
      </w:r>
      <w:r w:rsidR="00D00B6A" w:rsidRPr="00AA3A03">
        <w:t xml:space="preserve"> and </w:t>
      </w:r>
      <w:r w:rsidR="00577E99" w:rsidRPr="00AA3A03">
        <w:t>TIII</w:t>
      </w:r>
      <w:r w:rsidR="00D00B6A" w:rsidRPr="00AA3A03">
        <w:t xml:space="preserve"> (</w:t>
      </w:r>
      <w:r w:rsidR="00577E99" w:rsidRPr="00AA3A03">
        <w:t>TI</w:t>
      </w:r>
      <w:r w:rsidR="00D00B6A" w:rsidRPr="00AA3A03">
        <w:t xml:space="preserve">: 11.76% greater stem diameter), with no significant difference with </w:t>
      </w:r>
      <w:r w:rsidR="00577E99" w:rsidRPr="00AA3A03">
        <w:t>TII</w:t>
      </w:r>
      <w:r w:rsidR="00D00B6A" w:rsidRPr="00AA3A03">
        <w:t>. In terms of plant height</w:t>
      </w:r>
      <w:r w:rsidR="00804C9C">
        <w:t>,</w:t>
      </w:r>
      <w:r w:rsidR="00D00B6A" w:rsidRPr="00AA3A03">
        <w:t xml:space="preserve"> treatments 1 and 2 did not </w:t>
      </w:r>
      <w:r w:rsidR="00F80BDE" w:rsidRPr="00AA3A03">
        <w:t xml:space="preserve">differ </w:t>
      </w:r>
      <w:r w:rsidR="00D00B6A" w:rsidRPr="00AA3A03">
        <w:t>significant</w:t>
      </w:r>
      <w:r w:rsidR="00F80BDE" w:rsidRPr="00AA3A03">
        <w:t>ly;</w:t>
      </w:r>
      <w:r w:rsidR="00D00B6A" w:rsidRPr="00AA3A03">
        <w:t xml:space="preserve"> however, </w:t>
      </w:r>
      <w:r w:rsidR="00577E99" w:rsidRPr="00AA3A03">
        <w:t>TIII</w:t>
      </w:r>
      <w:r w:rsidR="00D00B6A" w:rsidRPr="00AA3A03">
        <w:t xml:space="preserve"> had a 9.5% lower plant height compared to TI and TII. These results show that </w:t>
      </w:r>
      <w:r w:rsidR="00577E99" w:rsidRPr="00AA3A03">
        <w:t>TI</w:t>
      </w:r>
      <w:r w:rsidR="00D00B6A" w:rsidRPr="00AA3A03">
        <w:t xml:space="preserve"> acts as a structural enhancer. A larger stem diameter is a key indicator of a more robust vascular system (xylem/phloem), which facilitates the transport of water and nutrients under water stress. This structural vigor allows lettuce to maintain a higher rate of leaf differentiation and vertical growth, </w:t>
      </w:r>
      <w:r w:rsidR="00F44AA8" w:rsidRPr="00AA3A03">
        <w:t xml:space="preserve">overcoming the limitations imposed by moderate stress. There is a marked contrast between </w:t>
      </w:r>
      <w:r w:rsidR="00577E99" w:rsidRPr="00AA3A03">
        <w:t>TI</w:t>
      </w:r>
      <w:r w:rsidR="00F44AA8" w:rsidRPr="00AA3A03">
        <w:t xml:space="preserve"> and </w:t>
      </w:r>
      <w:r w:rsidR="00577E99" w:rsidRPr="00AA3A03">
        <w:t>TII</w:t>
      </w:r>
      <w:r w:rsidR="00F44AA8" w:rsidRPr="00AA3A03">
        <w:t xml:space="preserve">. While </w:t>
      </w:r>
      <w:r w:rsidR="00577E99" w:rsidRPr="00AA3A03">
        <w:t>TI</w:t>
      </w:r>
      <w:r w:rsidR="00F44AA8" w:rsidRPr="00AA3A03">
        <w:t xml:space="preserve"> promotes large leaves and a thick stem (maximum biomass), </w:t>
      </w:r>
      <w:r w:rsidR="00577E99" w:rsidRPr="00AA3A03">
        <w:t>TII</w:t>
      </w:r>
      <w:r w:rsidR="00F44AA8" w:rsidRPr="00AA3A03">
        <w:t xml:space="preserve"> appears to induce a compact morphology (shorter, narrower leaves). Physiologically, </w:t>
      </w:r>
      <w:r w:rsidR="00577E99" w:rsidRPr="00AA3A03">
        <w:t>TI</w:t>
      </w:r>
      <w:r w:rsidR="00F44AA8" w:rsidRPr="00AA3A03">
        <w:t xml:space="preserve"> and </w:t>
      </w:r>
      <w:r w:rsidR="00577E99" w:rsidRPr="00AA3A03">
        <w:t>TIII</w:t>
      </w:r>
      <w:r w:rsidR="00F44AA8" w:rsidRPr="00AA3A03">
        <w:t xml:space="preserve"> </w:t>
      </w:r>
      <w:r w:rsidR="00F80BDE" w:rsidRPr="00AA3A03">
        <w:t xml:space="preserve">strategies </w:t>
      </w:r>
      <w:r w:rsidR="00F44AA8" w:rsidRPr="00AA3A03">
        <w:t xml:space="preserve">suggest that, at 75% irrigation, the plant still attempts to maximize light interception through leaf expansion. However, </w:t>
      </w:r>
      <w:r w:rsidR="00577E99" w:rsidRPr="00AA3A03">
        <w:t>TIII</w:t>
      </w:r>
      <w:r w:rsidR="00F44AA8" w:rsidRPr="00AA3A03">
        <w:t xml:space="preserve"> (Control) does so at the expense of lower height and a thinner stem, making it more vulnerable than </w:t>
      </w:r>
      <w:r w:rsidR="00577E99" w:rsidRPr="00AA3A03">
        <w:t>TI</w:t>
      </w:r>
      <w:r w:rsidR="00F44AA8" w:rsidRPr="00AA3A03">
        <w:t>. 75% irrigation represents a barrier to</w:t>
      </w:r>
      <w:r w:rsidR="00F80BDE" w:rsidRPr="00AA3A03">
        <w:t xml:space="preserve"> the development of</w:t>
      </w:r>
      <w:r w:rsidR="00F44AA8" w:rsidRPr="00AA3A03">
        <w:t xml:space="preserve"> optimal control. Without microbial support, lettuce reduces its vertical growth rate and new leaf production to conserve energy, confirming that inoculation is necessary even at stress levels that do not appear lethal.</w:t>
      </w:r>
    </w:p>
    <w:p w14:paraId="64036747" w14:textId="77777777" w:rsidR="001162F4" w:rsidRPr="00AA3A03" w:rsidRDefault="001162F4" w:rsidP="00AA3A03"/>
    <w:p w14:paraId="6FB89033" w14:textId="761EDB6E" w:rsidR="001162F4" w:rsidRPr="00AA3A03" w:rsidRDefault="00F44AA8" w:rsidP="00AA3A03">
      <w:r w:rsidRPr="00AA3A03">
        <w:t xml:space="preserve">On the other hand, </w:t>
      </w:r>
      <w:r w:rsidRPr="00C95CA1">
        <w:rPr>
          <w:b/>
          <w:bCs/>
        </w:rPr>
        <w:t xml:space="preserve">Table </w:t>
      </w:r>
      <w:r w:rsidR="00A470F5" w:rsidRPr="00C95CA1">
        <w:rPr>
          <w:b/>
          <w:bCs/>
        </w:rPr>
        <w:t>4</w:t>
      </w:r>
      <w:r w:rsidRPr="00AA3A03">
        <w:t xml:space="preserve"> shows the morphological results when plants are subjected to field capacity irrigation (100% FC). Treatments 1 and 2 do not </w:t>
      </w:r>
      <w:r w:rsidR="00F80BDE" w:rsidRPr="00AA3A03">
        <w:t xml:space="preserve">differ </w:t>
      </w:r>
      <w:r w:rsidRPr="00AA3A03">
        <w:t>significant</w:t>
      </w:r>
      <w:r w:rsidR="00F80BDE" w:rsidRPr="00AA3A03">
        <w:t>ly from each other</w:t>
      </w:r>
      <w:r w:rsidRPr="00AA3A03">
        <w:t xml:space="preserve">, but they differ from the control treatment, which had 10.27% fewer leaves. Treatments I and II showed significant differences in the leaf length variable (TII: 25.5% less length), </w:t>
      </w:r>
      <w:r w:rsidR="00577E99" w:rsidRPr="00AA3A03">
        <w:t>TIII</w:t>
      </w:r>
      <w:r w:rsidRPr="00AA3A03">
        <w:t xml:space="preserve"> showed no significant differences with </w:t>
      </w:r>
      <w:r w:rsidR="00577E99" w:rsidRPr="00AA3A03">
        <w:t>TI</w:t>
      </w:r>
      <w:r w:rsidRPr="00AA3A03">
        <w:t xml:space="preserve"> or </w:t>
      </w:r>
      <w:r w:rsidR="00577E99" w:rsidRPr="00AA3A03">
        <w:t>TII</w:t>
      </w:r>
      <w:r w:rsidRPr="00AA3A03">
        <w:t xml:space="preserve">, and with respect to leaf width, no significant difference was </w:t>
      </w:r>
      <w:r w:rsidRPr="00AA3A03">
        <w:lastRenderedPageBreak/>
        <w:t xml:space="preserve">observed between treatments </w:t>
      </w:r>
      <w:r w:rsidR="00577E99" w:rsidRPr="00AA3A03">
        <w:t>TII</w:t>
      </w:r>
      <w:r w:rsidRPr="00AA3A03">
        <w:t xml:space="preserve"> and </w:t>
      </w:r>
      <w:r w:rsidR="00577E99" w:rsidRPr="00AA3A03">
        <w:t>TIII</w:t>
      </w:r>
      <w:r w:rsidRPr="00AA3A03">
        <w:t xml:space="preserve">, but there was a difference with TI, where </w:t>
      </w:r>
      <w:r w:rsidR="00577E99" w:rsidRPr="00AA3A03">
        <w:t>TII</w:t>
      </w:r>
      <w:r w:rsidRPr="00AA3A03">
        <w:t xml:space="preserve"> and TIII were 30% less wide than </w:t>
      </w:r>
      <w:r w:rsidR="00577E99" w:rsidRPr="00AA3A03">
        <w:t>TI</w:t>
      </w:r>
      <w:r w:rsidRPr="00AA3A03">
        <w:t>. It should be noted that there were no statistically significant differences in stem diameter</w:t>
      </w:r>
      <w:r w:rsidR="00F80BDE" w:rsidRPr="00AA3A03">
        <w:t xml:space="preserve"> among treatments</w:t>
      </w:r>
      <w:r w:rsidRPr="00AA3A03">
        <w:t>. As with leaf width, treatments 2 and 3 showed no significant differences in plant height, with TI being 10.6% shorter (</w:t>
      </w:r>
      <w:r w:rsidRPr="00C95CA1">
        <w:rPr>
          <w:b/>
          <w:bCs/>
        </w:rPr>
        <w:t>Figure 9</w:t>
      </w:r>
      <w:r w:rsidRPr="00AA3A03">
        <w:t>). Under optimal irrigation conditions, microorganisms function as metabolism accelerators.</w:t>
      </w:r>
    </w:p>
    <w:p w14:paraId="444EB6F4" w14:textId="77777777" w:rsidR="001162F4" w:rsidRPr="00AA3A03" w:rsidRDefault="001162F4" w:rsidP="00AA3A03"/>
    <w:p w14:paraId="22B61BAF" w14:textId="31D2C938" w:rsidR="00827FB0" w:rsidRPr="00AA3A03" w:rsidRDefault="00F44AA8" w:rsidP="00AA3A03">
      <w:r w:rsidRPr="00AA3A03">
        <w:t xml:space="preserve">The increase in the number of leaves suggests stimulation of cell division in the apical meristems, probably mediated by phytohormone </w:t>
      </w:r>
      <w:r w:rsidR="00F80BDE" w:rsidRPr="00AA3A03">
        <w:t xml:space="preserve">synthesis </w:t>
      </w:r>
      <w:r w:rsidRPr="00AA3A03">
        <w:t xml:space="preserve">(such as </w:t>
      </w:r>
      <w:proofErr w:type="spellStart"/>
      <w:r w:rsidRPr="00AA3A03">
        <w:t>cytokinins</w:t>
      </w:r>
      <w:proofErr w:type="spellEnd"/>
      <w:r w:rsidRPr="00AA3A03">
        <w:t xml:space="preserve"> and auxins) by the inoculants, allowing the plant to produce more photosynthetic units in the same period. Treatment I induces a lateral expansion strategy. Leaves that are 30% wider dramatically increase the light</w:t>
      </w:r>
      <w:r w:rsidR="00F80BDE" w:rsidRPr="00AA3A03">
        <w:t>-</w:t>
      </w:r>
      <w:r w:rsidRPr="00AA3A03">
        <w:t>interception surface area, translat</w:t>
      </w:r>
      <w:r w:rsidR="00F80BDE" w:rsidRPr="00AA3A03">
        <w:t>ing</w:t>
      </w:r>
      <w:r w:rsidRPr="00AA3A03">
        <w:t xml:space="preserve"> into greater photosynthetic efficiency per unit area. In contrast, Treatment II appears to promote a more compact morphology (shorter leaves), which </w:t>
      </w:r>
      <w:r w:rsidR="00F80BDE" w:rsidRPr="00AA3A03">
        <w:t>may be associated with</w:t>
      </w:r>
      <w:r w:rsidRPr="00AA3A03">
        <w:t xml:space="preserve"> a higher biomass density per leaf. The reduction in height of </w:t>
      </w:r>
      <w:r w:rsidR="00577E99" w:rsidRPr="00AA3A03">
        <w:t>TI</w:t>
      </w:r>
      <w:r w:rsidRPr="00AA3A03">
        <w:t xml:space="preserve">, combined with its horizontal leaf expansion, indicates a redistribution of assimilates towards commercial biomass (leaves) rather than the vertical axis. For lettuce production, this architecture is ideal, as it </w:t>
      </w:r>
      <w:r w:rsidR="00F80BDE" w:rsidRPr="00AA3A03">
        <w:t>produces</w:t>
      </w:r>
      <w:r w:rsidRPr="00AA3A03">
        <w:t xml:space="preserve"> a denser</w:t>
      </w:r>
      <w:r w:rsidR="00F80BDE" w:rsidRPr="00AA3A03">
        <w:t>,</w:t>
      </w:r>
      <w:r w:rsidRPr="00AA3A03">
        <w:t xml:space="preserve"> heavier rosette. The stability of the stem diameter confirms that, at 100% irrigation, the vascular structure is sufficient for all treatments.</w:t>
      </w:r>
    </w:p>
    <w:p w14:paraId="54116BDE" w14:textId="77777777" w:rsidR="00B379D6" w:rsidRPr="00AA3A03" w:rsidRDefault="00B379D6" w:rsidP="00AA3A03"/>
    <w:p w14:paraId="41CC7419" w14:textId="4774E943" w:rsidR="00E05530" w:rsidRPr="00AA3A03" w:rsidRDefault="00F44AA8" w:rsidP="00AA3A03">
      <w:r w:rsidRPr="00C95CA1">
        <w:rPr>
          <w:b/>
          <w:bCs/>
        </w:rPr>
        <w:t>Figure 10</w:t>
      </w:r>
      <w:r w:rsidR="00B379D6" w:rsidRPr="00AA3A03">
        <w:t xml:space="preserve"> shows the CWSI results based on the images taken during the trial (</w:t>
      </w:r>
      <w:r w:rsidR="005B2D9C" w:rsidRPr="00C95CA1">
        <w:rPr>
          <w:b/>
          <w:bCs/>
        </w:rPr>
        <w:t>Figure</w:t>
      </w:r>
      <w:r w:rsidR="00B379D6" w:rsidRPr="00C95CA1">
        <w:rPr>
          <w:b/>
          <w:bCs/>
        </w:rPr>
        <w:t xml:space="preserve"> </w:t>
      </w:r>
      <w:r w:rsidRPr="00C95CA1">
        <w:rPr>
          <w:b/>
          <w:bCs/>
        </w:rPr>
        <w:t>11</w:t>
      </w:r>
      <w:r w:rsidR="00B379D6" w:rsidRPr="00AA3A03">
        <w:t>,</w:t>
      </w:r>
      <w:r w:rsidR="005B2D9C" w:rsidRPr="00AA3A03">
        <w:t xml:space="preserve"> </w:t>
      </w:r>
      <w:r w:rsidR="005B2D9C" w:rsidRPr="005E33AA">
        <w:rPr>
          <w:b/>
          <w:bCs/>
        </w:rPr>
        <w:t>Figure</w:t>
      </w:r>
      <w:r w:rsidR="00B379D6" w:rsidRPr="005E33AA">
        <w:rPr>
          <w:b/>
          <w:bCs/>
        </w:rPr>
        <w:t xml:space="preserve"> </w:t>
      </w:r>
      <w:r w:rsidRPr="005E33AA">
        <w:rPr>
          <w:b/>
          <w:bCs/>
        </w:rPr>
        <w:t>12</w:t>
      </w:r>
      <w:r w:rsidR="00B379D6" w:rsidRPr="00AA3A03">
        <w:t xml:space="preserve">, and </w:t>
      </w:r>
      <w:r w:rsidR="005B2D9C" w:rsidRPr="005E33AA">
        <w:rPr>
          <w:b/>
          <w:bCs/>
        </w:rPr>
        <w:t xml:space="preserve">Figure </w:t>
      </w:r>
      <w:r w:rsidRPr="005E33AA">
        <w:rPr>
          <w:b/>
          <w:bCs/>
        </w:rPr>
        <w:t>13</w:t>
      </w:r>
      <w:r w:rsidR="00B379D6" w:rsidRPr="00AA3A03">
        <w:t>). The image sho</w:t>
      </w:r>
      <w:r w:rsidRPr="00AA3A03">
        <w:t xml:space="preserve">ws nine graphs </w:t>
      </w:r>
      <w:r w:rsidR="00A256DC" w:rsidRPr="00AA3A03">
        <w:t>comparing</w:t>
      </w:r>
      <w:r w:rsidRPr="00AA3A03">
        <w:t xml:space="preserve"> the Treatment </w:t>
      </w:r>
      <w:r w:rsidRPr="005E33AA">
        <w:rPr>
          <w:i/>
          <w:iCs/>
        </w:rPr>
        <w:t>vs</w:t>
      </w:r>
      <w:r w:rsidRPr="00AA3A03">
        <w:t>.</w:t>
      </w:r>
      <w:r w:rsidR="00B379D6" w:rsidRPr="00AA3A03">
        <w:t xml:space="preserve"> </w:t>
      </w:r>
      <w:r w:rsidR="005E33AA">
        <w:t xml:space="preserve">the </w:t>
      </w:r>
      <w:r w:rsidR="00B379D6" w:rsidRPr="00AA3A03">
        <w:t xml:space="preserve">% irrigation applied to each tray. Each data point is represented by </w:t>
      </w:r>
      <w:r w:rsidR="00A256DC" w:rsidRPr="00AA3A03">
        <w:t xml:space="preserve">an </w:t>
      </w:r>
      <w:r w:rsidR="00B379D6" w:rsidRPr="00AA3A03">
        <w:t>open circle, while the dashed trend line shows how the CWSI evolves over time, and the shaded line (gray) indicates the confidence interval, i.e., the uncertainty of the model.</w:t>
      </w:r>
      <w:r w:rsidR="00827FB0" w:rsidRPr="00AA3A03">
        <w:t xml:space="preserve"> In relation to the trend in CWSI values during phase 2, the vertical axis indicates the CWSI value, while the horizontal axis indicates the number of days elapsed. If the CWSI value </w:t>
      </w:r>
      <w:r w:rsidR="00A256DC" w:rsidRPr="00AA3A03">
        <w:t>approaches</w:t>
      </w:r>
      <w:r w:rsidR="00827FB0" w:rsidRPr="00AA3A03">
        <w:t xml:space="preserve"> 1, this indicates maximum stress on the plant, and 0 indicates the opposite. The shaded band indicates variability; the narrower it is, the greater the accuracy of the data. The results show that in graphs 4, 5, and 6 (PROTRI), the trend is slightly positive and gradual, although there is greater uncertainty at 50% irrigation than at 100%. </w:t>
      </w:r>
      <w:r w:rsidR="0036742D" w:rsidRPr="00AA3A03">
        <w:t>T</w:t>
      </w:r>
      <w:r w:rsidR="00B379D6" w:rsidRPr="00AA3A03">
        <w:t xml:space="preserve">he </w:t>
      </w:r>
      <w:r w:rsidRPr="00AA3A03">
        <w:t>TI-</w:t>
      </w:r>
      <w:r w:rsidR="00B379D6" w:rsidRPr="00AA3A03">
        <w:t>100</w:t>
      </w:r>
      <w:r w:rsidRPr="00AA3A03">
        <w:t xml:space="preserve">% </w:t>
      </w:r>
      <w:r w:rsidR="003435FA" w:rsidRPr="00AA3A03">
        <w:t>F</w:t>
      </w:r>
      <w:r w:rsidRPr="00AA3A03">
        <w:t>C</w:t>
      </w:r>
      <w:r w:rsidR="00B379D6" w:rsidRPr="00AA3A03">
        <w:t xml:space="preserve">, </w:t>
      </w:r>
      <w:r w:rsidR="00A068CC" w:rsidRPr="00AA3A03">
        <w:t>TII</w:t>
      </w:r>
      <w:r w:rsidR="00B379D6" w:rsidRPr="00AA3A03">
        <w:t>-100</w:t>
      </w:r>
      <w:r w:rsidR="00A068CC" w:rsidRPr="00AA3A03">
        <w:t xml:space="preserve">% </w:t>
      </w:r>
      <w:r w:rsidR="003435FA" w:rsidRPr="00AA3A03">
        <w:t>F</w:t>
      </w:r>
      <w:r w:rsidR="00A068CC" w:rsidRPr="00AA3A03">
        <w:t>C</w:t>
      </w:r>
      <w:r w:rsidR="00B379D6" w:rsidRPr="00AA3A03">
        <w:t xml:space="preserve">, and </w:t>
      </w:r>
      <w:r w:rsidR="00A068CC" w:rsidRPr="00AA3A03">
        <w:t>TII-</w:t>
      </w:r>
      <w:r w:rsidR="00B379D6" w:rsidRPr="00AA3A03">
        <w:t>75</w:t>
      </w:r>
      <w:r w:rsidR="00A068CC" w:rsidRPr="00AA3A03">
        <w:t>% irrigated</w:t>
      </w:r>
      <w:r w:rsidR="00B379D6" w:rsidRPr="00AA3A03">
        <w:t xml:space="preserve"> appear to be the most effective in reducing water stress</w:t>
      </w:r>
      <w:r w:rsidR="00A256DC" w:rsidRPr="00AA3A03">
        <w:t>,</w:t>
      </w:r>
      <w:r w:rsidR="00B379D6" w:rsidRPr="00AA3A03">
        <w:t xml:space="preserve"> according to the CWSI index. The shaded area is lower and more stable than </w:t>
      </w:r>
      <w:r w:rsidR="003B0ED4" w:rsidRPr="00AA3A03">
        <w:t xml:space="preserve">the </w:t>
      </w:r>
      <w:r w:rsidR="00B379D6" w:rsidRPr="00AA3A03">
        <w:t>other</w:t>
      </w:r>
      <w:r w:rsidRPr="00AA3A03">
        <w:t xml:space="preserve"> treatments, and its trend line.</w:t>
      </w:r>
    </w:p>
    <w:p w14:paraId="3EA3D6CF" w14:textId="77777777" w:rsidR="00B379D6" w:rsidRPr="00AA3A03" w:rsidRDefault="00B379D6" w:rsidP="00AA3A03"/>
    <w:p w14:paraId="7315DE96" w14:textId="77777777" w:rsidR="001D0CBE" w:rsidRDefault="00F44AA8" w:rsidP="00AA3A03">
      <w:pPr>
        <w:rPr>
          <w:b/>
        </w:rPr>
      </w:pPr>
      <w:r w:rsidRPr="00AA3A03">
        <w:rPr>
          <w:b/>
        </w:rPr>
        <w:t>FIGURE AND TABLE LEGENDS:</w:t>
      </w:r>
    </w:p>
    <w:p w14:paraId="50531142" w14:textId="77777777" w:rsidR="00AE50DF" w:rsidRPr="00AA3A03" w:rsidRDefault="00AE50DF" w:rsidP="00AA3A03"/>
    <w:p w14:paraId="42E2B4FC" w14:textId="7CB93177" w:rsidR="00293033" w:rsidRDefault="00F44AA8" w:rsidP="00AA3A03">
      <w:r w:rsidRPr="00AA3A03">
        <w:rPr>
          <w:b/>
        </w:rPr>
        <w:t>Figure 1</w:t>
      </w:r>
      <w:r w:rsidR="00AE50DF" w:rsidRPr="00AE50DF">
        <w:rPr>
          <w:b/>
          <w:bCs/>
        </w:rPr>
        <w:t>:</w:t>
      </w:r>
      <w:r w:rsidR="00AE50DF">
        <w:t xml:space="preserve"> </w:t>
      </w:r>
      <w:r w:rsidRPr="00AE50DF">
        <w:rPr>
          <w:b/>
          <w:bCs/>
        </w:rPr>
        <w:t xml:space="preserve">Procedure for </w:t>
      </w:r>
      <w:r w:rsidR="00A256DC" w:rsidRPr="00AE50DF">
        <w:rPr>
          <w:b/>
          <w:bCs/>
        </w:rPr>
        <w:t xml:space="preserve">assessing </w:t>
      </w:r>
      <w:r w:rsidRPr="00AE50DF">
        <w:rPr>
          <w:b/>
          <w:bCs/>
        </w:rPr>
        <w:t>the impact of microorganisms on water stress for lettuce cultivation</w:t>
      </w:r>
      <w:r w:rsidRPr="00AA3A03">
        <w:t>.</w:t>
      </w:r>
      <w:r w:rsidR="00AE50DF">
        <w:t xml:space="preserve"> </w:t>
      </w:r>
      <w:r w:rsidRPr="00AA3A03">
        <w:t>Schematic flowchart illustrating the experimental design from inoculation to thermal data acquisition.</w:t>
      </w:r>
    </w:p>
    <w:p w14:paraId="318FFE21" w14:textId="77777777" w:rsidR="00B75FB6" w:rsidRPr="00AA3A03" w:rsidRDefault="00B75FB6" w:rsidP="00AA3A03"/>
    <w:p w14:paraId="2EF7E168" w14:textId="2625965F" w:rsidR="00293033" w:rsidRDefault="00F44AA8" w:rsidP="00AA3A03">
      <w:r w:rsidRPr="00AA3A03">
        <w:rPr>
          <w:b/>
        </w:rPr>
        <w:t>Figure 2</w:t>
      </w:r>
      <w:r w:rsidR="00B75FB6" w:rsidRPr="00B75FB6">
        <w:rPr>
          <w:b/>
          <w:bCs/>
        </w:rPr>
        <w:t xml:space="preserve">: </w:t>
      </w:r>
      <w:r w:rsidRPr="00B75FB6">
        <w:rPr>
          <w:b/>
          <w:bCs/>
        </w:rPr>
        <w:t>Experimental units with first true leaves</w:t>
      </w:r>
      <w:r w:rsidRPr="00AA3A03">
        <w:t>.</w:t>
      </w:r>
      <w:r w:rsidR="00B75FB6">
        <w:t xml:space="preserve"> </w:t>
      </w:r>
      <w:r w:rsidRPr="00AA3A03">
        <w:t>Close-up of seedlings in the germination trays (11 mL per cavity)</w:t>
      </w:r>
      <w:r w:rsidR="00B75FB6">
        <w:t>.</w:t>
      </w:r>
    </w:p>
    <w:p w14:paraId="0EC24B33" w14:textId="77777777" w:rsidR="00B75FB6" w:rsidRPr="00AA3A03" w:rsidRDefault="00B75FB6" w:rsidP="00AA3A03"/>
    <w:p w14:paraId="69AD6F9A" w14:textId="249884C7" w:rsidR="00293033" w:rsidRDefault="00F44AA8" w:rsidP="00AA3A03">
      <w:r w:rsidRPr="00AA3A03">
        <w:rPr>
          <w:b/>
        </w:rPr>
        <w:t>Figure 3</w:t>
      </w:r>
      <w:r w:rsidR="00B75FB6">
        <w:rPr>
          <w:b/>
        </w:rPr>
        <w:t xml:space="preserve">: </w:t>
      </w:r>
      <w:r w:rsidRPr="00B75FB6">
        <w:rPr>
          <w:b/>
          <w:bCs/>
        </w:rPr>
        <w:t>Experimental design with treatments</w:t>
      </w:r>
      <w:r w:rsidRPr="00AA3A03">
        <w:t>.</w:t>
      </w:r>
      <w:r w:rsidR="003435FA" w:rsidRPr="00AA3A03">
        <w:t xml:space="preserve"> PROTRI</w:t>
      </w:r>
      <w:r w:rsidR="00B75FB6">
        <w:t xml:space="preserve"> </w:t>
      </w:r>
      <w:r w:rsidRPr="00AA3A03">
        <w:t>Layout of the nine trays inside the bioclimatic chamber.</w:t>
      </w:r>
    </w:p>
    <w:p w14:paraId="04C288AD" w14:textId="77777777" w:rsidR="00324645" w:rsidRPr="00AA3A03" w:rsidRDefault="00324645" w:rsidP="00AA3A03"/>
    <w:p w14:paraId="23795A31" w14:textId="70BC69A3" w:rsidR="00293033" w:rsidRDefault="00F44AA8" w:rsidP="00AA3A03">
      <w:r w:rsidRPr="00AA3A03">
        <w:rPr>
          <w:b/>
        </w:rPr>
        <w:lastRenderedPageBreak/>
        <w:t>Figure 4</w:t>
      </w:r>
      <w:r w:rsidR="00324645">
        <w:rPr>
          <w:b/>
        </w:rPr>
        <w:t xml:space="preserve">: </w:t>
      </w:r>
      <w:r w:rsidR="003435FA" w:rsidRPr="00324645">
        <w:rPr>
          <w:b/>
          <w:bCs/>
        </w:rPr>
        <w:t>B</w:t>
      </w:r>
      <w:r w:rsidRPr="00324645">
        <w:rPr>
          <w:b/>
          <w:bCs/>
        </w:rPr>
        <w:t>ioclimatic chamber</w:t>
      </w:r>
      <w:r w:rsidRPr="00AA3A03">
        <w:t>.</w:t>
      </w:r>
      <w:r w:rsidR="00324645">
        <w:t xml:space="preserve"> </w:t>
      </w:r>
      <w:r w:rsidRPr="00AA3A03">
        <w:t>View of the controlled environment equipment used for the trial.</w:t>
      </w:r>
    </w:p>
    <w:p w14:paraId="1D35B041" w14:textId="77777777" w:rsidR="00324645" w:rsidRPr="00AA3A03" w:rsidRDefault="00324645" w:rsidP="00AA3A03"/>
    <w:p w14:paraId="0536B40A" w14:textId="602110A0" w:rsidR="00293033" w:rsidRDefault="00F44AA8" w:rsidP="00AA3A03">
      <w:r w:rsidRPr="00AA3A03">
        <w:rPr>
          <w:b/>
        </w:rPr>
        <w:t>Figure 5</w:t>
      </w:r>
      <w:r w:rsidR="00324645">
        <w:rPr>
          <w:b/>
        </w:rPr>
        <w:t xml:space="preserve">: </w:t>
      </w:r>
      <w:r w:rsidR="003435FA" w:rsidRPr="00324645">
        <w:rPr>
          <w:b/>
          <w:bCs/>
        </w:rPr>
        <w:t>B</w:t>
      </w:r>
      <w:r w:rsidRPr="00324645">
        <w:rPr>
          <w:b/>
          <w:bCs/>
        </w:rPr>
        <w:t>ioclimatic chamber with experimental units</w:t>
      </w:r>
      <w:r w:rsidRPr="00AA3A03">
        <w:t>.</w:t>
      </w:r>
      <w:r w:rsidR="00324645">
        <w:t xml:space="preserve"> </w:t>
      </w:r>
      <w:r w:rsidRPr="00AA3A03">
        <w:t>Final arrangement of the seedlings under the LED light system.</w:t>
      </w:r>
    </w:p>
    <w:p w14:paraId="16FCF87C" w14:textId="77777777" w:rsidR="00DA046D" w:rsidRPr="00324645" w:rsidRDefault="00DA046D" w:rsidP="00AA3A03"/>
    <w:p w14:paraId="5C245669" w14:textId="6CCEEBE8" w:rsidR="001D0CBE" w:rsidRDefault="00F44AA8" w:rsidP="00AA3A03">
      <w:r w:rsidRPr="00AA3A03">
        <w:rPr>
          <w:b/>
        </w:rPr>
        <w:t>Figure 6</w:t>
      </w:r>
      <w:r w:rsidR="00DA046D">
        <w:rPr>
          <w:b/>
        </w:rPr>
        <w:t xml:space="preserve">: </w:t>
      </w:r>
      <w:r w:rsidRPr="00DA046D">
        <w:rPr>
          <w:b/>
          <w:bCs/>
        </w:rPr>
        <w:t>Efficiency of treatments at plant height in the first days of germination</w:t>
      </w:r>
      <w:r w:rsidRPr="00AA3A03">
        <w:t>. Represents the initial growth response of seedlings measured in centimeters (</w:t>
      </w:r>
      <w:r w:rsidR="003435FA" w:rsidRPr="00AA3A03">
        <w:t>m</w:t>
      </w:r>
      <w:r w:rsidRPr="00AA3A03">
        <w:t>m) across different microbial treatments.</w:t>
      </w:r>
      <w:r w:rsidR="00341B3B" w:rsidRPr="00AA3A03">
        <w:t xml:space="preserve"> Error bars represent the variability between replicates.</w:t>
      </w:r>
    </w:p>
    <w:p w14:paraId="43D2594C" w14:textId="77777777" w:rsidR="00DA046D" w:rsidRPr="00AA3A03" w:rsidRDefault="00DA046D" w:rsidP="00AA3A03"/>
    <w:p w14:paraId="0A02CD5A" w14:textId="66A9EC99" w:rsidR="001D0CBE" w:rsidRDefault="00F44AA8" w:rsidP="00AA3A03">
      <w:r w:rsidRPr="00AA3A03">
        <w:rPr>
          <w:b/>
        </w:rPr>
        <w:t>Figure 7</w:t>
      </w:r>
      <w:r w:rsidR="00B20024" w:rsidRPr="00B20024">
        <w:rPr>
          <w:b/>
          <w:bCs/>
        </w:rPr>
        <w:t xml:space="preserve">: </w:t>
      </w:r>
      <w:r w:rsidRPr="00B20024">
        <w:rPr>
          <w:b/>
          <w:bCs/>
        </w:rPr>
        <w:t>Leaf number in relation to treatments applying 50% irrigation</w:t>
      </w:r>
      <w:r w:rsidRPr="00AA3A03">
        <w:t>.</w:t>
      </w:r>
      <w:r w:rsidR="00B20024">
        <w:t xml:space="preserve"> </w:t>
      </w:r>
      <w:r w:rsidRPr="00AA3A03">
        <w:t xml:space="preserve">It shows the </w:t>
      </w:r>
      <w:r w:rsidR="0079590C" w:rsidRPr="00AA3A03">
        <w:t>Leaf Number</w:t>
      </w:r>
      <w:r w:rsidRPr="00AA3A03">
        <w:t xml:space="preserve"> (L</w:t>
      </w:r>
      <w:r w:rsidR="003435FA" w:rsidRPr="00AA3A03">
        <w:t>N</w:t>
      </w:r>
      <w:r w:rsidRPr="00AA3A03">
        <w:t>) per plant under severe water stress. Data points represent the mean, and error bars indicate the standard deviation (SD) or confidence intervals as specified in the statistical model.</w:t>
      </w:r>
    </w:p>
    <w:p w14:paraId="25592789" w14:textId="77777777" w:rsidR="00B20024" w:rsidRPr="00AA3A03" w:rsidRDefault="00B20024" w:rsidP="00AA3A03"/>
    <w:p w14:paraId="352C26B6" w14:textId="6922799C" w:rsidR="001D0CBE" w:rsidRDefault="00F44AA8" w:rsidP="00AA3A03">
      <w:r w:rsidRPr="00AA3A03">
        <w:rPr>
          <w:b/>
        </w:rPr>
        <w:t>Figure 8</w:t>
      </w:r>
      <w:r w:rsidR="0035391E">
        <w:rPr>
          <w:b/>
        </w:rPr>
        <w:t xml:space="preserve">: </w:t>
      </w:r>
      <w:r w:rsidRPr="0035391E">
        <w:rPr>
          <w:b/>
          <w:bCs/>
        </w:rPr>
        <w:t>Leaf Number in re</w:t>
      </w:r>
      <w:r w:rsidR="005B2D9C" w:rsidRPr="0035391E">
        <w:rPr>
          <w:b/>
          <w:bCs/>
        </w:rPr>
        <w:t>lation to treatments applying 75</w:t>
      </w:r>
      <w:r w:rsidRPr="0035391E">
        <w:rPr>
          <w:b/>
          <w:bCs/>
        </w:rPr>
        <w:t>% irrigation</w:t>
      </w:r>
      <w:r w:rsidRPr="00AA3A03">
        <w:t>.</w:t>
      </w:r>
      <w:r w:rsidR="0035391E">
        <w:t xml:space="preserve"> </w:t>
      </w:r>
      <w:r w:rsidRPr="00AA3A03">
        <w:t>Comparison of leaf development under moderate water stress. Error bars represent the variability between replicates</w:t>
      </w:r>
      <w:r w:rsidR="00A01FBD" w:rsidRPr="00AA3A03">
        <w:t>.</w:t>
      </w:r>
    </w:p>
    <w:p w14:paraId="6FAA10AD" w14:textId="77777777" w:rsidR="0035391E" w:rsidRPr="00AA3A03" w:rsidRDefault="0035391E" w:rsidP="00AA3A03"/>
    <w:p w14:paraId="1EE8A3BF" w14:textId="12B02076" w:rsidR="001D0CBE" w:rsidRDefault="00F44AA8" w:rsidP="00AA3A03">
      <w:r w:rsidRPr="00AA3A03">
        <w:rPr>
          <w:b/>
        </w:rPr>
        <w:t>Figure 9</w:t>
      </w:r>
      <w:r w:rsidR="00B75E6A" w:rsidRPr="00B75E6A">
        <w:rPr>
          <w:b/>
          <w:bCs/>
        </w:rPr>
        <w:t>:</w:t>
      </w:r>
      <w:r w:rsidRPr="00B75E6A">
        <w:rPr>
          <w:b/>
          <w:bCs/>
        </w:rPr>
        <w:t xml:space="preserve"> Efficiency of treatments applying 100% irrigation in relation to the plant height</w:t>
      </w:r>
      <w:r w:rsidRPr="00AA3A03">
        <w:t>.</w:t>
      </w:r>
      <w:r w:rsidR="00B75E6A">
        <w:t xml:space="preserve"> </w:t>
      </w:r>
      <w:r w:rsidRPr="00AA3A03">
        <w:t>Growth performance under optimal hydration measured in centimeters (</w:t>
      </w:r>
      <w:r w:rsidR="003435FA" w:rsidRPr="00AA3A03">
        <w:t>m</w:t>
      </w:r>
      <w:r w:rsidRPr="00AA3A03">
        <w:t>m)</w:t>
      </w:r>
      <w:r w:rsidR="00B75E6A">
        <w:t>.</w:t>
      </w:r>
    </w:p>
    <w:p w14:paraId="026D7FA5" w14:textId="77777777" w:rsidR="00B75E6A" w:rsidRPr="00AA3A03" w:rsidRDefault="00B75E6A" w:rsidP="00AA3A03"/>
    <w:p w14:paraId="417205E2" w14:textId="154E4909" w:rsidR="001D0CBE" w:rsidRDefault="00F44AA8" w:rsidP="00AA3A03">
      <w:r w:rsidRPr="00AA3A03">
        <w:rPr>
          <w:b/>
        </w:rPr>
        <w:t>Figure 10</w:t>
      </w:r>
      <w:r w:rsidR="00D423F1">
        <w:rPr>
          <w:b/>
        </w:rPr>
        <w:t xml:space="preserve">: </w:t>
      </w:r>
      <w:r w:rsidRPr="00D423F1">
        <w:rPr>
          <w:b/>
          <w:bCs/>
        </w:rPr>
        <w:t>Results of the crop water stress index for the 9 treatments</w:t>
      </w:r>
      <w:r w:rsidRPr="00AA3A03">
        <w:t>.</w:t>
      </w:r>
      <w:r w:rsidR="00D423F1">
        <w:t xml:space="preserve"> </w:t>
      </w:r>
      <w:r w:rsidRPr="00AA3A03">
        <w:t>The Y-axis represents the CWSI (dimensionless, from 0 to 1). Shaded areas indicate the 95% confidence intervals, and dashed lines show the trend over time (Days After Sowing, DAS).</w:t>
      </w:r>
    </w:p>
    <w:p w14:paraId="773013DE" w14:textId="77777777" w:rsidR="00D423F1" w:rsidRPr="00AA3A03" w:rsidRDefault="00D423F1" w:rsidP="00AA3A03"/>
    <w:p w14:paraId="34E39EB9" w14:textId="0AE445F7" w:rsidR="001D0CBE" w:rsidRDefault="00F44AA8" w:rsidP="00AA3A03">
      <w:r w:rsidRPr="00AA3A03">
        <w:rPr>
          <w:b/>
        </w:rPr>
        <w:t>Figure 11</w:t>
      </w:r>
      <w:r w:rsidR="005D2298">
        <w:rPr>
          <w:b/>
        </w:rPr>
        <w:t>:</w:t>
      </w:r>
      <w:r w:rsidRPr="00AA3A03">
        <w:t xml:space="preserve"> </w:t>
      </w:r>
      <w:r w:rsidRPr="005D2298">
        <w:rPr>
          <w:b/>
          <w:bCs/>
        </w:rPr>
        <w:t>Photograph of a tray hydrated with 100% irrigation, microbial consortium treatment</w:t>
      </w:r>
      <w:r w:rsidRPr="00AA3A03">
        <w:t>.</w:t>
      </w:r>
      <w:r w:rsidR="006F3BA4">
        <w:t xml:space="preserve"> </w:t>
      </w:r>
      <w:r w:rsidRPr="00AA3A03">
        <w:t>Visual reference of plant vigor under optimal conditions. Scale bar = 5 cm.</w:t>
      </w:r>
    </w:p>
    <w:p w14:paraId="23D56919" w14:textId="77777777" w:rsidR="00211145" w:rsidRPr="00AA3A03" w:rsidRDefault="00211145" w:rsidP="00AA3A03"/>
    <w:p w14:paraId="743D048B" w14:textId="23F7E0D0" w:rsidR="001D0CBE" w:rsidRDefault="00F44AA8" w:rsidP="00AA3A03">
      <w:r w:rsidRPr="00AA3A03">
        <w:rPr>
          <w:b/>
        </w:rPr>
        <w:t>Figure 12</w:t>
      </w:r>
      <w:r w:rsidR="00CC2FC0">
        <w:rPr>
          <w:b/>
        </w:rPr>
        <w:t xml:space="preserve">: </w:t>
      </w:r>
      <w:r w:rsidRPr="00CC2FC0">
        <w:rPr>
          <w:b/>
          <w:bCs/>
        </w:rPr>
        <w:t>Photograph of a dehydrated microbial consortium tray</w:t>
      </w:r>
      <w:r w:rsidRPr="00AA3A03">
        <w:t>.</w:t>
      </w:r>
      <w:r w:rsidR="00CC2FC0">
        <w:t xml:space="preserve"> </w:t>
      </w:r>
      <w:r w:rsidRPr="00AA3A03">
        <w:t>Visual representation of physiological changes under water deficit. Scale bar = 5 cm.</w:t>
      </w:r>
    </w:p>
    <w:p w14:paraId="00D29D33" w14:textId="77777777" w:rsidR="00C438CA" w:rsidRPr="00AA3A03" w:rsidRDefault="00C438CA" w:rsidP="00AA3A03"/>
    <w:p w14:paraId="47868F9F" w14:textId="567007D0" w:rsidR="001D0CBE" w:rsidRPr="00AA3A03" w:rsidRDefault="00F44AA8" w:rsidP="00AA3A03">
      <w:r w:rsidRPr="00AA3A03">
        <w:rPr>
          <w:b/>
        </w:rPr>
        <w:t>Figure 13</w:t>
      </w:r>
      <w:r w:rsidR="00C438CA">
        <w:t xml:space="preserve">: </w:t>
      </w:r>
      <w:r w:rsidRPr="00C438CA">
        <w:rPr>
          <w:b/>
          <w:bCs/>
        </w:rPr>
        <w:t>Photograph of a tray with lettuce plants</w:t>
      </w:r>
      <w:r w:rsidRPr="00AA3A03">
        <w:t>.</w:t>
      </w:r>
      <w:r w:rsidR="00AB768F">
        <w:t xml:space="preserve"> </w:t>
      </w:r>
      <w:r w:rsidRPr="00AA3A03">
        <w:t>Overview of t</w:t>
      </w:r>
      <w:r w:rsidR="0006087F" w:rsidRPr="00AA3A03">
        <w:t xml:space="preserve">he experimental unit for </w:t>
      </w:r>
      <w:r w:rsidR="00CE22CF" w:rsidRPr="00AA3A03">
        <w:t>R</w:t>
      </w:r>
      <w:r w:rsidR="0006087F" w:rsidRPr="00AA3A03">
        <w:t>omaine</w:t>
      </w:r>
      <w:r w:rsidRPr="00AA3A03">
        <w:t xml:space="preserve"> lettuce (</w:t>
      </w:r>
      <w:r w:rsidRPr="00AA3A03">
        <w:rPr>
          <w:i/>
          <w:iCs/>
        </w:rPr>
        <w:t>Lactuca sativa</w:t>
      </w:r>
      <w:r w:rsidRPr="00AA3A03">
        <w:t xml:space="preserve"> var. </w:t>
      </w:r>
      <w:proofErr w:type="spellStart"/>
      <w:r w:rsidRPr="00AA3A03">
        <w:t>Paspartu</w:t>
      </w:r>
      <w:proofErr w:type="spellEnd"/>
      <w:r w:rsidRPr="00AA3A03">
        <w:t>).</w:t>
      </w:r>
    </w:p>
    <w:p w14:paraId="26F24A40" w14:textId="3A7CA377" w:rsidR="001D0CBE" w:rsidRDefault="001D0CBE" w:rsidP="00AA3A03"/>
    <w:p w14:paraId="3651C356" w14:textId="3EF92AB3" w:rsidR="008A0E33" w:rsidRDefault="008A0E33" w:rsidP="008A0E33">
      <w:r w:rsidRPr="00AA3A03">
        <w:rPr>
          <w:b/>
        </w:rPr>
        <w:t>Table 1</w:t>
      </w:r>
      <w:r w:rsidR="00C706EA" w:rsidRPr="00C706EA">
        <w:rPr>
          <w:b/>
          <w:bCs/>
        </w:rPr>
        <w:t xml:space="preserve">: </w:t>
      </w:r>
      <w:r w:rsidRPr="00C706EA">
        <w:rPr>
          <w:b/>
          <w:bCs/>
        </w:rPr>
        <w:t>Analysis of variance and table of means in seedlings during emergence</w:t>
      </w:r>
      <w:r w:rsidRPr="00AA3A03">
        <w:t>.</w:t>
      </w:r>
      <w:r w:rsidR="00C706EA">
        <w:t xml:space="preserve"> </w:t>
      </w:r>
      <w:r w:rsidRPr="00AA3A03">
        <w:t>Evaluation of initial vigor across all microbial treatments.</w:t>
      </w:r>
    </w:p>
    <w:p w14:paraId="0670CE52" w14:textId="77777777" w:rsidR="00235161" w:rsidRPr="00AA3A03" w:rsidRDefault="00235161" w:rsidP="008A0E33"/>
    <w:p w14:paraId="44368B99" w14:textId="7486F582" w:rsidR="008A0E33" w:rsidRDefault="008A0E33" w:rsidP="008A0E33">
      <w:r w:rsidRPr="00AA3A03">
        <w:rPr>
          <w:b/>
        </w:rPr>
        <w:t>Table 2</w:t>
      </w:r>
      <w:r w:rsidR="00664464">
        <w:rPr>
          <w:b/>
        </w:rPr>
        <w:t>:</w:t>
      </w:r>
      <w:r w:rsidRPr="00AA3A03">
        <w:t xml:space="preserve"> </w:t>
      </w:r>
      <w:r w:rsidRPr="00664464">
        <w:rPr>
          <w:b/>
          <w:bCs/>
        </w:rPr>
        <w:t>Analysis of variance and table of means</w:t>
      </w:r>
      <w:r w:rsidRPr="00AA3A03">
        <w:t>. Treatments with 50% irrigation</w:t>
      </w:r>
      <w:r w:rsidR="00664464">
        <w:t xml:space="preserve">. </w:t>
      </w:r>
      <w:r w:rsidRPr="00AA3A03">
        <w:t>Statistical significance (</w:t>
      </w:r>
      <w:r w:rsidRPr="00664464">
        <w:rPr>
          <w:i/>
          <w:iCs/>
        </w:rPr>
        <w:t>P</w:t>
      </w:r>
      <w:r w:rsidRPr="00AA3A03">
        <w:t xml:space="preserve"> &lt; 0.05) and mean comparisons for growth variables under severe stress.</w:t>
      </w:r>
    </w:p>
    <w:p w14:paraId="3E82BB5C" w14:textId="77777777" w:rsidR="00664464" w:rsidRPr="00AA3A03" w:rsidRDefault="00664464" w:rsidP="008A0E33"/>
    <w:p w14:paraId="4C5B0E76" w14:textId="0B6B0D5B" w:rsidR="008A0E33" w:rsidRDefault="008A0E33" w:rsidP="008A0E33">
      <w:r w:rsidRPr="00AA3A03">
        <w:rPr>
          <w:b/>
        </w:rPr>
        <w:t>Table 3</w:t>
      </w:r>
      <w:r w:rsidR="00664464">
        <w:rPr>
          <w:b/>
        </w:rPr>
        <w:t xml:space="preserve">: </w:t>
      </w:r>
      <w:r w:rsidRPr="00664464">
        <w:rPr>
          <w:b/>
          <w:bCs/>
        </w:rPr>
        <w:t>Analysis of variance and table of means</w:t>
      </w:r>
      <w:r w:rsidRPr="00AA3A03">
        <w:t>. Treatments with 75% irrigation</w:t>
      </w:r>
      <w:r w:rsidR="00627A40">
        <w:t xml:space="preserve">. </w:t>
      </w:r>
      <w:r w:rsidRPr="00AA3A03">
        <w:t>Statistical significance (</w:t>
      </w:r>
      <w:r w:rsidRPr="00627A40">
        <w:rPr>
          <w:i/>
          <w:iCs/>
        </w:rPr>
        <w:t>P</w:t>
      </w:r>
      <w:r w:rsidRPr="00AA3A03">
        <w:t xml:space="preserve"> &lt; 0.05) and mean comparisons for growth variables under severe stress.</w:t>
      </w:r>
    </w:p>
    <w:p w14:paraId="5C178E9F" w14:textId="77777777" w:rsidR="00627A40" w:rsidRPr="00AA3A03" w:rsidRDefault="00627A40" w:rsidP="008A0E33"/>
    <w:p w14:paraId="1D6E49FA" w14:textId="20094920" w:rsidR="008A0E33" w:rsidRPr="00AA3A03" w:rsidRDefault="008A0E33" w:rsidP="008A0E33">
      <w:r w:rsidRPr="00AA3A03">
        <w:rPr>
          <w:b/>
        </w:rPr>
        <w:t>Table 4</w:t>
      </w:r>
      <w:r w:rsidR="002010BF" w:rsidRPr="00404C7B">
        <w:rPr>
          <w:b/>
          <w:bCs/>
        </w:rPr>
        <w:t xml:space="preserve">: </w:t>
      </w:r>
      <w:r w:rsidRPr="002010BF">
        <w:rPr>
          <w:b/>
          <w:bCs/>
        </w:rPr>
        <w:t>Analysis of variance and table of means</w:t>
      </w:r>
      <w:r w:rsidRPr="00AA3A03">
        <w:t>. Treatments with 100% irrigation</w:t>
      </w:r>
      <w:r w:rsidR="002010BF">
        <w:t xml:space="preserve">. </w:t>
      </w:r>
      <w:r w:rsidRPr="00AA3A03">
        <w:t>Performance evaluation under optimal water replacement.</w:t>
      </w:r>
    </w:p>
    <w:p w14:paraId="07EB8339" w14:textId="77777777" w:rsidR="008A0E33" w:rsidRPr="00AA3A03" w:rsidRDefault="008A0E33" w:rsidP="00AA3A03"/>
    <w:p w14:paraId="7CEDA373" w14:textId="25B480BA" w:rsidR="001D0CBE" w:rsidRDefault="00E62C49" w:rsidP="00AA3A03">
      <w:r w:rsidRPr="00AA3A03">
        <w:rPr>
          <w:b/>
        </w:rPr>
        <w:t xml:space="preserve">Supplementary </w:t>
      </w:r>
      <w:r w:rsidR="00F44AA8" w:rsidRPr="00AA3A03">
        <w:rPr>
          <w:b/>
        </w:rPr>
        <w:t>Table 1</w:t>
      </w:r>
      <w:r w:rsidRPr="00AA3A03">
        <w:rPr>
          <w:b/>
        </w:rPr>
        <w:t>:</w:t>
      </w:r>
      <w:r w:rsidR="00F44AA8" w:rsidRPr="00AA3A03">
        <w:t xml:space="preserve"> </w:t>
      </w:r>
      <w:r w:rsidR="00F44AA8" w:rsidRPr="008663BA">
        <w:rPr>
          <w:b/>
          <w:bCs/>
        </w:rPr>
        <w:t>Conditions in the bioclimatic chamber. Specifications for temperature, relative humidity, and LED light</w:t>
      </w:r>
      <w:r w:rsidR="00F44AA8" w:rsidRPr="00AA3A03">
        <w:t>.</w:t>
      </w:r>
      <w:r w:rsidR="008663BA">
        <w:t xml:space="preserve"> </w:t>
      </w:r>
      <w:r w:rsidR="00F44AA8" w:rsidRPr="00AA3A03">
        <w:t>Initial specifications for temperature (°C), relative humidity (%), and LED light photoperiod.</w:t>
      </w:r>
    </w:p>
    <w:p w14:paraId="53B5C1AC" w14:textId="77777777" w:rsidR="008663BA" w:rsidRPr="00AA3A03" w:rsidRDefault="008663BA" w:rsidP="00AA3A03"/>
    <w:p w14:paraId="18266A23" w14:textId="049A699D" w:rsidR="001D0CBE" w:rsidRDefault="00E62C49" w:rsidP="00AA3A03">
      <w:r w:rsidRPr="00AA3A03">
        <w:rPr>
          <w:b/>
        </w:rPr>
        <w:t xml:space="preserve">Supplementary </w:t>
      </w:r>
      <w:r w:rsidR="00F44AA8" w:rsidRPr="00AA3A03">
        <w:rPr>
          <w:b/>
        </w:rPr>
        <w:t>Table 2</w:t>
      </w:r>
      <w:r w:rsidRPr="00AA3A03">
        <w:rPr>
          <w:b/>
        </w:rPr>
        <w:t>:</w:t>
      </w:r>
      <w:r w:rsidR="00584282" w:rsidRPr="00AA3A03">
        <w:t xml:space="preserve"> </w:t>
      </w:r>
      <w:r w:rsidR="00F44AA8" w:rsidRPr="008663BA">
        <w:rPr>
          <w:b/>
          <w:bCs/>
        </w:rPr>
        <w:t>Conditions in the bioclimatic chamber after germination</w:t>
      </w:r>
      <w:r w:rsidR="00F44AA8" w:rsidRPr="00AA3A03">
        <w:t>. Specifications for temperature, relative humidity, and LED light.</w:t>
      </w:r>
      <w:r w:rsidR="008663BA">
        <w:t xml:space="preserve"> </w:t>
      </w:r>
      <w:r w:rsidR="00F44AA8" w:rsidRPr="00AA3A03">
        <w:t>Adjusted parameters for the growth stage following initial emergence.</w:t>
      </w:r>
    </w:p>
    <w:p w14:paraId="05BC0A1D" w14:textId="77777777" w:rsidR="008663BA" w:rsidRPr="00AA3A03" w:rsidRDefault="008663BA" w:rsidP="00AA3A03"/>
    <w:p w14:paraId="02ED6D9B" w14:textId="2F3D34CD" w:rsidR="001D0CBE" w:rsidRDefault="00E62C49" w:rsidP="00AA3A03">
      <w:r w:rsidRPr="00AA3A03">
        <w:rPr>
          <w:b/>
        </w:rPr>
        <w:t xml:space="preserve">Supplementary </w:t>
      </w:r>
      <w:r w:rsidR="00F44AA8" w:rsidRPr="00AA3A03">
        <w:rPr>
          <w:b/>
        </w:rPr>
        <w:t>Table 3</w:t>
      </w:r>
      <w:r w:rsidR="00D463A6">
        <w:rPr>
          <w:b/>
        </w:rPr>
        <w:t xml:space="preserve">: </w:t>
      </w:r>
      <w:r w:rsidR="00F44AA8" w:rsidRPr="00AA3A03">
        <w:t>Fertilization program at 26 days after planting and up to 76 days after planting.</w:t>
      </w:r>
      <w:r w:rsidR="00D463A6">
        <w:t xml:space="preserve"> </w:t>
      </w:r>
      <w:r w:rsidR="00F44AA8" w:rsidRPr="00AA3A03">
        <w:t>Detailed chemical composition and timing of nutrient applications.</w:t>
      </w:r>
    </w:p>
    <w:p w14:paraId="5C0F8FDF" w14:textId="77777777" w:rsidR="00D463A6" w:rsidRPr="00AA3A03" w:rsidRDefault="00D463A6" w:rsidP="00AA3A03"/>
    <w:p w14:paraId="35D6785C" w14:textId="69868685" w:rsidR="001D0CBE" w:rsidRPr="00AA3A03" w:rsidRDefault="00E62C49" w:rsidP="00AA3A03">
      <w:r w:rsidRPr="00AA3A03">
        <w:rPr>
          <w:b/>
        </w:rPr>
        <w:t xml:space="preserve">Supplementary </w:t>
      </w:r>
      <w:r w:rsidR="00F44AA8" w:rsidRPr="00AA3A03">
        <w:rPr>
          <w:b/>
        </w:rPr>
        <w:t>Table 4</w:t>
      </w:r>
      <w:r w:rsidR="00D463A6">
        <w:t xml:space="preserve">: </w:t>
      </w:r>
      <w:r w:rsidR="00F44AA8" w:rsidRPr="00D463A6">
        <w:rPr>
          <w:b/>
          <w:bCs/>
        </w:rPr>
        <w:t>Conceptualization of experimental variables</w:t>
      </w:r>
      <w:r w:rsidR="00D463A6">
        <w:t xml:space="preserve">. </w:t>
      </w:r>
      <w:r w:rsidR="00F44AA8" w:rsidRPr="00AA3A03">
        <w:t>Definitions and operational measurements (units, instruments) for all study parameters</w:t>
      </w:r>
      <w:r w:rsidR="008A02C8">
        <w:t>.</w:t>
      </w:r>
    </w:p>
    <w:p w14:paraId="75F71F2B" w14:textId="355CF652" w:rsidR="00896C94" w:rsidRPr="00AA3A03" w:rsidRDefault="00896C94" w:rsidP="00AA3A03"/>
    <w:p w14:paraId="7AA91DB8" w14:textId="77777777" w:rsidR="00B379D6" w:rsidRDefault="00F44AA8" w:rsidP="00AA3A03">
      <w:pPr>
        <w:rPr>
          <w:b/>
        </w:rPr>
      </w:pPr>
      <w:r w:rsidRPr="00AA3A03">
        <w:rPr>
          <w:b/>
        </w:rPr>
        <w:t>DATA AVAILABILITY:</w:t>
      </w:r>
    </w:p>
    <w:p w14:paraId="14F041F4" w14:textId="252EBD0E" w:rsidR="003905CD" w:rsidRPr="00AA3A03" w:rsidRDefault="00455342" w:rsidP="00AA3A03">
      <w:r w:rsidRPr="00455342">
        <w:t xml:space="preserve">Data supporting the findings of this study are </w:t>
      </w:r>
      <w:r>
        <w:t xml:space="preserve">uploaded to </w:t>
      </w:r>
      <w:proofErr w:type="spellStart"/>
      <w:r w:rsidR="005350B0">
        <w:t>Zenodo</w:t>
      </w:r>
      <w:proofErr w:type="spellEnd"/>
      <w:r w:rsidR="005350B0">
        <w:t xml:space="preserve"> (</w:t>
      </w:r>
      <w:r w:rsidR="005350B0" w:rsidRPr="003D1B9A">
        <w:t>https://doi.org/10.5281/zenodo.18683142</w:t>
      </w:r>
      <w:r w:rsidR="005350B0">
        <w:t>).</w:t>
      </w:r>
    </w:p>
    <w:p w14:paraId="5DB9AAA3" w14:textId="77777777" w:rsidR="001B1217" w:rsidRPr="00AA3A03" w:rsidRDefault="001B1217" w:rsidP="00AA3A03"/>
    <w:p w14:paraId="62057747" w14:textId="3E49167B" w:rsidR="0006118E" w:rsidRPr="00AA3A03" w:rsidRDefault="00F44AA8" w:rsidP="00AA3A03">
      <w:pPr>
        <w:rPr>
          <w:b/>
        </w:rPr>
      </w:pPr>
      <w:r w:rsidRPr="00AA3A03">
        <w:rPr>
          <w:b/>
        </w:rPr>
        <w:t>DISCUSSION:</w:t>
      </w:r>
    </w:p>
    <w:p w14:paraId="3A5E7CCC" w14:textId="66B5C53D" w:rsidR="009C1B84" w:rsidRPr="00AA3A03" w:rsidRDefault="00F44AA8" w:rsidP="00AA3A03">
      <w:r w:rsidRPr="00AA3A03">
        <w:t xml:space="preserve">The empirical evidence derived from this study corroborates that the strategic application of multi-strain microbial consortia functions as a robust biotechnological buffer against the deleterious effects of hydric deficit in </w:t>
      </w:r>
      <w:r w:rsidRPr="00AA3A03">
        <w:rPr>
          <w:i/>
        </w:rPr>
        <w:t>Lactuca sativa</w:t>
      </w:r>
      <w:r w:rsidRPr="00AA3A03">
        <w:t xml:space="preserve">. Although the global inferential analysis (ANOVA) did not yield statistically significant differences (F = 0.67, </w:t>
      </w:r>
      <w:r w:rsidRPr="00C25A41">
        <w:rPr>
          <w:i/>
          <w:iCs/>
        </w:rPr>
        <w:t xml:space="preserve">p </w:t>
      </w:r>
      <w:r w:rsidRPr="00AA3A03">
        <w:t xml:space="preserve">= 0.778), a high-resolution examination of the temporal thermal dynamics reveals a critical numerical mitigation trend. Under the most restrictive irrigation regime (50% </w:t>
      </w:r>
      <w:proofErr w:type="spellStart"/>
      <w:r w:rsidRPr="00AA3A03">
        <w:t>ETc</w:t>
      </w:r>
      <w:proofErr w:type="spellEnd"/>
      <w:r w:rsidRPr="00AA3A03">
        <w:t>), the microbial consortium consistently maintained a lower Crop Water Stress Index (CWSI), preventing the plants from reaching the homeostatic collapse threshold (CWSI = 1.0) observed in the non-inoculated control group</w:t>
      </w:r>
      <w:r w:rsidRPr="00AA3A03">
        <w:rPr>
          <w:vertAlign w:val="superscript"/>
        </w:rPr>
        <w:t>20</w:t>
      </w:r>
      <w:r w:rsidRPr="00AA3A03">
        <w:t>.</w:t>
      </w:r>
    </w:p>
    <w:p w14:paraId="665CA0AE" w14:textId="77777777" w:rsidR="009C1B84" w:rsidRPr="00AA3A03" w:rsidRDefault="009C1B84" w:rsidP="00AA3A03"/>
    <w:p w14:paraId="55E67506" w14:textId="158C3707" w:rsidR="009C1B84" w:rsidRPr="00AA3A03" w:rsidRDefault="00F44AA8" w:rsidP="00AA3A03">
      <w:r w:rsidRPr="00AA3A03">
        <w:t>This metabolic buffering capacity aligns precisely with the paradigm of Induced Systemic Tolerance (IST)</w:t>
      </w:r>
      <w:r w:rsidRPr="00AA3A03">
        <w:rPr>
          <w:vertAlign w:val="superscript"/>
        </w:rPr>
        <w:t>21</w:t>
      </w:r>
      <w:r w:rsidRPr="00AA3A03">
        <w:t xml:space="preserve">. According to their findings, rhizosphere-associated bacteria facilitate a biochemical "priming" that optimizes the plant’s internal signaling pathways. In our study, this IST likely </w:t>
      </w:r>
      <w:r w:rsidR="00A256DC" w:rsidRPr="00AA3A03">
        <w:t>enabled</w:t>
      </w:r>
      <w:r w:rsidRPr="00AA3A03">
        <w:t xml:space="preserve"> microbial consortium-treated units to modulate stomatal aperture more efficiently than the control, </w:t>
      </w:r>
      <w:r w:rsidR="00A256DC" w:rsidRPr="00AA3A03">
        <w:t xml:space="preserve">thereby </w:t>
      </w:r>
      <w:r w:rsidRPr="00AA3A03">
        <w:t xml:space="preserve">maintaining </w:t>
      </w:r>
      <w:proofErr w:type="spellStart"/>
      <w:r w:rsidRPr="00AA3A03">
        <w:t>transpirational</w:t>
      </w:r>
      <w:proofErr w:type="spellEnd"/>
      <w:r w:rsidRPr="00AA3A03">
        <w:t xml:space="preserve"> cooling despite the low soil water potential.</w:t>
      </w:r>
    </w:p>
    <w:p w14:paraId="402A9809" w14:textId="77777777" w:rsidR="009C1B84" w:rsidRPr="00AA3A03" w:rsidRDefault="009C1B84" w:rsidP="00AA3A03"/>
    <w:p w14:paraId="05245BFF" w14:textId="1199E99E" w:rsidR="009C1B84" w:rsidRPr="00AA3A03" w:rsidRDefault="00F44AA8" w:rsidP="00AA3A03">
      <w:r w:rsidRPr="00AA3A03">
        <w:t xml:space="preserve">Furthermore, the </w:t>
      </w:r>
      <w:r w:rsidR="00A256DC" w:rsidRPr="00AA3A03">
        <w:t>greater</w:t>
      </w:r>
      <w:r w:rsidRPr="00AA3A03">
        <w:t xml:space="preserve"> efficacy of the complex microbial consortium </w:t>
      </w:r>
      <w:r w:rsidR="00A256DC" w:rsidRPr="00AA3A03">
        <w:t>compared with</w:t>
      </w:r>
      <w:r w:rsidRPr="00AA3A03">
        <w:t xml:space="preserve"> the </w:t>
      </w:r>
      <w:proofErr w:type="spellStart"/>
      <w:r w:rsidRPr="00AA3A03">
        <w:t>monostrain</w:t>
      </w:r>
      <w:proofErr w:type="spellEnd"/>
      <w:r w:rsidRPr="00AA3A03">
        <w:t xml:space="preserve"> </w:t>
      </w:r>
      <w:proofErr w:type="spellStart"/>
      <w:r w:rsidRPr="00AA3A03">
        <w:rPr>
          <w:i/>
        </w:rPr>
        <w:t>Trichoderma</w:t>
      </w:r>
      <w:proofErr w:type="spellEnd"/>
      <w:r w:rsidRPr="00AA3A03">
        <w:t xml:space="preserve"> treatment suggests superior rhizosphere colonization and niche occupation. In congruence with the mechanisms elucidated</w:t>
      </w:r>
      <w:r w:rsidRPr="00AA3A03">
        <w:rPr>
          <w:vertAlign w:val="superscript"/>
        </w:rPr>
        <w:t>22</w:t>
      </w:r>
      <w:r w:rsidRPr="00AA3A03">
        <w:t>, the diverse microbial architecture (bacteria, fungi, and actinomycetes) promotes the synthesis of exopolysaccharides (EPS) that function as a physical hydrogel. This microbial-mediated structural modification of the soil-root interface likely enhanced the hydraulic conductivity, facilitating a continuous water flux that supported the leaf water potential. This mechanical advantage is what the infrared thermography captured as a reduction in canopy temperature (Tc).</w:t>
      </w:r>
    </w:p>
    <w:p w14:paraId="2145C111" w14:textId="77777777" w:rsidR="009C1B84" w:rsidRPr="00AA3A03" w:rsidRDefault="009C1B84" w:rsidP="00AA3A03"/>
    <w:p w14:paraId="5EE9FFEE" w14:textId="58A41C80" w:rsidR="009C1B84" w:rsidRPr="00AA3A03" w:rsidRDefault="00F44AA8" w:rsidP="00AA3A03">
      <w:r w:rsidRPr="00AA3A03">
        <w:t>The metabolic resilience observed in our lettuce units is also consistent</w:t>
      </w:r>
      <w:r w:rsidR="00A256DC" w:rsidRPr="00AA3A03">
        <w:t xml:space="preserve"> with previous reports</w:t>
      </w:r>
      <w:r w:rsidRPr="00AA3A03">
        <w:t xml:space="preserve"> </w:t>
      </w:r>
      <w:r w:rsidRPr="00AA3A03">
        <w:rPr>
          <w:vertAlign w:val="superscript"/>
        </w:rPr>
        <w:t>23</w:t>
      </w:r>
      <w:r w:rsidRPr="00AA3A03">
        <w:t>, emphasiz</w:t>
      </w:r>
      <w:r w:rsidR="00A256DC" w:rsidRPr="00AA3A03">
        <w:t>ing</w:t>
      </w:r>
      <w:r w:rsidRPr="00AA3A03">
        <w:t xml:space="preserve"> the role of ACC deaminase activity in suppressing the "ethylene burst" typically triggered by drought. By lowering endogenous ethylene levels, the microbial consortium prevented premature senescence and stomatal paralysis. This enzymatic intervention, coupled with the accumulation of </w:t>
      </w:r>
      <w:proofErr w:type="spellStart"/>
      <w:r w:rsidRPr="00AA3A03">
        <w:t>osmoprotective</w:t>
      </w:r>
      <w:proofErr w:type="spellEnd"/>
      <w:r w:rsidRPr="00AA3A03">
        <w:t xml:space="preserve"> phenols and compatible solutes, explains the enhanced water-use efficiency (WUE) inferred from the lower CWSI values</w:t>
      </w:r>
      <w:r w:rsidRPr="00AA3A03">
        <w:rPr>
          <w:vertAlign w:val="superscript"/>
        </w:rPr>
        <w:t>5</w:t>
      </w:r>
      <w:r w:rsidRPr="00AA3A03">
        <w:t>.</w:t>
      </w:r>
    </w:p>
    <w:p w14:paraId="68615E6D" w14:textId="77777777" w:rsidR="009C1B84" w:rsidRPr="00AA3A03" w:rsidRDefault="009C1B84" w:rsidP="00AA3A03"/>
    <w:p w14:paraId="5D4EA7DD" w14:textId="602474BA" w:rsidR="006C21BD" w:rsidRPr="00AA3A03" w:rsidRDefault="00F44AA8" w:rsidP="00AA3A03">
      <w:r w:rsidRPr="00AA3A03">
        <w:t>Finally, the consistent performance of the microbial consortium treatment under acute thermal events can be interpreted through the principle of functional redundancy and ecosystem resilience</w:t>
      </w:r>
      <w:r w:rsidRPr="00AA3A03">
        <w:rPr>
          <w:vertAlign w:val="superscript"/>
        </w:rPr>
        <w:t>11,24</w:t>
      </w:r>
      <w:r w:rsidRPr="00AA3A03">
        <w:t xml:space="preserve">. The 67-strain diversity of the microbial consortium provides “biological insurance" where multiple taxa can perform overlapping ecological functions. Therefore, even if specific thermosensitive strains were inhibited by the high radiation during peak hours, the remaining microbial population ensured the continuity of nutrient acquisition and hormonal regulation. This robust synergy provides a </w:t>
      </w:r>
      <w:r w:rsidR="00A256DC" w:rsidRPr="00AA3A03">
        <w:t>clear</w:t>
      </w:r>
      <w:r w:rsidRPr="00AA3A03">
        <w:t xml:space="preserve"> adaptive advantage, positioning diversified consortia as superior tools for sustainable agriculture </w:t>
      </w:r>
      <w:r w:rsidR="00A256DC" w:rsidRPr="00AA3A03">
        <w:t>towards</w:t>
      </w:r>
      <w:r w:rsidRPr="00AA3A03">
        <w:t xml:space="preserve"> climate instability.</w:t>
      </w:r>
    </w:p>
    <w:p w14:paraId="438643AF" w14:textId="77777777" w:rsidR="009C1B84" w:rsidRPr="00AA3A03" w:rsidRDefault="009C1B84" w:rsidP="00AA3A03">
      <w:pPr>
        <w:rPr>
          <w:highlight w:val="yellow"/>
        </w:rPr>
      </w:pPr>
    </w:p>
    <w:p w14:paraId="5B799851" w14:textId="719EF635" w:rsidR="006C21BD" w:rsidRPr="00AA3A03" w:rsidRDefault="00F44AA8" w:rsidP="00AA3A03">
      <w:r w:rsidRPr="00AA3A03">
        <w:t xml:space="preserve">Our results at 50% irrigation demonstrate that microbial inoculation (Treatments I and II) significantly mitigates the impact of water deficit by increasing the true </w:t>
      </w:r>
      <w:r w:rsidR="00A256DC" w:rsidRPr="00AA3A03">
        <w:t xml:space="preserve">leaf </w:t>
      </w:r>
      <w:r w:rsidRPr="00AA3A03">
        <w:t xml:space="preserve">number compared to the non-inoculated control (TC). This suggests a robust </w:t>
      </w:r>
      <w:proofErr w:type="spellStart"/>
      <w:r w:rsidRPr="00AA3A03">
        <w:t>biostimulant</w:t>
      </w:r>
      <w:proofErr w:type="spellEnd"/>
      <w:r w:rsidRPr="00AA3A03">
        <w:t xml:space="preserve"> effect that activates the plant's defense system, a phenomenon documented in microbial consortia that enhance nutrient uptake and hormonal balance under abiotic stress</w:t>
      </w:r>
      <w:r w:rsidR="00332628" w:rsidRPr="00AA3A03">
        <w:rPr>
          <w:vertAlign w:val="superscript"/>
        </w:rPr>
        <w:t>25</w:t>
      </w:r>
      <w:r w:rsidRPr="00AA3A03">
        <w:t>.</w:t>
      </w:r>
    </w:p>
    <w:p w14:paraId="6C4E6CB9" w14:textId="77777777" w:rsidR="006C21BD" w:rsidRPr="00AA3A03" w:rsidRDefault="006C21BD" w:rsidP="00AA3A03"/>
    <w:p w14:paraId="1509DA21" w14:textId="4840B1A4" w:rsidR="006C21BD" w:rsidRPr="00AA3A03" w:rsidRDefault="00F44AA8" w:rsidP="00AA3A03">
      <w:pPr>
        <w:rPr>
          <w:highlight w:val="yellow"/>
        </w:rPr>
      </w:pPr>
      <w:r w:rsidRPr="00AA3A03">
        <w:t xml:space="preserve">Interestingly, while Treatment I produced more leaves, they were </w:t>
      </w:r>
      <w:r w:rsidR="00C25A41">
        <w:t xml:space="preserve">of </w:t>
      </w:r>
      <w:r w:rsidRPr="00AA3A03">
        <w:t>smaller d</w:t>
      </w:r>
      <w:r w:rsidR="0047458B" w:rsidRPr="00AA3A03">
        <w:t xml:space="preserve">imensions </w:t>
      </w:r>
      <w:r w:rsidRPr="00AA3A03">
        <w:t xml:space="preserve">(shorter and narrower) and </w:t>
      </w:r>
      <w:r w:rsidR="00A01FBD" w:rsidRPr="00AA3A03">
        <w:t xml:space="preserve">had </w:t>
      </w:r>
      <w:r w:rsidRPr="00AA3A03">
        <w:t xml:space="preserve">reduced stem diameter. This morphological shift suggests an adaptive strategy to minimize </w:t>
      </w:r>
      <w:proofErr w:type="spellStart"/>
      <w:r w:rsidRPr="00AA3A03">
        <w:t>transpirational</w:t>
      </w:r>
      <w:proofErr w:type="spellEnd"/>
      <w:r w:rsidRPr="00AA3A03">
        <w:t xml:space="preserve"> surface area while maintaining photosynthetic capacity, allowing the plant to preserve internal water status despite</w:t>
      </w:r>
      <w:r w:rsidR="00332628" w:rsidRPr="00AA3A03">
        <w:t xml:space="preserve"> low soil moisture availability</w:t>
      </w:r>
      <w:r w:rsidR="00332628" w:rsidRPr="00AA3A03">
        <w:rPr>
          <w:vertAlign w:val="superscript"/>
        </w:rPr>
        <w:t>26</w:t>
      </w:r>
      <w:r w:rsidRPr="00AA3A03">
        <w:t xml:space="preserve">. The lack of significant differences in plant height is consistent with </w:t>
      </w:r>
      <w:r w:rsidR="00A01FBD" w:rsidRPr="00AA3A03">
        <w:t xml:space="preserve">the </w:t>
      </w:r>
      <w:r w:rsidRPr="00AA3A03">
        <w:t>existing literature</w:t>
      </w:r>
      <w:r w:rsidR="00A01FBD" w:rsidRPr="00AA3A03">
        <w:t xml:space="preserve"> and</w:t>
      </w:r>
      <w:r w:rsidRPr="00AA3A03">
        <w:t xml:space="preserve"> confirm</w:t>
      </w:r>
      <w:r w:rsidR="00A01FBD" w:rsidRPr="00AA3A03">
        <w:t>s</w:t>
      </w:r>
      <w:r w:rsidRPr="00AA3A03">
        <w:t xml:space="preserve"> that</w:t>
      </w:r>
      <w:r w:rsidR="00A01FBD" w:rsidRPr="00AA3A03">
        <w:t>,</w:t>
      </w:r>
      <w:r w:rsidRPr="00AA3A03">
        <w:t xml:space="preserve"> in </w:t>
      </w:r>
      <w:r w:rsidRPr="00AA3A03">
        <w:rPr>
          <w:i/>
        </w:rPr>
        <w:t>Lactuca sativa</w:t>
      </w:r>
      <w:r w:rsidRPr="00AA3A03">
        <w:t xml:space="preserve">, biomass distribution and leaf count are more sensitive indicators of microbial-mediated stress tolerance than vertical growth, especially </w:t>
      </w:r>
      <w:r w:rsidR="00A01FBD" w:rsidRPr="00AA3A03">
        <w:t>in</w:t>
      </w:r>
      <w:r w:rsidRPr="00AA3A03">
        <w:t xml:space="preserve"> rosette-type horticultural crops</w:t>
      </w:r>
      <w:r w:rsidR="00332628" w:rsidRPr="00AA3A03">
        <w:rPr>
          <w:vertAlign w:val="superscript"/>
        </w:rPr>
        <w:t>27</w:t>
      </w:r>
      <w:r w:rsidR="00332628" w:rsidRPr="00AA3A03">
        <w:t xml:space="preserve">. </w:t>
      </w:r>
      <w:r w:rsidRPr="00AA3A03">
        <w:t>These findings reinforce the role of beneficial microorganisms as physiological buffers that stabilize plant development during acute hydric deficit</w:t>
      </w:r>
      <w:r w:rsidR="00332628" w:rsidRPr="00AA3A03">
        <w:rPr>
          <w:vertAlign w:val="superscript"/>
        </w:rPr>
        <w:t>6</w:t>
      </w:r>
      <w:r w:rsidRPr="00AA3A03">
        <w:t>.</w:t>
      </w:r>
    </w:p>
    <w:p w14:paraId="019EE4EF" w14:textId="77777777" w:rsidR="00F522EC" w:rsidRPr="00AA3A03" w:rsidRDefault="00F522EC" w:rsidP="00AA3A03">
      <w:pPr>
        <w:rPr>
          <w:highlight w:val="yellow"/>
        </w:rPr>
      </w:pPr>
    </w:p>
    <w:p w14:paraId="27C1E6E0" w14:textId="3CCEAFBB" w:rsidR="00303CF2" w:rsidRPr="00AA3A03" w:rsidRDefault="00F44AA8" w:rsidP="00AA3A03">
      <w:r w:rsidRPr="00AA3A03">
        <w:t xml:space="preserve">At 75% field capacity (FC), representing moderate water stress, microbial inoculation significantly altered the morphological architecture of </w:t>
      </w:r>
      <w:r w:rsidRPr="00AA3A03">
        <w:rPr>
          <w:i/>
        </w:rPr>
        <w:t>Lactuca sativa</w:t>
      </w:r>
      <w:r w:rsidRPr="00AA3A03">
        <w:t>. Treatment I (</w:t>
      </w:r>
      <w:r w:rsidR="00577E99" w:rsidRPr="00AA3A03">
        <w:t>TI</w:t>
      </w:r>
      <w:r w:rsidRPr="00AA3A03">
        <w:t xml:space="preserve">) emerged as the most effective structural enhancer, </w:t>
      </w:r>
      <w:r w:rsidR="00A01FBD" w:rsidRPr="00AA3A03">
        <w:t>increasing leaf number by 22.62% and stem diameter by 11.76%</w:t>
      </w:r>
      <w:r w:rsidR="00602911">
        <w:t xml:space="preserve"> </w:t>
      </w:r>
      <w:r w:rsidRPr="00AA3A03">
        <w:t>compared to the control. This increase in stem thickness suggests a more robust vascular system, which is essential for maintaining hydraulic conductivity under reduced water availability</w:t>
      </w:r>
      <w:r w:rsidR="00332628" w:rsidRPr="00AA3A03">
        <w:rPr>
          <w:vertAlign w:val="superscript"/>
        </w:rPr>
        <w:t>25</w:t>
      </w:r>
      <w:r w:rsidRPr="00AA3A03">
        <w:t>.</w:t>
      </w:r>
      <w:r w:rsidR="00332628" w:rsidRPr="00AA3A03">
        <w:t xml:space="preserve"> </w:t>
      </w:r>
      <w:r w:rsidRPr="00AA3A03">
        <w:t xml:space="preserve">Furthermore, the significant increase in leaf length (~29%) and width (37%) observed in </w:t>
      </w:r>
      <w:r w:rsidR="00577E99" w:rsidRPr="00AA3A03">
        <w:t>TI</w:t>
      </w:r>
      <w:r w:rsidRPr="00AA3A03">
        <w:t xml:space="preserve"> and </w:t>
      </w:r>
      <w:r w:rsidR="00577E99" w:rsidRPr="00AA3A03">
        <w:t>TIII</w:t>
      </w:r>
      <w:r w:rsidRPr="00AA3A03">
        <w:t xml:space="preserve"> compared to </w:t>
      </w:r>
      <w:r w:rsidR="00577E99" w:rsidRPr="00AA3A03">
        <w:t>TII</w:t>
      </w:r>
      <w:r w:rsidRPr="00AA3A03">
        <w:t xml:space="preserve"> indicates a prioritization of photosynthetic surface area. However, the non-inoculated control (</w:t>
      </w:r>
      <w:r w:rsidR="00577E99" w:rsidRPr="00AA3A03">
        <w:t>TIII</w:t>
      </w:r>
      <w:r w:rsidRPr="00AA3A03">
        <w:t>) exhibited a significant reduction in plant height (9.5%), suggesting that without microbial support, the plant's vertical growth is restric</w:t>
      </w:r>
      <w:r w:rsidR="00332628" w:rsidRPr="00AA3A03">
        <w:t>ted by moderate hydric deficit</w:t>
      </w:r>
      <w:r w:rsidR="00332628" w:rsidRPr="00AA3A03">
        <w:rPr>
          <w:vertAlign w:val="superscript"/>
        </w:rPr>
        <w:t>26</w:t>
      </w:r>
      <w:r w:rsidRPr="00AA3A03">
        <w:t xml:space="preserve">. </w:t>
      </w:r>
      <w:r w:rsidR="00C25A41">
        <w:t>The current</w:t>
      </w:r>
      <w:r w:rsidRPr="00AA3A03">
        <w:t xml:space="preserve"> results confirm that at 75% FC, microbial treatments</w:t>
      </w:r>
      <w:r w:rsidR="00332628" w:rsidRPr="00AA3A03">
        <w:t xml:space="preserve"> (S</w:t>
      </w:r>
      <w:r w:rsidRPr="00AA3A03">
        <w:t xml:space="preserve">pecifically </w:t>
      </w:r>
      <w:r w:rsidR="00577E99" w:rsidRPr="00AA3A03">
        <w:t>TI</w:t>
      </w:r>
      <w:r w:rsidR="00332628" w:rsidRPr="00AA3A03">
        <w:t xml:space="preserve">) </w:t>
      </w:r>
      <w:r w:rsidRPr="00AA3A03">
        <w:t xml:space="preserve">act as architectural modulators, enabling the plant to maintain high leaf production and structural </w:t>
      </w:r>
      <w:r w:rsidRPr="00AA3A03">
        <w:lastRenderedPageBreak/>
        <w:t>integrity, thereby bypassing the growth limitations typical</w:t>
      </w:r>
      <w:r w:rsidR="00332628" w:rsidRPr="00AA3A03">
        <w:t>ly observed in unassisted crops</w:t>
      </w:r>
      <w:r w:rsidR="00332628" w:rsidRPr="00AA3A03">
        <w:rPr>
          <w:vertAlign w:val="superscript"/>
        </w:rPr>
        <w:t>27</w:t>
      </w:r>
      <w:r w:rsidRPr="00AA3A03">
        <w:t>.</w:t>
      </w:r>
    </w:p>
    <w:p w14:paraId="48E07FFE" w14:textId="1BC843A4" w:rsidR="0064315B" w:rsidRPr="00AA3A03" w:rsidRDefault="0064315B" w:rsidP="00AA3A03"/>
    <w:p w14:paraId="6CD79F66" w14:textId="3C6AA714" w:rsidR="0064315B" w:rsidRPr="00AA3A03" w:rsidRDefault="00F44AA8" w:rsidP="00AA3A03">
      <w:r w:rsidRPr="00AA3A03">
        <w:t xml:space="preserve">At 100% field capacity (FC), representing optimal hydration, microbial treatments functioned as potent growth </w:t>
      </w:r>
      <w:proofErr w:type="spellStart"/>
      <w:r w:rsidRPr="00AA3A03">
        <w:t>biostimulants</w:t>
      </w:r>
      <w:proofErr w:type="spellEnd"/>
      <w:r w:rsidRPr="00AA3A03">
        <w:t>. Treatments I and II significantly outperformed the non-inoculated control, which exhibited 10.27% fewer leaves, suggesting that microbial interaction optimizes hormonal signaling and nutrient acquisition</w:t>
      </w:r>
      <w:r w:rsidR="00332628" w:rsidRPr="00AA3A03">
        <w:t xml:space="preserve"> even in the absence of stress</w:t>
      </w:r>
      <w:r w:rsidR="00332628" w:rsidRPr="00AA3A03">
        <w:rPr>
          <w:vertAlign w:val="superscript"/>
        </w:rPr>
        <w:t>25</w:t>
      </w:r>
      <w:r w:rsidRPr="00AA3A03">
        <w:t>. Furthermore, Treatment I demonstrated high morphological plasticity</w:t>
      </w:r>
      <w:r w:rsidR="00A01FBD" w:rsidRPr="00AA3A03">
        <w:t>,</w:t>
      </w:r>
      <w:r w:rsidRPr="00AA3A03">
        <w:t xml:space="preserve"> </w:t>
      </w:r>
      <w:r w:rsidR="00A01FBD" w:rsidRPr="00AA3A03">
        <w:t xml:space="preserve">increasing leaf width </w:t>
      </w:r>
      <w:r w:rsidRPr="00AA3A03">
        <w:t>by 30.6% despite a 10.6% reduction in plant height. This architectural shift indicates a highly efficient resource</w:t>
      </w:r>
      <w:r w:rsidR="00A01FBD" w:rsidRPr="00AA3A03">
        <w:t>-</w:t>
      </w:r>
      <w:r w:rsidRPr="00AA3A03">
        <w:t xml:space="preserve">allocation strategy, </w:t>
      </w:r>
      <w:r w:rsidR="00A01FBD" w:rsidRPr="00AA3A03">
        <w:t xml:space="preserve">in which </w:t>
      </w:r>
      <w:r w:rsidRPr="00AA3A03">
        <w:t>the plant prioritizes horizontal photosynthetic surface area over vertical axis elongation, a desirable trait in rosette-type horticultural crops</w:t>
      </w:r>
      <w:r w:rsidR="00332628" w:rsidRPr="00AA3A03">
        <w:rPr>
          <w:vertAlign w:val="superscript"/>
        </w:rPr>
        <w:t>27</w:t>
      </w:r>
      <w:r w:rsidRPr="00AA3A03">
        <w:t xml:space="preserve">. </w:t>
      </w:r>
      <w:r w:rsidR="00566396">
        <w:t>The</w:t>
      </w:r>
      <w:r w:rsidRPr="00AA3A03">
        <w:t xml:space="preserve"> findings confirm that under full irrigation, microbial inoculation</w:t>
      </w:r>
      <w:r w:rsidR="00332628" w:rsidRPr="00AA3A03">
        <w:t xml:space="preserve"> (P</w:t>
      </w:r>
      <w:r w:rsidRPr="00AA3A03">
        <w:t>articularly Treatment I</w:t>
      </w:r>
      <w:r w:rsidR="00332628" w:rsidRPr="00AA3A03">
        <w:t xml:space="preserve">) </w:t>
      </w:r>
      <w:r w:rsidRPr="00AA3A03">
        <w:t xml:space="preserve">enhances the commercial quality of </w:t>
      </w:r>
      <w:r w:rsidRPr="00AA3A03">
        <w:rPr>
          <w:i/>
        </w:rPr>
        <w:t>Lactuca sativa</w:t>
      </w:r>
      <w:r w:rsidRPr="00AA3A03">
        <w:t xml:space="preserve"> by optimizing leaf geometry and accelerating biomass accumulation beyon</w:t>
      </w:r>
      <w:r w:rsidR="00332628" w:rsidRPr="00AA3A03">
        <w:t>d its standard genetic potential</w:t>
      </w:r>
      <w:r w:rsidR="00332628" w:rsidRPr="00AA3A03">
        <w:rPr>
          <w:vertAlign w:val="superscript"/>
        </w:rPr>
        <w:t>26</w:t>
      </w:r>
      <w:r w:rsidRPr="00AA3A03">
        <w:t>.</w:t>
      </w:r>
    </w:p>
    <w:p w14:paraId="044C7CA0" w14:textId="77777777" w:rsidR="003C2D07" w:rsidRPr="00AA3A03" w:rsidRDefault="003C2D07" w:rsidP="00AA3A03"/>
    <w:p w14:paraId="339E6CA7" w14:textId="77777777" w:rsidR="0006118E" w:rsidRPr="00AA3A03" w:rsidRDefault="00F44AA8" w:rsidP="00AA3A03">
      <w:pPr>
        <w:pBdr>
          <w:top w:val="nil"/>
          <w:left w:val="nil"/>
          <w:bottom w:val="nil"/>
          <w:right w:val="nil"/>
          <w:between w:val="nil"/>
        </w:pBdr>
      </w:pPr>
      <w:r w:rsidRPr="00AA3A03">
        <w:rPr>
          <w:b/>
        </w:rPr>
        <w:t>ACKNOWLEDGMENTS:</w:t>
      </w:r>
    </w:p>
    <w:p w14:paraId="5FBB1935" w14:textId="47F3A609" w:rsidR="0006118E" w:rsidRPr="00AA3A03" w:rsidRDefault="0096421A" w:rsidP="00AA3A03">
      <w:pPr>
        <w:pBdr>
          <w:top w:val="nil"/>
          <w:left w:val="nil"/>
          <w:bottom w:val="nil"/>
          <w:right w:val="nil"/>
          <w:between w:val="nil"/>
        </w:pBdr>
      </w:pPr>
      <w:r>
        <w:rPr>
          <w:rFonts w:eastAsia="Times New Roman"/>
        </w:rPr>
        <w:t>The a</w:t>
      </w:r>
      <w:r w:rsidR="00F44AA8" w:rsidRPr="00AA3A03">
        <w:rPr>
          <w:rFonts w:eastAsia="Times New Roman"/>
        </w:rPr>
        <w:t xml:space="preserve">uthors would like to acknowledge Humberto Aguirre Becerra for their critical reading of the manuscript. </w:t>
      </w:r>
    </w:p>
    <w:p w14:paraId="27C2FE97" w14:textId="77777777" w:rsidR="0006118E" w:rsidRPr="00AA3A03" w:rsidRDefault="0006118E" w:rsidP="00AA3A03">
      <w:pPr>
        <w:rPr>
          <w:b/>
        </w:rPr>
      </w:pPr>
    </w:p>
    <w:p w14:paraId="7EADB5C0" w14:textId="77777777" w:rsidR="0006118E" w:rsidRPr="00AA3A03" w:rsidRDefault="00F44AA8" w:rsidP="00AA3A03">
      <w:pPr>
        <w:pBdr>
          <w:top w:val="nil"/>
          <w:left w:val="nil"/>
          <w:bottom w:val="nil"/>
          <w:right w:val="nil"/>
          <w:between w:val="nil"/>
        </w:pBdr>
      </w:pPr>
      <w:r w:rsidRPr="00AA3A03">
        <w:rPr>
          <w:b/>
        </w:rPr>
        <w:t>DISCLOSURES:</w:t>
      </w:r>
    </w:p>
    <w:p w14:paraId="69229137" w14:textId="406F6543" w:rsidR="0006118E" w:rsidRPr="00AA3A03" w:rsidRDefault="00F44AA8" w:rsidP="00AA3A03">
      <w:pPr>
        <w:pBdr>
          <w:top w:val="nil"/>
          <w:left w:val="nil"/>
          <w:bottom w:val="nil"/>
          <w:right w:val="nil"/>
          <w:between w:val="nil"/>
        </w:pBdr>
        <w:rPr>
          <w:rFonts w:eastAsia="Times New Roman"/>
        </w:rPr>
      </w:pPr>
      <w:r w:rsidRPr="00AA3A03">
        <w:rPr>
          <w:rFonts w:eastAsia="Times New Roman"/>
        </w:rPr>
        <w:t xml:space="preserve">The authors declare that they have no known competing financial interests or personal relationships that could have </w:t>
      </w:r>
      <w:r w:rsidR="0096421A">
        <w:rPr>
          <w:rFonts w:eastAsia="Times New Roman"/>
        </w:rPr>
        <w:t>influenced</w:t>
      </w:r>
      <w:r w:rsidRPr="00AA3A03">
        <w:rPr>
          <w:rFonts w:eastAsia="Times New Roman"/>
        </w:rPr>
        <w:t xml:space="preserve"> the work reported in this paper.</w:t>
      </w:r>
    </w:p>
    <w:p w14:paraId="6E29DE98" w14:textId="77777777" w:rsidR="0006118E" w:rsidRPr="00AA3A03" w:rsidRDefault="0006118E" w:rsidP="00AA3A03"/>
    <w:p w14:paraId="574D5179" w14:textId="17024731" w:rsidR="0006118E" w:rsidRPr="00AA3A03" w:rsidRDefault="00F44AA8" w:rsidP="00AA3A03">
      <w:r w:rsidRPr="00AA3A03">
        <w:rPr>
          <w:b/>
        </w:rPr>
        <w:t>AUTHOR CONTRIBUTION</w:t>
      </w:r>
      <w:r w:rsidR="006E38C4">
        <w:rPr>
          <w:b/>
        </w:rPr>
        <w:t>:</w:t>
      </w:r>
    </w:p>
    <w:p w14:paraId="1E69A932" w14:textId="7673B693" w:rsidR="0006118E" w:rsidRDefault="00607869" w:rsidP="00AA3A03">
      <w:r>
        <w:t xml:space="preserve">Cristina Vázquez contributed to </w:t>
      </w:r>
      <w:r w:rsidR="000E1DBD">
        <w:t xml:space="preserve">the </w:t>
      </w:r>
      <w:r>
        <w:t xml:space="preserve">conceptualization and writing of the original draft. Blanca López provided supervision, methodology, and formal analysis. Tania Valtierra conducted </w:t>
      </w:r>
      <w:r w:rsidR="000E1DBD">
        <w:t xml:space="preserve">an </w:t>
      </w:r>
      <w:r>
        <w:t xml:space="preserve">investigation, performed plant experiments, and contributed to </w:t>
      </w:r>
      <w:r w:rsidR="000E1DBD">
        <w:t xml:space="preserve">the </w:t>
      </w:r>
      <w:r>
        <w:t>review and editing. Georgina Mota contributed to writing</w:t>
      </w:r>
      <w:r w:rsidR="000E1DBD">
        <w:t xml:space="preserve">, </w:t>
      </w:r>
      <w:r>
        <w:t>review</w:t>
      </w:r>
      <w:r w:rsidR="000E1DBD">
        <w:t>ing,</w:t>
      </w:r>
      <w:r>
        <w:t xml:space="preserve"> and editing. Humberto Aguirre, Luis Sánchez, and Luis Noriega contributed to </w:t>
      </w:r>
      <w:r w:rsidR="000E1DBD">
        <w:t xml:space="preserve">the </w:t>
      </w:r>
      <w:r>
        <w:t>review and editing of the manuscript.</w:t>
      </w:r>
    </w:p>
    <w:p w14:paraId="2FDD897B" w14:textId="77777777" w:rsidR="00607869" w:rsidRPr="00AA3A03" w:rsidRDefault="00607869" w:rsidP="00AA3A03">
      <w:pPr>
        <w:rPr>
          <w:rFonts w:eastAsia="Times New Roman"/>
        </w:rPr>
      </w:pPr>
    </w:p>
    <w:p w14:paraId="6F4FEBA3" w14:textId="74FB2D14" w:rsidR="0006118E" w:rsidRPr="00AA3A03" w:rsidRDefault="00F44AA8" w:rsidP="00AA3A03">
      <w:pPr>
        <w:rPr>
          <w:b/>
        </w:rPr>
      </w:pPr>
      <w:r w:rsidRPr="00AA3A03">
        <w:rPr>
          <w:b/>
        </w:rPr>
        <w:t>REFERENCES:</w:t>
      </w:r>
    </w:p>
    <w:p w14:paraId="6018A5FE" w14:textId="62047AC4"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Parkash, V., Singh, S. A. Review on </w:t>
      </w:r>
      <w:r w:rsidR="008F6F19" w:rsidRPr="00C75459">
        <w:rPr>
          <w:rFonts w:eastAsia="Times New Roman"/>
          <w:lang w:val="en-IN" w:eastAsia="en-IN"/>
        </w:rPr>
        <w:t>potential plant-based water stress indicators for vegetable crops</w:t>
      </w:r>
      <w:r w:rsidRPr="00C75459">
        <w:rPr>
          <w:rFonts w:eastAsia="Times New Roman"/>
          <w:lang w:val="en-IN" w:eastAsia="en-IN"/>
        </w:rPr>
        <w:t xml:space="preserve">. </w:t>
      </w:r>
      <w:r w:rsidRPr="00C75459">
        <w:rPr>
          <w:rFonts w:eastAsia="Times New Roman"/>
          <w:i/>
          <w:iCs/>
          <w:lang w:val="en-IN" w:eastAsia="en-IN"/>
        </w:rPr>
        <w:t>Sustainability.</w:t>
      </w:r>
      <w:r w:rsidRPr="00C75459">
        <w:rPr>
          <w:rFonts w:eastAsia="Times New Roman"/>
          <w:lang w:val="en-IN" w:eastAsia="en-IN"/>
        </w:rPr>
        <w:t xml:space="preserve"> </w:t>
      </w:r>
      <w:r w:rsidRPr="00C75459">
        <w:rPr>
          <w:rFonts w:eastAsia="Times New Roman"/>
          <w:b/>
          <w:bCs/>
          <w:lang w:val="en-IN" w:eastAsia="en-IN"/>
        </w:rPr>
        <w:t>12</w:t>
      </w:r>
      <w:r w:rsidRPr="00C75459">
        <w:rPr>
          <w:rFonts w:eastAsia="Times New Roman"/>
          <w:lang w:val="en-IN" w:eastAsia="en-IN"/>
        </w:rPr>
        <w:t xml:space="preserve"> (10)</w:t>
      </w:r>
      <w:r w:rsidR="008F6F19">
        <w:rPr>
          <w:rFonts w:eastAsia="Times New Roman"/>
          <w:lang w:val="en-IN" w:eastAsia="en-IN"/>
        </w:rPr>
        <w:t>,</w:t>
      </w:r>
      <w:r w:rsidRPr="00C75459">
        <w:rPr>
          <w:rFonts w:eastAsia="Times New Roman"/>
          <w:lang w:val="en-IN" w:eastAsia="en-IN"/>
        </w:rPr>
        <w:t xml:space="preserve"> 3945 (2020). </w:t>
      </w:r>
    </w:p>
    <w:p w14:paraId="2CA4E5C1" w14:textId="53627F1D"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Ochoa-Noriega, C.</w:t>
      </w:r>
      <w:r w:rsidR="008F6F19">
        <w:rPr>
          <w:rFonts w:eastAsia="Times New Roman"/>
          <w:lang w:val="en-IN" w:eastAsia="en-IN"/>
        </w:rPr>
        <w:t xml:space="preserve"> </w:t>
      </w:r>
      <w:r w:rsidRPr="00C75459">
        <w:rPr>
          <w:rFonts w:eastAsia="Times New Roman"/>
          <w:lang w:val="en-IN" w:eastAsia="en-IN"/>
        </w:rPr>
        <w:t xml:space="preserve">A., Aznar-Sánchez, J. A., Velasco-Muñoz, J. F., Álvarez-Bejar, A. </w:t>
      </w:r>
      <w:r w:rsidR="00F954A5">
        <w:rPr>
          <w:rFonts w:eastAsia="Times New Roman"/>
          <w:lang w:val="en-IN" w:eastAsia="en-IN"/>
        </w:rPr>
        <w:t>T</w:t>
      </w:r>
      <w:r w:rsidR="008F6F19" w:rsidRPr="00C75459">
        <w:rPr>
          <w:rFonts w:eastAsia="Times New Roman"/>
          <w:lang w:val="en-IN" w:eastAsia="en-IN"/>
        </w:rPr>
        <w:t>he use of water in agricultur</w:t>
      </w:r>
      <w:r w:rsidRPr="00C75459">
        <w:rPr>
          <w:rFonts w:eastAsia="Times New Roman"/>
          <w:lang w:val="en-IN" w:eastAsia="en-IN"/>
        </w:rPr>
        <w:t xml:space="preserve">e in Mexico and </w:t>
      </w:r>
      <w:r w:rsidR="008F6F19" w:rsidRPr="00C75459">
        <w:rPr>
          <w:rFonts w:eastAsia="Times New Roman"/>
          <w:lang w:val="en-IN" w:eastAsia="en-IN"/>
        </w:rPr>
        <w:t>its sustainable management</w:t>
      </w:r>
      <w:r w:rsidRPr="00C75459">
        <w:rPr>
          <w:rFonts w:eastAsia="Times New Roman"/>
          <w:lang w:val="en-IN" w:eastAsia="en-IN"/>
        </w:rPr>
        <w:t xml:space="preserve">: A Bibliometric </w:t>
      </w:r>
      <w:r w:rsidR="008F6F19">
        <w:rPr>
          <w:rFonts w:eastAsia="Times New Roman"/>
          <w:lang w:val="en-IN" w:eastAsia="en-IN"/>
        </w:rPr>
        <w:t>r</w:t>
      </w:r>
      <w:r w:rsidRPr="00C75459">
        <w:rPr>
          <w:rFonts w:eastAsia="Times New Roman"/>
          <w:lang w:val="en-IN" w:eastAsia="en-IN"/>
        </w:rPr>
        <w:t xml:space="preserve">eview. </w:t>
      </w:r>
      <w:r w:rsidRPr="00C75459">
        <w:rPr>
          <w:rFonts w:eastAsia="Times New Roman"/>
          <w:i/>
          <w:iCs/>
          <w:lang w:val="en-IN" w:eastAsia="en-IN"/>
        </w:rPr>
        <w:t>Sustainability.</w:t>
      </w:r>
      <w:r w:rsidRPr="00C75459">
        <w:rPr>
          <w:rFonts w:eastAsia="Times New Roman"/>
          <w:lang w:val="en-IN" w:eastAsia="en-IN"/>
        </w:rPr>
        <w:t xml:space="preserve"> </w:t>
      </w:r>
      <w:r w:rsidRPr="00C75459">
        <w:rPr>
          <w:rFonts w:eastAsia="Times New Roman"/>
          <w:b/>
          <w:bCs/>
          <w:lang w:val="en-IN" w:eastAsia="en-IN"/>
        </w:rPr>
        <w:t>10</w:t>
      </w:r>
      <w:r w:rsidRPr="00C75459">
        <w:rPr>
          <w:rFonts w:eastAsia="Times New Roman"/>
          <w:lang w:val="en-IN" w:eastAsia="en-IN"/>
        </w:rPr>
        <w:t xml:space="preserve"> (12)</w:t>
      </w:r>
      <w:r w:rsidR="008F6F19">
        <w:rPr>
          <w:rFonts w:eastAsia="Times New Roman"/>
          <w:lang w:val="en-IN" w:eastAsia="en-IN"/>
        </w:rPr>
        <w:t>,</w:t>
      </w:r>
      <w:r w:rsidRPr="00C75459">
        <w:rPr>
          <w:rFonts w:eastAsia="Times New Roman"/>
          <w:lang w:val="en-IN" w:eastAsia="en-IN"/>
        </w:rPr>
        <w:t xml:space="preserve"> 1957 (2020). </w:t>
      </w:r>
    </w:p>
    <w:p w14:paraId="4D0EE6D8" w14:textId="55289728"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Bermúdez-Rojas, J. G., Luna-Taylor, J. E., Von-Borstel-Luna, F. D., Sandoval-Galarza, J. A. </w:t>
      </w:r>
      <w:proofErr w:type="spellStart"/>
      <w:r w:rsidRPr="00C75459">
        <w:rPr>
          <w:rFonts w:eastAsia="Times New Roman"/>
          <w:lang w:val="en-IN" w:eastAsia="en-IN"/>
        </w:rPr>
        <w:t>Detección</w:t>
      </w:r>
      <w:proofErr w:type="spellEnd"/>
      <w:r w:rsidRPr="00C75459">
        <w:rPr>
          <w:rFonts w:eastAsia="Times New Roman"/>
          <w:lang w:val="en-IN" w:eastAsia="en-IN"/>
        </w:rPr>
        <w:t xml:space="preserve"> del </w:t>
      </w:r>
      <w:proofErr w:type="spellStart"/>
      <w:r w:rsidRPr="00C75459">
        <w:rPr>
          <w:rFonts w:eastAsia="Times New Roman"/>
          <w:lang w:val="en-IN" w:eastAsia="en-IN"/>
        </w:rPr>
        <w:t>nivel</w:t>
      </w:r>
      <w:proofErr w:type="spellEnd"/>
      <w:r w:rsidRPr="00C75459">
        <w:rPr>
          <w:rFonts w:eastAsia="Times New Roman"/>
          <w:lang w:val="en-IN" w:eastAsia="en-IN"/>
        </w:rPr>
        <w:t xml:space="preserve"> de </w:t>
      </w:r>
      <w:proofErr w:type="spellStart"/>
      <w:r w:rsidRPr="00C75459">
        <w:rPr>
          <w:rFonts w:eastAsia="Times New Roman"/>
          <w:lang w:val="en-IN" w:eastAsia="en-IN"/>
        </w:rPr>
        <w:t>estrés</w:t>
      </w:r>
      <w:proofErr w:type="spellEnd"/>
      <w:r w:rsidRPr="00C75459">
        <w:rPr>
          <w:rFonts w:eastAsia="Times New Roman"/>
          <w:lang w:val="en-IN" w:eastAsia="en-IN"/>
        </w:rPr>
        <w:t xml:space="preserve"> </w:t>
      </w:r>
      <w:proofErr w:type="spellStart"/>
      <w:r w:rsidRPr="00C75459">
        <w:rPr>
          <w:rFonts w:eastAsia="Times New Roman"/>
          <w:lang w:val="en-IN" w:eastAsia="en-IN"/>
        </w:rPr>
        <w:t>hídrico</w:t>
      </w:r>
      <w:proofErr w:type="spellEnd"/>
      <w:r w:rsidRPr="00C75459">
        <w:rPr>
          <w:rFonts w:eastAsia="Times New Roman"/>
          <w:lang w:val="en-IN" w:eastAsia="en-IN"/>
        </w:rPr>
        <w:t xml:space="preserve"> </w:t>
      </w:r>
      <w:proofErr w:type="spellStart"/>
      <w:r w:rsidRPr="00C75459">
        <w:rPr>
          <w:rFonts w:eastAsia="Times New Roman"/>
          <w:lang w:val="en-IN" w:eastAsia="en-IN"/>
        </w:rPr>
        <w:t>en</w:t>
      </w:r>
      <w:proofErr w:type="spellEnd"/>
      <w:r w:rsidRPr="00C75459">
        <w:rPr>
          <w:rFonts w:eastAsia="Times New Roman"/>
          <w:lang w:val="en-IN" w:eastAsia="en-IN"/>
        </w:rPr>
        <w:t xml:space="preserve"> </w:t>
      </w:r>
      <w:proofErr w:type="spellStart"/>
      <w:r w:rsidRPr="00C75459">
        <w:rPr>
          <w:rFonts w:eastAsia="Times New Roman"/>
          <w:lang w:val="en-IN" w:eastAsia="en-IN"/>
        </w:rPr>
        <w:t>plantas</w:t>
      </w:r>
      <w:proofErr w:type="spellEnd"/>
      <w:r w:rsidRPr="00C75459">
        <w:rPr>
          <w:rFonts w:eastAsia="Times New Roman"/>
          <w:lang w:val="en-IN" w:eastAsia="en-IN"/>
        </w:rPr>
        <w:t xml:space="preserve"> de </w:t>
      </w:r>
      <w:proofErr w:type="spellStart"/>
      <w:r w:rsidRPr="00C75459">
        <w:rPr>
          <w:rFonts w:eastAsia="Times New Roman"/>
          <w:lang w:val="en-IN" w:eastAsia="en-IN"/>
        </w:rPr>
        <w:t>lechuga</w:t>
      </w:r>
      <w:proofErr w:type="spellEnd"/>
      <w:r w:rsidRPr="00C75459">
        <w:rPr>
          <w:rFonts w:eastAsia="Times New Roman"/>
          <w:lang w:val="en-IN" w:eastAsia="en-IN"/>
        </w:rPr>
        <w:t xml:space="preserve"> </w:t>
      </w:r>
      <w:proofErr w:type="spellStart"/>
      <w:r w:rsidRPr="00C75459">
        <w:rPr>
          <w:rFonts w:eastAsia="Times New Roman"/>
          <w:lang w:val="en-IN" w:eastAsia="en-IN"/>
        </w:rPr>
        <w:t>romana</w:t>
      </w:r>
      <w:proofErr w:type="spellEnd"/>
      <w:r w:rsidRPr="00C75459">
        <w:rPr>
          <w:rFonts w:eastAsia="Times New Roman"/>
          <w:lang w:val="en-IN" w:eastAsia="en-IN"/>
        </w:rPr>
        <w:t xml:space="preserve"> a </w:t>
      </w:r>
      <w:proofErr w:type="spellStart"/>
      <w:r w:rsidRPr="00C75459">
        <w:rPr>
          <w:rFonts w:eastAsia="Times New Roman"/>
          <w:lang w:val="en-IN" w:eastAsia="en-IN"/>
        </w:rPr>
        <w:t>través</w:t>
      </w:r>
      <w:proofErr w:type="spellEnd"/>
      <w:r w:rsidRPr="00C75459">
        <w:rPr>
          <w:rFonts w:eastAsia="Times New Roman"/>
          <w:lang w:val="en-IN" w:eastAsia="en-IN"/>
        </w:rPr>
        <w:t xml:space="preserve"> de CNN. </w:t>
      </w:r>
      <w:r w:rsidRPr="00C75459">
        <w:rPr>
          <w:rFonts w:eastAsia="Times New Roman"/>
          <w:i/>
          <w:iCs/>
          <w:lang w:val="en-IN" w:eastAsia="en-IN"/>
        </w:rPr>
        <w:t>ICBI.</w:t>
      </w:r>
      <w:r w:rsidRPr="00C75459">
        <w:rPr>
          <w:rFonts w:eastAsia="Times New Roman"/>
          <w:lang w:val="en-IN" w:eastAsia="en-IN"/>
        </w:rPr>
        <w:t xml:space="preserve"> </w:t>
      </w:r>
      <w:r w:rsidRPr="00C75459">
        <w:rPr>
          <w:rFonts w:eastAsia="Times New Roman"/>
          <w:b/>
          <w:bCs/>
          <w:lang w:val="en-IN" w:eastAsia="en-IN"/>
        </w:rPr>
        <w:t>11</w:t>
      </w:r>
      <w:r w:rsidRPr="00C75459">
        <w:rPr>
          <w:rFonts w:eastAsia="Times New Roman"/>
          <w:lang w:val="en-IN" w:eastAsia="en-IN"/>
        </w:rPr>
        <w:t xml:space="preserve"> (Especial2)</w:t>
      </w:r>
      <w:r w:rsidR="008F6F19">
        <w:rPr>
          <w:rFonts w:eastAsia="Times New Roman"/>
          <w:lang w:val="en-IN" w:eastAsia="en-IN"/>
        </w:rPr>
        <w:t>,</w:t>
      </w:r>
      <w:r w:rsidRPr="00C75459">
        <w:rPr>
          <w:rFonts w:eastAsia="Times New Roman"/>
          <w:lang w:val="en-IN" w:eastAsia="en-IN"/>
        </w:rPr>
        <w:t xml:space="preserve"> 39–46 (2023). </w:t>
      </w:r>
    </w:p>
    <w:p w14:paraId="4FBABC1E" w14:textId="3EEF90DC"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Casari, R. </w:t>
      </w:r>
      <w:r w:rsidRPr="008F6F19">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Using </w:t>
      </w:r>
      <w:r w:rsidR="008F6F19" w:rsidRPr="00C75459">
        <w:rPr>
          <w:rFonts w:eastAsia="Times New Roman"/>
          <w:lang w:val="en-IN" w:eastAsia="en-IN"/>
        </w:rPr>
        <w:t>thermography to confirm genotypic variation for drought response in maize</w:t>
      </w:r>
      <w:r w:rsidRPr="00C75459">
        <w:rPr>
          <w:rFonts w:eastAsia="Times New Roman"/>
          <w:lang w:val="en-IN" w:eastAsia="en-IN"/>
        </w:rPr>
        <w:t xml:space="preserve">. </w:t>
      </w:r>
      <w:r w:rsidRPr="00C75459">
        <w:rPr>
          <w:rFonts w:eastAsia="Times New Roman"/>
          <w:i/>
          <w:iCs/>
          <w:lang w:val="en-IN" w:eastAsia="en-IN"/>
        </w:rPr>
        <w:t>Int J Mol Sci.</w:t>
      </w:r>
      <w:r w:rsidRPr="00C75459">
        <w:rPr>
          <w:rFonts w:eastAsia="Times New Roman"/>
          <w:lang w:val="en-IN" w:eastAsia="en-IN"/>
        </w:rPr>
        <w:t xml:space="preserve"> </w:t>
      </w:r>
      <w:r w:rsidRPr="00C75459">
        <w:rPr>
          <w:rFonts w:eastAsia="Times New Roman"/>
          <w:b/>
          <w:bCs/>
          <w:lang w:val="en-IN" w:eastAsia="en-IN"/>
        </w:rPr>
        <w:t>20</w:t>
      </w:r>
      <w:r w:rsidRPr="00C75459">
        <w:rPr>
          <w:rFonts w:eastAsia="Times New Roman"/>
          <w:lang w:val="en-IN" w:eastAsia="en-IN"/>
        </w:rPr>
        <w:t xml:space="preserve"> (9)</w:t>
      </w:r>
      <w:r w:rsidR="008F6F19">
        <w:rPr>
          <w:rFonts w:eastAsia="Times New Roman"/>
          <w:lang w:val="en-IN" w:eastAsia="en-IN"/>
        </w:rPr>
        <w:t>,</w:t>
      </w:r>
      <w:r w:rsidRPr="00C75459">
        <w:rPr>
          <w:rFonts w:eastAsia="Times New Roman"/>
          <w:lang w:val="en-IN" w:eastAsia="en-IN"/>
        </w:rPr>
        <w:t xml:space="preserve"> 2273 (2019). </w:t>
      </w:r>
    </w:p>
    <w:p w14:paraId="49CFA7F6" w14:textId="5749F377"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Messina, G., Modica, G. Applications of UAV </w:t>
      </w:r>
      <w:r w:rsidR="00AC2757" w:rsidRPr="00C75459">
        <w:rPr>
          <w:rFonts w:eastAsia="Times New Roman"/>
          <w:lang w:val="en-IN" w:eastAsia="en-IN"/>
        </w:rPr>
        <w:t>thermal imagery in precision agriculture</w:t>
      </w:r>
      <w:r w:rsidRPr="00C75459">
        <w:rPr>
          <w:rFonts w:eastAsia="Times New Roman"/>
          <w:lang w:val="en-IN" w:eastAsia="en-IN"/>
        </w:rPr>
        <w:t xml:space="preserve">: State of the </w:t>
      </w:r>
      <w:r w:rsidR="00AC2757" w:rsidRPr="00C75459">
        <w:rPr>
          <w:rFonts w:eastAsia="Times New Roman"/>
          <w:lang w:val="en-IN" w:eastAsia="en-IN"/>
        </w:rPr>
        <w:t>art and future research outlook</w:t>
      </w:r>
      <w:r w:rsidRPr="00C75459">
        <w:rPr>
          <w:rFonts w:eastAsia="Times New Roman"/>
          <w:lang w:val="en-IN" w:eastAsia="en-IN"/>
        </w:rPr>
        <w:t xml:space="preserve">. </w:t>
      </w:r>
      <w:r w:rsidRPr="00C75459">
        <w:rPr>
          <w:rFonts w:eastAsia="Times New Roman"/>
          <w:i/>
          <w:iCs/>
          <w:lang w:val="en-IN" w:eastAsia="en-IN"/>
        </w:rPr>
        <w:t>Remote Sensing.</w:t>
      </w:r>
      <w:r w:rsidRPr="00C75459">
        <w:rPr>
          <w:rFonts w:eastAsia="Times New Roman"/>
          <w:lang w:val="en-IN" w:eastAsia="en-IN"/>
        </w:rPr>
        <w:t xml:space="preserve"> </w:t>
      </w:r>
      <w:r w:rsidRPr="00C75459">
        <w:rPr>
          <w:rFonts w:eastAsia="Times New Roman"/>
          <w:b/>
          <w:bCs/>
          <w:lang w:val="en-IN" w:eastAsia="en-IN"/>
        </w:rPr>
        <w:t>12</w:t>
      </w:r>
      <w:r w:rsidRPr="00C75459">
        <w:rPr>
          <w:rFonts w:eastAsia="Times New Roman"/>
          <w:lang w:val="en-IN" w:eastAsia="en-IN"/>
        </w:rPr>
        <w:t xml:space="preserve"> (9)</w:t>
      </w:r>
      <w:r w:rsidR="00AC2757">
        <w:rPr>
          <w:rFonts w:eastAsia="Times New Roman"/>
          <w:lang w:val="en-IN" w:eastAsia="en-IN"/>
        </w:rPr>
        <w:t xml:space="preserve">, </w:t>
      </w:r>
      <w:r w:rsidRPr="00C75459">
        <w:rPr>
          <w:rFonts w:eastAsia="Times New Roman"/>
          <w:lang w:val="en-IN" w:eastAsia="en-IN"/>
        </w:rPr>
        <w:t xml:space="preserve">1491 (2020). </w:t>
      </w:r>
    </w:p>
    <w:p w14:paraId="3E6B52C5" w14:textId="34888048"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lastRenderedPageBreak/>
        <w:t xml:space="preserve">Gerhards, M., Schlerf, M., Mallick, K., Udelhoven, T. Challenges and </w:t>
      </w:r>
      <w:r w:rsidR="00AC2757" w:rsidRPr="00C75459">
        <w:rPr>
          <w:rFonts w:eastAsia="Times New Roman"/>
          <w:lang w:val="en-IN" w:eastAsia="en-IN"/>
        </w:rPr>
        <w:t>future perspectives of multi hyperspectral thermal infrared remote sensing for crop water stress detection</w:t>
      </w:r>
      <w:r w:rsidRPr="00C75459">
        <w:rPr>
          <w:rFonts w:eastAsia="Times New Roman"/>
          <w:lang w:val="en-IN" w:eastAsia="en-IN"/>
        </w:rPr>
        <w:t xml:space="preserve">: A </w:t>
      </w:r>
      <w:r w:rsidR="00AC2757">
        <w:rPr>
          <w:rFonts w:eastAsia="Times New Roman"/>
          <w:lang w:val="en-IN" w:eastAsia="en-IN"/>
        </w:rPr>
        <w:t>r</w:t>
      </w:r>
      <w:r w:rsidRPr="00C75459">
        <w:rPr>
          <w:rFonts w:eastAsia="Times New Roman"/>
          <w:lang w:val="en-IN" w:eastAsia="en-IN"/>
        </w:rPr>
        <w:t xml:space="preserve">eview. </w:t>
      </w:r>
      <w:r w:rsidRPr="00C75459">
        <w:rPr>
          <w:rFonts w:eastAsia="Times New Roman"/>
          <w:i/>
          <w:iCs/>
          <w:lang w:val="en-IN" w:eastAsia="en-IN"/>
        </w:rPr>
        <w:t>Remote Sensing.</w:t>
      </w:r>
      <w:r w:rsidRPr="00C75459">
        <w:rPr>
          <w:rFonts w:eastAsia="Times New Roman"/>
          <w:lang w:val="en-IN" w:eastAsia="en-IN"/>
        </w:rPr>
        <w:t xml:space="preserve"> </w:t>
      </w:r>
      <w:r w:rsidRPr="00C75459">
        <w:rPr>
          <w:rFonts w:eastAsia="Times New Roman"/>
          <w:b/>
          <w:bCs/>
          <w:lang w:val="en-IN" w:eastAsia="en-IN"/>
        </w:rPr>
        <w:t>11</w:t>
      </w:r>
      <w:r w:rsidRPr="00C75459">
        <w:rPr>
          <w:rFonts w:eastAsia="Times New Roman"/>
          <w:lang w:val="en-IN" w:eastAsia="en-IN"/>
        </w:rPr>
        <w:t xml:space="preserve"> (10)</w:t>
      </w:r>
      <w:r w:rsidR="00AC2757">
        <w:rPr>
          <w:rFonts w:eastAsia="Times New Roman"/>
          <w:lang w:val="en-IN" w:eastAsia="en-IN"/>
        </w:rPr>
        <w:t>,</w:t>
      </w:r>
      <w:r w:rsidRPr="00C75459">
        <w:rPr>
          <w:rFonts w:eastAsia="Times New Roman"/>
          <w:lang w:val="en-IN" w:eastAsia="en-IN"/>
        </w:rPr>
        <w:t xml:space="preserve"> 1240 (2019). </w:t>
      </w:r>
    </w:p>
    <w:p w14:paraId="36533791" w14:textId="0C375472"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Santoyo, G., Moreno-Hagelsieb, G., Del Carmen Orozco-Mosqueda, Ma., Glick, B</w:t>
      </w:r>
      <w:r w:rsidR="00E643C5">
        <w:rPr>
          <w:rFonts w:eastAsia="Times New Roman"/>
          <w:lang w:val="en-IN" w:eastAsia="en-IN"/>
        </w:rPr>
        <w:t xml:space="preserve">. </w:t>
      </w:r>
      <w:r w:rsidRPr="00C75459">
        <w:rPr>
          <w:rFonts w:eastAsia="Times New Roman"/>
          <w:lang w:val="en-IN" w:eastAsia="en-IN"/>
        </w:rPr>
        <w:t xml:space="preserve">R. Plant growth-promoting bacterial endophytes. </w:t>
      </w:r>
      <w:proofErr w:type="spellStart"/>
      <w:r w:rsidRPr="00C75459">
        <w:rPr>
          <w:rFonts w:eastAsia="Times New Roman"/>
          <w:i/>
          <w:iCs/>
          <w:lang w:val="en-IN" w:eastAsia="en-IN"/>
        </w:rPr>
        <w:t>Microbiol</w:t>
      </w:r>
      <w:proofErr w:type="spellEnd"/>
      <w:r w:rsidRPr="00C75459">
        <w:rPr>
          <w:rFonts w:eastAsia="Times New Roman"/>
          <w:i/>
          <w:iCs/>
          <w:lang w:val="en-IN" w:eastAsia="en-IN"/>
        </w:rPr>
        <w:t xml:space="preserve"> Res.</w:t>
      </w:r>
      <w:r w:rsidRPr="00C75459">
        <w:rPr>
          <w:rFonts w:eastAsia="Times New Roman"/>
          <w:lang w:val="en-IN" w:eastAsia="en-IN"/>
        </w:rPr>
        <w:t xml:space="preserve"> </w:t>
      </w:r>
      <w:r w:rsidRPr="00C75459">
        <w:rPr>
          <w:rFonts w:eastAsia="Times New Roman"/>
          <w:b/>
          <w:bCs/>
          <w:lang w:val="en-IN" w:eastAsia="en-IN"/>
        </w:rPr>
        <w:t>183</w:t>
      </w:r>
      <w:r w:rsidR="00E643C5" w:rsidRPr="00E643C5">
        <w:rPr>
          <w:rFonts w:eastAsia="Times New Roman"/>
          <w:lang w:val="en-IN" w:eastAsia="en-IN"/>
        </w:rPr>
        <w:t>,</w:t>
      </w:r>
      <w:r w:rsidRPr="00E643C5">
        <w:rPr>
          <w:rFonts w:eastAsia="Times New Roman"/>
          <w:lang w:val="en-IN" w:eastAsia="en-IN"/>
        </w:rPr>
        <w:t xml:space="preserve"> </w:t>
      </w:r>
      <w:r w:rsidRPr="00C75459">
        <w:rPr>
          <w:rFonts w:eastAsia="Times New Roman"/>
          <w:lang w:val="en-IN" w:eastAsia="en-IN"/>
        </w:rPr>
        <w:t xml:space="preserve">92–99 (2016). </w:t>
      </w:r>
    </w:p>
    <w:p w14:paraId="31879403" w14:textId="654225BD"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Pedrero-Méndez, A. </w:t>
      </w:r>
      <w:r w:rsidRPr="00E643C5">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Trichoderma strain dependent direct and indirect biocontrol of Fusarium head blight caused by </w:t>
      </w:r>
      <w:proofErr w:type="spellStart"/>
      <w:r w:rsidRPr="00C75459">
        <w:rPr>
          <w:rFonts w:eastAsia="Times New Roman"/>
          <w:lang w:val="en-IN" w:eastAsia="en-IN"/>
        </w:rPr>
        <w:t>Fusarium</w:t>
      </w:r>
      <w:proofErr w:type="spellEnd"/>
      <w:r w:rsidRPr="00C75459">
        <w:rPr>
          <w:rFonts w:eastAsia="Times New Roman"/>
          <w:lang w:val="en-IN" w:eastAsia="en-IN"/>
        </w:rPr>
        <w:t xml:space="preserve"> </w:t>
      </w:r>
      <w:proofErr w:type="spellStart"/>
      <w:r w:rsidRPr="00C75459">
        <w:rPr>
          <w:rFonts w:eastAsia="Times New Roman"/>
          <w:lang w:val="en-IN" w:eastAsia="en-IN"/>
        </w:rPr>
        <w:t>graminearum</w:t>
      </w:r>
      <w:proofErr w:type="spellEnd"/>
      <w:r w:rsidRPr="00C75459">
        <w:rPr>
          <w:rFonts w:eastAsia="Times New Roman"/>
          <w:lang w:val="en-IN" w:eastAsia="en-IN"/>
        </w:rPr>
        <w:t xml:space="preserve"> in wheat. </w:t>
      </w:r>
      <w:proofErr w:type="spellStart"/>
      <w:r w:rsidRPr="00C75459">
        <w:rPr>
          <w:rFonts w:eastAsia="Times New Roman"/>
          <w:i/>
          <w:iCs/>
          <w:lang w:val="en-IN" w:eastAsia="en-IN"/>
        </w:rPr>
        <w:t>Microbiol</w:t>
      </w:r>
      <w:proofErr w:type="spellEnd"/>
      <w:r w:rsidRPr="00C75459">
        <w:rPr>
          <w:rFonts w:eastAsia="Times New Roman"/>
          <w:i/>
          <w:iCs/>
          <w:lang w:val="en-IN" w:eastAsia="en-IN"/>
        </w:rPr>
        <w:t xml:space="preserve"> Res.</w:t>
      </w:r>
      <w:r w:rsidRPr="00C75459">
        <w:rPr>
          <w:rFonts w:eastAsia="Times New Roman"/>
          <w:lang w:val="en-IN" w:eastAsia="en-IN"/>
        </w:rPr>
        <w:t xml:space="preserve"> </w:t>
      </w:r>
      <w:r w:rsidRPr="00C75459">
        <w:rPr>
          <w:rFonts w:eastAsia="Times New Roman"/>
          <w:b/>
          <w:bCs/>
          <w:lang w:val="en-IN" w:eastAsia="en-IN"/>
        </w:rPr>
        <w:t>296</w:t>
      </w:r>
      <w:r w:rsidR="00E643C5">
        <w:rPr>
          <w:rFonts w:eastAsia="Times New Roman"/>
          <w:lang w:val="en-IN" w:eastAsia="en-IN"/>
        </w:rPr>
        <w:t xml:space="preserve">, </w:t>
      </w:r>
      <w:r w:rsidRPr="00C75459">
        <w:rPr>
          <w:rFonts w:eastAsia="Times New Roman"/>
          <w:lang w:val="en-IN" w:eastAsia="en-IN"/>
        </w:rPr>
        <w:t xml:space="preserve">128153 (2025). </w:t>
      </w:r>
    </w:p>
    <w:p w14:paraId="394604DE" w14:textId="7B9F4A7A"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Guo, S.</w:t>
      </w:r>
      <w:r w:rsidR="00E643C5">
        <w:rPr>
          <w:rFonts w:eastAsia="Times New Roman"/>
          <w:lang w:val="en-IN" w:eastAsia="en-IN"/>
        </w:rPr>
        <w:t xml:space="preserve"> et al</w:t>
      </w:r>
      <w:r w:rsidRPr="00C75459">
        <w:rPr>
          <w:rFonts w:eastAsia="Times New Roman"/>
          <w:lang w:val="en-IN" w:eastAsia="en-IN"/>
        </w:rPr>
        <w:t xml:space="preserve">. Enhancing plant resilience: </w:t>
      </w:r>
      <w:r w:rsidR="00E643C5">
        <w:rPr>
          <w:rFonts w:eastAsia="Times New Roman"/>
          <w:lang w:val="en-IN" w:eastAsia="en-IN"/>
        </w:rPr>
        <w:t>a</w:t>
      </w:r>
      <w:r w:rsidRPr="00C75459">
        <w:rPr>
          <w:rFonts w:eastAsia="Times New Roman"/>
          <w:lang w:val="en-IN" w:eastAsia="en-IN"/>
        </w:rPr>
        <w:t xml:space="preserve">rbuscular mycorrhizal fungi’s role in alleviating drought stress in vegetation concrete. </w:t>
      </w:r>
      <w:r w:rsidRPr="00C75459">
        <w:rPr>
          <w:rFonts w:eastAsia="Times New Roman"/>
          <w:i/>
          <w:iCs/>
          <w:lang w:val="en-IN" w:eastAsia="en-IN"/>
        </w:rPr>
        <w:t>Front Plant Sci.</w:t>
      </w:r>
      <w:r w:rsidRPr="00C75459">
        <w:rPr>
          <w:rFonts w:eastAsia="Times New Roman"/>
          <w:lang w:val="en-IN" w:eastAsia="en-IN"/>
        </w:rPr>
        <w:t xml:space="preserve"> </w:t>
      </w:r>
      <w:r w:rsidRPr="00C75459">
        <w:rPr>
          <w:rFonts w:eastAsia="Times New Roman"/>
          <w:b/>
          <w:bCs/>
          <w:lang w:val="en-IN" w:eastAsia="en-IN"/>
        </w:rPr>
        <w:t>15</w:t>
      </w:r>
      <w:r w:rsidR="00E643C5">
        <w:rPr>
          <w:rFonts w:eastAsia="Times New Roman"/>
          <w:lang w:val="en-IN" w:eastAsia="en-IN"/>
        </w:rPr>
        <w:t xml:space="preserve">, </w:t>
      </w:r>
      <w:r w:rsidRPr="00C75459">
        <w:rPr>
          <w:rFonts w:eastAsia="Times New Roman"/>
          <w:lang w:val="en-IN" w:eastAsia="en-IN"/>
        </w:rPr>
        <w:t xml:space="preserve">1401050 (2024). </w:t>
      </w:r>
    </w:p>
    <w:p w14:paraId="4E3580F4" w14:textId="6A3707D1"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Timofeeva, A. M., Galyamova, M. R., </w:t>
      </w:r>
      <w:proofErr w:type="spellStart"/>
      <w:r w:rsidRPr="00C75459">
        <w:rPr>
          <w:rFonts w:eastAsia="Times New Roman"/>
          <w:lang w:val="en-IN" w:eastAsia="en-IN"/>
        </w:rPr>
        <w:t>Sedykh</w:t>
      </w:r>
      <w:proofErr w:type="spellEnd"/>
      <w:r w:rsidRPr="00C75459">
        <w:rPr>
          <w:rFonts w:eastAsia="Times New Roman"/>
          <w:lang w:val="en-IN" w:eastAsia="en-IN"/>
        </w:rPr>
        <w:t xml:space="preserve">, S. E. Plant </w:t>
      </w:r>
      <w:r w:rsidR="00E643C5" w:rsidRPr="00C75459">
        <w:rPr>
          <w:rFonts w:eastAsia="Times New Roman"/>
          <w:lang w:val="en-IN" w:eastAsia="en-IN"/>
        </w:rPr>
        <w:t xml:space="preserve">growth promoting bacteria of soil: </w:t>
      </w:r>
      <w:r w:rsidR="00E643C5">
        <w:rPr>
          <w:rFonts w:eastAsia="Times New Roman"/>
          <w:lang w:val="en-IN" w:eastAsia="en-IN"/>
        </w:rPr>
        <w:t>D</w:t>
      </w:r>
      <w:r w:rsidR="00E643C5" w:rsidRPr="00C75459">
        <w:rPr>
          <w:rFonts w:eastAsia="Times New Roman"/>
          <w:lang w:val="en-IN" w:eastAsia="en-IN"/>
        </w:rPr>
        <w:t>esigning of consortia beneficial for crop production</w:t>
      </w:r>
      <w:r w:rsidRPr="00C75459">
        <w:rPr>
          <w:rFonts w:eastAsia="Times New Roman"/>
          <w:lang w:val="en-IN" w:eastAsia="en-IN"/>
        </w:rPr>
        <w:t xml:space="preserve">. </w:t>
      </w:r>
      <w:r w:rsidRPr="00C75459">
        <w:rPr>
          <w:rFonts w:eastAsia="Times New Roman"/>
          <w:i/>
          <w:iCs/>
          <w:lang w:val="en-IN" w:eastAsia="en-IN"/>
        </w:rPr>
        <w:t>Microorganisms.</w:t>
      </w:r>
      <w:r w:rsidRPr="00C75459">
        <w:rPr>
          <w:rFonts w:eastAsia="Times New Roman"/>
          <w:lang w:val="en-IN" w:eastAsia="en-IN"/>
        </w:rPr>
        <w:t xml:space="preserve"> </w:t>
      </w:r>
      <w:r w:rsidRPr="00C75459">
        <w:rPr>
          <w:rFonts w:eastAsia="Times New Roman"/>
          <w:b/>
          <w:bCs/>
          <w:lang w:val="en-IN" w:eastAsia="en-IN"/>
        </w:rPr>
        <w:t>11</w:t>
      </w:r>
      <w:r w:rsidRPr="00C75459">
        <w:rPr>
          <w:rFonts w:eastAsia="Times New Roman"/>
          <w:lang w:val="en-IN" w:eastAsia="en-IN"/>
        </w:rPr>
        <w:t xml:space="preserve"> (12)</w:t>
      </w:r>
      <w:r w:rsidR="00E643C5">
        <w:rPr>
          <w:rFonts w:eastAsia="Times New Roman"/>
          <w:lang w:val="en-IN" w:eastAsia="en-IN"/>
        </w:rPr>
        <w:t xml:space="preserve">, </w:t>
      </w:r>
      <w:r w:rsidRPr="00C75459">
        <w:rPr>
          <w:rFonts w:eastAsia="Times New Roman"/>
          <w:lang w:val="en-IN" w:eastAsia="en-IN"/>
        </w:rPr>
        <w:t xml:space="preserve">2864 (2023). </w:t>
      </w:r>
    </w:p>
    <w:p w14:paraId="75A0F557" w14:textId="0C2C1BDA"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El-</w:t>
      </w:r>
      <w:proofErr w:type="spellStart"/>
      <w:r w:rsidRPr="00C75459">
        <w:rPr>
          <w:rFonts w:eastAsia="Times New Roman"/>
          <w:lang w:val="en-IN" w:eastAsia="en-IN"/>
        </w:rPr>
        <w:t>Saadony</w:t>
      </w:r>
      <w:proofErr w:type="spellEnd"/>
      <w:r w:rsidRPr="00C75459">
        <w:rPr>
          <w:rFonts w:eastAsia="Times New Roman"/>
          <w:lang w:val="en-IN" w:eastAsia="en-IN"/>
        </w:rPr>
        <w:t>, M.</w:t>
      </w:r>
      <w:r w:rsidR="00E643C5">
        <w:rPr>
          <w:rFonts w:eastAsia="Times New Roman"/>
          <w:lang w:val="en-IN" w:eastAsia="en-IN"/>
        </w:rPr>
        <w:t xml:space="preserve"> </w:t>
      </w:r>
      <w:r w:rsidRPr="00C75459">
        <w:rPr>
          <w:rFonts w:eastAsia="Times New Roman"/>
          <w:lang w:val="en-IN" w:eastAsia="en-IN"/>
        </w:rPr>
        <w:t xml:space="preserve">T. </w:t>
      </w:r>
      <w:r w:rsidRPr="00E643C5">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Drought tolerant plant growth-promoting rhizobacteria alleviate drought stress and enhance soil health for sustainable agriculture: A comprehensive review. </w:t>
      </w:r>
      <w:r w:rsidRPr="00C75459">
        <w:rPr>
          <w:rFonts w:eastAsia="Times New Roman"/>
          <w:i/>
          <w:iCs/>
          <w:lang w:val="en-IN" w:eastAsia="en-IN"/>
        </w:rPr>
        <w:t>Plant Stress.</w:t>
      </w:r>
      <w:r w:rsidRPr="00C75459">
        <w:rPr>
          <w:rFonts w:eastAsia="Times New Roman"/>
          <w:lang w:val="en-IN" w:eastAsia="en-IN"/>
        </w:rPr>
        <w:t xml:space="preserve"> </w:t>
      </w:r>
      <w:r w:rsidRPr="00C75459">
        <w:rPr>
          <w:rFonts w:eastAsia="Times New Roman"/>
          <w:b/>
          <w:bCs/>
          <w:lang w:val="en-IN" w:eastAsia="en-IN"/>
        </w:rPr>
        <w:t>14</w:t>
      </w:r>
      <w:r w:rsidR="00E643C5">
        <w:rPr>
          <w:rFonts w:eastAsia="Times New Roman"/>
          <w:lang w:val="en-IN" w:eastAsia="en-IN"/>
        </w:rPr>
        <w:t xml:space="preserve">, </w:t>
      </w:r>
      <w:r w:rsidRPr="00C75459">
        <w:rPr>
          <w:rFonts w:eastAsia="Times New Roman"/>
          <w:lang w:val="en-IN" w:eastAsia="en-IN"/>
        </w:rPr>
        <w:t xml:space="preserve">100632 (2024). </w:t>
      </w:r>
    </w:p>
    <w:p w14:paraId="3AF10F9B" w14:textId="6E3F41B1"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Backer, R. </w:t>
      </w:r>
      <w:r w:rsidRPr="00E643C5">
        <w:rPr>
          <w:rFonts w:eastAsia="Times New Roman"/>
          <w:lang w:val="en-IN" w:eastAsia="en-IN"/>
        </w:rPr>
        <w:t>et al.</w:t>
      </w:r>
      <w:r w:rsidRPr="00C75459">
        <w:rPr>
          <w:rFonts w:eastAsia="Times New Roman"/>
          <w:lang w:val="en-IN" w:eastAsia="en-IN"/>
        </w:rPr>
        <w:t xml:space="preserve"> Plant </w:t>
      </w:r>
      <w:r w:rsidR="00E643C5" w:rsidRPr="00C75459">
        <w:rPr>
          <w:rFonts w:eastAsia="Times New Roman"/>
          <w:lang w:val="en-IN" w:eastAsia="en-IN"/>
        </w:rPr>
        <w:t xml:space="preserve">growth promoting </w:t>
      </w:r>
      <w:r w:rsidRPr="00C75459">
        <w:rPr>
          <w:rFonts w:eastAsia="Times New Roman"/>
          <w:lang w:val="en-IN" w:eastAsia="en-IN"/>
        </w:rPr>
        <w:t xml:space="preserve">Rhizobacteria: Context, </w:t>
      </w:r>
      <w:r w:rsidR="00E643C5" w:rsidRPr="00C75459">
        <w:rPr>
          <w:rFonts w:eastAsia="Times New Roman"/>
          <w:lang w:val="en-IN" w:eastAsia="en-IN"/>
        </w:rPr>
        <w:t xml:space="preserve">mechanisms of action, and roadmap to commercialization of </w:t>
      </w:r>
      <w:proofErr w:type="spellStart"/>
      <w:r w:rsidR="00E643C5" w:rsidRPr="00C75459">
        <w:rPr>
          <w:rFonts w:eastAsia="Times New Roman"/>
          <w:lang w:val="en-IN" w:eastAsia="en-IN"/>
        </w:rPr>
        <w:t>biostimulants</w:t>
      </w:r>
      <w:proofErr w:type="spellEnd"/>
      <w:r w:rsidR="00E643C5" w:rsidRPr="00C75459">
        <w:rPr>
          <w:rFonts w:eastAsia="Times New Roman"/>
          <w:lang w:val="en-IN" w:eastAsia="en-IN"/>
        </w:rPr>
        <w:t xml:space="preserve"> for sustainable agricu</w:t>
      </w:r>
      <w:r w:rsidRPr="00C75459">
        <w:rPr>
          <w:rFonts w:eastAsia="Times New Roman"/>
          <w:lang w:val="en-IN" w:eastAsia="en-IN"/>
        </w:rPr>
        <w:t xml:space="preserve">lture. </w:t>
      </w:r>
      <w:r w:rsidRPr="00C75459">
        <w:rPr>
          <w:rFonts w:eastAsia="Times New Roman"/>
          <w:i/>
          <w:iCs/>
          <w:lang w:val="en-IN" w:eastAsia="en-IN"/>
        </w:rPr>
        <w:t>Front Plant Sci.</w:t>
      </w:r>
      <w:r w:rsidRPr="00C75459">
        <w:rPr>
          <w:rFonts w:eastAsia="Times New Roman"/>
          <w:lang w:val="en-IN" w:eastAsia="en-IN"/>
        </w:rPr>
        <w:t xml:space="preserve"> </w:t>
      </w:r>
      <w:r w:rsidRPr="00C75459">
        <w:rPr>
          <w:rFonts w:eastAsia="Times New Roman"/>
          <w:b/>
          <w:bCs/>
          <w:lang w:val="en-IN" w:eastAsia="en-IN"/>
        </w:rPr>
        <w:t>9</w:t>
      </w:r>
      <w:r w:rsidR="00E643C5">
        <w:rPr>
          <w:rFonts w:eastAsia="Times New Roman"/>
          <w:lang w:val="en-IN" w:eastAsia="en-IN"/>
        </w:rPr>
        <w:t xml:space="preserve">, </w:t>
      </w:r>
      <w:r w:rsidRPr="00C75459">
        <w:rPr>
          <w:rFonts w:eastAsia="Times New Roman"/>
          <w:lang w:val="en-IN" w:eastAsia="en-IN"/>
        </w:rPr>
        <w:t xml:space="preserve">1473 (2018). </w:t>
      </w:r>
    </w:p>
    <w:p w14:paraId="4CF070AB" w14:textId="2DE9FE43"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Naseem, M. </w:t>
      </w:r>
      <w:r w:rsidRPr="00D148C6">
        <w:rPr>
          <w:rFonts w:eastAsia="Times New Roman"/>
          <w:lang w:val="en-IN" w:eastAsia="en-IN"/>
        </w:rPr>
        <w:t>et al.</w:t>
      </w:r>
      <w:r w:rsidRPr="00C75459">
        <w:rPr>
          <w:rFonts w:eastAsia="Times New Roman"/>
          <w:lang w:val="en-IN" w:eastAsia="en-IN"/>
        </w:rPr>
        <w:t xml:space="preserve"> Editorial: Integrative techniques to alleviate abiotic stress in plants using plant growth promoting bacteria and fungi: mechanisms interactions and applications. </w:t>
      </w:r>
      <w:r w:rsidRPr="00C75459">
        <w:rPr>
          <w:rFonts w:eastAsia="Times New Roman"/>
          <w:i/>
          <w:iCs/>
          <w:lang w:val="en-IN" w:eastAsia="en-IN"/>
        </w:rPr>
        <w:t>Front Plant Sci.</w:t>
      </w:r>
      <w:r w:rsidRPr="00C75459">
        <w:rPr>
          <w:rFonts w:eastAsia="Times New Roman"/>
          <w:lang w:val="en-IN" w:eastAsia="en-IN"/>
        </w:rPr>
        <w:t xml:space="preserve"> </w:t>
      </w:r>
      <w:r w:rsidRPr="00C75459">
        <w:rPr>
          <w:rFonts w:eastAsia="Times New Roman"/>
          <w:b/>
          <w:bCs/>
          <w:lang w:val="en-IN" w:eastAsia="en-IN"/>
        </w:rPr>
        <w:t>16</w:t>
      </w:r>
      <w:r w:rsidR="00D148C6">
        <w:rPr>
          <w:rFonts w:eastAsia="Times New Roman"/>
          <w:lang w:val="en-IN" w:eastAsia="en-IN"/>
        </w:rPr>
        <w:t xml:space="preserve">, </w:t>
      </w:r>
      <w:r w:rsidRPr="00C75459">
        <w:rPr>
          <w:rFonts w:eastAsia="Times New Roman"/>
          <w:lang w:val="en-IN" w:eastAsia="en-IN"/>
        </w:rPr>
        <w:t xml:space="preserve">1686762 (2025). </w:t>
      </w:r>
    </w:p>
    <w:p w14:paraId="3F1F3546" w14:textId="4EA23E66"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Wei, J. </w:t>
      </w:r>
      <w:r w:rsidRPr="00D148C6">
        <w:rPr>
          <w:rFonts w:eastAsia="Times New Roman"/>
          <w:lang w:val="en-IN" w:eastAsia="en-IN"/>
        </w:rPr>
        <w:t>et al.</w:t>
      </w:r>
      <w:r w:rsidRPr="00C75459">
        <w:rPr>
          <w:rFonts w:eastAsia="Times New Roman"/>
          <w:lang w:val="en-IN" w:eastAsia="en-IN"/>
        </w:rPr>
        <w:t xml:space="preserve"> Advance in the </w:t>
      </w:r>
      <w:proofErr w:type="spellStart"/>
      <w:r w:rsidR="00D148C6" w:rsidRPr="00C75459">
        <w:rPr>
          <w:rFonts w:eastAsia="Times New Roman"/>
          <w:lang w:val="en-IN" w:eastAsia="en-IN"/>
        </w:rPr>
        <w:t>thermoinhibition</w:t>
      </w:r>
      <w:proofErr w:type="spellEnd"/>
      <w:r w:rsidR="00D148C6" w:rsidRPr="00C75459">
        <w:rPr>
          <w:rFonts w:eastAsia="Times New Roman"/>
          <w:lang w:val="en-IN" w:eastAsia="en-IN"/>
        </w:rPr>
        <w:t xml:space="preserve"> of lettuce </w:t>
      </w:r>
      <w:r w:rsidRPr="00C75459">
        <w:rPr>
          <w:rFonts w:eastAsia="Times New Roman"/>
          <w:lang w:val="en-IN" w:eastAsia="en-IN"/>
        </w:rPr>
        <w:t>(</w:t>
      </w:r>
      <w:proofErr w:type="spellStart"/>
      <w:r w:rsidRPr="00D148C6">
        <w:rPr>
          <w:rFonts w:eastAsia="Times New Roman"/>
          <w:i/>
          <w:iCs/>
          <w:lang w:val="en-IN" w:eastAsia="en-IN"/>
        </w:rPr>
        <w:t>Lactuca</w:t>
      </w:r>
      <w:proofErr w:type="spellEnd"/>
      <w:r w:rsidRPr="00D148C6">
        <w:rPr>
          <w:rFonts w:eastAsia="Times New Roman"/>
          <w:i/>
          <w:iCs/>
          <w:lang w:val="en-IN" w:eastAsia="en-IN"/>
        </w:rPr>
        <w:t xml:space="preserve"> sativa L.</w:t>
      </w:r>
      <w:r w:rsidRPr="00C75459">
        <w:rPr>
          <w:rFonts w:eastAsia="Times New Roman"/>
          <w:lang w:val="en-IN" w:eastAsia="en-IN"/>
        </w:rPr>
        <w:t xml:space="preserve">) Seed Germination. </w:t>
      </w:r>
      <w:r w:rsidRPr="00C75459">
        <w:rPr>
          <w:rFonts w:eastAsia="Times New Roman"/>
          <w:i/>
          <w:iCs/>
          <w:lang w:val="en-IN" w:eastAsia="en-IN"/>
        </w:rPr>
        <w:t>Plants.</w:t>
      </w:r>
      <w:r w:rsidRPr="00C75459">
        <w:rPr>
          <w:rFonts w:eastAsia="Times New Roman"/>
          <w:lang w:val="en-IN" w:eastAsia="en-IN"/>
        </w:rPr>
        <w:t xml:space="preserve"> </w:t>
      </w:r>
      <w:r w:rsidRPr="00C75459">
        <w:rPr>
          <w:rFonts w:eastAsia="Times New Roman"/>
          <w:b/>
          <w:bCs/>
          <w:lang w:val="en-IN" w:eastAsia="en-IN"/>
        </w:rPr>
        <w:t>13</w:t>
      </w:r>
      <w:r w:rsidRPr="00C75459">
        <w:rPr>
          <w:rFonts w:eastAsia="Times New Roman"/>
          <w:lang w:val="en-IN" w:eastAsia="en-IN"/>
        </w:rPr>
        <w:t xml:space="preserve"> (15)</w:t>
      </w:r>
      <w:r w:rsidR="00AA41CE">
        <w:rPr>
          <w:rFonts w:eastAsia="Times New Roman"/>
          <w:lang w:val="en-IN" w:eastAsia="en-IN"/>
        </w:rPr>
        <w:t xml:space="preserve">, </w:t>
      </w:r>
      <w:r w:rsidRPr="00C75459">
        <w:rPr>
          <w:rFonts w:eastAsia="Times New Roman"/>
          <w:lang w:val="en-IN" w:eastAsia="en-IN"/>
        </w:rPr>
        <w:t xml:space="preserve">2051 (2024). </w:t>
      </w:r>
    </w:p>
    <w:p w14:paraId="2B4BA083" w14:textId="608C033B"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Wang, N. </w:t>
      </w:r>
      <w:r w:rsidRPr="00AA41CE">
        <w:rPr>
          <w:rFonts w:eastAsia="Times New Roman"/>
          <w:lang w:val="en-IN" w:eastAsia="en-IN"/>
        </w:rPr>
        <w:t>et al.</w:t>
      </w:r>
      <w:r w:rsidRPr="00C75459">
        <w:rPr>
          <w:rFonts w:eastAsia="Times New Roman"/>
          <w:lang w:val="en-IN" w:eastAsia="en-IN"/>
        </w:rPr>
        <w:t xml:space="preserve"> Coordinated responses of leaf and absorptive root traits under elevated CO2 concentration in temperate woody and herbaceous species. </w:t>
      </w:r>
      <w:r w:rsidRPr="00C75459">
        <w:rPr>
          <w:rFonts w:eastAsia="Times New Roman"/>
          <w:i/>
          <w:iCs/>
          <w:lang w:val="en-IN" w:eastAsia="en-IN"/>
        </w:rPr>
        <w:t>Environ Exp Bot.</w:t>
      </w:r>
      <w:r w:rsidRPr="00C75459">
        <w:rPr>
          <w:rFonts w:eastAsia="Times New Roman"/>
          <w:lang w:val="en-IN" w:eastAsia="en-IN"/>
        </w:rPr>
        <w:t xml:space="preserve"> </w:t>
      </w:r>
      <w:r w:rsidRPr="00C75459">
        <w:rPr>
          <w:rFonts w:eastAsia="Times New Roman"/>
          <w:b/>
          <w:bCs/>
          <w:lang w:val="en-IN" w:eastAsia="en-IN"/>
        </w:rPr>
        <w:t>179</w:t>
      </w:r>
      <w:r w:rsidR="00AA41CE">
        <w:rPr>
          <w:rFonts w:eastAsia="Times New Roman"/>
          <w:lang w:val="en-IN" w:eastAsia="en-IN"/>
        </w:rPr>
        <w:t xml:space="preserve">, </w:t>
      </w:r>
      <w:r w:rsidRPr="00C75459">
        <w:rPr>
          <w:rFonts w:eastAsia="Times New Roman"/>
          <w:lang w:val="en-IN" w:eastAsia="en-IN"/>
        </w:rPr>
        <w:t xml:space="preserve">104199 (2020). </w:t>
      </w:r>
    </w:p>
    <w:p w14:paraId="0F599284" w14:textId="3F1EA9B3"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Jin, N. </w:t>
      </w:r>
      <w:r w:rsidRPr="00AA41CE">
        <w:rPr>
          <w:rFonts w:eastAsia="Times New Roman"/>
          <w:lang w:val="en-IN" w:eastAsia="en-IN"/>
        </w:rPr>
        <w:t>et al.</w:t>
      </w:r>
      <w:r w:rsidRPr="00C75459">
        <w:rPr>
          <w:rFonts w:eastAsia="Times New Roman"/>
          <w:lang w:val="en-IN" w:eastAsia="en-IN"/>
        </w:rPr>
        <w:t xml:space="preserve"> Reduced </w:t>
      </w:r>
      <w:r w:rsidR="00AA41CE" w:rsidRPr="00C75459">
        <w:rPr>
          <w:rFonts w:eastAsia="Times New Roman"/>
          <w:lang w:val="en-IN" w:eastAsia="en-IN"/>
        </w:rPr>
        <w:t>chemical fertilizer combined with bio-organic fertilizer affects the soil microbial community and yield and quality of lettuc</w:t>
      </w:r>
      <w:r w:rsidRPr="00C75459">
        <w:rPr>
          <w:rFonts w:eastAsia="Times New Roman"/>
          <w:lang w:val="en-IN" w:eastAsia="en-IN"/>
        </w:rPr>
        <w:t xml:space="preserve">e. </w:t>
      </w:r>
      <w:r w:rsidRPr="00C75459">
        <w:rPr>
          <w:rFonts w:eastAsia="Times New Roman"/>
          <w:i/>
          <w:iCs/>
          <w:lang w:val="en-IN" w:eastAsia="en-IN"/>
        </w:rPr>
        <w:t xml:space="preserve">Front </w:t>
      </w:r>
      <w:proofErr w:type="spellStart"/>
      <w:r w:rsidRPr="00C75459">
        <w:rPr>
          <w:rFonts w:eastAsia="Times New Roman"/>
          <w:i/>
          <w:iCs/>
          <w:lang w:val="en-IN" w:eastAsia="en-IN"/>
        </w:rPr>
        <w:t>Microbiol</w:t>
      </w:r>
      <w:proofErr w:type="spellEnd"/>
      <w:r w:rsidRPr="00C75459">
        <w:rPr>
          <w:rFonts w:eastAsia="Times New Roman"/>
          <w:i/>
          <w:iCs/>
          <w:lang w:val="en-IN" w:eastAsia="en-IN"/>
        </w:rPr>
        <w:t>.</w:t>
      </w:r>
      <w:r w:rsidRPr="00C75459">
        <w:rPr>
          <w:rFonts w:eastAsia="Times New Roman"/>
          <w:lang w:val="en-IN" w:eastAsia="en-IN"/>
        </w:rPr>
        <w:t xml:space="preserve"> </w:t>
      </w:r>
      <w:r w:rsidRPr="00C75459">
        <w:rPr>
          <w:rFonts w:eastAsia="Times New Roman"/>
          <w:b/>
          <w:bCs/>
          <w:lang w:val="en-IN" w:eastAsia="en-IN"/>
        </w:rPr>
        <w:t>13</w:t>
      </w:r>
      <w:r w:rsidR="00E9768A">
        <w:rPr>
          <w:rFonts w:eastAsia="Times New Roman"/>
          <w:lang w:val="en-IN" w:eastAsia="en-IN"/>
        </w:rPr>
        <w:t xml:space="preserve">, 863325 </w:t>
      </w:r>
      <w:r w:rsidRPr="00C75459">
        <w:rPr>
          <w:rFonts w:eastAsia="Times New Roman"/>
          <w:lang w:val="en-IN" w:eastAsia="en-IN"/>
        </w:rPr>
        <w:t xml:space="preserve">(2022). </w:t>
      </w:r>
    </w:p>
    <w:p w14:paraId="7A568C05" w14:textId="6908F3E6"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Moreira, V. </w:t>
      </w:r>
      <w:r w:rsidRPr="003B327B">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Inoculation with </w:t>
      </w:r>
      <w:proofErr w:type="spellStart"/>
      <w:r w:rsidRPr="003B327B">
        <w:rPr>
          <w:rFonts w:eastAsia="Times New Roman"/>
          <w:i/>
          <w:iCs/>
          <w:lang w:val="en-IN" w:eastAsia="en-IN"/>
        </w:rPr>
        <w:t>Trichoderma</w:t>
      </w:r>
      <w:proofErr w:type="spellEnd"/>
      <w:r w:rsidRPr="003B327B">
        <w:rPr>
          <w:rFonts w:eastAsia="Times New Roman"/>
          <w:i/>
          <w:iCs/>
          <w:lang w:val="en-IN" w:eastAsia="en-IN"/>
        </w:rPr>
        <w:t xml:space="preserve"> </w:t>
      </w:r>
      <w:proofErr w:type="spellStart"/>
      <w:r w:rsidRPr="003B327B">
        <w:rPr>
          <w:rFonts w:eastAsia="Times New Roman"/>
          <w:i/>
          <w:iCs/>
          <w:lang w:val="en-IN" w:eastAsia="en-IN"/>
        </w:rPr>
        <w:t>harzianum</w:t>
      </w:r>
      <w:proofErr w:type="spellEnd"/>
      <w:r w:rsidRPr="00C75459">
        <w:rPr>
          <w:rFonts w:eastAsia="Times New Roman"/>
          <w:lang w:val="en-IN" w:eastAsia="en-IN"/>
        </w:rPr>
        <w:t xml:space="preserve"> and </w:t>
      </w:r>
      <w:proofErr w:type="spellStart"/>
      <w:r w:rsidRPr="003B327B">
        <w:rPr>
          <w:rFonts w:eastAsia="Times New Roman"/>
          <w:i/>
          <w:iCs/>
          <w:lang w:val="en-IN" w:eastAsia="en-IN"/>
        </w:rPr>
        <w:t>Azospirillum</w:t>
      </w:r>
      <w:proofErr w:type="spellEnd"/>
      <w:r w:rsidRPr="003B327B">
        <w:rPr>
          <w:rFonts w:eastAsia="Times New Roman"/>
          <w:i/>
          <w:iCs/>
          <w:lang w:val="en-IN" w:eastAsia="en-IN"/>
        </w:rPr>
        <w:t xml:space="preserve"> </w:t>
      </w:r>
      <w:proofErr w:type="spellStart"/>
      <w:r w:rsidRPr="003B327B">
        <w:rPr>
          <w:rFonts w:eastAsia="Times New Roman"/>
          <w:i/>
          <w:iCs/>
          <w:lang w:val="en-IN" w:eastAsia="en-IN"/>
        </w:rPr>
        <w:t>brasilense</w:t>
      </w:r>
      <w:proofErr w:type="spellEnd"/>
      <w:r w:rsidRPr="00C75459">
        <w:rPr>
          <w:rFonts w:eastAsia="Times New Roman"/>
          <w:lang w:val="en-IN" w:eastAsia="en-IN"/>
        </w:rPr>
        <w:t xml:space="preserve"> increases nutrition and yield of hydroponic lettuce. </w:t>
      </w:r>
      <w:r w:rsidRPr="00C75459">
        <w:rPr>
          <w:rFonts w:eastAsia="Times New Roman"/>
          <w:i/>
          <w:iCs/>
          <w:lang w:val="en-IN" w:eastAsia="en-IN"/>
        </w:rPr>
        <w:t xml:space="preserve">Arch </w:t>
      </w:r>
      <w:proofErr w:type="spellStart"/>
      <w:r w:rsidRPr="00C75459">
        <w:rPr>
          <w:rFonts w:eastAsia="Times New Roman"/>
          <w:i/>
          <w:iCs/>
          <w:lang w:val="en-IN" w:eastAsia="en-IN"/>
        </w:rPr>
        <w:t>Microbiol</w:t>
      </w:r>
      <w:proofErr w:type="spellEnd"/>
      <w:r w:rsidRPr="00C75459">
        <w:rPr>
          <w:rFonts w:eastAsia="Times New Roman"/>
          <w:i/>
          <w:iCs/>
          <w:lang w:val="en-IN" w:eastAsia="en-IN"/>
        </w:rPr>
        <w:t>.</w:t>
      </w:r>
      <w:r w:rsidRPr="00C75459">
        <w:rPr>
          <w:rFonts w:eastAsia="Times New Roman"/>
          <w:lang w:val="en-IN" w:eastAsia="en-IN"/>
        </w:rPr>
        <w:t xml:space="preserve"> </w:t>
      </w:r>
      <w:r w:rsidRPr="00C75459">
        <w:rPr>
          <w:rFonts w:eastAsia="Times New Roman"/>
          <w:b/>
          <w:bCs/>
          <w:lang w:val="en-IN" w:eastAsia="en-IN"/>
        </w:rPr>
        <w:t>204</w:t>
      </w:r>
      <w:r w:rsidRPr="00C75459">
        <w:rPr>
          <w:rFonts w:eastAsia="Times New Roman"/>
          <w:lang w:val="en-IN" w:eastAsia="en-IN"/>
        </w:rPr>
        <w:t xml:space="preserve"> </w:t>
      </w:r>
      <w:r w:rsidR="00733745">
        <w:rPr>
          <w:rFonts w:eastAsia="Times New Roman"/>
          <w:lang w:val="en-IN" w:eastAsia="en-IN"/>
        </w:rPr>
        <w:t xml:space="preserve">(7), 440 </w:t>
      </w:r>
      <w:r w:rsidRPr="00C75459">
        <w:rPr>
          <w:rFonts w:eastAsia="Times New Roman"/>
          <w:lang w:val="en-IN" w:eastAsia="en-IN"/>
        </w:rPr>
        <w:t xml:space="preserve">(2022). </w:t>
      </w:r>
    </w:p>
    <w:p w14:paraId="65469340" w14:textId="7B2A4787"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Abdelkader, M. </w:t>
      </w:r>
      <w:r w:rsidRPr="00733745">
        <w:rPr>
          <w:rFonts w:eastAsia="Times New Roman"/>
          <w:lang w:val="en-IN" w:eastAsia="en-IN"/>
        </w:rPr>
        <w:t>et al.</w:t>
      </w:r>
      <w:r w:rsidRPr="00C75459">
        <w:rPr>
          <w:rFonts w:eastAsia="Times New Roman"/>
          <w:lang w:val="en-IN" w:eastAsia="en-IN"/>
        </w:rPr>
        <w:t xml:space="preserve"> Studying the </w:t>
      </w:r>
      <w:r w:rsidR="00733745" w:rsidRPr="00C75459">
        <w:rPr>
          <w:rFonts w:eastAsia="Times New Roman"/>
          <w:lang w:val="en-IN" w:eastAsia="en-IN"/>
        </w:rPr>
        <w:t>combined impact of salinity and drought stress simulated conditions on physio biochemical characteristics of lettuce plant</w:t>
      </w:r>
      <w:r w:rsidRPr="00C75459">
        <w:rPr>
          <w:rFonts w:eastAsia="Times New Roman"/>
          <w:lang w:val="en-IN" w:eastAsia="en-IN"/>
        </w:rPr>
        <w:t xml:space="preserve">. </w:t>
      </w:r>
      <w:proofErr w:type="spellStart"/>
      <w:r w:rsidRPr="00C75459">
        <w:rPr>
          <w:rFonts w:eastAsia="Times New Roman"/>
          <w:i/>
          <w:iCs/>
          <w:lang w:val="en-IN" w:eastAsia="en-IN"/>
        </w:rPr>
        <w:t>Horticulturae</w:t>
      </w:r>
      <w:proofErr w:type="spellEnd"/>
      <w:r w:rsidRPr="00C75459">
        <w:rPr>
          <w:rFonts w:eastAsia="Times New Roman"/>
          <w:i/>
          <w:iCs/>
          <w:lang w:val="en-IN" w:eastAsia="en-IN"/>
        </w:rPr>
        <w:t>.</w:t>
      </w:r>
      <w:r w:rsidRPr="00C75459">
        <w:rPr>
          <w:rFonts w:eastAsia="Times New Roman"/>
          <w:lang w:val="en-IN" w:eastAsia="en-IN"/>
        </w:rPr>
        <w:t xml:space="preserve"> </w:t>
      </w:r>
      <w:r w:rsidRPr="00C75459">
        <w:rPr>
          <w:rFonts w:eastAsia="Times New Roman"/>
          <w:b/>
          <w:bCs/>
          <w:lang w:val="en-IN" w:eastAsia="en-IN"/>
        </w:rPr>
        <w:t>10</w:t>
      </w:r>
      <w:r w:rsidRPr="00C75459">
        <w:rPr>
          <w:rFonts w:eastAsia="Times New Roman"/>
          <w:lang w:val="en-IN" w:eastAsia="en-IN"/>
        </w:rPr>
        <w:t xml:space="preserve"> (11)</w:t>
      </w:r>
      <w:r w:rsidR="00733745">
        <w:rPr>
          <w:rFonts w:eastAsia="Times New Roman"/>
          <w:lang w:val="en-IN" w:eastAsia="en-IN"/>
        </w:rPr>
        <w:t xml:space="preserve">, </w:t>
      </w:r>
      <w:r w:rsidRPr="00C75459">
        <w:rPr>
          <w:rFonts w:eastAsia="Times New Roman"/>
          <w:lang w:val="en-IN" w:eastAsia="en-IN"/>
        </w:rPr>
        <w:t xml:space="preserve">1186 (2024). </w:t>
      </w:r>
    </w:p>
    <w:p w14:paraId="5F8BECC5" w14:textId="73815AD8"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Pappalardo, S. </w:t>
      </w:r>
      <w:r w:rsidRPr="00733745">
        <w:rPr>
          <w:rFonts w:eastAsia="Times New Roman"/>
          <w:lang w:val="en-IN" w:eastAsia="en-IN"/>
        </w:rPr>
        <w:t>et al.</w:t>
      </w:r>
      <w:r w:rsidRPr="00C75459">
        <w:rPr>
          <w:rFonts w:eastAsia="Times New Roman"/>
          <w:lang w:val="en-IN" w:eastAsia="en-IN"/>
        </w:rPr>
        <w:t xml:space="preserve"> Performance evaluation of a low cost thermal camera for citrus water status estimation. </w:t>
      </w:r>
      <w:r w:rsidRPr="00C75459">
        <w:rPr>
          <w:rFonts w:eastAsia="Times New Roman"/>
          <w:i/>
          <w:iCs/>
          <w:lang w:val="en-IN" w:eastAsia="en-IN"/>
        </w:rPr>
        <w:t>Agric Water Manag.</w:t>
      </w:r>
      <w:r w:rsidRPr="00C75459">
        <w:rPr>
          <w:rFonts w:eastAsia="Times New Roman"/>
          <w:lang w:val="en-IN" w:eastAsia="en-IN"/>
        </w:rPr>
        <w:t xml:space="preserve"> </w:t>
      </w:r>
      <w:r w:rsidRPr="00C75459">
        <w:rPr>
          <w:rFonts w:eastAsia="Times New Roman"/>
          <w:b/>
          <w:bCs/>
          <w:lang w:val="en-IN" w:eastAsia="en-IN"/>
        </w:rPr>
        <w:t>288</w:t>
      </w:r>
      <w:r w:rsidR="00733745">
        <w:rPr>
          <w:rFonts w:eastAsia="Times New Roman"/>
          <w:lang w:val="en-IN" w:eastAsia="en-IN"/>
        </w:rPr>
        <w:t xml:space="preserve">, </w:t>
      </w:r>
      <w:r w:rsidRPr="00C75459">
        <w:rPr>
          <w:rFonts w:eastAsia="Times New Roman"/>
          <w:lang w:val="en-IN" w:eastAsia="en-IN"/>
        </w:rPr>
        <w:t xml:space="preserve">108489 (2023). </w:t>
      </w:r>
    </w:p>
    <w:p w14:paraId="16071856" w14:textId="6C9F2C49"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Santander, C. </w:t>
      </w:r>
      <w:r w:rsidRPr="00733745">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Enhancing water status and nutrient uptake in drought stressed lettuce plants via inoculation with different Bacillus spp. </w:t>
      </w:r>
      <w:r w:rsidRPr="00C75459">
        <w:rPr>
          <w:rFonts w:eastAsia="Times New Roman"/>
          <w:i/>
          <w:iCs/>
          <w:lang w:val="en-IN" w:eastAsia="en-IN"/>
        </w:rPr>
        <w:t>Plants.</w:t>
      </w:r>
      <w:r w:rsidRPr="00C75459">
        <w:rPr>
          <w:rFonts w:eastAsia="Times New Roman"/>
          <w:lang w:val="en-IN" w:eastAsia="en-IN"/>
        </w:rPr>
        <w:t xml:space="preserve"> </w:t>
      </w:r>
      <w:r w:rsidRPr="00C75459">
        <w:rPr>
          <w:rFonts w:eastAsia="Times New Roman"/>
          <w:b/>
          <w:bCs/>
          <w:lang w:val="en-IN" w:eastAsia="en-IN"/>
        </w:rPr>
        <w:t>13</w:t>
      </w:r>
      <w:r w:rsidRPr="00C75459">
        <w:rPr>
          <w:rFonts w:eastAsia="Times New Roman"/>
          <w:lang w:val="en-IN" w:eastAsia="en-IN"/>
        </w:rPr>
        <w:t xml:space="preserve"> (2)</w:t>
      </w:r>
      <w:r w:rsidR="00733745">
        <w:rPr>
          <w:rFonts w:eastAsia="Times New Roman"/>
          <w:lang w:val="en-IN" w:eastAsia="en-IN"/>
        </w:rPr>
        <w:t>,</w:t>
      </w:r>
      <w:r w:rsidRPr="00C75459">
        <w:rPr>
          <w:rFonts w:eastAsia="Times New Roman"/>
          <w:lang w:val="en-IN" w:eastAsia="en-IN"/>
        </w:rPr>
        <w:t xml:space="preserve"> 158 (2024). </w:t>
      </w:r>
    </w:p>
    <w:p w14:paraId="293D5BC2" w14:textId="7DC5BB6B"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Yang, J., Kloepper, J. W., Ryu, C. M. Rhizosphere bacteria help plants tolerate abiotic stress. </w:t>
      </w:r>
      <w:r w:rsidRPr="00C75459">
        <w:rPr>
          <w:rFonts w:eastAsia="Times New Roman"/>
          <w:i/>
          <w:iCs/>
          <w:lang w:val="en-IN" w:eastAsia="en-IN"/>
        </w:rPr>
        <w:t>Trends Plant Sci.</w:t>
      </w:r>
      <w:r w:rsidRPr="00C75459">
        <w:rPr>
          <w:rFonts w:eastAsia="Times New Roman"/>
          <w:lang w:val="en-IN" w:eastAsia="en-IN"/>
        </w:rPr>
        <w:t xml:space="preserve"> </w:t>
      </w:r>
      <w:r w:rsidRPr="00C75459">
        <w:rPr>
          <w:rFonts w:eastAsia="Times New Roman"/>
          <w:b/>
          <w:bCs/>
          <w:lang w:val="en-IN" w:eastAsia="en-IN"/>
        </w:rPr>
        <w:t>14</w:t>
      </w:r>
      <w:r w:rsidRPr="00C75459">
        <w:rPr>
          <w:rFonts w:eastAsia="Times New Roman"/>
          <w:lang w:val="en-IN" w:eastAsia="en-IN"/>
        </w:rPr>
        <w:t xml:space="preserve"> (1)</w:t>
      </w:r>
      <w:r w:rsidR="00733745">
        <w:rPr>
          <w:rFonts w:eastAsia="Times New Roman"/>
          <w:lang w:val="en-IN" w:eastAsia="en-IN"/>
        </w:rPr>
        <w:t xml:space="preserve">, </w:t>
      </w:r>
      <w:r w:rsidRPr="00C75459">
        <w:rPr>
          <w:rFonts w:eastAsia="Times New Roman"/>
          <w:lang w:val="en-IN" w:eastAsia="en-IN"/>
        </w:rPr>
        <w:t xml:space="preserve">1–4 (2009). </w:t>
      </w:r>
    </w:p>
    <w:p w14:paraId="31F5E404" w14:textId="356FBEA7"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Naseem, H. </w:t>
      </w:r>
      <w:r w:rsidRPr="00733745">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Exopolysaccharides producing rhizobacteria and their role in plant growth and drought tolerance under soil water deficits. </w:t>
      </w:r>
      <w:r w:rsidRPr="00C75459">
        <w:rPr>
          <w:rFonts w:eastAsia="Times New Roman"/>
          <w:i/>
          <w:iCs/>
          <w:lang w:val="en-IN" w:eastAsia="en-IN"/>
        </w:rPr>
        <w:t>J Appl Microbiol.</w:t>
      </w:r>
      <w:r w:rsidRPr="00C75459">
        <w:rPr>
          <w:rFonts w:eastAsia="Times New Roman"/>
          <w:lang w:val="en-IN" w:eastAsia="en-IN"/>
        </w:rPr>
        <w:t xml:space="preserve"> </w:t>
      </w:r>
      <w:r w:rsidRPr="00C75459">
        <w:rPr>
          <w:rFonts w:eastAsia="Times New Roman"/>
          <w:b/>
          <w:bCs/>
          <w:lang w:val="en-IN" w:eastAsia="en-IN"/>
        </w:rPr>
        <w:t>124</w:t>
      </w:r>
      <w:r w:rsidRPr="00C75459">
        <w:rPr>
          <w:rFonts w:eastAsia="Times New Roman"/>
          <w:lang w:val="en-IN" w:eastAsia="en-IN"/>
        </w:rPr>
        <w:t xml:space="preserve"> (6)</w:t>
      </w:r>
      <w:r w:rsidR="002E14DC">
        <w:rPr>
          <w:rFonts w:eastAsia="Times New Roman"/>
          <w:lang w:val="en-IN" w:eastAsia="en-IN"/>
        </w:rPr>
        <w:t xml:space="preserve">, </w:t>
      </w:r>
      <w:r w:rsidRPr="00C75459">
        <w:rPr>
          <w:rFonts w:eastAsia="Times New Roman"/>
          <w:lang w:val="en-IN" w:eastAsia="en-IN"/>
        </w:rPr>
        <w:t xml:space="preserve">1339–1351 (2018). </w:t>
      </w:r>
    </w:p>
    <w:p w14:paraId="41392C51" w14:textId="2ED9114C" w:rsidR="00C75459" w:rsidRPr="00C75459" w:rsidRDefault="00C75459" w:rsidP="00C75459">
      <w:pPr>
        <w:pStyle w:val="Prrafodelista"/>
        <w:widowControl/>
        <w:numPr>
          <w:ilvl w:val="0"/>
          <w:numId w:val="6"/>
        </w:numPr>
        <w:ind w:left="0" w:firstLine="0"/>
        <w:rPr>
          <w:rFonts w:eastAsia="Times New Roman"/>
          <w:lang w:val="en-IN" w:eastAsia="en-IN"/>
        </w:rPr>
      </w:pPr>
      <w:proofErr w:type="spellStart"/>
      <w:r w:rsidRPr="00C75459">
        <w:rPr>
          <w:rFonts w:eastAsia="Times New Roman"/>
          <w:lang w:val="en-IN" w:eastAsia="en-IN"/>
        </w:rPr>
        <w:lastRenderedPageBreak/>
        <w:t>Barnawal</w:t>
      </w:r>
      <w:proofErr w:type="spellEnd"/>
      <w:r w:rsidRPr="00C75459">
        <w:rPr>
          <w:rFonts w:eastAsia="Times New Roman"/>
          <w:lang w:val="en-IN" w:eastAsia="en-IN"/>
        </w:rPr>
        <w:t xml:space="preserve">, D. </w:t>
      </w:r>
      <w:r w:rsidRPr="00BA6201">
        <w:rPr>
          <w:rFonts w:eastAsia="Times New Roman"/>
          <w:lang w:val="en-IN" w:eastAsia="en-IN"/>
        </w:rPr>
        <w:t>et al.</w:t>
      </w:r>
      <w:r w:rsidRPr="00C75459">
        <w:rPr>
          <w:rFonts w:eastAsia="Times New Roman"/>
          <w:lang w:val="en-IN" w:eastAsia="en-IN"/>
        </w:rPr>
        <w:t xml:space="preserve"> Plant growth-promoting rhizobacteria enhance wheat salt and drought stress tolerance by altering endogenous phytohormones and antioxidants. </w:t>
      </w:r>
      <w:proofErr w:type="spellStart"/>
      <w:r w:rsidRPr="00C75459">
        <w:rPr>
          <w:rFonts w:eastAsia="Times New Roman"/>
          <w:i/>
          <w:iCs/>
          <w:lang w:val="en-IN" w:eastAsia="en-IN"/>
        </w:rPr>
        <w:t>Physiol</w:t>
      </w:r>
      <w:proofErr w:type="spellEnd"/>
      <w:r w:rsidRPr="00C75459">
        <w:rPr>
          <w:rFonts w:eastAsia="Times New Roman"/>
          <w:i/>
          <w:iCs/>
          <w:lang w:val="en-IN" w:eastAsia="en-IN"/>
        </w:rPr>
        <w:t xml:space="preserve"> </w:t>
      </w:r>
      <w:proofErr w:type="spellStart"/>
      <w:r w:rsidRPr="00C75459">
        <w:rPr>
          <w:rFonts w:eastAsia="Times New Roman"/>
          <w:i/>
          <w:iCs/>
          <w:lang w:val="en-IN" w:eastAsia="en-IN"/>
        </w:rPr>
        <w:t>Mol</w:t>
      </w:r>
      <w:proofErr w:type="spellEnd"/>
      <w:r w:rsidRPr="00C75459">
        <w:rPr>
          <w:rFonts w:eastAsia="Times New Roman"/>
          <w:i/>
          <w:iCs/>
          <w:lang w:val="en-IN" w:eastAsia="en-IN"/>
        </w:rPr>
        <w:t xml:space="preserve"> </w:t>
      </w:r>
      <w:proofErr w:type="spellStart"/>
      <w:r w:rsidRPr="00C75459">
        <w:rPr>
          <w:rFonts w:eastAsia="Times New Roman"/>
          <w:i/>
          <w:iCs/>
          <w:lang w:val="en-IN" w:eastAsia="en-IN"/>
        </w:rPr>
        <w:t>Biol</w:t>
      </w:r>
      <w:proofErr w:type="spellEnd"/>
      <w:r w:rsidRPr="00C75459">
        <w:rPr>
          <w:rFonts w:eastAsia="Times New Roman"/>
          <w:i/>
          <w:iCs/>
          <w:lang w:val="en-IN" w:eastAsia="en-IN"/>
        </w:rPr>
        <w:t xml:space="preserve"> Plants.</w:t>
      </w:r>
      <w:r w:rsidRPr="00C75459">
        <w:rPr>
          <w:rFonts w:eastAsia="Times New Roman"/>
          <w:lang w:val="en-IN" w:eastAsia="en-IN"/>
        </w:rPr>
        <w:t xml:space="preserve"> </w:t>
      </w:r>
      <w:r w:rsidRPr="00C75459">
        <w:rPr>
          <w:rFonts w:eastAsia="Times New Roman"/>
          <w:b/>
          <w:bCs/>
          <w:lang w:val="en-IN" w:eastAsia="en-IN"/>
        </w:rPr>
        <w:t>23</w:t>
      </w:r>
      <w:r w:rsidRPr="00C75459">
        <w:rPr>
          <w:rFonts w:eastAsia="Times New Roman"/>
          <w:lang w:val="en-IN" w:eastAsia="en-IN"/>
        </w:rPr>
        <w:t xml:space="preserve"> (2)</w:t>
      </w:r>
      <w:r w:rsidR="00BA6201">
        <w:rPr>
          <w:rFonts w:eastAsia="Times New Roman"/>
          <w:lang w:val="en-IN" w:eastAsia="en-IN"/>
        </w:rPr>
        <w:t xml:space="preserve">, </w:t>
      </w:r>
      <w:r w:rsidRPr="00C75459">
        <w:rPr>
          <w:rFonts w:eastAsia="Times New Roman"/>
          <w:lang w:val="en-IN" w:eastAsia="en-IN"/>
        </w:rPr>
        <w:t xml:space="preserve">317–336 (2017). </w:t>
      </w:r>
    </w:p>
    <w:p w14:paraId="4966087A" w14:textId="771E8231"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Biggs, R. </w:t>
      </w:r>
      <w:r w:rsidRPr="00BA6201">
        <w:rPr>
          <w:rFonts w:eastAsia="Times New Roman"/>
          <w:lang w:val="en-IN" w:eastAsia="en-IN"/>
        </w:rPr>
        <w:t>et al.</w:t>
      </w:r>
      <w:r w:rsidRPr="00C75459">
        <w:rPr>
          <w:rFonts w:eastAsia="Times New Roman"/>
          <w:lang w:val="en-IN" w:eastAsia="en-IN"/>
        </w:rPr>
        <w:t xml:space="preserve"> Toward principles for enhancing the resilience of ecosystem services. </w:t>
      </w:r>
      <w:proofErr w:type="spellStart"/>
      <w:r w:rsidRPr="00C75459">
        <w:rPr>
          <w:rFonts w:eastAsia="Times New Roman"/>
          <w:i/>
          <w:iCs/>
          <w:lang w:val="en-IN" w:eastAsia="en-IN"/>
        </w:rPr>
        <w:t>Annu</w:t>
      </w:r>
      <w:proofErr w:type="spellEnd"/>
      <w:r w:rsidRPr="00C75459">
        <w:rPr>
          <w:rFonts w:eastAsia="Times New Roman"/>
          <w:i/>
          <w:iCs/>
          <w:lang w:val="en-IN" w:eastAsia="en-IN"/>
        </w:rPr>
        <w:t xml:space="preserve"> Rev Environ </w:t>
      </w:r>
      <w:proofErr w:type="spellStart"/>
      <w:r w:rsidRPr="00C75459">
        <w:rPr>
          <w:rFonts w:eastAsia="Times New Roman"/>
          <w:i/>
          <w:iCs/>
          <w:lang w:val="en-IN" w:eastAsia="en-IN"/>
        </w:rPr>
        <w:t>Resour</w:t>
      </w:r>
      <w:proofErr w:type="spellEnd"/>
      <w:r w:rsidRPr="00C75459">
        <w:rPr>
          <w:rFonts w:eastAsia="Times New Roman"/>
          <w:i/>
          <w:iCs/>
          <w:lang w:val="en-IN" w:eastAsia="en-IN"/>
        </w:rPr>
        <w:t>.</w:t>
      </w:r>
      <w:r w:rsidRPr="00C75459">
        <w:rPr>
          <w:rFonts w:eastAsia="Times New Roman"/>
          <w:lang w:val="en-IN" w:eastAsia="en-IN"/>
        </w:rPr>
        <w:t xml:space="preserve"> </w:t>
      </w:r>
      <w:r w:rsidRPr="00C75459">
        <w:rPr>
          <w:rFonts w:eastAsia="Times New Roman"/>
          <w:b/>
          <w:bCs/>
          <w:lang w:val="en-IN" w:eastAsia="en-IN"/>
        </w:rPr>
        <w:t>37</w:t>
      </w:r>
      <w:r w:rsidRPr="00C75459">
        <w:rPr>
          <w:rFonts w:eastAsia="Times New Roman"/>
          <w:lang w:val="en-IN" w:eastAsia="en-IN"/>
        </w:rPr>
        <w:t xml:space="preserve"> (1)</w:t>
      </w:r>
      <w:r w:rsidR="00BA6201">
        <w:rPr>
          <w:rFonts w:eastAsia="Times New Roman"/>
          <w:lang w:val="en-IN" w:eastAsia="en-IN"/>
        </w:rPr>
        <w:t xml:space="preserve">, </w:t>
      </w:r>
      <w:r w:rsidRPr="00C75459">
        <w:rPr>
          <w:rFonts w:eastAsia="Times New Roman"/>
          <w:lang w:val="en-IN" w:eastAsia="en-IN"/>
        </w:rPr>
        <w:t xml:space="preserve">421–448 (2012). </w:t>
      </w:r>
    </w:p>
    <w:p w14:paraId="6A5FFD1F" w14:textId="33EA5C68"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Vargas-Hernandez, M. </w:t>
      </w:r>
      <w:r w:rsidRPr="00BA6201">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Plant </w:t>
      </w:r>
      <w:proofErr w:type="spellStart"/>
      <w:r w:rsidRPr="00C75459">
        <w:rPr>
          <w:rFonts w:eastAsia="Times New Roman"/>
          <w:lang w:val="en-IN" w:eastAsia="en-IN"/>
        </w:rPr>
        <w:t>hormesis</w:t>
      </w:r>
      <w:proofErr w:type="spellEnd"/>
      <w:r w:rsidRPr="00C75459">
        <w:rPr>
          <w:rFonts w:eastAsia="Times New Roman"/>
          <w:lang w:val="en-IN" w:eastAsia="en-IN"/>
        </w:rPr>
        <w:t xml:space="preserve"> management with </w:t>
      </w:r>
      <w:proofErr w:type="spellStart"/>
      <w:r w:rsidRPr="00C75459">
        <w:rPr>
          <w:rFonts w:eastAsia="Times New Roman"/>
          <w:lang w:val="en-IN" w:eastAsia="en-IN"/>
        </w:rPr>
        <w:t>biostimulants</w:t>
      </w:r>
      <w:proofErr w:type="spellEnd"/>
      <w:r w:rsidRPr="00C75459">
        <w:rPr>
          <w:rFonts w:eastAsia="Times New Roman"/>
          <w:lang w:val="en-IN" w:eastAsia="en-IN"/>
        </w:rPr>
        <w:t xml:space="preserve"> of biotic origin in agriculture. </w:t>
      </w:r>
      <w:r w:rsidRPr="00C75459">
        <w:rPr>
          <w:rFonts w:eastAsia="Times New Roman"/>
          <w:i/>
          <w:iCs/>
          <w:lang w:val="en-IN" w:eastAsia="en-IN"/>
        </w:rPr>
        <w:t>Front Plant Sci.</w:t>
      </w:r>
      <w:r w:rsidRPr="00C75459">
        <w:rPr>
          <w:rFonts w:eastAsia="Times New Roman"/>
          <w:lang w:val="en-IN" w:eastAsia="en-IN"/>
        </w:rPr>
        <w:t xml:space="preserve"> </w:t>
      </w:r>
      <w:r w:rsidRPr="00C75459">
        <w:rPr>
          <w:rFonts w:eastAsia="Times New Roman"/>
          <w:b/>
          <w:bCs/>
          <w:lang w:val="en-IN" w:eastAsia="en-IN"/>
        </w:rPr>
        <w:t>8</w:t>
      </w:r>
      <w:r w:rsidR="00BA6201">
        <w:rPr>
          <w:rFonts w:eastAsia="Times New Roman"/>
          <w:lang w:val="en-IN" w:eastAsia="en-IN"/>
        </w:rPr>
        <w:t xml:space="preserve">, </w:t>
      </w:r>
      <w:r w:rsidRPr="00C75459">
        <w:rPr>
          <w:rFonts w:eastAsia="Times New Roman"/>
          <w:lang w:val="en-IN" w:eastAsia="en-IN"/>
        </w:rPr>
        <w:t xml:space="preserve">1762 (2017). </w:t>
      </w:r>
    </w:p>
    <w:p w14:paraId="7F7E6F11" w14:textId="299CEBD1" w:rsidR="00C75459" w:rsidRPr="00C75459" w:rsidRDefault="00C75459" w:rsidP="00C75459">
      <w:pPr>
        <w:pStyle w:val="Prrafodelista"/>
        <w:widowControl/>
        <w:numPr>
          <w:ilvl w:val="0"/>
          <w:numId w:val="6"/>
        </w:numPr>
        <w:ind w:left="0" w:firstLine="0"/>
        <w:rPr>
          <w:rFonts w:eastAsia="Times New Roman"/>
          <w:lang w:val="en-IN" w:eastAsia="en-IN"/>
        </w:rPr>
      </w:pPr>
      <w:r w:rsidRPr="00C75459">
        <w:rPr>
          <w:rFonts w:eastAsia="Times New Roman"/>
          <w:lang w:val="en-IN" w:eastAsia="en-IN"/>
        </w:rPr>
        <w:t xml:space="preserve">Karimi, M. </w:t>
      </w:r>
      <w:r w:rsidRPr="00BA6201">
        <w:rPr>
          <w:rFonts w:eastAsia="Times New Roman"/>
          <w:lang w:val="en-IN" w:eastAsia="en-IN"/>
        </w:rPr>
        <w:t>et al</w:t>
      </w:r>
      <w:r w:rsidRPr="00C75459">
        <w:rPr>
          <w:rFonts w:eastAsia="Times New Roman"/>
          <w:i/>
          <w:iCs/>
          <w:lang w:val="en-IN" w:eastAsia="en-IN"/>
        </w:rPr>
        <w:t>.</w:t>
      </w:r>
      <w:r w:rsidRPr="00C75459">
        <w:rPr>
          <w:rFonts w:eastAsia="Times New Roman"/>
          <w:lang w:val="en-IN" w:eastAsia="en-IN"/>
        </w:rPr>
        <w:t xml:space="preserve"> The positive role of </w:t>
      </w:r>
      <w:proofErr w:type="spellStart"/>
      <w:r w:rsidRPr="00C75459">
        <w:rPr>
          <w:rFonts w:eastAsia="Times New Roman"/>
          <w:lang w:val="en-IN" w:eastAsia="en-IN"/>
        </w:rPr>
        <w:t>steviol</w:t>
      </w:r>
      <w:proofErr w:type="spellEnd"/>
      <w:r w:rsidRPr="00C75459">
        <w:rPr>
          <w:rFonts w:eastAsia="Times New Roman"/>
          <w:lang w:val="en-IN" w:eastAsia="en-IN"/>
        </w:rPr>
        <w:t xml:space="preserve"> glycosides in plants under drought stress condition. </w:t>
      </w:r>
      <w:r w:rsidRPr="00C75459">
        <w:rPr>
          <w:rFonts w:eastAsia="Times New Roman"/>
          <w:i/>
          <w:iCs/>
          <w:lang w:val="en-IN" w:eastAsia="en-IN"/>
        </w:rPr>
        <w:t xml:space="preserve">Plant </w:t>
      </w:r>
      <w:proofErr w:type="spellStart"/>
      <w:r w:rsidRPr="00C75459">
        <w:rPr>
          <w:rFonts w:eastAsia="Times New Roman"/>
          <w:i/>
          <w:iCs/>
          <w:lang w:val="en-IN" w:eastAsia="en-IN"/>
        </w:rPr>
        <w:t>Biosyst</w:t>
      </w:r>
      <w:proofErr w:type="spellEnd"/>
      <w:r w:rsidRPr="00C75459">
        <w:rPr>
          <w:rFonts w:eastAsia="Times New Roman"/>
          <w:i/>
          <w:iCs/>
          <w:lang w:val="en-IN" w:eastAsia="en-IN"/>
        </w:rPr>
        <w:t>.</w:t>
      </w:r>
      <w:r w:rsidRPr="00C75459">
        <w:rPr>
          <w:rFonts w:eastAsia="Times New Roman"/>
          <w:lang w:val="en-IN" w:eastAsia="en-IN"/>
        </w:rPr>
        <w:t xml:space="preserve"> </w:t>
      </w:r>
      <w:r w:rsidRPr="00C75459">
        <w:rPr>
          <w:rFonts w:eastAsia="Times New Roman"/>
          <w:b/>
          <w:bCs/>
          <w:lang w:val="en-IN" w:eastAsia="en-IN"/>
        </w:rPr>
        <w:t>150</w:t>
      </w:r>
      <w:r w:rsidRPr="00C75459">
        <w:rPr>
          <w:rFonts w:eastAsia="Times New Roman"/>
          <w:lang w:val="en-IN" w:eastAsia="en-IN"/>
        </w:rPr>
        <w:t xml:space="preserve"> (6)</w:t>
      </w:r>
      <w:r w:rsidR="00BA6201">
        <w:rPr>
          <w:rFonts w:eastAsia="Times New Roman"/>
          <w:lang w:val="en-IN" w:eastAsia="en-IN"/>
        </w:rPr>
        <w:t xml:space="preserve">, </w:t>
      </w:r>
      <w:r w:rsidRPr="00C75459">
        <w:rPr>
          <w:rFonts w:eastAsia="Times New Roman"/>
          <w:lang w:val="en-IN" w:eastAsia="en-IN"/>
        </w:rPr>
        <w:t xml:space="preserve">1323–1331 (2016). </w:t>
      </w:r>
    </w:p>
    <w:p w14:paraId="48AF92C1" w14:textId="57A2E734" w:rsidR="00C75459" w:rsidRPr="00C75459" w:rsidRDefault="00C75459" w:rsidP="00C75459">
      <w:pPr>
        <w:pStyle w:val="Prrafodelista"/>
        <w:numPr>
          <w:ilvl w:val="0"/>
          <w:numId w:val="6"/>
        </w:numPr>
        <w:ind w:left="0" w:firstLine="0"/>
      </w:pPr>
      <w:proofErr w:type="spellStart"/>
      <w:r w:rsidRPr="00C75459">
        <w:rPr>
          <w:rFonts w:eastAsia="Times New Roman"/>
          <w:lang w:val="en-IN" w:eastAsia="en-IN"/>
        </w:rPr>
        <w:t>Yücesan</w:t>
      </w:r>
      <w:proofErr w:type="spellEnd"/>
      <w:r w:rsidRPr="00C75459">
        <w:rPr>
          <w:rFonts w:eastAsia="Times New Roman"/>
          <w:lang w:val="en-IN" w:eastAsia="en-IN"/>
        </w:rPr>
        <w:t xml:space="preserve">, B. </w:t>
      </w:r>
      <w:r w:rsidRPr="00BA6201">
        <w:rPr>
          <w:rFonts w:eastAsia="Times New Roman"/>
          <w:lang w:val="en-IN" w:eastAsia="en-IN"/>
        </w:rPr>
        <w:t>et al.</w:t>
      </w:r>
      <w:r w:rsidRPr="00C75459">
        <w:rPr>
          <w:rFonts w:eastAsia="Times New Roman"/>
          <w:lang w:val="en-IN" w:eastAsia="en-IN"/>
        </w:rPr>
        <w:t xml:space="preserve"> </w:t>
      </w:r>
      <w:r w:rsidRPr="00BA6201">
        <w:rPr>
          <w:rFonts w:eastAsia="Times New Roman"/>
          <w:i/>
          <w:iCs/>
          <w:lang w:val="en-IN" w:eastAsia="en-IN"/>
        </w:rPr>
        <w:t>In vitro</w:t>
      </w:r>
      <w:r w:rsidRPr="00C75459">
        <w:rPr>
          <w:rFonts w:eastAsia="Times New Roman"/>
          <w:lang w:val="en-IN" w:eastAsia="en-IN"/>
        </w:rPr>
        <w:t xml:space="preserve"> and ex vitro propagation of horticultural crops</w:t>
      </w:r>
      <w:r w:rsidR="0039479F">
        <w:rPr>
          <w:rFonts w:eastAsia="Times New Roman"/>
          <w:lang w:val="en-IN" w:eastAsia="en-IN"/>
        </w:rPr>
        <w:t>:</w:t>
      </w:r>
      <w:r w:rsidRPr="00C75459">
        <w:rPr>
          <w:rFonts w:eastAsia="Times New Roman"/>
          <w:lang w:val="en-IN" w:eastAsia="en-IN"/>
        </w:rPr>
        <w:t xml:space="preserve"> A commercial scale application. </w:t>
      </w:r>
      <w:proofErr w:type="spellStart"/>
      <w:r w:rsidRPr="00C75459">
        <w:rPr>
          <w:rFonts w:eastAsia="Times New Roman"/>
          <w:i/>
          <w:iCs/>
          <w:lang w:val="en-IN" w:eastAsia="en-IN"/>
        </w:rPr>
        <w:t>Sci</w:t>
      </w:r>
      <w:proofErr w:type="spellEnd"/>
      <w:r w:rsidRPr="00C75459">
        <w:rPr>
          <w:rFonts w:eastAsia="Times New Roman"/>
          <w:i/>
          <w:iCs/>
          <w:lang w:val="en-IN" w:eastAsia="en-IN"/>
        </w:rPr>
        <w:t xml:space="preserve"> </w:t>
      </w:r>
      <w:proofErr w:type="spellStart"/>
      <w:r w:rsidRPr="00C75459">
        <w:rPr>
          <w:rFonts w:eastAsia="Times New Roman"/>
          <w:i/>
          <w:iCs/>
          <w:lang w:val="en-IN" w:eastAsia="en-IN"/>
        </w:rPr>
        <w:t>Hortic</w:t>
      </w:r>
      <w:proofErr w:type="spellEnd"/>
      <w:r w:rsidRPr="00C75459">
        <w:rPr>
          <w:rFonts w:eastAsia="Times New Roman"/>
          <w:i/>
          <w:iCs/>
          <w:lang w:val="en-IN" w:eastAsia="en-IN"/>
        </w:rPr>
        <w:t>.</w:t>
      </w:r>
      <w:r w:rsidRPr="00C75459">
        <w:rPr>
          <w:rFonts w:eastAsia="Times New Roman"/>
          <w:lang w:val="en-IN" w:eastAsia="en-IN"/>
        </w:rPr>
        <w:t xml:space="preserve"> </w:t>
      </w:r>
      <w:r w:rsidRPr="00C75459">
        <w:rPr>
          <w:rFonts w:eastAsia="Times New Roman"/>
          <w:b/>
          <w:bCs/>
          <w:lang w:val="en-IN" w:eastAsia="en-IN"/>
        </w:rPr>
        <w:t>203</w:t>
      </w:r>
      <w:r w:rsidRPr="00C75459">
        <w:rPr>
          <w:rFonts w:eastAsia="Times New Roman"/>
          <w:lang w:val="en-IN" w:eastAsia="en-IN"/>
        </w:rPr>
        <w:t xml:space="preserve"> 20–28 (2016).</w:t>
      </w:r>
    </w:p>
    <w:sectPr w:rsidR="00C75459" w:rsidRPr="00C75459" w:rsidSect="00AA3A03">
      <w:headerReference w:type="even" r:id="rId15"/>
      <w:headerReference w:type="default" r:id="rId16"/>
      <w:footerReference w:type="even" r:id="rId17"/>
      <w:headerReference w:type="first" r:id="rId18"/>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C100E" w14:textId="77777777" w:rsidR="004F11C9" w:rsidRDefault="004F11C9">
      <w:r>
        <w:separator/>
      </w:r>
    </w:p>
  </w:endnote>
  <w:endnote w:type="continuationSeparator" w:id="0">
    <w:p w14:paraId="57A12F1F" w14:textId="77777777" w:rsidR="004F11C9" w:rsidRDefault="004F1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25F9A" w14:textId="77777777" w:rsidR="00303CF2" w:rsidRPr="00017872" w:rsidRDefault="00303CF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726AD" w14:textId="77777777" w:rsidR="004F11C9" w:rsidRDefault="004F11C9">
      <w:r>
        <w:separator/>
      </w:r>
    </w:p>
  </w:footnote>
  <w:footnote w:type="continuationSeparator" w:id="0">
    <w:p w14:paraId="46CFD2A4" w14:textId="77777777" w:rsidR="004F11C9" w:rsidRDefault="004F1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33A40" w14:textId="77777777" w:rsidR="00303CF2" w:rsidRPr="00017872" w:rsidRDefault="00303CF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63A61" w14:textId="77777777" w:rsidR="00303CF2" w:rsidRPr="00017872" w:rsidRDefault="00F44AA8">
    <w:pPr>
      <w:pBdr>
        <w:top w:val="nil"/>
        <w:left w:val="nil"/>
        <w:bottom w:val="nil"/>
        <w:right w:val="nil"/>
        <w:between w:val="nil"/>
      </w:pBdr>
      <w:tabs>
        <w:tab w:val="center" w:pos="4680"/>
        <w:tab w:val="left" w:pos="5724"/>
        <w:tab w:val="right" w:pos="9360"/>
      </w:tabs>
      <w:rPr>
        <w:b/>
        <w:color w:val="1F497D"/>
        <w:sz w:val="28"/>
        <w:szCs w:val="28"/>
      </w:rPr>
    </w:pPr>
    <w:r w:rsidRPr="00017872">
      <w:rPr>
        <w:color w:val="000000"/>
        <w:sz w:val="22"/>
        <w:szCs w:val="22"/>
      </w:rPr>
      <w:tab/>
    </w:r>
    <w:r w:rsidRPr="00017872">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1BEEC" w14:textId="6B99FECC" w:rsidR="00303CF2" w:rsidRPr="00017872" w:rsidRDefault="00303CF2">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D5959"/>
    <w:multiLevelType w:val="multilevel"/>
    <w:tmpl w:val="E166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E23A06"/>
    <w:multiLevelType w:val="hybridMultilevel"/>
    <w:tmpl w:val="94FC2C3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C7B31DF"/>
    <w:multiLevelType w:val="hybridMultilevel"/>
    <w:tmpl w:val="56A2E0F8"/>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B0A3FD4"/>
    <w:multiLevelType w:val="hybridMultilevel"/>
    <w:tmpl w:val="56F8C3B6"/>
    <w:lvl w:ilvl="0" w:tplc="93CC7F5A">
      <w:start w:val="1"/>
      <w:numFmt w:val="decimal"/>
      <w:lvlText w:val="%1."/>
      <w:lvlJc w:val="left"/>
      <w:pPr>
        <w:ind w:left="720" w:hanging="360"/>
      </w:pPr>
      <w:rPr>
        <w:rFonts w:hint="default"/>
        <w:b/>
        <w:i/>
      </w:rPr>
    </w:lvl>
    <w:lvl w:ilvl="1" w:tplc="003EB256" w:tentative="1">
      <w:start w:val="1"/>
      <w:numFmt w:val="lowerLetter"/>
      <w:lvlText w:val="%2."/>
      <w:lvlJc w:val="left"/>
      <w:pPr>
        <w:ind w:left="1440" w:hanging="360"/>
      </w:pPr>
    </w:lvl>
    <w:lvl w:ilvl="2" w:tplc="12E64FD2" w:tentative="1">
      <w:start w:val="1"/>
      <w:numFmt w:val="lowerRoman"/>
      <w:lvlText w:val="%3."/>
      <w:lvlJc w:val="right"/>
      <w:pPr>
        <w:ind w:left="2160" w:hanging="180"/>
      </w:pPr>
    </w:lvl>
    <w:lvl w:ilvl="3" w:tplc="A9827538" w:tentative="1">
      <w:start w:val="1"/>
      <w:numFmt w:val="decimal"/>
      <w:lvlText w:val="%4."/>
      <w:lvlJc w:val="left"/>
      <w:pPr>
        <w:ind w:left="2880" w:hanging="360"/>
      </w:pPr>
    </w:lvl>
    <w:lvl w:ilvl="4" w:tplc="76C4C92C" w:tentative="1">
      <w:start w:val="1"/>
      <w:numFmt w:val="lowerLetter"/>
      <w:lvlText w:val="%5."/>
      <w:lvlJc w:val="left"/>
      <w:pPr>
        <w:ind w:left="3600" w:hanging="360"/>
      </w:pPr>
    </w:lvl>
    <w:lvl w:ilvl="5" w:tplc="516E4D90" w:tentative="1">
      <w:start w:val="1"/>
      <w:numFmt w:val="lowerRoman"/>
      <w:lvlText w:val="%6."/>
      <w:lvlJc w:val="right"/>
      <w:pPr>
        <w:ind w:left="4320" w:hanging="180"/>
      </w:pPr>
    </w:lvl>
    <w:lvl w:ilvl="6" w:tplc="F4EEEE06" w:tentative="1">
      <w:start w:val="1"/>
      <w:numFmt w:val="decimal"/>
      <w:lvlText w:val="%7."/>
      <w:lvlJc w:val="left"/>
      <w:pPr>
        <w:ind w:left="5040" w:hanging="360"/>
      </w:pPr>
    </w:lvl>
    <w:lvl w:ilvl="7" w:tplc="05E6A8F6" w:tentative="1">
      <w:start w:val="1"/>
      <w:numFmt w:val="lowerLetter"/>
      <w:lvlText w:val="%8."/>
      <w:lvlJc w:val="left"/>
      <w:pPr>
        <w:ind w:left="5760" w:hanging="360"/>
      </w:pPr>
    </w:lvl>
    <w:lvl w:ilvl="8" w:tplc="6108CEEC" w:tentative="1">
      <w:start w:val="1"/>
      <w:numFmt w:val="lowerRoman"/>
      <w:lvlText w:val="%9."/>
      <w:lvlJc w:val="right"/>
      <w:pPr>
        <w:ind w:left="6480" w:hanging="180"/>
      </w:pPr>
    </w:lvl>
  </w:abstractNum>
  <w:abstractNum w:abstractNumId="4" w15:restartNumberingAfterBreak="0">
    <w:nsid w:val="47287D2F"/>
    <w:multiLevelType w:val="multilevel"/>
    <w:tmpl w:val="8FBC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273693"/>
    <w:multiLevelType w:val="multilevel"/>
    <w:tmpl w:val="D370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E5843"/>
    <w:multiLevelType w:val="hybridMultilevel"/>
    <w:tmpl w:val="73F2A1C4"/>
    <w:lvl w:ilvl="0" w:tplc="C8BA4488">
      <w:start w:val="1"/>
      <w:numFmt w:val="decimal"/>
      <w:lvlText w:val="%1."/>
      <w:lvlJc w:val="left"/>
      <w:pPr>
        <w:ind w:left="720" w:hanging="360"/>
      </w:pPr>
      <w:rPr>
        <w:rFonts w:hint="default"/>
        <w:b/>
        <w:i/>
      </w:rPr>
    </w:lvl>
    <w:lvl w:ilvl="1" w:tplc="7B42F1EC" w:tentative="1">
      <w:start w:val="1"/>
      <w:numFmt w:val="lowerLetter"/>
      <w:lvlText w:val="%2."/>
      <w:lvlJc w:val="left"/>
      <w:pPr>
        <w:ind w:left="1440" w:hanging="360"/>
      </w:pPr>
    </w:lvl>
    <w:lvl w:ilvl="2" w:tplc="A03A5CFC" w:tentative="1">
      <w:start w:val="1"/>
      <w:numFmt w:val="lowerRoman"/>
      <w:lvlText w:val="%3."/>
      <w:lvlJc w:val="right"/>
      <w:pPr>
        <w:ind w:left="2160" w:hanging="180"/>
      </w:pPr>
    </w:lvl>
    <w:lvl w:ilvl="3" w:tplc="93EAE6D6" w:tentative="1">
      <w:start w:val="1"/>
      <w:numFmt w:val="decimal"/>
      <w:lvlText w:val="%4."/>
      <w:lvlJc w:val="left"/>
      <w:pPr>
        <w:ind w:left="2880" w:hanging="360"/>
      </w:pPr>
    </w:lvl>
    <w:lvl w:ilvl="4" w:tplc="2B92DB24" w:tentative="1">
      <w:start w:val="1"/>
      <w:numFmt w:val="lowerLetter"/>
      <w:lvlText w:val="%5."/>
      <w:lvlJc w:val="left"/>
      <w:pPr>
        <w:ind w:left="3600" w:hanging="360"/>
      </w:pPr>
    </w:lvl>
    <w:lvl w:ilvl="5" w:tplc="8E969666" w:tentative="1">
      <w:start w:val="1"/>
      <w:numFmt w:val="lowerRoman"/>
      <w:lvlText w:val="%6."/>
      <w:lvlJc w:val="right"/>
      <w:pPr>
        <w:ind w:left="4320" w:hanging="180"/>
      </w:pPr>
    </w:lvl>
    <w:lvl w:ilvl="6" w:tplc="46242A14" w:tentative="1">
      <w:start w:val="1"/>
      <w:numFmt w:val="decimal"/>
      <w:lvlText w:val="%7."/>
      <w:lvlJc w:val="left"/>
      <w:pPr>
        <w:ind w:left="5040" w:hanging="360"/>
      </w:pPr>
    </w:lvl>
    <w:lvl w:ilvl="7" w:tplc="B0DC89AA" w:tentative="1">
      <w:start w:val="1"/>
      <w:numFmt w:val="lowerLetter"/>
      <w:lvlText w:val="%8."/>
      <w:lvlJc w:val="left"/>
      <w:pPr>
        <w:ind w:left="5760" w:hanging="360"/>
      </w:pPr>
    </w:lvl>
    <w:lvl w:ilvl="8" w:tplc="E5627BD0"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A2NDczMDawNDOwMLJQ0lEKTi0uzszPAykwqgUA0HZ1FywAAAA="/>
  </w:docVars>
  <w:rsids>
    <w:rsidRoot w:val="0006118E"/>
    <w:rsid w:val="000113FE"/>
    <w:rsid w:val="00014D05"/>
    <w:rsid w:val="00015BDB"/>
    <w:rsid w:val="0001671E"/>
    <w:rsid w:val="00017872"/>
    <w:rsid w:val="00020C5E"/>
    <w:rsid w:val="000250C6"/>
    <w:rsid w:val="00037A21"/>
    <w:rsid w:val="0005467C"/>
    <w:rsid w:val="00056DC2"/>
    <w:rsid w:val="0006087F"/>
    <w:rsid w:val="0006118E"/>
    <w:rsid w:val="00064BD9"/>
    <w:rsid w:val="00070904"/>
    <w:rsid w:val="000737CC"/>
    <w:rsid w:val="00077A1E"/>
    <w:rsid w:val="00081255"/>
    <w:rsid w:val="00081629"/>
    <w:rsid w:val="00081D53"/>
    <w:rsid w:val="0008386B"/>
    <w:rsid w:val="00096D8D"/>
    <w:rsid w:val="000D54E3"/>
    <w:rsid w:val="000E1DBD"/>
    <w:rsid w:val="000E216B"/>
    <w:rsid w:val="0010739F"/>
    <w:rsid w:val="001162F4"/>
    <w:rsid w:val="00126868"/>
    <w:rsid w:val="00136EC5"/>
    <w:rsid w:val="00146EDD"/>
    <w:rsid w:val="00151154"/>
    <w:rsid w:val="0017438C"/>
    <w:rsid w:val="001A6650"/>
    <w:rsid w:val="001B1217"/>
    <w:rsid w:val="001B7819"/>
    <w:rsid w:val="001C0123"/>
    <w:rsid w:val="001D0CBE"/>
    <w:rsid w:val="001F00F2"/>
    <w:rsid w:val="001F0200"/>
    <w:rsid w:val="002010BF"/>
    <w:rsid w:val="00206BE2"/>
    <w:rsid w:val="00211145"/>
    <w:rsid w:val="00227F19"/>
    <w:rsid w:val="00235161"/>
    <w:rsid w:val="002379FC"/>
    <w:rsid w:val="0027735A"/>
    <w:rsid w:val="002871F3"/>
    <w:rsid w:val="00293033"/>
    <w:rsid w:val="00294E62"/>
    <w:rsid w:val="002A18AB"/>
    <w:rsid w:val="002A1AF6"/>
    <w:rsid w:val="002B7DFA"/>
    <w:rsid w:val="002C5C27"/>
    <w:rsid w:val="002D7218"/>
    <w:rsid w:val="002E14DC"/>
    <w:rsid w:val="002F4914"/>
    <w:rsid w:val="00302426"/>
    <w:rsid w:val="00302DD9"/>
    <w:rsid w:val="00303CF2"/>
    <w:rsid w:val="0032148B"/>
    <w:rsid w:val="00323A88"/>
    <w:rsid w:val="00324645"/>
    <w:rsid w:val="00332628"/>
    <w:rsid w:val="00341B3B"/>
    <w:rsid w:val="003435FA"/>
    <w:rsid w:val="003477C4"/>
    <w:rsid w:val="00350185"/>
    <w:rsid w:val="0035391E"/>
    <w:rsid w:val="003610EA"/>
    <w:rsid w:val="00364DDD"/>
    <w:rsid w:val="00366494"/>
    <w:rsid w:val="0036742D"/>
    <w:rsid w:val="003905CD"/>
    <w:rsid w:val="0039202A"/>
    <w:rsid w:val="0039479F"/>
    <w:rsid w:val="003A1987"/>
    <w:rsid w:val="003B0ED4"/>
    <w:rsid w:val="003B1303"/>
    <w:rsid w:val="003B27F3"/>
    <w:rsid w:val="003B327B"/>
    <w:rsid w:val="003C2D07"/>
    <w:rsid w:val="003C7E59"/>
    <w:rsid w:val="003D1B9A"/>
    <w:rsid w:val="003D2C14"/>
    <w:rsid w:val="003D3794"/>
    <w:rsid w:val="003D69A4"/>
    <w:rsid w:val="003E31EF"/>
    <w:rsid w:val="003F0F04"/>
    <w:rsid w:val="003F79A6"/>
    <w:rsid w:val="00404C7B"/>
    <w:rsid w:val="00413994"/>
    <w:rsid w:val="004254BB"/>
    <w:rsid w:val="00431F6C"/>
    <w:rsid w:val="00455342"/>
    <w:rsid w:val="004572B1"/>
    <w:rsid w:val="0047458B"/>
    <w:rsid w:val="00476488"/>
    <w:rsid w:val="00483126"/>
    <w:rsid w:val="004A0851"/>
    <w:rsid w:val="004A111E"/>
    <w:rsid w:val="004A1C5B"/>
    <w:rsid w:val="004A3B24"/>
    <w:rsid w:val="004B01C7"/>
    <w:rsid w:val="004B41E0"/>
    <w:rsid w:val="004C6D04"/>
    <w:rsid w:val="004D6763"/>
    <w:rsid w:val="004E7FA0"/>
    <w:rsid w:val="004F11C9"/>
    <w:rsid w:val="005029ED"/>
    <w:rsid w:val="00505013"/>
    <w:rsid w:val="005251AB"/>
    <w:rsid w:val="00532CCE"/>
    <w:rsid w:val="005350B0"/>
    <w:rsid w:val="00536EF6"/>
    <w:rsid w:val="00547288"/>
    <w:rsid w:val="0055016C"/>
    <w:rsid w:val="005537AA"/>
    <w:rsid w:val="00554316"/>
    <w:rsid w:val="00556D9B"/>
    <w:rsid w:val="00566396"/>
    <w:rsid w:val="005704F6"/>
    <w:rsid w:val="00574D2C"/>
    <w:rsid w:val="00577E99"/>
    <w:rsid w:val="00584282"/>
    <w:rsid w:val="00590928"/>
    <w:rsid w:val="00597FD5"/>
    <w:rsid w:val="005A021A"/>
    <w:rsid w:val="005A6737"/>
    <w:rsid w:val="005B2D9C"/>
    <w:rsid w:val="005D0446"/>
    <w:rsid w:val="005D2298"/>
    <w:rsid w:val="005E27E8"/>
    <w:rsid w:val="005E33AA"/>
    <w:rsid w:val="005E6984"/>
    <w:rsid w:val="005F14DE"/>
    <w:rsid w:val="005F322F"/>
    <w:rsid w:val="005F3A4E"/>
    <w:rsid w:val="00602911"/>
    <w:rsid w:val="00604E20"/>
    <w:rsid w:val="00607869"/>
    <w:rsid w:val="00613017"/>
    <w:rsid w:val="00614F6A"/>
    <w:rsid w:val="00627A40"/>
    <w:rsid w:val="0064315B"/>
    <w:rsid w:val="0064738C"/>
    <w:rsid w:val="00664464"/>
    <w:rsid w:val="00667847"/>
    <w:rsid w:val="006700FF"/>
    <w:rsid w:val="00673AD6"/>
    <w:rsid w:val="0068115B"/>
    <w:rsid w:val="00692631"/>
    <w:rsid w:val="006A3FE3"/>
    <w:rsid w:val="006C21BD"/>
    <w:rsid w:val="006D09AF"/>
    <w:rsid w:val="006D5B37"/>
    <w:rsid w:val="006E38C4"/>
    <w:rsid w:val="006F15AD"/>
    <w:rsid w:val="006F3BA4"/>
    <w:rsid w:val="006F7029"/>
    <w:rsid w:val="0071570A"/>
    <w:rsid w:val="00717DCC"/>
    <w:rsid w:val="007314B6"/>
    <w:rsid w:val="00733745"/>
    <w:rsid w:val="0073618D"/>
    <w:rsid w:val="0074632A"/>
    <w:rsid w:val="00746AD3"/>
    <w:rsid w:val="00746F8B"/>
    <w:rsid w:val="00754E74"/>
    <w:rsid w:val="00760592"/>
    <w:rsid w:val="00772D38"/>
    <w:rsid w:val="007779F5"/>
    <w:rsid w:val="00781C66"/>
    <w:rsid w:val="007827DE"/>
    <w:rsid w:val="007861E3"/>
    <w:rsid w:val="007870BA"/>
    <w:rsid w:val="0079590C"/>
    <w:rsid w:val="007B746A"/>
    <w:rsid w:val="007C045C"/>
    <w:rsid w:val="007C0E12"/>
    <w:rsid w:val="007C59BC"/>
    <w:rsid w:val="007C5E2B"/>
    <w:rsid w:val="007D303E"/>
    <w:rsid w:val="007E25C9"/>
    <w:rsid w:val="007E70CE"/>
    <w:rsid w:val="007F7DA9"/>
    <w:rsid w:val="008028D5"/>
    <w:rsid w:val="00804C9C"/>
    <w:rsid w:val="00822444"/>
    <w:rsid w:val="00827FB0"/>
    <w:rsid w:val="00840564"/>
    <w:rsid w:val="008625FB"/>
    <w:rsid w:val="008663BA"/>
    <w:rsid w:val="0087325C"/>
    <w:rsid w:val="00881D39"/>
    <w:rsid w:val="008845CE"/>
    <w:rsid w:val="008856FA"/>
    <w:rsid w:val="00896C94"/>
    <w:rsid w:val="008A02C8"/>
    <w:rsid w:val="008A0E33"/>
    <w:rsid w:val="008A15F3"/>
    <w:rsid w:val="008B0FFC"/>
    <w:rsid w:val="008B2FBB"/>
    <w:rsid w:val="008E1E23"/>
    <w:rsid w:val="008E2682"/>
    <w:rsid w:val="008F2417"/>
    <w:rsid w:val="008F6BB3"/>
    <w:rsid w:val="008F6F19"/>
    <w:rsid w:val="00902D1C"/>
    <w:rsid w:val="00907776"/>
    <w:rsid w:val="00932B94"/>
    <w:rsid w:val="00945298"/>
    <w:rsid w:val="0095450F"/>
    <w:rsid w:val="0096421A"/>
    <w:rsid w:val="00967638"/>
    <w:rsid w:val="00974CFE"/>
    <w:rsid w:val="00976FEF"/>
    <w:rsid w:val="00994223"/>
    <w:rsid w:val="00994457"/>
    <w:rsid w:val="009A02AE"/>
    <w:rsid w:val="009C1B84"/>
    <w:rsid w:val="009E6AD7"/>
    <w:rsid w:val="009F3032"/>
    <w:rsid w:val="009F6B81"/>
    <w:rsid w:val="00A01FBD"/>
    <w:rsid w:val="00A068CC"/>
    <w:rsid w:val="00A14160"/>
    <w:rsid w:val="00A15FB0"/>
    <w:rsid w:val="00A256DC"/>
    <w:rsid w:val="00A470F5"/>
    <w:rsid w:val="00A526FD"/>
    <w:rsid w:val="00A65534"/>
    <w:rsid w:val="00A679DC"/>
    <w:rsid w:val="00AA2E54"/>
    <w:rsid w:val="00AA3A03"/>
    <w:rsid w:val="00AA41CE"/>
    <w:rsid w:val="00AB3CF3"/>
    <w:rsid w:val="00AB768F"/>
    <w:rsid w:val="00AC2757"/>
    <w:rsid w:val="00AC3570"/>
    <w:rsid w:val="00AD4E8F"/>
    <w:rsid w:val="00AE07EF"/>
    <w:rsid w:val="00AE1CF6"/>
    <w:rsid w:val="00AE50DF"/>
    <w:rsid w:val="00AF20E9"/>
    <w:rsid w:val="00AF4D07"/>
    <w:rsid w:val="00AF7B79"/>
    <w:rsid w:val="00B00490"/>
    <w:rsid w:val="00B20024"/>
    <w:rsid w:val="00B32EC6"/>
    <w:rsid w:val="00B364F4"/>
    <w:rsid w:val="00B36C32"/>
    <w:rsid w:val="00B379D6"/>
    <w:rsid w:val="00B549F9"/>
    <w:rsid w:val="00B56C13"/>
    <w:rsid w:val="00B63C78"/>
    <w:rsid w:val="00B65ECC"/>
    <w:rsid w:val="00B73753"/>
    <w:rsid w:val="00B75E6A"/>
    <w:rsid w:val="00B75FB6"/>
    <w:rsid w:val="00B802A0"/>
    <w:rsid w:val="00B859A7"/>
    <w:rsid w:val="00B93DCE"/>
    <w:rsid w:val="00B970E8"/>
    <w:rsid w:val="00BA6201"/>
    <w:rsid w:val="00BB0003"/>
    <w:rsid w:val="00BB7904"/>
    <w:rsid w:val="00BB7F76"/>
    <w:rsid w:val="00BE2839"/>
    <w:rsid w:val="00BE7284"/>
    <w:rsid w:val="00BF19BB"/>
    <w:rsid w:val="00BF7D59"/>
    <w:rsid w:val="00C17D24"/>
    <w:rsid w:val="00C25A41"/>
    <w:rsid w:val="00C2758F"/>
    <w:rsid w:val="00C438CA"/>
    <w:rsid w:val="00C5236E"/>
    <w:rsid w:val="00C569E4"/>
    <w:rsid w:val="00C706EA"/>
    <w:rsid w:val="00C75459"/>
    <w:rsid w:val="00C8276A"/>
    <w:rsid w:val="00C95CA1"/>
    <w:rsid w:val="00C973E7"/>
    <w:rsid w:val="00CA1797"/>
    <w:rsid w:val="00CA635A"/>
    <w:rsid w:val="00CA6397"/>
    <w:rsid w:val="00CB336C"/>
    <w:rsid w:val="00CC2FC0"/>
    <w:rsid w:val="00CD0151"/>
    <w:rsid w:val="00CE22CF"/>
    <w:rsid w:val="00D00B6A"/>
    <w:rsid w:val="00D148C6"/>
    <w:rsid w:val="00D17071"/>
    <w:rsid w:val="00D20822"/>
    <w:rsid w:val="00D210D2"/>
    <w:rsid w:val="00D26FC6"/>
    <w:rsid w:val="00D31F24"/>
    <w:rsid w:val="00D33F79"/>
    <w:rsid w:val="00D423F1"/>
    <w:rsid w:val="00D463A6"/>
    <w:rsid w:val="00D553D7"/>
    <w:rsid w:val="00D77C72"/>
    <w:rsid w:val="00D87E9C"/>
    <w:rsid w:val="00DA03BA"/>
    <w:rsid w:val="00DA046D"/>
    <w:rsid w:val="00DD21AA"/>
    <w:rsid w:val="00DD2799"/>
    <w:rsid w:val="00DD38D3"/>
    <w:rsid w:val="00DF15FF"/>
    <w:rsid w:val="00E05530"/>
    <w:rsid w:val="00E07DE3"/>
    <w:rsid w:val="00E12B46"/>
    <w:rsid w:val="00E21C56"/>
    <w:rsid w:val="00E22DD7"/>
    <w:rsid w:val="00E2426C"/>
    <w:rsid w:val="00E43345"/>
    <w:rsid w:val="00E5143B"/>
    <w:rsid w:val="00E55A47"/>
    <w:rsid w:val="00E565DF"/>
    <w:rsid w:val="00E62C49"/>
    <w:rsid w:val="00E643C5"/>
    <w:rsid w:val="00E76F79"/>
    <w:rsid w:val="00E8182F"/>
    <w:rsid w:val="00E947E6"/>
    <w:rsid w:val="00E9768A"/>
    <w:rsid w:val="00EB1680"/>
    <w:rsid w:val="00EB3EA7"/>
    <w:rsid w:val="00EB4840"/>
    <w:rsid w:val="00EB4A00"/>
    <w:rsid w:val="00EC0BC1"/>
    <w:rsid w:val="00EE0A6F"/>
    <w:rsid w:val="00EE1EC5"/>
    <w:rsid w:val="00EF548B"/>
    <w:rsid w:val="00F11358"/>
    <w:rsid w:val="00F12B8D"/>
    <w:rsid w:val="00F259C0"/>
    <w:rsid w:val="00F337FF"/>
    <w:rsid w:val="00F33FDD"/>
    <w:rsid w:val="00F42F5C"/>
    <w:rsid w:val="00F44AA8"/>
    <w:rsid w:val="00F522EC"/>
    <w:rsid w:val="00F56012"/>
    <w:rsid w:val="00F70F58"/>
    <w:rsid w:val="00F716C6"/>
    <w:rsid w:val="00F75ECB"/>
    <w:rsid w:val="00F80BDE"/>
    <w:rsid w:val="00F8753A"/>
    <w:rsid w:val="00F90A2B"/>
    <w:rsid w:val="00F92F1A"/>
    <w:rsid w:val="00F9402C"/>
    <w:rsid w:val="00F954A5"/>
    <w:rsid w:val="00FC1C61"/>
    <w:rsid w:val="00FE1B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DF4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59A7"/>
    <w:pPr>
      <w:widowControl w:val="0"/>
      <w:spacing w:after="0" w:line="240" w:lineRule="auto"/>
      <w:jc w:val="both"/>
    </w:pPr>
    <w:rPr>
      <w:rFonts w:ascii="Calibri" w:eastAsia="Calibri" w:hAnsi="Calibri" w:cs="Calibri"/>
      <w:kern w:val="0"/>
      <w:lang w:val="en-US" w:eastAsia="es-MX"/>
      <w14:ligatures w14:val="none"/>
    </w:rPr>
  </w:style>
  <w:style w:type="paragraph" w:styleId="Ttulo1">
    <w:name w:val="heading 1"/>
    <w:basedOn w:val="Normal"/>
    <w:next w:val="Normal"/>
    <w:link w:val="Ttulo1Car"/>
    <w:uiPriority w:val="9"/>
    <w:qFormat/>
    <w:rsid w:val="00061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61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611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611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611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6118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611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611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6118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11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611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611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611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611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611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611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611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6118E"/>
    <w:rPr>
      <w:rFonts w:eastAsiaTheme="majorEastAsia" w:cstheme="majorBidi"/>
      <w:color w:val="272727" w:themeColor="text1" w:themeTint="D8"/>
    </w:rPr>
  </w:style>
  <w:style w:type="paragraph" w:styleId="Ttulo">
    <w:name w:val="Title"/>
    <w:basedOn w:val="Normal"/>
    <w:next w:val="Normal"/>
    <w:link w:val="TtuloCar"/>
    <w:uiPriority w:val="10"/>
    <w:qFormat/>
    <w:rsid w:val="0006118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611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611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611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6118E"/>
    <w:pPr>
      <w:spacing w:before="160"/>
      <w:jc w:val="center"/>
    </w:pPr>
    <w:rPr>
      <w:i/>
      <w:iCs/>
      <w:color w:val="404040" w:themeColor="text1" w:themeTint="BF"/>
    </w:rPr>
  </w:style>
  <w:style w:type="character" w:customStyle="1" w:styleId="CitaCar">
    <w:name w:val="Cita Car"/>
    <w:basedOn w:val="Fuentedeprrafopredeter"/>
    <w:link w:val="Cita"/>
    <w:uiPriority w:val="29"/>
    <w:rsid w:val="0006118E"/>
    <w:rPr>
      <w:i/>
      <w:iCs/>
      <w:color w:val="404040" w:themeColor="text1" w:themeTint="BF"/>
    </w:rPr>
  </w:style>
  <w:style w:type="paragraph" w:styleId="Prrafodelista">
    <w:name w:val="List Paragraph"/>
    <w:basedOn w:val="Normal"/>
    <w:uiPriority w:val="34"/>
    <w:qFormat/>
    <w:rsid w:val="0006118E"/>
    <w:pPr>
      <w:ind w:left="720"/>
      <w:contextualSpacing/>
    </w:pPr>
  </w:style>
  <w:style w:type="character" w:styleId="nfasisintenso">
    <w:name w:val="Intense Emphasis"/>
    <w:basedOn w:val="Fuentedeprrafopredeter"/>
    <w:uiPriority w:val="21"/>
    <w:qFormat/>
    <w:rsid w:val="0006118E"/>
    <w:rPr>
      <w:i/>
      <w:iCs/>
      <w:color w:val="0F4761" w:themeColor="accent1" w:themeShade="BF"/>
    </w:rPr>
  </w:style>
  <w:style w:type="paragraph" w:styleId="Citadestacada">
    <w:name w:val="Intense Quote"/>
    <w:basedOn w:val="Normal"/>
    <w:next w:val="Normal"/>
    <w:link w:val="CitadestacadaCar"/>
    <w:uiPriority w:val="30"/>
    <w:qFormat/>
    <w:rsid w:val="00061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6118E"/>
    <w:rPr>
      <w:i/>
      <w:iCs/>
      <w:color w:val="0F4761" w:themeColor="accent1" w:themeShade="BF"/>
    </w:rPr>
  </w:style>
  <w:style w:type="character" w:styleId="Referenciaintensa">
    <w:name w:val="Intense Reference"/>
    <w:basedOn w:val="Fuentedeprrafopredeter"/>
    <w:uiPriority w:val="32"/>
    <w:qFormat/>
    <w:rsid w:val="0006118E"/>
    <w:rPr>
      <w:b/>
      <w:bCs/>
      <w:smallCaps/>
      <w:color w:val="0F4761" w:themeColor="accent1" w:themeShade="BF"/>
      <w:spacing w:val="5"/>
    </w:rPr>
  </w:style>
  <w:style w:type="paragraph" w:styleId="NormalWeb">
    <w:name w:val="Normal (Web)"/>
    <w:basedOn w:val="Normal"/>
    <w:uiPriority w:val="99"/>
    <w:semiHidden/>
    <w:unhideWhenUsed/>
    <w:rsid w:val="0006118E"/>
    <w:pPr>
      <w:widowControl/>
      <w:spacing w:before="100" w:beforeAutospacing="1" w:after="100" w:afterAutospacing="1"/>
      <w:jc w:val="left"/>
    </w:pPr>
    <w:rPr>
      <w:rFonts w:ascii="Times New Roman" w:eastAsia="Times New Roman" w:hAnsi="Times New Roman" w:cs="Times New Roman"/>
      <w:lang w:val="es-MX"/>
    </w:rPr>
  </w:style>
  <w:style w:type="character" w:customStyle="1" w:styleId="apple-tab-span">
    <w:name w:val="apple-tab-span"/>
    <w:basedOn w:val="Fuentedeprrafopredeter"/>
    <w:rsid w:val="0006118E"/>
  </w:style>
  <w:style w:type="character" w:styleId="Hipervnculo">
    <w:name w:val="Hyperlink"/>
    <w:basedOn w:val="Fuentedeprrafopredeter"/>
    <w:uiPriority w:val="99"/>
    <w:unhideWhenUsed/>
    <w:rsid w:val="0006118E"/>
    <w:rPr>
      <w:color w:val="467886" w:themeColor="hyperlink"/>
      <w:u w:val="single"/>
    </w:rPr>
  </w:style>
  <w:style w:type="character" w:styleId="nfasis">
    <w:name w:val="Emphasis"/>
    <w:basedOn w:val="Fuentedeprrafopredeter"/>
    <w:uiPriority w:val="20"/>
    <w:qFormat/>
    <w:rsid w:val="0006118E"/>
    <w:rPr>
      <w:i/>
      <w:iCs/>
    </w:rPr>
  </w:style>
  <w:style w:type="character" w:styleId="Nmerodelnea">
    <w:name w:val="line number"/>
    <w:basedOn w:val="Fuentedeprrafopredeter"/>
    <w:uiPriority w:val="99"/>
    <w:semiHidden/>
    <w:unhideWhenUsed/>
    <w:rsid w:val="0006118E"/>
  </w:style>
  <w:style w:type="character" w:customStyle="1" w:styleId="Mencinsinresolver1">
    <w:name w:val="Mención sin resolver1"/>
    <w:basedOn w:val="Fuentedeprrafopredeter"/>
    <w:uiPriority w:val="99"/>
    <w:semiHidden/>
    <w:unhideWhenUsed/>
    <w:rsid w:val="00323A88"/>
    <w:rPr>
      <w:color w:val="605E5C"/>
      <w:shd w:val="clear" w:color="auto" w:fill="E1DFDD"/>
    </w:rPr>
  </w:style>
  <w:style w:type="paragraph" w:styleId="Bibliografa">
    <w:name w:val="Bibliography"/>
    <w:basedOn w:val="Normal"/>
    <w:next w:val="Normal"/>
    <w:uiPriority w:val="37"/>
    <w:unhideWhenUsed/>
    <w:rsid w:val="0008386B"/>
  </w:style>
  <w:style w:type="character" w:styleId="Textoennegrita">
    <w:name w:val="Strong"/>
    <w:basedOn w:val="Fuentedeprrafopredeter"/>
    <w:uiPriority w:val="22"/>
    <w:qFormat/>
    <w:rsid w:val="00BB7904"/>
    <w:rPr>
      <w:b/>
      <w:bCs/>
    </w:rPr>
  </w:style>
  <w:style w:type="paragraph" w:styleId="Piedepgina">
    <w:name w:val="footer"/>
    <w:basedOn w:val="Normal"/>
    <w:link w:val="PiedepginaCar"/>
    <w:uiPriority w:val="99"/>
    <w:unhideWhenUsed/>
    <w:rsid w:val="007827DE"/>
    <w:pPr>
      <w:tabs>
        <w:tab w:val="center" w:pos="4419"/>
        <w:tab w:val="right" w:pos="8838"/>
      </w:tabs>
    </w:pPr>
  </w:style>
  <w:style w:type="character" w:customStyle="1" w:styleId="PiedepginaCar">
    <w:name w:val="Pie de página Car"/>
    <w:basedOn w:val="Fuentedeprrafopredeter"/>
    <w:link w:val="Piedepgina"/>
    <w:uiPriority w:val="99"/>
    <w:rsid w:val="007827DE"/>
    <w:rPr>
      <w:rFonts w:ascii="Calibri" w:eastAsia="Calibri" w:hAnsi="Calibri" w:cs="Calibri"/>
      <w:kern w:val="0"/>
      <w:lang w:val="en-US" w:eastAsia="es-MX"/>
      <w14:ligatures w14:val="none"/>
    </w:rPr>
  </w:style>
  <w:style w:type="character" w:customStyle="1" w:styleId="t286pc">
    <w:name w:val="t286pc"/>
    <w:basedOn w:val="Fuentedeprrafopredeter"/>
    <w:rsid w:val="00717DCC"/>
  </w:style>
  <w:style w:type="character" w:styleId="Hipervnculovisitado">
    <w:name w:val="FollowedHyperlink"/>
    <w:basedOn w:val="Fuentedeprrafopredeter"/>
    <w:uiPriority w:val="99"/>
    <w:semiHidden/>
    <w:unhideWhenUsed/>
    <w:rsid w:val="006C21BD"/>
    <w:rPr>
      <w:color w:val="96607D" w:themeColor="followedHyperlink"/>
      <w:u w:val="single"/>
    </w:rPr>
  </w:style>
  <w:style w:type="paragraph" w:styleId="Textodeglobo">
    <w:name w:val="Balloon Text"/>
    <w:basedOn w:val="Normal"/>
    <w:link w:val="TextodegloboCar"/>
    <w:uiPriority w:val="99"/>
    <w:semiHidden/>
    <w:unhideWhenUsed/>
    <w:rsid w:val="005D044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0446"/>
    <w:rPr>
      <w:rFonts w:ascii="Segoe UI" w:eastAsia="Calibri" w:hAnsi="Segoe UI" w:cs="Segoe UI"/>
      <w:kern w:val="0"/>
      <w:sz w:val="18"/>
      <w:szCs w:val="18"/>
      <w:lang w:val="en-US" w:eastAsia="es-MX"/>
      <w14:ligatures w14:val="none"/>
    </w:rPr>
  </w:style>
  <w:style w:type="paragraph" w:styleId="Revisin">
    <w:name w:val="Revision"/>
    <w:hidden/>
    <w:uiPriority w:val="99"/>
    <w:semiHidden/>
    <w:rsid w:val="0068115B"/>
    <w:pPr>
      <w:spacing w:after="0" w:line="240" w:lineRule="auto"/>
    </w:pPr>
    <w:rPr>
      <w:rFonts w:ascii="Calibri" w:eastAsia="Calibri" w:hAnsi="Calibri" w:cs="Calibri"/>
      <w:kern w:val="0"/>
      <w:lang w:val="en-US" w:eastAsia="es-MX"/>
      <w14:ligatures w14:val="none"/>
    </w:rPr>
  </w:style>
  <w:style w:type="character" w:styleId="Refdecomentario">
    <w:name w:val="annotation reference"/>
    <w:basedOn w:val="Fuentedeprrafopredeter"/>
    <w:uiPriority w:val="99"/>
    <w:semiHidden/>
    <w:unhideWhenUsed/>
    <w:rsid w:val="00554316"/>
    <w:rPr>
      <w:sz w:val="16"/>
      <w:szCs w:val="16"/>
    </w:rPr>
  </w:style>
  <w:style w:type="paragraph" w:styleId="Textocomentario">
    <w:name w:val="annotation text"/>
    <w:basedOn w:val="Normal"/>
    <w:link w:val="TextocomentarioCar"/>
    <w:uiPriority w:val="99"/>
    <w:semiHidden/>
    <w:unhideWhenUsed/>
    <w:rsid w:val="00554316"/>
    <w:rPr>
      <w:sz w:val="20"/>
      <w:szCs w:val="20"/>
    </w:rPr>
  </w:style>
  <w:style w:type="character" w:customStyle="1" w:styleId="TextocomentarioCar">
    <w:name w:val="Texto comentario Car"/>
    <w:basedOn w:val="Fuentedeprrafopredeter"/>
    <w:link w:val="Textocomentario"/>
    <w:uiPriority w:val="99"/>
    <w:semiHidden/>
    <w:rsid w:val="00554316"/>
    <w:rPr>
      <w:rFonts w:ascii="Calibri" w:eastAsia="Calibri" w:hAnsi="Calibri" w:cs="Calibri"/>
      <w:kern w:val="0"/>
      <w:sz w:val="20"/>
      <w:szCs w:val="20"/>
      <w:lang w:val="en-US" w:eastAsia="es-MX"/>
      <w14:ligatures w14:val="none"/>
    </w:rPr>
  </w:style>
  <w:style w:type="paragraph" w:styleId="Asuntodelcomentario">
    <w:name w:val="annotation subject"/>
    <w:basedOn w:val="Textocomentario"/>
    <w:next w:val="Textocomentario"/>
    <w:link w:val="AsuntodelcomentarioCar"/>
    <w:uiPriority w:val="99"/>
    <w:semiHidden/>
    <w:unhideWhenUsed/>
    <w:rsid w:val="00554316"/>
    <w:rPr>
      <w:b/>
      <w:bCs/>
    </w:rPr>
  </w:style>
  <w:style w:type="character" w:customStyle="1" w:styleId="AsuntodelcomentarioCar">
    <w:name w:val="Asunto del comentario Car"/>
    <w:basedOn w:val="TextocomentarioCar"/>
    <w:link w:val="Asuntodelcomentario"/>
    <w:uiPriority w:val="99"/>
    <w:semiHidden/>
    <w:rsid w:val="00554316"/>
    <w:rPr>
      <w:rFonts w:ascii="Calibri" w:eastAsia="Calibri" w:hAnsi="Calibri" w:cs="Calibri"/>
      <w:b/>
      <w:bCs/>
      <w:kern w:val="0"/>
      <w:sz w:val="20"/>
      <w:szCs w:val="20"/>
      <w:lang w:val="en-US" w:eastAsia="es-MX"/>
      <w14:ligatures w14:val="none"/>
    </w:rPr>
  </w:style>
  <w:style w:type="character" w:customStyle="1" w:styleId="UnresolvedMention1">
    <w:name w:val="Unresolved Mention1"/>
    <w:basedOn w:val="Fuentedeprrafopredeter"/>
    <w:uiPriority w:val="99"/>
    <w:semiHidden/>
    <w:unhideWhenUsed/>
    <w:rsid w:val="00014D05"/>
    <w:rPr>
      <w:color w:val="605E5C"/>
      <w:shd w:val="clear" w:color="auto" w:fill="E1DFDD"/>
    </w:rPr>
  </w:style>
  <w:style w:type="character" w:customStyle="1" w:styleId="UnresolvedMention">
    <w:name w:val="Unresolved Mention"/>
    <w:basedOn w:val="Fuentedeprrafopredeter"/>
    <w:uiPriority w:val="99"/>
    <w:semiHidden/>
    <w:unhideWhenUsed/>
    <w:rsid w:val="00535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lanca.lr@roque.tecnm.mx" TargetMode="External"/><Relationship Id="rId13" Type="http://schemas.openxmlformats.org/officeDocument/2006/relationships/hyperlink" Target="mailto:ma.vh@roque.tecnm.mx"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is.ng@roque.tecnm.m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is.sr@roque.tecnm.m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humberto.aguirreb@uaq.m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2403089@itcelaya.edu.mx" TargetMode="External"/><Relationship Id="rId14" Type="http://schemas.openxmlformats.org/officeDocument/2006/relationships/hyperlink" Target="mailto:georgina.mota@uaq.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9F240-6EF5-4F8D-AD69-F1701C16D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6515</Words>
  <Characters>35838</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2026-04-14T17:30:00Z</dcterms:created>
  <dcterms:modified xsi:type="dcterms:W3CDTF">2026-04-14T17:30:00Z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538dd6ab-b981-4fba-94c8-4a0b8822f6e1</vt:lpwstr>
  </property>
</Properties>
</file>