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8D3C" w14:textId="5C400CA0" w:rsidR="00865DF6" w:rsidRPr="00623045" w:rsidRDefault="00D515A7" w:rsidP="001654C4">
      <w:pPr>
        <w:spacing w:after="0" w:line="240" w:lineRule="auto"/>
        <w:jc w:val="both"/>
        <w:rPr>
          <w:rFonts w:ascii="Calibri" w:hAnsi="Calibri" w:cs="Calibri"/>
          <w:color w:val="000000" w:themeColor="text1"/>
          <w:sz w:val="24"/>
          <w:szCs w:val="24"/>
        </w:rPr>
      </w:pPr>
      <w:r w:rsidRPr="00623045">
        <w:rPr>
          <w:rFonts w:ascii="Calibri" w:hAnsi="Calibri" w:cs="Calibri"/>
          <w:b/>
          <w:bCs/>
          <w:color w:val="000000" w:themeColor="text1"/>
          <w:sz w:val="24"/>
          <w:szCs w:val="24"/>
        </w:rPr>
        <w:t>TITLE:</w:t>
      </w:r>
      <w:r w:rsidR="00865DF6" w:rsidRPr="00623045">
        <w:rPr>
          <w:rFonts w:ascii="Calibri" w:hAnsi="Calibri" w:cs="Calibri"/>
          <w:b/>
          <w:bCs/>
          <w:color w:val="000000" w:themeColor="text1"/>
          <w:sz w:val="24"/>
          <w:szCs w:val="24"/>
        </w:rPr>
        <w:br/>
      </w:r>
      <w:r w:rsidR="00865DF6" w:rsidRPr="00623045">
        <w:rPr>
          <w:rFonts w:ascii="Calibri" w:hAnsi="Calibri" w:cs="Calibri"/>
          <w:color w:val="000000" w:themeColor="text1"/>
          <w:sz w:val="24"/>
          <w:szCs w:val="24"/>
        </w:rPr>
        <w:t>Oral Gavage in Neonatal Mouse Pups and Functional Assessment of Gut Barrier Integrity Using Ussing Chambers</w:t>
      </w:r>
    </w:p>
    <w:p w14:paraId="38F32319" w14:textId="77777777" w:rsidR="002B06DD" w:rsidRPr="00623045" w:rsidRDefault="002B06DD" w:rsidP="001654C4">
      <w:pPr>
        <w:spacing w:after="0" w:line="240" w:lineRule="auto"/>
        <w:jc w:val="both"/>
        <w:rPr>
          <w:rFonts w:ascii="Calibri" w:hAnsi="Calibri" w:cs="Calibri"/>
          <w:color w:val="000000" w:themeColor="text1"/>
          <w:sz w:val="24"/>
          <w:szCs w:val="24"/>
        </w:rPr>
      </w:pPr>
    </w:p>
    <w:p w14:paraId="77F6F5D5" w14:textId="5CCF7AA3" w:rsidR="002B06DD" w:rsidRPr="00623045" w:rsidRDefault="00D515A7" w:rsidP="001654C4">
      <w:pPr>
        <w:spacing w:after="0" w:line="240" w:lineRule="auto"/>
        <w:contextualSpacing/>
        <w:jc w:val="both"/>
        <w:rPr>
          <w:rFonts w:ascii="Calibri" w:hAnsi="Calibri" w:cs="Calibri"/>
          <w:b/>
          <w:bCs/>
          <w:color w:val="000000" w:themeColor="text1"/>
          <w:sz w:val="24"/>
          <w:szCs w:val="24"/>
          <w:lang w:val="fr-FR"/>
        </w:rPr>
      </w:pPr>
      <w:r w:rsidRPr="00623045">
        <w:rPr>
          <w:rFonts w:ascii="Calibri" w:hAnsi="Calibri" w:cs="Calibri"/>
          <w:b/>
          <w:bCs/>
          <w:color w:val="000000" w:themeColor="text1"/>
          <w:sz w:val="24"/>
          <w:szCs w:val="24"/>
          <w:lang w:val="fr-FR"/>
        </w:rPr>
        <w:t xml:space="preserve">AUTHORS AND </w:t>
      </w:r>
      <w:r w:rsidR="00270F31" w:rsidRPr="00623045">
        <w:rPr>
          <w:rFonts w:ascii="Calibri" w:hAnsi="Calibri" w:cs="Calibri"/>
          <w:b/>
          <w:bCs/>
          <w:color w:val="000000" w:themeColor="text1"/>
          <w:sz w:val="24"/>
          <w:szCs w:val="24"/>
          <w:lang w:val="fr-FR"/>
        </w:rPr>
        <w:t>AFFILIATIONS :</w:t>
      </w:r>
    </w:p>
    <w:p w14:paraId="02A91CC7" w14:textId="5228E023" w:rsidR="00865DF6" w:rsidRPr="00623045" w:rsidRDefault="00865DF6" w:rsidP="001654C4">
      <w:pPr>
        <w:spacing w:after="0" w:line="240" w:lineRule="auto"/>
        <w:contextualSpacing/>
        <w:jc w:val="both"/>
        <w:rPr>
          <w:rFonts w:ascii="Calibri" w:hAnsi="Calibri" w:cs="Calibri"/>
          <w:color w:val="000000" w:themeColor="text1"/>
          <w:sz w:val="24"/>
          <w:szCs w:val="24"/>
          <w:lang w:val="fr-FR"/>
        </w:rPr>
      </w:pPr>
      <w:r w:rsidRPr="00623045">
        <w:rPr>
          <w:rFonts w:ascii="Calibri" w:hAnsi="Calibri" w:cs="Calibri"/>
          <w:color w:val="000000" w:themeColor="text1"/>
          <w:sz w:val="24"/>
          <w:szCs w:val="24"/>
          <w:lang w:val="fr-FR"/>
        </w:rPr>
        <w:t>Louis BERTHET</w:t>
      </w:r>
      <w:r w:rsidRPr="00623045">
        <w:rPr>
          <w:rFonts w:ascii="Calibri" w:hAnsi="Calibri" w:cs="Calibri"/>
          <w:color w:val="000000" w:themeColor="text1"/>
          <w:sz w:val="24"/>
          <w:szCs w:val="24"/>
          <w:vertAlign w:val="superscript"/>
          <w:lang w:val="fr-FR"/>
        </w:rPr>
        <w:t>1</w:t>
      </w:r>
      <w:r w:rsidRPr="00623045">
        <w:rPr>
          <w:rFonts w:ascii="Calibri" w:hAnsi="Calibri" w:cs="Calibri"/>
          <w:color w:val="000000" w:themeColor="text1"/>
          <w:sz w:val="24"/>
          <w:szCs w:val="24"/>
          <w:lang w:val="fr-FR"/>
        </w:rPr>
        <w:t>, Camille TARDIVEAU</w:t>
      </w:r>
      <w:r w:rsidRPr="00623045">
        <w:rPr>
          <w:rFonts w:ascii="Calibri" w:hAnsi="Calibri" w:cs="Calibri"/>
          <w:color w:val="000000" w:themeColor="text1"/>
          <w:sz w:val="24"/>
          <w:szCs w:val="24"/>
          <w:vertAlign w:val="superscript"/>
          <w:lang w:val="fr-FR"/>
        </w:rPr>
        <w:t>1</w:t>
      </w:r>
      <w:r w:rsidRPr="00623045">
        <w:rPr>
          <w:rFonts w:ascii="Calibri" w:hAnsi="Calibri" w:cs="Calibri"/>
          <w:color w:val="000000" w:themeColor="text1"/>
          <w:sz w:val="24"/>
          <w:szCs w:val="24"/>
          <w:lang w:val="fr-FR"/>
        </w:rPr>
        <w:t>, Maryline ROY</w:t>
      </w:r>
      <w:r w:rsidRPr="00623045">
        <w:rPr>
          <w:rFonts w:ascii="Calibri" w:hAnsi="Calibri" w:cs="Calibri"/>
          <w:color w:val="000000" w:themeColor="text1"/>
          <w:sz w:val="24"/>
          <w:szCs w:val="24"/>
          <w:vertAlign w:val="superscript"/>
          <w:lang w:val="fr-FR"/>
        </w:rPr>
        <w:t>1</w:t>
      </w:r>
      <w:r w:rsidRPr="00623045">
        <w:rPr>
          <w:rFonts w:ascii="Calibri" w:hAnsi="Calibri" w:cs="Calibri"/>
          <w:color w:val="000000" w:themeColor="text1"/>
          <w:sz w:val="24"/>
          <w:szCs w:val="24"/>
          <w:lang w:val="fr-FR"/>
        </w:rPr>
        <w:t>, Émilie VIENNOIS</w:t>
      </w:r>
      <w:r w:rsidRPr="00623045">
        <w:rPr>
          <w:rFonts w:ascii="Calibri" w:hAnsi="Calibri" w:cs="Calibri"/>
          <w:color w:val="000000" w:themeColor="text1"/>
          <w:sz w:val="24"/>
          <w:szCs w:val="24"/>
          <w:vertAlign w:val="superscript"/>
          <w:lang w:val="fr-FR"/>
        </w:rPr>
        <w:t>1,2</w:t>
      </w:r>
      <w:r w:rsidR="0091164C" w:rsidRPr="00623045">
        <w:rPr>
          <w:rFonts w:ascii="Calibri" w:hAnsi="Calibri" w:cs="Calibri"/>
          <w:color w:val="000000" w:themeColor="text1"/>
          <w:sz w:val="24"/>
          <w:szCs w:val="24"/>
          <w:lang w:val="fr-FR"/>
        </w:rPr>
        <w:t>*</w:t>
      </w:r>
    </w:p>
    <w:p w14:paraId="7DAE7C41" w14:textId="77777777" w:rsidR="0091164C" w:rsidRPr="00623045" w:rsidRDefault="0091164C" w:rsidP="001654C4">
      <w:pPr>
        <w:spacing w:after="0" w:line="240" w:lineRule="auto"/>
        <w:contextualSpacing/>
        <w:jc w:val="both"/>
        <w:rPr>
          <w:rFonts w:ascii="Calibri" w:hAnsi="Calibri" w:cs="Calibri"/>
          <w:color w:val="000000" w:themeColor="text1"/>
          <w:sz w:val="24"/>
          <w:szCs w:val="24"/>
          <w:lang w:val="fr-FR"/>
        </w:rPr>
      </w:pPr>
    </w:p>
    <w:p w14:paraId="2CC1B9F0" w14:textId="1315A474" w:rsidR="00865DF6" w:rsidRPr="00623045" w:rsidRDefault="003B1C27" w:rsidP="001654C4">
      <w:pPr>
        <w:spacing w:after="0" w:line="240" w:lineRule="auto"/>
        <w:contextualSpacing/>
        <w:jc w:val="both"/>
        <w:rPr>
          <w:rFonts w:ascii="Calibri" w:hAnsi="Calibri" w:cs="Calibri"/>
          <w:color w:val="000000" w:themeColor="text1"/>
          <w:sz w:val="24"/>
          <w:szCs w:val="24"/>
        </w:rPr>
      </w:pPr>
      <w:r w:rsidRPr="003B1C27">
        <w:rPr>
          <w:rFonts w:ascii="Calibri" w:hAnsi="Calibri" w:cs="Calibri"/>
          <w:color w:val="000000" w:themeColor="text1"/>
          <w:sz w:val="24"/>
          <w:szCs w:val="24"/>
          <w:vertAlign w:val="superscript"/>
        </w:rPr>
        <w:t>1</w:t>
      </w:r>
      <w:r w:rsidR="00865DF6" w:rsidRPr="00623045">
        <w:rPr>
          <w:rFonts w:ascii="Calibri" w:hAnsi="Calibri" w:cs="Calibri"/>
          <w:color w:val="000000" w:themeColor="text1"/>
          <w:sz w:val="24"/>
          <w:szCs w:val="24"/>
        </w:rPr>
        <w:t>INSERM U1149, Center of Research on Inflammation, Université Paris Cité, Paris, France</w:t>
      </w:r>
    </w:p>
    <w:p w14:paraId="1F06F625" w14:textId="72327B8C" w:rsidR="00865DF6" w:rsidRPr="00623045" w:rsidRDefault="00865DF6" w:rsidP="001654C4">
      <w:pPr>
        <w:spacing w:after="0" w:line="240" w:lineRule="auto"/>
        <w:contextualSpacing/>
        <w:jc w:val="both"/>
        <w:rPr>
          <w:rFonts w:ascii="Calibri" w:hAnsi="Calibri" w:cs="Calibri"/>
          <w:color w:val="212121"/>
          <w:sz w:val="24"/>
          <w:szCs w:val="24"/>
          <w:shd w:val="clear" w:color="auto" w:fill="FFFFFF"/>
        </w:rPr>
      </w:pPr>
      <w:r w:rsidRPr="00623045">
        <w:rPr>
          <w:rFonts w:ascii="Calibri" w:hAnsi="Calibri" w:cs="Calibri"/>
          <w:color w:val="212121"/>
          <w:sz w:val="24"/>
          <w:szCs w:val="24"/>
          <w:shd w:val="clear" w:color="auto" w:fill="FFFFFF"/>
          <w:vertAlign w:val="superscript"/>
        </w:rPr>
        <w:t>2</w:t>
      </w:r>
      <w:r w:rsidRPr="00623045">
        <w:rPr>
          <w:rFonts w:ascii="Calibri" w:hAnsi="Calibri" w:cs="Calibri"/>
          <w:color w:val="212121"/>
          <w:sz w:val="24"/>
          <w:szCs w:val="24"/>
          <w:shd w:val="clear" w:color="auto" w:fill="FFFFFF"/>
        </w:rPr>
        <w:t xml:space="preserve">CHRU Nancy, IHU Infiny, Nancy, </w:t>
      </w:r>
      <w:r w:rsidR="0091164C" w:rsidRPr="00623045">
        <w:rPr>
          <w:rFonts w:ascii="Calibri" w:hAnsi="Calibri" w:cs="Calibri"/>
          <w:color w:val="212121"/>
          <w:sz w:val="24"/>
          <w:szCs w:val="24"/>
          <w:shd w:val="clear" w:color="auto" w:fill="FFFFFF"/>
        </w:rPr>
        <w:t>France</w:t>
      </w:r>
    </w:p>
    <w:p w14:paraId="13E3EDB0" w14:textId="77777777" w:rsidR="0091164C" w:rsidRPr="00623045" w:rsidRDefault="0091164C" w:rsidP="001654C4">
      <w:pPr>
        <w:spacing w:after="0" w:line="240" w:lineRule="auto"/>
        <w:contextualSpacing/>
        <w:jc w:val="both"/>
        <w:rPr>
          <w:rFonts w:ascii="Calibri" w:hAnsi="Calibri" w:cs="Calibri"/>
          <w:color w:val="212121"/>
          <w:sz w:val="24"/>
          <w:szCs w:val="24"/>
          <w:shd w:val="clear" w:color="auto" w:fill="FFFFFF"/>
        </w:rPr>
      </w:pPr>
    </w:p>
    <w:p w14:paraId="72FA8893" w14:textId="4152AF3F" w:rsidR="0091164C" w:rsidRPr="00623045" w:rsidRDefault="0091164C" w:rsidP="001654C4">
      <w:pPr>
        <w:spacing w:after="0" w:line="240" w:lineRule="auto"/>
        <w:contextualSpacing/>
        <w:jc w:val="both"/>
        <w:rPr>
          <w:rFonts w:ascii="Calibri" w:hAnsi="Calibri" w:cs="Calibri"/>
          <w:color w:val="212121"/>
          <w:sz w:val="24"/>
          <w:szCs w:val="24"/>
          <w:shd w:val="clear" w:color="auto" w:fill="FFFFFF"/>
        </w:rPr>
      </w:pPr>
      <w:r w:rsidRPr="00623045">
        <w:rPr>
          <w:rFonts w:ascii="Calibri" w:hAnsi="Calibri" w:cs="Calibri"/>
          <w:color w:val="212121"/>
          <w:sz w:val="24"/>
          <w:szCs w:val="24"/>
          <w:shd w:val="clear" w:color="auto" w:fill="FFFFFF"/>
        </w:rPr>
        <w:t xml:space="preserve">Email addresses </w:t>
      </w:r>
      <w:r w:rsidR="00005CCC" w:rsidRPr="00623045">
        <w:rPr>
          <w:rFonts w:ascii="Calibri" w:hAnsi="Calibri" w:cs="Calibri"/>
          <w:color w:val="212121"/>
          <w:sz w:val="24"/>
          <w:szCs w:val="24"/>
          <w:shd w:val="clear" w:color="auto" w:fill="FFFFFF"/>
        </w:rPr>
        <w:t>of the co-authors:</w:t>
      </w:r>
    </w:p>
    <w:p w14:paraId="2CB44DBF" w14:textId="6492D312" w:rsidR="00DE21A8" w:rsidRPr="00623045" w:rsidRDefault="00DE21A8" w:rsidP="001654C4">
      <w:pPr>
        <w:spacing w:after="0" w:line="240" w:lineRule="auto"/>
        <w:contextualSpacing/>
        <w:jc w:val="both"/>
        <w:rPr>
          <w:rFonts w:ascii="Calibri" w:hAnsi="Calibri" w:cs="Calibri"/>
          <w:color w:val="000000" w:themeColor="text1"/>
          <w:sz w:val="24"/>
          <w:szCs w:val="24"/>
          <w:lang w:val="fr-FR"/>
        </w:rPr>
      </w:pPr>
      <w:r w:rsidRPr="00623045">
        <w:rPr>
          <w:rFonts w:ascii="Calibri" w:hAnsi="Calibri" w:cs="Calibri"/>
          <w:color w:val="000000" w:themeColor="text1"/>
          <w:sz w:val="24"/>
          <w:szCs w:val="24"/>
          <w:lang w:val="fr-FR"/>
        </w:rPr>
        <w:t>Louis BERTHET</w:t>
      </w:r>
      <w:r w:rsidR="00D60FA2" w:rsidRPr="00623045">
        <w:rPr>
          <w:rFonts w:ascii="Calibri" w:hAnsi="Calibri" w:cs="Calibri"/>
          <w:color w:val="000000" w:themeColor="text1"/>
          <w:sz w:val="24"/>
          <w:szCs w:val="24"/>
          <w:lang w:val="fr-FR"/>
        </w:rPr>
        <w:tab/>
      </w:r>
      <w:r w:rsidR="00D60FA2" w:rsidRPr="00623045">
        <w:rPr>
          <w:rFonts w:ascii="Calibri" w:hAnsi="Calibri" w:cs="Calibri"/>
          <w:color w:val="000000" w:themeColor="text1"/>
          <w:sz w:val="24"/>
          <w:szCs w:val="24"/>
          <w:lang w:val="fr-FR"/>
        </w:rPr>
        <w:tab/>
        <w:t>(</w:t>
      </w:r>
      <w:hyperlink r:id="rId6" w:history="1">
        <w:r w:rsidR="00D60FA2" w:rsidRPr="00623045">
          <w:rPr>
            <w:rStyle w:val="Hyperlink"/>
            <w:rFonts w:ascii="Calibri" w:hAnsi="Calibri" w:cs="Calibri"/>
            <w:sz w:val="24"/>
            <w:szCs w:val="24"/>
            <w:lang w:val="fr-FR"/>
          </w:rPr>
          <w:t>louis.berthet@inserm.fr</w:t>
        </w:r>
      </w:hyperlink>
      <w:r w:rsidR="00D60FA2" w:rsidRPr="00623045">
        <w:rPr>
          <w:rFonts w:ascii="Calibri" w:hAnsi="Calibri" w:cs="Calibri"/>
          <w:sz w:val="24"/>
          <w:szCs w:val="24"/>
          <w:lang w:val="fr-FR"/>
        </w:rPr>
        <w:t>)</w:t>
      </w:r>
    </w:p>
    <w:p w14:paraId="3FAE551F" w14:textId="08C402B0" w:rsidR="00DE21A8" w:rsidRPr="00623045" w:rsidRDefault="00DE21A8" w:rsidP="001654C4">
      <w:pPr>
        <w:spacing w:after="0" w:line="240" w:lineRule="auto"/>
        <w:contextualSpacing/>
        <w:jc w:val="both"/>
        <w:rPr>
          <w:rFonts w:ascii="Calibri" w:hAnsi="Calibri" w:cs="Calibri"/>
          <w:color w:val="000000" w:themeColor="text1"/>
          <w:sz w:val="24"/>
          <w:szCs w:val="24"/>
          <w:lang w:val="fr-FR"/>
        </w:rPr>
      </w:pPr>
      <w:r w:rsidRPr="00623045">
        <w:rPr>
          <w:rFonts w:ascii="Calibri" w:hAnsi="Calibri" w:cs="Calibri"/>
          <w:color w:val="000000" w:themeColor="text1"/>
          <w:sz w:val="24"/>
          <w:szCs w:val="24"/>
          <w:lang w:val="fr-FR"/>
        </w:rPr>
        <w:t>Camille TARDIVEAU</w:t>
      </w:r>
      <w:r w:rsidR="00D60FA2" w:rsidRPr="00623045">
        <w:rPr>
          <w:rFonts w:ascii="Calibri" w:hAnsi="Calibri" w:cs="Calibri"/>
          <w:color w:val="000000" w:themeColor="text1"/>
          <w:sz w:val="24"/>
          <w:szCs w:val="24"/>
          <w:lang w:val="fr-FR"/>
        </w:rPr>
        <w:tab/>
      </w:r>
      <w:r w:rsidR="00D60FA2" w:rsidRPr="00623045">
        <w:rPr>
          <w:rFonts w:ascii="Calibri" w:hAnsi="Calibri" w:cs="Calibri"/>
          <w:color w:val="000000" w:themeColor="text1"/>
          <w:sz w:val="24"/>
          <w:szCs w:val="24"/>
          <w:lang w:val="fr-FR"/>
        </w:rPr>
        <w:tab/>
        <w:t>(</w:t>
      </w:r>
      <w:hyperlink r:id="rId7" w:history="1">
        <w:r w:rsidR="00D60FA2" w:rsidRPr="00623045">
          <w:rPr>
            <w:rStyle w:val="Hyperlink"/>
            <w:rFonts w:ascii="Calibri" w:hAnsi="Calibri" w:cs="Calibri"/>
            <w:sz w:val="24"/>
            <w:szCs w:val="24"/>
            <w:lang w:val="fr-FR"/>
          </w:rPr>
          <w:t>camille.tardiveau@inserm.fr</w:t>
        </w:r>
      </w:hyperlink>
      <w:r w:rsidR="00D60FA2" w:rsidRPr="00623045">
        <w:rPr>
          <w:rFonts w:ascii="Calibri" w:hAnsi="Calibri" w:cs="Calibri"/>
          <w:sz w:val="24"/>
          <w:szCs w:val="24"/>
          <w:lang w:val="fr-FR"/>
        </w:rPr>
        <w:t>)</w:t>
      </w:r>
    </w:p>
    <w:p w14:paraId="178E0601" w14:textId="345BE218" w:rsidR="00DE21A8" w:rsidRPr="00623045" w:rsidRDefault="00DE21A8" w:rsidP="001654C4">
      <w:pPr>
        <w:spacing w:after="0" w:line="240" w:lineRule="auto"/>
        <w:contextualSpacing/>
        <w:jc w:val="both"/>
        <w:rPr>
          <w:rFonts w:ascii="Calibri" w:hAnsi="Calibri" w:cs="Calibri"/>
          <w:color w:val="000000" w:themeColor="text1"/>
          <w:sz w:val="24"/>
          <w:szCs w:val="24"/>
        </w:rPr>
      </w:pPr>
      <w:r w:rsidRPr="00623045">
        <w:rPr>
          <w:rFonts w:ascii="Calibri" w:hAnsi="Calibri" w:cs="Calibri"/>
          <w:color w:val="000000" w:themeColor="text1"/>
          <w:sz w:val="24"/>
          <w:szCs w:val="24"/>
        </w:rPr>
        <w:t>Maryline ROY</w:t>
      </w:r>
      <w:r w:rsidR="00D60FA2" w:rsidRPr="00623045">
        <w:rPr>
          <w:rFonts w:ascii="Calibri" w:hAnsi="Calibri" w:cs="Calibri"/>
          <w:color w:val="000000" w:themeColor="text1"/>
          <w:sz w:val="24"/>
          <w:szCs w:val="24"/>
        </w:rPr>
        <w:tab/>
      </w:r>
      <w:r w:rsidR="00D60FA2" w:rsidRPr="00623045">
        <w:rPr>
          <w:rFonts w:ascii="Calibri" w:hAnsi="Calibri" w:cs="Calibri"/>
          <w:color w:val="000000" w:themeColor="text1"/>
          <w:sz w:val="24"/>
          <w:szCs w:val="24"/>
        </w:rPr>
        <w:tab/>
      </w:r>
      <w:r w:rsidR="00D60FA2" w:rsidRPr="00623045">
        <w:rPr>
          <w:rFonts w:ascii="Calibri" w:hAnsi="Calibri" w:cs="Calibri"/>
          <w:color w:val="000000" w:themeColor="text1"/>
          <w:sz w:val="24"/>
          <w:szCs w:val="24"/>
        </w:rPr>
        <w:tab/>
        <w:t>(</w:t>
      </w:r>
      <w:hyperlink r:id="rId8" w:history="1">
        <w:r w:rsidR="00D60FA2" w:rsidRPr="00623045">
          <w:rPr>
            <w:rStyle w:val="Hyperlink"/>
            <w:rFonts w:ascii="Calibri" w:hAnsi="Calibri" w:cs="Calibri"/>
            <w:sz w:val="24"/>
            <w:szCs w:val="24"/>
          </w:rPr>
          <w:t>maryline.roy@inserm.fr</w:t>
        </w:r>
      </w:hyperlink>
      <w:r w:rsidR="00D60FA2" w:rsidRPr="00623045">
        <w:rPr>
          <w:rFonts w:ascii="Calibri" w:hAnsi="Calibri" w:cs="Calibri"/>
          <w:sz w:val="24"/>
          <w:szCs w:val="24"/>
        </w:rPr>
        <w:t>)</w:t>
      </w:r>
    </w:p>
    <w:p w14:paraId="26D8E758" w14:textId="77777777" w:rsidR="00DE21A8" w:rsidRPr="00623045" w:rsidRDefault="00DE21A8" w:rsidP="001654C4">
      <w:pPr>
        <w:spacing w:after="0" w:line="240" w:lineRule="auto"/>
        <w:contextualSpacing/>
        <w:jc w:val="both"/>
        <w:rPr>
          <w:rFonts w:ascii="Calibri" w:hAnsi="Calibri" w:cs="Calibri"/>
          <w:color w:val="000000" w:themeColor="text1"/>
          <w:sz w:val="24"/>
          <w:szCs w:val="24"/>
        </w:rPr>
      </w:pPr>
    </w:p>
    <w:p w14:paraId="2F2F71D6" w14:textId="71087D98" w:rsidR="00DE21A8" w:rsidRPr="00623045" w:rsidRDefault="00D60FA2" w:rsidP="001654C4">
      <w:pPr>
        <w:spacing w:after="0" w:line="240" w:lineRule="auto"/>
        <w:contextualSpacing/>
        <w:jc w:val="both"/>
        <w:rPr>
          <w:rFonts w:ascii="Calibri" w:hAnsi="Calibri" w:cs="Calibri"/>
          <w:color w:val="000000" w:themeColor="text1"/>
          <w:sz w:val="24"/>
          <w:szCs w:val="24"/>
        </w:rPr>
      </w:pPr>
      <w:r w:rsidRPr="00623045">
        <w:rPr>
          <w:rFonts w:ascii="Calibri" w:hAnsi="Calibri" w:cs="Calibri"/>
          <w:color w:val="000000" w:themeColor="text1"/>
          <w:sz w:val="24"/>
          <w:szCs w:val="24"/>
        </w:rPr>
        <w:t>*</w:t>
      </w:r>
      <w:r w:rsidR="00DE21A8" w:rsidRPr="00623045">
        <w:rPr>
          <w:rFonts w:ascii="Calibri" w:hAnsi="Calibri" w:cs="Calibri"/>
          <w:color w:val="000000" w:themeColor="text1"/>
          <w:sz w:val="24"/>
          <w:szCs w:val="24"/>
        </w:rPr>
        <w:t>Email address of the corres</w:t>
      </w:r>
      <w:r w:rsidR="009E0FEE" w:rsidRPr="00623045">
        <w:rPr>
          <w:rFonts w:ascii="Calibri" w:hAnsi="Calibri" w:cs="Calibri"/>
          <w:color w:val="000000" w:themeColor="text1"/>
          <w:sz w:val="24"/>
          <w:szCs w:val="24"/>
        </w:rPr>
        <w:t>ponding author:</w:t>
      </w:r>
    </w:p>
    <w:p w14:paraId="0DB48032" w14:textId="6805C005" w:rsidR="009E0FEE" w:rsidRPr="00623045" w:rsidRDefault="009E0FEE" w:rsidP="001654C4">
      <w:pPr>
        <w:spacing w:after="0" w:line="240" w:lineRule="auto"/>
        <w:contextualSpacing/>
        <w:jc w:val="both"/>
        <w:rPr>
          <w:rFonts w:ascii="Calibri" w:hAnsi="Calibri" w:cs="Calibri"/>
          <w:color w:val="212121"/>
          <w:sz w:val="24"/>
          <w:szCs w:val="24"/>
          <w:shd w:val="clear" w:color="auto" w:fill="FFFFFF"/>
          <w:lang w:val="fr-FR"/>
        </w:rPr>
      </w:pPr>
      <w:r w:rsidRPr="00623045">
        <w:rPr>
          <w:rFonts w:ascii="Calibri" w:hAnsi="Calibri" w:cs="Calibri"/>
          <w:color w:val="000000" w:themeColor="text1"/>
          <w:sz w:val="24"/>
          <w:szCs w:val="24"/>
          <w:lang w:val="fr-FR"/>
        </w:rPr>
        <w:t>Émilie VIENNOIS</w:t>
      </w:r>
      <w:r w:rsidR="00D60FA2" w:rsidRPr="00623045">
        <w:rPr>
          <w:rFonts w:ascii="Calibri" w:hAnsi="Calibri" w:cs="Calibri"/>
          <w:color w:val="000000" w:themeColor="text1"/>
          <w:sz w:val="24"/>
          <w:szCs w:val="24"/>
          <w:lang w:val="fr-FR"/>
        </w:rPr>
        <w:tab/>
      </w:r>
      <w:r w:rsidR="00D60FA2" w:rsidRPr="00623045">
        <w:rPr>
          <w:rFonts w:ascii="Calibri" w:hAnsi="Calibri" w:cs="Calibri"/>
          <w:color w:val="000000" w:themeColor="text1"/>
          <w:sz w:val="24"/>
          <w:szCs w:val="24"/>
          <w:lang w:val="fr-FR"/>
        </w:rPr>
        <w:tab/>
        <w:t>(</w:t>
      </w:r>
      <w:hyperlink r:id="rId9" w:history="1">
        <w:r w:rsidR="00D60FA2" w:rsidRPr="00623045">
          <w:rPr>
            <w:rStyle w:val="Hyperlink"/>
            <w:rFonts w:ascii="Calibri" w:hAnsi="Calibri" w:cs="Calibri"/>
            <w:sz w:val="24"/>
            <w:szCs w:val="24"/>
            <w:lang w:val="fr-FR"/>
          </w:rPr>
          <w:t>emilie.viennois@inserm.fr</w:t>
        </w:r>
      </w:hyperlink>
      <w:r w:rsidR="00D60FA2" w:rsidRPr="00623045">
        <w:rPr>
          <w:rFonts w:ascii="Calibri" w:hAnsi="Calibri" w:cs="Calibri"/>
          <w:sz w:val="24"/>
          <w:szCs w:val="24"/>
          <w:lang w:val="fr-FR"/>
        </w:rPr>
        <w:t>)</w:t>
      </w:r>
    </w:p>
    <w:p w14:paraId="20C16045" w14:textId="77777777" w:rsidR="00DE21A8" w:rsidRPr="00623045" w:rsidRDefault="00DE21A8" w:rsidP="001654C4">
      <w:pPr>
        <w:spacing w:after="0" w:line="240" w:lineRule="auto"/>
        <w:contextualSpacing/>
        <w:jc w:val="both"/>
        <w:rPr>
          <w:rFonts w:ascii="Calibri" w:hAnsi="Calibri" w:cs="Calibri"/>
          <w:color w:val="212121"/>
          <w:sz w:val="24"/>
          <w:szCs w:val="24"/>
          <w:shd w:val="clear" w:color="auto" w:fill="FFFFFF"/>
          <w:lang w:val="fr-FR"/>
        </w:rPr>
      </w:pPr>
    </w:p>
    <w:p w14:paraId="1B1C2E49" w14:textId="50FC52CA" w:rsidR="00F91637" w:rsidRPr="00583970" w:rsidRDefault="00D515A7" w:rsidP="001654C4">
      <w:pPr>
        <w:spacing w:after="0" w:line="240" w:lineRule="auto"/>
        <w:jc w:val="both"/>
        <w:rPr>
          <w:rFonts w:ascii="Calibri" w:hAnsi="Calibri" w:cs="Calibri"/>
          <w:sz w:val="24"/>
          <w:szCs w:val="24"/>
        </w:rPr>
      </w:pPr>
      <w:r w:rsidRPr="00583970">
        <w:rPr>
          <w:rFonts w:ascii="Calibri" w:hAnsi="Calibri" w:cs="Calibri"/>
          <w:b/>
          <w:bCs/>
          <w:sz w:val="24"/>
          <w:szCs w:val="24"/>
        </w:rPr>
        <w:t>SUMMARY:</w:t>
      </w:r>
      <w:r w:rsidR="006004CF" w:rsidRPr="00583970">
        <w:rPr>
          <w:rFonts w:ascii="Calibri" w:hAnsi="Calibri" w:cs="Calibri"/>
          <w:b/>
          <w:bCs/>
          <w:sz w:val="24"/>
          <w:szCs w:val="24"/>
        </w:rPr>
        <w:br/>
      </w:r>
      <w:r w:rsidR="00F91637" w:rsidRPr="00583970">
        <w:rPr>
          <w:rFonts w:ascii="Calibri" w:hAnsi="Calibri" w:cs="Calibri"/>
          <w:sz w:val="24"/>
          <w:szCs w:val="24"/>
        </w:rPr>
        <w:t xml:space="preserve">This article describes: (1) oral gavage delivery of test molecules to neonatal mice </w:t>
      </w:r>
      <w:r w:rsidR="00A00B28" w:rsidRPr="00583970">
        <w:rPr>
          <w:rFonts w:ascii="Calibri" w:hAnsi="Calibri" w:cs="Calibri"/>
          <w:sz w:val="24"/>
          <w:szCs w:val="24"/>
        </w:rPr>
        <w:t>as early as</w:t>
      </w:r>
      <w:r w:rsidR="00F91637" w:rsidRPr="00583970">
        <w:rPr>
          <w:rFonts w:ascii="Calibri" w:hAnsi="Calibri" w:cs="Calibri"/>
          <w:sz w:val="24"/>
          <w:szCs w:val="24"/>
        </w:rPr>
        <w:t xml:space="preserve"> DOL 6; and (2) </w:t>
      </w:r>
      <w:r w:rsidR="00F91637" w:rsidRPr="00350463">
        <w:rPr>
          <w:rFonts w:ascii="Calibri" w:hAnsi="Calibri" w:cs="Calibri"/>
          <w:i/>
          <w:iCs/>
          <w:sz w:val="24"/>
          <w:szCs w:val="24"/>
        </w:rPr>
        <w:t>ex vivo</w:t>
      </w:r>
      <w:r w:rsidR="00F91637" w:rsidRPr="00583970">
        <w:rPr>
          <w:rFonts w:ascii="Calibri" w:hAnsi="Calibri" w:cs="Calibri"/>
          <w:sz w:val="24"/>
          <w:szCs w:val="24"/>
        </w:rPr>
        <w:t xml:space="preserve"> evaluation of colonic epithelial barrier function</w:t>
      </w:r>
      <w:r w:rsidR="00A00B28" w:rsidRPr="00583970">
        <w:rPr>
          <w:rFonts w:ascii="Calibri" w:hAnsi="Calibri" w:cs="Calibri"/>
          <w:sz w:val="24"/>
          <w:szCs w:val="24"/>
        </w:rPr>
        <w:t xml:space="preserve"> in</w:t>
      </w:r>
      <w:r w:rsidR="00F91637" w:rsidRPr="00583970">
        <w:rPr>
          <w:rFonts w:ascii="Calibri" w:hAnsi="Calibri" w:cs="Calibri"/>
          <w:sz w:val="24"/>
          <w:szCs w:val="24"/>
        </w:rPr>
        <w:t xml:space="preserve"> biopsies</w:t>
      </w:r>
      <w:r w:rsidR="00A00B28" w:rsidRPr="00583970">
        <w:rPr>
          <w:rFonts w:ascii="Calibri" w:hAnsi="Calibri" w:cs="Calibri"/>
          <w:sz w:val="24"/>
          <w:szCs w:val="24"/>
        </w:rPr>
        <w:t xml:space="preserve"> from DOL 10 to weaning </w:t>
      </w:r>
      <w:r w:rsidR="00802F31" w:rsidRPr="00583970">
        <w:rPr>
          <w:rFonts w:ascii="Calibri" w:hAnsi="Calibri" w:cs="Calibri"/>
          <w:sz w:val="24"/>
          <w:szCs w:val="24"/>
        </w:rPr>
        <w:t xml:space="preserve">(DOL 20) </w:t>
      </w:r>
      <w:r w:rsidR="00A00B28" w:rsidRPr="00583970">
        <w:rPr>
          <w:rFonts w:ascii="Calibri" w:hAnsi="Calibri" w:cs="Calibri"/>
          <w:sz w:val="24"/>
          <w:szCs w:val="24"/>
        </w:rPr>
        <w:t>pups</w:t>
      </w:r>
      <w:r w:rsidR="00F91637" w:rsidRPr="00583970">
        <w:rPr>
          <w:rFonts w:ascii="Calibri" w:hAnsi="Calibri" w:cs="Calibri"/>
          <w:sz w:val="24"/>
          <w:szCs w:val="24"/>
        </w:rPr>
        <w:t xml:space="preserve"> by assessing paracellular and transcellular permeability with Ussing chambers.</w:t>
      </w:r>
    </w:p>
    <w:p w14:paraId="03EF7688" w14:textId="77777777" w:rsidR="00FC561F" w:rsidRPr="00583970" w:rsidRDefault="00FC561F" w:rsidP="001654C4">
      <w:pPr>
        <w:spacing w:after="0" w:line="240" w:lineRule="auto"/>
        <w:jc w:val="both"/>
        <w:rPr>
          <w:rFonts w:ascii="Calibri" w:hAnsi="Calibri" w:cs="Calibri"/>
          <w:sz w:val="24"/>
          <w:szCs w:val="24"/>
        </w:rPr>
      </w:pPr>
    </w:p>
    <w:p w14:paraId="1F194B9E" w14:textId="7550D8FB" w:rsidR="000C0328" w:rsidRPr="00583970" w:rsidRDefault="00D515A7" w:rsidP="001654C4">
      <w:pPr>
        <w:spacing w:after="0" w:line="240" w:lineRule="auto"/>
        <w:jc w:val="both"/>
        <w:rPr>
          <w:rFonts w:ascii="Calibri" w:hAnsi="Calibri" w:cs="Calibri"/>
          <w:sz w:val="24"/>
          <w:szCs w:val="24"/>
        </w:rPr>
      </w:pPr>
      <w:r w:rsidRPr="00583970">
        <w:rPr>
          <w:rFonts w:ascii="Calibri" w:hAnsi="Calibri" w:cs="Calibri"/>
          <w:b/>
          <w:bCs/>
          <w:sz w:val="24"/>
          <w:szCs w:val="24"/>
        </w:rPr>
        <w:t>ABSTRACT:</w:t>
      </w:r>
      <w:r w:rsidR="000C0328" w:rsidRPr="00583970">
        <w:rPr>
          <w:rFonts w:ascii="Calibri" w:hAnsi="Calibri" w:cs="Calibri"/>
          <w:sz w:val="24"/>
          <w:szCs w:val="24"/>
        </w:rPr>
        <w:br/>
        <w:t>Growing evidence underscores the importance of the first 1,000 days of life in shaping the gut</w:t>
      </w:r>
      <w:r w:rsidR="0022690D">
        <w:rPr>
          <w:rFonts w:ascii="Calibri" w:hAnsi="Calibri" w:cs="Calibri"/>
          <w:sz w:val="24"/>
          <w:szCs w:val="24"/>
        </w:rPr>
        <w:t>-</w:t>
      </w:r>
      <w:r w:rsidR="000C0328" w:rsidRPr="00583970">
        <w:rPr>
          <w:rFonts w:ascii="Calibri" w:hAnsi="Calibri" w:cs="Calibri"/>
          <w:sz w:val="24"/>
          <w:szCs w:val="24"/>
        </w:rPr>
        <w:t xml:space="preserve">microbiome axis. This early-life window is critical in the establishment of long-term physiological trajectories and immunological adaptations, potentially influencing susceptibility to diseases linked to dysbiosis and barrier dysfunction. A deeper understanding of the underlying mechanisms requires </w:t>
      </w:r>
      <w:r w:rsidR="0022690D">
        <w:rPr>
          <w:rFonts w:ascii="Calibri" w:hAnsi="Calibri" w:cs="Calibri"/>
          <w:sz w:val="24"/>
          <w:szCs w:val="24"/>
        </w:rPr>
        <w:t xml:space="preserve">a </w:t>
      </w:r>
      <w:r w:rsidR="000C0328" w:rsidRPr="00583970">
        <w:rPr>
          <w:rFonts w:ascii="Calibri" w:hAnsi="Calibri" w:cs="Calibri"/>
          <w:sz w:val="24"/>
          <w:szCs w:val="24"/>
        </w:rPr>
        <w:t>comprehensive assessment of key physiological parameters, including paracellular and transcellular permeability of the neonatal gut. Evaluating these parameters is essential to elucidate how early exposures to exogenous molecules may influence gut integrity and long-term health outcomes.</w:t>
      </w:r>
      <w:r w:rsidR="008B18C8" w:rsidRPr="00583970">
        <w:rPr>
          <w:rFonts w:ascii="Calibri" w:hAnsi="Calibri" w:cs="Calibri"/>
          <w:sz w:val="24"/>
          <w:szCs w:val="24"/>
        </w:rPr>
        <w:t xml:space="preserve"> </w:t>
      </w:r>
      <w:r w:rsidR="000C0328" w:rsidRPr="00583970">
        <w:rPr>
          <w:rFonts w:ascii="Calibri" w:hAnsi="Calibri" w:cs="Calibri"/>
          <w:sz w:val="24"/>
          <w:szCs w:val="24"/>
        </w:rPr>
        <w:t xml:space="preserve">Therefore, the first </w:t>
      </w:r>
      <w:r w:rsidR="00B45BC1" w:rsidRPr="00583970">
        <w:rPr>
          <w:rFonts w:ascii="Calibri" w:hAnsi="Calibri" w:cs="Calibri"/>
          <w:sz w:val="24"/>
          <w:szCs w:val="24"/>
        </w:rPr>
        <w:t>part of this</w:t>
      </w:r>
      <w:r w:rsidR="000C0328" w:rsidRPr="00583970">
        <w:rPr>
          <w:rFonts w:ascii="Calibri" w:hAnsi="Calibri" w:cs="Calibri"/>
          <w:sz w:val="24"/>
          <w:szCs w:val="24"/>
        </w:rPr>
        <w:t xml:space="preserve"> article </w:t>
      </w:r>
      <w:r w:rsidR="00865DF6" w:rsidRPr="00583970">
        <w:rPr>
          <w:rFonts w:ascii="Calibri" w:hAnsi="Calibri" w:cs="Calibri"/>
          <w:sz w:val="24"/>
          <w:szCs w:val="24"/>
        </w:rPr>
        <w:t>describes</w:t>
      </w:r>
      <w:r w:rsidR="000C0328" w:rsidRPr="00583970">
        <w:rPr>
          <w:rFonts w:ascii="Calibri" w:hAnsi="Calibri" w:cs="Calibri"/>
          <w:sz w:val="24"/>
          <w:szCs w:val="24"/>
        </w:rPr>
        <w:t xml:space="preserve"> the oral administration of molecules of interest in mouse pups as early as day of life 6, while minimizing stress, risk of injury, and cannibalism. Lubricated, rounded-tip 24</w:t>
      </w:r>
      <w:r w:rsidR="00B61631" w:rsidRPr="00583970">
        <w:rPr>
          <w:rFonts w:ascii="Calibri" w:hAnsi="Calibri" w:cs="Calibri"/>
          <w:sz w:val="24"/>
          <w:szCs w:val="24"/>
        </w:rPr>
        <w:t>-</w:t>
      </w:r>
      <w:r w:rsidR="00E5719B">
        <w:rPr>
          <w:rFonts w:ascii="Calibri" w:hAnsi="Calibri" w:cs="Calibri"/>
          <w:sz w:val="24"/>
          <w:szCs w:val="24"/>
        </w:rPr>
        <w:t>G</w:t>
      </w:r>
      <w:r w:rsidR="000C0328" w:rsidRPr="00583970">
        <w:rPr>
          <w:rFonts w:ascii="Calibri" w:hAnsi="Calibri" w:cs="Calibri"/>
          <w:sz w:val="24"/>
          <w:szCs w:val="24"/>
        </w:rPr>
        <w:t xml:space="preserve"> feeding needles are used to gavage mouse pups weighing a minimum of 2</w:t>
      </w:r>
      <w:r w:rsidR="00E5719B">
        <w:rPr>
          <w:rFonts w:ascii="Calibri" w:hAnsi="Calibri" w:cs="Calibri"/>
          <w:sz w:val="24"/>
          <w:szCs w:val="24"/>
        </w:rPr>
        <w:t>.</w:t>
      </w:r>
      <w:r w:rsidR="000C0328" w:rsidRPr="00583970">
        <w:rPr>
          <w:rFonts w:ascii="Calibri" w:hAnsi="Calibri" w:cs="Calibri"/>
          <w:sz w:val="24"/>
          <w:szCs w:val="24"/>
        </w:rPr>
        <w:t>5 g.</w:t>
      </w:r>
      <w:r w:rsidR="008B18C8" w:rsidRPr="00583970">
        <w:rPr>
          <w:rFonts w:ascii="Calibri" w:hAnsi="Calibri" w:cs="Calibri"/>
          <w:sz w:val="24"/>
          <w:szCs w:val="24"/>
        </w:rPr>
        <w:t xml:space="preserve"> </w:t>
      </w:r>
      <w:r w:rsidR="000C0328" w:rsidRPr="00583970">
        <w:rPr>
          <w:rFonts w:ascii="Calibri" w:hAnsi="Calibri" w:cs="Calibri"/>
          <w:sz w:val="24"/>
          <w:szCs w:val="24"/>
        </w:rPr>
        <w:t xml:space="preserve">The second </w:t>
      </w:r>
      <w:r w:rsidR="00B45BC1" w:rsidRPr="00583970">
        <w:rPr>
          <w:rFonts w:ascii="Calibri" w:hAnsi="Calibri" w:cs="Calibri"/>
          <w:sz w:val="24"/>
          <w:szCs w:val="24"/>
        </w:rPr>
        <w:t xml:space="preserve">part </w:t>
      </w:r>
      <w:r w:rsidR="00865DF6" w:rsidRPr="00583970">
        <w:rPr>
          <w:rFonts w:ascii="Calibri" w:hAnsi="Calibri" w:cs="Calibri"/>
          <w:sz w:val="24"/>
          <w:szCs w:val="24"/>
        </w:rPr>
        <w:t>outlines</w:t>
      </w:r>
      <w:r w:rsidR="000C0328" w:rsidRPr="00583970">
        <w:rPr>
          <w:rFonts w:ascii="Calibri" w:hAnsi="Calibri" w:cs="Calibri"/>
          <w:sz w:val="24"/>
          <w:szCs w:val="24"/>
        </w:rPr>
        <w:t xml:space="preserve"> the </w:t>
      </w:r>
      <w:r w:rsidR="000C0328" w:rsidRPr="00583970">
        <w:rPr>
          <w:rFonts w:ascii="Calibri" w:hAnsi="Calibri" w:cs="Calibri"/>
          <w:i/>
          <w:iCs/>
          <w:sz w:val="24"/>
          <w:szCs w:val="24"/>
        </w:rPr>
        <w:t>ex vivo</w:t>
      </w:r>
      <w:r w:rsidR="000C0328" w:rsidRPr="00583970">
        <w:rPr>
          <w:rFonts w:ascii="Calibri" w:hAnsi="Calibri" w:cs="Calibri"/>
          <w:sz w:val="24"/>
          <w:szCs w:val="24"/>
        </w:rPr>
        <w:t xml:space="preserve"> assessment of paracellular and transcellular permeability using Ussing chamber assays on colonic samples from pups</w:t>
      </w:r>
      <w:r w:rsidR="00FC30A8" w:rsidRPr="00583970">
        <w:rPr>
          <w:rFonts w:ascii="Calibri" w:hAnsi="Calibri" w:cs="Calibri"/>
          <w:sz w:val="24"/>
          <w:szCs w:val="24"/>
        </w:rPr>
        <w:t xml:space="preserve"> between DOL-10 and weaning</w:t>
      </w:r>
      <w:r w:rsidR="000C0328" w:rsidRPr="00583970">
        <w:rPr>
          <w:rFonts w:ascii="Calibri" w:hAnsi="Calibri" w:cs="Calibri"/>
          <w:sz w:val="24"/>
          <w:szCs w:val="24"/>
        </w:rPr>
        <w:t xml:space="preserve">. </w:t>
      </w:r>
      <w:r w:rsidR="00AB08E7" w:rsidRPr="00583970">
        <w:rPr>
          <w:rFonts w:ascii="Calibri" w:hAnsi="Calibri" w:cs="Calibri"/>
          <w:sz w:val="24"/>
          <w:szCs w:val="24"/>
        </w:rPr>
        <w:t>P</w:t>
      </w:r>
      <w:r w:rsidR="00846387" w:rsidRPr="00583970">
        <w:rPr>
          <w:rFonts w:ascii="Calibri" w:hAnsi="Calibri" w:cs="Calibri"/>
          <w:sz w:val="24"/>
          <w:szCs w:val="24"/>
        </w:rPr>
        <w:t xml:space="preserve">inless </w:t>
      </w:r>
      <w:r w:rsidR="000C0328" w:rsidRPr="00583970">
        <w:rPr>
          <w:rFonts w:ascii="Calibri" w:hAnsi="Calibri" w:cs="Calibri"/>
          <w:sz w:val="24"/>
          <w:szCs w:val="24"/>
        </w:rPr>
        <w:t>sliders</w:t>
      </w:r>
      <w:r w:rsidR="00846387" w:rsidRPr="00583970">
        <w:rPr>
          <w:rFonts w:ascii="Calibri" w:hAnsi="Calibri" w:cs="Calibri"/>
          <w:sz w:val="24"/>
          <w:szCs w:val="24"/>
        </w:rPr>
        <w:t xml:space="preserve"> </w:t>
      </w:r>
      <w:r w:rsidR="004337DD" w:rsidRPr="00583970">
        <w:rPr>
          <w:rFonts w:ascii="Calibri" w:hAnsi="Calibri" w:cs="Calibri"/>
          <w:sz w:val="24"/>
          <w:szCs w:val="24"/>
        </w:rPr>
        <w:t xml:space="preserve">adapted </w:t>
      </w:r>
      <w:r w:rsidR="00846387" w:rsidRPr="00583970">
        <w:rPr>
          <w:rFonts w:ascii="Calibri" w:hAnsi="Calibri" w:cs="Calibri"/>
          <w:sz w:val="24"/>
          <w:szCs w:val="24"/>
        </w:rPr>
        <w:t>for small biopsies</w:t>
      </w:r>
      <w:r w:rsidR="000C0328" w:rsidRPr="00583970">
        <w:rPr>
          <w:rFonts w:ascii="Calibri" w:hAnsi="Calibri" w:cs="Calibri"/>
          <w:sz w:val="24"/>
          <w:szCs w:val="24"/>
        </w:rPr>
        <w:t xml:space="preserve"> are used in combination with </w:t>
      </w:r>
      <w:r w:rsidR="00846387" w:rsidRPr="00583970">
        <w:rPr>
          <w:rFonts w:ascii="Calibri" w:hAnsi="Calibri" w:cs="Calibri"/>
          <w:sz w:val="24"/>
          <w:szCs w:val="24"/>
        </w:rPr>
        <w:t>Ussing</w:t>
      </w:r>
      <w:r w:rsidR="000C0328" w:rsidRPr="00583970">
        <w:rPr>
          <w:rFonts w:ascii="Calibri" w:hAnsi="Calibri" w:cs="Calibri"/>
          <w:sz w:val="24"/>
          <w:szCs w:val="24"/>
        </w:rPr>
        <w:t xml:space="preserve"> chambers to mount neonatal colonic samples. The paracellular probe FITC-Dextran 4 kDa and the transcellular marker horseradish peroxidase 4</w:t>
      </w:r>
      <w:r w:rsidR="00D744D3" w:rsidRPr="00583970">
        <w:rPr>
          <w:rFonts w:ascii="Calibri" w:hAnsi="Calibri" w:cs="Calibri"/>
          <w:sz w:val="24"/>
          <w:szCs w:val="24"/>
        </w:rPr>
        <w:t>4</w:t>
      </w:r>
      <w:r w:rsidR="000C0328" w:rsidRPr="00583970">
        <w:rPr>
          <w:rFonts w:ascii="Calibri" w:hAnsi="Calibri" w:cs="Calibri"/>
          <w:sz w:val="24"/>
          <w:szCs w:val="24"/>
        </w:rPr>
        <w:t xml:space="preserve"> kDa Type VI are added to the </w:t>
      </w:r>
      <w:r w:rsidR="002C2F41" w:rsidRPr="00583970">
        <w:rPr>
          <w:rFonts w:ascii="Calibri" w:hAnsi="Calibri" w:cs="Calibri"/>
          <w:sz w:val="24"/>
          <w:szCs w:val="24"/>
        </w:rPr>
        <w:t>apical</w:t>
      </w:r>
      <w:r w:rsidR="000C0328" w:rsidRPr="00583970">
        <w:rPr>
          <w:rFonts w:ascii="Calibri" w:hAnsi="Calibri" w:cs="Calibri"/>
          <w:sz w:val="24"/>
          <w:szCs w:val="24"/>
        </w:rPr>
        <w:t xml:space="preserve"> </w:t>
      </w:r>
      <w:r w:rsidR="002C2F41" w:rsidRPr="00583970">
        <w:rPr>
          <w:rFonts w:ascii="Calibri" w:hAnsi="Calibri" w:cs="Calibri"/>
          <w:sz w:val="24"/>
          <w:szCs w:val="24"/>
        </w:rPr>
        <w:t>compartment of the system</w:t>
      </w:r>
      <w:r w:rsidR="000C0328" w:rsidRPr="00583970">
        <w:rPr>
          <w:rFonts w:ascii="Calibri" w:hAnsi="Calibri" w:cs="Calibri"/>
          <w:sz w:val="24"/>
          <w:szCs w:val="24"/>
        </w:rPr>
        <w:t xml:space="preserve"> at the start of the assay. Samples are collected </w:t>
      </w:r>
      <w:r w:rsidR="002C2F41" w:rsidRPr="00583970">
        <w:rPr>
          <w:rFonts w:ascii="Calibri" w:hAnsi="Calibri" w:cs="Calibri"/>
          <w:sz w:val="24"/>
          <w:szCs w:val="24"/>
        </w:rPr>
        <w:t>in the basolateral compartment</w:t>
      </w:r>
      <w:r w:rsidR="000C0328" w:rsidRPr="00583970">
        <w:rPr>
          <w:rFonts w:ascii="Calibri" w:hAnsi="Calibri" w:cs="Calibri"/>
          <w:sz w:val="24"/>
          <w:szCs w:val="24"/>
        </w:rPr>
        <w:t xml:space="preserve"> at 0</w:t>
      </w:r>
      <w:r w:rsidR="00E5719B">
        <w:rPr>
          <w:rFonts w:ascii="Calibri" w:hAnsi="Calibri" w:cs="Calibri"/>
          <w:sz w:val="24"/>
          <w:szCs w:val="24"/>
        </w:rPr>
        <w:t xml:space="preserve"> min</w:t>
      </w:r>
      <w:r w:rsidR="000C0328" w:rsidRPr="00583970">
        <w:rPr>
          <w:rFonts w:ascii="Calibri" w:hAnsi="Calibri" w:cs="Calibri"/>
          <w:sz w:val="24"/>
          <w:szCs w:val="24"/>
        </w:rPr>
        <w:t>, 30</w:t>
      </w:r>
      <w:r w:rsidR="00E5719B">
        <w:rPr>
          <w:rFonts w:ascii="Calibri" w:hAnsi="Calibri" w:cs="Calibri"/>
          <w:sz w:val="24"/>
          <w:szCs w:val="24"/>
        </w:rPr>
        <w:t xml:space="preserve"> min</w:t>
      </w:r>
      <w:r w:rsidR="000C0328" w:rsidRPr="00583970">
        <w:rPr>
          <w:rFonts w:ascii="Calibri" w:hAnsi="Calibri" w:cs="Calibri"/>
          <w:sz w:val="24"/>
          <w:szCs w:val="24"/>
        </w:rPr>
        <w:t>, 60</w:t>
      </w:r>
      <w:r w:rsidR="00E5719B">
        <w:rPr>
          <w:rFonts w:ascii="Calibri" w:hAnsi="Calibri" w:cs="Calibri"/>
          <w:sz w:val="24"/>
          <w:szCs w:val="24"/>
        </w:rPr>
        <w:t xml:space="preserve"> min</w:t>
      </w:r>
      <w:r w:rsidR="000C0328" w:rsidRPr="00583970">
        <w:rPr>
          <w:rFonts w:ascii="Calibri" w:hAnsi="Calibri" w:cs="Calibri"/>
          <w:sz w:val="24"/>
          <w:szCs w:val="24"/>
        </w:rPr>
        <w:t>, 90</w:t>
      </w:r>
      <w:r w:rsidR="00E5719B">
        <w:rPr>
          <w:rFonts w:ascii="Calibri" w:hAnsi="Calibri" w:cs="Calibri"/>
          <w:sz w:val="24"/>
          <w:szCs w:val="24"/>
        </w:rPr>
        <w:t xml:space="preserve"> min</w:t>
      </w:r>
      <w:r w:rsidR="000C0328" w:rsidRPr="00583970">
        <w:rPr>
          <w:rFonts w:ascii="Calibri" w:hAnsi="Calibri" w:cs="Calibri"/>
          <w:sz w:val="24"/>
          <w:szCs w:val="24"/>
        </w:rPr>
        <w:t xml:space="preserve">, and 120 min to quantify probe passage. The passage of both markers is quantified directly (FITC) and indirectly (HRP) by a </w:t>
      </w:r>
      <w:r w:rsidR="00AB08E7" w:rsidRPr="00583970">
        <w:rPr>
          <w:rFonts w:ascii="Calibri" w:hAnsi="Calibri" w:cs="Calibri"/>
          <w:sz w:val="24"/>
          <w:szCs w:val="24"/>
        </w:rPr>
        <w:t>plate reader</w:t>
      </w:r>
      <w:r w:rsidR="000C0328" w:rsidRPr="00583970">
        <w:rPr>
          <w:rFonts w:ascii="Calibri" w:hAnsi="Calibri" w:cs="Calibri"/>
          <w:sz w:val="24"/>
          <w:szCs w:val="24"/>
        </w:rPr>
        <w:t>, calculated using standard curves</w:t>
      </w:r>
      <w:r w:rsidR="00C07536">
        <w:rPr>
          <w:rFonts w:ascii="Calibri" w:hAnsi="Calibri" w:cs="Calibri"/>
          <w:sz w:val="24"/>
          <w:szCs w:val="24"/>
        </w:rPr>
        <w:t>,</w:t>
      </w:r>
      <w:r w:rsidR="000C0328" w:rsidRPr="00583970">
        <w:rPr>
          <w:rFonts w:ascii="Calibri" w:hAnsi="Calibri" w:cs="Calibri"/>
          <w:sz w:val="24"/>
          <w:szCs w:val="24"/>
        </w:rPr>
        <w:t xml:space="preserve"> and expressed as </w:t>
      </w:r>
      <w:r w:rsidR="00702B58" w:rsidRPr="00583970">
        <w:rPr>
          <w:rFonts w:ascii="Calibri" w:hAnsi="Calibri" w:cs="Calibri"/>
          <w:sz w:val="24"/>
          <w:szCs w:val="24"/>
        </w:rPr>
        <w:t>flux</w:t>
      </w:r>
      <w:r w:rsidR="000C0328" w:rsidRPr="00583970">
        <w:rPr>
          <w:rFonts w:ascii="Calibri" w:hAnsi="Calibri" w:cs="Calibri"/>
          <w:sz w:val="24"/>
          <w:szCs w:val="24"/>
        </w:rPr>
        <w:t>.</w:t>
      </w:r>
    </w:p>
    <w:p w14:paraId="048275C4" w14:textId="77777777" w:rsidR="008B18C8" w:rsidRPr="00583970" w:rsidRDefault="008B18C8" w:rsidP="001654C4">
      <w:pPr>
        <w:spacing w:after="0" w:line="240" w:lineRule="auto"/>
        <w:jc w:val="both"/>
        <w:rPr>
          <w:rFonts w:ascii="Calibri" w:hAnsi="Calibri" w:cs="Calibri"/>
          <w:sz w:val="24"/>
          <w:szCs w:val="24"/>
        </w:rPr>
      </w:pPr>
    </w:p>
    <w:p w14:paraId="5634DDC4" w14:textId="1B58F62D" w:rsidR="00E15C3E" w:rsidRPr="00583970" w:rsidRDefault="00D515A7" w:rsidP="001654C4">
      <w:pPr>
        <w:spacing w:after="0" w:line="240" w:lineRule="auto"/>
        <w:jc w:val="both"/>
        <w:rPr>
          <w:rFonts w:ascii="Calibri" w:hAnsi="Calibri" w:cs="Calibri"/>
          <w:sz w:val="24"/>
          <w:szCs w:val="24"/>
        </w:rPr>
      </w:pPr>
      <w:r w:rsidRPr="00583970">
        <w:rPr>
          <w:rFonts w:ascii="Calibri" w:hAnsi="Calibri" w:cs="Calibri"/>
          <w:b/>
          <w:bCs/>
          <w:sz w:val="24"/>
          <w:szCs w:val="24"/>
        </w:rPr>
        <w:lastRenderedPageBreak/>
        <w:t>INTRODUCTION:</w:t>
      </w:r>
      <w:r w:rsidR="00F8022B" w:rsidRPr="00583970">
        <w:rPr>
          <w:rFonts w:ascii="Calibri" w:hAnsi="Calibri" w:cs="Calibri"/>
          <w:b/>
          <w:bCs/>
          <w:sz w:val="24"/>
          <w:szCs w:val="24"/>
        </w:rPr>
        <w:br/>
      </w:r>
      <w:r w:rsidR="00A40F6E" w:rsidRPr="00583970">
        <w:rPr>
          <w:rFonts w:ascii="Calibri" w:hAnsi="Calibri" w:cs="Calibri"/>
          <w:sz w:val="24"/>
          <w:szCs w:val="24"/>
        </w:rPr>
        <w:t>Gut barrier integrity plays a fundamental role in maintaining overall health by</w:t>
      </w:r>
      <w:r w:rsidR="00E15C3E" w:rsidRPr="00583970">
        <w:rPr>
          <w:rFonts w:ascii="Calibri" w:hAnsi="Calibri" w:cs="Calibri"/>
          <w:sz w:val="24"/>
          <w:szCs w:val="24"/>
        </w:rPr>
        <w:t xml:space="preserve"> coordinating mucosal immune response and</w:t>
      </w:r>
      <w:r w:rsidR="00A40F6E" w:rsidRPr="00583970">
        <w:rPr>
          <w:rFonts w:ascii="Calibri" w:hAnsi="Calibri" w:cs="Calibri"/>
          <w:sz w:val="24"/>
          <w:szCs w:val="24"/>
        </w:rPr>
        <w:t xml:space="preserve"> regulating the selective permeability of the intestinal epithelium</w:t>
      </w:r>
      <w:r w:rsidR="00E15C3E" w:rsidRPr="00583970">
        <w:rPr>
          <w:rFonts w:ascii="Calibri" w:hAnsi="Calibri" w:cs="Calibri"/>
          <w:sz w:val="24"/>
          <w:szCs w:val="24"/>
        </w:rPr>
        <w:t>.</w:t>
      </w:r>
      <w:r w:rsidR="00A40F6E" w:rsidRPr="00583970">
        <w:rPr>
          <w:rFonts w:ascii="Calibri" w:hAnsi="Calibri" w:cs="Calibri"/>
          <w:sz w:val="24"/>
          <w:szCs w:val="24"/>
        </w:rPr>
        <w:t xml:space="preserve"> </w:t>
      </w:r>
      <w:r w:rsidR="00E15C3E" w:rsidRPr="00583970">
        <w:rPr>
          <w:rFonts w:ascii="Calibri" w:hAnsi="Calibri" w:cs="Calibri"/>
          <w:sz w:val="24"/>
          <w:szCs w:val="24"/>
        </w:rPr>
        <w:t>Thi</w:t>
      </w:r>
      <w:r w:rsidR="00A40F6E" w:rsidRPr="00583970">
        <w:rPr>
          <w:rFonts w:ascii="Calibri" w:hAnsi="Calibri" w:cs="Calibri"/>
          <w:sz w:val="24"/>
          <w:szCs w:val="24"/>
        </w:rPr>
        <w:t>s</w:t>
      </w:r>
      <w:r w:rsidR="00E15C3E" w:rsidRPr="00583970">
        <w:rPr>
          <w:rFonts w:ascii="Calibri" w:hAnsi="Calibri" w:cs="Calibri"/>
          <w:sz w:val="24"/>
          <w:szCs w:val="24"/>
        </w:rPr>
        <w:t xml:space="preserve"> barrier system</w:t>
      </w:r>
      <w:r w:rsidR="00A40F6E" w:rsidRPr="00583970">
        <w:rPr>
          <w:rFonts w:ascii="Calibri" w:hAnsi="Calibri" w:cs="Calibri"/>
          <w:sz w:val="24"/>
          <w:szCs w:val="24"/>
        </w:rPr>
        <w:t xml:space="preserve"> </w:t>
      </w:r>
      <w:r w:rsidR="00E15C3E" w:rsidRPr="00583970">
        <w:rPr>
          <w:rFonts w:ascii="Calibri" w:hAnsi="Calibri" w:cs="Calibri"/>
          <w:sz w:val="24"/>
          <w:szCs w:val="24"/>
        </w:rPr>
        <w:t>controls</w:t>
      </w:r>
      <w:r w:rsidR="00A40F6E" w:rsidRPr="00583970">
        <w:rPr>
          <w:rFonts w:ascii="Calibri" w:hAnsi="Calibri" w:cs="Calibri"/>
          <w:sz w:val="24"/>
          <w:szCs w:val="24"/>
        </w:rPr>
        <w:t xml:space="preserve"> the passage of nutrients while preventing the translocation </w:t>
      </w:r>
      <w:r w:rsidR="00E15C3E" w:rsidRPr="00583970">
        <w:rPr>
          <w:rFonts w:ascii="Calibri" w:hAnsi="Calibri" w:cs="Calibri"/>
          <w:sz w:val="24"/>
          <w:szCs w:val="24"/>
        </w:rPr>
        <w:t>of pathogens, antigens, and toxins into systemic circulation</w:t>
      </w:r>
      <w:r w:rsidR="00247969" w:rsidRPr="00583970">
        <w:rPr>
          <w:rFonts w:ascii="Calibri" w:hAnsi="Calibri" w:cs="Calibri"/>
          <w:sz w:val="24"/>
          <w:szCs w:val="24"/>
        </w:rPr>
        <w:fldChar w:fldCharType="begin"/>
      </w:r>
      <w:r w:rsidR="00247969" w:rsidRPr="00583970">
        <w:rPr>
          <w:rFonts w:ascii="Calibri" w:hAnsi="Calibri" w:cs="Calibri"/>
          <w:sz w:val="24"/>
          <w:szCs w:val="24"/>
        </w:rPr>
        <w:instrText xml:space="preserve"> ADDIN ZOTERO_ITEM CSL_CITATION {"citationID":"e46ppK5x","properties":{"formattedCitation":"\\super 1\\nosupersub{}","plainCitation":"1","noteIndex":0},"citationItems":[{"id":405,"uris":["http://zotero.org/users/local/MfNK0c4v/items/YT9TVF8P"],"itemData":{"id":405,"type":"article-journal","abstract":"The intestine is the largest interface between the internal body and the external environment. The intestinal barrier is a dynamic system influenced by the composition of the intestinal microbiome and the activity of intercellular connections, regulated by hormones, dietary components, inflammatory mediators, and the enteric nervous system (ENS). Over the years, it has become increasingly evident that maintaining a stable intestinal barrier is crucial to prevent various potentially harmful substances and pathogens from entering the internal environment. Disruption of the barrier is referred to as 'leaky gut' or leaky gut wall syndrome and seems to be characterized by the release of bacterial metabolites and endotoxins, such as lipopolysaccharide (LPS), into the circulation. This condition, mainly caused by bacterial infections, oxidative stress, high-fat diet, exposure to alcohol or chronic allergens, and dysbiosis, appear to be highly connected with the development and/or progression of several metabolic and autoimmune systemic diseases, including obesity, non-alcoholic fatty liver disease (NAFLD), neurodegeneration, cardiovascular disease, inflammatory bowel disease, and type 1 diabetes mellitus (T1D). In this review, starting from a description of the mechanisms that enable barrier homeostasis and analyzing the relationship between this complex ecosystem and various pathological conditions, we explore the role of the gut barrier in driving systemic inflammation, also shedding light on current and future therapeutic interventions.","container-title":"Internal and Emergency Medicine","DOI":"10.1007/s11739-023-03374-w","ISSN":"1970-9366","issue":"2","journalAbbreviation":"Intern Emerg Med","language":"eng","note":"PMID: 37505311\nPMCID: PMC10954893","page":"275-293","source":"PubMed","title":"Gut microbiota, intestinal permeability, and systemic inflammation: a narrative review","title-short":"Gut microbiota, intestinal permeability, and systemic inflammation","volume":"19","author":[{"family":"Di Vincenzo","given":"Federica"},{"family":"Del Gaudio","given":"Angelo"},{"family":"Petito","given":"Valentina"},{"family":"Lopetuso","given":"Loris Riccardo"},{"family":"Scaldaferri","given":"Franco"}],"issued":{"date-parts":[["2024",3]]}}}],"schema":"https://github.com/citation-style-language/schema/raw/master/csl-citation.json"} </w:instrText>
      </w:r>
      <w:r w:rsidR="00247969" w:rsidRPr="00583970">
        <w:rPr>
          <w:rFonts w:ascii="Calibri" w:hAnsi="Calibri" w:cs="Calibri"/>
          <w:sz w:val="24"/>
          <w:szCs w:val="24"/>
        </w:rPr>
        <w:fldChar w:fldCharType="separate"/>
      </w:r>
      <w:r w:rsidR="00A65BA8" w:rsidRPr="00583970">
        <w:rPr>
          <w:rFonts w:ascii="Calibri" w:hAnsi="Calibri" w:cs="Calibri"/>
          <w:kern w:val="0"/>
          <w:sz w:val="24"/>
          <w:szCs w:val="24"/>
          <w:vertAlign w:val="superscript"/>
        </w:rPr>
        <w:t>1</w:t>
      </w:r>
      <w:r w:rsidR="00247969" w:rsidRPr="00583970">
        <w:rPr>
          <w:rFonts w:ascii="Calibri" w:hAnsi="Calibri" w:cs="Calibri"/>
          <w:sz w:val="24"/>
          <w:szCs w:val="24"/>
        </w:rPr>
        <w:fldChar w:fldCharType="end"/>
      </w:r>
      <w:r w:rsidR="00A40F6E" w:rsidRPr="00583970">
        <w:rPr>
          <w:rFonts w:ascii="Calibri" w:hAnsi="Calibri" w:cs="Calibri"/>
          <w:sz w:val="24"/>
          <w:szCs w:val="24"/>
        </w:rPr>
        <w:t xml:space="preserve">. </w:t>
      </w:r>
      <w:r w:rsidR="00904A28" w:rsidRPr="00583970">
        <w:rPr>
          <w:rFonts w:ascii="Calibri" w:hAnsi="Calibri" w:cs="Calibri"/>
          <w:sz w:val="24"/>
          <w:szCs w:val="24"/>
        </w:rPr>
        <w:t>Chronic d</w:t>
      </w:r>
      <w:r w:rsidR="00E15C3E" w:rsidRPr="00583970">
        <w:rPr>
          <w:rFonts w:ascii="Calibri" w:hAnsi="Calibri" w:cs="Calibri"/>
          <w:sz w:val="24"/>
          <w:szCs w:val="24"/>
        </w:rPr>
        <w:t>isruption of this interface</w:t>
      </w:r>
      <w:r w:rsidR="00092DBF" w:rsidRPr="00583970">
        <w:rPr>
          <w:rFonts w:ascii="Calibri" w:hAnsi="Calibri" w:cs="Calibri"/>
          <w:sz w:val="24"/>
          <w:szCs w:val="24"/>
        </w:rPr>
        <w:t>,</w:t>
      </w:r>
      <w:r w:rsidR="00E15C3E" w:rsidRPr="00583970">
        <w:rPr>
          <w:rFonts w:ascii="Calibri" w:hAnsi="Calibri" w:cs="Calibri"/>
          <w:sz w:val="24"/>
          <w:szCs w:val="24"/>
        </w:rPr>
        <w:t xml:space="preserve"> associated with increased intestinal </w:t>
      </w:r>
      <w:r w:rsidR="00904A28" w:rsidRPr="00583970">
        <w:rPr>
          <w:rFonts w:ascii="Calibri" w:hAnsi="Calibri" w:cs="Calibri"/>
          <w:sz w:val="24"/>
          <w:szCs w:val="24"/>
        </w:rPr>
        <w:t>permeability,</w:t>
      </w:r>
      <w:r w:rsidR="00E15C3E" w:rsidRPr="00583970">
        <w:rPr>
          <w:rFonts w:ascii="Calibri" w:hAnsi="Calibri" w:cs="Calibri"/>
          <w:sz w:val="24"/>
          <w:szCs w:val="24"/>
        </w:rPr>
        <w:t xml:space="preserve"> commonly referred to as “leaky gut”, is now </w:t>
      </w:r>
      <w:r w:rsidR="00A11E9C" w:rsidRPr="00583970">
        <w:rPr>
          <w:rFonts w:ascii="Calibri" w:hAnsi="Calibri" w:cs="Calibri"/>
          <w:sz w:val="24"/>
          <w:szCs w:val="24"/>
        </w:rPr>
        <w:t xml:space="preserve">identified </w:t>
      </w:r>
      <w:r w:rsidR="00E15C3E" w:rsidRPr="00583970">
        <w:rPr>
          <w:rFonts w:ascii="Calibri" w:hAnsi="Calibri" w:cs="Calibri"/>
          <w:sz w:val="24"/>
          <w:szCs w:val="24"/>
        </w:rPr>
        <w:t>not only as a consequence but also as a driver of chronic inflammatory states and a range of extra-intestinal pathologies</w:t>
      </w:r>
      <w:r w:rsidR="00247969" w:rsidRPr="00583970">
        <w:rPr>
          <w:rFonts w:ascii="Calibri" w:hAnsi="Calibri" w:cs="Calibri"/>
          <w:sz w:val="24"/>
          <w:szCs w:val="24"/>
        </w:rPr>
        <w:fldChar w:fldCharType="begin"/>
      </w:r>
      <w:r w:rsidR="00247969" w:rsidRPr="00583970">
        <w:rPr>
          <w:rFonts w:ascii="Calibri" w:hAnsi="Calibri" w:cs="Calibri"/>
          <w:sz w:val="24"/>
          <w:szCs w:val="24"/>
        </w:rPr>
        <w:instrText xml:space="preserve"> ADDIN ZOTERO_ITEM CSL_CITATION {"citationID":"gbkpthpE","properties":{"formattedCitation":"\\super 2\\nosupersub{}","plainCitation":"2","noteIndex":0},"citationItems":[{"id":409,"uris":["http://zotero.org/users/local/MfNK0c4v/items/NBFYWTH8"],"itemData":{"id":409,"type":"article-journal","abstract":"The intestinal epithelial lining, together with factors secreted from it, forms a barrier that separates the host from the environment. In pathologic conditions, the permeability of the epithelial lining may be compromised allowing the passage of toxins, antigens, and bacteria in the lumen to enter the blood stream creating a “leaky gut.” In individuals with a genetic predisposition, a leaky gut may allow environmental factors to enter the body and trigger the initiation and development of autoimmune disease. Growing evidence shows that the gut microbiota is important in supporting the epithelial barrier and therefore plays a key role in the regulation of environmental factors that enter the body. Several recent reports have shown that probiotics can reverse the leaky gut by enhancing the production of tight junction proteins; however, additional and longer-term studies are still required. Conversely, pathogenic bacteria that can facilitate a leaky gut and induce autoimmune symptoms can be ameliorated with the use of antibiotic treatment. Therefore, it is hypothesized that modulating the gut microbiota can serve as a potential method for regulating intestinal permeability and may help to alter the course of autoimmune diseases in susceptible individuals.","container-title":"Frontiers in Immunology","DOI":"10.3389/fimmu.2017.00598","ISSN":"1664-3224","journalAbbreviation":"Front. Immunol.","language":"English","note":"publisher: Frontiers","source":"Frontiers","title":"Leaky Gut As a Danger Signal for Autoimmune Diseases","URL":"https://www.frontiersin.org/journals/immunology/articles/10.3389/fimmu.2017.00598/full","volume":"8","author":[{"family":"Mu","given":"Qinghui"},{"family":"Kirby","given":"Jay"},{"family":"Reilly","given":"Christopher M."},{"family":"Luo","given":"Xin M."}],"accessed":{"date-parts":[["2025",9,4]]},"issued":{"date-parts":[["2017",5,23]]}}}],"schema":"https://github.com/citation-style-language/schema/raw/master/csl-citation.json"} </w:instrText>
      </w:r>
      <w:r w:rsidR="00247969" w:rsidRPr="00583970">
        <w:rPr>
          <w:rFonts w:ascii="Calibri" w:hAnsi="Calibri" w:cs="Calibri"/>
          <w:sz w:val="24"/>
          <w:szCs w:val="24"/>
        </w:rPr>
        <w:fldChar w:fldCharType="separate"/>
      </w:r>
      <w:r w:rsidR="00A65BA8" w:rsidRPr="00583970">
        <w:rPr>
          <w:rFonts w:ascii="Calibri" w:hAnsi="Calibri" w:cs="Calibri"/>
          <w:kern w:val="0"/>
          <w:sz w:val="24"/>
          <w:szCs w:val="24"/>
          <w:vertAlign w:val="superscript"/>
        </w:rPr>
        <w:t>2</w:t>
      </w:r>
      <w:r w:rsidR="00247969" w:rsidRPr="00583970">
        <w:rPr>
          <w:rFonts w:ascii="Calibri" w:hAnsi="Calibri" w:cs="Calibri"/>
          <w:sz w:val="24"/>
          <w:szCs w:val="24"/>
        </w:rPr>
        <w:fldChar w:fldCharType="end"/>
      </w:r>
      <w:r w:rsidR="00904A28" w:rsidRPr="00583970">
        <w:rPr>
          <w:rFonts w:ascii="Calibri" w:hAnsi="Calibri" w:cs="Calibri"/>
          <w:sz w:val="24"/>
          <w:szCs w:val="24"/>
        </w:rPr>
        <w:t>.</w:t>
      </w:r>
    </w:p>
    <w:p w14:paraId="619F4191" w14:textId="77777777" w:rsidR="00C36EEF" w:rsidRPr="00583970" w:rsidRDefault="00C36EEF" w:rsidP="001654C4">
      <w:pPr>
        <w:spacing w:after="0" w:line="240" w:lineRule="auto"/>
        <w:jc w:val="both"/>
        <w:rPr>
          <w:rFonts w:ascii="Calibri" w:hAnsi="Calibri" w:cs="Calibri"/>
          <w:sz w:val="24"/>
          <w:szCs w:val="24"/>
        </w:rPr>
      </w:pPr>
    </w:p>
    <w:p w14:paraId="4D4A03AD" w14:textId="2EE350F5" w:rsidR="00A40F6E" w:rsidRPr="00583970" w:rsidRDefault="00A40F6E" w:rsidP="001654C4">
      <w:pPr>
        <w:spacing w:after="0" w:line="240" w:lineRule="auto"/>
        <w:jc w:val="both"/>
        <w:rPr>
          <w:rFonts w:ascii="Calibri" w:hAnsi="Calibri" w:cs="Calibri"/>
          <w:sz w:val="24"/>
          <w:szCs w:val="24"/>
        </w:rPr>
      </w:pPr>
      <w:r w:rsidRPr="00583970">
        <w:rPr>
          <w:rFonts w:ascii="Calibri" w:hAnsi="Calibri" w:cs="Calibri"/>
          <w:sz w:val="24"/>
          <w:szCs w:val="24"/>
        </w:rPr>
        <w:t>For instance, compromised gut barrier function</w:t>
      </w:r>
      <w:r w:rsidR="00E15C3E" w:rsidRPr="00583970">
        <w:rPr>
          <w:rFonts w:ascii="Calibri" w:hAnsi="Calibri" w:cs="Calibri"/>
          <w:sz w:val="24"/>
          <w:szCs w:val="24"/>
        </w:rPr>
        <w:t xml:space="preserve"> </w:t>
      </w:r>
      <w:r w:rsidRPr="00583970">
        <w:rPr>
          <w:rFonts w:ascii="Calibri" w:hAnsi="Calibri" w:cs="Calibri"/>
          <w:sz w:val="24"/>
          <w:szCs w:val="24"/>
        </w:rPr>
        <w:t xml:space="preserve">has been </w:t>
      </w:r>
      <w:r w:rsidR="0017079F" w:rsidRPr="00583970">
        <w:rPr>
          <w:rFonts w:ascii="Calibri" w:hAnsi="Calibri" w:cs="Calibri"/>
          <w:sz w:val="24"/>
          <w:szCs w:val="24"/>
        </w:rPr>
        <w:t>shown</w:t>
      </w:r>
      <w:r w:rsidRPr="00583970">
        <w:rPr>
          <w:rFonts w:ascii="Calibri" w:hAnsi="Calibri" w:cs="Calibri"/>
          <w:sz w:val="24"/>
          <w:szCs w:val="24"/>
        </w:rPr>
        <w:t xml:space="preserve"> to be a key component of autoimmune and metabolic disorders such as inflammatory bowel disease (IBD), juvenile idiopathic arthritis (JIA)</w:t>
      </w:r>
      <w:r w:rsidR="00145D1D">
        <w:rPr>
          <w:rFonts w:ascii="Calibri" w:hAnsi="Calibri" w:cs="Calibri"/>
          <w:sz w:val="24"/>
          <w:szCs w:val="24"/>
        </w:rPr>
        <w:t>,</w:t>
      </w:r>
      <w:r w:rsidRPr="00583970">
        <w:rPr>
          <w:rFonts w:ascii="Calibri" w:hAnsi="Calibri" w:cs="Calibri"/>
          <w:sz w:val="24"/>
          <w:szCs w:val="24"/>
        </w:rPr>
        <w:t xml:space="preserve"> and type 1 diabetes (T1D</w:t>
      </w:r>
      <w:r w:rsidR="00904A28" w:rsidRPr="00583970">
        <w:rPr>
          <w:rFonts w:ascii="Calibri" w:hAnsi="Calibri" w:cs="Calibri"/>
          <w:sz w:val="24"/>
          <w:szCs w:val="24"/>
        </w:rPr>
        <w:t xml:space="preserve">). </w:t>
      </w:r>
      <w:r w:rsidRPr="00583970">
        <w:rPr>
          <w:rFonts w:ascii="Calibri" w:hAnsi="Calibri" w:cs="Calibri"/>
          <w:sz w:val="24"/>
          <w:szCs w:val="24"/>
        </w:rPr>
        <w:t>This highlights the gut barrier</w:t>
      </w:r>
      <w:r w:rsidR="00143DFC" w:rsidRPr="00583970">
        <w:rPr>
          <w:rFonts w:ascii="Calibri" w:hAnsi="Calibri" w:cs="Calibri"/>
          <w:sz w:val="24"/>
          <w:szCs w:val="24"/>
        </w:rPr>
        <w:t xml:space="preserve"> state</w:t>
      </w:r>
      <w:r w:rsidRPr="00583970">
        <w:rPr>
          <w:rFonts w:ascii="Calibri" w:hAnsi="Calibri" w:cs="Calibri"/>
          <w:sz w:val="24"/>
          <w:szCs w:val="24"/>
        </w:rPr>
        <w:t xml:space="preserve"> as a key biomarker, but also as a therapeutic target to prevent</w:t>
      </w:r>
      <w:r w:rsidR="0017079F" w:rsidRPr="00583970">
        <w:rPr>
          <w:rFonts w:ascii="Calibri" w:hAnsi="Calibri" w:cs="Calibri"/>
          <w:sz w:val="24"/>
          <w:szCs w:val="24"/>
        </w:rPr>
        <w:t xml:space="preserve"> </w:t>
      </w:r>
      <w:r w:rsidR="007A02F3" w:rsidRPr="00583970">
        <w:rPr>
          <w:rFonts w:ascii="Calibri" w:hAnsi="Calibri" w:cs="Calibri"/>
          <w:sz w:val="24"/>
          <w:szCs w:val="24"/>
        </w:rPr>
        <w:t xml:space="preserve">the initiation of pathophysiological processes </w:t>
      </w:r>
      <w:r w:rsidR="0017079F" w:rsidRPr="00583970">
        <w:rPr>
          <w:rFonts w:ascii="Calibri" w:hAnsi="Calibri" w:cs="Calibri"/>
          <w:sz w:val="24"/>
          <w:szCs w:val="24"/>
        </w:rPr>
        <w:t>as early as possible and to prevent the progression of acute inflammation to a chronic state</w:t>
      </w:r>
      <w:r w:rsidR="00FC4F85" w:rsidRPr="00583970">
        <w:rPr>
          <w:rFonts w:ascii="Calibri" w:hAnsi="Calibri" w:cs="Calibri"/>
          <w:sz w:val="24"/>
          <w:szCs w:val="24"/>
          <w:vertAlign w:val="superscript"/>
        </w:rPr>
        <w:fldChar w:fldCharType="begin"/>
      </w:r>
      <w:r w:rsidR="00FC4F85" w:rsidRPr="00583970">
        <w:rPr>
          <w:rFonts w:ascii="Calibri" w:hAnsi="Calibri" w:cs="Calibri"/>
          <w:sz w:val="24"/>
          <w:szCs w:val="24"/>
          <w:vertAlign w:val="superscript"/>
        </w:rPr>
        <w:instrText xml:space="preserve"> ADDIN ZOTERO_ITEM CSL_CITATION {"citationID":"dq5PS3VU","properties":{"formattedCitation":"\\super 3\\nosupersub{}","plainCitation":"3","noteIndex":0},"citationItems":[{"id":411,"uris":["http://zotero.org/users/local/MfNK0c4v/items/LI9IUTXK"],"itemData":{"id":411,"type":"article-journal","abstract":"Low-grade intestinal inflammation and alterations of gut barrier integrity are found in patients affected by extraintestinal autoimmune diseases such as type 1 diabetes (T1D), but a direct causal link between enteropathy and triggering of autoimmunity is yet to be established. Here, we found that onset of autoimmunity in preclinical models of T1D is associated with alterations of the mucus layer structure and loss of gut barrier integrity. Importantly, we showed that breakage of the gut barrier integrity in BDC2.5XNOD mice carrying a transgenic T cell receptor (TCR) specific for a beta cell autoantigen leads to activation of islet-reactive T cells within the gut mucosa and onset of T1D. The intestinal activation of islet-reactive T cells requires the presence of gut microbiota and is abolished when mice are depleted of endogenous commensal microbiota by antibiotic treatment. Our results indicate that loss of gut barrier continuity can lead to activation of islet-specific T cells within the intestinal mucosa and to autoimmune diabetes and provide a strong rationale to design innovative therapeutic interventions in “at-risk” individuals aimed at restoring gut barrier integrity to prevent T1D occurrence.","container-title":"Proceedings of the National Academy of Sciences","DOI":"10.1073/pnas.1814558116","issue":"30","note":"publisher: Proceedings of the National Academy of Sciences","page":"15140-15149","source":"pnas.org (Atypon)","title":"Loss of gut barrier integrity triggers activation of islet-reactive T cells and autoimmune diabetes","volume":"116","author":[{"family":"Sorini","given":"Chiara"},{"family":"Cosorich","given":"Ilaria"},{"family":"Lo Conte","given":"Marta"},{"family":"De Giorgi","given":"Lorena"},{"family":"Facciotti","given":"Federica"},{"family":"Lucianò","given":"Roberta"},{"family":"Rocchi","given":"Martina"},{"family":"Ferrarese","given":"Roberto"},{"family":"Sanvito","given":"Francesca"},{"family":"Canducci","given":"Filippo"},{"family":"Falcone","given":"Marika"}],"issued":{"date-parts":[["2019",7,23]]}}}],"schema":"https://github.com/citation-style-language/schema/raw/master/csl-citation.json"} </w:instrText>
      </w:r>
      <w:r w:rsidR="00FC4F85" w:rsidRPr="00583970">
        <w:rPr>
          <w:rFonts w:ascii="Calibri" w:hAnsi="Calibri" w:cs="Calibri"/>
          <w:sz w:val="24"/>
          <w:szCs w:val="24"/>
          <w:vertAlign w:val="superscript"/>
        </w:rPr>
        <w:fldChar w:fldCharType="separate"/>
      </w:r>
      <w:r w:rsidR="00A65BA8" w:rsidRPr="00583970">
        <w:rPr>
          <w:rFonts w:ascii="Calibri" w:hAnsi="Calibri" w:cs="Calibri"/>
          <w:kern w:val="0"/>
          <w:sz w:val="24"/>
          <w:szCs w:val="24"/>
          <w:vertAlign w:val="superscript"/>
        </w:rPr>
        <w:t>3</w:t>
      </w:r>
      <w:r w:rsidR="00FC4F85" w:rsidRPr="00583970">
        <w:rPr>
          <w:rFonts w:ascii="Calibri" w:hAnsi="Calibri" w:cs="Calibri"/>
          <w:sz w:val="24"/>
          <w:szCs w:val="24"/>
          <w:vertAlign w:val="superscript"/>
        </w:rPr>
        <w:fldChar w:fldCharType="end"/>
      </w:r>
      <w:r w:rsidR="00145D1D">
        <w:rPr>
          <w:rFonts w:ascii="Calibri" w:hAnsi="Calibri" w:cs="Calibri"/>
          <w:sz w:val="24"/>
          <w:szCs w:val="24"/>
          <w:vertAlign w:val="superscript"/>
        </w:rPr>
        <w:t>–</w:t>
      </w:r>
      <w:r w:rsidR="00745317" w:rsidRPr="00583970">
        <w:rPr>
          <w:rFonts w:ascii="Calibri" w:hAnsi="Calibri" w:cs="Calibri"/>
          <w:sz w:val="24"/>
          <w:szCs w:val="24"/>
          <w:vertAlign w:val="superscript"/>
        </w:rPr>
        <w:fldChar w:fldCharType="begin"/>
      </w:r>
      <w:r w:rsidR="00745317" w:rsidRPr="00583970">
        <w:rPr>
          <w:rFonts w:ascii="Calibri" w:hAnsi="Calibri" w:cs="Calibri"/>
          <w:sz w:val="24"/>
          <w:szCs w:val="24"/>
          <w:vertAlign w:val="superscript"/>
        </w:rPr>
        <w:instrText xml:space="preserve"> ADDIN ZOTERO_ITEM CSL_CITATION {"citationID":"HIEZeuf9","properties":{"formattedCitation":"\\super 6\\nosupersub{}","plainCitation":"6","noteIndex":0},"citationItems":[{"id":420,"uris":["http://zotero.org/users/local/MfNK0c4v/items/JJEVDE49"],"itemData":{"id":420,"type":"article-journal","abstract":"The intestinal barrier is composed of several essential elements including luminal enzymes, bile acids, water layer, epithelial layer, and enterocyte layer. It acts as a dynamic interface between the luminal contents of food, commensal and pathogenic bacteria, and the gastrointestinal tract. The role of barrier dysfunction is of significant research interest in the development and targeted treatment of chronic inflammatory gastrointestinal conditions, such as inflammatory bowel disease. This review aims to examine the role of intestinal barrier dysfunction in the development of inflammatory bowel disease, the pathophysiology of increased barrier permeability in inflammatory bowel disease, and to explore potential treatment targets and clinical applications.","container-title":"Digestive diseases and sciences","DOI":"10.1007/s10620-023-08122-w","ISSN":"0163-2116","issue":"12","journalAbbreviation":"Dig Dis Sci","note":"PMID: 37773554\nPMCID: PMC10798146","page":"4306-4320","source":"PubMed Central","title":"Intestinal Barrier Dysfunction in Inflammatory Bowel Disease: Underpinning Pathogenesis and Therapeutics","title-short":"Intestinal Barrier Dysfunction in Inflammatory Bowel Disease","volume":"68","author":[{"family":"Dunleavy","given":"Katie A."},{"family":"Raffals","given":"Laura E."},{"family":"Camilleri","given":"Michael"}],"issued":{"date-parts":[["2023",12]]}}}],"schema":"https://github.com/citation-style-language/schema/raw/master/csl-citation.json"} </w:instrText>
      </w:r>
      <w:r w:rsidR="00745317" w:rsidRPr="00583970">
        <w:rPr>
          <w:rFonts w:ascii="Calibri" w:hAnsi="Calibri" w:cs="Calibri"/>
          <w:sz w:val="24"/>
          <w:szCs w:val="24"/>
          <w:vertAlign w:val="superscript"/>
        </w:rPr>
        <w:fldChar w:fldCharType="separate"/>
      </w:r>
      <w:r w:rsidR="00A65BA8" w:rsidRPr="00583970">
        <w:rPr>
          <w:rFonts w:ascii="Calibri" w:hAnsi="Calibri" w:cs="Calibri"/>
          <w:kern w:val="0"/>
          <w:sz w:val="24"/>
          <w:szCs w:val="24"/>
          <w:vertAlign w:val="superscript"/>
        </w:rPr>
        <w:t>6</w:t>
      </w:r>
      <w:r w:rsidR="00745317" w:rsidRPr="00583970">
        <w:rPr>
          <w:rFonts w:ascii="Calibri" w:hAnsi="Calibri" w:cs="Calibri"/>
          <w:sz w:val="24"/>
          <w:szCs w:val="24"/>
          <w:vertAlign w:val="superscript"/>
        </w:rPr>
        <w:fldChar w:fldCharType="end"/>
      </w:r>
      <w:r w:rsidR="0017079F" w:rsidRPr="00583970">
        <w:rPr>
          <w:rFonts w:ascii="Calibri" w:hAnsi="Calibri" w:cs="Calibri"/>
          <w:sz w:val="24"/>
          <w:szCs w:val="24"/>
        </w:rPr>
        <w:t>.</w:t>
      </w:r>
    </w:p>
    <w:p w14:paraId="1471332E" w14:textId="77777777" w:rsidR="00C36EEF" w:rsidRPr="00583970" w:rsidRDefault="00C36EEF" w:rsidP="001654C4">
      <w:pPr>
        <w:spacing w:after="0" w:line="240" w:lineRule="auto"/>
        <w:jc w:val="both"/>
        <w:rPr>
          <w:rFonts w:ascii="Calibri" w:hAnsi="Calibri" w:cs="Calibri"/>
          <w:sz w:val="24"/>
          <w:szCs w:val="24"/>
        </w:rPr>
      </w:pPr>
    </w:p>
    <w:p w14:paraId="2B7BDCCA" w14:textId="3890C4FD" w:rsidR="00A40F6E" w:rsidRPr="00583970" w:rsidRDefault="0017079F" w:rsidP="001654C4">
      <w:pPr>
        <w:spacing w:after="0" w:line="240" w:lineRule="auto"/>
        <w:jc w:val="both"/>
        <w:rPr>
          <w:rFonts w:ascii="Calibri" w:hAnsi="Calibri" w:cs="Calibri"/>
          <w:sz w:val="24"/>
          <w:szCs w:val="24"/>
        </w:rPr>
      </w:pPr>
      <w:r w:rsidRPr="00583970">
        <w:rPr>
          <w:rFonts w:ascii="Calibri" w:hAnsi="Calibri" w:cs="Calibri"/>
          <w:sz w:val="24"/>
          <w:szCs w:val="24"/>
        </w:rPr>
        <w:t>In this context, the neonatal period represents a unique and highly sensitive window of development during which the establishment and maturation of the gut</w:t>
      </w:r>
      <w:r w:rsidR="00CF5311" w:rsidRPr="00583970">
        <w:rPr>
          <w:rFonts w:ascii="Calibri" w:hAnsi="Calibri" w:cs="Calibri"/>
          <w:sz w:val="24"/>
          <w:szCs w:val="24"/>
        </w:rPr>
        <w:t>-</w:t>
      </w:r>
      <w:r w:rsidRPr="00583970">
        <w:rPr>
          <w:rFonts w:ascii="Calibri" w:hAnsi="Calibri" w:cs="Calibri"/>
          <w:sz w:val="24"/>
          <w:szCs w:val="24"/>
        </w:rPr>
        <w:t>microbiota interface profoundly influence lifelong intestinal and systemic health</w:t>
      </w:r>
      <w:r w:rsidR="00105603" w:rsidRPr="00583970">
        <w:rPr>
          <w:rFonts w:ascii="Calibri" w:hAnsi="Calibri" w:cs="Calibri"/>
          <w:b/>
          <w:bCs/>
          <w:sz w:val="24"/>
          <w:szCs w:val="24"/>
        </w:rPr>
        <w:fldChar w:fldCharType="begin"/>
      </w:r>
      <w:r w:rsidR="00105603" w:rsidRPr="00583970">
        <w:rPr>
          <w:rFonts w:ascii="Calibri" w:hAnsi="Calibri" w:cs="Calibri"/>
          <w:b/>
          <w:bCs/>
          <w:sz w:val="24"/>
          <w:szCs w:val="24"/>
        </w:rPr>
        <w:instrText xml:space="preserve"> ADDIN ZOTERO_ITEM CSL_CITATION {"citationID":"imrTnvNh","properties":{"formattedCitation":"\\super 7\\nosupersub{}","plainCitation":"7","noteIndex":0},"citationItems":[{"id":423,"uris":["http://zotero.org/users/local/MfNK0c4v/items/5ABT8NJV"],"itemData":{"id":423,"type":"article-journal","abstract":"The initial gut colonization of the infant plays a pivotal role in shaping the immune system, developing the intestinal tract, and influencing host metabolism, all of which are strongly influenced by several determinants, such as gestational age at birth, mode of delivery, neonatal feeding practices, early-life stress (ELS), and exposure to perinatal antibiotics. However, resulting gut microbiome (GM) dysbiosis may alter this developmental programming, leading to long-term adverse health outcomes. This narrative review synthesizes current knowledge on early-life GM development and its long-term impact on health. Specifically, it addresses how early-life GM dysbiosis may affect the trajectory of physiological processes, predisposing individuals to conditions such as allergic diseases, metabolic disorders, type 1 diabetes, inflammatory bowel disorders, and atherosclerotic cardiovascular diseases. In addition, it examines the influence of probiotic and prebiotic supplementation during pregnancy and early life in shaping infant GM composition, as well as the impact of ELS-induced GM dysbiosis on mental health. Recent research suggests that the early-life microbiota initiates long-lasting effects, and inadequate or insufficient microbial exposure triggers inflammatory responses associated with several physiological conditions. Although several studies have reported a connection between ELS and the GM during both prenatal and postnatal periods, a unified microbiome signature linked to either prenatal or postnatal stress remains to be fully elucidated. Thus, future studies are needed to establish causality and determine whether modifiable factors affecting the GM could be targeted to improve gut health, especially in children exposed to contextual stress or adverse conditions.","container-title":"Microbiome Research Reports","DOI":"10.20517/mrr.2024.78","ISSN":"2771-5965","issue":"2","journalAbbreviation":"Microbiome Res Rep","note":"PMID: 40852125\nPMCID: PMC12367470","page":"20","source":"PubMed Central","title":"Early-life gut microbiome development and its potential long-term impact on health outcomes","volume":"4","author":[{"family":"Borrego-Ruiz","given":"Alejandro"},{"family":"Borrego","given":"Juan J."}],"issued":{"date-parts":[["2025",4,17]]}}}],"schema":"https://github.com/citation-style-language/schema/raw/master/csl-citation.json"} </w:instrText>
      </w:r>
      <w:r w:rsidR="00105603" w:rsidRPr="00583970">
        <w:rPr>
          <w:rFonts w:ascii="Calibri" w:hAnsi="Calibri" w:cs="Calibri"/>
          <w:b/>
          <w:bCs/>
          <w:sz w:val="24"/>
          <w:szCs w:val="24"/>
        </w:rPr>
        <w:fldChar w:fldCharType="separate"/>
      </w:r>
      <w:r w:rsidR="00A65BA8" w:rsidRPr="00583970">
        <w:rPr>
          <w:rFonts w:ascii="Calibri" w:hAnsi="Calibri" w:cs="Calibri"/>
          <w:kern w:val="0"/>
          <w:sz w:val="24"/>
          <w:szCs w:val="24"/>
          <w:vertAlign w:val="superscript"/>
        </w:rPr>
        <w:t>7</w:t>
      </w:r>
      <w:r w:rsidR="00105603" w:rsidRPr="00583970">
        <w:rPr>
          <w:rFonts w:ascii="Calibri" w:hAnsi="Calibri" w:cs="Calibri"/>
          <w:b/>
          <w:bCs/>
          <w:sz w:val="24"/>
          <w:szCs w:val="24"/>
        </w:rPr>
        <w:fldChar w:fldCharType="end"/>
      </w:r>
      <w:r w:rsidRPr="00583970">
        <w:rPr>
          <w:rFonts w:ascii="Calibri" w:hAnsi="Calibri" w:cs="Calibri"/>
          <w:sz w:val="24"/>
          <w:szCs w:val="24"/>
        </w:rPr>
        <w:t xml:space="preserve">. </w:t>
      </w:r>
      <w:r w:rsidR="00A40F6E" w:rsidRPr="00583970">
        <w:rPr>
          <w:rFonts w:ascii="Calibri" w:hAnsi="Calibri" w:cs="Calibri"/>
          <w:sz w:val="24"/>
          <w:szCs w:val="24"/>
        </w:rPr>
        <w:t xml:space="preserve">At this early stage, the intestinal epithelium and immune system </w:t>
      </w:r>
      <w:r w:rsidR="00B87B16" w:rsidRPr="00583970">
        <w:rPr>
          <w:rFonts w:ascii="Calibri" w:hAnsi="Calibri" w:cs="Calibri"/>
          <w:sz w:val="24"/>
          <w:szCs w:val="24"/>
        </w:rPr>
        <w:t xml:space="preserve">display heightened sensitivity to </w:t>
      </w:r>
      <w:r w:rsidR="00296946" w:rsidRPr="00583970">
        <w:rPr>
          <w:rFonts w:ascii="Calibri" w:hAnsi="Calibri" w:cs="Calibri"/>
          <w:sz w:val="24"/>
          <w:szCs w:val="24"/>
        </w:rPr>
        <w:t>both endogenous and exogenous</w:t>
      </w:r>
      <w:r w:rsidR="00B87B16" w:rsidRPr="00583970">
        <w:rPr>
          <w:rFonts w:ascii="Calibri" w:hAnsi="Calibri" w:cs="Calibri"/>
          <w:sz w:val="24"/>
          <w:szCs w:val="24"/>
        </w:rPr>
        <w:t xml:space="preserve"> factors</w:t>
      </w:r>
      <w:r w:rsidR="00A40F6E" w:rsidRPr="00583970">
        <w:rPr>
          <w:rFonts w:ascii="Calibri" w:hAnsi="Calibri" w:cs="Calibri"/>
          <w:sz w:val="24"/>
          <w:szCs w:val="24"/>
        </w:rPr>
        <w:t xml:space="preserve">, undergoing rapid growth and differentiation while simultaneously adapting to microbial colonization and dietary changes. </w:t>
      </w:r>
      <w:r w:rsidR="000448EC" w:rsidRPr="00583970">
        <w:rPr>
          <w:rFonts w:ascii="Calibri" w:hAnsi="Calibri" w:cs="Calibri"/>
          <w:sz w:val="24"/>
          <w:szCs w:val="24"/>
        </w:rPr>
        <w:t>Disruptions impairing gut barrier integrity during this critical developmental window may play a pivotal role in the onset of a wide spectrum of acute and chronic disorders later in life. These conditions include immune-mediated diseases such as food allerg</w:t>
      </w:r>
      <w:r w:rsidR="00CF5311" w:rsidRPr="00583970">
        <w:rPr>
          <w:rFonts w:ascii="Calibri" w:hAnsi="Calibri" w:cs="Calibri"/>
          <w:sz w:val="24"/>
          <w:szCs w:val="24"/>
        </w:rPr>
        <w:t>y</w:t>
      </w:r>
      <w:r w:rsidR="00FA7EEF" w:rsidRPr="00583970">
        <w:rPr>
          <w:rFonts w:ascii="Calibri" w:hAnsi="Calibri" w:cs="Calibri"/>
          <w:sz w:val="24"/>
          <w:szCs w:val="24"/>
        </w:rPr>
        <w:t xml:space="preserve">, and </w:t>
      </w:r>
      <w:r w:rsidR="000448EC" w:rsidRPr="00583970">
        <w:rPr>
          <w:rFonts w:ascii="Calibri" w:hAnsi="Calibri" w:cs="Calibri"/>
          <w:sz w:val="24"/>
          <w:szCs w:val="24"/>
        </w:rPr>
        <w:t>more severe chronic illnesses</w:t>
      </w:r>
      <w:r w:rsidR="00FA7EEF" w:rsidRPr="00583970">
        <w:rPr>
          <w:rFonts w:ascii="Calibri" w:hAnsi="Calibri" w:cs="Calibri"/>
          <w:sz w:val="24"/>
          <w:szCs w:val="24"/>
        </w:rPr>
        <w:t>, such as</w:t>
      </w:r>
      <w:r w:rsidR="007A02F3" w:rsidRPr="00583970">
        <w:rPr>
          <w:rFonts w:ascii="Calibri" w:hAnsi="Calibri" w:cs="Calibri"/>
          <w:sz w:val="24"/>
          <w:szCs w:val="24"/>
        </w:rPr>
        <w:t xml:space="preserve"> IBD, JIA, and T1D</w:t>
      </w:r>
      <w:r w:rsidR="00105603" w:rsidRPr="00583970">
        <w:rPr>
          <w:rFonts w:ascii="Calibri" w:hAnsi="Calibri" w:cs="Calibri"/>
          <w:sz w:val="24"/>
          <w:szCs w:val="24"/>
          <w:vertAlign w:val="superscript"/>
        </w:rPr>
        <w:fldChar w:fldCharType="begin"/>
      </w:r>
      <w:r w:rsidR="00105603" w:rsidRPr="00583970">
        <w:rPr>
          <w:rFonts w:ascii="Calibri" w:hAnsi="Calibri" w:cs="Calibri"/>
          <w:sz w:val="24"/>
          <w:szCs w:val="24"/>
          <w:vertAlign w:val="superscript"/>
        </w:rPr>
        <w:instrText xml:space="preserve"> ADDIN ZOTERO_ITEM CSL_CITATION {"citationID":"N0PdXOf7","properties":{"formattedCitation":"\\super 7\\nosupersub{}","plainCitation":"7","noteIndex":0},"citationItems":[{"id":423,"uris":["http://zotero.org/users/local/MfNK0c4v/items/5ABT8NJV"],"itemData":{"id":423,"type":"article-journal","abstract":"The initial gut colonization of the infant plays a pivotal role in shaping the immune system, developing the intestinal tract, and influencing host metabolism, all of which are strongly influenced by several determinants, such as gestational age at birth, mode of delivery, neonatal feeding practices, early-life stress (ELS), and exposure to perinatal antibiotics. However, resulting gut microbiome (GM) dysbiosis may alter this developmental programming, leading to long-term adverse health outcomes. This narrative review synthesizes current knowledge on early-life GM development and its long-term impact on health. Specifically, it addresses how early-life GM dysbiosis may affect the trajectory of physiological processes, predisposing individuals to conditions such as allergic diseases, metabolic disorders, type 1 diabetes, inflammatory bowel disorders, and atherosclerotic cardiovascular diseases. In addition, it examines the influence of probiotic and prebiotic supplementation during pregnancy and early life in shaping infant GM composition, as well as the impact of ELS-induced GM dysbiosis on mental health. Recent research suggests that the early-life microbiota initiates long-lasting effects, and inadequate or insufficient microbial exposure triggers inflammatory responses associated with several physiological conditions. Although several studies have reported a connection between ELS and the GM during both prenatal and postnatal periods, a unified microbiome signature linked to either prenatal or postnatal stress remains to be fully elucidated. Thus, future studies are needed to establish causality and determine whether modifiable factors affecting the GM could be targeted to improve gut health, especially in children exposed to contextual stress or adverse conditions.","container-title":"Microbiome Research Reports","DOI":"10.20517/mrr.2024.78","ISSN":"2771-5965","issue":"2","journalAbbreviation":"Microbiome Res Rep","note":"PMID: 40852125\nPMCID: PMC12367470","page":"20","source":"PubMed Central","title":"Early-life gut microbiome development and its potential long-term impact on health outcomes","volume":"4","author":[{"family":"Borrego-Ruiz","given":"Alejandro"},{"family":"Borrego","given":"Juan J."}],"issued":{"date-parts":[["2025",4,17]]}}}],"schema":"https://github.com/citation-style-language/schema/raw/master/csl-citation.json"} </w:instrText>
      </w:r>
      <w:r w:rsidR="00105603" w:rsidRPr="00583970">
        <w:rPr>
          <w:rFonts w:ascii="Calibri" w:hAnsi="Calibri" w:cs="Calibri"/>
          <w:sz w:val="24"/>
          <w:szCs w:val="24"/>
          <w:vertAlign w:val="superscript"/>
        </w:rPr>
        <w:fldChar w:fldCharType="separate"/>
      </w:r>
      <w:r w:rsidR="00A65BA8" w:rsidRPr="00583970">
        <w:rPr>
          <w:rFonts w:ascii="Calibri" w:hAnsi="Calibri" w:cs="Calibri"/>
          <w:kern w:val="0"/>
          <w:sz w:val="24"/>
          <w:szCs w:val="24"/>
          <w:vertAlign w:val="superscript"/>
        </w:rPr>
        <w:t>7</w:t>
      </w:r>
      <w:r w:rsidR="00105603" w:rsidRPr="00583970">
        <w:rPr>
          <w:rFonts w:ascii="Calibri" w:hAnsi="Calibri" w:cs="Calibri"/>
          <w:sz w:val="24"/>
          <w:szCs w:val="24"/>
          <w:vertAlign w:val="superscript"/>
        </w:rPr>
        <w:fldChar w:fldCharType="end"/>
      </w:r>
      <w:r w:rsidR="00145D1D">
        <w:rPr>
          <w:rFonts w:ascii="Calibri" w:hAnsi="Calibri" w:cs="Calibri"/>
          <w:sz w:val="24"/>
          <w:szCs w:val="24"/>
          <w:vertAlign w:val="superscript"/>
        </w:rPr>
        <w:t>–</w:t>
      </w:r>
      <w:r w:rsidR="00105603" w:rsidRPr="00583970">
        <w:rPr>
          <w:rFonts w:ascii="Calibri" w:hAnsi="Calibri" w:cs="Calibri"/>
          <w:sz w:val="24"/>
          <w:szCs w:val="24"/>
          <w:vertAlign w:val="superscript"/>
        </w:rPr>
        <w:fldChar w:fldCharType="begin"/>
      </w:r>
      <w:r w:rsidR="00105603" w:rsidRPr="00583970">
        <w:rPr>
          <w:rFonts w:ascii="Calibri" w:hAnsi="Calibri" w:cs="Calibri"/>
          <w:sz w:val="24"/>
          <w:szCs w:val="24"/>
          <w:vertAlign w:val="superscript"/>
        </w:rPr>
        <w:instrText xml:space="preserve"> ADDIN ZOTERO_ITEM CSL_CITATION {"citationID":"pBN1iRlQ","properties":{"formattedCitation":"\\super 9\\nosupersub{}","plainCitation":"9","noteIndex":0},"citationItems":[{"id":425,"uris":["http://zotero.org/users/local/MfNK0c4v/items/NHGNH4FR"],"itemData":{"id":425,"type":"article-journal","abstract":"Background\nThe etiology of juvenile idiopathic arthritis (JIA) is poorly understood. This study investigated genetic and environmental factors and infant gut microbiota in a prospective birth cohort to assess disease risk.\n\nMethods\nData was collected from the All Babies in Southeast Sweden (ABIS) population-based cohort (n = 17,055), 111 of whom later acquired JIA (ABISJIA). Stool samples were collected at one year of age for 10.4%. To determine disease association, 16S rRNA gene sequences were analyzed, with and without confound adjustment. Genetic and environmental risks were assessed.\n\nFindings\nABISJIA had higher abundance of Acidaminococcales, Prevotella 9, and Veillonella parvula and lower abundance of Coprococcus, Subdoligranulum, Phascolarctobacterium, Dialister spp., Bifidobacterium breve, Fusicatenibacter saccharivorans, Roseburia intestinalis, and Akkermansia muciniphila (q’s &lt; 0.05). Parabacteroides distasonis greatly increased the odds of later contracting JIA (OR = 6.7; 1.81–24.84, p = 0.0045). Shorter breastfeeding duration and increased antibiotic exposure compounded risk in a dose-dependent manner, especially in those with genetic predisposition.\n\nInterpretation\nMicrobial dysregulation in infancy may trigger or accelerate JIA development. Environmental risk factors have a stronger impact on genetically predisposed children. This study is the first to implicate microbial dysregulation in JIA at such an early age, with many bacterial taxa associated with risk factors. These findings provide opportunities for intervention or early screening and offer new insights into JIA pathogenesis.\n\nFunding\n10.13039/501100004973Barndiabetesfonden; 10.13039/501100001861Swedish Council for Working Life and Social Research; 10.13039/501100004359Swedish Research Council; Östgöta Brandstodsbolag; 10.13039/501100000265Medical Research Council of Southeast Sweden; JDRF-Wallenberg Foundation; Linköping.","container-title":"eBioMedicine","DOI":"10.1016/j.ebiom.2023.104654","ISSN":"2352-3964","journalAbbreviation":"eBioMedicine","note":"PMID: 37329576\nPMCID: PMC10279551","page":"104654","source":"PubMed Central","title":"Infant gut microbiota and environment associate with juvenile idiopathic arthritis many years prior to disease onset, especially in genetically vulnerable children","volume":"93","author":[{"family":"Kindgren","given":"Erik"},{"family":"Ahrens","given":"Angelica P."},{"family":"Triplett","given":"Eric W."},{"family":"Ludvigsson","given":"Johnny"}],"issued":{"date-parts":[["2023",6,15]]}}}],"schema":"https://github.com/citation-style-language/schema/raw/master/csl-citation.json"} </w:instrText>
      </w:r>
      <w:r w:rsidR="00105603" w:rsidRPr="00583970">
        <w:rPr>
          <w:rFonts w:ascii="Calibri" w:hAnsi="Calibri" w:cs="Calibri"/>
          <w:sz w:val="24"/>
          <w:szCs w:val="24"/>
          <w:vertAlign w:val="superscript"/>
        </w:rPr>
        <w:fldChar w:fldCharType="separate"/>
      </w:r>
      <w:r w:rsidR="00A65BA8" w:rsidRPr="00583970">
        <w:rPr>
          <w:rFonts w:ascii="Calibri" w:hAnsi="Calibri" w:cs="Calibri"/>
          <w:kern w:val="0"/>
          <w:sz w:val="24"/>
          <w:szCs w:val="24"/>
          <w:vertAlign w:val="superscript"/>
        </w:rPr>
        <w:t>9</w:t>
      </w:r>
      <w:r w:rsidR="00105603" w:rsidRPr="00583970">
        <w:rPr>
          <w:rFonts w:ascii="Calibri" w:hAnsi="Calibri" w:cs="Calibri"/>
          <w:sz w:val="24"/>
          <w:szCs w:val="24"/>
          <w:vertAlign w:val="superscript"/>
        </w:rPr>
        <w:fldChar w:fldCharType="end"/>
      </w:r>
      <w:r w:rsidR="00FA7EEF" w:rsidRPr="00583970">
        <w:rPr>
          <w:rFonts w:ascii="Calibri" w:hAnsi="Calibri" w:cs="Calibri"/>
          <w:sz w:val="24"/>
          <w:szCs w:val="24"/>
        </w:rPr>
        <w:t xml:space="preserve">. These diseases underscore how pathophysiological processes often originate early, as </w:t>
      </w:r>
      <w:r w:rsidR="00105603" w:rsidRPr="00583970">
        <w:rPr>
          <w:rFonts w:ascii="Calibri" w:hAnsi="Calibri" w:cs="Calibri"/>
          <w:sz w:val="24"/>
          <w:szCs w:val="24"/>
        </w:rPr>
        <w:t xml:space="preserve">the </w:t>
      </w:r>
      <w:r w:rsidR="00441E3B" w:rsidRPr="00583970">
        <w:rPr>
          <w:rFonts w:ascii="Calibri" w:hAnsi="Calibri" w:cs="Calibri"/>
          <w:sz w:val="24"/>
          <w:szCs w:val="24"/>
        </w:rPr>
        <w:t xml:space="preserve">primary </w:t>
      </w:r>
      <w:r w:rsidR="00105603" w:rsidRPr="00583970">
        <w:rPr>
          <w:rFonts w:ascii="Calibri" w:hAnsi="Calibri" w:cs="Calibri"/>
          <w:sz w:val="24"/>
          <w:szCs w:val="24"/>
        </w:rPr>
        <w:t xml:space="preserve">onset </w:t>
      </w:r>
      <w:r w:rsidR="00441E3B" w:rsidRPr="00583970">
        <w:rPr>
          <w:rFonts w:ascii="Calibri" w:hAnsi="Calibri" w:cs="Calibri"/>
          <w:sz w:val="24"/>
          <w:szCs w:val="24"/>
        </w:rPr>
        <w:t>generally</w:t>
      </w:r>
      <w:r w:rsidR="00FA7EEF" w:rsidRPr="00583970">
        <w:rPr>
          <w:rFonts w:ascii="Calibri" w:hAnsi="Calibri" w:cs="Calibri"/>
          <w:sz w:val="24"/>
          <w:szCs w:val="24"/>
        </w:rPr>
        <w:t xml:space="preserve"> occur</w:t>
      </w:r>
      <w:r w:rsidR="00105603" w:rsidRPr="00583970">
        <w:rPr>
          <w:rFonts w:ascii="Calibri" w:hAnsi="Calibri" w:cs="Calibri"/>
          <w:sz w:val="24"/>
          <w:szCs w:val="24"/>
        </w:rPr>
        <w:t>s</w:t>
      </w:r>
      <w:r w:rsidR="00FA7EEF" w:rsidRPr="00583970">
        <w:rPr>
          <w:rFonts w:ascii="Calibri" w:hAnsi="Calibri" w:cs="Calibri"/>
          <w:sz w:val="24"/>
          <w:szCs w:val="24"/>
        </w:rPr>
        <w:t xml:space="preserve"> </w:t>
      </w:r>
      <w:r w:rsidR="00441E3B" w:rsidRPr="00583970">
        <w:rPr>
          <w:rFonts w:ascii="Calibri" w:hAnsi="Calibri" w:cs="Calibri"/>
          <w:sz w:val="24"/>
          <w:szCs w:val="24"/>
        </w:rPr>
        <w:t>between</w:t>
      </w:r>
      <w:r w:rsidR="00FA7EEF" w:rsidRPr="00583970">
        <w:rPr>
          <w:rFonts w:ascii="Calibri" w:hAnsi="Calibri" w:cs="Calibri"/>
          <w:sz w:val="24"/>
          <w:szCs w:val="24"/>
        </w:rPr>
        <w:t xml:space="preserve"> childhood </w:t>
      </w:r>
      <w:r w:rsidR="00441E3B" w:rsidRPr="00583970">
        <w:rPr>
          <w:rFonts w:ascii="Calibri" w:hAnsi="Calibri" w:cs="Calibri"/>
          <w:sz w:val="24"/>
          <w:szCs w:val="24"/>
        </w:rPr>
        <w:t>and early adulthood</w:t>
      </w:r>
      <w:r w:rsidR="00B535E2" w:rsidRPr="00583970">
        <w:rPr>
          <w:rFonts w:ascii="Calibri" w:hAnsi="Calibri" w:cs="Calibri"/>
          <w:b/>
          <w:bCs/>
          <w:sz w:val="24"/>
          <w:szCs w:val="24"/>
        </w:rPr>
        <w:fldChar w:fldCharType="begin"/>
      </w:r>
      <w:r w:rsidR="00B535E2" w:rsidRPr="00583970">
        <w:rPr>
          <w:rFonts w:ascii="Calibri" w:hAnsi="Calibri" w:cs="Calibri"/>
          <w:b/>
          <w:bCs/>
          <w:sz w:val="24"/>
          <w:szCs w:val="24"/>
        </w:rPr>
        <w:instrText xml:space="preserve"> ADDIN ZOTERO_ITEM CSL_CITATION {"citationID":"shsvVAxy","properties":{"formattedCitation":"\\super 10\\nosupersub{}","plainCitation":"10","noteIndex":0},"citationItems":[{"id":431,"uris":["http://zotero.org/users/local/MfNK0c4v/items/8BJ2BCW7"],"itemData":{"id":431,"type":"article-journal","abstract":"Historically, inflammatory bowel disease (IBD) was most common in North America and Europe and more common with a north-south gradient. Over the past century, there has been a marked increase in IBD in general and in childhood IBD in particular and over the past 50 years IBD has spread into the developing world. The greatest risk factor of developing IBD is an affected family member. Concordance rates between dizygotic twins is </w:instrText>
      </w:r>
      <w:r w:rsidR="00B535E2" w:rsidRPr="00583970">
        <w:rPr>
          <w:rFonts w:ascii="Cambria Math" w:hAnsi="Cambria Math" w:cs="Cambria Math"/>
          <w:b/>
          <w:bCs/>
          <w:sz w:val="24"/>
          <w:szCs w:val="24"/>
        </w:rPr>
        <w:instrText>∼</w:instrText>
      </w:r>
      <w:r w:rsidR="00B535E2" w:rsidRPr="00583970">
        <w:rPr>
          <w:rFonts w:ascii="Calibri" w:hAnsi="Calibri" w:cs="Calibri"/>
          <w:b/>
          <w:bCs/>
          <w:sz w:val="24"/>
          <w:szCs w:val="24"/>
        </w:rPr>
        <w:instrText xml:space="preserve">4% and </w:instrText>
      </w:r>
      <w:r w:rsidR="00B535E2" w:rsidRPr="00583970">
        <w:rPr>
          <w:rFonts w:ascii="Cambria Math" w:hAnsi="Cambria Math" w:cs="Cambria Math"/>
          <w:b/>
          <w:bCs/>
          <w:sz w:val="24"/>
          <w:szCs w:val="24"/>
        </w:rPr>
        <w:instrText>∼</w:instrText>
      </w:r>
      <w:r w:rsidR="00B535E2" w:rsidRPr="00583970">
        <w:rPr>
          <w:rFonts w:ascii="Calibri" w:hAnsi="Calibri" w:cs="Calibri"/>
          <w:b/>
          <w:bCs/>
          <w:sz w:val="24"/>
          <w:szCs w:val="24"/>
        </w:rPr>
        <w:instrText xml:space="preserve">50% in monozygotic twins, and more than half of pairs are diagnosed within 2 years of each other. Nevertheless, most patients with IBD do not have an affected family member. More than 200 genes are associated with an increased risk for IBD, but most associations are weak with odds ratios between 1.2 and 2.0 suggesting the environment plays a role. IBD is more common in urban than rural regions and is associated with “good standards” of domestic hygiene during childhood. People who migrate from areas with a low incidence to areas with a high incidence of IBD have an increased risk of developing IBD and the younger they are when they migrate, the greater their risk of developing IBD. Moreover, people who migrate from regions with a high incidence to areas with a low incidence of IBD have a decreased risk of developing IBD. Together, these findings strongly suggest particular environmental exposures occurring early in life may trigger inflammatory bowel disease in genetically susceptible individuals. The key is figuring out what those exposures might be.","container-title":"Frontiers in Pediatrics","DOI":"10.3389/fped.2022.1103713","ISSN":"2296-2360","journalAbbreviation":"Front Pediatr","note":"PMID: 36733765\nPMCID: PMC9886670","page":"1103713","source":"PubMed Central","title":"The epidemiology of inflammatory bowel disease: Clues to pathogenesis?","title-short":"The epidemiology of inflammatory bowel disease","volume":"10","author":[{"family":"Borowitz","given":"Stephen M."}],"issued":{"date-parts":[["2023",1,17]]}}}],"schema":"https://github.com/citation-style-language/schema/raw/master/csl-citation.json"} </w:instrText>
      </w:r>
      <w:r w:rsidR="00B535E2" w:rsidRPr="00583970">
        <w:rPr>
          <w:rFonts w:ascii="Calibri" w:hAnsi="Calibri" w:cs="Calibri"/>
          <w:b/>
          <w:bCs/>
          <w:sz w:val="24"/>
          <w:szCs w:val="24"/>
        </w:rPr>
        <w:fldChar w:fldCharType="separate"/>
      </w:r>
      <w:r w:rsidR="00A65BA8" w:rsidRPr="00583970">
        <w:rPr>
          <w:rFonts w:ascii="Calibri" w:hAnsi="Calibri" w:cs="Calibri"/>
          <w:kern w:val="0"/>
          <w:sz w:val="24"/>
          <w:szCs w:val="24"/>
          <w:vertAlign w:val="superscript"/>
        </w:rPr>
        <w:t>10</w:t>
      </w:r>
      <w:r w:rsidR="00B535E2" w:rsidRPr="00583970">
        <w:rPr>
          <w:rFonts w:ascii="Calibri" w:hAnsi="Calibri" w:cs="Calibri"/>
          <w:b/>
          <w:bCs/>
          <w:sz w:val="24"/>
          <w:szCs w:val="24"/>
        </w:rPr>
        <w:fldChar w:fldCharType="end"/>
      </w:r>
      <w:r w:rsidR="00B535E2" w:rsidRPr="00583970">
        <w:rPr>
          <w:rFonts w:ascii="Calibri" w:hAnsi="Calibri" w:cs="Calibri"/>
          <w:sz w:val="24"/>
          <w:szCs w:val="24"/>
          <w:vertAlign w:val="superscript"/>
        </w:rPr>
        <w:t>,</w:t>
      </w:r>
      <w:r w:rsidR="00B535E2" w:rsidRPr="00583970">
        <w:rPr>
          <w:rFonts w:ascii="Calibri" w:hAnsi="Calibri" w:cs="Calibri"/>
          <w:sz w:val="24"/>
          <w:szCs w:val="24"/>
        </w:rPr>
        <w:fldChar w:fldCharType="begin"/>
      </w:r>
      <w:r w:rsidR="00B535E2" w:rsidRPr="00583970">
        <w:rPr>
          <w:rFonts w:ascii="Calibri" w:hAnsi="Calibri" w:cs="Calibri"/>
          <w:sz w:val="24"/>
          <w:szCs w:val="24"/>
        </w:rPr>
        <w:instrText xml:space="preserve"> ADDIN ZOTERO_ITEM CSL_CITATION {"citationID":"xlFn29cX","properties":{"formattedCitation":"\\super 11\\nosupersub{}","plainCitation":"11","noteIndex":0},"citationItems":[{"id":435,"uris":["http://zotero.org/users/local/MfNK0c4v/items/S23F8UVU"],"itemData":{"id":435,"type":"article-journal","abstract":"Purpose of Review\nTo explore the impact of age on type 1 diabetes (T1D) pathogenesis.\n\nRecent Findings\nChildren progress more rapidly from autoantibody positivity to T1D and have lower C-peptide levels compared to adults. In histological analysis of post-mortem pancreata, younger age of diagnosis is associated with reduced numbers of insulin containing islets and a hyper-immune CD20hi infiltrate. Moreover compared to adults, children exhibit decreased immune regulatory function and increased engagement and trafficking of autoreactive CD8+ T cells, and age-related differences in β cell vulnerability may also contribute to the more aggressive immune phenotype observed in children. To account for some of these differences, HLA and non-HLA genetic loci that influence multiple disease characteristics, including age of onset, are being increasingly characterized.\n\nSummary\nThe exception of T1D as an autoimmune disease more prevalent in children than adults results from a combination of immune, metabolic, and genetic factors. Age-related differences in T1D pathology have important implications for better tailoring of immunotherapies.","container-title":"Current diabetes reports","DOI":"10.1007/s11892-018-1083-4","ISSN":"1534-4827","issue":"11","journalAbbreviation":"Curr Diab Rep","note":"PMID: 30259209\nPMCID: PMC10043737","page":"115","source":"PubMed Central","title":"The Effect of Age on the Progression and Severity of Type 1 Diabetes: Potential Effects on Disease Mechanisms","title-short":"The Effect of Age on the Progression and Severity of Type 1 Diabetes","volume":"18","author":[{"family":"Leete","given":"Pia"},{"family":"Mallone","given":"Roberto"},{"family":"Richardson","given":"Sarah J."},{"family":"Sosenko","given":"Jay M."},{"family":"Redondo","given":"Maria J."},{"family":"Evans-Molina","given":"Carmella"}],"issued":{"date-parts":[["2018",9,26]]}}}],"schema":"https://github.com/citation-style-language/schema/raw/master/csl-citation.json"} </w:instrText>
      </w:r>
      <w:r w:rsidR="00B535E2" w:rsidRPr="00583970">
        <w:rPr>
          <w:rFonts w:ascii="Calibri" w:hAnsi="Calibri" w:cs="Calibri"/>
          <w:sz w:val="24"/>
          <w:szCs w:val="24"/>
        </w:rPr>
        <w:fldChar w:fldCharType="separate"/>
      </w:r>
      <w:r w:rsidR="00A65BA8" w:rsidRPr="00583970">
        <w:rPr>
          <w:rFonts w:ascii="Calibri" w:hAnsi="Calibri" w:cs="Calibri"/>
          <w:kern w:val="0"/>
          <w:sz w:val="24"/>
          <w:szCs w:val="24"/>
          <w:vertAlign w:val="superscript"/>
        </w:rPr>
        <w:t>11</w:t>
      </w:r>
      <w:r w:rsidR="00B535E2" w:rsidRPr="00583970">
        <w:rPr>
          <w:rFonts w:ascii="Calibri" w:hAnsi="Calibri" w:cs="Calibri"/>
          <w:sz w:val="24"/>
          <w:szCs w:val="24"/>
        </w:rPr>
        <w:fldChar w:fldCharType="end"/>
      </w:r>
      <w:r w:rsidR="00FA7EEF" w:rsidRPr="00583970">
        <w:rPr>
          <w:rFonts w:ascii="Calibri" w:hAnsi="Calibri" w:cs="Calibri"/>
          <w:sz w:val="24"/>
          <w:szCs w:val="24"/>
        </w:rPr>
        <w:t xml:space="preserve">. </w:t>
      </w:r>
      <w:r w:rsidR="00A40F6E" w:rsidRPr="00583970">
        <w:rPr>
          <w:rFonts w:ascii="Calibri" w:hAnsi="Calibri" w:cs="Calibri"/>
          <w:sz w:val="24"/>
          <w:szCs w:val="24"/>
        </w:rPr>
        <w:t>Therefore, understanding the mechanisms that govern gut barrier function in neonates is essential for developing preventive and therapeutic strategies aimed at reducing the burden of many chronic diseases.</w:t>
      </w:r>
    </w:p>
    <w:p w14:paraId="4EB75878" w14:textId="77777777" w:rsidR="00C36EEF" w:rsidRPr="00583970" w:rsidRDefault="00C36EEF" w:rsidP="001654C4">
      <w:pPr>
        <w:spacing w:after="0" w:line="240" w:lineRule="auto"/>
        <w:jc w:val="both"/>
        <w:rPr>
          <w:rFonts w:ascii="Calibri" w:hAnsi="Calibri" w:cs="Calibri"/>
          <w:sz w:val="24"/>
          <w:szCs w:val="24"/>
        </w:rPr>
      </w:pPr>
    </w:p>
    <w:p w14:paraId="17C39560" w14:textId="14FB4458" w:rsidR="00A40F6E" w:rsidRPr="00583970" w:rsidRDefault="00A40F6E" w:rsidP="001654C4">
      <w:pPr>
        <w:spacing w:after="0" w:line="240" w:lineRule="auto"/>
        <w:jc w:val="both"/>
        <w:rPr>
          <w:rFonts w:ascii="Calibri" w:hAnsi="Calibri" w:cs="Calibri"/>
          <w:sz w:val="24"/>
          <w:szCs w:val="24"/>
        </w:rPr>
      </w:pPr>
      <w:r w:rsidRPr="00583970">
        <w:rPr>
          <w:rFonts w:ascii="Calibri" w:hAnsi="Calibri" w:cs="Calibri"/>
          <w:sz w:val="24"/>
          <w:szCs w:val="24"/>
        </w:rPr>
        <w:t>Given this context, there is a pressing need for reliable, physiologically relevant tools to study gut barrier integrity, chronic disease mechani</w:t>
      </w:r>
      <w:r w:rsidR="0017079F" w:rsidRPr="00583970">
        <w:rPr>
          <w:rFonts w:ascii="Calibri" w:hAnsi="Calibri" w:cs="Calibri"/>
          <w:sz w:val="24"/>
          <w:szCs w:val="24"/>
        </w:rPr>
        <w:t>sms</w:t>
      </w:r>
      <w:r w:rsidRPr="00583970">
        <w:rPr>
          <w:rFonts w:ascii="Calibri" w:hAnsi="Calibri" w:cs="Calibri"/>
          <w:sz w:val="24"/>
          <w:szCs w:val="24"/>
        </w:rPr>
        <w:t xml:space="preserve">, and inflammation specifically within the neonatal setting. Such tools must allow </w:t>
      </w:r>
      <w:r w:rsidR="0017079F" w:rsidRPr="00583970">
        <w:rPr>
          <w:rFonts w:ascii="Calibri" w:hAnsi="Calibri" w:cs="Calibri"/>
          <w:sz w:val="24"/>
          <w:szCs w:val="24"/>
        </w:rPr>
        <w:t xml:space="preserve">the </w:t>
      </w:r>
      <w:r w:rsidRPr="00583970">
        <w:rPr>
          <w:rFonts w:ascii="Calibri" w:hAnsi="Calibri" w:cs="Calibri"/>
          <w:sz w:val="24"/>
          <w:szCs w:val="24"/>
        </w:rPr>
        <w:t xml:space="preserve">replication of experimental assays already proven in the adult context </w:t>
      </w:r>
      <w:r w:rsidR="00143DFC" w:rsidRPr="00583970">
        <w:rPr>
          <w:rFonts w:ascii="Calibri" w:hAnsi="Calibri" w:cs="Calibri"/>
          <w:sz w:val="24"/>
          <w:szCs w:val="24"/>
        </w:rPr>
        <w:t>without</w:t>
      </w:r>
      <w:r w:rsidRPr="00583970">
        <w:rPr>
          <w:rFonts w:ascii="Calibri" w:hAnsi="Calibri" w:cs="Calibri"/>
          <w:sz w:val="24"/>
          <w:szCs w:val="24"/>
        </w:rPr>
        <w:t xml:space="preserve"> </w:t>
      </w:r>
      <w:r w:rsidR="0017079F" w:rsidRPr="00583970">
        <w:rPr>
          <w:rFonts w:ascii="Calibri" w:hAnsi="Calibri" w:cs="Calibri"/>
          <w:sz w:val="24"/>
          <w:szCs w:val="24"/>
        </w:rPr>
        <w:t>sacrificing</w:t>
      </w:r>
      <w:r w:rsidRPr="00583970">
        <w:rPr>
          <w:rFonts w:ascii="Calibri" w:hAnsi="Calibri" w:cs="Calibri"/>
          <w:sz w:val="24"/>
          <w:szCs w:val="24"/>
        </w:rPr>
        <w:t xml:space="preserve"> precision and efficacy</w:t>
      </w:r>
      <w:r w:rsidR="00702B58" w:rsidRPr="00583970">
        <w:rPr>
          <w:rFonts w:ascii="Calibri" w:hAnsi="Calibri" w:cs="Calibri"/>
          <w:sz w:val="24"/>
          <w:szCs w:val="24"/>
        </w:rPr>
        <w:t>.</w:t>
      </w:r>
      <w:r w:rsidRPr="00583970">
        <w:rPr>
          <w:rFonts w:ascii="Calibri" w:hAnsi="Calibri" w:cs="Calibri"/>
          <w:sz w:val="24"/>
          <w:szCs w:val="24"/>
        </w:rPr>
        <w:t xml:space="preserve"> Additionally, it is becoming increasingly urgent to investigate both short- and long-term effects of many molecular candidates of interest, </w:t>
      </w:r>
      <w:r w:rsidR="0017079F" w:rsidRPr="00583970">
        <w:rPr>
          <w:rFonts w:ascii="Calibri" w:hAnsi="Calibri" w:cs="Calibri"/>
          <w:sz w:val="24"/>
          <w:szCs w:val="24"/>
        </w:rPr>
        <w:t xml:space="preserve">which are </w:t>
      </w:r>
      <w:r w:rsidRPr="00583970">
        <w:rPr>
          <w:rFonts w:ascii="Calibri" w:hAnsi="Calibri" w:cs="Calibri"/>
          <w:sz w:val="24"/>
          <w:szCs w:val="24"/>
        </w:rPr>
        <w:t>expected to have beneficial or harmful effects on gut homeostasis</w:t>
      </w:r>
      <w:r w:rsidR="00143DFC" w:rsidRPr="00583970">
        <w:rPr>
          <w:rFonts w:ascii="Calibri" w:hAnsi="Calibri" w:cs="Calibri"/>
          <w:sz w:val="24"/>
          <w:szCs w:val="24"/>
        </w:rPr>
        <w:t xml:space="preserve"> in the neonatal context</w:t>
      </w:r>
      <w:r w:rsidRPr="00583970">
        <w:rPr>
          <w:rFonts w:ascii="Calibri" w:hAnsi="Calibri" w:cs="Calibri"/>
          <w:sz w:val="24"/>
          <w:szCs w:val="24"/>
        </w:rPr>
        <w:t>.</w:t>
      </w:r>
      <w:r w:rsidR="000448EC" w:rsidRPr="00583970">
        <w:rPr>
          <w:rFonts w:ascii="Calibri" w:hAnsi="Calibri" w:cs="Calibri"/>
          <w:sz w:val="24"/>
          <w:szCs w:val="24"/>
        </w:rPr>
        <w:t xml:space="preserve"> </w:t>
      </w:r>
      <w:r w:rsidRPr="00583970">
        <w:rPr>
          <w:rFonts w:ascii="Calibri" w:hAnsi="Calibri" w:cs="Calibri"/>
          <w:sz w:val="24"/>
          <w:szCs w:val="24"/>
        </w:rPr>
        <w:t>Among the tools available, oral gavage administration in neonatal mouse pups represents a more than reliable method of delivering molecules of interest at a defined developmental stage. It allows for controlled investigations into the effects of various bioactive compounds, drugs, or microbial metabolites on gut maturation and barrier function.</w:t>
      </w:r>
    </w:p>
    <w:p w14:paraId="60787CA7" w14:textId="77777777" w:rsidR="00C36EEF" w:rsidRPr="00583970" w:rsidRDefault="00C36EEF" w:rsidP="001654C4">
      <w:pPr>
        <w:spacing w:after="0" w:line="240" w:lineRule="auto"/>
        <w:jc w:val="both"/>
        <w:rPr>
          <w:rFonts w:ascii="Calibri" w:hAnsi="Calibri" w:cs="Calibri"/>
          <w:sz w:val="24"/>
          <w:szCs w:val="24"/>
        </w:rPr>
      </w:pPr>
    </w:p>
    <w:p w14:paraId="45464D9B" w14:textId="206AD621" w:rsidR="00A40F6E" w:rsidRPr="00583970" w:rsidRDefault="000448EC" w:rsidP="001654C4">
      <w:pPr>
        <w:spacing w:after="0" w:line="240" w:lineRule="auto"/>
        <w:jc w:val="both"/>
        <w:rPr>
          <w:rFonts w:ascii="Calibri" w:hAnsi="Calibri" w:cs="Calibri"/>
          <w:sz w:val="24"/>
          <w:szCs w:val="24"/>
        </w:rPr>
      </w:pPr>
      <w:r w:rsidRPr="00583970">
        <w:rPr>
          <w:rFonts w:ascii="Calibri" w:hAnsi="Calibri" w:cs="Calibri"/>
          <w:sz w:val="24"/>
          <w:szCs w:val="24"/>
        </w:rPr>
        <w:t>The first part of this article describes a method for</w:t>
      </w:r>
      <w:r w:rsidR="00A40F6E" w:rsidRPr="00583970">
        <w:rPr>
          <w:rFonts w:ascii="Calibri" w:hAnsi="Calibri" w:cs="Calibri"/>
          <w:sz w:val="24"/>
          <w:szCs w:val="24"/>
        </w:rPr>
        <w:t xml:space="preserve"> gavage</w:t>
      </w:r>
      <w:r w:rsidRPr="00583970">
        <w:rPr>
          <w:rFonts w:ascii="Calibri" w:hAnsi="Calibri" w:cs="Calibri"/>
          <w:sz w:val="24"/>
          <w:szCs w:val="24"/>
        </w:rPr>
        <w:t xml:space="preserve"> of</w:t>
      </w:r>
      <w:r w:rsidR="00A40F6E" w:rsidRPr="00583970">
        <w:rPr>
          <w:rFonts w:ascii="Calibri" w:hAnsi="Calibri" w:cs="Calibri"/>
          <w:sz w:val="24"/>
          <w:szCs w:val="24"/>
        </w:rPr>
        <w:t xml:space="preserve"> mouse pups as early as </w:t>
      </w:r>
      <w:r w:rsidR="00B61631" w:rsidRPr="00583970">
        <w:rPr>
          <w:rFonts w:ascii="Calibri" w:hAnsi="Calibri" w:cs="Calibri"/>
          <w:sz w:val="24"/>
          <w:szCs w:val="24"/>
        </w:rPr>
        <w:t>D</w:t>
      </w:r>
      <w:r w:rsidR="00A40F6E" w:rsidRPr="00583970">
        <w:rPr>
          <w:rFonts w:ascii="Calibri" w:hAnsi="Calibri" w:cs="Calibri"/>
          <w:sz w:val="24"/>
          <w:szCs w:val="24"/>
        </w:rPr>
        <w:t xml:space="preserve">ay </w:t>
      </w:r>
      <w:r w:rsidR="00B61631" w:rsidRPr="00583970">
        <w:rPr>
          <w:rFonts w:ascii="Calibri" w:hAnsi="Calibri" w:cs="Calibri"/>
          <w:sz w:val="24"/>
          <w:szCs w:val="24"/>
        </w:rPr>
        <w:t>O</w:t>
      </w:r>
      <w:r w:rsidR="00A40F6E" w:rsidRPr="00583970">
        <w:rPr>
          <w:rFonts w:ascii="Calibri" w:hAnsi="Calibri" w:cs="Calibri"/>
          <w:sz w:val="24"/>
          <w:szCs w:val="24"/>
        </w:rPr>
        <w:t xml:space="preserve">f </w:t>
      </w:r>
      <w:r w:rsidR="00B61631" w:rsidRPr="00583970">
        <w:rPr>
          <w:rFonts w:ascii="Calibri" w:hAnsi="Calibri" w:cs="Calibri"/>
          <w:sz w:val="24"/>
          <w:szCs w:val="24"/>
        </w:rPr>
        <w:t>L</w:t>
      </w:r>
      <w:r w:rsidR="00A40F6E" w:rsidRPr="00583970">
        <w:rPr>
          <w:rFonts w:ascii="Calibri" w:hAnsi="Calibri" w:cs="Calibri"/>
          <w:sz w:val="24"/>
          <w:szCs w:val="24"/>
        </w:rPr>
        <w:t>ife</w:t>
      </w:r>
      <w:r w:rsidR="00762971" w:rsidRPr="00583970">
        <w:rPr>
          <w:rFonts w:ascii="Calibri" w:hAnsi="Calibri" w:cs="Calibri"/>
          <w:sz w:val="24"/>
          <w:szCs w:val="24"/>
        </w:rPr>
        <w:t xml:space="preserve"> (DOL)</w:t>
      </w:r>
      <w:r w:rsidR="00A40F6E" w:rsidRPr="00583970">
        <w:rPr>
          <w:rFonts w:ascii="Calibri" w:hAnsi="Calibri" w:cs="Calibri"/>
          <w:sz w:val="24"/>
          <w:szCs w:val="24"/>
        </w:rPr>
        <w:t xml:space="preserve"> 6, allowing the study of interventions before, during and after the massive expansion of the </w:t>
      </w:r>
      <w:r w:rsidR="00A40F6E" w:rsidRPr="00583970">
        <w:rPr>
          <w:rFonts w:ascii="Calibri" w:hAnsi="Calibri" w:cs="Calibri"/>
          <w:sz w:val="24"/>
          <w:szCs w:val="24"/>
        </w:rPr>
        <w:lastRenderedPageBreak/>
        <w:t xml:space="preserve">gut microbiota species numbers induced by food diversification. </w:t>
      </w:r>
      <w:r w:rsidR="007A02F3" w:rsidRPr="00583970">
        <w:rPr>
          <w:rFonts w:ascii="Calibri" w:hAnsi="Calibri" w:cs="Calibri"/>
          <w:sz w:val="24"/>
          <w:szCs w:val="24"/>
        </w:rPr>
        <w:t>Thus, this techni</w:t>
      </w:r>
      <w:r w:rsidR="00235054" w:rsidRPr="00583970">
        <w:rPr>
          <w:rFonts w:ascii="Calibri" w:hAnsi="Calibri" w:cs="Calibri"/>
          <w:sz w:val="24"/>
          <w:szCs w:val="24"/>
        </w:rPr>
        <w:t>que</w:t>
      </w:r>
      <w:r w:rsidR="00A40F6E" w:rsidRPr="00583970">
        <w:rPr>
          <w:rFonts w:ascii="Calibri" w:hAnsi="Calibri" w:cs="Calibri"/>
          <w:sz w:val="24"/>
          <w:szCs w:val="24"/>
        </w:rPr>
        <w:t xml:space="preserve"> enables longitudinal analyses of treatment effects on intestinal health as pups grow and develop.</w:t>
      </w:r>
    </w:p>
    <w:p w14:paraId="6C1BA237" w14:textId="77777777" w:rsidR="00C36EEF" w:rsidRPr="00583970" w:rsidRDefault="00C36EEF" w:rsidP="001654C4">
      <w:pPr>
        <w:spacing w:after="0" w:line="240" w:lineRule="auto"/>
        <w:jc w:val="both"/>
        <w:rPr>
          <w:rFonts w:ascii="Calibri" w:hAnsi="Calibri" w:cs="Calibri"/>
          <w:sz w:val="24"/>
          <w:szCs w:val="24"/>
        </w:rPr>
      </w:pPr>
    </w:p>
    <w:p w14:paraId="06682018" w14:textId="16BC5C51" w:rsidR="00C34A46" w:rsidRDefault="00D030D5" w:rsidP="001654C4">
      <w:pPr>
        <w:spacing w:after="0" w:line="240" w:lineRule="auto"/>
        <w:jc w:val="both"/>
        <w:rPr>
          <w:rFonts w:ascii="Calibri" w:hAnsi="Calibri" w:cs="Calibri"/>
          <w:sz w:val="24"/>
          <w:szCs w:val="24"/>
        </w:rPr>
      </w:pPr>
      <w:r w:rsidRPr="00583970">
        <w:rPr>
          <w:rFonts w:ascii="Calibri" w:hAnsi="Calibri" w:cs="Calibri"/>
          <w:sz w:val="24"/>
          <w:szCs w:val="24"/>
        </w:rPr>
        <w:t>In the second part of this article and c</w:t>
      </w:r>
      <w:r w:rsidR="00A40F6E" w:rsidRPr="00583970">
        <w:rPr>
          <w:rFonts w:ascii="Calibri" w:hAnsi="Calibri" w:cs="Calibri"/>
          <w:sz w:val="24"/>
          <w:szCs w:val="24"/>
        </w:rPr>
        <w:t xml:space="preserve">omplementing this approach, </w:t>
      </w:r>
      <w:r w:rsidR="00A40F6E" w:rsidRPr="00583970">
        <w:rPr>
          <w:rFonts w:ascii="Calibri" w:hAnsi="Calibri" w:cs="Calibri"/>
          <w:i/>
          <w:iCs/>
          <w:sz w:val="24"/>
          <w:szCs w:val="24"/>
        </w:rPr>
        <w:t>ex vivo</w:t>
      </w:r>
      <w:r w:rsidR="00A40F6E" w:rsidRPr="00583970">
        <w:rPr>
          <w:rFonts w:ascii="Calibri" w:hAnsi="Calibri" w:cs="Calibri"/>
          <w:sz w:val="24"/>
          <w:szCs w:val="24"/>
        </w:rPr>
        <w:t xml:space="preserve"> assessment of colonic epithelial barrier function using Ussing chambers provides a sensitive and quantitative measure of permeability characteristics. </w:t>
      </w:r>
      <w:r w:rsidR="00DB09CF" w:rsidRPr="00583970">
        <w:rPr>
          <w:rFonts w:ascii="Calibri" w:hAnsi="Calibri" w:cs="Calibri"/>
          <w:sz w:val="24"/>
          <w:szCs w:val="24"/>
        </w:rPr>
        <w:t>Evaluation of</w:t>
      </w:r>
      <w:r w:rsidR="00A40F6E" w:rsidRPr="00583970">
        <w:rPr>
          <w:rFonts w:ascii="Calibri" w:hAnsi="Calibri" w:cs="Calibri"/>
          <w:sz w:val="24"/>
          <w:szCs w:val="24"/>
        </w:rPr>
        <w:t xml:space="preserve"> both paracellular and transcellular permeability in colon biopsies from neonatal mice (e.g., </w:t>
      </w:r>
      <w:r w:rsidR="00762971" w:rsidRPr="00583970">
        <w:rPr>
          <w:rFonts w:ascii="Calibri" w:hAnsi="Calibri" w:cs="Calibri"/>
          <w:sz w:val="24"/>
          <w:szCs w:val="24"/>
        </w:rPr>
        <w:t>DOL 10</w:t>
      </w:r>
      <w:r w:rsidR="00A40F6E" w:rsidRPr="00583970">
        <w:rPr>
          <w:rFonts w:ascii="Calibri" w:hAnsi="Calibri" w:cs="Calibri"/>
          <w:sz w:val="24"/>
          <w:szCs w:val="24"/>
        </w:rPr>
        <w:t xml:space="preserve"> pups) </w:t>
      </w:r>
      <w:r w:rsidR="00DB09CF" w:rsidRPr="00583970">
        <w:rPr>
          <w:rFonts w:ascii="Calibri" w:hAnsi="Calibri" w:cs="Calibri"/>
          <w:sz w:val="24"/>
          <w:szCs w:val="24"/>
        </w:rPr>
        <w:t>allow</w:t>
      </w:r>
      <w:r w:rsidR="00CF5311" w:rsidRPr="00583970">
        <w:rPr>
          <w:rFonts w:ascii="Calibri" w:hAnsi="Calibri" w:cs="Calibri"/>
          <w:sz w:val="24"/>
          <w:szCs w:val="24"/>
        </w:rPr>
        <w:t>s</w:t>
      </w:r>
      <w:r w:rsidR="00DB09CF" w:rsidRPr="00583970">
        <w:rPr>
          <w:rFonts w:ascii="Calibri" w:hAnsi="Calibri" w:cs="Calibri"/>
          <w:sz w:val="24"/>
          <w:szCs w:val="24"/>
        </w:rPr>
        <w:t xml:space="preserve"> for precise</w:t>
      </w:r>
      <w:r w:rsidR="00A40F6E" w:rsidRPr="00583970">
        <w:rPr>
          <w:rFonts w:ascii="Calibri" w:hAnsi="Calibri" w:cs="Calibri"/>
          <w:sz w:val="24"/>
          <w:szCs w:val="24"/>
        </w:rPr>
        <w:t xml:space="preserve"> determin</w:t>
      </w:r>
      <w:r w:rsidR="00DB09CF" w:rsidRPr="00583970">
        <w:rPr>
          <w:rFonts w:ascii="Calibri" w:hAnsi="Calibri" w:cs="Calibri"/>
          <w:sz w:val="24"/>
          <w:szCs w:val="24"/>
        </w:rPr>
        <w:t>ation of</w:t>
      </w:r>
      <w:r w:rsidR="00A40F6E" w:rsidRPr="00583970">
        <w:rPr>
          <w:rFonts w:ascii="Calibri" w:hAnsi="Calibri" w:cs="Calibri"/>
          <w:sz w:val="24"/>
          <w:szCs w:val="24"/>
        </w:rPr>
        <w:t xml:space="preserve"> the impact of several key candidates on epithelial barrier integrity and function.</w:t>
      </w:r>
      <w:r w:rsidR="00C34A46" w:rsidRPr="00583970">
        <w:rPr>
          <w:rFonts w:ascii="Calibri" w:hAnsi="Calibri" w:cs="Calibri"/>
          <w:sz w:val="24"/>
          <w:szCs w:val="24"/>
        </w:rPr>
        <w:t xml:space="preserve"> Paracellular transport is an essentially passive mechanism occurring through the </w:t>
      </w:r>
      <w:r w:rsidR="00CF5311" w:rsidRPr="00583970">
        <w:rPr>
          <w:rFonts w:ascii="Calibri" w:hAnsi="Calibri" w:cs="Calibri"/>
          <w:sz w:val="24"/>
          <w:szCs w:val="24"/>
        </w:rPr>
        <w:t>intercellular</w:t>
      </w:r>
      <w:r w:rsidR="00C34A46" w:rsidRPr="00583970">
        <w:rPr>
          <w:rFonts w:ascii="Calibri" w:hAnsi="Calibri" w:cs="Calibri"/>
          <w:sz w:val="24"/>
          <w:szCs w:val="24"/>
        </w:rPr>
        <w:t xml:space="preserve"> space of the epithelial layer. It allows for the passage of small solutes driven by electrochemical and osmotic gradients from the lumen to the basolateral side. This mechanism is mainly regulated by proteins of the tight junction family, such as claudins and occludin. Transcellular transport, in contrast, is an active mechanism, allowing for </w:t>
      </w:r>
      <w:r w:rsidR="00975695">
        <w:rPr>
          <w:rFonts w:ascii="Calibri" w:hAnsi="Calibri" w:cs="Calibri"/>
          <w:sz w:val="24"/>
          <w:szCs w:val="24"/>
        </w:rPr>
        <w:t xml:space="preserve">the </w:t>
      </w:r>
      <w:r w:rsidR="00C34A46" w:rsidRPr="00583970">
        <w:rPr>
          <w:rFonts w:ascii="Calibri" w:hAnsi="Calibri" w:cs="Calibri"/>
          <w:sz w:val="24"/>
          <w:szCs w:val="24"/>
        </w:rPr>
        <w:t xml:space="preserve">absorption of bigger solutes and </w:t>
      </w:r>
      <w:r w:rsidR="009E496A" w:rsidRPr="00583970">
        <w:rPr>
          <w:rFonts w:ascii="Calibri" w:hAnsi="Calibri" w:cs="Calibri"/>
          <w:sz w:val="24"/>
          <w:szCs w:val="24"/>
        </w:rPr>
        <w:t>occurring</w:t>
      </w:r>
      <w:r w:rsidR="00C34A46" w:rsidRPr="00583970">
        <w:rPr>
          <w:rFonts w:ascii="Calibri" w:hAnsi="Calibri" w:cs="Calibri"/>
          <w:sz w:val="24"/>
          <w:szCs w:val="24"/>
        </w:rPr>
        <w:t xml:space="preserve"> through the epithelial cells </w:t>
      </w:r>
      <w:r w:rsidR="00C34A46" w:rsidRPr="00583970">
        <w:rPr>
          <w:rFonts w:ascii="Calibri" w:hAnsi="Calibri" w:cs="Calibri"/>
          <w:i/>
          <w:iCs/>
          <w:sz w:val="24"/>
          <w:szCs w:val="24"/>
        </w:rPr>
        <w:t>via</w:t>
      </w:r>
      <w:r w:rsidR="00C34A46" w:rsidRPr="00583970">
        <w:rPr>
          <w:rFonts w:ascii="Calibri" w:hAnsi="Calibri" w:cs="Calibri"/>
          <w:sz w:val="24"/>
          <w:szCs w:val="24"/>
        </w:rPr>
        <w:t xml:space="preserve"> specific channels, carriers</w:t>
      </w:r>
      <w:r w:rsidR="00975695">
        <w:rPr>
          <w:rFonts w:ascii="Calibri" w:hAnsi="Calibri" w:cs="Calibri"/>
          <w:sz w:val="24"/>
          <w:szCs w:val="24"/>
        </w:rPr>
        <w:t>,</w:t>
      </w:r>
      <w:r w:rsidR="00C34A46" w:rsidRPr="00583970">
        <w:rPr>
          <w:rFonts w:ascii="Calibri" w:hAnsi="Calibri" w:cs="Calibri"/>
          <w:sz w:val="24"/>
          <w:szCs w:val="24"/>
        </w:rPr>
        <w:t xml:space="preserve"> and pumps.</w:t>
      </w:r>
    </w:p>
    <w:p w14:paraId="357B6086" w14:textId="77777777" w:rsidR="00975695" w:rsidRPr="00583970" w:rsidRDefault="00975695" w:rsidP="001654C4">
      <w:pPr>
        <w:spacing w:after="0" w:line="240" w:lineRule="auto"/>
        <w:jc w:val="both"/>
        <w:rPr>
          <w:rFonts w:ascii="Calibri" w:hAnsi="Calibri" w:cs="Calibri"/>
          <w:sz w:val="24"/>
          <w:szCs w:val="24"/>
        </w:rPr>
      </w:pPr>
    </w:p>
    <w:p w14:paraId="351C02F5" w14:textId="7539B76B" w:rsidR="00A40F6E" w:rsidRPr="00583970" w:rsidRDefault="002D3610" w:rsidP="001654C4">
      <w:pPr>
        <w:spacing w:after="0" w:line="240" w:lineRule="auto"/>
        <w:jc w:val="both"/>
        <w:rPr>
          <w:rFonts w:ascii="Calibri" w:hAnsi="Calibri" w:cs="Calibri"/>
          <w:sz w:val="24"/>
          <w:szCs w:val="24"/>
        </w:rPr>
      </w:pPr>
      <w:r w:rsidRPr="00583970">
        <w:rPr>
          <w:rFonts w:ascii="Calibri" w:hAnsi="Calibri" w:cs="Calibri"/>
          <w:sz w:val="24"/>
          <w:szCs w:val="24"/>
        </w:rPr>
        <w:t xml:space="preserve">Fluorescein isothiocyanate (FITC)–dextran (4 kDa) predominantly undergoes paracellular transport due to its size, whereas horseradish peroxidase (HRP; 44 kDa) is selectively conveyed to the basolateral side </w:t>
      </w:r>
      <w:r w:rsidRPr="00583970">
        <w:rPr>
          <w:rFonts w:ascii="Calibri" w:hAnsi="Calibri" w:cs="Calibri"/>
          <w:i/>
          <w:iCs/>
          <w:sz w:val="24"/>
          <w:szCs w:val="24"/>
        </w:rPr>
        <w:t>via</w:t>
      </w:r>
      <w:r w:rsidRPr="00583970">
        <w:rPr>
          <w:rFonts w:ascii="Calibri" w:hAnsi="Calibri" w:cs="Calibri"/>
          <w:sz w:val="24"/>
          <w:szCs w:val="24"/>
        </w:rPr>
        <w:t xml:space="preserve"> transcellular routes. Quantification of these non-endogenous markers thus enables distinct assessment of paracellular and transcellular permeability, respectively. </w:t>
      </w:r>
      <w:r w:rsidR="00A40F6E" w:rsidRPr="00583970">
        <w:rPr>
          <w:rFonts w:ascii="Calibri" w:hAnsi="Calibri" w:cs="Calibri"/>
          <w:sz w:val="24"/>
          <w:szCs w:val="24"/>
        </w:rPr>
        <w:t xml:space="preserve">The Ussing chamber assay with </w:t>
      </w:r>
      <w:r w:rsidR="00D575AC" w:rsidRPr="00583970">
        <w:rPr>
          <w:rFonts w:ascii="Calibri" w:hAnsi="Calibri" w:cs="Calibri"/>
          <w:sz w:val="24"/>
          <w:szCs w:val="24"/>
        </w:rPr>
        <w:t>FITC and HRP</w:t>
      </w:r>
      <w:r w:rsidR="00A40F6E" w:rsidRPr="00583970">
        <w:rPr>
          <w:rFonts w:ascii="Calibri" w:hAnsi="Calibri" w:cs="Calibri"/>
          <w:sz w:val="24"/>
          <w:szCs w:val="24"/>
        </w:rPr>
        <w:t xml:space="preserve"> preserves tissue architecture and allows real-time measurement of </w:t>
      </w:r>
      <w:r w:rsidR="00B87B16" w:rsidRPr="00583970">
        <w:rPr>
          <w:rFonts w:ascii="Calibri" w:hAnsi="Calibri" w:cs="Calibri"/>
          <w:sz w:val="24"/>
          <w:szCs w:val="24"/>
        </w:rPr>
        <w:t>respectively</w:t>
      </w:r>
      <w:r w:rsidR="00A40F6E" w:rsidRPr="00583970">
        <w:rPr>
          <w:rFonts w:ascii="Calibri" w:hAnsi="Calibri" w:cs="Calibri"/>
          <w:sz w:val="24"/>
          <w:szCs w:val="24"/>
        </w:rPr>
        <w:t xml:space="preserve"> para</w:t>
      </w:r>
      <w:r w:rsidR="007E6F6A">
        <w:rPr>
          <w:rFonts w:ascii="Calibri" w:hAnsi="Calibri" w:cs="Calibri"/>
          <w:sz w:val="24"/>
          <w:szCs w:val="24"/>
        </w:rPr>
        <w:t>cellular</w:t>
      </w:r>
      <w:r w:rsidR="00A40F6E" w:rsidRPr="00583970">
        <w:rPr>
          <w:rFonts w:ascii="Calibri" w:hAnsi="Calibri" w:cs="Calibri"/>
          <w:sz w:val="24"/>
          <w:szCs w:val="24"/>
        </w:rPr>
        <w:t xml:space="preserve"> and transcellular permeability of any segment of the intestinal tract.</w:t>
      </w:r>
      <w:r w:rsidR="00D575AC" w:rsidRPr="00583970">
        <w:rPr>
          <w:rFonts w:ascii="Calibri" w:hAnsi="Calibri" w:cs="Calibri"/>
          <w:sz w:val="24"/>
          <w:szCs w:val="24"/>
        </w:rPr>
        <w:t xml:space="preserve"> </w:t>
      </w:r>
      <w:r w:rsidR="00A40F6E" w:rsidRPr="00583970">
        <w:rPr>
          <w:rFonts w:ascii="Calibri" w:hAnsi="Calibri" w:cs="Calibri"/>
          <w:sz w:val="24"/>
          <w:szCs w:val="24"/>
        </w:rPr>
        <w:t xml:space="preserve">This combination of neonatal gavage and Ussing chamber analysis offers a powerful </w:t>
      </w:r>
      <w:r w:rsidR="00762971" w:rsidRPr="00583970">
        <w:rPr>
          <w:rFonts w:ascii="Calibri" w:hAnsi="Calibri" w:cs="Calibri"/>
          <w:sz w:val="24"/>
          <w:szCs w:val="24"/>
        </w:rPr>
        <w:t>strategy</w:t>
      </w:r>
      <w:r w:rsidR="00A40F6E" w:rsidRPr="00583970">
        <w:rPr>
          <w:rFonts w:ascii="Calibri" w:hAnsi="Calibri" w:cs="Calibri"/>
          <w:sz w:val="24"/>
          <w:szCs w:val="24"/>
        </w:rPr>
        <w:t xml:space="preserve"> to study how specific molecules impact gut barrier function both immediately and over longer timeframes, informing strategies to mitigate inflammation and prevent chronic disease from the earliest stages of life.</w:t>
      </w:r>
    </w:p>
    <w:p w14:paraId="56AC2A40" w14:textId="77777777" w:rsidR="00C36EEF" w:rsidRPr="00583970" w:rsidRDefault="00C36EEF" w:rsidP="001654C4">
      <w:pPr>
        <w:spacing w:after="0" w:line="240" w:lineRule="auto"/>
        <w:jc w:val="both"/>
        <w:rPr>
          <w:rFonts w:ascii="Calibri" w:hAnsi="Calibri" w:cs="Calibri"/>
          <w:b/>
          <w:bCs/>
          <w:sz w:val="24"/>
          <w:szCs w:val="24"/>
        </w:rPr>
      </w:pPr>
    </w:p>
    <w:p w14:paraId="426A3140" w14:textId="737C3388" w:rsidR="006E5F4E" w:rsidRPr="00583970" w:rsidRDefault="00A40F6E" w:rsidP="001654C4">
      <w:pPr>
        <w:spacing w:after="0" w:line="240" w:lineRule="auto"/>
        <w:jc w:val="both"/>
        <w:rPr>
          <w:rFonts w:ascii="Calibri" w:hAnsi="Calibri" w:cs="Calibri"/>
          <w:sz w:val="24"/>
          <w:szCs w:val="24"/>
        </w:rPr>
      </w:pPr>
      <w:r w:rsidRPr="00583970">
        <w:rPr>
          <w:rFonts w:ascii="Calibri" w:hAnsi="Calibri" w:cs="Calibri"/>
          <w:sz w:val="24"/>
          <w:szCs w:val="24"/>
        </w:rPr>
        <w:t xml:space="preserve">In summary, this protocol describes </w:t>
      </w:r>
      <w:r w:rsidR="007E6F6A">
        <w:rPr>
          <w:rFonts w:ascii="Calibri" w:hAnsi="Calibri" w:cs="Calibri"/>
          <w:sz w:val="24"/>
          <w:szCs w:val="24"/>
        </w:rPr>
        <w:t>two</w:t>
      </w:r>
      <w:r w:rsidRPr="00583970">
        <w:rPr>
          <w:rFonts w:ascii="Calibri" w:hAnsi="Calibri" w:cs="Calibri"/>
          <w:sz w:val="24"/>
          <w:szCs w:val="24"/>
        </w:rPr>
        <w:t xml:space="preserve"> complementary</w:t>
      </w:r>
      <w:r w:rsidR="000448EC" w:rsidRPr="00583970">
        <w:rPr>
          <w:rFonts w:ascii="Calibri" w:hAnsi="Calibri" w:cs="Calibri"/>
          <w:sz w:val="24"/>
          <w:szCs w:val="24"/>
        </w:rPr>
        <w:t xml:space="preserve"> experimental</w:t>
      </w:r>
      <w:r w:rsidRPr="00583970">
        <w:rPr>
          <w:rFonts w:ascii="Calibri" w:hAnsi="Calibri" w:cs="Calibri"/>
          <w:sz w:val="24"/>
          <w:szCs w:val="24"/>
        </w:rPr>
        <w:t xml:space="preserve"> </w:t>
      </w:r>
      <w:r w:rsidR="00B87B16" w:rsidRPr="00583970">
        <w:rPr>
          <w:rFonts w:ascii="Calibri" w:hAnsi="Calibri" w:cs="Calibri"/>
          <w:sz w:val="24"/>
          <w:szCs w:val="24"/>
        </w:rPr>
        <w:t xml:space="preserve">procedures </w:t>
      </w:r>
      <w:r w:rsidRPr="00583970">
        <w:rPr>
          <w:rFonts w:ascii="Calibri" w:hAnsi="Calibri" w:cs="Calibri"/>
          <w:sz w:val="24"/>
          <w:szCs w:val="24"/>
        </w:rPr>
        <w:t>allowing for:</w:t>
      </w:r>
      <w:r w:rsidR="007E6F6A">
        <w:rPr>
          <w:rFonts w:ascii="Calibri" w:hAnsi="Calibri" w:cs="Calibri"/>
          <w:sz w:val="24"/>
          <w:szCs w:val="24"/>
        </w:rPr>
        <w:t xml:space="preserve"> (1) </w:t>
      </w:r>
      <w:r w:rsidRPr="00583970">
        <w:rPr>
          <w:rFonts w:ascii="Calibri" w:hAnsi="Calibri" w:cs="Calibri"/>
          <w:sz w:val="24"/>
          <w:szCs w:val="24"/>
        </w:rPr>
        <w:t>administration of molecules of interest in the early neonatal period to mouse pups</w:t>
      </w:r>
      <w:r w:rsidR="00BC5D7F" w:rsidRPr="00583970">
        <w:rPr>
          <w:rFonts w:ascii="Calibri" w:hAnsi="Calibri" w:cs="Calibri"/>
          <w:sz w:val="24"/>
          <w:szCs w:val="24"/>
        </w:rPr>
        <w:t xml:space="preserve"> (</w:t>
      </w:r>
      <w:r w:rsidR="00392F31">
        <w:rPr>
          <w:rFonts w:ascii="Calibri" w:hAnsi="Calibri" w:cs="Calibri"/>
          <w:sz w:val="24"/>
          <w:szCs w:val="24"/>
        </w:rPr>
        <w:t>step</w:t>
      </w:r>
      <w:r w:rsidR="00BC5D7F" w:rsidRPr="00583970">
        <w:rPr>
          <w:rFonts w:ascii="Calibri" w:hAnsi="Calibri" w:cs="Calibri"/>
          <w:sz w:val="24"/>
          <w:szCs w:val="24"/>
        </w:rPr>
        <w:t xml:space="preserve"> 1)</w:t>
      </w:r>
      <w:r w:rsidR="00392F31">
        <w:rPr>
          <w:rFonts w:ascii="Calibri" w:hAnsi="Calibri" w:cs="Calibri"/>
          <w:sz w:val="24"/>
          <w:szCs w:val="24"/>
        </w:rPr>
        <w:t xml:space="preserve">; (2) </w:t>
      </w:r>
      <w:r w:rsidRPr="00583970">
        <w:rPr>
          <w:rFonts w:ascii="Calibri" w:hAnsi="Calibri" w:cs="Calibri"/>
          <w:sz w:val="24"/>
          <w:szCs w:val="24"/>
        </w:rPr>
        <w:t xml:space="preserve">assessment of both para and transcellular permeability </w:t>
      </w:r>
      <w:r w:rsidR="00FC30A8" w:rsidRPr="00583970">
        <w:rPr>
          <w:rFonts w:ascii="Calibri" w:hAnsi="Calibri" w:cs="Calibri"/>
          <w:sz w:val="24"/>
          <w:szCs w:val="24"/>
        </w:rPr>
        <w:t>in intestinal tract segments from</w:t>
      </w:r>
      <w:r w:rsidRPr="00583970">
        <w:rPr>
          <w:rFonts w:ascii="Calibri" w:hAnsi="Calibri" w:cs="Calibri"/>
          <w:sz w:val="24"/>
          <w:szCs w:val="24"/>
        </w:rPr>
        <w:t xml:space="preserve"> </w:t>
      </w:r>
      <w:r w:rsidR="00FC30A8" w:rsidRPr="00583970">
        <w:rPr>
          <w:rFonts w:ascii="Calibri" w:hAnsi="Calibri" w:cs="Calibri"/>
          <w:sz w:val="24"/>
          <w:szCs w:val="24"/>
        </w:rPr>
        <w:t>neonatal to weaning pups</w:t>
      </w:r>
      <w:r w:rsidR="00140FE6" w:rsidRPr="00583970">
        <w:rPr>
          <w:rFonts w:ascii="Calibri" w:hAnsi="Calibri" w:cs="Calibri"/>
          <w:sz w:val="24"/>
          <w:szCs w:val="24"/>
        </w:rPr>
        <w:t xml:space="preserve"> using Ussing chambers</w:t>
      </w:r>
      <w:r w:rsidR="00BC5D7F" w:rsidRPr="00583970">
        <w:rPr>
          <w:rFonts w:ascii="Calibri" w:hAnsi="Calibri" w:cs="Calibri"/>
          <w:sz w:val="24"/>
          <w:szCs w:val="24"/>
        </w:rPr>
        <w:t xml:space="preserve"> (</w:t>
      </w:r>
      <w:r w:rsidR="00392F31">
        <w:rPr>
          <w:rFonts w:ascii="Calibri" w:hAnsi="Calibri" w:cs="Calibri"/>
          <w:sz w:val="24"/>
          <w:szCs w:val="24"/>
        </w:rPr>
        <w:t>step</w:t>
      </w:r>
      <w:r w:rsidR="00BC5D7F" w:rsidRPr="00583970">
        <w:rPr>
          <w:rFonts w:ascii="Calibri" w:hAnsi="Calibri" w:cs="Calibri"/>
          <w:sz w:val="24"/>
          <w:szCs w:val="24"/>
        </w:rPr>
        <w:t>s 2</w:t>
      </w:r>
      <w:r w:rsidR="00392F31">
        <w:rPr>
          <w:rFonts w:ascii="Calibri" w:hAnsi="Calibri" w:cs="Calibri"/>
          <w:sz w:val="24"/>
          <w:szCs w:val="24"/>
        </w:rPr>
        <w:t>–</w:t>
      </w:r>
      <w:r w:rsidR="00BC5D7F" w:rsidRPr="00583970">
        <w:rPr>
          <w:rFonts w:ascii="Calibri" w:hAnsi="Calibri" w:cs="Calibri"/>
          <w:sz w:val="24"/>
          <w:szCs w:val="24"/>
        </w:rPr>
        <w:t>6)</w:t>
      </w:r>
      <w:r w:rsidR="00C36EEF" w:rsidRPr="00583970">
        <w:rPr>
          <w:rFonts w:ascii="Calibri" w:hAnsi="Calibri" w:cs="Calibri"/>
          <w:sz w:val="24"/>
          <w:szCs w:val="24"/>
        </w:rPr>
        <w:t>.</w:t>
      </w:r>
    </w:p>
    <w:p w14:paraId="38487F82" w14:textId="77777777" w:rsidR="00C36EEF" w:rsidRPr="00583970" w:rsidRDefault="00C36EEF" w:rsidP="001654C4">
      <w:pPr>
        <w:spacing w:after="0" w:line="240" w:lineRule="auto"/>
        <w:jc w:val="both"/>
        <w:rPr>
          <w:rFonts w:ascii="Calibri" w:hAnsi="Calibri" w:cs="Calibri"/>
          <w:sz w:val="24"/>
          <w:szCs w:val="24"/>
        </w:rPr>
      </w:pPr>
    </w:p>
    <w:p w14:paraId="50E0ED53" w14:textId="07DB86D8" w:rsidR="00C46245" w:rsidRPr="00583970" w:rsidRDefault="00D515A7" w:rsidP="001654C4">
      <w:pPr>
        <w:spacing w:after="0" w:line="240" w:lineRule="auto"/>
        <w:jc w:val="both"/>
        <w:rPr>
          <w:rFonts w:ascii="Calibri" w:hAnsi="Calibri" w:cs="Calibri"/>
          <w:b/>
          <w:bCs/>
          <w:sz w:val="24"/>
          <w:szCs w:val="24"/>
        </w:rPr>
      </w:pPr>
      <w:r w:rsidRPr="00583970">
        <w:rPr>
          <w:rFonts w:ascii="Calibri" w:hAnsi="Calibri" w:cs="Calibri"/>
          <w:b/>
          <w:bCs/>
          <w:sz w:val="24"/>
          <w:szCs w:val="24"/>
        </w:rPr>
        <w:t>PROTOCOL:</w:t>
      </w:r>
    </w:p>
    <w:p w14:paraId="19517C4D" w14:textId="31F3B0F2" w:rsidR="00FC1C69" w:rsidRPr="008376FB" w:rsidRDefault="00D6068F" w:rsidP="001654C4">
      <w:pPr>
        <w:spacing w:after="0" w:line="240" w:lineRule="auto"/>
        <w:jc w:val="both"/>
        <w:rPr>
          <w:rFonts w:ascii="Calibri" w:hAnsi="Calibri" w:cs="Calibri"/>
          <w:sz w:val="24"/>
          <w:szCs w:val="24"/>
        </w:rPr>
      </w:pPr>
      <w:r w:rsidRPr="008376FB">
        <w:rPr>
          <w:rFonts w:ascii="Calibri" w:hAnsi="Calibri" w:cs="Calibri"/>
          <w:sz w:val="24"/>
          <w:szCs w:val="24"/>
        </w:rPr>
        <w:t xml:space="preserve">All animal procedures were conducted in accordance with the applicable national regulations and approved by the French Ministry of Higher Education, Research and Innovation </w:t>
      </w:r>
      <w:r w:rsidRPr="008376FB">
        <w:rPr>
          <w:rFonts w:ascii="Calibri" w:hAnsi="Calibri" w:cs="Calibri"/>
          <w:i/>
          <w:iCs/>
          <w:sz w:val="24"/>
          <w:szCs w:val="24"/>
        </w:rPr>
        <w:t>via</w:t>
      </w:r>
      <w:r w:rsidRPr="008376FB">
        <w:rPr>
          <w:rFonts w:ascii="Calibri" w:hAnsi="Calibri" w:cs="Calibri"/>
          <w:sz w:val="24"/>
          <w:szCs w:val="24"/>
        </w:rPr>
        <w:t xml:space="preserve"> the APAFIS platform (Authorization number: APAFIS#23855)</w:t>
      </w:r>
      <w:r w:rsidR="00FC1C69" w:rsidRPr="008376FB">
        <w:rPr>
          <w:rFonts w:ascii="Calibri" w:hAnsi="Calibri" w:cs="Calibri"/>
          <w:sz w:val="24"/>
          <w:szCs w:val="24"/>
        </w:rPr>
        <w:t xml:space="preserve"> and </w:t>
      </w:r>
      <w:r w:rsidR="00006314" w:rsidRPr="008376FB">
        <w:rPr>
          <w:rFonts w:ascii="Calibri" w:hAnsi="Calibri" w:cs="Calibri"/>
          <w:sz w:val="24"/>
          <w:szCs w:val="24"/>
        </w:rPr>
        <w:t xml:space="preserve">grants from the Agence Nationale pour la Recherche (ANR): </w:t>
      </w:r>
      <w:r w:rsidR="00FC1C69" w:rsidRPr="008376FB">
        <w:rPr>
          <w:rFonts w:ascii="Calibri" w:hAnsi="Calibri" w:cs="Calibri"/>
          <w:sz w:val="24"/>
          <w:szCs w:val="24"/>
        </w:rPr>
        <w:t xml:space="preserve">11-IDEX-0005-02, </w:t>
      </w:r>
      <w:r w:rsidR="00006314" w:rsidRPr="008376FB">
        <w:rPr>
          <w:rFonts w:ascii="Calibri" w:hAnsi="Calibri" w:cs="Calibri"/>
          <w:sz w:val="24"/>
          <w:szCs w:val="24"/>
        </w:rPr>
        <w:t>ANR-</w:t>
      </w:r>
      <w:r w:rsidR="00FC1C69" w:rsidRPr="008376FB">
        <w:rPr>
          <w:rFonts w:ascii="Calibri" w:hAnsi="Calibri" w:cs="Calibri"/>
          <w:sz w:val="24"/>
          <w:szCs w:val="24"/>
        </w:rPr>
        <w:t xml:space="preserve">24-CE15-7152, </w:t>
      </w:r>
      <w:r w:rsidR="00006314" w:rsidRPr="008376FB">
        <w:rPr>
          <w:rFonts w:ascii="Calibri" w:hAnsi="Calibri" w:cs="Calibri"/>
          <w:sz w:val="24"/>
          <w:szCs w:val="24"/>
        </w:rPr>
        <w:t xml:space="preserve">and </w:t>
      </w:r>
      <w:r w:rsidR="00FC1C69" w:rsidRPr="008376FB">
        <w:rPr>
          <w:rFonts w:ascii="Calibri" w:hAnsi="Calibri" w:cs="Calibri"/>
          <w:sz w:val="24"/>
          <w:szCs w:val="24"/>
        </w:rPr>
        <w:t>18-IDEX-0001.</w:t>
      </w:r>
      <w:r w:rsidR="00040590" w:rsidRPr="008376FB">
        <w:rPr>
          <w:rFonts w:ascii="Calibri" w:hAnsi="Calibri" w:cs="Calibri"/>
          <w:sz w:val="24"/>
          <w:szCs w:val="24"/>
        </w:rPr>
        <w:t xml:space="preserve"> The reagents and the equipment used are listed in the </w:t>
      </w:r>
      <w:r w:rsidR="00040590" w:rsidRPr="008376FB">
        <w:rPr>
          <w:rFonts w:ascii="Calibri" w:hAnsi="Calibri" w:cs="Calibri"/>
          <w:b/>
          <w:bCs/>
          <w:sz w:val="24"/>
          <w:szCs w:val="24"/>
        </w:rPr>
        <w:t>Table of Materials</w:t>
      </w:r>
      <w:r w:rsidR="00040590" w:rsidRPr="008376FB">
        <w:rPr>
          <w:rFonts w:ascii="Calibri" w:hAnsi="Calibri" w:cs="Calibri"/>
          <w:sz w:val="24"/>
          <w:szCs w:val="24"/>
        </w:rPr>
        <w:t>.</w:t>
      </w:r>
    </w:p>
    <w:p w14:paraId="71EAA7D1" w14:textId="661A4B65" w:rsidR="00D6068F" w:rsidRPr="008376FB" w:rsidRDefault="00D6068F" w:rsidP="001654C4">
      <w:pPr>
        <w:spacing w:after="0" w:line="240" w:lineRule="auto"/>
        <w:jc w:val="both"/>
        <w:rPr>
          <w:rFonts w:ascii="Calibri" w:hAnsi="Calibri" w:cs="Calibri"/>
          <w:sz w:val="24"/>
          <w:szCs w:val="24"/>
        </w:rPr>
      </w:pPr>
    </w:p>
    <w:p w14:paraId="034871F8" w14:textId="40D90792" w:rsidR="0010427C" w:rsidRPr="008376FB" w:rsidRDefault="00C22CC1" w:rsidP="001654C4">
      <w:pPr>
        <w:spacing w:after="0" w:line="240" w:lineRule="auto"/>
        <w:jc w:val="both"/>
        <w:rPr>
          <w:rFonts w:ascii="Calibri" w:hAnsi="Calibri" w:cs="Calibri"/>
          <w:b/>
          <w:bCs/>
          <w:sz w:val="24"/>
          <w:szCs w:val="24"/>
        </w:rPr>
      </w:pPr>
      <w:r w:rsidRPr="008376FB">
        <w:rPr>
          <w:rFonts w:ascii="Calibri" w:hAnsi="Calibri" w:cs="Calibri"/>
          <w:b/>
          <w:bCs/>
          <w:sz w:val="24"/>
          <w:szCs w:val="24"/>
        </w:rPr>
        <w:t>1</w:t>
      </w:r>
      <w:r w:rsidR="00040590" w:rsidRPr="008376FB">
        <w:rPr>
          <w:rFonts w:ascii="Calibri" w:hAnsi="Calibri" w:cs="Calibri"/>
          <w:b/>
          <w:bCs/>
          <w:sz w:val="24"/>
          <w:szCs w:val="24"/>
        </w:rPr>
        <w:t xml:space="preserve">. </w:t>
      </w:r>
      <w:r w:rsidRPr="008376FB">
        <w:rPr>
          <w:rFonts w:ascii="Calibri" w:hAnsi="Calibri" w:cs="Calibri"/>
          <w:b/>
          <w:bCs/>
          <w:sz w:val="24"/>
          <w:szCs w:val="24"/>
        </w:rPr>
        <w:t>Gavage of neonatal mouse pups</w:t>
      </w:r>
    </w:p>
    <w:p w14:paraId="5D0B341F" w14:textId="77777777" w:rsidR="00040590" w:rsidRPr="008376FB" w:rsidRDefault="00040590" w:rsidP="001654C4">
      <w:pPr>
        <w:spacing w:after="0" w:line="240" w:lineRule="auto"/>
        <w:jc w:val="both"/>
        <w:rPr>
          <w:rFonts w:ascii="Calibri" w:hAnsi="Calibri" w:cs="Calibri"/>
          <w:sz w:val="24"/>
          <w:szCs w:val="24"/>
        </w:rPr>
      </w:pPr>
    </w:p>
    <w:p w14:paraId="6F6C2370" w14:textId="36F2AA93" w:rsidR="00873694" w:rsidRPr="008376FB" w:rsidRDefault="004337DD" w:rsidP="001654C4">
      <w:pPr>
        <w:spacing w:after="0" w:line="240" w:lineRule="auto"/>
        <w:jc w:val="both"/>
        <w:rPr>
          <w:rFonts w:ascii="Calibri" w:hAnsi="Calibri" w:cs="Calibri"/>
          <w:sz w:val="24"/>
          <w:szCs w:val="24"/>
        </w:rPr>
      </w:pPr>
      <w:r w:rsidRPr="008376FB">
        <w:rPr>
          <w:rFonts w:ascii="Calibri" w:hAnsi="Calibri" w:cs="Calibri"/>
          <w:sz w:val="24"/>
          <w:szCs w:val="24"/>
        </w:rPr>
        <w:t xml:space="preserve">NOTE: </w:t>
      </w:r>
      <w:r w:rsidR="00D030D5" w:rsidRPr="008376FB">
        <w:rPr>
          <w:rFonts w:ascii="Calibri" w:hAnsi="Calibri" w:cs="Calibri"/>
          <w:sz w:val="24"/>
          <w:szCs w:val="24"/>
        </w:rPr>
        <w:t>The following method is adapted from Francis et al.</w:t>
      </w:r>
      <w:r w:rsidR="00D16606" w:rsidRPr="008376FB">
        <w:rPr>
          <w:rFonts w:ascii="Calibri" w:hAnsi="Calibri" w:cs="Calibri"/>
          <w:sz w:val="24"/>
          <w:szCs w:val="24"/>
        </w:rPr>
        <w:fldChar w:fldCharType="begin"/>
      </w:r>
      <w:r w:rsidR="00A00B28" w:rsidRPr="008376FB">
        <w:rPr>
          <w:rFonts w:ascii="Calibri" w:hAnsi="Calibri" w:cs="Calibri"/>
          <w:sz w:val="24"/>
          <w:szCs w:val="24"/>
        </w:rPr>
        <w:instrText xml:space="preserve"> ADDIN ZOTERO_ITEM CSL_CITATION {"citationID":"gpm5BtuS","properties":{"formattedCitation":"\\super 12\\nosupersub{}","plainCitation":"12","noteIndex":0},"citationItems":[{"id":438,"uris":["http://zotero.org/users/local/MfNK0c4v/items/LX46IPPK"],"itemData":{"id":438,"type":"article-journal","abstract":"Adult mouse models have been widely used to understand the mechanism behind disease progression in humans. The applicability of studies done in adult mouse models to neonatal diseases is limited. To better understand disease progression, host responses and long-term impact of interventions in neonates, a neonatal mouse model likely is a better fit. The sparse use of neonatal mouse models can in part be attributed to the technical difficulties of working with these small animals. A neonatal mouse model was developed to determine the effects of probiotic administration in early life and to specifically assess the ability to establish colonization in the newborn mouse intestinal tract. Specifically, to assess probiotic colonization in the neonatal mouse, Lactobacillus plantarum (LP) was delivered directly into the neonatal mouse gastrointestinal tract. To this end, LP was administered to mice by feeding through intra-esophageal (IE) gavage. A highly reproducible method was developed to standardize the process of IE gavage that allows an accurate administration of probiotic dosages while minimizing trauma, an aspect particularly important given the fragility of newborn mice. Limitations of this process include possibilities of esophageal irritation or damage and aspiration if gavaged incorrectly. This approach represents an improvement on current practices because IE gavage into the distal esophagus reduces the chances of aspiration. Following gavage, the colonization profile of the probiotic was traced using quantitative polymerase chain reaction (qPCR) of the extracted intestinal DNA with LP specific primers. Different litter settings and cage management techniques were used to assess the potential for colonization-spread. The protocol details the intricacies of IE neonatal mouse gavage and subsequent colonization quantification with LP.","container-title":"JoVE (Journal of Visualized Experiments)","DOI":"10.3791/59074","ISSN":"1940-087X","issue":"143","language":"en","page":"e59074","source":"www.jove.com","title":"Probiotic Studies in Neonatal Mice Using Gavage","author":[{"family":"Francis","given":"Freddy"},{"family":"Varankovich","given":"Natallia"},{"family":"Brook","given":"Byron"},{"family":"Amenyogbe","given":"Nelly"},{"family":"Ben-Othman","given":"Rym"},{"family":"Cai","given":"Bing"},{"family":"Harbeson","given":"Danny"},{"family":"Liu","given":"Aaron C."},{"family":"Dai","given":"Ben"},{"family":"McErlane","given":"Shelly"},{"family":"Andrews","given":"Kris"},{"family":"Kollmann","given":"Tobias R."},{"family":"Panigrahi","given":"Pinaki"}],"issued":{"date-parts":[["2019",1,27]]}}}],"schema":"https://github.com/citation-style-language/schema/raw/master/csl-citation.json"} </w:instrText>
      </w:r>
      <w:r w:rsidR="00D16606" w:rsidRPr="008376FB">
        <w:rPr>
          <w:rFonts w:ascii="Calibri" w:hAnsi="Calibri" w:cs="Calibri"/>
          <w:sz w:val="24"/>
          <w:szCs w:val="24"/>
        </w:rPr>
        <w:fldChar w:fldCharType="separate"/>
      </w:r>
      <w:r w:rsidR="00A65BA8" w:rsidRPr="008376FB">
        <w:rPr>
          <w:rFonts w:ascii="Calibri" w:hAnsi="Calibri" w:cs="Calibri"/>
          <w:kern w:val="0"/>
          <w:sz w:val="24"/>
          <w:szCs w:val="24"/>
          <w:vertAlign w:val="superscript"/>
        </w:rPr>
        <w:t>12</w:t>
      </w:r>
      <w:r w:rsidR="00D16606" w:rsidRPr="008376FB">
        <w:rPr>
          <w:rFonts w:ascii="Calibri" w:hAnsi="Calibri" w:cs="Calibri"/>
          <w:sz w:val="24"/>
          <w:szCs w:val="24"/>
        </w:rPr>
        <w:fldChar w:fldCharType="end"/>
      </w:r>
      <w:r w:rsidR="00D030D5" w:rsidRPr="008376FB">
        <w:rPr>
          <w:rFonts w:ascii="Calibri" w:hAnsi="Calibri" w:cs="Calibri"/>
          <w:sz w:val="24"/>
          <w:szCs w:val="24"/>
        </w:rPr>
        <w:t>. While the original protocol permits gavage of mouse pups as early as DOL</w:t>
      </w:r>
      <w:r w:rsidR="00762971" w:rsidRPr="008376FB">
        <w:rPr>
          <w:rFonts w:ascii="Calibri" w:hAnsi="Calibri" w:cs="Calibri"/>
          <w:sz w:val="24"/>
          <w:szCs w:val="24"/>
        </w:rPr>
        <w:t xml:space="preserve"> </w:t>
      </w:r>
      <w:r w:rsidR="00D030D5" w:rsidRPr="008376FB">
        <w:rPr>
          <w:rFonts w:ascii="Calibri" w:hAnsi="Calibri" w:cs="Calibri"/>
          <w:sz w:val="24"/>
          <w:szCs w:val="24"/>
        </w:rPr>
        <w:t xml:space="preserve">2, </w:t>
      </w:r>
      <w:r w:rsidR="00DB09CF" w:rsidRPr="008376FB">
        <w:rPr>
          <w:rFonts w:ascii="Calibri" w:hAnsi="Calibri" w:cs="Calibri"/>
          <w:sz w:val="24"/>
          <w:szCs w:val="24"/>
        </w:rPr>
        <w:t xml:space="preserve">gavage was not </w:t>
      </w:r>
      <w:r w:rsidR="00016614" w:rsidRPr="008376FB">
        <w:rPr>
          <w:rFonts w:ascii="Calibri" w:hAnsi="Calibri" w:cs="Calibri"/>
          <w:sz w:val="24"/>
          <w:szCs w:val="24"/>
        </w:rPr>
        <w:t>performed</w:t>
      </w:r>
      <w:r w:rsidR="00D030D5" w:rsidRPr="008376FB">
        <w:rPr>
          <w:rFonts w:ascii="Calibri" w:hAnsi="Calibri" w:cs="Calibri"/>
          <w:sz w:val="24"/>
          <w:szCs w:val="24"/>
        </w:rPr>
        <w:t xml:space="preserve"> before DOL</w:t>
      </w:r>
      <w:r w:rsidR="003C2B0E" w:rsidRPr="008376FB">
        <w:rPr>
          <w:rFonts w:ascii="Calibri" w:hAnsi="Calibri" w:cs="Calibri"/>
          <w:sz w:val="24"/>
          <w:szCs w:val="24"/>
        </w:rPr>
        <w:t xml:space="preserve"> </w:t>
      </w:r>
      <w:r w:rsidR="00B87B16" w:rsidRPr="008376FB">
        <w:rPr>
          <w:rFonts w:ascii="Calibri" w:hAnsi="Calibri" w:cs="Calibri"/>
          <w:sz w:val="24"/>
          <w:szCs w:val="24"/>
        </w:rPr>
        <w:t>6</w:t>
      </w:r>
      <w:r w:rsidR="00AA2498" w:rsidRPr="008376FB">
        <w:rPr>
          <w:rFonts w:ascii="Calibri" w:hAnsi="Calibri" w:cs="Calibri"/>
          <w:sz w:val="24"/>
          <w:szCs w:val="24"/>
        </w:rPr>
        <w:t xml:space="preserve"> here</w:t>
      </w:r>
      <w:r w:rsidR="00D030D5" w:rsidRPr="008376FB">
        <w:rPr>
          <w:rFonts w:ascii="Calibri" w:hAnsi="Calibri" w:cs="Calibri"/>
          <w:sz w:val="24"/>
          <w:szCs w:val="24"/>
        </w:rPr>
        <w:t xml:space="preserve">, as the technical demands at earlier ages make the procedure considerably more challenging. In addition, </w:t>
      </w:r>
      <w:r w:rsidR="00D030D5" w:rsidRPr="008376FB">
        <w:rPr>
          <w:rFonts w:ascii="Calibri" w:hAnsi="Calibri" w:cs="Calibri"/>
          <w:sz w:val="24"/>
          <w:szCs w:val="24"/>
        </w:rPr>
        <w:lastRenderedPageBreak/>
        <w:t xml:space="preserve">using younger pups complicates studies </w:t>
      </w:r>
      <w:r w:rsidR="00762971" w:rsidRPr="008376FB">
        <w:rPr>
          <w:rFonts w:ascii="Calibri" w:hAnsi="Calibri" w:cs="Calibri"/>
          <w:sz w:val="24"/>
          <w:szCs w:val="24"/>
        </w:rPr>
        <w:t xml:space="preserve">as it </w:t>
      </w:r>
      <w:r w:rsidR="00D030D5" w:rsidRPr="008376FB">
        <w:rPr>
          <w:rFonts w:ascii="Calibri" w:hAnsi="Calibri" w:cs="Calibri"/>
          <w:sz w:val="24"/>
          <w:szCs w:val="24"/>
        </w:rPr>
        <w:t>increases the risk of animal loss during the first days of treatment</w:t>
      </w:r>
      <w:r w:rsidR="00762971" w:rsidRPr="008376FB">
        <w:rPr>
          <w:rFonts w:ascii="Calibri" w:hAnsi="Calibri" w:cs="Calibri"/>
          <w:sz w:val="24"/>
          <w:szCs w:val="24"/>
        </w:rPr>
        <w:t>, thus requiring larger cohorts</w:t>
      </w:r>
      <w:r w:rsidR="00873694" w:rsidRPr="008376FB">
        <w:rPr>
          <w:rFonts w:ascii="Calibri" w:hAnsi="Calibri" w:cs="Calibri"/>
          <w:sz w:val="24"/>
          <w:szCs w:val="24"/>
        </w:rPr>
        <w:t>.</w:t>
      </w:r>
    </w:p>
    <w:p w14:paraId="18E86337" w14:textId="77777777" w:rsidR="005438BE" w:rsidRPr="008376FB" w:rsidRDefault="005438BE" w:rsidP="001654C4">
      <w:pPr>
        <w:spacing w:after="0" w:line="240" w:lineRule="auto"/>
        <w:jc w:val="both"/>
        <w:rPr>
          <w:rFonts w:ascii="Calibri" w:hAnsi="Calibri" w:cs="Calibri"/>
          <w:sz w:val="24"/>
          <w:szCs w:val="24"/>
        </w:rPr>
      </w:pPr>
    </w:p>
    <w:p w14:paraId="7A2E6E92" w14:textId="3E034DD5" w:rsidR="00294F4B" w:rsidRPr="008376FB" w:rsidRDefault="00D030D5" w:rsidP="001654C4">
      <w:pPr>
        <w:pStyle w:val="ListParagraph"/>
        <w:numPr>
          <w:ilvl w:val="1"/>
          <w:numId w:val="36"/>
        </w:numPr>
        <w:spacing w:after="0" w:line="240" w:lineRule="auto"/>
        <w:ind w:left="0" w:firstLine="0"/>
        <w:jc w:val="both"/>
        <w:rPr>
          <w:rFonts w:ascii="Calibri" w:hAnsi="Calibri" w:cs="Calibri"/>
          <w:sz w:val="24"/>
          <w:szCs w:val="24"/>
        </w:rPr>
      </w:pPr>
      <w:r w:rsidRPr="008376FB">
        <w:rPr>
          <w:rFonts w:ascii="Calibri" w:hAnsi="Calibri" w:cs="Calibri"/>
          <w:sz w:val="24"/>
          <w:szCs w:val="24"/>
        </w:rPr>
        <w:t>Gavage solutions prep and setup</w:t>
      </w:r>
    </w:p>
    <w:p w14:paraId="025CB1A2" w14:textId="77777777" w:rsidR="005438BE" w:rsidRPr="008376FB" w:rsidRDefault="005438BE" w:rsidP="001654C4">
      <w:pPr>
        <w:pStyle w:val="ListParagraph"/>
        <w:spacing w:after="0" w:line="240" w:lineRule="auto"/>
        <w:ind w:left="0"/>
        <w:jc w:val="both"/>
        <w:rPr>
          <w:rFonts w:ascii="Calibri" w:hAnsi="Calibri" w:cs="Calibri"/>
          <w:sz w:val="24"/>
          <w:szCs w:val="24"/>
        </w:rPr>
      </w:pPr>
    </w:p>
    <w:p w14:paraId="13DEFFB3" w14:textId="38D30038" w:rsidR="00294F4B" w:rsidRPr="008376FB" w:rsidRDefault="00D030D5" w:rsidP="001654C4">
      <w:pPr>
        <w:pStyle w:val="ListParagraph"/>
        <w:numPr>
          <w:ilvl w:val="2"/>
          <w:numId w:val="36"/>
        </w:numPr>
        <w:spacing w:after="0" w:line="240" w:lineRule="auto"/>
        <w:ind w:left="0" w:firstLine="0"/>
        <w:jc w:val="both"/>
        <w:rPr>
          <w:rFonts w:ascii="Calibri" w:hAnsi="Calibri" w:cs="Calibri"/>
          <w:sz w:val="24"/>
          <w:szCs w:val="24"/>
        </w:rPr>
      </w:pPr>
      <w:r w:rsidRPr="008376FB">
        <w:rPr>
          <w:rFonts w:ascii="Calibri" w:hAnsi="Calibri" w:cs="Calibri"/>
          <w:sz w:val="24"/>
          <w:szCs w:val="24"/>
        </w:rPr>
        <w:t>Weigh</w:t>
      </w:r>
      <w:r w:rsidR="00294F4B" w:rsidRPr="008376FB">
        <w:rPr>
          <w:rFonts w:ascii="Calibri" w:hAnsi="Calibri" w:cs="Calibri"/>
          <w:sz w:val="24"/>
          <w:szCs w:val="24"/>
        </w:rPr>
        <w:t xml:space="preserve"> </w:t>
      </w:r>
      <w:r w:rsidR="00D51B58" w:rsidRPr="008376FB">
        <w:rPr>
          <w:rFonts w:ascii="Calibri" w:hAnsi="Calibri" w:cs="Calibri"/>
          <w:sz w:val="24"/>
          <w:szCs w:val="24"/>
        </w:rPr>
        <w:t>each pup individually</w:t>
      </w:r>
      <w:r w:rsidR="00544725" w:rsidRPr="008376FB">
        <w:rPr>
          <w:rFonts w:ascii="Calibri" w:hAnsi="Calibri" w:cs="Calibri"/>
          <w:sz w:val="24"/>
          <w:szCs w:val="24"/>
        </w:rPr>
        <w:t>.</w:t>
      </w:r>
    </w:p>
    <w:p w14:paraId="0B6C6646" w14:textId="77777777" w:rsidR="005438BE" w:rsidRPr="008376FB" w:rsidRDefault="005438BE" w:rsidP="001654C4">
      <w:pPr>
        <w:pStyle w:val="ListParagraph"/>
        <w:spacing w:after="0" w:line="240" w:lineRule="auto"/>
        <w:ind w:left="0"/>
        <w:jc w:val="both"/>
        <w:rPr>
          <w:rFonts w:ascii="Calibri" w:hAnsi="Calibri" w:cs="Calibri"/>
          <w:sz w:val="24"/>
          <w:szCs w:val="24"/>
        </w:rPr>
      </w:pPr>
    </w:p>
    <w:p w14:paraId="6F88E8AC" w14:textId="77777777" w:rsidR="005438BE" w:rsidRPr="008376FB" w:rsidRDefault="00D51B58" w:rsidP="001654C4">
      <w:pPr>
        <w:pStyle w:val="ListParagraph"/>
        <w:numPr>
          <w:ilvl w:val="2"/>
          <w:numId w:val="36"/>
        </w:numPr>
        <w:spacing w:after="0" w:line="240" w:lineRule="auto"/>
        <w:ind w:left="0" w:firstLine="0"/>
        <w:jc w:val="both"/>
        <w:rPr>
          <w:rFonts w:ascii="Calibri" w:hAnsi="Calibri" w:cs="Calibri"/>
          <w:sz w:val="24"/>
          <w:szCs w:val="24"/>
        </w:rPr>
      </w:pPr>
      <w:r w:rsidRPr="008376FB">
        <w:rPr>
          <w:rFonts w:ascii="Calibri" w:hAnsi="Calibri" w:cs="Calibri"/>
          <w:sz w:val="24"/>
          <w:szCs w:val="24"/>
        </w:rPr>
        <w:t>Adjust the concentration and volume of the gavage solution so that the total volume administered does not exceed 20 µL per gram of body weight</w:t>
      </w:r>
      <w:r w:rsidR="00544725" w:rsidRPr="008376FB">
        <w:rPr>
          <w:rFonts w:ascii="Calibri" w:hAnsi="Calibri" w:cs="Calibri"/>
          <w:sz w:val="24"/>
          <w:szCs w:val="24"/>
        </w:rPr>
        <w:t>.</w:t>
      </w:r>
    </w:p>
    <w:p w14:paraId="57D13D30" w14:textId="7F7E47F6" w:rsidR="00532CBA" w:rsidRPr="008376FB" w:rsidRDefault="00D51B58" w:rsidP="001654C4">
      <w:pPr>
        <w:pStyle w:val="ListParagraph"/>
        <w:spacing w:after="0" w:line="240" w:lineRule="auto"/>
        <w:ind w:left="0"/>
        <w:jc w:val="both"/>
        <w:rPr>
          <w:rFonts w:ascii="Calibri" w:hAnsi="Calibri" w:cs="Calibri"/>
          <w:sz w:val="24"/>
          <w:szCs w:val="24"/>
        </w:rPr>
      </w:pPr>
      <w:r w:rsidRPr="008376FB">
        <w:rPr>
          <w:rFonts w:ascii="Calibri" w:hAnsi="Calibri" w:cs="Calibri"/>
          <w:sz w:val="24"/>
          <w:szCs w:val="24"/>
        </w:rPr>
        <w:br/>
      </w:r>
      <w:r w:rsidR="009D375A" w:rsidRPr="008376FB">
        <w:rPr>
          <w:rFonts w:ascii="Calibri" w:hAnsi="Calibri" w:cs="Calibri"/>
          <w:sz w:val="24"/>
          <w:szCs w:val="24"/>
        </w:rPr>
        <w:t xml:space="preserve">NOTE: </w:t>
      </w:r>
      <w:r w:rsidRPr="008376FB">
        <w:rPr>
          <w:rFonts w:ascii="Calibri" w:hAnsi="Calibri" w:cs="Calibri"/>
          <w:sz w:val="24"/>
          <w:szCs w:val="24"/>
        </w:rPr>
        <w:t>Under standard conditions, mouse pups rarely weigh less than 2</w:t>
      </w:r>
      <w:r w:rsidR="00A55514">
        <w:rPr>
          <w:rFonts w:ascii="Calibri" w:hAnsi="Calibri" w:cs="Calibri"/>
          <w:sz w:val="24"/>
          <w:szCs w:val="24"/>
        </w:rPr>
        <w:t>.</w:t>
      </w:r>
      <w:r w:rsidRPr="008376FB">
        <w:rPr>
          <w:rFonts w:ascii="Calibri" w:hAnsi="Calibri" w:cs="Calibri"/>
          <w:sz w:val="24"/>
          <w:szCs w:val="24"/>
        </w:rPr>
        <w:t>5 g at DOL</w:t>
      </w:r>
      <w:r w:rsidR="003C2B0E" w:rsidRPr="008376FB">
        <w:rPr>
          <w:rFonts w:ascii="Calibri" w:hAnsi="Calibri" w:cs="Calibri"/>
          <w:sz w:val="24"/>
          <w:szCs w:val="24"/>
        </w:rPr>
        <w:t xml:space="preserve"> </w:t>
      </w:r>
      <w:r w:rsidRPr="008376FB">
        <w:rPr>
          <w:rFonts w:ascii="Calibri" w:hAnsi="Calibri" w:cs="Calibri"/>
          <w:sz w:val="24"/>
          <w:szCs w:val="24"/>
        </w:rPr>
        <w:t>6</w:t>
      </w:r>
      <w:r w:rsidR="00544725" w:rsidRPr="008376FB">
        <w:rPr>
          <w:rFonts w:ascii="Calibri" w:hAnsi="Calibri" w:cs="Calibri"/>
          <w:sz w:val="24"/>
          <w:szCs w:val="24"/>
        </w:rPr>
        <w:t>.</w:t>
      </w:r>
    </w:p>
    <w:p w14:paraId="64BFA18D" w14:textId="77777777" w:rsidR="005438BE" w:rsidRPr="008376FB" w:rsidRDefault="005438BE" w:rsidP="001654C4">
      <w:pPr>
        <w:pStyle w:val="ListParagraph"/>
        <w:spacing w:after="0" w:line="240" w:lineRule="auto"/>
        <w:ind w:left="0"/>
        <w:jc w:val="both"/>
        <w:rPr>
          <w:rFonts w:ascii="Calibri" w:hAnsi="Calibri" w:cs="Calibri"/>
          <w:sz w:val="24"/>
          <w:szCs w:val="24"/>
        </w:rPr>
      </w:pPr>
    </w:p>
    <w:p w14:paraId="734F07F1" w14:textId="3E1048A0" w:rsidR="005438BE" w:rsidRPr="008376FB" w:rsidRDefault="00FC2564" w:rsidP="001654C4">
      <w:pPr>
        <w:pStyle w:val="ListParagraph"/>
        <w:numPr>
          <w:ilvl w:val="2"/>
          <w:numId w:val="36"/>
        </w:numPr>
        <w:spacing w:after="0" w:line="240" w:lineRule="auto"/>
        <w:ind w:left="0" w:firstLine="0"/>
        <w:jc w:val="both"/>
        <w:rPr>
          <w:rFonts w:ascii="Calibri" w:hAnsi="Calibri" w:cs="Calibri"/>
          <w:sz w:val="24"/>
          <w:szCs w:val="24"/>
        </w:rPr>
      </w:pPr>
      <w:r w:rsidRPr="008376FB">
        <w:rPr>
          <w:rFonts w:ascii="Calibri" w:hAnsi="Calibri" w:cs="Calibri"/>
          <w:sz w:val="24"/>
          <w:szCs w:val="24"/>
        </w:rPr>
        <w:t xml:space="preserve">Wash a </w:t>
      </w:r>
      <w:r w:rsidR="00B61631" w:rsidRPr="008376FB">
        <w:rPr>
          <w:rFonts w:ascii="Calibri" w:hAnsi="Calibri" w:cs="Calibri"/>
          <w:sz w:val="24"/>
          <w:szCs w:val="24"/>
        </w:rPr>
        <w:t>24-</w:t>
      </w:r>
      <w:r w:rsidR="00A55514">
        <w:rPr>
          <w:rFonts w:ascii="Calibri" w:hAnsi="Calibri" w:cs="Calibri"/>
          <w:sz w:val="24"/>
          <w:szCs w:val="24"/>
        </w:rPr>
        <w:t>G</w:t>
      </w:r>
      <w:r w:rsidR="00D51B58" w:rsidRPr="008376FB">
        <w:rPr>
          <w:rFonts w:ascii="Calibri" w:hAnsi="Calibri" w:cs="Calibri"/>
          <w:sz w:val="24"/>
          <w:szCs w:val="24"/>
        </w:rPr>
        <w:t xml:space="preserve"> round-tip feeding needle by flushing it thoroughly with </w:t>
      </w:r>
      <w:r w:rsidR="00A55514">
        <w:rPr>
          <w:rFonts w:ascii="Calibri" w:hAnsi="Calibri" w:cs="Calibri"/>
          <w:sz w:val="24"/>
          <w:szCs w:val="24"/>
        </w:rPr>
        <w:t>deionized</w:t>
      </w:r>
      <w:r w:rsidR="00D51B58" w:rsidRPr="008376FB">
        <w:rPr>
          <w:rFonts w:ascii="Calibri" w:hAnsi="Calibri" w:cs="Calibri"/>
          <w:sz w:val="24"/>
          <w:szCs w:val="24"/>
        </w:rPr>
        <w:t xml:space="preserve"> water</w:t>
      </w:r>
      <w:r w:rsidR="00F17BAA">
        <w:rPr>
          <w:rFonts w:ascii="Calibri" w:hAnsi="Calibri" w:cs="Calibri"/>
          <w:sz w:val="24"/>
          <w:szCs w:val="24"/>
        </w:rPr>
        <w:t>,</w:t>
      </w:r>
      <w:r w:rsidR="00D51B58" w:rsidRPr="008376FB">
        <w:rPr>
          <w:rFonts w:ascii="Calibri" w:hAnsi="Calibri" w:cs="Calibri"/>
          <w:sz w:val="24"/>
          <w:szCs w:val="24"/>
        </w:rPr>
        <w:t xml:space="preserve"> followed by 70% ethanol using a syringe, then autoclave it</w:t>
      </w:r>
      <w:r w:rsidR="00B87B16" w:rsidRPr="008376FB">
        <w:rPr>
          <w:rFonts w:ascii="Calibri" w:hAnsi="Calibri" w:cs="Calibri"/>
          <w:sz w:val="24"/>
          <w:szCs w:val="24"/>
        </w:rPr>
        <w:t>.</w:t>
      </w:r>
    </w:p>
    <w:p w14:paraId="7DB22E1C" w14:textId="4E867004" w:rsidR="005438BE" w:rsidRPr="008376FB" w:rsidRDefault="00276FCC" w:rsidP="001654C4">
      <w:pPr>
        <w:pStyle w:val="ListParagraph"/>
        <w:spacing w:after="0" w:line="240" w:lineRule="auto"/>
        <w:ind w:left="0"/>
        <w:jc w:val="both"/>
        <w:rPr>
          <w:rFonts w:ascii="Calibri" w:hAnsi="Calibri" w:cs="Calibri"/>
          <w:sz w:val="24"/>
          <w:szCs w:val="24"/>
        </w:rPr>
      </w:pPr>
      <w:r w:rsidRPr="008376FB">
        <w:rPr>
          <w:rFonts w:ascii="Calibri" w:hAnsi="Calibri" w:cs="Calibri"/>
          <w:sz w:val="24"/>
          <w:szCs w:val="24"/>
        </w:rPr>
        <w:br/>
      </w:r>
      <w:r w:rsidR="00D51B58" w:rsidRPr="008376FB">
        <w:rPr>
          <w:rFonts w:ascii="Calibri" w:hAnsi="Calibri" w:cs="Calibri"/>
          <w:sz w:val="24"/>
          <w:szCs w:val="24"/>
        </w:rPr>
        <w:t>NOTE</w:t>
      </w:r>
      <w:r w:rsidR="00D51B58" w:rsidRPr="00A55514">
        <w:rPr>
          <w:rFonts w:ascii="Calibri" w:hAnsi="Calibri" w:cs="Calibri"/>
          <w:sz w:val="24"/>
          <w:szCs w:val="24"/>
        </w:rPr>
        <w:t xml:space="preserve">: </w:t>
      </w:r>
      <w:r w:rsidR="00D51B58" w:rsidRPr="008376FB">
        <w:rPr>
          <w:rFonts w:ascii="Calibri" w:hAnsi="Calibri" w:cs="Calibri"/>
          <w:sz w:val="24"/>
          <w:szCs w:val="24"/>
        </w:rPr>
        <w:t>It is recommended to use a separate feeding needle for each treatment group to prevent cross-contamination</w:t>
      </w:r>
      <w:r w:rsidR="00544725" w:rsidRPr="008376FB">
        <w:rPr>
          <w:rFonts w:ascii="Calibri" w:hAnsi="Calibri" w:cs="Calibri"/>
          <w:sz w:val="24"/>
          <w:szCs w:val="24"/>
        </w:rPr>
        <w:t>.</w:t>
      </w:r>
    </w:p>
    <w:p w14:paraId="03A8FF0A" w14:textId="77777777" w:rsidR="005438BE" w:rsidRPr="008376FB" w:rsidRDefault="005438BE" w:rsidP="001654C4">
      <w:pPr>
        <w:pStyle w:val="ListParagraph"/>
        <w:spacing w:after="0" w:line="240" w:lineRule="auto"/>
        <w:ind w:left="0"/>
        <w:jc w:val="both"/>
        <w:rPr>
          <w:rFonts w:ascii="Calibri" w:hAnsi="Calibri" w:cs="Calibri"/>
          <w:sz w:val="24"/>
          <w:szCs w:val="24"/>
        </w:rPr>
      </w:pPr>
    </w:p>
    <w:p w14:paraId="231B912F" w14:textId="01F12DA5" w:rsidR="00FC2564" w:rsidRPr="008376FB" w:rsidRDefault="00D51B58" w:rsidP="001654C4">
      <w:pPr>
        <w:pStyle w:val="ListParagraph"/>
        <w:numPr>
          <w:ilvl w:val="2"/>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Place</w:t>
      </w:r>
      <w:r w:rsidR="00276FCC" w:rsidRPr="008376FB">
        <w:rPr>
          <w:rFonts w:ascii="Calibri" w:hAnsi="Calibri" w:cs="Calibri"/>
          <w:sz w:val="24"/>
          <w:szCs w:val="24"/>
          <w:highlight w:val="yellow"/>
        </w:rPr>
        <w:t xml:space="preserve"> clean paper towels on a disinfected heating pad set to ~38 °C</w:t>
      </w:r>
      <w:r w:rsidR="00544725" w:rsidRPr="008376FB">
        <w:rPr>
          <w:rFonts w:ascii="Calibri" w:hAnsi="Calibri" w:cs="Calibri"/>
          <w:sz w:val="24"/>
          <w:szCs w:val="24"/>
          <w:highlight w:val="yellow"/>
        </w:rPr>
        <w:t>.</w:t>
      </w:r>
    </w:p>
    <w:p w14:paraId="6B9FF1C1" w14:textId="77777777" w:rsidR="005438BE" w:rsidRPr="008376FB" w:rsidRDefault="005438BE" w:rsidP="001654C4">
      <w:pPr>
        <w:pStyle w:val="ListParagraph"/>
        <w:spacing w:after="0" w:line="240" w:lineRule="auto"/>
        <w:ind w:left="0"/>
        <w:jc w:val="both"/>
        <w:rPr>
          <w:rFonts w:ascii="Calibri" w:hAnsi="Calibri" w:cs="Calibri"/>
          <w:sz w:val="24"/>
          <w:szCs w:val="24"/>
          <w:highlight w:val="yellow"/>
        </w:rPr>
      </w:pPr>
    </w:p>
    <w:p w14:paraId="4FBD29E7" w14:textId="4ADE4E9D" w:rsidR="00276FCC" w:rsidRPr="008376FB" w:rsidRDefault="00276FCC" w:rsidP="001654C4">
      <w:pPr>
        <w:pStyle w:val="ListParagraph"/>
        <w:numPr>
          <w:ilvl w:val="2"/>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Wash gloves with 70% ethanol prior to opening the animal cages</w:t>
      </w:r>
      <w:r w:rsidR="00D51B58" w:rsidRPr="008376FB">
        <w:rPr>
          <w:rFonts w:ascii="Calibri" w:hAnsi="Calibri" w:cs="Calibri"/>
          <w:sz w:val="24"/>
          <w:szCs w:val="24"/>
          <w:highlight w:val="yellow"/>
        </w:rPr>
        <w:t xml:space="preserve"> to limit </w:t>
      </w:r>
      <w:r w:rsidR="003B6C4C" w:rsidRPr="008376FB">
        <w:rPr>
          <w:rFonts w:ascii="Calibri" w:hAnsi="Calibri" w:cs="Calibri"/>
          <w:sz w:val="24"/>
          <w:szCs w:val="24"/>
          <w:highlight w:val="yellow"/>
        </w:rPr>
        <w:t xml:space="preserve">odor transfer to the pups and </w:t>
      </w:r>
      <w:r w:rsidR="00475D1B" w:rsidRPr="008376FB">
        <w:rPr>
          <w:rFonts w:ascii="Calibri" w:hAnsi="Calibri" w:cs="Calibri"/>
          <w:sz w:val="24"/>
          <w:szCs w:val="24"/>
          <w:highlight w:val="yellow"/>
        </w:rPr>
        <w:t>reduce the risk</w:t>
      </w:r>
      <w:r w:rsidR="003B6C4C" w:rsidRPr="008376FB">
        <w:rPr>
          <w:rFonts w:ascii="Calibri" w:hAnsi="Calibri" w:cs="Calibri"/>
          <w:sz w:val="24"/>
          <w:szCs w:val="24"/>
          <w:highlight w:val="yellow"/>
        </w:rPr>
        <w:t xml:space="preserve"> of cannibalization</w:t>
      </w:r>
      <w:r w:rsidR="00544725" w:rsidRPr="008376FB">
        <w:rPr>
          <w:rFonts w:ascii="Calibri" w:hAnsi="Calibri" w:cs="Calibri"/>
          <w:sz w:val="24"/>
          <w:szCs w:val="24"/>
          <w:highlight w:val="yellow"/>
        </w:rPr>
        <w:t>.</w:t>
      </w:r>
    </w:p>
    <w:p w14:paraId="6757A7C5" w14:textId="77777777" w:rsidR="005438BE" w:rsidRPr="008376FB" w:rsidRDefault="005438BE" w:rsidP="001654C4">
      <w:pPr>
        <w:pStyle w:val="ListParagraph"/>
        <w:spacing w:after="0" w:line="240" w:lineRule="auto"/>
        <w:ind w:left="0"/>
        <w:jc w:val="both"/>
        <w:rPr>
          <w:rFonts w:ascii="Calibri" w:hAnsi="Calibri" w:cs="Calibri"/>
          <w:sz w:val="24"/>
          <w:szCs w:val="24"/>
          <w:highlight w:val="yellow"/>
        </w:rPr>
      </w:pPr>
    </w:p>
    <w:p w14:paraId="5D6C4CE7" w14:textId="150114C6" w:rsidR="00ED08A6" w:rsidRPr="008376FB" w:rsidRDefault="00ED08A6" w:rsidP="001654C4">
      <w:pPr>
        <w:pStyle w:val="ListParagraph"/>
        <w:numPr>
          <w:ilvl w:val="2"/>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 xml:space="preserve">Transfer the dam to </w:t>
      </w:r>
      <w:r w:rsidR="00174CBA" w:rsidRPr="008376FB">
        <w:rPr>
          <w:rFonts w:ascii="Calibri" w:hAnsi="Calibri" w:cs="Calibri"/>
          <w:sz w:val="24"/>
          <w:szCs w:val="24"/>
          <w:highlight w:val="yellow"/>
        </w:rPr>
        <w:t xml:space="preserve">a </w:t>
      </w:r>
      <w:r w:rsidR="00475D1B" w:rsidRPr="008376FB">
        <w:rPr>
          <w:rFonts w:ascii="Calibri" w:hAnsi="Calibri" w:cs="Calibri"/>
          <w:sz w:val="24"/>
          <w:szCs w:val="24"/>
          <w:highlight w:val="yellow"/>
        </w:rPr>
        <w:t>separate cage in another room</w:t>
      </w:r>
      <w:r w:rsidRPr="008376FB">
        <w:rPr>
          <w:rFonts w:ascii="Calibri" w:hAnsi="Calibri" w:cs="Calibri"/>
          <w:sz w:val="24"/>
          <w:szCs w:val="24"/>
          <w:highlight w:val="yellow"/>
        </w:rPr>
        <w:t xml:space="preserve"> to limit stress </w:t>
      </w:r>
      <w:r w:rsidR="00475D1B" w:rsidRPr="008376FB">
        <w:rPr>
          <w:rFonts w:ascii="Calibri" w:hAnsi="Calibri" w:cs="Calibri"/>
          <w:sz w:val="24"/>
          <w:szCs w:val="24"/>
          <w:highlight w:val="yellow"/>
        </w:rPr>
        <w:t>caused</w:t>
      </w:r>
      <w:r w:rsidRPr="008376FB">
        <w:rPr>
          <w:rFonts w:ascii="Calibri" w:hAnsi="Calibri" w:cs="Calibri"/>
          <w:sz w:val="24"/>
          <w:szCs w:val="24"/>
          <w:highlight w:val="yellow"/>
        </w:rPr>
        <w:t xml:space="preserve"> by the pups’ </w:t>
      </w:r>
      <w:r w:rsidR="00C7396D" w:rsidRPr="008376FB">
        <w:rPr>
          <w:rFonts w:ascii="Calibri" w:hAnsi="Calibri" w:cs="Calibri"/>
          <w:sz w:val="24"/>
          <w:szCs w:val="24"/>
          <w:highlight w:val="yellow"/>
        </w:rPr>
        <w:t xml:space="preserve">possible </w:t>
      </w:r>
      <w:r w:rsidRPr="008376FB">
        <w:rPr>
          <w:rFonts w:ascii="Calibri" w:hAnsi="Calibri" w:cs="Calibri"/>
          <w:sz w:val="24"/>
          <w:szCs w:val="24"/>
          <w:highlight w:val="yellow"/>
        </w:rPr>
        <w:t>vocalizations</w:t>
      </w:r>
      <w:r w:rsidR="00544725" w:rsidRPr="008376FB">
        <w:rPr>
          <w:rFonts w:ascii="Calibri" w:hAnsi="Calibri" w:cs="Calibri"/>
          <w:sz w:val="24"/>
          <w:szCs w:val="24"/>
          <w:highlight w:val="yellow"/>
        </w:rPr>
        <w:t>.</w:t>
      </w:r>
    </w:p>
    <w:p w14:paraId="525CE3FE" w14:textId="77777777" w:rsidR="005438BE" w:rsidRPr="008376FB" w:rsidRDefault="005438BE" w:rsidP="001654C4">
      <w:pPr>
        <w:pStyle w:val="ListParagraph"/>
        <w:spacing w:after="0" w:line="240" w:lineRule="auto"/>
        <w:ind w:left="0"/>
        <w:jc w:val="both"/>
        <w:rPr>
          <w:rFonts w:ascii="Calibri" w:hAnsi="Calibri" w:cs="Calibri"/>
          <w:sz w:val="24"/>
          <w:szCs w:val="24"/>
          <w:highlight w:val="yellow"/>
        </w:rPr>
      </w:pPr>
    </w:p>
    <w:p w14:paraId="2D4AAA95" w14:textId="28F99EC1" w:rsidR="00ED08A6" w:rsidRPr="008376FB" w:rsidRDefault="00475D1B" w:rsidP="001654C4">
      <w:pPr>
        <w:pStyle w:val="ListParagraph"/>
        <w:numPr>
          <w:ilvl w:val="2"/>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Rub cleaned gloves with nesting materials to limit</w:t>
      </w:r>
      <w:r w:rsidR="00ED08A6" w:rsidRPr="008376FB">
        <w:rPr>
          <w:rFonts w:ascii="Calibri" w:hAnsi="Calibri" w:cs="Calibri"/>
          <w:sz w:val="24"/>
          <w:szCs w:val="24"/>
          <w:highlight w:val="yellow"/>
        </w:rPr>
        <w:t xml:space="preserve"> the</w:t>
      </w:r>
      <w:r w:rsidR="001C733D" w:rsidRPr="008376FB">
        <w:rPr>
          <w:rFonts w:ascii="Calibri" w:hAnsi="Calibri" w:cs="Calibri"/>
          <w:sz w:val="24"/>
          <w:szCs w:val="24"/>
          <w:highlight w:val="yellow"/>
        </w:rPr>
        <w:t xml:space="preserve"> risk of</w:t>
      </w:r>
      <w:r w:rsidR="00ED08A6" w:rsidRPr="008376FB">
        <w:rPr>
          <w:rFonts w:ascii="Calibri" w:hAnsi="Calibri" w:cs="Calibri"/>
          <w:sz w:val="24"/>
          <w:szCs w:val="24"/>
          <w:highlight w:val="yellow"/>
        </w:rPr>
        <w:t xml:space="preserve"> transfer of </w:t>
      </w:r>
      <w:r w:rsidR="004337DD" w:rsidRPr="008376FB">
        <w:rPr>
          <w:rFonts w:ascii="Calibri" w:hAnsi="Calibri" w:cs="Calibri"/>
          <w:sz w:val="24"/>
          <w:szCs w:val="24"/>
          <w:highlight w:val="yellow"/>
        </w:rPr>
        <w:t>external</w:t>
      </w:r>
      <w:r w:rsidR="00ED08A6" w:rsidRPr="008376FB">
        <w:rPr>
          <w:rFonts w:ascii="Calibri" w:hAnsi="Calibri" w:cs="Calibri"/>
          <w:sz w:val="24"/>
          <w:szCs w:val="24"/>
          <w:highlight w:val="yellow"/>
        </w:rPr>
        <w:t xml:space="preserve"> odors to the pups</w:t>
      </w:r>
      <w:r w:rsidR="001C733D" w:rsidRPr="008376FB">
        <w:rPr>
          <w:rFonts w:ascii="Calibri" w:hAnsi="Calibri" w:cs="Calibri"/>
          <w:sz w:val="24"/>
          <w:szCs w:val="24"/>
          <w:highlight w:val="yellow"/>
        </w:rPr>
        <w:t xml:space="preserve"> during gavage</w:t>
      </w:r>
      <w:r w:rsidR="00544725" w:rsidRPr="008376FB">
        <w:rPr>
          <w:rFonts w:ascii="Calibri" w:hAnsi="Calibri" w:cs="Calibri"/>
          <w:sz w:val="24"/>
          <w:szCs w:val="24"/>
          <w:highlight w:val="yellow"/>
        </w:rPr>
        <w:t>.</w:t>
      </w:r>
    </w:p>
    <w:p w14:paraId="3FA660BA" w14:textId="77777777" w:rsidR="005438BE" w:rsidRPr="008376FB" w:rsidRDefault="005438BE" w:rsidP="001654C4">
      <w:pPr>
        <w:pStyle w:val="ListParagraph"/>
        <w:spacing w:after="0" w:line="240" w:lineRule="auto"/>
        <w:ind w:left="0"/>
        <w:jc w:val="both"/>
        <w:rPr>
          <w:rFonts w:ascii="Calibri" w:hAnsi="Calibri" w:cs="Calibri"/>
          <w:sz w:val="24"/>
          <w:szCs w:val="24"/>
          <w:highlight w:val="yellow"/>
        </w:rPr>
      </w:pPr>
    </w:p>
    <w:p w14:paraId="13EAB5FF" w14:textId="084E29E0" w:rsidR="00276FCC" w:rsidRPr="008376FB" w:rsidRDefault="00ED08A6" w:rsidP="001654C4">
      <w:pPr>
        <w:pStyle w:val="ListParagraph"/>
        <w:numPr>
          <w:ilvl w:val="2"/>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Measure the length between the xiphoid process (lower end of the sternum) and the snout</w:t>
      </w:r>
      <w:r w:rsidR="00F66577" w:rsidRPr="008376FB">
        <w:rPr>
          <w:rFonts w:ascii="Calibri" w:hAnsi="Calibri" w:cs="Calibri"/>
          <w:sz w:val="24"/>
          <w:szCs w:val="24"/>
          <w:highlight w:val="yellow"/>
        </w:rPr>
        <w:t xml:space="preserve"> of </w:t>
      </w:r>
      <w:r w:rsidR="00475D1B" w:rsidRPr="008376FB">
        <w:rPr>
          <w:rFonts w:ascii="Calibri" w:hAnsi="Calibri" w:cs="Calibri"/>
          <w:sz w:val="24"/>
          <w:szCs w:val="24"/>
          <w:highlight w:val="yellow"/>
        </w:rPr>
        <w:t>a</w:t>
      </w:r>
      <w:r w:rsidR="00F66577" w:rsidRPr="008376FB">
        <w:rPr>
          <w:rFonts w:ascii="Calibri" w:hAnsi="Calibri" w:cs="Calibri"/>
          <w:sz w:val="24"/>
          <w:szCs w:val="24"/>
          <w:highlight w:val="yellow"/>
        </w:rPr>
        <w:t xml:space="preserve"> pup </w:t>
      </w:r>
      <w:r w:rsidR="00475D1B" w:rsidRPr="008376FB">
        <w:rPr>
          <w:rFonts w:ascii="Calibri" w:hAnsi="Calibri" w:cs="Calibri"/>
          <w:sz w:val="24"/>
          <w:szCs w:val="24"/>
          <w:highlight w:val="yellow"/>
        </w:rPr>
        <w:t>to</w:t>
      </w:r>
      <w:r w:rsidRPr="008376FB">
        <w:rPr>
          <w:rFonts w:ascii="Calibri" w:hAnsi="Calibri" w:cs="Calibri"/>
          <w:sz w:val="24"/>
          <w:szCs w:val="24"/>
          <w:highlight w:val="yellow"/>
        </w:rPr>
        <w:t xml:space="preserve"> mark the maximum insertion length on the</w:t>
      </w:r>
      <w:r w:rsidR="00475D1B" w:rsidRPr="008376FB">
        <w:rPr>
          <w:rFonts w:ascii="Calibri" w:hAnsi="Calibri" w:cs="Calibri"/>
          <w:sz w:val="24"/>
          <w:szCs w:val="24"/>
          <w:highlight w:val="yellow"/>
        </w:rPr>
        <w:t xml:space="preserve"> feeding</w:t>
      </w:r>
      <w:r w:rsidRPr="008376FB">
        <w:rPr>
          <w:rFonts w:ascii="Calibri" w:hAnsi="Calibri" w:cs="Calibri"/>
          <w:sz w:val="24"/>
          <w:szCs w:val="24"/>
          <w:highlight w:val="yellow"/>
        </w:rPr>
        <w:t xml:space="preserve"> needle</w:t>
      </w:r>
      <w:r w:rsidR="00F66577" w:rsidRPr="008376FB">
        <w:rPr>
          <w:rFonts w:ascii="Calibri" w:hAnsi="Calibri" w:cs="Calibri"/>
          <w:sz w:val="24"/>
          <w:szCs w:val="24"/>
          <w:highlight w:val="yellow"/>
        </w:rPr>
        <w:t xml:space="preserve"> </w:t>
      </w:r>
      <w:r w:rsidR="003142FC" w:rsidRPr="008376FB">
        <w:rPr>
          <w:rFonts w:ascii="Calibri" w:hAnsi="Calibri" w:cs="Calibri"/>
          <w:sz w:val="24"/>
          <w:szCs w:val="24"/>
          <w:highlight w:val="yellow"/>
        </w:rPr>
        <w:t>(</w:t>
      </w:r>
      <w:r w:rsidR="00C7396D" w:rsidRPr="008376FB">
        <w:rPr>
          <w:rFonts w:ascii="Calibri" w:hAnsi="Calibri" w:cs="Calibri"/>
          <w:b/>
          <w:bCs/>
          <w:sz w:val="24"/>
          <w:szCs w:val="24"/>
          <w:highlight w:val="yellow"/>
        </w:rPr>
        <w:t>Figure</w:t>
      </w:r>
      <w:r w:rsidR="003142FC" w:rsidRPr="008376FB">
        <w:rPr>
          <w:rFonts w:ascii="Calibri" w:hAnsi="Calibri" w:cs="Calibri"/>
          <w:b/>
          <w:bCs/>
          <w:sz w:val="24"/>
          <w:szCs w:val="24"/>
          <w:highlight w:val="yellow"/>
        </w:rPr>
        <w:t xml:space="preserve"> 1A</w:t>
      </w:r>
      <w:r w:rsidR="00A55514">
        <w:rPr>
          <w:rFonts w:ascii="Calibri" w:hAnsi="Calibri" w:cs="Calibri"/>
          <w:b/>
          <w:bCs/>
          <w:sz w:val="24"/>
          <w:szCs w:val="24"/>
          <w:highlight w:val="yellow"/>
        </w:rPr>
        <w:t>,</w:t>
      </w:r>
      <w:r w:rsidR="003142FC" w:rsidRPr="008376FB">
        <w:rPr>
          <w:rFonts w:ascii="Calibri" w:hAnsi="Calibri" w:cs="Calibri"/>
          <w:b/>
          <w:bCs/>
          <w:sz w:val="24"/>
          <w:szCs w:val="24"/>
          <w:highlight w:val="yellow"/>
        </w:rPr>
        <w:t>B</w:t>
      </w:r>
      <w:r w:rsidR="003142FC" w:rsidRPr="008376FB">
        <w:rPr>
          <w:rFonts w:ascii="Calibri" w:hAnsi="Calibri" w:cs="Calibri"/>
          <w:sz w:val="24"/>
          <w:szCs w:val="24"/>
          <w:highlight w:val="yellow"/>
        </w:rPr>
        <w:t>)</w:t>
      </w:r>
      <w:r w:rsidR="00544725" w:rsidRPr="008376FB">
        <w:rPr>
          <w:rFonts w:ascii="Calibri" w:hAnsi="Calibri" w:cs="Calibri"/>
          <w:sz w:val="24"/>
          <w:szCs w:val="24"/>
          <w:highlight w:val="yellow"/>
        </w:rPr>
        <w:t>.</w:t>
      </w:r>
    </w:p>
    <w:p w14:paraId="7DEAEEB4" w14:textId="77777777" w:rsidR="00F66577" w:rsidRPr="008376FB" w:rsidRDefault="00F66577" w:rsidP="001654C4">
      <w:pPr>
        <w:pStyle w:val="ListParagraph"/>
        <w:spacing w:after="0" w:line="240" w:lineRule="auto"/>
        <w:ind w:left="0"/>
        <w:jc w:val="both"/>
        <w:rPr>
          <w:rFonts w:ascii="Calibri" w:hAnsi="Calibri" w:cs="Calibri"/>
          <w:sz w:val="24"/>
          <w:szCs w:val="24"/>
          <w:highlight w:val="yellow"/>
        </w:rPr>
      </w:pPr>
    </w:p>
    <w:p w14:paraId="34A77674" w14:textId="2F38DC60" w:rsidR="00F66577" w:rsidRPr="008376FB" w:rsidRDefault="00F66577" w:rsidP="001654C4">
      <w:pPr>
        <w:pStyle w:val="ListParagraph"/>
        <w:numPr>
          <w:ilvl w:val="1"/>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Intra-esophageal gavage of mouse pups</w:t>
      </w:r>
    </w:p>
    <w:p w14:paraId="493D905F" w14:textId="77777777" w:rsidR="005438BE" w:rsidRPr="008376FB" w:rsidRDefault="005438BE" w:rsidP="001654C4">
      <w:pPr>
        <w:pStyle w:val="ListParagraph"/>
        <w:spacing w:after="0" w:line="240" w:lineRule="auto"/>
        <w:ind w:left="0"/>
        <w:jc w:val="both"/>
        <w:rPr>
          <w:rFonts w:ascii="Calibri" w:hAnsi="Calibri" w:cs="Calibri"/>
          <w:sz w:val="24"/>
          <w:szCs w:val="24"/>
          <w:highlight w:val="yellow"/>
        </w:rPr>
      </w:pPr>
    </w:p>
    <w:p w14:paraId="0B8790C0" w14:textId="2D26E152" w:rsidR="00ED08A6" w:rsidRPr="008376FB" w:rsidRDefault="00ED08A6" w:rsidP="001654C4">
      <w:pPr>
        <w:pStyle w:val="ListParagraph"/>
        <w:numPr>
          <w:ilvl w:val="2"/>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 xml:space="preserve">Attach the head of the needle to a syringe in a sterile manner </w:t>
      </w:r>
      <w:r w:rsidR="00F403F8" w:rsidRPr="008376FB">
        <w:rPr>
          <w:rFonts w:ascii="Calibri" w:hAnsi="Calibri" w:cs="Calibri"/>
          <w:sz w:val="24"/>
          <w:szCs w:val="24"/>
          <w:highlight w:val="yellow"/>
        </w:rPr>
        <w:t>and draw more than the desired volume of gavage solution</w:t>
      </w:r>
      <w:r w:rsidR="00475D1B" w:rsidRPr="008376FB">
        <w:rPr>
          <w:rFonts w:ascii="Calibri" w:hAnsi="Calibri" w:cs="Calibri"/>
          <w:sz w:val="24"/>
          <w:szCs w:val="24"/>
          <w:highlight w:val="yellow"/>
        </w:rPr>
        <w:t xml:space="preserve"> </w:t>
      </w:r>
      <w:r w:rsidR="00F403F8" w:rsidRPr="008376FB">
        <w:rPr>
          <w:rFonts w:ascii="Calibri" w:hAnsi="Calibri" w:cs="Calibri"/>
          <w:sz w:val="24"/>
          <w:szCs w:val="24"/>
          <w:highlight w:val="yellow"/>
        </w:rPr>
        <w:t xml:space="preserve">to administer the entirety of the </w:t>
      </w:r>
      <w:r w:rsidR="001C733D" w:rsidRPr="008376FB">
        <w:rPr>
          <w:rFonts w:ascii="Calibri" w:hAnsi="Calibri" w:cs="Calibri"/>
          <w:sz w:val="24"/>
          <w:szCs w:val="24"/>
          <w:highlight w:val="yellow"/>
        </w:rPr>
        <w:t>required</w:t>
      </w:r>
      <w:r w:rsidR="00F403F8" w:rsidRPr="008376FB">
        <w:rPr>
          <w:rFonts w:ascii="Calibri" w:hAnsi="Calibri" w:cs="Calibri"/>
          <w:sz w:val="24"/>
          <w:szCs w:val="24"/>
          <w:highlight w:val="yellow"/>
        </w:rPr>
        <w:t xml:space="preserve"> volume without any risk of administering air bubbles</w:t>
      </w:r>
      <w:r w:rsidR="001C733D" w:rsidRPr="008376FB">
        <w:rPr>
          <w:rFonts w:ascii="Calibri" w:hAnsi="Calibri" w:cs="Calibri"/>
          <w:sz w:val="24"/>
          <w:szCs w:val="24"/>
          <w:highlight w:val="yellow"/>
        </w:rPr>
        <w:t>, as they dramatically increase the risk of aspiration</w:t>
      </w:r>
      <w:r w:rsidR="00544725" w:rsidRPr="008376FB">
        <w:rPr>
          <w:rFonts w:ascii="Calibri" w:hAnsi="Calibri" w:cs="Calibri"/>
          <w:sz w:val="24"/>
          <w:szCs w:val="24"/>
          <w:highlight w:val="yellow"/>
        </w:rPr>
        <w:t>.</w:t>
      </w:r>
    </w:p>
    <w:p w14:paraId="2D8D2B3B" w14:textId="77777777" w:rsidR="00CC48B5" w:rsidRPr="008376FB" w:rsidRDefault="00CC48B5" w:rsidP="001654C4">
      <w:pPr>
        <w:pStyle w:val="ListParagraph"/>
        <w:spacing w:after="0" w:line="240" w:lineRule="auto"/>
        <w:ind w:left="0"/>
        <w:jc w:val="both"/>
        <w:rPr>
          <w:rFonts w:ascii="Calibri" w:hAnsi="Calibri" w:cs="Calibri"/>
          <w:sz w:val="24"/>
          <w:szCs w:val="24"/>
          <w:highlight w:val="yellow"/>
        </w:rPr>
      </w:pPr>
    </w:p>
    <w:p w14:paraId="4CAB11C3" w14:textId="77777777" w:rsidR="00CC48B5" w:rsidRPr="008376FB" w:rsidRDefault="00F66577" w:rsidP="001654C4">
      <w:pPr>
        <w:pStyle w:val="ListParagraph"/>
        <w:numPr>
          <w:ilvl w:val="2"/>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 xml:space="preserve">Using </w:t>
      </w:r>
      <w:r w:rsidR="00475D1B" w:rsidRPr="008376FB">
        <w:rPr>
          <w:rFonts w:ascii="Calibri" w:hAnsi="Calibri" w:cs="Calibri"/>
          <w:sz w:val="24"/>
          <w:szCs w:val="24"/>
          <w:highlight w:val="yellow"/>
        </w:rPr>
        <w:t>the</w:t>
      </w:r>
      <w:r w:rsidRPr="008376FB">
        <w:rPr>
          <w:rFonts w:ascii="Calibri" w:hAnsi="Calibri" w:cs="Calibri"/>
          <w:sz w:val="24"/>
          <w:szCs w:val="24"/>
          <w:highlight w:val="yellow"/>
        </w:rPr>
        <w:t xml:space="preserve"> thumb and index</w:t>
      </w:r>
      <w:r w:rsidR="005E6E41" w:rsidRPr="008376FB">
        <w:rPr>
          <w:rFonts w:ascii="Calibri" w:hAnsi="Calibri" w:cs="Calibri"/>
          <w:sz w:val="24"/>
          <w:szCs w:val="24"/>
          <w:highlight w:val="yellow"/>
        </w:rPr>
        <w:t xml:space="preserve"> of </w:t>
      </w:r>
      <w:r w:rsidR="00D5426A" w:rsidRPr="008376FB">
        <w:rPr>
          <w:rFonts w:ascii="Calibri" w:hAnsi="Calibri" w:cs="Calibri"/>
          <w:sz w:val="24"/>
          <w:szCs w:val="24"/>
          <w:highlight w:val="yellow"/>
        </w:rPr>
        <w:t>the</w:t>
      </w:r>
      <w:r w:rsidR="005E6E41" w:rsidRPr="008376FB">
        <w:rPr>
          <w:rFonts w:ascii="Calibri" w:hAnsi="Calibri" w:cs="Calibri"/>
          <w:sz w:val="24"/>
          <w:szCs w:val="24"/>
          <w:highlight w:val="yellow"/>
        </w:rPr>
        <w:t xml:space="preserve"> non-dominant hand</w:t>
      </w:r>
      <w:r w:rsidRPr="008376FB">
        <w:rPr>
          <w:rFonts w:ascii="Calibri" w:hAnsi="Calibri" w:cs="Calibri"/>
          <w:sz w:val="24"/>
          <w:szCs w:val="24"/>
          <w:highlight w:val="yellow"/>
        </w:rPr>
        <w:t xml:space="preserve">, </w:t>
      </w:r>
      <w:r w:rsidR="005E6E41" w:rsidRPr="008376FB">
        <w:rPr>
          <w:rFonts w:ascii="Calibri" w:hAnsi="Calibri" w:cs="Calibri"/>
          <w:sz w:val="24"/>
          <w:szCs w:val="24"/>
          <w:highlight w:val="yellow"/>
        </w:rPr>
        <w:t xml:space="preserve">gently pinch the skin between the scapulas </w:t>
      </w:r>
      <w:r w:rsidR="00475D1B" w:rsidRPr="008376FB">
        <w:rPr>
          <w:rFonts w:ascii="Calibri" w:hAnsi="Calibri" w:cs="Calibri"/>
          <w:sz w:val="24"/>
          <w:szCs w:val="24"/>
          <w:highlight w:val="yellow"/>
        </w:rPr>
        <w:t>to lift the pup</w:t>
      </w:r>
      <w:r w:rsidR="00544725" w:rsidRPr="008376FB">
        <w:rPr>
          <w:rFonts w:ascii="Calibri" w:hAnsi="Calibri" w:cs="Calibri"/>
          <w:sz w:val="24"/>
          <w:szCs w:val="24"/>
          <w:highlight w:val="yellow"/>
        </w:rPr>
        <w:t>.</w:t>
      </w:r>
    </w:p>
    <w:p w14:paraId="325CDA1E" w14:textId="1996E3BA" w:rsidR="005E6E41" w:rsidRPr="008376FB" w:rsidRDefault="00475D1B" w:rsidP="001654C4">
      <w:pPr>
        <w:pStyle w:val="ListParagraph"/>
        <w:spacing w:after="0" w:line="240" w:lineRule="auto"/>
        <w:ind w:left="0"/>
        <w:jc w:val="both"/>
        <w:rPr>
          <w:rFonts w:ascii="Calibri" w:hAnsi="Calibri" w:cs="Calibri"/>
          <w:sz w:val="24"/>
          <w:szCs w:val="24"/>
        </w:rPr>
      </w:pPr>
      <w:r w:rsidRPr="008376FB">
        <w:rPr>
          <w:rFonts w:ascii="Calibri" w:hAnsi="Calibri" w:cs="Calibri"/>
          <w:sz w:val="24"/>
          <w:szCs w:val="24"/>
          <w:highlight w:val="yellow"/>
        </w:rPr>
        <w:br/>
      </w:r>
      <w:r w:rsidRPr="008376FB">
        <w:rPr>
          <w:rFonts w:ascii="Calibri" w:hAnsi="Calibri" w:cs="Calibri"/>
          <w:sz w:val="24"/>
          <w:szCs w:val="24"/>
        </w:rPr>
        <w:t xml:space="preserve">NOTE: </w:t>
      </w:r>
      <w:r w:rsidR="005E6E41" w:rsidRPr="008376FB">
        <w:rPr>
          <w:rFonts w:ascii="Calibri" w:hAnsi="Calibri" w:cs="Calibri"/>
          <w:sz w:val="24"/>
          <w:szCs w:val="24"/>
        </w:rPr>
        <w:t xml:space="preserve">Do not draw too much skin from the pup’s back, as this may </w:t>
      </w:r>
      <w:r w:rsidR="008F3A33" w:rsidRPr="008376FB">
        <w:rPr>
          <w:rFonts w:ascii="Calibri" w:hAnsi="Calibri" w:cs="Calibri"/>
          <w:sz w:val="24"/>
          <w:szCs w:val="24"/>
        </w:rPr>
        <w:t>induce suffocation</w:t>
      </w:r>
      <w:r w:rsidR="00544725" w:rsidRPr="008376FB">
        <w:rPr>
          <w:rFonts w:ascii="Calibri" w:hAnsi="Calibri" w:cs="Calibri"/>
          <w:sz w:val="24"/>
          <w:szCs w:val="24"/>
        </w:rPr>
        <w:t>.</w:t>
      </w:r>
    </w:p>
    <w:p w14:paraId="5D502048" w14:textId="77777777" w:rsidR="00CC48B5" w:rsidRPr="008376FB" w:rsidRDefault="00CC48B5" w:rsidP="001654C4">
      <w:pPr>
        <w:pStyle w:val="ListParagraph"/>
        <w:spacing w:after="0" w:line="240" w:lineRule="auto"/>
        <w:ind w:left="0"/>
        <w:jc w:val="both"/>
        <w:rPr>
          <w:rFonts w:ascii="Calibri" w:hAnsi="Calibri" w:cs="Calibri"/>
          <w:sz w:val="24"/>
          <w:szCs w:val="24"/>
        </w:rPr>
      </w:pPr>
    </w:p>
    <w:p w14:paraId="35C6EABA" w14:textId="7CC76DB9" w:rsidR="0031481F" w:rsidRPr="008376FB" w:rsidRDefault="001C733D" w:rsidP="001654C4">
      <w:pPr>
        <w:pStyle w:val="ListParagraph"/>
        <w:numPr>
          <w:ilvl w:val="2"/>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lastRenderedPageBreak/>
        <w:t xml:space="preserve">Hold the pup in a near-horizontal position and gently insert the feeding needle into the oral cavity, advancing it perpendicular to the pharynx until it reaches the back of the throat </w:t>
      </w:r>
      <w:r w:rsidR="003142FC" w:rsidRPr="008376FB">
        <w:rPr>
          <w:rFonts w:ascii="Calibri" w:hAnsi="Calibri" w:cs="Calibri"/>
          <w:sz w:val="24"/>
          <w:szCs w:val="24"/>
          <w:highlight w:val="yellow"/>
        </w:rPr>
        <w:t>(</w:t>
      </w:r>
      <w:r w:rsidR="00C7396D" w:rsidRPr="008376FB">
        <w:rPr>
          <w:rFonts w:ascii="Calibri" w:hAnsi="Calibri" w:cs="Calibri"/>
          <w:b/>
          <w:bCs/>
          <w:sz w:val="24"/>
          <w:szCs w:val="24"/>
          <w:highlight w:val="yellow"/>
        </w:rPr>
        <w:t>Figure</w:t>
      </w:r>
      <w:r w:rsidR="003142FC" w:rsidRPr="008376FB">
        <w:rPr>
          <w:rFonts w:ascii="Calibri" w:hAnsi="Calibri" w:cs="Calibri"/>
          <w:b/>
          <w:bCs/>
          <w:sz w:val="24"/>
          <w:szCs w:val="24"/>
          <w:highlight w:val="yellow"/>
        </w:rPr>
        <w:t xml:space="preserve"> 1C</w:t>
      </w:r>
      <w:r w:rsidR="003142FC" w:rsidRPr="008376FB">
        <w:rPr>
          <w:rFonts w:ascii="Calibri" w:hAnsi="Calibri" w:cs="Calibri"/>
          <w:sz w:val="24"/>
          <w:szCs w:val="24"/>
          <w:highlight w:val="yellow"/>
        </w:rPr>
        <w:t>)</w:t>
      </w:r>
      <w:r w:rsidR="00544725" w:rsidRPr="008376FB">
        <w:rPr>
          <w:rFonts w:ascii="Calibri" w:hAnsi="Calibri" w:cs="Calibri"/>
          <w:sz w:val="24"/>
          <w:szCs w:val="24"/>
          <w:highlight w:val="yellow"/>
        </w:rPr>
        <w:t>.</w:t>
      </w:r>
    </w:p>
    <w:p w14:paraId="2C1EA25F" w14:textId="77777777" w:rsidR="00CC48B5" w:rsidRPr="008376FB" w:rsidRDefault="00CC48B5" w:rsidP="001654C4">
      <w:pPr>
        <w:pStyle w:val="ListParagraph"/>
        <w:spacing w:after="0" w:line="240" w:lineRule="auto"/>
        <w:ind w:left="0"/>
        <w:jc w:val="both"/>
        <w:rPr>
          <w:rFonts w:ascii="Calibri" w:hAnsi="Calibri" w:cs="Calibri"/>
          <w:sz w:val="24"/>
          <w:szCs w:val="24"/>
          <w:highlight w:val="yellow"/>
        </w:rPr>
      </w:pPr>
    </w:p>
    <w:p w14:paraId="37169746" w14:textId="708EA4C8" w:rsidR="000C07EE" w:rsidRPr="008376FB" w:rsidRDefault="000C07EE" w:rsidP="001654C4">
      <w:pPr>
        <w:pStyle w:val="ListParagraph"/>
        <w:numPr>
          <w:ilvl w:val="2"/>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While keeping the same angle and depth, slide the needle to the right o</w:t>
      </w:r>
      <w:r w:rsidR="001C733D" w:rsidRPr="008376FB">
        <w:rPr>
          <w:rFonts w:ascii="Calibri" w:hAnsi="Calibri" w:cs="Calibri"/>
          <w:sz w:val="24"/>
          <w:szCs w:val="24"/>
          <w:highlight w:val="yellow"/>
        </w:rPr>
        <w:t>r</w:t>
      </w:r>
      <w:r w:rsidRPr="008376FB">
        <w:rPr>
          <w:rFonts w:ascii="Calibri" w:hAnsi="Calibri" w:cs="Calibri"/>
          <w:sz w:val="24"/>
          <w:szCs w:val="24"/>
          <w:highlight w:val="yellow"/>
        </w:rPr>
        <w:t xml:space="preserve"> left part of the oral cavity to avoid the tongue</w:t>
      </w:r>
      <w:r w:rsidR="00544725" w:rsidRPr="008376FB">
        <w:rPr>
          <w:rFonts w:ascii="Calibri" w:hAnsi="Calibri" w:cs="Calibri"/>
          <w:sz w:val="24"/>
          <w:szCs w:val="24"/>
          <w:highlight w:val="yellow"/>
        </w:rPr>
        <w:t>.</w:t>
      </w:r>
    </w:p>
    <w:p w14:paraId="786C46CF" w14:textId="77777777" w:rsidR="00CC48B5" w:rsidRPr="008376FB" w:rsidRDefault="00CC48B5" w:rsidP="001654C4">
      <w:pPr>
        <w:pStyle w:val="ListParagraph"/>
        <w:spacing w:after="0" w:line="240" w:lineRule="auto"/>
        <w:ind w:left="0"/>
        <w:jc w:val="both"/>
        <w:rPr>
          <w:rFonts w:ascii="Calibri" w:hAnsi="Calibri" w:cs="Calibri"/>
          <w:sz w:val="24"/>
          <w:szCs w:val="24"/>
          <w:highlight w:val="yellow"/>
        </w:rPr>
      </w:pPr>
    </w:p>
    <w:p w14:paraId="456A0BCB" w14:textId="169AE54F" w:rsidR="0031481F" w:rsidRPr="008376FB" w:rsidRDefault="0031481F" w:rsidP="001654C4">
      <w:pPr>
        <w:pStyle w:val="ListParagraph"/>
        <w:numPr>
          <w:ilvl w:val="2"/>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Slowly adjust the angle of the needle while gently tilting the pup’s head backward, until the syringe, head, and back are aligned, with the head slightly inclined toward the back</w:t>
      </w:r>
      <w:r w:rsidR="003142FC" w:rsidRPr="008376FB">
        <w:rPr>
          <w:rFonts w:ascii="Calibri" w:hAnsi="Calibri" w:cs="Calibri"/>
          <w:sz w:val="24"/>
          <w:szCs w:val="24"/>
          <w:highlight w:val="yellow"/>
        </w:rPr>
        <w:t xml:space="preserve"> (</w:t>
      </w:r>
      <w:r w:rsidR="00C7396D" w:rsidRPr="008376FB">
        <w:rPr>
          <w:rFonts w:ascii="Calibri" w:hAnsi="Calibri" w:cs="Calibri"/>
          <w:b/>
          <w:bCs/>
          <w:sz w:val="24"/>
          <w:szCs w:val="24"/>
          <w:highlight w:val="yellow"/>
        </w:rPr>
        <w:t>Figure</w:t>
      </w:r>
      <w:r w:rsidR="003142FC" w:rsidRPr="008376FB">
        <w:rPr>
          <w:rFonts w:ascii="Calibri" w:hAnsi="Calibri" w:cs="Calibri"/>
          <w:b/>
          <w:bCs/>
          <w:sz w:val="24"/>
          <w:szCs w:val="24"/>
          <w:highlight w:val="yellow"/>
        </w:rPr>
        <w:t xml:space="preserve"> 1D</w:t>
      </w:r>
      <w:r w:rsidR="003142FC" w:rsidRPr="008376FB">
        <w:rPr>
          <w:rFonts w:ascii="Calibri" w:hAnsi="Calibri" w:cs="Calibri"/>
          <w:sz w:val="24"/>
          <w:szCs w:val="24"/>
          <w:highlight w:val="yellow"/>
        </w:rPr>
        <w:t>)</w:t>
      </w:r>
      <w:r w:rsidR="00544725" w:rsidRPr="008376FB">
        <w:rPr>
          <w:rFonts w:ascii="Calibri" w:hAnsi="Calibri" w:cs="Calibri"/>
          <w:sz w:val="24"/>
          <w:szCs w:val="24"/>
          <w:highlight w:val="yellow"/>
        </w:rPr>
        <w:t>.</w:t>
      </w:r>
    </w:p>
    <w:p w14:paraId="67877531" w14:textId="77777777" w:rsidR="00CC48B5" w:rsidRPr="008376FB" w:rsidRDefault="00CC48B5" w:rsidP="001654C4">
      <w:pPr>
        <w:pStyle w:val="ListParagraph"/>
        <w:spacing w:after="0" w:line="240" w:lineRule="auto"/>
        <w:ind w:left="0"/>
        <w:jc w:val="both"/>
        <w:rPr>
          <w:rFonts w:ascii="Calibri" w:hAnsi="Calibri" w:cs="Calibri"/>
          <w:sz w:val="24"/>
          <w:szCs w:val="24"/>
          <w:highlight w:val="yellow"/>
        </w:rPr>
      </w:pPr>
    </w:p>
    <w:p w14:paraId="63CAB31E" w14:textId="0D6549D3" w:rsidR="00CC48B5" w:rsidRPr="008376FB" w:rsidRDefault="0031481F" w:rsidP="001654C4">
      <w:pPr>
        <w:pStyle w:val="ListParagraph"/>
        <w:numPr>
          <w:ilvl w:val="2"/>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Without applying any pressure, allow the syringe to descend slowly under its own weight until the maximum insertion mark is</w:t>
      </w:r>
      <w:r w:rsidR="000C07EE" w:rsidRPr="008376FB">
        <w:rPr>
          <w:rFonts w:ascii="Calibri" w:hAnsi="Calibri" w:cs="Calibri"/>
          <w:sz w:val="24"/>
          <w:szCs w:val="24"/>
          <w:highlight w:val="yellow"/>
        </w:rPr>
        <w:t xml:space="preserve"> </w:t>
      </w:r>
      <w:r w:rsidR="003142FC" w:rsidRPr="008376FB">
        <w:rPr>
          <w:rFonts w:ascii="Calibri" w:hAnsi="Calibri" w:cs="Calibri"/>
          <w:sz w:val="24"/>
          <w:szCs w:val="24"/>
          <w:highlight w:val="yellow"/>
        </w:rPr>
        <w:t>close to or reaches the snout level</w:t>
      </w:r>
      <w:r w:rsidR="000C07EE" w:rsidRPr="008376FB">
        <w:rPr>
          <w:rFonts w:ascii="Calibri" w:hAnsi="Calibri" w:cs="Calibri"/>
          <w:sz w:val="24"/>
          <w:szCs w:val="24"/>
          <w:highlight w:val="yellow"/>
        </w:rPr>
        <w:t xml:space="preserve"> </w:t>
      </w:r>
      <w:r w:rsidR="00C7396D" w:rsidRPr="008376FB">
        <w:rPr>
          <w:rFonts w:ascii="Calibri" w:hAnsi="Calibri" w:cs="Calibri"/>
          <w:sz w:val="24"/>
          <w:szCs w:val="24"/>
          <w:highlight w:val="yellow"/>
        </w:rPr>
        <w:t>(</w:t>
      </w:r>
      <w:r w:rsidR="00C7396D" w:rsidRPr="008376FB">
        <w:rPr>
          <w:rFonts w:ascii="Calibri" w:hAnsi="Calibri" w:cs="Calibri"/>
          <w:b/>
          <w:bCs/>
          <w:sz w:val="24"/>
          <w:szCs w:val="24"/>
          <w:highlight w:val="yellow"/>
        </w:rPr>
        <w:t>Figure 1E</w:t>
      </w:r>
      <w:r w:rsidR="00C7396D" w:rsidRPr="008376FB">
        <w:rPr>
          <w:rFonts w:ascii="Calibri" w:hAnsi="Calibri" w:cs="Calibri"/>
          <w:sz w:val="24"/>
          <w:szCs w:val="24"/>
          <w:highlight w:val="yellow"/>
        </w:rPr>
        <w:t>).</w:t>
      </w:r>
    </w:p>
    <w:p w14:paraId="52D13FC6" w14:textId="2305AE25" w:rsidR="002D5BBD" w:rsidRPr="00A55514" w:rsidRDefault="0031481F" w:rsidP="001654C4">
      <w:pPr>
        <w:pStyle w:val="ListParagraph"/>
        <w:spacing w:after="0" w:line="240" w:lineRule="auto"/>
        <w:ind w:left="0"/>
        <w:jc w:val="both"/>
        <w:rPr>
          <w:rFonts w:ascii="Calibri" w:hAnsi="Calibri" w:cs="Calibri"/>
          <w:sz w:val="24"/>
          <w:szCs w:val="24"/>
        </w:rPr>
      </w:pPr>
      <w:r w:rsidRPr="008376FB">
        <w:rPr>
          <w:rFonts w:ascii="Calibri" w:hAnsi="Calibri" w:cs="Calibri"/>
          <w:sz w:val="24"/>
          <w:szCs w:val="24"/>
          <w:highlight w:val="yellow"/>
        </w:rPr>
        <w:t xml:space="preserve"> </w:t>
      </w:r>
      <w:r w:rsidR="00F54AF5" w:rsidRPr="008376FB">
        <w:rPr>
          <w:rFonts w:ascii="Calibri" w:hAnsi="Calibri" w:cs="Calibri"/>
          <w:sz w:val="24"/>
          <w:szCs w:val="24"/>
          <w:highlight w:val="yellow"/>
        </w:rPr>
        <w:br/>
      </w:r>
      <w:r w:rsidR="00F54AF5" w:rsidRPr="00A55514">
        <w:rPr>
          <w:rFonts w:ascii="Calibri" w:hAnsi="Calibri" w:cs="Calibri"/>
          <w:sz w:val="24"/>
          <w:szCs w:val="24"/>
        </w:rPr>
        <w:t xml:space="preserve">NOTE: </w:t>
      </w:r>
      <w:r w:rsidR="001C733D" w:rsidRPr="00A55514">
        <w:rPr>
          <w:rFonts w:ascii="Calibri" w:hAnsi="Calibri" w:cs="Calibri"/>
          <w:sz w:val="24"/>
          <w:szCs w:val="24"/>
        </w:rPr>
        <w:t xml:space="preserve">If resistance is encountered, gently rotate the syringe by rolling it back and forth between </w:t>
      </w:r>
      <w:r w:rsidR="00D5426A" w:rsidRPr="00A55514">
        <w:rPr>
          <w:rFonts w:ascii="Calibri" w:hAnsi="Calibri" w:cs="Calibri"/>
          <w:sz w:val="24"/>
          <w:szCs w:val="24"/>
        </w:rPr>
        <w:t>the</w:t>
      </w:r>
      <w:r w:rsidR="001C733D" w:rsidRPr="00A55514">
        <w:rPr>
          <w:rFonts w:ascii="Calibri" w:hAnsi="Calibri" w:cs="Calibri"/>
          <w:sz w:val="24"/>
          <w:szCs w:val="24"/>
        </w:rPr>
        <w:t xml:space="preserve"> fingers to facilitate descent. If the syringe still does not advance, try adjusting the insertion angle or restart the procedure using a feeding needle lubricated with the gavage solution. </w:t>
      </w:r>
      <w:r w:rsidR="00F54AF5" w:rsidRPr="00A55514">
        <w:rPr>
          <w:rFonts w:ascii="Calibri" w:hAnsi="Calibri" w:cs="Calibri"/>
          <w:sz w:val="24"/>
          <w:szCs w:val="24"/>
        </w:rPr>
        <w:t>The needle shouldn’t remain inserted for more than 20 s to avoid asphyxiation.</w:t>
      </w:r>
    </w:p>
    <w:p w14:paraId="1D647C78" w14:textId="77777777" w:rsidR="00CC48B5" w:rsidRPr="008376FB" w:rsidRDefault="00CC48B5" w:rsidP="001654C4">
      <w:pPr>
        <w:pStyle w:val="ListParagraph"/>
        <w:spacing w:after="0" w:line="240" w:lineRule="auto"/>
        <w:ind w:left="0"/>
        <w:jc w:val="both"/>
        <w:rPr>
          <w:rFonts w:ascii="Calibri" w:hAnsi="Calibri" w:cs="Calibri"/>
          <w:sz w:val="24"/>
          <w:szCs w:val="24"/>
          <w:highlight w:val="yellow"/>
        </w:rPr>
      </w:pPr>
    </w:p>
    <w:p w14:paraId="13EB61A0" w14:textId="77777777" w:rsidR="00CC48B5" w:rsidRPr="00A55514" w:rsidRDefault="00BB4712" w:rsidP="001654C4">
      <w:pPr>
        <w:pStyle w:val="ListParagraph"/>
        <w:numPr>
          <w:ilvl w:val="2"/>
          <w:numId w:val="36"/>
        </w:numPr>
        <w:spacing w:after="0" w:line="240" w:lineRule="auto"/>
        <w:ind w:left="0" w:firstLine="0"/>
        <w:jc w:val="both"/>
        <w:rPr>
          <w:rFonts w:ascii="Calibri" w:hAnsi="Calibri" w:cs="Calibri"/>
          <w:sz w:val="24"/>
          <w:szCs w:val="24"/>
        </w:rPr>
      </w:pPr>
      <w:r w:rsidRPr="008376FB">
        <w:rPr>
          <w:rFonts w:ascii="Calibri" w:hAnsi="Calibri" w:cs="Calibri"/>
          <w:sz w:val="24"/>
          <w:szCs w:val="24"/>
          <w:highlight w:val="yellow"/>
        </w:rPr>
        <w:t>Once the maximum insertion mark is reached</w:t>
      </w:r>
      <w:r w:rsidR="001C733D" w:rsidRPr="008376FB">
        <w:rPr>
          <w:rFonts w:ascii="Calibri" w:hAnsi="Calibri" w:cs="Calibri"/>
          <w:sz w:val="24"/>
          <w:szCs w:val="24"/>
          <w:highlight w:val="yellow"/>
        </w:rPr>
        <w:t xml:space="preserve"> or close</w:t>
      </w:r>
      <w:r w:rsidRPr="008376FB">
        <w:rPr>
          <w:rFonts w:ascii="Calibri" w:hAnsi="Calibri" w:cs="Calibri"/>
          <w:sz w:val="24"/>
          <w:szCs w:val="24"/>
          <w:highlight w:val="yellow"/>
        </w:rPr>
        <w:t xml:space="preserve">, quickly dispense the desired volume. </w:t>
      </w:r>
      <w:r w:rsidRPr="00A55514">
        <w:rPr>
          <w:rFonts w:ascii="Calibri" w:hAnsi="Calibri" w:cs="Calibri"/>
          <w:sz w:val="24"/>
          <w:szCs w:val="24"/>
        </w:rPr>
        <w:t xml:space="preserve">If resistance is met whilst dispensing the volume, check the syringe-head-back alignment and </w:t>
      </w:r>
      <w:r w:rsidR="001C733D" w:rsidRPr="00A55514">
        <w:rPr>
          <w:rFonts w:ascii="Calibri" w:hAnsi="Calibri" w:cs="Calibri"/>
          <w:sz w:val="24"/>
          <w:szCs w:val="24"/>
        </w:rPr>
        <w:t>slightly adjust</w:t>
      </w:r>
      <w:r w:rsidR="00DC7901" w:rsidRPr="00A55514">
        <w:rPr>
          <w:rFonts w:ascii="Calibri" w:hAnsi="Calibri" w:cs="Calibri"/>
          <w:sz w:val="24"/>
          <w:szCs w:val="24"/>
        </w:rPr>
        <w:t xml:space="preserve"> the depth of insertion</w:t>
      </w:r>
      <w:r w:rsidR="00544725" w:rsidRPr="00A55514">
        <w:rPr>
          <w:rFonts w:ascii="Calibri" w:hAnsi="Calibri" w:cs="Calibri"/>
          <w:sz w:val="24"/>
          <w:szCs w:val="24"/>
        </w:rPr>
        <w:t>.</w:t>
      </w:r>
    </w:p>
    <w:p w14:paraId="366E0717" w14:textId="780C88DC" w:rsidR="00D71A71" w:rsidRPr="00A55514" w:rsidRDefault="0065298C" w:rsidP="001654C4">
      <w:pPr>
        <w:pStyle w:val="ListParagraph"/>
        <w:spacing w:after="0" w:line="240" w:lineRule="auto"/>
        <w:ind w:left="0"/>
        <w:jc w:val="both"/>
        <w:rPr>
          <w:rFonts w:ascii="Calibri" w:hAnsi="Calibri" w:cs="Calibri"/>
          <w:sz w:val="24"/>
          <w:szCs w:val="24"/>
        </w:rPr>
      </w:pPr>
      <w:r w:rsidRPr="008376FB">
        <w:rPr>
          <w:rFonts w:ascii="Calibri" w:hAnsi="Calibri" w:cs="Calibri"/>
          <w:sz w:val="24"/>
          <w:szCs w:val="24"/>
          <w:highlight w:val="yellow"/>
        </w:rPr>
        <w:br/>
      </w:r>
      <w:r w:rsidRPr="00A55514">
        <w:rPr>
          <w:rFonts w:ascii="Calibri" w:hAnsi="Calibri" w:cs="Calibri"/>
          <w:sz w:val="24"/>
          <w:szCs w:val="24"/>
        </w:rPr>
        <w:t>NOTE: Quick dispensing of the volume is recommended, as prolonged needle insertion significantly increases the risk of suffocation, struggling, and potential injury to the animal.</w:t>
      </w:r>
    </w:p>
    <w:p w14:paraId="719BBA1D" w14:textId="77777777" w:rsidR="00CC48B5" w:rsidRPr="008376FB" w:rsidRDefault="00CC48B5" w:rsidP="001654C4">
      <w:pPr>
        <w:pStyle w:val="ListParagraph"/>
        <w:spacing w:after="0" w:line="240" w:lineRule="auto"/>
        <w:ind w:left="0"/>
        <w:jc w:val="both"/>
        <w:rPr>
          <w:rFonts w:ascii="Calibri" w:hAnsi="Calibri" w:cs="Calibri"/>
          <w:sz w:val="24"/>
          <w:szCs w:val="24"/>
          <w:highlight w:val="yellow"/>
        </w:rPr>
      </w:pPr>
    </w:p>
    <w:p w14:paraId="0493110E" w14:textId="75A9DFAC" w:rsidR="00C7396D" w:rsidRPr="008376FB" w:rsidRDefault="00D2546F" w:rsidP="001654C4">
      <w:pPr>
        <w:keepNext/>
        <w:spacing w:after="0" w:line="240" w:lineRule="auto"/>
        <w:jc w:val="both"/>
        <w:rPr>
          <w:rFonts w:ascii="Calibri" w:hAnsi="Calibri" w:cs="Calibri"/>
          <w:sz w:val="24"/>
          <w:szCs w:val="24"/>
        </w:rPr>
      </w:pPr>
      <w:r w:rsidRPr="008376FB">
        <w:rPr>
          <w:rFonts w:ascii="Calibri" w:hAnsi="Calibri" w:cs="Calibri"/>
          <w:sz w:val="24"/>
          <w:szCs w:val="24"/>
        </w:rPr>
        <w:t xml:space="preserve">[insert </w:t>
      </w:r>
      <w:r w:rsidRPr="008376FB">
        <w:rPr>
          <w:rFonts w:ascii="Calibri" w:hAnsi="Calibri" w:cs="Calibri"/>
          <w:b/>
          <w:bCs/>
          <w:sz w:val="24"/>
          <w:szCs w:val="24"/>
        </w:rPr>
        <w:t>Figure 1</w:t>
      </w:r>
      <w:r w:rsidRPr="008376FB">
        <w:rPr>
          <w:rFonts w:ascii="Calibri" w:hAnsi="Calibri" w:cs="Calibri"/>
          <w:sz w:val="24"/>
          <w:szCs w:val="24"/>
        </w:rPr>
        <w:t xml:space="preserve"> here]</w:t>
      </w:r>
    </w:p>
    <w:p w14:paraId="34980203" w14:textId="77777777" w:rsidR="00CC48B5" w:rsidRPr="008376FB" w:rsidRDefault="00CC48B5" w:rsidP="001654C4">
      <w:pPr>
        <w:keepNext/>
        <w:spacing w:after="0" w:line="240" w:lineRule="auto"/>
        <w:jc w:val="both"/>
        <w:rPr>
          <w:rFonts w:ascii="Calibri" w:hAnsi="Calibri" w:cs="Calibri"/>
          <w:sz w:val="24"/>
          <w:szCs w:val="24"/>
        </w:rPr>
      </w:pPr>
    </w:p>
    <w:p w14:paraId="4BBECDF3" w14:textId="615141F1" w:rsidR="00DC7901" w:rsidRPr="008376FB" w:rsidRDefault="00DC7901" w:rsidP="001654C4">
      <w:pPr>
        <w:pStyle w:val="ListParagraph"/>
        <w:numPr>
          <w:ilvl w:val="2"/>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 xml:space="preserve">Once the correct volume is administered, </w:t>
      </w:r>
      <w:r w:rsidR="0031481F" w:rsidRPr="008376FB">
        <w:rPr>
          <w:rFonts w:ascii="Calibri" w:hAnsi="Calibri" w:cs="Calibri"/>
          <w:sz w:val="24"/>
          <w:szCs w:val="24"/>
          <w:highlight w:val="yellow"/>
        </w:rPr>
        <w:t>gently withdraw the needle along the same angle used for insertion</w:t>
      </w:r>
      <w:r w:rsidR="00544725" w:rsidRPr="008376FB">
        <w:rPr>
          <w:rFonts w:ascii="Calibri" w:hAnsi="Calibri" w:cs="Calibri"/>
          <w:sz w:val="24"/>
          <w:szCs w:val="24"/>
          <w:highlight w:val="yellow"/>
        </w:rPr>
        <w:t>.</w:t>
      </w:r>
    </w:p>
    <w:p w14:paraId="2F775C07" w14:textId="77777777" w:rsidR="00CC48B5" w:rsidRPr="008376FB" w:rsidRDefault="00CC48B5" w:rsidP="001654C4">
      <w:pPr>
        <w:pStyle w:val="ListParagraph"/>
        <w:spacing w:after="0" w:line="240" w:lineRule="auto"/>
        <w:ind w:left="0"/>
        <w:jc w:val="both"/>
        <w:rPr>
          <w:rFonts w:ascii="Calibri" w:hAnsi="Calibri" w:cs="Calibri"/>
          <w:sz w:val="24"/>
          <w:szCs w:val="24"/>
          <w:highlight w:val="yellow"/>
        </w:rPr>
      </w:pPr>
    </w:p>
    <w:p w14:paraId="1F8B1F68" w14:textId="360EA847" w:rsidR="00CC48B5" w:rsidRPr="008376FB" w:rsidRDefault="00DC7901" w:rsidP="001654C4">
      <w:pPr>
        <w:pStyle w:val="ListParagraph"/>
        <w:numPr>
          <w:ilvl w:val="2"/>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 xml:space="preserve">Place the pup on the paper towel previously </w:t>
      </w:r>
      <w:r w:rsidR="00F139C0" w:rsidRPr="008376FB">
        <w:rPr>
          <w:rFonts w:ascii="Calibri" w:hAnsi="Calibri" w:cs="Calibri"/>
          <w:sz w:val="24"/>
          <w:szCs w:val="24"/>
          <w:highlight w:val="yellow"/>
        </w:rPr>
        <w:t>placed</w:t>
      </w:r>
      <w:r w:rsidRPr="008376FB">
        <w:rPr>
          <w:rFonts w:ascii="Calibri" w:hAnsi="Calibri" w:cs="Calibri"/>
          <w:sz w:val="24"/>
          <w:szCs w:val="24"/>
          <w:highlight w:val="yellow"/>
        </w:rPr>
        <w:t xml:space="preserve"> on the heating pad and monitor recovery. </w:t>
      </w:r>
      <w:r w:rsidR="003142FC" w:rsidRPr="008376FB">
        <w:rPr>
          <w:rFonts w:ascii="Calibri" w:hAnsi="Calibri" w:cs="Calibri"/>
          <w:sz w:val="24"/>
          <w:szCs w:val="24"/>
          <w:highlight w:val="yellow"/>
        </w:rPr>
        <w:t>A n</w:t>
      </w:r>
      <w:r w:rsidRPr="008376FB">
        <w:rPr>
          <w:rFonts w:ascii="Calibri" w:hAnsi="Calibri" w:cs="Calibri"/>
          <w:sz w:val="24"/>
          <w:szCs w:val="24"/>
          <w:highlight w:val="yellow"/>
        </w:rPr>
        <w:t>ormal breathing pattern should come back in less than 20 s.</w:t>
      </w:r>
    </w:p>
    <w:p w14:paraId="66352E6A" w14:textId="7DB4B1BF" w:rsidR="00CC48B5" w:rsidRPr="008376FB" w:rsidRDefault="00DC7901" w:rsidP="001654C4">
      <w:pPr>
        <w:pStyle w:val="ListParagraph"/>
        <w:spacing w:after="0" w:line="240" w:lineRule="auto"/>
        <w:ind w:left="0"/>
        <w:jc w:val="both"/>
        <w:rPr>
          <w:rFonts w:ascii="Calibri" w:hAnsi="Calibri" w:cs="Calibri"/>
          <w:sz w:val="24"/>
          <w:szCs w:val="24"/>
          <w:highlight w:val="yellow"/>
        </w:rPr>
      </w:pPr>
      <w:r w:rsidRPr="008376FB">
        <w:rPr>
          <w:rFonts w:ascii="Calibri" w:hAnsi="Calibri" w:cs="Calibri"/>
          <w:sz w:val="24"/>
          <w:szCs w:val="24"/>
          <w:highlight w:val="yellow"/>
        </w:rPr>
        <w:br/>
      </w:r>
      <w:r w:rsidRPr="00A55514">
        <w:rPr>
          <w:rFonts w:ascii="Calibri" w:hAnsi="Calibri" w:cs="Calibri"/>
          <w:sz w:val="24"/>
          <w:szCs w:val="24"/>
        </w:rPr>
        <w:t>NOTE: Apparition of bubbles from the snoot or mouth of the animal indicates aspiration and requires immediate euthanasia</w:t>
      </w:r>
      <w:r w:rsidR="00D8658F" w:rsidRPr="00A55514">
        <w:rPr>
          <w:rFonts w:ascii="Calibri" w:hAnsi="Calibri" w:cs="Calibri"/>
          <w:sz w:val="24"/>
          <w:szCs w:val="24"/>
        </w:rPr>
        <w:t xml:space="preserve"> in pups younger than DOL 14</w:t>
      </w:r>
      <w:r w:rsidRPr="00A55514">
        <w:rPr>
          <w:rFonts w:ascii="Calibri" w:hAnsi="Calibri" w:cs="Calibri"/>
          <w:sz w:val="24"/>
          <w:szCs w:val="24"/>
        </w:rPr>
        <w:t xml:space="preserve">. </w:t>
      </w:r>
      <w:r w:rsidR="00791CB9">
        <w:rPr>
          <w:rFonts w:ascii="Calibri" w:hAnsi="Calibri" w:cs="Calibri"/>
          <w:sz w:val="24"/>
          <w:szCs w:val="24"/>
        </w:rPr>
        <w:t>The p</w:t>
      </w:r>
      <w:r w:rsidRPr="00A55514">
        <w:rPr>
          <w:rFonts w:ascii="Calibri" w:hAnsi="Calibri" w:cs="Calibri"/>
          <w:sz w:val="24"/>
          <w:szCs w:val="24"/>
        </w:rPr>
        <w:t xml:space="preserve">resence of </w:t>
      </w:r>
      <w:r w:rsidR="00A55514">
        <w:rPr>
          <w:rFonts w:ascii="Calibri" w:hAnsi="Calibri" w:cs="Calibri"/>
          <w:sz w:val="24"/>
          <w:szCs w:val="24"/>
        </w:rPr>
        <w:t xml:space="preserve">a </w:t>
      </w:r>
      <w:r w:rsidRPr="00A55514">
        <w:rPr>
          <w:rFonts w:ascii="Calibri" w:hAnsi="Calibri" w:cs="Calibri"/>
          <w:sz w:val="24"/>
          <w:szCs w:val="24"/>
        </w:rPr>
        <w:t xml:space="preserve">very small amount of blood in the mouth of the animal </w:t>
      </w:r>
      <w:r w:rsidR="00D90A0B" w:rsidRPr="00A55514">
        <w:rPr>
          <w:rFonts w:ascii="Calibri" w:hAnsi="Calibri" w:cs="Calibri"/>
          <w:sz w:val="24"/>
          <w:szCs w:val="24"/>
        </w:rPr>
        <w:t xml:space="preserve">caused by </w:t>
      </w:r>
      <w:r w:rsidR="00A55514">
        <w:rPr>
          <w:rFonts w:ascii="Calibri" w:hAnsi="Calibri" w:cs="Calibri"/>
          <w:sz w:val="24"/>
          <w:szCs w:val="24"/>
        </w:rPr>
        <w:t xml:space="preserve">a </w:t>
      </w:r>
      <w:r w:rsidR="00D90A0B" w:rsidRPr="00A55514">
        <w:rPr>
          <w:rFonts w:ascii="Calibri" w:hAnsi="Calibri" w:cs="Calibri"/>
          <w:sz w:val="24"/>
          <w:szCs w:val="24"/>
        </w:rPr>
        <w:t xml:space="preserve">lesion between the oropharynx and esophagus requires monitoring of the animal, but not systematic euthanasia. </w:t>
      </w:r>
      <w:r w:rsidR="0031481F" w:rsidRPr="00A55514">
        <w:rPr>
          <w:rFonts w:ascii="Calibri" w:hAnsi="Calibri" w:cs="Calibri"/>
          <w:sz w:val="24"/>
          <w:szCs w:val="24"/>
        </w:rPr>
        <w:t>If pup recovery is uncertain, place it on its side. If it does not attempt to right itself, euthanize immediately</w:t>
      </w:r>
      <w:r w:rsidR="00544725" w:rsidRPr="00A55514">
        <w:rPr>
          <w:rFonts w:ascii="Calibri" w:hAnsi="Calibri" w:cs="Calibri"/>
          <w:sz w:val="24"/>
          <w:szCs w:val="24"/>
        </w:rPr>
        <w:t>.</w:t>
      </w:r>
    </w:p>
    <w:p w14:paraId="491A590F" w14:textId="77777777" w:rsidR="00CC48B5" w:rsidRPr="008376FB" w:rsidRDefault="00CC48B5" w:rsidP="001654C4">
      <w:pPr>
        <w:pStyle w:val="ListParagraph"/>
        <w:spacing w:after="0" w:line="240" w:lineRule="auto"/>
        <w:ind w:left="0"/>
        <w:jc w:val="both"/>
        <w:rPr>
          <w:rFonts w:ascii="Calibri" w:hAnsi="Calibri" w:cs="Calibri"/>
          <w:sz w:val="24"/>
          <w:szCs w:val="24"/>
          <w:highlight w:val="yellow"/>
        </w:rPr>
      </w:pPr>
    </w:p>
    <w:p w14:paraId="17046BF1" w14:textId="77777777" w:rsidR="00CC48B5" w:rsidRPr="008376FB" w:rsidRDefault="00D90A0B" w:rsidP="001654C4">
      <w:pPr>
        <w:pStyle w:val="ListParagraph"/>
        <w:numPr>
          <w:ilvl w:val="2"/>
          <w:numId w:val="36"/>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Once recovery of the animal is confirmed, place the pup back in the nest and regroup it with its dam</w:t>
      </w:r>
      <w:r w:rsidR="00544725" w:rsidRPr="008376FB">
        <w:rPr>
          <w:rFonts w:ascii="Calibri" w:hAnsi="Calibri" w:cs="Calibri"/>
          <w:sz w:val="24"/>
          <w:szCs w:val="24"/>
          <w:highlight w:val="yellow"/>
        </w:rPr>
        <w:t>.</w:t>
      </w:r>
    </w:p>
    <w:p w14:paraId="3B7652BB" w14:textId="6D0B3AF7" w:rsidR="00D90A0B" w:rsidRPr="00A55514" w:rsidRDefault="00D90A0B" w:rsidP="001654C4">
      <w:pPr>
        <w:pStyle w:val="ListParagraph"/>
        <w:spacing w:after="0" w:line="240" w:lineRule="auto"/>
        <w:ind w:left="0"/>
        <w:jc w:val="both"/>
        <w:rPr>
          <w:rFonts w:ascii="Calibri" w:hAnsi="Calibri" w:cs="Calibri"/>
          <w:sz w:val="24"/>
          <w:szCs w:val="24"/>
        </w:rPr>
      </w:pPr>
      <w:r w:rsidRPr="008376FB">
        <w:rPr>
          <w:rFonts w:ascii="Calibri" w:hAnsi="Calibri" w:cs="Calibri"/>
          <w:sz w:val="24"/>
          <w:szCs w:val="24"/>
          <w:highlight w:val="yellow"/>
        </w:rPr>
        <w:br/>
      </w:r>
      <w:r w:rsidRPr="00A55514">
        <w:rPr>
          <w:rFonts w:ascii="Calibri" w:hAnsi="Calibri" w:cs="Calibri"/>
          <w:sz w:val="24"/>
          <w:szCs w:val="24"/>
        </w:rPr>
        <w:t xml:space="preserve">NOTE: </w:t>
      </w:r>
      <w:r w:rsidR="00F000A7" w:rsidRPr="00A55514">
        <w:rPr>
          <w:rFonts w:ascii="Calibri" w:hAnsi="Calibri" w:cs="Calibri"/>
          <w:sz w:val="24"/>
          <w:szCs w:val="24"/>
        </w:rPr>
        <w:t>Up to</w:t>
      </w:r>
      <w:r w:rsidR="00CE7144" w:rsidRPr="00A55514">
        <w:rPr>
          <w:rFonts w:ascii="Calibri" w:hAnsi="Calibri" w:cs="Calibri"/>
          <w:sz w:val="24"/>
          <w:szCs w:val="24"/>
        </w:rPr>
        <w:t xml:space="preserve"> </w:t>
      </w:r>
      <w:r w:rsidR="00326AC0" w:rsidRPr="00A55514">
        <w:rPr>
          <w:rFonts w:ascii="Calibri" w:hAnsi="Calibri" w:cs="Calibri"/>
          <w:sz w:val="24"/>
          <w:szCs w:val="24"/>
        </w:rPr>
        <w:t>DOL</w:t>
      </w:r>
      <w:r w:rsidR="003C2B0E" w:rsidRPr="00A55514">
        <w:rPr>
          <w:rFonts w:ascii="Calibri" w:hAnsi="Calibri" w:cs="Calibri"/>
          <w:sz w:val="24"/>
          <w:szCs w:val="24"/>
        </w:rPr>
        <w:t xml:space="preserve"> </w:t>
      </w:r>
      <w:r w:rsidR="00326AC0" w:rsidRPr="00A55514">
        <w:rPr>
          <w:rFonts w:ascii="Calibri" w:hAnsi="Calibri" w:cs="Calibri"/>
          <w:sz w:val="24"/>
          <w:szCs w:val="24"/>
        </w:rPr>
        <w:t>10</w:t>
      </w:r>
      <w:r w:rsidR="00F000A7" w:rsidRPr="00A55514">
        <w:rPr>
          <w:rFonts w:ascii="Calibri" w:hAnsi="Calibri" w:cs="Calibri"/>
          <w:sz w:val="24"/>
          <w:szCs w:val="24"/>
        </w:rPr>
        <w:t xml:space="preserve">, pups </w:t>
      </w:r>
      <w:r w:rsidR="00CE7144" w:rsidRPr="00A55514">
        <w:rPr>
          <w:rFonts w:ascii="Calibri" w:hAnsi="Calibri" w:cs="Calibri"/>
          <w:sz w:val="24"/>
          <w:szCs w:val="24"/>
        </w:rPr>
        <w:t xml:space="preserve">have low mobility and can remain on the heating pad until gavage of </w:t>
      </w:r>
      <w:r w:rsidR="00CE7144" w:rsidRPr="00A55514">
        <w:rPr>
          <w:rFonts w:ascii="Calibri" w:hAnsi="Calibri" w:cs="Calibri"/>
          <w:sz w:val="24"/>
          <w:szCs w:val="24"/>
        </w:rPr>
        <w:lastRenderedPageBreak/>
        <w:t xml:space="preserve">every pup </w:t>
      </w:r>
      <w:r w:rsidR="00A55514">
        <w:rPr>
          <w:rFonts w:ascii="Calibri" w:hAnsi="Calibri" w:cs="Calibri"/>
          <w:sz w:val="24"/>
          <w:szCs w:val="24"/>
        </w:rPr>
        <w:t>in</w:t>
      </w:r>
      <w:r w:rsidR="00CE7144" w:rsidRPr="00A55514">
        <w:rPr>
          <w:rFonts w:ascii="Calibri" w:hAnsi="Calibri" w:cs="Calibri"/>
          <w:sz w:val="24"/>
          <w:szCs w:val="24"/>
        </w:rPr>
        <w:t xml:space="preserve"> the cage is completed. Older pups </w:t>
      </w:r>
      <w:r w:rsidR="00172BEE" w:rsidRPr="00A55514">
        <w:rPr>
          <w:rFonts w:ascii="Calibri" w:hAnsi="Calibri" w:cs="Calibri"/>
          <w:sz w:val="24"/>
          <w:szCs w:val="24"/>
        </w:rPr>
        <w:t>must</w:t>
      </w:r>
      <w:r w:rsidR="00CE7144" w:rsidRPr="00A55514">
        <w:rPr>
          <w:rFonts w:ascii="Calibri" w:hAnsi="Calibri" w:cs="Calibri"/>
          <w:sz w:val="24"/>
          <w:szCs w:val="24"/>
        </w:rPr>
        <w:t xml:space="preserve"> not be left unattended on the pad, as they may try to escape</w:t>
      </w:r>
      <w:r w:rsidR="00544725" w:rsidRPr="00A55514">
        <w:rPr>
          <w:rFonts w:ascii="Calibri" w:hAnsi="Calibri" w:cs="Calibri"/>
          <w:sz w:val="24"/>
          <w:szCs w:val="24"/>
        </w:rPr>
        <w:t>.</w:t>
      </w:r>
    </w:p>
    <w:p w14:paraId="2D593330" w14:textId="77777777" w:rsidR="00CC48B5" w:rsidRPr="008376FB" w:rsidRDefault="00CC48B5" w:rsidP="001654C4">
      <w:pPr>
        <w:pStyle w:val="ListParagraph"/>
        <w:spacing w:after="0" w:line="240" w:lineRule="auto"/>
        <w:ind w:left="0"/>
        <w:jc w:val="both"/>
        <w:rPr>
          <w:rFonts w:ascii="Calibri" w:hAnsi="Calibri" w:cs="Calibri"/>
          <w:sz w:val="24"/>
          <w:szCs w:val="24"/>
          <w:highlight w:val="yellow"/>
        </w:rPr>
      </w:pPr>
    </w:p>
    <w:p w14:paraId="5896C95B" w14:textId="3C3D6CBA" w:rsidR="00244566" w:rsidRPr="008376FB" w:rsidRDefault="00244566" w:rsidP="001654C4">
      <w:pPr>
        <w:spacing w:after="0" w:line="240" w:lineRule="auto"/>
        <w:jc w:val="both"/>
        <w:rPr>
          <w:rFonts w:ascii="Calibri" w:hAnsi="Calibri" w:cs="Calibri"/>
          <w:b/>
          <w:bCs/>
          <w:sz w:val="24"/>
          <w:szCs w:val="24"/>
        </w:rPr>
      </w:pPr>
      <w:r w:rsidRPr="008376FB">
        <w:rPr>
          <w:rFonts w:ascii="Calibri" w:hAnsi="Calibri" w:cs="Calibri"/>
          <w:b/>
          <w:bCs/>
          <w:sz w:val="24"/>
          <w:szCs w:val="24"/>
        </w:rPr>
        <w:t>2</w:t>
      </w:r>
      <w:r w:rsidR="00CC48B5" w:rsidRPr="008376FB">
        <w:rPr>
          <w:rFonts w:ascii="Calibri" w:hAnsi="Calibri" w:cs="Calibri"/>
          <w:b/>
          <w:bCs/>
          <w:sz w:val="24"/>
          <w:szCs w:val="24"/>
        </w:rPr>
        <w:t xml:space="preserve">. </w:t>
      </w:r>
      <w:r w:rsidRPr="008376FB">
        <w:rPr>
          <w:rFonts w:ascii="Calibri" w:hAnsi="Calibri" w:cs="Calibri"/>
          <w:b/>
          <w:bCs/>
          <w:sz w:val="24"/>
          <w:szCs w:val="24"/>
        </w:rPr>
        <w:t>Neonatal mouse pup euthanasia and colon r</w:t>
      </w:r>
      <w:r w:rsidR="003E72DB" w:rsidRPr="008376FB">
        <w:rPr>
          <w:rFonts w:ascii="Calibri" w:hAnsi="Calibri" w:cs="Calibri"/>
          <w:b/>
          <w:bCs/>
          <w:sz w:val="24"/>
          <w:szCs w:val="24"/>
        </w:rPr>
        <w:t>etrieval</w:t>
      </w:r>
    </w:p>
    <w:p w14:paraId="06B25319" w14:textId="77777777" w:rsidR="00CC48B5" w:rsidRPr="008376FB" w:rsidRDefault="00CC48B5" w:rsidP="001654C4">
      <w:pPr>
        <w:spacing w:after="0" w:line="240" w:lineRule="auto"/>
        <w:jc w:val="both"/>
        <w:rPr>
          <w:rFonts w:ascii="Calibri" w:hAnsi="Calibri" w:cs="Calibri"/>
          <w:b/>
          <w:bCs/>
          <w:sz w:val="24"/>
          <w:szCs w:val="24"/>
        </w:rPr>
      </w:pPr>
    </w:p>
    <w:p w14:paraId="1D94ACB2" w14:textId="77777777" w:rsidR="008421A4" w:rsidRPr="008376FB" w:rsidRDefault="008421A4" w:rsidP="001654C4">
      <w:pPr>
        <w:pStyle w:val="ListParagraph"/>
        <w:numPr>
          <w:ilvl w:val="0"/>
          <w:numId w:val="33"/>
        </w:numPr>
        <w:spacing w:after="0" w:line="240" w:lineRule="auto"/>
        <w:ind w:left="0" w:firstLine="0"/>
        <w:jc w:val="both"/>
        <w:rPr>
          <w:rFonts w:ascii="Calibri" w:hAnsi="Calibri" w:cs="Calibri"/>
          <w:vanish/>
          <w:sz w:val="24"/>
          <w:szCs w:val="24"/>
        </w:rPr>
      </w:pPr>
    </w:p>
    <w:p w14:paraId="2533F644" w14:textId="77777777" w:rsidR="008421A4" w:rsidRPr="008376FB" w:rsidRDefault="008421A4" w:rsidP="001654C4">
      <w:pPr>
        <w:pStyle w:val="ListParagraph"/>
        <w:numPr>
          <w:ilvl w:val="0"/>
          <w:numId w:val="33"/>
        </w:numPr>
        <w:spacing w:after="0" w:line="240" w:lineRule="auto"/>
        <w:ind w:left="0" w:firstLine="0"/>
        <w:jc w:val="both"/>
        <w:rPr>
          <w:rFonts w:ascii="Calibri" w:hAnsi="Calibri" w:cs="Calibri"/>
          <w:vanish/>
          <w:sz w:val="24"/>
          <w:szCs w:val="24"/>
        </w:rPr>
      </w:pPr>
    </w:p>
    <w:p w14:paraId="210983D1" w14:textId="77777777" w:rsidR="00CC48B5" w:rsidRPr="008376FB" w:rsidRDefault="00DB09CF" w:rsidP="001654C4">
      <w:pPr>
        <w:pStyle w:val="ListParagraph"/>
        <w:numPr>
          <w:ilvl w:val="1"/>
          <w:numId w:val="33"/>
        </w:numPr>
        <w:spacing w:after="0" w:line="240" w:lineRule="auto"/>
        <w:ind w:left="0" w:firstLine="0"/>
        <w:jc w:val="both"/>
        <w:rPr>
          <w:rFonts w:ascii="Calibri" w:hAnsi="Calibri" w:cs="Calibri"/>
          <w:b/>
          <w:bCs/>
          <w:sz w:val="24"/>
          <w:szCs w:val="24"/>
        </w:rPr>
      </w:pPr>
      <w:r w:rsidRPr="008376FB">
        <w:rPr>
          <w:rFonts w:ascii="Calibri" w:hAnsi="Calibri" w:cs="Calibri"/>
          <w:sz w:val="24"/>
          <w:szCs w:val="24"/>
        </w:rPr>
        <w:t>Perform euthanasia using the appropriate method mandated by national legislation</w:t>
      </w:r>
      <w:r w:rsidR="00544725" w:rsidRPr="008376FB">
        <w:rPr>
          <w:rFonts w:ascii="Calibri" w:hAnsi="Calibri" w:cs="Calibri"/>
          <w:sz w:val="24"/>
          <w:szCs w:val="24"/>
        </w:rPr>
        <w:t>.</w:t>
      </w:r>
    </w:p>
    <w:p w14:paraId="3178353F" w14:textId="7397C911" w:rsidR="00244566" w:rsidRPr="008376FB" w:rsidRDefault="00244566" w:rsidP="001654C4">
      <w:pPr>
        <w:pStyle w:val="ListParagraph"/>
        <w:spacing w:after="0" w:line="240" w:lineRule="auto"/>
        <w:ind w:left="0"/>
        <w:jc w:val="both"/>
        <w:rPr>
          <w:rFonts w:ascii="Calibri" w:hAnsi="Calibri" w:cs="Calibri"/>
          <w:sz w:val="24"/>
          <w:szCs w:val="24"/>
        </w:rPr>
      </w:pPr>
      <w:r w:rsidRPr="008376FB">
        <w:rPr>
          <w:rFonts w:ascii="Calibri" w:hAnsi="Calibri" w:cs="Calibri"/>
          <w:sz w:val="24"/>
          <w:szCs w:val="24"/>
        </w:rPr>
        <w:br/>
        <w:t xml:space="preserve">NOTE: </w:t>
      </w:r>
      <w:r w:rsidR="00DB09CF" w:rsidRPr="008376FB">
        <w:rPr>
          <w:rFonts w:ascii="Calibri" w:hAnsi="Calibri" w:cs="Calibri"/>
          <w:sz w:val="24"/>
          <w:szCs w:val="24"/>
        </w:rPr>
        <w:t>D</w:t>
      </w:r>
      <w:r w:rsidRPr="008376FB">
        <w:rPr>
          <w:rFonts w:ascii="Calibri" w:hAnsi="Calibri" w:cs="Calibri"/>
          <w:sz w:val="24"/>
          <w:szCs w:val="24"/>
        </w:rPr>
        <w:t>ecapitation of pups up to DOL</w:t>
      </w:r>
      <w:r w:rsidR="003C2B0E" w:rsidRPr="008376FB">
        <w:rPr>
          <w:rFonts w:ascii="Calibri" w:hAnsi="Calibri" w:cs="Calibri"/>
          <w:sz w:val="24"/>
          <w:szCs w:val="24"/>
        </w:rPr>
        <w:t xml:space="preserve"> </w:t>
      </w:r>
      <w:r w:rsidRPr="008376FB">
        <w:rPr>
          <w:rFonts w:ascii="Calibri" w:hAnsi="Calibri" w:cs="Calibri"/>
          <w:sz w:val="24"/>
          <w:szCs w:val="24"/>
        </w:rPr>
        <w:t>10 and cervical dislocation of pups of age superior to DOL</w:t>
      </w:r>
      <w:r w:rsidR="003C2B0E" w:rsidRPr="008376FB">
        <w:rPr>
          <w:rFonts w:ascii="Calibri" w:hAnsi="Calibri" w:cs="Calibri"/>
          <w:sz w:val="24"/>
          <w:szCs w:val="24"/>
        </w:rPr>
        <w:t xml:space="preserve"> </w:t>
      </w:r>
      <w:r w:rsidRPr="008376FB">
        <w:rPr>
          <w:rFonts w:ascii="Calibri" w:hAnsi="Calibri" w:cs="Calibri"/>
          <w:sz w:val="24"/>
          <w:szCs w:val="24"/>
        </w:rPr>
        <w:t>10</w:t>
      </w:r>
      <w:r w:rsidR="00DB09CF" w:rsidRPr="008376FB">
        <w:rPr>
          <w:rFonts w:ascii="Calibri" w:hAnsi="Calibri" w:cs="Calibri"/>
          <w:sz w:val="24"/>
          <w:szCs w:val="24"/>
        </w:rPr>
        <w:t xml:space="preserve"> is recommended</w:t>
      </w:r>
      <w:r w:rsidRPr="008376FB">
        <w:rPr>
          <w:rFonts w:ascii="Calibri" w:hAnsi="Calibri" w:cs="Calibri"/>
          <w:sz w:val="24"/>
          <w:szCs w:val="24"/>
        </w:rPr>
        <w:t>. Euthanasia with CO</w:t>
      </w:r>
      <w:r w:rsidRPr="00A55514">
        <w:rPr>
          <w:rFonts w:ascii="Calibri" w:hAnsi="Calibri" w:cs="Calibri"/>
          <w:sz w:val="24"/>
          <w:szCs w:val="24"/>
          <w:vertAlign w:val="subscript"/>
        </w:rPr>
        <w:t>2</w:t>
      </w:r>
      <w:r w:rsidRPr="008376FB">
        <w:rPr>
          <w:rFonts w:ascii="Calibri" w:hAnsi="Calibri" w:cs="Calibri"/>
          <w:sz w:val="24"/>
          <w:szCs w:val="24"/>
        </w:rPr>
        <w:t xml:space="preserve"> or anesthetics is not advised, as pups display a large tolerance to these methods.</w:t>
      </w:r>
    </w:p>
    <w:p w14:paraId="0231FCEF" w14:textId="77777777" w:rsidR="00CC48B5" w:rsidRPr="008376FB" w:rsidRDefault="00CC48B5" w:rsidP="001654C4">
      <w:pPr>
        <w:pStyle w:val="ListParagraph"/>
        <w:spacing w:after="0" w:line="240" w:lineRule="auto"/>
        <w:ind w:left="0"/>
        <w:jc w:val="both"/>
        <w:rPr>
          <w:rFonts w:ascii="Calibri" w:hAnsi="Calibri" w:cs="Calibri"/>
          <w:b/>
          <w:bCs/>
          <w:sz w:val="24"/>
          <w:szCs w:val="24"/>
        </w:rPr>
      </w:pPr>
    </w:p>
    <w:p w14:paraId="59B7ED39" w14:textId="2C4A0E5A" w:rsidR="00DD2087" w:rsidRPr="008376FB" w:rsidRDefault="00DD2087" w:rsidP="001654C4">
      <w:pPr>
        <w:pStyle w:val="ListParagraph"/>
        <w:numPr>
          <w:ilvl w:val="1"/>
          <w:numId w:val="33"/>
        </w:numPr>
        <w:spacing w:after="0" w:line="240" w:lineRule="auto"/>
        <w:ind w:left="0" w:firstLine="0"/>
        <w:jc w:val="both"/>
        <w:rPr>
          <w:rFonts w:ascii="Calibri" w:hAnsi="Calibri" w:cs="Calibri"/>
          <w:b/>
          <w:bCs/>
          <w:sz w:val="24"/>
          <w:szCs w:val="24"/>
        </w:rPr>
      </w:pPr>
      <w:r w:rsidRPr="008376FB">
        <w:rPr>
          <w:rFonts w:ascii="Calibri" w:hAnsi="Calibri" w:cs="Calibri"/>
          <w:sz w:val="24"/>
          <w:szCs w:val="24"/>
        </w:rPr>
        <w:t xml:space="preserve">Place the euthanized animal under a binocular </w:t>
      </w:r>
      <w:r w:rsidR="007B1BF9" w:rsidRPr="008376FB">
        <w:rPr>
          <w:rFonts w:ascii="Calibri" w:hAnsi="Calibri" w:cs="Calibri"/>
          <w:sz w:val="24"/>
          <w:szCs w:val="24"/>
        </w:rPr>
        <w:t>microscope</w:t>
      </w:r>
      <w:r w:rsidR="00544725" w:rsidRPr="008376FB">
        <w:rPr>
          <w:rFonts w:ascii="Calibri" w:hAnsi="Calibri" w:cs="Calibri"/>
          <w:sz w:val="24"/>
          <w:szCs w:val="24"/>
        </w:rPr>
        <w:t>.</w:t>
      </w:r>
    </w:p>
    <w:p w14:paraId="20A52456" w14:textId="77777777" w:rsidR="00CC48B5" w:rsidRPr="008376FB" w:rsidRDefault="00CC48B5" w:rsidP="001654C4">
      <w:pPr>
        <w:pStyle w:val="ListParagraph"/>
        <w:spacing w:after="0" w:line="240" w:lineRule="auto"/>
        <w:ind w:left="0"/>
        <w:jc w:val="both"/>
        <w:rPr>
          <w:rFonts w:ascii="Calibri" w:hAnsi="Calibri" w:cs="Calibri"/>
          <w:b/>
          <w:bCs/>
          <w:sz w:val="24"/>
          <w:szCs w:val="24"/>
        </w:rPr>
      </w:pPr>
    </w:p>
    <w:p w14:paraId="300AFBB5" w14:textId="10A0815E" w:rsidR="00244566" w:rsidRPr="008376FB" w:rsidRDefault="00244566" w:rsidP="001654C4">
      <w:pPr>
        <w:pStyle w:val="ListParagraph"/>
        <w:numPr>
          <w:ilvl w:val="1"/>
          <w:numId w:val="33"/>
        </w:numPr>
        <w:spacing w:after="0" w:line="240" w:lineRule="auto"/>
        <w:ind w:left="0" w:firstLine="0"/>
        <w:jc w:val="both"/>
        <w:rPr>
          <w:rFonts w:ascii="Calibri" w:hAnsi="Calibri" w:cs="Calibri"/>
          <w:b/>
          <w:bCs/>
          <w:sz w:val="24"/>
          <w:szCs w:val="24"/>
          <w:highlight w:val="yellow"/>
        </w:rPr>
      </w:pPr>
      <w:r w:rsidRPr="008376FB">
        <w:rPr>
          <w:rFonts w:ascii="Calibri" w:hAnsi="Calibri" w:cs="Calibri"/>
          <w:sz w:val="24"/>
          <w:szCs w:val="24"/>
          <w:highlight w:val="yellow"/>
        </w:rPr>
        <w:t>Apply 70%</w:t>
      </w:r>
      <w:r w:rsidR="00172BEE" w:rsidRPr="008376FB">
        <w:rPr>
          <w:rFonts w:ascii="Calibri" w:hAnsi="Calibri" w:cs="Calibri"/>
          <w:sz w:val="24"/>
          <w:szCs w:val="24"/>
          <w:highlight w:val="yellow"/>
        </w:rPr>
        <w:t xml:space="preserve"> ethanol</w:t>
      </w:r>
      <w:r w:rsidRPr="008376FB">
        <w:rPr>
          <w:rFonts w:ascii="Calibri" w:hAnsi="Calibri" w:cs="Calibri"/>
          <w:sz w:val="24"/>
          <w:szCs w:val="24"/>
          <w:highlight w:val="yellow"/>
        </w:rPr>
        <w:t xml:space="preserve"> to the abdomen of the animal</w:t>
      </w:r>
      <w:r w:rsidR="00544725" w:rsidRPr="008376FB">
        <w:rPr>
          <w:rFonts w:ascii="Calibri" w:hAnsi="Calibri" w:cs="Calibri"/>
          <w:sz w:val="24"/>
          <w:szCs w:val="24"/>
          <w:highlight w:val="yellow"/>
        </w:rPr>
        <w:t>.</w:t>
      </w:r>
    </w:p>
    <w:p w14:paraId="558A4DCB" w14:textId="77777777" w:rsidR="00CC48B5" w:rsidRPr="008376FB" w:rsidRDefault="00CC48B5" w:rsidP="001654C4">
      <w:pPr>
        <w:pStyle w:val="ListParagraph"/>
        <w:spacing w:after="0" w:line="240" w:lineRule="auto"/>
        <w:ind w:left="0"/>
        <w:jc w:val="both"/>
        <w:rPr>
          <w:rFonts w:ascii="Calibri" w:hAnsi="Calibri" w:cs="Calibri"/>
          <w:b/>
          <w:bCs/>
          <w:sz w:val="24"/>
          <w:szCs w:val="24"/>
          <w:highlight w:val="yellow"/>
        </w:rPr>
      </w:pPr>
    </w:p>
    <w:p w14:paraId="638CD7DE" w14:textId="12F235DE" w:rsidR="005418AB" w:rsidRPr="008376FB" w:rsidRDefault="00244566" w:rsidP="001654C4">
      <w:pPr>
        <w:pStyle w:val="ListParagraph"/>
        <w:numPr>
          <w:ilvl w:val="1"/>
          <w:numId w:val="33"/>
        </w:numPr>
        <w:spacing w:after="0" w:line="240" w:lineRule="auto"/>
        <w:ind w:left="0" w:firstLine="0"/>
        <w:jc w:val="both"/>
        <w:rPr>
          <w:rFonts w:ascii="Calibri" w:hAnsi="Calibri" w:cs="Calibri"/>
          <w:b/>
          <w:bCs/>
          <w:sz w:val="24"/>
          <w:szCs w:val="24"/>
          <w:highlight w:val="yellow"/>
        </w:rPr>
      </w:pPr>
      <w:r w:rsidRPr="008376FB">
        <w:rPr>
          <w:rFonts w:ascii="Calibri" w:hAnsi="Calibri" w:cs="Calibri"/>
          <w:sz w:val="24"/>
          <w:szCs w:val="24"/>
          <w:highlight w:val="yellow"/>
        </w:rPr>
        <w:t>Using forceps</w:t>
      </w:r>
      <w:r w:rsidR="00D8658F" w:rsidRPr="008376FB">
        <w:rPr>
          <w:rFonts w:ascii="Calibri" w:hAnsi="Calibri" w:cs="Calibri"/>
          <w:sz w:val="24"/>
          <w:szCs w:val="24"/>
          <w:highlight w:val="yellow"/>
        </w:rPr>
        <w:t>,</w:t>
      </w:r>
      <w:r w:rsidR="00DD2087" w:rsidRPr="008376FB">
        <w:rPr>
          <w:rFonts w:ascii="Calibri" w:hAnsi="Calibri" w:cs="Calibri"/>
          <w:sz w:val="24"/>
          <w:szCs w:val="24"/>
          <w:highlight w:val="yellow"/>
        </w:rPr>
        <w:t xml:space="preserve"> pinch the abdominal skin</w:t>
      </w:r>
      <w:r w:rsidR="007B1BF9" w:rsidRPr="008376FB">
        <w:rPr>
          <w:rFonts w:ascii="Calibri" w:hAnsi="Calibri" w:cs="Calibri"/>
          <w:sz w:val="24"/>
          <w:szCs w:val="24"/>
          <w:highlight w:val="yellow"/>
        </w:rPr>
        <w:t xml:space="preserve"> and</w:t>
      </w:r>
      <w:r w:rsidR="00DD2087" w:rsidRPr="008376FB">
        <w:rPr>
          <w:rFonts w:ascii="Calibri" w:hAnsi="Calibri" w:cs="Calibri"/>
          <w:sz w:val="24"/>
          <w:szCs w:val="24"/>
          <w:highlight w:val="yellow"/>
        </w:rPr>
        <w:t xml:space="preserve"> underlying </w:t>
      </w:r>
      <w:r w:rsidR="00F332DD" w:rsidRPr="008376FB">
        <w:rPr>
          <w:rFonts w:ascii="Calibri" w:hAnsi="Calibri" w:cs="Calibri"/>
          <w:sz w:val="24"/>
          <w:szCs w:val="24"/>
          <w:highlight w:val="yellow"/>
        </w:rPr>
        <w:t>peritoneum</w:t>
      </w:r>
      <w:r w:rsidR="00DD2087" w:rsidRPr="008376FB">
        <w:rPr>
          <w:rFonts w:ascii="Calibri" w:hAnsi="Calibri" w:cs="Calibri"/>
          <w:sz w:val="24"/>
          <w:szCs w:val="24"/>
          <w:highlight w:val="yellow"/>
        </w:rPr>
        <w:t xml:space="preserve"> and</w:t>
      </w:r>
      <w:r w:rsidR="005418AB" w:rsidRPr="008376FB">
        <w:rPr>
          <w:rFonts w:ascii="Calibri" w:hAnsi="Calibri" w:cs="Calibri"/>
          <w:sz w:val="24"/>
          <w:szCs w:val="24"/>
          <w:highlight w:val="yellow"/>
        </w:rPr>
        <w:t xml:space="preserve"> make a</w:t>
      </w:r>
      <w:r w:rsidR="001870C4" w:rsidRPr="008376FB">
        <w:rPr>
          <w:rFonts w:ascii="Calibri" w:hAnsi="Calibri" w:cs="Calibri"/>
          <w:sz w:val="24"/>
          <w:szCs w:val="24"/>
          <w:highlight w:val="yellow"/>
        </w:rPr>
        <w:t xml:space="preserve"> large</w:t>
      </w:r>
      <w:r w:rsidR="005418AB" w:rsidRPr="008376FB">
        <w:rPr>
          <w:rFonts w:ascii="Calibri" w:hAnsi="Calibri" w:cs="Calibri"/>
          <w:sz w:val="24"/>
          <w:szCs w:val="24"/>
          <w:highlight w:val="yellow"/>
        </w:rPr>
        <w:t xml:space="preserve"> transverse abdominal incision using</w:t>
      </w:r>
      <w:r w:rsidR="001870C4" w:rsidRPr="008376FB">
        <w:rPr>
          <w:rFonts w:ascii="Calibri" w:hAnsi="Calibri" w:cs="Calibri"/>
          <w:sz w:val="24"/>
          <w:szCs w:val="24"/>
          <w:highlight w:val="yellow"/>
        </w:rPr>
        <w:t xml:space="preserve"> </w:t>
      </w:r>
      <w:r w:rsidR="004B566F" w:rsidRPr="008376FB">
        <w:rPr>
          <w:rFonts w:ascii="Calibri" w:hAnsi="Calibri" w:cs="Calibri"/>
          <w:sz w:val="24"/>
          <w:szCs w:val="24"/>
          <w:highlight w:val="yellow"/>
        </w:rPr>
        <w:t>fine scissors</w:t>
      </w:r>
      <w:r w:rsidR="005418AB" w:rsidRPr="008376FB">
        <w:rPr>
          <w:rFonts w:ascii="Calibri" w:hAnsi="Calibri" w:cs="Calibri"/>
          <w:sz w:val="24"/>
          <w:szCs w:val="24"/>
          <w:highlight w:val="yellow"/>
        </w:rPr>
        <w:t xml:space="preserve"> (perpendicular to the rostral–caudal axis)</w:t>
      </w:r>
      <w:r w:rsidR="000C07EE" w:rsidRPr="008376FB">
        <w:rPr>
          <w:rFonts w:ascii="Calibri" w:hAnsi="Calibri" w:cs="Calibri"/>
          <w:sz w:val="24"/>
          <w:szCs w:val="24"/>
          <w:highlight w:val="yellow"/>
        </w:rPr>
        <w:t xml:space="preserve"> </w:t>
      </w:r>
      <w:r w:rsidR="001870C4" w:rsidRPr="008376FB">
        <w:rPr>
          <w:rFonts w:ascii="Calibri" w:hAnsi="Calibri" w:cs="Calibri"/>
          <w:sz w:val="24"/>
          <w:szCs w:val="24"/>
          <w:highlight w:val="yellow"/>
        </w:rPr>
        <w:t xml:space="preserve">without cutting the intestine. </w:t>
      </w:r>
    </w:p>
    <w:p w14:paraId="6D4F1D4F" w14:textId="77777777" w:rsidR="00CC48B5" w:rsidRPr="008376FB" w:rsidRDefault="00CC48B5" w:rsidP="001654C4">
      <w:pPr>
        <w:pStyle w:val="ListParagraph"/>
        <w:spacing w:after="0" w:line="240" w:lineRule="auto"/>
        <w:ind w:left="0"/>
        <w:jc w:val="both"/>
        <w:rPr>
          <w:rFonts w:ascii="Calibri" w:hAnsi="Calibri" w:cs="Calibri"/>
          <w:b/>
          <w:bCs/>
          <w:sz w:val="24"/>
          <w:szCs w:val="24"/>
          <w:highlight w:val="yellow"/>
        </w:rPr>
      </w:pPr>
    </w:p>
    <w:p w14:paraId="1744F8DB" w14:textId="7800BD49" w:rsidR="005418AB" w:rsidRPr="008376FB" w:rsidRDefault="005418AB" w:rsidP="001654C4">
      <w:pPr>
        <w:pStyle w:val="ListParagraph"/>
        <w:numPr>
          <w:ilvl w:val="1"/>
          <w:numId w:val="33"/>
        </w:numPr>
        <w:spacing w:after="0" w:line="240" w:lineRule="auto"/>
        <w:ind w:left="0" w:firstLine="0"/>
        <w:jc w:val="both"/>
        <w:rPr>
          <w:rFonts w:ascii="Calibri" w:hAnsi="Calibri" w:cs="Calibri"/>
          <w:b/>
          <w:bCs/>
          <w:sz w:val="24"/>
          <w:szCs w:val="24"/>
          <w:highlight w:val="yellow"/>
        </w:rPr>
      </w:pPr>
      <w:r w:rsidRPr="008376FB">
        <w:rPr>
          <w:rFonts w:ascii="Calibri" w:hAnsi="Calibri" w:cs="Calibri"/>
          <w:sz w:val="24"/>
          <w:szCs w:val="24"/>
          <w:highlight w:val="yellow"/>
        </w:rPr>
        <w:t>Gently insert the</w:t>
      </w:r>
      <w:r w:rsidR="004B566F" w:rsidRPr="008376FB">
        <w:rPr>
          <w:rFonts w:ascii="Calibri" w:hAnsi="Calibri" w:cs="Calibri"/>
          <w:sz w:val="24"/>
          <w:szCs w:val="24"/>
          <w:highlight w:val="yellow"/>
        </w:rPr>
        <w:t xml:space="preserve"> fine</w:t>
      </w:r>
      <w:r w:rsidRPr="008376FB">
        <w:rPr>
          <w:rFonts w:ascii="Calibri" w:hAnsi="Calibri" w:cs="Calibri"/>
          <w:sz w:val="24"/>
          <w:szCs w:val="24"/>
          <w:highlight w:val="yellow"/>
        </w:rPr>
        <w:t xml:space="preserve"> scissors into the incision and extend the cut laterally through the peritoneum on both sides</w:t>
      </w:r>
      <w:r w:rsidR="00544725" w:rsidRPr="008376FB">
        <w:rPr>
          <w:rFonts w:ascii="Calibri" w:hAnsi="Calibri" w:cs="Calibri"/>
          <w:sz w:val="24"/>
          <w:szCs w:val="24"/>
          <w:highlight w:val="yellow"/>
        </w:rPr>
        <w:t>.</w:t>
      </w:r>
    </w:p>
    <w:p w14:paraId="5CA6DF9B" w14:textId="77777777" w:rsidR="00CC48B5" w:rsidRPr="008376FB" w:rsidRDefault="00CC48B5" w:rsidP="001654C4">
      <w:pPr>
        <w:pStyle w:val="ListParagraph"/>
        <w:spacing w:after="0" w:line="240" w:lineRule="auto"/>
        <w:ind w:left="0"/>
        <w:jc w:val="both"/>
        <w:rPr>
          <w:rFonts w:ascii="Calibri" w:hAnsi="Calibri" w:cs="Calibri"/>
          <w:b/>
          <w:bCs/>
          <w:sz w:val="24"/>
          <w:szCs w:val="24"/>
          <w:highlight w:val="yellow"/>
        </w:rPr>
      </w:pPr>
    </w:p>
    <w:p w14:paraId="422C0405" w14:textId="2098C211" w:rsidR="00987AA1" w:rsidRPr="008376FB" w:rsidRDefault="00987AA1" w:rsidP="001654C4">
      <w:pPr>
        <w:pStyle w:val="ListParagraph"/>
        <w:numPr>
          <w:ilvl w:val="1"/>
          <w:numId w:val="33"/>
        </w:numPr>
        <w:spacing w:after="0" w:line="240" w:lineRule="auto"/>
        <w:ind w:left="0" w:firstLine="0"/>
        <w:jc w:val="both"/>
        <w:rPr>
          <w:rFonts w:ascii="Calibri" w:hAnsi="Calibri" w:cs="Calibri"/>
          <w:b/>
          <w:bCs/>
          <w:sz w:val="24"/>
          <w:szCs w:val="24"/>
          <w:highlight w:val="yellow"/>
        </w:rPr>
      </w:pPr>
      <w:r w:rsidRPr="008376FB">
        <w:rPr>
          <w:rFonts w:ascii="Calibri" w:hAnsi="Calibri" w:cs="Calibri"/>
          <w:sz w:val="24"/>
          <w:szCs w:val="24"/>
          <w:highlight w:val="yellow"/>
        </w:rPr>
        <w:t>Using forceps</w:t>
      </w:r>
      <w:r w:rsidR="000C07EE" w:rsidRPr="008376FB">
        <w:rPr>
          <w:rFonts w:ascii="Calibri" w:hAnsi="Calibri" w:cs="Calibri"/>
          <w:sz w:val="24"/>
          <w:szCs w:val="24"/>
          <w:highlight w:val="yellow"/>
        </w:rPr>
        <w:t xml:space="preserve"> and</w:t>
      </w:r>
      <w:r w:rsidR="004B566F" w:rsidRPr="008376FB">
        <w:rPr>
          <w:rFonts w:ascii="Calibri" w:hAnsi="Calibri" w:cs="Calibri"/>
          <w:sz w:val="24"/>
          <w:szCs w:val="24"/>
          <w:highlight w:val="yellow"/>
        </w:rPr>
        <w:t xml:space="preserve"> fine</w:t>
      </w:r>
      <w:r w:rsidR="000C07EE" w:rsidRPr="008376FB">
        <w:rPr>
          <w:rFonts w:ascii="Calibri" w:hAnsi="Calibri" w:cs="Calibri"/>
          <w:sz w:val="24"/>
          <w:szCs w:val="24"/>
          <w:highlight w:val="yellow"/>
        </w:rPr>
        <w:t xml:space="preserve"> scissors</w:t>
      </w:r>
      <w:r w:rsidRPr="008376FB">
        <w:rPr>
          <w:rFonts w:ascii="Calibri" w:hAnsi="Calibri" w:cs="Calibri"/>
          <w:sz w:val="24"/>
          <w:szCs w:val="24"/>
          <w:highlight w:val="yellow"/>
        </w:rPr>
        <w:t xml:space="preserve">, </w:t>
      </w:r>
      <w:r w:rsidR="000C07EE" w:rsidRPr="008376FB">
        <w:rPr>
          <w:rFonts w:ascii="Calibri" w:hAnsi="Calibri" w:cs="Calibri"/>
          <w:sz w:val="24"/>
          <w:szCs w:val="24"/>
          <w:highlight w:val="yellow"/>
        </w:rPr>
        <w:t>cut</w:t>
      </w:r>
      <w:r w:rsidR="003E72DB" w:rsidRPr="008376FB">
        <w:rPr>
          <w:rFonts w:ascii="Calibri" w:hAnsi="Calibri" w:cs="Calibri"/>
          <w:sz w:val="24"/>
          <w:szCs w:val="24"/>
          <w:highlight w:val="yellow"/>
        </w:rPr>
        <w:t xml:space="preserve"> </w:t>
      </w:r>
      <w:r w:rsidRPr="008376FB">
        <w:rPr>
          <w:rFonts w:ascii="Calibri" w:hAnsi="Calibri" w:cs="Calibri"/>
          <w:sz w:val="24"/>
          <w:szCs w:val="24"/>
          <w:highlight w:val="yellow"/>
        </w:rPr>
        <w:t xml:space="preserve">both superior and inferior </w:t>
      </w:r>
      <w:r w:rsidR="00172BEE" w:rsidRPr="008376FB">
        <w:rPr>
          <w:rFonts w:ascii="Calibri" w:hAnsi="Calibri" w:cs="Calibri"/>
          <w:sz w:val="24"/>
          <w:szCs w:val="24"/>
          <w:highlight w:val="yellow"/>
        </w:rPr>
        <w:t>parts</w:t>
      </w:r>
      <w:r w:rsidRPr="008376FB">
        <w:rPr>
          <w:rFonts w:ascii="Calibri" w:hAnsi="Calibri" w:cs="Calibri"/>
          <w:sz w:val="24"/>
          <w:szCs w:val="24"/>
          <w:highlight w:val="yellow"/>
        </w:rPr>
        <w:t xml:space="preserve"> of the </w:t>
      </w:r>
      <w:r w:rsidR="00BD62E8" w:rsidRPr="008376FB">
        <w:rPr>
          <w:rFonts w:ascii="Calibri" w:hAnsi="Calibri" w:cs="Calibri"/>
          <w:sz w:val="24"/>
          <w:szCs w:val="24"/>
          <w:highlight w:val="yellow"/>
        </w:rPr>
        <w:t>peritoneum</w:t>
      </w:r>
      <w:r w:rsidR="003E72DB" w:rsidRPr="008376FB">
        <w:rPr>
          <w:rFonts w:ascii="Calibri" w:hAnsi="Calibri" w:cs="Calibri"/>
          <w:sz w:val="24"/>
          <w:szCs w:val="24"/>
          <w:highlight w:val="yellow"/>
        </w:rPr>
        <w:t xml:space="preserve"> open</w:t>
      </w:r>
      <w:r w:rsidR="00BD62E8" w:rsidRPr="008376FB">
        <w:rPr>
          <w:rFonts w:ascii="Calibri" w:hAnsi="Calibri" w:cs="Calibri"/>
          <w:sz w:val="24"/>
          <w:szCs w:val="24"/>
          <w:highlight w:val="yellow"/>
        </w:rPr>
        <w:t>, from the thoracic region to the lower pelvic area</w:t>
      </w:r>
      <w:r w:rsidR="00762971" w:rsidRPr="008376FB">
        <w:rPr>
          <w:rFonts w:ascii="Calibri" w:hAnsi="Calibri" w:cs="Calibri"/>
          <w:sz w:val="24"/>
          <w:szCs w:val="24"/>
          <w:highlight w:val="yellow"/>
        </w:rPr>
        <w:t xml:space="preserve"> (</w:t>
      </w:r>
      <w:r w:rsidR="00326AC0" w:rsidRPr="008376FB">
        <w:rPr>
          <w:rFonts w:ascii="Calibri" w:hAnsi="Calibri" w:cs="Calibri"/>
          <w:b/>
          <w:bCs/>
          <w:sz w:val="24"/>
          <w:szCs w:val="24"/>
          <w:highlight w:val="yellow"/>
        </w:rPr>
        <w:t>Figure</w:t>
      </w:r>
      <w:r w:rsidR="00762971" w:rsidRPr="008376FB">
        <w:rPr>
          <w:rFonts w:ascii="Calibri" w:hAnsi="Calibri" w:cs="Calibri"/>
          <w:b/>
          <w:bCs/>
          <w:sz w:val="24"/>
          <w:szCs w:val="24"/>
          <w:highlight w:val="yellow"/>
        </w:rPr>
        <w:t xml:space="preserve"> 2A</w:t>
      </w:r>
      <w:r w:rsidR="00762971" w:rsidRPr="008376FB">
        <w:rPr>
          <w:rFonts w:ascii="Calibri" w:hAnsi="Calibri" w:cs="Calibri"/>
          <w:sz w:val="24"/>
          <w:szCs w:val="24"/>
          <w:highlight w:val="yellow"/>
        </w:rPr>
        <w:t>)</w:t>
      </w:r>
      <w:r w:rsidR="00544725" w:rsidRPr="008376FB">
        <w:rPr>
          <w:rFonts w:ascii="Calibri" w:hAnsi="Calibri" w:cs="Calibri"/>
          <w:sz w:val="24"/>
          <w:szCs w:val="24"/>
          <w:highlight w:val="yellow"/>
        </w:rPr>
        <w:t>.</w:t>
      </w:r>
    </w:p>
    <w:p w14:paraId="2F299F03" w14:textId="77777777" w:rsidR="00CC48B5" w:rsidRPr="008376FB" w:rsidRDefault="00CC48B5" w:rsidP="001654C4">
      <w:pPr>
        <w:pStyle w:val="ListParagraph"/>
        <w:spacing w:after="0" w:line="240" w:lineRule="auto"/>
        <w:ind w:left="0"/>
        <w:jc w:val="both"/>
        <w:rPr>
          <w:rFonts w:ascii="Calibri" w:hAnsi="Calibri" w:cs="Calibri"/>
          <w:b/>
          <w:bCs/>
          <w:sz w:val="24"/>
          <w:szCs w:val="24"/>
          <w:highlight w:val="yellow"/>
        </w:rPr>
      </w:pPr>
    </w:p>
    <w:p w14:paraId="25B50EF5" w14:textId="64E99689" w:rsidR="00120C22" w:rsidRPr="008376FB" w:rsidRDefault="00120C22" w:rsidP="001654C4">
      <w:pPr>
        <w:pStyle w:val="ListParagraph"/>
        <w:numPr>
          <w:ilvl w:val="1"/>
          <w:numId w:val="33"/>
        </w:numPr>
        <w:spacing w:after="0" w:line="240" w:lineRule="auto"/>
        <w:ind w:left="0" w:firstLine="0"/>
        <w:jc w:val="both"/>
        <w:rPr>
          <w:rFonts w:ascii="Calibri" w:hAnsi="Calibri" w:cs="Calibri"/>
          <w:b/>
          <w:bCs/>
          <w:sz w:val="24"/>
          <w:szCs w:val="24"/>
          <w:highlight w:val="yellow"/>
        </w:rPr>
      </w:pPr>
      <w:r w:rsidRPr="008376FB">
        <w:rPr>
          <w:rFonts w:ascii="Calibri" w:hAnsi="Calibri" w:cs="Calibri"/>
          <w:sz w:val="24"/>
          <w:szCs w:val="24"/>
          <w:highlight w:val="yellow"/>
        </w:rPr>
        <w:t xml:space="preserve">Identify the </w:t>
      </w:r>
      <w:r w:rsidR="000C07EE" w:rsidRPr="008376FB">
        <w:rPr>
          <w:rFonts w:ascii="Calibri" w:hAnsi="Calibri" w:cs="Calibri"/>
          <w:sz w:val="24"/>
          <w:szCs w:val="24"/>
          <w:highlight w:val="yellow"/>
        </w:rPr>
        <w:t xml:space="preserve">distal part of the colon and make </w:t>
      </w:r>
      <w:r w:rsidR="003E72DB" w:rsidRPr="008376FB">
        <w:rPr>
          <w:rFonts w:ascii="Calibri" w:hAnsi="Calibri" w:cs="Calibri"/>
          <w:sz w:val="24"/>
          <w:szCs w:val="24"/>
          <w:highlight w:val="yellow"/>
        </w:rPr>
        <w:t>an incision parallel to its axis,</w:t>
      </w:r>
      <w:r w:rsidR="000C07EE" w:rsidRPr="008376FB">
        <w:rPr>
          <w:rFonts w:ascii="Calibri" w:hAnsi="Calibri" w:cs="Calibri"/>
          <w:sz w:val="24"/>
          <w:szCs w:val="24"/>
          <w:highlight w:val="yellow"/>
        </w:rPr>
        <w:t xml:space="preserve"> toward</w:t>
      </w:r>
      <w:r w:rsidR="003E72DB" w:rsidRPr="008376FB">
        <w:rPr>
          <w:rFonts w:ascii="Calibri" w:hAnsi="Calibri" w:cs="Calibri"/>
          <w:sz w:val="24"/>
          <w:szCs w:val="24"/>
          <w:highlight w:val="yellow"/>
        </w:rPr>
        <w:t>s</w:t>
      </w:r>
      <w:r w:rsidR="000C07EE" w:rsidRPr="008376FB">
        <w:rPr>
          <w:rFonts w:ascii="Calibri" w:hAnsi="Calibri" w:cs="Calibri"/>
          <w:sz w:val="24"/>
          <w:szCs w:val="24"/>
          <w:highlight w:val="yellow"/>
        </w:rPr>
        <w:t xml:space="preserve"> the rectum</w:t>
      </w:r>
      <w:r w:rsidR="00544725" w:rsidRPr="008376FB">
        <w:rPr>
          <w:rFonts w:ascii="Calibri" w:hAnsi="Calibri" w:cs="Calibri"/>
          <w:sz w:val="24"/>
          <w:szCs w:val="24"/>
          <w:highlight w:val="yellow"/>
        </w:rPr>
        <w:t>.</w:t>
      </w:r>
    </w:p>
    <w:p w14:paraId="02AE9E22" w14:textId="77777777" w:rsidR="00CC48B5" w:rsidRPr="008376FB" w:rsidRDefault="00CC48B5" w:rsidP="001654C4">
      <w:pPr>
        <w:pStyle w:val="ListParagraph"/>
        <w:spacing w:after="0" w:line="240" w:lineRule="auto"/>
        <w:ind w:left="0"/>
        <w:jc w:val="both"/>
        <w:rPr>
          <w:rFonts w:ascii="Calibri" w:hAnsi="Calibri" w:cs="Calibri"/>
          <w:b/>
          <w:bCs/>
          <w:sz w:val="24"/>
          <w:szCs w:val="24"/>
          <w:highlight w:val="yellow"/>
        </w:rPr>
      </w:pPr>
    </w:p>
    <w:p w14:paraId="16B38EC6" w14:textId="03ECA18E" w:rsidR="003E72DB" w:rsidRPr="008376FB" w:rsidRDefault="003E72DB" w:rsidP="001654C4">
      <w:pPr>
        <w:pStyle w:val="ListParagraph"/>
        <w:numPr>
          <w:ilvl w:val="1"/>
          <w:numId w:val="33"/>
        </w:numPr>
        <w:spacing w:after="0" w:line="240" w:lineRule="auto"/>
        <w:ind w:left="0" w:firstLine="0"/>
        <w:jc w:val="both"/>
        <w:rPr>
          <w:rFonts w:ascii="Calibri" w:hAnsi="Calibri" w:cs="Calibri"/>
          <w:b/>
          <w:bCs/>
          <w:sz w:val="24"/>
          <w:szCs w:val="24"/>
          <w:highlight w:val="yellow"/>
        </w:rPr>
      </w:pPr>
      <w:r w:rsidRPr="008376FB">
        <w:rPr>
          <w:rFonts w:ascii="Calibri" w:hAnsi="Calibri" w:cs="Calibri"/>
          <w:sz w:val="24"/>
          <w:szCs w:val="24"/>
          <w:highlight w:val="yellow"/>
        </w:rPr>
        <w:t>Make an incision in the terminal/rectal portion of the colon to mobilize it</w:t>
      </w:r>
      <w:r w:rsidR="00544725" w:rsidRPr="008376FB">
        <w:rPr>
          <w:rFonts w:ascii="Calibri" w:hAnsi="Calibri" w:cs="Calibri"/>
          <w:sz w:val="24"/>
          <w:szCs w:val="24"/>
          <w:highlight w:val="yellow"/>
        </w:rPr>
        <w:t>.</w:t>
      </w:r>
    </w:p>
    <w:p w14:paraId="3E297DD0" w14:textId="77777777" w:rsidR="00CC48B5" w:rsidRPr="008376FB" w:rsidRDefault="00CC48B5" w:rsidP="001654C4">
      <w:pPr>
        <w:pStyle w:val="ListParagraph"/>
        <w:spacing w:after="0" w:line="240" w:lineRule="auto"/>
        <w:ind w:left="0"/>
        <w:jc w:val="both"/>
        <w:rPr>
          <w:rFonts w:ascii="Calibri" w:hAnsi="Calibri" w:cs="Calibri"/>
          <w:b/>
          <w:bCs/>
          <w:sz w:val="24"/>
          <w:szCs w:val="24"/>
          <w:highlight w:val="yellow"/>
        </w:rPr>
      </w:pPr>
    </w:p>
    <w:p w14:paraId="3229959F" w14:textId="6070D056" w:rsidR="00862FBD" w:rsidRPr="008376FB" w:rsidRDefault="00862FBD" w:rsidP="001654C4">
      <w:pPr>
        <w:pStyle w:val="ListParagraph"/>
        <w:numPr>
          <w:ilvl w:val="1"/>
          <w:numId w:val="33"/>
        </w:numPr>
        <w:spacing w:after="0" w:line="240" w:lineRule="auto"/>
        <w:ind w:left="0" w:firstLine="0"/>
        <w:jc w:val="both"/>
        <w:rPr>
          <w:rFonts w:ascii="Calibri" w:hAnsi="Calibri" w:cs="Calibri"/>
          <w:b/>
          <w:bCs/>
          <w:sz w:val="24"/>
          <w:szCs w:val="24"/>
          <w:highlight w:val="yellow"/>
        </w:rPr>
      </w:pPr>
      <w:r w:rsidRPr="008376FB">
        <w:rPr>
          <w:rFonts w:ascii="Calibri" w:hAnsi="Calibri" w:cs="Calibri"/>
          <w:sz w:val="24"/>
          <w:szCs w:val="24"/>
          <w:highlight w:val="yellow"/>
        </w:rPr>
        <w:t xml:space="preserve">Gently pull the colon and </w:t>
      </w:r>
      <w:r w:rsidR="00D5426A" w:rsidRPr="008376FB">
        <w:rPr>
          <w:rFonts w:ascii="Calibri" w:hAnsi="Calibri" w:cs="Calibri"/>
          <w:sz w:val="24"/>
          <w:szCs w:val="24"/>
          <w:highlight w:val="yellow"/>
        </w:rPr>
        <w:t>progress</w:t>
      </w:r>
      <w:r w:rsidR="00EA2949" w:rsidRPr="008376FB">
        <w:rPr>
          <w:rFonts w:ascii="Calibri" w:hAnsi="Calibri" w:cs="Calibri"/>
          <w:sz w:val="24"/>
          <w:szCs w:val="24"/>
          <w:highlight w:val="yellow"/>
        </w:rPr>
        <w:t xml:space="preserve"> towards the </w:t>
      </w:r>
      <w:r w:rsidRPr="008376FB">
        <w:rPr>
          <w:rFonts w:ascii="Calibri" w:hAnsi="Calibri" w:cs="Calibri"/>
          <w:sz w:val="24"/>
          <w:szCs w:val="24"/>
          <w:highlight w:val="yellow"/>
        </w:rPr>
        <w:t>cecum</w:t>
      </w:r>
      <w:r w:rsidR="00EA2949" w:rsidRPr="008376FB">
        <w:rPr>
          <w:rFonts w:ascii="Calibri" w:hAnsi="Calibri" w:cs="Calibri"/>
          <w:sz w:val="24"/>
          <w:szCs w:val="24"/>
          <w:highlight w:val="yellow"/>
        </w:rPr>
        <w:t xml:space="preserve">, </w:t>
      </w:r>
      <w:r w:rsidR="00153576" w:rsidRPr="008376FB">
        <w:rPr>
          <w:rFonts w:ascii="Calibri" w:hAnsi="Calibri" w:cs="Calibri"/>
          <w:sz w:val="24"/>
          <w:szCs w:val="24"/>
          <w:highlight w:val="yellow"/>
        </w:rPr>
        <w:t>remov</w:t>
      </w:r>
      <w:r w:rsidRPr="008376FB">
        <w:rPr>
          <w:rFonts w:ascii="Calibri" w:hAnsi="Calibri" w:cs="Calibri"/>
          <w:sz w:val="24"/>
          <w:szCs w:val="24"/>
          <w:highlight w:val="yellow"/>
        </w:rPr>
        <w:t>ing potential</w:t>
      </w:r>
      <w:r w:rsidR="00EA2949" w:rsidRPr="008376FB">
        <w:rPr>
          <w:rFonts w:ascii="Calibri" w:hAnsi="Calibri" w:cs="Calibri"/>
          <w:sz w:val="24"/>
          <w:szCs w:val="24"/>
          <w:highlight w:val="yellow"/>
        </w:rPr>
        <w:t xml:space="preserve"> </w:t>
      </w:r>
      <w:r w:rsidR="005418AB" w:rsidRPr="008376FB">
        <w:rPr>
          <w:rFonts w:ascii="Calibri" w:hAnsi="Calibri" w:cs="Calibri"/>
          <w:sz w:val="24"/>
          <w:szCs w:val="24"/>
          <w:highlight w:val="yellow"/>
        </w:rPr>
        <w:t>piece</w:t>
      </w:r>
      <w:r w:rsidR="003E4A61" w:rsidRPr="008376FB">
        <w:rPr>
          <w:rFonts w:ascii="Calibri" w:hAnsi="Calibri" w:cs="Calibri"/>
          <w:sz w:val="24"/>
          <w:szCs w:val="24"/>
          <w:highlight w:val="yellow"/>
        </w:rPr>
        <w:t>s</w:t>
      </w:r>
      <w:r w:rsidR="00EA2949" w:rsidRPr="008376FB">
        <w:rPr>
          <w:rFonts w:ascii="Calibri" w:hAnsi="Calibri" w:cs="Calibri"/>
          <w:sz w:val="24"/>
          <w:szCs w:val="24"/>
          <w:highlight w:val="yellow"/>
        </w:rPr>
        <w:t xml:space="preserve"> of connective </w:t>
      </w:r>
      <w:r w:rsidR="003E4A61" w:rsidRPr="008376FB">
        <w:rPr>
          <w:rFonts w:ascii="Calibri" w:hAnsi="Calibri" w:cs="Calibri"/>
          <w:sz w:val="24"/>
          <w:szCs w:val="24"/>
          <w:highlight w:val="yellow"/>
        </w:rPr>
        <w:t>or</w:t>
      </w:r>
      <w:r w:rsidR="003B4A9A" w:rsidRPr="008376FB">
        <w:rPr>
          <w:rFonts w:ascii="Calibri" w:hAnsi="Calibri" w:cs="Calibri"/>
          <w:sz w:val="24"/>
          <w:szCs w:val="24"/>
          <w:highlight w:val="yellow"/>
        </w:rPr>
        <w:t xml:space="preserve"> fat tissue</w:t>
      </w:r>
      <w:r w:rsidR="00544725" w:rsidRPr="008376FB">
        <w:rPr>
          <w:rFonts w:ascii="Calibri" w:hAnsi="Calibri" w:cs="Calibri"/>
          <w:sz w:val="24"/>
          <w:szCs w:val="24"/>
          <w:highlight w:val="yellow"/>
        </w:rPr>
        <w:t>.</w:t>
      </w:r>
    </w:p>
    <w:p w14:paraId="6CCC8786" w14:textId="77777777" w:rsidR="00CC48B5" w:rsidRPr="008376FB" w:rsidRDefault="00CC48B5" w:rsidP="001654C4">
      <w:pPr>
        <w:pStyle w:val="ListParagraph"/>
        <w:spacing w:after="0" w:line="240" w:lineRule="auto"/>
        <w:ind w:left="0"/>
        <w:jc w:val="both"/>
        <w:rPr>
          <w:rFonts w:ascii="Calibri" w:hAnsi="Calibri" w:cs="Calibri"/>
          <w:b/>
          <w:bCs/>
          <w:sz w:val="24"/>
          <w:szCs w:val="24"/>
          <w:highlight w:val="yellow"/>
        </w:rPr>
      </w:pPr>
    </w:p>
    <w:p w14:paraId="63492C2A" w14:textId="50A660EE" w:rsidR="00862FBD" w:rsidRPr="008376FB" w:rsidRDefault="00862FBD" w:rsidP="001654C4">
      <w:pPr>
        <w:pStyle w:val="ListParagraph"/>
        <w:numPr>
          <w:ilvl w:val="1"/>
          <w:numId w:val="33"/>
        </w:numPr>
        <w:spacing w:after="0" w:line="240" w:lineRule="auto"/>
        <w:ind w:left="0" w:firstLine="0"/>
        <w:jc w:val="both"/>
        <w:rPr>
          <w:rFonts w:ascii="Calibri" w:hAnsi="Calibri" w:cs="Calibri"/>
          <w:b/>
          <w:bCs/>
          <w:sz w:val="24"/>
          <w:szCs w:val="24"/>
          <w:highlight w:val="yellow"/>
        </w:rPr>
      </w:pPr>
      <w:r w:rsidRPr="008376FB">
        <w:rPr>
          <w:rFonts w:ascii="Calibri" w:hAnsi="Calibri" w:cs="Calibri"/>
          <w:sz w:val="24"/>
          <w:szCs w:val="24"/>
          <w:highlight w:val="yellow"/>
        </w:rPr>
        <w:t xml:space="preserve">Free the colon from the abdomen by cutting </w:t>
      </w:r>
      <w:r w:rsidR="004755A7" w:rsidRPr="008376FB">
        <w:rPr>
          <w:rFonts w:ascii="Calibri" w:hAnsi="Calibri" w:cs="Calibri"/>
          <w:sz w:val="24"/>
          <w:szCs w:val="24"/>
          <w:highlight w:val="yellow"/>
        </w:rPr>
        <w:t>at the ileocecal junction, above the cecum</w:t>
      </w:r>
      <w:r w:rsidRPr="008376FB">
        <w:rPr>
          <w:rFonts w:ascii="Calibri" w:hAnsi="Calibri" w:cs="Calibri"/>
          <w:sz w:val="24"/>
          <w:szCs w:val="24"/>
          <w:highlight w:val="yellow"/>
        </w:rPr>
        <w:t xml:space="preserve"> </w:t>
      </w:r>
      <w:r w:rsidR="00762971" w:rsidRPr="008376FB">
        <w:rPr>
          <w:rFonts w:ascii="Calibri" w:hAnsi="Calibri" w:cs="Calibri"/>
          <w:sz w:val="24"/>
          <w:szCs w:val="24"/>
          <w:highlight w:val="yellow"/>
        </w:rPr>
        <w:t>(</w:t>
      </w:r>
      <w:r w:rsidR="00326AC0" w:rsidRPr="008376FB">
        <w:rPr>
          <w:rFonts w:ascii="Calibri" w:hAnsi="Calibri" w:cs="Calibri"/>
          <w:b/>
          <w:bCs/>
          <w:sz w:val="24"/>
          <w:szCs w:val="24"/>
          <w:highlight w:val="yellow"/>
        </w:rPr>
        <w:t>Figure</w:t>
      </w:r>
      <w:r w:rsidR="00762971" w:rsidRPr="008376FB">
        <w:rPr>
          <w:rFonts w:ascii="Calibri" w:hAnsi="Calibri" w:cs="Calibri"/>
          <w:b/>
          <w:bCs/>
          <w:sz w:val="24"/>
          <w:szCs w:val="24"/>
          <w:highlight w:val="yellow"/>
        </w:rPr>
        <w:t xml:space="preserve"> 2B</w:t>
      </w:r>
      <w:r w:rsidR="00762971" w:rsidRPr="008376FB">
        <w:rPr>
          <w:rFonts w:ascii="Calibri" w:hAnsi="Calibri" w:cs="Calibri"/>
          <w:sz w:val="24"/>
          <w:szCs w:val="24"/>
          <w:highlight w:val="yellow"/>
        </w:rPr>
        <w:t>)</w:t>
      </w:r>
      <w:r w:rsidR="00544725" w:rsidRPr="008376FB">
        <w:rPr>
          <w:rFonts w:ascii="Calibri" w:hAnsi="Calibri" w:cs="Calibri"/>
          <w:sz w:val="24"/>
          <w:szCs w:val="24"/>
          <w:highlight w:val="yellow"/>
        </w:rPr>
        <w:t>.</w:t>
      </w:r>
    </w:p>
    <w:p w14:paraId="0DD48826" w14:textId="77777777" w:rsidR="00CC48B5" w:rsidRPr="008376FB" w:rsidRDefault="00CC48B5" w:rsidP="001654C4">
      <w:pPr>
        <w:pStyle w:val="ListParagraph"/>
        <w:spacing w:after="0" w:line="240" w:lineRule="auto"/>
        <w:ind w:left="0"/>
        <w:jc w:val="both"/>
        <w:rPr>
          <w:rFonts w:ascii="Calibri" w:hAnsi="Calibri" w:cs="Calibri"/>
          <w:b/>
          <w:bCs/>
          <w:sz w:val="24"/>
          <w:szCs w:val="24"/>
          <w:highlight w:val="yellow"/>
        </w:rPr>
      </w:pPr>
    </w:p>
    <w:p w14:paraId="513459DC" w14:textId="261BA87E" w:rsidR="00CC48B5" w:rsidRPr="008376FB" w:rsidRDefault="004755A7" w:rsidP="001654C4">
      <w:pPr>
        <w:pStyle w:val="ListParagraph"/>
        <w:numPr>
          <w:ilvl w:val="1"/>
          <w:numId w:val="33"/>
        </w:numPr>
        <w:spacing w:after="0" w:line="240" w:lineRule="auto"/>
        <w:ind w:left="0" w:firstLine="0"/>
        <w:jc w:val="both"/>
        <w:rPr>
          <w:rFonts w:ascii="Calibri" w:hAnsi="Calibri" w:cs="Calibri"/>
          <w:b/>
          <w:bCs/>
          <w:sz w:val="24"/>
          <w:szCs w:val="24"/>
          <w:highlight w:val="yellow"/>
        </w:rPr>
      </w:pPr>
      <w:r w:rsidRPr="008376FB">
        <w:rPr>
          <w:rFonts w:ascii="Calibri" w:hAnsi="Calibri" w:cs="Calibri"/>
          <w:sz w:val="24"/>
          <w:szCs w:val="24"/>
          <w:highlight w:val="yellow"/>
        </w:rPr>
        <w:t xml:space="preserve">Discard the cecum and the initial few millimeters of the proximal colon, then collect one to two samples from the proximal colon that are larger than the aperture size of </w:t>
      </w:r>
      <w:r w:rsidR="00D5426A" w:rsidRPr="008376FB">
        <w:rPr>
          <w:rFonts w:ascii="Calibri" w:hAnsi="Calibri" w:cs="Calibri"/>
          <w:sz w:val="24"/>
          <w:szCs w:val="24"/>
          <w:highlight w:val="yellow"/>
        </w:rPr>
        <w:t>the</w:t>
      </w:r>
      <w:r w:rsidRPr="008376FB">
        <w:rPr>
          <w:rFonts w:ascii="Calibri" w:hAnsi="Calibri" w:cs="Calibri"/>
          <w:sz w:val="24"/>
          <w:szCs w:val="24"/>
          <w:highlight w:val="yellow"/>
        </w:rPr>
        <w:t xml:space="preserve"> Ussing slider</w:t>
      </w:r>
      <w:r w:rsidR="00762971" w:rsidRPr="008376FB">
        <w:rPr>
          <w:rFonts w:ascii="Calibri" w:hAnsi="Calibri" w:cs="Calibri"/>
          <w:sz w:val="24"/>
          <w:szCs w:val="24"/>
          <w:highlight w:val="yellow"/>
        </w:rPr>
        <w:t xml:space="preserve"> (</w:t>
      </w:r>
      <w:r w:rsidR="00326AC0" w:rsidRPr="008376FB">
        <w:rPr>
          <w:rFonts w:ascii="Calibri" w:hAnsi="Calibri" w:cs="Calibri"/>
          <w:b/>
          <w:bCs/>
          <w:sz w:val="24"/>
          <w:szCs w:val="24"/>
          <w:highlight w:val="yellow"/>
        </w:rPr>
        <w:t>Figure</w:t>
      </w:r>
      <w:r w:rsidR="00762971" w:rsidRPr="008376FB">
        <w:rPr>
          <w:rFonts w:ascii="Calibri" w:hAnsi="Calibri" w:cs="Calibri"/>
          <w:b/>
          <w:bCs/>
          <w:sz w:val="24"/>
          <w:szCs w:val="24"/>
          <w:highlight w:val="yellow"/>
        </w:rPr>
        <w:t xml:space="preserve"> 2C</w:t>
      </w:r>
      <w:r w:rsidR="00762971" w:rsidRPr="008376FB">
        <w:rPr>
          <w:rFonts w:ascii="Calibri" w:hAnsi="Calibri" w:cs="Calibri"/>
          <w:sz w:val="24"/>
          <w:szCs w:val="24"/>
          <w:highlight w:val="yellow"/>
        </w:rPr>
        <w:t>)</w:t>
      </w:r>
      <w:r w:rsidR="00544725" w:rsidRPr="008376FB">
        <w:rPr>
          <w:rFonts w:ascii="Calibri" w:hAnsi="Calibri" w:cs="Calibri"/>
          <w:sz w:val="24"/>
          <w:szCs w:val="24"/>
          <w:highlight w:val="yellow"/>
        </w:rPr>
        <w:t>.</w:t>
      </w:r>
    </w:p>
    <w:p w14:paraId="2E3E35E8" w14:textId="54E49192" w:rsidR="00CC48B5" w:rsidRPr="008376FB" w:rsidRDefault="003B4A9A" w:rsidP="001654C4">
      <w:pPr>
        <w:pStyle w:val="ListParagraph"/>
        <w:spacing w:after="0" w:line="240" w:lineRule="auto"/>
        <w:ind w:left="0"/>
        <w:jc w:val="both"/>
        <w:rPr>
          <w:rFonts w:ascii="Calibri" w:hAnsi="Calibri" w:cs="Calibri"/>
          <w:sz w:val="24"/>
          <w:szCs w:val="24"/>
          <w:highlight w:val="yellow"/>
        </w:rPr>
      </w:pPr>
      <w:r w:rsidRPr="008376FB">
        <w:rPr>
          <w:rFonts w:ascii="Calibri" w:hAnsi="Calibri" w:cs="Calibri"/>
          <w:sz w:val="24"/>
          <w:szCs w:val="24"/>
          <w:highlight w:val="yellow"/>
        </w:rPr>
        <w:br/>
      </w:r>
      <w:r w:rsidRPr="000162CD">
        <w:rPr>
          <w:rFonts w:ascii="Calibri" w:hAnsi="Calibri" w:cs="Calibri"/>
          <w:sz w:val="24"/>
          <w:szCs w:val="24"/>
        </w:rPr>
        <w:t xml:space="preserve">NOTE: </w:t>
      </w:r>
      <w:r w:rsidR="000162CD" w:rsidRPr="000162CD">
        <w:rPr>
          <w:rFonts w:ascii="Calibri" w:hAnsi="Calibri" w:cs="Calibri"/>
          <w:sz w:val="24"/>
          <w:szCs w:val="24"/>
        </w:rPr>
        <w:t>S</w:t>
      </w:r>
      <w:r w:rsidRPr="000162CD">
        <w:rPr>
          <w:rFonts w:ascii="Calibri" w:hAnsi="Calibri" w:cs="Calibri"/>
          <w:sz w:val="24"/>
          <w:szCs w:val="24"/>
        </w:rPr>
        <w:t xml:space="preserve">ecuring </w:t>
      </w:r>
      <w:r w:rsidR="00862FBD" w:rsidRPr="000162CD">
        <w:rPr>
          <w:rFonts w:ascii="Calibri" w:hAnsi="Calibri" w:cs="Calibri"/>
          <w:sz w:val="24"/>
          <w:szCs w:val="24"/>
        </w:rPr>
        <w:t>two</w:t>
      </w:r>
      <w:r w:rsidRPr="000162CD">
        <w:rPr>
          <w:rFonts w:ascii="Calibri" w:hAnsi="Calibri" w:cs="Calibri"/>
          <w:sz w:val="24"/>
          <w:szCs w:val="24"/>
        </w:rPr>
        <w:t xml:space="preserve"> over-sized biopsies is advised, as </w:t>
      </w:r>
      <w:r w:rsidR="000162CD">
        <w:rPr>
          <w:rFonts w:ascii="Calibri" w:hAnsi="Calibri" w:cs="Calibri"/>
          <w:sz w:val="24"/>
          <w:szCs w:val="24"/>
        </w:rPr>
        <w:t xml:space="preserve">the </w:t>
      </w:r>
      <w:r w:rsidRPr="000162CD">
        <w:rPr>
          <w:rFonts w:ascii="Calibri" w:hAnsi="Calibri" w:cs="Calibri"/>
          <w:sz w:val="24"/>
          <w:szCs w:val="24"/>
        </w:rPr>
        <w:t>neonatal colon is extremely fragile and can easily be torn, lacerated</w:t>
      </w:r>
      <w:r w:rsidR="000162CD">
        <w:rPr>
          <w:rFonts w:ascii="Calibri" w:hAnsi="Calibri" w:cs="Calibri"/>
          <w:sz w:val="24"/>
          <w:szCs w:val="24"/>
        </w:rPr>
        <w:t>,</w:t>
      </w:r>
      <w:r w:rsidRPr="000162CD">
        <w:rPr>
          <w:rFonts w:ascii="Calibri" w:hAnsi="Calibri" w:cs="Calibri"/>
          <w:sz w:val="24"/>
          <w:szCs w:val="24"/>
        </w:rPr>
        <w:t xml:space="preserve"> or pierced during cleaning and mounting</w:t>
      </w:r>
      <w:r w:rsidR="00544725" w:rsidRPr="000162CD">
        <w:rPr>
          <w:rFonts w:ascii="Calibri" w:hAnsi="Calibri" w:cs="Calibri"/>
          <w:sz w:val="24"/>
          <w:szCs w:val="24"/>
        </w:rPr>
        <w:t>.</w:t>
      </w:r>
    </w:p>
    <w:p w14:paraId="47F24182" w14:textId="77777777" w:rsidR="00CC48B5" w:rsidRPr="008376FB" w:rsidRDefault="00CC48B5" w:rsidP="001654C4">
      <w:pPr>
        <w:pStyle w:val="ListParagraph"/>
        <w:spacing w:after="0" w:line="240" w:lineRule="auto"/>
        <w:ind w:left="0"/>
        <w:jc w:val="both"/>
        <w:rPr>
          <w:rFonts w:ascii="Calibri" w:hAnsi="Calibri" w:cs="Calibri"/>
          <w:sz w:val="24"/>
          <w:szCs w:val="24"/>
          <w:highlight w:val="yellow"/>
        </w:rPr>
      </w:pPr>
    </w:p>
    <w:p w14:paraId="748CD71B" w14:textId="1553315F" w:rsidR="004337DD" w:rsidRPr="008376FB" w:rsidRDefault="00D2546F" w:rsidP="001654C4">
      <w:pPr>
        <w:keepNext/>
        <w:spacing w:after="0" w:line="240" w:lineRule="auto"/>
        <w:jc w:val="both"/>
        <w:rPr>
          <w:rFonts w:ascii="Calibri" w:hAnsi="Calibri" w:cs="Calibri"/>
          <w:noProof/>
          <w:sz w:val="24"/>
          <w:szCs w:val="24"/>
        </w:rPr>
      </w:pPr>
      <w:r w:rsidRPr="008376FB">
        <w:rPr>
          <w:rFonts w:ascii="Calibri" w:hAnsi="Calibri" w:cs="Calibri"/>
          <w:noProof/>
          <w:sz w:val="24"/>
          <w:szCs w:val="24"/>
        </w:rPr>
        <w:lastRenderedPageBreak/>
        <w:t>[insert</w:t>
      </w:r>
      <w:r w:rsidRPr="008376FB">
        <w:rPr>
          <w:rFonts w:ascii="Calibri" w:hAnsi="Calibri" w:cs="Calibri"/>
          <w:b/>
          <w:bCs/>
          <w:noProof/>
          <w:sz w:val="24"/>
          <w:szCs w:val="24"/>
        </w:rPr>
        <w:t xml:space="preserve"> figure 2 </w:t>
      </w:r>
      <w:r w:rsidRPr="008376FB">
        <w:rPr>
          <w:rFonts w:ascii="Calibri" w:hAnsi="Calibri" w:cs="Calibri"/>
          <w:noProof/>
          <w:sz w:val="24"/>
          <w:szCs w:val="24"/>
        </w:rPr>
        <w:t>here]</w:t>
      </w:r>
    </w:p>
    <w:p w14:paraId="614549EF" w14:textId="77777777" w:rsidR="00CC48B5" w:rsidRPr="008376FB" w:rsidRDefault="00CC48B5" w:rsidP="001654C4">
      <w:pPr>
        <w:keepNext/>
        <w:spacing w:after="0" w:line="240" w:lineRule="auto"/>
        <w:jc w:val="both"/>
        <w:rPr>
          <w:rFonts w:ascii="Calibri" w:hAnsi="Calibri" w:cs="Calibri"/>
          <w:sz w:val="24"/>
          <w:szCs w:val="24"/>
        </w:rPr>
      </w:pPr>
    </w:p>
    <w:p w14:paraId="530CE07A" w14:textId="2856528F" w:rsidR="003B4A9A" w:rsidRPr="000162CD" w:rsidRDefault="00D544E2" w:rsidP="001654C4">
      <w:pPr>
        <w:pStyle w:val="ListParagraph"/>
        <w:numPr>
          <w:ilvl w:val="1"/>
          <w:numId w:val="33"/>
        </w:numPr>
        <w:shd w:val="clear" w:color="auto" w:fill="FFFF00"/>
        <w:spacing w:after="0" w:line="240" w:lineRule="auto"/>
        <w:ind w:left="0" w:firstLine="0"/>
        <w:jc w:val="both"/>
        <w:rPr>
          <w:rFonts w:ascii="Calibri" w:hAnsi="Calibri" w:cs="Calibri"/>
          <w:b/>
          <w:bCs/>
          <w:sz w:val="24"/>
          <w:szCs w:val="24"/>
        </w:rPr>
      </w:pPr>
      <w:r w:rsidRPr="000162CD">
        <w:rPr>
          <w:rFonts w:ascii="Calibri" w:hAnsi="Calibri" w:cs="Calibri"/>
          <w:sz w:val="24"/>
          <w:szCs w:val="24"/>
        </w:rPr>
        <w:t>With the scissors closed</w:t>
      </w:r>
      <w:r w:rsidR="00120C22" w:rsidRPr="000162CD">
        <w:rPr>
          <w:rFonts w:ascii="Calibri" w:hAnsi="Calibri" w:cs="Calibri"/>
          <w:sz w:val="24"/>
          <w:szCs w:val="24"/>
        </w:rPr>
        <w:t xml:space="preserve">, gently </w:t>
      </w:r>
      <w:r w:rsidR="005418AB" w:rsidRPr="000162CD">
        <w:rPr>
          <w:rFonts w:ascii="Calibri" w:hAnsi="Calibri" w:cs="Calibri"/>
          <w:sz w:val="24"/>
          <w:szCs w:val="24"/>
        </w:rPr>
        <w:t xml:space="preserve">remove the fecal content from the flattened </w:t>
      </w:r>
      <w:r w:rsidRPr="000162CD">
        <w:rPr>
          <w:rFonts w:ascii="Calibri" w:hAnsi="Calibri" w:cs="Calibri"/>
          <w:sz w:val="24"/>
          <w:szCs w:val="24"/>
        </w:rPr>
        <w:t>biopsy by applying light pressure and sliding from the proximal to the</w:t>
      </w:r>
      <w:r w:rsidR="00756B08" w:rsidRPr="000162CD">
        <w:rPr>
          <w:rFonts w:ascii="Calibri" w:hAnsi="Calibri" w:cs="Calibri"/>
          <w:sz w:val="24"/>
          <w:szCs w:val="24"/>
        </w:rPr>
        <w:t xml:space="preserve"> </w:t>
      </w:r>
      <w:r w:rsidRPr="000162CD">
        <w:rPr>
          <w:rFonts w:ascii="Calibri" w:hAnsi="Calibri" w:cs="Calibri"/>
          <w:sz w:val="24"/>
          <w:szCs w:val="24"/>
        </w:rPr>
        <w:t>distal end</w:t>
      </w:r>
      <w:r w:rsidR="00544725" w:rsidRPr="000162CD">
        <w:rPr>
          <w:rFonts w:ascii="Calibri" w:hAnsi="Calibri" w:cs="Calibri"/>
          <w:sz w:val="24"/>
          <w:szCs w:val="24"/>
        </w:rPr>
        <w:t>.</w:t>
      </w:r>
    </w:p>
    <w:p w14:paraId="1D64FBF1" w14:textId="77777777" w:rsidR="00856713" w:rsidRPr="000162CD" w:rsidRDefault="00856713" w:rsidP="001654C4">
      <w:pPr>
        <w:pStyle w:val="ListParagraph"/>
        <w:shd w:val="clear" w:color="auto" w:fill="FFFF00"/>
        <w:spacing w:after="0" w:line="240" w:lineRule="auto"/>
        <w:ind w:left="0"/>
        <w:jc w:val="both"/>
        <w:rPr>
          <w:rFonts w:ascii="Calibri" w:hAnsi="Calibri" w:cs="Calibri"/>
          <w:b/>
          <w:bCs/>
          <w:sz w:val="24"/>
          <w:szCs w:val="24"/>
        </w:rPr>
      </w:pPr>
    </w:p>
    <w:p w14:paraId="2C87B429" w14:textId="71FB5AAE" w:rsidR="00987AA1" w:rsidRPr="000162CD" w:rsidRDefault="003B4A9A" w:rsidP="001654C4">
      <w:pPr>
        <w:pStyle w:val="ListParagraph"/>
        <w:numPr>
          <w:ilvl w:val="1"/>
          <w:numId w:val="33"/>
        </w:numPr>
        <w:shd w:val="clear" w:color="auto" w:fill="FFFF00"/>
        <w:spacing w:after="0" w:line="240" w:lineRule="auto"/>
        <w:ind w:left="0" w:firstLine="0"/>
        <w:jc w:val="both"/>
        <w:rPr>
          <w:rFonts w:ascii="Calibri" w:hAnsi="Calibri" w:cs="Calibri"/>
          <w:b/>
          <w:bCs/>
          <w:sz w:val="24"/>
          <w:szCs w:val="24"/>
        </w:rPr>
      </w:pPr>
      <w:r w:rsidRPr="000162CD">
        <w:rPr>
          <w:rFonts w:ascii="Calibri" w:hAnsi="Calibri" w:cs="Calibri"/>
          <w:sz w:val="24"/>
          <w:szCs w:val="24"/>
        </w:rPr>
        <w:t xml:space="preserve">Place the emptied colon piece </w:t>
      </w:r>
      <w:r w:rsidR="00301E63" w:rsidRPr="000162CD">
        <w:rPr>
          <w:rFonts w:ascii="Calibri" w:hAnsi="Calibri" w:cs="Calibri"/>
          <w:sz w:val="24"/>
          <w:szCs w:val="24"/>
        </w:rPr>
        <w:t>in</w:t>
      </w:r>
      <w:r w:rsidR="00D544E2" w:rsidRPr="000162CD">
        <w:rPr>
          <w:rFonts w:ascii="Calibri" w:hAnsi="Calibri" w:cs="Calibri"/>
          <w:sz w:val="24"/>
          <w:szCs w:val="24"/>
        </w:rPr>
        <w:t xml:space="preserve"> ice-cold</w:t>
      </w:r>
      <w:r w:rsidR="00301E63" w:rsidRPr="000162CD">
        <w:rPr>
          <w:rFonts w:ascii="Calibri" w:hAnsi="Calibri" w:cs="Calibri"/>
          <w:sz w:val="24"/>
          <w:szCs w:val="24"/>
        </w:rPr>
        <w:t xml:space="preserve"> KRB buffer</w:t>
      </w:r>
      <w:r w:rsidR="00544725" w:rsidRPr="000162CD">
        <w:rPr>
          <w:rFonts w:ascii="Calibri" w:hAnsi="Calibri" w:cs="Calibri"/>
          <w:sz w:val="24"/>
          <w:szCs w:val="24"/>
        </w:rPr>
        <w:t>.</w:t>
      </w:r>
    </w:p>
    <w:p w14:paraId="50DE851B" w14:textId="77777777" w:rsidR="00856713" w:rsidRPr="008376FB" w:rsidRDefault="00856713" w:rsidP="001654C4">
      <w:pPr>
        <w:pStyle w:val="ListParagraph"/>
        <w:shd w:val="clear" w:color="auto" w:fill="FFFF00"/>
        <w:spacing w:after="0" w:line="240" w:lineRule="auto"/>
        <w:ind w:left="0"/>
        <w:jc w:val="both"/>
        <w:rPr>
          <w:rFonts w:ascii="Calibri" w:hAnsi="Calibri" w:cs="Calibri"/>
          <w:b/>
          <w:bCs/>
          <w:sz w:val="24"/>
          <w:szCs w:val="24"/>
        </w:rPr>
      </w:pPr>
    </w:p>
    <w:p w14:paraId="28173B54" w14:textId="19DE8680" w:rsidR="00856713" w:rsidRPr="008376FB" w:rsidRDefault="00890892" w:rsidP="001654C4">
      <w:pPr>
        <w:spacing w:after="0" w:line="240" w:lineRule="auto"/>
        <w:jc w:val="both"/>
        <w:rPr>
          <w:rFonts w:ascii="Calibri" w:hAnsi="Calibri" w:cs="Calibri"/>
          <w:b/>
          <w:bCs/>
          <w:sz w:val="24"/>
          <w:szCs w:val="24"/>
        </w:rPr>
      </w:pPr>
      <w:r w:rsidRPr="008376FB">
        <w:rPr>
          <w:rFonts w:ascii="Calibri" w:hAnsi="Calibri" w:cs="Calibri"/>
          <w:b/>
          <w:bCs/>
          <w:sz w:val="24"/>
          <w:szCs w:val="24"/>
        </w:rPr>
        <w:t>3</w:t>
      </w:r>
      <w:r w:rsidR="00856713" w:rsidRPr="008376FB">
        <w:rPr>
          <w:rFonts w:ascii="Calibri" w:hAnsi="Calibri" w:cs="Calibri"/>
          <w:b/>
          <w:bCs/>
          <w:sz w:val="24"/>
          <w:szCs w:val="24"/>
        </w:rPr>
        <w:t xml:space="preserve">. </w:t>
      </w:r>
      <w:r w:rsidR="0010427C" w:rsidRPr="008376FB">
        <w:rPr>
          <w:rFonts w:ascii="Calibri" w:hAnsi="Calibri" w:cs="Calibri"/>
          <w:b/>
          <w:bCs/>
          <w:sz w:val="24"/>
          <w:szCs w:val="24"/>
        </w:rPr>
        <w:t>Colonic permeability assay using mouse biopsies in Ussing chambers</w:t>
      </w:r>
    </w:p>
    <w:p w14:paraId="399E5068" w14:textId="77777777" w:rsidR="00856713" w:rsidRPr="008376FB" w:rsidRDefault="00856713" w:rsidP="001654C4">
      <w:pPr>
        <w:spacing w:after="0" w:line="240" w:lineRule="auto"/>
        <w:jc w:val="both"/>
        <w:rPr>
          <w:rFonts w:ascii="Calibri" w:hAnsi="Calibri" w:cs="Calibri"/>
          <w:b/>
          <w:bCs/>
          <w:sz w:val="24"/>
          <w:szCs w:val="24"/>
        </w:rPr>
      </w:pPr>
    </w:p>
    <w:p w14:paraId="03FCF81A" w14:textId="77777777" w:rsidR="008421A4" w:rsidRPr="008376FB" w:rsidRDefault="008421A4" w:rsidP="001654C4">
      <w:pPr>
        <w:pStyle w:val="ListParagraph"/>
        <w:numPr>
          <w:ilvl w:val="0"/>
          <w:numId w:val="1"/>
        </w:numPr>
        <w:spacing w:after="0" w:line="240" w:lineRule="auto"/>
        <w:ind w:left="0" w:firstLine="0"/>
        <w:jc w:val="both"/>
        <w:rPr>
          <w:rFonts w:ascii="Calibri" w:hAnsi="Calibri" w:cs="Calibri"/>
          <w:vanish/>
          <w:sz w:val="24"/>
          <w:szCs w:val="24"/>
        </w:rPr>
      </w:pPr>
    </w:p>
    <w:p w14:paraId="55D9C43F" w14:textId="77777777" w:rsidR="008421A4" w:rsidRPr="008376FB" w:rsidRDefault="008421A4" w:rsidP="001654C4">
      <w:pPr>
        <w:pStyle w:val="ListParagraph"/>
        <w:numPr>
          <w:ilvl w:val="0"/>
          <w:numId w:val="1"/>
        </w:numPr>
        <w:spacing w:after="0" w:line="240" w:lineRule="auto"/>
        <w:ind w:left="0" w:firstLine="0"/>
        <w:jc w:val="both"/>
        <w:rPr>
          <w:rFonts w:ascii="Calibri" w:hAnsi="Calibri" w:cs="Calibri"/>
          <w:vanish/>
          <w:sz w:val="24"/>
          <w:szCs w:val="24"/>
        </w:rPr>
      </w:pPr>
    </w:p>
    <w:p w14:paraId="2D64DACB" w14:textId="77777777" w:rsidR="008421A4" w:rsidRPr="008376FB" w:rsidRDefault="008421A4" w:rsidP="001654C4">
      <w:pPr>
        <w:pStyle w:val="ListParagraph"/>
        <w:numPr>
          <w:ilvl w:val="0"/>
          <w:numId w:val="1"/>
        </w:numPr>
        <w:spacing w:after="0" w:line="240" w:lineRule="auto"/>
        <w:ind w:left="0" w:firstLine="0"/>
        <w:jc w:val="both"/>
        <w:rPr>
          <w:rFonts w:ascii="Calibri" w:hAnsi="Calibri" w:cs="Calibri"/>
          <w:vanish/>
          <w:sz w:val="24"/>
          <w:szCs w:val="24"/>
        </w:rPr>
      </w:pPr>
    </w:p>
    <w:p w14:paraId="14D19561" w14:textId="1E4A8F36" w:rsidR="00651AD5" w:rsidRPr="008376FB" w:rsidRDefault="0010427C" w:rsidP="001654C4">
      <w:pPr>
        <w:pStyle w:val="ListParagraph"/>
        <w:numPr>
          <w:ilvl w:val="1"/>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Preparation of the assay</w:t>
      </w:r>
    </w:p>
    <w:p w14:paraId="11EE0736" w14:textId="77777777" w:rsidR="00856713" w:rsidRPr="008376FB" w:rsidRDefault="00856713" w:rsidP="001654C4">
      <w:pPr>
        <w:pStyle w:val="ListParagraph"/>
        <w:spacing w:after="0" w:line="240" w:lineRule="auto"/>
        <w:ind w:left="0"/>
        <w:jc w:val="both"/>
        <w:rPr>
          <w:rFonts w:ascii="Calibri" w:hAnsi="Calibri" w:cs="Calibri"/>
          <w:sz w:val="24"/>
          <w:szCs w:val="24"/>
        </w:rPr>
      </w:pPr>
    </w:p>
    <w:p w14:paraId="562D6A2E" w14:textId="77777777" w:rsidR="00856713" w:rsidRPr="008376FB" w:rsidRDefault="009148DC" w:rsidP="001654C4">
      <w:pPr>
        <w:pStyle w:val="ListParagraph"/>
        <w:numPr>
          <w:ilvl w:val="2"/>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On the day prior to the day of the</w:t>
      </w:r>
      <w:r w:rsidR="005D0CEF" w:rsidRPr="008376FB">
        <w:rPr>
          <w:rFonts w:ascii="Calibri" w:hAnsi="Calibri" w:cs="Calibri"/>
          <w:sz w:val="24"/>
          <w:szCs w:val="24"/>
        </w:rPr>
        <w:t xml:space="preserve"> Ussing</w:t>
      </w:r>
      <w:r w:rsidRPr="008376FB">
        <w:rPr>
          <w:rFonts w:ascii="Calibri" w:hAnsi="Calibri" w:cs="Calibri"/>
          <w:sz w:val="24"/>
          <w:szCs w:val="24"/>
        </w:rPr>
        <w:t xml:space="preserve"> experiment</w:t>
      </w:r>
      <w:r w:rsidR="00856713" w:rsidRPr="008376FB">
        <w:rPr>
          <w:rFonts w:ascii="Calibri" w:hAnsi="Calibri" w:cs="Calibri"/>
          <w:sz w:val="24"/>
          <w:szCs w:val="24"/>
        </w:rPr>
        <w:t xml:space="preserve">. </w:t>
      </w:r>
      <w:r w:rsidR="00D544E2" w:rsidRPr="008376FB">
        <w:rPr>
          <w:rFonts w:ascii="Calibri" w:hAnsi="Calibri" w:cs="Calibri"/>
          <w:sz w:val="24"/>
          <w:szCs w:val="24"/>
        </w:rPr>
        <w:t xml:space="preserve">To ensure optimal assay conditions, </w:t>
      </w:r>
      <w:r w:rsidR="00AE78D1" w:rsidRPr="008376FB">
        <w:rPr>
          <w:rFonts w:ascii="Calibri" w:hAnsi="Calibri" w:cs="Calibri"/>
          <w:sz w:val="24"/>
          <w:szCs w:val="24"/>
        </w:rPr>
        <w:t xml:space="preserve">preparation of </w:t>
      </w:r>
      <w:r w:rsidR="00D544E2" w:rsidRPr="008376FB">
        <w:rPr>
          <w:rFonts w:ascii="Calibri" w:hAnsi="Calibri" w:cs="Calibri"/>
          <w:sz w:val="24"/>
          <w:szCs w:val="24"/>
        </w:rPr>
        <w:t>several solutions</w:t>
      </w:r>
      <w:r w:rsidR="00AE78D1" w:rsidRPr="008376FB">
        <w:rPr>
          <w:rFonts w:ascii="Calibri" w:hAnsi="Calibri" w:cs="Calibri"/>
          <w:sz w:val="24"/>
          <w:szCs w:val="24"/>
        </w:rPr>
        <w:t xml:space="preserve"> </w:t>
      </w:r>
      <w:r w:rsidRPr="008376FB">
        <w:rPr>
          <w:rFonts w:ascii="Calibri" w:hAnsi="Calibri" w:cs="Calibri"/>
          <w:sz w:val="24"/>
          <w:szCs w:val="24"/>
        </w:rPr>
        <w:t xml:space="preserve">on </w:t>
      </w:r>
      <w:r w:rsidR="00D544E2" w:rsidRPr="008376FB">
        <w:rPr>
          <w:rFonts w:ascii="Calibri" w:hAnsi="Calibri" w:cs="Calibri"/>
          <w:sz w:val="24"/>
          <w:szCs w:val="24"/>
        </w:rPr>
        <w:t>the day before the experiment</w:t>
      </w:r>
      <w:r w:rsidR="00AE78D1" w:rsidRPr="008376FB">
        <w:rPr>
          <w:rFonts w:ascii="Calibri" w:hAnsi="Calibri" w:cs="Calibri"/>
          <w:sz w:val="24"/>
          <w:szCs w:val="24"/>
        </w:rPr>
        <w:t xml:space="preserve"> is recommended</w:t>
      </w:r>
      <w:r w:rsidR="00651AD5" w:rsidRPr="008376FB">
        <w:rPr>
          <w:rFonts w:ascii="Calibri" w:hAnsi="Calibri" w:cs="Calibri"/>
          <w:sz w:val="24"/>
          <w:szCs w:val="24"/>
        </w:rPr>
        <w:t xml:space="preserve">. </w:t>
      </w:r>
      <w:r w:rsidR="00355B97" w:rsidRPr="008376FB">
        <w:rPr>
          <w:rFonts w:ascii="Calibri" w:hAnsi="Calibri" w:cs="Calibri"/>
          <w:sz w:val="24"/>
          <w:szCs w:val="24"/>
        </w:rPr>
        <w:t xml:space="preserve">These solutions are prepared as instructed in </w:t>
      </w:r>
      <w:r w:rsidR="00D1168F" w:rsidRPr="008376FB">
        <w:rPr>
          <w:rFonts w:ascii="Calibri" w:hAnsi="Calibri" w:cs="Calibri"/>
          <w:b/>
          <w:bCs/>
          <w:sz w:val="24"/>
          <w:szCs w:val="24"/>
        </w:rPr>
        <w:t>Table 1</w:t>
      </w:r>
      <w:r w:rsidR="00D1168F" w:rsidRPr="008376FB">
        <w:rPr>
          <w:rFonts w:ascii="Calibri" w:hAnsi="Calibri" w:cs="Calibri"/>
          <w:sz w:val="24"/>
          <w:szCs w:val="24"/>
        </w:rPr>
        <w:t>.</w:t>
      </w:r>
    </w:p>
    <w:p w14:paraId="635FF6E0" w14:textId="2270858C" w:rsidR="00C337C4" w:rsidRPr="008376FB" w:rsidRDefault="00D16606" w:rsidP="001654C4">
      <w:pPr>
        <w:pStyle w:val="ListParagraph"/>
        <w:spacing w:after="0" w:line="240" w:lineRule="auto"/>
        <w:ind w:left="0"/>
        <w:jc w:val="both"/>
        <w:rPr>
          <w:rFonts w:ascii="Calibri" w:hAnsi="Calibri" w:cs="Calibri"/>
          <w:sz w:val="24"/>
          <w:szCs w:val="24"/>
        </w:rPr>
      </w:pPr>
      <w:r w:rsidRPr="008376FB">
        <w:rPr>
          <w:rFonts w:ascii="Calibri" w:hAnsi="Calibri" w:cs="Calibri"/>
          <w:sz w:val="24"/>
          <w:szCs w:val="24"/>
        </w:rPr>
        <w:br/>
        <w:t>NOTE: the following tables indicate the required amounts for 12 Ussing chambers, with KRB 10</w:t>
      </w:r>
      <w:r w:rsidR="00426405">
        <w:rPr>
          <w:rFonts w:ascii="Calibri" w:hAnsi="Calibri" w:cs="Calibri"/>
          <w:sz w:val="24"/>
          <w:szCs w:val="24"/>
        </w:rPr>
        <w:t>x</w:t>
      </w:r>
      <w:r w:rsidRPr="008376FB">
        <w:rPr>
          <w:rFonts w:ascii="Calibri" w:hAnsi="Calibri" w:cs="Calibri"/>
          <w:sz w:val="24"/>
          <w:szCs w:val="24"/>
        </w:rPr>
        <w:t xml:space="preserve"> in </w:t>
      </w:r>
      <w:r w:rsidR="00AA1B96" w:rsidRPr="008376FB">
        <w:rPr>
          <w:rFonts w:ascii="Calibri" w:hAnsi="Calibri" w:cs="Calibri"/>
          <w:sz w:val="24"/>
          <w:szCs w:val="24"/>
        </w:rPr>
        <w:t xml:space="preserve">large excess </w:t>
      </w:r>
      <w:r w:rsidR="009148DC" w:rsidRPr="008376FB">
        <w:rPr>
          <w:rFonts w:ascii="Calibri" w:hAnsi="Calibri" w:cs="Calibri"/>
          <w:sz w:val="24"/>
          <w:szCs w:val="24"/>
        </w:rPr>
        <w:t>to allow</w:t>
      </w:r>
      <w:r w:rsidR="00AA1B96" w:rsidRPr="008376FB">
        <w:rPr>
          <w:rFonts w:ascii="Calibri" w:hAnsi="Calibri" w:cs="Calibri"/>
          <w:sz w:val="24"/>
          <w:szCs w:val="24"/>
        </w:rPr>
        <w:t xml:space="preserve"> aliquoting</w:t>
      </w:r>
      <w:r w:rsidR="00544725" w:rsidRPr="008376FB">
        <w:rPr>
          <w:rFonts w:ascii="Calibri" w:hAnsi="Calibri" w:cs="Calibri"/>
          <w:sz w:val="24"/>
          <w:szCs w:val="24"/>
        </w:rPr>
        <w:t>.</w:t>
      </w:r>
    </w:p>
    <w:p w14:paraId="5FEC1F59" w14:textId="77777777" w:rsidR="00856713" w:rsidRPr="008376FB" w:rsidRDefault="00856713" w:rsidP="001654C4">
      <w:pPr>
        <w:pStyle w:val="ListParagraph"/>
        <w:spacing w:after="0" w:line="240" w:lineRule="auto"/>
        <w:ind w:left="0"/>
        <w:jc w:val="both"/>
        <w:rPr>
          <w:rFonts w:ascii="Calibri" w:hAnsi="Calibri" w:cs="Calibri"/>
          <w:sz w:val="24"/>
          <w:szCs w:val="24"/>
        </w:rPr>
      </w:pPr>
    </w:p>
    <w:p w14:paraId="22B418BB" w14:textId="068F38A4" w:rsidR="00505645" w:rsidRPr="008376FB" w:rsidRDefault="00505645" w:rsidP="001654C4">
      <w:pPr>
        <w:spacing w:after="0" w:line="240" w:lineRule="auto"/>
        <w:jc w:val="both"/>
        <w:rPr>
          <w:rFonts w:ascii="Calibri" w:hAnsi="Calibri" w:cs="Calibri"/>
          <w:sz w:val="24"/>
          <w:szCs w:val="24"/>
        </w:rPr>
      </w:pPr>
      <w:r w:rsidRPr="008376FB">
        <w:rPr>
          <w:rFonts w:ascii="Calibri" w:hAnsi="Calibri" w:cs="Calibri"/>
          <w:sz w:val="24"/>
          <w:szCs w:val="24"/>
        </w:rPr>
        <w:t xml:space="preserve">[insert </w:t>
      </w:r>
      <w:r w:rsidRPr="008376FB">
        <w:rPr>
          <w:rFonts w:ascii="Calibri" w:hAnsi="Calibri" w:cs="Calibri"/>
          <w:b/>
          <w:bCs/>
          <w:sz w:val="24"/>
          <w:szCs w:val="24"/>
        </w:rPr>
        <w:t>Table 1</w:t>
      </w:r>
      <w:r w:rsidRPr="008376FB">
        <w:rPr>
          <w:rFonts w:ascii="Calibri" w:hAnsi="Calibri" w:cs="Calibri"/>
          <w:sz w:val="24"/>
          <w:szCs w:val="24"/>
        </w:rPr>
        <w:t xml:space="preserve"> here]</w:t>
      </w:r>
    </w:p>
    <w:p w14:paraId="4378B870" w14:textId="77777777" w:rsidR="00856713" w:rsidRPr="008376FB" w:rsidRDefault="00856713" w:rsidP="001654C4">
      <w:pPr>
        <w:spacing w:after="0" w:line="240" w:lineRule="auto"/>
        <w:jc w:val="both"/>
        <w:rPr>
          <w:rFonts w:ascii="Calibri" w:hAnsi="Calibri" w:cs="Calibri"/>
          <w:sz w:val="24"/>
          <w:szCs w:val="24"/>
        </w:rPr>
      </w:pPr>
    </w:p>
    <w:p w14:paraId="5907CCC2" w14:textId="4DD7C38B" w:rsidR="00651AD5" w:rsidRPr="008376FB" w:rsidRDefault="00355B97" w:rsidP="001654C4">
      <w:pPr>
        <w:spacing w:after="0" w:line="240" w:lineRule="auto"/>
        <w:jc w:val="both"/>
        <w:rPr>
          <w:rFonts w:ascii="Calibri" w:hAnsi="Calibri" w:cs="Calibri"/>
          <w:sz w:val="24"/>
          <w:szCs w:val="24"/>
        </w:rPr>
      </w:pPr>
      <w:r w:rsidRPr="008376FB">
        <w:rPr>
          <w:rFonts w:ascii="Calibri" w:hAnsi="Calibri" w:cs="Calibri"/>
          <w:sz w:val="24"/>
          <w:szCs w:val="24"/>
        </w:rPr>
        <w:t>NOTE: The KRB</w:t>
      </w:r>
      <w:r w:rsidR="009A3145" w:rsidRPr="008376FB">
        <w:rPr>
          <w:rFonts w:ascii="Calibri" w:hAnsi="Calibri" w:cs="Calibri"/>
          <w:sz w:val="24"/>
          <w:szCs w:val="24"/>
        </w:rPr>
        <w:t xml:space="preserve"> 10</w:t>
      </w:r>
      <w:r w:rsidR="00426405">
        <w:rPr>
          <w:rFonts w:ascii="Calibri" w:hAnsi="Calibri" w:cs="Calibri"/>
          <w:sz w:val="24"/>
          <w:szCs w:val="24"/>
        </w:rPr>
        <w:t>x</w:t>
      </w:r>
      <w:r w:rsidRPr="008376FB">
        <w:rPr>
          <w:rFonts w:ascii="Calibri" w:hAnsi="Calibri" w:cs="Calibri"/>
          <w:sz w:val="24"/>
          <w:szCs w:val="24"/>
        </w:rPr>
        <w:t xml:space="preserve"> solution can</w:t>
      </w:r>
      <w:r w:rsidR="00153576" w:rsidRPr="008376FB">
        <w:rPr>
          <w:rFonts w:ascii="Calibri" w:hAnsi="Calibri" w:cs="Calibri"/>
          <w:sz w:val="24"/>
          <w:szCs w:val="24"/>
        </w:rPr>
        <w:t xml:space="preserve"> be</w:t>
      </w:r>
      <w:r w:rsidRPr="008376FB">
        <w:rPr>
          <w:rFonts w:ascii="Calibri" w:hAnsi="Calibri" w:cs="Calibri"/>
          <w:sz w:val="24"/>
          <w:szCs w:val="24"/>
        </w:rPr>
        <w:t xml:space="preserve"> </w:t>
      </w:r>
      <w:r w:rsidR="003B1C48" w:rsidRPr="008376FB">
        <w:rPr>
          <w:rFonts w:ascii="Calibri" w:hAnsi="Calibri" w:cs="Calibri"/>
          <w:sz w:val="24"/>
          <w:szCs w:val="24"/>
        </w:rPr>
        <w:t>stored</w:t>
      </w:r>
      <w:r w:rsidRPr="008376FB">
        <w:rPr>
          <w:rFonts w:ascii="Calibri" w:hAnsi="Calibri" w:cs="Calibri"/>
          <w:sz w:val="24"/>
          <w:szCs w:val="24"/>
        </w:rPr>
        <w:t xml:space="preserve"> at 4</w:t>
      </w:r>
      <w:r w:rsidR="003C2B0E" w:rsidRPr="008376FB">
        <w:rPr>
          <w:rFonts w:ascii="Calibri" w:hAnsi="Calibri" w:cs="Calibri"/>
          <w:sz w:val="24"/>
          <w:szCs w:val="24"/>
        </w:rPr>
        <w:t xml:space="preserve"> </w:t>
      </w:r>
      <w:r w:rsidRPr="008376FB">
        <w:rPr>
          <w:rFonts w:ascii="Calibri" w:hAnsi="Calibri" w:cs="Calibri"/>
          <w:sz w:val="24"/>
          <w:szCs w:val="24"/>
        </w:rPr>
        <w:t xml:space="preserve">°C for up </w:t>
      </w:r>
      <w:r w:rsidR="009A3145" w:rsidRPr="008376FB">
        <w:rPr>
          <w:rFonts w:ascii="Calibri" w:hAnsi="Calibri" w:cs="Calibri"/>
          <w:sz w:val="24"/>
          <w:szCs w:val="24"/>
        </w:rPr>
        <w:t>to 6–12 months.</w:t>
      </w:r>
    </w:p>
    <w:p w14:paraId="4D81F41B" w14:textId="77777777" w:rsidR="00856713" w:rsidRPr="008376FB" w:rsidRDefault="00856713" w:rsidP="001654C4">
      <w:pPr>
        <w:spacing w:after="0" w:line="240" w:lineRule="auto"/>
        <w:jc w:val="both"/>
        <w:rPr>
          <w:rFonts w:ascii="Calibri" w:hAnsi="Calibri" w:cs="Calibri"/>
          <w:sz w:val="24"/>
          <w:szCs w:val="24"/>
        </w:rPr>
      </w:pPr>
    </w:p>
    <w:p w14:paraId="150ED464" w14:textId="674B1EDC" w:rsidR="00721D58" w:rsidRPr="008376FB" w:rsidRDefault="00721D58" w:rsidP="001654C4">
      <w:pPr>
        <w:pStyle w:val="ListParagraph"/>
        <w:numPr>
          <w:ilvl w:val="2"/>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On experiment</w:t>
      </w:r>
      <w:r w:rsidR="00153576" w:rsidRPr="008376FB">
        <w:rPr>
          <w:rFonts w:ascii="Calibri" w:hAnsi="Calibri" w:cs="Calibri"/>
          <w:sz w:val="24"/>
          <w:szCs w:val="24"/>
        </w:rPr>
        <w:t xml:space="preserve"> day</w:t>
      </w:r>
      <w:r w:rsidRPr="008376FB">
        <w:rPr>
          <w:rFonts w:ascii="Calibri" w:hAnsi="Calibri" w:cs="Calibri"/>
          <w:sz w:val="24"/>
          <w:szCs w:val="24"/>
        </w:rPr>
        <w:t>, 30 min prior to animals’ euthanasia</w:t>
      </w:r>
      <w:r w:rsidR="00180430">
        <w:rPr>
          <w:rFonts w:ascii="Calibri" w:hAnsi="Calibri" w:cs="Calibri"/>
          <w:sz w:val="24"/>
          <w:szCs w:val="24"/>
        </w:rPr>
        <w:t>:</w:t>
      </w:r>
    </w:p>
    <w:p w14:paraId="63637C16" w14:textId="77777777" w:rsidR="00856713" w:rsidRPr="008376FB" w:rsidRDefault="00856713" w:rsidP="001654C4">
      <w:pPr>
        <w:pStyle w:val="ListParagraph"/>
        <w:spacing w:after="0" w:line="240" w:lineRule="auto"/>
        <w:ind w:left="0"/>
        <w:jc w:val="both"/>
        <w:rPr>
          <w:rFonts w:ascii="Calibri" w:hAnsi="Calibri" w:cs="Calibri"/>
          <w:sz w:val="24"/>
          <w:szCs w:val="24"/>
        </w:rPr>
      </w:pPr>
    </w:p>
    <w:p w14:paraId="2CA1A762" w14:textId="6A8B1B6B" w:rsidR="00632532" w:rsidRPr="008376FB" w:rsidRDefault="001D2D47" w:rsidP="001654C4">
      <w:pPr>
        <w:pStyle w:val="ListParagraph"/>
        <w:numPr>
          <w:ilvl w:val="3"/>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P</w:t>
      </w:r>
      <w:r w:rsidR="00153576" w:rsidRPr="008376FB">
        <w:rPr>
          <w:rFonts w:ascii="Calibri" w:hAnsi="Calibri" w:cs="Calibri"/>
          <w:sz w:val="24"/>
          <w:szCs w:val="24"/>
        </w:rPr>
        <w:t>repare 400 mL of KRB buffer</w:t>
      </w:r>
      <w:r w:rsidRPr="008376FB">
        <w:rPr>
          <w:rFonts w:ascii="Calibri" w:hAnsi="Calibri" w:cs="Calibri"/>
          <w:sz w:val="24"/>
          <w:szCs w:val="24"/>
        </w:rPr>
        <w:t>, as</w:t>
      </w:r>
      <w:r w:rsidR="00721D58" w:rsidRPr="008376FB">
        <w:rPr>
          <w:rFonts w:ascii="Calibri" w:hAnsi="Calibri" w:cs="Calibri"/>
          <w:sz w:val="24"/>
          <w:szCs w:val="24"/>
        </w:rPr>
        <w:t xml:space="preserve"> </w:t>
      </w:r>
      <w:r w:rsidR="00D1168F" w:rsidRPr="008376FB">
        <w:rPr>
          <w:rFonts w:ascii="Calibri" w:hAnsi="Calibri" w:cs="Calibri"/>
          <w:sz w:val="24"/>
          <w:szCs w:val="24"/>
        </w:rPr>
        <w:t>instruct</w:t>
      </w:r>
      <w:r w:rsidRPr="008376FB">
        <w:rPr>
          <w:rFonts w:ascii="Calibri" w:hAnsi="Calibri" w:cs="Calibri"/>
          <w:sz w:val="24"/>
          <w:szCs w:val="24"/>
        </w:rPr>
        <w:t>ed</w:t>
      </w:r>
      <w:r w:rsidR="00D1168F" w:rsidRPr="008376FB">
        <w:rPr>
          <w:rFonts w:ascii="Calibri" w:hAnsi="Calibri" w:cs="Calibri"/>
          <w:sz w:val="24"/>
          <w:szCs w:val="24"/>
        </w:rPr>
        <w:t xml:space="preserve"> </w:t>
      </w:r>
      <w:r w:rsidRPr="008376FB">
        <w:rPr>
          <w:rFonts w:ascii="Calibri" w:hAnsi="Calibri" w:cs="Calibri"/>
          <w:sz w:val="24"/>
          <w:szCs w:val="24"/>
        </w:rPr>
        <w:t>in</w:t>
      </w:r>
      <w:r w:rsidR="00D1168F" w:rsidRPr="008376FB">
        <w:rPr>
          <w:rFonts w:ascii="Calibri" w:hAnsi="Calibri" w:cs="Calibri"/>
          <w:sz w:val="24"/>
          <w:szCs w:val="24"/>
        </w:rPr>
        <w:t xml:space="preserve"> </w:t>
      </w:r>
      <w:r w:rsidR="00D1168F" w:rsidRPr="008376FB">
        <w:rPr>
          <w:rFonts w:ascii="Calibri" w:hAnsi="Calibri" w:cs="Calibri"/>
          <w:b/>
          <w:bCs/>
          <w:sz w:val="24"/>
          <w:szCs w:val="24"/>
        </w:rPr>
        <w:t>Table 2</w:t>
      </w:r>
      <w:r w:rsidR="00856713" w:rsidRPr="008376FB">
        <w:rPr>
          <w:rFonts w:ascii="Calibri" w:hAnsi="Calibri" w:cs="Calibri"/>
          <w:b/>
          <w:bCs/>
          <w:sz w:val="24"/>
          <w:szCs w:val="24"/>
        </w:rPr>
        <w:t>.</w:t>
      </w:r>
    </w:p>
    <w:p w14:paraId="6184B831" w14:textId="77777777" w:rsidR="00856713" w:rsidRPr="008376FB" w:rsidRDefault="00856713" w:rsidP="001654C4">
      <w:pPr>
        <w:pStyle w:val="ListParagraph"/>
        <w:spacing w:after="0" w:line="240" w:lineRule="auto"/>
        <w:ind w:left="0"/>
        <w:jc w:val="both"/>
        <w:rPr>
          <w:rFonts w:ascii="Calibri" w:hAnsi="Calibri" w:cs="Calibri"/>
          <w:sz w:val="24"/>
          <w:szCs w:val="24"/>
        </w:rPr>
      </w:pPr>
    </w:p>
    <w:p w14:paraId="4977BA80" w14:textId="100A3CBA" w:rsidR="00856713" w:rsidRPr="008376FB" w:rsidRDefault="00905369" w:rsidP="001654C4">
      <w:pPr>
        <w:pStyle w:val="ListParagraph"/>
        <w:spacing w:after="0" w:line="240" w:lineRule="auto"/>
        <w:ind w:left="0"/>
        <w:jc w:val="both"/>
        <w:rPr>
          <w:rFonts w:ascii="Calibri" w:hAnsi="Calibri" w:cs="Calibri"/>
          <w:sz w:val="24"/>
          <w:szCs w:val="24"/>
        </w:rPr>
      </w:pPr>
      <w:r w:rsidRPr="008376FB">
        <w:rPr>
          <w:rFonts w:ascii="Calibri" w:hAnsi="Calibri" w:cs="Calibri"/>
          <w:sz w:val="24"/>
          <w:szCs w:val="24"/>
        </w:rPr>
        <w:t>NOTE: The KRB 10</w:t>
      </w:r>
      <w:r w:rsidR="00180430">
        <w:rPr>
          <w:rFonts w:ascii="Calibri" w:hAnsi="Calibri" w:cs="Calibri"/>
          <w:sz w:val="24"/>
          <w:szCs w:val="24"/>
        </w:rPr>
        <w:t>x</w:t>
      </w:r>
      <w:r w:rsidRPr="008376FB">
        <w:rPr>
          <w:rFonts w:ascii="Calibri" w:hAnsi="Calibri" w:cs="Calibri"/>
          <w:sz w:val="24"/>
          <w:szCs w:val="24"/>
        </w:rPr>
        <w:t xml:space="preserve">, </w:t>
      </w:r>
      <w:r w:rsidR="00180430">
        <w:rPr>
          <w:rFonts w:ascii="Calibri" w:hAnsi="Calibri" w:cs="Calibri"/>
          <w:sz w:val="24"/>
          <w:szCs w:val="24"/>
        </w:rPr>
        <w:t>deionized</w:t>
      </w:r>
      <w:r w:rsidRPr="008376FB">
        <w:rPr>
          <w:rFonts w:ascii="Calibri" w:hAnsi="Calibri" w:cs="Calibri"/>
          <w:sz w:val="24"/>
          <w:szCs w:val="24"/>
        </w:rPr>
        <w:t xml:space="preserve"> water, and bicarbonate </w:t>
      </w:r>
      <w:r w:rsidR="00AE78D1" w:rsidRPr="008376FB">
        <w:rPr>
          <w:rFonts w:ascii="Calibri" w:hAnsi="Calibri" w:cs="Calibri"/>
          <w:sz w:val="24"/>
          <w:szCs w:val="24"/>
        </w:rPr>
        <w:t>must</w:t>
      </w:r>
      <w:r w:rsidRPr="008376FB">
        <w:rPr>
          <w:rFonts w:ascii="Calibri" w:hAnsi="Calibri" w:cs="Calibri"/>
          <w:sz w:val="24"/>
          <w:szCs w:val="24"/>
        </w:rPr>
        <w:t xml:space="preserve"> be pre-mixed and bubbled using carbogen gas (95% O</w:t>
      </w:r>
      <w:r w:rsidRPr="00180430">
        <w:rPr>
          <w:rFonts w:ascii="Calibri" w:hAnsi="Calibri" w:cs="Calibri"/>
          <w:sz w:val="24"/>
          <w:szCs w:val="24"/>
          <w:vertAlign w:val="subscript"/>
        </w:rPr>
        <w:t>2</w:t>
      </w:r>
      <w:r w:rsidRPr="008376FB">
        <w:rPr>
          <w:rFonts w:ascii="Calibri" w:hAnsi="Calibri" w:cs="Calibri"/>
          <w:sz w:val="24"/>
          <w:szCs w:val="24"/>
        </w:rPr>
        <w:t>; 5% CO</w:t>
      </w:r>
      <w:r w:rsidRPr="00180430">
        <w:rPr>
          <w:rFonts w:ascii="Calibri" w:hAnsi="Calibri" w:cs="Calibri"/>
          <w:sz w:val="24"/>
          <w:szCs w:val="24"/>
          <w:vertAlign w:val="subscript"/>
        </w:rPr>
        <w:t>2</w:t>
      </w:r>
      <w:r w:rsidRPr="008376FB">
        <w:rPr>
          <w:rFonts w:ascii="Calibri" w:hAnsi="Calibri" w:cs="Calibri"/>
          <w:sz w:val="24"/>
          <w:szCs w:val="24"/>
        </w:rPr>
        <w:t>) for 15 min before adding CaCl</w:t>
      </w:r>
      <w:r w:rsidRPr="008376FB">
        <w:rPr>
          <w:rFonts w:ascii="Calibri" w:hAnsi="Calibri" w:cs="Calibri"/>
          <w:sz w:val="24"/>
          <w:szCs w:val="24"/>
          <w:vertAlign w:val="subscript"/>
        </w:rPr>
        <w:t xml:space="preserve">2 </w:t>
      </w:r>
      <w:r w:rsidRPr="008376FB">
        <w:rPr>
          <w:rFonts w:ascii="Calibri" w:hAnsi="Calibri" w:cs="Calibri"/>
          <w:sz w:val="24"/>
          <w:szCs w:val="24"/>
        </w:rPr>
        <w:t>to avoid precipitation.</w:t>
      </w:r>
    </w:p>
    <w:p w14:paraId="0D9040A3" w14:textId="77777777" w:rsidR="00856713" w:rsidRPr="008376FB" w:rsidRDefault="00856713" w:rsidP="001654C4">
      <w:pPr>
        <w:pStyle w:val="ListParagraph"/>
        <w:spacing w:after="0" w:line="240" w:lineRule="auto"/>
        <w:ind w:left="0"/>
        <w:jc w:val="both"/>
        <w:rPr>
          <w:rFonts w:ascii="Calibri" w:hAnsi="Calibri" w:cs="Calibri"/>
          <w:sz w:val="24"/>
          <w:szCs w:val="24"/>
        </w:rPr>
      </w:pPr>
    </w:p>
    <w:p w14:paraId="7D4AEA0B" w14:textId="63323EA5" w:rsidR="00505645" w:rsidRPr="008376FB" w:rsidRDefault="00505645" w:rsidP="001654C4">
      <w:pPr>
        <w:pStyle w:val="Caption"/>
        <w:spacing w:after="0"/>
        <w:jc w:val="both"/>
        <w:rPr>
          <w:rFonts w:ascii="Calibri" w:hAnsi="Calibri" w:cs="Calibri"/>
          <w:i w:val="0"/>
          <w:iCs w:val="0"/>
          <w:color w:val="auto"/>
          <w:sz w:val="24"/>
          <w:szCs w:val="24"/>
        </w:rPr>
      </w:pPr>
      <w:r w:rsidRPr="008376FB">
        <w:rPr>
          <w:rFonts w:ascii="Calibri" w:hAnsi="Calibri" w:cs="Calibri"/>
          <w:i w:val="0"/>
          <w:iCs w:val="0"/>
          <w:color w:val="auto"/>
          <w:sz w:val="24"/>
          <w:szCs w:val="24"/>
        </w:rPr>
        <w:t>[insert</w:t>
      </w:r>
      <w:r w:rsidRPr="008376FB">
        <w:rPr>
          <w:rFonts w:ascii="Calibri" w:hAnsi="Calibri" w:cs="Calibri"/>
          <w:b/>
          <w:bCs/>
          <w:i w:val="0"/>
          <w:iCs w:val="0"/>
          <w:color w:val="auto"/>
          <w:sz w:val="24"/>
          <w:szCs w:val="24"/>
        </w:rPr>
        <w:t xml:space="preserve"> Table 2 </w:t>
      </w:r>
      <w:r w:rsidRPr="008376FB">
        <w:rPr>
          <w:rFonts w:ascii="Calibri" w:hAnsi="Calibri" w:cs="Calibri"/>
          <w:i w:val="0"/>
          <w:iCs w:val="0"/>
          <w:color w:val="auto"/>
          <w:sz w:val="24"/>
          <w:szCs w:val="24"/>
        </w:rPr>
        <w:t>here]</w:t>
      </w:r>
    </w:p>
    <w:p w14:paraId="642AB69F" w14:textId="77777777" w:rsidR="00856713" w:rsidRPr="008376FB" w:rsidRDefault="00856713" w:rsidP="001654C4">
      <w:pPr>
        <w:spacing w:after="0" w:line="240" w:lineRule="auto"/>
        <w:jc w:val="both"/>
        <w:rPr>
          <w:rFonts w:ascii="Calibri" w:hAnsi="Calibri" w:cs="Calibri"/>
          <w:sz w:val="24"/>
          <w:szCs w:val="24"/>
        </w:rPr>
      </w:pPr>
    </w:p>
    <w:p w14:paraId="59D545D5" w14:textId="09C135A5" w:rsidR="00721D58" w:rsidRPr="008376FB" w:rsidRDefault="004E60DE" w:rsidP="001654C4">
      <w:pPr>
        <w:pStyle w:val="ListParagraph"/>
        <w:numPr>
          <w:ilvl w:val="3"/>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Using a carbogen system (95% O</w:t>
      </w:r>
      <w:r w:rsidRPr="001C0B29">
        <w:rPr>
          <w:rFonts w:ascii="Calibri" w:hAnsi="Calibri" w:cs="Calibri"/>
          <w:sz w:val="24"/>
          <w:szCs w:val="24"/>
          <w:vertAlign w:val="subscript"/>
        </w:rPr>
        <w:t>2</w:t>
      </w:r>
      <w:r w:rsidRPr="008376FB">
        <w:rPr>
          <w:rFonts w:ascii="Calibri" w:hAnsi="Calibri" w:cs="Calibri"/>
          <w:sz w:val="24"/>
          <w:szCs w:val="24"/>
        </w:rPr>
        <w:t>; 5% CO</w:t>
      </w:r>
      <w:r w:rsidRPr="001C0B29">
        <w:rPr>
          <w:rFonts w:ascii="Calibri" w:hAnsi="Calibri" w:cs="Calibri"/>
          <w:sz w:val="24"/>
          <w:szCs w:val="24"/>
          <w:vertAlign w:val="subscript"/>
        </w:rPr>
        <w:t>2</w:t>
      </w:r>
      <w:r w:rsidRPr="008376FB">
        <w:rPr>
          <w:rFonts w:ascii="Calibri" w:hAnsi="Calibri" w:cs="Calibri"/>
          <w:sz w:val="24"/>
          <w:szCs w:val="24"/>
        </w:rPr>
        <w:t>), bubble the fresh</w:t>
      </w:r>
      <w:r w:rsidR="00433654" w:rsidRPr="008376FB">
        <w:rPr>
          <w:rFonts w:ascii="Calibri" w:hAnsi="Calibri" w:cs="Calibri"/>
          <w:sz w:val="24"/>
          <w:szCs w:val="24"/>
        </w:rPr>
        <w:t xml:space="preserve"> KRB</w:t>
      </w:r>
      <w:r w:rsidRPr="008376FB">
        <w:rPr>
          <w:rFonts w:ascii="Calibri" w:hAnsi="Calibri" w:cs="Calibri"/>
          <w:sz w:val="24"/>
          <w:szCs w:val="24"/>
        </w:rPr>
        <w:t xml:space="preserve"> buffer for 15 min.</w:t>
      </w:r>
    </w:p>
    <w:p w14:paraId="55D6B8E9" w14:textId="77777777" w:rsidR="00856713" w:rsidRPr="008376FB" w:rsidRDefault="00856713" w:rsidP="001654C4">
      <w:pPr>
        <w:pStyle w:val="ListParagraph"/>
        <w:spacing w:after="0" w:line="240" w:lineRule="auto"/>
        <w:ind w:left="0"/>
        <w:jc w:val="both"/>
        <w:rPr>
          <w:rFonts w:ascii="Calibri" w:hAnsi="Calibri" w:cs="Calibri"/>
          <w:sz w:val="24"/>
          <w:szCs w:val="24"/>
        </w:rPr>
      </w:pPr>
    </w:p>
    <w:p w14:paraId="4752D3C3" w14:textId="48C49C12" w:rsidR="00632532" w:rsidRPr="008376FB" w:rsidRDefault="003C2AAF" w:rsidP="001654C4">
      <w:pPr>
        <w:pStyle w:val="ListParagraph"/>
        <w:numPr>
          <w:ilvl w:val="3"/>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Split the 400 mL</w:t>
      </w:r>
      <w:r w:rsidR="00B612DA" w:rsidRPr="008376FB">
        <w:rPr>
          <w:rFonts w:ascii="Calibri" w:hAnsi="Calibri" w:cs="Calibri"/>
          <w:sz w:val="24"/>
          <w:szCs w:val="24"/>
        </w:rPr>
        <w:t xml:space="preserve"> of KRB buffer</w:t>
      </w:r>
      <w:r w:rsidRPr="008376FB">
        <w:rPr>
          <w:rFonts w:ascii="Calibri" w:hAnsi="Calibri" w:cs="Calibri"/>
          <w:sz w:val="24"/>
          <w:szCs w:val="24"/>
        </w:rPr>
        <w:t xml:space="preserve"> in</w:t>
      </w:r>
      <w:r w:rsidR="001C0B29">
        <w:rPr>
          <w:rFonts w:ascii="Calibri" w:hAnsi="Calibri" w:cs="Calibri"/>
          <w:sz w:val="24"/>
          <w:szCs w:val="24"/>
        </w:rPr>
        <w:t>to</w:t>
      </w:r>
      <w:r w:rsidRPr="008376FB">
        <w:rPr>
          <w:rFonts w:ascii="Calibri" w:hAnsi="Calibri" w:cs="Calibri"/>
          <w:sz w:val="24"/>
          <w:szCs w:val="24"/>
        </w:rPr>
        <w:t xml:space="preserve"> </w:t>
      </w:r>
      <w:r w:rsidR="009148DC" w:rsidRPr="008376FB">
        <w:rPr>
          <w:rFonts w:ascii="Calibri" w:hAnsi="Calibri" w:cs="Calibri"/>
          <w:sz w:val="24"/>
          <w:szCs w:val="24"/>
        </w:rPr>
        <w:t>two</w:t>
      </w:r>
      <w:r w:rsidR="004E60DE" w:rsidRPr="008376FB">
        <w:rPr>
          <w:rFonts w:ascii="Calibri" w:hAnsi="Calibri" w:cs="Calibri"/>
          <w:sz w:val="24"/>
          <w:szCs w:val="24"/>
        </w:rPr>
        <w:t xml:space="preserve"> and prepare 200 mL of K</w:t>
      </w:r>
      <w:r w:rsidR="00B612DA" w:rsidRPr="008376FB">
        <w:rPr>
          <w:rFonts w:ascii="Calibri" w:hAnsi="Calibri" w:cs="Calibri"/>
          <w:sz w:val="24"/>
          <w:szCs w:val="24"/>
        </w:rPr>
        <w:t>rebs-</w:t>
      </w:r>
      <w:r w:rsidR="004E60DE" w:rsidRPr="008376FB">
        <w:rPr>
          <w:rFonts w:ascii="Calibri" w:hAnsi="Calibri" w:cs="Calibri"/>
          <w:sz w:val="24"/>
          <w:szCs w:val="24"/>
        </w:rPr>
        <w:t>Glucose, 200 mL of K</w:t>
      </w:r>
      <w:r w:rsidR="00B612DA" w:rsidRPr="008376FB">
        <w:rPr>
          <w:rFonts w:ascii="Calibri" w:hAnsi="Calibri" w:cs="Calibri"/>
          <w:sz w:val="24"/>
          <w:szCs w:val="24"/>
        </w:rPr>
        <w:t>rebs-</w:t>
      </w:r>
      <w:r w:rsidR="004E60DE" w:rsidRPr="008376FB">
        <w:rPr>
          <w:rFonts w:ascii="Calibri" w:hAnsi="Calibri" w:cs="Calibri"/>
          <w:sz w:val="24"/>
          <w:szCs w:val="24"/>
        </w:rPr>
        <w:t xml:space="preserve">Mannitol, and </w:t>
      </w:r>
      <w:r w:rsidR="00B612DA" w:rsidRPr="008376FB">
        <w:rPr>
          <w:rFonts w:ascii="Calibri" w:hAnsi="Calibri" w:cs="Calibri"/>
          <w:sz w:val="24"/>
          <w:szCs w:val="24"/>
        </w:rPr>
        <w:t>the</w:t>
      </w:r>
      <w:r w:rsidR="004E60DE" w:rsidRPr="008376FB">
        <w:rPr>
          <w:rFonts w:ascii="Calibri" w:hAnsi="Calibri" w:cs="Calibri"/>
          <w:sz w:val="24"/>
          <w:szCs w:val="24"/>
        </w:rPr>
        <w:t xml:space="preserve"> HRP solution as</w:t>
      </w:r>
      <w:r w:rsidR="00D1168F" w:rsidRPr="008376FB">
        <w:rPr>
          <w:rFonts w:ascii="Calibri" w:hAnsi="Calibri" w:cs="Calibri"/>
          <w:sz w:val="24"/>
          <w:szCs w:val="24"/>
        </w:rPr>
        <w:t xml:space="preserve"> </w:t>
      </w:r>
      <w:r w:rsidR="00AA0E2D" w:rsidRPr="008376FB">
        <w:rPr>
          <w:rFonts w:ascii="Calibri" w:hAnsi="Calibri" w:cs="Calibri"/>
          <w:sz w:val="24"/>
          <w:szCs w:val="24"/>
        </w:rPr>
        <w:t>described</w:t>
      </w:r>
      <w:r w:rsidR="004E60DE" w:rsidRPr="008376FB">
        <w:rPr>
          <w:rFonts w:ascii="Calibri" w:hAnsi="Calibri" w:cs="Calibri"/>
          <w:sz w:val="24"/>
          <w:szCs w:val="24"/>
        </w:rPr>
        <w:t xml:space="preserve"> </w:t>
      </w:r>
      <w:r w:rsidR="00D1168F" w:rsidRPr="008376FB">
        <w:rPr>
          <w:rFonts w:ascii="Calibri" w:hAnsi="Calibri" w:cs="Calibri"/>
          <w:sz w:val="24"/>
          <w:szCs w:val="24"/>
        </w:rPr>
        <w:t xml:space="preserve">in </w:t>
      </w:r>
      <w:r w:rsidR="00D1168F" w:rsidRPr="008376FB">
        <w:rPr>
          <w:rFonts w:ascii="Calibri" w:hAnsi="Calibri" w:cs="Calibri"/>
          <w:b/>
          <w:bCs/>
          <w:sz w:val="24"/>
          <w:szCs w:val="24"/>
        </w:rPr>
        <w:t>Table 3</w:t>
      </w:r>
      <w:r w:rsidR="004E60DE" w:rsidRPr="008376FB">
        <w:rPr>
          <w:rFonts w:ascii="Calibri" w:hAnsi="Calibri" w:cs="Calibri"/>
          <w:sz w:val="24"/>
          <w:szCs w:val="24"/>
        </w:rPr>
        <w:t>.</w:t>
      </w:r>
    </w:p>
    <w:p w14:paraId="0711FE73" w14:textId="77777777" w:rsidR="00856713" w:rsidRPr="008376FB" w:rsidRDefault="00856713" w:rsidP="001654C4">
      <w:pPr>
        <w:pStyle w:val="ListParagraph"/>
        <w:spacing w:after="0" w:line="240" w:lineRule="auto"/>
        <w:ind w:left="0"/>
        <w:jc w:val="both"/>
        <w:rPr>
          <w:rFonts w:ascii="Calibri" w:hAnsi="Calibri" w:cs="Calibri"/>
          <w:sz w:val="24"/>
          <w:szCs w:val="24"/>
        </w:rPr>
      </w:pPr>
    </w:p>
    <w:p w14:paraId="225DECC9" w14:textId="0DF171F3" w:rsidR="009D3415" w:rsidRPr="008376FB" w:rsidRDefault="00505645" w:rsidP="001654C4">
      <w:pPr>
        <w:pStyle w:val="Caption"/>
        <w:spacing w:after="0"/>
        <w:jc w:val="both"/>
        <w:rPr>
          <w:rFonts w:ascii="Calibri" w:hAnsi="Calibri" w:cs="Calibri"/>
          <w:i w:val="0"/>
          <w:iCs w:val="0"/>
          <w:color w:val="auto"/>
          <w:sz w:val="24"/>
          <w:szCs w:val="24"/>
        </w:rPr>
      </w:pPr>
      <w:r w:rsidRPr="008376FB">
        <w:rPr>
          <w:rFonts w:ascii="Calibri" w:hAnsi="Calibri" w:cs="Calibri"/>
          <w:i w:val="0"/>
          <w:iCs w:val="0"/>
          <w:color w:val="auto"/>
          <w:sz w:val="24"/>
          <w:szCs w:val="24"/>
        </w:rPr>
        <w:t xml:space="preserve">[insert </w:t>
      </w:r>
      <w:r w:rsidRPr="008376FB">
        <w:rPr>
          <w:rFonts w:ascii="Calibri" w:hAnsi="Calibri" w:cs="Calibri"/>
          <w:b/>
          <w:bCs/>
          <w:i w:val="0"/>
          <w:iCs w:val="0"/>
          <w:color w:val="auto"/>
          <w:sz w:val="24"/>
          <w:szCs w:val="24"/>
        </w:rPr>
        <w:t>Table 3</w:t>
      </w:r>
      <w:r w:rsidRPr="008376FB">
        <w:rPr>
          <w:rFonts w:ascii="Calibri" w:hAnsi="Calibri" w:cs="Calibri"/>
          <w:i w:val="0"/>
          <w:iCs w:val="0"/>
          <w:color w:val="auto"/>
          <w:sz w:val="24"/>
          <w:szCs w:val="24"/>
        </w:rPr>
        <w:t xml:space="preserve"> here]</w:t>
      </w:r>
    </w:p>
    <w:p w14:paraId="2D4F0522" w14:textId="77777777" w:rsidR="00856713" w:rsidRPr="008376FB" w:rsidRDefault="00856713" w:rsidP="001654C4">
      <w:pPr>
        <w:spacing w:after="0" w:line="240" w:lineRule="auto"/>
        <w:jc w:val="both"/>
        <w:rPr>
          <w:rFonts w:ascii="Calibri" w:hAnsi="Calibri" w:cs="Calibri"/>
          <w:sz w:val="24"/>
          <w:szCs w:val="24"/>
        </w:rPr>
      </w:pPr>
    </w:p>
    <w:p w14:paraId="45AAA25C" w14:textId="70070E0A" w:rsidR="00433654" w:rsidRPr="008376FB" w:rsidRDefault="004C79B9" w:rsidP="001654C4">
      <w:pPr>
        <w:pStyle w:val="ListParagraph"/>
        <w:numPr>
          <w:ilvl w:val="2"/>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 xml:space="preserve">Ussing </w:t>
      </w:r>
      <w:r w:rsidR="00BC4D2B" w:rsidRPr="008376FB">
        <w:rPr>
          <w:rFonts w:ascii="Calibri" w:hAnsi="Calibri" w:cs="Calibri"/>
          <w:sz w:val="24"/>
          <w:szCs w:val="24"/>
        </w:rPr>
        <w:t>system</w:t>
      </w:r>
      <w:r w:rsidRPr="008376FB">
        <w:rPr>
          <w:rFonts w:ascii="Calibri" w:hAnsi="Calibri" w:cs="Calibri"/>
          <w:sz w:val="24"/>
          <w:szCs w:val="24"/>
        </w:rPr>
        <w:t xml:space="preserve"> setup</w:t>
      </w:r>
    </w:p>
    <w:p w14:paraId="47C2EEF2"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2A244367" w14:textId="325CFFEA" w:rsidR="00433654" w:rsidRPr="008376FB" w:rsidRDefault="00433654" w:rsidP="001654C4">
      <w:pPr>
        <w:pStyle w:val="ListParagraph"/>
        <w:numPr>
          <w:ilvl w:val="3"/>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Pre-heat the Ussing System to 37</w:t>
      </w:r>
      <w:r w:rsidR="003C2B0E" w:rsidRPr="008376FB">
        <w:rPr>
          <w:rFonts w:ascii="Calibri" w:hAnsi="Calibri" w:cs="Calibri"/>
          <w:sz w:val="24"/>
          <w:szCs w:val="24"/>
        </w:rPr>
        <w:t xml:space="preserve"> </w:t>
      </w:r>
      <w:r w:rsidRPr="008376FB">
        <w:rPr>
          <w:rFonts w:ascii="Calibri" w:hAnsi="Calibri" w:cs="Calibri"/>
          <w:sz w:val="24"/>
          <w:szCs w:val="24"/>
        </w:rPr>
        <w:t>°C</w:t>
      </w:r>
      <w:r w:rsidR="00544725" w:rsidRPr="008376FB">
        <w:rPr>
          <w:rFonts w:ascii="Calibri" w:hAnsi="Calibri" w:cs="Calibri"/>
          <w:sz w:val="24"/>
          <w:szCs w:val="24"/>
        </w:rPr>
        <w:t>.</w:t>
      </w:r>
    </w:p>
    <w:p w14:paraId="7C835F35"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1575483F" w14:textId="13FD5395" w:rsidR="00EB1E6E" w:rsidRPr="008376FB" w:rsidRDefault="00EB1E6E" w:rsidP="001654C4">
      <w:pPr>
        <w:pStyle w:val="ListParagraph"/>
        <w:numPr>
          <w:ilvl w:val="3"/>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Pre-assemble the chambers as follows:</w:t>
      </w:r>
    </w:p>
    <w:p w14:paraId="18C9F578"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4CD9B3A0" w14:textId="3FB4CABC" w:rsidR="00EB1E6E" w:rsidRPr="008376FB" w:rsidRDefault="00EB1E6E" w:rsidP="001654C4">
      <w:pPr>
        <w:pStyle w:val="ListParagraph"/>
        <w:numPr>
          <w:ilvl w:val="4"/>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lastRenderedPageBreak/>
        <w:t>Lift the latches of each slot</w:t>
      </w:r>
      <w:r w:rsidR="00544725" w:rsidRPr="008376FB">
        <w:rPr>
          <w:rFonts w:ascii="Calibri" w:hAnsi="Calibri" w:cs="Calibri"/>
          <w:sz w:val="24"/>
          <w:szCs w:val="24"/>
        </w:rPr>
        <w:t>.</w:t>
      </w:r>
    </w:p>
    <w:p w14:paraId="42F4BDA8"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56CCD0B3" w14:textId="4124D69B" w:rsidR="00EB1E6E" w:rsidRPr="008376FB" w:rsidRDefault="00EB1E6E" w:rsidP="001654C4">
      <w:pPr>
        <w:pStyle w:val="ListParagraph"/>
        <w:numPr>
          <w:ilvl w:val="4"/>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Place the chambers in their slots without tightening the system</w:t>
      </w:r>
      <w:r w:rsidR="00544725" w:rsidRPr="008376FB">
        <w:rPr>
          <w:rFonts w:ascii="Calibri" w:hAnsi="Calibri" w:cs="Calibri"/>
          <w:sz w:val="24"/>
          <w:szCs w:val="24"/>
        </w:rPr>
        <w:t>.</w:t>
      </w:r>
    </w:p>
    <w:p w14:paraId="081ABD12"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0A6F3920" w14:textId="30E1459A" w:rsidR="00EB1E6E" w:rsidRPr="008376FB" w:rsidRDefault="00EB1E6E" w:rsidP="001654C4">
      <w:pPr>
        <w:pStyle w:val="ListParagraph"/>
        <w:numPr>
          <w:ilvl w:val="4"/>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 xml:space="preserve">Insert the </w:t>
      </w:r>
      <w:r w:rsidR="001C0B29">
        <w:rPr>
          <w:rFonts w:ascii="Calibri" w:hAnsi="Calibri" w:cs="Calibri"/>
          <w:sz w:val="24"/>
          <w:szCs w:val="24"/>
        </w:rPr>
        <w:t>two</w:t>
      </w:r>
      <w:r w:rsidRPr="008376FB">
        <w:rPr>
          <w:rFonts w:ascii="Calibri" w:hAnsi="Calibri" w:cs="Calibri"/>
          <w:sz w:val="24"/>
          <w:szCs w:val="24"/>
        </w:rPr>
        <w:t xml:space="preserve"> </w:t>
      </w:r>
      <w:r w:rsidR="001C0B29">
        <w:rPr>
          <w:rFonts w:ascii="Calibri" w:hAnsi="Calibri" w:cs="Calibri"/>
          <w:sz w:val="24"/>
          <w:szCs w:val="24"/>
        </w:rPr>
        <w:t xml:space="preserve">gas-supplying </w:t>
      </w:r>
      <w:r w:rsidR="00A431DE" w:rsidRPr="008376FB">
        <w:rPr>
          <w:rFonts w:ascii="Calibri" w:hAnsi="Calibri" w:cs="Calibri"/>
          <w:sz w:val="24"/>
          <w:szCs w:val="24"/>
        </w:rPr>
        <w:t>tubes</w:t>
      </w:r>
      <w:r w:rsidRPr="008376FB">
        <w:rPr>
          <w:rFonts w:ascii="Calibri" w:hAnsi="Calibri" w:cs="Calibri"/>
          <w:sz w:val="24"/>
          <w:szCs w:val="24"/>
        </w:rPr>
        <w:t xml:space="preserve"> into each part of the chambers</w:t>
      </w:r>
      <w:r w:rsidR="00544725" w:rsidRPr="008376FB">
        <w:rPr>
          <w:rFonts w:ascii="Calibri" w:hAnsi="Calibri" w:cs="Calibri"/>
          <w:sz w:val="24"/>
          <w:szCs w:val="24"/>
        </w:rPr>
        <w:t>.</w:t>
      </w:r>
    </w:p>
    <w:p w14:paraId="5DE28A47"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67EF28C9" w14:textId="684FF368" w:rsidR="00EB1E6E" w:rsidRPr="008376FB" w:rsidRDefault="00EB1E6E" w:rsidP="001654C4">
      <w:pPr>
        <w:pStyle w:val="ListParagraph"/>
        <w:numPr>
          <w:ilvl w:val="4"/>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 xml:space="preserve">Introduce the </w:t>
      </w:r>
      <w:r w:rsidR="001C0B29">
        <w:rPr>
          <w:rFonts w:ascii="Calibri" w:hAnsi="Calibri" w:cs="Calibri"/>
          <w:sz w:val="24"/>
          <w:szCs w:val="24"/>
        </w:rPr>
        <w:t>four</w:t>
      </w:r>
      <w:r w:rsidRPr="008376FB">
        <w:rPr>
          <w:rFonts w:ascii="Calibri" w:hAnsi="Calibri" w:cs="Calibri"/>
          <w:sz w:val="24"/>
          <w:szCs w:val="24"/>
        </w:rPr>
        <w:t xml:space="preserve"> electrodes in the front openings (if available - not covered here</w:t>
      </w:r>
      <w:r w:rsidR="00A431DE" w:rsidRPr="008376FB">
        <w:rPr>
          <w:rFonts w:ascii="Calibri" w:hAnsi="Calibri" w:cs="Calibri"/>
          <w:sz w:val="24"/>
          <w:szCs w:val="24"/>
        </w:rPr>
        <w:t>) or</w:t>
      </w:r>
      <w:r w:rsidRPr="008376FB">
        <w:rPr>
          <w:rFonts w:ascii="Calibri" w:hAnsi="Calibri" w:cs="Calibri"/>
          <w:sz w:val="24"/>
          <w:szCs w:val="24"/>
        </w:rPr>
        <w:t xml:space="preserve"> seal the </w:t>
      </w:r>
      <w:r w:rsidR="001C0B29">
        <w:rPr>
          <w:rFonts w:ascii="Calibri" w:hAnsi="Calibri" w:cs="Calibri"/>
          <w:sz w:val="24"/>
          <w:szCs w:val="24"/>
        </w:rPr>
        <w:t>four</w:t>
      </w:r>
      <w:r w:rsidRPr="008376FB">
        <w:rPr>
          <w:rFonts w:ascii="Calibri" w:hAnsi="Calibri" w:cs="Calibri"/>
          <w:sz w:val="24"/>
          <w:szCs w:val="24"/>
        </w:rPr>
        <w:t xml:space="preserve"> openings using 200 μL cones filled with glue</w:t>
      </w:r>
      <w:r w:rsidR="00A431DE" w:rsidRPr="008376FB">
        <w:rPr>
          <w:rFonts w:ascii="Calibri" w:hAnsi="Calibri" w:cs="Calibri"/>
          <w:sz w:val="24"/>
          <w:szCs w:val="24"/>
        </w:rPr>
        <w:t xml:space="preserve"> ahead of the experiment</w:t>
      </w:r>
      <w:r w:rsidRPr="008376FB">
        <w:rPr>
          <w:rFonts w:ascii="Calibri" w:hAnsi="Calibri" w:cs="Calibri"/>
          <w:sz w:val="24"/>
          <w:szCs w:val="24"/>
        </w:rPr>
        <w:t>.</w:t>
      </w:r>
    </w:p>
    <w:p w14:paraId="207EA52C"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327CC5A6" w14:textId="45CD0E36" w:rsidR="00831DA3" w:rsidRPr="008376FB" w:rsidRDefault="00EB1E6E" w:rsidP="001654C4">
      <w:pPr>
        <w:pStyle w:val="ListParagraph"/>
        <w:numPr>
          <w:ilvl w:val="4"/>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 xml:space="preserve">Place trays under the chambers in anticipation of </w:t>
      </w:r>
      <w:r w:rsidR="003726D6" w:rsidRPr="008376FB">
        <w:rPr>
          <w:rFonts w:ascii="Calibri" w:hAnsi="Calibri" w:cs="Calibri"/>
          <w:sz w:val="24"/>
          <w:szCs w:val="24"/>
        </w:rPr>
        <w:t xml:space="preserve">potential </w:t>
      </w:r>
      <w:r w:rsidRPr="008376FB">
        <w:rPr>
          <w:rFonts w:ascii="Calibri" w:hAnsi="Calibri" w:cs="Calibri"/>
          <w:sz w:val="24"/>
          <w:szCs w:val="24"/>
        </w:rPr>
        <w:t>leaks</w:t>
      </w:r>
      <w:r w:rsidR="008376FB" w:rsidRPr="008376FB">
        <w:rPr>
          <w:rFonts w:ascii="Calibri" w:hAnsi="Calibri" w:cs="Calibri"/>
          <w:sz w:val="24"/>
          <w:szCs w:val="24"/>
        </w:rPr>
        <w:t>.</w:t>
      </w:r>
    </w:p>
    <w:p w14:paraId="3A18D413"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68A0F570" w14:textId="27EEB052" w:rsidR="00831DA3" w:rsidRPr="008376FB" w:rsidRDefault="009D3A64" w:rsidP="001654C4">
      <w:pPr>
        <w:pStyle w:val="ListParagraph"/>
        <w:numPr>
          <w:ilvl w:val="3"/>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Tissue mounting</w:t>
      </w:r>
    </w:p>
    <w:p w14:paraId="552277F6"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278A8C00" w14:textId="76E4F946" w:rsidR="004C79B9" w:rsidRPr="008376FB" w:rsidRDefault="004C79B9" w:rsidP="001654C4">
      <w:pPr>
        <w:pStyle w:val="ListParagraph"/>
        <w:numPr>
          <w:ilvl w:val="4"/>
          <w:numId w:val="1"/>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Lightly dry the previously cleaned colon</w:t>
      </w:r>
      <w:r w:rsidR="00144822" w:rsidRPr="008376FB">
        <w:rPr>
          <w:rFonts w:ascii="Calibri" w:hAnsi="Calibri" w:cs="Calibri"/>
          <w:sz w:val="24"/>
          <w:szCs w:val="24"/>
          <w:highlight w:val="yellow"/>
        </w:rPr>
        <w:t xml:space="preserve"> sample</w:t>
      </w:r>
      <w:r w:rsidRPr="008376FB">
        <w:rPr>
          <w:rFonts w:ascii="Calibri" w:hAnsi="Calibri" w:cs="Calibri"/>
          <w:sz w:val="24"/>
          <w:szCs w:val="24"/>
          <w:highlight w:val="yellow"/>
        </w:rPr>
        <w:t xml:space="preserve"> </w:t>
      </w:r>
      <w:r w:rsidR="00144822" w:rsidRPr="008376FB">
        <w:rPr>
          <w:rFonts w:ascii="Calibri" w:hAnsi="Calibri" w:cs="Calibri"/>
          <w:sz w:val="24"/>
          <w:szCs w:val="24"/>
          <w:highlight w:val="yellow"/>
        </w:rPr>
        <w:t>with</w:t>
      </w:r>
      <w:r w:rsidRPr="008376FB">
        <w:rPr>
          <w:rFonts w:ascii="Calibri" w:hAnsi="Calibri" w:cs="Calibri"/>
          <w:sz w:val="24"/>
          <w:szCs w:val="24"/>
          <w:highlight w:val="yellow"/>
        </w:rPr>
        <w:t xml:space="preserve"> a paper towel to remove </w:t>
      </w:r>
      <w:r w:rsidR="00544725" w:rsidRPr="008376FB">
        <w:rPr>
          <w:rFonts w:ascii="Calibri" w:hAnsi="Calibri" w:cs="Calibri"/>
          <w:sz w:val="24"/>
          <w:szCs w:val="24"/>
          <w:highlight w:val="yellow"/>
        </w:rPr>
        <w:t>excess moisture.</w:t>
      </w:r>
    </w:p>
    <w:p w14:paraId="10F1EB67" w14:textId="77777777" w:rsidR="008376FB" w:rsidRPr="008376FB" w:rsidRDefault="008376FB" w:rsidP="001654C4">
      <w:pPr>
        <w:pStyle w:val="ListParagraph"/>
        <w:spacing w:after="0" w:line="240" w:lineRule="auto"/>
        <w:ind w:left="0"/>
        <w:jc w:val="both"/>
        <w:rPr>
          <w:rFonts w:ascii="Calibri" w:hAnsi="Calibri" w:cs="Calibri"/>
          <w:sz w:val="24"/>
          <w:szCs w:val="24"/>
          <w:highlight w:val="yellow"/>
        </w:rPr>
      </w:pPr>
    </w:p>
    <w:p w14:paraId="599B79C7" w14:textId="48E9B21B" w:rsidR="008376FB" w:rsidRPr="008376FB" w:rsidRDefault="00A431DE" w:rsidP="001654C4">
      <w:pPr>
        <w:pStyle w:val="ListParagraph"/>
        <w:numPr>
          <w:ilvl w:val="4"/>
          <w:numId w:val="1"/>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 xml:space="preserve">Place </w:t>
      </w:r>
      <w:r w:rsidR="00903C69" w:rsidRPr="008376FB">
        <w:rPr>
          <w:rFonts w:ascii="Calibri" w:hAnsi="Calibri" w:cs="Calibri"/>
          <w:sz w:val="24"/>
          <w:szCs w:val="24"/>
          <w:highlight w:val="yellow"/>
        </w:rPr>
        <w:t>the piece of colon</w:t>
      </w:r>
      <w:r w:rsidRPr="008376FB">
        <w:rPr>
          <w:rFonts w:ascii="Calibri" w:hAnsi="Calibri" w:cs="Calibri"/>
          <w:sz w:val="24"/>
          <w:szCs w:val="24"/>
          <w:highlight w:val="yellow"/>
        </w:rPr>
        <w:t xml:space="preserve"> under a </w:t>
      </w:r>
      <w:r w:rsidR="00903C69" w:rsidRPr="008376FB">
        <w:rPr>
          <w:rFonts w:ascii="Calibri" w:hAnsi="Calibri" w:cs="Calibri"/>
          <w:sz w:val="24"/>
          <w:szCs w:val="24"/>
          <w:highlight w:val="yellow"/>
        </w:rPr>
        <w:t>magnifying</w:t>
      </w:r>
      <w:r w:rsidRPr="008376FB">
        <w:rPr>
          <w:rFonts w:ascii="Calibri" w:hAnsi="Calibri" w:cs="Calibri"/>
          <w:sz w:val="24"/>
          <w:szCs w:val="24"/>
          <w:highlight w:val="yellow"/>
        </w:rPr>
        <w:t xml:space="preserve"> gla</w:t>
      </w:r>
      <w:r w:rsidR="007E4588">
        <w:rPr>
          <w:rFonts w:ascii="Calibri" w:hAnsi="Calibri" w:cs="Calibri"/>
          <w:sz w:val="24"/>
          <w:szCs w:val="24"/>
          <w:highlight w:val="yellow"/>
        </w:rPr>
        <w:t>ss</w:t>
      </w:r>
      <w:r w:rsidRPr="008376FB">
        <w:rPr>
          <w:rFonts w:ascii="Calibri" w:hAnsi="Calibri" w:cs="Calibri"/>
          <w:sz w:val="24"/>
          <w:szCs w:val="24"/>
          <w:highlight w:val="yellow"/>
        </w:rPr>
        <w:t xml:space="preserve"> and</w:t>
      </w:r>
      <w:r w:rsidR="00903C69" w:rsidRPr="008376FB">
        <w:rPr>
          <w:rFonts w:ascii="Calibri" w:hAnsi="Calibri" w:cs="Calibri"/>
          <w:sz w:val="24"/>
          <w:szCs w:val="24"/>
          <w:highlight w:val="yellow"/>
        </w:rPr>
        <w:t xml:space="preserve"> very gently </w:t>
      </w:r>
      <w:r w:rsidRPr="008376FB">
        <w:rPr>
          <w:rFonts w:ascii="Calibri" w:hAnsi="Calibri" w:cs="Calibri"/>
          <w:sz w:val="24"/>
          <w:szCs w:val="24"/>
          <w:highlight w:val="yellow"/>
        </w:rPr>
        <w:t xml:space="preserve">insert </w:t>
      </w:r>
      <w:r w:rsidR="00903C69" w:rsidRPr="008376FB">
        <w:rPr>
          <w:rFonts w:ascii="Calibri" w:hAnsi="Calibri" w:cs="Calibri"/>
          <w:sz w:val="24"/>
          <w:szCs w:val="24"/>
          <w:highlight w:val="yellow"/>
        </w:rPr>
        <w:t>one of the blades of fine scissors in the luminal part to cut it open</w:t>
      </w:r>
      <w:r w:rsidR="003E4BB9" w:rsidRPr="008376FB">
        <w:rPr>
          <w:rFonts w:ascii="Calibri" w:hAnsi="Calibri" w:cs="Calibri"/>
          <w:sz w:val="24"/>
          <w:szCs w:val="24"/>
          <w:highlight w:val="yellow"/>
        </w:rPr>
        <w:t xml:space="preserve"> (</w:t>
      </w:r>
      <w:r w:rsidR="00326AC0" w:rsidRPr="008376FB">
        <w:rPr>
          <w:rFonts w:ascii="Calibri" w:hAnsi="Calibri" w:cs="Calibri"/>
          <w:b/>
          <w:bCs/>
          <w:sz w:val="24"/>
          <w:szCs w:val="24"/>
          <w:highlight w:val="yellow"/>
        </w:rPr>
        <w:t>Figure</w:t>
      </w:r>
      <w:r w:rsidR="003E4BB9" w:rsidRPr="008376FB">
        <w:rPr>
          <w:rFonts w:ascii="Calibri" w:hAnsi="Calibri" w:cs="Calibri"/>
          <w:b/>
          <w:bCs/>
          <w:sz w:val="24"/>
          <w:szCs w:val="24"/>
          <w:highlight w:val="yellow"/>
        </w:rPr>
        <w:t xml:space="preserve"> 3A</w:t>
      </w:r>
      <w:r w:rsidR="003E4BB9" w:rsidRPr="008376FB">
        <w:rPr>
          <w:rFonts w:ascii="Calibri" w:hAnsi="Calibri" w:cs="Calibri"/>
          <w:sz w:val="24"/>
          <w:szCs w:val="24"/>
          <w:highlight w:val="yellow"/>
        </w:rPr>
        <w:t>)</w:t>
      </w:r>
      <w:r w:rsidR="00544725" w:rsidRPr="008376FB">
        <w:rPr>
          <w:rFonts w:ascii="Calibri" w:hAnsi="Calibri" w:cs="Calibri"/>
          <w:sz w:val="24"/>
          <w:szCs w:val="24"/>
          <w:highlight w:val="yellow"/>
        </w:rPr>
        <w:t>.</w:t>
      </w:r>
    </w:p>
    <w:p w14:paraId="4F196B7C" w14:textId="0D53E1D6" w:rsidR="008376FB" w:rsidRPr="007E4588" w:rsidRDefault="00903C69" w:rsidP="001654C4">
      <w:pPr>
        <w:pStyle w:val="ListParagraph"/>
        <w:spacing w:after="0" w:line="240" w:lineRule="auto"/>
        <w:ind w:left="0"/>
        <w:jc w:val="both"/>
        <w:rPr>
          <w:rFonts w:ascii="Calibri" w:hAnsi="Calibri" w:cs="Calibri"/>
          <w:sz w:val="24"/>
          <w:szCs w:val="24"/>
        </w:rPr>
      </w:pPr>
      <w:r w:rsidRPr="007E4588">
        <w:rPr>
          <w:rFonts w:ascii="Calibri" w:hAnsi="Calibri" w:cs="Calibri"/>
          <w:sz w:val="24"/>
          <w:szCs w:val="24"/>
        </w:rPr>
        <w:br/>
        <w:t xml:space="preserve">NOTE: </w:t>
      </w:r>
      <w:r w:rsidR="007E4588" w:rsidRPr="007E4588">
        <w:rPr>
          <w:rFonts w:ascii="Calibri" w:hAnsi="Calibri" w:cs="Calibri"/>
          <w:sz w:val="24"/>
          <w:szCs w:val="24"/>
        </w:rPr>
        <w:t>T</w:t>
      </w:r>
      <w:r w:rsidRPr="007E4588">
        <w:rPr>
          <w:rFonts w:ascii="Calibri" w:hAnsi="Calibri" w:cs="Calibri"/>
          <w:sz w:val="24"/>
          <w:szCs w:val="24"/>
        </w:rPr>
        <w:t xml:space="preserve">he cut can be made in one movement once the scissors are fully inserted. The colon section used </w:t>
      </w:r>
      <w:r w:rsidR="00AE78D1" w:rsidRPr="007E4588">
        <w:rPr>
          <w:rFonts w:ascii="Calibri" w:hAnsi="Calibri" w:cs="Calibri"/>
          <w:sz w:val="24"/>
          <w:szCs w:val="24"/>
        </w:rPr>
        <w:t>must</w:t>
      </w:r>
      <w:r w:rsidRPr="007E4588">
        <w:rPr>
          <w:rFonts w:ascii="Calibri" w:hAnsi="Calibri" w:cs="Calibri"/>
          <w:sz w:val="24"/>
          <w:szCs w:val="24"/>
        </w:rPr>
        <w:t xml:space="preserve"> be as straight as possible while avoiding torsion.</w:t>
      </w:r>
    </w:p>
    <w:p w14:paraId="26FA4CAF" w14:textId="77777777" w:rsidR="008376FB" w:rsidRPr="008376FB" w:rsidRDefault="008376FB" w:rsidP="001654C4">
      <w:pPr>
        <w:pStyle w:val="ListParagraph"/>
        <w:spacing w:after="0" w:line="240" w:lineRule="auto"/>
        <w:ind w:left="0"/>
        <w:jc w:val="both"/>
        <w:rPr>
          <w:rFonts w:ascii="Calibri" w:hAnsi="Calibri" w:cs="Calibri"/>
          <w:sz w:val="24"/>
          <w:szCs w:val="24"/>
          <w:highlight w:val="yellow"/>
        </w:rPr>
      </w:pPr>
    </w:p>
    <w:p w14:paraId="3FFB5AD2" w14:textId="7E72A1CD" w:rsidR="004C79B9" w:rsidRPr="007E4588" w:rsidRDefault="00903C69" w:rsidP="001654C4">
      <w:pPr>
        <w:pStyle w:val="ListParagraph"/>
        <w:numPr>
          <w:ilvl w:val="4"/>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highlight w:val="yellow"/>
        </w:rPr>
        <w:t xml:space="preserve">Using </w:t>
      </w:r>
      <w:r w:rsidR="004C79B9" w:rsidRPr="008376FB">
        <w:rPr>
          <w:rFonts w:ascii="Calibri" w:hAnsi="Calibri" w:cs="Calibri"/>
          <w:sz w:val="24"/>
          <w:szCs w:val="24"/>
          <w:highlight w:val="yellow"/>
        </w:rPr>
        <w:t xml:space="preserve">fine </w:t>
      </w:r>
      <w:r w:rsidR="00756B08" w:rsidRPr="008376FB">
        <w:rPr>
          <w:rFonts w:ascii="Calibri" w:hAnsi="Calibri" w:cs="Calibri"/>
          <w:sz w:val="24"/>
          <w:szCs w:val="24"/>
          <w:highlight w:val="yellow"/>
        </w:rPr>
        <w:t>forceps</w:t>
      </w:r>
      <w:r w:rsidR="004C79B9" w:rsidRPr="008376FB">
        <w:rPr>
          <w:rFonts w:ascii="Calibri" w:hAnsi="Calibri" w:cs="Calibri"/>
          <w:sz w:val="24"/>
          <w:szCs w:val="24"/>
          <w:highlight w:val="yellow"/>
        </w:rPr>
        <w:t>, mount the tissue on</w:t>
      </w:r>
      <w:r w:rsidR="009D3A64" w:rsidRPr="008376FB">
        <w:rPr>
          <w:rFonts w:ascii="Calibri" w:hAnsi="Calibri" w:cs="Calibri"/>
          <w:sz w:val="24"/>
          <w:szCs w:val="24"/>
          <w:highlight w:val="yellow"/>
        </w:rPr>
        <w:t xml:space="preserve"> the white part</w:t>
      </w:r>
      <w:r w:rsidR="004C79B9" w:rsidRPr="008376FB">
        <w:rPr>
          <w:rFonts w:ascii="Calibri" w:hAnsi="Calibri" w:cs="Calibri"/>
          <w:sz w:val="24"/>
          <w:szCs w:val="24"/>
          <w:highlight w:val="yellow"/>
        </w:rPr>
        <w:t xml:space="preserve"> </w:t>
      </w:r>
      <w:r w:rsidR="00F5780E" w:rsidRPr="008376FB">
        <w:rPr>
          <w:rFonts w:ascii="Calibri" w:hAnsi="Calibri" w:cs="Calibri"/>
          <w:sz w:val="24"/>
          <w:szCs w:val="24"/>
          <w:highlight w:val="yellow"/>
        </w:rPr>
        <w:t>of the</w:t>
      </w:r>
      <w:r w:rsidR="004C79B9" w:rsidRPr="008376FB">
        <w:rPr>
          <w:rFonts w:ascii="Calibri" w:hAnsi="Calibri" w:cs="Calibri"/>
          <w:sz w:val="24"/>
          <w:szCs w:val="24"/>
          <w:highlight w:val="yellow"/>
        </w:rPr>
        <w:t xml:space="preserve"> slider while keeping the luminal part </w:t>
      </w:r>
      <w:r w:rsidR="009D3A64" w:rsidRPr="008376FB">
        <w:rPr>
          <w:rFonts w:ascii="Calibri" w:hAnsi="Calibri" w:cs="Calibri"/>
          <w:sz w:val="24"/>
          <w:szCs w:val="24"/>
          <w:highlight w:val="yellow"/>
        </w:rPr>
        <w:t xml:space="preserve">upwards, toward </w:t>
      </w:r>
      <w:r w:rsidR="00D5426A" w:rsidRPr="008376FB">
        <w:rPr>
          <w:rFonts w:ascii="Calibri" w:hAnsi="Calibri" w:cs="Calibri"/>
          <w:sz w:val="24"/>
          <w:szCs w:val="24"/>
          <w:highlight w:val="yellow"/>
        </w:rPr>
        <w:t>the operator</w:t>
      </w:r>
      <w:r w:rsidR="004C79B9" w:rsidRPr="008376FB">
        <w:rPr>
          <w:rFonts w:ascii="Calibri" w:hAnsi="Calibri" w:cs="Calibri"/>
          <w:sz w:val="24"/>
          <w:szCs w:val="24"/>
          <w:highlight w:val="yellow"/>
        </w:rPr>
        <w:t xml:space="preserve">. </w:t>
      </w:r>
      <w:r w:rsidR="004C79B9" w:rsidRPr="007E4588">
        <w:rPr>
          <w:rFonts w:ascii="Calibri" w:hAnsi="Calibri" w:cs="Calibri"/>
          <w:sz w:val="24"/>
          <w:szCs w:val="24"/>
        </w:rPr>
        <w:t xml:space="preserve">The tissue </w:t>
      </w:r>
      <w:r w:rsidR="00AE78D1" w:rsidRPr="007E4588">
        <w:rPr>
          <w:rFonts w:ascii="Calibri" w:hAnsi="Calibri" w:cs="Calibri"/>
          <w:sz w:val="24"/>
          <w:szCs w:val="24"/>
        </w:rPr>
        <w:t>must</w:t>
      </w:r>
      <w:r w:rsidR="004C79B9" w:rsidRPr="007E4588">
        <w:rPr>
          <w:rFonts w:ascii="Calibri" w:hAnsi="Calibri" w:cs="Calibri"/>
          <w:sz w:val="24"/>
          <w:szCs w:val="24"/>
        </w:rPr>
        <w:t xml:space="preserve"> be devoid of traces of fat, feces, wrinkles, perforations, </w:t>
      </w:r>
      <w:r w:rsidR="00006668">
        <w:rPr>
          <w:rFonts w:ascii="Calibri" w:hAnsi="Calibri" w:cs="Calibri"/>
          <w:sz w:val="24"/>
          <w:szCs w:val="24"/>
        </w:rPr>
        <w:t xml:space="preserve">and </w:t>
      </w:r>
      <w:r w:rsidR="003E0143" w:rsidRPr="007E4588">
        <w:rPr>
          <w:rFonts w:ascii="Calibri" w:hAnsi="Calibri" w:cs="Calibri"/>
          <w:sz w:val="24"/>
          <w:szCs w:val="24"/>
        </w:rPr>
        <w:t>lacerations, and</w:t>
      </w:r>
      <w:r w:rsidR="004C79B9" w:rsidRPr="007E4588">
        <w:rPr>
          <w:rFonts w:ascii="Calibri" w:hAnsi="Calibri" w:cs="Calibri"/>
          <w:sz w:val="24"/>
          <w:szCs w:val="24"/>
        </w:rPr>
        <w:t xml:space="preserve"> </w:t>
      </w:r>
      <w:r w:rsidR="00006668">
        <w:rPr>
          <w:rFonts w:ascii="Calibri" w:hAnsi="Calibri" w:cs="Calibri"/>
          <w:sz w:val="24"/>
          <w:szCs w:val="24"/>
        </w:rPr>
        <w:t xml:space="preserve">must </w:t>
      </w:r>
      <w:r w:rsidR="004D2087" w:rsidRPr="007E4588">
        <w:rPr>
          <w:rFonts w:ascii="Calibri" w:hAnsi="Calibri" w:cs="Calibri"/>
          <w:sz w:val="24"/>
          <w:szCs w:val="24"/>
        </w:rPr>
        <w:t xml:space="preserve">widely </w:t>
      </w:r>
      <w:r w:rsidR="004C79B9" w:rsidRPr="007E4588">
        <w:rPr>
          <w:rFonts w:ascii="Calibri" w:hAnsi="Calibri" w:cs="Calibri"/>
          <w:sz w:val="24"/>
          <w:szCs w:val="24"/>
        </w:rPr>
        <w:t>cover</w:t>
      </w:r>
      <w:r w:rsidR="004D2087" w:rsidRPr="007E4588">
        <w:rPr>
          <w:rFonts w:ascii="Calibri" w:hAnsi="Calibri" w:cs="Calibri"/>
          <w:sz w:val="24"/>
          <w:szCs w:val="24"/>
        </w:rPr>
        <w:t xml:space="preserve"> the</w:t>
      </w:r>
      <w:r w:rsidR="004C79B9" w:rsidRPr="007E4588">
        <w:rPr>
          <w:rFonts w:ascii="Calibri" w:hAnsi="Calibri" w:cs="Calibri"/>
          <w:sz w:val="24"/>
          <w:szCs w:val="24"/>
        </w:rPr>
        <w:t xml:space="preserve"> aperture</w:t>
      </w:r>
      <w:r w:rsidR="003E4BB9" w:rsidRPr="007E4588">
        <w:rPr>
          <w:rFonts w:ascii="Calibri" w:hAnsi="Calibri" w:cs="Calibri"/>
          <w:sz w:val="24"/>
          <w:szCs w:val="24"/>
        </w:rPr>
        <w:t xml:space="preserve"> (</w:t>
      </w:r>
      <w:r w:rsidR="00326AC0" w:rsidRPr="007E4588">
        <w:rPr>
          <w:rFonts w:ascii="Calibri" w:hAnsi="Calibri" w:cs="Calibri"/>
          <w:b/>
          <w:bCs/>
          <w:sz w:val="24"/>
          <w:szCs w:val="24"/>
        </w:rPr>
        <w:t>Figure</w:t>
      </w:r>
      <w:r w:rsidR="003E4BB9" w:rsidRPr="007E4588">
        <w:rPr>
          <w:rFonts w:ascii="Calibri" w:hAnsi="Calibri" w:cs="Calibri"/>
          <w:b/>
          <w:bCs/>
          <w:sz w:val="24"/>
          <w:szCs w:val="24"/>
        </w:rPr>
        <w:t xml:space="preserve"> 3</w:t>
      </w:r>
      <w:r w:rsidR="003E0143" w:rsidRPr="007E4588">
        <w:rPr>
          <w:rFonts w:ascii="Calibri" w:hAnsi="Calibri" w:cs="Calibri"/>
          <w:b/>
          <w:bCs/>
          <w:sz w:val="24"/>
          <w:szCs w:val="24"/>
        </w:rPr>
        <w:t>B</w:t>
      </w:r>
      <w:r w:rsidR="003E4BB9" w:rsidRPr="007E4588">
        <w:rPr>
          <w:rFonts w:ascii="Calibri" w:hAnsi="Calibri" w:cs="Calibri"/>
          <w:sz w:val="24"/>
          <w:szCs w:val="24"/>
        </w:rPr>
        <w:t>)</w:t>
      </w:r>
      <w:r w:rsidR="00544725" w:rsidRPr="007E4588">
        <w:rPr>
          <w:rFonts w:ascii="Calibri" w:hAnsi="Calibri" w:cs="Calibri"/>
          <w:sz w:val="24"/>
          <w:szCs w:val="24"/>
        </w:rPr>
        <w:t>.</w:t>
      </w:r>
    </w:p>
    <w:p w14:paraId="791FA36B" w14:textId="77777777" w:rsidR="008376FB" w:rsidRPr="007E4588" w:rsidRDefault="008376FB" w:rsidP="001654C4">
      <w:pPr>
        <w:pStyle w:val="ListParagraph"/>
        <w:spacing w:after="0" w:line="240" w:lineRule="auto"/>
        <w:ind w:left="0"/>
        <w:jc w:val="both"/>
        <w:rPr>
          <w:rFonts w:ascii="Calibri" w:hAnsi="Calibri" w:cs="Calibri"/>
          <w:sz w:val="24"/>
          <w:szCs w:val="24"/>
        </w:rPr>
      </w:pPr>
    </w:p>
    <w:p w14:paraId="31A2F6C8" w14:textId="2743A89B" w:rsidR="008376FB" w:rsidRPr="008376FB" w:rsidRDefault="00505645" w:rsidP="001654C4">
      <w:pPr>
        <w:keepNext/>
        <w:spacing w:after="0" w:line="240" w:lineRule="auto"/>
        <w:jc w:val="both"/>
        <w:rPr>
          <w:rFonts w:ascii="Calibri" w:hAnsi="Calibri" w:cs="Calibri"/>
          <w:noProof/>
          <w:sz w:val="24"/>
          <w:szCs w:val="24"/>
        </w:rPr>
      </w:pPr>
      <w:r w:rsidRPr="008376FB">
        <w:rPr>
          <w:rFonts w:ascii="Calibri" w:hAnsi="Calibri" w:cs="Calibri"/>
          <w:noProof/>
          <w:sz w:val="24"/>
          <w:szCs w:val="24"/>
        </w:rPr>
        <w:t xml:space="preserve">[insert </w:t>
      </w:r>
      <w:r w:rsidRPr="008376FB">
        <w:rPr>
          <w:rFonts w:ascii="Calibri" w:hAnsi="Calibri" w:cs="Calibri"/>
          <w:b/>
          <w:bCs/>
          <w:noProof/>
          <w:sz w:val="24"/>
          <w:szCs w:val="24"/>
        </w:rPr>
        <w:t>Figure 3</w:t>
      </w:r>
      <w:r w:rsidRPr="008376FB">
        <w:rPr>
          <w:rFonts w:ascii="Calibri" w:hAnsi="Calibri" w:cs="Calibri"/>
          <w:noProof/>
          <w:sz w:val="24"/>
          <w:szCs w:val="24"/>
        </w:rPr>
        <w:t xml:space="preserve"> here]</w:t>
      </w:r>
    </w:p>
    <w:p w14:paraId="7160301D" w14:textId="77777777" w:rsidR="008376FB" w:rsidRPr="008376FB" w:rsidRDefault="008376FB" w:rsidP="001654C4">
      <w:pPr>
        <w:keepNext/>
        <w:spacing w:after="0" w:line="240" w:lineRule="auto"/>
        <w:jc w:val="both"/>
        <w:rPr>
          <w:rFonts w:ascii="Calibri" w:hAnsi="Calibri" w:cs="Calibri"/>
          <w:noProof/>
          <w:sz w:val="24"/>
          <w:szCs w:val="24"/>
        </w:rPr>
      </w:pPr>
    </w:p>
    <w:p w14:paraId="2FD9140F" w14:textId="77777777" w:rsidR="008376FB" w:rsidRPr="007E4588" w:rsidRDefault="004C79B9" w:rsidP="001654C4">
      <w:pPr>
        <w:pStyle w:val="ListParagraph"/>
        <w:numPr>
          <w:ilvl w:val="4"/>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highlight w:val="yellow"/>
        </w:rPr>
        <w:t xml:space="preserve">Close the </w:t>
      </w:r>
      <w:r w:rsidR="009D3A64" w:rsidRPr="008376FB">
        <w:rPr>
          <w:rFonts w:ascii="Calibri" w:hAnsi="Calibri" w:cs="Calibri"/>
          <w:sz w:val="24"/>
          <w:szCs w:val="24"/>
          <w:highlight w:val="yellow"/>
        </w:rPr>
        <w:t xml:space="preserve">slider under the </w:t>
      </w:r>
      <w:r w:rsidR="00756B08" w:rsidRPr="008376FB">
        <w:rPr>
          <w:rFonts w:ascii="Calibri" w:hAnsi="Calibri" w:cs="Calibri"/>
          <w:sz w:val="24"/>
          <w:szCs w:val="24"/>
          <w:highlight w:val="yellow"/>
        </w:rPr>
        <w:t>binocular microscope</w:t>
      </w:r>
      <w:r w:rsidR="009D3A64" w:rsidRPr="008376FB">
        <w:rPr>
          <w:rFonts w:ascii="Calibri" w:hAnsi="Calibri" w:cs="Calibri"/>
          <w:sz w:val="24"/>
          <w:szCs w:val="24"/>
          <w:highlight w:val="yellow"/>
        </w:rPr>
        <w:t xml:space="preserve"> and check for potential displacement of the tissue. </w:t>
      </w:r>
      <w:r w:rsidR="009B477F" w:rsidRPr="007E4588">
        <w:rPr>
          <w:rFonts w:ascii="Calibri" w:hAnsi="Calibri" w:cs="Calibri"/>
          <w:sz w:val="24"/>
          <w:szCs w:val="24"/>
        </w:rPr>
        <w:t xml:space="preserve">A slight deformation of the tissue </w:t>
      </w:r>
      <w:r w:rsidR="00465EF9" w:rsidRPr="007E4588">
        <w:rPr>
          <w:rFonts w:ascii="Calibri" w:hAnsi="Calibri" w:cs="Calibri"/>
          <w:sz w:val="24"/>
          <w:szCs w:val="24"/>
        </w:rPr>
        <w:t>must</w:t>
      </w:r>
      <w:r w:rsidR="009B477F" w:rsidRPr="007E4588">
        <w:rPr>
          <w:rFonts w:ascii="Calibri" w:hAnsi="Calibri" w:cs="Calibri"/>
          <w:sz w:val="24"/>
          <w:szCs w:val="24"/>
        </w:rPr>
        <w:t xml:space="preserve"> be visible when pressure is applied to the slider, which indicates that the slider is </w:t>
      </w:r>
      <w:r w:rsidR="00D049EA" w:rsidRPr="007E4588">
        <w:rPr>
          <w:rFonts w:ascii="Calibri" w:hAnsi="Calibri" w:cs="Calibri"/>
          <w:sz w:val="24"/>
          <w:szCs w:val="24"/>
        </w:rPr>
        <w:t>tightly</w:t>
      </w:r>
      <w:r w:rsidR="009B477F" w:rsidRPr="007E4588">
        <w:rPr>
          <w:rFonts w:ascii="Calibri" w:hAnsi="Calibri" w:cs="Calibri"/>
          <w:sz w:val="24"/>
          <w:szCs w:val="24"/>
        </w:rPr>
        <w:t xml:space="preserve"> closed</w:t>
      </w:r>
      <w:r w:rsidR="00544725" w:rsidRPr="007E4588">
        <w:rPr>
          <w:rFonts w:ascii="Calibri" w:hAnsi="Calibri" w:cs="Calibri"/>
          <w:sz w:val="24"/>
          <w:szCs w:val="24"/>
        </w:rPr>
        <w:t>.</w:t>
      </w:r>
    </w:p>
    <w:p w14:paraId="314091FC" w14:textId="124F1A6B" w:rsidR="009B477F" w:rsidRPr="007E4588" w:rsidRDefault="00707439" w:rsidP="001654C4">
      <w:pPr>
        <w:pStyle w:val="ListParagraph"/>
        <w:spacing w:after="0" w:line="240" w:lineRule="auto"/>
        <w:ind w:left="0"/>
        <w:jc w:val="both"/>
        <w:rPr>
          <w:rFonts w:ascii="Calibri" w:hAnsi="Calibri" w:cs="Calibri"/>
          <w:sz w:val="24"/>
          <w:szCs w:val="24"/>
        </w:rPr>
      </w:pPr>
      <w:r w:rsidRPr="008376FB">
        <w:rPr>
          <w:rFonts w:ascii="Calibri" w:hAnsi="Calibri" w:cs="Calibri"/>
          <w:sz w:val="24"/>
          <w:szCs w:val="24"/>
          <w:highlight w:val="yellow"/>
        </w:rPr>
        <w:br/>
      </w:r>
      <w:r w:rsidRPr="007E4588">
        <w:rPr>
          <w:rFonts w:ascii="Calibri" w:hAnsi="Calibri" w:cs="Calibri"/>
          <w:sz w:val="24"/>
          <w:szCs w:val="24"/>
        </w:rPr>
        <w:t xml:space="preserve">NOTE: </w:t>
      </w:r>
      <w:r w:rsidR="00DB09CF" w:rsidRPr="007E4588">
        <w:rPr>
          <w:rFonts w:ascii="Calibri" w:hAnsi="Calibri" w:cs="Calibri"/>
          <w:sz w:val="24"/>
          <w:szCs w:val="24"/>
        </w:rPr>
        <w:t xml:space="preserve">Install the sliders in the Ussing chamber </w:t>
      </w:r>
      <w:r w:rsidR="004A2FBD">
        <w:rPr>
          <w:rFonts w:ascii="Calibri" w:hAnsi="Calibri" w:cs="Calibri"/>
          <w:sz w:val="24"/>
          <w:szCs w:val="24"/>
        </w:rPr>
        <w:t>(</w:t>
      </w:r>
      <w:r w:rsidR="004A2FBD" w:rsidRPr="004A2FBD">
        <w:rPr>
          <w:rFonts w:ascii="Calibri" w:hAnsi="Calibri" w:cs="Calibri"/>
          <w:b/>
          <w:bCs/>
          <w:sz w:val="24"/>
          <w:szCs w:val="24"/>
        </w:rPr>
        <w:t>Figure 4</w:t>
      </w:r>
      <w:r w:rsidR="004A2FBD">
        <w:rPr>
          <w:rFonts w:ascii="Calibri" w:hAnsi="Calibri" w:cs="Calibri"/>
          <w:sz w:val="24"/>
          <w:szCs w:val="24"/>
        </w:rPr>
        <w:t xml:space="preserve">) </w:t>
      </w:r>
      <w:r w:rsidR="00DB09CF" w:rsidRPr="007E4588">
        <w:rPr>
          <w:rFonts w:ascii="Calibri" w:hAnsi="Calibri" w:cs="Calibri"/>
          <w:sz w:val="24"/>
          <w:szCs w:val="24"/>
        </w:rPr>
        <w:t xml:space="preserve">and start </w:t>
      </w:r>
      <w:r w:rsidR="000B5042" w:rsidRPr="007E4588">
        <w:rPr>
          <w:rFonts w:ascii="Calibri" w:hAnsi="Calibri" w:cs="Calibri"/>
          <w:sz w:val="24"/>
          <w:szCs w:val="24"/>
        </w:rPr>
        <w:t>the equilibration step</w:t>
      </w:r>
      <w:r w:rsidR="00921CCD" w:rsidRPr="007E4588">
        <w:rPr>
          <w:rFonts w:ascii="Calibri" w:hAnsi="Calibri" w:cs="Calibri"/>
          <w:sz w:val="24"/>
          <w:szCs w:val="24"/>
        </w:rPr>
        <w:t xml:space="preserve"> individually</w:t>
      </w:r>
      <w:r w:rsidR="000B5042" w:rsidRPr="007E4588">
        <w:rPr>
          <w:rFonts w:ascii="Calibri" w:hAnsi="Calibri" w:cs="Calibri"/>
          <w:sz w:val="24"/>
          <w:szCs w:val="24"/>
        </w:rPr>
        <w:t xml:space="preserve"> as soon as it is ready</w:t>
      </w:r>
      <w:r w:rsidR="00921CCD" w:rsidRPr="007E4588">
        <w:rPr>
          <w:rFonts w:ascii="Calibri" w:hAnsi="Calibri" w:cs="Calibri"/>
          <w:sz w:val="24"/>
          <w:szCs w:val="24"/>
        </w:rPr>
        <w:t>,</w:t>
      </w:r>
      <w:r w:rsidR="000B5042" w:rsidRPr="007E4588">
        <w:rPr>
          <w:rFonts w:ascii="Calibri" w:hAnsi="Calibri" w:cs="Calibri"/>
          <w:sz w:val="24"/>
          <w:szCs w:val="24"/>
        </w:rPr>
        <w:t xml:space="preserve"> to prevent sample dehydration.</w:t>
      </w:r>
    </w:p>
    <w:p w14:paraId="1428505B" w14:textId="77777777" w:rsidR="008376FB" w:rsidRPr="008376FB" w:rsidRDefault="008376FB" w:rsidP="001654C4">
      <w:pPr>
        <w:pStyle w:val="ListParagraph"/>
        <w:spacing w:after="0" w:line="240" w:lineRule="auto"/>
        <w:ind w:left="0"/>
        <w:jc w:val="both"/>
        <w:rPr>
          <w:rFonts w:ascii="Calibri" w:hAnsi="Calibri" w:cs="Calibri"/>
          <w:sz w:val="24"/>
          <w:szCs w:val="24"/>
          <w:highlight w:val="yellow"/>
        </w:rPr>
      </w:pPr>
    </w:p>
    <w:p w14:paraId="0F79E44C" w14:textId="5086BAAC" w:rsidR="009D3A64" w:rsidRPr="008376FB" w:rsidRDefault="009B477F" w:rsidP="001654C4">
      <w:pPr>
        <w:pStyle w:val="ListParagraph"/>
        <w:numPr>
          <w:ilvl w:val="4"/>
          <w:numId w:val="1"/>
        </w:numPr>
        <w:spacing w:after="0" w:line="240" w:lineRule="auto"/>
        <w:ind w:left="0" w:firstLine="0"/>
        <w:jc w:val="both"/>
        <w:rPr>
          <w:rFonts w:ascii="Calibri" w:hAnsi="Calibri" w:cs="Calibri"/>
          <w:sz w:val="24"/>
          <w:szCs w:val="24"/>
          <w:highlight w:val="yellow"/>
        </w:rPr>
      </w:pPr>
      <w:r w:rsidRPr="008376FB">
        <w:rPr>
          <w:rFonts w:ascii="Calibri" w:hAnsi="Calibri" w:cs="Calibri"/>
          <w:sz w:val="24"/>
          <w:szCs w:val="24"/>
          <w:highlight w:val="yellow"/>
        </w:rPr>
        <w:t xml:space="preserve">While maintaining light pressure on the slider to keep it closed, insert the slider into the Ussing chamber, ensuring that the lumen (transparent part of the slider) faces to the </w:t>
      </w:r>
      <w:r w:rsidR="00D049EA" w:rsidRPr="008376FB">
        <w:rPr>
          <w:rFonts w:ascii="Calibri" w:hAnsi="Calibri" w:cs="Calibri"/>
          <w:sz w:val="24"/>
          <w:szCs w:val="24"/>
          <w:highlight w:val="yellow"/>
        </w:rPr>
        <w:t>left</w:t>
      </w:r>
      <w:r w:rsidR="00544725" w:rsidRPr="008376FB">
        <w:rPr>
          <w:rFonts w:ascii="Calibri" w:hAnsi="Calibri" w:cs="Calibri"/>
          <w:sz w:val="24"/>
          <w:szCs w:val="24"/>
          <w:highlight w:val="yellow"/>
        </w:rPr>
        <w:t>.</w:t>
      </w:r>
    </w:p>
    <w:p w14:paraId="057501AA" w14:textId="77777777" w:rsidR="008376FB" w:rsidRPr="008376FB" w:rsidRDefault="008376FB" w:rsidP="001654C4">
      <w:pPr>
        <w:pStyle w:val="ListParagraph"/>
        <w:spacing w:after="0" w:line="240" w:lineRule="auto"/>
        <w:ind w:left="0"/>
        <w:jc w:val="both"/>
        <w:rPr>
          <w:rFonts w:ascii="Calibri" w:hAnsi="Calibri" w:cs="Calibri"/>
          <w:sz w:val="24"/>
          <w:szCs w:val="24"/>
          <w:highlight w:val="yellow"/>
        </w:rPr>
      </w:pPr>
    </w:p>
    <w:p w14:paraId="46C71248" w14:textId="7938B0AA" w:rsidR="009D3A64" w:rsidRPr="008376FB" w:rsidRDefault="009D3A64" w:rsidP="001654C4">
      <w:pPr>
        <w:pStyle w:val="ListParagraph"/>
        <w:numPr>
          <w:ilvl w:val="4"/>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Close both latches and tighten the screw located on the right until the chamber is airtight and the slider cannot move</w:t>
      </w:r>
      <w:r w:rsidR="00544725" w:rsidRPr="008376FB">
        <w:rPr>
          <w:rFonts w:ascii="Calibri" w:hAnsi="Calibri" w:cs="Calibri"/>
          <w:sz w:val="24"/>
          <w:szCs w:val="24"/>
        </w:rPr>
        <w:t>.</w:t>
      </w:r>
    </w:p>
    <w:p w14:paraId="2C21AD8D"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72B03100" w14:textId="2B874C58" w:rsidR="00BC4D2B" w:rsidRPr="008376FB" w:rsidRDefault="00BC4D2B" w:rsidP="001654C4">
      <w:pPr>
        <w:pStyle w:val="ListParagraph"/>
        <w:numPr>
          <w:ilvl w:val="3"/>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Final setup and balancing</w:t>
      </w:r>
    </w:p>
    <w:p w14:paraId="648FB5BD"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4465EBC5" w14:textId="48E0718C" w:rsidR="00BC4D2B" w:rsidRPr="008376FB" w:rsidRDefault="00BC4D2B" w:rsidP="001654C4">
      <w:pPr>
        <w:pStyle w:val="ListParagraph"/>
        <w:numPr>
          <w:ilvl w:val="4"/>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Add 4 mL of K</w:t>
      </w:r>
      <w:r w:rsidR="00F5780E" w:rsidRPr="008376FB">
        <w:rPr>
          <w:rFonts w:ascii="Calibri" w:hAnsi="Calibri" w:cs="Calibri"/>
          <w:sz w:val="24"/>
          <w:szCs w:val="24"/>
        </w:rPr>
        <w:t>rebs-</w:t>
      </w:r>
      <w:r w:rsidRPr="008376FB">
        <w:rPr>
          <w:rFonts w:ascii="Calibri" w:hAnsi="Calibri" w:cs="Calibri"/>
          <w:sz w:val="24"/>
          <w:szCs w:val="24"/>
        </w:rPr>
        <w:t>Mannitol to the left</w:t>
      </w:r>
      <w:r w:rsidR="002C2F41" w:rsidRPr="008376FB">
        <w:rPr>
          <w:rFonts w:ascii="Calibri" w:hAnsi="Calibri" w:cs="Calibri"/>
          <w:sz w:val="24"/>
          <w:szCs w:val="24"/>
        </w:rPr>
        <w:t xml:space="preserve"> (apical)</w:t>
      </w:r>
      <w:r w:rsidRPr="008376FB">
        <w:rPr>
          <w:rFonts w:ascii="Calibri" w:hAnsi="Calibri" w:cs="Calibri"/>
          <w:sz w:val="24"/>
          <w:szCs w:val="24"/>
        </w:rPr>
        <w:t xml:space="preserve"> compartment of the chamber</w:t>
      </w:r>
      <w:r w:rsidR="00544725" w:rsidRPr="008376FB">
        <w:rPr>
          <w:rFonts w:ascii="Calibri" w:hAnsi="Calibri" w:cs="Calibri"/>
          <w:sz w:val="24"/>
          <w:szCs w:val="24"/>
        </w:rPr>
        <w:t>.</w:t>
      </w:r>
    </w:p>
    <w:p w14:paraId="3C70F972"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2793EC58" w14:textId="56EF0444" w:rsidR="00BC4D2B" w:rsidRPr="008376FB" w:rsidRDefault="00BC4D2B" w:rsidP="001654C4">
      <w:pPr>
        <w:pStyle w:val="ListParagraph"/>
        <w:numPr>
          <w:ilvl w:val="4"/>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 xml:space="preserve">Add 4 mL of </w:t>
      </w:r>
      <w:r w:rsidR="00F5780E" w:rsidRPr="008376FB">
        <w:rPr>
          <w:rFonts w:ascii="Calibri" w:hAnsi="Calibri" w:cs="Calibri"/>
          <w:sz w:val="24"/>
          <w:szCs w:val="24"/>
        </w:rPr>
        <w:t>Krebs-</w:t>
      </w:r>
      <w:r w:rsidRPr="008376FB">
        <w:rPr>
          <w:rFonts w:ascii="Calibri" w:hAnsi="Calibri" w:cs="Calibri"/>
          <w:sz w:val="24"/>
          <w:szCs w:val="24"/>
        </w:rPr>
        <w:t>Glucose to the right</w:t>
      </w:r>
      <w:r w:rsidR="002C2F41" w:rsidRPr="008376FB">
        <w:rPr>
          <w:rFonts w:ascii="Calibri" w:hAnsi="Calibri" w:cs="Calibri"/>
          <w:sz w:val="24"/>
          <w:szCs w:val="24"/>
        </w:rPr>
        <w:t xml:space="preserve"> (basolateral)</w:t>
      </w:r>
      <w:r w:rsidRPr="008376FB">
        <w:rPr>
          <w:rFonts w:ascii="Calibri" w:hAnsi="Calibri" w:cs="Calibri"/>
          <w:sz w:val="24"/>
          <w:szCs w:val="24"/>
        </w:rPr>
        <w:t xml:space="preserve"> compartment of the chamber</w:t>
      </w:r>
      <w:r w:rsidR="00544725" w:rsidRPr="008376FB">
        <w:rPr>
          <w:rFonts w:ascii="Calibri" w:hAnsi="Calibri" w:cs="Calibri"/>
          <w:sz w:val="24"/>
          <w:szCs w:val="24"/>
        </w:rPr>
        <w:t>.</w:t>
      </w:r>
      <w:r w:rsidRPr="008376FB">
        <w:rPr>
          <w:rFonts w:ascii="Calibri" w:hAnsi="Calibri" w:cs="Calibri"/>
          <w:sz w:val="24"/>
          <w:szCs w:val="24"/>
        </w:rPr>
        <w:t xml:space="preserve"> </w:t>
      </w:r>
    </w:p>
    <w:p w14:paraId="23B0308C"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3DAEDCD3" w14:textId="4813D498" w:rsidR="00465105" w:rsidRPr="008376FB" w:rsidRDefault="00465105" w:rsidP="001654C4">
      <w:pPr>
        <w:pStyle w:val="ListParagraph"/>
        <w:numPr>
          <w:ilvl w:val="4"/>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Place a small piece of parafilm between both compartments to avoid cross-contamination</w:t>
      </w:r>
      <w:r w:rsidR="00544725" w:rsidRPr="008376FB">
        <w:rPr>
          <w:rFonts w:ascii="Calibri" w:hAnsi="Calibri" w:cs="Calibri"/>
          <w:sz w:val="24"/>
          <w:szCs w:val="24"/>
        </w:rPr>
        <w:t>.</w:t>
      </w:r>
      <w:r w:rsidRPr="008376FB">
        <w:rPr>
          <w:rFonts w:ascii="Calibri" w:hAnsi="Calibri" w:cs="Calibri"/>
          <w:sz w:val="24"/>
          <w:szCs w:val="24"/>
        </w:rPr>
        <w:t xml:space="preserve"> </w:t>
      </w:r>
    </w:p>
    <w:p w14:paraId="64076CE3"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3FCE4CBD" w14:textId="3D3772C3" w:rsidR="00BC4D2B" w:rsidRPr="008376FB" w:rsidRDefault="00BC4D2B" w:rsidP="001654C4">
      <w:pPr>
        <w:pStyle w:val="ListParagraph"/>
        <w:numPr>
          <w:ilvl w:val="4"/>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Open the gas intake</w:t>
      </w:r>
      <w:r w:rsidR="002F6EF8" w:rsidRPr="008376FB">
        <w:rPr>
          <w:rFonts w:ascii="Calibri" w:hAnsi="Calibri" w:cs="Calibri"/>
          <w:sz w:val="24"/>
          <w:szCs w:val="24"/>
        </w:rPr>
        <w:t xml:space="preserve"> (95% O</w:t>
      </w:r>
      <w:r w:rsidR="002F6EF8" w:rsidRPr="008376FB">
        <w:rPr>
          <w:rFonts w:ascii="Calibri" w:hAnsi="Calibri" w:cs="Calibri"/>
          <w:sz w:val="24"/>
          <w:szCs w:val="24"/>
          <w:vertAlign w:val="subscript"/>
        </w:rPr>
        <w:t>2</w:t>
      </w:r>
      <w:r w:rsidR="002F6EF8" w:rsidRPr="008376FB">
        <w:rPr>
          <w:rFonts w:ascii="Calibri" w:hAnsi="Calibri" w:cs="Calibri"/>
          <w:sz w:val="24"/>
          <w:szCs w:val="24"/>
        </w:rPr>
        <w:t xml:space="preserve"> </w:t>
      </w:r>
      <w:r w:rsidR="0094340D" w:rsidRPr="008376FB">
        <w:rPr>
          <w:rFonts w:ascii="Calibri" w:hAnsi="Calibri" w:cs="Calibri"/>
          <w:sz w:val="24"/>
          <w:szCs w:val="24"/>
        </w:rPr>
        <w:t>/</w:t>
      </w:r>
      <w:r w:rsidR="002F6EF8" w:rsidRPr="008376FB">
        <w:rPr>
          <w:rFonts w:ascii="Calibri" w:hAnsi="Calibri" w:cs="Calibri"/>
          <w:sz w:val="24"/>
          <w:szCs w:val="24"/>
        </w:rPr>
        <w:t xml:space="preserve"> 5% CO</w:t>
      </w:r>
      <w:r w:rsidR="002F6EF8" w:rsidRPr="008376FB">
        <w:rPr>
          <w:rFonts w:ascii="Calibri" w:hAnsi="Calibri" w:cs="Calibri"/>
          <w:sz w:val="24"/>
          <w:szCs w:val="24"/>
          <w:vertAlign w:val="subscript"/>
        </w:rPr>
        <w:t>2</w:t>
      </w:r>
      <w:r w:rsidR="002F6EF8" w:rsidRPr="008376FB">
        <w:rPr>
          <w:rFonts w:ascii="Calibri" w:hAnsi="Calibri" w:cs="Calibri"/>
          <w:sz w:val="24"/>
          <w:szCs w:val="24"/>
        </w:rPr>
        <w:t>)</w:t>
      </w:r>
      <w:r w:rsidRPr="008376FB">
        <w:rPr>
          <w:rFonts w:ascii="Calibri" w:hAnsi="Calibri" w:cs="Calibri"/>
          <w:sz w:val="24"/>
          <w:szCs w:val="24"/>
        </w:rPr>
        <w:t xml:space="preserve"> and set the </w:t>
      </w:r>
      <w:r w:rsidR="00465105" w:rsidRPr="008376FB">
        <w:rPr>
          <w:rFonts w:ascii="Calibri" w:hAnsi="Calibri" w:cs="Calibri"/>
          <w:sz w:val="24"/>
          <w:szCs w:val="24"/>
        </w:rPr>
        <w:t>output</w:t>
      </w:r>
      <w:r w:rsidRPr="008376FB">
        <w:rPr>
          <w:rFonts w:ascii="Calibri" w:hAnsi="Calibri" w:cs="Calibri"/>
          <w:sz w:val="24"/>
          <w:szCs w:val="24"/>
        </w:rPr>
        <w:t xml:space="preserve"> between 1</w:t>
      </w:r>
      <w:r w:rsidR="006A7724">
        <w:rPr>
          <w:rFonts w:ascii="Calibri" w:hAnsi="Calibri" w:cs="Calibri"/>
          <w:sz w:val="24"/>
          <w:szCs w:val="24"/>
        </w:rPr>
        <w:t>–</w:t>
      </w:r>
      <w:r w:rsidRPr="008376FB">
        <w:rPr>
          <w:rFonts w:ascii="Calibri" w:hAnsi="Calibri" w:cs="Calibri"/>
          <w:sz w:val="24"/>
          <w:szCs w:val="24"/>
        </w:rPr>
        <w:t>2 bubbl</w:t>
      </w:r>
      <w:r w:rsidR="006A7724">
        <w:rPr>
          <w:rFonts w:ascii="Calibri" w:hAnsi="Calibri" w:cs="Calibri"/>
          <w:sz w:val="24"/>
          <w:szCs w:val="24"/>
        </w:rPr>
        <w:t>es/s</w:t>
      </w:r>
      <w:r w:rsidR="00544725" w:rsidRPr="008376FB">
        <w:rPr>
          <w:rFonts w:ascii="Calibri" w:hAnsi="Calibri" w:cs="Calibri"/>
          <w:sz w:val="24"/>
          <w:szCs w:val="24"/>
        </w:rPr>
        <w:t>.</w:t>
      </w:r>
    </w:p>
    <w:p w14:paraId="02227EDA"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7A147817" w14:textId="2FA4A5A1" w:rsidR="00BC4D2B" w:rsidRPr="008376FB" w:rsidRDefault="00BC4D2B" w:rsidP="001654C4">
      <w:pPr>
        <w:pStyle w:val="ListParagraph"/>
        <w:numPr>
          <w:ilvl w:val="4"/>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Eliminate any large bubble</w:t>
      </w:r>
      <w:r w:rsidR="006A7724">
        <w:rPr>
          <w:rFonts w:ascii="Calibri" w:hAnsi="Calibri" w:cs="Calibri"/>
          <w:sz w:val="24"/>
          <w:szCs w:val="24"/>
        </w:rPr>
        <w:t>s</w:t>
      </w:r>
      <w:r w:rsidRPr="008376FB">
        <w:rPr>
          <w:rFonts w:ascii="Calibri" w:hAnsi="Calibri" w:cs="Calibri"/>
          <w:sz w:val="24"/>
          <w:szCs w:val="24"/>
        </w:rPr>
        <w:t xml:space="preserve"> located on the tissue or in the system using a Pasteur pipette</w:t>
      </w:r>
      <w:r w:rsidR="00544725" w:rsidRPr="008376FB">
        <w:rPr>
          <w:rFonts w:ascii="Calibri" w:hAnsi="Calibri" w:cs="Calibri"/>
          <w:sz w:val="24"/>
          <w:szCs w:val="24"/>
        </w:rPr>
        <w:t>.</w:t>
      </w:r>
    </w:p>
    <w:p w14:paraId="3EB91969"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2B0FA764" w14:textId="10D71E0D" w:rsidR="00BC4D2B" w:rsidRPr="008376FB" w:rsidRDefault="00BC4D2B" w:rsidP="001654C4">
      <w:pPr>
        <w:pStyle w:val="ListParagraph"/>
        <w:numPr>
          <w:ilvl w:val="4"/>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Let t</w:t>
      </w:r>
      <w:r w:rsidR="0086562A" w:rsidRPr="008376FB">
        <w:rPr>
          <w:rFonts w:ascii="Calibri" w:hAnsi="Calibri" w:cs="Calibri"/>
          <w:sz w:val="24"/>
          <w:szCs w:val="24"/>
        </w:rPr>
        <w:t>he system balance for up to 20</w:t>
      </w:r>
      <w:r w:rsidR="006A7724">
        <w:rPr>
          <w:rFonts w:ascii="Calibri" w:hAnsi="Calibri" w:cs="Calibri"/>
          <w:sz w:val="24"/>
          <w:szCs w:val="24"/>
        </w:rPr>
        <w:t>–</w:t>
      </w:r>
      <w:r w:rsidR="0086562A" w:rsidRPr="008376FB">
        <w:rPr>
          <w:rFonts w:ascii="Calibri" w:hAnsi="Calibri" w:cs="Calibri"/>
          <w:sz w:val="24"/>
          <w:szCs w:val="24"/>
        </w:rPr>
        <w:t>30 min</w:t>
      </w:r>
      <w:r w:rsidR="00544725" w:rsidRPr="008376FB">
        <w:rPr>
          <w:rFonts w:ascii="Calibri" w:hAnsi="Calibri" w:cs="Calibri"/>
          <w:sz w:val="24"/>
          <w:szCs w:val="24"/>
        </w:rPr>
        <w:t>.</w:t>
      </w:r>
    </w:p>
    <w:p w14:paraId="3A71FE0A"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77A35C08" w14:textId="25E43A18" w:rsidR="00632532" w:rsidRPr="008376FB" w:rsidRDefault="0086562A" w:rsidP="001654C4">
      <w:pPr>
        <w:pStyle w:val="ListParagraph"/>
        <w:numPr>
          <w:ilvl w:val="4"/>
          <w:numId w:val="1"/>
        </w:numPr>
        <w:spacing w:after="0" w:line="240" w:lineRule="auto"/>
        <w:ind w:left="0" w:firstLine="0"/>
        <w:jc w:val="both"/>
        <w:rPr>
          <w:rStyle w:val="Strong"/>
          <w:rFonts w:ascii="Calibri" w:hAnsi="Calibri" w:cs="Calibri"/>
          <w:b w:val="0"/>
          <w:bCs w:val="0"/>
          <w:sz w:val="24"/>
          <w:szCs w:val="24"/>
        </w:rPr>
      </w:pPr>
      <w:r w:rsidRPr="008376FB">
        <w:rPr>
          <w:rFonts w:ascii="Calibri" w:hAnsi="Calibri" w:cs="Calibri"/>
          <w:sz w:val="24"/>
          <w:szCs w:val="24"/>
        </w:rPr>
        <w:t xml:space="preserve">Prepare the </w:t>
      </w:r>
      <w:r w:rsidR="00465105" w:rsidRPr="008376FB">
        <w:rPr>
          <w:rStyle w:val="Strong"/>
          <w:rFonts w:ascii="Calibri" w:hAnsi="Calibri" w:cs="Calibri"/>
          <w:b w:val="0"/>
          <w:bCs w:val="0"/>
          <w:sz w:val="24"/>
          <w:szCs w:val="24"/>
        </w:rPr>
        <w:t>FITC 4</w:t>
      </w:r>
      <w:r w:rsidR="00632532" w:rsidRPr="008376FB">
        <w:rPr>
          <w:rStyle w:val="Strong"/>
          <w:rFonts w:ascii="Calibri" w:hAnsi="Calibri" w:cs="Calibri"/>
          <w:b w:val="0"/>
          <w:bCs w:val="0"/>
          <w:sz w:val="24"/>
          <w:szCs w:val="24"/>
        </w:rPr>
        <w:t>kDa</w:t>
      </w:r>
      <w:r w:rsidR="00465105" w:rsidRPr="008376FB">
        <w:rPr>
          <w:rStyle w:val="Strong"/>
          <w:rFonts w:ascii="Calibri" w:hAnsi="Calibri" w:cs="Calibri"/>
          <w:b w:val="0"/>
          <w:bCs w:val="0"/>
          <w:sz w:val="24"/>
          <w:szCs w:val="24"/>
        </w:rPr>
        <w:t xml:space="preserve"> + HRP + Mannitol</w:t>
      </w:r>
      <w:r w:rsidR="003C2AAF" w:rsidRPr="008376FB">
        <w:rPr>
          <w:rStyle w:val="Strong"/>
          <w:rFonts w:ascii="Calibri" w:hAnsi="Calibri" w:cs="Calibri"/>
          <w:b w:val="0"/>
          <w:bCs w:val="0"/>
          <w:sz w:val="24"/>
          <w:szCs w:val="24"/>
        </w:rPr>
        <w:t xml:space="preserve"> solution</w:t>
      </w:r>
      <w:r w:rsidR="00465105" w:rsidRPr="008376FB">
        <w:rPr>
          <w:rStyle w:val="Strong"/>
          <w:rFonts w:ascii="Calibri" w:hAnsi="Calibri" w:cs="Calibri"/>
          <w:b w:val="0"/>
          <w:bCs w:val="0"/>
          <w:sz w:val="24"/>
          <w:szCs w:val="24"/>
        </w:rPr>
        <w:t xml:space="preserve"> as described </w:t>
      </w:r>
      <w:r w:rsidR="00AA0E2D" w:rsidRPr="008376FB">
        <w:rPr>
          <w:rStyle w:val="Strong"/>
          <w:rFonts w:ascii="Calibri" w:hAnsi="Calibri" w:cs="Calibri"/>
          <w:b w:val="0"/>
          <w:bCs w:val="0"/>
          <w:sz w:val="24"/>
          <w:szCs w:val="24"/>
        </w:rPr>
        <w:t xml:space="preserve">in </w:t>
      </w:r>
      <w:r w:rsidR="00AA0E2D" w:rsidRPr="008376FB">
        <w:rPr>
          <w:rStyle w:val="Strong"/>
          <w:rFonts w:ascii="Calibri" w:hAnsi="Calibri" w:cs="Calibri"/>
          <w:sz w:val="24"/>
          <w:szCs w:val="24"/>
        </w:rPr>
        <w:t>Table 4</w:t>
      </w:r>
      <w:r w:rsidR="00544725" w:rsidRPr="008376FB">
        <w:rPr>
          <w:rStyle w:val="Strong"/>
          <w:rFonts w:ascii="Calibri" w:hAnsi="Calibri" w:cs="Calibri"/>
          <w:sz w:val="24"/>
          <w:szCs w:val="24"/>
        </w:rPr>
        <w:t>.</w:t>
      </w:r>
    </w:p>
    <w:p w14:paraId="21677A2B"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0D12216E" w14:textId="7505953C" w:rsidR="003C2AAF" w:rsidRPr="008376FB" w:rsidRDefault="00D277B3" w:rsidP="001654C4">
      <w:pPr>
        <w:pStyle w:val="Caption"/>
        <w:spacing w:after="0"/>
        <w:jc w:val="both"/>
        <w:rPr>
          <w:rFonts w:ascii="Calibri" w:hAnsi="Calibri" w:cs="Calibri"/>
          <w:i w:val="0"/>
          <w:iCs w:val="0"/>
          <w:color w:val="auto"/>
          <w:sz w:val="24"/>
          <w:szCs w:val="24"/>
        </w:rPr>
      </w:pPr>
      <w:r w:rsidRPr="008376FB">
        <w:rPr>
          <w:rFonts w:ascii="Calibri" w:hAnsi="Calibri" w:cs="Calibri"/>
          <w:i w:val="0"/>
          <w:iCs w:val="0"/>
          <w:color w:val="auto"/>
          <w:sz w:val="24"/>
          <w:szCs w:val="24"/>
        </w:rPr>
        <w:t>[</w:t>
      </w:r>
      <w:r w:rsidR="005B22D2" w:rsidRPr="008376FB">
        <w:rPr>
          <w:rFonts w:ascii="Calibri" w:hAnsi="Calibri" w:cs="Calibri"/>
          <w:i w:val="0"/>
          <w:iCs w:val="0"/>
          <w:color w:val="auto"/>
          <w:sz w:val="24"/>
          <w:szCs w:val="24"/>
        </w:rPr>
        <w:t xml:space="preserve">insert </w:t>
      </w:r>
      <w:r w:rsidR="005B22D2" w:rsidRPr="008376FB">
        <w:rPr>
          <w:rFonts w:ascii="Calibri" w:hAnsi="Calibri" w:cs="Calibri"/>
          <w:b/>
          <w:bCs/>
          <w:i w:val="0"/>
          <w:iCs w:val="0"/>
          <w:color w:val="auto"/>
          <w:sz w:val="24"/>
          <w:szCs w:val="24"/>
        </w:rPr>
        <w:t>Table 4</w:t>
      </w:r>
      <w:r w:rsidR="005B22D2" w:rsidRPr="008376FB">
        <w:rPr>
          <w:rFonts w:ascii="Calibri" w:hAnsi="Calibri" w:cs="Calibri"/>
          <w:i w:val="0"/>
          <w:iCs w:val="0"/>
          <w:color w:val="auto"/>
          <w:sz w:val="24"/>
          <w:szCs w:val="24"/>
        </w:rPr>
        <w:t xml:space="preserve"> here</w:t>
      </w:r>
      <w:r w:rsidRPr="008376FB">
        <w:rPr>
          <w:rFonts w:ascii="Calibri" w:hAnsi="Calibri" w:cs="Calibri"/>
          <w:i w:val="0"/>
          <w:iCs w:val="0"/>
          <w:color w:val="auto"/>
          <w:sz w:val="24"/>
          <w:szCs w:val="24"/>
        </w:rPr>
        <w:t>]</w:t>
      </w:r>
    </w:p>
    <w:p w14:paraId="1CC0D7FB" w14:textId="77777777" w:rsidR="008376FB" w:rsidRPr="008376FB" w:rsidRDefault="008376FB" w:rsidP="001654C4">
      <w:pPr>
        <w:spacing w:after="0" w:line="240" w:lineRule="auto"/>
        <w:jc w:val="both"/>
        <w:rPr>
          <w:rFonts w:ascii="Calibri" w:hAnsi="Calibri" w:cs="Calibri"/>
          <w:sz w:val="24"/>
          <w:szCs w:val="24"/>
        </w:rPr>
      </w:pPr>
    </w:p>
    <w:p w14:paraId="3951708B" w14:textId="4B00C86E" w:rsidR="00632532" w:rsidRPr="008376FB" w:rsidRDefault="005B22D2" w:rsidP="001654C4">
      <w:pPr>
        <w:keepNext/>
        <w:spacing w:after="0" w:line="240" w:lineRule="auto"/>
        <w:jc w:val="both"/>
        <w:rPr>
          <w:rFonts w:ascii="Calibri" w:hAnsi="Calibri" w:cs="Calibri"/>
          <w:sz w:val="24"/>
          <w:szCs w:val="24"/>
        </w:rPr>
      </w:pPr>
      <w:r w:rsidRPr="008376FB">
        <w:rPr>
          <w:rFonts w:ascii="Calibri" w:hAnsi="Calibri" w:cs="Calibri"/>
          <w:sz w:val="24"/>
          <w:szCs w:val="24"/>
        </w:rPr>
        <w:t xml:space="preserve">[insert </w:t>
      </w:r>
      <w:r w:rsidRPr="008376FB">
        <w:rPr>
          <w:rFonts w:ascii="Calibri" w:hAnsi="Calibri" w:cs="Calibri"/>
          <w:b/>
          <w:bCs/>
          <w:sz w:val="24"/>
          <w:szCs w:val="24"/>
        </w:rPr>
        <w:t>Figure 4</w:t>
      </w:r>
      <w:r w:rsidRPr="008376FB">
        <w:rPr>
          <w:rFonts w:ascii="Calibri" w:hAnsi="Calibri" w:cs="Calibri"/>
          <w:sz w:val="24"/>
          <w:szCs w:val="24"/>
        </w:rPr>
        <w:t xml:space="preserve"> here]</w:t>
      </w:r>
    </w:p>
    <w:p w14:paraId="073E8F1F" w14:textId="77777777" w:rsidR="008376FB" w:rsidRPr="008376FB" w:rsidRDefault="008376FB" w:rsidP="001654C4">
      <w:pPr>
        <w:keepNext/>
        <w:spacing w:after="0" w:line="240" w:lineRule="auto"/>
        <w:jc w:val="both"/>
        <w:rPr>
          <w:rFonts w:ascii="Calibri" w:hAnsi="Calibri" w:cs="Calibri"/>
          <w:sz w:val="24"/>
          <w:szCs w:val="24"/>
        </w:rPr>
      </w:pPr>
    </w:p>
    <w:p w14:paraId="281D6DEC" w14:textId="08BA692A" w:rsidR="00BA4A56" w:rsidRPr="008376FB" w:rsidRDefault="00A436F0" w:rsidP="001654C4">
      <w:pPr>
        <w:pStyle w:val="ListParagraph"/>
        <w:numPr>
          <w:ilvl w:val="1"/>
          <w:numId w:val="1"/>
        </w:numPr>
        <w:spacing w:after="0" w:line="240" w:lineRule="auto"/>
        <w:ind w:left="0" w:firstLine="0"/>
        <w:jc w:val="both"/>
        <w:rPr>
          <w:rFonts w:ascii="Calibri" w:hAnsi="Calibri" w:cs="Calibri"/>
          <w:sz w:val="24"/>
          <w:szCs w:val="24"/>
        </w:rPr>
      </w:pPr>
      <w:r w:rsidRPr="008376FB">
        <w:rPr>
          <w:rFonts w:ascii="Calibri" w:hAnsi="Calibri" w:cs="Calibri"/>
          <w:sz w:val="24"/>
          <w:szCs w:val="24"/>
        </w:rPr>
        <w:t>Starting the c</w:t>
      </w:r>
      <w:r w:rsidR="00902495" w:rsidRPr="008376FB">
        <w:rPr>
          <w:rFonts w:ascii="Calibri" w:hAnsi="Calibri" w:cs="Calibri"/>
          <w:sz w:val="24"/>
          <w:szCs w:val="24"/>
        </w:rPr>
        <w:t>olonic</w:t>
      </w:r>
      <w:r w:rsidR="00BA4A56" w:rsidRPr="008376FB">
        <w:rPr>
          <w:rFonts w:ascii="Calibri" w:hAnsi="Calibri" w:cs="Calibri"/>
          <w:sz w:val="24"/>
          <w:szCs w:val="24"/>
        </w:rPr>
        <w:t xml:space="preserve"> permeability assay</w:t>
      </w:r>
    </w:p>
    <w:p w14:paraId="11A94FED"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61027B1E" w14:textId="77777777" w:rsidR="00092195" w:rsidRPr="008376FB" w:rsidRDefault="00092195" w:rsidP="001654C4">
      <w:pPr>
        <w:pStyle w:val="ListParagraph"/>
        <w:numPr>
          <w:ilvl w:val="0"/>
          <w:numId w:val="18"/>
        </w:numPr>
        <w:spacing w:after="0" w:line="240" w:lineRule="auto"/>
        <w:ind w:left="0" w:firstLine="0"/>
        <w:jc w:val="both"/>
        <w:rPr>
          <w:rFonts w:ascii="Calibri" w:hAnsi="Calibri" w:cs="Calibri"/>
          <w:vanish/>
          <w:sz w:val="24"/>
          <w:szCs w:val="24"/>
        </w:rPr>
      </w:pPr>
    </w:p>
    <w:p w14:paraId="4B558C28" w14:textId="77777777" w:rsidR="00092195" w:rsidRPr="008376FB" w:rsidRDefault="00092195" w:rsidP="001654C4">
      <w:pPr>
        <w:pStyle w:val="ListParagraph"/>
        <w:numPr>
          <w:ilvl w:val="0"/>
          <w:numId w:val="18"/>
        </w:numPr>
        <w:spacing w:after="0" w:line="240" w:lineRule="auto"/>
        <w:ind w:left="0" w:firstLine="0"/>
        <w:jc w:val="both"/>
        <w:rPr>
          <w:rFonts w:ascii="Calibri" w:hAnsi="Calibri" w:cs="Calibri"/>
          <w:vanish/>
          <w:sz w:val="24"/>
          <w:szCs w:val="24"/>
        </w:rPr>
      </w:pPr>
    </w:p>
    <w:p w14:paraId="7E374171" w14:textId="77777777" w:rsidR="00092195" w:rsidRPr="008376FB" w:rsidRDefault="00092195" w:rsidP="001654C4">
      <w:pPr>
        <w:pStyle w:val="ListParagraph"/>
        <w:numPr>
          <w:ilvl w:val="0"/>
          <w:numId w:val="18"/>
        </w:numPr>
        <w:spacing w:after="0" w:line="240" w:lineRule="auto"/>
        <w:ind w:left="0" w:firstLine="0"/>
        <w:jc w:val="both"/>
        <w:rPr>
          <w:rFonts w:ascii="Calibri" w:hAnsi="Calibri" w:cs="Calibri"/>
          <w:vanish/>
          <w:sz w:val="24"/>
          <w:szCs w:val="24"/>
        </w:rPr>
      </w:pPr>
    </w:p>
    <w:p w14:paraId="47E1019B" w14:textId="77777777" w:rsidR="00092195" w:rsidRPr="008376FB" w:rsidRDefault="00092195" w:rsidP="001654C4">
      <w:pPr>
        <w:pStyle w:val="ListParagraph"/>
        <w:numPr>
          <w:ilvl w:val="1"/>
          <w:numId w:val="18"/>
        </w:numPr>
        <w:spacing w:after="0" w:line="240" w:lineRule="auto"/>
        <w:ind w:left="0" w:firstLine="0"/>
        <w:jc w:val="both"/>
        <w:rPr>
          <w:rFonts w:ascii="Calibri" w:hAnsi="Calibri" w:cs="Calibri"/>
          <w:vanish/>
          <w:sz w:val="24"/>
          <w:szCs w:val="24"/>
        </w:rPr>
      </w:pPr>
    </w:p>
    <w:p w14:paraId="1C8447E3" w14:textId="77777777" w:rsidR="00092195" w:rsidRPr="008376FB" w:rsidRDefault="00092195" w:rsidP="001654C4">
      <w:pPr>
        <w:pStyle w:val="ListParagraph"/>
        <w:numPr>
          <w:ilvl w:val="1"/>
          <w:numId w:val="18"/>
        </w:numPr>
        <w:spacing w:after="0" w:line="240" w:lineRule="auto"/>
        <w:ind w:left="0" w:firstLine="0"/>
        <w:jc w:val="both"/>
        <w:rPr>
          <w:rFonts w:ascii="Calibri" w:hAnsi="Calibri" w:cs="Calibri"/>
          <w:vanish/>
          <w:sz w:val="24"/>
          <w:szCs w:val="24"/>
        </w:rPr>
      </w:pPr>
    </w:p>
    <w:p w14:paraId="284B4592" w14:textId="06C0C405" w:rsidR="003C2AAF" w:rsidRPr="008376FB" w:rsidRDefault="00465105" w:rsidP="001654C4">
      <w:pPr>
        <w:pStyle w:val="ListParagraph"/>
        <w:numPr>
          <w:ilvl w:val="2"/>
          <w:numId w:val="18"/>
        </w:numPr>
        <w:spacing w:after="0" w:line="240" w:lineRule="auto"/>
        <w:ind w:left="0" w:firstLine="0"/>
        <w:jc w:val="both"/>
        <w:rPr>
          <w:rStyle w:val="Strong"/>
          <w:rFonts w:ascii="Calibri" w:hAnsi="Calibri" w:cs="Calibri"/>
          <w:b w:val="0"/>
          <w:bCs w:val="0"/>
          <w:sz w:val="24"/>
          <w:szCs w:val="24"/>
        </w:rPr>
      </w:pPr>
      <w:r w:rsidRPr="008376FB">
        <w:rPr>
          <w:rFonts w:ascii="Calibri" w:hAnsi="Calibri" w:cs="Calibri"/>
          <w:sz w:val="24"/>
          <w:szCs w:val="24"/>
        </w:rPr>
        <w:t xml:space="preserve">Once </w:t>
      </w:r>
      <w:r w:rsidR="00B63501" w:rsidRPr="008376FB">
        <w:rPr>
          <w:rFonts w:ascii="Calibri" w:hAnsi="Calibri" w:cs="Calibri"/>
          <w:sz w:val="24"/>
          <w:szCs w:val="24"/>
        </w:rPr>
        <w:t>equilibrium of the system is reached</w:t>
      </w:r>
      <w:r w:rsidRPr="008376FB">
        <w:rPr>
          <w:rFonts w:ascii="Calibri" w:hAnsi="Calibri" w:cs="Calibri"/>
          <w:sz w:val="24"/>
          <w:szCs w:val="24"/>
        </w:rPr>
        <w:t xml:space="preserve">, replace 200 µL </w:t>
      </w:r>
      <w:r w:rsidR="003C2AAF" w:rsidRPr="008376FB">
        <w:rPr>
          <w:rFonts w:ascii="Calibri" w:hAnsi="Calibri" w:cs="Calibri"/>
          <w:sz w:val="24"/>
          <w:szCs w:val="24"/>
        </w:rPr>
        <w:t>of K</w:t>
      </w:r>
      <w:r w:rsidR="00F5780E" w:rsidRPr="008376FB">
        <w:rPr>
          <w:rFonts w:ascii="Calibri" w:hAnsi="Calibri" w:cs="Calibri"/>
          <w:sz w:val="24"/>
          <w:szCs w:val="24"/>
        </w:rPr>
        <w:t>rebs-</w:t>
      </w:r>
      <w:r w:rsidR="003C2AAF" w:rsidRPr="008376FB">
        <w:rPr>
          <w:rFonts w:ascii="Calibri" w:hAnsi="Calibri" w:cs="Calibri"/>
          <w:sz w:val="24"/>
          <w:szCs w:val="24"/>
        </w:rPr>
        <w:t xml:space="preserve">Mannitol from the </w:t>
      </w:r>
      <w:r w:rsidR="00C337C4" w:rsidRPr="008376FB">
        <w:rPr>
          <w:rFonts w:ascii="Calibri" w:hAnsi="Calibri" w:cs="Calibri"/>
          <w:sz w:val="24"/>
          <w:szCs w:val="24"/>
        </w:rPr>
        <w:t>apical</w:t>
      </w:r>
      <w:r w:rsidR="003C2AAF" w:rsidRPr="008376FB">
        <w:rPr>
          <w:rFonts w:ascii="Calibri" w:hAnsi="Calibri" w:cs="Calibri"/>
          <w:sz w:val="24"/>
          <w:szCs w:val="24"/>
        </w:rPr>
        <w:t xml:space="preserve"> compartment (left) with 200 µL of </w:t>
      </w:r>
      <w:r w:rsidR="003C2AAF" w:rsidRPr="008376FB">
        <w:rPr>
          <w:rStyle w:val="Strong"/>
          <w:rFonts w:ascii="Calibri" w:hAnsi="Calibri" w:cs="Calibri"/>
          <w:b w:val="0"/>
          <w:bCs w:val="0"/>
          <w:sz w:val="24"/>
          <w:szCs w:val="24"/>
        </w:rPr>
        <w:t xml:space="preserve">FITC 4Kd + HRP + Mannitol solution and immediately start a timer. Wash </w:t>
      </w:r>
      <w:r w:rsidR="00016614" w:rsidRPr="008376FB">
        <w:rPr>
          <w:rStyle w:val="Strong"/>
          <w:rFonts w:ascii="Calibri" w:hAnsi="Calibri" w:cs="Calibri"/>
          <w:b w:val="0"/>
          <w:bCs w:val="0"/>
          <w:sz w:val="24"/>
          <w:szCs w:val="24"/>
        </w:rPr>
        <w:t>the</w:t>
      </w:r>
      <w:r w:rsidR="003C2AAF" w:rsidRPr="008376FB">
        <w:rPr>
          <w:rStyle w:val="Strong"/>
          <w:rFonts w:ascii="Calibri" w:hAnsi="Calibri" w:cs="Calibri"/>
          <w:b w:val="0"/>
          <w:bCs w:val="0"/>
          <w:sz w:val="24"/>
          <w:szCs w:val="24"/>
        </w:rPr>
        <w:t xml:space="preserve"> tip by doing gentle ups and downs in the compartment and discard </w:t>
      </w:r>
      <w:r w:rsidR="006A7724">
        <w:rPr>
          <w:rStyle w:val="Strong"/>
          <w:rFonts w:ascii="Calibri" w:hAnsi="Calibri" w:cs="Calibri"/>
          <w:b w:val="0"/>
          <w:bCs w:val="0"/>
          <w:sz w:val="24"/>
          <w:szCs w:val="24"/>
        </w:rPr>
        <w:t xml:space="preserve">the </w:t>
      </w:r>
      <w:r w:rsidR="003C2AAF" w:rsidRPr="008376FB">
        <w:rPr>
          <w:rStyle w:val="Strong"/>
          <w:rFonts w:ascii="Calibri" w:hAnsi="Calibri" w:cs="Calibri"/>
          <w:b w:val="0"/>
          <w:bCs w:val="0"/>
          <w:sz w:val="24"/>
          <w:szCs w:val="24"/>
        </w:rPr>
        <w:t>tip between each chamber.</w:t>
      </w:r>
    </w:p>
    <w:p w14:paraId="42B9EA04" w14:textId="77777777" w:rsidR="008376FB" w:rsidRPr="008376FB" w:rsidRDefault="008376FB" w:rsidP="001654C4">
      <w:pPr>
        <w:pStyle w:val="ListParagraph"/>
        <w:spacing w:after="0" w:line="240" w:lineRule="auto"/>
        <w:ind w:left="0"/>
        <w:jc w:val="both"/>
        <w:rPr>
          <w:rStyle w:val="Strong"/>
          <w:rFonts w:ascii="Calibri" w:hAnsi="Calibri" w:cs="Calibri"/>
          <w:b w:val="0"/>
          <w:bCs w:val="0"/>
          <w:sz w:val="24"/>
          <w:szCs w:val="24"/>
        </w:rPr>
      </w:pPr>
    </w:p>
    <w:p w14:paraId="105F0CFE" w14:textId="39041480" w:rsidR="00465105" w:rsidRPr="008376FB" w:rsidRDefault="002F6EF8" w:rsidP="001654C4">
      <w:pPr>
        <w:pStyle w:val="ListParagraph"/>
        <w:numPr>
          <w:ilvl w:val="2"/>
          <w:numId w:val="18"/>
        </w:numPr>
        <w:spacing w:after="0" w:line="240" w:lineRule="auto"/>
        <w:ind w:left="0" w:firstLine="0"/>
        <w:jc w:val="both"/>
        <w:rPr>
          <w:rFonts w:ascii="Calibri" w:hAnsi="Calibri" w:cs="Calibri"/>
          <w:sz w:val="24"/>
          <w:szCs w:val="24"/>
        </w:rPr>
      </w:pPr>
      <w:r w:rsidRPr="008376FB">
        <w:rPr>
          <w:rStyle w:val="Strong"/>
          <w:rFonts w:ascii="Calibri" w:hAnsi="Calibri" w:cs="Calibri"/>
          <w:b w:val="0"/>
          <w:bCs w:val="0"/>
          <w:sz w:val="24"/>
          <w:szCs w:val="24"/>
        </w:rPr>
        <w:t>For each chamber, c</w:t>
      </w:r>
      <w:r w:rsidR="003C2AAF" w:rsidRPr="008376FB">
        <w:rPr>
          <w:rStyle w:val="Strong"/>
          <w:rFonts w:ascii="Calibri" w:hAnsi="Calibri" w:cs="Calibri"/>
          <w:b w:val="0"/>
          <w:bCs w:val="0"/>
          <w:sz w:val="24"/>
          <w:szCs w:val="24"/>
        </w:rPr>
        <w:t xml:space="preserve">ollect 2 x 100 </w:t>
      </w:r>
      <w:r w:rsidR="003C2AAF" w:rsidRPr="008376FB">
        <w:rPr>
          <w:rFonts w:ascii="Calibri" w:hAnsi="Calibri" w:cs="Calibri"/>
          <w:sz w:val="24"/>
          <w:szCs w:val="24"/>
        </w:rPr>
        <w:t>µL (duplicate</w:t>
      </w:r>
      <w:r w:rsidR="00FE60DE" w:rsidRPr="008376FB">
        <w:rPr>
          <w:rFonts w:ascii="Calibri" w:hAnsi="Calibri" w:cs="Calibri"/>
          <w:sz w:val="24"/>
          <w:szCs w:val="24"/>
        </w:rPr>
        <w:t>s</w:t>
      </w:r>
      <w:r w:rsidR="003C2AAF" w:rsidRPr="008376FB">
        <w:rPr>
          <w:rFonts w:ascii="Calibri" w:hAnsi="Calibri" w:cs="Calibri"/>
          <w:sz w:val="24"/>
          <w:szCs w:val="24"/>
        </w:rPr>
        <w:t xml:space="preserve">) from the </w:t>
      </w:r>
      <w:r w:rsidR="004707DF" w:rsidRPr="008376FB">
        <w:rPr>
          <w:rFonts w:ascii="Calibri" w:hAnsi="Calibri" w:cs="Calibri"/>
          <w:sz w:val="24"/>
          <w:szCs w:val="24"/>
        </w:rPr>
        <w:t>basal</w:t>
      </w:r>
      <w:r w:rsidR="003C2AAF" w:rsidRPr="008376FB">
        <w:rPr>
          <w:rFonts w:ascii="Calibri" w:hAnsi="Calibri" w:cs="Calibri"/>
          <w:sz w:val="24"/>
          <w:szCs w:val="24"/>
        </w:rPr>
        <w:t xml:space="preserve"> (right) compartment and</w:t>
      </w:r>
      <w:r w:rsidRPr="008376FB">
        <w:rPr>
          <w:rFonts w:ascii="Calibri" w:hAnsi="Calibri" w:cs="Calibri"/>
          <w:sz w:val="24"/>
          <w:szCs w:val="24"/>
        </w:rPr>
        <w:t xml:space="preserve"> deposit the volumes in a bl</w:t>
      </w:r>
      <w:r w:rsidR="009B477F" w:rsidRPr="008376FB">
        <w:rPr>
          <w:rFonts w:ascii="Calibri" w:hAnsi="Calibri" w:cs="Calibri"/>
          <w:sz w:val="24"/>
          <w:szCs w:val="24"/>
        </w:rPr>
        <w:t>a</w:t>
      </w:r>
      <w:r w:rsidRPr="008376FB">
        <w:rPr>
          <w:rFonts w:ascii="Calibri" w:hAnsi="Calibri" w:cs="Calibri"/>
          <w:sz w:val="24"/>
          <w:szCs w:val="24"/>
        </w:rPr>
        <w:t>ck 96-well plate.</w:t>
      </w:r>
      <w:r w:rsidR="00FE60DE" w:rsidRPr="008376FB">
        <w:rPr>
          <w:rFonts w:ascii="Calibri" w:hAnsi="Calibri" w:cs="Calibri"/>
          <w:sz w:val="24"/>
          <w:szCs w:val="24"/>
        </w:rPr>
        <w:t xml:space="preserve"> Cover the plate with</w:t>
      </w:r>
      <w:r w:rsidR="009B477F" w:rsidRPr="008376FB">
        <w:rPr>
          <w:rFonts w:ascii="Calibri" w:hAnsi="Calibri" w:cs="Calibri"/>
          <w:sz w:val="24"/>
          <w:szCs w:val="24"/>
        </w:rPr>
        <w:t xml:space="preserve"> </w:t>
      </w:r>
      <w:r w:rsidR="00FE60DE" w:rsidRPr="008376FB">
        <w:rPr>
          <w:rFonts w:ascii="Calibri" w:hAnsi="Calibri" w:cs="Calibri"/>
          <w:sz w:val="24"/>
          <w:szCs w:val="24"/>
        </w:rPr>
        <w:t>aluminum</w:t>
      </w:r>
      <w:r w:rsidR="009B477F" w:rsidRPr="008376FB">
        <w:rPr>
          <w:rFonts w:ascii="Calibri" w:hAnsi="Calibri" w:cs="Calibri"/>
          <w:sz w:val="24"/>
          <w:szCs w:val="24"/>
        </w:rPr>
        <w:t xml:space="preserve"> foil</w:t>
      </w:r>
      <w:r w:rsidR="00FE60DE" w:rsidRPr="008376FB">
        <w:rPr>
          <w:rFonts w:ascii="Calibri" w:hAnsi="Calibri" w:cs="Calibri"/>
          <w:sz w:val="24"/>
          <w:szCs w:val="24"/>
        </w:rPr>
        <w:t xml:space="preserve"> to avoid photodegradation of the FITC present in the </w:t>
      </w:r>
      <w:r w:rsidR="009B477F" w:rsidRPr="008376FB">
        <w:rPr>
          <w:rFonts w:ascii="Calibri" w:hAnsi="Calibri" w:cs="Calibri"/>
          <w:sz w:val="24"/>
          <w:szCs w:val="24"/>
        </w:rPr>
        <w:t>plate</w:t>
      </w:r>
      <w:r w:rsidR="00544725" w:rsidRPr="008376FB">
        <w:rPr>
          <w:rFonts w:ascii="Calibri" w:hAnsi="Calibri" w:cs="Calibri"/>
          <w:sz w:val="24"/>
          <w:szCs w:val="24"/>
        </w:rPr>
        <w:t>.</w:t>
      </w:r>
    </w:p>
    <w:p w14:paraId="26EEADD4"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78496434" w14:textId="44866BF7" w:rsidR="002F6EF8" w:rsidRPr="008376FB" w:rsidRDefault="002F6EF8" w:rsidP="001654C4">
      <w:pPr>
        <w:pStyle w:val="ListParagraph"/>
        <w:numPr>
          <w:ilvl w:val="2"/>
          <w:numId w:val="18"/>
        </w:numPr>
        <w:spacing w:after="0" w:line="240" w:lineRule="auto"/>
        <w:ind w:left="0" w:firstLine="0"/>
        <w:jc w:val="both"/>
        <w:rPr>
          <w:rFonts w:ascii="Calibri" w:hAnsi="Calibri" w:cs="Calibri"/>
          <w:sz w:val="24"/>
          <w:szCs w:val="24"/>
        </w:rPr>
      </w:pPr>
      <w:r w:rsidRPr="008376FB">
        <w:rPr>
          <w:rFonts w:ascii="Calibri" w:hAnsi="Calibri" w:cs="Calibri"/>
          <w:sz w:val="24"/>
          <w:szCs w:val="24"/>
        </w:rPr>
        <w:t xml:space="preserve">Immediately replace the 200 µL </w:t>
      </w:r>
      <w:r w:rsidR="00016614" w:rsidRPr="008376FB">
        <w:rPr>
          <w:rFonts w:ascii="Calibri" w:hAnsi="Calibri" w:cs="Calibri"/>
          <w:sz w:val="24"/>
          <w:szCs w:val="24"/>
        </w:rPr>
        <w:t xml:space="preserve">previously </w:t>
      </w:r>
      <w:r w:rsidRPr="008376FB">
        <w:rPr>
          <w:rFonts w:ascii="Calibri" w:hAnsi="Calibri" w:cs="Calibri"/>
          <w:sz w:val="24"/>
          <w:szCs w:val="24"/>
        </w:rPr>
        <w:t>collected with 200 µL of fresh K</w:t>
      </w:r>
      <w:r w:rsidR="004707DF" w:rsidRPr="008376FB">
        <w:rPr>
          <w:rFonts w:ascii="Calibri" w:hAnsi="Calibri" w:cs="Calibri"/>
          <w:sz w:val="24"/>
          <w:szCs w:val="24"/>
        </w:rPr>
        <w:t>rebs-</w:t>
      </w:r>
      <w:r w:rsidRPr="008376FB">
        <w:rPr>
          <w:rFonts w:ascii="Calibri" w:hAnsi="Calibri" w:cs="Calibri"/>
          <w:sz w:val="24"/>
          <w:szCs w:val="24"/>
        </w:rPr>
        <w:t>Glucose.</w:t>
      </w:r>
    </w:p>
    <w:p w14:paraId="668C08F4"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1127BCFE" w14:textId="4B34245E" w:rsidR="00267C5B" w:rsidRPr="008376FB" w:rsidRDefault="002F6EF8" w:rsidP="001654C4">
      <w:pPr>
        <w:pStyle w:val="ListParagraph"/>
        <w:numPr>
          <w:ilvl w:val="2"/>
          <w:numId w:val="18"/>
        </w:numPr>
        <w:spacing w:after="0" w:line="240" w:lineRule="auto"/>
        <w:ind w:left="0" w:firstLine="0"/>
        <w:jc w:val="both"/>
        <w:rPr>
          <w:rStyle w:val="Strong"/>
          <w:rFonts w:ascii="Calibri" w:hAnsi="Calibri" w:cs="Calibri"/>
          <w:b w:val="0"/>
          <w:bCs w:val="0"/>
          <w:sz w:val="24"/>
          <w:szCs w:val="24"/>
        </w:rPr>
      </w:pPr>
      <w:r w:rsidRPr="008376FB">
        <w:rPr>
          <w:rFonts w:ascii="Calibri" w:hAnsi="Calibri" w:cs="Calibri"/>
          <w:sz w:val="24"/>
          <w:szCs w:val="24"/>
        </w:rPr>
        <w:t xml:space="preserve">Repeat the steps (2) and (3) every 30 min until </w:t>
      </w:r>
      <w:r w:rsidR="00016614" w:rsidRPr="008376FB">
        <w:rPr>
          <w:rFonts w:ascii="Calibri" w:hAnsi="Calibri" w:cs="Calibri"/>
          <w:sz w:val="24"/>
          <w:szCs w:val="24"/>
        </w:rPr>
        <w:t>the 2 h time-point is reached</w:t>
      </w:r>
      <w:r w:rsidRPr="008376FB">
        <w:rPr>
          <w:rFonts w:ascii="Calibri" w:hAnsi="Calibri" w:cs="Calibri"/>
          <w:sz w:val="24"/>
          <w:szCs w:val="24"/>
        </w:rPr>
        <w:t xml:space="preserve">, </w:t>
      </w:r>
      <w:r w:rsidR="00485724" w:rsidRPr="008376FB">
        <w:rPr>
          <w:rFonts w:ascii="Calibri" w:hAnsi="Calibri" w:cs="Calibri"/>
          <w:sz w:val="24"/>
          <w:szCs w:val="24"/>
        </w:rPr>
        <w:t>to obtain the time-points</w:t>
      </w:r>
      <w:r w:rsidRPr="008376FB">
        <w:rPr>
          <w:rFonts w:ascii="Calibri" w:hAnsi="Calibri" w:cs="Calibri"/>
          <w:sz w:val="24"/>
          <w:szCs w:val="24"/>
        </w:rPr>
        <w:t>:</w:t>
      </w:r>
      <w:r w:rsidR="005476DC" w:rsidRPr="008376FB">
        <w:rPr>
          <w:rFonts w:ascii="Calibri" w:hAnsi="Calibri" w:cs="Calibri"/>
          <w:sz w:val="24"/>
          <w:szCs w:val="24"/>
        </w:rPr>
        <w:t xml:space="preserve"> </w:t>
      </w:r>
      <w:r w:rsidRPr="008376FB">
        <w:rPr>
          <w:rStyle w:val="Strong"/>
          <w:rFonts w:ascii="Calibri" w:hAnsi="Calibri" w:cs="Calibri"/>
          <w:sz w:val="24"/>
          <w:szCs w:val="24"/>
        </w:rPr>
        <w:t>T0</w:t>
      </w:r>
      <w:r w:rsidR="005476DC" w:rsidRPr="008376FB">
        <w:rPr>
          <w:rStyle w:val="Strong"/>
          <w:rFonts w:ascii="Calibri" w:hAnsi="Calibri" w:cs="Calibri"/>
          <w:b w:val="0"/>
          <w:bCs w:val="0"/>
          <w:sz w:val="24"/>
          <w:szCs w:val="24"/>
        </w:rPr>
        <w:t>,</w:t>
      </w:r>
      <w:r w:rsidR="005476DC" w:rsidRPr="008376FB">
        <w:rPr>
          <w:rStyle w:val="Strong"/>
          <w:rFonts w:ascii="Calibri" w:hAnsi="Calibri" w:cs="Calibri"/>
          <w:sz w:val="24"/>
          <w:szCs w:val="24"/>
        </w:rPr>
        <w:t xml:space="preserve"> </w:t>
      </w:r>
      <w:r w:rsidRPr="008376FB">
        <w:rPr>
          <w:rStyle w:val="Strong"/>
          <w:rFonts w:ascii="Calibri" w:hAnsi="Calibri" w:cs="Calibri"/>
          <w:sz w:val="24"/>
          <w:szCs w:val="24"/>
        </w:rPr>
        <w:t>T + 30 min</w:t>
      </w:r>
      <w:r w:rsidR="005476DC" w:rsidRPr="008376FB">
        <w:rPr>
          <w:rStyle w:val="Strong"/>
          <w:rFonts w:ascii="Calibri" w:hAnsi="Calibri" w:cs="Calibri"/>
          <w:b w:val="0"/>
          <w:bCs w:val="0"/>
          <w:sz w:val="24"/>
          <w:szCs w:val="24"/>
        </w:rPr>
        <w:t>,</w:t>
      </w:r>
      <w:r w:rsidR="005476DC" w:rsidRPr="008376FB">
        <w:rPr>
          <w:rStyle w:val="Strong"/>
          <w:rFonts w:ascii="Calibri" w:hAnsi="Calibri" w:cs="Calibri"/>
          <w:sz w:val="24"/>
          <w:szCs w:val="24"/>
        </w:rPr>
        <w:t xml:space="preserve"> </w:t>
      </w:r>
      <w:r w:rsidRPr="008376FB">
        <w:rPr>
          <w:rStyle w:val="Strong"/>
          <w:rFonts w:ascii="Calibri" w:hAnsi="Calibri" w:cs="Calibri"/>
          <w:sz w:val="24"/>
          <w:szCs w:val="24"/>
        </w:rPr>
        <w:t>T + 1</w:t>
      </w:r>
      <w:r w:rsidR="005476DC" w:rsidRPr="008376FB">
        <w:rPr>
          <w:rStyle w:val="Strong"/>
          <w:rFonts w:ascii="Calibri" w:hAnsi="Calibri" w:cs="Calibri"/>
          <w:sz w:val="24"/>
          <w:szCs w:val="24"/>
        </w:rPr>
        <w:t xml:space="preserve"> </w:t>
      </w:r>
      <w:r w:rsidRPr="008376FB">
        <w:rPr>
          <w:rStyle w:val="Strong"/>
          <w:rFonts w:ascii="Calibri" w:hAnsi="Calibri" w:cs="Calibri"/>
          <w:sz w:val="24"/>
          <w:szCs w:val="24"/>
        </w:rPr>
        <w:t>h</w:t>
      </w:r>
      <w:r w:rsidR="005476DC" w:rsidRPr="008376FB">
        <w:rPr>
          <w:rStyle w:val="Strong"/>
          <w:rFonts w:ascii="Calibri" w:hAnsi="Calibri" w:cs="Calibri"/>
          <w:b w:val="0"/>
          <w:bCs w:val="0"/>
          <w:sz w:val="24"/>
          <w:szCs w:val="24"/>
        </w:rPr>
        <w:t>,</w:t>
      </w:r>
      <w:r w:rsidR="005476DC" w:rsidRPr="008376FB">
        <w:rPr>
          <w:rStyle w:val="Strong"/>
          <w:rFonts w:ascii="Calibri" w:hAnsi="Calibri" w:cs="Calibri"/>
          <w:sz w:val="24"/>
          <w:szCs w:val="24"/>
        </w:rPr>
        <w:t xml:space="preserve"> </w:t>
      </w:r>
      <w:r w:rsidRPr="008376FB">
        <w:rPr>
          <w:rStyle w:val="Strong"/>
          <w:rFonts w:ascii="Calibri" w:hAnsi="Calibri" w:cs="Calibri"/>
          <w:sz w:val="24"/>
          <w:szCs w:val="24"/>
        </w:rPr>
        <w:t>T +</w:t>
      </w:r>
      <w:r w:rsidR="003D1CC4" w:rsidRPr="008376FB">
        <w:rPr>
          <w:rStyle w:val="Strong"/>
          <w:rFonts w:ascii="Calibri" w:hAnsi="Calibri" w:cs="Calibri"/>
          <w:sz w:val="24"/>
          <w:szCs w:val="24"/>
        </w:rPr>
        <w:t xml:space="preserve"> </w:t>
      </w:r>
      <w:r w:rsidRPr="008376FB">
        <w:rPr>
          <w:rStyle w:val="Strong"/>
          <w:rFonts w:ascii="Calibri" w:hAnsi="Calibri" w:cs="Calibri"/>
          <w:sz w:val="24"/>
          <w:szCs w:val="24"/>
        </w:rPr>
        <w:t>1</w:t>
      </w:r>
      <w:r w:rsidR="005476DC" w:rsidRPr="008376FB">
        <w:rPr>
          <w:rStyle w:val="Strong"/>
          <w:rFonts w:ascii="Calibri" w:hAnsi="Calibri" w:cs="Calibri"/>
          <w:sz w:val="24"/>
          <w:szCs w:val="24"/>
        </w:rPr>
        <w:t xml:space="preserve"> </w:t>
      </w:r>
      <w:r w:rsidRPr="008376FB">
        <w:rPr>
          <w:rStyle w:val="Strong"/>
          <w:rFonts w:ascii="Calibri" w:hAnsi="Calibri" w:cs="Calibri"/>
          <w:sz w:val="24"/>
          <w:szCs w:val="24"/>
        </w:rPr>
        <w:t>h</w:t>
      </w:r>
      <w:r w:rsidR="005476DC" w:rsidRPr="008376FB">
        <w:rPr>
          <w:rStyle w:val="Strong"/>
          <w:rFonts w:ascii="Calibri" w:hAnsi="Calibri" w:cs="Calibri"/>
          <w:sz w:val="24"/>
          <w:szCs w:val="24"/>
        </w:rPr>
        <w:t xml:space="preserve"> </w:t>
      </w:r>
      <w:r w:rsidRPr="008376FB">
        <w:rPr>
          <w:rStyle w:val="Strong"/>
          <w:rFonts w:ascii="Calibri" w:hAnsi="Calibri" w:cs="Calibri"/>
          <w:sz w:val="24"/>
          <w:szCs w:val="24"/>
        </w:rPr>
        <w:t>30</w:t>
      </w:r>
      <w:r w:rsidR="005476DC" w:rsidRPr="008376FB">
        <w:rPr>
          <w:rStyle w:val="Strong"/>
          <w:rFonts w:ascii="Calibri" w:hAnsi="Calibri" w:cs="Calibri"/>
          <w:b w:val="0"/>
          <w:bCs w:val="0"/>
          <w:sz w:val="24"/>
          <w:szCs w:val="24"/>
        </w:rPr>
        <w:t>,</w:t>
      </w:r>
      <w:r w:rsidR="005476DC" w:rsidRPr="008376FB">
        <w:rPr>
          <w:rStyle w:val="Strong"/>
          <w:rFonts w:ascii="Calibri" w:hAnsi="Calibri" w:cs="Calibri"/>
          <w:sz w:val="24"/>
          <w:szCs w:val="24"/>
        </w:rPr>
        <w:t xml:space="preserve"> </w:t>
      </w:r>
      <w:r w:rsidRPr="008376FB">
        <w:rPr>
          <w:rStyle w:val="Strong"/>
          <w:rFonts w:ascii="Calibri" w:hAnsi="Calibri" w:cs="Calibri"/>
          <w:sz w:val="24"/>
          <w:szCs w:val="24"/>
        </w:rPr>
        <w:t>T + 2 h</w:t>
      </w:r>
      <w:r w:rsidR="005476DC" w:rsidRPr="008376FB">
        <w:rPr>
          <w:rStyle w:val="Strong"/>
          <w:rFonts w:ascii="Calibri" w:hAnsi="Calibri" w:cs="Calibri"/>
          <w:b w:val="0"/>
          <w:bCs w:val="0"/>
          <w:sz w:val="24"/>
          <w:szCs w:val="24"/>
        </w:rPr>
        <w:t>.</w:t>
      </w:r>
    </w:p>
    <w:p w14:paraId="51C5677C"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3A9D7A3A" w14:textId="0458E006" w:rsidR="00267C5B" w:rsidRPr="008376FB" w:rsidRDefault="00267C5B" w:rsidP="001654C4">
      <w:pPr>
        <w:pStyle w:val="ListParagraph"/>
        <w:numPr>
          <w:ilvl w:val="2"/>
          <w:numId w:val="18"/>
        </w:numPr>
        <w:spacing w:after="0" w:line="240" w:lineRule="auto"/>
        <w:ind w:left="0" w:firstLine="0"/>
        <w:jc w:val="both"/>
        <w:rPr>
          <w:rFonts w:ascii="Calibri" w:hAnsi="Calibri" w:cs="Calibri"/>
          <w:sz w:val="24"/>
          <w:szCs w:val="24"/>
        </w:rPr>
      </w:pPr>
      <w:r w:rsidRPr="008376FB">
        <w:rPr>
          <w:rFonts w:ascii="Calibri" w:hAnsi="Calibri" w:cs="Calibri"/>
          <w:sz w:val="24"/>
          <w:szCs w:val="24"/>
        </w:rPr>
        <w:t>Seal the plate with aluminum foil to avoid photodegradation of the FITC</w:t>
      </w:r>
      <w:r w:rsidR="00C22CC1" w:rsidRPr="008376FB">
        <w:rPr>
          <w:rFonts w:ascii="Calibri" w:hAnsi="Calibri" w:cs="Calibri"/>
          <w:sz w:val="24"/>
          <w:szCs w:val="24"/>
        </w:rPr>
        <w:t xml:space="preserve"> and proceed to FITC quantification</w:t>
      </w:r>
      <w:r w:rsidR="00544725" w:rsidRPr="008376FB">
        <w:rPr>
          <w:rFonts w:ascii="Calibri" w:hAnsi="Calibri" w:cs="Calibri"/>
          <w:sz w:val="24"/>
          <w:szCs w:val="24"/>
        </w:rPr>
        <w:t>.</w:t>
      </w:r>
    </w:p>
    <w:p w14:paraId="1CCD60D4"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340D447A" w14:textId="616ED157" w:rsidR="00267C5B" w:rsidRPr="008376FB" w:rsidRDefault="00C22CC1" w:rsidP="001654C4">
      <w:pPr>
        <w:pStyle w:val="ListParagraph"/>
        <w:numPr>
          <w:ilvl w:val="0"/>
          <w:numId w:val="18"/>
        </w:numPr>
        <w:spacing w:after="0" w:line="240" w:lineRule="auto"/>
        <w:ind w:left="0" w:firstLine="0"/>
        <w:jc w:val="both"/>
        <w:rPr>
          <w:rFonts w:ascii="Calibri" w:hAnsi="Calibri" w:cs="Calibri"/>
          <w:b/>
          <w:bCs/>
          <w:sz w:val="24"/>
          <w:szCs w:val="24"/>
        </w:rPr>
      </w:pPr>
      <w:r w:rsidRPr="008376FB">
        <w:rPr>
          <w:rFonts w:ascii="Calibri" w:hAnsi="Calibri" w:cs="Calibri"/>
          <w:b/>
          <w:bCs/>
          <w:sz w:val="24"/>
          <w:szCs w:val="24"/>
        </w:rPr>
        <w:t xml:space="preserve">Colonic para-cellular </w:t>
      </w:r>
      <w:r w:rsidR="00375DD8" w:rsidRPr="008376FB">
        <w:rPr>
          <w:rFonts w:ascii="Calibri" w:hAnsi="Calibri" w:cs="Calibri"/>
          <w:b/>
          <w:bCs/>
          <w:sz w:val="24"/>
          <w:szCs w:val="24"/>
        </w:rPr>
        <w:t>permeability</w:t>
      </w:r>
      <w:r w:rsidRPr="008376FB">
        <w:rPr>
          <w:rFonts w:ascii="Calibri" w:hAnsi="Calibri" w:cs="Calibri"/>
          <w:b/>
          <w:bCs/>
          <w:sz w:val="24"/>
          <w:szCs w:val="24"/>
        </w:rPr>
        <w:t xml:space="preserve"> assessment through FITC quantification</w:t>
      </w:r>
    </w:p>
    <w:p w14:paraId="3279E29C" w14:textId="77777777" w:rsidR="008376FB" w:rsidRPr="008376FB" w:rsidRDefault="008376FB" w:rsidP="001654C4">
      <w:pPr>
        <w:spacing w:after="0" w:line="240" w:lineRule="auto"/>
        <w:jc w:val="both"/>
        <w:rPr>
          <w:rFonts w:ascii="Calibri" w:hAnsi="Calibri" w:cs="Calibri"/>
          <w:b/>
          <w:bCs/>
          <w:sz w:val="24"/>
          <w:szCs w:val="24"/>
        </w:rPr>
      </w:pPr>
    </w:p>
    <w:p w14:paraId="67893A5C" w14:textId="77777777" w:rsidR="005476DC" w:rsidRPr="008376FB" w:rsidRDefault="005476DC" w:rsidP="001654C4">
      <w:pPr>
        <w:pStyle w:val="ListParagraph"/>
        <w:numPr>
          <w:ilvl w:val="0"/>
          <w:numId w:val="22"/>
        </w:numPr>
        <w:spacing w:after="0" w:line="240" w:lineRule="auto"/>
        <w:ind w:left="0" w:firstLine="0"/>
        <w:jc w:val="both"/>
        <w:rPr>
          <w:rFonts w:ascii="Calibri" w:hAnsi="Calibri" w:cs="Calibri"/>
          <w:vanish/>
          <w:sz w:val="24"/>
          <w:szCs w:val="24"/>
        </w:rPr>
      </w:pPr>
    </w:p>
    <w:p w14:paraId="48C01A6D" w14:textId="77777777" w:rsidR="005476DC" w:rsidRPr="008376FB" w:rsidRDefault="005476DC" w:rsidP="001654C4">
      <w:pPr>
        <w:pStyle w:val="ListParagraph"/>
        <w:numPr>
          <w:ilvl w:val="0"/>
          <w:numId w:val="22"/>
        </w:numPr>
        <w:spacing w:after="0" w:line="240" w:lineRule="auto"/>
        <w:ind w:left="0" w:firstLine="0"/>
        <w:jc w:val="both"/>
        <w:rPr>
          <w:rFonts w:ascii="Calibri" w:hAnsi="Calibri" w:cs="Calibri"/>
          <w:vanish/>
          <w:sz w:val="24"/>
          <w:szCs w:val="24"/>
        </w:rPr>
      </w:pPr>
    </w:p>
    <w:p w14:paraId="20CC61F7" w14:textId="77777777" w:rsidR="005476DC" w:rsidRPr="008376FB" w:rsidRDefault="005476DC" w:rsidP="001654C4">
      <w:pPr>
        <w:pStyle w:val="ListParagraph"/>
        <w:numPr>
          <w:ilvl w:val="0"/>
          <w:numId w:val="22"/>
        </w:numPr>
        <w:spacing w:after="0" w:line="240" w:lineRule="auto"/>
        <w:ind w:left="0" w:firstLine="0"/>
        <w:jc w:val="both"/>
        <w:rPr>
          <w:rFonts w:ascii="Calibri" w:hAnsi="Calibri" w:cs="Calibri"/>
          <w:vanish/>
          <w:sz w:val="24"/>
          <w:szCs w:val="24"/>
        </w:rPr>
      </w:pPr>
    </w:p>
    <w:p w14:paraId="64F83229" w14:textId="77777777" w:rsidR="005476DC" w:rsidRPr="008376FB" w:rsidRDefault="005476DC" w:rsidP="001654C4">
      <w:pPr>
        <w:pStyle w:val="ListParagraph"/>
        <w:numPr>
          <w:ilvl w:val="0"/>
          <w:numId w:val="22"/>
        </w:numPr>
        <w:spacing w:after="0" w:line="240" w:lineRule="auto"/>
        <w:ind w:left="0" w:firstLine="0"/>
        <w:jc w:val="both"/>
        <w:rPr>
          <w:rFonts w:ascii="Calibri" w:hAnsi="Calibri" w:cs="Calibri"/>
          <w:vanish/>
          <w:sz w:val="24"/>
          <w:szCs w:val="24"/>
        </w:rPr>
      </w:pPr>
    </w:p>
    <w:p w14:paraId="5F31E67C" w14:textId="5BD712C7" w:rsidR="009D3415" w:rsidRPr="008376FB" w:rsidRDefault="00267C5B" w:rsidP="001654C4">
      <w:pPr>
        <w:pStyle w:val="ListParagraph"/>
        <w:numPr>
          <w:ilvl w:val="1"/>
          <w:numId w:val="22"/>
        </w:numPr>
        <w:spacing w:after="0" w:line="240" w:lineRule="auto"/>
        <w:ind w:left="0" w:firstLine="0"/>
        <w:jc w:val="both"/>
        <w:rPr>
          <w:rFonts w:ascii="Calibri" w:hAnsi="Calibri" w:cs="Calibri"/>
          <w:sz w:val="24"/>
          <w:szCs w:val="24"/>
        </w:rPr>
      </w:pPr>
      <w:r w:rsidRPr="008376FB">
        <w:rPr>
          <w:rFonts w:ascii="Calibri" w:hAnsi="Calibri" w:cs="Calibri"/>
          <w:sz w:val="24"/>
          <w:szCs w:val="24"/>
        </w:rPr>
        <w:t>FITC Standards preparation</w:t>
      </w:r>
    </w:p>
    <w:p w14:paraId="18B4EEF5"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3A67D29F" w14:textId="77777777" w:rsidR="008376FB" w:rsidRPr="008376FB" w:rsidRDefault="00267C5B" w:rsidP="001654C4">
      <w:pPr>
        <w:pStyle w:val="ListParagraph"/>
        <w:numPr>
          <w:ilvl w:val="2"/>
          <w:numId w:val="22"/>
        </w:numPr>
        <w:spacing w:after="0" w:line="240" w:lineRule="auto"/>
        <w:ind w:left="0" w:firstLine="0"/>
        <w:jc w:val="both"/>
        <w:rPr>
          <w:rStyle w:val="Heading9Char"/>
          <w:rFonts w:ascii="Calibri" w:eastAsiaTheme="minorHAnsi" w:hAnsi="Calibri" w:cs="Calibri"/>
          <w:color w:val="auto"/>
          <w:sz w:val="24"/>
          <w:szCs w:val="24"/>
        </w:rPr>
      </w:pPr>
      <w:r w:rsidRPr="008376FB">
        <w:rPr>
          <w:rFonts w:ascii="Calibri" w:hAnsi="Calibri" w:cs="Calibri"/>
          <w:sz w:val="24"/>
          <w:szCs w:val="24"/>
        </w:rPr>
        <w:t xml:space="preserve">Dilute the </w:t>
      </w:r>
      <w:r w:rsidRPr="008376FB">
        <w:rPr>
          <w:rStyle w:val="Strong"/>
          <w:rFonts w:ascii="Calibri" w:hAnsi="Calibri" w:cs="Calibri"/>
          <w:b w:val="0"/>
          <w:bCs w:val="0"/>
          <w:sz w:val="24"/>
          <w:szCs w:val="24"/>
        </w:rPr>
        <w:t xml:space="preserve">FITC 4Kd + HRP + Mannitol solution in Krebs-Glucose to prepare the standard dilutions as described </w:t>
      </w:r>
      <w:r w:rsidR="00AA0E2D" w:rsidRPr="008376FB">
        <w:rPr>
          <w:rStyle w:val="Strong"/>
          <w:rFonts w:ascii="Calibri" w:hAnsi="Calibri" w:cs="Calibri"/>
          <w:b w:val="0"/>
          <w:bCs w:val="0"/>
          <w:sz w:val="24"/>
          <w:szCs w:val="24"/>
        </w:rPr>
        <w:t xml:space="preserve">in </w:t>
      </w:r>
      <w:r w:rsidR="00AA0E2D" w:rsidRPr="008376FB">
        <w:rPr>
          <w:rStyle w:val="Strong"/>
          <w:rFonts w:ascii="Calibri" w:hAnsi="Calibri" w:cs="Calibri"/>
          <w:sz w:val="24"/>
          <w:szCs w:val="24"/>
        </w:rPr>
        <w:t>Table 5</w:t>
      </w:r>
      <w:r w:rsidRPr="008376FB">
        <w:rPr>
          <w:rStyle w:val="Heading9Char"/>
          <w:rFonts w:ascii="Calibri" w:hAnsi="Calibri" w:cs="Calibri"/>
          <w:b/>
          <w:bCs/>
          <w:color w:val="auto"/>
          <w:sz w:val="24"/>
          <w:szCs w:val="24"/>
        </w:rPr>
        <w:t xml:space="preserve"> </w:t>
      </w:r>
      <w:r w:rsidR="005D0CEF" w:rsidRPr="008376FB">
        <w:rPr>
          <w:rStyle w:val="Heading9Char"/>
          <w:rFonts w:ascii="Calibri" w:hAnsi="Calibri" w:cs="Calibri"/>
          <w:color w:val="auto"/>
          <w:sz w:val="24"/>
          <w:szCs w:val="24"/>
        </w:rPr>
        <w:t>and</w:t>
      </w:r>
      <w:r w:rsidR="005D0CEF" w:rsidRPr="008376FB">
        <w:rPr>
          <w:rStyle w:val="Heading9Char"/>
          <w:rFonts w:ascii="Calibri" w:hAnsi="Calibri" w:cs="Calibri"/>
          <w:b/>
          <w:bCs/>
          <w:color w:val="auto"/>
          <w:sz w:val="24"/>
          <w:szCs w:val="24"/>
        </w:rPr>
        <w:t xml:space="preserve"> Figure </w:t>
      </w:r>
      <w:r w:rsidR="00326AC0" w:rsidRPr="008376FB">
        <w:rPr>
          <w:rStyle w:val="Heading9Char"/>
          <w:rFonts w:ascii="Calibri" w:hAnsi="Calibri" w:cs="Calibri"/>
          <w:b/>
          <w:bCs/>
          <w:color w:val="auto"/>
          <w:sz w:val="24"/>
          <w:szCs w:val="24"/>
        </w:rPr>
        <w:t>5</w:t>
      </w:r>
      <w:r w:rsidR="00544725" w:rsidRPr="008376FB">
        <w:rPr>
          <w:rStyle w:val="Heading9Char"/>
          <w:rFonts w:ascii="Calibri" w:hAnsi="Calibri" w:cs="Calibri"/>
          <w:color w:val="auto"/>
          <w:sz w:val="24"/>
          <w:szCs w:val="24"/>
        </w:rPr>
        <w:t>.</w:t>
      </w:r>
    </w:p>
    <w:p w14:paraId="0EE77ECC" w14:textId="77777777" w:rsidR="008376FB" w:rsidRPr="008376FB" w:rsidRDefault="009D3415" w:rsidP="001654C4">
      <w:pPr>
        <w:pStyle w:val="ListParagraph"/>
        <w:spacing w:after="0" w:line="240" w:lineRule="auto"/>
        <w:ind w:left="0"/>
        <w:jc w:val="both"/>
        <w:rPr>
          <w:rFonts w:ascii="Calibri" w:hAnsi="Calibri" w:cs="Calibri"/>
          <w:sz w:val="24"/>
          <w:szCs w:val="24"/>
        </w:rPr>
      </w:pPr>
      <w:r w:rsidRPr="008376FB">
        <w:rPr>
          <w:rStyle w:val="Heading9Char"/>
          <w:rFonts w:ascii="Calibri" w:hAnsi="Calibri" w:cs="Calibri"/>
          <w:b/>
          <w:bCs/>
          <w:color w:val="auto"/>
          <w:sz w:val="24"/>
          <w:szCs w:val="24"/>
        </w:rPr>
        <w:lastRenderedPageBreak/>
        <w:br/>
      </w:r>
      <w:r w:rsidR="005B22D2" w:rsidRPr="008376FB">
        <w:rPr>
          <w:rFonts w:ascii="Calibri" w:hAnsi="Calibri" w:cs="Calibri"/>
          <w:sz w:val="24"/>
          <w:szCs w:val="24"/>
        </w:rPr>
        <w:t xml:space="preserve">[insert </w:t>
      </w:r>
      <w:r w:rsidR="005B22D2" w:rsidRPr="008376FB">
        <w:rPr>
          <w:rFonts w:ascii="Calibri" w:hAnsi="Calibri" w:cs="Calibri"/>
          <w:b/>
          <w:bCs/>
          <w:sz w:val="24"/>
          <w:szCs w:val="24"/>
        </w:rPr>
        <w:t>Table 5</w:t>
      </w:r>
      <w:r w:rsidR="005B22D2" w:rsidRPr="008376FB">
        <w:rPr>
          <w:rFonts w:ascii="Calibri" w:hAnsi="Calibri" w:cs="Calibri"/>
          <w:sz w:val="24"/>
          <w:szCs w:val="24"/>
        </w:rPr>
        <w:t xml:space="preserve"> here]</w:t>
      </w:r>
    </w:p>
    <w:p w14:paraId="7C416331" w14:textId="49459EBC" w:rsidR="009D3415" w:rsidRPr="008376FB" w:rsidRDefault="005B22D2" w:rsidP="001654C4">
      <w:pPr>
        <w:pStyle w:val="ListParagraph"/>
        <w:spacing w:after="0" w:line="240" w:lineRule="auto"/>
        <w:ind w:left="0"/>
        <w:jc w:val="both"/>
        <w:rPr>
          <w:rStyle w:val="Strong"/>
          <w:rFonts w:ascii="Calibri" w:hAnsi="Calibri" w:cs="Calibri"/>
          <w:b w:val="0"/>
          <w:bCs w:val="0"/>
          <w:noProof/>
          <w:sz w:val="24"/>
          <w:szCs w:val="24"/>
        </w:rPr>
      </w:pPr>
      <w:r w:rsidRPr="008376FB">
        <w:rPr>
          <w:rFonts w:ascii="Calibri" w:hAnsi="Calibri" w:cs="Calibri"/>
          <w:sz w:val="24"/>
          <w:szCs w:val="24"/>
        </w:rPr>
        <w:br/>
      </w:r>
      <w:r w:rsidRPr="008376FB">
        <w:rPr>
          <w:rStyle w:val="Strong"/>
          <w:rFonts w:ascii="Calibri" w:hAnsi="Calibri" w:cs="Calibri"/>
          <w:b w:val="0"/>
          <w:bCs w:val="0"/>
          <w:noProof/>
          <w:sz w:val="24"/>
          <w:szCs w:val="24"/>
        </w:rPr>
        <w:t xml:space="preserve">[insert </w:t>
      </w:r>
      <w:r w:rsidRPr="008376FB">
        <w:rPr>
          <w:rStyle w:val="Strong"/>
          <w:rFonts w:ascii="Calibri" w:hAnsi="Calibri" w:cs="Calibri"/>
          <w:noProof/>
          <w:sz w:val="24"/>
          <w:szCs w:val="24"/>
        </w:rPr>
        <w:t>Figure 5</w:t>
      </w:r>
      <w:r w:rsidRPr="008376FB">
        <w:rPr>
          <w:rStyle w:val="Strong"/>
          <w:rFonts w:ascii="Calibri" w:hAnsi="Calibri" w:cs="Calibri"/>
          <w:b w:val="0"/>
          <w:bCs w:val="0"/>
          <w:noProof/>
          <w:sz w:val="24"/>
          <w:szCs w:val="24"/>
        </w:rPr>
        <w:t xml:space="preserve"> here]</w:t>
      </w:r>
    </w:p>
    <w:p w14:paraId="087F75BE"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5C42B50A" w14:textId="49232639" w:rsidR="00902495" w:rsidRPr="008376FB" w:rsidRDefault="00B612DA" w:rsidP="001654C4">
      <w:pPr>
        <w:pStyle w:val="ListParagraph"/>
        <w:numPr>
          <w:ilvl w:val="2"/>
          <w:numId w:val="22"/>
        </w:numPr>
        <w:spacing w:after="0" w:line="240" w:lineRule="auto"/>
        <w:ind w:left="0" w:firstLine="0"/>
        <w:jc w:val="both"/>
        <w:rPr>
          <w:rFonts w:ascii="Calibri" w:hAnsi="Calibri" w:cs="Calibri"/>
          <w:sz w:val="24"/>
          <w:szCs w:val="24"/>
        </w:rPr>
      </w:pPr>
      <w:r w:rsidRPr="008376FB">
        <w:rPr>
          <w:rStyle w:val="Heading9Char"/>
          <w:rFonts w:ascii="Calibri" w:eastAsiaTheme="minorHAnsi" w:hAnsi="Calibri" w:cs="Calibri"/>
          <w:color w:val="auto"/>
          <w:sz w:val="24"/>
          <w:szCs w:val="24"/>
        </w:rPr>
        <w:t xml:space="preserve">Deposit </w:t>
      </w:r>
      <w:r w:rsidR="00BA4A56" w:rsidRPr="008376FB">
        <w:rPr>
          <w:rStyle w:val="Strong"/>
          <w:rFonts w:ascii="Calibri" w:hAnsi="Calibri" w:cs="Calibri"/>
          <w:b w:val="0"/>
          <w:bCs w:val="0"/>
          <w:sz w:val="24"/>
          <w:szCs w:val="24"/>
        </w:rPr>
        <w:t xml:space="preserve">2 x 100 </w:t>
      </w:r>
      <w:r w:rsidR="00BA4A56" w:rsidRPr="008376FB">
        <w:rPr>
          <w:rFonts w:ascii="Calibri" w:hAnsi="Calibri" w:cs="Calibri"/>
          <w:sz w:val="24"/>
          <w:szCs w:val="24"/>
        </w:rPr>
        <w:t>µL (duplicate) of each standard dilution from n°1 through n°7 in the plate</w:t>
      </w:r>
      <w:r w:rsidR="00C22CC1" w:rsidRPr="008376FB">
        <w:rPr>
          <w:rFonts w:ascii="Calibri" w:hAnsi="Calibri" w:cs="Calibri"/>
          <w:sz w:val="24"/>
          <w:szCs w:val="24"/>
        </w:rPr>
        <w:t xml:space="preserve">. Seal </w:t>
      </w:r>
      <w:r w:rsidR="00E763E1">
        <w:rPr>
          <w:rFonts w:ascii="Calibri" w:hAnsi="Calibri" w:cs="Calibri"/>
          <w:sz w:val="24"/>
          <w:szCs w:val="24"/>
        </w:rPr>
        <w:t xml:space="preserve">the </w:t>
      </w:r>
      <w:r w:rsidR="00C22CC1" w:rsidRPr="008376FB">
        <w:rPr>
          <w:rFonts w:ascii="Calibri" w:hAnsi="Calibri" w:cs="Calibri"/>
          <w:sz w:val="24"/>
          <w:szCs w:val="24"/>
        </w:rPr>
        <w:t>plate with aluminum foil to protect from light until plate reading begins</w:t>
      </w:r>
      <w:r w:rsidR="00544725" w:rsidRPr="008376FB">
        <w:rPr>
          <w:rFonts w:ascii="Calibri" w:hAnsi="Calibri" w:cs="Calibri"/>
          <w:sz w:val="24"/>
          <w:szCs w:val="24"/>
        </w:rPr>
        <w:t>.</w:t>
      </w:r>
    </w:p>
    <w:p w14:paraId="75FBE48F"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57C26364" w14:textId="7F0D0F75" w:rsidR="008376FB" w:rsidRPr="008376FB" w:rsidRDefault="00267C5B" w:rsidP="001654C4">
      <w:pPr>
        <w:pStyle w:val="ListParagraph"/>
        <w:numPr>
          <w:ilvl w:val="1"/>
          <w:numId w:val="22"/>
        </w:numPr>
        <w:spacing w:after="0" w:line="240" w:lineRule="auto"/>
        <w:ind w:left="0" w:firstLine="0"/>
        <w:jc w:val="both"/>
        <w:rPr>
          <w:rFonts w:ascii="Calibri" w:hAnsi="Calibri" w:cs="Calibri"/>
          <w:sz w:val="24"/>
          <w:szCs w:val="24"/>
        </w:rPr>
      </w:pPr>
      <w:r w:rsidRPr="008376FB">
        <w:rPr>
          <w:rFonts w:ascii="Calibri" w:hAnsi="Calibri" w:cs="Calibri"/>
          <w:sz w:val="24"/>
          <w:szCs w:val="24"/>
        </w:rPr>
        <w:t>Data acquisition</w:t>
      </w:r>
      <w:r w:rsidR="008376FB" w:rsidRPr="008376FB">
        <w:rPr>
          <w:rFonts w:ascii="Calibri" w:hAnsi="Calibri" w:cs="Calibri"/>
          <w:sz w:val="24"/>
          <w:szCs w:val="24"/>
        </w:rPr>
        <w:t xml:space="preserve">: </w:t>
      </w:r>
      <w:r w:rsidR="00902495" w:rsidRPr="008376FB">
        <w:rPr>
          <w:rFonts w:ascii="Calibri" w:hAnsi="Calibri" w:cs="Calibri"/>
          <w:sz w:val="24"/>
          <w:szCs w:val="24"/>
        </w:rPr>
        <w:t>Using a plate</w:t>
      </w:r>
      <w:r w:rsidR="00BA4A56" w:rsidRPr="008376FB">
        <w:rPr>
          <w:rFonts w:ascii="Calibri" w:hAnsi="Calibri" w:cs="Calibri"/>
          <w:sz w:val="24"/>
          <w:szCs w:val="24"/>
        </w:rPr>
        <w:t xml:space="preserve"> reader</w:t>
      </w:r>
      <w:r w:rsidR="00E763E1">
        <w:rPr>
          <w:rFonts w:ascii="Calibri" w:hAnsi="Calibri" w:cs="Calibri"/>
          <w:sz w:val="24"/>
          <w:szCs w:val="24"/>
        </w:rPr>
        <w:t>,</w:t>
      </w:r>
      <w:r w:rsidR="00BA4A56" w:rsidRPr="008376FB">
        <w:rPr>
          <w:rFonts w:ascii="Calibri" w:hAnsi="Calibri" w:cs="Calibri"/>
          <w:sz w:val="24"/>
          <w:szCs w:val="24"/>
        </w:rPr>
        <w:t xml:space="preserve"> </w:t>
      </w:r>
      <w:r w:rsidR="00902495" w:rsidRPr="008376FB">
        <w:rPr>
          <w:rFonts w:ascii="Calibri" w:hAnsi="Calibri" w:cs="Calibri"/>
          <w:sz w:val="24"/>
          <w:szCs w:val="24"/>
        </w:rPr>
        <w:t>set the</w:t>
      </w:r>
      <w:r w:rsidR="00BA4A56" w:rsidRPr="008376FB">
        <w:rPr>
          <w:rFonts w:ascii="Calibri" w:hAnsi="Calibri" w:cs="Calibri"/>
          <w:sz w:val="24"/>
          <w:szCs w:val="24"/>
        </w:rPr>
        <w:t xml:space="preserve"> excitation wavelength to 485 nm and emission to 535 nm</w:t>
      </w:r>
      <w:r w:rsidR="00E763E1">
        <w:rPr>
          <w:rFonts w:ascii="Calibri" w:hAnsi="Calibri" w:cs="Calibri"/>
          <w:sz w:val="24"/>
          <w:szCs w:val="24"/>
        </w:rPr>
        <w:t>,</w:t>
      </w:r>
      <w:r w:rsidR="00485724" w:rsidRPr="008376FB">
        <w:rPr>
          <w:rFonts w:ascii="Calibri" w:hAnsi="Calibri" w:cs="Calibri"/>
          <w:sz w:val="24"/>
          <w:szCs w:val="24"/>
        </w:rPr>
        <w:t xml:space="preserve"> and</w:t>
      </w:r>
      <w:r w:rsidR="005D0CEF" w:rsidRPr="008376FB">
        <w:rPr>
          <w:rFonts w:ascii="Calibri" w:hAnsi="Calibri" w:cs="Calibri"/>
          <w:sz w:val="24"/>
          <w:szCs w:val="24"/>
        </w:rPr>
        <w:t xml:space="preserve"> </w:t>
      </w:r>
      <w:r w:rsidR="00485724" w:rsidRPr="008376FB">
        <w:rPr>
          <w:rFonts w:ascii="Calibri" w:hAnsi="Calibri" w:cs="Calibri"/>
          <w:sz w:val="24"/>
          <w:szCs w:val="24"/>
        </w:rPr>
        <w:t>r</w:t>
      </w:r>
      <w:r w:rsidR="00902495" w:rsidRPr="008376FB">
        <w:rPr>
          <w:rFonts w:ascii="Calibri" w:hAnsi="Calibri" w:cs="Calibri"/>
          <w:sz w:val="24"/>
          <w:szCs w:val="24"/>
        </w:rPr>
        <w:t>ead the plate as soon as possible.</w:t>
      </w:r>
    </w:p>
    <w:p w14:paraId="67BEC154" w14:textId="212E2754" w:rsidR="00B612DA" w:rsidRPr="008376FB" w:rsidRDefault="00BA4A56" w:rsidP="001654C4">
      <w:pPr>
        <w:pStyle w:val="ListParagraph"/>
        <w:spacing w:after="0" w:line="240" w:lineRule="auto"/>
        <w:ind w:left="0"/>
        <w:jc w:val="both"/>
        <w:rPr>
          <w:rFonts w:ascii="Calibri" w:hAnsi="Calibri" w:cs="Calibri"/>
          <w:sz w:val="24"/>
          <w:szCs w:val="24"/>
        </w:rPr>
      </w:pPr>
      <w:r w:rsidRPr="008376FB">
        <w:rPr>
          <w:rFonts w:ascii="Calibri" w:hAnsi="Calibri" w:cs="Calibri"/>
          <w:sz w:val="24"/>
          <w:szCs w:val="24"/>
        </w:rPr>
        <w:br/>
        <w:t xml:space="preserve">NOTE: </w:t>
      </w:r>
      <w:r w:rsidR="00E763E1">
        <w:rPr>
          <w:rFonts w:ascii="Calibri" w:hAnsi="Calibri" w:cs="Calibri"/>
          <w:sz w:val="24"/>
          <w:szCs w:val="24"/>
        </w:rPr>
        <w:t>R</w:t>
      </w:r>
      <w:r w:rsidR="00267C5B" w:rsidRPr="008376FB">
        <w:rPr>
          <w:rFonts w:ascii="Calibri" w:hAnsi="Calibri" w:cs="Calibri"/>
          <w:sz w:val="24"/>
          <w:szCs w:val="24"/>
        </w:rPr>
        <w:t>eading the plate at both optimal gain and with a</w:t>
      </w:r>
      <w:r w:rsidR="00902495" w:rsidRPr="008376FB">
        <w:rPr>
          <w:rFonts w:ascii="Calibri" w:hAnsi="Calibri" w:cs="Calibri"/>
          <w:sz w:val="24"/>
          <w:szCs w:val="24"/>
        </w:rPr>
        <w:t xml:space="preserve"> manually set</w:t>
      </w:r>
      <w:r w:rsidR="00267C5B" w:rsidRPr="008376FB">
        <w:rPr>
          <w:rFonts w:ascii="Calibri" w:hAnsi="Calibri" w:cs="Calibri"/>
          <w:sz w:val="24"/>
          <w:szCs w:val="24"/>
        </w:rPr>
        <w:t xml:space="preserve"> gain is advised to facilitate </w:t>
      </w:r>
      <w:r w:rsidR="00375DD8" w:rsidRPr="008376FB">
        <w:rPr>
          <w:rFonts w:ascii="Calibri" w:hAnsi="Calibri" w:cs="Calibri"/>
          <w:sz w:val="24"/>
          <w:szCs w:val="24"/>
        </w:rPr>
        <w:t>inter-</w:t>
      </w:r>
      <w:r w:rsidR="00267C5B" w:rsidRPr="008376FB">
        <w:rPr>
          <w:rFonts w:ascii="Calibri" w:hAnsi="Calibri" w:cs="Calibri"/>
          <w:sz w:val="24"/>
          <w:szCs w:val="24"/>
        </w:rPr>
        <w:t>plate values comparison and allow for interpolation of data if a mistake was made during standards dilutions</w:t>
      </w:r>
      <w:r w:rsidR="00544725" w:rsidRPr="008376FB">
        <w:rPr>
          <w:rFonts w:ascii="Calibri" w:hAnsi="Calibri" w:cs="Calibri"/>
          <w:sz w:val="24"/>
          <w:szCs w:val="24"/>
        </w:rPr>
        <w:t>.</w:t>
      </w:r>
    </w:p>
    <w:p w14:paraId="208745BC" w14:textId="77777777" w:rsidR="0048560D" w:rsidRPr="008376FB" w:rsidRDefault="0048560D" w:rsidP="001654C4">
      <w:pPr>
        <w:pStyle w:val="ListParagraph"/>
        <w:spacing w:after="0" w:line="240" w:lineRule="auto"/>
        <w:ind w:left="0"/>
        <w:jc w:val="both"/>
        <w:rPr>
          <w:rFonts w:ascii="Calibri" w:hAnsi="Calibri" w:cs="Calibri"/>
          <w:sz w:val="24"/>
          <w:szCs w:val="24"/>
        </w:rPr>
      </w:pPr>
    </w:p>
    <w:p w14:paraId="1F8FB021" w14:textId="4E1BC89F" w:rsidR="00562BF7" w:rsidRPr="008376FB" w:rsidRDefault="00562BF7" w:rsidP="001654C4">
      <w:pPr>
        <w:pStyle w:val="ListParagraph"/>
        <w:numPr>
          <w:ilvl w:val="1"/>
          <w:numId w:val="22"/>
        </w:numPr>
        <w:spacing w:after="0" w:line="240" w:lineRule="auto"/>
        <w:ind w:left="0" w:firstLine="0"/>
        <w:jc w:val="both"/>
        <w:rPr>
          <w:rFonts w:ascii="Calibri" w:hAnsi="Calibri" w:cs="Calibri"/>
          <w:sz w:val="24"/>
          <w:szCs w:val="24"/>
        </w:rPr>
      </w:pPr>
      <w:r w:rsidRPr="008376FB">
        <w:rPr>
          <w:rFonts w:ascii="Calibri" w:hAnsi="Calibri" w:cs="Calibri"/>
          <w:sz w:val="24"/>
          <w:szCs w:val="24"/>
        </w:rPr>
        <w:t>Plate storage</w:t>
      </w:r>
      <w:r w:rsidR="008376FB" w:rsidRPr="008376FB">
        <w:rPr>
          <w:rFonts w:ascii="Calibri" w:hAnsi="Calibri" w:cs="Calibri"/>
          <w:sz w:val="24"/>
          <w:szCs w:val="24"/>
        </w:rPr>
        <w:t xml:space="preserve">: </w:t>
      </w:r>
      <w:r w:rsidRPr="008376FB">
        <w:rPr>
          <w:rFonts w:ascii="Calibri" w:hAnsi="Calibri" w:cs="Calibri"/>
          <w:sz w:val="24"/>
          <w:szCs w:val="24"/>
        </w:rPr>
        <w:t xml:space="preserve">Once FITC quantification data has been stored, </w:t>
      </w:r>
      <w:r w:rsidR="00E763E1">
        <w:rPr>
          <w:rFonts w:ascii="Calibri" w:hAnsi="Calibri" w:cs="Calibri"/>
          <w:sz w:val="24"/>
          <w:szCs w:val="24"/>
        </w:rPr>
        <w:t xml:space="preserve">store the </w:t>
      </w:r>
      <w:r w:rsidRPr="008376FB">
        <w:rPr>
          <w:rFonts w:ascii="Calibri" w:hAnsi="Calibri" w:cs="Calibri"/>
          <w:sz w:val="24"/>
          <w:szCs w:val="24"/>
        </w:rPr>
        <w:t>plates</w:t>
      </w:r>
      <w:r w:rsidR="00104705" w:rsidRPr="008376FB">
        <w:rPr>
          <w:rFonts w:ascii="Calibri" w:hAnsi="Calibri" w:cs="Calibri"/>
          <w:sz w:val="24"/>
          <w:szCs w:val="24"/>
        </w:rPr>
        <w:t xml:space="preserve"> sealed with aluminum foil</w:t>
      </w:r>
      <w:r w:rsidRPr="008376FB">
        <w:rPr>
          <w:rFonts w:ascii="Calibri" w:hAnsi="Calibri" w:cs="Calibri"/>
          <w:sz w:val="24"/>
          <w:szCs w:val="24"/>
        </w:rPr>
        <w:t xml:space="preserve"> at 4</w:t>
      </w:r>
      <w:r w:rsidR="00104705" w:rsidRPr="008376FB">
        <w:rPr>
          <w:rFonts w:ascii="Calibri" w:hAnsi="Calibri" w:cs="Calibri"/>
          <w:sz w:val="24"/>
          <w:szCs w:val="24"/>
        </w:rPr>
        <w:t xml:space="preserve"> </w:t>
      </w:r>
      <w:r w:rsidRPr="008376FB">
        <w:rPr>
          <w:rFonts w:ascii="Calibri" w:hAnsi="Calibri" w:cs="Calibri"/>
          <w:sz w:val="24"/>
          <w:szCs w:val="24"/>
        </w:rPr>
        <w:t>°C overnight if HRP quantification is to be conducted in the following days, or frozen at -80 °C</w:t>
      </w:r>
      <w:r w:rsidR="00104705" w:rsidRPr="008376FB">
        <w:rPr>
          <w:rFonts w:ascii="Calibri" w:hAnsi="Calibri" w:cs="Calibri"/>
          <w:sz w:val="24"/>
          <w:szCs w:val="24"/>
        </w:rPr>
        <w:t xml:space="preserve"> for longer storage.</w:t>
      </w:r>
    </w:p>
    <w:p w14:paraId="549ACE11"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04113A20" w14:textId="13CE3ECC" w:rsidR="00F92AAD" w:rsidRPr="008376FB" w:rsidRDefault="00890892" w:rsidP="001654C4">
      <w:pPr>
        <w:spacing w:after="0" w:line="240" w:lineRule="auto"/>
        <w:jc w:val="both"/>
        <w:rPr>
          <w:rFonts w:ascii="Calibri" w:hAnsi="Calibri" w:cs="Calibri"/>
          <w:b/>
          <w:bCs/>
          <w:sz w:val="24"/>
          <w:szCs w:val="24"/>
        </w:rPr>
      </w:pPr>
      <w:r w:rsidRPr="008376FB">
        <w:rPr>
          <w:rStyle w:val="Heading9Char"/>
          <w:rFonts w:ascii="Calibri" w:eastAsiaTheme="minorHAnsi" w:hAnsi="Calibri" w:cs="Calibri"/>
          <w:b/>
          <w:bCs/>
          <w:color w:val="auto"/>
          <w:sz w:val="24"/>
          <w:szCs w:val="24"/>
        </w:rPr>
        <w:t>5</w:t>
      </w:r>
      <w:r w:rsidR="008376FB" w:rsidRPr="008376FB">
        <w:rPr>
          <w:rStyle w:val="Heading9Char"/>
          <w:rFonts w:ascii="Calibri" w:eastAsiaTheme="minorHAnsi" w:hAnsi="Calibri" w:cs="Calibri"/>
          <w:b/>
          <w:bCs/>
          <w:color w:val="auto"/>
          <w:sz w:val="24"/>
          <w:szCs w:val="24"/>
        </w:rPr>
        <w:t xml:space="preserve">. </w:t>
      </w:r>
      <w:r w:rsidR="00F92AAD" w:rsidRPr="008376FB">
        <w:rPr>
          <w:rFonts w:ascii="Calibri" w:hAnsi="Calibri" w:cs="Calibri"/>
          <w:b/>
          <w:bCs/>
          <w:sz w:val="24"/>
          <w:szCs w:val="24"/>
        </w:rPr>
        <w:t>Colonic trans-cellular permeability assessment through HRP quantification</w:t>
      </w:r>
    </w:p>
    <w:p w14:paraId="2AF21A75" w14:textId="77777777" w:rsidR="008376FB" w:rsidRPr="008376FB" w:rsidRDefault="008376FB" w:rsidP="001654C4">
      <w:pPr>
        <w:spacing w:after="0" w:line="240" w:lineRule="auto"/>
        <w:jc w:val="both"/>
        <w:rPr>
          <w:rStyle w:val="Heading9Char"/>
          <w:rFonts w:ascii="Calibri" w:eastAsiaTheme="minorHAnsi" w:hAnsi="Calibri" w:cs="Calibri"/>
          <w:color w:val="auto"/>
          <w:sz w:val="24"/>
          <w:szCs w:val="24"/>
        </w:rPr>
      </w:pPr>
    </w:p>
    <w:p w14:paraId="5FEC145F" w14:textId="77777777" w:rsidR="002241E2" w:rsidRPr="008376FB" w:rsidRDefault="002241E2" w:rsidP="001654C4">
      <w:pPr>
        <w:pStyle w:val="ListParagraph"/>
        <w:numPr>
          <w:ilvl w:val="0"/>
          <w:numId w:val="23"/>
        </w:numPr>
        <w:spacing w:after="0" w:line="240" w:lineRule="auto"/>
        <w:ind w:left="0" w:firstLine="0"/>
        <w:jc w:val="both"/>
        <w:rPr>
          <w:rFonts w:ascii="Calibri" w:hAnsi="Calibri" w:cs="Calibri"/>
          <w:vanish/>
          <w:sz w:val="24"/>
          <w:szCs w:val="24"/>
        </w:rPr>
      </w:pPr>
    </w:p>
    <w:p w14:paraId="03FE1636" w14:textId="77777777" w:rsidR="002241E2" w:rsidRPr="008376FB" w:rsidRDefault="002241E2" w:rsidP="001654C4">
      <w:pPr>
        <w:pStyle w:val="ListParagraph"/>
        <w:numPr>
          <w:ilvl w:val="0"/>
          <w:numId w:val="23"/>
        </w:numPr>
        <w:spacing w:after="0" w:line="240" w:lineRule="auto"/>
        <w:ind w:left="0" w:firstLine="0"/>
        <w:jc w:val="both"/>
        <w:rPr>
          <w:rFonts w:ascii="Calibri" w:hAnsi="Calibri" w:cs="Calibri"/>
          <w:vanish/>
          <w:sz w:val="24"/>
          <w:szCs w:val="24"/>
        </w:rPr>
      </w:pPr>
    </w:p>
    <w:p w14:paraId="2A4F7176" w14:textId="77777777" w:rsidR="002241E2" w:rsidRPr="008376FB" w:rsidRDefault="002241E2" w:rsidP="001654C4">
      <w:pPr>
        <w:pStyle w:val="ListParagraph"/>
        <w:numPr>
          <w:ilvl w:val="0"/>
          <w:numId w:val="23"/>
        </w:numPr>
        <w:spacing w:after="0" w:line="240" w:lineRule="auto"/>
        <w:ind w:left="0" w:firstLine="0"/>
        <w:jc w:val="both"/>
        <w:rPr>
          <w:rFonts w:ascii="Calibri" w:hAnsi="Calibri" w:cs="Calibri"/>
          <w:vanish/>
          <w:sz w:val="24"/>
          <w:szCs w:val="24"/>
        </w:rPr>
      </w:pPr>
    </w:p>
    <w:p w14:paraId="298CE5D4" w14:textId="77777777" w:rsidR="002241E2" w:rsidRPr="008376FB" w:rsidRDefault="002241E2" w:rsidP="001654C4">
      <w:pPr>
        <w:pStyle w:val="ListParagraph"/>
        <w:numPr>
          <w:ilvl w:val="0"/>
          <w:numId w:val="23"/>
        </w:numPr>
        <w:spacing w:after="0" w:line="240" w:lineRule="auto"/>
        <w:ind w:left="0" w:firstLine="0"/>
        <w:jc w:val="both"/>
        <w:rPr>
          <w:rFonts w:ascii="Calibri" w:hAnsi="Calibri" w:cs="Calibri"/>
          <w:vanish/>
          <w:sz w:val="24"/>
          <w:szCs w:val="24"/>
        </w:rPr>
      </w:pPr>
    </w:p>
    <w:p w14:paraId="145D91B9" w14:textId="77777777" w:rsidR="002241E2" w:rsidRPr="008376FB" w:rsidRDefault="002241E2" w:rsidP="001654C4">
      <w:pPr>
        <w:pStyle w:val="ListParagraph"/>
        <w:numPr>
          <w:ilvl w:val="0"/>
          <w:numId w:val="23"/>
        </w:numPr>
        <w:spacing w:after="0" w:line="240" w:lineRule="auto"/>
        <w:ind w:left="0" w:firstLine="0"/>
        <w:jc w:val="both"/>
        <w:rPr>
          <w:rFonts w:ascii="Calibri" w:hAnsi="Calibri" w:cs="Calibri"/>
          <w:vanish/>
          <w:sz w:val="24"/>
          <w:szCs w:val="24"/>
        </w:rPr>
      </w:pPr>
    </w:p>
    <w:p w14:paraId="3A7EBAAD" w14:textId="2198D4C6" w:rsidR="005D0CEF" w:rsidRPr="008376FB" w:rsidRDefault="005D0CEF" w:rsidP="001654C4">
      <w:pPr>
        <w:pStyle w:val="ListParagraph"/>
        <w:numPr>
          <w:ilvl w:val="1"/>
          <w:numId w:val="23"/>
        </w:numPr>
        <w:spacing w:after="0" w:line="240" w:lineRule="auto"/>
        <w:ind w:left="0" w:firstLine="0"/>
        <w:jc w:val="both"/>
        <w:rPr>
          <w:rFonts w:ascii="Calibri" w:hAnsi="Calibri" w:cs="Calibri"/>
          <w:sz w:val="24"/>
          <w:szCs w:val="24"/>
        </w:rPr>
      </w:pPr>
      <w:r w:rsidRPr="008376FB">
        <w:rPr>
          <w:rFonts w:ascii="Calibri" w:hAnsi="Calibri" w:cs="Calibri"/>
          <w:sz w:val="24"/>
          <w:szCs w:val="24"/>
        </w:rPr>
        <w:t>On the day prior to the day of the HRP quantification assay</w:t>
      </w:r>
      <w:r w:rsidR="00E57356">
        <w:rPr>
          <w:rFonts w:ascii="Calibri" w:hAnsi="Calibri" w:cs="Calibri"/>
          <w:sz w:val="24"/>
          <w:szCs w:val="24"/>
        </w:rPr>
        <w:t>:</w:t>
      </w:r>
    </w:p>
    <w:p w14:paraId="7E42F8DF"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77FDB0AF" w14:textId="7F1ED7DE" w:rsidR="008376FB" w:rsidRPr="008376FB" w:rsidRDefault="00E57356" w:rsidP="001654C4">
      <w:pPr>
        <w:pStyle w:val="ListParagraph"/>
        <w:numPr>
          <w:ilvl w:val="2"/>
          <w:numId w:val="23"/>
        </w:numPr>
        <w:spacing w:after="0" w:line="240" w:lineRule="auto"/>
        <w:ind w:left="0" w:firstLine="0"/>
        <w:jc w:val="both"/>
        <w:rPr>
          <w:rFonts w:ascii="Calibri" w:eastAsia="Times New Roman" w:hAnsi="Calibri" w:cs="Calibri"/>
          <w:bCs/>
          <w:sz w:val="24"/>
          <w:szCs w:val="24"/>
          <w:lang w:eastAsia="fr-FR"/>
        </w:rPr>
      </w:pPr>
      <w:r>
        <w:rPr>
          <w:rFonts w:ascii="Calibri" w:hAnsi="Calibri" w:cs="Calibri"/>
          <w:sz w:val="24"/>
          <w:szCs w:val="24"/>
        </w:rPr>
        <w:t>E</w:t>
      </w:r>
      <w:r w:rsidR="00104705" w:rsidRPr="008376FB">
        <w:rPr>
          <w:rFonts w:ascii="Calibri" w:hAnsi="Calibri" w:cs="Calibri"/>
          <w:sz w:val="24"/>
          <w:szCs w:val="24"/>
        </w:rPr>
        <w:t>nsure optimal conditions on the day of the assay</w:t>
      </w:r>
      <w:r>
        <w:rPr>
          <w:rFonts w:ascii="Calibri" w:hAnsi="Calibri" w:cs="Calibri"/>
          <w:sz w:val="24"/>
          <w:szCs w:val="24"/>
        </w:rPr>
        <w:t>;</w:t>
      </w:r>
      <w:r w:rsidR="00104705" w:rsidRPr="008376FB">
        <w:rPr>
          <w:rFonts w:ascii="Calibri" w:hAnsi="Calibri" w:cs="Calibri"/>
          <w:sz w:val="24"/>
          <w:szCs w:val="24"/>
        </w:rPr>
        <w:t xml:space="preserve"> preparation of several solutions is required on the day prior to the experiment. These solutions are prepared as </w:t>
      </w:r>
      <w:r w:rsidR="00AA0E2D" w:rsidRPr="008376FB">
        <w:rPr>
          <w:rFonts w:ascii="Calibri" w:hAnsi="Calibri" w:cs="Calibri"/>
          <w:sz w:val="24"/>
          <w:szCs w:val="24"/>
        </w:rPr>
        <w:t xml:space="preserve">described in </w:t>
      </w:r>
      <w:r w:rsidR="00AA0E2D" w:rsidRPr="008376FB">
        <w:rPr>
          <w:rFonts w:ascii="Calibri" w:hAnsi="Calibri" w:cs="Calibri"/>
          <w:b/>
          <w:bCs/>
          <w:sz w:val="24"/>
          <w:szCs w:val="24"/>
        </w:rPr>
        <w:t>Table 6</w:t>
      </w:r>
      <w:r w:rsidR="00544725" w:rsidRPr="008376FB">
        <w:rPr>
          <w:rFonts w:ascii="Calibri" w:hAnsi="Calibri" w:cs="Calibri"/>
          <w:sz w:val="24"/>
          <w:szCs w:val="24"/>
        </w:rPr>
        <w:t>.</w:t>
      </w:r>
    </w:p>
    <w:p w14:paraId="2331AA89" w14:textId="3F7A8117" w:rsidR="009042B5" w:rsidRPr="008376FB" w:rsidRDefault="009042B5" w:rsidP="001654C4">
      <w:pPr>
        <w:pStyle w:val="ListParagraph"/>
        <w:spacing w:after="0" w:line="240" w:lineRule="auto"/>
        <w:ind w:left="0"/>
        <w:jc w:val="both"/>
        <w:rPr>
          <w:rFonts w:ascii="Calibri" w:hAnsi="Calibri" w:cs="Calibri"/>
          <w:sz w:val="24"/>
          <w:szCs w:val="24"/>
        </w:rPr>
      </w:pPr>
      <w:r w:rsidRPr="008376FB">
        <w:rPr>
          <w:rFonts w:ascii="Calibri" w:hAnsi="Calibri" w:cs="Calibri"/>
          <w:b/>
          <w:bCs/>
          <w:sz w:val="24"/>
          <w:szCs w:val="24"/>
        </w:rPr>
        <w:br/>
      </w:r>
      <w:r w:rsidRPr="008376FB">
        <w:rPr>
          <w:rFonts w:ascii="Calibri" w:hAnsi="Calibri" w:cs="Calibri"/>
          <w:sz w:val="24"/>
          <w:szCs w:val="24"/>
        </w:rPr>
        <w:t xml:space="preserve">NOTE: </w:t>
      </w:r>
      <w:r w:rsidR="00E57356">
        <w:rPr>
          <w:rFonts w:ascii="Calibri" w:hAnsi="Calibri" w:cs="Calibri"/>
          <w:sz w:val="24"/>
          <w:szCs w:val="24"/>
        </w:rPr>
        <w:t>T</w:t>
      </w:r>
      <w:r w:rsidRPr="008376FB">
        <w:rPr>
          <w:rFonts w:ascii="Calibri" w:hAnsi="Calibri" w:cs="Calibri"/>
          <w:sz w:val="24"/>
          <w:szCs w:val="24"/>
        </w:rPr>
        <w:t xml:space="preserve">he following tables indicate the required amounts for </w:t>
      </w:r>
      <w:r w:rsidR="005D0CEF" w:rsidRPr="008376FB">
        <w:rPr>
          <w:rFonts w:ascii="Calibri" w:hAnsi="Calibri" w:cs="Calibri"/>
          <w:sz w:val="24"/>
          <w:szCs w:val="24"/>
        </w:rPr>
        <w:t xml:space="preserve">one 96-well </w:t>
      </w:r>
      <w:r w:rsidRPr="008376FB">
        <w:rPr>
          <w:rFonts w:ascii="Calibri" w:hAnsi="Calibri" w:cs="Calibri"/>
          <w:sz w:val="24"/>
          <w:szCs w:val="24"/>
        </w:rPr>
        <w:t>plate</w:t>
      </w:r>
      <w:r w:rsidR="00544725" w:rsidRPr="008376FB">
        <w:rPr>
          <w:rFonts w:ascii="Calibri" w:hAnsi="Calibri" w:cs="Calibri"/>
          <w:sz w:val="24"/>
          <w:szCs w:val="24"/>
        </w:rPr>
        <w:t>.</w:t>
      </w:r>
      <w:r w:rsidR="00416F82" w:rsidRPr="008376FB">
        <w:rPr>
          <w:rFonts w:ascii="Calibri" w:hAnsi="Calibri" w:cs="Calibri"/>
          <w:sz w:val="24"/>
          <w:szCs w:val="24"/>
        </w:rPr>
        <w:br/>
        <w:t xml:space="preserve">HRP Standards can be aliquoted and stored at -20 </w:t>
      </w:r>
      <w:r w:rsidR="00E57356">
        <w:rPr>
          <w:rFonts w:ascii="Calibri" w:hAnsi="Calibri" w:cs="Calibri"/>
          <w:sz w:val="24"/>
          <w:szCs w:val="24"/>
        </w:rPr>
        <w:t xml:space="preserve">°C </w:t>
      </w:r>
      <w:r w:rsidR="00416F82" w:rsidRPr="008376FB">
        <w:rPr>
          <w:rFonts w:ascii="Calibri" w:hAnsi="Calibri" w:cs="Calibri"/>
          <w:sz w:val="24"/>
          <w:szCs w:val="24"/>
        </w:rPr>
        <w:t>or -80 °C for up to several months.</w:t>
      </w:r>
      <w:r w:rsidR="00D04532" w:rsidRPr="008376FB">
        <w:rPr>
          <w:rFonts w:ascii="Calibri" w:hAnsi="Calibri" w:cs="Calibri"/>
          <w:sz w:val="24"/>
          <w:szCs w:val="24"/>
        </w:rPr>
        <w:t xml:space="preserve"> </w:t>
      </w:r>
      <w:r w:rsidR="009652DE" w:rsidRPr="008376FB">
        <w:rPr>
          <w:rFonts w:ascii="Calibri" w:hAnsi="Calibri" w:cs="Calibri"/>
          <w:sz w:val="24"/>
          <w:szCs w:val="24"/>
        </w:rPr>
        <w:t>Due to instability, use only fresh carbonate/bicarbonate buffers.</w:t>
      </w:r>
    </w:p>
    <w:p w14:paraId="624D0415" w14:textId="77777777" w:rsidR="008376FB" w:rsidRPr="008376FB" w:rsidRDefault="008376FB" w:rsidP="001654C4">
      <w:pPr>
        <w:pStyle w:val="ListParagraph"/>
        <w:spacing w:after="0" w:line="240" w:lineRule="auto"/>
        <w:ind w:left="0"/>
        <w:jc w:val="both"/>
        <w:rPr>
          <w:rFonts w:ascii="Calibri" w:eastAsia="Times New Roman" w:hAnsi="Calibri" w:cs="Calibri"/>
          <w:bCs/>
          <w:sz w:val="24"/>
          <w:szCs w:val="24"/>
          <w:lang w:eastAsia="fr-FR"/>
        </w:rPr>
      </w:pPr>
    </w:p>
    <w:p w14:paraId="3DE7E7A1" w14:textId="56083364" w:rsidR="005B22D2" w:rsidRPr="008376FB" w:rsidRDefault="005B22D2" w:rsidP="001654C4">
      <w:pPr>
        <w:pStyle w:val="Caption"/>
        <w:spacing w:after="0"/>
        <w:jc w:val="both"/>
        <w:rPr>
          <w:rFonts w:ascii="Calibri" w:hAnsi="Calibri" w:cs="Calibri"/>
          <w:i w:val="0"/>
          <w:iCs w:val="0"/>
          <w:color w:val="auto"/>
          <w:sz w:val="24"/>
          <w:szCs w:val="24"/>
        </w:rPr>
      </w:pPr>
      <w:r w:rsidRPr="008376FB">
        <w:rPr>
          <w:rFonts w:ascii="Calibri" w:hAnsi="Calibri" w:cs="Calibri"/>
          <w:i w:val="0"/>
          <w:iCs w:val="0"/>
          <w:color w:val="auto"/>
          <w:sz w:val="24"/>
          <w:szCs w:val="24"/>
        </w:rPr>
        <w:t xml:space="preserve">[insert </w:t>
      </w:r>
      <w:r w:rsidRPr="008376FB">
        <w:rPr>
          <w:rFonts w:ascii="Calibri" w:hAnsi="Calibri" w:cs="Calibri"/>
          <w:b/>
          <w:bCs/>
          <w:i w:val="0"/>
          <w:iCs w:val="0"/>
          <w:color w:val="auto"/>
          <w:sz w:val="24"/>
          <w:szCs w:val="24"/>
        </w:rPr>
        <w:t>Table 6</w:t>
      </w:r>
      <w:r w:rsidRPr="008376FB">
        <w:rPr>
          <w:rFonts w:ascii="Calibri" w:hAnsi="Calibri" w:cs="Calibri"/>
          <w:i w:val="0"/>
          <w:iCs w:val="0"/>
          <w:color w:val="auto"/>
          <w:sz w:val="24"/>
          <w:szCs w:val="24"/>
        </w:rPr>
        <w:t xml:space="preserve"> here]</w:t>
      </w:r>
    </w:p>
    <w:p w14:paraId="2B5B8047" w14:textId="77777777" w:rsidR="008376FB" w:rsidRPr="008376FB" w:rsidRDefault="008376FB" w:rsidP="001654C4">
      <w:pPr>
        <w:spacing w:after="0" w:line="240" w:lineRule="auto"/>
        <w:jc w:val="both"/>
        <w:rPr>
          <w:rFonts w:ascii="Calibri" w:hAnsi="Calibri" w:cs="Calibri"/>
          <w:sz w:val="24"/>
          <w:szCs w:val="24"/>
        </w:rPr>
      </w:pPr>
    </w:p>
    <w:p w14:paraId="2FB89ACB" w14:textId="402A048B" w:rsidR="00562BF7" w:rsidRPr="008376FB" w:rsidRDefault="00562BF7" w:rsidP="001654C4">
      <w:pPr>
        <w:pStyle w:val="ListParagraph"/>
        <w:numPr>
          <w:ilvl w:val="2"/>
          <w:numId w:val="23"/>
        </w:numPr>
        <w:spacing w:after="0" w:line="240" w:lineRule="auto"/>
        <w:ind w:left="0" w:firstLine="0"/>
        <w:jc w:val="both"/>
        <w:rPr>
          <w:rFonts w:ascii="Calibri" w:hAnsi="Calibri" w:cs="Calibri"/>
          <w:sz w:val="24"/>
          <w:szCs w:val="24"/>
        </w:rPr>
      </w:pPr>
      <w:r w:rsidRPr="008376FB">
        <w:rPr>
          <w:rFonts w:ascii="Calibri" w:hAnsi="Calibri" w:cs="Calibri"/>
          <w:sz w:val="24"/>
          <w:szCs w:val="24"/>
        </w:rPr>
        <w:t>Upon Anti-HRP antibody solution preparation, immediately coat a Clear 96-well Clear Flat Bottom High Binding microplate with 100 µL per well</w:t>
      </w:r>
      <w:r w:rsidR="00104705" w:rsidRPr="008376FB">
        <w:rPr>
          <w:rFonts w:ascii="Calibri" w:hAnsi="Calibri" w:cs="Calibri"/>
          <w:sz w:val="24"/>
          <w:szCs w:val="24"/>
        </w:rPr>
        <w:t>.</w:t>
      </w:r>
      <w:r w:rsidRPr="008376FB">
        <w:rPr>
          <w:rFonts w:ascii="Calibri" w:hAnsi="Calibri" w:cs="Calibri"/>
          <w:sz w:val="24"/>
          <w:szCs w:val="24"/>
        </w:rPr>
        <w:t xml:space="preserve"> </w:t>
      </w:r>
      <w:r w:rsidR="00104705" w:rsidRPr="008376FB">
        <w:rPr>
          <w:rFonts w:ascii="Calibri" w:hAnsi="Calibri" w:cs="Calibri"/>
          <w:sz w:val="24"/>
          <w:szCs w:val="24"/>
        </w:rPr>
        <w:t>W</w:t>
      </w:r>
      <w:r w:rsidRPr="008376FB">
        <w:rPr>
          <w:rFonts w:ascii="Calibri" w:hAnsi="Calibri" w:cs="Calibri"/>
          <w:sz w:val="24"/>
          <w:szCs w:val="24"/>
        </w:rPr>
        <w:t>rap it in aluminum foil and incubate overnight at 4 °C</w:t>
      </w:r>
      <w:r w:rsidR="00544725" w:rsidRPr="008376FB">
        <w:rPr>
          <w:rFonts w:ascii="Calibri" w:hAnsi="Calibri" w:cs="Calibri"/>
          <w:sz w:val="24"/>
          <w:szCs w:val="24"/>
        </w:rPr>
        <w:t>.</w:t>
      </w:r>
    </w:p>
    <w:p w14:paraId="2A6E8093" w14:textId="77777777" w:rsidR="00104705" w:rsidRPr="008376FB" w:rsidRDefault="00104705" w:rsidP="001654C4">
      <w:pPr>
        <w:pStyle w:val="ListParagraph"/>
        <w:spacing w:after="0" w:line="240" w:lineRule="auto"/>
        <w:ind w:left="0"/>
        <w:jc w:val="both"/>
        <w:rPr>
          <w:rFonts w:ascii="Calibri" w:hAnsi="Calibri" w:cs="Calibri"/>
          <w:sz w:val="24"/>
          <w:szCs w:val="24"/>
        </w:rPr>
      </w:pPr>
    </w:p>
    <w:p w14:paraId="22E5D705" w14:textId="49E7A7D1" w:rsidR="00104705" w:rsidRPr="008376FB" w:rsidRDefault="00104705" w:rsidP="001654C4">
      <w:pPr>
        <w:pStyle w:val="ListParagraph"/>
        <w:numPr>
          <w:ilvl w:val="1"/>
          <w:numId w:val="23"/>
        </w:numPr>
        <w:spacing w:after="0" w:line="240" w:lineRule="auto"/>
        <w:ind w:left="0" w:firstLine="0"/>
        <w:jc w:val="both"/>
        <w:rPr>
          <w:rFonts w:ascii="Calibri" w:hAnsi="Calibri" w:cs="Calibri"/>
          <w:sz w:val="24"/>
          <w:szCs w:val="24"/>
        </w:rPr>
      </w:pPr>
      <w:r w:rsidRPr="008376FB">
        <w:rPr>
          <w:rFonts w:ascii="Calibri" w:hAnsi="Calibri" w:cs="Calibri"/>
          <w:sz w:val="24"/>
          <w:szCs w:val="24"/>
        </w:rPr>
        <w:t>On the day of the</w:t>
      </w:r>
      <w:r w:rsidR="005D0CEF" w:rsidRPr="008376FB">
        <w:rPr>
          <w:rFonts w:ascii="Calibri" w:hAnsi="Calibri" w:cs="Calibri"/>
          <w:sz w:val="24"/>
          <w:szCs w:val="24"/>
        </w:rPr>
        <w:t xml:space="preserve"> HRP quantification</w:t>
      </w:r>
      <w:r w:rsidRPr="008376FB">
        <w:rPr>
          <w:rFonts w:ascii="Calibri" w:hAnsi="Calibri" w:cs="Calibri"/>
          <w:sz w:val="24"/>
          <w:szCs w:val="24"/>
        </w:rPr>
        <w:t xml:space="preserve"> </w:t>
      </w:r>
      <w:r w:rsidR="005D0CEF" w:rsidRPr="008376FB">
        <w:rPr>
          <w:rFonts w:ascii="Calibri" w:hAnsi="Calibri" w:cs="Calibri"/>
          <w:sz w:val="24"/>
          <w:szCs w:val="24"/>
        </w:rPr>
        <w:t>assay</w:t>
      </w:r>
      <w:r w:rsidR="00E57356">
        <w:rPr>
          <w:rFonts w:ascii="Calibri" w:hAnsi="Calibri" w:cs="Calibri"/>
          <w:sz w:val="24"/>
          <w:szCs w:val="24"/>
        </w:rPr>
        <w:t>:</w:t>
      </w:r>
    </w:p>
    <w:p w14:paraId="42D6788A"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6E98C1E8" w14:textId="77777777" w:rsidR="008376FB" w:rsidRPr="008376FB" w:rsidRDefault="00621612" w:rsidP="001654C4">
      <w:pPr>
        <w:pStyle w:val="ListParagraph"/>
        <w:numPr>
          <w:ilvl w:val="2"/>
          <w:numId w:val="23"/>
        </w:numPr>
        <w:spacing w:after="0" w:line="240" w:lineRule="auto"/>
        <w:ind w:left="0" w:firstLine="0"/>
        <w:jc w:val="both"/>
        <w:rPr>
          <w:rFonts w:ascii="Calibri" w:hAnsi="Calibri" w:cs="Calibri"/>
          <w:sz w:val="24"/>
          <w:szCs w:val="24"/>
        </w:rPr>
      </w:pPr>
      <w:r w:rsidRPr="008376FB">
        <w:rPr>
          <w:rFonts w:ascii="Calibri" w:hAnsi="Calibri" w:cs="Calibri"/>
          <w:sz w:val="24"/>
          <w:szCs w:val="24"/>
        </w:rPr>
        <w:t xml:space="preserve">Prepare the 5% BSA Blocking buffer as described </w:t>
      </w:r>
      <w:r w:rsidR="00AA0E2D" w:rsidRPr="008376FB">
        <w:rPr>
          <w:rFonts w:ascii="Calibri" w:hAnsi="Calibri" w:cs="Calibri"/>
          <w:sz w:val="24"/>
          <w:szCs w:val="24"/>
        </w:rPr>
        <w:t xml:space="preserve">in </w:t>
      </w:r>
      <w:r w:rsidR="00AA0E2D" w:rsidRPr="008376FB">
        <w:rPr>
          <w:rFonts w:ascii="Calibri" w:hAnsi="Calibri" w:cs="Calibri"/>
          <w:b/>
          <w:bCs/>
          <w:sz w:val="24"/>
          <w:szCs w:val="24"/>
        </w:rPr>
        <w:t>Table 7</w:t>
      </w:r>
      <w:r w:rsidR="00544725" w:rsidRPr="008376FB">
        <w:rPr>
          <w:rFonts w:ascii="Calibri" w:hAnsi="Calibri" w:cs="Calibri"/>
          <w:sz w:val="24"/>
          <w:szCs w:val="24"/>
        </w:rPr>
        <w:t>.</w:t>
      </w:r>
    </w:p>
    <w:p w14:paraId="0056ECC9" w14:textId="0ECE9AD0" w:rsidR="00B803A7" w:rsidRPr="008376FB" w:rsidRDefault="009042B5" w:rsidP="00E57356">
      <w:pPr>
        <w:pStyle w:val="ListParagraph"/>
        <w:spacing w:after="0" w:line="240" w:lineRule="auto"/>
        <w:ind w:left="0"/>
        <w:jc w:val="both"/>
        <w:rPr>
          <w:rFonts w:ascii="Calibri" w:hAnsi="Calibri" w:cs="Calibri"/>
          <w:i/>
          <w:iCs/>
          <w:sz w:val="24"/>
          <w:szCs w:val="24"/>
        </w:rPr>
      </w:pPr>
      <w:r w:rsidRPr="008376FB">
        <w:rPr>
          <w:rFonts w:ascii="Calibri" w:hAnsi="Calibri" w:cs="Calibri"/>
          <w:b/>
          <w:bCs/>
          <w:sz w:val="24"/>
          <w:szCs w:val="24"/>
        </w:rPr>
        <w:br/>
      </w:r>
      <w:r w:rsidR="005B22D2" w:rsidRPr="008376FB">
        <w:rPr>
          <w:rFonts w:ascii="Calibri" w:hAnsi="Calibri" w:cs="Calibri"/>
          <w:sz w:val="24"/>
          <w:szCs w:val="24"/>
        </w:rPr>
        <w:t xml:space="preserve">[insert </w:t>
      </w:r>
      <w:r w:rsidR="005B22D2" w:rsidRPr="008376FB">
        <w:rPr>
          <w:rFonts w:ascii="Calibri" w:hAnsi="Calibri" w:cs="Calibri"/>
          <w:b/>
          <w:bCs/>
          <w:sz w:val="24"/>
          <w:szCs w:val="24"/>
        </w:rPr>
        <w:t>Table 7</w:t>
      </w:r>
      <w:r w:rsidR="005B22D2" w:rsidRPr="008376FB">
        <w:rPr>
          <w:rFonts w:ascii="Calibri" w:hAnsi="Calibri" w:cs="Calibri"/>
          <w:sz w:val="24"/>
          <w:szCs w:val="24"/>
        </w:rPr>
        <w:t xml:space="preserve"> here]</w:t>
      </w:r>
    </w:p>
    <w:p w14:paraId="1561CE61" w14:textId="77777777" w:rsidR="008376FB" w:rsidRPr="008376FB" w:rsidRDefault="008376FB" w:rsidP="001654C4">
      <w:pPr>
        <w:spacing w:after="0" w:line="240" w:lineRule="auto"/>
        <w:jc w:val="both"/>
        <w:rPr>
          <w:rFonts w:ascii="Calibri" w:hAnsi="Calibri" w:cs="Calibri"/>
          <w:sz w:val="24"/>
          <w:szCs w:val="24"/>
        </w:rPr>
      </w:pPr>
    </w:p>
    <w:p w14:paraId="18052B62" w14:textId="2A389304" w:rsidR="00621612" w:rsidRPr="008376FB" w:rsidRDefault="00F4711D" w:rsidP="001654C4">
      <w:pPr>
        <w:pStyle w:val="ListParagraph"/>
        <w:numPr>
          <w:ilvl w:val="2"/>
          <w:numId w:val="23"/>
        </w:numPr>
        <w:spacing w:after="0" w:line="240" w:lineRule="auto"/>
        <w:ind w:left="0" w:firstLine="0"/>
        <w:jc w:val="both"/>
        <w:rPr>
          <w:rFonts w:ascii="Calibri" w:hAnsi="Calibri" w:cs="Calibri"/>
          <w:sz w:val="24"/>
          <w:szCs w:val="24"/>
        </w:rPr>
      </w:pPr>
      <w:r w:rsidRPr="008376FB">
        <w:rPr>
          <w:rFonts w:ascii="Calibri" w:hAnsi="Calibri" w:cs="Calibri"/>
          <w:sz w:val="24"/>
          <w:szCs w:val="24"/>
        </w:rPr>
        <w:lastRenderedPageBreak/>
        <w:t>Discard the contents of the plate and wash with 280 µL of PBS Tween 4 times with 1 mi</w:t>
      </w:r>
      <w:r w:rsidR="00CC1829">
        <w:rPr>
          <w:rFonts w:ascii="Calibri" w:hAnsi="Calibri" w:cs="Calibri"/>
          <w:sz w:val="24"/>
          <w:szCs w:val="24"/>
        </w:rPr>
        <w:t>n</w:t>
      </w:r>
      <w:r w:rsidRPr="008376FB">
        <w:rPr>
          <w:rFonts w:ascii="Calibri" w:hAnsi="Calibri" w:cs="Calibri"/>
          <w:sz w:val="24"/>
          <w:szCs w:val="24"/>
        </w:rPr>
        <w:t xml:space="preserve"> of shaking at 350 rpm between each wash</w:t>
      </w:r>
      <w:r w:rsidR="00544725" w:rsidRPr="008376FB">
        <w:rPr>
          <w:rFonts w:ascii="Calibri" w:hAnsi="Calibri" w:cs="Calibri"/>
          <w:sz w:val="24"/>
          <w:szCs w:val="24"/>
        </w:rPr>
        <w:t>.</w:t>
      </w:r>
    </w:p>
    <w:p w14:paraId="42B9C650"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113D03CD" w14:textId="551A7818" w:rsidR="00F4711D" w:rsidRPr="008376FB" w:rsidRDefault="00F4711D" w:rsidP="001654C4">
      <w:pPr>
        <w:pStyle w:val="ListParagraph"/>
        <w:numPr>
          <w:ilvl w:val="2"/>
          <w:numId w:val="23"/>
        </w:numPr>
        <w:spacing w:after="0" w:line="240" w:lineRule="auto"/>
        <w:ind w:left="0" w:firstLine="0"/>
        <w:jc w:val="both"/>
        <w:rPr>
          <w:rFonts w:ascii="Calibri" w:hAnsi="Calibri" w:cs="Calibri"/>
          <w:sz w:val="24"/>
          <w:szCs w:val="24"/>
        </w:rPr>
      </w:pPr>
      <w:r w:rsidRPr="008376FB">
        <w:rPr>
          <w:rFonts w:ascii="Calibri" w:hAnsi="Calibri" w:cs="Calibri"/>
          <w:sz w:val="24"/>
          <w:szCs w:val="24"/>
        </w:rPr>
        <w:t>Add 200 µL of</w:t>
      </w:r>
      <w:r w:rsidRPr="008376FB">
        <w:rPr>
          <w:rFonts w:ascii="Calibri" w:eastAsia="Times New Roman" w:hAnsi="Calibri" w:cs="Calibri"/>
          <w:sz w:val="24"/>
          <w:szCs w:val="24"/>
          <w:lang w:eastAsia="fr-FR"/>
        </w:rPr>
        <w:t xml:space="preserve"> BSA blocking buffer to each well</w:t>
      </w:r>
      <w:r w:rsidR="00544725" w:rsidRPr="008376FB">
        <w:rPr>
          <w:rFonts w:ascii="Calibri" w:eastAsia="Times New Roman" w:hAnsi="Calibri" w:cs="Calibri"/>
          <w:sz w:val="24"/>
          <w:szCs w:val="24"/>
          <w:lang w:eastAsia="fr-FR"/>
        </w:rPr>
        <w:t>.</w:t>
      </w:r>
    </w:p>
    <w:p w14:paraId="1F746851"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0F5C7F7B" w14:textId="77B84788" w:rsidR="00D60A3D" w:rsidRPr="008376FB" w:rsidRDefault="00F4711D" w:rsidP="001654C4">
      <w:pPr>
        <w:pStyle w:val="ListParagraph"/>
        <w:numPr>
          <w:ilvl w:val="2"/>
          <w:numId w:val="23"/>
        </w:numPr>
        <w:spacing w:after="0" w:line="240" w:lineRule="auto"/>
        <w:ind w:left="0" w:firstLine="0"/>
        <w:jc w:val="both"/>
        <w:rPr>
          <w:rFonts w:ascii="Calibri" w:hAnsi="Calibri" w:cs="Calibri"/>
          <w:sz w:val="24"/>
          <w:szCs w:val="24"/>
        </w:rPr>
      </w:pPr>
      <w:r w:rsidRPr="008376FB">
        <w:rPr>
          <w:rFonts w:ascii="Calibri" w:eastAsia="Times New Roman" w:hAnsi="Calibri" w:cs="Calibri"/>
          <w:sz w:val="24"/>
          <w:szCs w:val="24"/>
          <w:lang w:eastAsia="fr-FR"/>
        </w:rPr>
        <w:t xml:space="preserve">Seal the plate with aluminum foil and incubate on </w:t>
      </w:r>
      <w:r w:rsidR="00E57356">
        <w:rPr>
          <w:rFonts w:ascii="Calibri" w:eastAsia="Times New Roman" w:hAnsi="Calibri" w:cs="Calibri"/>
          <w:sz w:val="24"/>
          <w:szCs w:val="24"/>
          <w:lang w:eastAsia="fr-FR"/>
        </w:rPr>
        <w:t xml:space="preserve">a </w:t>
      </w:r>
      <w:r w:rsidRPr="008376FB">
        <w:rPr>
          <w:rFonts w:ascii="Calibri" w:eastAsia="Times New Roman" w:hAnsi="Calibri" w:cs="Calibri"/>
          <w:sz w:val="24"/>
          <w:szCs w:val="24"/>
          <w:lang w:eastAsia="fr-FR"/>
        </w:rPr>
        <w:t>shake</w:t>
      </w:r>
      <w:r w:rsidR="00E57356">
        <w:rPr>
          <w:rFonts w:ascii="Calibri" w:eastAsia="Times New Roman" w:hAnsi="Calibri" w:cs="Calibri"/>
          <w:sz w:val="24"/>
          <w:szCs w:val="24"/>
          <w:lang w:eastAsia="fr-FR"/>
        </w:rPr>
        <w:t>r</w:t>
      </w:r>
      <w:r w:rsidRPr="008376FB">
        <w:rPr>
          <w:rFonts w:ascii="Calibri" w:eastAsia="Times New Roman" w:hAnsi="Calibri" w:cs="Calibri"/>
          <w:sz w:val="24"/>
          <w:szCs w:val="24"/>
          <w:lang w:eastAsia="fr-FR"/>
        </w:rPr>
        <w:t xml:space="preserve"> at 500 rpm for a minimum of 1 h. In the meantime,</w:t>
      </w:r>
      <w:r w:rsidR="00C63ECE" w:rsidRPr="008376FB">
        <w:rPr>
          <w:rFonts w:ascii="Calibri" w:eastAsia="Times New Roman" w:hAnsi="Calibri" w:cs="Calibri"/>
          <w:sz w:val="24"/>
          <w:szCs w:val="24"/>
          <w:lang w:eastAsia="fr-FR"/>
        </w:rPr>
        <w:t xml:space="preserve"> thaw </w:t>
      </w:r>
      <w:r w:rsidR="005D0CEF" w:rsidRPr="008376FB">
        <w:rPr>
          <w:rFonts w:ascii="Calibri" w:eastAsia="Times New Roman" w:hAnsi="Calibri" w:cs="Calibri"/>
          <w:sz w:val="24"/>
          <w:szCs w:val="24"/>
          <w:lang w:eastAsia="fr-FR"/>
        </w:rPr>
        <w:t>and dilute samples (1:10 or 1:50)</w:t>
      </w:r>
      <w:r w:rsidR="00C63ECE" w:rsidRPr="008376FB">
        <w:rPr>
          <w:rFonts w:ascii="Calibri" w:eastAsia="Times New Roman" w:hAnsi="Calibri" w:cs="Calibri"/>
          <w:sz w:val="24"/>
          <w:szCs w:val="24"/>
          <w:lang w:eastAsia="fr-FR"/>
        </w:rPr>
        <w:t xml:space="preserve"> and</w:t>
      </w:r>
      <w:r w:rsidRPr="008376FB">
        <w:rPr>
          <w:rFonts w:ascii="Calibri" w:eastAsia="Times New Roman" w:hAnsi="Calibri" w:cs="Calibri"/>
          <w:sz w:val="24"/>
          <w:szCs w:val="24"/>
          <w:lang w:eastAsia="fr-FR"/>
        </w:rPr>
        <w:t xml:space="preserve"> prepare the standards dilutions as described </w:t>
      </w:r>
      <w:r w:rsidR="00D60A3D" w:rsidRPr="008376FB">
        <w:rPr>
          <w:rFonts w:ascii="Calibri" w:eastAsia="Times New Roman" w:hAnsi="Calibri" w:cs="Calibri"/>
          <w:sz w:val="24"/>
          <w:szCs w:val="24"/>
          <w:lang w:eastAsia="fr-FR"/>
        </w:rPr>
        <w:t xml:space="preserve">in </w:t>
      </w:r>
      <w:r w:rsidR="00D60A3D" w:rsidRPr="008376FB">
        <w:rPr>
          <w:rFonts w:ascii="Calibri" w:eastAsia="Times New Roman" w:hAnsi="Calibri" w:cs="Calibri"/>
          <w:b/>
          <w:bCs/>
          <w:sz w:val="24"/>
          <w:szCs w:val="24"/>
          <w:lang w:eastAsia="fr-FR"/>
        </w:rPr>
        <w:t>Table 8</w:t>
      </w:r>
      <w:r w:rsidR="00544725" w:rsidRPr="008376FB">
        <w:rPr>
          <w:rFonts w:ascii="Calibri" w:eastAsia="Times New Roman" w:hAnsi="Calibri" w:cs="Calibri"/>
          <w:sz w:val="24"/>
          <w:szCs w:val="24"/>
          <w:lang w:eastAsia="fr-FR"/>
        </w:rPr>
        <w:t>.</w:t>
      </w:r>
    </w:p>
    <w:p w14:paraId="4AC843F4"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3EA47C5B" w14:textId="31F17282" w:rsidR="000D1BD7" w:rsidRPr="008376FB" w:rsidRDefault="005B22D2" w:rsidP="001654C4">
      <w:pPr>
        <w:pStyle w:val="Caption"/>
        <w:spacing w:after="0"/>
        <w:jc w:val="both"/>
        <w:rPr>
          <w:rFonts w:ascii="Calibri" w:hAnsi="Calibri" w:cs="Calibri"/>
          <w:i w:val="0"/>
          <w:iCs w:val="0"/>
          <w:color w:val="auto"/>
          <w:sz w:val="24"/>
          <w:szCs w:val="24"/>
        </w:rPr>
      </w:pPr>
      <w:r w:rsidRPr="008376FB">
        <w:rPr>
          <w:rFonts w:ascii="Calibri" w:hAnsi="Calibri" w:cs="Calibri"/>
          <w:i w:val="0"/>
          <w:iCs w:val="0"/>
          <w:color w:val="auto"/>
          <w:sz w:val="24"/>
          <w:szCs w:val="24"/>
        </w:rPr>
        <w:t xml:space="preserve">[insert </w:t>
      </w:r>
      <w:r w:rsidRPr="008376FB">
        <w:rPr>
          <w:rFonts w:ascii="Calibri" w:hAnsi="Calibri" w:cs="Calibri"/>
          <w:b/>
          <w:bCs/>
          <w:i w:val="0"/>
          <w:iCs w:val="0"/>
          <w:color w:val="auto"/>
          <w:sz w:val="24"/>
          <w:szCs w:val="24"/>
        </w:rPr>
        <w:t>Table 8</w:t>
      </w:r>
      <w:r w:rsidRPr="008376FB">
        <w:rPr>
          <w:rFonts w:ascii="Calibri" w:hAnsi="Calibri" w:cs="Calibri"/>
          <w:i w:val="0"/>
          <w:iCs w:val="0"/>
          <w:color w:val="auto"/>
          <w:sz w:val="24"/>
          <w:szCs w:val="24"/>
        </w:rPr>
        <w:t xml:space="preserve"> here]</w:t>
      </w:r>
    </w:p>
    <w:p w14:paraId="12298822" w14:textId="77777777" w:rsidR="008376FB" w:rsidRPr="008376FB" w:rsidRDefault="008376FB" w:rsidP="001654C4">
      <w:pPr>
        <w:spacing w:after="0" w:line="240" w:lineRule="auto"/>
        <w:jc w:val="both"/>
        <w:rPr>
          <w:rFonts w:ascii="Calibri" w:hAnsi="Calibri" w:cs="Calibri"/>
          <w:sz w:val="24"/>
          <w:szCs w:val="24"/>
        </w:rPr>
      </w:pPr>
    </w:p>
    <w:p w14:paraId="6B7EC963" w14:textId="60982F46" w:rsidR="007C6B85" w:rsidRPr="008376FB" w:rsidRDefault="007C6B85" w:rsidP="001654C4">
      <w:pPr>
        <w:pStyle w:val="ListParagraph"/>
        <w:numPr>
          <w:ilvl w:val="2"/>
          <w:numId w:val="23"/>
        </w:numPr>
        <w:spacing w:after="0" w:line="240" w:lineRule="auto"/>
        <w:ind w:left="0" w:firstLine="0"/>
        <w:jc w:val="both"/>
        <w:rPr>
          <w:rFonts w:ascii="Calibri" w:hAnsi="Calibri" w:cs="Calibri"/>
          <w:sz w:val="24"/>
          <w:szCs w:val="24"/>
        </w:rPr>
      </w:pPr>
      <w:r w:rsidRPr="008376FB">
        <w:rPr>
          <w:rFonts w:ascii="Calibri" w:hAnsi="Calibri" w:cs="Calibri"/>
          <w:sz w:val="24"/>
          <w:szCs w:val="24"/>
        </w:rPr>
        <w:t>Discard the contents of the plate and wash with 280 µL of PBS Tween 4 times with 1 min of shaking at 350 rpm between each wash</w:t>
      </w:r>
      <w:r w:rsidR="00544725" w:rsidRPr="008376FB">
        <w:rPr>
          <w:rFonts w:ascii="Calibri" w:hAnsi="Calibri" w:cs="Calibri"/>
          <w:sz w:val="24"/>
          <w:szCs w:val="24"/>
        </w:rPr>
        <w:t>.</w:t>
      </w:r>
    </w:p>
    <w:p w14:paraId="3DA481A4"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4B6674A6" w14:textId="591EFB75" w:rsidR="00C63ECE" w:rsidRPr="008376FB" w:rsidRDefault="00C63ECE" w:rsidP="001654C4">
      <w:pPr>
        <w:pStyle w:val="ListParagraph"/>
        <w:numPr>
          <w:ilvl w:val="2"/>
          <w:numId w:val="23"/>
        </w:numPr>
        <w:spacing w:after="0" w:line="240" w:lineRule="auto"/>
        <w:ind w:left="0" w:firstLine="0"/>
        <w:jc w:val="both"/>
        <w:rPr>
          <w:rFonts w:ascii="Calibri" w:hAnsi="Calibri" w:cs="Calibri"/>
          <w:sz w:val="24"/>
          <w:szCs w:val="24"/>
        </w:rPr>
      </w:pPr>
      <w:r w:rsidRPr="008376FB">
        <w:rPr>
          <w:rFonts w:ascii="Calibri" w:hAnsi="Calibri" w:cs="Calibri"/>
          <w:sz w:val="24"/>
          <w:szCs w:val="24"/>
        </w:rPr>
        <w:t xml:space="preserve">Add 50 µL of </w:t>
      </w:r>
      <w:r w:rsidR="007C6B85" w:rsidRPr="008376FB">
        <w:rPr>
          <w:rFonts w:ascii="Calibri" w:hAnsi="Calibri" w:cs="Calibri"/>
          <w:sz w:val="24"/>
          <w:szCs w:val="24"/>
        </w:rPr>
        <w:t xml:space="preserve">standard </w:t>
      </w:r>
      <w:r w:rsidR="00B44FBC" w:rsidRPr="008376FB">
        <w:rPr>
          <w:rFonts w:ascii="Calibri" w:hAnsi="Calibri" w:cs="Calibri"/>
          <w:sz w:val="24"/>
          <w:szCs w:val="24"/>
        </w:rPr>
        <w:t xml:space="preserve">or </w:t>
      </w:r>
      <w:r w:rsidR="005D0CEF" w:rsidRPr="008376FB">
        <w:rPr>
          <w:rFonts w:ascii="Calibri" w:hAnsi="Calibri" w:cs="Calibri"/>
          <w:sz w:val="24"/>
          <w:szCs w:val="24"/>
        </w:rPr>
        <w:t>diluted samples</w:t>
      </w:r>
      <w:r w:rsidR="00BA53A0" w:rsidRPr="008376FB">
        <w:rPr>
          <w:rFonts w:ascii="Calibri" w:hAnsi="Calibri" w:cs="Calibri"/>
          <w:sz w:val="24"/>
          <w:szCs w:val="24"/>
        </w:rPr>
        <w:t>, seal the plate</w:t>
      </w:r>
      <w:r w:rsidR="00E57356">
        <w:rPr>
          <w:rFonts w:ascii="Calibri" w:hAnsi="Calibri" w:cs="Calibri"/>
          <w:sz w:val="24"/>
          <w:szCs w:val="24"/>
        </w:rPr>
        <w:t>,</w:t>
      </w:r>
      <w:r w:rsidRPr="008376FB">
        <w:rPr>
          <w:rFonts w:ascii="Calibri" w:hAnsi="Calibri" w:cs="Calibri"/>
          <w:sz w:val="24"/>
          <w:szCs w:val="24"/>
        </w:rPr>
        <w:t xml:space="preserve"> and incubate</w:t>
      </w:r>
      <w:r w:rsidR="007C6B85" w:rsidRPr="008376FB">
        <w:rPr>
          <w:rFonts w:ascii="Calibri" w:hAnsi="Calibri" w:cs="Calibri"/>
          <w:sz w:val="24"/>
          <w:szCs w:val="24"/>
        </w:rPr>
        <w:t xml:space="preserve"> at 300 </w:t>
      </w:r>
      <w:r w:rsidR="00C10FE3" w:rsidRPr="008376FB">
        <w:rPr>
          <w:rFonts w:ascii="Calibri" w:hAnsi="Calibri" w:cs="Calibri"/>
          <w:sz w:val="24"/>
          <w:szCs w:val="24"/>
        </w:rPr>
        <w:t>rpm</w:t>
      </w:r>
      <w:r w:rsidRPr="008376FB">
        <w:rPr>
          <w:rFonts w:ascii="Calibri" w:hAnsi="Calibri" w:cs="Calibri"/>
          <w:sz w:val="24"/>
          <w:szCs w:val="24"/>
        </w:rPr>
        <w:t xml:space="preserve"> for 1 h at RT</w:t>
      </w:r>
      <w:r w:rsidR="00544725" w:rsidRPr="008376FB">
        <w:rPr>
          <w:rFonts w:ascii="Calibri" w:hAnsi="Calibri" w:cs="Calibri"/>
          <w:sz w:val="24"/>
          <w:szCs w:val="24"/>
        </w:rPr>
        <w:t>.</w:t>
      </w:r>
    </w:p>
    <w:p w14:paraId="1DAAA4E5"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17DFF99F" w14:textId="6B970758" w:rsidR="007C6B85" w:rsidRPr="008376FB" w:rsidRDefault="007C6B85" w:rsidP="001654C4">
      <w:pPr>
        <w:pStyle w:val="ListParagraph"/>
        <w:numPr>
          <w:ilvl w:val="2"/>
          <w:numId w:val="23"/>
        </w:numPr>
        <w:spacing w:after="0" w:line="240" w:lineRule="auto"/>
        <w:ind w:left="0" w:firstLine="0"/>
        <w:jc w:val="both"/>
        <w:rPr>
          <w:rFonts w:ascii="Calibri" w:hAnsi="Calibri" w:cs="Calibri"/>
          <w:sz w:val="24"/>
          <w:szCs w:val="24"/>
        </w:rPr>
      </w:pPr>
      <w:r w:rsidRPr="008376FB">
        <w:rPr>
          <w:rFonts w:ascii="Calibri" w:hAnsi="Calibri" w:cs="Calibri"/>
          <w:sz w:val="24"/>
          <w:szCs w:val="24"/>
        </w:rPr>
        <w:t>During incubation, bring the QuantaBlu reagents to RT</w:t>
      </w:r>
      <w:r w:rsidR="00E06399" w:rsidRPr="008376FB">
        <w:rPr>
          <w:rFonts w:ascii="Calibri" w:hAnsi="Calibri" w:cs="Calibri"/>
          <w:sz w:val="24"/>
          <w:szCs w:val="24"/>
        </w:rPr>
        <w:t xml:space="preserve"> and prepare the working solution as described in </w:t>
      </w:r>
      <w:r w:rsidR="00E06399" w:rsidRPr="008376FB">
        <w:rPr>
          <w:rFonts w:ascii="Calibri" w:hAnsi="Calibri" w:cs="Calibri"/>
          <w:b/>
          <w:bCs/>
          <w:sz w:val="24"/>
          <w:szCs w:val="24"/>
        </w:rPr>
        <w:t>Table 9</w:t>
      </w:r>
      <w:r w:rsidR="00544725" w:rsidRPr="008376FB">
        <w:rPr>
          <w:rFonts w:ascii="Calibri" w:hAnsi="Calibri" w:cs="Calibri"/>
          <w:sz w:val="24"/>
          <w:szCs w:val="24"/>
        </w:rPr>
        <w:t>.</w:t>
      </w:r>
    </w:p>
    <w:p w14:paraId="2F5BB565"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7AEA48B5" w14:textId="1FB1749F" w:rsidR="008376FB" w:rsidRPr="008376FB" w:rsidRDefault="00FC5750" w:rsidP="001654C4">
      <w:pPr>
        <w:pStyle w:val="Caption"/>
        <w:spacing w:after="0"/>
        <w:jc w:val="both"/>
        <w:rPr>
          <w:rFonts w:ascii="Calibri" w:hAnsi="Calibri" w:cs="Calibri"/>
          <w:i w:val="0"/>
          <w:iCs w:val="0"/>
          <w:color w:val="auto"/>
          <w:sz w:val="24"/>
          <w:szCs w:val="24"/>
        </w:rPr>
      </w:pPr>
      <w:r w:rsidRPr="008376FB">
        <w:rPr>
          <w:rFonts w:ascii="Calibri" w:hAnsi="Calibri" w:cs="Calibri"/>
          <w:i w:val="0"/>
          <w:iCs w:val="0"/>
          <w:color w:val="auto"/>
          <w:sz w:val="24"/>
          <w:szCs w:val="24"/>
        </w:rPr>
        <w:t>[inse</w:t>
      </w:r>
      <w:r w:rsidR="008067BB" w:rsidRPr="008376FB">
        <w:rPr>
          <w:rFonts w:ascii="Calibri" w:hAnsi="Calibri" w:cs="Calibri"/>
          <w:i w:val="0"/>
          <w:iCs w:val="0"/>
          <w:color w:val="auto"/>
          <w:sz w:val="24"/>
          <w:szCs w:val="24"/>
        </w:rPr>
        <w:t>r</w:t>
      </w:r>
      <w:r w:rsidRPr="008376FB">
        <w:rPr>
          <w:rFonts w:ascii="Calibri" w:hAnsi="Calibri" w:cs="Calibri"/>
          <w:i w:val="0"/>
          <w:iCs w:val="0"/>
          <w:color w:val="auto"/>
          <w:sz w:val="24"/>
          <w:szCs w:val="24"/>
        </w:rPr>
        <w:t xml:space="preserve">t </w:t>
      </w:r>
      <w:r w:rsidRPr="008376FB">
        <w:rPr>
          <w:rFonts w:ascii="Calibri" w:hAnsi="Calibri" w:cs="Calibri"/>
          <w:b/>
          <w:bCs/>
          <w:i w:val="0"/>
          <w:iCs w:val="0"/>
          <w:color w:val="auto"/>
          <w:sz w:val="24"/>
          <w:szCs w:val="24"/>
        </w:rPr>
        <w:t>Table 9</w:t>
      </w:r>
      <w:r w:rsidRPr="008376FB">
        <w:rPr>
          <w:rFonts w:ascii="Calibri" w:hAnsi="Calibri" w:cs="Calibri"/>
          <w:i w:val="0"/>
          <w:iCs w:val="0"/>
          <w:color w:val="auto"/>
          <w:sz w:val="24"/>
          <w:szCs w:val="24"/>
        </w:rPr>
        <w:t xml:space="preserve"> here]</w:t>
      </w:r>
    </w:p>
    <w:p w14:paraId="3F3F34F3" w14:textId="77777777" w:rsidR="008376FB" w:rsidRPr="008376FB" w:rsidRDefault="008376FB" w:rsidP="001654C4">
      <w:pPr>
        <w:spacing w:after="0" w:line="240" w:lineRule="auto"/>
        <w:jc w:val="both"/>
        <w:rPr>
          <w:rFonts w:ascii="Calibri" w:hAnsi="Calibri" w:cs="Calibri"/>
          <w:sz w:val="24"/>
          <w:szCs w:val="24"/>
        </w:rPr>
      </w:pPr>
    </w:p>
    <w:p w14:paraId="12A17D93" w14:textId="013DCBA5" w:rsidR="00C63ECE" w:rsidRPr="008376FB" w:rsidRDefault="00C63ECE" w:rsidP="001654C4">
      <w:pPr>
        <w:pStyle w:val="ListParagraph"/>
        <w:numPr>
          <w:ilvl w:val="2"/>
          <w:numId w:val="23"/>
        </w:numPr>
        <w:spacing w:after="0" w:line="240" w:lineRule="auto"/>
        <w:ind w:left="0" w:firstLine="0"/>
        <w:jc w:val="both"/>
        <w:rPr>
          <w:rFonts w:ascii="Calibri" w:hAnsi="Calibri" w:cs="Calibri"/>
          <w:sz w:val="24"/>
          <w:szCs w:val="24"/>
        </w:rPr>
      </w:pPr>
      <w:r w:rsidRPr="008376FB">
        <w:rPr>
          <w:rFonts w:ascii="Calibri" w:hAnsi="Calibri" w:cs="Calibri"/>
          <w:sz w:val="24"/>
          <w:szCs w:val="24"/>
        </w:rPr>
        <w:t>Discard the contents of the plate and wash with 280 µL of PBS Tween 4 times with 1 min of shaking at 350 rpm between each wash</w:t>
      </w:r>
      <w:r w:rsidR="00544725" w:rsidRPr="008376FB">
        <w:rPr>
          <w:rFonts w:ascii="Calibri" w:hAnsi="Calibri" w:cs="Calibri"/>
          <w:sz w:val="24"/>
          <w:szCs w:val="24"/>
        </w:rPr>
        <w:t>.</w:t>
      </w:r>
    </w:p>
    <w:p w14:paraId="564330C7"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5B6EF138" w14:textId="0A81A6E1" w:rsidR="008376FB" w:rsidRPr="008376FB" w:rsidRDefault="00D446D3" w:rsidP="001654C4">
      <w:pPr>
        <w:pStyle w:val="ListParagraph"/>
        <w:numPr>
          <w:ilvl w:val="2"/>
          <w:numId w:val="23"/>
        </w:numPr>
        <w:spacing w:after="0" w:line="240" w:lineRule="auto"/>
        <w:ind w:left="0" w:firstLine="0"/>
        <w:jc w:val="both"/>
        <w:rPr>
          <w:rFonts w:ascii="Calibri" w:hAnsi="Calibri" w:cs="Calibri"/>
          <w:sz w:val="24"/>
          <w:szCs w:val="24"/>
        </w:rPr>
      </w:pPr>
      <w:r w:rsidRPr="008376FB">
        <w:rPr>
          <w:rFonts w:ascii="Calibri" w:hAnsi="Calibri" w:cs="Calibri"/>
          <w:sz w:val="24"/>
          <w:szCs w:val="24"/>
        </w:rPr>
        <w:t xml:space="preserve">Add 100 µL of QuantaBlu </w:t>
      </w:r>
      <w:r w:rsidR="00437CD6" w:rsidRPr="008376FB">
        <w:rPr>
          <w:rFonts w:ascii="Calibri" w:hAnsi="Calibri" w:cs="Calibri"/>
          <w:sz w:val="24"/>
          <w:szCs w:val="24"/>
        </w:rPr>
        <w:t xml:space="preserve">Working Solution </w:t>
      </w:r>
      <w:r w:rsidRPr="008376FB">
        <w:rPr>
          <w:rFonts w:ascii="Calibri" w:hAnsi="Calibri" w:cs="Calibri"/>
          <w:sz w:val="24"/>
          <w:szCs w:val="24"/>
        </w:rPr>
        <w:t>to each well at RT or 37 °C</w:t>
      </w:r>
      <w:r w:rsidR="00F5422D" w:rsidRPr="008376FB">
        <w:rPr>
          <w:rFonts w:ascii="Calibri" w:hAnsi="Calibri" w:cs="Calibri"/>
          <w:sz w:val="24"/>
          <w:szCs w:val="24"/>
        </w:rPr>
        <w:t xml:space="preserve"> </w:t>
      </w:r>
      <w:r w:rsidR="00C10FE3" w:rsidRPr="008376FB">
        <w:rPr>
          <w:rFonts w:ascii="Calibri" w:hAnsi="Calibri" w:cs="Calibri"/>
          <w:sz w:val="24"/>
          <w:szCs w:val="24"/>
        </w:rPr>
        <w:t>(1</w:t>
      </w:r>
      <w:r w:rsidR="00E57356">
        <w:rPr>
          <w:rFonts w:ascii="Calibri" w:hAnsi="Calibri" w:cs="Calibri"/>
          <w:sz w:val="24"/>
          <w:szCs w:val="24"/>
        </w:rPr>
        <w:t>.</w:t>
      </w:r>
      <w:r w:rsidR="00C10FE3" w:rsidRPr="008376FB">
        <w:rPr>
          <w:rFonts w:ascii="Calibri" w:hAnsi="Calibri" w:cs="Calibri"/>
          <w:sz w:val="24"/>
          <w:szCs w:val="24"/>
        </w:rPr>
        <w:t>5</w:t>
      </w:r>
      <w:r w:rsidR="00E57356">
        <w:rPr>
          <w:rFonts w:ascii="Calibri" w:hAnsi="Calibri" w:cs="Calibri"/>
          <w:sz w:val="24"/>
          <w:szCs w:val="24"/>
        </w:rPr>
        <w:t>–</w:t>
      </w:r>
      <w:r w:rsidR="00C10FE3" w:rsidRPr="008376FB">
        <w:rPr>
          <w:rFonts w:ascii="Calibri" w:hAnsi="Calibri" w:cs="Calibri"/>
          <w:sz w:val="24"/>
          <w:szCs w:val="24"/>
        </w:rPr>
        <w:t>90 min</w:t>
      </w:r>
      <w:r w:rsidR="009E5281">
        <w:rPr>
          <w:rFonts w:ascii="Calibri" w:hAnsi="Calibri" w:cs="Calibri"/>
          <w:sz w:val="24"/>
          <w:szCs w:val="24"/>
        </w:rPr>
        <w:t xml:space="preserve">, </w:t>
      </w:r>
      <w:r w:rsidR="00C10FE3" w:rsidRPr="008376FB">
        <w:rPr>
          <w:rFonts w:ascii="Calibri" w:hAnsi="Calibri" w:cs="Calibri"/>
          <w:sz w:val="24"/>
          <w:szCs w:val="24"/>
        </w:rPr>
        <w:t>30 min on average)</w:t>
      </w:r>
      <w:r w:rsidR="00544725" w:rsidRPr="008376FB">
        <w:rPr>
          <w:rFonts w:ascii="Calibri" w:hAnsi="Calibri" w:cs="Calibri"/>
          <w:sz w:val="24"/>
          <w:szCs w:val="24"/>
        </w:rPr>
        <w:t>.</w:t>
      </w:r>
    </w:p>
    <w:p w14:paraId="63CCB4C5" w14:textId="2A3475A8" w:rsidR="008376FB" w:rsidRPr="008376FB" w:rsidRDefault="00BA53A0" w:rsidP="001654C4">
      <w:pPr>
        <w:pStyle w:val="ListParagraph"/>
        <w:spacing w:after="0" w:line="240" w:lineRule="auto"/>
        <w:ind w:left="0"/>
        <w:jc w:val="both"/>
        <w:rPr>
          <w:rFonts w:ascii="Calibri" w:hAnsi="Calibri" w:cs="Calibri"/>
          <w:sz w:val="24"/>
          <w:szCs w:val="24"/>
        </w:rPr>
      </w:pPr>
      <w:r w:rsidRPr="008376FB">
        <w:rPr>
          <w:rFonts w:ascii="Calibri" w:hAnsi="Calibri" w:cs="Calibri"/>
          <w:sz w:val="24"/>
          <w:szCs w:val="24"/>
        </w:rPr>
        <w:br/>
        <w:t>NOTE: Assay progress can be followed by the appearance of a strong blue fluorescence under a UV light source.</w:t>
      </w:r>
    </w:p>
    <w:p w14:paraId="30A9E105"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4FBC8065" w14:textId="1EF03E5A" w:rsidR="00F5422D" w:rsidRPr="008376FB" w:rsidRDefault="00F5422D" w:rsidP="001654C4">
      <w:pPr>
        <w:pStyle w:val="ListParagraph"/>
        <w:numPr>
          <w:ilvl w:val="2"/>
          <w:numId w:val="23"/>
        </w:numPr>
        <w:spacing w:after="0" w:line="240" w:lineRule="auto"/>
        <w:ind w:left="0" w:firstLine="0"/>
        <w:jc w:val="both"/>
        <w:rPr>
          <w:rFonts w:ascii="Calibri" w:hAnsi="Calibri" w:cs="Calibri"/>
          <w:sz w:val="24"/>
          <w:szCs w:val="24"/>
        </w:rPr>
      </w:pPr>
      <w:r w:rsidRPr="008376FB">
        <w:rPr>
          <w:rFonts w:ascii="Calibri" w:hAnsi="Calibri" w:cs="Calibri"/>
          <w:sz w:val="24"/>
          <w:szCs w:val="24"/>
        </w:rPr>
        <w:t xml:space="preserve">Add 100 µL of QuantaBlu Stop Solution to each well to stop the peroxidase activity. Seal plate </w:t>
      </w:r>
      <w:r w:rsidR="00C10FE3" w:rsidRPr="008376FB">
        <w:rPr>
          <w:rFonts w:ascii="Calibri" w:hAnsi="Calibri" w:cs="Calibri"/>
          <w:sz w:val="24"/>
          <w:szCs w:val="24"/>
        </w:rPr>
        <w:t>and incubate for 10 min at RT under agitation at 350 rpm</w:t>
      </w:r>
      <w:r w:rsidR="00544725" w:rsidRPr="008376FB">
        <w:rPr>
          <w:rFonts w:ascii="Calibri" w:hAnsi="Calibri" w:cs="Calibri"/>
          <w:sz w:val="24"/>
          <w:szCs w:val="24"/>
        </w:rPr>
        <w:t>.</w:t>
      </w:r>
    </w:p>
    <w:p w14:paraId="232AB267" w14:textId="77777777" w:rsidR="008376FB" w:rsidRPr="008376FB" w:rsidRDefault="008376FB" w:rsidP="001654C4">
      <w:pPr>
        <w:pStyle w:val="ListParagraph"/>
        <w:spacing w:after="0" w:line="240" w:lineRule="auto"/>
        <w:ind w:left="0"/>
        <w:jc w:val="both"/>
        <w:rPr>
          <w:rFonts w:ascii="Calibri" w:hAnsi="Calibri" w:cs="Calibri"/>
          <w:sz w:val="24"/>
          <w:szCs w:val="24"/>
        </w:rPr>
      </w:pPr>
    </w:p>
    <w:p w14:paraId="47138B7F" w14:textId="511CE68D" w:rsidR="008376FB" w:rsidRPr="008376FB" w:rsidRDefault="00F5422D" w:rsidP="001654C4">
      <w:pPr>
        <w:pStyle w:val="ListParagraph"/>
        <w:numPr>
          <w:ilvl w:val="2"/>
          <w:numId w:val="23"/>
        </w:numPr>
        <w:spacing w:after="0" w:line="240" w:lineRule="auto"/>
        <w:ind w:left="0" w:firstLine="0"/>
        <w:jc w:val="both"/>
        <w:rPr>
          <w:rFonts w:ascii="Calibri" w:hAnsi="Calibri" w:cs="Calibri"/>
          <w:b/>
          <w:bCs/>
          <w:sz w:val="24"/>
          <w:szCs w:val="24"/>
        </w:rPr>
      </w:pPr>
      <w:r w:rsidRPr="008376FB">
        <w:rPr>
          <w:rFonts w:ascii="Calibri" w:hAnsi="Calibri" w:cs="Calibri"/>
          <w:sz w:val="24"/>
          <w:szCs w:val="24"/>
        </w:rPr>
        <w:t>Using a plate reader</w:t>
      </w:r>
      <w:r w:rsidR="009E5281">
        <w:rPr>
          <w:rFonts w:ascii="Calibri" w:hAnsi="Calibri" w:cs="Calibri"/>
          <w:sz w:val="24"/>
          <w:szCs w:val="24"/>
        </w:rPr>
        <w:t>,</w:t>
      </w:r>
      <w:r w:rsidRPr="008376FB">
        <w:rPr>
          <w:rFonts w:ascii="Calibri" w:hAnsi="Calibri" w:cs="Calibri"/>
          <w:sz w:val="24"/>
          <w:szCs w:val="24"/>
        </w:rPr>
        <w:t xml:space="preserve"> set the excitation wavelength to 315 nm and emission to 470 nm</w:t>
      </w:r>
      <w:r w:rsidR="00043776" w:rsidRPr="008376FB">
        <w:rPr>
          <w:rFonts w:ascii="Calibri" w:hAnsi="Calibri" w:cs="Calibri"/>
          <w:sz w:val="24"/>
          <w:szCs w:val="24"/>
        </w:rPr>
        <w:t>.</w:t>
      </w:r>
      <w:r w:rsidRPr="008376FB">
        <w:rPr>
          <w:rFonts w:ascii="Calibri" w:hAnsi="Calibri" w:cs="Calibri"/>
          <w:sz w:val="24"/>
          <w:szCs w:val="24"/>
        </w:rPr>
        <w:t xml:space="preserve"> </w:t>
      </w:r>
      <w:r w:rsidR="00043776" w:rsidRPr="008376FB">
        <w:rPr>
          <w:rFonts w:ascii="Calibri" w:hAnsi="Calibri" w:cs="Calibri"/>
          <w:sz w:val="24"/>
          <w:szCs w:val="24"/>
        </w:rPr>
        <w:t>R</w:t>
      </w:r>
      <w:r w:rsidRPr="008376FB">
        <w:rPr>
          <w:rFonts w:ascii="Calibri" w:hAnsi="Calibri" w:cs="Calibri"/>
          <w:sz w:val="24"/>
          <w:szCs w:val="24"/>
        </w:rPr>
        <w:t>ead the plate as soon as possible.</w:t>
      </w:r>
    </w:p>
    <w:p w14:paraId="5689E2A0" w14:textId="0A414D14" w:rsidR="008376FB" w:rsidRPr="008376FB" w:rsidRDefault="00F5422D" w:rsidP="001654C4">
      <w:pPr>
        <w:pStyle w:val="ListParagraph"/>
        <w:spacing w:after="0" w:line="240" w:lineRule="auto"/>
        <w:ind w:left="0"/>
        <w:jc w:val="both"/>
        <w:rPr>
          <w:rFonts w:ascii="Calibri" w:hAnsi="Calibri" w:cs="Calibri"/>
          <w:sz w:val="24"/>
          <w:szCs w:val="24"/>
        </w:rPr>
      </w:pPr>
      <w:r w:rsidRPr="008376FB">
        <w:rPr>
          <w:rFonts w:ascii="Calibri" w:hAnsi="Calibri" w:cs="Calibri"/>
          <w:sz w:val="24"/>
          <w:szCs w:val="24"/>
        </w:rPr>
        <w:br/>
        <w:t xml:space="preserve">NOTE: </w:t>
      </w:r>
      <w:r w:rsidR="009E5281">
        <w:rPr>
          <w:rFonts w:ascii="Calibri" w:hAnsi="Calibri" w:cs="Calibri"/>
          <w:sz w:val="24"/>
          <w:szCs w:val="24"/>
        </w:rPr>
        <w:t>R</w:t>
      </w:r>
      <w:r w:rsidRPr="008376FB">
        <w:rPr>
          <w:rFonts w:ascii="Calibri" w:hAnsi="Calibri" w:cs="Calibri"/>
          <w:sz w:val="24"/>
          <w:szCs w:val="24"/>
        </w:rPr>
        <w:t>eading the plate at both optimal gain and with a manually set gain is advised to facilitate inter-plate values comparison and allow for interpolation of data if a mistake was made during standards dilutions</w:t>
      </w:r>
      <w:r w:rsidR="00544725" w:rsidRPr="008376FB">
        <w:rPr>
          <w:rFonts w:ascii="Calibri" w:hAnsi="Calibri" w:cs="Calibri"/>
          <w:sz w:val="24"/>
          <w:szCs w:val="24"/>
        </w:rPr>
        <w:t>.</w:t>
      </w:r>
      <w:r w:rsidR="009E5281">
        <w:rPr>
          <w:rFonts w:ascii="Calibri" w:hAnsi="Calibri" w:cs="Calibri"/>
          <w:sz w:val="24"/>
          <w:szCs w:val="24"/>
        </w:rPr>
        <w:t xml:space="preserve"> </w:t>
      </w:r>
      <w:r w:rsidR="00257862" w:rsidRPr="008376FB">
        <w:rPr>
          <w:rFonts w:ascii="Calibri" w:hAnsi="Calibri" w:cs="Calibri"/>
          <w:sz w:val="24"/>
          <w:szCs w:val="24"/>
        </w:rPr>
        <w:t>Alternatively to the QuantaBlu Fluorogenic Peroxidase Substrate kit, other peroxidase substrates such as Tetramethylbenzidine can be used (measured at 450 or 650 nm with or without the use of stop solution</w:t>
      </w:r>
      <w:r w:rsidR="009E5281">
        <w:rPr>
          <w:rFonts w:ascii="Calibri" w:hAnsi="Calibri" w:cs="Calibri"/>
          <w:sz w:val="24"/>
          <w:szCs w:val="24"/>
        </w:rPr>
        <w:t>,</w:t>
      </w:r>
      <w:r w:rsidR="00257862" w:rsidRPr="008376FB">
        <w:rPr>
          <w:rFonts w:ascii="Calibri" w:hAnsi="Calibri" w:cs="Calibri"/>
          <w:sz w:val="24"/>
          <w:szCs w:val="24"/>
        </w:rPr>
        <w:t xml:space="preserve"> respectively)</w:t>
      </w:r>
      <w:r w:rsidR="009E5281">
        <w:rPr>
          <w:rFonts w:ascii="Calibri" w:hAnsi="Calibri" w:cs="Calibri"/>
          <w:sz w:val="24"/>
          <w:szCs w:val="24"/>
        </w:rPr>
        <w:t>,</w:t>
      </w:r>
      <w:r w:rsidR="00257862" w:rsidRPr="008376FB">
        <w:rPr>
          <w:rFonts w:ascii="Calibri" w:hAnsi="Calibri" w:cs="Calibri"/>
          <w:sz w:val="24"/>
          <w:szCs w:val="24"/>
        </w:rPr>
        <w:t xml:space="preserve"> </w:t>
      </w:r>
      <w:r w:rsidR="00763386" w:rsidRPr="008376FB">
        <w:rPr>
          <w:rFonts w:ascii="Calibri" w:hAnsi="Calibri" w:cs="Calibri"/>
          <w:sz w:val="24"/>
          <w:szCs w:val="24"/>
        </w:rPr>
        <w:t xml:space="preserve">but </w:t>
      </w:r>
      <w:r w:rsidR="008067BB" w:rsidRPr="008376FB">
        <w:rPr>
          <w:rFonts w:ascii="Calibri" w:hAnsi="Calibri" w:cs="Calibri"/>
          <w:sz w:val="24"/>
          <w:szCs w:val="24"/>
        </w:rPr>
        <w:t>use of this alternative</w:t>
      </w:r>
      <w:r w:rsidR="00763386" w:rsidRPr="008376FB">
        <w:rPr>
          <w:rFonts w:ascii="Calibri" w:hAnsi="Calibri" w:cs="Calibri"/>
          <w:sz w:val="24"/>
          <w:szCs w:val="24"/>
        </w:rPr>
        <w:t xml:space="preserve"> comes at the cost of lower sensitivity.</w:t>
      </w:r>
    </w:p>
    <w:p w14:paraId="660750D2" w14:textId="77777777" w:rsidR="00D2639F" w:rsidRPr="00583970" w:rsidRDefault="00D2639F" w:rsidP="001654C4">
      <w:pPr>
        <w:pStyle w:val="ListParagraph"/>
        <w:spacing w:after="0" w:line="240" w:lineRule="auto"/>
        <w:ind w:left="0"/>
        <w:jc w:val="both"/>
        <w:rPr>
          <w:rFonts w:ascii="Calibri" w:hAnsi="Calibri" w:cs="Calibri"/>
          <w:b/>
          <w:bCs/>
          <w:sz w:val="24"/>
          <w:szCs w:val="24"/>
        </w:rPr>
      </w:pPr>
    </w:p>
    <w:p w14:paraId="1F95E69B" w14:textId="0D9B69E8" w:rsidR="00A31108" w:rsidRPr="00583970" w:rsidRDefault="00D515A7" w:rsidP="001654C4">
      <w:pPr>
        <w:spacing w:after="0" w:line="240" w:lineRule="auto"/>
        <w:jc w:val="both"/>
        <w:rPr>
          <w:rFonts w:ascii="Calibri" w:hAnsi="Calibri" w:cs="Calibri"/>
          <w:b/>
          <w:bCs/>
          <w:sz w:val="24"/>
          <w:szCs w:val="24"/>
        </w:rPr>
      </w:pPr>
      <w:r w:rsidRPr="00583970">
        <w:rPr>
          <w:rFonts w:ascii="Calibri" w:hAnsi="Calibri" w:cs="Calibri"/>
          <w:b/>
          <w:bCs/>
          <w:sz w:val="24"/>
          <w:szCs w:val="24"/>
        </w:rPr>
        <w:lastRenderedPageBreak/>
        <w:t>REPRESENTATIVE RESULTS:</w:t>
      </w:r>
    </w:p>
    <w:p w14:paraId="7249716F" w14:textId="77777777" w:rsidR="0097458A" w:rsidRDefault="0097458A" w:rsidP="0097458A">
      <w:pPr>
        <w:pStyle w:val="ListParagraph"/>
        <w:spacing w:after="0" w:line="240" w:lineRule="auto"/>
        <w:ind w:left="0"/>
        <w:jc w:val="both"/>
        <w:rPr>
          <w:rFonts w:ascii="Calibri" w:hAnsi="Calibri" w:cs="Calibri"/>
          <w:sz w:val="24"/>
          <w:szCs w:val="24"/>
        </w:rPr>
      </w:pPr>
    </w:p>
    <w:p w14:paraId="7D56090D" w14:textId="2598CEFC" w:rsidR="008D2812" w:rsidRPr="0097458A" w:rsidRDefault="008D2812" w:rsidP="0097458A">
      <w:pPr>
        <w:pStyle w:val="ListParagraph"/>
        <w:spacing w:after="0" w:line="240" w:lineRule="auto"/>
        <w:ind w:left="0"/>
        <w:jc w:val="both"/>
        <w:rPr>
          <w:rFonts w:ascii="Calibri" w:hAnsi="Calibri" w:cs="Calibri"/>
          <w:b/>
          <w:bCs/>
          <w:sz w:val="24"/>
          <w:szCs w:val="24"/>
        </w:rPr>
      </w:pPr>
      <w:r w:rsidRPr="0097458A">
        <w:rPr>
          <w:rFonts w:ascii="Calibri" w:hAnsi="Calibri" w:cs="Calibri"/>
          <w:b/>
          <w:bCs/>
          <w:sz w:val="24"/>
          <w:szCs w:val="24"/>
        </w:rPr>
        <w:t>Standard curve an</w:t>
      </w:r>
      <w:r w:rsidR="00D12047" w:rsidRPr="0097458A">
        <w:rPr>
          <w:rFonts w:ascii="Calibri" w:hAnsi="Calibri" w:cs="Calibri"/>
          <w:b/>
          <w:bCs/>
          <w:sz w:val="24"/>
          <w:szCs w:val="24"/>
        </w:rPr>
        <w:t>d</w:t>
      </w:r>
      <w:r w:rsidRPr="0097458A">
        <w:rPr>
          <w:rFonts w:ascii="Calibri" w:hAnsi="Calibri" w:cs="Calibri"/>
          <w:b/>
          <w:bCs/>
          <w:sz w:val="24"/>
          <w:szCs w:val="24"/>
        </w:rPr>
        <w:t xml:space="preserve"> well concentration quantification</w:t>
      </w:r>
    </w:p>
    <w:p w14:paraId="254148BD" w14:textId="3EBE2FE2" w:rsidR="00B803A7" w:rsidRDefault="0097458A" w:rsidP="00B7733F">
      <w:pPr>
        <w:pStyle w:val="ListParagraph"/>
        <w:spacing w:after="0" w:line="240" w:lineRule="auto"/>
        <w:ind w:left="0"/>
        <w:jc w:val="both"/>
        <w:rPr>
          <w:rFonts w:ascii="Calibri" w:hAnsi="Calibri" w:cs="Calibri"/>
          <w:sz w:val="24"/>
          <w:szCs w:val="24"/>
        </w:rPr>
      </w:pPr>
      <w:r>
        <w:rPr>
          <w:rFonts w:ascii="Calibri" w:hAnsi="Calibri" w:cs="Calibri"/>
          <w:sz w:val="24"/>
          <w:szCs w:val="24"/>
        </w:rPr>
        <w:t>T</w:t>
      </w:r>
      <w:r w:rsidR="0004165A" w:rsidRPr="00583970">
        <w:rPr>
          <w:rFonts w:ascii="Calibri" w:hAnsi="Calibri" w:cs="Calibri"/>
          <w:sz w:val="24"/>
          <w:szCs w:val="24"/>
        </w:rPr>
        <w:t xml:space="preserve">he average value of blanks </w:t>
      </w:r>
      <w:r>
        <w:rPr>
          <w:rFonts w:ascii="Calibri" w:hAnsi="Calibri" w:cs="Calibri"/>
          <w:sz w:val="24"/>
          <w:szCs w:val="24"/>
        </w:rPr>
        <w:t>was subtracted from</w:t>
      </w:r>
      <w:r w:rsidR="0004165A" w:rsidRPr="00583970">
        <w:rPr>
          <w:rFonts w:ascii="Calibri" w:hAnsi="Calibri" w:cs="Calibri"/>
          <w:sz w:val="24"/>
          <w:szCs w:val="24"/>
        </w:rPr>
        <w:t xml:space="preserve"> every well of the plate</w:t>
      </w:r>
      <w:r w:rsidR="00E80523" w:rsidRPr="00583970">
        <w:rPr>
          <w:rFonts w:ascii="Calibri" w:hAnsi="Calibri" w:cs="Calibri"/>
          <w:sz w:val="24"/>
          <w:szCs w:val="24"/>
        </w:rPr>
        <w:t xml:space="preserve">. </w:t>
      </w:r>
      <w:r w:rsidR="0004165A" w:rsidRPr="00583970">
        <w:rPr>
          <w:rFonts w:ascii="Calibri" w:hAnsi="Calibri" w:cs="Calibri"/>
          <w:sz w:val="24"/>
          <w:szCs w:val="24"/>
        </w:rPr>
        <w:t xml:space="preserve">With absorbance values on the Y axis and concentrations on the X axis, a standard curve </w:t>
      </w:r>
      <w:r>
        <w:rPr>
          <w:rFonts w:ascii="Calibri" w:hAnsi="Calibri" w:cs="Calibri"/>
          <w:sz w:val="24"/>
          <w:szCs w:val="24"/>
        </w:rPr>
        <w:t xml:space="preserve">was </w:t>
      </w:r>
      <w:r w:rsidRPr="00583970">
        <w:rPr>
          <w:rFonts w:ascii="Calibri" w:hAnsi="Calibri" w:cs="Calibri"/>
          <w:sz w:val="24"/>
          <w:szCs w:val="24"/>
        </w:rPr>
        <w:t>create</w:t>
      </w:r>
      <w:r>
        <w:rPr>
          <w:rFonts w:ascii="Calibri" w:hAnsi="Calibri" w:cs="Calibri"/>
          <w:sz w:val="24"/>
          <w:szCs w:val="24"/>
        </w:rPr>
        <w:t>d</w:t>
      </w:r>
      <w:r w:rsidRPr="00583970">
        <w:rPr>
          <w:rFonts w:ascii="Calibri" w:hAnsi="Calibri" w:cs="Calibri"/>
          <w:sz w:val="24"/>
          <w:szCs w:val="24"/>
        </w:rPr>
        <w:t xml:space="preserve"> </w:t>
      </w:r>
      <w:r w:rsidR="0004165A" w:rsidRPr="00583970">
        <w:rPr>
          <w:rFonts w:ascii="Calibri" w:hAnsi="Calibri" w:cs="Calibri"/>
          <w:sz w:val="24"/>
          <w:szCs w:val="24"/>
        </w:rPr>
        <w:t>using the “Interpolate a standard curve” function from GraphPad Prism</w:t>
      </w:r>
      <w:r w:rsidR="00E80523" w:rsidRPr="00583970">
        <w:rPr>
          <w:rFonts w:ascii="Calibri" w:hAnsi="Calibri" w:cs="Calibri"/>
          <w:sz w:val="24"/>
          <w:szCs w:val="24"/>
        </w:rPr>
        <w:t xml:space="preserve">. </w:t>
      </w:r>
      <w:r w:rsidR="0087038B" w:rsidRPr="00583970">
        <w:rPr>
          <w:rFonts w:ascii="Calibri" w:hAnsi="Calibri" w:cs="Calibri"/>
          <w:sz w:val="24"/>
          <w:szCs w:val="24"/>
        </w:rPr>
        <w:t>If all standard points are aligned</w:t>
      </w:r>
      <w:r w:rsidR="008D2812" w:rsidRPr="00583970">
        <w:rPr>
          <w:rFonts w:ascii="Calibri" w:hAnsi="Calibri" w:cs="Calibri"/>
          <w:sz w:val="24"/>
          <w:szCs w:val="24"/>
        </w:rPr>
        <w:t>, the “Line” model provide</w:t>
      </w:r>
      <w:r w:rsidR="0087038B" w:rsidRPr="00583970">
        <w:rPr>
          <w:rFonts w:ascii="Calibri" w:hAnsi="Calibri" w:cs="Calibri"/>
          <w:sz w:val="24"/>
          <w:szCs w:val="24"/>
        </w:rPr>
        <w:t>s</w:t>
      </w:r>
      <w:r w:rsidR="008D2812" w:rsidRPr="00583970">
        <w:rPr>
          <w:rFonts w:ascii="Calibri" w:hAnsi="Calibri" w:cs="Calibri"/>
          <w:sz w:val="24"/>
          <w:szCs w:val="24"/>
        </w:rPr>
        <w:t xml:space="preserve"> </w:t>
      </w:r>
      <w:r w:rsidR="0087038B" w:rsidRPr="00583970">
        <w:rPr>
          <w:rFonts w:ascii="Calibri" w:hAnsi="Calibri" w:cs="Calibri"/>
          <w:sz w:val="24"/>
          <w:szCs w:val="24"/>
        </w:rPr>
        <w:t>the best</w:t>
      </w:r>
      <w:r w:rsidR="008D2812" w:rsidRPr="00583970">
        <w:rPr>
          <w:rFonts w:ascii="Calibri" w:hAnsi="Calibri" w:cs="Calibri"/>
          <w:sz w:val="24"/>
          <w:szCs w:val="24"/>
        </w:rPr>
        <w:t xml:space="preserve"> results. Alternatively, the “Sigmoidal, 4 PL, X is concentration” model offers great flexibility and accuracy with non-linear standard curve interpolation</w:t>
      </w:r>
      <w:r w:rsidR="00544725" w:rsidRPr="00583970">
        <w:rPr>
          <w:rFonts w:ascii="Calibri" w:hAnsi="Calibri" w:cs="Calibri"/>
          <w:sz w:val="24"/>
          <w:szCs w:val="24"/>
        </w:rPr>
        <w:t xml:space="preserve"> </w:t>
      </w:r>
      <w:r w:rsidR="002056F7" w:rsidRPr="00583970">
        <w:rPr>
          <w:rFonts w:ascii="Calibri" w:hAnsi="Calibri" w:cs="Calibri"/>
          <w:sz w:val="24"/>
          <w:szCs w:val="24"/>
        </w:rPr>
        <w:t>(</w:t>
      </w:r>
      <w:r w:rsidR="002056F7" w:rsidRPr="00583970">
        <w:rPr>
          <w:rFonts w:ascii="Calibri" w:hAnsi="Calibri" w:cs="Calibri"/>
          <w:b/>
          <w:bCs/>
          <w:sz w:val="24"/>
          <w:szCs w:val="24"/>
        </w:rPr>
        <w:t xml:space="preserve">Figure </w:t>
      </w:r>
      <w:r w:rsidR="00C7458E" w:rsidRPr="00583970">
        <w:rPr>
          <w:rFonts w:ascii="Calibri" w:hAnsi="Calibri" w:cs="Calibri"/>
          <w:b/>
          <w:bCs/>
          <w:sz w:val="24"/>
          <w:szCs w:val="24"/>
        </w:rPr>
        <w:t>6</w:t>
      </w:r>
      <w:r w:rsidR="002056F7" w:rsidRPr="00583970">
        <w:rPr>
          <w:rFonts w:ascii="Calibri" w:hAnsi="Calibri" w:cs="Calibri"/>
          <w:sz w:val="24"/>
          <w:szCs w:val="24"/>
        </w:rPr>
        <w:t>)</w:t>
      </w:r>
      <w:r w:rsidR="00544725" w:rsidRPr="00583970">
        <w:rPr>
          <w:rFonts w:ascii="Calibri" w:hAnsi="Calibri" w:cs="Calibri"/>
          <w:sz w:val="24"/>
          <w:szCs w:val="24"/>
        </w:rPr>
        <w:t>.</w:t>
      </w:r>
      <w:r>
        <w:rPr>
          <w:rFonts w:ascii="Calibri" w:hAnsi="Calibri" w:cs="Calibri"/>
          <w:sz w:val="24"/>
          <w:szCs w:val="24"/>
        </w:rPr>
        <w:t xml:space="preserve"> T</w:t>
      </w:r>
      <w:r w:rsidR="008D2812" w:rsidRPr="00583970">
        <w:rPr>
          <w:rFonts w:ascii="Calibri" w:hAnsi="Calibri" w:cs="Calibri"/>
          <w:sz w:val="24"/>
          <w:szCs w:val="24"/>
        </w:rPr>
        <w:t xml:space="preserve">he absorbance values of samples on the </w:t>
      </w:r>
      <w:r w:rsidR="00B7733F">
        <w:rPr>
          <w:rFonts w:ascii="Calibri" w:hAnsi="Calibri" w:cs="Calibri"/>
          <w:sz w:val="24"/>
          <w:szCs w:val="24"/>
        </w:rPr>
        <w:t xml:space="preserve">Y </w:t>
      </w:r>
      <w:r w:rsidR="008D2812" w:rsidRPr="00583970">
        <w:rPr>
          <w:rFonts w:ascii="Calibri" w:hAnsi="Calibri" w:cs="Calibri"/>
          <w:sz w:val="24"/>
          <w:szCs w:val="24"/>
        </w:rPr>
        <w:t xml:space="preserve">axis </w:t>
      </w:r>
      <w:r>
        <w:rPr>
          <w:rFonts w:ascii="Calibri" w:hAnsi="Calibri" w:cs="Calibri"/>
          <w:sz w:val="24"/>
          <w:szCs w:val="24"/>
        </w:rPr>
        <w:t>were p</w:t>
      </w:r>
      <w:r w:rsidRPr="00583970">
        <w:rPr>
          <w:rFonts w:ascii="Calibri" w:hAnsi="Calibri" w:cs="Calibri"/>
          <w:sz w:val="24"/>
          <w:szCs w:val="24"/>
        </w:rPr>
        <w:t>aste</w:t>
      </w:r>
      <w:r>
        <w:rPr>
          <w:rFonts w:ascii="Calibri" w:hAnsi="Calibri" w:cs="Calibri"/>
          <w:sz w:val="24"/>
          <w:szCs w:val="24"/>
        </w:rPr>
        <w:t>d</w:t>
      </w:r>
      <w:r w:rsidRPr="00583970">
        <w:rPr>
          <w:rFonts w:ascii="Calibri" w:hAnsi="Calibri" w:cs="Calibri"/>
          <w:sz w:val="24"/>
          <w:szCs w:val="24"/>
        </w:rPr>
        <w:t xml:space="preserve"> </w:t>
      </w:r>
      <w:r w:rsidR="008D2812" w:rsidRPr="00583970">
        <w:rPr>
          <w:rFonts w:ascii="Calibri" w:hAnsi="Calibri" w:cs="Calibri"/>
          <w:sz w:val="24"/>
          <w:szCs w:val="24"/>
        </w:rPr>
        <w:t>below the standard’s and recover</w:t>
      </w:r>
      <w:r w:rsidR="00B7733F">
        <w:rPr>
          <w:rFonts w:ascii="Calibri" w:hAnsi="Calibri" w:cs="Calibri"/>
          <w:sz w:val="24"/>
          <w:szCs w:val="24"/>
        </w:rPr>
        <w:t>ed</w:t>
      </w:r>
      <w:r w:rsidR="008D2812" w:rsidRPr="00583970">
        <w:rPr>
          <w:rFonts w:ascii="Calibri" w:hAnsi="Calibri" w:cs="Calibri"/>
          <w:sz w:val="24"/>
          <w:szCs w:val="24"/>
        </w:rPr>
        <w:t xml:space="preserve"> the concentrations from the “Interpolated X mean values” from the </w:t>
      </w:r>
      <w:r w:rsidR="00D12047" w:rsidRPr="00583970">
        <w:rPr>
          <w:rFonts w:ascii="Calibri" w:hAnsi="Calibri" w:cs="Calibri"/>
          <w:sz w:val="24"/>
          <w:szCs w:val="24"/>
        </w:rPr>
        <w:t>results tab</w:t>
      </w:r>
      <w:r w:rsidR="00AA0E2D" w:rsidRPr="00583970">
        <w:rPr>
          <w:rFonts w:ascii="Calibri" w:hAnsi="Calibri" w:cs="Calibri"/>
          <w:sz w:val="24"/>
          <w:szCs w:val="24"/>
        </w:rPr>
        <w:t xml:space="preserve"> (</w:t>
      </w:r>
      <w:r w:rsidR="00AA0E2D" w:rsidRPr="00583970">
        <w:rPr>
          <w:rFonts w:ascii="Calibri" w:hAnsi="Calibri" w:cs="Calibri"/>
          <w:b/>
          <w:bCs/>
          <w:sz w:val="24"/>
          <w:szCs w:val="24"/>
        </w:rPr>
        <w:t xml:space="preserve">Figure </w:t>
      </w:r>
      <w:r w:rsidR="00C7458E" w:rsidRPr="00583970">
        <w:rPr>
          <w:rFonts w:ascii="Calibri" w:hAnsi="Calibri" w:cs="Calibri"/>
          <w:b/>
          <w:bCs/>
          <w:sz w:val="24"/>
          <w:szCs w:val="24"/>
        </w:rPr>
        <w:t>6</w:t>
      </w:r>
      <w:r w:rsidR="00AA0E2D" w:rsidRPr="00583970">
        <w:rPr>
          <w:rFonts w:ascii="Calibri" w:hAnsi="Calibri" w:cs="Calibri"/>
          <w:sz w:val="24"/>
          <w:szCs w:val="24"/>
        </w:rPr>
        <w:t>)</w:t>
      </w:r>
      <w:r w:rsidR="00D12047" w:rsidRPr="00583970">
        <w:rPr>
          <w:rFonts w:ascii="Calibri" w:hAnsi="Calibri" w:cs="Calibri"/>
          <w:sz w:val="24"/>
          <w:szCs w:val="24"/>
        </w:rPr>
        <w:t>.</w:t>
      </w:r>
    </w:p>
    <w:p w14:paraId="5EE2D0BF" w14:textId="77777777" w:rsidR="00B7733F" w:rsidRPr="00583970" w:rsidRDefault="00B7733F" w:rsidP="00B7733F">
      <w:pPr>
        <w:pStyle w:val="ListParagraph"/>
        <w:spacing w:after="0" w:line="240" w:lineRule="auto"/>
        <w:ind w:left="0"/>
        <w:jc w:val="both"/>
        <w:rPr>
          <w:rFonts w:ascii="Calibri" w:hAnsi="Calibri" w:cs="Calibri"/>
          <w:sz w:val="24"/>
          <w:szCs w:val="24"/>
        </w:rPr>
      </w:pPr>
    </w:p>
    <w:p w14:paraId="560C3260" w14:textId="2AD198C6" w:rsidR="00D12047" w:rsidRDefault="00FC5750" w:rsidP="00B7733F">
      <w:pPr>
        <w:pStyle w:val="Caption"/>
        <w:spacing w:after="0"/>
        <w:jc w:val="both"/>
        <w:rPr>
          <w:rFonts w:ascii="Calibri" w:hAnsi="Calibri" w:cs="Calibri"/>
          <w:i w:val="0"/>
          <w:iCs w:val="0"/>
          <w:color w:val="auto"/>
          <w:sz w:val="24"/>
          <w:szCs w:val="24"/>
        </w:rPr>
      </w:pPr>
      <w:r w:rsidRPr="00583970">
        <w:rPr>
          <w:rFonts w:ascii="Calibri" w:hAnsi="Calibri" w:cs="Calibri"/>
          <w:i w:val="0"/>
          <w:iCs w:val="0"/>
          <w:color w:val="auto"/>
          <w:sz w:val="24"/>
          <w:szCs w:val="24"/>
        </w:rPr>
        <w:t xml:space="preserve">[insert </w:t>
      </w:r>
      <w:r w:rsidRPr="00583970">
        <w:rPr>
          <w:rFonts w:ascii="Calibri" w:hAnsi="Calibri" w:cs="Calibri"/>
          <w:b/>
          <w:bCs/>
          <w:i w:val="0"/>
          <w:iCs w:val="0"/>
          <w:color w:val="auto"/>
          <w:sz w:val="24"/>
          <w:szCs w:val="24"/>
        </w:rPr>
        <w:t>Figure 6</w:t>
      </w:r>
      <w:r w:rsidRPr="00583970">
        <w:rPr>
          <w:rFonts w:ascii="Calibri" w:hAnsi="Calibri" w:cs="Calibri"/>
          <w:i w:val="0"/>
          <w:iCs w:val="0"/>
          <w:color w:val="auto"/>
          <w:sz w:val="24"/>
          <w:szCs w:val="24"/>
        </w:rPr>
        <w:t xml:space="preserve"> here]</w:t>
      </w:r>
    </w:p>
    <w:p w14:paraId="7C20AE40" w14:textId="77777777" w:rsidR="00B7733F" w:rsidRPr="00B7733F" w:rsidRDefault="00B7733F" w:rsidP="00B7733F">
      <w:pPr>
        <w:spacing w:after="0" w:line="240" w:lineRule="auto"/>
      </w:pPr>
    </w:p>
    <w:p w14:paraId="6966F366" w14:textId="6586990F" w:rsidR="00BF280F" w:rsidRPr="00B7733F" w:rsidRDefault="00437CD6" w:rsidP="00B7733F">
      <w:pPr>
        <w:pStyle w:val="ListParagraph"/>
        <w:spacing w:after="0" w:line="240" w:lineRule="auto"/>
        <w:ind w:left="0"/>
        <w:jc w:val="both"/>
        <w:rPr>
          <w:rFonts w:ascii="Calibri" w:hAnsi="Calibri" w:cs="Calibri"/>
          <w:b/>
          <w:bCs/>
          <w:sz w:val="24"/>
          <w:szCs w:val="24"/>
        </w:rPr>
      </w:pPr>
      <w:r w:rsidRPr="00B7733F">
        <w:rPr>
          <w:rFonts w:ascii="Calibri" w:hAnsi="Calibri" w:cs="Calibri"/>
          <w:b/>
          <w:bCs/>
          <w:sz w:val="24"/>
          <w:szCs w:val="24"/>
        </w:rPr>
        <w:t>Data</w:t>
      </w:r>
      <w:r w:rsidR="00D12047" w:rsidRPr="00B7733F">
        <w:rPr>
          <w:rFonts w:ascii="Calibri" w:hAnsi="Calibri" w:cs="Calibri"/>
          <w:b/>
          <w:bCs/>
          <w:sz w:val="24"/>
          <w:szCs w:val="24"/>
        </w:rPr>
        <w:t xml:space="preserve"> </w:t>
      </w:r>
      <w:r w:rsidR="002056F7" w:rsidRPr="00B7733F">
        <w:rPr>
          <w:rFonts w:ascii="Calibri" w:hAnsi="Calibri" w:cs="Calibri"/>
          <w:b/>
          <w:bCs/>
          <w:sz w:val="24"/>
          <w:szCs w:val="24"/>
        </w:rPr>
        <w:t>analysis</w:t>
      </w:r>
    </w:p>
    <w:p w14:paraId="78F69341" w14:textId="2EBDCB16" w:rsidR="00677191" w:rsidRPr="00583970" w:rsidRDefault="00677191" w:rsidP="00B7733F">
      <w:pPr>
        <w:pStyle w:val="ListParagraph"/>
        <w:spacing w:after="0" w:line="240" w:lineRule="auto"/>
        <w:ind w:left="0"/>
        <w:jc w:val="both"/>
        <w:rPr>
          <w:rFonts w:ascii="Calibri" w:hAnsi="Calibri" w:cs="Calibri"/>
          <w:sz w:val="24"/>
          <w:szCs w:val="24"/>
        </w:rPr>
      </w:pPr>
    </w:p>
    <w:p w14:paraId="4C7CFDE2" w14:textId="1E6A09A2" w:rsidR="004D2145" w:rsidRPr="00583970" w:rsidRDefault="007C3747" w:rsidP="00B7733F">
      <w:pPr>
        <w:pStyle w:val="ListParagraph"/>
        <w:spacing w:after="0" w:line="240" w:lineRule="auto"/>
        <w:ind w:left="0"/>
        <w:jc w:val="both"/>
        <w:rPr>
          <w:rFonts w:ascii="Calibri" w:hAnsi="Calibri" w:cs="Calibri"/>
          <w:sz w:val="24"/>
          <w:szCs w:val="24"/>
        </w:rPr>
      </w:pPr>
      <w:r w:rsidRPr="00583970">
        <w:rPr>
          <w:rFonts w:ascii="Calibri" w:hAnsi="Calibri" w:cs="Calibri"/>
          <w:sz w:val="24"/>
          <w:szCs w:val="24"/>
        </w:rPr>
        <w:t>Starting from T</w:t>
      </w:r>
      <w:r w:rsidR="003D1CC4" w:rsidRPr="00583970">
        <w:rPr>
          <w:rFonts w:ascii="Calibri" w:hAnsi="Calibri" w:cs="Calibri"/>
          <w:sz w:val="24"/>
          <w:szCs w:val="24"/>
        </w:rPr>
        <w:t>0</w:t>
      </w:r>
      <w:r w:rsidRPr="00583970">
        <w:rPr>
          <w:rFonts w:ascii="Calibri" w:hAnsi="Calibri" w:cs="Calibri"/>
          <w:sz w:val="24"/>
          <w:szCs w:val="24"/>
        </w:rPr>
        <w:t>+1, each previous t</w:t>
      </w:r>
      <w:r w:rsidR="00225290">
        <w:rPr>
          <w:rFonts w:ascii="Calibri" w:hAnsi="Calibri" w:cs="Calibri"/>
          <w:sz w:val="24"/>
          <w:szCs w:val="24"/>
        </w:rPr>
        <w:t>time-point</w:t>
      </w:r>
      <w:r w:rsidRPr="00583970">
        <w:rPr>
          <w:rFonts w:ascii="Calibri" w:hAnsi="Calibri" w:cs="Calibri"/>
          <w:sz w:val="24"/>
          <w:szCs w:val="24"/>
        </w:rPr>
        <w:t xml:space="preserve">(T–1) </w:t>
      </w:r>
      <w:r w:rsidR="00011876">
        <w:rPr>
          <w:rFonts w:ascii="Calibri" w:hAnsi="Calibri" w:cs="Calibri"/>
          <w:sz w:val="24"/>
          <w:szCs w:val="24"/>
        </w:rPr>
        <w:t xml:space="preserve">was </w:t>
      </w:r>
      <w:r w:rsidR="00011876" w:rsidRPr="00583970">
        <w:rPr>
          <w:rFonts w:ascii="Calibri" w:hAnsi="Calibri" w:cs="Calibri"/>
          <w:sz w:val="24"/>
          <w:szCs w:val="24"/>
        </w:rPr>
        <w:t>subtract</w:t>
      </w:r>
      <w:r w:rsidR="00011876">
        <w:rPr>
          <w:rFonts w:ascii="Calibri" w:hAnsi="Calibri" w:cs="Calibri"/>
          <w:sz w:val="24"/>
          <w:szCs w:val="24"/>
        </w:rPr>
        <w:t>ed</w:t>
      </w:r>
      <w:r w:rsidR="00011876" w:rsidRPr="00583970">
        <w:rPr>
          <w:rFonts w:ascii="Calibri" w:hAnsi="Calibri" w:cs="Calibri"/>
          <w:sz w:val="24"/>
          <w:szCs w:val="24"/>
        </w:rPr>
        <w:t xml:space="preserve"> </w:t>
      </w:r>
      <w:r w:rsidRPr="00583970">
        <w:rPr>
          <w:rFonts w:ascii="Calibri" w:hAnsi="Calibri" w:cs="Calibri"/>
          <w:sz w:val="24"/>
          <w:szCs w:val="24"/>
        </w:rPr>
        <w:t>from the current t</w:t>
      </w:r>
      <w:r w:rsidR="00225290">
        <w:rPr>
          <w:rFonts w:ascii="Calibri" w:hAnsi="Calibri" w:cs="Calibri"/>
          <w:sz w:val="24"/>
          <w:szCs w:val="24"/>
        </w:rPr>
        <w:t>time-point</w:t>
      </w:r>
      <w:r w:rsidRPr="00583970">
        <w:rPr>
          <w:rFonts w:ascii="Calibri" w:hAnsi="Calibri" w:cs="Calibri"/>
          <w:sz w:val="24"/>
          <w:szCs w:val="24"/>
        </w:rPr>
        <w:t>(T) to calculate Δ-FITC or Δ-HRP for each interval: T30–T0, T60–T30, T90–T60, and T120–T90.</w:t>
      </w:r>
    </w:p>
    <w:p w14:paraId="5F435D8E" w14:textId="77777777" w:rsidR="00011876" w:rsidRDefault="00822B1E" w:rsidP="001654C4">
      <w:pPr>
        <w:pStyle w:val="ListParagraph"/>
        <w:spacing w:after="0" w:line="240" w:lineRule="auto"/>
        <w:ind w:left="0"/>
        <w:jc w:val="both"/>
        <w:rPr>
          <w:rFonts w:ascii="Calibri" w:hAnsi="Calibri" w:cs="Calibri"/>
          <w:sz w:val="24"/>
          <w:szCs w:val="24"/>
        </w:rPr>
      </w:pPr>
      <w:r w:rsidRPr="00583970">
        <w:rPr>
          <w:rFonts w:ascii="Calibri" w:hAnsi="Calibri" w:cs="Calibri"/>
          <w:sz w:val="24"/>
          <w:szCs w:val="24"/>
        </w:rPr>
        <w:t xml:space="preserve">Using the following equation, the flux for each sample </w:t>
      </w:r>
      <w:r w:rsidR="00011876">
        <w:rPr>
          <w:rFonts w:ascii="Calibri" w:hAnsi="Calibri" w:cs="Calibri"/>
          <w:sz w:val="24"/>
          <w:szCs w:val="24"/>
        </w:rPr>
        <w:t xml:space="preserve">was </w:t>
      </w:r>
      <w:r w:rsidR="00011876" w:rsidRPr="00583970">
        <w:rPr>
          <w:rFonts w:ascii="Calibri" w:hAnsi="Calibri" w:cs="Calibri"/>
          <w:sz w:val="24"/>
          <w:szCs w:val="24"/>
        </w:rPr>
        <w:t>calculate</w:t>
      </w:r>
      <w:r w:rsidR="00011876">
        <w:rPr>
          <w:rFonts w:ascii="Calibri" w:hAnsi="Calibri" w:cs="Calibri"/>
          <w:sz w:val="24"/>
          <w:szCs w:val="24"/>
        </w:rPr>
        <w:t>d</w:t>
      </w:r>
      <w:r w:rsidR="00011876" w:rsidRPr="00583970">
        <w:rPr>
          <w:rFonts w:ascii="Calibri" w:hAnsi="Calibri" w:cs="Calibri"/>
          <w:sz w:val="24"/>
          <w:szCs w:val="24"/>
        </w:rPr>
        <w:t xml:space="preserve"> </w:t>
      </w:r>
      <w:r w:rsidRPr="00583970">
        <w:rPr>
          <w:rFonts w:ascii="Calibri" w:hAnsi="Calibri" w:cs="Calibri"/>
          <w:sz w:val="24"/>
          <w:szCs w:val="24"/>
        </w:rPr>
        <w:t xml:space="preserve">at each time point, where </w:t>
      </w:r>
      <m:oMath>
        <m:r>
          <w:rPr>
            <w:rFonts w:ascii="Cambria Math" w:hAnsi="Cambria Math" w:cs="Calibri"/>
            <w:sz w:val="24"/>
            <w:szCs w:val="24"/>
          </w:rPr>
          <m:t xml:space="preserve">J </m:t>
        </m:r>
      </m:oMath>
      <w:r w:rsidRPr="00583970">
        <w:rPr>
          <w:rFonts w:ascii="Calibri" w:hAnsi="Calibri" w:cs="Calibri"/>
          <w:sz w:val="24"/>
          <w:szCs w:val="24"/>
        </w:rPr>
        <w:t xml:space="preserve">is the flux, </w:t>
      </w:r>
      <m:oMath>
        <m:r>
          <m:rPr>
            <m:sty m:val="p"/>
          </m:rPr>
          <w:rPr>
            <w:rFonts w:ascii="Cambria Math" w:hAnsi="Cambria Math" w:cs="Calibri"/>
            <w:sz w:val="24"/>
            <w:szCs w:val="24"/>
          </w:rPr>
          <m:t>Δ</m:t>
        </m:r>
        <m:r>
          <w:rPr>
            <w:rFonts w:ascii="Cambria Math" w:hAnsi="Cambria Math" w:cs="Calibri"/>
            <w:sz w:val="24"/>
            <w:szCs w:val="24"/>
          </w:rPr>
          <m:t xml:space="preserve">C </m:t>
        </m:r>
      </m:oMath>
      <w:r w:rsidRPr="00583970">
        <w:rPr>
          <w:rFonts w:ascii="Calibri" w:hAnsi="Calibri" w:cs="Calibri"/>
          <w:sz w:val="24"/>
          <w:szCs w:val="24"/>
        </w:rPr>
        <w:t xml:space="preserve">is the change in concentration between the two time points, </w:t>
      </w:r>
      <m:oMath>
        <m:r>
          <w:rPr>
            <w:rFonts w:ascii="Cambria Math" w:hAnsi="Cambria Math" w:cs="Calibri"/>
            <w:sz w:val="24"/>
            <w:szCs w:val="24"/>
          </w:rPr>
          <m:t xml:space="preserve">V </m:t>
        </m:r>
      </m:oMath>
      <w:r w:rsidRPr="00583970">
        <w:rPr>
          <w:rFonts w:ascii="Calibri" w:hAnsi="Calibri" w:cs="Calibri"/>
          <w:sz w:val="24"/>
          <w:szCs w:val="24"/>
        </w:rPr>
        <w:t xml:space="preserve">is the volume of the basal compartment, </w:t>
      </w:r>
      <m:oMath>
        <m:r>
          <m:rPr>
            <m:sty m:val="p"/>
          </m:rPr>
          <w:rPr>
            <w:rFonts w:ascii="Cambria Math" w:hAnsi="Cambria Math" w:cs="Calibri"/>
            <w:sz w:val="24"/>
            <w:szCs w:val="24"/>
          </w:rPr>
          <m:t>Δ</m:t>
        </m:r>
        <m:r>
          <w:rPr>
            <w:rFonts w:ascii="Cambria Math" w:hAnsi="Cambria Math" w:cs="Calibri"/>
            <w:sz w:val="24"/>
            <w:szCs w:val="24"/>
          </w:rPr>
          <m:t xml:space="preserve">T </m:t>
        </m:r>
      </m:oMath>
      <w:r w:rsidRPr="00583970">
        <w:rPr>
          <w:rFonts w:ascii="Calibri" w:hAnsi="Calibri" w:cs="Calibri"/>
          <w:sz w:val="24"/>
          <w:szCs w:val="24"/>
        </w:rPr>
        <w:t xml:space="preserve">is the time interval between measurements, and </w:t>
      </w:r>
      <m:oMath>
        <m:r>
          <w:rPr>
            <w:rFonts w:ascii="Cambria Math" w:hAnsi="Cambria Math" w:cs="Calibri"/>
            <w:sz w:val="24"/>
            <w:szCs w:val="24"/>
          </w:rPr>
          <m:t xml:space="preserve">A </m:t>
        </m:r>
      </m:oMath>
      <w:r w:rsidRPr="00583970">
        <w:rPr>
          <w:rFonts w:ascii="Calibri" w:hAnsi="Calibri" w:cs="Calibri"/>
          <w:sz w:val="24"/>
          <w:szCs w:val="24"/>
        </w:rPr>
        <w:t>is the exposed surface area.</w:t>
      </w:r>
    </w:p>
    <w:p w14:paraId="01210055" w14:textId="22E250D2" w:rsidR="00822B1E" w:rsidRPr="00583970" w:rsidRDefault="00183438" w:rsidP="001654C4">
      <w:pPr>
        <w:pStyle w:val="ListParagraph"/>
        <w:spacing w:after="0" w:line="240" w:lineRule="auto"/>
        <w:ind w:left="0"/>
        <w:jc w:val="both"/>
        <w:rPr>
          <w:rFonts w:ascii="Calibri" w:hAnsi="Calibri" w:cs="Calibri"/>
          <w:sz w:val="24"/>
          <w:szCs w:val="24"/>
        </w:rPr>
      </w:pPr>
      <w:r w:rsidRPr="00583970">
        <w:rPr>
          <w:rFonts w:ascii="Calibri" w:hAnsi="Calibri" w:cs="Calibri"/>
          <w:sz w:val="24"/>
          <w:szCs w:val="24"/>
        </w:rPr>
        <w:br/>
      </w:r>
      <m:oMathPara>
        <m:oMath>
          <m:sSup>
            <m:sSupPr>
              <m:ctrlPr>
                <w:rPr>
                  <w:rFonts w:ascii="Cambria Math" w:hAnsi="Cambria Math" w:cs="Calibri"/>
                  <w:iCs/>
                  <w:sz w:val="24"/>
                  <w:szCs w:val="24"/>
                </w:rPr>
              </m:ctrlPr>
            </m:sSupPr>
            <m:e>
              <m:r>
                <m:rPr>
                  <m:sty m:val="bi"/>
                </m:rPr>
                <w:rPr>
                  <w:rFonts w:ascii="Cambria Math" w:hAnsi="Cambria Math" w:cs="Calibri"/>
                  <w:sz w:val="24"/>
                  <w:szCs w:val="24"/>
                </w:rPr>
                <m:t>J</m:t>
              </m:r>
              <m:r>
                <w:rPr>
                  <w:rFonts w:ascii="Cambria Math" w:hAnsi="Cambria Math" w:cs="Calibri"/>
                  <w:sz w:val="24"/>
                  <w:szCs w:val="24"/>
                </w:rPr>
                <m:t xml:space="preserve"> </m:t>
              </m:r>
              <m:r>
                <m:rPr>
                  <m:sty m:val="p"/>
                </m:rPr>
                <w:rPr>
                  <w:rFonts w:ascii="Cambria Math" w:hAnsi="Cambria Math" w:cs="Calibri"/>
                  <w:sz w:val="24"/>
                  <w:szCs w:val="24"/>
                </w:rPr>
                <m:t>(nmol.min</m:t>
              </m:r>
            </m:e>
            <m:sup>
              <m:r>
                <m:rPr>
                  <m:sty m:val="p"/>
                </m:rPr>
                <w:rPr>
                  <w:rFonts w:ascii="Cambria Math" w:hAnsi="Cambria Math" w:cs="Calibri"/>
                  <w:sz w:val="24"/>
                  <w:szCs w:val="24"/>
                </w:rPr>
                <m:t>-1</m:t>
              </m:r>
            </m:sup>
          </m:sSup>
          <m:r>
            <m:rPr>
              <m:sty m:val="p"/>
            </m:rPr>
            <w:rPr>
              <w:rFonts w:ascii="Cambria Math" w:hAnsi="Cambria Math" w:cs="Calibri"/>
              <w:sz w:val="24"/>
              <w:szCs w:val="24"/>
            </w:rPr>
            <m:t>.</m:t>
          </m:r>
          <m:sSup>
            <m:sSupPr>
              <m:ctrlPr>
                <w:rPr>
                  <w:rFonts w:ascii="Cambria Math" w:hAnsi="Cambria Math" w:cs="Calibri"/>
                  <w:iCs/>
                  <w:sz w:val="24"/>
                  <w:szCs w:val="24"/>
                </w:rPr>
              </m:ctrlPr>
            </m:sSupPr>
            <m:e>
              <m:r>
                <m:rPr>
                  <m:sty m:val="p"/>
                </m:rPr>
                <w:rPr>
                  <w:rFonts w:ascii="Cambria Math" w:hAnsi="Cambria Math" w:cs="Calibri"/>
                  <w:sz w:val="24"/>
                  <w:szCs w:val="24"/>
                </w:rPr>
                <m:t>cm</m:t>
              </m:r>
            </m:e>
            <m:sup>
              <m:r>
                <m:rPr>
                  <m:sty m:val="p"/>
                </m:rPr>
                <w:rPr>
                  <w:rFonts w:ascii="Cambria Math" w:hAnsi="Cambria Math" w:cs="Calibri"/>
                  <w:sz w:val="24"/>
                  <w:szCs w:val="24"/>
                </w:rPr>
                <m:t>-2</m:t>
              </m:r>
            </m:sup>
          </m:sSup>
          <m:r>
            <w:rPr>
              <w:rFonts w:ascii="Cambria Math" w:hAnsi="Cambria Math" w:cs="Calibri"/>
              <w:sz w:val="24"/>
              <w:szCs w:val="24"/>
            </w:rPr>
            <m:t>)=</m:t>
          </m:r>
          <m:f>
            <m:fPr>
              <m:type m:val="lin"/>
              <m:ctrlPr>
                <w:rPr>
                  <w:rFonts w:ascii="Cambria Math" w:hAnsi="Cambria Math" w:cs="Calibri"/>
                  <w:i/>
                  <w:sz w:val="24"/>
                  <w:szCs w:val="24"/>
                </w:rPr>
              </m:ctrlPr>
            </m:fPr>
            <m:num>
              <m:r>
                <m:rPr>
                  <m:sty m:val="p"/>
                </m:rPr>
                <w:rPr>
                  <w:rFonts w:ascii="Cambria Math" w:hAnsi="Cambria Math" w:cs="Calibri"/>
                  <w:sz w:val="24"/>
                  <w:szCs w:val="24"/>
                </w:rPr>
                <m:t>[</m:t>
              </m:r>
              <m:r>
                <m:rPr>
                  <m:sty m:val="b"/>
                </m:rPr>
                <w:rPr>
                  <w:rFonts w:ascii="Cambria Math" w:hAnsi="Cambria Math" w:cs="Calibri"/>
                  <w:sz w:val="24"/>
                  <w:szCs w:val="24"/>
                </w:rPr>
                <m:t>Δ</m:t>
              </m:r>
              <m:r>
                <m:rPr>
                  <m:sty m:val="bi"/>
                </m:rPr>
                <w:rPr>
                  <w:rFonts w:ascii="Cambria Math" w:hAnsi="Cambria Math" w:cs="Calibri"/>
                  <w:sz w:val="24"/>
                  <w:szCs w:val="24"/>
                </w:rPr>
                <m:t>C</m:t>
              </m:r>
              <m:r>
                <w:rPr>
                  <w:rFonts w:ascii="Cambria Math" w:hAnsi="Cambria Math" w:cs="Calibri"/>
                  <w:sz w:val="24"/>
                  <w:szCs w:val="24"/>
                </w:rPr>
                <m:t xml:space="preserve"> </m:t>
              </m:r>
              <m:d>
                <m:dPr>
                  <m:ctrlPr>
                    <w:rPr>
                      <w:rFonts w:ascii="Cambria Math" w:hAnsi="Cambria Math" w:cs="Calibri"/>
                      <w:i/>
                      <w:sz w:val="24"/>
                      <w:szCs w:val="24"/>
                    </w:rPr>
                  </m:ctrlPr>
                </m:dPr>
                <m:e>
                  <m:sSup>
                    <m:sSupPr>
                      <m:ctrlPr>
                        <w:rPr>
                          <w:rFonts w:ascii="Cambria Math" w:hAnsi="Cambria Math" w:cs="Calibri"/>
                          <w:iCs/>
                          <w:sz w:val="24"/>
                          <w:szCs w:val="24"/>
                        </w:rPr>
                      </m:ctrlPr>
                    </m:sSupPr>
                    <m:e>
                      <m:r>
                        <m:rPr>
                          <m:sty m:val="p"/>
                        </m:rPr>
                        <w:rPr>
                          <w:rFonts w:ascii="Cambria Math" w:hAnsi="Cambria Math" w:cs="Calibri"/>
                          <w:sz w:val="24"/>
                          <w:szCs w:val="24"/>
                        </w:rPr>
                        <m:t>nmol.L</m:t>
                      </m:r>
                    </m:e>
                    <m:sup>
                      <m:r>
                        <m:rPr>
                          <m:sty m:val="p"/>
                        </m:rPr>
                        <w:rPr>
                          <w:rFonts w:ascii="Cambria Math" w:hAnsi="Cambria Math" w:cs="Calibri"/>
                          <w:sz w:val="24"/>
                          <w:szCs w:val="24"/>
                        </w:rPr>
                        <m:t>-1</m:t>
                      </m:r>
                    </m:sup>
                  </m:sSup>
                </m:e>
              </m:d>
              <m:r>
                <m:rPr>
                  <m:sty m:val="p"/>
                </m:rPr>
                <w:rPr>
                  <w:rFonts w:ascii="Cambria Math" w:hAnsi="Cambria Math" w:cs="Calibri"/>
                  <w:sz w:val="24"/>
                  <w:szCs w:val="24"/>
                </w:rPr>
                <m:t xml:space="preserve">×  </m:t>
              </m:r>
              <m:r>
                <m:rPr>
                  <m:sty m:val="bi"/>
                </m:rPr>
                <w:rPr>
                  <w:rFonts w:ascii="Cambria Math" w:hAnsi="Cambria Math" w:cs="Calibri"/>
                  <w:sz w:val="24"/>
                  <w:szCs w:val="24"/>
                </w:rPr>
                <m:t>V</m:t>
              </m:r>
              <m:r>
                <w:rPr>
                  <w:rFonts w:ascii="Cambria Math" w:hAnsi="Cambria Math" w:cs="Calibri"/>
                  <w:sz w:val="24"/>
                  <w:szCs w:val="24"/>
                </w:rPr>
                <m:t xml:space="preserve"> </m:t>
              </m:r>
              <m:d>
                <m:dPr>
                  <m:ctrlPr>
                    <w:rPr>
                      <w:rFonts w:ascii="Cambria Math" w:hAnsi="Cambria Math" w:cs="Calibri"/>
                      <w:i/>
                      <w:sz w:val="24"/>
                      <w:szCs w:val="24"/>
                    </w:rPr>
                  </m:ctrlPr>
                </m:dPr>
                <m:e>
                  <m:r>
                    <w:rPr>
                      <w:rFonts w:ascii="Cambria Math" w:hAnsi="Cambria Math" w:cs="Calibri"/>
                      <w:sz w:val="24"/>
                      <w:szCs w:val="24"/>
                    </w:rPr>
                    <m:t>L</m:t>
                  </m:r>
                </m:e>
              </m:d>
              <m:r>
                <w:rPr>
                  <w:rFonts w:ascii="Cambria Math" w:hAnsi="Cambria Math" w:cs="Calibri"/>
                  <w:sz w:val="24"/>
                  <w:szCs w:val="24"/>
                </w:rPr>
                <m:t>]</m:t>
              </m:r>
              <m:r>
                <m:rPr>
                  <m:sty m:val="p"/>
                </m:rPr>
                <w:rPr>
                  <w:rFonts w:ascii="Cambria Math" w:hAnsi="Cambria Math" w:cs="Calibri"/>
                  <w:sz w:val="24"/>
                  <w:szCs w:val="24"/>
                </w:rPr>
                <m:t xml:space="preserve"> </m:t>
              </m:r>
            </m:num>
            <m:den>
              <m:r>
                <m:rPr>
                  <m:sty m:val="p"/>
                </m:rPr>
                <w:rPr>
                  <w:rFonts w:ascii="Cambria Math" w:hAnsi="Cambria Math" w:cs="Calibri"/>
                  <w:sz w:val="24"/>
                  <w:szCs w:val="24"/>
                </w:rPr>
                <m:t>[</m:t>
              </m:r>
              <m:r>
                <m:rPr>
                  <m:sty m:val="b"/>
                </m:rPr>
                <w:rPr>
                  <w:rFonts w:ascii="Cambria Math" w:hAnsi="Cambria Math" w:cs="Calibri"/>
                  <w:sz w:val="24"/>
                  <w:szCs w:val="24"/>
                </w:rPr>
                <m:t>Δ</m:t>
              </m:r>
              <m:r>
                <m:rPr>
                  <m:sty m:val="bi"/>
                </m:rPr>
                <w:rPr>
                  <w:rFonts w:ascii="Cambria Math" w:hAnsi="Cambria Math" w:cs="Calibri"/>
                  <w:sz w:val="24"/>
                  <w:szCs w:val="24"/>
                </w:rPr>
                <m:t>T</m:t>
              </m:r>
              <m:r>
                <w:rPr>
                  <w:rFonts w:ascii="Cambria Math" w:hAnsi="Cambria Math" w:cs="Calibri"/>
                  <w:sz w:val="24"/>
                  <w:szCs w:val="24"/>
                </w:rPr>
                <m:t xml:space="preserve"> (</m:t>
              </m:r>
              <m:r>
                <m:rPr>
                  <m:sty m:val="p"/>
                </m:rPr>
                <w:rPr>
                  <w:rFonts w:ascii="Cambria Math" w:hAnsi="Cambria Math" w:cs="Calibri"/>
                  <w:sz w:val="24"/>
                  <w:szCs w:val="24"/>
                </w:rPr>
                <m:t>min</m:t>
              </m:r>
              <m:r>
                <w:rPr>
                  <w:rFonts w:ascii="Cambria Math" w:hAnsi="Cambria Math" w:cs="Calibri"/>
                  <w:sz w:val="24"/>
                  <w:szCs w:val="24"/>
                </w:rPr>
                <m:t xml:space="preserve">) × </m:t>
              </m:r>
              <m:r>
                <m:rPr>
                  <m:sty m:val="bi"/>
                </m:rPr>
                <w:rPr>
                  <w:rFonts w:ascii="Cambria Math" w:hAnsi="Cambria Math" w:cs="Calibri"/>
                  <w:sz w:val="24"/>
                  <w:szCs w:val="24"/>
                </w:rPr>
                <m:t>A</m:t>
              </m:r>
              <m:r>
                <w:rPr>
                  <w:rFonts w:ascii="Cambria Math" w:hAnsi="Cambria Math" w:cs="Calibri"/>
                  <w:sz w:val="24"/>
                  <w:szCs w:val="24"/>
                </w:rPr>
                <m:t xml:space="preserve"> (</m:t>
              </m:r>
              <m:sSup>
                <m:sSupPr>
                  <m:ctrlPr>
                    <w:rPr>
                      <w:rFonts w:ascii="Cambria Math" w:hAnsi="Cambria Math" w:cs="Calibri"/>
                      <w:iCs/>
                      <w:sz w:val="24"/>
                      <w:szCs w:val="24"/>
                    </w:rPr>
                  </m:ctrlPr>
                </m:sSupPr>
                <m:e>
                  <m:r>
                    <m:rPr>
                      <m:sty m:val="p"/>
                    </m:rPr>
                    <w:rPr>
                      <w:rFonts w:ascii="Cambria Math" w:hAnsi="Cambria Math" w:cs="Calibri"/>
                      <w:sz w:val="24"/>
                      <w:szCs w:val="24"/>
                    </w:rPr>
                    <m:t>cm</m:t>
                  </m:r>
                </m:e>
                <m:sup>
                  <m:r>
                    <m:rPr>
                      <m:sty m:val="p"/>
                    </m:rPr>
                    <w:rPr>
                      <w:rFonts w:ascii="Cambria Math" w:hAnsi="Cambria Math" w:cs="Calibri"/>
                      <w:sz w:val="24"/>
                      <w:szCs w:val="24"/>
                    </w:rPr>
                    <m:t>2</m:t>
                  </m:r>
                </m:sup>
              </m:sSup>
              <m:r>
                <w:rPr>
                  <w:rFonts w:ascii="Cambria Math" w:hAnsi="Cambria Math" w:cs="Calibri"/>
                  <w:sz w:val="24"/>
                  <w:szCs w:val="24"/>
                </w:rPr>
                <m:t>)]</m:t>
              </m:r>
            </m:den>
          </m:f>
        </m:oMath>
      </m:oMathPara>
    </w:p>
    <w:p w14:paraId="0B0D4095" w14:textId="30A6914D" w:rsidR="006E50FD" w:rsidRPr="00583970" w:rsidRDefault="006E50FD" w:rsidP="001654C4">
      <w:pPr>
        <w:pStyle w:val="ListParagraph"/>
        <w:spacing w:after="0" w:line="240" w:lineRule="auto"/>
        <w:ind w:left="0"/>
        <w:jc w:val="both"/>
        <w:rPr>
          <w:rFonts w:ascii="Calibri" w:hAnsi="Calibri" w:cs="Calibri"/>
          <w:sz w:val="24"/>
          <w:szCs w:val="24"/>
        </w:rPr>
      </w:pPr>
      <w:r w:rsidRPr="00583970">
        <w:rPr>
          <w:rFonts w:ascii="Calibri" w:hAnsi="Calibri" w:cs="Calibri"/>
          <w:sz w:val="24"/>
          <w:szCs w:val="24"/>
        </w:rPr>
        <w:t>Graph each individual value per ΔT to identify potential anomalies</w:t>
      </w:r>
      <w:r w:rsidR="006E25C3" w:rsidRPr="00583970">
        <w:rPr>
          <w:rFonts w:ascii="Calibri" w:hAnsi="Calibri" w:cs="Calibri"/>
          <w:sz w:val="24"/>
          <w:szCs w:val="24"/>
        </w:rPr>
        <w:t xml:space="preserve"> or outliers</w:t>
      </w:r>
      <w:r w:rsidRPr="00583970">
        <w:rPr>
          <w:rFonts w:ascii="Calibri" w:hAnsi="Calibri" w:cs="Calibri"/>
          <w:sz w:val="24"/>
          <w:szCs w:val="24"/>
        </w:rPr>
        <w:t>.</w:t>
      </w:r>
    </w:p>
    <w:p w14:paraId="591FAF15" w14:textId="77777777" w:rsidR="00011876" w:rsidRDefault="00011876" w:rsidP="001654C4">
      <w:pPr>
        <w:pStyle w:val="ListParagraph"/>
        <w:spacing w:after="0" w:line="240" w:lineRule="auto"/>
        <w:ind w:left="0"/>
        <w:jc w:val="both"/>
        <w:rPr>
          <w:rFonts w:ascii="Calibri" w:hAnsi="Calibri" w:cs="Calibri"/>
          <w:sz w:val="24"/>
          <w:szCs w:val="24"/>
        </w:rPr>
      </w:pPr>
    </w:p>
    <w:p w14:paraId="6E8D9E8E" w14:textId="77777777" w:rsidR="00011876" w:rsidRDefault="00011876" w:rsidP="001654C4">
      <w:pPr>
        <w:pStyle w:val="ListParagraph"/>
        <w:spacing w:after="0" w:line="240" w:lineRule="auto"/>
        <w:ind w:left="0"/>
        <w:jc w:val="both"/>
        <w:rPr>
          <w:rFonts w:ascii="Calibri" w:hAnsi="Calibri" w:cs="Calibri"/>
          <w:sz w:val="24"/>
          <w:szCs w:val="24"/>
        </w:rPr>
      </w:pPr>
      <w:r>
        <w:rPr>
          <w:rFonts w:ascii="Calibri" w:hAnsi="Calibri" w:cs="Calibri"/>
          <w:sz w:val="24"/>
          <w:szCs w:val="24"/>
        </w:rPr>
        <w:t>T</w:t>
      </w:r>
      <w:r w:rsidR="00437CD6" w:rsidRPr="00583970">
        <w:rPr>
          <w:rFonts w:ascii="Calibri" w:hAnsi="Calibri" w:cs="Calibri"/>
          <w:sz w:val="24"/>
          <w:szCs w:val="24"/>
        </w:rPr>
        <w:t xml:space="preserve">he results </w:t>
      </w:r>
      <w:r>
        <w:rPr>
          <w:rFonts w:ascii="Calibri" w:hAnsi="Calibri" w:cs="Calibri"/>
          <w:sz w:val="24"/>
          <w:szCs w:val="24"/>
        </w:rPr>
        <w:t xml:space="preserve">are displayed </w:t>
      </w:r>
      <w:r w:rsidR="00437CD6" w:rsidRPr="00583970">
        <w:rPr>
          <w:rFonts w:ascii="Calibri" w:hAnsi="Calibri" w:cs="Calibri"/>
          <w:sz w:val="24"/>
          <w:szCs w:val="24"/>
        </w:rPr>
        <w:t xml:space="preserve">as </w:t>
      </w:r>
      <w:r>
        <w:rPr>
          <w:rFonts w:ascii="Calibri" w:hAnsi="Calibri" w:cs="Calibri"/>
          <w:sz w:val="24"/>
          <w:szCs w:val="24"/>
        </w:rPr>
        <w:t xml:space="preserve">the </w:t>
      </w:r>
      <w:r w:rsidR="00437CD6" w:rsidRPr="00583970">
        <w:rPr>
          <w:rFonts w:ascii="Calibri" w:hAnsi="Calibri" w:cs="Calibri"/>
          <w:sz w:val="24"/>
          <w:szCs w:val="24"/>
        </w:rPr>
        <w:t>average evolution of Colonic Flux of FITC-Dx or HRP of each group for each time</w:t>
      </w:r>
      <w:r>
        <w:rPr>
          <w:rFonts w:ascii="Calibri" w:hAnsi="Calibri" w:cs="Calibri"/>
          <w:sz w:val="24"/>
          <w:szCs w:val="24"/>
        </w:rPr>
        <w:t xml:space="preserve"> </w:t>
      </w:r>
      <w:r w:rsidR="00437CD6" w:rsidRPr="00583970">
        <w:rPr>
          <w:rFonts w:ascii="Calibri" w:hAnsi="Calibri" w:cs="Calibri"/>
          <w:sz w:val="24"/>
          <w:szCs w:val="24"/>
        </w:rPr>
        <w:t>window (</w:t>
      </w:r>
      <w:r w:rsidR="00437CD6" w:rsidRPr="00583970">
        <w:rPr>
          <w:rFonts w:ascii="Calibri" w:hAnsi="Calibri" w:cs="Calibri"/>
          <w:b/>
          <w:bCs/>
          <w:sz w:val="24"/>
          <w:szCs w:val="24"/>
        </w:rPr>
        <w:t xml:space="preserve">Figure </w:t>
      </w:r>
      <w:r w:rsidR="00C7458E" w:rsidRPr="00583970">
        <w:rPr>
          <w:rFonts w:ascii="Calibri" w:hAnsi="Calibri" w:cs="Calibri"/>
          <w:b/>
          <w:bCs/>
          <w:sz w:val="24"/>
          <w:szCs w:val="24"/>
        </w:rPr>
        <w:t>7</w:t>
      </w:r>
      <w:r w:rsidR="00437CD6" w:rsidRPr="00583970">
        <w:rPr>
          <w:rFonts w:ascii="Calibri" w:hAnsi="Calibri" w:cs="Calibri"/>
          <w:sz w:val="24"/>
          <w:szCs w:val="24"/>
        </w:rPr>
        <w:t>)</w:t>
      </w:r>
      <w:r w:rsidR="00544725" w:rsidRPr="00583970">
        <w:rPr>
          <w:rFonts w:ascii="Calibri" w:hAnsi="Calibri" w:cs="Calibri"/>
          <w:sz w:val="24"/>
          <w:szCs w:val="24"/>
        </w:rPr>
        <w:t>.</w:t>
      </w:r>
    </w:p>
    <w:p w14:paraId="76E629C2" w14:textId="74C2C1B1" w:rsidR="0087038B" w:rsidRPr="00583970" w:rsidRDefault="0087038B" w:rsidP="001654C4">
      <w:pPr>
        <w:pStyle w:val="ListParagraph"/>
        <w:spacing w:after="0" w:line="240" w:lineRule="auto"/>
        <w:ind w:left="0"/>
        <w:jc w:val="both"/>
        <w:rPr>
          <w:rFonts w:ascii="Calibri" w:hAnsi="Calibri" w:cs="Calibri"/>
          <w:sz w:val="24"/>
          <w:szCs w:val="24"/>
        </w:rPr>
      </w:pPr>
      <w:r w:rsidRPr="00583970">
        <w:rPr>
          <w:rFonts w:ascii="Calibri" w:hAnsi="Calibri" w:cs="Calibri"/>
          <w:sz w:val="24"/>
          <w:szCs w:val="24"/>
        </w:rPr>
        <w:br/>
        <w:t xml:space="preserve">[insert </w:t>
      </w:r>
      <w:r w:rsidRPr="00583970">
        <w:rPr>
          <w:rFonts w:ascii="Calibri" w:hAnsi="Calibri" w:cs="Calibri"/>
          <w:b/>
          <w:bCs/>
          <w:sz w:val="24"/>
          <w:szCs w:val="24"/>
        </w:rPr>
        <w:t>Figure 7</w:t>
      </w:r>
      <w:r w:rsidRPr="00583970">
        <w:rPr>
          <w:rFonts w:ascii="Calibri" w:hAnsi="Calibri" w:cs="Calibri"/>
          <w:sz w:val="24"/>
          <w:szCs w:val="24"/>
        </w:rPr>
        <w:t xml:space="preserve"> here]</w:t>
      </w:r>
    </w:p>
    <w:p w14:paraId="085DD828" w14:textId="77777777" w:rsidR="00C03D96" w:rsidRDefault="00E80523" w:rsidP="001654C4">
      <w:pPr>
        <w:pStyle w:val="ListParagraph"/>
        <w:spacing w:after="0" w:line="240" w:lineRule="auto"/>
        <w:ind w:left="0"/>
        <w:jc w:val="both"/>
        <w:rPr>
          <w:rFonts w:ascii="Calibri" w:hAnsi="Calibri" w:cs="Calibri"/>
          <w:sz w:val="24"/>
          <w:szCs w:val="24"/>
        </w:rPr>
      </w:pPr>
      <w:r w:rsidRPr="00583970">
        <w:rPr>
          <w:rFonts w:ascii="Calibri" w:hAnsi="Calibri" w:cs="Calibri"/>
          <w:sz w:val="24"/>
          <w:szCs w:val="24"/>
        </w:rPr>
        <w:br/>
      </w:r>
      <w:r w:rsidR="0087038B" w:rsidRPr="00583970">
        <w:rPr>
          <w:rFonts w:ascii="Calibri" w:hAnsi="Calibri" w:cs="Calibri"/>
          <w:sz w:val="24"/>
          <w:szCs w:val="24"/>
        </w:rPr>
        <w:t xml:space="preserve">However, </w:t>
      </w:r>
      <w:r w:rsidR="00C03D96">
        <w:rPr>
          <w:rFonts w:ascii="Calibri" w:hAnsi="Calibri" w:cs="Calibri"/>
          <w:sz w:val="24"/>
          <w:szCs w:val="24"/>
        </w:rPr>
        <w:t>it is worth noting that several factors may vary between samples and can impact the precision of the assay, including the time between euthanasia and tissue mounting, the duration spent for system equilibrium, the presence or movement of air bubbles on</w:t>
      </w:r>
      <w:r w:rsidRPr="00583970">
        <w:rPr>
          <w:rFonts w:ascii="Calibri" w:hAnsi="Calibri" w:cs="Calibri"/>
          <w:sz w:val="24"/>
          <w:szCs w:val="24"/>
        </w:rPr>
        <w:t xml:space="preserve"> or close to the biopsy, and cell death. </w:t>
      </w:r>
      <w:r w:rsidR="00067CEC" w:rsidRPr="00583970">
        <w:rPr>
          <w:rFonts w:ascii="Calibri" w:hAnsi="Calibri" w:cs="Calibri"/>
          <w:sz w:val="24"/>
          <w:szCs w:val="24"/>
        </w:rPr>
        <w:t>Checking for anomalies in the evolution of concentrations or flux remains essential. Due to varying incubation times between the first and last mounted sliders, plus notable cell death toward the assay's end, T0 and T120 values are sometimes discarded. Sudden drops or increases in flux values also warrant attention, as flux increases over time-points should stay stable. For instance, prior testing showed that adding 10 mM EDTA to one colonic sample at T0 caused a flux rise from 97% to 64% across time-points compared to controls, yet the overall flux evolution mirrored that of untreated samples</w:t>
      </w:r>
      <w:r w:rsidR="00B66864" w:rsidRPr="00583970">
        <w:rPr>
          <w:rFonts w:ascii="Calibri" w:hAnsi="Calibri" w:cs="Calibri"/>
          <w:sz w:val="24"/>
          <w:szCs w:val="24"/>
        </w:rPr>
        <w:t xml:space="preserve"> </w:t>
      </w:r>
      <w:r w:rsidR="00067CEC" w:rsidRPr="00583970">
        <w:rPr>
          <w:rFonts w:ascii="Calibri" w:hAnsi="Calibri" w:cs="Calibri"/>
          <w:b/>
          <w:bCs/>
          <w:sz w:val="24"/>
          <w:szCs w:val="24"/>
        </w:rPr>
        <w:t>(Figure 8)</w:t>
      </w:r>
      <w:r w:rsidR="00067CEC" w:rsidRPr="00583970">
        <w:rPr>
          <w:rFonts w:ascii="Calibri" w:hAnsi="Calibri" w:cs="Calibri"/>
          <w:sz w:val="24"/>
          <w:szCs w:val="24"/>
        </w:rPr>
        <w:t>.</w:t>
      </w:r>
      <w:r w:rsidR="00B66864" w:rsidRPr="00583970">
        <w:rPr>
          <w:rFonts w:ascii="Calibri" w:hAnsi="Calibri" w:cs="Calibri"/>
          <w:sz w:val="24"/>
          <w:szCs w:val="24"/>
        </w:rPr>
        <w:t xml:space="preserve"> </w:t>
      </w:r>
    </w:p>
    <w:p w14:paraId="3297E0AC" w14:textId="77777777" w:rsidR="00C03D96" w:rsidRDefault="00C03D96" w:rsidP="001654C4">
      <w:pPr>
        <w:pStyle w:val="ListParagraph"/>
        <w:spacing w:after="0" w:line="240" w:lineRule="auto"/>
        <w:ind w:left="0"/>
        <w:jc w:val="both"/>
        <w:rPr>
          <w:rFonts w:ascii="Calibri" w:hAnsi="Calibri" w:cs="Calibri"/>
          <w:sz w:val="24"/>
          <w:szCs w:val="24"/>
        </w:rPr>
      </w:pPr>
    </w:p>
    <w:p w14:paraId="3DB1FE63" w14:textId="52AC2F1A" w:rsidR="00E80523" w:rsidRPr="00583970" w:rsidRDefault="001D3A8F" w:rsidP="001654C4">
      <w:pPr>
        <w:pStyle w:val="ListParagraph"/>
        <w:spacing w:after="0" w:line="240" w:lineRule="auto"/>
        <w:ind w:left="0"/>
        <w:jc w:val="both"/>
        <w:rPr>
          <w:rFonts w:ascii="Calibri" w:hAnsi="Calibri" w:cs="Calibri"/>
          <w:sz w:val="24"/>
          <w:szCs w:val="24"/>
        </w:rPr>
      </w:pPr>
      <w:r w:rsidRPr="00583970">
        <w:rPr>
          <w:rFonts w:ascii="Calibri" w:hAnsi="Calibri" w:cs="Calibri"/>
          <w:sz w:val="24"/>
          <w:szCs w:val="24"/>
        </w:rPr>
        <w:t xml:space="preserve">[insert </w:t>
      </w:r>
      <w:r w:rsidRPr="00583970">
        <w:rPr>
          <w:rFonts w:ascii="Calibri" w:hAnsi="Calibri" w:cs="Calibri"/>
          <w:b/>
          <w:bCs/>
          <w:sz w:val="24"/>
          <w:szCs w:val="24"/>
        </w:rPr>
        <w:t>Figure 8</w:t>
      </w:r>
      <w:r w:rsidRPr="00583970">
        <w:rPr>
          <w:rFonts w:ascii="Calibri" w:hAnsi="Calibri" w:cs="Calibri"/>
          <w:sz w:val="24"/>
          <w:szCs w:val="24"/>
        </w:rPr>
        <w:t xml:space="preserve"> here]</w:t>
      </w:r>
    </w:p>
    <w:p w14:paraId="64B87FDB" w14:textId="77777777" w:rsidR="00C26FA7" w:rsidRPr="00583970" w:rsidRDefault="00C26FA7" w:rsidP="001654C4">
      <w:pPr>
        <w:spacing w:after="0" w:line="240" w:lineRule="auto"/>
        <w:jc w:val="both"/>
        <w:rPr>
          <w:rFonts w:ascii="Calibri" w:hAnsi="Calibri" w:cs="Calibri"/>
          <w:b/>
          <w:bCs/>
          <w:sz w:val="24"/>
          <w:szCs w:val="24"/>
        </w:rPr>
      </w:pPr>
    </w:p>
    <w:p w14:paraId="6C517061" w14:textId="392BE9E3" w:rsidR="009110FD" w:rsidRPr="00583970" w:rsidRDefault="00D515A7" w:rsidP="001654C4">
      <w:pPr>
        <w:spacing w:after="0" w:line="240" w:lineRule="auto"/>
        <w:jc w:val="both"/>
        <w:rPr>
          <w:rFonts w:ascii="Calibri" w:hAnsi="Calibri" w:cs="Calibri"/>
          <w:b/>
          <w:bCs/>
          <w:sz w:val="24"/>
          <w:szCs w:val="24"/>
        </w:rPr>
      </w:pPr>
      <w:r w:rsidRPr="00583970">
        <w:rPr>
          <w:rFonts w:ascii="Calibri" w:hAnsi="Calibri" w:cs="Calibri"/>
          <w:b/>
          <w:bCs/>
          <w:sz w:val="24"/>
          <w:szCs w:val="24"/>
        </w:rPr>
        <w:t>FIGURE AND TABLE LEGENDS:</w:t>
      </w:r>
    </w:p>
    <w:p w14:paraId="32189BDC" w14:textId="77777777" w:rsidR="006555DA" w:rsidRDefault="006555DA" w:rsidP="001654C4">
      <w:pPr>
        <w:pStyle w:val="Caption"/>
        <w:spacing w:after="0"/>
        <w:jc w:val="both"/>
        <w:rPr>
          <w:rFonts w:ascii="Calibri" w:hAnsi="Calibri" w:cs="Calibri"/>
          <w:b/>
          <w:bCs/>
          <w:i w:val="0"/>
          <w:iCs w:val="0"/>
          <w:color w:val="auto"/>
          <w:sz w:val="24"/>
          <w:szCs w:val="24"/>
        </w:rPr>
      </w:pPr>
    </w:p>
    <w:p w14:paraId="28B8694B" w14:textId="79DE69F6" w:rsidR="00D2546F" w:rsidRDefault="00D2546F" w:rsidP="004B4BFD">
      <w:pPr>
        <w:pStyle w:val="Caption"/>
        <w:spacing w:after="0"/>
        <w:jc w:val="both"/>
        <w:rPr>
          <w:rFonts w:ascii="Calibri" w:hAnsi="Calibri" w:cs="Calibri"/>
          <w:i w:val="0"/>
          <w:iCs w:val="0"/>
          <w:color w:val="auto"/>
          <w:sz w:val="24"/>
          <w:szCs w:val="24"/>
        </w:rPr>
      </w:pPr>
      <w:r w:rsidRPr="00583970">
        <w:rPr>
          <w:rFonts w:ascii="Calibri" w:hAnsi="Calibri" w:cs="Calibri"/>
          <w:b/>
          <w:bCs/>
          <w:i w:val="0"/>
          <w:iCs w:val="0"/>
          <w:color w:val="auto"/>
          <w:sz w:val="24"/>
          <w:szCs w:val="24"/>
        </w:rPr>
        <w:t xml:space="preserve">Figure </w:t>
      </w:r>
      <w:r w:rsidRPr="00583970">
        <w:rPr>
          <w:rFonts w:ascii="Calibri" w:hAnsi="Calibri" w:cs="Calibri"/>
          <w:b/>
          <w:bCs/>
          <w:i w:val="0"/>
          <w:iCs w:val="0"/>
          <w:color w:val="auto"/>
          <w:sz w:val="24"/>
          <w:szCs w:val="24"/>
        </w:rPr>
        <w:fldChar w:fldCharType="begin"/>
      </w:r>
      <w:r w:rsidRPr="00583970">
        <w:rPr>
          <w:rFonts w:ascii="Calibri" w:hAnsi="Calibri" w:cs="Calibri"/>
          <w:b/>
          <w:bCs/>
          <w:i w:val="0"/>
          <w:iCs w:val="0"/>
          <w:color w:val="auto"/>
          <w:sz w:val="24"/>
          <w:szCs w:val="24"/>
        </w:rPr>
        <w:instrText xml:space="preserve"> SEQ Figure \* ARABIC </w:instrText>
      </w:r>
      <w:r w:rsidRPr="00583970">
        <w:rPr>
          <w:rFonts w:ascii="Calibri" w:hAnsi="Calibri" w:cs="Calibri"/>
          <w:b/>
          <w:bCs/>
          <w:i w:val="0"/>
          <w:iCs w:val="0"/>
          <w:color w:val="auto"/>
          <w:sz w:val="24"/>
          <w:szCs w:val="24"/>
        </w:rPr>
        <w:fldChar w:fldCharType="separate"/>
      </w:r>
      <w:r w:rsidRPr="00583970">
        <w:rPr>
          <w:rFonts w:ascii="Calibri" w:hAnsi="Calibri" w:cs="Calibri"/>
          <w:b/>
          <w:bCs/>
          <w:i w:val="0"/>
          <w:iCs w:val="0"/>
          <w:noProof/>
          <w:color w:val="auto"/>
          <w:sz w:val="24"/>
          <w:szCs w:val="24"/>
        </w:rPr>
        <w:t>1</w:t>
      </w:r>
      <w:r w:rsidRPr="00583970">
        <w:rPr>
          <w:rFonts w:ascii="Calibri" w:hAnsi="Calibri" w:cs="Calibri"/>
          <w:b/>
          <w:bCs/>
          <w:i w:val="0"/>
          <w:iCs w:val="0"/>
          <w:color w:val="auto"/>
          <w:sz w:val="24"/>
          <w:szCs w:val="24"/>
        </w:rPr>
        <w:fldChar w:fldCharType="end"/>
      </w:r>
      <w:r w:rsidRPr="00583970">
        <w:rPr>
          <w:rFonts w:ascii="Calibri" w:hAnsi="Calibri" w:cs="Calibri"/>
          <w:b/>
          <w:bCs/>
          <w:i w:val="0"/>
          <w:iCs w:val="0"/>
          <w:color w:val="auto"/>
          <w:sz w:val="24"/>
          <w:szCs w:val="24"/>
        </w:rPr>
        <w:t>: Gavage of neonate mouse pup at DOL 10</w:t>
      </w:r>
      <w:r w:rsidR="00556BFC" w:rsidRPr="00583970">
        <w:rPr>
          <w:rFonts w:ascii="Calibri" w:hAnsi="Calibri" w:cs="Calibri"/>
          <w:b/>
          <w:bCs/>
          <w:i w:val="0"/>
          <w:iCs w:val="0"/>
          <w:color w:val="auto"/>
          <w:sz w:val="24"/>
          <w:szCs w:val="24"/>
        </w:rPr>
        <w:t>.</w:t>
      </w:r>
      <w:r w:rsidRPr="00583970">
        <w:rPr>
          <w:rFonts w:ascii="Calibri" w:hAnsi="Calibri" w:cs="Calibri"/>
          <w:b/>
          <w:bCs/>
          <w:i w:val="0"/>
          <w:iCs w:val="0"/>
          <w:color w:val="auto"/>
          <w:sz w:val="24"/>
          <w:szCs w:val="24"/>
        </w:rPr>
        <w:t xml:space="preserve"> </w:t>
      </w:r>
      <w:r w:rsidRPr="00583970">
        <w:rPr>
          <w:rFonts w:ascii="Calibri" w:hAnsi="Calibri" w:cs="Calibri"/>
          <w:i w:val="0"/>
          <w:iCs w:val="0"/>
          <w:color w:val="auto"/>
          <w:sz w:val="24"/>
          <w:szCs w:val="24"/>
        </w:rPr>
        <w:t>The distance between the snout and xyphoid process is measured (</w:t>
      </w:r>
      <w:r w:rsidRPr="00076E88">
        <w:rPr>
          <w:rFonts w:ascii="Calibri" w:hAnsi="Calibri" w:cs="Calibri"/>
          <w:b/>
          <w:bCs/>
          <w:i w:val="0"/>
          <w:iCs w:val="0"/>
          <w:color w:val="auto"/>
          <w:sz w:val="24"/>
          <w:szCs w:val="24"/>
        </w:rPr>
        <w:t>A</w:t>
      </w:r>
      <w:r w:rsidRPr="00583970">
        <w:rPr>
          <w:rFonts w:ascii="Calibri" w:hAnsi="Calibri" w:cs="Calibri"/>
          <w:i w:val="0"/>
          <w:iCs w:val="0"/>
          <w:color w:val="auto"/>
          <w:sz w:val="24"/>
          <w:szCs w:val="24"/>
        </w:rPr>
        <w:t>), allowing for marking of maximal insertion length on the feeding needle (</w:t>
      </w:r>
      <w:r w:rsidRPr="00076E88">
        <w:rPr>
          <w:rFonts w:ascii="Calibri" w:hAnsi="Calibri" w:cs="Calibri"/>
          <w:b/>
          <w:bCs/>
          <w:i w:val="0"/>
          <w:iCs w:val="0"/>
          <w:color w:val="auto"/>
          <w:sz w:val="24"/>
          <w:szCs w:val="24"/>
        </w:rPr>
        <w:t>B</w:t>
      </w:r>
      <w:r w:rsidRPr="00583970">
        <w:rPr>
          <w:rFonts w:ascii="Calibri" w:hAnsi="Calibri" w:cs="Calibri"/>
          <w:i w:val="0"/>
          <w:iCs w:val="0"/>
          <w:color w:val="auto"/>
          <w:sz w:val="24"/>
          <w:szCs w:val="24"/>
        </w:rPr>
        <w:t>). The feeding needle is inserted in</w:t>
      </w:r>
      <w:r w:rsidR="00076E88">
        <w:rPr>
          <w:rFonts w:ascii="Calibri" w:hAnsi="Calibri" w:cs="Calibri"/>
          <w:i w:val="0"/>
          <w:iCs w:val="0"/>
          <w:color w:val="auto"/>
          <w:sz w:val="24"/>
          <w:szCs w:val="24"/>
        </w:rPr>
        <w:t>to</w:t>
      </w:r>
      <w:r w:rsidRPr="00583970">
        <w:rPr>
          <w:rFonts w:ascii="Calibri" w:hAnsi="Calibri" w:cs="Calibri"/>
          <w:i w:val="0"/>
          <w:iCs w:val="0"/>
          <w:color w:val="auto"/>
          <w:sz w:val="24"/>
          <w:szCs w:val="24"/>
        </w:rPr>
        <w:t xml:space="preserve"> </w:t>
      </w:r>
      <w:r w:rsidR="00076E88">
        <w:rPr>
          <w:rFonts w:ascii="Calibri" w:hAnsi="Calibri" w:cs="Calibri"/>
          <w:i w:val="0"/>
          <w:iCs w:val="0"/>
          <w:color w:val="auto"/>
          <w:sz w:val="24"/>
          <w:szCs w:val="24"/>
        </w:rPr>
        <w:t xml:space="preserve">the </w:t>
      </w:r>
      <w:r w:rsidRPr="00583970">
        <w:rPr>
          <w:rFonts w:ascii="Calibri" w:hAnsi="Calibri" w:cs="Calibri"/>
          <w:i w:val="0"/>
          <w:iCs w:val="0"/>
          <w:color w:val="auto"/>
          <w:sz w:val="24"/>
          <w:szCs w:val="24"/>
        </w:rPr>
        <w:t>left or right part of the oral cavity (</w:t>
      </w:r>
      <w:r w:rsidRPr="00076E88">
        <w:rPr>
          <w:rFonts w:ascii="Calibri" w:hAnsi="Calibri" w:cs="Calibri"/>
          <w:b/>
          <w:bCs/>
          <w:i w:val="0"/>
          <w:iCs w:val="0"/>
          <w:color w:val="auto"/>
          <w:sz w:val="24"/>
          <w:szCs w:val="24"/>
        </w:rPr>
        <w:t>C</w:t>
      </w:r>
      <w:r w:rsidRPr="00583970">
        <w:rPr>
          <w:rFonts w:ascii="Calibri" w:hAnsi="Calibri" w:cs="Calibri"/>
          <w:i w:val="0"/>
          <w:iCs w:val="0"/>
          <w:color w:val="auto"/>
          <w:sz w:val="24"/>
          <w:szCs w:val="24"/>
        </w:rPr>
        <w:t>). Once the back of the throat is reached, the angle of the needle is adjusted until the syringe, head, and back of the animal are aligned (</w:t>
      </w:r>
      <w:r w:rsidRPr="00076E88">
        <w:rPr>
          <w:rFonts w:ascii="Calibri" w:hAnsi="Calibri" w:cs="Calibri"/>
          <w:b/>
          <w:bCs/>
          <w:i w:val="0"/>
          <w:iCs w:val="0"/>
          <w:color w:val="auto"/>
          <w:sz w:val="24"/>
          <w:szCs w:val="24"/>
        </w:rPr>
        <w:t>D</w:t>
      </w:r>
      <w:r w:rsidRPr="00583970">
        <w:rPr>
          <w:rFonts w:ascii="Calibri" w:hAnsi="Calibri" w:cs="Calibri"/>
          <w:i w:val="0"/>
          <w:iCs w:val="0"/>
          <w:color w:val="auto"/>
          <w:sz w:val="24"/>
          <w:szCs w:val="24"/>
        </w:rPr>
        <w:t>). The needle is allowed to gently slide downwards without resistance until the maximum insertion mark is nearly reached or reached (</w:t>
      </w:r>
      <w:r w:rsidRPr="00076E88">
        <w:rPr>
          <w:rFonts w:ascii="Calibri" w:hAnsi="Calibri" w:cs="Calibri"/>
          <w:b/>
          <w:bCs/>
          <w:i w:val="0"/>
          <w:iCs w:val="0"/>
          <w:color w:val="auto"/>
          <w:sz w:val="24"/>
          <w:szCs w:val="24"/>
        </w:rPr>
        <w:t>E</w:t>
      </w:r>
      <w:r w:rsidRPr="00583970">
        <w:rPr>
          <w:rFonts w:ascii="Calibri" w:hAnsi="Calibri" w:cs="Calibri"/>
          <w:i w:val="0"/>
          <w:iCs w:val="0"/>
          <w:color w:val="auto"/>
          <w:sz w:val="24"/>
          <w:szCs w:val="24"/>
        </w:rPr>
        <w:t>).</w:t>
      </w:r>
    </w:p>
    <w:p w14:paraId="6D0275A3" w14:textId="77777777" w:rsidR="006555DA" w:rsidRPr="006555DA" w:rsidRDefault="006555DA" w:rsidP="004B4BFD">
      <w:pPr>
        <w:spacing w:after="0" w:line="240" w:lineRule="auto"/>
      </w:pPr>
    </w:p>
    <w:p w14:paraId="2C00130A" w14:textId="24A174E6" w:rsidR="00D2546F" w:rsidRDefault="00D2546F" w:rsidP="004B4BFD">
      <w:pPr>
        <w:pStyle w:val="Caption"/>
        <w:spacing w:after="0"/>
        <w:jc w:val="both"/>
        <w:rPr>
          <w:rFonts w:ascii="Calibri" w:hAnsi="Calibri" w:cs="Calibri"/>
          <w:i w:val="0"/>
          <w:iCs w:val="0"/>
          <w:color w:val="auto"/>
          <w:sz w:val="24"/>
          <w:szCs w:val="24"/>
        </w:rPr>
      </w:pPr>
      <w:r w:rsidRPr="00583970">
        <w:rPr>
          <w:rFonts w:ascii="Calibri" w:hAnsi="Calibri" w:cs="Calibri"/>
          <w:b/>
          <w:bCs/>
          <w:i w:val="0"/>
          <w:iCs w:val="0"/>
          <w:color w:val="auto"/>
          <w:sz w:val="24"/>
          <w:szCs w:val="24"/>
        </w:rPr>
        <w:t xml:space="preserve">Figure </w:t>
      </w:r>
      <w:r w:rsidRPr="00583970">
        <w:rPr>
          <w:rFonts w:ascii="Calibri" w:hAnsi="Calibri" w:cs="Calibri"/>
          <w:b/>
          <w:bCs/>
          <w:i w:val="0"/>
          <w:iCs w:val="0"/>
          <w:color w:val="auto"/>
          <w:sz w:val="24"/>
          <w:szCs w:val="24"/>
        </w:rPr>
        <w:fldChar w:fldCharType="begin"/>
      </w:r>
      <w:r w:rsidRPr="00583970">
        <w:rPr>
          <w:rFonts w:ascii="Calibri" w:hAnsi="Calibri" w:cs="Calibri"/>
          <w:b/>
          <w:bCs/>
          <w:i w:val="0"/>
          <w:iCs w:val="0"/>
          <w:color w:val="auto"/>
          <w:sz w:val="24"/>
          <w:szCs w:val="24"/>
        </w:rPr>
        <w:instrText xml:space="preserve"> SEQ Figure \* ARABIC </w:instrText>
      </w:r>
      <w:r w:rsidRPr="00583970">
        <w:rPr>
          <w:rFonts w:ascii="Calibri" w:hAnsi="Calibri" w:cs="Calibri"/>
          <w:b/>
          <w:bCs/>
          <w:i w:val="0"/>
          <w:iCs w:val="0"/>
          <w:color w:val="auto"/>
          <w:sz w:val="24"/>
          <w:szCs w:val="24"/>
        </w:rPr>
        <w:fldChar w:fldCharType="separate"/>
      </w:r>
      <w:r w:rsidRPr="00583970">
        <w:rPr>
          <w:rFonts w:ascii="Calibri" w:hAnsi="Calibri" w:cs="Calibri"/>
          <w:b/>
          <w:bCs/>
          <w:i w:val="0"/>
          <w:iCs w:val="0"/>
          <w:noProof/>
          <w:color w:val="auto"/>
          <w:sz w:val="24"/>
          <w:szCs w:val="24"/>
        </w:rPr>
        <w:t>2</w:t>
      </w:r>
      <w:r w:rsidRPr="00583970">
        <w:rPr>
          <w:rFonts w:ascii="Calibri" w:hAnsi="Calibri" w:cs="Calibri"/>
          <w:b/>
          <w:bCs/>
          <w:i w:val="0"/>
          <w:iCs w:val="0"/>
          <w:color w:val="auto"/>
          <w:sz w:val="24"/>
          <w:szCs w:val="24"/>
        </w:rPr>
        <w:fldChar w:fldCharType="end"/>
      </w:r>
      <w:r w:rsidRPr="00583970">
        <w:rPr>
          <w:rFonts w:ascii="Calibri" w:hAnsi="Calibri" w:cs="Calibri"/>
          <w:b/>
          <w:bCs/>
          <w:i w:val="0"/>
          <w:iCs w:val="0"/>
          <w:color w:val="auto"/>
          <w:sz w:val="24"/>
          <w:szCs w:val="24"/>
        </w:rPr>
        <w:t xml:space="preserve">: Dissection of the colon of DOL 10 pup. </w:t>
      </w:r>
      <w:r w:rsidRPr="00583970">
        <w:rPr>
          <w:rFonts w:ascii="Calibri" w:hAnsi="Calibri" w:cs="Calibri"/>
          <w:i w:val="0"/>
          <w:iCs w:val="0"/>
          <w:color w:val="auto"/>
          <w:sz w:val="24"/>
          <w:szCs w:val="24"/>
        </w:rPr>
        <w:t>The epidermis and peritoneum of the pup are cut and opened in two steps to avoid unvoluntary incision of the colon, until the totality of the abdominal cavity is exposed (</w:t>
      </w:r>
      <w:r w:rsidRPr="00076E88">
        <w:rPr>
          <w:rFonts w:ascii="Calibri" w:hAnsi="Calibri" w:cs="Calibri"/>
          <w:b/>
          <w:bCs/>
          <w:i w:val="0"/>
          <w:iCs w:val="0"/>
          <w:color w:val="auto"/>
          <w:sz w:val="24"/>
          <w:szCs w:val="24"/>
        </w:rPr>
        <w:t>A</w:t>
      </w:r>
      <w:r w:rsidRPr="00583970">
        <w:rPr>
          <w:rFonts w:ascii="Calibri" w:hAnsi="Calibri" w:cs="Calibri"/>
          <w:i w:val="0"/>
          <w:iCs w:val="0"/>
          <w:color w:val="auto"/>
          <w:sz w:val="24"/>
          <w:szCs w:val="24"/>
        </w:rPr>
        <w:t xml:space="preserve">). Colon is freed from the abdomen through a first cut of the distal/rectal section, followed </w:t>
      </w:r>
      <w:r w:rsidR="00B66864" w:rsidRPr="00583970">
        <w:rPr>
          <w:rFonts w:ascii="Calibri" w:hAnsi="Calibri" w:cs="Calibri"/>
          <w:i w:val="0"/>
          <w:iCs w:val="0"/>
          <w:color w:val="auto"/>
          <w:sz w:val="24"/>
          <w:szCs w:val="24"/>
        </w:rPr>
        <w:t>by</w:t>
      </w:r>
      <w:r w:rsidRPr="00583970">
        <w:rPr>
          <w:rFonts w:ascii="Calibri" w:hAnsi="Calibri" w:cs="Calibri"/>
          <w:i w:val="0"/>
          <w:iCs w:val="0"/>
          <w:color w:val="auto"/>
          <w:sz w:val="24"/>
          <w:szCs w:val="24"/>
        </w:rPr>
        <w:t xml:space="preserve"> a second cut above the cecum (</w:t>
      </w:r>
      <w:r w:rsidRPr="002466B3">
        <w:rPr>
          <w:rFonts w:ascii="Calibri" w:hAnsi="Calibri" w:cs="Calibri"/>
          <w:b/>
          <w:bCs/>
          <w:i w:val="0"/>
          <w:iCs w:val="0"/>
          <w:color w:val="auto"/>
          <w:sz w:val="24"/>
          <w:szCs w:val="24"/>
        </w:rPr>
        <w:t>B</w:t>
      </w:r>
      <w:r w:rsidRPr="00583970">
        <w:rPr>
          <w:rFonts w:ascii="Calibri" w:hAnsi="Calibri" w:cs="Calibri"/>
          <w:i w:val="0"/>
          <w:iCs w:val="0"/>
          <w:color w:val="auto"/>
          <w:sz w:val="24"/>
          <w:szCs w:val="24"/>
        </w:rPr>
        <w:t>). The initial millimeters of proximal colon are discarded</w:t>
      </w:r>
      <w:r w:rsidR="002466B3">
        <w:rPr>
          <w:rFonts w:ascii="Calibri" w:hAnsi="Calibri" w:cs="Calibri"/>
          <w:i w:val="0"/>
          <w:iCs w:val="0"/>
          <w:color w:val="auto"/>
          <w:sz w:val="24"/>
          <w:szCs w:val="24"/>
        </w:rPr>
        <w:t>,</w:t>
      </w:r>
      <w:r w:rsidRPr="00583970">
        <w:rPr>
          <w:rFonts w:ascii="Calibri" w:hAnsi="Calibri" w:cs="Calibri"/>
          <w:i w:val="0"/>
          <w:iCs w:val="0"/>
          <w:color w:val="auto"/>
          <w:sz w:val="24"/>
          <w:szCs w:val="24"/>
        </w:rPr>
        <w:t xml:space="preserve"> and one to two colonic samples larger than the aperture size of the Ussing sliders are collected (</w:t>
      </w:r>
      <w:r w:rsidRPr="002466B3">
        <w:rPr>
          <w:rFonts w:ascii="Calibri" w:hAnsi="Calibri" w:cs="Calibri"/>
          <w:b/>
          <w:bCs/>
          <w:i w:val="0"/>
          <w:iCs w:val="0"/>
          <w:color w:val="auto"/>
          <w:sz w:val="24"/>
          <w:szCs w:val="24"/>
        </w:rPr>
        <w:t>C</w:t>
      </w:r>
      <w:r w:rsidRPr="00583970">
        <w:rPr>
          <w:rFonts w:ascii="Calibri" w:hAnsi="Calibri" w:cs="Calibri"/>
          <w:i w:val="0"/>
          <w:iCs w:val="0"/>
          <w:color w:val="auto"/>
          <w:sz w:val="24"/>
          <w:szCs w:val="24"/>
        </w:rPr>
        <w:t>).</w:t>
      </w:r>
    </w:p>
    <w:p w14:paraId="35DD270A" w14:textId="77777777" w:rsidR="002466B3" w:rsidRPr="002466B3" w:rsidRDefault="002466B3" w:rsidP="004B4BFD">
      <w:pPr>
        <w:spacing w:after="0" w:line="240" w:lineRule="auto"/>
      </w:pPr>
    </w:p>
    <w:p w14:paraId="74B59252" w14:textId="152909F2" w:rsidR="00556BFC" w:rsidRDefault="00556BFC" w:rsidP="004B4BFD">
      <w:pPr>
        <w:pStyle w:val="Caption"/>
        <w:spacing w:after="0"/>
        <w:jc w:val="both"/>
        <w:rPr>
          <w:rFonts w:ascii="Calibri" w:hAnsi="Calibri" w:cs="Calibri"/>
          <w:i w:val="0"/>
          <w:iCs w:val="0"/>
          <w:color w:val="auto"/>
          <w:sz w:val="24"/>
          <w:szCs w:val="24"/>
        </w:rPr>
      </w:pPr>
      <w:r w:rsidRPr="00583970">
        <w:rPr>
          <w:rFonts w:ascii="Calibri" w:hAnsi="Calibri" w:cs="Calibri"/>
          <w:b/>
          <w:bCs/>
          <w:i w:val="0"/>
          <w:iCs w:val="0"/>
          <w:color w:val="auto"/>
          <w:sz w:val="24"/>
          <w:szCs w:val="24"/>
        </w:rPr>
        <w:t xml:space="preserve">Figure </w:t>
      </w:r>
      <w:r w:rsidRPr="00583970">
        <w:rPr>
          <w:rFonts w:ascii="Calibri" w:hAnsi="Calibri" w:cs="Calibri"/>
          <w:b/>
          <w:bCs/>
          <w:i w:val="0"/>
          <w:iCs w:val="0"/>
          <w:color w:val="auto"/>
          <w:sz w:val="24"/>
          <w:szCs w:val="24"/>
        </w:rPr>
        <w:fldChar w:fldCharType="begin"/>
      </w:r>
      <w:r w:rsidRPr="00583970">
        <w:rPr>
          <w:rFonts w:ascii="Calibri" w:hAnsi="Calibri" w:cs="Calibri"/>
          <w:b/>
          <w:bCs/>
          <w:i w:val="0"/>
          <w:iCs w:val="0"/>
          <w:color w:val="auto"/>
          <w:sz w:val="24"/>
          <w:szCs w:val="24"/>
        </w:rPr>
        <w:instrText xml:space="preserve"> SEQ Figure \* ARABIC </w:instrText>
      </w:r>
      <w:r w:rsidRPr="00583970">
        <w:rPr>
          <w:rFonts w:ascii="Calibri" w:hAnsi="Calibri" w:cs="Calibri"/>
          <w:b/>
          <w:bCs/>
          <w:i w:val="0"/>
          <w:iCs w:val="0"/>
          <w:color w:val="auto"/>
          <w:sz w:val="24"/>
          <w:szCs w:val="24"/>
        </w:rPr>
        <w:fldChar w:fldCharType="separate"/>
      </w:r>
      <w:r w:rsidRPr="00583970">
        <w:rPr>
          <w:rFonts w:ascii="Calibri" w:hAnsi="Calibri" w:cs="Calibri"/>
          <w:b/>
          <w:bCs/>
          <w:i w:val="0"/>
          <w:iCs w:val="0"/>
          <w:noProof/>
          <w:color w:val="auto"/>
          <w:sz w:val="24"/>
          <w:szCs w:val="24"/>
        </w:rPr>
        <w:t>3</w:t>
      </w:r>
      <w:r w:rsidRPr="00583970">
        <w:rPr>
          <w:rFonts w:ascii="Calibri" w:hAnsi="Calibri" w:cs="Calibri"/>
          <w:b/>
          <w:bCs/>
          <w:i w:val="0"/>
          <w:iCs w:val="0"/>
          <w:color w:val="auto"/>
          <w:sz w:val="24"/>
          <w:szCs w:val="24"/>
        </w:rPr>
        <w:fldChar w:fldCharType="end"/>
      </w:r>
      <w:r w:rsidRPr="00583970">
        <w:rPr>
          <w:rFonts w:ascii="Calibri" w:hAnsi="Calibri" w:cs="Calibri"/>
          <w:b/>
          <w:bCs/>
          <w:i w:val="0"/>
          <w:iCs w:val="0"/>
          <w:color w:val="auto"/>
          <w:sz w:val="24"/>
          <w:szCs w:val="24"/>
        </w:rPr>
        <w:t xml:space="preserve">: Mounting of </w:t>
      </w:r>
      <w:r w:rsidR="002466B3">
        <w:rPr>
          <w:rFonts w:ascii="Calibri" w:hAnsi="Calibri" w:cs="Calibri"/>
          <w:b/>
          <w:bCs/>
          <w:i w:val="0"/>
          <w:iCs w:val="0"/>
          <w:color w:val="auto"/>
          <w:sz w:val="24"/>
          <w:szCs w:val="24"/>
        </w:rPr>
        <w:t xml:space="preserve">a </w:t>
      </w:r>
      <w:r w:rsidRPr="00583970">
        <w:rPr>
          <w:rFonts w:ascii="Calibri" w:hAnsi="Calibri" w:cs="Calibri"/>
          <w:b/>
          <w:bCs/>
          <w:i w:val="0"/>
          <w:iCs w:val="0"/>
          <w:color w:val="auto"/>
          <w:sz w:val="24"/>
          <w:szCs w:val="24"/>
        </w:rPr>
        <w:t xml:space="preserve">colon sample from a DOL 9 pup. </w:t>
      </w:r>
      <w:r w:rsidRPr="00583970">
        <w:rPr>
          <w:rFonts w:ascii="Calibri" w:hAnsi="Calibri" w:cs="Calibri"/>
          <w:i w:val="0"/>
          <w:iCs w:val="0"/>
          <w:color w:val="auto"/>
          <w:sz w:val="24"/>
          <w:szCs w:val="24"/>
        </w:rPr>
        <w:t xml:space="preserve">One blade of a fine </w:t>
      </w:r>
      <w:r w:rsidR="002466B3">
        <w:rPr>
          <w:rFonts w:ascii="Calibri" w:hAnsi="Calibri" w:cs="Calibri"/>
          <w:i w:val="0"/>
          <w:iCs w:val="0"/>
          <w:color w:val="auto"/>
          <w:sz w:val="24"/>
          <w:szCs w:val="24"/>
        </w:rPr>
        <w:t>pair of scissors</w:t>
      </w:r>
      <w:r w:rsidRPr="00583970">
        <w:rPr>
          <w:rFonts w:ascii="Calibri" w:hAnsi="Calibri" w:cs="Calibri"/>
          <w:i w:val="0"/>
          <w:iCs w:val="0"/>
          <w:color w:val="auto"/>
          <w:sz w:val="24"/>
          <w:szCs w:val="24"/>
        </w:rPr>
        <w:t xml:space="preserve"> is inserted in the luminal segment of the sample to cut it in one movement (</w:t>
      </w:r>
      <w:r w:rsidRPr="002466B3">
        <w:rPr>
          <w:rFonts w:ascii="Calibri" w:hAnsi="Calibri" w:cs="Calibri"/>
          <w:b/>
          <w:bCs/>
          <w:i w:val="0"/>
          <w:iCs w:val="0"/>
          <w:color w:val="auto"/>
          <w:sz w:val="24"/>
          <w:szCs w:val="24"/>
        </w:rPr>
        <w:t>A</w:t>
      </w:r>
      <w:r w:rsidRPr="00583970">
        <w:rPr>
          <w:rFonts w:ascii="Calibri" w:hAnsi="Calibri" w:cs="Calibri"/>
          <w:i w:val="0"/>
          <w:iCs w:val="0"/>
          <w:color w:val="auto"/>
          <w:sz w:val="24"/>
          <w:szCs w:val="24"/>
        </w:rPr>
        <w:t>). The opened sample is mounted on the Ussing slider aperture with the luminal side facing towards the operator (</w:t>
      </w:r>
      <w:r w:rsidRPr="002466B3">
        <w:rPr>
          <w:rFonts w:ascii="Calibri" w:hAnsi="Calibri" w:cs="Calibri"/>
          <w:b/>
          <w:bCs/>
          <w:i w:val="0"/>
          <w:iCs w:val="0"/>
          <w:color w:val="auto"/>
          <w:sz w:val="24"/>
          <w:szCs w:val="24"/>
        </w:rPr>
        <w:t>B</w:t>
      </w:r>
      <w:r w:rsidRPr="00583970">
        <w:rPr>
          <w:rFonts w:ascii="Calibri" w:hAnsi="Calibri" w:cs="Calibri"/>
          <w:i w:val="0"/>
          <w:iCs w:val="0"/>
          <w:color w:val="auto"/>
          <w:sz w:val="24"/>
          <w:szCs w:val="24"/>
        </w:rPr>
        <w:t>).</w:t>
      </w:r>
    </w:p>
    <w:p w14:paraId="3632EF40" w14:textId="77777777" w:rsidR="001126D3" w:rsidRPr="001126D3" w:rsidRDefault="001126D3" w:rsidP="004B4BFD">
      <w:pPr>
        <w:spacing w:after="0" w:line="240" w:lineRule="auto"/>
      </w:pPr>
    </w:p>
    <w:p w14:paraId="66792841" w14:textId="51E17B45" w:rsidR="00556BFC" w:rsidRDefault="00556BFC" w:rsidP="004B4BFD">
      <w:pPr>
        <w:pStyle w:val="Caption"/>
        <w:spacing w:after="0"/>
        <w:jc w:val="both"/>
        <w:rPr>
          <w:rFonts w:ascii="Calibri" w:hAnsi="Calibri" w:cs="Calibri"/>
          <w:b/>
          <w:bCs/>
          <w:i w:val="0"/>
          <w:iCs w:val="0"/>
          <w:color w:val="auto"/>
          <w:sz w:val="24"/>
          <w:szCs w:val="24"/>
        </w:rPr>
      </w:pPr>
      <w:r w:rsidRPr="00583970">
        <w:rPr>
          <w:rFonts w:ascii="Calibri" w:hAnsi="Calibri" w:cs="Calibri"/>
          <w:b/>
          <w:bCs/>
          <w:i w:val="0"/>
          <w:iCs w:val="0"/>
          <w:color w:val="auto"/>
          <w:sz w:val="24"/>
          <w:szCs w:val="24"/>
        </w:rPr>
        <w:t xml:space="preserve">Figure </w:t>
      </w:r>
      <w:r w:rsidRPr="00583970">
        <w:rPr>
          <w:rFonts w:ascii="Calibri" w:hAnsi="Calibri" w:cs="Calibri"/>
          <w:b/>
          <w:bCs/>
          <w:i w:val="0"/>
          <w:iCs w:val="0"/>
          <w:color w:val="auto"/>
          <w:sz w:val="24"/>
          <w:szCs w:val="24"/>
        </w:rPr>
        <w:fldChar w:fldCharType="begin"/>
      </w:r>
      <w:r w:rsidRPr="00583970">
        <w:rPr>
          <w:rFonts w:ascii="Calibri" w:hAnsi="Calibri" w:cs="Calibri"/>
          <w:b/>
          <w:bCs/>
          <w:i w:val="0"/>
          <w:iCs w:val="0"/>
          <w:color w:val="auto"/>
          <w:sz w:val="24"/>
          <w:szCs w:val="24"/>
        </w:rPr>
        <w:instrText xml:space="preserve"> SEQ Figure \* ARABIC </w:instrText>
      </w:r>
      <w:r w:rsidRPr="00583970">
        <w:rPr>
          <w:rFonts w:ascii="Calibri" w:hAnsi="Calibri" w:cs="Calibri"/>
          <w:b/>
          <w:bCs/>
          <w:i w:val="0"/>
          <w:iCs w:val="0"/>
          <w:color w:val="auto"/>
          <w:sz w:val="24"/>
          <w:szCs w:val="24"/>
        </w:rPr>
        <w:fldChar w:fldCharType="separate"/>
      </w:r>
      <w:r w:rsidRPr="00583970">
        <w:rPr>
          <w:rFonts w:ascii="Calibri" w:hAnsi="Calibri" w:cs="Calibri"/>
          <w:b/>
          <w:bCs/>
          <w:i w:val="0"/>
          <w:iCs w:val="0"/>
          <w:noProof/>
          <w:color w:val="auto"/>
          <w:sz w:val="24"/>
          <w:szCs w:val="24"/>
        </w:rPr>
        <w:t>4</w:t>
      </w:r>
      <w:r w:rsidRPr="00583970">
        <w:rPr>
          <w:rFonts w:ascii="Calibri" w:hAnsi="Calibri" w:cs="Calibri"/>
          <w:b/>
          <w:bCs/>
          <w:i w:val="0"/>
          <w:iCs w:val="0"/>
          <w:color w:val="auto"/>
          <w:sz w:val="24"/>
          <w:szCs w:val="24"/>
        </w:rPr>
        <w:fldChar w:fldCharType="end"/>
      </w:r>
      <w:r w:rsidRPr="00583970">
        <w:rPr>
          <w:rFonts w:ascii="Calibri" w:hAnsi="Calibri" w:cs="Calibri"/>
          <w:b/>
          <w:bCs/>
          <w:i w:val="0"/>
          <w:iCs w:val="0"/>
          <w:color w:val="auto"/>
          <w:sz w:val="24"/>
          <w:szCs w:val="24"/>
        </w:rPr>
        <w:t>: Picture of fully prepared Ussing chambers.</w:t>
      </w:r>
    </w:p>
    <w:p w14:paraId="23C9A10C" w14:textId="77777777" w:rsidR="001126D3" w:rsidRPr="001126D3" w:rsidRDefault="001126D3" w:rsidP="004B4BFD">
      <w:pPr>
        <w:spacing w:after="0" w:line="240" w:lineRule="auto"/>
      </w:pPr>
    </w:p>
    <w:p w14:paraId="2A8A3B19" w14:textId="51CE46F5" w:rsidR="00556BFC" w:rsidRDefault="00556BFC" w:rsidP="004B4BFD">
      <w:pPr>
        <w:pStyle w:val="Caption"/>
        <w:spacing w:after="0"/>
        <w:jc w:val="both"/>
        <w:rPr>
          <w:rFonts w:ascii="Calibri" w:hAnsi="Calibri" w:cs="Calibri"/>
          <w:b/>
          <w:bCs/>
          <w:i w:val="0"/>
          <w:iCs w:val="0"/>
          <w:color w:val="auto"/>
          <w:sz w:val="24"/>
          <w:szCs w:val="24"/>
        </w:rPr>
      </w:pPr>
      <w:r w:rsidRPr="00583970">
        <w:rPr>
          <w:rFonts w:ascii="Calibri" w:hAnsi="Calibri" w:cs="Calibri"/>
          <w:b/>
          <w:bCs/>
          <w:i w:val="0"/>
          <w:iCs w:val="0"/>
          <w:color w:val="auto"/>
          <w:sz w:val="24"/>
          <w:szCs w:val="24"/>
        </w:rPr>
        <w:t xml:space="preserve">Figure </w:t>
      </w:r>
      <w:r w:rsidRPr="00583970">
        <w:rPr>
          <w:rFonts w:ascii="Calibri" w:hAnsi="Calibri" w:cs="Calibri"/>
          <w:b/>
          <w:bCs/>
          <w:i w:val="0"/>
          <w:iCs w:val="0"/>
          <w:color w:val="auto"/>
          <w:sz w:val="24"/>
          <w:szCs w:val="24"/>
        </w:rPr>
        <w:fldChar w:fldCharType="begin"/>
      </w:r>
      <w:r w:rsidRPr="00583970">
        <w:rPr>
          <w:rFonts w:ascii="Calibri" w:hAnsi="Calibri" w:cs="Calibri"/>
          <w:b/>
          <w:bCs/>
          <w:i w:val="0"/>
          <w:iCs w:val="0"/>
          <w:color w:val="auto"/>
          <w:sz w:val="24"/>
          <w:szCs w:val="24"/>
        </w:rPr>
        <w:instrText xml:space="preserve"> SEQ Figure \* ARABIC </w:instrText>
      </w:r>
      <w:r w:rsidRPr="00583970">
        <w:rPr>
          <w:rFonts w:ascii="Calibri" w:hAnsi="Calibri" w:cs="Calibri"/>
          <w:b/>
          <w:bCs/>
          <w:i w:val="0"/>
          <w:iCs w:val="0"/>
          <w:color w:val="auto"/>
          <w:sz w:val="24"/>
          <w:szCs w:val="24"/>
        </w:rPr>
        <w:fldChar w:fldCharType="separate"/>
      </w:r>
      <w:r w:rsidRPr="00583970">
        <w:rPr>
          <w:rFonts w:ascii="Calibri" w:hAnsi="Calibri" w:cs="Calibri"/>
          <w:b/>
          <w:bCs/>
          <w:i w:val="0"/>
          <w:iCs w:val="0"/>
          <w:noProof/>
          <w:color w:val="auto"/>
          <w:sz w:val="24"/>
          <w:szCs w:val="24"/>
        </w:rPr>
        <w:t>5</w:t>
      </w:r>
      <w:r w:rsidRPr="00583970">
        <w:rPr>
          <w:rFonts w:ascii="Calibri" w:hAnsi="Calibri" w:cs="Calibri"/>
          <w:b/>
          <w:bCs/>
          <w:i w:val="0"/>
          <w:iCs w:val="0"/>
          <w:color w:val="auto"/>
          <w:sz w:val="24"/>
          <w:szCs w:val="24"/>
        </w:rPr>
        <w:fldChar w:fldCharType="end"/>
      </w:r>
      <w:r w:rsidRPr="00583970">
        <w:rPr>
          <w:rFonts w:ascii="Calibri" w:hAnsi="Calibri" w:cs="Calibri"/>
          <w:b/>
          <w:bCs/>
          <w:i w:val="0"/>
          <w:iCs w:val="0"/>
          <w:color w:val="auto"/>
          <w:sz w:val="24"/>
          <w:szCs w:val="24"/>
        </w:rPr>
        <w:t>: Visual representation of FITC standard dilutions preparation.</w:t>
      </w:r>
    </w:p>
    <w:p w14:paraId="5621B5DD" w14:textId="77777777" w:rsidR="001126D3" w:rsidRPr="001126D3" w:rsidRDefault="001126D3" w:rsidP="004B4BFD">
      <w:pPr>
        <w:spacing w:after="0" w:line="240" w:lineRule="auto"/>
      </w:pPr>
    </w:p>
    <w:p w14:paraId="00869588" w14:textId="1AAAA08E" w:rsidR="00556BFC" w:rsidRDefault="00556BFC" w:rsidP="004B4BFD">
      <w:pPr>
        <w:spacing w:after="0" w:line="240" w:lineRule="auto"/>
        <w:jc w:val="both"/>
        <w:rPr>
          <w:rFonts w:ascii="Calibri" w:hAnsi="Calibri" w:cs="Calibri"/>
          <w:b/>
          <w:bCs/>
          <w:sz w:val="24"/>
          <w:szCs w:val="24"/>
        </w:rPr>
      </w:pPr>
      <w:r w:rsidRPr="00583970">
        <w:rPr>
          <w:rFonts w:ascii="Calibri" w:hAnsi="Calibri" w:cs="Calibri"/>
          <w:b/>
          <w:bCs/>
          <w:sz w:val="24"/>
          <w:szCs w:val="24"/>
        </w:rPr>
        <w:t xml:space="preserve">Figure </w:t>
      </w:r>
      <w:r w:rsidRPr="00583970">
        <w:rPr>
          <w:rFonts w:ascii="Calibri" w:hAnsi="Calibri" w:cs="Calibri"/>
          <w:b/>
          <w:bCs/>
          <w:i/>
          <w:iCs/>
          <w:sz w:val="24"/>
          <w:szCs w:val="24"/>
        </w:rPr>
        <w:fldChar w:fldCharType="begin"/>
      </w:r>
      <w:r w:rsidRPr="00583970">
        <w:rPr>
          <w:rFonts w:ascii="Calibri" w:hAnsi="Calibri" w:cs="Calibri"/>
          <w:b/>
          <w:bCs/>
          <w:sz w:val="24"/>
          <w:szCs w:val="24"/>
        </w:rPr>
        <w:instrText xml:space="preserve"> SEQ Figure \* ARABIC </w:instrText>
      </w:r>
      <w:r w:rsidRPr="00583970">
        <w:rPr>
          <w:rFonts w:ascii="Calibri" w:hAnsi="Calibri" w:cs="Calibri"/>
          <w:b/>
          <w:bCs/>
          <w:i/>
          <w:iCs/>
          <w:sz w:val="24"/>
          <w:szCs w:val="24"/>
        </w:rPr>
        <w:fldChar w:fldCharType="separate"/>
      </w:r>
      <w:r w:rsidRPr="00583970">
        <w:rPr>
          <w:rFonts w:ascii="Calibri" w:hAnsi="Calibri" w:cs="Calibri"/>
          <w:b/>
          <w:bCs/>
          <w:noProof/>
          <w:sz w:val="24"/>
          <w:szCs w:val="24"/>
        </w:rPr>
        <w:t>6</w:t>
      </w:r>
      <w:r w:rsidRPr="00583970">
        <w:rPr>
          <w:rFonts w:ascii="Calibri" w:hAnsi="Calibri" w:cs="Calibri"/>
          <w:b/>
          <w:bCs/>
          <w:i/>
          <w:iCs/>
          <w:sz w:val="24"/>
          <w:szCs w:val="24"/>
        </w:rPr>
        <w:fldChar w:fldCharType="end"/>
      </w:r>
      <w:r w:rsidRPr="00583970">
        <w:rPr>
          <w:rFonts w:ascii="Calibri" w:hAnsi="Calibri" w:cs="Calibri"/>
          <w:b/>
          <w:bCs/>
          <w:sz w:val="24"/>
          <w:szCs w:val="24"/>
        </w:rPr>
        <w:t>: FITC Standard curve and samples concentration interpolation.</w:t>
      </w:r>
    </w:p>
    <w:p w14:paraId="5ACE993F" w14:textId="77777777" w:rsidR="001126D3" w:rsidRPr="00583970" w:rsidRDefault="001126D3" w:rsidP="004B4BFD">
      <w:pPr>
        <w:spacing w:after="0" w:line="240" w:lineRule="auto"/>
        <w:jc w:val="both"/>
        <w:rPr>
          <w:rFonts w:ascii="Calibri" w:hAnsi="Calibri" w:cs="Calibri"/>
          <w:b/>
          <w:bCs/>
          <w:sz w:val="24"/>
          <w:szCs w:val="24"/>
        </w:rPr>
      </w:pPr>
    </w:p>
    <w:p w14:paraId="2BED7FD0" w14:textId="5EB23B2C" w:rsidR="00FC1C69" w:rsidRPr="004B4BFD" w:rsidRDefault="00556BFC" w:rsidP="004B4BFD">
      <w:pPr>
        <w:pStyle w:val="Caption"/>
        <w:spacing w:after="0"/>
        <w:jc w:val="both"/>
        <w:rPr>
          <w:rFonts w:ascii="Calibri" w:hAnsi="Calibri" w:cs="Calibri"/>
          <w:i w:val="0"/>
          <w:iCs w:val="0"/>
          <w:color w:val="auto"/>
          <w:sz w:val="24"/>
          <w:szCs w:val="24"/>
        </w:rPr>
      </w:pPr>
      <w:r w:rsidRPr="00583970">
        <w:rPr>
          <w:rFonts w:ascii="Calibri" w:hAnsi="Calibri" w:cs="Calibri"/>
          <w:b/>
          <w:bCs/>
          <w:i w:val="0"/>
          <w:iCs w:val="0"/>
          <w:color w:val="auto"/>
          <w:sz w:val="24"/>
          <w:szCs w:val="24"/>
        </w:rPr>
        <w:t xml:space="preserve">Figure </w:t>
      </w:r>
      <w:r w:rsidRPr="00583970">
        <w:rPr>
          <w:rFonts w:ascii="Calibri" w:hAnsi="Calibri" w:cs="Calibri"/>
          <w:b/>
          <w:bCs/>
          <w:i w:val="0"/>
          <w:iCs w:val="0"/>
          <w:color w:val="auto"/>
          <w:sz w:val="24"/>
          <w:szCs w:val="24"/>
        </w:rPr>
        <w:fldChar w:fldCharType="begin"/>
      </w:r>
      <w:r w:rsidRPr="00583970">
        <w:rPr>
          <w:rFonts w:ascii="Calibri" w:hAnsi="Calibri" w:cs="Calibri"/>
          <w:b/>
          <w:bCs/>
          <w:i w:val="0"/>
          <w:iCs w:val="0"/>
          <w:color w:val="auto"/>
          <w:sz w:val="24"/>
          <w:szCs w:val="24"/>
        </w:rPr>
        <w:instrText xml:space="preserve"> SEQ Figure \* ARABIC </w:instrText>
      </w:r>
      <w:r w:rsidRPr="00583970">
        <w:rPr>
          <w:rFonts w:ascii="Calibri" w:hAnsi="Calibri" w:cs="Calibri"/>
          <w:b/>
          <w:bCs/>
          <w:i w:val="0"/>
          <w:iCs w:val="0"/>
          <w:color w:val="auto"/>
          <w:sz w:val="24"/>
          <w:szCs w:val="24"/>
        </w:rPr>
        <w:fldChar w:fldCharType="separate"/>
      </w:r>
      <w:r w:rsidRPr="00583970">
        <w:rPr>
          <w:rFonts w:ascii="Calibri" w:hAnsi="Calibri" w:cs="Calibri"/>
          <w:b/>
          <w:bCs/>
          <w:i w:val="0"/>
          <w:iCs w:val="0"/>
          <w:noProof/>
          <w:color w:val="auto"/>
          <w:sz w:val="24"/>
          <w:szCs w:val="24"/>
        </w:rPr>
        <w:t>7</w:t>
      </w:r>
      <w:r w:rsidRPr="00583970">
        <w:rPr>
          <w:rFonts w:ascii="Calibri" w:hAnsi="Calibri" w:cs="Calibri"/>
          <w:b/>
          <w:bCs/>
          <w:i w:val="0"/>
          <w:iCs w:val="0"/>
          <w:color w:val="auto"/>
          <w:sz w:val="24"/>
          <w:szCs w:val="24"/>
        </w:rPr>
        <w:fldChar w:fldCharType="end"/>
      </w:r>
      <w:r w:rsidRPr="00583970">
        <w:rPr>
          <w:rFonts w:ascii="Calibri" w:hAnsi="Calibri" w:cs="Calibri"/>
          <w:b/>
          <w:bCs/>
          <w:i w:val="0"/>
          <w:iCs w:val="0"/>
          <w:color w:val="auto"/>
          <w:sz w:val="24"/>
          <w:szCs w:val="24"/>
        </w:rPr>
        <w:t>: Colonic FITC-Dx 4kDa Flux (nmol.min</w:t>
      </w:r>
      <w:r w:rsidRPr="00583970">
        <w:rPr>
          <w:rFonts w:ascii="Calibri" w:hAnsi="Calibri" w:cs="Calibri"/>
          <w:b/>
          <w:bCs/>
          <w:i w:val="0"/>
          <w:iCs w:val="0"/>
          <w:color w:val="auto"/>
          <w:sz w:val="24"/>
          <w:szCs w:val="24"/>
          <w:vertAlign w:val="superscript"/>
        </w:rPr>
        <w:t>-1</w:t>
      </w:r>
      <w:r w:rsidRPr="00583970">
        <w:rPr>
          <w:rFonts w:ascii="Calibri" w:hAnsi="Calibri" w:cs="Calibri"/>
          <w:b/>
          <w:bCs/>
          <w:i w:val="0"/>
          <w:iCs w:val="0"/>
          <w:color w:val="auto"/>
          <w:sz w:val="24"/>
          <w:szCs w:val="24"/>
        </w:rPr>
        <w:t>.cm</w:t>
      </w:r>
      <w:r w:rsidRPr="00583970">
        <w:rPr>
          <w:rFonts w:ascii="Calibri" w:hAnsi="Calibri" w:cs="Calibri"/>
          <w:b/>
          <w:bCs/>
          <w:i w:val="0"/>
          <w:iCs w:val="0"/>
          <w:color w:val="auto"/>
          <w:sz w:val="24"/>
          <w:szCs w:val="24"/>
          <w:vertAlign w:val="superscript"/>
        </w:rPr>
        <w:t>-2</w:t>
      </w:r>
      <w:r w:rsidRPr="00583970">
        <w:rPr>
          <w:rFonts w:ascii="Calibri" w:hAnsi="Calibri" w:cs="Calibri"/>
          <w:b/>
          <w:bCs/>
          <w:i w:val="0"/>
          <w:iCs w:val="0"/>
          <w:color w:val="auto"/>
          <w:sz w:val="24"/>
          <w:szCs w:val="24"/>
        </w:rPr>
        <w:t xml:space="preserve">) values across different time-windows </w:t>
      </w:r>
      <w:r w:rsidR="00FC1C69" w:rsidRPr="00583970">
        <w:rPr>
          <w:rFonts w:ascii="Calibri" w:hAnsi="Calibri" w:cs="Calibri"/>
          <w:b/>
          <w:bCs/>
          <w:i w:val="0"/>
          <w:iCs w:val="0"/>
          <w:color w:val="auto"/>
          <w:sz w:val="24"/>
          <w:szCs w:val="24"/>
        </w:rPr>
        <w:t xml:space="preserve">of the </w:t>
      </w:r>
      <w:r w:rsidR="00FC1C69" w:rsidRPr="004B4BFD">
        <w:rPr>
          <w:rFonts w:ascii="Calibri" w:hAnsi="Calibri" w:cs="Calibri"/>
          <w:b/>
          <w:bCs/>
          <w:i w:val="0"/>
          <w:iCs w:val="0"/>
          <w:color w:val="auto"/>
          <w:sz w:val="24"/>
          <w:szCs w:val="24"/>
        </w:rPr>
        <w:t xml:space="preserve">Ussing chamber experiment conducted on 24 colonic samples from </w:t>
      </w:r>
      <w:r w:rsidR="003811FA" w:rsidRPr="004B4BFD">
        <w:rPr>
          <w:rFonts w:ascii="Calibri" w:hAnsi="Calibri" w:cs="Calibri"/>
          <w:b/>
          <w:bCs/>
          <w:i w:val="0"/>
          <w:iCs w:val="0"/>
          <w:color w:val="auto"/>
          <w:sz w:val="24"/>
          <w:szCs w:val="24"/>
        </w:rPr>
        <w:t>pups</w:t>
      </w:r>
      <w:r w:rsidR="00FC1C69" w:rsidRPr="004B4BFD">
        <w:rPr>
          <w:rFonts w:ascii="Calibri" w:hAnsi="Calibri" w:cs="Calibri"/>
          <w:b/>
          <w:bCs/>
          <w:i w:val="0"/>
          <w:iCs w:val="0"/>
          <w:color w:val="auto"/>
          <w:sz w:val="24"/>
          <w:szCs w:val="24"/>
        </w:rPr>
        <w:t xml:space="preserve">. </w:t>
      </w:r>
      <w:r w:rsidR="00FC1C69" w:rsidRPr="004B4BFD">
        <w:rPr>
          <w:rFonts w:ascii="Calibri" w:hAnsi="Calibri" w:cs="Calibri"/>
          <w:i w:val="0"/>
          <w:iCs w:val="0"/>
          <w:color w:val="auto"/>
          <w:sz w:val="24"/>
          <w:szCs w:val="24"/>
        </w:rPr>
        <w:t>8 pups per group were treated for several days through oral gavage with either PBS, miR-A or miR-B.</w:t>
      </w:r>
    </w:p>
    <w:p w14:paraId="6BA9027E" w14:textId="77777777" w:rsidR="004B4BFD" w:rsidRPr="004B4BFD" w:rsidRDefault="004B4BFD" w:rsidP="004B4BFD">
      <w:pPr>
        <w:spacing w:after="0" w:line="240" w:lineRule="auto"/>
      </w:pPr>
    </w:p>
    <w:p w14:paraId="17DA588A" w14:textId="03044F31" w:rsidR="003811FA" w:rsidRPr="004B4BFD" w:rsidRDefault="003811FA" w:rsidP="004B4BFD">
      <w:pPr>
        <w:pStyle w:val="Caption"/>
        <w:spacing w:after="0"/>
        <w:jc w:val="both"/>
        <w:rPr>
          <w:rFonts w:ascii="Calibri" w:hAnsi="Calibri" w:cs="Calibri"/>
          <w:i w:val="0"/>
          <w:iCs w:val="0"/>
          <w:color w:val="auto"/>
          <w:sz w:val="24"/>
          <w:szCs w:val="24"/>
        </w:rPr>
      </w:pPr>
      <w:r w:rsidRPr="00583970">
        <w:rPr>
          <w:rFonts w:ascii="Calibri" w:hAnsi="Calibri" w:cs="Calibri"/>
          <w:b/>
          <w:bCs/>
          <w:i w:val="0"/>
          <w:iCs w:val="0"/>
          <w:color w:val="auto"/>
          <w:sz w:val="24"/>
          <w:szCs w:val="24"/>
        </w:rPr>
        <w:t>Figure 8: Colonic FITC-Dx 4kDa Flux (nmol.min</w:t>
      </w:r>
      <w:r w:rsidRPr="00583970">
        <w:rPr>
          <w:rFonts w:ascii="Calibri" w:hAnsi="Calibri" w:cs="Calibri"/>
          <w:b/>
          <w:bCs/>
          <w:i w:val="0"/>
          <w:iCs w:val="0"/>
          <w:color w:val="auto"/>
          <w:sz w:val="24"/>
          <w:szCs w:val="24"/>
          <w:vertAlign w:val="superscript"/>
        </w:rPr>
        <w:t>-1</w:t>
      </w:r>
      <w:r w:rsidRPr="00583970">
        <w:rPr>
          <w:rFonts w:ascii="Calibri" w:hAnsi="Calibri" w:cs="Calibri"/>
          <w:b/>
          <w:bCs/>
          <w:i w:val="0"/>
          <w:iCs w:val="0"/>
          <w:color w:val="auto"/>
          <w:sz w:val="24"/>
          <w:szCs w:val="24"/>
        </w:rPr>
        <w:t>.cm</w:t>
      </w:r>
      <w:r w:rsidRPr="00583970">
        <w:rPr>
          <w:rFonts w:ascii="Calibri" w:hAnsi="Calibri" w:cs="Calibri"/>
          <w:b/>
          <w:bCs/>
          <w:i w:val="0"/>
          <w:iCs w:val="0"/>
          <w:color w:val="auto"/>
          <w:sz w:val="24"/>
          <w:szCs w:val="24"/>
          <w:vertAlign w:val="superscript"/>
        </w:rPr>
        <w:t>-2</w:t>
      </w:r>
      <w:r w:rsidRPr="00583970">
        <w:rPr>
          <w:rFonts w:ascii="Calibri" w:hAnsi="Calibri" w:cs="Calibri"/>
          <w:b/>
          <w:bCs/>
          <w:i w:val="0"/>
          <w:iCs w:val="0"/>
          <w:color w:val="auto"/>
          <w:sz w:val="24"/>
          <w:szCs w:val="24"/>
        </w:rPr>
        <w:t xml:space="preserve">) values across different time-windows of the </w:t>
      </w:r>
      <w:r w:rsidRPr="004B4BFD">
        <w:rPr>
          <w:rFonts w:ascii="Calibri" w:hAnsi="Calibri" w:cs="Calibri"/>
          <w:b/>
          <w:bCs/>
          <w:i w:val="0"/>
          <w:iCs w:val="0"/>
          <w:color w:val="auto"/>
          <w:sz w:val="24"/>
          <w:szCs w:val="24"/>
        </w:rPr>
        <w:t xml:space="preserve">Ussing chamber experiment conducted on </w:t>
      </w:r>
      <w:r w:rsidR="001D3A8F" w:rsidRPr="004B4BFD">
        <w:rPr>
          <w:rFonts w:ascii="Calibri" w:hAnsi="Calibri" w:cs="Calibri"/>
          <w:b/>
          <w:bCs/>
          <w:i w:val="0"/>
          <w:iCs w:val="0"/>
          <w:color w:val="auto"/>
          <w:sz w:val="24"/>
          <w:szCs w:val="24"/>
        </w:rPr>
        <w:t>6</w:t>
      </w:r>
      <w:r w:rsidRPr="004B4BFD">
        <w:rPr>
          <w:rFonts w:ascii="Calibri" w:hAnsi="Calibri" w:cs="Calibri"/>
          <w:b/>
          <w:bCs/>
          <w:i w:val="0"/>
          <w:iCs w:val="0"/>
          <w:color w:val="auto"/>
          <w:sz w:val="24"/>
          <w:szCs w:val="24"/>
        </w:rPr>
        <w:t xml:space="preserve"> colonic samples from p</w:t>
      </w:r>
      <w:r w:rsidR="001D3A8F" w:rsidRPr="004B4BFD">
        <w:rPr>
          <w:rFonts w:ascii="Calibri" w:hAnsi="Calibri" w:cs="Calibri"/>
          <w:b/>
          <w:bCs/>
          <w:i w:val="0"/>
          <w:iCs w:val="0"/>
          <w:color w:val="auto"/>
          <w:sz w:val="24"/>
          <w:szCs w:val="24"/>
        </w:rPr>
        <w:t>up</w:t>
      </w:r>
      <w:r w:rsidRPr="004B4BFD">
        <w:rPr>
          <w:rFonts w:ascii="Calibri" w:hAnsi="Calibri" w:cs="Calibri"/>
          <w:b/>
          <w:bCs/>
          <w:i w:val="0"/>
          <w:iCs w:val="0"/>
          <w:color w:val="auto"/>
          <w:sz w:val="24"/>
          <w:szCs w:val="24"/>
        </w:rPr>
        <w:t xml:space="preserve">s. </w:t>
      </w:r>
      <w:r w:rsidR="001D3A8F" w:rsidRPr="004B4BFD">
        <w:rPr>
          <w:rFonts w:ascii="Calibri" w:hAnsi="Calibri" w:cs="Calibri"/>
          <w:i w:val="0"/>
          <w:iCs w:val="0"/>
          <w:color w:val="auto"/>
          <w:sz w:val="24"/>
          <w:szCs w:val="24"/>
        </w:rPr>
        <w:t>Samples #1 through #5 serve as controls, with sample #6 receiv</w:t>
      </w:r>
      <w:r w:rsidR="004B4BFD">
        <w:rPr>
          <w:rFonts w:ascii="Calibri" w:hAnsi="Calibri" w:cs="Calibri"/>
          <w:i w:val="0"/>
          <w:iCs w:val="0"/>
          <w:color w:val="auto"/>
          <w:sz w:val="24"/>
          <w:szCs w:val="24"/>
        </w:rPr>
        <w:t>ing</w:t>
      </w:r>
      <w:r w:rsidR="001D3A8F" w:rsidRPr="004B4BFD">
        <w:rPr>
          <w:rFonts w:ascii="Calibri" w:hAnsi="Calibri" w:cs="Calibri"/>
          <w:i w:val="0"/>
          <w:iCs w:val="0"/>
          <w:color w:val="auto"/>
          <w:sz w:val="24"/>
          <w:szCs w:val="24"/>
        </w:rPr>
        <w:t xml:space="preserve"> 10 mM EDTA at T0.</w:t>
      </w:r>
    </w:p>
    <w:p w14:paraId="11C62A90" w14:textId="77777777" w:rsidR="003811FA" w:rsidRPr="007F6A6E" w:rsidRDefault="003811FA" w:rsidP="007F6A6E">
      <w:pPr>
        <w:spacing w:after="0" w:line="240" w:lineRule="auto"/>
        <w:jc w:val="both"/>
        <w:rPr>
          <w:rFonts w:ascii="Calibri" w:hAnsi="Calibri" w:cs="Calibri"/>
          <w:sz w:val="24"/>
          <w:szCs w:val="24"/>
        </w:rPr>
      </w:pPr>
    </w:p>
    <w:p w14:paraId="3783A604" w14:textId="1EFEFEF4" w:rsidR="007F6A6E" w:rsidRDefault="007F6A6E" w:rsidP="007F6A6E">
      <w:pPr>
        <w:pStyle w:val="NormalWeb"/>
        <w:spacing w:before="0" w:beforeAutospacing="0" w:after="0" w:afterAutospacing="0"/>
        <w:jc w:val="both"/>
        <w:rPr>
          <w:rFonts w:ascii="Calibri" w:hAnsi="Calibri" w:cs="Calibri"/>
        </w:rPr>
      </w:pPr>
      <w:r w:rsidRPr="007F6A6E">
        <w:rPr>
          <w:rStyle w:val="Strong"/>
          <w:rFonts w:ascii="Calibri" w:eastAsiaTheme="majorEastAsia" w:hAnsi="Calibri" w:cs="Calibri"/>
        </w:rPr>
        <w:t>Table 1</w:t>
      </w:r>
      <w:r>
        <w:rPr>
          <w:rStyle w:val="Strong"/>
          <w:rFonts w:ascii="Calibri" w:eastAsiaTheme="majorEastAsia" w:hAnsi="Calibri" w:cs="Calibri"/>
        </w:rPr>
        <w:t xml:space="preserve">: </w:t>
      </w:r>
      <w:r w:rsidRPr="007F6A6E">
        <w:rPr>
          <w:rFonts w:ascii="Calibri" w:hAnsi="Calibri" w:cs="Calibri"/>
          <w:b/>
          <w:bCs/>
        </w:rPr>
        <w:t>Solution preparation on the day prior to the Ussing experiment</w:t>
      </w:r>
      <w:r w:rsidRPr="007F6A6E">
        <w:rPr>
          <w:rFonts w:ascii="Calibri" w:hAnsi="Calibri" w:cs="Calibri"/>
        </w:rPr>
        <w:t>.</w:t>
      </w:r>
    </w:p>
    <w:p w14:paraId="244E3A62" w14:textId="77777777" w:rsidR="007F6A6E" w:rsidRPr="007F6A6E" w:rsidRDefault="007F6A6E" w:rsidP="007F6A6E">
      <w:pPr>
        <w:pStyle w:val="NormalWeb"/>
        <w:spacing w:before="0" w:beforeAutospacing="0" w:after="0" w:afterAutospacing="0"/>
        <w:jc w:val="both"/>
        <w:rPr>
          <w:rFonts w:ascii="Calibri" w:hAnsi="Calibri" w:cs="Calibri"/>
        </w:rPr>
      </w:pPr>
    </w:p>
    <w:p w14:paraId="5084B66D" w14:textId="06ABCA53" w:rsidR="007F6A6E" w:rsidRDefault="007F6A6E" w:rsidP="007F6A6E">
      <w:pPr>
        <w:pStyle w:val="NormalWeb"/>
        <w:spacing w:before="0" w:beforeAutospacing="0" w:after="0" w:afterAutospacing="0"/>
        <w:jc w:val="both"/>
        <w:rPr>
          <w:rFonts w:ascii="Calibri" w:hAnsi="Calibri" w:cs="Calibri"/>
        </w:rPr>
      </w:pPr>
      <w:r w:rsidRPr="007F6A6E">
        <w:rPr>
          <w:rStyle w:val="Strong"/>
          <w:rFonts w:ascii="Calibri" w:eastAsiaTheme="majorEastAsia" w:hAnsi="Calibri" w:cs="Calibri"/>
        </w:rPr>
        <w:t>Table 2</w:t>
      </w:r>
      <w:r>
        <w:rPr>
          <w:rStyle w:val="Strong"/>
          <w:rFonts w:ascii="Calibri" w:eastAsiaTheme="majorEastAsia" w:hAnsi="Calibri" w:cs="Calibri"/>
        </w:rPr>
        <w:t xml:space="preserve">: </w:t>
      </w:r>
      <w:r w:rsidRPr="007F6A6E">
        <w:rPr>
          <w:rFonts w:ascii="Calibri" w:hAnsi="Calibri" w:cs="Calibri"/>
          <w:b/>
          <w:bCs/>
        </w:rPr>
        <w:t>KRB buffer preparation on the day of the Ussing experiment</w:t>
      </w:r>
      <w:r w:rsidRPr="007F6A6E">
        <w:rPr>
          <w:rFonts w:ascii="Calibri" w:hAnsi="Calibri" w:cs="Calibri"/>
        </w:rPr>
        <w:t>.</w:t>
      </w:r>
    </w:p>
    <w:p w14:paraId="093C0160" w14:textId="77777777" w:rsidR="007F6A6E" w:rsidRPr="007F6A6E" w:rsidRDefault="007F6A6E" w:rsidP="007F6A6E">
      <w:pPr>
        <w:pStyle w:val="NormalWeb"/>
        <w:spacing w:before="0" w:beforeAutospacing="0" w:after="0" w:afterAutospacing="0"/>
        <w:jc w:val="both"/>
        <w:rPr>
          <w:rFonts w:ascii="Calibri" w:hAnsi="Calibri" w:cs="Calibri"/>
        </w:rPr>
      </w:pPr>
    </w:p>
    <w:p w14:paraId="0E575EAC" w14:textId="5F6D6AB4" w:rsidR="007F6A6E" w:rsidRDefault="007F6A6E" w:rsidP="007F6A6E">
      <w:pPr>
        <w:pStyle w:val="NormalWeb"/>
        <w:spacing w:before="0" w:beforeAutospacing="0" w:after="0" w:afterAutospacing="0"/>
        <w:jc w:val="both"/>
        <w:rPr>
          <w:rFonts w:ascii="Calibri" w:hAnsi="Calibri" w:cs="Calibri"/>
        </w:rPr>
      </w:pPr>
      <w:r w:rsidRPr="007F6A6E">
        <w:rPr>
          <w:rStyle w:val="Strong"/>
          <w:rFonts w:ascii="Calibri" w:eastAsiaTheme="majorEastAsia" w:hAnsi="Calibri" w:cs="Calibri"/>
        </w:rPr>
        <w:t>Table 3</w:t>
      </w:r>
      <w:r>
        <w:rPr>
          <w:rStyle w:val="Strong"/>
          <w:rFonts w:ascii="Calibri" w:eastAsiaTheme="majorEastAsia" w:hAnsi="Calibri" w:cs="Calibri"/>
        </w:rPr>
        <w:t xml:space="preserve">: </w:t>
      </w:r>
      <w:r w:rsidRPr="007F6A6E">
        <w:rPr>
          <w:rFonts w:ascii="Calibri" w:hAnsi="Calibri" w:cs="Calibri"/>
          <w:b/>
          <w:bCs/>
        </w:rPr>
        <w:t>Preparation of Krebs–glucose/mannitol and HRP solutions on the day of the Ussing experiment</w:t>
      </w:r>
      <w:r w:rsidRPr="007F6A6E">
        <w:rPr>
          <w:rFonts w:ascii="Calibri" w:hAnsi="Calibri" w:cs="Calibri"/>
        </w:rPr>
        <w:t>.</w:t>
      </w:r>
    </w:p>
    <w:p w14:paraId="1F7C6547" w14:textId="77777777" w:rsidR="007F6A6E" w:rsidRPr="007F6A6E" w:rsidRDefault="007F6A6E" w:rsidP="007F6A6E">
      <w:pPr>
        <w:pStyle w:val="NormalWeb"/>
        <w:spacing w:before="0" w:beforeAutospacing="0" w:after="0" w:afterAutospacing="0"/>
        <w:jc w:val="both"/>
        <w:rPr>
          <w:rFonts w:ascii="Calibri" w:hAnsi="Calibri" w:cs="Calibri"/>
        </w:rPr>
      </w:pPr>
    </w:p>
    <w:p w14:paraId="48D7B59D" w14:textId="6DECF959" w:rsidR="007F6A6E" w:rsidRDefault="007F6A6E" w:rsidP="007F6A6E">
      <w:pPr>
        <w:pStyle w:val="NormalWeb"/>
        <w:spacing w:before="0" w:beforeAutospacing="0" w:after="0" w:afterAutospacing="0"/>
        <w:jc w:val="both"/>
        <w:rPr>
          <w:rFonts w:ascii="Calibri" w:hAnsi="Calibri" w:cs="Calibri"/>
        </w:rPr>
      </w:pPr>
      <w:r w:rsidRPr="007F6A6E">
        <w:rPr>
          <w:rStyle w:val="Strong"/>
          <w:rFonts w:ascii="Calibri" w:eastAsiaTheme="majorEastAsia" w:hAnsi="Calibri" w:cs="Calibri"/>
        </w:rPr>
        <w:t>Table 4</w:t>
      </w:r>
      <w:r>
        <w:rPr>
          <w:rStyle w:val="Strong"/>
          <w:rFonts w:ascii="Calibri" w:eastAsiaTheme="majorEastAsia" w:hAnsi="Calibri" w:cs="Calibri"/>
        </w:rPr>
        <w:t>:</w:t>
      </w:r>
      <w:r w:rsidRPr="007F6A6E">
        <w:rPr>
          <w:rFonts w:ascii="Calibri" w:hAnsi="Calibri" w:cs="Calibri"/>
        </w:rPr>
        <w:t xml:space="preserve"> </w:t>
      </w:r>
      <w:r w:rsidRPr="007F6A6E">
        <w:rPr>
          <w:rFonts w:ascii="Calibri" w:hAnsi="Calibri" w:cs="Calibri"/>
          <w:b/>
          <w:bCs/>
        </w:rPr>
        <w:t>Preparation of FITC 4 kDa + HRP + mannitol solution on the day of the Ussing experiment</w:t>
      </w:r>
      <w:r w:rsidRPr="007F6A6E">
        <w:rPr>
          <w:rFonts w:ascii="Calibri" w:hAnsi="Calibri" w:cs="Calibri"/>
        </w:rPr>
        <w:t>.</w:t>
      </w:r>
    </w:p>
    <w:p w14:paraId="51597F0B" w14:textId="77777777" w:rsidR="007F6A6E" w:rsidRPr="007F6A6E" w:rsidRDefault="007F6A6E" w:rsidP="007F6A6E">
      <w:pPr>
        <w:pStyle w:val="NormalWeb"/>
        <w:spacing w:before="0" w:beforeAutospacing="0" w:after="0" w:afterAutospacing="0"/>
        <w:jc w:val="both"/>
        <w:rPr>
          <w:rFonts w:ascii="Calibri" w:hAnsi="Calibri" w:cs="Calibri"/>
        </w:rPr>
      </w:pPr>
    </w:p>
    <w:p w14:paraId="165F2CAB" w14:textId="0A76A953" w:rsidR="007F6A6E" w:rsidRDefault="007F6A6E" w:rsidP="007F6A6E">
      <w:pPr>
        <w:pStyle w:val="NormalWeb"/>
        <w:spacing w:before="0" w:beforeAutospacing="0" w:after="0" w:afterAutospacing="0"/>
        <w:jc w:val="both"/>
        <w:rPr>
          <w:rFonts w:ascii="Calibri" w:hAnsi="Calibri" w:cs="Calibri"/>
        </w:rPr>
      </w:pPr>
      <w:r w:rsidRPr="007F6A6E">
        <w:rPr>
          <w:rStyle w:val="Strong"/>
          <w:rFonts w:ascii="Calibri" w:eastAsiaTheme="majorEastAsia" w:hAnsi="Calibri" w:cs="Calibri"/>
        </w:rPr>
        <w:t>Table 5</w:t>
      </w:r>
      <w:r>
        <w:rPr>
          <w:rStyle w:val="Strong"/>
          <w:rFonts w:ascii="Calibri" w:eastAsiaTheme="majorEastAsia" w:hAnsi="Calibri" w:cs="Calibri"/>
        </w:rPr>
        <w:t xml:space="preserve">: </w:t>
      </w:r>
      <w:r w:rsidRPr="007F6A6E">
        <w:rPr>
          <w:rFonts w:ascii="Calibri" w:hAnsi="Calibri" w:cs="Calibri"/>
          <w:b/>
          <w:bCs/>
        </w:rPr>
        <w:t>Preparation of FITC standard dilutions on the day of the Ussing experiment</w:t>
      </w:r>
      <w:r w:rsidRPr="007F6A6E">
        <w:rPr>
          <w:rFonts w:ascii="Calibri" w:hAnsi="Calibri" w:cs="Calibri"/>
        </w:rPr>
        <w:t>.</w:t>
      </w:r>
    </w:p>
    <w:p w14:paraId="791912C4" w14:textId="77777777" w:rsidR="007F6A6E" w:rsidRPr="007F6A6E" w:rsidRDefault="007F6A6E" w:rsidP="007F6A6E">
      <w:pPr>
        <w:pStyle w:val="NormalWeb"/>
        <w:spacing w:before="0" w:beforeAutospacing="0" w:after="0" w:afterAutospacing="0"/>
        <w:jc w:val="both"/>
        <w:rPr>
          <w:rFonts w:ascii="Calibri" w:hAnsi="Calibri" w:cs="Calibri"/>
        </w:rPr>
      </w:pPr>
    </w:p>
    <w:p w14:paraId="5C414D6C" w14:textId="139887C9" w:rsidR="007F6A6E" w:rsidRDefault="007F6A6E" w:rsidP="007F6A6E">
      <w:pPr>
        <w:pStyle w:val="NormalWeb"/>
        <w:spacing w:before="0" w:beforeAutospacing="0" w:after="0" w:afterAutospacing="0"/>
        <w:jc w:val="both"/>
        <w:rPr>
          <w:rFonts w:ascii="Calibri" w:hAnsi="Calibri" w:cs="Calibri"/>
        </w:rPr>
      </w:pPr>
      <w:r w:rsidRPr="007F6A6E">
        <w:rPr>
          <w:rStyle w:val="Strong"/>
          <w:rFonts w:ascii="Calibri" w:eastAsiaTheme="majorEastAsia" w:hAnsi="Calibri" w:cs="Calibri"/>
        </w:rPr>
        <w:t>Table 6</w:t>
      </w:r>
      <w:r>
        <w:rPr>
          <w:rStyle w:val="Strong"/>
          <w:rFonts w:ascii="Calibri" w:eastAsiaTheme="majorEastAsia" w:hAnsi="Calibri" w:cs="Calibri"/>
        </w:rPr>
        <w:t xml:space="preserve">: </w:t>
      </w:r>
      <w:r w:rsidRPr="007F6A6E">
        <w:rPr>
          <w:rFonts w:ascii="Calibri" w:hAnsi="Calibri" w:cs="Calibri"/>
          <w:b/>
          <w:bCs/>
        </w:rPr>
        <w:t>Solution preparation on the day prior to the HRP experiment</w:t>
      </w:r>
      <w:r w:rsidRPr="007F6A6E">
        <w:rPr>
          <w:rFonts w:ascii="Calibri" w:hAnsi="Calibri" w:cs="Calibri"/>
        </w:rPr>
        <w:t>.</w:t>
      </w:r>
    </w:p>
    <w:p w14:paraId="7BF789E6" w14:textId="77777777" w:rsidR="007F6A6E" w:rsidRPr="007F6A6E" w:rsidRDefault="007F6A6E" w:rsidP="007F6A6E">
      <w:pPr>
        <w:pStyle w:val="NormalWeb"/>
        <w:spacing w:before="0" w:beforeAutospacing="0" w:after="0" w:afterAutospacing="0"/>
        <w:jc w:val="both"/>
        <w:rPr>
          <w:rFonts w:ascii="Calibri" w:hAnsi="Calibri" w:cs="Calibri"/>
        </w:rPr>
      </w:pPr>
    </w:p>
    <w:p w14:paraId="50441601" w14:textId="1C1ABA2F" w:rsidR="007F6A6E" w:rsidRDefault="007F6A6E" w:rsidP="007F6A6E">
      <w:pPr>
        <w:pStyle w:val="NormalWeb"/>
        <w:spacing w:before="0" w:beforeAutospacing="0" w:after="0" w:afterAutospacing="0"/>
        <w:jc w:val="both"/>
        <w:rPr>
          <w:rFonts w:ascii="Calibri" w:hAnsi="Calibri" w:cs="Calibri"/>
        </w:rPr>
      </w:pPr>
      <w:r w:rsidRPr="007F6A6E">
        <w:rPr>
          <w:rStyle w:val="Strong"/>
          <w:rFonts w:ascii="Calibri" w:eastAsiaTheme="majorEastAsia" w:hAnsi="Calibri" w:cs="Calibri"/>
        </w:rPr>
        <w:t>Table 7</w:t>
      </w:r>
      <w:r>
        <w:rPr>
          <w:rStyle w:val="Strong"/>
          <w:rFonts w:ascii="Calibri" w:eastAsiaTheme="majorEastAsia" w:hAnsi="Calibri" w:cs="Calibri"/>
        </w:rPr>
        <w:t xml:space="preserve">: </w:t>
      </w:r>
      <w:r w:rsidRPr="007F6A6E">
        <w:rPr>
          <w:rFonts w:ascii="Calibri" w:hAnsi="Calibri" w:cs="Calibri"/>
          <w:b/>
          <w:bCs/>
        </w:rPr>
        <w:t>BSA blocking buffer preparation on the day of the HRP experiment</w:t>
      </w:r>
      <w:r w:rsidRPr="007F6A6E">
        <w:rPr>
          <w:rFonts w:ascii="Calibri" w:hAnsi="Calibri" w:cs="Calibri"/>
        </w:rPr>
        <w:t>.</w:t>
      </w:r>
    </w:p>
    <w:p w14:paraId="418A83D9" w14:textId="77777777" w:rsidR="007F6A6E" w:rsidRPr="007F6A6E" w:rsidRDefault="007F6A6E" w:rsidP="007F6A6E">
      <w:pPr>
        <w:pStyle w:val="NormalWeb"/>
        <w:spacing w:before="0" w:beforeAutospacing="0" w:after="0" w:afterAutospacing="0"/>
        <w:jc w:val="both"/>
        <w:rPr>
          <w:rFonts w:ascii="Calibri" w:hAnsi="Calibri" w:cs="Calibri"/>
        </w:rPr>
      </w:pPr>
    </w:p>
    <w:p w14:paraId="5F0D022C" w14:textId="20F29431" w:rsidR="007F6A6E" w:rsidRDefault="007F6A6E" w:rsidP="007F6A6E">
      <w:pPr>
        <w:pStyle w:val="NormalWeb"/>
        <w:spacing w:before="0" w:beforeAutospacing="0" w:after="0" w:afterAutospacing="0"/>
        <w:jc w:val="both"/>
        <w:rPr>
          <w:rFonts w:ascii="Calibri" w:hAnsi="Calibri" w:cs="Calibri"/>
        </w:rPr>
      </w:pPr>
      <w:r w:rsidRPr="007F6A6E">
        <w:rPr>
          <w:rStyle w:val="Strong"/>
          <w:rFonts w:ascii="Calibri" w:eastAsiaTheme="majorEastAsia" w:hAnsi="Calibri" w:cs="Calibri"/>
        </w:rPr>
        <w:t>Table 8</w:t>
      </w:r>
      <w:r>
        <w:rPr>
          <w:rStyle w:val="Strong"/>
          <w:rFonts w:ascii="Calibri" w:eastAsiaTheme="majorEastAsia" w:hAnsi="Calibri" w:cs="Calibri"/>
        </w:rPr>
        <w:t xml:space="preserve">: </w:t>
      </w:r>
      <w:r w:rsidRPr="007F6A6E">
        <w:rPr>
          <w:rFonts w:ascii="Calibri" w:hAnsi="Calibri" w:cs="Calibri"/>
          <w:b/>
          <w:bCs/>
        </w:rPr>
        <w:t>HRP standard preparation on the day of the HRP experiment</w:t>
      </w:r>
      <w:r w:rsidRPr="007F6A6E">
        <w:rPr>
          <w:rFonts w:ascii="Calibri" w:hAnsi="Calibri" w:cs="Calibri"/>
        </w:rPr>
        <w:t>.</w:t>
      </w:r>
    </w:p>
    <w:p w14:paraId="2E729A51" w14:textId="77777777" w:rsidR="007F6A6E" w:rsidRPr="007F6A6E" w:rsidRDefault="007F6A6E" w:rsidP="007F6A6E">
      <w:pPr>
        <w:pStyle w:val="NormalWeb"/>
        <w:spacing w:before="0" w:beforeAutospacing="0" w:after="0" w:afterAutospacing="0"/>
        <w:jc w:val="both"/>
        <w:rPr>
          <w:rFonts w:ascii="Calibri" w:hAnsi="Calibri" w:cs="Calibri"/>
        </w:rPr>
      </w:pPr>
    </w:p>
    <w:p w14:paraId="11193BB6" w14:textId="168F40D3" w:rsidR="007F6A6E" w:rsidRPr="007F6A6E" w:rsidRDefault="007F6A6E" w:rsidP="007F6A6E">
      <w:pPr>
        <w:pStyle w:val="NormalWeb"/>
        <w:spacing w:before="0" w:beforeAutospacing="0" w:after="0" w:afterAutospacing="0"/>
        <w:jc w:val="both"/>
        <w:rPr>
          <w:rFonts w:ascii="Calibri" w:hAnsi="Calibri" w:cs="Calibri"/>
        </w:rPr>
      </w:pPr>
      <w:r w:rsidRPr="007F6A6E">
        <w:rPr>
          <w:rStyle w:val="Strong"/>
          <w:rFonts w:ascii="Calibri" w:eastAsiaTheme="majorEastAsia" w:hAnsi="Calibri" w:cs="Calibri"/>
        </w:rPr>
        <w:t>Table 9</w:t>
      </w:r>
      <w:r>
        <w:rPr>
          <w:rStyle w:val="Strong"/>
          <w:rFonts w:ascii="Calibri" w:eastAsiaTheme="majorEastAsia" w:hAnsi="Calibri" w:cs="Calibri"/>
        </w:rPr>
        <w:t xml:space="preserve">: </w:t>
      </w:r>
      <w:r w:rsidRPr="007F6A6E">
        <w:rPr>
          <w:rFonts w:ascii="Calibri" w:hAnsi="Calibri" w:cs="Calibri"/>
          <w:b/>
          <w:bCs/>
        </w:rPr>
        <w:t>QuantaBlu working solution preparation on the day of the HRP experiment</w:t>
      </w:r>
      <w:r w:rsidRPr="007F6A6E">
        <w:rPr>
          <w:rFonts w:ascii="Calibri" w:hAnsi="Calibri" w:cs="Calibri"/>
        </w:rPr>
        <w:t>.</w:t>
      </w:r>
    </w:p>
    <w:p w14:paraId="51D49600" w14:textId="77777777" w:rsidR="006A1E3C" w:rsidRPr="007F6A6E" w:rsidRDefault="006A1E3C" w:rsidP="007F6A6E">
      <w:pPr>
        <w:spacing w:after="0" w:line="240" w:lineRule="auto"/>
        <w:jc w:val="both"/>
        <w:rPr>
          <w:rFonts w:ascii="Calibri" w:hAnsi="Calibri" w:cs="Calibri"/>
          <w:b/>
          <w:bCs/>
          <w:sz w:val="24"/>
          <w:szCs w:val="24"/>
        </w:rPr>
      </w:pPr>
    </w:p>
    <w:p w14:paraId="34BDEF94" w14:textId="025D56B9" w:rsidR="009110FD" w:rsidRPr="00583970" w:rsidRDefault="00D515A7" w:rsidP="001654C4">
      <w:pPr>
        <w:spacing w:after="0" w:line="240" w:lineRule="auto"/>
        <w:jc w:val="both"/>
        <w:rPr>
          <w:rFonts w:ascii="Calibri" w:hAnsi="Calibri" w:cs="Calibri"/>
          <w:b/>
          <w:bCs/>
          <w:sz w:val="24"/>
          <w:szCs w:val="24"/>
        </w:rPr>
      </w:pPr>
      <w:r w:rsidRPr="00583970">
        <w:rPr>
          <w:rFonts w:ascii="Calibri" w:hAnsi="Calibri" w:cs="Calibri"/>
          <w:b/>
          <w:bCs/>
          <w:sz w:val="24"/>
          <w:szCs w:val="24"/>
        </w:rPr>
        <w:t>DISCUSSION:</w:t>
      </w:r>
    </w:p>
    <w:p w14:paraId="152CE28C" w14:textId="5DBB5882" w:rsidR="0053775F" w:rsidRDefault="004E14A9" w:rsidP="001654C4">
      <w:pPr>
        <w:spacing w:after="0" w:line="240" w:lineRule="auto"/>
        <w:jc w:val="both"/>
        <w:rPr>
          <w:rFonts w:ascii="Calibri" w:hAnsi="Calibri" w:cs="Calibri"/>
          <w:sz w:val="24"/>
          <w:szCs w:val="24"/>
        </w:rPr>
      </w:pPr>
      <w:r w:rsidRPr="00583970">
        <w:rPr>
          <w:rFonts w:ascii="Calibri" w:hAnsi="Calibri" w:cs="Calibri"/>
          <w:sz w:val="24"/>
          <w:szCs w:val="24"/>
        </w:rPr>
        <w:t>Oral gavage enables repeated administration of a precise, defined luminal dose to individual neonatal mice. In contrast, voluntary feeding, although a viable alternative, requires extended administration time per animal to deliver a lower compound quantity with reduced dosing precision</w:t>
      </w:r>
      <w:r w:rsidRPr="00583970">
        <w:rPr>
          <w:rFonts w:ascii="Calibri" w:hAnsi="Calibri" w:cs="Calibri"/>
          <w:sz w:val="24"/>
          <w:szCs w:val="24"/>
        </w:rPr>
        <w:fldChar w:fldCharType="begin"/>
      </w:r>
      <w:r w:rsidR="00A00B28" w:rsidRPr="00583970">
        <w:rPr>
          <w:rFonts w:ascii="Calibri" w:hAnsi="Calibri" w:cs="Calibri"/>
          <w:sz w:val="24"/>
          <w:szCs w:val="24"/>
        </w:rPr>
        <w:instrText xml:space="preserve"> ADDIN ZOTERO_ITEM CSL_CITATION {"citationID":"YT6nRyUL","properties":{"formattedCitation":"\\super 12\\nosupersub{}","plainCitation":"12","noteIndex":0},"citationItems":[{"id":438,"uris":["http://zotero.org/users/local/MfNK0c4v/items/LX46IPPK"],"itemData":{"id":438,"type":"article-journal","abstract":"Adult mouse models have been widely used to understand the mechanism behind disease progression in humans. The applicability of studies done in adult mouse models to neonatal diseases is limited. To better understand disease progression, host responses and long-term impact of interventions in neonates, a neonatal mouse model likely is a better fit. The sparse use of neonatal mouse models can in part be attributed to the technical difficulties of working with these small animals. A neonatal mouse model was developed to determine the effects of probiotic administration in early life and to specifically assess the ability to establish colonization in the newborn mouse intestinal tract. Specifically, to assess probiotic colonization in the neonatal mouse, Lactobacillus plantarum (LP) was delivered directly into the neonatal mouse gastrointestinal tract. To this end, LP was administered to mice by feeding through intra-esophageal (IE) gavage. A highly reproducible method was developed to standardize the process of IE gavage that allows an accurate administration of probiotic dosages while minimizing trauma, an aspect particularly important given the fragility of newborn mice. Limitations of this process include possibilities of esophageal irritation or damage and aspiration if gavaged incorrectly. This approach represents an improvement on current practices because IE gavage into the distal esophagus reduces the chances of aspiration. Following gavage, the colonization profile of the probiotic was traced using quantitative polymerase chain reaction (qPCR) of the extracted intestinal DNA with LP specific primers. Different litter settings and cage management techniques were used to assess the potential for colonization-spread. The protocol details the intricacies of IE neonatal mouse gavage and subsequent colonization quantification with LP.","container-title":"JoVE (Journal of Visualized Experiments)","DOI":"10.3791/59074","ISSN":"1940-087X","issue":"143","language":"en","page":"e59074","source":"www.jove.com","title":"Probiotic Studies in Neonatal Mice Using Gavage","author":[{"family":"Francis","given":"Freddy"},{"family":"Varankovich","given":"Natallia"},{"family":"Brook","given":"Byron"},{"family":"Amenyogbe","given":"Nelly"},{"family":"Ben-Othman","given":"Rym"},{"family":"Cai","given":"Bing"},{"family":"Harbeson","given":"Danny"},{"family":"Liu","given":"Aaron C."},{"family":"Dai","given":"Ben"},{"family":"McErlane","given":"Shelly"},{"family":"Andrews","given":"Kris"},{"family":"Kollmann","given":"Tobias R."},{"family":"Panigrahi","given":"Pinaki"}],"issued":{"date-parts":[["2019",1,27]]}}}],"schema":"https://github.com/citation-style-language/schema/raw/master/csl-citation.json"} </w:instrText>
      </w:r>
      <w:r w:rsidRPr="00583970">
        <w:rPr>
          <w:rFonts w:ascii="Calibri" w:hAnsi="Calibri" w:cs="Calibri"/>
          <w:sz w:val="24"/>
          <w:szCs w:val="24"/>
        </w:rPr>
        <w:fldChar w:fldCharType="separate"/>
      </w:r>
      <w:r w:rsidR="00A65BA8" w:rsidRPr="00583970">
        <w:rPr>
          <w:rFonts w:ascii="Calibri" w:hAnsi="Calibri" w:cs="Calibri"/>
          <w:kern w:val="0"/>
          <w:sz w:val="24"/>
          <w:szCs w:val="24"/>
          <w:vertAlign w:val="superscript"/>
        </w:rPr>
        <w:t>12</w:t>
      </w:r>
      <w:r w:rsidRPr="00583970">
        <w:rPr>
          <w:rFonts w:ascii="Calibri" w:hAnsi="Calibri" w:cs="Calibri"/>
          <w:sz w:val="24"/>
          <w:szCs w:val="24"/>
        </w:rPr>
        <w:fldChar w:fldCharType="end"/>
      </w:r>
      <w:r w:rsidRPr="00583970">
        <w:rPr>
          <w:rFonts w:ascii="Calibri" w:hAnsi="Calibri" w:cs="Calibri"/>
          <w:sz w:val="24"/>
          <w:szCs w:val="24"/>
        </w:rPr>
        <w:t xml:space="preserve">. Moreover, oral gavage accommodates larger volumes than those feasible </w:t>
      </w:r>
      <w:r w:rsidRPr="00583970">
        <w:rPr>
          <w:rFonts w:ascii="Calibri" w:hAnsi="Calibri" w:cs="Calibri"/>
          <w:i/>
          <w:iCs/>
          <w:sz w:val="24"/>
          <w:szCs w:val="24"/>
        </w:rPr>
        <w:t>via</w:t>
      </w:r>
      <w:r w:rsidRPr="00583970">
        <w:rPr>
          <w:rFonts w:ascii="Calibri" w:hAnsi="Calibri" w:cs="Calibri"/>
          <w:sz w:val="24"/>
          <w:szCs w:val="24"/>
        </w:rPr>
        <w:t xml:space="preserve"> injectable routes, facilitating higher total doses at lower concentrations and thereby minimizing potential toxicity upon administration</w:t>
      </w:r>
      <w:r w:rsidRPr="00583970">
        <w:rPr>
          <w:rFonts w:ascii="Calibri" w:hAnsi="Calibri" w:cs="Calibri"/>
          <w:sz w:val="24"/>
          <w:szCs w:val="24"/>
        </w:rPr>
        <w:fldChar w:fldCharType="begin"/>
      </w:r>
      <w:r w:rsidR="00A00B28" w:rsidRPr="00583970">
        <w:rPr>
          <w:rFonts w:ascii="Calibri" w:hAnsi="Calibri" w:cs="Calibri"/>
          <w:sz w:val="24"/>
          <w:szCs w:val="24"/>
        </w:rPr>
        <w:instrText xml:space="preserve"> ADDIN ZOTERO_ITEM CSL_CITATION {"citationID":"V1Irnm8l","properties":{"formattedCitation":"\\super 13\\nosupersub{}","plainCitation":"13","noteIndex":0},"citationItems":[{"id":440,"uris":["http://zotero.org/users/local/MfNK0c4v/items/4U3IGA4P"],"itemData":{"id":440,"type":"article-journal","abstract":"The neonatal mouse model, in various forms, has been used experimentally since 1959 and a large number of chemicals have been tested. The neonatal model is known to be very sensitive for the detection of carcinogens that operate via a genotoxic mode of action. In contrast, it is known not to respond to chemicals that act via epigenetic mechanisms, commonly observed in the two-year carcinogenicity studies. As such, the model has a high sensitivity and specificity in its response. Dose selection for the neonatal model is based on the maximum tolerated or feasible dose. Traditionally, compounds have been tested via the IP route of administration in this model. In some cases, this has limited the amount of material that can be administered because of the low dosing volumes (10 to 20 microL) that can be administered IP. For the ILSI project, the neonatal model was adapted for oral administration, which has the advantages of being the same route for which most pharmaceuticals are administered. In addition, a 10-fold increase in the volume of administration (100 to 200 microL) and the ability to dose drugs in suspension, permits much higher doses to be used as compared to the IP route of administration. The spontaneous tumors in the neonatal model occurred mainly in the liver of male mice and lung of male and female mice with a few tumors observed in the Harderian gland. The positive control, DEN produced a robust, uniform, and reproducible tumor response with the target organs essentially limited to liver and lung. A total of 13 compounds out of the 21 ILSI ACT compounds were evaluated in the neonatal model involving 18 studies with duplicate studies for some compounds. The genotoxic carcinogens including those used as positive controls were clearly positive (cyclophosphamide, diethylnitrosamine, 6-nitrochrysene). The non-genotoxic rodent carcinogens were clearly negative (chlorpromazine, sulfisoxazole, sulfamethoxazole, clofibrate, DEHP, haloperidol, metaproteranol, and phenobarbital). The non-genotoxic human carcinogen (cyclosporin) was clearly negative. The two other human carcinogens phenacetin and DES were negative and interestingly estradiol was negative in one of the two oral studies, but was clearly positive in the other. Considering the mode of action for three of the human carcinogens (DES, cyclosporin and phenacetin), which were negative in this model, the mode of action in humans is likely to be epigenetic. Overall, for the 3 clearly genotoxic chemicals, all were positive. For the 9 clearly non-genotoxic chemicals, all 9 were negative. The two human carcinogens for which genotoxicity may or may not play a role (DES and phenacetin) were negative and estradiol was positive in I of the two oral studies. Overall, the extensive database for compounds tested in the neonatal mouse model would support its use as an alternative model for the assessment of the carcinogenic potential of a chemical. The model responds to chemicals that act via a genotoxic mode of action that represent a greater concern for human cancer risk.","container-title":"Toxicologic Pathology","DOI":"10.1080/019262301753178537","ISSN":"0192-6233","journalAbbreviation":"Toxicol Pathol","language":"eng","note":"PMID: 11695548","page":"128-137","source":"PubMed","title":"Neonatal mouse model: review of methods and results","title-short":"Neonatal mouse model","volume":"29 Suppl","author":[{"family":"McClain","given":"R. M."},{"family":"Keller","given":"D."},{"family":"Casciano","given":"D."},{"family":"Fu","given":"P."},{"family":"MacDonald","given":"J."},{"family":"Popp","given":"J."},{"family":"Sagartz","given":"J."}],"issued":{"date-parts":[["2001"]]}}}],"schema":"https://github.com/citation-style-language/schema/raw/master/csl-citation.json"} </w:instrText>
      </w:r>
      <w:r w:rsidRPr="00583970">
        <w:rPr>
          <w:rFonts w:ascii="Calibri" w:hAnsi="Calibri" w:cs="Calibri"/>
          <w:sz w:val="24"/>
          <w:szCs w:val="24"/>
        </w:rPr>
        <w:fldChar w:fldCharType="separate"/>
      </w:r>
      <w:r w:rsidR="00A65BA8" w:rsidRPr="00583970">
        <w:rPr>
          <w:rFonts w:ascii="Calibri" w:hAnsi="Calibri" w:cs="Calibri"/>
          <w:kern w:val="0"/>
          <w:sz w:val="24"/>
          <w:szCs w:val="24"/>
          <w:vertAlign w:val="superscript"/>
        </w:rPr>
        <w:t>13</w:t>
      </w:r>
      <w:r w:rsidRPr="00583970">
        <w:rPr>
          <w:rFonts w:ascii="Calibri" w:hAnsi="Calibri" w:cs="Calibri"/>
          <w:sz w:val="24"/>
          <w:szCs w:val="24"/>
        </w:rPr>
        <w:fldChar w:fldCharType="end"/>
      </w:r>
      <w:r w:rsidRPr="00583970">
        <w:rPr>
          <w:rFonts w:ascii="Calibri" w:hAnsi="Calibri" w:cs="Calibri"/>
          <w:sz w:val="24"/>
          <w:szCs w:val="24"/>
        </w:rPr>
        <w:t xml:space="preserve">. Transit through the digestive tract further restricts the compound's distribution volume, which is advantageous for studies targeting intestinal permeability and barrier function. However, toxicity varies substantially with developmental window and molecular class; therefore, caution must be applied when administering any treatment to neonatal subjects for the first time. </w:t>
      </w:r>
      <w:r w:rsidR="00DB2F94" w:rsidRPr="00583970">
        <w:rPr>
          <w:rFonts w:ascii="Calibri" w:hAnsi="Calibri" w:cs="Calibri"/>
          <w:sz w:val="24"/>
          <w:szCs w:val="24"/>
        </w:rPr>
        <w:t xml:space="preserve">The gavage of neonatal pups is a delicate </w:t>
      </w:r>
      <w:r w:rsidR="00E57B80" w:rsidRPr="00583970">
        <w:rPr>
          <w:rFonts w:ascii="Calibri" w:hAnsi="Calibri" w:cs="Calibri"/>
          <w:sz w:val="24"/>
          <w:szCs w:val="24"/>
        </w:rPr>
        <w:t xml:space="preserve">procedure that requires training, particularly for </w:t>
      </w:r>
      <w:r w:rsidR="00DB2F94" w:rsidRPr="00583970">
        <w:rPr>
          <w:rFonts w:ascii="Calibri" w:hAnsi="Calibri" w:cs="Calibri"/>
          <w:sz w:val="24"/>
          <w:szCs w:val="24"/>
        </w:rPr>
        <w:t>pups under DOL</w:t>
      </w:r>
      <w:r w:rsidR="003C2B0E" w:rsidRPr="00583970">
        <w:rPr>
          <w:rFonts w:ascii="Calibri" w:hAnsi="Calibri" w:cs="Calibri"/>
          <w:sz w:val="24"/>
          <w:szCs w:val="24"/>
        </w:rPr>
        <w:t xml:space="preserve"> </w:t>
      </w:r>
      <w:r w:rsidR="00DB2F94" w:rsidRPr="00583970">
        <w:rPr>
          <w:rFonts w:ascii="Calibri" w:hAnsi="Calibri" w:cs="Calibri"/>
          <w:sz w:val="24"/>
          <w:szCs w:val="24"/>
        </w:rPr>
        <w:t xml:space="preserve">10. </w:t>
      </w:r>
      <w:r w:rsidR="00E57B80" w:rsidRPr="00583970">
        <w:rPr>
          <w:rFonts w:ascii="Calibri" w:hAnsi="Calibri" w:cs="Calibri"/>
          <w:sz w:val="24"/>
          <w:szCs w:val="24"/>
        </w:rPr>
        <w:t>Training</w:t>
      </w:r>
      <w:r w:rsidR="00DB2F94" w:rsidRPr="00583970">
        <w:rPr>
          <w:rFonts w:ascii="Calibri" w:hAnsi="Calibri" w:cs="Calibri"/>
          <w:sz w:val="24"/>
          <w:szCs w:val="24"/>
        </w:rPr>
        <w:t xml:space="preserve"> with PBS containing dark food coloring </w:t>
      </w:r>
      <w:r w:rsidR="00E57B80" w:rsidRPr="00583970">
        <w:rPr>
          <w:rFonts w:ascii="Calibri" w:hAnsi="Calibri" w:cs="Calibri"/>
          <w:sz w:val="24"/>
          <w:szCs w:val="24"/>
        </w:rPr>
        <w:t xml:space="preserve">is advised, with successful gavage </w:t>
      </w:r>
      <w:r w:rsidR="00DB2F94" w:rsidRPr="00583970">
        <w:rPr>
          <w:rFonts w:ascii="Calibri" w:hAnsi="Calibri" w:cs="Calibri"/>
          <w:sz w:val="24"/>
          <w:szCs w:val="24"/>
        </w:rPr>
        <w:t>induc</w:t>
      </w:r>
      <w:r w:rsidR="00E57B80" w:rsidRPr="00583970">
        <w:rPr>
          <w:rFonts w:ascii="Calibri" w:hAnsi="Calibri" w:cs="Calibri"/>
          <w:sz w:val="24"/>
          <w:szCs w:val="24"/>
        </w:rPr>
        <w:t>ing</w:t>
      </w:r>
      <w:r w:rsidR="00DB2F94" w:rsidRPr="00583970">
        <w:rPr>
          <w:rFonts w:ascii="Calibri" w:hAnsi="Calibri" w:cs="Calibri"/>
          <w:sz w:val="24"/>
          <w:szCs w:val="24"/>
        </w:rPr>
        <w:t xml:space="preserve"> </w:t>
      </w:r>
      <w:r w:rsidR="00E57B80" w:rsidRPr="00583970">
        <w:rPr>
          <w:rFonts w:ascii="Calibri" w:hAnsi="Calibri" w:cs="Calibri"/>
          <w:sz w:val="24"/>
          <w:szCs w:val="24"/>
        </w:rPr>
        <w:t>a visible darkening of the</w:t>
      </w:r>
      <w:r w:rsidR="00DB2F94" w:rsidRPr="00583970">
        <w:rPr>
          <w:rFonts w:ascii="Calibri" w:hAnsi="Calibri" w:cs="Calibri"/>
          <w:sz w:val="24"/>
          <w:szCs w:val="24"/>
        </w:rPr>
        <w:t xml:space="preserve"> pups’ stomach. Apparition of coloring outside of the stomach, especially around the throat or thoracic region</w:t>
      </w:r>
      <w:r w:rsidR="00E57B80" w:rsidRPr="00583970">
        <w:rPr>
          <w:rFonts w:ascii="Calibri" w:hAnsi="Calibri" w:cs="Calibri"/>
          <w:sz w:val="24"/>
          <w:szCs w:val="24"/>
        </w:rPr>
        <w:t>,</w:t>
      </w:r>
      <w:r w:rsidR="00DB2F94" w:rsidRPr="00583970">
        <w:rPr>
          <w:rFonts w:ascii="Calibri" w:hAnsi="Calibri" w:cs="Calibri"/>
          <w:sz w:val="24"/>
          <w:szCs w:val="24"/>
        </w:rPr>
        <w:t xml:space="preserve"> is a sign of </w:t>
      </w:r>
      <w:r w:rsidR="00CF3889" w:rsidRPr="00583970">
        <w:rPr>
          <w:rFonts w:ascii="Calibri" w:hAnsi="Calibri" w:cs="Calibri"/>
          <w:sz w:val="24"/>
          <w:szCs w:val="24"/>
        </w:rPr>
        <w:t xml:space="preserve">failed gavage and should result in immediate euthanasia of the pup. </w:t>
      </w:r>
      <w:r w:rsidR="00E57B80" w:rsidRPr="00583970">
        <w:rPr>
          <w:rFonts w:ascii="Calibri" w:hAnsi="Calibri" w:cs="Calibri"/>
          <w:sz w:val="24"/>
          <w:szCs w:val="24"/>
        </w:rPr>
        <w:t>Additionally, gavage</w:t>
      </w:r>
      <w:r w:rsidR="00244566" w:rsidRPr="00583970">
        <w:rPr>
          <w:rFonts w:ascii="Calibri" w:hAnsi="Calibri" w:cs="Calibri"/>
          <w:sz w:val="24"/>
          <w:szCs w:val="24"/>
        </w:rPr>
        <w:t xml:space="preserve"> should not be conducted under anesthesia, as swallowing of the feeding needle is required for correct administration of the solution and limits the risks of damage to the upper esophageal sphincter</w:t>
      </w:r>
      <w:r w:rsidR="00244566" w:rsidRPr="00583970">
        <w:rPr>
          <w:rFonts w:ascii="Calibri" w:hAnsi="Calibri" w:cs="Calibri"/>
          <w:b/>
          <w:bCs/>
          <w:sz w:val="24"/>
          <w:szCs w:val="24"/>
        </w:rPr>
        <w:t xml:space="preserve"> </w:t>
      </w:r>
      <w:r w:rsidR="00244566" w:rsidRPr="00583970">
        <w:rPr>
          <w:rFonts w:ascii="Calibri" w:hAnsi="Calibri" w:cs="Calibri"/>
          <w:sz w:val="24"/>
          <w:szCs w:val="24"/>
        </w:rPr>
        <w:t>and aspiration</w:t>
      </w:r>
      <w:r w:rsidR="00751718" w:rsidRPr="00583970">
        <w:rPr>
          <w:rFonts w:ascii="Calibri" w:hAnsi="Calibri" w:cs="Calibri"/>
          <w:sz w:val="24"/>
          <w:szCs w:val="24"/>
        </w:rPr>
        <w:fldChar w:fldCharType="begin"/>
      </w:r>
      <w:r w:rsidR="00A00B28" w:rsidRPr="00583970">
        <w:rPr>
          <w:rFonts w:ascii="Calibri" w:hAnsi="Calibri" w:cs="Calibri"/>
          <w:sz w:val="24"/>
          <w:szCs w:val="24"/>
        </w:rPr>
        <w:instrText xml:space="preserve"> ADDIN ZOTERO_ITEM CSL_CITATION {"citationID":"ImqvUKFD","properties":{"formattedCitation":"\\super 12\\nosupersub{}","plainCitation":"12","noteIndex":0},"citationItems":[{"id":438,"uris":["http://zotero.org/users/local/MfNK0c4v/items/LX46IPPK"],"itemData":{"id":438,"type":"article-journal","abstract":"Adult mouse models have been widely used to understand the mechanism behind disease progression in humans. The applicability of studies done in adult mouse models to neonatal diseases is limited. To better understand disease progression, host responses and long-term impact of interventions in neonates, a neonatal mouse model likely is a better fit. The sparse use of neonatal mouse models can in part be attributed to the technical difficulties of working with these small animals. A neonatal mouse model was developed to determine the effects of probiotic administration in early life and to specifically assess the ability to establish colonization in the newborn mouse intestinal tract. Specifically, to assess probiotic colonization in the neonatal mouse, Lactobacillus plantarum (LP) was delivered directly into the neonatal mouse gastrointestinal tract. To this end, LP was administered to mice by feeding through intra-esophageal (IE) gavage. A highly reproducible method was developed to standardize the process of IE gavage that allows an accurate administration of probiotic dosages while minimizing trauma, an aspect particularly important given the fragility of newborn mice. Limitations of this process include possibilities of esophageal irritation or damage and aspiration if gavaged incorrectly. This approach represents an improvement on current practices because IE gavage into the distal esophagus reduces the chances of aspiration. Following gavage, the colonization profile of the probiotic was traced using quantitative polymerase chain reaction (qPCR) of the extracted intestinal DNA with LP specific primers. Different litter settings and cage management techniques were used to assess the potential for colonization-spread. The protocol details the intricacies of IE neonatal mouse gavage and subsequent colonization quantification with LP.","container-title":"JoVE (Journal of Visualized Experiments)","DOI":"10.3791/59074","ISSN":"1940-087X","issue":"143","language":"en","page":"e59074","source":"www.jove.com","title":"Probiotic Studies in Neonatal Mice Using Gavage","author":[{"family":"Francis","given":"Freddy"},{"family":"Varankovich","given":"Natallia"},{"family":"Brook","given":"Byron"},{"family":"Amenyogbe","given":"Nelly"},{"family":"Ben-Othman","given":"Rym"},{"family":"Cai","given":"Bing"},{"family":"Harbeson","given":"Danny"},{"family":"Liu","given":"Aaron C."},{"family":"Dai","given":"Ben"},{"family":"McErlane","given":"Shelly"},{"family":"Andrews","given":"Kris"},{"family":"Kollmann","given":"Tobias R."},{"family":"Panigrahi","given":"Pinaki"}],"issued":{"date-parts":[["2019",1,27]]}}}],"schema":"https://github.com/citation-style-language/schema/raw/master/csl-citation.json"} </w:instrText>
      </w:r>
      <w:r w:rsidR="00751718" w:rsidRPr="00583970">
        <w:rPr>
          <w:rFonts w:ascii="Calibri" w:hAnsi="Calibri" w:cs="Calibri"/>
          <w:sz w:val="24"/>
          <w:szCs w:val="24"/>
        </w:rPr>
        <w:fldChar w:fldCharType="separate"/>
      </w:r>
      <w:r w:rsidR="00A65BA8" w:rsidRPr="00583970">
        <w:rPr>
          <w:rFonts w:ascii="Calibri" w:hAnsi="Calibri" w:cs="Calibri"/>
          <w:kern w:val="0"/>
          <w:sz w:val="24"/>
          <w:szCs w:val="24"/>
          <w:vertAlign w:val="superscript"/>
        </w:rPr>
        <w:t>12</w:t>
      </w:r>
      <w:r w:rsidR="00751718" w:rsidRPr="00583970">
        <w:rPr>
          <w:rFonts w:ascii="Calibri" w:hAnsi="Calibri" w:cs="Calibri"/>
          <w:sz w:val="24"/>
          <w:szCs w:val="24"/>
        </w:rPr>
        <w:fldChar w:fldCharType="end"/>
      </w:r>
      <w:r w:rsidR="00244566" w:rsidRPr="00583970">
        <w:rPr>
          <w:rFonts w:ascii="Calibri" w:hAnsi="Calibri" w:cs="Calibri"/>
          <w:sz w:val="24"/>
          <w:szCs w:val="24"/>
        </w:rPr>
        <w:t xml:space="preserve">. </w:t>
      </w:r>
    </w:p>
    <w:p w14:paraId="7E6DC1C6" w14:textId="77777777" w:rsidR="001F6B95" w:rsidRPr="00583970" w:rsidRDefault="001F6B95" w:rsidP="001654C4">
      <w:pPr>
        <w:spacing w:after="0" w:line="240" w:lineRule="auto"/>
        <w:jc w:val="both"/>
        <w:rPr>
          <w:rFonts w:ascii="Calibri" w:hAnsi="Calibri" w:cs="Calibri"/>
          <w:sz w:val="24"/>
          <w:szCs w:val="24"/>
        </w:rPr>
      </w:pPr>
    </w:p>
    <w:p w14:paraId="1B41BE04" w14:textId="10C4113E" w:rsidR="00360A52" w:rsidRDefault="003B6E5A" w:rsidP="00DA68BA">
      <w:pPr>
        <w:spacing w:after="0" w:line="240" w:lineRule="auto"/>
        <w:jc w:val="both"/>
        <w:rPr>
          <w:rFonts w:ascii="Calibri" w:hAnsi="Calibri" w:cs="Calibri"/>
          <w:sz w:val="24"/>
          <w:szCs w:val="24"/>
        </w:rPr>
      </w:pPr>
      <w:r w:rsidRPr="00583970">
        <w:rPr>
          <w:rFonts w:ascii="Calibri" w:hAnsi="Calibri" w:cs="Calibri"/>
          <w:sz w:val="24"/>
          <w:szCs w:val="24"/>
        </w:rPr>
        <w:t xml:space="preserve">The </w:t>
      </w:r>
      <w:r w:rsidRPr="001F6B95">
        <w:rPr>
          <w:rFonts w:ascii="Calibri" w:hAnsi="Calibri" w:cs="Calibri"/>
          <w:i/>
          <w:iCs/>
          <w:sz w:val="24"/>
          <w:szCs w:val="24"/>
        </w:rPr>
        <w:t>ex</w:t>
      </w:r>
      <w:r w:rsidR="001F6B95" w:rsidRPr="001F6B95">
        <w:rPr>
          <w:rFonts w:ascii="Calibri" w:hAnsi="Calibri" w:cs="Calibri"/>
          <w:i/>
          <w:iCs/>
          <w:sz w:val="24"/>
          <w:szCs w:val="24"/>
        </w:rPr>
        <w:t xml:space="preserve"> </w:t>
      </w:r>
      <w:r w:rsidRPr="001F6B95">
        <w:rPr>
          <w:rFonts w:ascii="Calibri" w:hAnsi="Calibri" w:cs="Calibri"/>
          <w:i/>
          <w:iCs/>
          <w:sz w:val="24"/>
          <w:szCs w:val="24"/>
        </w:rPr>
        <w:t>vivo</w:t>
      </w:r>
      <w:r w:rsidRPr="00583970">
        <w:rPr>
          <w:rFonts w:ascii="Calibri" w:hAnsi="Calibri" w:cs="Calibri"/>
          <w:sz w:val="24"/>
          <w:szCs w:val="24"/>
        </w:rPr>
        <w:t xml:space="preserve"> paracellular and transcellular permeability assays with Ussing chambers are very sensitive methods</w:t>
      </w:r>
      <w:r w:rsidR="001F6B95">
        <w:rPr>
          <w:rFonts w:ascii="Calibri" w:hAnsi="Calibri" w:cs="Calibri"/>
          <w:sz w:val="24"/>
          <w:szCs w:val="24"/>
        </w:rPr>
        <w:t>,</w:t>
      </w:r>
      <w:r w:rsidRPr="00583970">
        <w:rPr>
          <w:rFonts w:ascii="Calibri" w:hAnsi="Calibri" w:cs="Calibri"/>
          <w:sz w:val="24"/>
          <w:szCs w:val="24"/>
        </w:rPr>
        <w:t xml:space="preserve"> and the successful completion of the assay is reliant on many parameters</w:t>
      </w:r>
      <w:r w:rsidR="00751718" w:rsidRPr="00583970">
        <w:rPr>
          <w:rFonts w:ascii="Calibri" w:hAnsi="Calibri" w:cs="Calibri"/>
          <w:sz w:val="24"/>
          <w:szCs w:val="24"/>
        </w:rPr>
        <w:fldChar w:fldCharType="begin"/>
      </w:r>
      <w:r w:rsidR="00A00B28" w:rsidRPr="00583970">
        <w:rPr>
          <w:rFonts w:ascii="Calibri" w:hAnsi="Calibri" w:cs="Calibri"/>
          <w:sz w:val="24"/>
          <w:szCs w:val="24"/>
        </w:rPr>
        <w:instrText xml:space="preserve"> ADDIN ZOTERO_ITEM CSL_CITATION {"citationID":"aBnZfuK5","properties":{"formattedCitation":"\\super 14\\nosupersub{}","plainCitation":"14","noteIndex":0},"citationItems":[{"id":442,"uris":["http://zotero.org/users/local/MfNK0c4v/items/4RTGI2RJ"],"itemData":{"id":442,"type":"article-journal","abstract":"Background\nThe relationship between intestinal epithelial integrity and the development of intestinal disease is of increasing interest. A reduction in mucosal integrity has been associated with ulcerative colitis, Crohn’s disease and potentially could have links with colorectal cancer development. The Ussing chamber system can be utilised as a valuable tool for measuring gut integrity. Here we describe step-by-step methodology required to measure intestinal permeability of both mouse and human colonic tissue samples ex vivo, using the latest equipment and software. This system can be modified to accommodate other tissues.\n\nMethods\nAn Ussing chamber was constructed and adapted to support both mouse and human tissue to measure intestinal permeability, using paracellular flux and electrical measurements. Two mouse models of intestinal inflammation (dextran sodium sulphate treatment and T regulatory cell depletion using C57BL/6-FoxP3DTR mice) were used to validate the system along with human colonic biopsy samples.\n\nResults\nDistinct regional differences in permeability were consistently identified within mouse and healthy human colon. In particular, mice showed increased permeability in the mid colonic region. In humans the left colon is more permeable than the right. Furthermore, inflammatory conditions induced chemically or due to autoimmunity reduced intestinal integrity, validating the use of the system.\n\nConclusions\nThe Ussing chamber has been used for many years to measure barrier function. However, a clear and informative methods paper describing the setup of modern equipment and step-by-step procedure to measure mouse and human intestinal permeability isn’t available. The Ussing chamber system methodology we describe provides such detail to guide investigation of gut integrity.\n\nElectronic supplementary material\nThe online version of this article (10.1186/s12876-019-1002-4) contains supplementary material, which is available to authorized users.","container-title":"BMC Gastroenterology","DOI":"10.1186/s12876-019-1002-4","ISSN":"1471-230X","journalAbbreviation":"BMC Gastroenterol","note":"PMID: 31221083\nPMCID: PMC6585111","page":"98","source":"PubMed Central","title":"The Ussing chamber system for measuring intestinal permeability in health and disease","volume":"19","author":[{"family":"Thomson","given":"Amanda"},{"family":"Smart","given":"Kathryn"},{"family":"Somerville","given":"Michelle S."},{"family":"Lauder","given":"Sarah N."},{"family":"Appanna","given":"Gautham"},{"family":"Horwood","given":"James"},{"family":"Sunder Raj","given":"Lawrence"},{"family":"Srivastava","given":"Brijesh"},{"family":"Durai","given":"Dharmaraj"},{"family":"Scurr","given":"Martin J."},{"family":"Keita","given":"Åsa V."},{"family":"Gallimore","given":"Awen M."},{"family":"Godkin","given":"Andrew"}],"issued":{"date-parts":[["2019",6,20]]}}}],"schema":"https://github.com/citation-style-language/schema/raw/master/csl-citation.json"} </w:instrText>
      </w:r>
      <w:r w:rsidR="00751718" w:rsidRPr="00583970">
        <w:rPr>
          <w:rFonts w:ascii="Calibri" w:hAnsi="Calibri" w:cs="Calibri"/>
          <w:sz w:val="24"/>
          <w:szCs w:val="24"/>
        </w:rPr>
        <w:fldChar w:fldCharType="separate"/>
      </w:r>
      <w:r w:rsidR="00A65BA8" w:rsidRPr="00583970">
        <w:rPr>
          <w:rFonts w:ascii="Calibri" w:hAnsi="Calibri" w:cs="Calibri"/>
          <w:kern w:val="0"/>
          <w:sz w:val="24"/>
          <w:szCs w:val="24"/>
          <w:vertAlign w:val="superscript"/>
        </w:rPr>
        <w:t>14</w:t>
      </w:r>
      <w:r w:rsidR="00751718" w:rsidRPr="00583970">
        <w:rPr>
          <w:rFonts w:ascii="Calibri" w:hAnsi="Calibri" w:cs="Calibri"/>
          <w:sz w:val="24"/>
          <w:szCs w:val="24"/>
        </w:rPr>
        <w:fldChar w:fldCharType="end"/>
      </w:r>
      <w:r w:rsidR="001F6B95" w:rsidRPr="001F6B95">
        <w:rPr>
          <w:rFonts w:ascii="Calibri" w:hAnsi="Calibri" w:cs="Calibri"/>
          <w:sz w:val="24"/>
          <w:szCs w:val="24"/>
          <w:vertAlign w:val="superscript"/>
        </w:rPr>
        <w:t>–</w:t>
      </w:r>
      <w:r w:rsidR="00751718" w:rsidRPr="00583970">
        <w:rPr>
          <w:rFonts w:ascii="Calibri" w:hAnsi="Calibri" w:cs="Calibri"/>
          <w:sz w:val="24"/>
          <w:szCs w:val="24"/>
        </w:rPr>
        <w:fldChar w:fldCharType="begin"/>
      </w:r>
      <w:r w:rsidR="00751718" w:rsidRPr="00583970">
        <w:rPr>
          <w:rFonts w:ascii="Calibri" w:hAnsi="Calibri" w:cs="Calibri"/>
          <w:sz w:val="24"/>
          <w:szCs w:val="24"/>
        </w:rPr>
        <w:instrText xml:space="preserve"> ADDIN ZOTERO_ITEM CSL_CITATION {"citationID":"XS3SsGeN","properties":{"formattedCitation":"\\super 16\\nosupersub{}","plainCitation":"16","noteIndex":0},"citationItems":[{"id":401,"uris":["http://zotero.org/users/local/MfNK0c4v/items/D7HPTWP5"],"itemData":{"id":401,"type":"chapter","abstract":"The Ussing chamber system is named after the Danish zoologist Hans Ussing, who invented the device in the 1950s to measure the short-circuit current as an indicator of net ion transport taking place across frog skin (Ussing and Zerahn, Acta Physiol Scand 23:110–127, 1951). Ussing chambers are increasingly being used to measure ion transport in native tissue, like gut mucosa, and in a monolayer of cells grown on permeable supports. However, the Ussing chamber system is, to date, not often applied for the investigation of the impact of food bioactives (proteins, sugars, lipids) on health. An Ussing system is generally comprised of a chamber and a perfusion system, and if needed, an amplifier and data acquisition system. The heart of the system lies in the chamber with the other components performing supporting roles. The classic chamber design is still in wide use today. However, several newer designs are now available that optimize for convenience and for diffusion- or electrophysiology-based measurements. A well designed Ussing chamber supports an epithelia membrane or cell monolayer in such a way that each side of the membrane is isolated and faces a separate chamber-half. The chambers are then filled with a physiologically relevant solution, such as Ringer’s solution. This configuration allows the researcher to make unique chemical and electrical adjustments to either side of the membrane with complete control. The Ussing chamber technique has its strengths and limitations, which will be explained in more detail in this chapter.","call-number":"NBK500167","container-title":"The Impact of Food Bioactives on Health: in vitro and ex vivo models","event-place":"Cham (CH)","ISBN":"978-3-319-15791-7","language":"eng","license":"Copyright 2015, The Author(s).","note":"PMID: 29787070","publisher":"Springer","publisher-place":"Cham (CH)","source":"PubMed","title":"Ussing Chamber","URL":"http://www.ncbi.nlm.nih.gov/books/NBK500167/","author":[{"family":"Westerhout","given":"Joost"},{"family":"Wortelboer","given":"Heleen"},{"family":"Verhoeckx","given":"Kitty"}],"editor":[{"family":"Verhoeckx","given":"Kitty"},{"family":"Cotter","given":"Paul"},{"family":"López-Expósito","given":"Iván"},{"family":"Kleiveland","given":"Charlotte"},{"family":"Lea","given":"Tor"},{"family":"Mackie","given":"Alan"},{"family":"Requena","given":"Teresa"},{"family":"Swiatecka","given":"Dominika"},{"family":"Wichers","given":"Harry"}],"accessed":{"date-parts":[["2025",8,22]]},"issued":{"date-parts":[["2015"]]}}}],"schema":"https://github.com/citation-style-language/schema/raw/master/csl-citation.json"} </w:instrText>
      </w:r>
      <w:r w:rsidR="00751718" w:rsidRPr="00583970">
        <w:rPr>
          <w:rFonts w:ascii="Calibri" w:hAnsi="Calibri" w:cs="Calibri"/>
          <w:sz w:val="24"/>
          <w:szCs w:val="24"/>
        </w:rPr>
        <w:fldChar w:fldCharType="separate"/>
      </w:r>
      <w:r w:rsidR="00A65BA8" w:rsidRPr="00583970">
        <w:rPr>
          <w:rFonts w:ascii="Calibri" w:hAnsi="Calibri" w:cs="Calibri"/>
          <w:kern w:val="0"/>
          <w:sz w:val="24"/>
          <w:szCs w:val="24"/>
          <w:vertAlign w:val="superscript"/>
        </w:rPr>
        <w:t>16</w:t>
      </w:r>
      <w:r w:rsidR="00751718" w:rsidRPr="00583970">
        <w:rPr>
          <w:rFonts w:ascii="Calibri" w:hAnsi="Calibri" w:cs="Calibri"/>
          <w:sz w:val="24"/>
          <w:szCs w:val="24"/>
        </w:rPr>
        <w:fldChar w:fldCharType="end"/>
      </w:r>
      <w:r w:rsidRPr="00583970">
        <w:rPr>
          <w:rFonts w:ascii="Calibri" w:hAnsi="Calibri" w:cs="Calibri"/>
          <w:sz w:val="24"/>
          <w:szCs w:val="24"/>
        </w:rPr>
        <w:t>.</w:t>
      </w:r>
      <w:r w:rsidR="001F6B95">
        <w:rPr>
          <w:rFonts w:ascii="Calibri" w:hAnsi="Calibri" w:cs="Calibri"/>
          <w:sz w:val="24"/>
          <w:szCs w:val="24"/>
        </w:rPr>
        <w:t xml:space="preserve"> </w:t>
      </w:r>
      <w:r w:rsidRPr="00583970">
        <w:rPr>
          <w:rFonts w:ascii="Calibri" w:hAnsi="Calibri" w:cs="Calibri"/>
          <w:sz w:val="24"/>
          <w:szCs w:val="24"/>
        </w:rPr>
        <w:t xml:space="preserve">Amongst them, dissection and mounting of the tissues remain the most common causes of failure. </w:t>
      </w:r>
      <w:r w:rsidR="00FB6AE9" w:rsidRPr="00583970">
        <w:rPr>
          <w:rFonts w:ascii="Calibri" w:hAnsi="Calibri" w:cs="Calibri"/>
          <w:sz w:val="24"/>
          <w:szCs w:val="24"/>
        </w:rPr>
        <w:t>Despite showing great elasticity</w:t>
      </w:r>
      <w:r w:rsidRPr="00583970">
        <w:rPr>
          <w:rFonts w:ascii="Calibri" w:hAnsi="Calibri" w:cs="Calibri"/>
          <w:sz w:val="24"/>
          <w:szCs w:val="24"/>
        </w:rPr>
        <w:t xml:space="preserve">, </w:t>
      </w:r>
      <w:r w:rsidR="00930BF3" w:rsidRPr="00583970">
        <w:rPr>
          <w:rFonts w:ascii="Calibri" w:hAnsi="Calibri" w:cs="Calibri"/>
          <w:sz w:val="24"/>
          <w:szCs w:val="24"/>
        </w:rPr>
        <w:t xml:space="preserve">colon </w:t>
      </w:r>
      <w:r w:rsidRPr="00583970">
        <w:rPr>
          <w:rFonts w:ascii="Calibri" w:hAnsi="Calibri" w:cs="Calibri"/>
          <w:sz w:val="24"/>
          <w:szCs w:val="24"/>
        </w:rPr>
        <w:t>dissection should be conducted quickly while minimizing physical stress to the tissue</w:t>
      </w:r>
      <w:r w:rsidR="00FB6AE9" w:rsidRPr="00583970">
        <w:rPr>
          <w:rFonts w:ascii="Calibri" w:hAnsi="Calibri" w:cs="Calibri"/>
          <w:sz w:val="24"/>
          <w:szCs w:val="24"/>
        </w:rPr>
        <w:t>, as excessive extension can induce micro-tears.</w:t>
      </w:r>
      <w:r w:rsidRPr="00583970">
        <w:rPr>
          <w:rFonts w:ascii="Calibri" w:hAnsi="Calibri" w:cs="Calibri"/>
          <w:sz w:val="24"/>
          <w:szCs w:val="24"/>
        </w:rPr>
        <w:t xml:space="preserve"> </w:t>
      </w:r>
      <w:r w:rsidR="004268C1" w:rsidRPr="00583970">
        <w:rPr>
          <w:rFonts w:ascii="Calibri" w:hAnsi="Calibri" w:cs="Calibri"/>
          <w:sz w:val="24"/>
          <w:szCs w:val="24"/>
        </w:rPr>
        <w:t>Removal of connective tissue and fat from the colon should be performed with care, as excessive traction on adipose</w:t>
      </w:r>
      <w:r w:rsidR="003E4A61" w:rsidRPr="00583970">
        <w:rPr>
          <w:rFonts w:ascii="Calibri" w:hAnsi="Calibri" w:cs="Calibri"/>
          <w:sz w:val="24"/>
          <w:szCs w:val="24"/>
        </w:rPr>
        <w:t xml:space="preserve"> and connective</w:t>
      </w:r>
      <w:r w:rsidR="004268C1" w:rsidRPr="00583970">
        <w:rPr>
          <w:rFonts w:ascii="Calibri" w:hAnsi="Calibri" w:cs="Calibri"/>
          <w:sz w:val="24"/>
          <w:szCs w:val="24"/>
        </w:rPr>
        <w:t xml:space="preserve"> tissue</w:t>
      </w:r>
      <w:r w:rsidR="003E4A61" w:rsidRPr="00583970">
        <w:rPr>
          <w:rFonts w:ascii="Calibri" w:hAnsi="Calibri" w:cs="Calibri"/>
          <w:sz w:val="24"/>
          <w:szCs w:val="24"/>
        </w:rPr>
        <w:t>s</w:t>
      </w:r>
      <w:r w:rsidR="004268C1" w:rsidRPr="00583970">
        <w:rPr>
          <w:rFonts w:ascii="Calibri" w:hAnsi="Calibri" w:cs="Calibri"/>
          <w:sz w:val="24"/>
          <w:szCs w:val="24"/>
        </w:rPr>
        <w:t xml:space="preserve"> can compromise the structural integrity of the sample</w:t>
      </w:r>
      <w:r w:rsidR="00277A32" w:rsidRPr="00583970">
        <w:rPr>
          <w:rFonts w:ascii="Calibri" w:hAnsi="Calibri" w:cs="Calibri"/>
          <w:sz w:val="24"/>
          <w:szCs w:val="24"/>
        </w:rPr>
        <w:fldChar w:fldCharType="begin"/>
      </w:r>
      <w:r w:rsidR="00277A32" w:rsidRPr="00583970">
        <w:rPr>
          <w:rFonts w:ascii="Calibri" w:hAnsi="Calibri" w:cs="Calibri"/>
          <w:sz w:val="24"/>
          <w:szCs w:val="24"/>
        </w:rPr>
        <w:instrText xml:space="preserve"> ADDIN ZOTERO_ITEM CSL_CITATION {"citationID":"51EN9l5t","properties":{"formattedCitation":"\\super 15\\nosupersub{}","plainCitation":"15","noteIndex":0},"citationItems":[{"id":398,"uris":["http://zotero.org/users/local/MfNK0c4v/items/4CE9VNYE"],"itemData":{"id":398,"type":"article-journal","abstract":"The Ussing chamber provides a physiological system to measure the transport of ions, nutrients, and drugs across various epithelial tissues. One of the most studied epithelia is the intestine, which has provided several landmark discoveries regarding the mechanisms of ion transport processes. Adaptation of this method to mouse intestine adds the dimension of investigating genetic loss or gain of function as a means to identify proteins or processes affecting transepithelial transport. In this review, the principles underlying the use of Ussing chambers are outlined including limitations and advantages of the technique. With an emphasis on mouse intestinal preparations, the review covers chamber design, commercial equipment sources, tissue preparation, step-by-step instruction for operation, troubleshooting, and examples of interpretation difficulties. Specialized uses of the Ussing chamber such as the pH stat technique to measure transepithelial bicarbonate secretion and isotopic flux methods to measure net secretion or absorption of substrates are discussed in detail, and examples are given for the adaptation of Ussing chamber principles to other measurement systems. The purpose of the review is to provide a practical guide for investigators who are new to the Ussing chamber method.","container-title":"American Journal of Physiology-Gastrointestinal and Liver Physiology","DOI":"10.1152/ajpgi.90649.2008","ISSN":"0193-1857","issue":"6","note":"publisher: American Physiological Society","page":"G1151-G1166","source":"journals.physiology.org (Atypon)","title":"A guide to Ussing chamber studies of mouse intestine","volume":"296","author":[{"family":"Clarke","given":"Lane L."}],"issued":{"date-parts":[["2009",6]]}}}],"schema":"https://github.com/citation-style-language/schema/raw/master/csl-citation.json"} </w:instrText>
      </w:r>
      <w:r w:rsidR="00277A32" w:rsidRPr="00583970">
        <w:rPr>
          <w:rFonts w:ascii="Calibri" w:hAnsi="Calibri" w:cs="Calibri"/>
          <w:sz w:val="24"/>
          <w:szCs w:val="24"/>
        </w:rPr>
        <w:fldChar w:fldCharType="separate"/>
      </w:r>
      <w:r w:rsidR="00A65BA8" w:rsidRPr="00583970">
        <w:rPr>
          <w:rFonts w:ascii="Calibri" w:hAnsi="Calibri" w:cs="Calibri"/>
          <w:kern w:val="0"/>
          <w:sz w:val="24"/>
          <w:szCs w:val="24"/>
          <w:vertAlign w:val="superscript"/>
        </w:rPr>
        <w:t>15</w:t>
      </w:r>
      <w:r w:rsidR="00277A32" w:rsidRPr="00583970">
        <w:rPr>
          <w:rFonts w:ascii="Calibri" w:hAnsi="Calibri" w:cs="Calibri"/>
          <w:sz w:val="24"/>
          <w:szCs w:val="24"/>
        </w:rPr>
        <w:fldChar w:fldCharType="end"/>
      </w:r>
      <w:r w:rsidR="004268C1" w:rsidRPr="00583970">
        <w:rPr>
          <w:rFonts w:ascii="Calibri" w:hAnsi="Calibri" w:cs="Calibri"/>
          <w:sz w:val="24"/>
          <w:szCs w:val="24"/>
        </w:rPr>
        <w:t>.</w:t>
      </w:r>
      <w:r w:rsidR="00FB6AE9" w:rsidRPr="00583970">
        <w:rPr>
          <w:rFonts w:ascii="Calibri" w:hAnsi="Calibri" w:cs="Calibri"/>
          <w:sz w:val="24"/>
          <w:szCs w:val="24"/>
        </w:rPr>
        <w:t xml:space="preserve"> Upon </w:t>
      </w:r>
      <w:r w:rsidR="004268C1" w:rsidRPr="00583970">
        <w:rPr>
          <w:rFonts w:ascii="Calibri" w:hAnsi="Calibri" w:cs="Calibri"/>
          <w:sz w:val="24"/>
          <w:szCs w:val="24"/>
        </w:rPr>
        <w:t xml:space="preserve">collection </w:t>
      </w:r>
      <w:r w:rsidR="00FB6AE9" w:rsidRPr="00583970">
        <w:rPr>
          <w:rFonts w:ascii="Calibri" w:hAnsi="Calibri" w:cs="Calibri"/>
          <w:sz w:val="24"/>
          <w:szCs w:val="24"/>
        </w:rPr>
        <w:t xml:space="preserve">of the colonic biopsy, </w:t>
      </w:r>
      <w:r w:rsidR="00DB09CF" w:rsidRPr="00583970">
        <w:rPr>
          <w:rFonts w:ascii="Calibri" w:hAnsi="Calibri" w:cs="Calibri"/>
          <w:sz w:val="24"/>
          <w:szCs w:val="24"/>
        </w:rPr>
        <w:t>immediate removal of the feces is recommended</w:t>
      </w:r>
      <w:r w:rsidR="00FB6AE9" w:rsidRPr="00583970">
        <w:rPr>
          <w:rFonts w:ascii="Calibri" w:hAnsi="Calibri" w:cs="Calibri"/>
          <w:sz w:val="24"/>
          <w:szCs w:val="24"/>
        </w:rPr>
        <w:t xml:space="preserve">, as </w:t>
      </w:r>
      <w:r w:rsidR="004268C1" w:rsidRPr="00583970">
        <w:rPr>
          <w:rFonts w:ascii="Calibri" w:hAnsi="Calibri" w:cs="Calibri"/>
          <w:sz w:val="24"/>
          <w:szCs w:val="24"/>
        </w:rPr>
        <w:t>fully hydrated stools are more prone to disruption, making sample cleaning more difficult.</w:t>
      </w:r>
      <w:r w:rsidR="00FB6AE9" w:rsidRPr="00583970">
        <w:rPr>
          <w:rFonts w:ascii="Calibri" w:hAnsi="Calibri" w:cs="Calibri"/>
          <w:sz w:val="24"/>
          <w:szCs w:val="24"/>
        </w:rPr>
        <w:t xml:space="preserve"> </w:t>
      </w:r>
      <w:r w:rsidR="004268C1" w:rsidRPr="00583970">
        <w:rPr>
          <w:rFonts w:ascii="Calibri" w:hAnsi="Calibri" w:cs="Calibri"/>
          <w:sz w:val="24"/>
          <w:szCs w:val="24"/>
        </w:rPr>
        <w:t>Prompt removal of feces also minimizes friction on the luminal surface and improves preservation of the epithelium.</w:t>
      </w:r>
    </w:p>
    <w:p w14:paraId="35D942C8" w14:textId="77777777" w:rsidR="00DA68BA" w:rsidRPr="00583970" w:rsidRDefault="00DA68BA" w:rsidP="00DA68BA">
      <w:pPr>
        <w:spacing w:after="0" w:line="240" w:lineRule="auto"/>
        <w:jc w:val="both"/>
        <w:rPr>
          <w:rFonts w:ascii="Calibri" w:hAnsi="Calibri" w:cs="Calibri"/>
          <w:sz w:val="24"/>
          <w:szCs w:val="24"/>
        </w:rPr>
      </w:pPr>
    </w:p>
    <w:p w14:paraId="74CE6CBD" w14:textId="0A93F2AA" w:rsidR="00B529DD" w:rsidRDefault="007470BA" w:rsidP="001654C4">
      <w:pPr>
        <w:spacing w:after="0" w:line="240" w:lineRule="auto"/>
        <w:jc w:val="both"/>
        <w:rPr>
          <w:rFonts w:ascii="Calibri" w:hAnsi="Calibri" w:cs="Calibri"/>
          <w:sz w:val="24"/>
          <w:szCs w:val="24"/>
        </w:rPr>
      </w:pPr>
      <w:r w:rsidRPr="00583970">
        <w:rPr>
          <w:rFonts w:ascii="Calibri" w:hAnsi="Calibri" w:cs="Calibri"/>
          <w:sz w:val="24"/>
          <w:szCs w:val="24"/>
        </w:rPr>
        <w:t>Aside from removing fecal material and avoiding excessive disruption of the mucus layer, excision of the serosal–muscle layer (SML) from biopsies is not recommended in this protocol</w:t>
      </w:r>
      <w:r w:rsidR="001E56B2" w:rsidRPr="00583970">
        <w:rPr>
          <w:rFonts w:ascii="Calibri" w:hAnsi="Calibri" w:cs="Calibri"/>
          <w:sz w:val="24"/>
          <w:szCs w:val="24"/>
        </w:rPr>
        <w:t xml:space="preserve">. </w:t>
      </w:r>
      <w:r w:rsidRPr="00583970">
        <w:rPr>
          <w:rFonts w:ascii="Calibri" w:hAnsi="Calibri" w:cs="Calibri"/>
          <w:sz w:val="24"/>
          <w:szCs w:val="24"/>
        </w:rPr>
        <w:t>The n</w:t>
      </w:r>
      <w:r w:rsidR="00CD7C68" w:rsidRPr="00583970">
        <w:rPr>
          <w:rFonts w:ascii="Calibri" w:hAnsi="Calibri" w:cs="Calibri"/>
          <w:sz w:val="24"/>
          <w:szCs w:val="24"/>
        </w:rPr>
        <w:t xml:space="preserve">ecessity of </w:t>
      </w:r>
      <w:r w:rsidRPr="00583970">
        <w:rPr>
          <w:rFonts w:ascii="Calibri" w:hAnsi="Calibri" w:cs="Calibri"/>
          <w:sz w:val="24"/>
          <w:szCs w:val="24"/>
        </w:rPr>
        <w:t>removing</w:t>
      </w:r>
      <w:r w:rsidR="001E56B2" w:rsidRPr="00583970">
        <w:rPr>
          <w:rFonts w:ascii="Calibri" w:hAnsi="Calibri" w:cs="Calibri"/>
          <w:sz w:val="24"/>
          <w:szCs w:val="24"/>
        </w:rPr>
        <w:t xml:space="preserve"> the muscle layer, </w:t>
      </w:r>
      <w:r w:rsidRPr="00583970">
        <w:rPr>
          <w:rFonts w:ascii="Calibri" w:hAnsi="Calibri" w:cs="Calibri"/>
          <w:sz w:val="24"/>
          <w:szCs w:val="24"/>
        </w:rPr>
        <w:t>as described by Hempstock, Ishizuka, and Hayashi (2021)</w:t>
      </w:r>
      <w:r w:rsidR="003C586D" w:rsidRPr="00583970">
        <w:rPr>
          <w:rFonts w:ascii="Calibri" w:hAnsi="Calibri" w:cs="Calibri"/>
          <w:sz w:val="24"/>
          <w:szCs w:val="24"/>
        </w:rPr>
        <w:fldChar w:fldCharType="begin"/>
      </w:r>
      <w:r w:rsidR="00751718" w:rsidRPr="00583970">
        <w:rPr>
          <w:rFonts w:ascii="Calibri" w:hAnsi="Calibri" w:cs="Calibri"/>
          <w:sz w:val="24"/>
          <w:szCs w:val="24"/>
        </w:rPr>
        <w:instrText xml:space="preserve"> ADDIN ZOTERO_ITEM CSL_CITATION {"citationID":"oHlakTWg","properties":{"formattedCitation":"\\super 17\\nosupersub{}","plainCitation":"17","noteIndex":0},"citationItems":[{"id":439,"uris":["http://zotero.org/users/local/MfNK0c4v/items/2RMYU268"],"itemData":{"id":439,"type":"article-journal","abstract":"The Ussing chamber technique was first invented by the Danish scientist Hans Ussing in 1951 to study the transcellular transport of sodium across frog skin. Since then, this technique has been applied to many different tissues to study the physiological parameters of transport across membranes. The Ussing chamber method is preferable to other methods because native tissue can be used, making it more applicable to what is happening in vivo. However, because native tissue is used, throughput is low, time is limited, and tissue preparation requires skill and training. These chambers have been used to study specific transporter proteins in various tissues, understand disease pathophysiology such as in Cystic Fibrosis, study drug transport and uptake, and especially contributed to the understanding of nutrient transport in the intestine. Given the whole epithelial transport process of a tissue, not only transepithelial pathways, but also paracellular pathways are important. Tight junctions are a key determinant of tissue specific paracellular permeability across the intestine. In this article, the Ussing chamber technique will be used to assess paracellular permselectivity of ions by measuring transepithelial conductance and dilution potentials.","container-title":"JoVE (Journal of Visualized Experiments)","DOI":"10.3791/62468","ISSN":"1940-087X","issue":"171","language":"en","page":"e62468","source":"www.jove.com","title":"Functional Assessment of Intestinal Tight Junction Barrier and Ion Permeability in Native Tissue by Ussing Chamber Technique","author":[{"family":"Hempstock","given":"Wendy"},{"family":"Ishizuka","given":"Noriko"},{"family":"Hayashi","given":"Hisaysohi"}],"issued":{"date-parts":[["2021",5,26]]}}}],"schema":"https://github.com/citation-style-language/schema/raw/master/csl-citation.json"} </w:instrText>
      </w:r>
      <w:r w:rsidR="003C586D" w:rsidRPr="00583970">
        <w:rPr>
          <w:rFonts w:ascii="Calibri" w:hAnsi="Calibri" w:cs="Calibri"/>
          <w:sz w:val="24"/>
          <w:szCs w:val="24"/>
        </w:rPr>
        <w:fldChar w:fldCharType="separate"/>
      </w:r>
      <w:r w:rsidR="00A65BA8" w:rsidRPr="00583970">
        <w:rPr>
          <w:rFonts w:ascii="Calibri" w:hAnsi="Calibri" w:cs="Calibri"/>
          <w:kern w:val="0"/>
          <w:sz w:val="24"/>
          <w:szCs w:val="24"/>
          <w:vertAlign w:val="superscript"/>
        </w:rPr>
        <w:t>17</w:t>
      </w:r>
      <w:r w:rsidR="003C586D" w:rsidRPr="00583970">
        <w:rPr>
          <w:rFonts w:ascii="Calibri" w:hAnsi="Calibri" w:cs="Calibri"/>
          <w:sz w:val="24"/>
          <w:szCs w:val="24"/>
        </w:rPr>
        <w:fldChar w:fldCharType="end"/>
      </w:r>
      <w:r w:rsidRPr="00583970">
        <w:rPr>
          <w:rFonts w:ascii="Calibri" w:hAnsi="Calibri" w:cs="Calibri"/>
          <w:sz w:val="24"/>
          <w:szCs w:val="24"/>
        </w:rPr>
        <w:t xml:space="preserve"> </w:t>
      </w:r>
      <w:r w:rsidR="001E56B2" w:rsidRPr="00583970">
        <w:rPr>
          <w:rFonts w:ascii="Calibri" w:hAnsi="Calibri" w:cs="Calibri"/>
          <w:sz w:val="24"/>
          <w:szCs w:val="24"/>
        </w:rPr>
        <w:t xml:space="preserve">is </w:t>
      </w:r>
      <w:r w:rsidR="00CD7C68" w:rsidRPr="00583970">
        <w:rPr>
          <w:rFonts w:ascii="Calibri" w:hAnsi="Calibri" w:cs="Calibri"/>
          <w:sz w:val="24"/>
          <w:szCs w:val="24"/>
        </w:rPr>
        <w:t>still debated among the scientific community</w:t>
      </w:r>
      <w:r w:rsidR="00AF178C" w:rsidRPr="00583970">
        <w:rPr>
          <w:rFonts w:ascii="Calibri" w:hAnsi="Calibri" w:cs="Calibri"/>
          <w:sz w:val="24"/>
          <w:szCs w:val="24"/>
        </w:rPr>
        <w:t>.</w:t>
      </w:r>
      <w:r w:rsidR="008825AE" w:rsidRPr="00583970">
        <w:rPr>
          <w:rFonts w:ascii="Calibri" w:hAnsi="Calibri" w:cs="Calibri"/>
          <w:sz w:val="24"/>
          <w:szCs w:val="24"/>
        </w:rPr>
        <w:t xml:space="preserve"> </w:t>
      </w:r>
      <w:r w:rsidRPr="00583970">
        <w:rPr>
          <w:rFonts w:ascii="Calibri" w:hAnsi="Calibri" w:cs="Calibri"/>
          <w:sz w:val="24"/>
          <w:szCs w:val="24"/>
        </w:rPr>
        <w:t xml:space="preserve">Conventionally, the SML is considered </w:t>
      </w:r>
      <w:r w:rsidRPr="00583970">
        <w:rPr>
          <w:rFonts w:ascii="Calibri" w:hAnsi="Calibri" w:cs="Calibri"/>
          <w:sz w:val="24"/>
          <w:szCs w:val="24"/>
        </w:rPr>
        <w:lastRenderedPageBreak/>
        <w:t>to impair oxygenation and nutrient delivery to the epithelium and to favor the accumulation of toxic metabolites during the assay</w:t>
      </w:r>
      <w:r w:rsidR="0023589E" w:rsidRPr="00583970">
        <w:rPr>
          <w:rFonts w:ascii="Calibri" w:hAnsi="Calibri" w:cs="Calibri"/>
          <w:sz w:val="24"/>
          <w:szCs w:val="24"/>
        </w:rPr>
        <w:fldChar w:fldCharType="begin"/>
      </w:r>
      <w:r w:rsidR="00751718" w:rsidRPr="00583970">
        <w:rPr>
          <w:rFonts w:ascii="Calibri" w:hAnsi="Calibri" w:cs="Calibri"/>
          <w:sz w:val="24"/>
          <w:szCs w:val="24"/>
        </w:rPr>
        <w:instrText xml:space="preserve"> ADDIN ZOTERO_ITEM CSL_CITATION {"citationID":"Y3RFWysA","properties":{"formattedCitation":"\\super 15\\nosupersub{}","plainCitation":"15","noteIndex":0},"citationItems":[{"id":398,"uris":["http://zotero.org/users/local/MfNK0c4v/items/4CE9VNYE"],"itemData":{"id":398,"type":"article-journal","abstract":"The Ussing chamber provides a physiological system to measure the transport of ions, nutrients, and drugs across various epithelial tissues. One of the most studied epithelia is the intestine, which has provided several landmark discoveries regarding the mechanisms of ion transport processes. Adaptation of this method to mouse intestine adds the dimension of investigating genetic loss or gain of function as a means to identify proteins or processes affecting transepithelial transport. In this review, the principles underlying the use of Ussing chambers are outlined including limitations and advantages of the technique. With an emphasis on mouse intestinal preparations, the review covers chamber design, commercial equipment sources, tissue preparation, step-by-step instruction for operation, troubleshooting, and examples of interpretation difficulties. Specialized uses of the Ussing chamber such as the pH stat technique to measure transepithelial bicarbonate secretion and isotopic flux methods to measure net secretion or absorption of substrates are discussed in detail, and examples are given for the adaptation of Ussing chamber principles to other measurement systems. The purpose of the review is to provide a practical guide for investigators who are new to the Ussing chamber method.","container-title":"American Journal of Physiology-Gastrointestinal and Liver Physiology","DOI":"10.1152/ajpgi.90649.2008","ISSN":"0193-1857","issue":"6","note":"publisher: American Physiological Society","page":"G1151-G1166","source":"journals.physiology.org (Atypon)","title":"A guide to Ussing chamber studies of mouse intestine","volume":"296","author":[{"family":"Clarke","given":"Lane L."}],"issued":{"date-parts":[["2009",6]]}}}],"schema":"https://github.com/citation-style-language/schema/raw/master/csl-citation.json"} </w:instrText>
      </w:r>
      <w:r w:rsidR="0023589E" w:rsidRPr="00583970">
        <w:rPr>
          <w:rFonts w:ascii="Calibri" w:hAnsi="Calibri" w:cs="Calibri"/>
          <w:sz w:val="24"/>
          <w:szCs w:val="24"/>
        </w:rPr>
        <w:fldChar w:fldCharType="separate"/>
      </w:r>
      <w:r w:rsidR="00A65BA8" w:rsidRPr="00583970">
        <w:rPr>
          <w:rFonts w:ascii="Calibri" w:hAnsi="Calibri" w:cs="Calibri"/>
          <w:kern w:val="0"/>
          <w:sz w:val="24"/>
          <w:szCs w:val="24"/>
          <w:vertAlign w:val="superscript"/>
        </w:rPr>
        <w:t>15</w:t>
      </w:r>
      <w:r w:rsidR="0023589E" w:rsidRPr="00583970">
        <w:rPr>
          <w:rFonts w:ascii="Calibri" w:hAnsi="Calibri" w:cs="Calibri"/>
          <w:sz w:val="24"/>
          <w:szCs w:val="24"/>
        </w:rPr>
        <w:fldChar w:fldCharType="end"/>
      </w:r>
      <w:r w:rsidRPr="00583970">
        <w:rPr>
          <w:rFonts w:ascii="Calibri" w:hAnsi="Calibri" w:cs="Calibri"/>
          <w:sz w:val="24"/>
          <w:szCs w:val="24"/>
        </w:rPr>
        <w:t>.</w:t>
      </w:r>
      <w:r w:rsidR="00AF178C" w:rsidRPr="00583970">
        <w:rPr>
          <w:rFonts w:ascii="Calibri" w:hAnsi="Calibri" w:cs="Calibri"/>
          <w:sz w:val="24"/>
          <w:szCs w:val="24"/>
        </w:rPr>
        <w:t xml:space="preserve"> </w:t>
      </w:r>
      <w:r w:rsidR="00031B86" w:rsidRPr="00583970">
        <w:rPr>
          <w:rFonts w:ascii="Calibri" w:hAnsi="Calibri" w:cs="Calibri"/>
          <w:sz w:val="24"/>
          <w:szCs w:val="24"/>
        </w:rPr>
        <w:t>While SML removal has been reported to lower transepithelial electrical resistance</w:t>
      </w:r>
      <w:r w:rsidR="00610C94" w:rsidRPr="00583970">
        <w:rPr>
          <w:rFonts w:ascii="Calibri" w:hAnsi="Calibri" w:cs="Calibri"/>
          <w:sz w:val="24"/>
          <w:szCs w:val="24"/>
        </w:rPr>
        <w:t xml:space="preserve"> (TER)</w:t>
      </w:r>
      <w:r w:rsidR="00031B86" w:rsidRPr="00583970">
        <w:rPr>
          <w:rFonts w:ascii="Calibri" w:hAnsi="Calibri" w:cs="Calibri"/>
          <w:sz w:val="24"/>
          <w:szCs w:val="24"/>
        </w:rPr>
        <w:t xml:space="preserve"> and prevent tissue shortening due to muscle contraction, Sjögren </w:t>
      </w:r>
      <w:r w:rsidR="00031B86" w:rsidRPr="00813E25">
        <w:rPr>
          <w:rFonts w:ascii="Calibri" w:hAnsi="Calibri" w:cs="Calibri"/>
          <w:sz w:val="24"/>
          <w:szCs w:val="24"/>
        </w:rPr>
        <w:t>et al.</w:t>
      </w:r>
      <w:r w:rsidR="0023589E" w:rsidRPr="00583970">
        <w:rPr>
          <w:rFonts w:ascii="Calibri" w:hAnsi="Calibri" w:cs="Calibri"/>
          <w:sz w:val="24"/>
          <w:szCs w:val="24"/>
        </w:rPr>
        <w:fldChar w:fldCharType="begin"/>
      </w:r>
      <w:r w:rsidR="00751718" w:rsidRPr="00583970">
        <w:rPr>
          <w:rFonts w:ascii="Calibri" w:hAnsi="Calibri" w:cs="Calibri"/>
          <w:sz w:val="24"/>
          <w:szCs w:val="24"/>
        </w:rPr>
        <w:instrText xml:space="preserve"> ADDIN ZOTERO_ITEM CSL_CITATION {"citationID":"pFYFpmuR","properties":{"formattedCitation":"\\super 18\\nosupersub{}","plainCitation":"18","noteIndex":0},"citationItems":[{"id":391,"uris":["http://zotero.org/users/local/MfNK0c4v/items/GZREY498"],"itemData":{"id":391,"type":"article-journal","abstract":"Excised rat intestinal tissue mounted in an Ussing chamber can be used for intestinal permeability assessments in drug development. The outer layer of the intestine, the serosa and part of the muscle layer, is traditionally removed since it is considered a barrier to the diffusion of nutrients and oxygen as well as to that of pharmaceutical substances. However, the procedure for removing the serosal-muscle layer, i.e. stripping, is a technically challenging process in the pre-experimental preparation of the tissue which may result in tissue damage and reduced viability of the segment. In this study, the viability of stripped and native (non-stripped) rat small intestine tissue segments mounted in Ussing chambers was monitored and the apparent permeability of the tissue to a set of test compounds across both tissue preparations was determined. Electrical measurements, in particular the potential difference (PD) across the intestinal membrane, were used to evaluate the viability. In this study, there were no differences in initial PD (health status of the tissue) or PD over time (viability throughout the experiment) between native and stripped rat jejunum segments. Overall, there were also no significant differences in permeability between stripped and native rat intestinal tissue for the compounds in this study. Based on these results, we propose that stripping can be excluded from the preparation procedures for rat jejunal tissue for permeability studies when using the Ussing chamber technique.","container-title":"International Journal of Pharmaceutics","DOI":"10.1016/j.ijpharm.2016.03.063","ISSN":"0378-5173","issue":"1","journalAbbreviation":"International Journal of Pharmaceutics","page":"361-368","source":"ScienceDirect","title":"Excised segments of rat small intestine in Ussing chamber studies: A comparison of native and stripped tissue viability and permeability to drugs","title-short":"Excised segments of rat small intestine in Ussing chamber studies","volume":"505","author":[{"family":"Sjögren","given":"Erik"},{"family":"Eriksson","given":"Johanna"},{"family":"Vedin","given":"Charlotta"},{"family":"Breitholtz","given":"Katarina"},{"family":"Hilgendorf","given":"Constanze"}],"issued":{"date-parts":[["2016",5,30]]}}}],"schema":"https://github.com/citation-style-language/schema/raw/master/csl-citation.json"} </w:instrText>
      </w:r>
      <w:r w:rsidR="0023589E" w:rsidRPr="00583970">
        <w:rPr>
          <w:rFonts w:ascii="Calibri" w:hAnsi="Calibri" w:cs="Calibri"/>
          <w:sz w:val="24"/>
          <w:szCs w:val="24"/>
        </w:rPr>
        <w:fldChar w:fldCharType="separate"/>
      </w:r>
      <w:r w:rsidR="00A65BA8" w:rsidRPr="00583970">
        <w:rPr>
          <w:rFonts w:ascii="Calibri" w:hAnsi="Calibri" w:cs="Calibri"/>
          <w:kern w:val="0"/>
          <w:sz w:val="24"/>
          <w:szCs w:val="24"/>
          <w:vertAlign w:val="superscript"/>
        </w:rPr>
        <w:t>18</w:t>
      </w:r>
      <w:r w:rsidR="0023589E" w:rsidRPr="00583970">
        <w:rPr>
          <w:rFonts w:ascii="Calibri" w:hAnsi="Calibri" w:cs="Calibri"/>
          <w:sz w:val="24"/>
          <w:szCs w:val="24"/>
        </w:rPr>
        <w:fldChar w:fldCharType="end"/>
      </w:r>
      <w:r w:rsidR="00031B86" w:rsidRPr="00583970">
        <w:rPr>
          <w:rFonts w:ascii="Calibri" w:hAnsi="Calibri" w:cs="Calibri"/>
          <w:sz w:val="24"/>
          <w:szCs w:val="24"/>
        </w:rPr>
        <w:t xml:space="preserve"> found no significant effect on drug permeability in rat jejunum when comparing stripped and unstripped preparations. Moreover, several of their stripped samples failed to satisfy quality criteria, whereas all native tissue segments were deemed suitable for experimentation, suggesting that the stripping procedure itself may negatively impact tissue integrity. For these </w:t>
      </w:r>
      <w:r w:rsidR="00FF7FCC" w:rsidRPr="00583970">
        <w:rPr>
          <w:rFonts w:ascii="Calibri" w:hAnsi="Calibri" w:cs="Calibri"/>
          <w:sz w:val="24"/>
          <w:szCs w:val="24"/>
        </w:rPr>
        <w:t>reasons and</w:t>
      </w:r>
      <w:r w:rsidR="00031B86" w:rsidRPr="00583970">
        <w:rPr>
          <w:rFonts w:ascii="Calibri" w:hAnsi="Calibri" w:cs="Calibri"/>
          <w:sz w:val="24"/>
          <w:szCs w:val="24"/>
        </w:rPr>
        <w:t xml:space="preserve"> given the particularly fragile nature of mouse pup biopsies, SML removal is not advised here, as it</w:t>
      </w:r>
      <w:r w:rsidR="00B31A2F" w:rsidRPr="00583970">
        <w:rPr>
          <w:rFonts w:ascii="Calibri" w:hAnsi="Calibri" w:cs="Calibri"/>
          <w:sz w:val="24"/>
          <w:szCs w:val="24"/>
        </w:rPr>
        <w:t xml:space="preserve"> proves impossible on samples from young pups, and</w:t>
      </w:r>
      <w:r w:rsidR="00031B86" w:rsidRPr="00583970">
        <w:rPr>
          <w:rFonts w:ascii="Calibri" w:hAnsi="Calibri" w:cs="Calibri"/>
          <w:sz w:val="24"/>
          <w:szCs w:val="24"/>
        </w:rPr>
        <w:t xml:space="preserve"> would substantially increase the number of biopsies required and consequently the number of</w:t>
      </w:r>
      <w:r w:rsidR="00B31A2F" w:rsidRPr="00583970">
        <w:rPr>
          <w:rFonts w:ascii="Calibri" w:hAnsi="Calibri" w:cs="Calibri"/>
          <w:sz w:val="24"/>
          <w:szCs w:val="24"/>
        </w:rPr>
        <w:t xml:space="preserve"> older</w:t>
      </w:r>
      <w:r w:rsidR="00031B86" w:rsidRPr="00583970">
        <w:rPr>
          <w:rFonts w:ascii="Calibri" w:hAnsi="Calibri" w:cs="Calibri"/>
          <w:sz w:val="24"/>
          <w:szCs w:val="24"/>
        </w:rPr>
        <w:t xml:space="preserve"> animals used.</w:t>
      </w:r>
    </w:p>
    <w:p w14:paraId="759C6FC9" w14:textId="77777777" w:rsidR="00813E25" w:rsidRPr="00583970" w:rsidRDefault="00813E25" w:rsidP="001654C4">
      <w:pPr>
        <w:spacing w:after="0" w:line="240" w:lineRule="auto"/>
        <w:jc w:val="both"/>
        <w:rPr>
          <w:rFonts w:ascii="Calibri" w:hAnsi="Calibri" w:cs="Calibri"/>
          <w:sz w:val="24"/>
          <w:szCs w:val="24"/>
        </w:rPr>
      </w:pPr>
    </w:p>
    <w:p w14:paraId="60CA58D4" w14:textId="3D39B0F6" w:rsidR="00993A50" w:rsidRDefault="00617A24" w:rsidP="001654C4">
      <w:pPr>
        <w:spacing w:after="0" w:line="240" w:lineRule="auto"/>
        <w:jc w:val="both"/>
        <w:rPr>
          <w:rFonts w:ascii="Calibri" w:hAnsi="Calibri" w:cs="Calibri"/>
          <w:sz w:val="24"/>
          <w:szCs w:val="24"/>
        </w:rPr>
      </w:pPr>
      <w:r w:rsidRPr="00583970">
        <w:rPr>
          <w:rFonts w:ascii="Calibri" w:hAnsi="Calibri" w:cs="Calibri"/>
          <w:sz w:val="24"/>
          <w:szCs w:val="24"/>
        </w:rPr>
        <w:t>Mounting</w:t>
      </w:r>
      <w:r w:rsidR="001E56B2" w:rsidRPr="00583970">
        <w:rPr>
          <w:rFonts w:ascii="Calibri" w:hAnsi="Calibri" w:cs="Calibri"/>
          <w:sz w:val="24"/>
          <w:szCs w:val="24"/>
        </w:rPr>
        <w:t xml:space="preserve"> the tissue is another </w:t>
      </w:r>
      <w:r w:rsidR="00AF178C" w:rsidRPr="00583970">
        <w:rPr>
          <w:rFonts w:ascii="Calibri" w:hAnsi="Calibri" w:cs="Calibri"/>
          <w:sz w:val="24"/>
          <w:szCs w:val="24"/>
        </w:rPr>
        <w:t xml:space="preserve">critical step </w:t>
      </w:r>
      <w:r w:rsidR="00031B86" w:rsidRPr="00583970">
        <w:rPr>
          <w:rFonts w:ascii="Calibri" w:hAnsi="Calibri" w:cs="Calibri"/>
          <w:sz w:val="24"/>
          <w:szCs w:val="24"/>
        </w:rPr>
        <w:t>requiring</w:t>
      </w:r>
      <w:r w:rsidR="00AF178C" w:rsidRPr="00583970">
        <w:rPr>
          <w:rFonts w:ascii="Calibri" w:hAnsi="Calibri" w:cs="Calibri"/>
          <w:sz w:val="24"/>
          <w:szCs w:val="24"/>
        </w:rPr>
        <w:t xml:space="preserve"> finesse. </w:t>
      </w:r>
      <w:r w:rsidR="00031B86" w:rsidRPr="00583970">
        <w:rPr>
          <w:rFonts w:ascii="Calibri" w:hAnsi="Calibri" w:cs="Calibri"/>
          <w:sz w:val="24"/>
          <w:szCs w:val="24"/>
        </w:rPr>
        <w:t>Different types of sliders are available to accommodate varying tissue sizes. Larger sliders are typically equipped with pins, which prevent tissue retraction and associated wrinkling while ensuring that the entire aperture is covered. In contrast, smaller sliders are usually pinless, as the use of pins in this context would greatly increase the risk of tearing thin tissue</w:t>
      </w:r>
      <w:r w:rsidR="00283A00" w:rsidRPr="00583970">
        <w:rPr>
          <w:rFonts w:ascii="Calibri" w:hAnsi="Calibri" w:cs="Calibri"/>
          <w:sz w:val="24"/>
          <w:szCs w:val="24"/>
        </w:rPr>
        <w:t>s</w:t>
      </w:r>
      <w:r w:rsidR="00031B86" w:rsidRPr="00583970">
        <w:rPr>
          <w:rFonts w:ascii="Calibri" w:hAnsi="Calibri" w:cs="Calibri"/>
          <w:sz w:val="24"/>
          <w:szCs w:val="24"/>
        </w:rPr>
        <w:t>.</w:t>
      </w:r>
      <w:r w:rsidR="00813E25">
        <w:rPr>
          <w:rFonts w:ascii="Calibri" w:hAnsi="Calibri" w:cs="Calibri"/>
          <w:sz w:val="24"/>
          <w:szCs w:val="24"/>
        </w:rPr>
        <w:t xml:space="preserve"> </w:t>
      </w:r>
      <w:r w:rsidR="00B31A2F" w:rsidRPr="00583970">
        <w:rPr>
          <w:rFonts w:ascii="Calibri" w:hAnsi="Calibri" w:cs="Calibri"/>
          <w:sz w:val="24"/>
          <w:szCs w:val="24"/>
        </w:rPr>
        <w:t xml:space="preserve">The choice of </w:t>
      </w:r>
      <w:r w:rsidR="00813E25">
        <w:rPr>
          <w:rFonts w:ascii="Calibri" w:hAnsi="Calibri" w:cs="Calibri"/>
          <w:sz w:val="24"/>
          <w:szCs w:val="24"/>
        </w:rPr>
        <w:t xml:space="preserve">the </w:t>
      </w:r>
      <w:r w:rsidR="00B31A2F" w:rsidRPr="00583970">
        <w:rPr>
          <w:rFonts w:ascii="Calibri" w:hAnsi="Calibri" w:cs="Calibri"/>
          <w:sz w:val="24"/>
          <w:szCs w:val="24"/>
        </w:rPr>
        <w:t xml:space="preserve">slider model also influences assay precision, as biopsies that match the aperture width </w:t>
      </w:r>
      <w:r w:rsidR="0003625C" w:rsidRPr="00583970">
        <w:rPr>
          <w:rFonts w:ascii="Calibri" w:hAnsi="Calibri" w:cs="Calibri"/>
          <w:sz w:val="24"/>
          <w:szCs w:val="24"/>
        </w:rPr>
        <w:t xml:space="preserve">too closely </w:t>
      </w:r>
      <w:r w:rsidR="00B31A2F" w:rsidRPr="00583970">
        <w:rPr>
          <w:rFonts w:ascii="Calibri" w:hAnsi="Calibri" w:cs="Calibri"/>
          <w:sz w:val="24"/>
          <w:szCs w:val="24"/>
        </w:rPr>
        <w:t xml:space="preserve">are more prone to leakage. </w:t>
      </w:r>
      <w:r w:rsidR="00235054" w:rsidRPr="00583970">
        <w:rPr>
          <w:rFonts w:ascii="Calibri" w:hAnsi="Calibri" w:cs="Calibri"/>
          <w:sz w:val="24"/>
          <w:szCs w:val="24"/>
        </w:rPr>
        <w:t>C</w:t>
      </w:r>
      <w:r w:rsidR="00B31A2F" w:rsidRPr="00583970">
        <w:rPr>
          <w:rFonts w:ascii="Calibri" w:hAnsi="Calibri" w:cs="Calibri"/>
          <w:sz w:val="24"/>
          <w:szCs w:val="24"/>
        </w:rPr>
        <w:t>olonic biopsies from the proximal colon of DOL</w:t>
      </w:r>
      <w:r w:rsidR="003C2B0E" w:rsidRPr="00583970">
        <w:rPr>
          <w:rFonts w:ascii="Calibri" w:hAnsi="Calibri" w:cs="Calibri"/>
          <w:sz w:val="24"/>
          <w:szCs w:val="24"/>
        </w:rPr>
        <w:t xml:space="preserve"> </w:t>
      </w:r>
      <w:r w:rsidR="00756B08" w:rsidRPr="00583970">
        <w:rPr>
          <w:rFonts w:ascii="Calibri" w:hAnsi="Calibri" w:cs="Calibri"/>
          <w:sz w:val="24"/>
          <w:szCs w:val="24"/>
        </w:rPr>
        <w:t>10</w:t>
      </w:r>
      <w:r w:rsidR="00B31A2F" w:rsidRPr="00583970">
        <w:rPr>
          <w:rFonts w:ascii="Calibri" w:hAnsi="Calibri" w:cs="Calibri"/>
          <w:sz w:val="24"/>
          <w:szCs w:val="24"/>
        </w:rPr>
        <w:t xml:space="preserve"> pups were </w:t>
      </w:r>
      <w:r w:rsidR="00756B08" w:rsidRPr="00583970">
        <w:rPr>
          <w:rFonts w:ascii="Calibri" w:hAnsi="Calibri" w:cs="Calibri"/>
          <w:sz w:val="24"/>
          <w:szCs w:val="24"/>
        </w:rPr>
        <w:t>large enough</w:t>
      </w:r>
      <w:r w:rsidR="00B31A2F" w:rsidRPr="00583970">
        <w:rPr>
          <w:rFonts w:ascii="Calibri" w:hAnsi="Calibri" w:cs="Calibri"/>
          <w:sz w:val="24"/>
          <w:szCs w:val="24"/>
        </w:rPr>
        <w:t xml:space="preserve"> for sliders</w:t>
      </w:r>
      <w:r w:rsidR="00FC1C69" w:rsidRPr="00583970">
        <w:rPr>
          <w:rFonts w:ascii="Calibri" w:hAnsi="Calibri" w:cs="Calibri"/>
          <w:sz w:val="24"/>
          <w:szCs w:val="24"/>
        </w:rPr>
        <w:t xml:space="preserve"> with an aperture size of 2</w:t>
      </w:r>
      <w:r w:rsidR="00813E25">
        <w:rPr>
          <w:rFonts w:ascii="Calibri" w:hAnsi="Calibri" w:cs="Calibri"/>
          <w:sz w:val="24"/>
          <w:szCs w:val="24"/>
        </w:rPr>
        <w:t>.</w:t>
      </w:r>
      <w:r w:rsidR="00FC1C69" w:rsidRPr="00583970">
        <w:rPr>
          <w:rFonts w:ascii="Calibri" w:hAnsi="Calibri" w:cs="Calibri"/>
          <w:sz w:val="24"/>
          <w:szCs w:val="24"/>
        </w:rPr>
        <w:t>8 x 1</w:t>
      </w:r>
      <w:r w:rsidR="00813E25">
        <w:rPr>
          <w:rFonts w:ascii="Calibri" w:hAnsi="Calibri" w:cs="Calibri"/>
          <w:sz w:val="24"/>
          <w:szCs w:val="24"/>
        </w:rPr>
        <w:t>.</w:t>
      </w:r>
      <w:r w:rsidR="00FC1C69" w:rsidRPr="00583970">
        <w:rPr>
          <w:rFonts w:ascii="Calibri" w:hAnsi="Calibri" w:cs="Calibri"/>
          <w:sz w:val="24"/>
          <w:szCs w:val="24"/>
        </w:rPr>
        <w:t>5 mm (0</w:t>
      </w:r>
      <w:r w:rsidR="00813E25">
        <w:rPr>
          <w:rFonts w:ascii="Calibri" w:hAnsi="Calibri" w:cs="Calibri"/>
          <w:sz w:val="24"/>
          <w:szCs w:val="24"/>
        </w:rPr>
        <w:t>.</w:t>
      </w:r>
      <w:r w:rsidR="00FC1C69" w:rsidRPr="00583970">
        <w:rPr>
          <w:rFonts w:ascii="Calibri" w:hAnsi="Calibri" w:cs="Calibri"/>
          <w:sz w:val="24"/>
          <w:szCs w:val="24"/>
        </w:rPr>
        <w:t>04 cm</w:t>
      </w:r>
      <w:r w:rsidR="00FC1C69" w:rsidRPr="00583970">
        <w:rPr>
          <w:rFonts w:ascii="Calibri" w:hAnsi="Calibri" w:cs="Calibri"/>
          <w:sz w:val="24"/>
          <w:szCs w:val="24"/>
          <w:vertAlign w:val="superscript"/>
        </w:rPr>
        <w:t>2</w:t>
      </w:r>
      <w:r w:rsidR="00FC1C69" w:rsidRPr="00583970">
        <w:rPr>
          <w:rFonts w:ascii="Calibri" w:hAnsi="Calibri" w:cs="Calibri"/>
          <w:sz w:val="24"/>
          <w:szCs w:val="24"/>
        </w:rPr>
        <w:t>)</w:t>
      </w:r>
      <w:r w:rsidR="00756B08" w:rsidRPr="00583970">
        <w:rPr>
          <w:rFonts w:ascii="Calibri" w:hAnsi="Calibri" w:cs="Calibri"/>
          <w:sz w:val="24"/>
          <w:szCs w:val="24"/>
        </w:rPr>
        <w:t xml:space="preserve">, while samples </w:t>
      </w:r>
      <w:r w:rsidR="0065298C" w:rsidRPr="00583970">
        <w:rPr>
          <w:rFonts w:ascii="Calibri" w:hAnsi="Calibri" w:cs="Calibri"/>
          <w:sz w:val="24"/>
          <w:szCs w:val="24"/>
        </w:rPr>
        <w:t>from DOL</w:t>
      </w:r>
      <w:r w:rsidR="003C2B0E" w:rsidRPr="00583970">
        <w:rPr>
          <w:rFonts w:ascii="Calibri" w:hAnsi="Calibri" w:cs="Calibri"/>
          <w:sz w:val="24"/>
          <w:szCs w:val="24"/>
        </w:rPr>
        <w:t xml:space="preserve"> </w:t>
      </w:r>
      <w:r w:rsidR="0065298C" w:rsidRPr="00583970">
        <w:rPr>
          <w:rFonts w:ascii="Calibri" w:hAnsi="Calibri" w:cs="Calibri"/>
          <w:sz w:val="24"/>
          <w:szCs w:val="24"/>
        </w:rPr>
        <w:t xml:space="preserve">7 pups </w:t>
      </w:r>
      <w:r w:rsidR="00756B08" w:rsidRPr="00583970">
        <w:rPr>
          <w:rFonts w:ascii="Calibri" w:hAnsi="Calibri" w:cs="Calibri"/>
          <w:sz w:val="24"/>
          <w:szCs w:val="24"/>
        </w:rPr>
        <w:t>were too small to fit the aperture</w:t>
      </w:r>
      <w:r w:rsidR="00B31A2F" w:rsidRPr="00583970">
        <w:rPr>
          <w:rFonts w:ascii="Calibri" w:hAnsi="Calibri" w:cs="Calibri"/>
          <w:sz w:val="24"/>
          <w:szCs w:val="24"/>
        </w:rPr>
        <w:t>.</w:t>
      </w:r>
      <w:r w:rsidR="00756B08" w:rsidRPr="00583970">
        <w:rPr>
          <w:rFonts w:ascii="Calibri" w:hAnsi="Calibri" w:cs="Calibri"/>
          <w:sz w:val="24"/>
          <w:szCs w:val="24"/>
        </w:rPr>
        <w:t xml:space="preserve"> However, more distal colon samples from </w:t>
      </w:r>
      <w:r w:rsidR="00B72224" w:rsidRPr="00583970">
        <w:rPr>
          <w:rFonts w:ascii="Calibri" w:hAnsi="Calibri" w:cs="Calibri"/>
          <w:sz w:val="24"/>
          <w:szCs w:val="24"/>
        </w:rPr>
        <w:t>DOL</w:t>
      </w:r>
      <w:r w:rsidR="003C2B0E" w:rsidRPr="00583970">
        <w:rPr>
          <w:rFonts w:ascii="Calibri" w:hAnsi="Calibri" w:cs="Calibri"/>
          <w:sz w:val="24"/>
          <w:szCs w:val="24"/>
        </w:rPr>
        <w:t xml:space="preserve"> </w:t>
      </w:r>
      <w:r w:rsidR="00B72224" w:rsidRPr="00583970">
        <w:rPr>
          <w:rFonts w:ascii="Calibri" w:hAnsi="Calibri" w:cs="Calibri"/>
          <w:sz w:val="24"/>
          <w:szCs w:val="24"/>
        </w:rPr>
        <w:t>7 and younger pups</w:t>
      </w:r>
      <w:r w:rsidR="00756B08" w:rsidRPr="00583970">
        <w:rPr>
          <w:rFonts w:ascii="Calibri" w:hAnsi="Calibri" w:cs="Calibri"/>
          <w:sz w:val="24"/>
          <w:szCs w:val="24"/>
        </w:rPr>
        <w:t xml:space="preserve"> had a greater width and were compatible with the aperture size.</w:t>
      </w:r>
      <w:r w:rsidR="00B72224" w:rsidRPr="00583970">
        <w:rPr>
          <w:rFonts w:ascii="Calibri" w:hAnsi="Calibri" w:cs="Calibri"/>
          <w:sz w:val="24"/>
          <w:szCs w:val="24"/>
        </w:rPr>
        <w:t xml:space="preserve"> Small intestine samples from DOL</w:t>
      </w:r>
      <w:r w:rsidR="003C2B0E" w:rsidRPr="00583970">
        <w:rPr>
          <w:rFonts w:ascii="Calibri" w:hAnsi="Calibri" w:cs="Calibri"/>
          <w:sz w:val="24"/>
          <w:szCs w:val="24"/>
        </w:rPr>
        <w:t xml:space="preserve"> </w:t>
      </w:r>
      <w:r w:rsidR="00B72224" w:rsidRPr="00583970">
        <w:rPr>
          <w:rFonts w:ascii="Calibri" w:hAnsi="Calibri" w:cs="Calibri"/>
          <w:sz w:val="24"/>
          <w:szCs w:val="24"/>
        </w:rPr>
        <w:t xml:space="preserve">10 pups </w:t>
      </w:r>
      <w:r w:rsidR="004A0230" w:rsidRPr="00583970">
        <w:rPr>
          <w:rFonts w:ascii="Calibri" w:hAnsi="Calibri" w:cs="Calibri"/>
          <w:sz w:val="24"/>
          <w:szCs w:val="24"/>
        </w:rPr>
        <w:t>also</w:t>
      </w:r>
      <w:r w:rsidR="00B72224" w:rsidRPr="00583970">
        <w:rPr>
          <w:rFonts w:ascii="Calibri" w:hAnsi="Calibri" w:cs="Calibri"/>
          <w:sz w:val="24"/>
          <w:szCs w:val="24"/>
        </w:rPr>
        <w:t xml:space="preserve"> proved significantly smaller than colon samples and thus too small to fit the sliders. </w:t>
      </w:r>
      <w:r w:rsidR="00283A00" w:rsidRPr="00583970">
        <w:rPr>
          <w:rFonts w:ascii="Calibri" w:hAnsi="Calibri" w:cs="Calibri"/>
          <w:sz w:val="24"/>
          <w:szCs w:val="24"/>
        </w:rPr>
        <w:t>Sliders with smaller apertures are available for use with pups</w:t>
      </w:r>
      <w:r w:rsidR="003C2B0E" w:rsidRPr="00583970">
        <w:rPr>
          <w:rFonts w:ascii="Calibri" w:hAnsi="Calibri" w:cs="Calibri"/>
          <w:sz w:val="24"/>
          <w:szCs w:val="24"/>
        </w:rPr>
        <w:t xml:space="preserve"> under DOL 10</w:t>
      </w:r>
      <w:r w:rsidR="00B72224" w:rsidRPr="00583970">
        <w:rPr>
          <w:rFonts w:ascii="Calibri" w:hAnsi="Calibri" w:cs="Calibri"/>
          <w:sz w:val="24"/>
          <w:szCs w:val="24"/>
        </w:rPr>
        <w:t xml:space="preserve"> and smaller segments of the digestive tract</w:t>
      </w:r>
      <w:r w:rsidR="00E526EB" w:rsidRPr="00583970">
        <w:rPr>
          <w:rFonts w:ascii="Calibri" w:hAnsi="Calibri" w:cs="Calibri"/>
          <w:sz w:val="24"/>
          <w:szCs w:val="24"/>
        </w:rPr>
        <w:t>. However, the minimal age required to obtain reliable permeability measurements remains unclear.</w:t>
      </w:r>
      <w:r w:rsidR="005F736B" w:rsidRPr="00583970">
        <w:rPr>
          <w:rFonts w:ascii="Calibri" w:hAnsi="Calibri" w:cs="Calibri"/>
          <w:sz w:val="24"/>
          <w:szCs w:val="24"/>
        </w:rPr>
        <w:t xml:space="preserve"> </w:t>
      </w:r>
      <w:r w:rsidR="00BE4645" w:rsidRPr="00583970">
        <w:rPr>
          <w:rFonts w:ascii="Calibri" w:hAnsi="Calibri" w:cs="Calibri"/>
          <w:sz w:val="24"/>
          <w:szCs w:val="24"/>
        </w:rPr>
        <w:t>Limited data are available on gut permeability in mouse pups at or below postnatal day 10 (DOL 10). Some studies suggest that intestinal permeability may be similar to</w:t>
      </w:r>
      <w:r w:rsidR="00C50394" w:rsidRPr="00583970">
        <w:rPr>
          <w:rFonts w:ascii="Calibri" w:hAnsi="Calibri" w:cs="Calibri"/>
          <w:sz w:val="24"/>
          <w:szCs w:val="24"/>
        </w:rPr>
        <w:t>,</w:t>
      </w:r>
      <w:r w:rsidR="00BE4645" w:rsidRPr="00583970">
        <w:rPr>
          <w:rFonts w:ascii="Calibri" w:hAnsi="Calibri" w:cs="Calibri"/>
          <w:sz w:val="24"/>
          <w:szCs w:val="24"/>
        </w:rPr>
        <w:t xml:space="preserve"> or even higher than</w:t>
      </w:r>
      <w:r w:rsidR="00813E25">
        <w:rPr>
          <w:rFonts w:ascii="Calibri" w:hAnsi="Calibri" w:cs="Calibri"/>
          <w:sz w:val="24"/>
          <w:szCs w:val="24"/>
        </w:rPr>
        <w:t>,</w:t>
      </w:r>
      <w:r w:rsidR="00BE4645" w:rsidRPr="00583970">
        <w:rPr>
          <w:rFonts w:ascii="Calibri" w:hAnsi="Calibri" w:cs="Calibri"/>
          <w:sz w:val="24"/>
          <w:szCs w:val="24"/>
        </w:rPr>
        <w:t xml:space="preserve"> that observed at DOL 10</w:t>
      </w:r>
      <w:r w:rsidR="004069BC" w:rsidRPr="00583970">
        <w:rPr>
          <w:rFonts w:ascii="Calibri" w:hAnsi="Calibri" w:cs="Calibri"/>
          <w:sz w:val="24"/>
          <w:szCs w:val="24"/>
          <w:vertAlign w:val="superscript"/>
        </w:rPr>
        <w:fldChar w:fldCharType="begin"/>
      </w:r>
      <w:r w:rsidR="004069BC" w:rsidRPr="00583970">
        <w:rPr>
          <w:rFonts w:ascii="Calibri" w:hAnsi="Calibri" w:cs="Calibri"/>
          <w:sz w:val="24"/>
          <w:szCs w:val="24"/>
          <w:vertAlign w:val="superscript"/>
        </w:rPr>
        <w:instrText xml:space="preserve"> ADDIN ZOTERO_ITEM CSL_CITATION {"citationID":"Bi9GID26","properties":{"formattedCitation":"\\super 19\\nosupersub{}","plainCitation":"19","noteIndex":0},"citationItems":[{"id":445,"uris":["http://zotero.org/users/local/MfNK0c4v/items/6FSQAXTH"],"itemData":{"id":445,"type":"article-journal","abstract":"Glucocorticoids (GC) contribute to human intestine ontogeny and accelerate gut barrier development in preparation to birth. Rat gut is immature at birth, and high intestinal GC sensitivity during the first two weeks of life resembles that of premature infants. This makes suckling rats a model to investigate postpartum impact of maternal separation (MS)-associated GC release in preterm babies, and whether GC sensitivity may shape MS effects in immature gut. A 4 hours-MS applied once at postnatal day (PND)10 enhanced plasma corticosterone in male and female pups, increased by two times the total in vivo intestinal permeability (IP) to oral FITC-Dextran 4 kDa (FD4) immediately after the end of MS, and induced bacterial translocation (BT) to liver and spleen. Ussing chamber experiments demonstrated a 2-fold increase of permeability to FD4 in the colon immediately after the end of MS, but not in the ileum. Colonic permeability was not only increased for FD4 but also to intact horseradish peroxidase 44 kDa in MS pups. In vivo, the glucocorticoid receptor (GR) antagonist RU486 or ML7 blockade of myosin light chain kinase controlling epithelial cytoskeleton contraction prevented MS-induced IP increase to oral FD4 and BT. In addition, the GR agonist dexamethasone dose-dependently mimicked MS-increase of IP to oral FD4. In contrast, MS effects on IP to oral FD4 and BT were absent at PND20, a model for full-term infant, characterized by a marked drop of IP to FD4 in response to dexamethasone, and decreased GR expression in the colon only compared to PND10 pups. These results show that high intestinal GC responsiveness in a rat model of prematurity defines a vulnerable window for a post-delivery MS, evoking immediate disruption of epithelial integrity in the large intestine, and increasing susceptibility to macromolecule passage and bacteremia.","container-title":"PLOS ONE","DOI":"10.1371/journal.pone.0088382","ISSN":"1932-6203","issue":"2","journalAbbreviation":"PLOS ONE","language":"en","note":"publisher: Public Library of Science","page":"e88382","source":"PLoS Journals","title":"Changes in Intestinal Glucocorticoid Sensitivity in Early Life Shape the Risk of Epithelial Barrier Defect in Maternal-Deprived Rats","volume":"9","author":[{"family":"Moussaoui","given":"Nabila"},{"family":"Braniste","given":"Viorica"},{"family":"Ait-Belgnaoui","given":"Afifa"},{"family":"Gabanou","given":"Mélissa"},{"family":"Sekkal","given":"Soraya"},{"family":"Olier","given":"Maiwenn"},{"family":"Théodorou","given":"Vassilia"},{"family":"Martin","given":"Pascal G. P."},{"family":"Houdeau","given":"Eric"}],"issued":{"date-parts":[["2014",2,20]]}}}],"schema":"https://github.com/citation-style-language/schema/raw/master/csl-citation.json"} </w:instrText>
      </w:r>
      <w:r w:rsidR="004069BC" w:rsidRPr="00583970">
        <w:rPr>
          <w:rFonts w:ascii="Calibri" w:hAnsi="Calibri" w:cs="Calibri"/>
          <w:sz w:val="24"/>
          <w:szCs w:val="24"/>
          <w:vertAlign w:val="superscript"/>
        </w:rPr>
        <w:fldChar w:fldCharType="separate"/>
      </w:r>
      <w:r w:rsidR="00A65BA8" w:rsidRPr="00583970">
        <w:rPr>
          <w:rFonts w:ascii="Calibri" w:hAnsi="Calibri" w:cs="Calibri"/>
          <w:kern w:val="0"/>
          <w:sz w:val="24"/>
          <w:szCs w:val="24"/>
          <w:vertAlign w:val="superscript"/>
        </w:rPr>
        <w:t>19</w:t>
      </w:r>
      <w:r w:rsidR="004069BC" w:rsidRPr="00583970">
        <w:rPr>
          <w:rFonts w:ascii="Calibri" w:hAnsi="Calibri" w:cs="Calibri"/>
          <w:sz w:val="24"/>
          <w:szCs w:val="24"/>
          <w:vertAlign w:val="superscript"/>
        </w:rPr>
        <w:fldChar w:fldCharType="end"/>
      </w:r>
      <w:r w:rsidR="00813E25">
        <w:rPr>
          <w:rFonts w:ascii="Calibri" w:hAnsi="Calibri" w:cs="Calibri"/>
          <w:sz w:val="24"/>
          <w:szCs w:val="24"/>
          <w:vertAlign w:val="superscript"/>
        </w:rPr>
        <w:t>–</w:t>
      </w:r>
      <w:r w:rsidR="0026588E" w:rsidRPr="00583970">
        <w:rPr>
          <w:rFonts w:ascii="Calibri" w:hAnsi="Calibri" w:cs="Calibri"/>
          <w:sz w:val="24"/>
          <w:szCs w:val="24"/>
          <w:vertAlign w:val="superscript"/>
        </w:rPr>
        <w:fldChar w:fldCharType="begin"/>
      </w:r>
      <w:r w:rsidR="0026588E" w:rsidRPr="00583970">
        <w:rPr>
          <w:rFonts w:ascii="Calibri" w:hAnsi="Calibri" w:cs="Calibri"/>
          <w:sz w:val="24"/>
          <w:szCs w:val="24"/>
          <w:vertAlign w:val="superscript"/>
        </w:rPr>
        <w:instrText xml:space="preserve"> ADDIN ZOTERO_ITEM CSL_CITATION {"citationID":"lZwMkq3q","properties":{"formattedCitation":"\\super 21\\nosupersub{}","plainCitation":"21","noteIndex":0},"citationItems":[{"id":450,"uris":["http://zotero.org/users/local/MfNK0c4v/items/X2ASZWKP"],"itemData":{"id":450,"type":"article-journal","abstract":"The strong age dependency of neonatal systemic infection with Escherichia coli K1 can be replicated in the neonatal rat. Gastrointestinal (GI) colonization of two-day-old (P2) rats leads to invasion of the blood within 48 h of initiation of colonization; pups become progressively less susceptible to infection over the P2-P9 period. We show that, in animals colonized at P2 but not at P9, E. coli K1 bacteria gain access to the enterocyte surface in the mid-region of the small intestine and translocate through the epithelial cell monolayer by an intracellular pathway to the submucosa. In this region of the GI tract, the protective mucus barrier is poorly developed but matures to full thickness over P2-P9, coincident with the development of resistance to invasion. At P9, E. coli K1 bacteria are physically separated from villi by the mucus layer and their numbers controlled by mucus-embedded antimicrobial peptides, preventing invasion of host tissues.","container-title":"Scientific Reports","DOI":"10.1038/s41598-017-00123-w","ISSN":"2045-2322","issue":"1","journalAbbreviation":"Sci Rep","language":"en","license":"2017 The Author(s)","note":"publisher: Nature Publishing Group","page":"83","source":"www.nature.com","title":"Postnatal development of the small intestinal mucosa drives age-dependent, regio-selective susceptibility to Escherichia coli K1 infection","volume":"7","author":[{"family":"Birchenough","given":"George M. H."},{"family":"Dalgakiran","given":"Fatma"},{"family":"Witcomb","given":"Luci A."},{"family":"Johansson","given":"Malin E. V."},{"family":"McCarthy","given":"Alex J."},{"family":"Hansson","given":"Gunnar C."},{"family":"Taylor","given":"Peter W."}],"issued":{"date-parts":[["2017",3,6]]}}}],"schema":"https://github.com/citation-style-language/schema/raw/master/csl-citation.json"} </w:instrText>
      </w:r>
      <w:r w:rsidR="0026588E" w:rsidRPr="00583970">
        <w:rPr>
          <w:rFonts w:ascii="Calibri" w:hAnsi="Calibri" w:cs="Calibri"/>
          <w:sz w:val="24"/>
          <w:szCs w:val="24"/>
          <w:vertAlign w:val="superscript"/>
        </w:rPr>
        <w:fldChar w:fldCharType="separate"/>
      </w:r>
      <w:r w:rsidR="00A65BA8" w:rsidRPr="00583970">
        <w:rPr>
          <w:rFonts w:ascii="Calibri" w:hAnsi="Calibri" w:cs="Calibri"/>
          <w:kern w:val="0"/>
          <w:sz w:val="24"/>
          <w:szCs w:val="24"/>
          <w:vertAlign w:val="superscript"/>
        </w:rPr>
        <w:t>21</w:t>
      </w:r>
      <w:r w:rsidR="0026588E" w:rsidRPr="00583970">
        <w:rPr>
          <w:rFonts w:ascii="Calibri" w:hAnsi="Calibri" w:cs="Calibri"/>
          <w:sz w:val="24"/>
          <w:szCs w:val="24"/>
          <w:vertAlign w:val="superscript"/>
        </w:rPr>
        <w:fldChar w:fldCharType="end"/>
      </w:r>
      <w:r w:rsidR="00BE4645" w:rsidRPr="00583970">
        <w:rPr>
          <w:rFonts w:ascii="Calibri" w:hAnsi="Calibri" w:cs="Calibri"/>
          <w:sz w:val="24"/>
          <w:szCs w:val="24"/>
        </w:rPr>
        <w:t>,</w:t>
      </w:r>
      <w:r w:rsidR="004069BC" w:rsidRPr="00583970">
        <w:rPr>
          <w:rFonts w:ascii="Calibri" w:hAnsi="Calibri" w:cs="Calibri"/>
          <w:sz w:val="24"/>
          <w:szCs w:val="24"/>
        </w:rPr>
        <w:t xml:space="preserve"> </w:t>
      </w:r>
      <w:r w:rsidR="00BE4645" w:rsidRPr="00583970">
        <w:rPr>
          <w:rFonts w:ascii="Calibri" w:hAnsi="Calibri" w:cs="Calibri"/>
          <w:sz w:val="24"/>
          <w:szCs w:val="24"/>
        </w:rPr>
        <w:t xml:space="preserve">which would make detecting modest effects particularly challenging. </w:t>
      </w:r>
      <w:r w:rsidR="00E526EB" w:rsidRPr="00583970">
        <w:rPr>
          <w:rFonts w:ascii="Calibri" w:hAnsi="Calibri" w:cs="Calibri"/>
          <w:sz w:val="24"/>
          <w:szCs w:val="24"/>
        </w:rPr>
        <w:t>Furthermore</w:t>
      </w:r>
      <w:r w:rsidR="00283A00" w:rsidRPr="00583970">
        <w:rPr>
          <w:rFonts w:ascii="Calibri" w:hAnsi="Calibri" w:cs="Calibri"/>
          <w:sz w:val="24"/>
          <w:szCs w:val="24"/>
        </w:rPr>
        <w:t>, it remains uncertain what minimal colonic surface area is required to reliably detect differences under treatments with moderate effects.</w:t>
      </w:r>
      <w:r w:rsidR="00993A50" w:rsidRPr="00583970">
        <w:rPr>
          <w:rFonts w:ascii="Calibri" w:hAnsi="Calibri" w:cs="Calibri"/>
          <w:sz w:val="24"/>
          <w:szCs w:val="24"/>
        </w:rPr>
        <w:t xml:space="preserve"> </w:t>
      </w:r>
      <w:r w:rsidR="00751718" w:rsidRPr="00583970">
        <w:rPr>
          <w:rFonts w:ascii="Calibri" w:hAnsi="Calibri" w:cs="Calibri"/>
          <w:sz w:val="24"/>
          <w:szCs w:val="24"/>
        </w:rPr>
        <w:t>Previous experiments yielded satisfactory and significant results using aperture surfaces of 0.04 cm² down to 0.031 cm². However, smaller surfaces can substantially diminish assay sensitivity and amplify biases from minor variations in tissue handling, particularly during slider mounting and dissection.</w:t>
      </w:r>
      <w:r w:rsidR="00993A50" w:rsidRPr="00583970">
        <w:rPr>
          <w:rFonts w:ascii="Calibri" w:hAnsi="Calibri" w:cs="Calibri"/>
          <w:sz w:val="24"/>
          <w:szCs w:val="24"/>
        </w:rPr>
        <w:t xml:space="preserve"> </w:t>
      </w:r>
      <w:r w:rsidR="00751718" w:rsidRPr="00583970">
        <w:rPr>
          <w:rFonts w:ascii="Calibri" w:hAnsi="Calibri" w:cs="Calibri"/>
          <w:sz w:val="24"/>
          <w:szCs w:val="24"/>
        </w:rPr>
        <w:t>Assigning a single operator for all dissections and mounting within each experiment helps eliminate inter-operator technique variations. Employing specialized equipment, such as user-friendly sliders and the dissection instruments outlined in this article, enhances reproducibility, shortens handling time, and reduces tissue damage risk.</w:t>
      </w:r>
    </w:p>
    <w:p w14:paraId="0C3F8FE7" w14:textId="77777777" w:rsidR="00813E25" w:rsidRPr="00583970" w:rsidRDefault="00813E25" w:rsidP="001654C4">
      <w:pPr>
        <w:spacing w:after="0" w:line="240" w:lineRule="auto"/>
        <w:jc w:val="both"/>
        <w:rPr>
          <w:rFonts w:ascii="Calibri" w:hAnsi="Calibri" w:cs="Calibri"/>
          <w:sz w:val="24"/>
          <w:szCs w:val="24"/>
        </w:rPr>
      </w:pPr>
    </w:p>
    <w:p w14:paraId="6B4B4191" w14:textId="00FEE137" w:rsidR="00786E63" w:rsidRDefault="00DB09CF" w:rsidP="001654C4">
      <w:pPr>
        <w:spacing w:after="0" w:line="240" w:lineRule="auto"/>
        <w:jc w:val="both"/>
        <w:rPr>
          <w:rFonts w:ascii="Calibri" w:hAnsi="Calibri" w:cs="Calibri"/>
          <w:sz w:val="24"/>
          <w:szCs w:val="24"/>
        </w:rPr>
      </w:pPr>
      <w:r w:rsidRPr="00583970">
        <w:rPr>
          <w:rFonts w:ascii="Calibri" w:hAnsi="Calibri" w:cs="Calibri"/>
          <w:sz w:val="24"/>
          <w:szCs w:val="24"/>
        </w:rPr>
        <w:t>U</w:t>
      </w:r>
      <w:r w:rsidR="00B31A2F" w:rsidRPr="00583970">
        <w:rPr>
          <w:rFonts w:ascii="Calibri" w:hAnsi="Calibri" w:cs="Calibri"/>
          <w:sz w:val="24"/>
          <w:szCs w:val="24"/>
        </w:rPr>
        <w:t>sing the same colonic segment within and across experiments</w:t>
      </w:r>
      <w:r w:rsidRPr="00583970">
        <w:rPr>
          <w:rFonts w:ascii="Calibri" w:hAnsi="Calibri" w:cs="Calibri"/>
          <w:sz w:val="24"/>
          <w:szCs w:val="24"/>
        </w:rPr>
        <w:t xml:space="preserve"> is also recommended</w:t>
      </w:r>
      <w:r w:rsidR="005453C7" w:rsidRPr="00583970">
        <w:rPr>
          <w:rFonts w:ascii="Calibri" w:hAnsi="Calibri" w:cs="Calibri"/>
          <w:sz w:val="24"/>
          <w:szCs w:val="24"/>
        </w:rPr>
        <w:t>, as it</w:t>
      </w:r>
      <w:r w:rsidR="00B31A2F" w:rsidRPr="00583970">
        <w:rPr>
          <w:rFonts w:ascii="Calibri" w:hAnsi="Calibri" w:cs="Calibri"/>
          <w:sz w:val="24"/>
          <w:szCs w:val="24"/>
        </w:rPr>
        <w:t xml:space="preserve"> is essential for obtaining comparable permeability results. </w:t>
      </w:r>
      <w:r w:rsidR="00016614" w:rsidRPr="00583970">
        <w:rPr>
          <w:rFonts w:ascii="Calibri" w:hAnsi="Calibri" w:cs="Calibri"/>
          <w:sz w:val="24"/>
          <w:szCs w:val="24"/>
        </w:rPr>
        <w:t>Note that b</w:t>
      </w:r>
      <w:r w:rsidR="00B31A2F" w:rsidRPr="00583970">
        <w:rPr>
          <w:rFonts w:ascii="Calibri" w:hAnsi="Calibri" w:cs="Calibri"/>
          <w:sz w:val="24"/>
          <w:szCs w:val="24"/>
        </w:rPr>
        <w:t xml:space="preserve">iopsies taken from different regions of the same animal can yield markedly different values. </w:t>
      </w:r>
      <w:r w:rsidR="00031B86" w:rsidRPr="00583970">
        <w:rPr>
          <w:rFonts w:ascii="Calibri" w:hAnsi="Calibri" w:cs="Calibri"/>
          <w:sz w:val="24"/>
          <w:szCs w:val="24"/>
        </w:rPr>
        <w:t>T</w:t>
      </w:r>
      <w:r w:rsidR="006411C4" w:rsidRPr="00583970">
        <w:rPr>
          <w:rFonts w:ascii="Calibri" w:hAnsi="Calibri" w:cs="Calibri"/>
          <w:sz w:val="24"/>
          <w:szCs w:val="24"/>
        </w:rPr>
        <w:t>he time required to mount all chambers</w:t>
      </w:r>
      <w:r w:rsidR="00031B86" w:rsidRPr="00583970">
        <w:rPr>
          <w:rFonts w:ascii="Calibri" w:hAnsi="Calibri" w:cs="Calibri"/>
          <w:sz w:val="24"/>
          <w:szCs w:val="24"/>
        </w:rPr>
        <w:t xml:space="preserve"> is also a critical parameter</w:t>
      </w:r>
      <w:r w:rsidR="006411C4" w:rsidRPr="00583970">
        <w:rPr>
          <w:rFonts w:ascii="Calibri" w:hAnsi="Calibri" w:cs="Calibri"/>
          <w:sz w:val="24"/>
          <w:szCs w:val="24"/>
        </w:rPr>
        <w:t xml:space="preserve">. </w:t>
      </w:r>
      <w:r w:rsidR="00031B86" w:rsidRPr="00583970">
        <w:rPr>
          <w:rFonts w:ascii="Calibri" w:hAnsi="Calibri" w:cs="Calibri"/>
          <w:sz w:val="24"/>
          <w:szCs w:val="24"/>
        </w:rPr>
        <w:t xml:space="preserve">Although this issue is minor in small setups with only a few chambers, the interval between euthanasia and assay initiation, as well as the overall incubation time, can become significantly prolonged if the operator waits to start until all chambers are </w:t>
      </w:r>
      <w:r w:rsidR="00031B86" w:rsidRPr="00583970">
        <w:rPr>
          <w:rFonts w:ascii="Calibri" w:hAnsi="Calibri" w:cs="Calibri"/>
          <w:sz w:val="24"/>
          <w:szCs w:val="24"/>
        </w:rPr>
        <w:lastRenderedPageBreak/>
        <w:t xml:space="preserve">prepared. To mitigate this, one option is to mount the first sliders and hold them in </w:t>
      </w:r>
      <w:r w:rsidR="00F84499">
        <w:rPr>
          <w:rFonts w:ascii="Calibri" w:hAnsi="Calibri" w:cs="Calibri"/>
          <w:sz w:val="24"/>
          <w:szCs w:val="24"/>
        </w:rPr>
        <w:t xml:space="preserve">the </w:t>
      </w:r>
      <w:r w:rsidR="00031B86" w:rsidRPr="00583970">
        <w:rPr>
          <w:rFonts w:ascii="Calibri" w:hAnsi="Calibri" w:cs="Calibri"/>
          <w:sz w:val="24"/>
          <w:szCs w:val="24"/>
        </w:rPr>
        <w:t>Krebs buffer at 4 °C, then insert all sliders simultaneously to begin the assay</w:t>
      </w:r>
      <w:r w:rsidR="00610C94" w:rsidRPr="00583970">
        <w:rPr>
          <w:rFonts w:ascii="Calibri" w:hAnsi="Calibri" w:cs="Calibri"/>
          <w:sz w:val="24"/>
          <w:szCs w:val="24"/>
        </w:rPr>
        <w:t>.</w:t>
      </w:r>
      <w:r w:rsidR="00F84499">
        <w:rPr>
          <w:rFonts w:ascii="Calibri" w:hAnsi="Calibri" w:cs="Calibri"/>
          <w:sz w:val="24"/>
          <w:szCs w:val="24"/>
        </w:rPr>
        <w:t xml:space="preserve"> </w:t>
      </w:r>
      <w:r w:rsidR="00610C94" w:rsidRPr="00583970">
        <w:rPr>
          <w:rFonts w:ascii="Calibri" w:hAnsi="Calibri" w:cs="Calibri"/>
          <w:sz w:val="24"/>
          <w:szCs w:val="24"/>
        </w:rPr>
        <w:t>Complementarily, TER assessment is a reliable method to determine viability of the tissue, as TER tends to decrease with cell</w:t>
      </w:r>
      <w:r w:rsidR="00F84499">
        <w:rPr>
          <w:rFonts w:ascii="Calibri" w:hAnsi="Calibri" w:cs="Calibri"/>
          <w:sz w:val="24"/>
          <w:szCs w:val="24"/>
        </w:rPr>
        <w:t xml:space="preserve"> </w:t>
      </w:r>
      <w:r w:rsidR="00610C94" w:rsidRPr="00583970">
        <w:rPr>
          <w:rFonts w:ascii="Calibri" w:hAnsi="Calibri" w:cs="Calibri"/>
          <w:sz w:val="24"/>
          <w:szCs w:val="24"/>
        </w:rPr>
        <w:t xml:space="preserve">death, </w:t>
      </w:r>
      <w:r w:rsidR="00B31A2F" w:rsidRPr="00583970">
        <w:rPr>
          <w:rFonts w:ascii="Calibri" w:hAnsi="Calibri" w:cs="Calibri"/>
          <w:sz w:val="24"/>
          <w:szCs w:val="24"/>
        </w:rPr>
        <w:t>~</w:t>
      </w:r>
      <w:r w:rsidR="00610C94" w:rsidRPr="00583970">
        <w:rPr>
          <w:rFonts w:ascii="Calibri" w:hAnsi="Calibri" w:cs="Calibri"/>
          <w:sz w:val="24"/>
          <w:szCs w:val="24"/>
        </w:rPr>
        <w:t>120</w:t>
      </w:r>
      <w:r w:rsidR="00F84499">
        <w:rPr>
          <w:rFonts w:ascii="Calibri" w:hAnsi="Calibri" w:cs="Calibri"/>
          <w:sz w:val="24"/>
          <w:szCs w:val="24"/>
        </w:rPr>
        <w:t>–</w:t>
      </w:r>
      <w:r w:rsidR="00610C94" w:rsidRPr="00583970">
        <w:rPr>
          <w:rFonts w:ascii="Calibri" w:hAnsi="Calibri" w:cs="Calibri"/>
          <w:sz w:val="24"/>
          <w:szCs w:val="24"/>
        </w:rPr>
        <w:t>150 min after colon sampling</w:t>
      </w:r>
      <w:r w:rsidR="008B7363" w:rsidRPr="00583970">
        <w:rPr>
          <w:rFonts w:ascii="Calibri" w:hAnsi="Calibri" w:cs="Calibri"/>
          <w:sz w:val="24"/>
          <w:szCs w:val="24"/>
        </w:rPr>
        <w:fldChar w:fldCharType="begin"/>
      </w:r>
      <w:r w:rsidR="00751718" w:rsidRPr="00583970">
        <w:rPr>
          <w:rFonts w:ascii="Calibri" w:hAnsi="Calibri" w:cs="Calibri"/>
          <w:sz w:val="24"/>
          <w:szCs w:val="24"/>
        </w:rPr>
        <w:instrText xml:space="preserve"> ADDIN ZOTERO_ITEM CSL_CITATION {"citationID":"dqgW3b4u","properties":{"formattedCitation":"\\super 16\\nosupersub{}","plainCitation":"16","noteIndex":0},"citationItems":[{"id":401,"uris":["http://zotero.org/users/local/MfNK0c4v/items/D7HPTWP5"],"itemData":{"id":401,"type":"chapter","abstract":"The Ussing chamber system is named after the Danish zoologist Hans Ussing, who invented the device in the 1950s to measure the short-circuit current as an indicator of net ion transport taking place across frog skin (Ussing and Zerahn, Acta Physiol Scand 23:110–127, 1951). Ussing chambers are increasingly being used to measure ion transport in native tissue, like gut mucosa, and in a monolayer of cells grown on permeable supports. However, the Ussing chamber system is, to date, not often applied for the investigation of the impact of food bioactives (proteins, sugars, lipids) on health. An Ussing system is generally comprised of a chamber and a perfusion system, and if needed, an amplifier and data acquisition system. The heart of the system lies in the chamber with the other components performing supporting roles. The classic chamber design is still in wide use today. However, several newer designs are now available that optimize for convenience and for diffusion- or electrophysiology-based measurements. A well designed Ussing chamber supports an epithelia membrane or cell monolayer in such a way that each side of the membrane is isolated and faces a separate chamber-half. The chambers are then filled with a physiologically relevant solution, such as Ringer’s solution. This configuration allows the researcher to make unique chemical and electrical adjustments to either side of the membrane with complete control. The Ussing chamber technique has its strengths and limitations, which will be explained in more detail in this chapter.","call-number":"NBK500167","container-title":"The Impact of Food Bioactives on Health: in vitro and ex vivo models","event-place":"Cham (CH)","ISBN":"978-3-319-15791-7","language":"eng","license":"Copyright 2015, The Author(s).","note":"PMID: 29787070","publisher":"Springer","publisher-place":"Cham (CH)","source":"PubMed","title":"Ussing Chamber","URL":"http://www.ncbi.nlm.nih.gov/books/NBK500167/","author":[{"family":"Westerhout","given":"Joost"},{"family":"Wortelboer","given":"Heleen"},{"family":"Verhoeckx","given":"Kitty"}],"editor":[{"family":"Verhoeckx","given":"Kitty"},{"family":"Cotter","given":"Paul"},{"family":"López-Expósito","given":"Iván"},{"family":"Kleiveland","given":"Charlotte"},{"family":"Lea","given":"Tor"},{"family":"Mackie","given":"Alan"},{"family":"Requena","given":"Teresa"},{"family":"Swiatecka","given":"Dominika"},{"family":"Wichers","given":"Harry"}],"accessed":{"date-parts":[["2025",8,22]]},"issued":{"date-parts":[["2015"]]}}}],"schema":"https://github.com/citation-style-language/schema/raw/master/csl-citation.json"} </w:instrText>
      </w:r>
      <w:r w:rsidR="008B7363" w:rsidRPr="00583970">
        <w:rPr>
          <w:rFonts w:ascii="Calibri" w:hAnsi="Calibri" w:cs="Calibri"/>
          <w:sz w:val="24"/>
          <w:szCs w:val="24"/>
        </w:rPr>
        <w:fldChar w:fldCharType="separate"/>
      </w:r>
      <w:r w:rsidR="00A65BA8" w:rsidRPr="00583970">
        <w:rPr>
          <w:rFonts w:ascii="Calibri" w:hAnsi="Calibri" w:cs="Calibri"/>
          <w:kern w:val="0"/>
          <w:sz w:val="24"/>
          <w:szCs w:val="24"/>
          <w:vertAlign w:val="superscript"/>
        </w:rPr>
        <w:t>16</w:t>
      </w:r>
      <w:r w:rsidR="008B7363" w:rsidRPr="00583970">
        <w:rPr>
          <w:rFonts w:ascii="Calibri" w:hAnsi="Calibri" w:cs="Calibri"/>
          <w:sz w:val="24"/>
          <w:szCs w:val="24"/>
        </w:rPr>
        <w:fldChar w:fldCharType="end"/>
      </w:r>
      <w:r w:rsidR="00610C94" w:rsidRPr="00583970">
        <w:rPr>
          <w:rFonts w:ascii="Calibri" w:hAnsi="Calibri" w:cs="Calibri"/>
          <w:sz w:val="24"/>
          <w:szCs w:val="24"/>
        </w:rPr>
        <w:t>.</w:t>
      </w:r>
    </w:p>
    <w:p w14:paraId="0493929C" w14:textId="77777777" w:rsidR="00F84499" w:rsidRPr="00583970" w:rsidRDefault="00F84499" w:rsidP="001654C4">
      <w:pPr>
        <w:spacing w:after="0" w:line="240" w:lineRule="auto"/>
        <w:jc w:val="both"/>
        <w:rPr>
          <w:rFonts w:ascii="Calibri" w:hAnsi="Calibri" w:cs="Calibri"/>
          <w:sz w:val="24"/>
          <w:szCs w:val="24"/>
        </w:rPr>
      </w:pPr>
    </w:p>
    <w:p w14:paraId="2E95C1B0" w14:textId="72AADF7F" w:rsidR="00A26FD9" w:rsidRDefault="00617D71" w:rsidP="001654C4">
      <w:pPr>
        <w:spacing w:after="0" w:line="240" w:lineRule="auto"/>
        <w:jc w:val="both"/>
        <w:rPr>
          <w:rFonts w:ascii="Calibri" w:hAnsi="Calibri" w:cs="Calibri"/>
          <w:sz w:val="24"/>
          <w:szCs w:val="24"/>
        </w:rPr>
      </w:pPr>
      <w:r w:rsidRPr="00583970">
        <w:rPr>
          <w:rFonts w:ascii="Calibri" w:hAnsi="Calibri" w:cs="Calibri"/>
          <w:sz w:val="24"/>
          <w:szCs w:val="24"/>
        </w:rPr>
        <w:t xml:space="preserve">Alternatively to the Ussing technique, the </w:t>
      </w:r>
      <w:r w:rsidRPr="00583970">
        <w:rPr>
          <w:rFonts w:ascii="Calibri" w:hAnsi="Calibri" w:cs="Calibri"/>
          <w:i/>
          <w:iCs/>
          <w:sz w:val="24"/>
          <w:szCs w:val="24"/>
        </w:rPr>
        <w:t>in vivo</w:t>
      </w:r>
      <w:r w:rsidRPr="00583970">
        <w:rPr>
          <w:rFonts w:ascii="Calibri" w:hAnsi="Calibri" w:cs="Calibri"/>
          <w:sz w:val="24"/>
          <w:szCs w:val="24"/>
        </w:rPr>
        <w:t xml:space="preserve"> FITC–dextran assay also enables evaluation of global intestinal permeability</w:t>
      </w:r>
      <w:r w:rsidR="00A71EC9" w:rsidRPr="00583970">
        <w:rPr>
          <w:rFonts w:ascii="Calibri" w:hAnsi="Calibri" w:cs="Calibri"/>
          <w:sz w:val="24"/>
          <w:szCs w:val="24"/>
        </w:rPr>
        <w:t xml:space="preserve"> through dosage of serum FITC after gavage</w:t>
      </w:r>
      <w:r w:rsidRPr="00583970">
        <w:rPr>
          <w:rFonts w:ascii="Calibri" w:hAnsi="Calibri" w:cs="Calibri"/>
          <w:sz w:val="24"/>
          <w:szCs w:val="24"/>
        </w:rPr>
        <w:t>, it neither discriminates between paracellular and transcellular pathways nor localizes changes to specific gut segments, making the Ussing chamber approach more appropriate for this study</w:t>
      </w:r>
      <w:r w:rsidRPr="00583970">
        <w:rPr>
          <w:rFonts w:ascii="Calibri" w:hAnsi="Calibri" w:cs="Calibri"/>
          <w:sz w:val="24"/>
          <w:szCs w:val="24"/>
        </w:rPr>
        <w:fldChar w:fldCharType="begin"/>
      </w:r>
      <w:r w:rsidR="00A00B28" w:rsidRPr="00583970">
        <w:rPr>
          <w:rFonts w:ascii="Calibri" w:hAnsi="Calibri" w:cs="Calibri"/>
          <w:sz w:val="24"/>
          <w:szCs w:val="24"/>
        </w:rPr>
        <w:instrText xml:space="preserve"> ADDIN ZOTERO_ITEM CSL_CITATION {"citationID":"EUVbFCim","properties":{"formattedCitation":"\\super 14\\nosupersub{}","plainCitation":"14","noteIndex":0},"citationItems":[{"id":442,"uris":["http://zotero.org/users/local/MfNK0c4v/items/4RTGI2RJ"],"itemData":{"id":442,"type":"article-journal","abstract":"Background\nThe relationship between intestinal epithelial integrity and the development of intestinal disease is of increasing interest. A reduction in mucosal integrity has been associated with ulcerative colitis, Crohn’s disease and potentially could have links with colorectal cancer development. The Ussing chamber system can be utilised as a valuable tool for measuring gut integrity. Here we describe step-by-step methodology required to measure intestinal permeability of both mouse and human colonic tissue samples ex vivo, using the latest equipment and software. This system can be modified to accommodate other tissues.\n\nMethods\nAn Ussing chamber was constructed and adapted to support both mouse and human tissue to measure intestinal permeability, using paracellular flux and electrical measurements. Two mouse models of intestinal inflammation (dextran sodium sulphate treatment and T regulatory cell depletion using C57BL/6-FoxP3DTR mice) were used to validate the system along with human colonic biopsy samples.\n\nResults\nDistinct regional differences in permeability were consistently identified within mouse and healthy human colon. In particular, mice showed increased permeability in the mid colonic region. In humans the left colon is more permeable than the right. Furthermore, inflammatory conditions induced chemically or due to autoimmunity reduced intestinal integrity, validating the use of the system.\n\nConclusions\nThe Ussing chamber has been used for many years to measure barrier function. However, a clear and informative methods paper describing the setup of modern equipment and step-by-step procedure to measure mouse and human intestinal permeability isn’t available. The Ussing chamber system methodology we describe provides such detail to guide investigation of gut integrity.\n\nElectronic supplementary material\nThe online version of this article (10.1186/s12876-019-1002-4) contains supplementary material, which is available to authorized users.","container-title":"BMC Gastroenterology","DOI":"10.1186/s12876-019-1002-4","ISSN":"1471-230X","journalAbbreviation":"BMC Gastroenterol","note":"PMID: 31221083\nPMCID: PMC6585111","page":"98","source":"PubMed Central","title":"The Ussing chamber system for measuring intestinal permeability in health and disease","volume":"19","author":[{"family":"Thomson","given":"Amanda"},{"family":"Smart","given":"Kathryn"},{"family":"Somerville","given":"Michelle S."},{"family":"Lauder","given":"Sarah N."},{"family":"Appanna","given":"Gautham"},{"family":"Horwood","given":"James"},{"family":"Sunder Raj","given":"Lawrence"},{"family":"Srivastava","given":"Brijesh"},{"family":"Durai","given":"Dharmaraj"},{"family":"Scurr","given":"Martin J."},{"family":"Keita","given":"Åsa V."},{"family":"Gallimore","given":"Awen M."},{"family":"Godkin","given":"Andrew"}],"issued":{"date-parts":[["2019",6,20]]}}}],"schema":"https://github.com/citation-style-language/schema/raw/master/csl-citation.json"} </w:instrText>
      </w:r>
      <w:r w:rsidRPr="00583970">
        <w:rPr>
          <w:rFonts w:ascii="Calibri" w:hAnsi="Calibri" w:cs="Calibri"/>
          <w:sz w:val="24"/>
          <w:szCs w:val="24"/>
        </w:rPr>
        <w:fldChar w:fldCharType="separate"/>
      </w:r>
      <w:r w:rsidR="00A65BA8" w:rsidRPr="00583970">
        <w:rPr>
          <w:rFonts w:ascii="Calibri" w:hAnsi="Calibri" w:cs="Calibri"/>
          <w:kern w:val="0"/>
          <w:sz w:val="24"/>
          <w:szCs w:val="24"/>
          <w:vertAlign w:val="superscript"/>
        </w:rPr>
        <w:t>14</w:t>
      </w:r>
      <w:r w:rsidRPr="00583970">
        <w:rPr>
          <w:rFonts w:ascii="Calibri" w:hAnsi="Calibri" w:cs="Calibri"/>
          <w:sz w:val="24"/>
          <w:szCs w:val="24"/>
        </w:rPr>
        <w:fldChar w:fldCharType="end"/>
      </w:r>
      <w:r w:rsidRPr="00583970">
        <w:rPr>
          <w:rFonts w:ascii="Calibri" w:hAnsi="Calibri" w:cs="Calibri"/>
          <w:sz w:val="24"/>
          <w:szCs w:val="24"/>
        </w:rPr>
        <w:t>. Complementarily, contrary to</w:t>
      </w:r>
      <w:r w:rsidR="00A26FD9" w:rsidRPr="00583970">
        <w:rPr>
          <w:rFonts w:ascii="Calibri" w:hAnsi="Calibri" w:cs="Calibri"/>
          <w:sz w:val="24"/>
          <w:szCs w:val="24"/>
        </w:rPr>
        <w:t xml:space="preserve"> </w:t>
      </w:r>
      <w:r w:rsidRPr="00583970">
        <w:rPr>
          <w:rFonts w:ascii="Calibri" w:hAnsi="Calibri" w:cs="Calibri"/>
          <w:sz w:val="24"/>
          <w:szCs w:val="24"/>
        </w:rPr>
        <w:t xml:space="preserve">the </w:t>
      </w:r>
      <w:r w:rsidRPr="00583970">
        <w:rPr>
          <w:rFonts w:ascii="Calibri" w:hAnsi="Calibri" w:cs="Calibri"/>
          <w:i/>
          <w:iCs/>
          <w:sz w:val="24"/>
          <w:szCs w:val="24"/>
        </w:rPr>
        <w:t>in vivo</w:t>
      </w:r>
      <w:r w:rsidRPr="00583970">
        <w:rPr>
          <w:rFonts w:ascii="Calibri" w:hAnsi="Calibri" w:cs="Calibri"/>
          <w:sz w:val="24"/>
          <w:szCs w:val="24"/>
        </w:rPr>
        <w:t>-FITC</w:t>
      </w:r>
      <w:r w:rsidR="00F84499">
        <w:rPr>
          <w:rFonts w:ascii="Calibri" w:hAnsi="Calibri" w:cs="Calibri"/>
          <w:sz w:val="24"/>
          <w:szCs w:val="24"/>
        </w:rPr>
        <w:t>,</w:t>
      </w:r>
      <w:r w:rsidR="00A26FD9" w:rsidRPr="00583970">
        <w:rPr>
          <w:rFonts w:ascii="Calibri" w:hAnsi="Calibri" w:cs="Calibri"/>
          <w:sz w:val="24"/>
          <w:szCs w:val="24"/>
        </w:rPr>
        <w:t xml:space="preserve"> which generally require</w:t>
      </w:r>
      <w:r w:rsidR="00F84499">
        <w:rPr>
          <w:rFonts w:ascii="Calibri" w:hAnsi="Calibri" w:cs="Calibri"/>
          <w:sz w:val="24"/>
          <w:szCs w:val="24"/>
        </w:rPr>
        <w:t>s</w:t>
      </w:r>
      <w:r w:rsidR="00A26FD9" w:rsidRPr="00583970">
        <w:rPr>
          <w:rFonts w:ascii="Calibri" w:hAnsi="Calibri" w:cs="Calibri"/>
          <w:sz w:val="24"/>
          <w:szCs w:val="24"/>
        </w:rPr>
        <w:t xml:space="preserve"> fasting, </w:t>
      </w:r>
      <w:r w:rsidR="00C50394" w:rsidRPr="00583970">
        <w:rPr>
          <w:rFonts w:ascii="Calibri" w:hAnsi="Calibri" w:cs="Calibri"/>
          <w:sz w:val="24"/>
          <w:szCs w:val="24"/>
        </w:rPr>
        <w:t xml:space="preserve">the latter </w:t>
      </w:r>
      <w:r w:rsidR="00A26FD9" w:rsidRPr="00583970">
        <w:rPr>
          <w:rFonts w:ascii="Calibri" w:hAnsi="Calibri" w:cs="Calibri"/>
          <w:sz w:val="24"/>
          <w:szCs w:val="24"/>
        </w:rPr>
        <w:t xml:space="preserve">is not necessary for colonic permeability assays. Intestinal permeability in the small intestine is strongly influenced by fasting status and the interval since the last meal, but such effects have not been demonstrated in the colon. Moreover, fasting pups would require maternal separation, and severe stressors such as neonatal maternal deprivation are known to exert long-lasting effects on paracellular permeability and mucosal immunity. Although the minimum duration required to induce these effects has not been clearly defined, it is preferable to avoid stressing the pups prior to euthanasia. </w:t>
      </w:r>
      <w:r w:rsidR="002E1F3A" w:rsidRPr="00583970">
        <w:rPr>
          <w:rFonts w:ascii="Calibri" w:hAnsi="Calibri" w:cs="Calibri"/>
          <w:sz w:val="24"/>
          <w:szCs w:val="24"/>
        </w:rPr>
        <w:t>I</w:t>
      </w:r>
      <w:r w:rsidR="00A26FD9" w:rsidRPr="00583970">
        <w:rPr>
          <w:rFonts w:ascii="Calibri" w:hAnsi="Calibri" w:cs="Calibri"/>
          <w:sz w:val="24"/>
          <w:szCs w:val="24"/>
        </w:rPr>
        <w:t>t is</w:t>
      </w:r>
      <w:r w:rsidR="002E1F3A" w:rsidRPr="00583970">
        <w:rPr>
          <w:rFonts w:ascii="Calibri" w:hAnsi="Calibri" w:cs="Calibri"/>
          <w:sz w:val="24"/>
          <w:szCs w:val="24"/>
        </w:rPr>
        <w:t xml:space="preserve"> also</w:t>
      </w:r>
      <w:r w:rsidR="00A26FD9" w:rsidRPr="00583970">
        <w:rPr>
          <w:rFonts w:ascii="Calibri" w:hAnsi="Calibri" w:cs="Calibri"/>
          <w:sz w:val="24"/>
          <w:szCs w:val="24"/>
        </w:rPr>
        <w:t xml:space="preserve"> important to note that the gavaged-FITC plasma method is incompatible with </w:t>
      </w:r>
      <w:r w:rsidR="002E1F3A" w:rsidRPr="00583970">
        <w:rPr>
          <w:rFonts w:ascii="Calibri" w:hAnsi="Calibri" w:cs="Calibri"/>
          <w:sz w:val="24"/>
          <w:szCs w:val="24"/>
        </w:rPr>
        <w:t>this</w:t>
      </w:r>
      <w:r w:rsidR="00A26FD9" w:rsidRPr="00583970">
        <w:rPr>
          <w:rFonts w:ascii="Calibri" w:hAnsi="Calibri" w:cs="Calibri"/>
          <w:sz w:val="24"/>
          <w:szCs w:val="24"/>
        </w:rPr>
        <w:t xml:space="preserve"> protocol, as residual FITC from previous experiments could confound permeability measurements obtained with the Ussing chambers.</w:t>
      </w:r>
    </w:p>
    <w:p w14:paraId="0724DE7C" w14:textId="77777777" w:rsidR="00F84499" w:rsidRPr="00583970" w:rsidRDefault="00F84499" w:rsidP="001654C4">
      <w:pPr>
        <w:spacing w:after="0" w:line="240" w:lineRule="auto"/>
        <w:jc w:val="both"/>
        <w:rPr>
          <w:rFonts w:ascii="Calibri" w:hAnsi="Calibri" w:cs="Calibri"/>
          <w:sz w:val="24"/>
          <w:szCs w:val="24"/>
        </w:rPr>
      </w:pPr>
    </w:p>
    <w:p w14:paraId="7853088C" w14:textId="2571DD28" w:rsidR="00786E63" w:rsidRDefault="00A26FD9" w:rsidP="001654C4">
      <w:pPr>
        <w:spacing w:after="0" w:line="240" w:lineRule="auto"/>
        <w:jc w:val="both"/>
        <w:rPr>
          <w:rFonts w:ascii="Calibri" w:hAnsi="Calibri" w:cs="Calibri"/>
          <w:sz w:val="24"/>
          <w:szCs w:val="24"/>
        </w:rPr>
      </w:pPr>
      <w:r w:rsidRPr="00583970">
        <w:rPr>
          <w:rFonts w:ascii="Calibri" w:hAnsi="Calibri" w:cs="Calibri"/>
          <w:sz w:val="24"/>
          <w:szCs w:val="24"/>
        </w:rPr>
        <w:t xml:space="preserve">Finally, the presence or absence of colonic permeability modulation </w:t>
      </w:r>
      <w:r w:rsidR="0003625C" w:rsidRPr="00583970">
        <w:rPr>
          <w:rFonts w:ascii="Calibri" w:hAnsi="Calibri" w:cs="Calibri"/>
          <w:sz w:val="24"/>
          <w:szCs w:val="24"/>
        </w:rPr>
        <w:t xml:space="preserve">may be confirmed </w:t>
      </w:r>
      <w:r w:rsidRPr="00583970">
        <w:rPr>
          <w:rFonts w:ascii="Calibri" w:hAnsi="Calibri" w:cs="Calibri"/>
          <w:sz w:val="24"/>
          <w:szCs w:val="24"/>
        </w:rPr>
        <w:t>using an independent method, such as qPCR-based quantification of tight junction–related transcripts</w:t>
      </w:r>
      <w:r w:rsidR="00F84499">
        <w:rPr>
          <w:rFonts w:ascii="Calibri" w:hAnsi="Calibri" w:cs="Calibri"/>
          <w:sz w:val="24"/>
          <w:szCs w:val="24"/>
        </w:rPr>
        <w:t>,</w:t>
      </w:r>
      <w:r w:rsidRPr="00583970">
        <w:rPr>
          <w:rFonts w:ascii="Calibri" w:hAnsi="Calibri" w:cs="Calibri"/>
          <w:sz w:val="24"/>
          <w:szCs w:val="24"/>
        </w:rPr>
        <w:t xml:space="preserve"> including ZO-1, occludin, and members of the claudin family</w:t>
      </w:r>
      <w:r w:rsidR="00096640" w:rsidRPr="00583970">
        <w:rPr>
          <w:rFonts w:ascii="Calibri" w:hAnsi="Calibri" w:cs="Calibri"/>
          <w:sz w:val="24"/>
          <w:szCs w:val="24"/>
        </w:rPr>
        <w:t>.</w:t>
      </w:r>
      <w:r w:rsidR="00F84499">
        <w:rPr>
          <w:rFonts w:ascii="Calibri" w:hAnsi="Calibri" w:cs="Calibri"/>
          <w:sz w:val="24"/>
          <w:szCs w:val="24"/>
        </w:rPr>
        <w:t xml:space="preserve"> </w:t>
      </w:r>
      <w:r w:rsidR="004E14A9" w:rsidRPr="00583970">
        <w:rPr>
          <w:rFonts w:ascii="Calibri" w:hAnsi="Calibri" w:cs="Calibri"/>
          <w:sz w:val="24"/>
          <w:szCs w:val="24"/>
        </w:rPr>
        <w:t>Overall, the methods described in this article offer complementary tools for investigating the neonatal period, particularly the maturation of the early-life intestinal barrier and its susceptibility to various interventions. They can generate insights that are highly relevant for studies on the physiological and pathophysiological mechanisms underlying early-life infections such as necrotizing enterocolitis and complications of prematurity. In addition, they are well</w:t>
      </w:r>
      <w:r w:rsidR="00F84499">
        <w:rPr>
          <w:rFonts w:ascii="Calibri" w:hAnsi="Calibri" w:cs="Calibri"/>
          <w:sz w:val="24"/>
          <w:szCs w:val="24"/>
        </w:rPr>
        <w:t>-</w:t>
      </w:r>
      <w:r w:rsidR="004E14A9" w:rsidRPr="00583970">
        <w:rPr>
          <w:rFonts w:ascii="Calibri" w:hAnsi="Calibri" w:cs="Calibri"/>
          <w:sz w:val="24"/>
          <w:szCs w:val="24"/>
        </w:rPr>
        <w:t>suited to address more fundamental questions, including the impact of human milk oligosaccharides, microRNAs</w:t>
      </w:r>
      <w:r w:rsidR="00F84499">
        <w:rPr>
          <w:rFonts w:ascii="Calibri" w:hAnsi="Calibri" w:cs="Calibri"/>
          <w:sz w:val="24"/>
          <w:szCs w:val="24"/>
        </w:rPr>
        <w:t>,</w:t>
      </w:r>
      <w:r w:rsidR="004E14A9" w:rsidRPr="00583970">
        <w:rPr>
          <w:rFonts w:ascii="Calibri" w:hAnsi="Calibri" w:cs="Calibri"/>
          <w:sz w:val="24"/>
          <w:szCs w:val="24"/>
        </w:rPr>
        <w:t xml:space="preserve"> and probiotics on gut development and function.</w:t>
      </w:r>
    </w:p>
    <w:p w14:paraId="3A533BEA" w14:textId="77777777" w:rsidR="00F84499" w:rsidRPr="00583970" w:rsidRDefault="00F84499" w:rsidP="001654C4">
      <w:pPr>
        <w:spacing w:after="0" w:line="240" w:lineRule="auto"/>
        <w:jc w:val="both"/>
        <w:rPr>
          <w:rFonts w:ascii="Calibri" w:hAnsi="Calibri" w:cs="Calibri"/>
          <w:sz w:val="24"/>
          <w:szCs w:val="24"/>
        </w:rPr>
      </w:pPr>
    </w:p>
    <w:p w14:paraId="55B22AE8" w14:textId="3D41510E" w:rsidR="00FF7FCC" w:rsidRPr="00583970" w:rsidRDefault="00FF7FCC" w:rsidP="001654C4">
      <w:pPr>
        <w:spacing w:after="0" w:line="240" w:lineRule="auto"/>
        <w:jc w:val="both"/>
        <w:rPr>
          <w:rFonts w:ascii="Calibri" w:hAnsi="Calibri" w:cs="Calibri"/>
          <w:sz w:val="24"/>
          <w:szCs w:val="24"/>
        </w:rPr>
      </w:pPr>
      <w:r w:rsidRPr="00583970">
        <w:rPr>
          <w:rFonts w:ascii="Calibri" w:hAnsi="Calibri" w:cs="Calibri"/>
          <w:sz w:val="24"/>
          <w:szCs w:val="24"/>
        </w:rPr>
        <w:t>In summary, oral gavage of molecules of interest during the neonatal period, combined with assessment of both paracellular and transcellular colonic permeability using Ussing chambers, provides an efficient approach to investigat</w:t>
      </w:r>
      <w:r w:rsidR="00F84499">
        <w:rPr>
          <w:rFonts w:ascii="Calibri" w:hAnsi="Calibri" w:cs="Calibri"/>
          <w:sz w:val="24"/>
          <w:szCs w:val="24"/>
        </w:rPr>
        <w:t>ing the short-term impact of potentially harmful substances, as well as their short-</w:t>
      </w:r>
      <w:r w:rsidR="00BB466C" w:rsidRPr="00583970">
        <w:rPr>
          <w:rFonts w:ascii="Calibri" w:hAnsi="Calibri" w:cs="Calibri"/>
          <w:sz w:val="24"/>
          <w:szCs w:val="24"/>
        </w:rPr>
        <w:t xml:space="preserve"> and</w:t>
      </w:r>
      <w:r w:rsidRPr="00583970">
        <w:rPr>
          <w:rFonts w:ascii="Calibri" w:hAnsi="Calibri" w:cs="Calibri"/>
          <w:sz w:val="24"/>
          <w:szCs w:val="24"/>
        </w:rPr>
        <w:t xml:space="preserve"> long-term effects, particularly in the context of chronic inflammatory diseases.</w:t>
      </w:r>
      <w:r w:rsidR="00277A32" w:rsidRPr="00583970">
        <w:rPr>
          <w:rFonts w:ascii="Calibri" w:hAnsi="Calibri" w:cs="Calibri"/>
          <w:sz w:val="24"/>
          <w:szCs w:val="24"/>
        </w:rPr>
        <w:t xml:space="preserve"> </w:t>
      </w:r>
    </w:p>
    <w:p w14:paraId="4BA20A08" w14:textId="77777777" w:rsidR="006A1E3C" w:rsidRPr="00583970" w:rsidRDefault="006A1E3C" w:rsidP="001654C4">
      <w:pPr>
        <w:spacing w:after="0" w:line="240" w:lineRule="auto"/>
        <w:jc w:val="both"/>
        <w:rPr>
          <w:rFonts w:ascii="Calibri" w:hAnsi="Calibri" w:cs="Calibri"/>
          <w:sz w:val="24"/>
          <w:szCs w:val="24"/>
        </w:rPr>
      </w:pPr>
    </w:p>
    <w:p w14:paraId="6757162D" w14:textId="1A713D57" w:rsidR="009110FD" w:rsidRPr="00583970" w:rsidRDefault="00D515A7" w:rsidP="001654C4">
      <w:pPr>
        <w:spacing w:after="0" w:line="240" w:lineRule="auto"/>
        <w:jc w:val="both"/>
        <w:rPr>
          <w:rFonts w:ascii="Calibri" w:hAnsi="Calibri" w:cs="Calibri"/>
          <w:b/>
          <w:bCs/>
          <w:sz w:val="24"/>
          <w:szCs w:val="24"/>
        </w:rPr>
      </w:pPr>
      <w:r w:rsidRPr="00583970">
        <w:rPr>
          <w:rFonts w:ascii="Calibri" w:hAnsi="Calibri" w:cs="Calibri"/>
          <w:b/>
          <w:bCs/>
          <w:sz w:val="24"/>
          <w:szCs w:val="24"/>
        </w:rPr>
        <w:t>ACKNOWLEDGMENTS:</w:t>
      </w:r>
    </w:p>
    <w:p w14:paraId="16692FFD" w14:textId="524478A5" w:rsidR="005453C7" w:rsidRPr="00583970" w:rsidRDefault="00617A24" w:rsidP="001654C4">
      <w:pPr>
        <w:spacing w:after="0" w:line="240" w:lineRule="auto"/>
        <w:jc w:val="both"/>
        <w:rPr>
          <w:rFonts w:ascii="Calibri" w:hAnsi="Calibri" w:cs="Calibri"/>
          <w:sz w:val="24"/>
          <w:szCs w:val="24"/>
        </w:rPr>
      </w:pPr>
      <w:r w:rsidRPr="00583970">
        <w:rPr>
          <w:rFonts w:ascii="Calibri" w:hAnsi="Calibri" w:cs="Calibri"/>
          <w:sz w:val="24"/>
          <w:szCs w:val="24"/>
        </w:rPr>
        <w:t xml:space="preserve">This work was </w:t>
      </w:r>
      <w:r w:rsidR="006B0743">
        <w:rPr>
          <w:rFonts w:ascii="Calibri" w:hAnsi="Calibri" w:cs="Calibri"/>
          <w:sz w:val="24"/>
          <w:szCs w:val="24"/>
        </w:rPr>
        <w:t>performed</w:t>
      </w:r>
      <w:r w:rsidRPr="00583970">
        <w:rPr>
          <w:rFonts w:ascii="Calibri" w:hAnsi="Calibri" w:cs="Calibri"/>
          <w:sz w:val="24"/>
          <w:szCs w:val="24"/>
        </w:rPr>
        <w:t xml:space="preserve"> with financial support from </w:t>
      </w:r>
      <w:bookmarkStart w:id="0" w:name="_Hlk216276200"/>
      <w:r w:rsidRPr="00583970">
        <w:rPr>
          <w:rFonts w:ascii="Calibri" w:hAnsi="Calibri" w:cs="Calibri"/>
          <w:sz w:val="24"/>
          <w:szCs w:val="24"/>
        </w:rPr>
        <w:t xml:space="preserve">ANR-11-IDEX-0005-02 </w:t>
      </w:r>
      <w:bookmarkEnd w:id="0"/>
      <w:r w:rsidRPr="00583970">
        <w:rPr>
          <w:rFonts w:ascii="Calibri" w:hAnsi="Calibri" w:cs="Calibri"/>
          <w:sz w:val="24"/>
          <w:szCs w:val="24"/>
        </w:rPr>
        <w:t>Laboratoire</w:t>
      </w:r>
      <w:r w:rsidR="005E5938" w:rsidRPr="00583970">
        <w:rPr>
          <w:rFonts w:ascii="Calibri" w:hAnsi="Calibri" w:cs="Calibri"/>
          <w:sz w:val="24"/>
          <w:szCs w:val="24"/>
        </w:rPr>
        <w:t xml:space="preserve"> </w:t>
      </w:r>
      <w:r w:rsidRPr="00583970">
        <w:rPr>
          <w:rFonts w:ascii="Calibri" w:hAnsi="Calibri" w:cs="Calibri"/>
          <w:sz w:val="24"/>
          <w:szCs w:val="24"/>
        </w:rPr>
        <w:t>d'excellence INFLAMEX</w:t>
      </w:r>
      <w:r w:rsidR="008A31B7" w:rsidRPr="00583970">
        <w:rPr>
          <w:rFonts w:ascii="Calibri" w:hAnsi="Calibri" w:cs="Calibri"/>
          <w:sz w:val="24"/>
          <w:szCs w:val="24"/>
        </w:rPr>
        <w:t>, an award from the Fondation de l'avenir (2025, AP-RM-24-012)</w:t>
      </w:r>
      <w:r w:rsidR="006B0743">
        <w:rPr>
          <w:rFonts w:ascii="Calibri" w:hAnsi="Calibri" w:cs="Calibri"/>
          <w:sz w:val="24"/>
          <w:szCs w:val="24"/>
        </w:rPr>
        <w:t>,</w:t>
      </w:r>
      <w:r w:rsidR="008A31B7" w:rsidRPr="00583970">
        <w:rPr>
          <w:rFonts w:ascii="Calibri" w:hAnsi="Calibri" w:cs="Calibri"/>
          <w:sz w:val="24"/>
          <w:szCs w:val="24"/>
        </w:rPr>
        <w:t xml:space="preserve"> and ANR grants Diab1GUT (</w:t>
      </w:r>
      <w:bookmarkStart w:id="1" w:name="_Hlk216276209"/>
      <w:r w:rsidR="008A31B7" w:rsidRPr="00583970">
        <w:rPr>
          <w:rFonts w:ascii="Calibri" w:hAnsi="Calibri" w:cs="Calibri"/>
          <w:sz w:val="24"/>
          <w:szCs w:val="24"/>
        </w:rPr>
        <w:t>ANR-24-CE15-7152</w:t>
      </w:r>
      <w:bookmarkEnd w:id="1"/>
      <w:r w:rsidR="008A31B7" w:rsidRPr="00583970">
        <w:rPr>
          <w:rFonts w:ascii="Calibri" w:hAnsi="Calibri" w:cs="Calibri"/>
          <w:sz w:val="24"/>
          <w:szCs w:val="24"/>
        </w:rPr>
        <w:t>).</w:t>
      </w:r>
      <w:r w:rsidR="006B0743">
        <w:rPr>
          <w:rFonts w:ascii="Calibri" w:hAnsi="Calibri" w:cs="Calibri"/>
          <w:sz w:val="24"/>
          <w:szCs w:val="24"/>
        </w:rPr>
        <w:t xml:space="preserve"> </w:t>
      </w:r>
      <w:r w:rsidR="00AA2498" w:rsidRPr="00583970">
        <w:rPr>
          <w:rFonts w:ascii="Calibri" w:hAnsi="Calibri" w:cs="Calibri"/>
          <w:sz w:val="24"/>
          <w:szCs w:val="24"/>
        </w:rPr>
        <w:t>Th</w:t>
      </w:r>
      <w:r w:rsidR="006B0743">
        <w:rPr>
          <w:rFonts w:ascii="Calibri" w:hAnsi="Calibri" w:cs="Calibri"/>
          <w:sz w:val="24"/>
          <w:szCs w:val="24"/>
        </w:rPr>
        <w:t>e</w:t>
      </w:r>
      <w:r w:rsidR="00AA2498" w:rsidRPr="00583970">
        <w:rPr>
          <w:rFonts w:ascii="Calibri" w:hAnsi="Calibri" w:cs="Calibri"/>
          <w:sz w:val="24"/>
          <w:szCs w:val="24"/>
        </w:rPr>
        <w:t xml:space="preserve"> </w:t>
      </w:r>
      <w:r w:rsidR="006B0743">
        <w:rPr>
          <w:rFonts w:ascii="Calibri" w:hAnsi="Calibri" w:cs="Calibri"/>
          <w:sz w:val="24"/>
          <w:szCs w:val="24"/>
        </w:rPr>
        <w:t>study</w:t>
      </w:r>
      <w:r w:rsidR="00AA2498" w:rsidRPr="00583970">
        <w:rPr>
          <w:rFonts w:ascii="Calibri" w:hAnsi="Calibri" w:cs="Calibri"/>
          <w:sz w:val="24"/>
          <w:szCs w:val="24"/>
        </w:rPr>
        <w:t xml:space="preserve"> was c</w:t>
      </w:r>
      <w:r w:rsidR="00A03F78">
        <w:rPr>
          <w:rFonts w:ascii="Calibri" w:hAnsi="Calibri" w:cs="Calibri"/>
          <w:sz w:val="24"/>
          <w:szCs w:val="24"/>
        </w:rPr>
        <w:t>onducted within the context of the INFIBREX consortium and</w:t>
      </w:r>
      <w:r w:rsidR="00AA2498" w:rsidRPr="00583970">
        <w:rPr>
          <w:rFonts w:ascii="Calibri" w:hAnsi="Calibri" w:cs="Calibri"/>
          <w:sz w:val="24"/>
          <w:szCs w:val="24"/>
        </w:rPr>
        <w:t xml:space="preserve"> benefited from the support of the "France 2030" investment plan, launched by the French government and implemented by Université Paris Cité under its “Initiative of Excellence” IdEx program (</w:t>
      </w:r>
      <w:bookmarkStart w:id="2" w:name="_Hlk216276216"/>
      <w:r w:rsidR="00AA2498" w:rsidRPr="00583970">
        <w:rPr>
          <w:rFonts w:ascii="Calibri" w:hAnsi="Calibri" w:cs="Calibri"/>
          <w:sz w:val="24"/>
          <w:szCs w:val="24"/>
        </w:rPr>
        <w:t>ANR-18-IDEX-0001</w:t>
      </w:r>
      <w:bookmarkEnd w:id="2"/>
      <w:r w:rsidR="00AA2498" w:rsidRPr="00583970">
        <w:rPr>
          <w:rFonts w:ascii="Calibri" w:hAnsi="Calibri" w:cs="Calibri"/>
          <w:sz w:val="24"/>
          <w:szCs w:val="24"/>
        </w:rPr>
        <w:t>).</w:t>
      </w:r>
      <w:r w:rsidR="006B0743">
        <w:rPr>
          <w:rFonts w:ascii="Calibri" w:hAnsi="Calibri" w:cs="Calibri"/>
          <w:sz w:val="24"/>
          <w:szCs w:val="24"/>
        </w:rPr>
        <w:t xml:space="preserve"> </w:t>
      </w:r>
      <w:r w:rsidR="005453C7" w:rsidRPr="00583970">
        <w:rPr>
          <w:rFonts w:ascii="Calibri" w:hAnsi="Calibri" w:cs="Calibri"/>
          <w:sz w:val="24"/>
          <w:szCs w:val="24"/>
        </w:rPr>
        <w:t xml:space="preserve">We gratefully acknowledge the Ussing Chamber </w:t>
      </w:r>
      <w:r w:rsidR="005453C7" w:rsidRPr="00583970">
        <w:rPr>
          <w:rFonts w:ascii="Calibri" w:hAnsi="Calibri" w:cs="Calibri"/>
          <w:sz w:val="24"/>
          <w:szCs w:val="24"/>
        </w:rPr>
        <w:lastRenderedPageBreak/>
        <w:t>Technical Platform at the Inflammation Research Center for their invaluable support, and extend special thanks to Alexandra Willemtz and Maude Le Gall for their expert assistance.</w:t>
      </w:r>
      <w:r w:rsidR="00071B62" w:rsidRPr="00583970">
        <w:rPr>
          <w:rFonts w:ascii="Calibri" w:hAnsi="Calibri" w:cs="Calibri"/>
          <w:sz w:val="24"/>
          <w:szCs w:val="24"/>
        </w:rPr>
        <w:br/>
      </w:r>
      <w:r w:rsidR="00AB2E5C" w:rsidRPr="00583970">
        <w:rPr>
          <w:rFonts w:ascii="Calibri" w:hAnsi="Calibri" w:cs="Calibri"/>
          <w:sz w:val="24"/>
          <w:szCs w:val="24"/>
        </w:rPr>
        <w:t xml:space="preserve">We would also like to express our sincere gratitude to the Animal Facility Platform at the Inflammation Research Center for their essential support, with special thanks </w:t>
      </w:r>
      <w:r w:rsidR="00A03F78">
        <w:rPr>
          <w:rFonts w:ascii="Calibri" w:hAnsi="Calibri" w:cs="Calibri"/>
          <w:sz w:val="24"/>
          <w:szCs w:val="24"/>
        </w:rPr>
        <w:t xml:space="preserve">to </w:t>
      </w:r>
      <w:r w:rsidR="00AB2E5C" w:rsidRPr="00583970">
        <w:rPr>
          <w:rFonts w:ascii="Calibri" w:hAnsi="Calibri" w:cs="Calibri"/>
          <w:sz w:val="24"/>
          <w:szCs w:val="24"/>
        </w:rPr>
        <w:t>Isabelle Renault and Guillaume Anselmet.</w:t>
      </w:r>
    </w:p>
    <w:p w14:paraId="01F0F230" w14:textId="77777777" w:rsidR="006A1E3C" w:rsidRPr="00583970" w:rsidRDefault="006A1E3C" w:rsidP="001654C4">
      <w:pPr>
        <w:spacing w:after="0" w:line="240" w:lineRule="auto"/>
        <w:jc w:val="both"/>
        <w:rPr>
          <w:rFonts w:ascii="Calibri" w:hAnsi="Calibri" w:cs="Calibri"/>
          <w:sz w:val="24"/>
          <w:szCs w:val="24"/>
        </w:rPr>
      </w:pPr>
    </w:p>
    <w:p w14:paraId="3B44B382" w14:textId="212E35EF" w:rsidR="009110FD" w:rsidRPr="00583970" w:rsidRDefault="00D515A7" w:rsidP="001654C4">
      <w:pPr>
        <w:spacing w:after="0" w:line="240" w:lineRule="auto"/>
        <w:jc w:val="both"/>
        <w:rPr>
          <w:rFonts w:ascii="Calibri" w:hAnsi="Calibri" w:cs="Calibri"/>
          <w:b/>
          <w:bCs/>
          <w:sz w:val="24"/>
          <w:szCs w:val="24"/>
        </w:rPr>
      </w:pPr>
      <w:r w:rsidRPr="00583970">
        <w:rPr>
          <w:rFonts w:ascii="Calibri" w:hAnsi="Calibri" w:cs="Calibri"/>
          <w:b/>
          <w:bCs/>
          <w:sz w:val="24"/>
          <w:szCs w:val="24"/>
        </w:rPr>
        <w:t>DISCLOSURES:</w:t>
      </w:r>
    </w:p>
    <w:p w14:paraId="2DB718BA" w14:textId="4D82372D" w:rsidR="00617A24" w:rsidRPr="00583970" w:rsidRDefault="00617A24" w:rsidP="001654C4">
      <w:pPr>
        <w:spacing w:after="0" w:line="240" w:lineRule="auto"/>
        <w:jc w:val="both"/>
        <w:rPr>
          <w:rFonts w:ascii="Calibri" w:hAnsi="Calibri" w:cs="Calibri"/>
          <w:sz w:val="24"/>
          <w:szCs w:val="24"/>
        </w:rPr>
      </w:pPr>
      <w:r w:rsidRPr="00583970">
        <w:rPr>
          <w:rFonts w:ascii="Calibri" w:hAnsi="Calibri" w:cs="Calibri"/>
          <w:sz w:val="24"/>
          <w:szCs w:val="24"/>
        </w:rPr>
        <w:t xml:space="preserve">The authors declare </w:t>
      </w:r>
      <w:r w:rsidR="007A11FD">
        <w:rPr>
          <w:rFonts w:ascii="Calibri" w:hAnsi="Calibri" w:cs="Calibri"/>
          <w:sz w:val="24"/>
          <w:szCs w:val="24"/>
        </w:rPr>
        <w:t xml:space="preserve">that they have </w:t>
      </w:r>
      <w:r w:rsidRPr="00583970">
        <w:rPr>
          <w:rFonts w:ascii="Calibri" w:hAnsi="Calibri" w:cs="Calibri"/>
          <w:sz w:val="24"/>
          <w:szCs w:val="24"/>
        </w:rPr>
        <w:t>no competing financial interests.</w:t>
      </w:r>
    </w:p>
    <w:p w14:paraId="4F8FFF3C" w14:textId="77777777" w:rsidR="006A1E3C" w:rsidRPr="00583970" w:rsidRDefault="006A1E3C" w:rsidP="001654C4">
      <w:pPr>
        <w:spacing w:after="0" w:line="240" w:lineRule="auto"/>
        <w:jc w:val="both"/>
        <w:rPr>
          <w:rFonts w:ascii="Calibri" w:hAnsi="Calibri" w:cs="Calibri"/>
          <w:b/>
          <w:bCs/>
          <w:sz w:val="24"/>
          <w:szCs w:val="24"/>
        </w:rPr>
      </w:pPr>
    </w:p>
    <w:p w14:paraId="4C52C86E" w14:textId="7D6CBCB2" w:rsidR="009110FD" w:rsidRPr="00583970" w:rsidRDefault="00D515A7" w:rsidP="001654C4">
      <w:pPr>
        <w:spacing w:after="0" w:line="240" w:lineRule="auto"/>
        <w:jc w:val="both"/>
        <w:rPr>
          <w:rFonts w:ascii="Calibri" w:hAnsi="Calibri" w:cs="Calibri"/>
          <w:b/>
          <w:bCs/>
          <w:sz w:val="24"/>
          <w:szCs w:val="24"/>
        </w:rPr>
      </w:pPr>
      <w:r w:rsidRPr="00583970">
        <w:rPr>
          <w:rFonts w:ascii="Calibri" w:hAnsi="Calibri" w:cs="Calibri"/>
          <w:b/>
          <w:bCs/>
          <w:sz w:val="24"/>
          <w:szCs w:val="24"/>
        </w:rPr>
        <w:t>REFERENCES:</w:t>
      </w:r>
    </w:p>
    <w:p w14:paraId="508172C1" w14:textId="2F549D4C"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Di Vincenzo, F., Del Gaudio, A., Petito, V., Lopetuso, L. R., Scaldaferri, F. Gut microbiota, intestinal permeability, and systemic inflammation: </w:t>
      </w:r>
      <w:r w:rsidR="006430BE">
        <w:rPr>
          <w:rFonts w:ascii="Calibri" w:hAnsi="Calibri" w:cs="Calibri"/>
        </w:rPr>
        <w:t>A</w:t>
      </w:r>
      <w:r w:rsidRPr="0037447F">
        <w:rPr>
          <w:rFonts w:ascii="Calibri" w:hAnsi="Calibri" w:cs="Calibri"/>
        </w:rPr>
        <w:t xml:space="preserve"> narrative review. </w:t>
      </w:r>
      <w:r w:rsidRPr="0037447F">
        <w:rPr>
          <w:rStyle w:val="Emphasis"/>
          <w:rFonts w:ascii="Calibri" w:eastAsiaTheme="majorEastAsia" w:hAnsi="Calibri" w:cs="Calibri"/>
        </w:rPr>
        <w:t>Intern Emerg Med.</w:t>
      </w:r>
      <w:r w:rsidRPr="0037447F">
        <w:rPr>
          <w:rFonts w:ascii="Calibri" w:hAnsi="Calibri" w:cs="Calibri"/>
        </w:rPr>
        <w:t xml:space="preserve"> </w:t>
      </w:r>
      <w:r w:rsidRPr="0037447F">
        <w:rPr>
          <w:rStyle w:val="Strong"/>
          <w:rFonts w:ascii="Calibri" w:eastAsiaTheme="majorEastAsia" w:hAnsi="Calibri" w:cs="Calibri"/>
        </w:rPr>
        <w:t>19</w:t>
      </w:r>
      <w:r w:rsidRPr="0037447F">
        <w:rPr>
          <w:rFonts w:ascii="Calibri" w:hAnsi="Calibri" w:cs="Calibri"/>
        </w:rPr>
        <w:t xml:space="preserve"> (2), 275–293 (2024).</w:t>
      </w:r>
    </w:p>
    <w:p w14:paraId="111C37F9" w14:textId="4D4EA5B8"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Mu, Q., Kirby, J., Reilly, C. M., Luo, X. M. Leaky gut as a danger signal for autoimmune diseases. </w:t>
      </w:r>
      <w:r w:rsidRPr="0037447F">
        <w:rPr>
          <w:rStyle w:val="Emphasis"/>
          <w:rFonts w:ascii="Calibri" w:eastAsiaTheme="majorEastAsia" w:hAnsi="Calibri" w:cs="Calibri"/>
        </w:rPr>
        <w:t>Front Immunol.</w:t>
      </w:r>
      <w:r w:rsidRPr="0037447F">
        <w:rPr>
          <w:rFonts w:ascii="Calibri" w:hAnsi="Calibri" w:cs="Calibri"/>
        </w:rPr>
        <w:t xml:space="preserve"> </w:t>
      </w:r>
      <w:r w:rsidRPr="0037447F">
        <w:rPr>
          <w:rStyle w:val="Strong"/>
          <w:rFonts w:ascii="Calibri" w:eastAsiaTheme="majorEastAsia" w:hAnsi="Calibri" w:cs="Calibri"/>
        </w:rPr>
        <w:t>8</w:t>
      </w:r>
      <w:r w:rsidRPr="0037447F">
        <w:rPr>
          <w:rFonts w:ascii="Calibri" w:hAnsi="Calibri" w:cs="Calibri"/>
        </w:rPr>
        <w:t xml:space="preserve">, </w:t>
      </w:r>
      <w:r w:rsidR="00A5137A">
        <w:rPr>
          <w:rFonts w:ascii="Calibri" w:hAnsi="Calibri" w:cs="Calibri"/>
        </w:rPr>
        <w:t xml:space="preserve">598 </w:t>
      </w:r>
      <w:r w:rsidRPr="0037447F">
        <w:rPr>
          <w:rFonts w:ascii="Calibri" w:hAnsi="Calibri" w:cs="Calibri"/>
        </w:rPr>
        <w:t>(2017).</w:t>
      </w:r>
    </w:p>
    <w:p w14:paraId="029C077B" w14:textId="38A5CFA4"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Sorini, C. et al. Loss of gut barrier integrity triggers activation of islet-reactive T cells and autoimmune diabetes. </w:t>
      </w:r>
      <w:r w:rsidRPr="0037447F">
        <w:rPr>
          <w:rStyle w:val="Emphasis"/>
          <w:rFonts w:ascii="Calibri" w:eastAsiaTheme="majorEastAsia" w:hAnsi="Calibri" w:cs="Calibri"/>
        </w:rPr>
        <w:t>Proc Natl Acad Sci U S A.</w:t>
      </w:r>
      <w:r w:rsidRPr="0037447F">
        <w:rPr>
          <w:rFonts w:ascii="Calibri" w:hAnsi="Calibri" w:cs="Calibri"/>
        </w:rPr>
        <w:t xml:space="preserve"> </w:t>
      </w:r>
      <w:r w:rsidRPr="0037447F">
        <w:rPr>
          <w:rStyle w:val="Strong"/>
          <w:rFonts w:ascii="Calibri" w:eastAsiaTheme="majorEastAsia" w:hAnsi="Calibri" w:cs="Calibri"/>
        </w:rPr>
        <w:t>116</w:t>
      </w:r>
      <w:r w:rsidRPr="0037447F">
        <w:rPr>
          <w:rFonts w:ascii="Calibri" w:hAnsi="Calibri" w:cs="Calibri"/>
        </w:rPr>
        <w:t xml:space="preserve"> (30), 15140–15149 (2019).</w:t>
      </w:r>
    </w:p>
    <w:p w14:paraId="36D799C1" w14:textId="4C1B8A03"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An, J. et al. The role of intestinal mucosal barrier in autoimmune disease: a potential target. </w:t>
      </w:r>
      <w:r w:rsidRPr="0037447F">
        <w:rPr>
          <w:rStyle w:val="Emphasis"/>
          <w:rFonts w:ascii="Calibri" w:eastAsiaTheme="majorEastAsia" w:hAnsi="Calibri" w:cs="Calibri"/>
        </w:rPr>
        <w:t>Front Immunol.</w:t>
      </w:r>
      <w:r w:rsidRPr="0037447F">
        <w:rPr>
          <w:rFonts w:ascii="Calibri" w:hAnsi="Calibri" w:cs="Calibri"/>
        </w:rPr>
        <w:t xml:space="preserve"> </w:t>
      </w:r>
      <w:r w:rsidRPr="0037447F">
        <w:rPr>
          <w:rStyle w:val="Strong"/>
          <w:rFonts w:ascii="Calibri" w:eastAsiaTheme="majorEastAsia" w:hAnsi="Calibri" w:cs="Calibri"/>
        </w:rPr>
        <w:t>13</w:t>
      </w:r>
      <w:r w:rsidRPr="0037447F">
        <w:rPr>
          <w:rFonts w:ascii="Calibri" w:hAnsi="Calibri" w:cs="Calibri"/>
        </w:rPr>
        <w:t>, 871713 (2022).</w:t>
      </w:r>
    </w:p>
    <w:p w14:paraId="08325111" w14:textId="578A8136"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Picco, P. et al. Increased gut permeability in juvenile chronic arthritides: a multivariate analysis of the diagnostic parameters. </w:t>
      </w:r>
      <w:r w:rsidRPr="0037447F">
        <w:rPr>
          <w:rStyle w:val="Emphasis"/>
          <w:rFonts w:ascii="Calibri" w:eastAsiaTheme="majorEastAsia" w:hAnsi="Calibri" w:cs="Calibri"/>
        </w:rPr>
        <w:t>Clin Exp Rheumatol.</w:t>
      </w:r>
      <w:r w:rsidRPr="0037447F">
        <w:rPr>
          <w:rFonts w:ascii="Calibri" w:hAnsi="Calibri" w:cs="Calibri"/>
        </w:rPr>
        <w:t xml:space="preserve"> </w:t>
      </w:r>
      <w:r w:rsidRPr="0037447F">
        <w:rPr>
          <w:rStyle w:val="Strong"/>
          <w:rFonts w:ascii="Calibri" w:eastAsiaTheme="majorEastAsia" w:hAnsi="Calibri" w:cs="Calibri"/>
        </w:rPr>
        <w:t>18</w:t>
      </w:r>
      <w:r w:rsidRPr="0037447F">
        <w:rPr>
          <w:rFonts w:ascii="Calibri" w:hAnsi="Calibri" w:cs="Calibri"/>
        </w:rPr>
        <w:t xml:space="preserve"> (6), 773–778 (2000).</w:t>
      </w:r>
    </w:p>
    <w:p w14:paraId="0D5CBC64" w14:textId="778BD293"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Dunleavy, K. A., Raffals, L. E., Camilleri, M. Intestinal barrier dysfunction in inflammatory bowel disease: underpinning pathogenesis and therapeutics. </w:t>
      </w:r>
      <w:r w:rsidRPr="0037447F">
        <w:rPr>
          <w:rStyle w:val="Emphasis"/>
          <w:rFonts w:ascii="Calibri" w:eastAsiaTheme="majorEastAsia" w:hAnsi="Calibri" w:cs="Calibri"/>
        </w:rPr>
        <w:t>Dig Dis Sci.</w:t>
      </w:r>
      <w:r w:rsidRPr="0037447F">
        <w:rPr>
          <w:rFonts w:ascii="Calibri" w:hAnsi="Calibri" w:cs="Calibri"/>
        </w:rPr>
        <w:t xml:space="preserve"> </w:t>
      </w:r>
      <w:r w:rsidRPr="0037447F">
        <w:rPr>
          <w:rStyle w:val="Strong"/>
          <w:rFonts w:ascii="Calibri" w:eastAsiaTheme="majorEastAsia" w:hAnsi="Calibri" w:cs="Calibri"/>
        </w:rPr>
        <w:t>68</w:t>
      </w:r>
      <w:r w:rsidRPr="0037447F">
        <w:rPr>
          <w:rFonts w:ascii="Calibri" w:hAnsi="Calibri" w:cs="Calibri"/>
        </w:rPr>
        <w:t xml:space="preserve"> (12), 4306–4320 (2023).</w:t>
      </w:r>
    </w:p>
    <w:p w14:paraId="39B3F92F" w14:textId="4A1A4910"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Borrego-Ruiz, A., Borrego, J. J. Early-life gut microbiome development and its potential long-term impact on health outcomes. </w:t>
      </w:r>
      <w:r w:rsidRPr="0037447F">
        <w:rPr>
          <w:rStyle w:val="Emphasis"/>
          <w:rFonts w:ascii="Calibri" w:eastAsiaTheme="majorEastAsia" w:hAnsi="Calibri" w:cs="Calibri"/>
        </w:rPr>
        <w:t>Microbiome Res Rep.</w:t>
      </w:r>
      <w:r w:rsidRPr="0037447F">
        <w:rPr>
          <w:rFonts w:ascii="Calibri" w:hAnsi="Calibri" w:cs="Calibri"/>
        </w:rPr>
        <w:t xml:space="preserve"> </w:t>
      </w:r>
      <w:r w:rsidRPr="0037447F">
        <w:rPr>
          <w:rStyle w:val="Strong"/>
          <w:rFonts w:ascii="Calibri" w:eastAsiaTheme="majorEastAsia" w:hAnsi="Calibri" w:cs="Calibri"/>
        </w:rPr>
        <w:t>4</w:t>
      </w:r>
      <w:r w:rsidRPr="0037447F">
        <w:rPr>
          <w:rFonts w:ascii="Calibri" w:hAnsi="Calibri" w:cs="Calibri"/>
        </w:rPr>
        <w:t xml:space="preserve"> (2), 20 (2025).</w:t>
      </w:r>
    </w:p>
    <w:p w14:paraId="486B4409" w14:textId="6A525176"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Di Costanzo, M., De Paulis, N., Biasucci, G. Butyrate: </w:t>
      </w:r>
      <w:r w:rsidR="00A5137A">
        <w:rPr>
          <w:rFonts w:ascii="Calibri" w:hAnsi="Calibri" w:cs="Calibri"/>
        </w:rPr>
        <w:t>A</w:t>
      </w:r>
      <w:r w:rsidRPr="0037447F">
        <w:rPr>
          <w:rFonts w:ascii="Calibri" w:hAnsi="Calibri" w:cs="Calibri"/>
        </w:rPr>
        <w:t xml:space="preserve"> link between early life nutrition and gut microbiome in the development of food allergy. </w:t>
      </w:r>
      <w:r w:rsidRPr="0037447F">
        <w:rPr>
          <w:rStyle w:val="Emphasis"/>
          <w:rFonts w:ascii="Calibri" w:eastAsiaTheme="majorEastAsia" w:hAnsi="Calibri" w:cs="Calibri"/>
        </w:rPr>
        <w:t>Life (Basel).</w:t>
      </w:r>
      <w:r w:rsidRPr="0037447F">
        <w:rPr>
          <w:rFonts w:ascii="Calibri" w:hAnsi="Calibri" w:cs="Calibri"/>
        </w:rPr>
        <w:t xml:space="preserve"> </w:t>
      </w:r>
      <w:r w:rsidRPr="0037447F">
        <w:rPr>
          <w:rStyle w:val="Strong"/>
          <w:rFonts w:ascii="Calibri" w:eastAsiaTheme="majorEastAsia" w:hAnsi="Calibri" w:cs="Calibri"/>
        </w:rPr>
        <w:t>11</w:t>
      </w:r>
      <w:r w:rsidRPr="0037447F">
        <w:rPr>
          <w:rFonts w:ascii="Calibri" w:hAnsi="Calibri" w:cs="Calibri"/>
        </w:rPr>
        <w:t xml:space="preserve"> (5), 384 (2021).</w:t>
      </w:r>
    </w:p>
    <w:p w14:paraId="561DDD71" w14:textId="410AC6E9"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Kindgren, E., Ahrens, A. P., Triplett, E. W., Ludvigsson, J. Infant gut microbiota and environment associate with juvenile idiopathic arthritis many years prior to disease onset, especially in genetically vulnerable children. </w:t>
      </w:r>
      <w:r w:rsidRPr="0037447F">
        <w:rPr>
          <w:rStyle w:val="Emphasis"/>
          <w:rFonts w:ascii="Calibri" w:eastAsiaTheme="majorEastAsia" w:hAnsi="Calibri" w:cs="Calibri"/>
        </w:rPr>
        <w:t>eBioMedicine.</w:t>
      </w:r>
      <w:r w:rsidRPr="0037447F">
        <w:rPr>
          <w:rFonts w:ascii="Calibri" w:hAnsi="Calibri" w:cs="Calibri"/>
        </w:rPr>
        <w:t xml:space="preserve"> </w:t>
      </w:r>
      <w:r w:rsidRPr="0037447F">
        <w:rPr>
          <w:rStyle w:val="Strong"/>
          <w:rFonts w:ascii="Calibri" w:eastAsiaTheme="majorEastAsia" w:hAnsi="Calibri" w:cs="Calibri"/>
        </w:rPr>
        <w:t>93</w:t>
      </w:r>
      <w:r w:rsidRPr="0037447F">
        <w:rPr>
          <w:rFonts w:ascii="Calibri" w:hAnsi="Calibri" w:cs="Calibri"/>
        </w:rPr>
        <w:t>, 104654 (2023).</w:t>
      </w:r>
    </w:p>
    <w:p w14:paraId="52C51F87" w14:textId="557D9E67"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Borowitz, S. M. The epidemiology of inflammatory bowel disease: clues to pathogenesis? </w:t>
      </w:r>
      <w:r w:rsidRPr="0037447F">
        <w:rPr>
          <w:rStyle w:val="Emphasis"/>
          <w:rFonts w:ascii="Calibri" w:eastAsiaTheme="majorEastAsia" w:hAnsi="Calibri" w:cs="Calibri"/>
        </w:rPr>
        <w:t>Front Pediatr.</w:t>
      </w:r>
      <w:r w:rsidRPr="0037447F">
        <w:rPr>
          <w:rFonts w:ascii="Calibri" w:hAnsi="Calibri" w:cs="Calibri"/>
        </w:rPr>
        <w:t xml:space="preserve"> </w:t>
      </w:r>
      <w:r w:rsidRPr="0037447F">
        <w:rPr>
          <w:rStyle w:val="Strong"/>
          <w:rFonts w:ascii="Calibri" w:eastAsiaTheme="majorEastAsia" w:hAnsi="Calibri" w:cs="Calibri"/>
        </w:rPr>
        <w:t>10</w:t>
      </w:r>
      <w:r w:rsidRPr="0037447F">
        <w:rPr>
          <w:rFonts w:ascii="Calibri" w:hAnsi="Calibri" w:cs="Calibri"/>
        </w:rPr>
        <w:t>, 1103713 (2023).</w:t>
      </w:r>
    </w:p>
    <w:p w14:paraId="6F5751F6" w14:textId="2A7EF4E5"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Leete, P.</w:t>
      </w:r>
      <w:r w:rsidR="004A787C">
        <w:rPr>
          <w:rFonts w:ascii="Calibri" w:hAnsi="Calibri" w:cs="Calibri"/>
        </w:rPr>
        <w:t xml:space="preserve"> et al</w:t>
      </w:r>
      <w:r w:rsidRPr="0037447F">
        <w:rPr>
          <w:rFonts w:ascii="Calibri" w:hAnsi="Calibri" w:cs="Calibri"/>
        </w:rPr>
        <w:t xml:space="preserve">. The effect of age on the progression and severity of type 1 diabetes: potential effects on disease mechanisms. </w:t>
      </w:r>
      <w:r w:rsidRPr="0037447F">
        <w:rPr>
          <w:rStyle w:val="Emphasis"/>
          <w:rFonts w:ascii="Calibri" w:eastAsiaTheme="majorEastAsia" w:hAnsi="Calibri" w:cs="Calibri"/>
        </w:rPr>
        <w:t>Curr Diab Rep.</w:t>
      </w:r>
      <w:r w:rsidRPr="0037447F">
        <w:rPr>
          <w:rFonts w:ascii="Calibri" w:hAnsi="Calibri" w:cs="Calibri"/>
        </w:rPr>
        <w:t xml:space="preserve"> </w:t>
      </w:r>
      <w:r w:rsidRPr="0037447F">
        <w:rPr>
          <w:rStyle w:val="Strong"/>
          <w:rFonts w:ascii="Calibri" w:eastAsiaTheme="majorEastAsia" w:hAnsi="Calibri" w:cs="Calibri"/>
        </w:rPr>
        <w:t>18</w:t>
      </w:r>
      <w:r w:rsidRPr="0037447F">
        <w:rPr>
          <w:rFonts w:ascii="Calibri" w:hAnsi="Calibri" w:cs="Calibri"/>
        </w:rPr>
        <w:t xml:space="preserve"> (11), 115 (2018).</w:t>
      </w:r>
    </w:p>
    <w:p w14:paraId="03F034FF" w14:textId="3289401F"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Francis, F. et al. Probiotic studies in neonatal mice using gavage. </w:t>
      </w:r>
      <w:r w:rsidRPr="0037447F">
        <w:rPr>
          <w:rStyle w:val="Emphasis"/>
          <w:rFonts w:ascii="Calibri" w:eastAsiaTheme="majorEastAsia" w:hAnsi="Calibri" w:cs="Calibri"/>
        </w:rPr>
        <w:t>J Vis Exp.</w:t>
      </w:r>
      <w:r w:rsidRPr="0037447F">
        <w:rPr>
          <w:rFonts w:ascii="Calibri" w:hAnsi="Calibri" w:cs="Calibri"/>
        </w:rPr>
        <w:t xml:space="preserve"> </w:t>
      </w:r>
      <w:r w:rsidRPr="00391555">
        <w:rPr>
          <w:rFonts w:ascii="Calibri" w:hAnsi="Calibri" w:cs="Calibri"/>
          <w:b/>
          <w:bCs/>
        </w:rPr>
        <w:t>143</w:t>
      </w:r>
      <w:r w:rsidRPr="0037447F">
        <w:rPr>
          <w:rFonts w:ascii="Calibri" w:hAnsi="Calibri" w:cs="Calibri"/>
        </w:rPr>
        <w:t>, e59074 (2019).</w:t>
      </w:r>
    </w:p>
    <w:p w14:paraId="312DBA08" w14:textId="667D7B5E"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McClain, R. M. et al. Neonatal mouse model: review of methods and results. </w:t>
      </w:r>
      <w:r w:rsidRPr="0037447F">
        <w:rPr>
          <w:rStyle w:val="Emphasis"/>
          <w:rFonts w:ascii="Calibri" w:eastAsiaTheme="majorEastAsia" w:hAnsi="Calibri" w:cs="Calibri"/>
        </w:rPr>
        <w:t>Toxicol Pathol.</w:t>
      </w:r>
      <w:r w:rsidRPr="0037447F">
        <w:rPr>
          <w:rFonts w:ascii="Calibri" w:hAnsi="Calibri" w:cs="Calibri"/>
        </w:rPr>
        <w:t xml:space="preserve"> </w:t>
      </w:r>
      <w:r w:rsidRPr="0037447F">
        <w:rPr>
          <w:rStyle w:val="Strong"/>
          <w:rFonts w:ascii="Calibri" w:eastAsiaTheme="majorEastAsia" w:hAnsi="Calibri" w:cs="Calibri"/>
        </w:rPr>
        <w:t>29</w:t>
      </w:r>
      <w:r w:rsidR="00391555">
        <w:rPr>
          <w:rFonts w:ascii="Calibri" w:hAnsi="Calibri" w:cs="Calibri"/>
        </w:rPr>
        <w:t xml:space="preserve">, </w:t>
      </w:r>
      <w:r w:rsidRPr="0037447F">
        <w:rPr>
          <w:rFonts w:ascii="Calibri" w:hAnsi="Calibri" w:cs="Calibri"/>
        </w:rPr>
        <w:t>Suppl 128–137 (2001).</w:t>
      </w:r>
    </w:p>
    <w:p w14:paraId="4246A2DE" w14:textId="3BE1730B"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Thomson, A. et al. The Ussing chamber system for measuring intestinal permeability in health and disease. </w:t>
      </w:r>
      <w:r w:rsidRPr="0037447F">
        <w:rPr>
          <w:rStyle w:val="Emphasis"/>
          <w:rFonts w:ascii="Calibri" w:eastAsiaTheme="majorEastAsia" w:hAnsi="Calibri" w:cs="Calibri"/>
        </w:rPr>
        <w:t>BMC Gastroenterol.</w:t>
      </w:r>
      <w:r w:rsidRPr="0037447F">
        <w:rPr>
          <w:rFonts w:ascii="Calibri" w:hAnsi="Calibri" w:cs="Calibri"/>
        </w:rPr>
        <w:t xml:space="preserve"> </w:t>
      </w:r>
      <w:r w:rsidRPr="0037447F">
        <w:rPr>
          <w:rStyle w:val="Strong"/>
          <w:rFonts w:ascii="Calibri" w:eastAsiaTheme="majorEastAsia" w:hAnsi="Calibri" w:cs="Calibri"/>
        </w:rPr>
        <w:t>19</w:t>
      </w:r>
      <w:r w:rsidRPr="0037447F">
        <w:rPr>
          <w:rFonts w:ascii="Calibri" w:hAnsi="Calibri" w:cs="Calibri"/>
        </w:rPr>
        <w:t>, 98 (2019).</w:t>
      </w:r>
    </w:p>
    <w:p w14:paraId="2AE2EFF2" w14:textId="530736E0"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Clarke, L. L. A guide to Ussing chamber studies of mouse intestine. </w:t>
      </w:r>
      <w:r w:rsidRPr="0037447F">
        <w:rPr>
          <w:rStyle w:val="Emphasis"/>
          <w:rFonts w:ascii="Calibri" w:eastAsiaTheme="majorEastAsia" w:hAnsi="Calibri" w:cs="Calibri"/>
        </w:rPr>
        <w:t>Am J Physiol Gastrointest Liver Physiol.</w:t>
      </w:r>
      <w:r w:rsidRPr="0037447F">
        <w:rPr>
          <w:rFonts w:ascii="Calibri" w:hAnsi="Calibri" w:cs="Calibri"/>
        </w:rPr>
        <w:t xml:space="preserve"> </w:t>
      </w:r>
      <w:r w:rsidRPr="0037447F">
        <w:rPr>
          <w:rStyle w:val="Strong"/>
          <w:rFonts w:ascii="Calibri" w:eastAsiaTheme="majorEastAsia" w:hAnsi="Calibri" w:cs="Calibri"/>
        </w:rPr>
        <w:t>296</w:t>
      </w:r>
      <w:r w:rsidRPr="0037447F">
        <w:rPr>
          <w:rFonts w:ascii="Calibri" w:hAnsi="Calibri" w:cs="Calibri"/>
        </w:rPr>
        <w:t xml:space="preserve"> (6), G1151–G1166 (2009).</w:t>
      </w:r>
    </w:p>
    <w:p w14:paraId="5F1BF3D3" w14:textId="56D10CF6"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lastRenderedPageBreak/>
        <w:t xml:space="preserve">Westerhout, J., Wortelboer, H., Verhoeckx, K. Ussing chamber. In: </w:t>
      </w:r>
      <w:r w:rsidRPr="0037447F">
        <w:rPr>
          <w:rStyle w:val="Emphasis"/>
          <w:rFonts w:ascii="Calibri" w:eastAsiaTheme="majorEastAsia" w:hAnsi="Calibri" w:cs="Calibri"/>
        </w:rPr>
        <w:t>The Impact of Food Bioactives on Health: in vitro and ex vivo models.</w:t>
      </w:r>
      <w:r w:rsidRPr="0037447F">
        <w:rPr>
          <w:rFonts w:ascii="Calibri" w:hAnsi="Calibri" w:cs="Calibri"/>
        </w:rPr>
        <w:t xml:space="preserve"> (2015).</w:t>
      </w:r>
    </w:p>
    <w:p w14:paraId="4E65C87B" w14:textId="2CD9BB84"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Hempstock, W., Ishizuka, N., Hayashi, H. Functional assessment of intestinal tight junction barrier and ion permeability in native tissue by Ussing chamber technique. </w:t>
      </w:r>
      <w:r w:rsidRPr="0037447F">
        <w:rPr>
          <w:rStyle w:val="Emphasis"/>
          <w:rFonts w:ascii="Calibri" w:eastAsiaTheme="majorEastAsia" w:hAnsi="Calibri" w:cs="Calibri"/>
        </w:rPr>
        <w:t>J Vis Exp.</w:t>
      </w:r>
      <w:r w:rsidRPr="0037447F">
        <w:rPr>
          <w:rFonts w:ascii="Calibri" w:hAnsi="Calibri" w:cs="Calibri"/>
        </w:rPr>
        <w:t xml:space="preserve"> </w:t>
      </w:r>
      <w:r w:rsidRPr="00391555">
        <w:rPr>
          <w:rFonts w:ascii="Calibri" w:hAnsi="Calibri" w:cs="Calibri"/>
          <w:b/>
          <w:bCs/>
        </w:rPr>
        <w:t>171</w:t>
      </w:r>
      <w:r w:rsidRPr="0037447F">
        <w:rPr>
          <w:rFonts w:ascii="Calibri" w:hAnsi="Calibri" w:cs="Calibri"/>
        </w:rPr>
        <w:t>, e62468 (2021).</w:t>
      </w:r>
    </w:p>
    <w:p w14:paraId="31C906ED" w14:textId="51CCFC14"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Sjögren, E., Eriksson, J., Vedin, C., Breitholtz, K., Hilgendorf, C. Excised segments of rat small intestine in Ussing chamber studies: </w:t>
      </w:r>
      <w:r w:rsidR="00391555">
        <w:rPr>
          <w:rFonts w:ascii="Calibri" w:hAnsi="Calibri" w:cs="Calibri"/>
        </w:rPr>
        <w:t>A</w:t>
      </w:r>
      <w:r w:rsidRPr="0037447F">
        <w:rPr>
          <w:rFonts w:ascii="Calibri" w:hAnsi="Calibri" w:cs="Calibri"/>
        </w:rPr>
        <w:t xml:space="preserve"> comparison of native and stripped tissue viability and permeability to drugs. </w:t>
      </w:r>
      <w:r w:rsidRPr="0037447F">
        <w:rPr>
          <w:rStyle w:val="Emphasis"/>
          <w:rFonts w:ascii="Calibri" w:eastAsiaTheme="majorEastAsia" w:hAnsi="Calibri" w:cs="Calibri"/>
        </w:rPr>
        <w:t>Int J Pharm.</w:t>
      </w:r>
      <w:r w:rsidRPr="0037447F">
        <w:rPr>
          <w:rFonts w:ascii="Calibri" w:hAnsi="Calibri" w:cs="Calibri"/>
        </w:rPr>
        <w:t xml:space="preserve"> </w:t>
      </w:r>
      <w:r w:rsidRPr="0037447F">
        <w:rPr>
          <w:rStyle w:val="Strong"/>
          <w:rFonts w:ascii="Calibri" w:eastAsiaTheme="majorEastAsia" w:hAnsi="Calibri" w:cs="Calibri"/>
        </w:rPr>
        <w:t>505</w:t>
      </w:r>
      <w:r w:rsidRPr="0037447F">
        <w:rPr>
          <w:rFonts w:ascii="Calibri" w:hAnsi="Calibri" w:cs="Calibri"/>
        </w:rPr>
        <w:t xml:space="preserve"> (1), 361–368 (2016).</w:t>
      </w:r>
    </w:p>
    <w:p w14:paraId="081B8FB0" w14:textId="28B20BD0"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 xml:space="preserve">Moussaoui, N. et al. Changes in intestinal glucocorticoid sensitivity in early life shape the risk of epithelial barrier defect in maternal-deprived rats. </w:t>
      </w:r>
      <w:r w:rsidRPr="0037447F">
        <w:rPr>
          <w:rStyle w:val="Emphasis"/>
          <w:rFonts w:ascii="Calibri" w:eastAsiaTheme="majorEastAsia" w:hAnsi="Calibri" w:cs="Calibri"/>
        </w:rPr>
        <w:t>PLoS One.</w:t>
      </w:r>
      <w:r w:rsidRPr="0037447F">
        <w:rPr>
          <w:rFonts w:ascii="Calibri" w:hAnsi="Calibri" w:cs="Calibri"/>
        </w:rPr>
        <w:t xml:space="preserve"> </w:t>
      </w:r>
      <w:r w:rsidRPr="0037447F">
        <w:rPr>
          <w:rStyle w:val="Strong"/>
          <w:rFonts w:ascii="Calibri" w:eastAsiaTheme="majorEastAsia" w:hAnsi="Calibri" w:cs="Calibri"/>
        </w:rPr>
        <w:t>9</w:t>
      </w:r>
      <w:r w:rsidRPr="0037447F">
        <w:rPr>
          <w:rFonts w:ascii="Calibri" w:hAnsi="Calibri" w:cs="Calibri"/>
        </w:rPr>
        <w:t xml:space="preserve"> (2), e88382 (2014).</w:t>
      </w:r>
    </w:p>
    <w:p w14:paraId="24640165" w14:textId="61BA1D7A" w:rsidR="0037447F" w:rsidRPr="0037447F" w:rsidRDefault="0037447F" w:rsidP="0037447F">
      <w:pPr>
        <w:pStyle w:val="NormalWeb"/>
        <w:numPr>
          <w:ilvl w:val="0"/>
          <w:numId w:val="39"/>
        </w:numPr>
        <w:spacing w:before="0" w:beforeAutospacing="0" w:after="0" w:afterAutospacing="0"/>
        <w:ind w:left="0" w:firstLine="0"/>
        <w:jc w:val="both"/>
        <w:rPr>
          <w:rFonts w:ascii="Calibri" w:hAnsi="Calibri" w:cs="Calibri"/>
        </w:rPr>
      </w:pPr>
      <w:r w:rsidRPr="0037447F">
        <w:rPr>
          <w:rFonts w:ascii="Calibri" w:hAnsi="Calibri" w:cs="Calibri"/>
        </w:rPr>
        <w:t>Gleeson, J. P.</w:t>
      </w:r>
      <w:r w:rsidR="001B45CC">
        <w:rPr>
          <w:rFonts w:ascii="Calibri" w:hAnsi="Calibri" w:cs="Calibri"/>
        </w:rPr>
        <w:t xml:space="preserve"> et al</w:t>
      </w:r>
      <w:r w:rsidRPr="0037447F">
        <w:rPr>
          <w:rFonts w:ascii="Calibri" w:hAnsi="Calibri" w:cs="Calibri"/>
        </w:rPr>
        <w:t xml:space="preserve">. The enhanced intestinal permeability of infant mice enables oral protein and macromolecular absorption without delivery technology. </w:t>
      </w:r>
      <w:r w:rsidRPr="0037447F">
        <w:rPr>
          <w:rStyle w:val="Emphasis"/>
          <w:rFonts w:ascii="Calibri" w:eastAsiaTheme="majorEastAsia" w:hAnsi="Calibri" w:cs="Calibri"/>
        </w:rPr>
        <w:t>Int J Pharm.</w:t>
      </w:r>
      <w:r w:rsidRPr="0037447F">
        <w:rPr>
          <w:rFonts w:ascii="Calibri" w:hAnsi="Calibri" w:cs="Calibri"/>
        </w:rPr>
        <w:t xml:space="preserve"> </w:t>
      </w:r>
      <w:r w:rsidRPr="0037447F">
        <w:rPr>
          <w:rStyle w:val="Strong"/>
          <w:rFonts w:ascii="Calibri" w:eastAsiaTheme="majorEastAsia" w:hAnsi="Calibri" w:cs="Calibri"/>
        </w:rPr>
        <w:t>593</w:t>
      </w:r>
      <w:r w:rsidRPr="0037447F">
        <w:rPr>
          <w:rFonts w:ascii="Calibri" w:hAnsi="Calibri" w:cs="Calibri"/>
        </w:rPr>
        <w:t>, 120120 (2021).</w:t>
      </w:r>
    </w:p>
    <w:p w14:paraId="1119F92E" w14:textId="28A63965" w:rsidR="0037447F" w:rsidRPr="00804892" w:rsidRDefault="0037447F" w:rsidP="001654C4">
      <w:pPr>
        <w:pStyle w:val="NormalWeb"/>
        <w:numPr>
          <w:ilvl w:val="0"/>
          <w:numId w:val="39"/>
        </w:numPr>
        <w:spacing w:before="0" w:beforeAutospacing="0" w:after="0" w:afterAutospacing="0"/>
        <w:ind w:left="0" w:firstLine="0"/>
        <w:jc w:val="both"/>
        <w:rPr>
          <w:rFonts w:ascii="Calibri" w:hAnsi="Calibri" w:cs="Calibri"/>
          <w:b/>
          <w:bCs/>
        </w:rPr>
      </w:pPr>
      <w:r w:rsidRPr="00804892">
        <w:rPr>
          <w:rFonts w:ascii="Calibri" w:hAnsi="Calibri" w:cs="Calibri"/>
        </w:rPr>
        <w:t xml:space="preserve">Birchenough, G. M. H. et al. Postnatal development of the small intestinal mucosa drives age-dependent, regio-selective susceptibility to </w:t>
      </w:r>
      <w:r w:rsidRPr="00804892">
        <w:rPr>
          <w:rStyle w:val="Emphasis"/>
          <w:rFonts w:ascii="Calibri" w:eastAsiaTheme="majorEastAsia" w:hAnsi="Calibri" w:cs="Calibri"/>
        </w:rPr>
        <w:t>Escherichia coli</w:t>
      </w:r>
      <w:r w:rsidRPr="00804892">
        <w:rPr>
          <w:rFonts w:ascii="Calibri" w:hAnsi="Calibri" w:cs="Calibri"/>
        </w:rPr>
        <w:t xml:space="preserve"> K1 infection. </w:t>
      </w:r>
      <w:r w:rsidRPr="00804892">
        <w:rPr>
          <w:rStyle w:val="Emphasis"/>
          <w:rFonts w:ascii="Calibri" w:eastAsiaTheme="majorEastAsia" w:hAnsi="Calibri" w:cs="Calibri"/>
        </w:rPr>
        <w:t>Sci Rep.</w:t>
      </w:r>
      <w:r w:rsidRPr="00804892">
        <w:rPr>
          <w:rFonts w:ascii="Calibri" w:hAnsi="Calibri" w:cs="Calibri"/>
        </w:rPr>
        <w:t xml:space="preserve"> </w:t>
      </w:r>
      <w:r w:rsidRPr="00804892">
        <w:rPr>
          <w:rStyle w:val="Strong"/>
          <w:rFonts w:ascii="Calibri" w:eastAsiaTheme="majorEastAsia" w:hAnsi="Calibri" w:cs="Calibri"/>
        </w:rPr>
        <w:t>7</w:t>
      </w:r>
      <w:r w:rsidRPr="00804892">
        <w:rPr>
          <w:rFonts w:ascii="Calibri" w:hAnsi="Calibri" w:cs="Calibri"/>
        </w:rPr>
        <w:t xml:space="preserve"> (1), 83 (2017).</w:t>
      </w:r>
    </w:p>
    <w:sectPr w:rsidR="0037447F" w:rsidRPr="00804892" w:rsidSect="008376FB">
      <w:pgSz w:w="12240" w:h="15840" w:code="1"/>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7D6"/>
    <w:multiLevelType w:val="hybridMultilevel"/>
    <w:tmpl w:val="8130A97A"/>
    <w:lvl w:ilvl="0" w:tplc="FFFFFFFF">
      <w:start w:val="1"/>
      <w:numFmt w:val="decimal"/>
      <w:lvlText w:val="%1."/>
      <w:lvlJc w:val="left"/>
      <w:pPr>
        <w:ind w:left="720" w:hanging="360"/>
      </w:pPr>
    </w:lvl>
    <w:lvl w:ilvl="1" w:tplc="040C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D29EA"/>
    <w:multiLevelType w:val="hybridMultilevel"/>
    <w:tmpl w:val="783C14B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B31751"/>
    <w:multiLevelType w:val="multilevel"/>
    <w:tmpl w:val="7A687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76E01"/>
    <w:multiLevelType w:val="multilevel"/>
    <w:tmpl w:val="C63E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21DD6"/>
    <w:multiLevelType w:val="hybridMultilevel"/>
    <w:tmpl w:val="297CE3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C630FD"/>
    <w:multiLevelType w:val="multilevel"/>
    <w:tmpl w:val="ECE242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F621B"/>
    <w:multiLevelType w:val="hybridMultilevel"/>
    <w:tmpl w:val="74660C66"/>
    <w:lvl w:ilvl="0" w:tplc="7FA45C2C">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D0400D"/>
    <w:multiLevelType w:val="multilevel"/>
    <w:tmpl w:val="D036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932CA"/>
    <w:multiLevelType w:val="multilevel"/>
    <w:tmpl w:val="1D606E62"/>
    <w:lvl w:ilvl="0">
      <w:start w:val="1"/>
      <w:numFmt w:val="decimal"/>
      <w:lvlText w:val="%1."/>
      <w:lvlJc w:val="left"/>
      <w:pPr>
        <w:ind w:left="1068" w:hanging="360"/>
      </w:pPr>
      <w:rPr>
        <w:rFonts w:hint="default"/>
        <w:b w:val="0"/>
        <w:bCs w:val="0"/>
      </w:rPr>
    </w:lvl>
    <w:lvl w:ilvl="1">
      <w:start w:val="1"/>
      <w:numFmt w:val="decimal"/>
      <w:lvlText w:val="%1.%2."/>
      <w:lvlJc w:val="left"/>
      <w:pPr>
        <w:ind w:left="1500" w:hanging="432"/>
      </w:pPr>
      <w:rPr>
        <w:rFonts w:hint="default"/>
        <w:b w:val="0"/>
        <w:bCs w:val="0"/>
      </w:rPr>
    </w:lvl>
    <w:lvl w:ilvl="2">
      <w:start w:val="1"/>
      <w:numFmt w:val="decimal"/>
      <w:lvlText w:val="%1.%2.%3."/>
      <w:lvlJc w:val="left"/>
      <w:pPr>
        <w:ind w:left="1932" w:hanging="504"/>
      </w:pPr>
      <w:rPr>
        <w:rFonts w:hint="default"/>
      </w:rPr>
    </w:lvl>
    <w:lvl w:ilvl="3">
      <w:start w:val="1"/>
      <w:numFmt w:val="decimal"/>
      <w:lvlText w:val="%1.%2.%3.%4."/>
      <w:lvlJc w:val="left"/>
      <w:pPr>
        <w:ind w:left="2012" w:hanging="224"/>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 w15:restartNumberingAfterBreak="0">
    <w:nsid w:val="1E777836"/>
    <w:multiLevelType w:val="hybridMultilevel"/>
    <w:tmpl w:val="8B12CC14"/>
    <w:lvl w:ilvl="0" w:tplc="FFFFFFF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BC09CF"/>
    <w:multiLevelType w:val="multilevel"/>
    <w:tmpl w:val="36F2479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CD4908"/>
    <w:multiLevelType w:val="hybridMultilevel"/>
    <w:tmpl w:val="F4CCF604"/>
    <w:lvl w:ilvl="0" w:tplc="2154F54C">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BEE05DF"/>
    <w:multiLevelType w:val="hybridMultilevel"/>
    <w:tmpl w:val="4C40988C"/>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3A5E25"/>
    <w:multiLevelType w:val="multilevel"/>
    <w:tmpl w:val="4ECEBDD2"/>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304" w:hanging="22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98452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E1092F"/>
    <w:multiLevelType w:val="multilevel"/>
    <w:tmpl w:val="456493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304" w:hanging="22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A22823"/>
    <w:multiLevelType w:val="multilevel"/>
    <w:tmpl w:val="12521A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74" w:hanging="75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675742"/>
    <w:multiLevelType w:val="multilevel"/>
    <w:tmpl w:val="7B1091AE"/>
    <w:lvl w:ilvl="0">
      <w:start w:val="1"/>
      <w:numFmt w:val="lowerLetter"/>
      <w:lvlText w:val="(%1)"/>
      <w:lvlJc w:val="left"/>
      <w:pPr>
        <w:tabs>
          <w:tab w:val="num" w:pos="720"/>
        </w:tabs>
        <w:ind w:left="720" w:hanging="360"/>
      </w:pPr>
      <w:rPr>
        <w:rFonts w:hint="default"/>
      </w:rPr>
    </w:lvl>
    <w:lvl w:ilvl="1">
      <w:start w:val="16"/>
      <w:numFmt w:val="decimal"/>
      <w:lvlText w:val="%2."/>
      <w:lvlJc w:val="left"/>
      <w:pPr>
        <w:ind w:left="1440" w:hanging="360"/>
      </w:pPr>
      <w:rPr>
        <w:rFonts w:hint="default"/>
      </w:rPr>
    </w:lvl>
    <w:lvl w:ilvl="2">
      <w:start w:val="16"/>
      <w:numFmt w:val="decimal"/>
      <w:lvlText w:val="%3."/>
      <w:lvlJc w:val="left"/>
      <w:pPr>
        <w:tabs>
          <w:tab w:val="num" w:pos="2160"/>
        </w:tabs>
        <w:ind w:left="2160" w:hanging="360"/>
      </w:pPr>
      <w:rPr>
        <w:rFonts w:ascii="Calibri" w:eastAsiaTheme="minorHAnsi" w:hAnsi="Calibri" w:cs="Calibri"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3706DA1"/>
    <w:multiLevelType w:val="hybridMultilevel"/>
    <w:tmpl w:val="23725660"/>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E29352F"/>
    <w:multiLevelType w:val="multilevel"/>
    <w:tmpl w:val="456493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304" w:hanging="22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7F317C"/>
    <w:multiLevelType w:val="hybridMultilevel"/>
    <w:tmpl w:val="4F668A80"/>
    <w:lvl w:ilvl="0" w:tplc="6A00E574">
      <w:start w:val="1"/>
      <w:numFmt w:val="decimal"/>
      <w:lvlText w:val="%1."/>
      <w:lvlJc w:val="left"/>
      <w:pPr>
        <w:ind w:left="76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846638"/>
    <w:multiLevelType w:val="multilevel"/>
    <w:tmpl w:val="ECE242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EBA684D"/>
    <w:multiLevelType w:val="hybridMultilevel"/>
    <w:tmpl w:val="C794FCA2"/>
    <w:lvl w:ilvl="0" w:tplc="B768A40A">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1372D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794012D"/>
    <w:multiLevelType w:val="multilevel"/>
    <w:tmpl w:val="ECE242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A104D1"/>
    <w:multiLevelType w:val="multilevel"/>
    <w:tmpl w:val="FD147C96"/>
    <w:lvl w:ilvl="0">
      <w:start w:val="9"/>
      <w:numFmt w:val="decimal"/>
      <w:lvlText w:val="%1."/>
      <w:lvlJc w:val="left"/>
      <w:pPr>
        <w:tabs>
          <w:tab w:val="num" w:pos="720"/>
        </w:tabs>
        <w:ind w:left="720" w:hanging="360"/>
      </w:pPr>
      <w:rPr>
        <w:rFonts w:hint="default"/>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1357384"/>
    <w:multiLevelType w:val="hybridMultilevel"/>
    <w:tmpl w:val="CD8C2DDA"/>
    <w:lvl w:ilvl="0" w:tplc="6A00E574">
      <w:start w:val="1"/>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7" w15:restartNumberingAfterBreak="0">
    <w:nsid w:val="63394006"/>
    <w:multiLevelType w:val="multilevel"/>
    <w:tmpl w:val="36F2479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F124C7"/>
    <w:multiLevelType w:val="multilevel"/>
    <w:tmpl w:val="ECE242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5F749B"/>
    <w:multiLevelType w:val="multilevel"/>
    <w:tmpl w:val="013E1C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71" w:hanging="7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8B24CD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A2B3D4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A14556"/>
    <w:multiLevelType w:val="hybridMultilevel"/>
    <w:tmpl w:val="90A47CD8"/>
    <w:lvl w:ilvl="0" w:tplc="6A00E574">
      <w:start w:val="1"/>
      <w:numFmt w:val="decimal"/>
      <w:lvlText w:val="%1."/>
      <w:lvlJc w:val="left"/>
      <w:pPr>
        <w:ind w:left="76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E79680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2C0A3E"/>
    <w:multiLevelType w:val="multilevel"/>
    <w:tmpl w:val="36F2479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0A7AC7"/>
    <w:multiLevelType w:val="multilevel"/>
    <w:tmpl w:val="36F2479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DA4003"/>
    <w:multiLevelType w:val="multilevel"/>
    <w:tmpl w:val="3B28C20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B17F8A"/>
    <w:multiLevelType w:val="multilevel"/>
    <w:tmpl w:val="ECE242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635438"/>
    <w:multiLevelType w:val="multilevel"/>
    <w:tmpl w:val="ECE242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6174150">
    <w:abstractNumId w:val="29"/>
  </w:num>
  <w:num w:numId="2" w16cid:durableId="1545676308">
    <w:abstractNumId w:val="12"/>
  </w:num>
  <w:num w:numId="3" w16cid:durableId="1195386817">
    <w:abstractNumId w:val="14"/>
  </w:num>
  <w:num w:numId="4" w16cid:durableId="1294100307">
    <w:abstractNumId w:val="23"/>
  </w:num>
  <w:num w:numId="5" w16cid:durableId="181480614">
    <w:abstractNumId w:val="30"/>
  </w:num>
  <w:num w:numId="6" w16cid:durableId="191188973">
    <w:abstractNumId w:val="31"/>
  </w:num>
  <w:num w:numId="7" w16cid:durableId="1463304626">
    <w:abstractNumId w:val="22"/>
  </w:num>
  <w:num w:numId="8" w16cid:durableId="598372963">
    <w:abstractNumId w:val="6"/>
  </w:num>
  <w:num w:numId="9" w16cid:durableId="683821527">
    <w:abstractNumId w:val="11"/>
  </w:num>
  <w:num w:numId="10" w16cid:durableId="833494468">
    <w:abstractNumId w:val="33"/>
  </w:num>
  <w:num w:numId="11" w16cid:durableId="437725010">
    <w:abstractNumId w:val="3"/>
  </w:num>
  <w:num w:numId="12" w16cid:durableId="587736759">
    <w:abstractNumId w:val="34"/>
  </w:num>
  <w:num w:numId="13" w16cid:durableId="1415711396">
    <w:abstractNumId w:val="27"/>
  </w:num>
  <w:num w:numId="14" w16cid:durableId="1876693745">
    <w:abstractNumId w:val="25"/>
  </w:num>
  <w:num w:numId="15" w16cid:durableId="125002997">
    <w:abstractNumId w:val="35"/>
  </w:num>
  <w:num w:numId="16" w16cid:durableId="334118254">
    <w:abstractNumId w:val="9"/>
  </w:num>
  <w:num w:numId="17" w16cid:durableId="983660722">
    <w:abstractNumId w:val="0"/>
  </w:num>
  <w:num w:numId="18" w16cid:durableId="776411262">
    <w:abstractNumId w:val="38"/>
  </w:num>
  <w:num w:numId="19" w16cid:durableId="640116533">
    <w:abstractNumId w:val="10"/>
  </w:num>
  <w:num w:numId="20" w16cid:durableId="297806917">
    <w:abstractNumId w:val="21"/>
  </w:num>
  <w:num w:numId="21" w16cid:durableId="1802579344">
    <w:abstractNumId w:val="28"/>
  </w:num>
  <w:num w:numId="22" w16cid:durableId="53629007">
    <w:abstractNumId w:val="5"/>
  </w:num>
  <w:num w:numId="23" w16cid:durableId="217131371">
    <w:abstractNumId w:val="16"/>
  </w:num>
  <w:num w:numId="24" w16cid:durableId="429277449">
    <w:abstractNumId w:val="24"/>
  </w:num>
  <w:num w:numId="25" w16cid:durableId="799693722">
    <w:abstractNumId w:val="37"/>
  </w:num>
  <w:num w:numId="26" w16cid:durableId="1461804815">
    <w:abstractNumId w:val="19"/>
  </w:num>
  <w:num w:numId="27" w16cid:durableId="1747024094">
    <w:abstractNumId w:val="26"/>
  </w:num>
  <w:num w:numId="28" w16cid:durableId="393236104">
    <w:abstractNumId w:val="32"/>
  </w:num>
  <w:num w:numId="29" w16cid:durableId="685903634">
    <w:abstractNumId w:val="20"/>
  </w:num>
  <w:num w:numId="30" w16cid:durableId="1998342795">
    <w:abstractNumId w:val="18"/>
  </w:num>
  <w:num w:numId="31" w16cid:durableId="871528191">
    <w:abstractNumId w:val="13"/>
  </w:num>
  <w:num w:numId="32" w16cid:durableId="13114600">
    <w:abstractNumId w:val="15"/>
  </w:num>
  <w:num w:numId="33" w16cid:durableId="2086342638">
    <w:abstractNumId w:val="8"/>
  </w:num>
  <w:num w:numId="34" w16cid:durableId="1875651142">
    <w:abstractNumId w:val="17"/>
  </w:num>
  <w:num w:numId="35" w16cid:durableId="1099327563">
    <w:abstractNumId w:val="7"/>
  </w:num>
  <w:num w:numId="36" w16cid:durableId="1381400301">
    <w:abstractNumId w:val="2"/>
  </w:num>
  <w:num w:numId="37" w16cid:durableId="364402457">
    <w:abstractNumId w:val="4"/>
  </w:num>
  <w:num w:numId="38" w16cid:durableId="230817919">
    <w:abstractNumId w:val="1"/>
  </w:num>
  <w:num w:numId="39" w16cid:durableId="1075557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AwNTUyMjQyNTMyNzJR0lEKTi0uzszPAykwqQUAu+B5wywAAAA="/>
  </w:docVars>
  <w:rsids>
    <w:rsidRoot w:val="005A2A50"/>
    <w:rsid w:val="00005CCC"/>
    <w:rsid w:val="00006314"/>
    <w:rsid w:val="00006668"/>
    <w:rsid w:val="00011876"/>
    <w:rsid w:val="000162CD"/>
    <w:rsid w:val="00016614"/>
    <w:rsid w:val="000172B2"/>
    <w:rsid w:val="0002231D"/>
    <w:rsid w:val="00031B86"/>
    <w:rsid w:val="0003625C"/>
    <w:rsid w:val="00040590"/>
    <w:rsid w:val="0004165A"/>
    <w:rsid w:val="00042583"/>
    <w:rsid w:val="00043776"/>
    <w:rsid w:val="000448EC"/>
    <w:rsid w:val="00067CEC"/>
    <w:rsid w:val="00070299"/>
    <w:rsid w:val="00071B62"/>
    <w:rsid w:val="0007308B"/>
    <w:rsid w:val="00076E88"/>
    <w:rsid w:val="000779E2"/>
    <w:rsid w:val="00092195"/>
    <w:rsid w:val="00092DBF"/>
    <w:rsid w:val="00096640"/>
    <w:rsid w:val="000B2ABA"/>
    <w:rsid w:val="000B3A6E"/>
    <w:rsid w:val="000B5042"/>
    <w:rsid w:val="000B6F92"/>
    <w:rsid w:val="000C0328"/>
    <w:rsid w:val="000C07EE"/>
    <w:rsid w:val="000D051E"/>
    <w:rsid w:val="000D1BD7"/>
    <w:rsid w:val="000D4D1D"/>
    <w:rsid w:val="0010427C"/>
    <w:rsid w:val="00104705"/>
    <w:rsid w:val="00105603"/>
    <w:rsid w:val="001117E3"/>
    <w:rsid w:val="001126D3"/>
    <w:rsid w:val="00114A37"/>
    <w:rsid w:val="00120C22"/>
    <w:rsid w:val="00123B0E"/>
    <w:rsid w:val="001271C5"/>
    <w:rsid w:val="0013174F"/>
    <w:rsid w:val="00140FE6"/>
    <w:rsid w:val="001437E5"/>
    <w:rsid w:val="00143DFC"/>
    <w:rsid w:val="00144822"/>
    <w:rsid w:val="00145D1D"/>
    <w:rsid w:val="00153576"/>
    <w:rsid w:val="00154C85"/>
    <w:rsid w:val="0015613F"/>
    <w:rsid w:val="001654C4"/>
    <w:rsid w:val="0017079F"/>
    <w:rsid w:val="00172BEE"/>
    <w:rsid w:val="00174CBA"/>
    <w:rsid w:val="00176E6D"/>
    <w:rsid w:val="00180430"/>
    <w:rsid w:val="00183438"/>
    <w:rsid w:val="00184FC2"/>
    <w:rsid w:val="001870C4"/>
    <w:rsid w:val="00194D39"/>
    <w:rsid w:val="001A0D40"/>
    <w:rsid w:val="001A259B"/>
    <w:rsid w:val="001B05E8"/>
    <w:rsid w:val="001B2966"/>
    <w:rsid w:val="001B3914"/>
    <w:rsid w:val="001B45CC"/>
    <w:rsid w:val="001C0B29"/>
    <w:rsid w:val="001C134B"/>
    <w:rsid w:val="001C733D"/>
    <w:rsid w:val="001D1FD5"/>
    <w:rsid w:val="001D2D47"/>
    <w:rsid w:val="001D3A8F"/>
    <w:rsid w:val="001E56B2"/>
    <w:rsid w:val="001F4F15"/>
    <w:rsid w:val="001F6B95"/>
    <w:rsid w:val="002056F7"/>
    <w:rsid w:val="002060B8"/>
    <w:rsid w:val="00206E1F"/>
    <w:rsid w:val="002109BC"/>
    <w:rsid w:val="00221383"/>
    <w:rsid w:val="002241E2"/>
    <w:rsid w:val="00225290"/>
    <w:rsid w:val="0022690D"/>
    <w:rsid w:val="00230C03"/>
    <w:rsid w:val="00235025"/>
    <w:rsid w:val="00235054"/>
    <w:rsid w:val="0023589E"/>
    <w:rsid w:val="00244566"/>
    <w:rsid w:val="002466B3"/>
    <w:rsid w:val="00247969"/>
    <w:rsid w:val="00247ABA"/>
    <w:rsid w:val="00254BE3"/>
    <w:rsid w:val="00257862"/>
    <w:rsid w:val="002646BA"/>
    <w:rsid w:val="0026588E"/>
    <w:rsid w:val="00267C5B"/>
    <w:rsid w:val="00270F31"/>
    <w:rsid w:val="002734D8"/>
    <w:rsid w:val="00276FCC"/>
    <w:rsid w:val="00277A32"/>
    <w:rsid w:val="00280257"/>
    <w:rsid w:val="002827DD"/>
    <w:rsid w:val="00283A00"/>
    <w:rsid w:val="00293239"/>
    <w:rsid w:val="00294F4B"/>
    <w:rsid w:val="00296946"/>
    <w:rsid w:val="00297539"/>
    <w:rsid w:val="002B06DD"/>
    <w:rsid w:val="002C2713"/>
    <w:rsid w:val="002C2F41"/>
    <w:rsid w:val="002C79AB"/>
    <w:rsid w:val="002D3610"/>
    <w:rsid w:val="002D5BBD"/>
    <w:rsid w:val="002D65BB"/>
    <w:rsid w:val="002E122C"/>
    <w:rsid w:val="002E178C"/>
    <w:rsid w:val="002E1F3A"/>
    <w:rsid w:val="002E4CA3"/>
    <w:rsid w:val="002E581F"/>
    <w:rsid w:val="002F6EF8"/>
    <w:rsid w:val="00301E63"/>
    <w:rsid w:val="00302447"/>
    <w:rsid w:val="00303281"/>
    <w:rsid w:val="003142FC"/>
    <w:rsid w:val="0031481F"/>
    <w:rsid w:val="00326AC0"/>
    <w:rsid w:val="003333BB"/>
    <w:rsid w:val="00350463"/>
    <w:rsid w:val="00355B97"/>
    <w:rsid w:val="00360A52"/>
    <w:rsid w:val="003726D6"/>
    <w:rsid w:val="00372DAF"/>
    <w:rsid w:val="0037447F"/>
    <w:rsid w:val="00375DD8"/>
    <w:rsid w:val="003811FA"/>
    <w:rsid w:val="003860F4"/>
    <w:rsid w:val="00391555"/>
    <w:rsid w:val="00392F31"/>
    <w:rsid w:val="003A7B37"/>
    <w:rsid w:val="003B1C27"/>
    <w:rsid w:val="003B1C48"/>
    <w:rsid w:val="003B4A9A"/>
    <w:rsid w:val="003B6C4C"/>
    <w:rsid w:val="003B6E5A"/>
    <w:rsid w:val="003C2AAF"/>
    <w:rsid w:val="003C2B0E"/>
    <w:rsid w:val="003C3507"/>
    <w:rsid w:val="003C4216"/>
    <w:rsid w:val="003C586D"/>
    <w:rsid w:val="003D1CC4"/>
    <w:rsid w:val="003D6746"/>
    <w:rsid w:val="003E0143"/>
    <w:rsid w:val="003E4A61"/>
    <w:rsid w:val="003E4BB9"/>
    <w:rsid w:val="003E72DB"/>
    <w:rsid w:val="004069BC"/>
    <w:rsid w:val="00416F82"/>
    <w:rsid w:val="00426405"/>
    <w:rsid w:val="004268C1"/>
    <w:rsid w:val="0043149E"/>
    <w:rsid w:val="00433654"/>
    <w:rsid w:val="004337DD"/>
    <w:rsid w:val="004339D4"/>
    <w:rsid w:val="00437CD6"/>
    <w:rsid w:val="00441E3B"/>
    <w:rsid w:val="00443042"/>
    <w:rsid w:val="004524CB"/>
    <w:rsid w:val="00465105"/>
    <w:rsid w:val="00465EF9"/>
    <w:rsid w:val="004707DF"/>
    <w:rsid w:val="004755A7"/>
    <w:rsid w:val="00475D1B"/>
    <w:rsid w:val="0048560D"/>
    <w:rsid w:val="00485724"/>
    <w:rsid w:val="004962A9"/>
    <w:rsid w:val="004A0230"/>
    <w:rsid w:val="004A2FBD"/>
    <w:rsid w:val="004A787C"/>
    <w:rsid w:val="004B4BFD"/>
    <w:rsid w:val="004B5549"/>
    <w:rsid w:val="004B566F"/>
    <w:rsid w:val="004B5F18"/>
    <w:rsid w:val="004C79B9"/>
    <w:rsid w:val="004D0C93"/>
    <w:rsid w:val="004D2087"/>
    <w:rsid w:val="004D2145"/>
    <w:rsid w:val="004D2174"/>
    <w:rsid w:val="004E14A9"/>
    <w:rsid w:val="004E2760"/>
    <w:rsid w:val="004E60DE"/>
    <w:rsid w:val="004F083D"/>
    <w:rsid w:val="004F350E"/>
    <w:rsid w:val="004F37D6"/>
    <w:rsid w:val="00505645"/>
    <w:rsid w:val="00532CBA"/>
    <w:rsid w:val="0053775F"/>
    <w:rsid w:val="0054045A"/>
    <w:rsid w:val="005418AB"/>
    <w:rsid w:val="005438BE"/>
    <w:rsid w:val="00544725"/>
    <w:rsid w:val="005453C7"/>
    <w:rsid w:val="005476DC"/>
    <w:rsid w:val="00556BFC"/>
    <w:rsid w:val="005616B9"/>
    <w:rsid w:val="00562BF7"/>
    <w:rsid w:val="005700E2"/>
    <w:rsid w:val="005800A7"/>
    <w:rsid w:val="005830FF"/>
    <w:rsid w:val="00583970"/>
    <w:rsid w:val="00584DD6"/>
    <w:rsid w:val="005A2A50"/>
    <w:rsid w:val="005B0967"/>
    <w:rsid w:val="005B22D2"/>
    <w:rsid w:val="005C2C9C"/>
    <w:rsid w:val="005D0A0F"/>
    <w:rsid w:val="005D0CEF"/>
    <w:rsid w:val="005D33B0"/>
    <w:rsid w:val="005E5938"/>
    <w:rsid w:val="005E6E41"/>
    <w:rsid w:val="005F1819"/>
    <w:rsid w:val="005F39EE"/>
    <w:rsid w:val="005F736B"/>
    <w:rsid w:val="0060038A"/>
    <w:rsid w:val="006004CF"/>
    <w:rsid w:val="0060310B"/>
    <w:rsid w:val="00610C94"/>
    <w:rsid w:val="00617A24"/>
    <w:rsid w:val="00617D71"/>
    <w:rsid w:val="00621612"/>
    <w:rsid w:val="00623045"/>
    <w:rsid w:val="00626E3C"/>
    <w:rsid w:val="006313EB"/>
    <w:rsid w:val="00632532"/>
    <w:rsid w:val="00634581"/>
    <w:rsid w:val="006411C4"/>
    <w:rsid w:val="006430BE"/>
    <w:rsid w:val="00646999"/>
    <w:rsid w:val="00651AD5"/>
    <w:rsid w:val="0065298C"/>
    <w:rsid w:val="006555DA"/>
    <w:rsid w:val="00664B7A"/>
    <w:rsid w:val="0067403C"/>
    <w:rsid w:val="00677191"/>
    <w:rsid w:val="00692474"/>
    <w:rsid w:val="00695B8B"/>
    <w:rsid w:val="006A1E3C"/>
    <w:rsid w:val="006A5B61"/>
    <w:rsid w:val="006A7724"/>
    <w:rsid w:val="006B0743"/>
    <w:rsid w:val="006B5E97"/>
    <w:rsid w:val="006C4101"/>
    <w:rsid w:val="006C42FA"/>
    <w:rsid w:val="006D2C75"/>
    <w:rsid w:val="006E25C3"/>
    <w:rsid w:val="006E50FD"/>
    <w:rsid w:val="006E5F4E"/>
    <w:rsid w:val="00702B58"/>
    <w:rsid w:val="00707439"/>
    <w:rsid w:val="00711946"/>
    <w:rsid w:val="00713197"/>
    <w:rsid w:val="00716B35"/>
    <w:rsid w:val="00717BBC"/>
    <w:rsid w:val="00721D58"/>
    <w:rsid w:val="007436E1"/>
    <w:rsid w:val="00745317"/>
    <w:rsid w:val="007470BA"/>
    <w:rsid w:val="00751718"/>
    <w:rsid w:val="00756B08"/>
    <w:rsid w:val="00762971"/>
    <w:rsid w:val="00763386"/>
    <w:rsid w:val="00770DDC"/>
    <w:rsid w:val="00786E63"/>
    <w:rsid w:val="00791CB9"/>
    <w:rsid w:val="007973D0"/>
    <w:rsid w:val="007A02F3"/>
    <w:rsid w:val="007A05E8"/>
    <w:rsid w:val="007A11FD"/>
    <w:rsid w:val="007A6BE4"/>
    <w:rsid w:val="007B1BF9"/>
    <w:rsid w:val="007B29EE"/>
    <w:rsid w:val="007C3747"/>
    <w:rsid w:val="007C6B85"/>
    <w:rsid w:val="007C777F"/>
    <w:rsid w:val="007D355E"/>
    <w:rsid w:val="007E1056"/>
    <w:rsid w:val="007E4588"/>
    <w:rsid w:val="007E6F6A"/>
    <w:rsid w:val="007F0B9C"/>
    <w:rsid w:val="007F38EF"/>
    <w:rsid w:val="007F6A6E"/>
    <w:rsid w:val="00802F31"/>
    <w:rsid w:val="008030C0"/>
    <w:rsid w:val="00804892"/>
    <w:rsid w:val="008067BB"/>
    <w:rsid w:val="00813E25"/>
    <w:rsid w:val="00816F3D"/>
    <w:rsid w:val="00822B1E"/>
    <w:rsid w:val="00831DA3"/>
    <w:rsid w:val="008376AD"/>
    <w:rsid w:val="008376FB"/>
    <w:rsid w:val="008421A4"/>
    <w:rsid w:val="00846387"/>
    <w:rsid w:val="0084709D"/>
    <w:rsid w:val="008505EC"/>
    <w:rsid w:val="008516F5"/>
    <w:rsid w:val="00856713"/>
    <w:rsid w:val="00862825"/>
    <w:rsid w:val="00862FBD"/>
    <w:rsid w:val="0086562A"/>
    <w:rsid w:val="00865DF6"/>
    <w:rsid w:val="0087038B"/>
    <w:rsid w:val="00873694"/>
    <w:rsid w:val="00874AEF"/>
    <w:rsid w:val="008825AE"/>
    <w:rsid w:val="00890892"/>
    <w:rsid w:val="008A31B7"/>
    <w:rsid w:val="008B18C8"/>
    <w:rsid w:val="008B2686"/>
    <w:rsid w:val="008B4A36"/>
    <w:rsid w:val="008B7363"/>
    <w:rsid w:val="008D2812"/>
    <w:rsid w:val="008E2BE9"/>
    <w:rsid w:val="008E7F2F"/>
    <w:rsid w:val="008F0ED7"/>
    <w:rsid w:val="008F3A33"/>
    <w:rsid w:val="009013DC"/>
    <w:rsid w:val="00902495"/>
    <w:rsid w:val="00903C69"/>
    <w:rsid w:val="009042B5"/>
    <w:rsid w:val="00904A28"/>
    <w:rsid w:val="00905369"/>
    <w:rsid w:val="009110FD"/>
    <w:rsid w:val="0091164C"/>
    <w:rsid w:val="009148DC"/>
    <w:rsid w:val="00916241"/>
    <w:rsid w:val="00917398"/>
    <w:rsid w:val="00921CCD"/>
    <w:rsid w:val="00930BF3"/>
    <w:rsid w:val="00930E7D"/>
    <w:rsid w:val="0094340D"/>
    <w:rsid w:val="009528A8"/>
    <w:rsid w:val="00953F45"/>
    <w:rsid w:val="009652DE"/>
    <w:rsid w:val="00971C78"/>
    <w:rsid w:val="0097458A"/>
    <w:rsid w:val="00975695"/>
    <w:rsid w:val="00975DAD"/>
    <w:rsid w:val="00987AA1"/>
    <w:rsid w:val="00993A50"/>
    <w:rsid w:val="009A3145"/>
    <w:rsid w:val="009B477F"/>
    <w:rsid w:val="009B6F73"/>
    <w:rsid w:val="009D3415"/>
    <w:rsid w:val="009D375A"/>
    <w:rsid w:val="009D3A64"/>
    <w:rsid w:val="009D63D6"/>
    <w:rsid w:val="009E0FEE"/>
    <w:rsid w:val="009E496A"/>
    <w:rsid w:val="009E5281"/>
    <w:rsid w:val="00A00B28"/>
    <w:rsid w:val="00A03F78"/>
    <w:rsid w:val="00A04B5A"/>
    <w:rsid w:val="00A0524D"/>
    <w:rsid w:val="00A11E9C"/>
    <w:rsid w:val="00A12D55"/>
    <w:rsid w:val="00A21ACF"/>
    <w:rsid w:val="00A2524E"/>
    <w:rsid w:val="00A26FD9"/>
    <w:rsid w:val="00A31108"/>
    <w:rsid w:val="00A31D22"/>
    <w:rsid w:val="00A37EBA"/>
    <w:rsid w:val="00A40F6E"/>
    <w:rsid w:val="00A42481"/>
    <w:rsid w:val="00A431DE"/>
    <w:rsid w:val="00A436F0"/>
    <w:rsid w:val="00A47DF5"/>
    <w:rsid w:val="00A5137A"/>
    <w:rsid w:val="00A55514"/>
    <w:rsid w:val="00A65BA8"/>
    <w:rsid w:val="00A66A4C"/>
    <w:rsid w:val="00A71EC9"/>
    <w:rsid w:val="00A7441C"/>
    <w:rsid w:val="00A90562"/>
    <w:rsid w:val="00A9167B"/>
    <w:rsid w:val="00A97248"/>
    <w:rsid w:val="00A97917"/>
    <w:rsid w:val="00AA0E2D"/>
    <w:rsid w:val="00AA1B96"/>
    <w:rsid w:val="00AA2498"/>
    <w:rsid w:val="00AA49FA"/>
    <w:rsid w:val="00AA4DC8"/>
    <w:rsid w:val="00AB08E7"/>
    <w:rsid w:val="00AB2E5C"/>
    <w:rsid w:val="00AD0559"/>
    <w:rsid w:val="00AE620E"/>
    <w:rsid w:val="00AE78D1"/>
    <w:rsid w:val="00AF178C"/>
    <w:rsid w:val="00B02681"/>
    <w:rsid w:val="00B26427"/>
    <w:rsid w:val="00B308E9"/>
    <w:rsid w:val="00B31A2F"/>
    <w:rsid w:val="00B350A1"/>
    <w:rsid w:val="00B44FBC"/>
    <w:rsid w:val="00B45BC1"/>
    <w:rsid w:val="00B529DD"/>
    <w:rsid w:val="00B535E2"/>
    <w:rsid w:val="00B53853"/>
    <w:rsid w:val="00B553EC"/>
    <w:rsid w:val="00B612DA"/>
    <w:rsid w:val="00B61631"/>
    <w:rsid w:val="00B63501"/>
    <w:rsid w:val="00B66864"/>
    <w:rsid w:val="00B72224"/>
    <w:rsid w:val="00B7733F"/>
    <w:rsid w:val="00B803A7"/>
    <w:rsid w:val="00B81CD3"/>
    <w:rsid w:val="00B81EA5"/>
    <w:rsid w:val="00B81F87"/>
    <w:rsid w:val="00B87B16"/>
    <w:rsid w:val="00B93FBF"/>
    <w:rsid w:val="00BA21A5"/>
    <w:rsid w:val="00BA4A56"/>
    <w:rsid w:val="00BA4CEC"/>
    <w:rsid w:val="00BA53A0"/>
    <w:rsid w:val="00BB466C"/>
    <w:rsid w:val="00BB4712"/>
    <w:rsid w:val="00BB7CD6"/>
    <w:rsid w:val="00BC4D2B"/>
    <w:rsid w:val="00BC5D7F"/>
    <w:rsid w:val="00BD62E8"/>
    <w:rsid w:val="00BE4645"/>
    <w:rsid w:val="00BF280F"/>
    <w:rsid w:val="00BF7292"/>
    <w:rsid w:val="00C03D96"/>
    <w:rsid w:val="00C07536"/>
    <w:rsid w:val="00C10FE3"/>
    <w:rsid w:val="00C22CC1"/>
    <w:rsid w:val="00C26FA7"/>
    <w:rsid w:val="00C337C4"/>
    <w:rsid w:val="00C34A46"/>
    <w:rsid w:val="00C36EEF"/>
    <w:rsid w:val="00C41D8D"/>
    <w:rsid w:val="00C46245"/>
    <w:rsid w:val="00C50394"/>
    <w:rsid w:val="00C548DE"/>
    <w:rsid w:val="00C572DD"/>
    <w:rsid w:val="00C6113A"/>
    <w:rsid w:val="00C63ECE"/>
    <w:rsid w:val="00C7396D"/>
    <w:rsid w:val="00C7458E"/>
    <w:rsid w:val="00C84C0B"/>
    <w:rsid w:val="00CA0110"/>
    <w:rsid w:val="00CA04B8"/>
    <w:rsid w:val="00CB1F8C"/>
    <w:rsid w:val="00CB6F61"/>
    <w:rsid w:val="00CB79D2"/>
    <w:rsid w:val="00CC1829"/>
    <w:rsid w:val="00CC48B5"/>
    <w:rsid w:val="00CD7C68"/>
    <w:rsid w:val="00CE1859"/>
    <w:rsid w:val="00CE7144"/>
    <w:rsid w:val="00CE7C31"/>
    <w:rsid w:val="00CF1747"/>
    <w:rsid w:val="00CF3889"/>
    <w:rsid w:val="00CF5311"/>
    <w:rsid w:val="00D030D5"/>
    <w:rsid w:val="00D03AF3"/>
    <w:rsid w:val="00D04532"/>
    <w:rsid w:val="00D049EA"/>
    <w:rsid w:val="00D04A48"/>
    <w:rsid w:val="00D1168F"/>
    <w:rsid w:val="00D12047"/>
    <w:rsid w:val="00D13361"/>
    <w:rsid w:val="00D16606"/>
    <w:rsid w:val="00D2238D"/>
    <w:rsid w:val="00D2546F"/>
    <w:rsid w:val="00D2639F"/>
    <w:rsid w:val="00D277B3"/>
    <w:rsid w:val="00D340DA"/>
    <w:rsid w:val="00D42D05"/>
    <w:rsid w:val="00D446D3"/>
    <w:rsid w:val="00D515A7"/>
    <w:rsid w:val="00D51B58"/>
    <w:rsid w:val="00D5426A"/>
    <w:rsid w:val="00D544E2"/>
    <w:rsid w:val="00D575AC"/>
    <w:rsid w:val="00D6068F"/>
    <w:rsid w:val="00D60A3D"/>
    <w:rsid w:val="00D60FA2"/>
    <w:rsid w:val="00D71A71"/>
    <w:rsid w:val="00D744D3"/>
    <w:rsid w:val="00D8658F"/>
    <w:rsid w:val="00D90A0B"/>
    <w:rsid w:val="00D92983"/>
    <w:rsid w:val="00D96C4F"/>
    <w:rsid w:val="00D979E0"/>
    <w:rsid w:val="00DA4F4D"/>
    <w:rsid w:val="00DA68BA"/>
    <w:rsid w:val="00DB05F1"/>
    <w:rsid w:val="00DB09CF"/>
    <w:rsid w:val="00DB2F94"/>
    <w:rsid w:val="00DC7901"/>
    <w:rsid w:val="00DD2087"/>
    <w:rsid w:val="00DD3FCE"/>
    <w:rsid w:val="00DD4986"/>
    <w:rsid w:val="00DE21A8"/>
    <w:rsid w:val="00E00577"/>
    <w:rsid w:val="00E06399"/>
    <w:rsid w:val="00E15104"/>
    <w:rsid w:val="00E15C3E"/>
    <w:rsid w:val="00E20CFF"/>
    <w:rsid w:val="00E22B78"/>
    <w:rsid w:val="00E24F6E"/>
    <w:rsid w:val="00E371C3"/>
    <w:rsid w:val="00E526EB"/>
    <w:rsid w:val="00E5719B"/>
    <w:rsid w:val="00E57356"/>
    <w:rsid w:val="00E57B80"/>
    <w:rsid w:val="00E60490"/>
    <w:rsid w:val="00E67E9D"/>
    <w:rsid w:val="00E72C15"/>
    <w:rsid w:val="00E763E1"/>
    <w:rsid w:val="00E80523"/>
    <w:rsid w:val="00E93C02"/>
    <w:rsid w:val="00E95230"/>
    <w:rsid w:val="00EA151F"/>
    <w:rsid w:val="00EA2949"/>
    <w:rsid w:val="00EA37D6"/>
    <w:rsid w:val="00EB1E6E"/>
    <w:rsid w:val="00EB62BD"/>
    <w:rsid w:val="00EC6130"/>
    <w:rsid w:val="00ED08A6"/>
    <w:rsid w:val="00EE6AE6"/>
    <w:rsid w:val="00EF09BE"/>
    <w:rsid w:val="00F000A7"/>
    <w:rsid w:val="00F139C0"/>
    <w:rsid w:val="00F17BAA"/>
    <w:rsid w:val="00F2281D"/>
    <w:rsid w:val="00F30D68"/>
    <w:rsid w:val="00F331A5"/>
    <w:rsid w:val="00F332DD"/>
    <w:rsid w:val="00F403F8"/>
    <w:rsid w:val="00F4711D"/>
    <w:rsid w:val="00F5422D"/>
    <w:rsid w:val="00F54AF5"/>
    <w:rsid w:val="00F55430"/>
    <w:rsid w:val="00F5556E"/>
    <w:rsid w:val="00F5780E"/>
    <w:rsid w:val="00F66577"/>
    <w:rsid w:val="00F8022B"/>
    <w:rsid w:val="00F84499"/>
    <w:rsid w:val="00F9082F"/>
    <w:rsid w:val="00F91637"/>
    <w:rsid w:val="00F92AAD"/>
    <w:rsid w:val="00FA7EEF"/>
    <w:rsid w:val="00FB5477"/>
    <w:rsid w:val="00FB6AE9"/>
    <w:rsid w:val="00FC1C69"/>
    <w:rsid w:val="00FC2564"/>
    <w:rsid w:val="00FC30A8"/>
    <w:rsid w:val="00FC4F85"/>
    <w:rsid w:val="00FC561F"/>
    <w:rsid w:val="00FC5750"/>
    <w:rsid w:val="00FD439F"/>
    <w:rsid w:val="00FD4E7A"/>
    <w:rsid w:val="00FE4ADE"/>
    <w:rsid w:val="00FE60DE"/>
    <w:rsid w:val="00FE62F3"/>
    <w:rsid w:val="00FF67C1"/>
    <w:rsid w:val="00FF7DB8"/>
    <w:rsid w:val="00FF7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57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5A2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50"/>
    <w:rPr>
      <w:rFonts w:eastAsiaTheme="majorEastAsia" w:cstheme="majorBidi"/>
      <w:color w:val="272727" w:themeColor="text1" w:themeTint="D8"/>
    </w:rPr>
  </w:style>
  <w:style w:type="paragraph" w:styleId="Title">
    <w:name w:val="Title"/>
    <w:basedOn w:val="Normal"/>
    <w:next w:val="Normal"/>
    <w:link w:val="TitleChar"/>
    <w:uiPriority w:val="10"/>
    <w:qFormat/>
    <w:rsid w:val="005A2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50"/>
    <w:pPr>
      <w:spacing w:before="160"/>
      <w:jc w:val="center"/>
    </w:pPr>
    <w:rPr>
      <w:i/>
      <w:iCs/>
      <w:color w:val="404040" w:themeColor="text1" w:themeTint="BF"/>
    </w:rPr>
  </w:style>
  <w:style w:type="character" w:customStyle="1" w:styleId="QuoteChar">
    <w:name w:val="Quote Char"/>
    <w:basedOn w:val="DefaultParagraphFont"/>
    <w:link w:val="Quote"/>
    <w:uiPriority w:val="29"/>
    <w:rsid w:val="005A2A50"/>
    <w:rPr>
      <w:i/>
      <w:iCs/>
      <w:color w:val="404040" w:themeColor="text1" w:themeTint="BF"/>
    </w:rPr>
  </w:style>
  <w:style w:type="paragraph" w:styleId="ListParagraph">
    <w:name w:val="List Paragraph"/>
    <w:basedOn w:val="Normal"/>
    <w:link w:val="ListParagraphChar"/>
    <w:uiPriority w:val="34"/>
    <w:qFormat/>
    <w:rsid w:val="005A2A50"/>
    <w:pPr>
      <w:ind w:left="720"/>
      <w:contextualSpacing/>
    </w:pPr>
  </w:style>
  <w:style w:type="character" w:styleId="IntenseEmphasis">
    <w:name w:val="Intense Emphasis"/>
    <w:basedOn w:val="DefaultParagraphFont"/>
    <w:uiPriority w:val="21"/>
    <w:qFormat/>
    <w:rsid w:val="005A2A50"/>
    <w:rPr>
      <w:i/>
      <w:iCs/>
      <w:color w:val="0F4761" w:themeColor="accent1" w:themeShade="BF"/>
    </w:rPr>
  </w:style>
  <w:style w:type="paragraph" w:styleId="IntenseQuote">
    <w:name w:val="Intense Quote"/>
    <w:basedOn w:val="Normal"/>
    <w:next w:val="Normal"/>
    <w:link w:val="IntenseQuoteChar"/>
    <w:uiPriority w:val="30"/>
    <w:qFormat/>
    <w:rsid w:val="005A2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A50"/>
    <w:rPr>
      <w:i/>
      <w:iCs/>
      <w:color w:val="0F4761" w:themeColor="accent1" w:themeShade="BF"/>
    </w:rPr>
  </w:style>
  <w:style w:type="character" w:styleId="IntenseReference">
    <w:name w:val="Intense Reference"/>
    <w:basedOn w:val="DefaultParagraphFont"/>
    <w:uiPriority w:val="32"/>
    <w:qFormat/>
    <w:rsid w:val="005A2A50"/>
    <w:rPr>
      <w:b/>
      <w:bCs/>
      <w:smallCaps/>
      <w:color w:val="0F4761" w:themeColor="accent1" w:themeShade="BF"/>
      <w:spacing w:val="5"/>
    </w:rPr>
  </w:style>
  <w:style w:type="character" w:styleId="LineNumber">
    <w:name w:val="line number"/>
    <w:basedOn w:val="DefaultParagraphFont"/>
    <w:uiPriority w:val="99"/>
    <w:semiHidden/>
    <w:unhideWhenUsed/>
    <w:rsid w:val="00F8022B"/>
  </w:style>
  <w:style w:type="table" w:styleId="TableGrid">
    <w:name w:val="Table Grid"/>
    <w:basedOn w:val="TableNormal"/>
    <w:uiPriority w:val="39"/>
    <w:rsid w:val="00651A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65105"/>
    <w:rPr>
      <w:b/>
      <w:bCs/>
    </w:rPr>
  </w:style>
  <w:style w:type="character" w:styleId="Hyperlink">
    <w:name w:val="Hyperlink"/>
    <w:basedOn w:val="DefaultParagraphFont"/>
    <w:uiPriority w:val="99"/>
    <w:unhideWhenUsed/>
    <w:rsid w:val="00FB6AE9"/>
    <w:rPr>
      <w:color w:val="467886" w:themeColor="hyperlink"/>
      <w:u w:val="single"/>
    </w:rPr>
  </w:style>
  <w:style w:type="character" w:customStyle="1" w:styleId="Mentionnonrsolue1">
    <w:name w:val="Mention non résolue1"/>
    <w:basedOn w:val="DefaultParagraphFont"/>
    <w:uiPriority w:val="99"/>
    <w:semiHidden/>
    <w:unhideWhenUsed/>
    <w:rsid w:val="00FB6AE9"/>
    <w:rPr>
      <w:color w:val="605E5C"/>
      <w:shd w:val="clear" w:color="auto" w:fill="E1DFDD"/>
    </w:rPr>
  </w:style>
  <w:style w:type="character" w:styleId="CommentReference">
    <w:name w:val="annotation reference"/>
    <w:basedOn w:val="DefaultParagraphFont"/>
    <w:uiPriority w:val="99"/>
    <w:semiHidden/>
    <w:unhideWhenUsed/>
    <w:rsid w:val="007B29EE"/>
    <w:rPr>
      <w:sz w:val="16"/>
      <w:szCs w:val="16"/>
    </w:rPr>
  </w:style>
  <w:style w:type="paragraph" w:styleId="CommentText">
    <w:name w:val="annotation text"/>
    <w:basedOn w:val="Normal"/>
    <w:link w:val="CommentTextChar"/>
    <w:uiPriority w:val="99"/>
    <w:unhideWhenUsed/>
    <w:rsid w:val="007B29EE"/>
    <w:pPr>
      <w:spacing w:line="240" w:lineRule="auto"/>
    </w:pPr>
    <w:rPr>
      <w:sz w:val="20"/>
      <w:szCs w:val="20"/>
    </w:rPr>
  </w:style>
  <w:style w:type="character" w:customStyle="1" w:styleId="CommentTextChar">
    <w:name w:val="Comment Text Char"/>
    <w:basedOn w:val="DefaultParagraphFont"/>
    <w:link w:val="CommentText"/>
    <w:uiPriority w:val="99"/>
    <w:rsid w:val="007B29EE"/>
    <w:rPr>
      <w:sz w:val="20"/>
      <w:szCs w:val="20"/>
    </w:rPr>
  </w:style>
  <w:style w:type="paragraph" w:styleId="CommentSubject">
    <w:name w:val="annotation subject"/>
    <w:basedOn w:val="CommentText"/>
    <w:next w:val="CommentText"/>
    <w:link w:val="CommentSubjectChar"/>
    <w:uiPriority w:val="99"/>
    <w:semiHidden/>
    <w:unhideWhenUsed/>
    <w:rsid w:val="007B29EE"/>
    <w:rPr>
      <w:b/>
      <w:bCs/>
    </w:rPr>
  </w:style>
  <w:style w:type="character" w:customStyle="1" w:styleId="CommentSubjectChar">
    <w:name w:val="Comment Subject Char"/>
    <w:basedOn w:val="CommentTextChar"/>
    <w:link w:val="CommentSubject"/>
    <w:uiPriority w:val="99"/>
    <w:semiHidden/>
    <w:rsid w:val="007B29EE"/>
    <w:rPr>
      <w:b/>
      <w:bCs/>
      <w:sz w:val="20"/>
      <w:szCs w:val="20"/>
    </w:rPr>
  </w:style>
  <w:style w:type="paragraph" w:styleId="Caption">
    <w:name w:val="caption"/>
    <w:basedOn w:val="Normal"/>
    <w:next w:val="Normal"/>
    <w:uiPriority w:val="35"/>
    <w:unhideWhenUsed/>
    <w:qFormat/>
    <w:rsid w:val="00C337C4"/>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D1168F"/>
    <w:pPr>
      <w:spacing w:after="0"/>
    </w:pPr>
  </w:style>
  <w:style w:type="paragraph" w:styleId="HTMLPreformatted">
    <w:name w:val="HTML Preformatted"/>
    <w:basedOn w:val="Normal"/>
    <w:link w:val="HTMLPreformattedChar"/>
    <w:uiPriority w:val="99"/>
    <w:semiHidden/>
    <w:unhideWhenUsed/>
    <w:rsid w:val="0089089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90892"/>
    <w:rPr>
      <w:rFonts w:ascii="Consolas" w:hAnsi="Consolas"/>
      <w:sz w:val="20"/>
      <w:szCs w:val="20"/>
      <w:lang w:val="en-US"/>
    </w:rPr>
  </w:style>
  <w:style w:type="paragraph" w:styleId="Bibliography">
    <w:name w:val="Bibliography"/>
    <w:basedOn w:val="Normal"/>
    <w:next w:val="Normal"/>
    <w:uiPriority w:val="37"/>
    <w:unhideWhenUsed/>
    <w:rsid w:val="00B350A1"/>
    <w:pPr>
      <w:tabs>
        <w:tab w:val="left" w:pos="384"/>
      </w:tabs>
      <w:spacing w:after="0" w:line="240" w:lineRule="auto"/>
      <w:ind w:left="384" w:hanging="384"/>
    </w:pPr>
  </w:style>
  <w:style w:type="paragraph" w:styleId="Revision">
    <w:name w:val="Revision"/>
    <w:hidden/>
    <w:uiPriority w:val="99"/>
    <w:semiHidden/>
    <w:rsid w:val="00846387"/>
    <w:pPr>
      <w:spacing w:after="0" w:line="240" w:lineRule="auto"/>
    </w:pPr>
    <w:rPr>
      <w:lang w:val="en-US"/>
    </w:rPr>
  </w:style>
  <w:style w:type="character" w:customStyle="1" w:styleId="ListParagraphChar">
    <w:name w:val="List Paragraph Char"/>
    <w:basedOn w:val="DefaultParagraphFont"/>
    <w:link w:val="ListParagraph"/>
    <w:uiPriority w:val="34"/>
    <w:rsid w:val="002B06DD"/>
    <w:rPr>
      <w:lang w:val="en-US"/>
    </w:rPr>
  </w:style>
  <w:style w:type="paragraph" w:styleId="NormalWeb">
    <w:name w:val="Normal (Web)"/>
    <w:basedOn w:val="Normal"/>
    <w:uiPriority w:val="99"/>
    <w:unhideWhenUsed/>
    <w:rsid w:val="00C36EEF"/>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Emphasis">
    <w:name w:val="Emphasis"/>
    <w:basedOn w:val="DefaultParagraphFont"/>
    <w:uiPriority w:val="20"/>
    <w:qFormat/>
    <w:rsid w:val="00C36EEF"/>
    <w:rPr>
      <w:i/>
      <w:iCs/>
    </w:rPr>
  </w:style>
  <w:style w:type="paragraph" w:styleId="BalloonText">
    <w:name w:val="Balloon Text"/>
    <w:basedOn w:val="Normal"/>
    <w:link w:val="BalloonTextChar"/>
    <w:uiPriority w:val="99"/>
    <w:semiHidden/>
    <w:unhideWhenUsed/>
    <w:rsid w:val="001C1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34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line.roy@inserm.fr" TargetMode="External"/><Relationship Id="rId3" Type="http://schemas.openxmlformats.org/officeDocument/2006/relationships/styles" Target="styles.xml"/><Relationship Id="rId7" Type="http://schemas.openxmlformats.org/officeDocument/2006/relationships/hyperlink" Target="mailto:camille.tardiveau@inserm.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uis.berthet@inserm.f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ilie.viennois@inser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51CB3-9FA6-4030-88AA-79B9DE8C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15847</Words>
  <Characters>90331</Characters>
  <Application>Microsoft Office Word</Application>
  <DocSecurity>0</DocSecurity>
  <Lines>752</Lines>
  <Paragraphs>211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2025-12-24T01:44:00Z</dcterms:created>
  <dcterms:modified xsi:type="dcterms:W3CDTF">2025-12-24T09:27:00Z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id="EnABp5fZ"/&gt;&lt;style id="http://www.zotero.org/styles/journal-of-visualized-experiments.2" hasBibliography="1" bibliographyStyleHasBeenSet="1"/&gt;&lt;prefs&gt;&lt;pref name="fieldType" value="Field"/&gt;&lt;/prefs&gt;&lt;</vt:lpwstr>
  </property>
  <property fmtid="{D5CDD505-2E9C-101B-9397-08002B2CF9AE}" pid="3" name="ZOTERO_PREF_2">
    <vt:lpwstr>/data&gt;</vt:lpwstr>
  </property>
</Properties>
</file>