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791539">
      <w:r>
        <w:rPr>
          <w:b/>
        </w:rPr>
        <w:t>TITLE:</w:t>
      </w:r>
    </w:p>
    <w:p w14:paraId="2A78957B">
      <w:r>
        <w:t>Fabrication of Dissolvable Microneedle Patches Loaded with α-Lactalbumin Nanomicelles for Transdermal Capsaicin Delivery and Adipose Tissue Reduction</w:t>
      </w:r>
    </w:p>
    <w:p w14:paraId="3E250DC5">
      <w:pPr>
        <w:rPr>
          <w:b/>
        </w:rPr>
      </w:pPr>
    </w:p>
    <w:p w14:paraId="62F76B36">
      <w:r>
        <w:rPr>
          <w:b/>
        </w:rPr>
        <w:t>AUTHORS AND AFFILIATIONS:</w:t>
      </w:r>
    </w:p>
    <w:p w14:paraId="1A08D892">
      <w:r>
        <w:rPr>
          <w:rFonts w:eastAsia="宋体"/>
          <w:lang w:eastAsia="zh-CN"/>
        </w:rPr>
        <w:t>Chunhui Rui</w:t>
      </w:r>
      <w:r>
        <w:rPr>
          <w:vertAlign w:val="superscript"/>
        </w:rPr>
        <w:t>1,2</w:t>
      </w:r>
      <w:r>
        <w:rPr>
          <w:rFonts w:eastAsia="宋体"/>
          <w:lang w:eastAsia="zh-CN"/>
        </w:rPr>
        <w:t xml:space="preserve">, </w:t>
      </w:r>
      <w:r>
        <w:t>Yuli Pan</w:t>
      </w:r>
      <w:r>
        <w:rPr>
          <w:vertAlign w:val="superscript"/>
        </w:rPr>
        <w:t>1,2</w:t>
      </w:r>
      <w:r>
        <w:rPr>
          <w:rFonts w:eastAsia="宋体"/>
          <w:lang w:eastAsia="zh-CN"/>
        </w:rPr>
        <w:t>, Jing Fu</w:t>
      </w:r>
      <w:r>
        <w:rPr>
          <w:vertAlign w:val="superscript"/>
          <w:lang w:eastAsia="zh-CN"/>
        </w:rPr>
        <w:t>1,2</w:t>
      </w:r>
      <w:r>
        <w:rPr>
          <w:rFonts w:eastAsia="宋体"/>
          <w:lang w:eastAsia="zh-CN"/>
        </w:rPr>
        <w:t>, Luna Li</w:t>
      </w:r>
      <w:r>
        <w:rPr>
          <w:vertAlign w:val="superscript"/>
          <w:lang w:eastAsia="zh-CN"/>
        </w:rPr>
        <w:t>1,2</w:t>
      </w:r>
      <w:r>
        <w:rPr>
          <w:rFonts w:eastAsia="宋体"/>
          <w:lang w:eastAsia="zh-CN"/>
        </w:rPr>
        <w:t>, Liangqi Jiangzhuo</w:t>
      </w:r>
      <w:r>
        <w:rPr>
          <w:vertAlign w:val="superscript"/>
          <w:lang w:eastAsia="zh-CN"/>
        </w:rPr>
        <w:t>1</w:t>
      </w:r>
      <w:r>
        <w:rPr>
          <w:rFonts w:eastAsia="宋体"/>
          <w:lang w:eastAsia="zh-CN"/>
        </w:rPr>
        <w:t>, Jiantao Sun</w:t>
      </w:r>
      <w:r>
        <w:rPr>
          <w:vertAlign w:val="superscript"/>
          <w:lang w:eastAsia="zh-CN"/>
        </w:rPr>
        <w:t>1</w:t>
      </w:r>
      <w:r>
        <w:rPr>
          <w:rFonts w:eastAsia="宋体"/>
          <w:lang w:eastAsia="zh-CN"/>
        </w:rPr>
        <w:t xml:space="preserve">, </w:t>
      </w:r>
      <w:r>
        <w:t>Cheng Bao</w:t>
      </w:r>
      <w:r>
        <w:rPr>
          <w:vertAlign w:val="superscript"/>
        </w:rPr>
        <w:t>1,2,3</w:t>
      </w:r>
      <w:r>
        <w:t>*</w:t>
      </w:r>
    </w:p>
    <w:p w14:paraId="54F8E48C">
      <w:pPr>
        <w:rPr>
          <w:rFonts w:eastAsia="宋体"/>
          <w:lang w:eastAsia="zh-CN"/>
        </w:rPr>
      </w:pPr>
    </w:p>
    <w:p w14:paraId="592E20DE">
      <w:r>
        <w:rPr>
          <w:vertAlign w:val="superscript"/>
        </w:rPr>
        <w:t>1</w:t>
      </w:r>
      <w:r>
        <w:t>School of Life Sciences, Ludong University, Yantai, China</w:t>
      </w:r>
    </w:p>
    <w:p w14:paraId="518100FA">
      <w:r>
        <w:rPr>
          <w:vertAlign w:val="superscript"/>
        </w:rPr>
        <w:t>2</w:t>
      </w:r>
      <w:r>
        <w:t>Collaborative Innovation Center for the Pet Infectious Diseases and Public Health in the Middle and Lower Stream Regions of the Yellow River, Yantai, China</w:t>
      </w:r>
    </w:p>
    <w:p w14:paraId="773D4427">
      <w:r>
        <w:rPr>
          <w:vertAlign w:val="superscript"/>
        </w:rPr>
        <w:t>3</w:t>
      </w:r>
      <w:r>
        <w:t>Shandong Engineering Research Center for Aquaculture Environment Control, Yantai, China</w:t>
      </w:r>
    </w:p>
    <w:p w14:paraId="7E972C6B"/>
    <w:p w14:paraId="5EF41887">
      <w:r>
        <w:t>Email addresses of the co-authors:</w:t>
      </w:r>
    </w:p>
    <w:p w14:paraId="636BE77E">
      <w:pPr>
        <w:rPr>
          <w:rFonts w:eastAsia="宋体"/>
          <w:lang w:eastAsia="zh-CN"/>
        </w:rPr>
      </w:pPr>
      <w:r>
        <w:rPr>
          <w:rFonts w:eastAsia="宋体"/>
          <w:lang w:eastAsia="zh-CN"/>
        </w:rPr>
        <w:t xml:space="preserve">Chunhui Rui </w:t>
      </w:r>
      <w:r>
        <w:rPr>
          <w:rFonts w:eastAsia="宋体"/>
          <w:lang w:eastAsia="zh-CN"/>
        </w:rPr>
        <w:tab/>
      </w:r>
      <w:r>
        <w:rPr>
          <w:rFonts w:eastAsia="宋体"/>
          <w:lang w:eastAsia="zh-CN"/>
        </w:rPr>
        <w:tab/>
      </w:r>
      <w:r>
        <w:rPr>
          <w:rFonts w:eastAsia="宋体"/>
          <w:lang w:eastAsia="zh-CN"/>
        </w:rPr>
        <w:t>(</w:t>
      </w:r>
      <w:r>
        <w:fldChar w:fldCharType="begin"/>
      </w:r>
      <w:r>
        <w:instrText xml:space="preserve"> HYPERLINK "mailto:2517705428@qq.com" </w:instrText>
      </w:r>
      <w:r>
        <w:fldChar w:fldCharType="separate"/>
      </w:r>
      <w:r>
        <w:rPr>
          <w:rStyle w:val="21"/>
          <w:rFonts w:eastAsia="宋体"/>
          <w:lang w:eastAsia="zh-CN"/>
        </w:rPr>
        <w:t>2517705428@qq.com</w:t>
      </w:r>
      <w:r>
        <w:rPr>
          <w:rStyle w:val="21"/>
          <w:rFonts w:eastAsia="宋体"/>
          <w:lang w:eastAsia="zh-CN"/>
        </w:rPr>
        <w:fldChar w:fldCharType="end"/>
      </w:r>
      <w:r>
        <w:rPr>
          <w:rFonts w:eastAsia="宋体"/>
          <w:lang w:eastAsia="zh-CN"/>
        </w:rPr>
        <w:t>)</w:t>
      </w:r>
    </w:p>
    <w:p w14:paraId="20D65201">
      <w:pPr>
        <w:rPr>
          <w:rFonts w:eastAsia="宋体"/>
          <w:lang w:eastAsia="zh-CN"/>
        </w:rPr>
      </w:pPr>
      <w:r>
        <w:t>Yuli Pan</w:t>
      </w:r>
      <w:r>
        <w:rPr>
          <w:rFonts w:eastAsia="宋体"/>
          <w:lang w:eastAsia="zh-CN"/>
        </w:rPr>
        <w:t xml:space="preserve"> </w:t>
      </w:r>
      <w:r>
        <w:rPr>
          <w:rFonts w:eastAsia="宋体"/>
          <w:lang w:eastAsia="zh-CN"/>
        </w:rPr>
        <w:tab/>
      </w:r>
      <w:r>
        <w:rPr>
          <w:rFonts w:eastAsia="宋体"/>
          <w:lang w:eastAsia="zh-CN"/>
        </w:rPr>
        <w:tab/>
      </w:r>
      <w:r>
        <w:rPr>
          <w:rFonts w:eastAsia="宋体"/>
          <w:lang w:eastAsia="zh-CN"/>
        </w:rPr>
        <w:t>(</w:t>
      </w:r>
      <w:r>
        <w:fldChar w:fldCharType="begin"/>
      </w:r>
      <w:r>
        <w:instrText xml:space="preserve"> HYPERLINK "mailto:1944394953@qq.com" </w:instrText>
      </w:r>
      <w:r>
        <w:fldChar w:fldCharType="separate"/>
      </w:r>
      <w:r>
        <w:rPr>
          <w:rStyle w:val="21"/>
          <w:rFonts w:eastAsia="宋体"/>
          <w:lang w:eastAsia="zh-CN"/>
        </w:rPr>
        <w:t>1944394953@qq.com</w:t>
      </w:r>
      <w:r>
        <w:rPr>
          <w:rStyle w:val="21"/>
          <w:rFonts w:eastAsia="宋体"/>
          <w:lang w:eastAsia="zh-CN"/>
        </w:rPr>
        <w:fldChar w:fldCharType="end"/>
      </w:r>
      <w:r>
        <w:rPr>
          <w:rFonts w:eastAsia="宋体"/>
          <w:lang w:eastAsia="zh-CN"/>
        </w:rPr>
        <w:t>)</w:t>
      </w:r>
    </w:p>
    <w:p w14:paraId="53D97190">
      <w:pPr>
        <w:rPr>
          <w:rFonts w:eastAsia="宋体"/>
          <w:lang w:eastAsia="zh-CN"/>
        </w:rPr>
      </w:pPr>
      <w:r>
        <w:rPr>
          <w:rFonts w:eastAsia="宋体"/>
          <w:lang w:eastAsia="zh-CN"/>
        </w:rPr>
        <w:t xml:space="preserve">Jing Fu </w:t>
      </w:r>
      <w:r>
        <w:rPr>
          <w:rFonts w:eastAsia="宋体"/>
          <w:lang w:eastAsia="zh-CN"/>
        </w:rPr>
        <w:tab/>
      </w:r>
      <w:r>
        <w:rPr>
          <w:rFonts w:eastAsia="宋体"/>
          <w:lang w:eastAsia="zh-CN"/>
        </w:rPr>
        <w:tab/>
      </w:r>
      <w:r>
        <w:rPr>
          <w:rFonts w:eastAsia="宋体"/>
          <w:lang w:eastAsia="zh-CN"/>
        </w:rPr>
        <w:tab/>
      </w:r>
      <w:r>
        <w:rPr>
          <w:rFonts w:eastAsia="宋体"/>
          <w:lang w:eastAsia="zh-CN"/>
        </w:rPr>
        <w:t>(</w:t>
      </w:r>
      <w:r>
        <w:fldChar w:fldCharType="begin"/>
      </w:r>
      <w:r>
        <w:instrText xml:space="preserve"> HYPERLINK "mailto:1724403216@qq.com" </w:instrText>
      </w:r>
      <w:r>
        <w:fldChar w:fldCharType="separate"/>
      </w:r>
      <w:r>
        <w:rPr>
          <w:rStyle w:val="21"/>
          <w:rFonts w:eastAsia="宋体"/>
          <w:lang w:eastAsia="zh-CN"/>
        </w:rPr>
        <w:t>1724403216@qq.com</w:t>
      </w:r>
      <w:r>
        <w:rPr>
          <w:rStyle w:val="21"/>
          <w:rFonts w:eastAsia="宋体"/>
          <w:lang w:eastAsia="zh-CN"/>
        </w:rPr>
        <w:fldChar w:fldCharType="end"/>
      </w:r>
      <w:r>
        <w:rPr>
          <w:rFonts w:eastAsia="宋体"/>
          <w:lang w:eastAsia="zh-CN"/>
        </w:rPr>
        <w:t>)</w:t>
      </w:r>
    </w:p>
    <w:p w14:paraId="2C2860A4">
      <w:pPr>
        <w:rPr>
          <w:rFonts w:eastAsia="宋体"/>
          <w:lang w:eastAsia="zh-CN"/>
        </w:rPr>
      </w:pPr>
      <w:r>
        <w:rPr>
          <w:rFonts w:eastAsia="宋体"/>
          <w:lang w:eastAsia="zh-CN"/>
        </w:rPr>
        <w:t xml:space="preserve">Luna Li </w:t>
      </w:r>
      <w:r>
        <w:rPr>
          <w:rFonts w:eastAsia="宋体"/>
          <w:lang w:eastAsia="zh-CN"/>
        </w:rPr>
        <w:tab/>
      </w:r>
      <w:r>
        <w:rPr>
          <w:rFonts w:eastAsia="宋体"/>
          <w:lang w:eastAsia="zh-CN"/>
        </w:rPr>
        <w:tab/>
      </w:r>
      <w:r>
        <w:rPr>
          <w:rFonts w:eastAsia="宋体"/>
          <w:lang w:eastAsia="zh-CN"/>
        </w:rPr>
        <w:t>(</w:t>
      </w:r>
      <w:r>
        <w:fldChar w:fldCharType="begin"/>
      </w:r>
      <w:r>
        <w:instrText xml:space="preserve"> HYPERLINK "mailto:2660409171@qq.com" </w:instrText>
      </w:r>
      <w:r>
        <w:fldChar w:fldCharType="separate"/>
      </w:r>
      <w:r>
        <w:rPr>
          <w:rStyle w:val="21"/>
          <w:rFonts w:eastAsia="宋体"/>
          <w:lang w:eastAsia="zh-CN"/>
        </w:rPr>
        <w:t>2660409171@qq.com</w:t>
      </w:r>
      <w:r>
        <w:rPr>
          <w:rStyle w:val="21"/>
          <w:rFonts w:eastAsia="宋体"/>
          <w:lang w:eastAsia="zh-CN"/>
        </w:rPr>
        <w:fldChar w:fldCharType="end"/>
      </w:r>
      <w:r>
        <w:rPr>
          <w:rFonts w:eastAsia="宋体"/>
          <w:lang w:eastAsia="zh-CN"/>
        </w:rPr>
        <w:t>)</w:t>
      </w:r>
    </w:p>
    <w:p w14:paraId="5DB87CBD">
      <w:pPr>
        <w:rPr>
          <w:rFonts w:eastAsia="宋体"/>
          <w:lang w:eastAsia="zh-CN"/>
        </w:rPr>
      </w:pPr>
      <w:r>
        <w:rPr>
          <w:rFonts w:eastAsia="宋体"/>
          <w:lang w:eastAsia="zh-CN"/>
        </w:rPr>
        <w:t xml:space="preserve">Liangqi Jiangzhuo </w:t>
      </w:r>
      <w:r>
        <w:rPr>
          <w:rFonts w:eastAsia="宋体"/>
          <w:lang w:eastAsia="zh-CN"/>
        </w:rPr>
        <w:tab/>
      </w:r>
      <w:r>
        <w:rPr>
          <w:rFonts w:eastAsia="宋体"/>
          <w:lang w:eastAsia="zh-CN"/>
        </w:rPr>
        <w:t>(</w:t>
      </w:r>
      <w:r>
        <w:fldChar w:fldCharType="begin"/>
      </w:r>
      <w:r>
        <w:instrText xml:space="preserve"> HYPERLINK "mailto:2040688944@qq.com" </w:instrText>
      </w:r>
      <w:r>
        <w:fldChar w:fldCharType="separate"/>
      </w:r>
      <w:r>
        <w:rPr>
          <w:rStyle w:val="21"/>
          <w:rFonts w:eastAsia="宋体"/>
          <w:lang w:eastAsia="zh-CN"/>
        </w:rPr>
        <w:t>2040688944@qq.com</w:t>
      </w:r>
      <w:r>
        <w:rPr>
          <w:rStyle w:val="21"/>
          <w:rFonts w:eastAsia="宋体"/>
          <w:lang w:eastAsia="zh-CN"/>
        </w:rPr>
        <w:fldChar w:fldCharType="end"/>
      </w:r>
      <w:r>
        <w:rPr>
          <w:rFonts w:eastAsia="宋体"/>
          <w:lang w:eastAsia="zh-CN"/>
        </w:rPr>
        <w:t>)</w:t>
      </w:r>
    </w:p>
    <w:p w14:paraId="0310F9AD">
      <w:pPr>
        <w:rPr>
          <w:rFonts w:eastAsia="Malgun Gothic"/>
          <w:lang w:eastAsia="ko-KR"/>
        </w:rPr>
      </w:pPr>
      <w:r>
        <w:rPr>
          <w:rFonts w:eastAsia="宋体"/>
          <w:lang w:eastAsia="zh-CN"/>
        </w:rPr>
        <w:t xml:space="preserve">Jiantao Sun </w:t>
      </w:r>
      <w:r>
        <w:rPr>
          <w:rFonts w:eastAsia="宋体"/>
          <w:lang w:eastAsia="zh-CN"/>
        </w:rPr>
        <w:tab/>
      </w:r>
      <w:r>
        <w:rPr>
          <w:rFonts w:eastAsia="宋体"/>
          <w:lang w:eastAsia="zh-CN"/>
        </w:rPr>
        <w:tab/>
      </w:r>
      <w:r>
        <w:rPr>
          <w:rFonts w:eastAsia="宋体"/>
          <w:lang w:eastAsia="zh-CN"/>
        </w:rPr>
        <w:t>(</w:t>
      </w:r>
      <w:r>
        <w:fldChar w:fldCharType="begin"/>
      </w:r>
      <w:r>
        <w:instrText xml:space="preserve"> HYPERLINK "mailto:2706859429@qq.com" </w:instrText>
      </w:r>
      <w:r>
        <w:fldChar w:fldCharType="separate"/>
      </w:r>
      <w:r>
        <w:rPr>
          <w:rStyle w:val="21"/>
          <w:rFonts w:eastAsia="宋体"/>
          <w:lang w:eastAsia="zh-CN"/>
        </w:rPr>
        <w:t>2706859429@</w:t>
      </w:r>
      <w:r>
        <w:rPr>
          <w:rStyle w:val="21"/>
          <w:rFonts w:eastAsia="Malgun Gothic"/>
          <w:lang w:eastAsia="ko-KR"/>
        </w:rPr>
        <w:t>qq.com</w:t>
      </w:r>
      <w:r>
        <w:rPr>
          <w:rStyle w:val="21"/>
          <w:rFonts w:eastAsia="Malgun Gothic"/>
          <w:lang w:eastAsia="ko-KR"/>
        </w:rPr>
        <w:fldChar w:fldCharType="end"/>
      </w:r>
      <w:r>
        <w:rPr>
          <w:rFonts w:eastAsia="Malgun Gothic"/>
          <w:lang w:eastAsia="ko-KR"/>
        </w:rPr>
        <w:t>)</w:t>
      </w:r>
    </w:p>
    <w:p w14:paraId="16D5B560">
      <w:pPr>
        <w:rPr>
          <w:rFonts w:eastAsia="宋体"/>
          <w:lang w:eastAsia="zh-CN"/>
        </w:rPr>
      </w:pPr>
    </w:p>
    <w:p w14:paraId="5A0DAB89">
      <w:pPr>
        <w:rPr>
          <w:rFonts w:eastAsia="宋体"/>
          <w:lang w:eastAsia="zh-CN"/>
        </w:rPr>
      </w:pPr>
      <w:r>
        <w:rPr>
          <w:rFonts w:eastAsia="宋体"/>
          <w:lang w:eastAsia="zh-CN"/>
        </w:rPr>
        <w:t>*Email address of the corresponding author:</w:t>
      </w:r>
    </w:p>
    <w:p w14:paraId="66EA2CFD">
      <w:pPr>
        <w:rPr>
          <w:rFonts w:eastAsia="Malgun Gothic"/>
          <w:lang w:eastAsia="ko-KR"/>
        </w:rPr>
      </w:pPr>
      <w:r>
        <w:t>Cheng Bao</w:t>
      </w:r>
      <w:r>
        <w:rPr>
          <w:rFonts w:eastAsia="Malgun Gothic"/>
          <w:lang w:eastAsia="ko-KR"/>
        </w:rPr>
        <w:t xml:space="preserve"> </w:t>
      </w:r>
      <w:r>
        <w:rPr>
          <w:rFonts w:eastAsia="Malgun Gothic"/>
          <w:lang w:eastAsia="ko-KR"/>
        </w:rPr>
        <w:tab/>
      </w:r>
      <w:r>
        <w:rPr>
          <w:rFonts w:eastAsia="Malgun Gothic"/>
          <w:lang w:eastAsia="ko-KR"/>
        </w:rPr>
        <w:tab/>
      </w:r>
      <w:r>
        <w:rPr>
          <w:rFonts w:eastAsia="Malgun Gothic"/>
          <w:lang w:eastAsia="ko-KR"/>
        </w:rPr>
        <w:t>(</w:t>
      </w:r>
      <w:r>
        <w:fldChar w:fldCharType="begin"/>
      </w:r>
      <w:r>
        <w:instrText xml:space="preserve"> HYPERLINK "mailto:bc3725@ldu.edu.cn" </w:instrText>
      </w:r>
      <w:r>
        <w:fldChar w:fldCharType="separate"/>
      </w:r>
      <w:r>
        <w:rPr>
          <w:rStyle w:val="21"/>
          <w:rFonts w:eastAsia="Malgun Gothic"/>
          <w:lang w:eastAsia="ko-KR"/>
        </w:rPr>
        <w:t>bc3725@ldu.edu.cn</w:t>
      </w:r>
      <w:r>
        <w:rPr>
          <w:rStyle w:val="21"/>
          <w:rFonts w:eastAsia="Malgun Gothic"/>
          <w:lang w:eastAsia="ko-KR"/>
        </w:rPr>
        <w:fldChar w:fldCharType="end"/>
      </w:r>
      <w:r>
        <w:rPr>
          <w:rFonts w:eastAsia="Malgun Gothic"/>
          <w:lang w:eastAsia="ko-KR"/>
        </w:rPr>
        <w:t>)</w:t>
      </w:r>
    </w:p>
    <w:p w14:paraId="577B9CA4"/>
    <w:p w14:paraId="7304E82E">
      <w:r>
        <w:rPr>
          <w:b/>
        </w:rPr>
        <w:t>SUMMARY:</w:t>
      </w:r>
      <w:r>
        <w:t xml:space="preserve"> </w:t>
      </w:r>
    </w:p>
    <w:p w14:paraId="7790EFB2">
      <w:r>
        <w:t>This protocol describes the fabrication of dissolvable microneedle patches incorporating α-lactalbumin nanomicelles loaded with capsaicin. The method offers a reproducible, minimally invasive approach for targeted transdermal delivery of hydrophobic bioactives to adipose tissue, facilitating efficient local fat reduction and potentially expanding applications in obesity management.</w:t>
      </w:r>
    </w:p>
    <w:p w14:paraId="4C36DBA6"/>
    <w:p w14:paraId="7A0AE8AA">
      <w:r>
        <w:rPr>
          <w:b/>
        </w:rPr>
        <w:t>ABSTRACT:</w:t>
      </w:r>
    </w:p>
    <w:p w14:paraId="6B0E8E80">
      <w:r>
        <w:t xml:space="preserve">This protocol outlines the fabrication and application of dissolvable microneedle (MN) patches containing α-lactalbumin nanomicelles for the targeted transdermal delivery of capsaicin to adipose tissue. The process begins with the partial enzymatic hydrolysis of α-lactalbumin, resulting in amphiphilic peptides that self-assemble into nanomicelles encapsulating the hydrophobic compound capsaicin. The capsaicin-loaded nanomicelles are mixed with a hyaluronic acid (HA) and polyvinyl alcohol (PVA) matrix, cast into polydimethylsiloxane (PDMS) molds, and centrifuged to produce 10 × 10 MN arrays. After vacuum drying, the MNs exhibit adequate mechanical strength for skin penetration and dissolve within approximately 30 min of application. Representative results include scanning electron microscopy, which confirms uniform morphology of MN, confocal microscopy that verifies skin penetration and drug release, and </w:t>
      </w:r>
      <w:r>
        <w:rPr>
          <w:i/>
          <w:iCs/>
        </w:rPr>
        <w:t>in vivo</w:t>
      </w:r>
      <w:r>
        <w:t xml:space="preserve"> experiments in high-fat diet (HFD) mice, showing reduced fat mass, enhanced metabolic activity, and induction of adipose browning. This protocol provides a reproducible and minimally invasive method for the transdermal delivery of hydrophobic bioactives, offering a promising therapeutic approach for the management of obesity.</w:t>
      </w:r>
      <w:r>
        <w:rPr>
          <w:rFonts w:eastAsia="宋体"/>
          <w:lang w:eastAsia="zh-CN"/>
        </w:rPr>
        <w:t xml:space="preserve"> </w:t>
      </w:r>
      <w:r>
        <w:t>This protocol is optimized for reproducibility and is suitable for adaptation to other hydrophobic bioactives.</w:t>
      </w:r>
    </w:p>
    <w:p w14:paraId="2258AC12"/>
    <w:p w14:paraId="20AF4ADC">
      <w:r>
        <w:rPr>
          <w:b/>
        </w:rPr>
        <w:t>INTRODUCTION:</w:t>
      </w:r>
      <w:r>
        <w:t xml:space="preserve"> </w:t>
      </w:r>
    </w:p>
    <w:p w14:paraId="7C0B0048">
      <w:bookmarkStart w:id="0" w:name="OLE_LINK1"/>
      <w:bookmarkStart w:id="1" w:name="OLE_LINK2"/>
      <w:r>
        <w:t>Obesity has become one of the most pressing global health challenges, with prevalence rising steadily in both developed and developing countries. According to the World Health Organization, more than 650 million adults were classified as obese in 2016, and in 2022, approximately 43% of adults aged ≥18 years were overweight, and 16% were living with obesity</w:t>
      </w:r>
      <w:r>
        <w:fldChar w:fldCharType="begin"/>
      </w:r>
      <w:r>
        <w:instrText xml:space="preserve"> ADDIN EN.CITE &lt;EndNote&gt;&lt;Cite&gt;&lt;Author&gt;Organization&lt;/Author&gt;&lt;Year&gt;2025&lt;/Year&gt;&lt;RecNum&gt;1&lt;/RecNum&gt;&lt;DisplayText&gt;&lt;style face="superscript"&gt;1&lt;/style&gt;&lt;/DisplayText&gt;&lt;record&gt;&lt;rec-number&gt;1&lt;/rec-number&gt;&lt;foreign-keys&gt;&lt;key app="EN" db-id="txweffvp3090pcepzeb5dww09dtz0vvzzt9w" timestamp="1764036873"&gt;1&lt;/key&gt;&lt;/foreign-keys&gt;&lt;ref-type name="Web Page"&gt;12&lt;/ref-type&gt;&lt;contributors&gt;&lt;authors&gt;&lt;author&gt;World Health Organization&lt;/author&gt;&lt;/authors&gt;&lt;/contributors&gt;&lt;titles&gt;&lt;title&gt;Obesity and overweight&lt;/title&gt;&lt;/titles&gt;&lt;dates&gt;&lt;year&gt;2025&lt;/year&gt;&lt;/dates&gt;&lt;publisher&gt;Geneva: WHO&lt;/publisher&gt;&lt;urls&gt;&lt;related-urls&gt;&lt;url&gt;https://www.who.int/news-room/fact-sheets/detail/obesity-and-overweight&lt;/url&gt;&lt;/related-urls&gt;&lt;/urls&gt;&lt;/record&gt;&lt;/Cite&gt;&lt;/EndNote&gt;</w:instrText>
      </w:r>
      <w:r>
        <w:fldChar w:fldCharType="separate"/>
      </w:r>
      <w:r>
        <w:rPr>
          <w:vertAlign w:val="superscript"/>
        </w:rPr>
        <w:t>1</w:t>
      </w:r>
      <w:r>
        <w:fldChar w:fldCharType="end"/>
      </w:r>
      <w:r>
        <w:t>. Obesity is closely associated with metabolic syndrome, cardiovascular disease, type 2 diabetes, and several cancers, imposing substantial socioeconomic and healthcare burdens</w:t>
      </w:r>
      <w:r>
        <w:fldChar w:fldCharType="begin">
          <w:fldData xml:space="preserve">PEVuZE5vdGU+PENpdGU+PEF1dGhvcj5CcmF5PC9BdXRob3I+PFllYXI+MjAxNzwvWWVhcj48UmVj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</w:fldData>
        </w:fldChar>
      </w:r>
      <w:r>
        <w:instrText xml:space="preserve"> ADDIN EN.CITE </w:instrText>
      </w:r>
      <w:r>
        <w:fldChar w:fldCharType="begin">
          <w:fldData xml:space="preserve">PEVuZE5vdGU+PENpdGU+PEF1dGhvcj5CcmF5PC9BdXRob3I+PFllYXI+MjAxNzwvWWVhcj48UmVj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</w:fldData>
        </w:fldChar>
      </w:r>
      <w:r>
        <w:instrText xml:space="preserve"> ADDIN EN.CITE.DATA </w:instrText>
      </w:r>
      <w:r>
        <w:fldChar w:fldCharType="end"/>
      </w:r>
      <w:r>
        <w:fldChar w:fldCharType="separate"/>
      </w:r>
      <w:r>
        <w:rPr>
          <w:vertAlign w:val="superscript"/>
        </w:rPr>
        <w:t>2,3</w:t>
      </w:r>
      <w:r>
        <w:fldChar w:fldCharType="end"/>
      </w:r>
      <w:r>
        <w:t>. Current therapeutic strategies, including dietary restriction, exercise, pharmacotherapy, and bariatric surgery, provide only partial and often transient benefits. These approaches frequently suffer from poor patient adherence, limited long-term efficacy, high invasiveness, and undesirable adverse effects</w:t>
      </w:r>
      <w:r>
        <w:fldChar w:fldCharType="begin"/>
      </w:r>
      <w:r>
        <w:instrText xml:space="preserve"> ADDIN EN.CITE &lt;EndNote&gt;&lt;Cite&gt;&lt;Author&gt;Dietrich&lt;/Author&gt;&lt;Year&gt;2012&lt;/Year&gt;&lt;RecNum&gt;4&lt;/RecNum&gt;&lt;DisplayText&gt;&lt;style face="superscript"&gt;4,5&lt;/style&gt;&lt;/DisplayText&gt;&lt;record&gt;&lt;rec-number&gt;4&lt;/rec-number&gt;&lt;foreign-keys&gt;&lt;key app="EN" db-id="txweffvp3090pcepzeb5dww09dtz0vvzzt9w" timestamp="1764037246"&gt;4&lt;/key&gt;&lt;/foreign-keys&gt;&lt;ref-type name="Journal Article"&gt;17&lt;/ref-type&gt;&lt;contributors&gt;&lt;authors&gt;&lt;author&gt;Dietrich, Marcelo O&lt;/author&gt;&lt;author&gt;Horvath, Tamas L&lt;/author&gt;&lt;/authors&gt;&lt;/contributors&gt;&lt;titles&gt;&lt;title&gt;Limitations in anti-obesity drug development: the critical role of hunger-promoting neurons&lt;/title&gt;&lt;secondary-title&gt;Nature reviews Drug discovery&lt;/secondary-title&gt;&lt;/titles&gt;&lt;periodical&gt;&lt;full-title&gt;Nature reviews Drug discovery&lt;/full-title&gt;&lt;/periodical&gt;&lt;pages&gt;675-691&lt;/pages&gt;&lt;volume&gt;11&lt;/volume&gt;&lt;number&gt;9&lt;/number&gt;&lt;dates&gt;&lt;year&gt;2012&lt;/year&gt;&lt;/dates&gt;&lt;isbn&gt;1474-1776&lt;/isbn&gt;&lt;urls&gt;&lt;/urls&gt;&lt;/record&gt;&lt;/Cite&gt;&lt;Cite&gt;&lt;Author&gt;Garvey&lt;/Author&gt;&lt;Year&gt;2016&lt;/Year&gt;&lt;RecNum&gt;5&lt;/RecNum&gt;&lt;record&gt;&lt;rec-number&gt;5&lt;/rec-number&gt;&lt;foreign-keys&gt;&lt;key app="EN" db-id="txweffvp3090pcepzeb5dww09dtz0vvzzt9w" timestamp="1764037308"&gt;5&lt;/key&gt;&lt;/foreign-keys&gt;&lt;ref-type name="Journal Article"&gt;17&lt;/ref-type&gt;&lt;contributors&gt;&lt;authors&gt;&lt;author&gt;Garvey, W Timothy&lt;/author&gt;&lt;author&gt;Mechanick, Jeffrey I&lt;/author&gt;&lt;author&gt;Brett, Elise M&lt;/author&gt;&lt;author&gt;Garber, Alan J&lt;/author&gt;&lt;author&gt;Hurley, Daniel L&lt;/author&gt;&lt;author&gt;Jastreboff, Ania M&lt;/author&gt;&lt;author&gt;Nadolsky, Karl&lt;/author&gt;&lt;author&gt;Pessah-Pollack, Rachel&lt;/author&gt;&lt;author&gt;Plodkowski, Raymond&lt;/author&gt;&lt;/authors&gt;&lt;/contributors&gt;&lt;titles&gt;&lt;title&gt;American Association of Clinical Endocrinologists and American College of Endocrinology comprehensive clinical practice guidelines for medical care of patients with obesity&lt;/title&gt;&lt;secondary-title&gt;Endocrine Practice&lt;/secondary-title&gt;&lt;/titles&gt;&lt;periodical&gt;&lt;full-title&gt;Endocrine Practice&lt;/full-title&gt;&lt;/periodical&gt;&lt;pages&gt;1-203&lt;/pages&gt;&lt;volume&gt;22&lt;/volume&gt;&lt;dates&gt;&lt;year&gt;2016&lt;/year&gt;&lt;/dates&gt;&lt;isbn&gt;1530-891X&lt;/isbn&gt;&lt;urls&gt;&lt;/urls&gt;&lt;/record&gt;&lt;/Cite&gt;&lt;/EndNote&gt;</w:instrText>
      </w:r>
      <w:r>
        <w:fldChar w:fldCharType="separate"/>
      </w:r>
      <w:r>
        <w:rPr>
          <w:vertAlign w:val="superscript"/>
        </w:rPr>
        <w:t>4,5</w:t>
      </w:r>
      <w:r>
        <w:fldChar w:fldCharType="end"/>
      </w:r>
      <w:r>
        <w:t>. Consequently, there is an urgent need for safe, effective, and patient-compliant localized therapies for obesity management.</w:t>
      </w:r>
    </w:p>
    <w:p w14:paraId="666B186F"/>
    <w:p w14:paraId="3422A422">
      <w:pPr>
        <w:rPr>
          <w:rFonts w:eastAsiaTheme="minorEastAsia"/>
          <w:lang w:eastAsia="zh-CN"/>
        </w:rPr>
      </w:pPr>
      <w:r>
        <w:t>Natural bioactive compounds have attracted increasing interest as anti-obesity agents due to their multi-targeted actions and generally favorable safety profiles. For example, rutin, a flavonoid glycoside, exhibits anti-lipogenic and metabolic regulatory effects by suppressing adipogenic transcription factors and promoting mitochondrial biogenesis</w:t>
      </w:r>
      <w:r>
        <w:fldChar w:fldCharType="begin"/>
      </w:r>
      <w:r>
        <w:instrText xml:space="preserve"> ADDIN EN.CITE &lt;EndNote&gt;&lt;Cite&gt;&lt;Author&gt;Li&lt;/Author&gt;&lt;Year&gt;2023&lt;/Year&gt;&lt;RecNum&gt;6&lt;/RecNum&gt;&lt;DisplayText&gt;&lt;style face="superscript"&gt;6&lt;/style&gt;&lt;/DisplayText&gt;&lt;record&gt;&lt;rec-number&gt;6&lt;/rec-number&gt;&lt;foreign-keys&gt;&lt;key app="EN" db-id="txweffvp3090pcepzeb5dww09dtz0vvzzt9w" timestamp="1764037337"&gt;6&lt;/key&gt;&lt;/foreign-keys&gt;&lt;ref-type name="Journal Article"&gt;17&lt;/ref-type&gt;&lt;contributors&gt;&lt;authors&gt;&lt;author&gt;Li, Zekun&lt;/author&gt;&lt;author&gt;Liang, Shuang&lt;/author&gt;&lt;author&gt;Sun, Huijuan&lt;/author&gt;&lt;author&gt;Bao, Cheng&lt;/author&gt;&lt;author&gt;Li, Yuan&lt;/author&gt;&lt;/authors&gt;&lt;/contributors&gt;&lt;titles&gt;&lt;title&gt;Antilipogenesis effect of Rutin-Loaded liposomes using a microneedle delivery system&lt;/title&gt;&lt;secondary-title&gt;ACS Applied Materials &amp;amp; Interfaces&lt;/secondary-title&gt;&lt;/titles&gt;&lt;periodical&gt;&lt;full-title&gt;ACS Applied Materials &amp;amp; Interfaces&lt;/full-title&gt;&lt;/periodical&gt;&lt;pages&gt;54294-54303&lt;/pages&gt;&lt;volume&gt;15&lt;/volume&gt;&lt;number&gt;47&lt;/number&gt;&lt;dates&gt;&lt;year&gt;2023&lt;/year&gt;&lt;/dates&gt;&lt;isbn&gt;1944-8244&lt;/isbn&gt;&lt;urls&gt;&lt;/urls&gt;&lt;/record&gt;&lt;/Cite&gt;&lt;/EndNote&gt;</w:instrText>
      </w:r>
      <w:r>
        <w:fldChar w:fldCharType="separate"/>
      </w:r>
      <w:r>
        <w:rPr>
          <w:vertAlign w:val="superscript"/>
        </w:rPr>
        <w:t>6</w:t>
      </w:r>
      <w:r>
        <w:fldChar w:fldCharType="end"/>
      </w:r>
      <w:r>
        <w:t xml:space="preserve">. Capsaicin, the pungent component of chili peppers, has been reported to enhance energy expenditure, induce browning of white adipose tissue, and inhibit lipid accumulation </w:t>
      </w:r>
      <w:r>
        <w:rPr>
          <w:i/>
          <w:iCs/>
        </w:rPr>
        <w:t>via</w:t>
      </w:r>
      <w:r>
        <w:t xml:space="preserve"> activation of transient receptor potential vanilloid 1 (TRPV1) signaling</w:t>
      </w:r>
      <w:r>
        <w:fldChar w:fldCharType="begin"/>
      </w:r>
      <w:r>
        <w:instrText xml:space="preserve"> ADDIN EN.CITE &lt;EndNote&gt;&lt;Cite&gt;&lt;Author&gt;Hsu&lt;/Author&gt;&lt;Year&gt;2007&lt;/Year&gt;&lt;RecNum&gt;8&lt;/RecNum&gt;&lt;DisplayText&gt;&lt;style face="superscript"&gt;7,8&lt;/style&gt;&lt;/DisplayText&gt;&lt;record&gt;&lt;rec-number&gt;8&lt;/rec-number&gt;&lt;foreign-keys&gt;&lt;key app="EN" db-id="txweffvp3090pcepzeb5dww09dtz0vvzzt9w" timestamp="1764037387"&gt;8&lt;/key&gt;&lt;/foreign-keys&gt;&lt;ref-type name="Journal Article"&gt;17&lt;/ref-type&gt;&lt;contributors&gt;&lt;authors&gt;&lt;author&gt;Hsu, Chin-Lin&lt;/author&gt;&lt;author&gt;Yen, Gow-Chin&lt;/author&gt;&lt;/authors&gt;&lt;/contributors&gt;&lt;titles&gt;&lt;title&gt;Effects of flavonoids and phenolic acids on the inhibition of adipogenesis in 3T3-L1 adipocytes&lt;/title&gt;&lt;secondary-title&gt;Journal of agricultural and food chemistry&lt;/secondary-title&gt;&lt;/titles&gt;&lt;periodical&gt;&lt;full-title&gt;Journal of agricultural and food chemistry&lt;/full-title&gt;&lt;/periodical&gt;&lt;pages&gt;8404-8410&lt;/pages&gt;&lt;volume&gt;55&lt;/volume&gt;&lt;number&gt;21&lt;/number&gt;&lt;dates&gt;&lt;year&gt;2007&lt;/year&gt;&lt;/dates&gt;&lt;isbn&gt;0021-8561&lt;/isbn&gt;&lt;urls&gt;&lt;/urls&gt;&lt;/record&gt;&lt;/Cite&gt;&lt;Cite&gt;&lt;Author&gt;Zhang&lt;/Author&gt;&lt;Year&gt;2007&lt;/Year&gt;&lt;RecNum&gt;7&lt;/RecNum&gt;&lt;record&gt;&lt;rec-number&gt;7&lt;/rec-number&gt;&lt;foreign-keys&gt;&lt;key app="EN" db-id="txweffvp3090pcepzeb5dww09dtz0vvzzt9w" timestamp="1764037366"&gt;7&lt;/key&gt;&lt;/foreign-keys&gt;&lt;ref-type name="Journal Article"&gt;17&lt;/ref-type&gt;&lt;contributors&gt;&lt;authors&gt;&lt;author&gt;Zhang, Li Li&lt;/author&gt;&lt;author&gt;Yan Liu, Dao&lt;/author&gt;&lt;author&gt;Ma, Li Qun&lt;/author&gt;&lt;author&gt;Luo, Zhi Dan&lt;/author&gt;&lt;author&gt;Cao, Ting Bing&lt;/author&gt;&lt;author&gt;Zhong, Jian&lt;/author&gt;&lt;author&gt;Yan, Zhen Cheng&lt;/author&gt;&lt;author&gt;Wang, Li Juan&lt;/author&gt;&lt;author&gt;Zhao, Zhi Gang&lt;/author&gt;&lt;author&gt;Zhu, Shan Jun&lt;/author&gt;&lt;/authors&gt;&lt;/contributors&gt;&lt;titles&gt;&lt;title&gt;Activation of transient receptor potential vanilloid type-1 channel prevents adipogenesis and obesity&lt;/title&gt;&lt;secondary-title&gt;Circulation research&lt;/secondary-title&gt;&lt;/titles&gt;&lt;periodical&gt;&lt;full-title&gt;Circulation research&lt;/full-title&gt;&lt;/periodical&gt;&lt;pages&gt;1063-1070&lt;/pages&gt;&lt;volume&gt;100&lt;/volume&gt;&lt;number&gt;7&lt;/number&gt;&lt;dates&gt;&lt;year&gt;2007&lt;/year&gt;&lt;/dates&gt;&lt;isbn&gt;0009-7330&lt;/isbn&gt;&lt;urls&gt;&lt;/urls&gt;&lt;/record&gt;&lt;/Cite&gt;&lt;/EndNote&gt;</w:instrText>
      </w:r>
      <w:r>
        <w:fldChar w:fldCharType="separate"/>
      </w:r>
      <w:r>
        <w:rPr>
          <w:vertAlign w:val="superscript"/>
        </w:rPr>
        <w:t>7,8</w:t>
      </w:r>
      <w:r>
        <w:fldChar w:fldCharType="end"/>
      </w:r>
      <w:r>
        <w:t>. However, the clinical translation of these compounds is hindered by poor aqueous solubility, low oral bioavailability, rapid metabolism, and, in the case of capsaicin, gastrointestinal irritation upon ingestion</w:t>
      </w:r>
      <w:r>
        <w:fldChar w:fldCharType="begin"/>
      </w:r>
      <w:r>
        <w:instrText xml:space="preserve"> ADDIN EN.CITE &lt;EndNote&gt;&lt;Cite&gt;&lt;Author&gt;Zheng&lt;/Author&gt;&lt;Year&gt;2017&lt;/Year&gt;&lt;RecNum&gt;9&lt;/RecNum&gt;&lt;DisplayText&gt;&lt;style face="superscript"&gt;9&lt;/style&gt;&lt;/DisplayText&gt;&lt;record&gt;&lt;rec-number&gt;9&lt;/rec-number&gt;&lt;foreign-keys&gt;&lt;key app="EN" db-id="txweffvp3090pcepzeb5dww09dtz0vvzzt9w" timestamp="1764037414"&gt;9&lt;/key&gt;&lt;/foreign-keys&gt;&lt;ref-type name="Journal Article"&gt;17&lt;/ref-type&gt;&lt;contributors&gt;&lt;authors&gt;&lt;author&gt;Zheng, Jia&lt;/author&gt;&lt;author&gt;Zheng, Sheng&lt;/author&gt;&lt;author&gt;Feng, Qianyun&lt;/author&gt;&lt;author&gt;Zhang, Qian&lt;/author&gt;&lt;author&gt;Xiao, Xinhua&lt;/author&gt;&lt;/authors&gt;&lt;/contributors&gt;&lt;titles&gt;&lt;title&gt;Dietary capsaicin and its anti-obesity potency: from mechanism to clinical implications&lt;/title&gt;&lt;secondary-title&gt;Bioscience reports&lt;/secondary-title&gt;&lt;/titles&gt;&lt;periodical&gt;&lt;full-title&gt;Bioscience reports&lt;/full-title&gt;&lt;/periodical&gt;&lt;pages&gt;BSR20170286&lt;/pages&gt;&lt;volume&gt;37&lt;/volume&gt;&lt;number&gt;3&lt;/number&gt;&lt;dates&gt;&lt;year&gt;2017&lt;/year&gt;&lt;/dates&gt;&lt;isbn&gt;0144-8463&lt;/isbn&gt;&lt;urls&gt;&lt;/urls&gt;&lt;/record&gt;&lt;/Cite&gt;&lt;/EndNote&gt;</w:instrText>
      </w:r>
      <w:r>
        <w:fldChar w:fldCharType="separate"/>
      </w:r>
      <w:r>
        <w:rPr>
          <w:vertAlign w:val="superscript"/>
        </w:rPr>
        <w:t>9</w:t>
      </w:r>
      <w:r>
        <w:fldChar w:fldCharType="end"/>
      </w:r>
      <w:r>
        <w:t>.</w:t>
      </w:r>
    </w:p>
    <w:p w14:paraId="6C391B02"/>
    <w:p w14:paraId="76D4F19B">
      <w:pPr>
        <w:rPr>
          <w:rFonts w:eastAsiaTheme="minorEastAsia"/>
          <w:lang w:eastAsia="zh-CN"/>
        </w:rPr>
      </w:pPr>
      <w:r>
        <w:t>Nanotechnology-based drug delivery systems offer promising solutions to these limitations. Liposomes, polymeric nanoparticles, and protein-based nanocarriers can markedly improve drug solubility, stability, and cellular uptake</w:t>
      </w:r>
      <w:r>
        <w:fldChar w:fldCharType="begin"/>
      </w:r>
      <w:r>
        <w:instrText xml:space="preserve"> ADDIN EN.CITE &lt;EndNote&gt;&lt;Cite&gt;&lt;Author&gt;Negahdari&lt;/Author&gt;&lt;Year&gt;2021&lt;/Year&gt;&lt;RecNum&gt;10&lt;/RecNum&gt;&lt;DisplayText&gt;&lt;style face="superscript"&gt;10&lt;/style&gt;&lt;/DisplayText&gt;&lt;record&gt;&lt;rec-number&gt;10&lt;/rec-number&gt;&lt;foreign-keys&gt;&lt;key app="EN" db-id="txweffvp3090pcepzeb5dww09dtz0vvzzt9w" timestamp="1764037432"&gt;10&lt;/key&gt;&lt;/foreign-keys&gt;&lt;ref-type name="Journal Article"&gt;17&lt;/ref-type&gt;&lt;contributors&gt;&lt;authors&gt;&lt;author&gt;Negahdari, Ramin&lt;/author&gt;&lt;author&gt;Bohlouli, Sepideh&lt;/author&gt;&lt;author&gt;Sharifi, Simin&lt;/author&gt;&lt;author&gt;Maleki Dizaj, Solmaz&lt;/author&gt;&lt;author&gt;Rahbar Saadat, Yalda&lt;/author&gt;&lt;author&gt;Khezri, Khadijeh&lt;/author&gt;&lt;author&gt;Jafari, Samira&lt;/author&gt;&lt;author&gt;Ahmadian, Elham&lt;/author&gt;&lt;author&gt;Gorbani Jahandizi, Negar&lt;/author&gt;&lt;author&gt;Raeesi, Safa&lt;/author&gt;&lt;/authors&gt;&lt;/contributors&gt;&lt;titles&gt;&lt;title&gt;Therapeutic benefits of rutin and its nanoformulations&lt;/title&gt;&lt;secondary-title&gt;Phytotherapy Research&lt;/secondary-title&gt;&lt;/titles&gt;&lt;periodical&gt;&lt;full-title&gt;Phytotherapy Research&lt;/full-title&gt;&lt;/periodical&gt;&lt;pages&gt;1719-1738&lt;/pages&gt;&lt;volume&gt;35&lt;/volume&gt;&lt;number&gt;4&lt;/number&gt;&lt;dates&gt;&lt;year&gt;2021&lt;/year&gt;&lt;/dates&gt;&lt;isbn&gt;0951-418X&lt;/isbn&gt;&lt;urls&gt;&lt;/urls&gt;&lt;/record&gt;&lt;/Cite&gt;&lt;/EndNote&gt;</w:instrText>
      </w:r>
      <w:r>
        <w:fldChar w:fldCharType="separate"/>
      </w:r>
      <w:r>
        <w:rPr>
          <w:vertAlign w:val="superscript"/>
        </w:rPr>
        <w:t>10</w:t>
      </w:r>
      <w:r>
        <w:fldChar w:fldCharType="end"/>
      </w:r>
      <w:r>
        <w:t>. In particular, α-lactalbumin, a food-derived milk protein, can be partially hydrolyzed into amphiphilic peptides that self-assemble into nanomicelles capable of encapsulating hydrophobic molecules such as capsaicin</w:t>
      </w:r>
      <w:r>
        <w:fldChar w:fldCharType="begin"/>
      </w:r>
      <w:r>
        <w:instrText xml:space="preserve"> ADDIN EN.CITE &lt;EndNote&gt;&lt;Cite&gt;&lt;Author&gt;Bao&lt;/Author&gt;&lt;Year&gt;2021&lt;/Year&gt;&lt;RecNum&gt;11&lt;/RecNum&gt;&lt;DisplayText&gt;&lt;style face="superscript"&gt;11&lt;/style&gt;&lt;/DisplayText&gt;&lt;record&gt;&lt;rec-number&gt;11&lt;/rec-number&gt;&lt;foreign-keys&gt;&lt;key app="EN" db-id="txweffvp3090pcepzeb5dww09dtz0vvzzt9w" timestamp="1764037450"&gt;11&lt;/key&gt;&lt;/foreign-keys&gt;&lt;ref-type name="Journal Article"&gt;17&lt;/ref-type&gt;&lt;contributors&gt;&lt;authors&gt;&lt;author&gt;Bao, Cheng&lt;/author&gt;&lt;author&gt;Li, Zekun&lt;/author&gt;&lt;author&gt;Liang, Shuang&lt;/author&gt;&lt;author&gt;Hu, Yulin&lt;/author&gt;&lt;author&gt;Wang, Xiaoyu&lt;/author&gt;&lt;author&gt;Fang, Bing&lt;/author&gt;&lt;author&gt;Wang, Pengjie&lt;/author&gt;&lt;author&gt;Chen, Shanan&lt;/author&gt;&lt;author&gt;Li, Yuan&lt;/author&gt;&lt;/authors&gt;&lt;/contributors&gt;&lt;titles&gt;&lt;title&gt;Microneedle patch delivery of capsaicin‐containing α‐lactalbumin nanomicelles to adipocytes achieves potent anti‐obesity effects&lt;/title&gt;&lt;secondary-title&gt;Advanced Functional Materials&lt;/secondary-title&gt;&lt;/titles&gt;&lt;periodical&gt;&lt;full-title&gt;Advanced Functional Materials&lt;/full-title&gt;&lt;/periodical&gt;&lt;pages&gt;2011130&lt;/pages&gt;&lt;volume&gt;31&lt;/volume&gt;&lt;number&gt;20&lt;/number&gt;&lt;dates&gt;&lt;year&gt;2021&lt;/year&gt;&lt;/dates&gt;&lt;isbn&gt;1616-301X&lt;/isbn&gt;&lt;urls&gt;&lt;/urls&gt;&lt;/record&gt;&lt;/Cite&gt;&lt;/EndNote&gt;</w:instrText>
      </w:r>
      <w:r>
        <w:fldChar w:fldCharType="separate"/>
      </w:r>
      <w:r>
        <w:rPr>
          <w:vertAlign w:val="superscript"/>
        </w:rPr>
        <w:t>11</w:t>
      </w:r>
      <w:r>
        <w:fldChar w:fldCharType="end"/>
      </w:r>
      <w:r>
        <w:t>. These α-lactalbumin nanostructures have been shown to enhance the solubility, stability, and bioavailability of diverse hydrophobic bioactives in food and pharmaceutical matrices</w:t>
      </w:r>
      <w:r>
        <w:fldChar w:fldCharType="begin">
          <w:fldData xml:space="preserve">PEVuZE5vdGU+PENpdGU+PEF1dGhvcj5IdTwvQXV0aG9yPjxZZWFyPjIwMTk8L1llYXI+PFJlY051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</w:fldData>
        </w:fldChar>
      </w:r>
      <w:r>
        <w:instrText xml:space="preserve"> ADDIN EN.CITE </w:instrText>
      </w:r>
      <w:r>
        <w:fldChar w:fldCharType="begin">
          <w:fldData xml:space="preserve">PEVuZE5vdGU+PENpdGU+PEF1dGhvcj5IdTwvQXV0aG9yPjxZZWFyPjIwMTk8L1llYXI+PFJlY051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</w:fldData>
        </w:fldChar>
      </w:r>
      <w:r>
        <w:instrText xml:space="preserve"> ADDIN EN.CITE.DATA </w:instrText>
      </w:r>
      <w:r>
        <w:fldChar w:fldCharType="end"/>
      </w:r>
      <w:r>
        <w:fldChar w:fldCharType="separate"/>
      </w:r>
      <w:r>
        <w:rPr>
          <w:vertAlign w:val="superscript"/>
        </w:rPr>
        <w:t>12,13</w:t>
      </w:r>
      <w:r>
        <w:fldChar w:fldCharType="end"/>
      </w:r>
      <w:r>
        <w:t>. Nevertheless, systemic administration of nanocarriers can still lead to off-target tissue distribution and potential systemic toxicity</w:t>
      </w:r>
      <w:r>
        <w:fldChar w:fldCharType="begin"/>
      </w:r>
      <w:r>
        <w:instrText xml:space="preserve"> ADDIN EN.CITE &lt;EndNote&gt;&lt;Cite&gt;&lt;Author&gt;Luo&lt;/Author&gt;&lt;Year&gt;2025&lt;/Year&gt;&lt;RecNum&gt;12&lt;/RecNum&gt;&lt;DisplayText&gt;&lt;style face="superscript"&gt;14&lt;/style&gt;&lt;/DisplayText&gt;&lt;record&gt;&lt;rec-number&gt;12&lt;/rec-number&gt;&lt;foreign-keys&gt;&lt;key app="EN" db-id="txweffvp3090pcepzeb5dww09dtz0vvzzt9w" timestamp="1764037503"&gt;12&lt;/key&gt;&lt;/foreign-keys&gt;&lt;ref-type name="Journal Article"&gt;17&lt;/ref-type&gt;&lt;contributors&gt;&lt;authors&gt;&lt;author&gt;Luo, Taimin&lt;/author&gt;&lt;author&gt;Chen, Lei&lt;/author&gt;&lt;author&gt;Tu, Kun&lt;/author&gt;&lt;author&gt;Jiang, Longyang&lt;/author&gt;&lt;author&gt;Liang, Sicheng&lt;/author&gt;&lt;author&gt;Wang, Shurong&lt;/author&gt;&lt;author&gt;Huang, Yilan&lt;/author&gt;&lt;author&gt;Yang, Xuping&lt;/author&gt;&lt;/authors&gt;&lt;/contributors&gt;&lt;titles&gt;&lt;title&gt;Adipose tissue-targeted drug delivery for treating obesity: current opportunities and challenges&lt;/title&gt;&lt;secondary-title&gt;Drug Delivery&lt;/secondary-title&gt;&lt;/titles&gt;&lt;periodical&gt;&lt;full-title&gt;Drug Delivery&lt;/full-title&gt;&lt;/periodical&gt;&lt;pages&gt;2547751&lt;/pages&gt;&lt;volume&gt;32&lt;/volume&gt;&lt;number&gt;1&lt;/number&gt;&lt;dates&gt;&lt;year&gt;2025&lt;/year&gt;&lt;/dates&gt;&lt;isbn&gt;1071-7544&lt;/isbn&gt;&lt;urls&gt;&lt;/urls&gt;&lt;/record&gt;&lt;/Cite&gt;&lt;/EndNote&gt;</w:instrText>
      </w:r>
      <w:r>
        <w:fldChar w:fldCharType="separate"/>
      </w:r>
      <w:r>
        <w:rPr>
          <w:vertAlign w:val="superscript"/>
        </w:rPr>
        <w:t>14</w:t>
      </w:r>
      <w:r>
        <w:fldChar w:fldCharType="end"/>
      </w:r>
      <w:r>
        <w:t>.</w:t>
      </w:r>
    </w:p>
    <w:p w14:paraId="1E8F3185"/>
    <w:p w14:paraId="4BAD542C">
      <w:r>
        <w:t>Microneedle (MN) technology has emerged as a minimally invasive, patient-friendly platform for transdermal drug delivery. Dissolvable MNs prepared from biocompatible polymers such as hyaluronic acid (HA) and polyvinyl alcohol (PVA) can painlessly penetrate the stratum corneum, dissolve after insertion, and enable precise local drug deposition in targeted tissues</w:t>
      </w:r>
      <w:r>
        <w:fldChar w:fldCharType="begin"/>
      </w:r>
      <w:r>
        <w:instrText xml:space="preserve"> ADDIN EN.CITE &lt;EndNote&gt;&lt;Cite&gt;&lt;Author&gt;Patel&lt;/Author&gt;&lt;Year&gt;2011&lt;/Year&gt;&lt;RecNum&gt;13&lt;/RecNum&gt;&lt;DisplayText&gt;&lt;style face="superscript"&gt;15,16&lt;/style&gt;&lt;/DisplayText&gt;&lt;record&gt;&lt;rec-number&gt;13&lt;/rec-number&gt;&lt;foreign-keys&gt;&lt;key app="EN" db-id="txweffvp3090pcepzeb5dww09dtz0vvzzt9w" timestamp="1764037556"&gt;13&lt;/key&gt;&lt;/foreign-keys&gt;&lt;ref-type name="Journal Article"&gt;17&lt;/ref-type&gt;&lt;contributors&gt;&lt;authors&gt;&lt;author&gt;Patel, D&lt;/author&gt;&lt;author&gt;Patel, N&lt;/author&gt;&lt;author&gt;Parmar, M&lt;/author&gt;&lt;author&gt;Kaur, N&lt;/author&gt;&lt;/authors&gt;&lt;/contributors&gt;&lt;titles&gt;&lt;title&gt;Transdermal drug delivery system: An Overview&lt;/title&gt;&lt;secondary-title&gt;International Journal of Toxicological and Pharmacological Research&lt;/secondary-title&gt;&lt;/titles&gt;&lt;periodical&gt;&lt;full-title&gt;International Journal of Toxicological and Pharmacological Research&lt;/full-title&gt;&lt;/periodical&gt;&lt;pages&gt;61-80&lt;/pages&gt;&lt;volume&gt;1&lt;/volume&gt;&lt;dates&gt;&lt;year&gt;2011&lt;/year&gt;&lt;/dates&gt;&lt;urls&gt;&lt;/urls&gt;&lt;/record&gt;&lt;/Cite&gt;&lt;Cite&gt;&lt;Author&gt;Singh&lt;/Author&gt;&lt;Year&gt;2024&lt;/Year&gt;&lt;RecNum&gt;14&lt;/RecNum&gt;&lt;record&gt;&lt;rec-number&gt;14&lt;/rec-number&gt;&lt;foreign-keys&gt;&lt;key app="EN" db-id="txweffvp3090pcepzeb5dww09dtz0vvzzt9w" timestamp="1764037679"&gt;14&lt;/key&gt;&lt;/foreign-keys&gt;&lt;ref-type name="Journal Article"&gt;17&lt;/ref-type&gt;&lt;contributors&gt;&lt;authors&gt;&lt;author&gt;Singh, Parbeen&lt;/author&gt;&lt;author&gt;Vinikoor, Tra&lt;/author&gt;&lt;author&gt;Sharma, Nidhi&lt;/author&gt;&lt;author&gt;Nelson, Nicole&lt;/author&gt;&lt;author&gt;Prasadh, Somasundaram&lt;/author&gt;&lt;author&gt;Oiknine, Ralph&lt;/author&gt;&lt;author&gt;Nguyen, Thanh Duc&lt;/author&gt;&lt;/authors&gt;&lt;/contributors&gt;&lt;titles&gt;&lt;title&gt;Single‐Administration Self‐Boosting Microneedle Patch for the Treatment of Obesity&lt;/title&gt;&lt;secondary-title&gt;Advanced Therapeutics&lt;/secondary-title&gt;&lt;/titles&gt;&lt;periodical&gt;&lt;full-title&gt;Advanced Therapeutics&lt;/full-title&gt;&lt;/periodical&gt;&lt;pages&gt;2400028&lt;/pages&gt;&lt;volume&gt;7&lt;/volume&gt;&lt;number&gt;9&lt;/number&gt;&lt;dates&gt;&lt;year&gt;2024&lt;/year&gt;&lt;/dates&gt;&lt;isbn&gt;2366-3987&lt;/isbn&gt;&lt;urls&gt;&lt;/urls&gt;&lt;/record&gt;&lt;/Cite&gt;&lt;/EndNote&gt;</w:instrText>
      </w:r>
      <w:r>
        <w:fldChar w:fldCharType="separate"/>
      </w:r>
      <w:r>
        <w:rPr>
          <w:vertAlign w:val="superscript"/>
        </w:rPr>
        <w:t>15,16</w:t>
      </w:r>
      <w:r>
        <w:fldChar w:fldCharType="end"/>
      </w:r>
      <w:r>
        <w:t>. Combining nanocarriers with MNs further increases drug accumulation in subcutaneous adipose tissue while reducing systemic exposure and side effects</w:t>
      </w:r>
      <w:r>
        <w:fldChar w:fldCharType="begin"/>
      </w:r>
      <w:r>
        <w:instrText xml:space="preserve"> ADDIN EN.CITE &lt;EndNote&gt;&lt;Cite&gt;&lt;Author&gt;Than&lt;/Author&gt;&lt;Year&gt;2017&lt;/Year&gt;&lt;RecNum&gt;15&lt;/RecNum&gt;&lt;DisplayText&gt;&lt;style face="superscript"&gt;17&lt;/style&gt;&lt;/DisplayText&gt;&lt;record&gt;&lt;rec-number&gt;15&lt;/rec-number&gt;&lt;foreign-keys&gt;&lt;key app="EN" db-id="txweffvp3090pcepzeb5dww09dtz0vvzzt9w" timestamp="1764037723"&gt;15&lt;/key&gt;&lt;/foreign-keys&gt;&lt;ref-type name="Journal Article"&gt;17&lt;/ref-type&gt;&lt;contributors&gt;&lt;authors&gt;&lt;author&gt;Than, Aung&lt;/author&gt;&lt;author&gt;Liang, Ke&lt;/author&gt;&lt;author&gt;Xu, Shaohai&lt;/author&gt;&lt;author&gt;Sun, Lei&lt;/author&gt;&lt;author&gt;Duan, Hongwei&lt;/author&gt;&lt;author&gt;Xi, Fengna&lt;/author&gt;&lt;author&gt;Xu, Chenjie&lt;/author&gt;&lt;author&gt;Chen, Peng&lt;/author&gt;&lt;/authors&gt;&lt;/contributors&gt;&lt;titles&gt;&lt;title&gt;Transdermal delivery of anti‐obesity compounds to subcutaneous adipose tissue with polymeric microneedle patches&lt;/title&gt;&lt;secondary-title&gt;Small Methods&lt;/secondary-title&gt;&lt;/titles&gt;&lt;periodical&gt;&lt;full-title&gt;Small Methods&lt;/full-title&gt;&lt;/periodical&gt;&lt;pages&gt;1700269&lt;/pages&gt;&lt;volume&gt;1&lt;/volume&gt;&lt;number&gt;11&lt;/number&gt;&lt;dates&gt;&lt;year&gt;2017&lt;/year&gt;&lt;/dates&gt;&lt;isbn&gt;2366-9608&lt;/isbn&gt;&lt;urls&gt;&lt;/urls&gt;&lt;/record&gt;&lt;/Cite&gt;&lt;/EndNote&gt;</w:instrText>
      </w:r>
      <w:r>
        <w:fldChar w:fldCharType="separate"/>
      </w:r>
      <w:r>
        <w:rPr>
          <w:vertAlign w:val="superscript"/>
        </w:rPr>
        <w:t>17</w:t>
      </w:r>
      <w:r>
        <w:fldChar w:fldCharType="end"/>
      </w:r>
      <w:r>
        <w:t>. Importantly, dissolving HA- and PVA-based MN patches are being advanced toward clinical use for transdermal delivery of vaccines and biopharmaceuticals, demonstrating favorable safety, patient acceptance, and manufacturability at scale</w:t>
      </w:r>
      <w:r>
        <w:fldChar w:fldCharType="begin"/>
      </w:r>
      <w:r>
        <w:instrText xml:space="preserve"> ADDIN EN.CITE &lt;EndNote&gt;&lt;Cite&gt;&lt;Author&gt;Nguyen&lt;/Author&gt;&lt;Year&gt;2023&lt;/Year&gt;&lt;RecNum&gt;19&lt;/RecNum&gt;&lt;DisplayText&gt;&lt;style face="superscript"&gt;18&lt;/style&gt;&lt;/DisplayText&gt;&lt;record&gt;&lt;rec-number&gt;19&lt;/rec-number&gt;&lt;foreign-keys&gt;&lt;key app="EN" db-id="txweffvp3090pcepzeb5dww09dtz0vvzzt9w" timestamp="1764042002"&gt;19&lt;/key&gt;&lt;/foreign-keys&gt;&lt;ref-type name="Journal Article"&gt;17&lt;/ref-type&gt;&lt;contributors&gt;&lt;authors&gt;&lt;author&gt;Nguyen, Hiep X&lt;/author&gt;&lt;author&gt;Nguyen, Chien N&lt;/author&gt;&lt;/authors&gt;&lt;/contributors&gt;&lt;titles&gt;&lt;title&gt;Microneedle-mediated transdermal delivery of biopharmaceuticals&lt;/title&gt;&lt;secondary-title&gt;Pharmaceutics&lt;/secondary-title&gt;&lt;/titles&gt;&lt;periodical&gt;&lt;full-title&gt;Pharmaceutics&lt;/full-title&gt;&lt;/periodical&gt;&lt;pages&gt;277&lt;/pages&gt;&lt;volume&gt;15&lt;/volume&gt;&lt;number&gt;1&lt;/number&gt;&lt;dates&gt;&lt;year&gt;2023&lt;/year&gt;&lt;/dates&gt;&lt;isbn&gt;1999-4923&lt;/isbn&gt;&lt;urls&gt;&lt;/urls&gt;&lt;/record&gt;&lt;/Cite&gt;&lt;/EndNote&gt;</w:instrText>
      </w:r>
      <w:r>
        <w:fldChar w:fldCharType="separate"/>
      </w:r>
      <w:r>
        <w:rPr>
          <w:vertAlign w:val="superscript"/>
        </w:rPr>
        <w:t>18</w:t>
      </w:r>
      <w:r>
        <w:fldChar w:fldCharType="end"/>
      </w:r>
      <w:r>
        <w:t>.</w:t>
      </w:r>
    </w:p>
    <w:p w14:paraId="754B5A19"/>
    <w:p w14:paraId="74830CEE">
      <w:r>
        <w:t xml:space="preserve">Building on these advances, the present study describes the fabrication of dissolvable MN patches loaded with α-lactalbumin nanomicelles encapsulating capsaicin. In this protocol, α-lactalbumin is dissolved at 6 mg/mL and enzymatically hydrolyzed to generate amphiphilic peptides that self-assemble into capsaicin-loaded nanomicelles. The nanomicelles are incorporated into an HA/PVA matrix (5% w/v each) and cast into polydimethylsiloxane (PDMS) molds to form 10 × 10 MN arrays with a needle height of 600 μm, a configuration that is compatible with standard micro-molding processes and readily scalable to larger, human-sized patches. This integrated design is expected to improve capsaicin solubility and stability, provide pH-responsive release within adipose tissue, and enhance local anti-obesity efficacy </w:t>
      </w:r>
      <w:r>
        <w:rPr>
          <w:i/>
          <w:iCs/>
        </w:rPr>
        <w:t>in vivo</w:t>
      </w:r>
      <w:r>
        <w:t xml:space="preserve"> by promoting adipose tissue browning, suppressing lipogenesis, and improving systemic metabolic parameters. By leveraging food-grade α-lactalbumin and clinically advanced dissolving MN materials, this platform offers a translationally relevant, minimally invasive strategy that could be adapted to human-scale patches for self-administered, localized obesity therapy.</w:t>
      </w:r>
    </w:p>
    <w:bookmarkEnd w:id="0"/>
    <w:bookmarkEnd w:id="1"/>
    <w:p w14:paraId="27B120CB">
      <w:pPr>
        <w:rPr>
          <w:b/>
        </w:rPr>
      </w:pPr>
    </w:p>
    <w:p w14:paraId="57F2E028">
      <w:pPr>
        <w:rPr>
          <w:rStyle w:val="22"/>
          <w:sz w:val="24"/>
          <w:szCs w:val="24"/>
        </w:rPr>
      </w:pPr>
      <w:r>
        <w:rPr>
          <w:b/>
        </w:rPr>
        <w:t>PROTOCOL:</w:t>
      </w:r>
      <w:r>
        <w:t xml:space="preserve"> </w:t>
      </w:r>
    </w:p>
    <w:p w14:paraId="02BE25A6">
      <w:r>
        <w:t xml:space="preserve">All animal experiments were performed in accordance with the Guide for the Care and Use of Laboratory Animals and were approved by the Experimental Animal Ethics Committee in Beijing. The assigned approval number of the laboratory/investigator is AW03019102-3. The reagents and the equipment used are listed in the </w:t>
      </w:r>
      <w:r>
        <w:rPr>
          <w:b/>
          <w:bCs/>
        </w:rPr>
        <w:t>Table of Materials</w:t>
      </w:r>
      <w:r>
        <w:t>.</w:t>
      </w:r>
    </w:p>
    <w:p w14:paraId="62216C3A"/>
    <w:p w14:paraId="7FB9EE07">
      <w:pPr>
        <w:rPr>
          <w:rFonts w:eastAsia="宋体"/>
          <w:b/>
          <w:bCs/>
          <w:highlight w:val="yellow"/>
          <w:lang w:eastAsia="zh-CN"/>
        </w:rPr>
      </w:pPr>
      <w:r>
        <w:rPr>
          <w:b/>
          <w:bCs/>
          <w:highlight w:val="yellow"/>
        </w:rPr>
        <w:t>1. Preparation of α-Lactalbumin nanomicelles encapsulating capsaicin</w:t>
      </w:r>
      <w:r>
        <w:rPr>
          <w:b/>
          <w:bCs/>
          <w:highlight w:val="yellow"/>
        </w:rPr>
        <w:fldChar w:fldCharType="begin"/>
      </w:r>
      <w:r>
        <w:rPr>
          <w:b/>
          <w:bCs/>
          <w:highlight w:val="yellow"/>
        </w:rPr>
        <w:instrText xml:space="preserve"> ADDIN EN.CITE &lt;EndNote&gt;&lt;Cite&gt;&lt;Author&gt;Hu&lt;/Author&gt;&lt;Year&gt;2019&lt;/Year&gt;&lt;RecNum&gt;16&lt;/RecNum&gt;&lt;DisplayText&gt;&lt;style face="superscript"&gt;12&lt;/style&gt;&lt;/DisplayText&gt;&lt;record&gt;&lt;rec-number&gt;16&lt;/rec-number&gt;&lt;foreign-keys&gt;&lt;key app="EN" db-id="txweffvp3090pcepzeb5dww09dtz0vvzzt9w" timestamp="1764037774"&gt;16&lt;/key&gt;&lt;/foreign-keys&gt;&lt;ref-type name="Journal Article"&gt;17&lt;/ref-type&gt;&lt;contributors&gt;&lt;authors&gt;&lt;author&gt;Hu, Yulin&lt;/author&gt;&lt;author&gt;Bao, Cheng&lt;/author&gt;&lt;author&gt;Li, Dan&lt;/author&gt;&lt;author&gt;You, Lingxin&lt;/author&gt;&lt;author&gt;Du, Yizheng&lt;/author&gt;&lt;author&gt;Liu, Bin&lt;/author&gt;&lt;author&gt;Li, Xin&lt;/author&gt;&lt;author&gt;Ren, Fazheng&lt;/author&gt;&lt;author&gt;Li, Yuan&lt;/author&gt;&lt;/authors&gt;&lt;/contributors&gt;&lt;titles&gt;&lt;title&gt;The construction of enzymolyzed α-lactalbumin based micellar nanoassemblies for encapsulating various kinds of hydrophobic bioactive compounds&lt;/title&gt;&lt;secondary-title&gt;Food &amp;amp; Function&lt;/secondary-title&gt;&lt;/titles&gt;&lt;periodical&gt;&lt;full-title&gt;Food &amp;amp; Function&lt;/full-title&gt;&lt;/periodical&gt;&lt;pages&gt;8263-8272&lt;/pages&gt;&lt;volume&gt;10&lt;/volume&gt;&lt;number&gt;12&lt;/number&gt;&lt;dates&gt;&lt;year&gt;2019&lt;/year&gt;&lt;/dates&gt;&lt;urls&gt;&lt;/urls&gt;&lt;/record&gt;&lt;/Cite&gt;&lt;/EndNote&gt;</w:instrText>
      </w:r>
      <w:r>
        <w:rPr>
          <w:b/>
          <w:bCs/>
          <w:highlight w:val="yellow"/>
        </w:rPr>
        <w:fldChar w:fldCharType="separate"/>
      </w:r>
      <w:r>
        <w:rPr>
          <w:b/>
          <w:bCs/>
          <w:highlight w:val="yellow"/>
          <w:vertAlign w:val="superscript"/>
        </w:rPr>
        <w:t>12</w:t>
      </w:r>
      <w:r>
        <w:rPr>
          <w:b/>
          <w:bCs/>
          <w:highlight w:val="yellow"/>
        </w:rPr>
        <w:fldChar w:fldCharType="end"/>
      </w:r>
    </w:p>
    <w:p w14:paraId="21E9188D"/>
    <w:p w14:paraId="429EA6BE">
      <w:pPr>
        <w:rPr>
          <w:highlight w:val="yellow"/>
        </w:rPr>
      </w:pPr>
      <w:r>
        <w:rPr>
          <w:highlight w:val="yellow"/>
        </w:rPr>
        <w:t>1.</w:t>
      </w:r>
      <w:r>
        <w:rPr>
          <w:rFonts w:eastAsia="宋体"/>
          <w:highlight w:val="yellow"/>
          <w:lang w:eastAsia="zh-CN"/>
        </w:rPr>
        <w:t xml:space="preserve">1 </w:t>
      </w:r>
      <w:r>
        <w:rPr>
          <w:highlight w:val="yellow"/>
        </w:rPr>
        <w:t xml:space="preserve">Dissolve α-lactalbumin in deionized water to a concentration of </w:t>
      </w:r>
      <w:r>
        <w:rPr>
          <w:rFonts w:eastAsia="宋体"/>
          <w:highlight w:val="yellow"/>
          <w:lang w:eastAsia="zh-CN"/>
        </w:rPr>
        <w:t>6</w:t>
      </w:r>
      <w:r>
        <w:rPr>
          <w:highlight w:val="yellow"/>
        </w:rPr>
        <w:t xml:space="preserve"> mg/mL and adjust the pH to 7.4.</w:t>
      </w:r>
      <w:r>
        <w:rPr>
          <w:rFonts w:eastAsia="宋体"/>
          <w:highlight w:val="yellow"/>
          <w:lang w:eastAsia="zh-CN"/>
        </w:rPr>
        <w:t xml:space="preserve"> </w:t>
      </w:r>
      <w:r>
        <w:rPr>
          <w:highlight w:val="yellow"/>
        </w:rPr>
        <w:t>Stir the solution using a magnetic stirrer at 8–28 × g until α-lactalbumin is completely dissolved (typically 20–30 min).</w:t>
      </w:r>
    </w:p>
    <w:p w14:paraId="35488C4C">
      <w:pPr>
        <w:rPr>
          <w:rFonts w:eastAsia="宋体"/>
          <w:lang w:eastAsia="zh-CN"/>
        </w:rPr>
      </w:pPr>
    </w:p>
    <w:p w14:paraId="48711478">
      <w:pPr>
        <w:rPr>
          <w:highlight w:val="yellow"/>
        </w:rPr>
      </w:pPr>
      <w:r>
        <w:rPr>
          <w:rFonts w:eastAsia="宋体"/>
          <w:highlight w:val="yellow"/>
          <w:lang w:eastAsia="zh-CN"/>
        </w:rPr>
        <w:t>1.</w:t>
      </w:r>
      <w:r>
        <w:rPr>
          <w:highlight w:val="yellow"/>
        </w:rPr>
        <w:t>2</w:t>
      </w:r>
      <w:r>
        <w:rPr>
          <w:rFonts w:eastAsia="宋体"/>
          <w:highlight w:val="yellow"/>
          <w:lang w:eastAsia="zh-CN"/>
        </w:rPr>
        <w:t xml:space="preserve"> </w:t>
      </w:r>
      <w:r>
        <w:rPr>
          <w:highlight w:val="yellow"/>
        </w:rPr>
        <w:t>Add Bacillus licheniformis protease (BLP) at an enzyme-to-substrate ratio of 1:100 (w/w).</w:t>
      </w:r>
    </w:p>
    <w:p w14:paraId="604D643A">
      <w:pPr>
        <w:rPr>
          <w:rFonts w:eastAsia="宋体"/>
          <w:highlight w:val="yellow"/>
          <w:lang w:eastAsia="zh-CN"/>
        </w:rPr>
      </w:pPr>
    </w:p>
    <w:p w14:paraId="6AD4BE7A">
      <w:pPr>
        <w:rPr>
          <w:highlight w:val="yellow"/>
        </w:rPr>
      </w:pPr>
      <w:r>
        <w:rPr>
          <w:rFonts w:eastAsia="宋体"/>
          <w:highlight w:val="yellow"/>
          <w:lang w:eastAsia="zh-CN"/>
        </w:rPr>
        <w:t>1.</w:t>
      </w:r>
      <w:r>
        <w:rPr>
          <w:highlight w:val="yellow"/>
        </w:rPr>
        <w:t>3</w:t>
      </w:r>
      <w:r>
        <w:rPr>
          <w:rFonts w:eastAsia="宋体"/>
          <w:highlight w:val="yellow"/>
          <w:lang w:eastAsia="zh-CN"/>
        </w:rPr>
        <w:t xml:space="preserve"> </w:t>
      </w:r>
      <w:r>
        <w:rPr>
          <w:highlight w:val="yellow"/>
        </w:rPr>
        <w:t xml:space="preserve">Incubate the mixture at </w:t>
      </w:r>
      <w:r>
        <w:rPr>
          <w:rFonts w:eastAsia="宋体"/>
          <w:highlight w:val="yellow"/>
          <w:lang w:eastAsia="zh-CN"/>
        </w:rPr>
        <w:t>50</w:t>
      </w:r>
      <w:r>
        <w:rPr>
          <w:highlight w:val="yellow"/>
        </w:rPr>
        <w:t xml:space="preserve"> °C for 30</w:t>
      </w:r>
      <w:r>
        <w:rPr>
          <w:rFonts w:eastAsiaTheme="minorEastAsia"/>
          <w:highlight w:val="yellow"/>
          <w:lang w:eastAsia="zh-CN"/>
        </w:rPr>
        <w:t xml:space="preserve"> min </w:t>
      </w:r>
      <w:r>
        <w:rPr>
          <w:highlight w:val="yellow"/>
        </w:rPr>
        <w:t>to generate amphiphilic peptides.</w:t>
      </w:r>
    </w:p>
    <w:p w14:paraId="223BFA86">
      <w:pPr>
        <w:rPr>
          <w:rFonts w:eastAsia="宋体"/>
          <w:highlight w:val="yellow"/>
          <w:lang w:eastAsia="zh-CN"/>
        </w:rPr>
      </w:pPr>
    </w:p>
    <w:p w14:paraId="197EEADB">
      <w:pPr>
        <w:rPr>
          <w:highlight w:val="yellow"/>
        </w:rPr>
      </w:pPr>
      <w:r>
        <w:rPr>
          <w:rFonts w:eastAsia="宋体"/>
          <w:highlight w:val="yellow"/>
          <w:lang w:eastAsia="zh-CN"/>
        </w:rPr>
        <w:t>1.</w:t>
      </w:r>
      <w:r>
        <w:rPr>
          <w:highlight w:val="yellow"/>
        </w:rPr>
        <w:t>4</w:t>
      </w:r>
      <w:r>
        <w:rPr>
          <w:rFonts w:eastAsia="宋体"/>
          <w:highlight w:val="yellow"/>
          <w:lang w:eastAsia="zh-CN"/>
        </w:rPr>
        <w:t xml:space="preserve"> </w:t>
      </w:r>
      <w:r>
        <w:rPr>
          <w:highlight w:val="yellow"/>
        </w:rPr>
        <w:t>Terminate the reaction by heating the solution to 95 °C for 5 min, then cool to room temperature and filter through a 0.22 μm membrane.</w:t>
      </w:r>
    </w:p>
    <w:p w14:paraId="0064E7CA">
      <w:pPr>
        <w:rPr>
          <w:rFonts w:eastAsia="宋体"/>
          <w:highlight w:val="yellow"/>
          <w:lang w:eastAsia="zh-CN"/>
        </w:rPr>
      </w:pPr>
    </w:p>
    <w:p w14:paraId="4F58CC5E">
      <w:pPr>
        <w:rPr>
          <w:highlight w:val="yellow"/>
        </w:rPr>
      </w:pPr>
      <w:r>
        <w:rPr>
          <w:rFonts w:eastAsia="宋体"/>
          <w:highlight w:val="yellow"/>
          <w:lang w:eastAsia="zh-CN"/>
        </w:rPr>
        <w:t>1.</w:t>
      </w:r>
      <w:r>
        <w:rPr>
          <w:highlight w:val="yellow"/>
        </w:rPr>
        <w:t>5</w:t>
      </w:r>
      <w:r>
        <w:rPr>
          <w:rFonts w:eastAsia="宋体"/>
          <w:highlight w:val="yellow"/>
          <w:lang w:eastAsia="zh-CN"/>
        </w:rPr>
        <w:t xml:space="preserve"> </w:t>
      </w:r>
      <w:r>
        <w:rPr>
          <w:highlight w:val="yellow"/>
        </w:rPr>
        <w:t xml:space="preserve">Dissolve capsaicin in ethanol to a concentration of </w:t>
      </w:r>
      <w:r>
        <w:rPr>
          <w:rFonts w:eastAsia="宋体"/>
          <w:highlight w:val="yellow"/>
          <w:lang w:eastAsia="zh-CN"/>
        </w:rPr>
        <w:t>1</w:t>
      </w:r>
      <w:r>
        <w:rPr>
          <w:highlight w:val="yellow"/>
        </w:rPr>
        <w:t xml:space="preserve"> mg/mL. Add the capsaicin solution dropwise into the peptide solution under gentle stirring.</w:t>
      </w:r>
    </w:p>
    <w:p w14:paraId="6A44F879">
      <w:pPr>
        <w:rPr>
          <w:rFonts w:eastAsia="宋体"/>
          <w:highlight w:val="yellow"/>
          <w:lang w:eastAsia="zh-CN"/>
        </w:rPr>
      </w:pPr>
    </w:p>
    <w:p w14:paraId="2F2EDA99">
      <w:pPr>
        <w:rPr>
          <w:highlight w:val="yellow"/>
        </w:rPr>
      </w:pPr>
      <w:r>
        <w:rPr>
          <w:rFonts w:eastAsia="宋体"/>
          <w:highlight w:val="yellow"/>
          <w:lang w:eastAsia="zh-CN"/>
        </w:rPr>
        <w:t>1.</w:t>
      </w:r>
      <w:r>
        <w:rPr>
          <w:highlight w:val="yellow"/>
        </w:rPr>
        <w:t>6</w:t>
      </w:r>
      <w:r>
        <w:rPr>
          <w:rFonts w:eastAsia="宋体"/>
          <w:highlight w:val="yellow"/>
          <w:lang w:eastAsia="zh-CN"/>
        </w:rPr>
        <w:t xml:space="preserve"> </w:t>
      </w:r>
      <w:r>
        <w:rPr>
          <w:highlight w:val="yellow"/>
        </w:rPr>
        <w:t>Continue stirring for 2 h to allow self-assembly of nanomicelles.</w:t>
      </w:r>
    </w:p>
    <w:p w14:paraId="7EB4BDDD">
      <w:pPr>
        <w:rPr>
          <w:rFonts w:eastAsia="宋体"/>
          <w:highlight w:val="yellow"/>
          <w:lang w:eastAsia="zh-CN"/>
        </w:rPr>
      </w:pPr>
    </w:p>
    <w:p w14:paraId="2F4FB6F3">
      <w:pPr>
        <w:rPr>
          <w:rFonts w:eastAsia="宋体"/>
          <w:highlight w:val="yellow"/>
          <w:lang w:eastAsia="zh-CN"/>
        </w:rPr>
      </w:pPr>
      <w:r>
        <w:rPr>
          <w:rFonts w:eastAsia="宋体"/>
          <w:highlight w:val="yellow"/>
          <w:lang w:eastAsia="zh-CN"/>
        </w:rPr>
        <w:t>1.</w:t>
      </w:r>
      <w:r>
        <w:rPr>
          <w:highlight w:val="yellow"/>
        </w:rPr>
        <w:t>7</w:t>
      </w:r>
      <w:r>
        <w:rPr>
          <w:rFonts w:eastAsia="宋体"/>
          <w:highlight w:val="yellow"/>
          <w:lang w:eastAsia="zh-CN"/>
        </w:rPr>
        <w:t xml:space="preserve"> </w:t>
      </w:r>
      <w:r>
        <w:rPr>
          <w:highlight w:val="yellow"/>
        </w:rPr>
        <w:t>Remove free capsaicin by dialyzing the mixture (MWCO 3.5 kDa) against deionized water for 12 h, replacing the water every 4 h.</w:t>
      </w:r>
      <w:r>
        <w:rPr>
          <w:rFonts w:eastAsia="宋体"/>
          <w:highlight w:val="yellow"/>
          <w:lang w:eastAsia="zh-CN"/>
        </w:rPr>
        <w:t xml:space="preserve"> </w:t>
      </w:r>
    </w:p>
    <w:p w14:paraId="7D72C972">
      <w:pPr>
        <w:rPr>
          <w:rFonts w:eastAsia="宋体"/>
          <w:highlight w:val="yellow"/>
          <w:lang w:eastAsia="zh-CN"/>
        </w:rPr>
      </w:pPr>
    </w:p>
    <w:p w14:paraId="7B2BADF1">
      <w:pPr>
        <w:rPr>
          <w:rFonts w:eastAsia="宋体"/>
          <w:highlight w:val="yellow"/>
          <w:lang w:eastAsia="zh-CN"/>
        </w:rPr>
      </w:pPr>
      <w:r>
        <w:rPr>
          <w:rFonts w:eastAsia="宋体"/>
          <w:highlight w:val="yellow"/>
          <w:lang w:eastAsia="zh-CN"/>
        </w:rPr>
        <w:t>1.8 Freeze-dry (lyophilize) the prepared α-lactalbumin nanomicelles.</w:t>
      </w:r>
    </w:p>
    <w:p w14:paraId="035DD5A5">
      <w:pPr>
        <w:rPr>
          <w:rFonts w:eastAsia="宋体"/>
          <w:lang w:eastAsia="zh-CN"/>
        </w:rPr>
      </w:pPr>
    </w:p>
    <w:p w14:paraId="52BC51AB">
      <w:r>
        <w:rPr>
          <w:rFonts w:eastAsia="宋体"/>
          <w:lang w:eastAsia="zh-CN"/>
        </w:rPr>
        <w:t xml:space="preserve">1.9 </w:t>
      </w:r>
      <w:r>
        <w:t>Characterize the nanomicelles using TEM, DLS, and zeta potential analysis.</w:t>
      </w:r>
    </w:p>
    <w:p w14:paraId="0A17E360"/>
    <w:p w14:paraId="2C86BDC0">
      <w:pPr>
        <w:rPr>
          <w:b/>
          <w:bCs/>
          <w:highlight w:val="yellow"/>
        </w:rPr>
      </w:pPr>
      <w:r>
        <w:rPr>
          <w:b/>
          <w:bCs/>
          <w:highlight w:val="yellow"/>
        </w:rPr>
        <w:t>2. Fabrication of dissolvable microneedle patches</w:t>
      </w:r>
      <w:r>
        <w:rPr>
          <w:b/>
          <w:bCs/>
          <w:highlight w:val="yellow"/>
        </w:rPr>
        <w:fldChar w:fldCharType="begin"/>
      </w:r>
      <w:r>
        <w:rPr>
          <w:b/>
          <w:bCs/>
          <w:highlight w:val="yellow"/>
        </w:rPr>
        <w:instrText xml:space="preserve"> ADDIN EN.CITE &lt;EndNote&gt;&lt;Cite&gt;&lt;Author&gt;Bao&lt;/Author&gt;&lt;Year&gt;2021&lt;/Year&gt;&lt;RecNum&gt;11&lt;/RecNum&gt;&lt;DisplayText&gt;&lt;style face="superscript"&gt;11&lt;/style&gt;&lt;/DisplayText&gt;&lt;record&gt;&lt;rec-number&gt;11&lt;/rec-number&gt;&lt;foreign-keys&gt;&lt;key app="EN" db-id="txweffvp3090pcepzeb5dww09dtz0vvzzt9w" timestamp="1764037450"&gt;11&lt;/key&gt;&lt;/foreign-keys&gt;&lt;ref-type name="Journal Article"&gt;17&lt;/ref-type&gt;&lt;contributors&gt;&lt;authors&gt;&lt;author&gt;Bao, Cheng&lt;/author&gt;&lt;author&gt;Li, Zekun&lt;/author&gt;&lt;author&gt;Liang, Shuang&lt;/author&gt;&lt;author&gt;Hu, Yulin&lt;/author&gt;&lt;author&gt;Wang, Xiaoyu&lt;/author&gt;&lt;author&gt;Fang, Bing&lt;/author&gt;&lt;author&gt;Wang, Pengjie&lt;/author&gt;&lt;author&gt;Chen, Shanan&lt;/author&gt;&lt;author&gt;Li, Yuan&lt;/author&gt;&lt;/authors&gt;&lt;/contributors&gt;&lt;titles&gt;&lt;title&gt;Microneedle patch delivery of capsaicin‐containing α‐lactalbumin nanomicelles to adipocytes achieves potent anti‐obesity effects&lt;/title&gt;&lt;secondary-title&gt;Advanced Functional Materials&lt;/secondary-title&gt;&lt;/titles&gt;&lt;periodical&gt;&lt;full-title&gt;Advanced Functional Materials&lt;/full-title&gt;&lt;/periodical&gt;&lt;pages&gt;2011130&lt;/pages&gt;&lt;volume&gt;31&lt;/volume&gt;&lt;number&gt;20&lt;/number&gt;&lt;dates&gt;&lt;year&gt;2021&lt;/year&gt;&lt;/dates&gt;&lt;isbn&gt;1616-301X&lt;/isbn&gt;&lt;urls&gt;&lt;/urls&gt;&lt;/record&gt;&lt;/Cite&gt;&lt;/EndNote&gt;</w:instrText>
      </w:r>
      <w:r>
        <w:rPr>
          <w:b/>
          <w:bCs/>
          <w:highlight w:val="yellow"/>
        </w:rPr>
        <w:fldChar w:fldCharType="separate"/>
      </w:r>
      <w:r>
        <w:rPr>
          <w:b/>
          <w:bCs/>
          <w:highlight w:val="yellow"/>
          <w:vertAlign w:val="superscript"/>
        </w:rPr>
        <w:t>11</w:t>
      </w:r>
      <w:r>
        <w:rPr>
          <w:b/>
          <w:bCs/>
          <w:highlight w:val="yellow"/>
        </w:rPr>
        <w:fldChar w:fldCharType="end"/>
      </w:r>
    </w:p>
    <w:p w14:paraId="582114AE">
      <w:pPr>
        <w:rPr>
          <w:rFonts w:eastAsia="宋体"/>
          <w:lang w:eastAsia="zh-CN"/>
        </w:rPr>
      </w:pPr>
    </w:p>
    <w:p w14:paraId="1A841BC0">
      <w:pPr>
        <w:rPr>
          <w:highlight w:val="yellow"/>
        </w:rPr>
      </w:pPr>
      <w:r>
        <w:rPr>
          <w:rFonts w:eastAsia="宋体"/>
          <w:highlight w:val="yellow"/>
          <w:lang w:eastAsia="zh-CN"/>
        </w:rPr>
        <w:t>2</w:t>
      </w:r>
      <w:r>
        <w:rPr>
          <w:highlight w:val="yellow"/>
        </w:rPr>
        <w:t>.</w:t>
      </w:r>
      <w:r>
        <w:rPr>
          <w:rFonts w:eastAsia="宋体"/>
          <w:highlight w:val="yellow"/>
          <w:lang w:eastAsia="zh-CN"/>
        </w:rPr>
        <w:t xml:space="preserve">1 </w:t>
      </w:r>
      <w:r>
        <w:rPr>
          <w:highlight w:val="yellow"/>
        </w:rPr>
        <w:t>Prepare the polymer solution by dissolving HA (5% w/v) and PVA (5% w/v) in deionized water at 60 °C and stirring until the solution becomes clear.</w:t>
      </w:r>
    </w:p>
    <w:p w14:paraId="01BF0B75">
      <w:pPr>
        <w:rPr>
          <w:highlight w:val="yellow"/>
        </w:rPr>
      </w:pPr>
    </w:p>
    <w:p w14:paraId="4F98DD31">
      <w:pPr>
        <w:rPr>
          <w:highlight w:val="yellow"/>
        </w:rPr>
      </w:pPr>
      <w:r>
        <w:rPr>
          <w:highlight w:val="yellow"/>
        </w:rPr>
        <w:t>2.</w:t>
      </w:r>
      <w:r>
        <w:rPr>
          <w:rFonts w:eastAsia="宋体"/>
          <w:highlight w:val="yellow"/>
          <w:lang w:eastAsia="zh-CN"/>
        </w:rPr>
        <w:t xml:space="preserve">2 </w:t>
      </w:r>
      <w:r>
        <w:rPr>
          <w:highlight w:val="yellow"/>
        </w:rPr>
        <w:t>Cool the polymer solution to room temperature and mix it with the capsaicin-loaded nanomicelles (M(Cap)) at a 4:1 ratio.</w:t>
      </w:r>
    </w:p>
    <w:p w14:paraId="160700B4">
      <w:pPr>
        <w:rPr>
          <w:rFonts w:eastAsia="宋体"/>
          <w:highlight w:val="yellow"/>
          <w:lang w:eastAsia="zh-CN"/>
        </w:rPr>
      </w:pPr>
    </w:p>
    <w:p w14:paraId="4B1DBB33">
      <w:pPr>
        <w:rPr>
          <w:highlight w:val="yellow"/>
        </w:rPr>
      </w:pPr>
      <w:r>
        <w:rPr>
          <w:rFonts w:eastAsia="宋体"/>
          <w:highlight w:val="yellow"/>
          <w:lang w:eastAsia="zh-CN"/>
        </w:rPr>
        <w:t>2.</w:t>
      </w:r>
      <w:r>
        <w:rPr>
          <w:highlight w:val="yellow"/>
        </w:rPr>
        <w:t>3</w:t>
      </w:r>
      <w:r>
        <w:rPr>
          <w:rFonts w:eastAsia="宋体"/>
          <w:highlight w:val="yellow"/>
          <w:lang w:eastAsia="zh-CN"/>
        </w:rPr>
        <w:t xml:space="preserve"> </w:t>
      </w:r>
      <w:r>
        <w:rPr>
          <w:highlight w:val="yellow"/>
        </w:rPr>
        <w:t>Degas the mixture under vacuum in a desiccator connected to a vacuum pump (approximately −80 kPa) for 10 min to remove air bubbles before casting into PDMS molds.</w:t>
      </w:r>
    </w:p>
    <w:p w14:paraId="61F767DD">
      <w:pPr>
        <w:rPr>
          <w:rFonts w:eastAsia="宋体"/>
          <w:highlight w:val="yellow"/>
          <w:lang w:eastAsia="zh-CN"/>
        </w:rPr>
      </w:pPr>
    </w:p>
    <w:p w14:paraId="09E882A6">
      <w:pPr>
        <w:rPr>
          <w:highlight w:val="yellow"/>
        </w:rPr>
      </w:pPr>
      <w:r>
        <w:rPr>
          <w:rFonts w:eastAsia="宋体"/>
          <w:highlight w:val="yellow"/>
          <w:lang w:eastAsia="zh-CN"/>
        </w:rPr>
        <w:t>2.</w:t>
      </w:r>
      <w:r>
        <w:rPr>
          <w:highlight w:val="yellow"/>
        </w:rPr>
        <w:t>4</w:t>
      </w:r>
      <w:r>
        <w:rPr>
          <w:rFonts w:eastAsia="宋体"/>
          <w:highlight w:val="yellow"/>
          <w:lang w:eastAsia="zh-CN"/>
        </w:rPr>
        <w:t xml:space="preserve"> </w:t>
      </w:r>
      <w:r>
        <w:rPr>
          <w:highlight w:val="yellow"/>
        </w:rPr>
        <w:t>Load 200 μL of the mixture into PDMS molds (10 × 10 needle array, 600 μm height).</w:t>
      </w:r>
    </w:p>
    <w:p w14:paraId="52AB9225">
      <w:pPr>
        <w:rPr>
          <w:rFonts w:eastAsia="宋体"/>
          <w:highlight w:val="yellow"/>
          <w:lang w:eastAsia="zh-CN"/>
        </w:rPr>
      </w:pPr>
    </w:p>
    <w:p w14:paraId="5A06A11A">
      <w:pPr>
        <w:rPr>
          <w:highlight w:val="yellow"/>
        </w:rPr>
      </w:pPr>
      <w:r>
        <w:rPr>
          <w:rFonts w:eastAsia="宋体"/>
          <w:highlight w:val="yellow"/>
          <w:lang w:eastAsia="zh-CN"/>
        </w:rPr>
        <w:t>2.</w:t>
      </w:r>
      <w:r>
        <w:rPr>
          <w:highlight w:val="yellow"/>
        </w:rPr>
        <w:t>5</w:t>
      </w:r>
      <w:r>
        <w:rPr>
          <w:rFonts w:eastAsia="宋体"/>
          <w:highlight w:val="yellow"/>
          <w:lang w:eastAsia="zh-CN"/>
        </w:rPr>
        <w:t xml:space="preserve"> </w:t>
      </w:r>
      <w:r>
        <w:rPr>
          <w:highlight w:val="yellow"/>
        </w:rPr>
        <w:t xml:space="preserve">Centrifuge the molds at </w:t>
      </w:r>
      <w:r>
        <w:rPr>
          <w:rFonts w:eastAsia="宋体"/>
          <w:highlight w:val="yellow"/>
          <w:lang w:eastAsia="zh-CN"/>
        </w:rPr>
        <w:t>18</w:t>
      </w:r>
      <w:r>
        <w:rPr>
          <w:highlight w:val="yellow"/>
        </w:rPr>
        <w:t xml:space="preserve">00 × </w:t>
      </w:r>
      <w:r>
        <w:rPr>
          <w:i/>
          <w:iCs/>
          <w:highlight w:val="yellow"/>
        </w:rPr>
        <w:t>g</w:t>
      </w:r>
      <w:r>
        <w:rPr>
          <w:highlight w:val="yellow"/>
        </w:rPr>
        <w:t xml:space="preserve"> </w:t>
      </w:r>
      <w:r>
        <w:rPr>
          <w:rFonts w:eastAsia="宋体"/>
          <w:highlight w:val="yellow"/>
          <w:lang w:eastAsia="zh-CN"/>
        </w:rPr>
        <w:t xml:space="preserve">at RT </w:t>
      </w:r>
      <w:r>
        <w:rPr>
          <w:highlight w:val="yellow"/>
        </w:rPr>
        <w:t>for 10 min to ensure complete filling of the microneedle cavities</w:t>
      </w:r>
      <w:r>
        <w:rPr>
          <w:rFonts w:eastAsia="宋体"/>
          <w:highlight w:val="yellow"/>
          <w:lang w:eastAsia="zh-CN"/>
        </w:rPr>
        <w:t>.</w:t>
      </w:r>
    </w:p>
    <w:p w14:paraId="72E956F7">
      <w:pPr>
        <w:rPr>
          <w:rFonts w:eastAsia="宋体"/>
          <w:highlight w:val="yellow"/>
          <w:lang w:eastAsia="zh-CN"/>
        </w:rPr>
      </w:pPr>
    </w:p>
    <w:p w14:paraId="0B2C2A52">
      <w:pPr>
        <w:rPr>
          <w:rFonts w:eastAsia="宋体"/>
          <w:highlight w:val="yellow"/>
          <w:lang w:eastAsia="zh-CN"/>
        </w:rPr>
      </w:pPr>
      <w:r>
        <w:rPr>
          <w:rFonts w:eastAsia="宋体"/>
          <w:highlight w:val="yellow"/>
          <w:lang w:eastAsia="zh-CN"/>
        </w:rPr>
        <w:t>2.</w:t>
      </w:r>
      <w:r>
        <w:rPr>
          <w:highlight w:val="yellow"/>
        </w:rPr>
        <w:t>6</w:t>
      </w:r>
      <w:r>
        <w:rPr>
          <w:rFonts w:eastAsia="宋体"/>
          <w:highlight w:val="yellow"/>
          <w:lang w:eastAsia="zh-CN"/>
        </w:rPr>
        <w:t xml:space="preserve"> </w:t>
      </w:r>
      <w:r>
        <w:rPr>
          <w:highlight w:val="yellow"/>
        </w:rPr>
        <w:t>Repeat the filling once,</w:t>
      </w:r>
      <w:r>
        <w:rPr>
          <w:rFonts w:eastAsia="宋体"/>
          <w:highlight w:val="yellow"/>
          <w:lang w:eastAsia="zh-CN"/>
        </w:rPr>
        <w:t xml:space="preserve"> </w:t>
      </w:r>
      <w:r>
        <w:rPr>
          <w:highlight w:val="yellow"/>
        </w:rPr>
        <w:t>followed by a second centrifugation under the same conditions</w:t>
      </w:r>
      <w:r>
        <w:rPr>
          <w:rFonts w:eastAsia="宋体"/>
          <w:highlight w:val="yellow"/>
          <w:lang w:eastAsia="zh-CN"/>
        </w:rPr>
        <w:t xml:space="preserve"> as step 2.5</w:t>
      </w:r>
      <w:r>
        <w:rPr>
          <w:highlight w:val="yellow"/>
        </w:rPr>
        <w:t xml:space="preserve"> and then dry the molds under vacuum (approximately −80 kPa) at room temperature for 12 h.</w:t>
      </w:r>
    </w:p>
    <w:p w14:paraId="38DCBBD7">
      <w:pPr>
        <w:rPr>
          <w:rFonts w:eastAsia="宋体"/>
          <w:highlight w:val="yellow"/>
          <w:lang w:eastAsia="zh-CN"/>
        </w:rPr>
      </w:pPr>
    </w:p>
    <w:p w14:paraId="69ABF52D">
      <w:pPr>
        <w:rPr>
          <w:highlight w:val="yellow"/>
        </w:rPr>
      </w:pPr>
      <w:r>
        <w:rPr>
          <w:rFonts w:eastAsia="宋体"/>
          <w:highlight w:val="yellow"/>
          <w:lang w:eastAsia="zh-CN"/>
        </w:rPr>
        <w:t>2.</w:t>
      </w:r>
      <w:r>
        <w:rPr>
          <w:highlight w:val="yellow"/>
        </w:rPr>
        <w:t>7</w:t>
      </w:r>
      <w:r>
        <w:rPr>
          <w:rFonts w:eastAsia="宋体"/>
          <w:highlight w:val="yellow"/>
          <w:lang w:eastAsia="zh-CN"/>
        </w:rPr>
        <w:t xml:space="preserve"> </w:t>
      </w:r>
      <w:r>
        <w:rPr>
          <w:highlight w:val="yellow"/>
        </w:rPr>
        <w:t>Carefully peel the microneedle patches from the molds.</w:t>
      </w:r>
    </w:p>
    <w:p w14:paraId="263EFD44">
      <w:pPr>
        <w:rPr>
          <w:rFonts w:eastAsia="宋体"/>
          <w:lang w:eastAsia="zh-CN"/>
        </w:rPr>
      </w:pPr>
    </w:p>
    <w:p w14:paraId="41329B3C">
      <w:r>
        <w:rPr>
          <w:rFonts w:eastAsia="宋体"/>
          <w:lang w:eastAsia="zh-CN"/>
        </w:rPr>
        <w:t>2.</w:t>
      </w:r>
      <w:r>
        <w:t>8</w:t>
      </w:r>
      <w:r>
        <w:rPr>
          <w:rFonts w:eastAsia="宋体"/>
          <w:lang w:eastAsia="zh-CN"/>
        </w:rPr>
        <w:t xml:space="preserve"> </w:t>
      </w:r>
      <w:r>
        <w:t>Examine microneedle morphology by SEM.</w:t>
      </w:r>
    </w:p>
    <w:p w14:paraId="6F720005"/>
    <w:p w14:paraId="49CC51C5">
      <w:pPr>
        <w:rPr>
          <w:b/>
          <w:bCs/>
        </w:rPr>
      </w:pPr>
      <w:r>
        <w:rPr>
          <w:b/>
          <w:bCs/>
        </w:rPr>
        <w:t>3. Mechanical testing of microneedles</w:t>
      </w:r>
      <w:r>
        <w:rPr>
          <w:b/>
          <w:bCs/>
        </w:rPr>
        <w:fldChar w:fldCharType="begin"/>
      </w:r>
      <w:r>
        <w:rPr>
          <w:b/>
          <w:bCs/>
        </w:rPr>
        <w:instrText xml:space="preserve"> ADDIN EN.CITE &lt;EndNote&gt;&lt;Cite&gt;&lt;Author&gt;Chu&lt;/Author&gt;&lt;Year&gt;2010&lt;/Year&gt;&lt;RecNum&gt;17&lt;/RecNum&gt;&lt;DisplayText&gt;&lt;style face="superscript"&gt;19&lt;/style&gt;&lt;/DisplayText&gt;&lt;record&gt;&lt;rec-number&gt;17&lt;/rec-number&gt;&lt;foreign-keys&gt;&lt;key app="EN" db-id="txweffvp3090pcepzeb5dww09dtz0vvzzt9w" timestamp="1764037814"&gt;17&lt;/key&gt;&lt;/foreign-keys&gt;&lt;ref-type name="Journal Article"&gt;17&lt;/ref-type&gt;&lt;contributors&gt;&lt;authors&gt;&lt;author&gt;Chu, Leonard Y&lt;/author&gt;&lt;author&gt;Choi, Seong-O&lt;/author&gt;&lt;author&gt;Prausnitz, Mark R&lt;/author&gt;&lt;/authors&gt;&lt;/contributors&gt;&lt;titles&gt;&lt;title&gt;Fabrication of dissolving polymer microneedles for controlled drug encapsulation and delivery: bubble and pedestal microneedle designs&lt;/title&gt;&lt;secondary-title&gt;Journal of pharmaceutical sciences&lt;/secondary-title&gt;&lt;/titles&gt;&lt;periodical&gt;&lt;full-title&gt;Journal of pharmaceutical sciences&lt;/full-title&gt;&lt;/periodical&gt;&lt;pages&gt;4228-4238&lt;/pages&gt;&lt;volume&gt;99&lt;/volume&gt;&lt;number&gt;10&lt;/number&gt;&lt;dates&gt;&lt;year&gt;2010&lt;/year&gt;&lt;/dates&gt;&lt;isbn&gt;0022-3549&lt;/isbn&gt;&lt;urls&gt;&lt;/urls&gt;&lt;/record&gt;&lt;/Cite&gt;&lt;/EndNote&gt;</w:instrText>
      </w:r>
      <w:r>
        <w:rPr>
          <w:b/>
          <w:bCs/>
        </w:rPr>
        <w:fldChar w:fldCharType="separate"/>
      </w:r>
      <w:r>
        <w:rPr>
          <w:b/>
          <w:bCs/>
          <w:vertAlign w:val="superscript"/>
        </w:rPr>
        <w:t>19</w:t>
      </w:r>
      <w:r>
        <w:rPr>
          <w:b/>
          <w:bCs/>
        </w:rPr>
        <w:fldChar w:fldCharType="end"/>
      </w:r>
    </w:p>
    <w:p w14:paraId="38C9BF28">
      <w:pPr>
        <w:rPr>
          <w:rFonts w:eastAsia="宋体"/>
          <w:lang w:eastAsia="zh-CN"/>
        </w:rPr>
      </w:pPr>
    </w:p>
    <w:p w14:paraId="1B2A9E7A">
      <w:r>
        <w:rPr>
          <w:rFonts w:eastAsia="宋体"/>
          <w:lang w:eastAsia="zh-CN"/>
        </w:rPr>
        <w:t>3.</w:t>
      </w:r>
      <w:r>
        <w:t>1</w:t>
      </w:r>
      <w:r>
        <w:rPr>
          <w:rFonts w:eastAsia="宋体"/>
          <w:lang w:eastAsia="zh-CN"/>
        </w:rPr>
        <w:t xml:space="preserve"> </w:t>
      </w:r>
      <w:r>
        <w:t>Place the microneedle patch on the stage of a texture analyzer with the needles facing upward.</w:t>
      </w:r>
    </w:p>
    <w:p w14:paraId="29928DB3">
      <w:pPr>
        <w:rPr>
          <w:rFonts w:eastAsia="宋体"/>
          <w:lang w:eastAsia="zh-CN"/>
        </w:rPr>
      </w:pPr>
    </w:p>
    <w:p w14:paraId="69031BE4">
      <w:r>
        <w:rPr>
          <w:rFonts w:eastAsia="宋体"/>
          <w:lang w:eastAsia="zh-CN"/>
        </w:rPr>
        <w:t>3.</w:t>
      </w:r>
      <w:r>
        <w:t>2</w:t>
      </w:r>
      <w:r>
        <w:rPr>
          <w:rFonts w:eastAsia="宋体"/>
          <w:lang w:eastAsia="zh-CN"/>
        </w:rPr>
        <w:t xml:space="preserve"> </w:t>
      </w:r>
      <w:r>
        <w:t>Compress the patch using a probe at a speed of 20 μm/s until a displacement of 0.7 mm is reached.</w:t>
      </w:r>
    </w:p>
    <w:p w14:paraId="2245903D"/>
    <w:p w14:paraId="6CB60B7B">
      <w:r>
        <w:t>3</w:t>
      </w:r>
      <w:r>
        <w:rPr>
          <w:rFonts w:eastAsia="宋体"/>
          <w:lang w:eastAsia="zh-CN"/>
        </w:rPr>
        <w:t xml:space="preserve">.3 </w:t>
      </w:r>
      <w:r>
        <w:t>Record the fracture force and confirm that it is ≥0.15 N per needle to ensure skin penetration capability.</w:t>
      </w:r>
    </w:p>
    <w:p w14:paraId="1B9BE83A"/>
    <w:p w14:paraId="79F5C08E">
      <w:pPr>
        <w:rPr>
          <w:b/>
          <w:bCs/>
          <w:highlight w:val="yellow"/>
        </w:rPr>
      </w:pPr>
      <w:r>
        <w:rPr>
          <w:b/>
          <w:bCs/>
          <w:highlight w:val="yellow"/>
        </w:rPr>
        <w:t xml:space="preserve">4. </w:t>
      </w:r>
      <w:r>
        <w:rPr>
          <w:b/>
          <w:bCs/>
          <w:i/>
          <w:iCs/>
          <w:highlight w:val="yellow"/>
        </w:rPr>
        <w:t>In vitro</w:t>
      </w:r>
      <w:r>
        <w:rPr>
          <w:b/>
          <w:bCs/>
          <w:highlight w:val="yellow"/>
        </w:rPr>
        <w:t xml:space="preserve"> insertion and dissolution test</w:t>
      </w:r>
      <w:r>
        <w:rPr>
          <w:b/>
          <w:bCs/>
          <w:highlight w:val="yellow"/>
        </w:rPr>
        <w:fldChar w:fldCharType="begin"/>
      </w:r>
      <w:r>
        <w:rPr>
          <w:b/>
          <w:bCs/>
          <w:highlight w:val="yellow"/>
        </w:rPr>
        <w:instrText xml:space="preserve"> ADDIN EN.CITE &lt;EndNote&gt;&lt;Cite&gt;&lt;Author&gt;Bao&lt;/Author&gt;&lt;Year&gt;2021&lt;/Year&gt;&lt;RecNum&gt;11&lt;/RecNum&gt;&lt;DisplayText&gt;&lt;style face="superscript"&gt;11&lt;/style&gt;&lt;/DisplayText&gt;&lt;record&gt;&lt;rec-number&gt;11&lt;/rec-number&gt;&lt;foreign-keys&gt;&lt;key app="EN" db-id="txweffvp3090pcepzeb5dww09dtz0vvzzt9w" timestamp="1764037450"&gt;11&lt;/key&gt;&lt;/foreign-keys&gt;&lt;ref-type name="Journal Article"&gt;17&lt;/ref-type&gt;&lt;contributors&gt;&lt;authors&gt;&lt;author&gt;Bao, Cheng&lt;/author&gt;&lt;author&gt;Li, Zekun&lt;/author&gt;&lt;author&gt;Liang, Shuang&lt;/author&gt;&lt;author&gt;Hu, Yulin&lt;/author&gt;&lt;author&gt;Wang, Xiaoyu&lt;/author&gt;&lt;author&gt;Fang, Bing&lt;/author&gt;&lt;author&gt;Wang, Pengjie&lt;/author&gt;&lt;author&gt;Chen, Shanan&lt;/author&gt;&lt;author&gt;Li, Yuan&lt;/author&gt;&lt;/authors&gt;&lt;/contributors&gt;&lt;titles&gt;&lt;title&gt;Microneedle patch delivery of capsaicin‐containing α‐lactalbumin nanomicelles to adipocytes achieves potent anti‐obesity effects&lt;/title&gt;&lt;secondary-title&gt;Advanced Functional Materials&lt;/secondary-title&gt;&lt;/titles&gt;&lt;periodical&gt;&lt;full-title&gt;Advanced Functional Materials&lt;/full-title&gt;&lt;/periodical&gt;&lt;pages&gt;2011130&lt;/pages&gt;&lt;volume&gt;31&lt;/volume&gt;&lt;number&gt;20&lt;/number&gt;&lt;dates&gt;&lt;year&gt;2021&lt;/year&gt;&lt;/dates&gt;&lt;isbn&gt;1616-301X&lt;/isbn&gt;&lt;urls&gt;&lt;/urls&gt;&lt;/record&gt;&lt;/Cite&gt;&lt;/EndNote&gt;</w:instrText>
      </w:r>
      <w:r>
        <w:rPr>
          <w:b/>
          <w:bCs/>
          <w:highlight w:val="yellow"/>
        </w:rPr>
        <w:fldChar w:fldCharType="separate"/>
      </w:r>
      <w:r>
        <w:rPr>
          <w:b/>
          <w:bCs/>
          <w:highlight w:val="yellow"/>
          <w:vertAlign w:val="superscript"/>
        </w:rPr>
        <w:t>11</w:t>
      </w:r>
      <w:r>
        <w:rPr>
          <w:b/>
          <w:bCs/>
          <w:highlight w:val="yellow"/>
        </w:rPr>
        <w:fldChar w:fldCharType="end"/>
      </w:r>
    </w:p>
    <w:p w14:paraId="409848FF">
      <w:pPr>
        <w:rPr>
          <w:rFonts w:eastAsia="宋体"/>
          <w:highlight w:val="yellow"/>
          <w:lang w:eastAsia="zh-CN"/>
        </w:rPr>
      </w:pPr>
    </w:p>
    <w:p w14:paraId="74FDC19B">
      <w:pPr>
        <w:rPr>
          <w:highlight w:val="yellow"/>
        </w:rPr>
      </w:pPr>
      <w:r>
        <w:rPr>
          <w:rFonts w:eastAsia="宋体"/>
          <w:highlight w:val="yellow"/>
          <w:lang w:eastAsia="zh-CN"/>
        </w:rPr>
        <w:t>4.</w:t>
      </w:r>
      <w:r>
        <w:rPr>
          <w:highlight w:val="yellow"/>
        </w:rPr>
        <w:t>1</w:t>
      </w:r>
      <w:r>
        <w:rPr>
          <w:rFonts w:eastAsia="宋体"/>
          <w:highlight w:val="yellow"/>
          <w:lang w:eastAsia="zh-CN"/>
        </w:rPr>
        <w:t xml:space="preserve"> </w:t>
      </w:r>
      <w:r>
        <w:rPr>
          <w:highlight w:val="yellow"/>
        </w:rPr>
        <w:t xml:space="preserve">Shave the abdominal skin of mice and excise the skin for </w:t>
      </w:r>
      <w:r>
        <w:rPr>
          <w:i/>
          <w:iCs/>
          <w:highlight w:val="yellow"/>
        </w:rPr>
        <w:t>ex vivo</w:t>
      </w:r>
      <w:r>
        <w:rPr>
          <w:highlight w:val="yellow"/>
        </w:rPr>
        <w:t xml:space="preserve"> testing.</w:t>
      </w:r>
    </w:p>
    <w:p w14:paraId="394C64F9">
      <w:pPr>
        <w:rPr>
          <w:rFonts w:eastAsia="宋体"/>
          <w:highlight w:val="yellow"/>
          <w:lang w:eastAsia="zh-CN"/>
        </w:rPr>
      </w:pPr>
    </w:p>
    <w:p w14:paraId="52637802">
      <w:pPr>
        <w:rPr>
          <w:highlight w:val="yellow"/>
        </w:rPr>
      </w:pPr>
      <w:r>
        <w:rPr>
          <w:rFonts w:eastAsia="宋体"/>
          <w:highlight w:val="yellow"/>
          <w:lang w:eastAsia="zh-CN"/>
        </w:rPr>
        <w:t>4.</w:t>
      </w:r>
      <w:r>
        <w:rPr>
          <w:highlight w:val="yellow"/>
        </w:rPr>
        <w:t>2</w:t>
      </w:r>
      <w:r>
        <w:rPr>
          <w:rFonts w:eastAsia="宋体"/>
          <w:highlight w:val="yellow"/>
          <w:lang w:eastAsia="zh-CN"/>
        </w:rPr>
        <w:t xml:space="preserve"> </w:t>
      </w:r>
      <w:r>
        <w:rPr>
          <w:highlight w:val="yellow"/>
        </w:rPr>
        <w:t>Place the excised skin on an agarose gel support.</w:t>
      </w:r>
    </w:p>
    <w:p w14:paraId="3B99C031">
      <w:pPr>
        <w:rPr>
          <w:rFonts w:eastAsia="宋体"/>
          <w:highlight w:val="yellow"/>
          <w:lang w:eastAsia="zh-CN"/>
        </w:rPr>
      </w:pPr>
    </w:p>
    <w:p w14:paraId="7EA7D8E6">
      <w:pPr>
        <w:rPr>
          <w:highlight w:val="yellow"/>
        </w:rPr>
      </w:pPr>
      <w:r>
        <w:rPr>
          <w:rFonts w:eastAsia="宋体"/>
          <w:highlight w:val="yellow"/>
          <w:lang w:eastAsia="zh-CN"/>
        </w:rPr>
        <w:t>4.</w:t>
      </w:r>
      <w:r>
        <w:rPr>
          <w:highlight w:val="yellow"/>
        </w:rPr>
        <w:t>3</w:t>
      </w:r>
      <w:r>
        <w:rPr>
          <w:rFonts w:eastAsia="宋体"/>
          <w:highlight w:val="yellow"/>
          <w:lang w:eastAsia="zh-CN"/>
        </w:rPr>
        <w:t xml:space="preserve"> </w:t>
      </w:r>
      <w:r>
        <w:rPr>
          <w:highlight w:val="yellow"/>
        </w:rPr>
        <w:t>Press the microneedle patch firmly onto the skin for 30 s.</w:t>
      </w:r>
    </w:p>
    <w:p w14:paraId="33A3A399">
      <w:pPr>
        <w:rPr>
          <w:highlight w:val="yellow"/>
        </w:rPr>
      </w:pPr>
    </w:p>
    <w:p w14:paraId="244AAD49">
      <w:pPr>
        <w:rPr>
          <w:highlight w:val="yellow"/>
        </w:rPr>
      </w:pPr>
      <w:r>
        <w:rPr>
          <w:highlight w:val="yellow"/>
        </w:rPr>
        <w:t>4</w:t>
      </w:r>
      <w:r>
        <w:rPr>
          <w:rFonts w:eastAsia="宋体"/>
          <w:highlight w:val="yellow"/>
          <w:lang w:eastAsia="zh-CN"/>
        </w:rPr>
        <w:t xml:space="preserve">.4 </w:t>
      </w:r>
      <w:r>
        <w:rPr>
          <w:highlight w:val="yellow"/>
        </w:rPr>
        <w:t>Maintain contact between the patch and the skin for 30 min.</w:t>
      </w:r>
    </w:p>
    <w:p w14:paraId="659FAAB5">
      <w:pPr>
        <w:rPr>
          <w:rFonts w:eastAsia="宋体"/>
          <w:highlight w:val="yellow"/>
          <w:lang w:eastAsia="zh-CN"/>
        </w:rPr>
      </w:pPr>
    </w:p>
    <w:p w14:paraId="70FB12A8">
      <w:pPr>
        <w:rPr>
          <w:highlight w:val="yellow"/>
        </w:rPr>
      </w:pPr>
      <w:r>
        <w:rPr>
          <w:rFonts w:eastAsia="宋体"/>
          <w:highlight w:val="yellow"/>
          <w:lang w:eastAsia="zh-CN"/>
        </w:rPr>
        <w:t>4.</w:t>
      </w:r>
      <w:r>
        <w:rPr>
          <w:highlight w:val="yellow"/>
        </w:rPr>
        <w:t>5</w:t>
      </w:r>
      <w:r>
        <w:rPr>
          <w:rFonts w:eastAsia="宋体"/>
          <w:highlight w:val="yellow"/>
          <w:lang w:eastAsia="zh-CN"/>
        </w:rPr>
        <w:t xml:space="preserve"> </w:t>
      </w:r>
      <w:r>
        <w:rPr>
          <w:highlight w:val="yellow"/>
        </w:rPr>
        <w:t>Observe needle dissolution.</w:t>
      </w:r>
    </w:p>
    <w:p w14:paraId="190EF3CE">
      <w:pPr>
        <w:rPr>
          <w:rFonts w:eastAsia="宋体"/>
          <w:lang w:eastAsia="zh-CN"/>
        </w:rPr>
      </w:pPr>
    </w:p>
    <w:p w14:paraId="3A0AED1C">
      <w:r>
        <w:rPr>
          <w:rFonts w:eastAsia="宋体"/>
          <w:lang w:eastAsia="zh-CN"/>
        </w:rPr>
        <w:t>4.</w:t>
      </w:r>
      <w:r>
        <w:t>6</w:t>
      </w:r>
      <w:r>
        <w:rPr>
          <w:rFonts w:eastAsia="宋体"/>
          <w:lang w:eastAsia="zh-CN"/>
        </w:rPr>
        <w:t xml:space="preserve"> </w:t>
      </w:r>
      <w:r>
        <w:t>Stain the skin with</w:t>
      </w:r>
      <w:r>
        <w:rPr>
          <w:rFonts w:eastAsia="宋体"/>
          <w:lang w:eastAsia="zh-CN"/>
        </w:rPr>
        <w:t xml:space="preserve"> H&amp;E staining</w:t>
      </w:r>
      <w:r>
        <w:t xml:space="preserve"> and visualize insertion sites under CLSM.</w:t>
      </w:r>
    </w:p>
    <w:p w14:paraId="14B9DD9F"/>
    <w:p w14:paraId="414CA069">
      <w:pPr>
        <w:rPr>
          <w:b/>
          <w:bCs/>
        </w:rPr>
      </w:pPr>
      <w:r>
        <w:rPr>
          <w:b/>
          <w:bCs/>
        </w:rPr>
        <w:t xml:space="preserve">5. </w:t>
      </w:r>
      <w:r>
        <w:rPr>
          <w:b/>
          <w:bCs/>
          <w:i/>
          <w:iCs/>
        </w:rPr>
        <w:t>In vitro</w:t>
      </w:r>
      <w:r>
        <w:rPr>
          <w:b/>
          <w:bCs/>
        </w:rPr>
        <w:t xml:space="preserve"> release study</w:t>
      </w:r>
      <w:r>
        <w:rPr>
          <w:b/>
          <w:bCs/>
        </w:rPr>
        <w:fldChar w:fldCharType="begin"/>
      </w:r>
      <w:r>
        <w:rPr>
          <w:b/>
          <w:bCs/>
        </w:rPr>
        <w:instrText xml:space="preserve"> ADDIN EN.CITE &lt;EndNote&gt;&lt;Cite&gt;&lt;Author&gt;Bao&lt;/Author&gt;&lt;Year&gt;2021&lt;/Year&gt;&lt;RecNum&gt;11&lt;/RecNum&gt;&lt;DisplayText&gt;&lt;style face="superscript"&gt;11&lt;/style&gt;&lt;/DisplayText&gt;&lt;record&gt;&lt;rec-number&gt;11&lt;/rec-number&gt;&lt;foreign-keys&gt;&lt;key app="EN" db-id="txweffvp3090pcepzeb5dww09dtz0vvzzt9w" timestamp="1764037450"&gt;11&lt;/key&gt;&lt;/foreign-keys&gt;&lt;ref-type name="Journal Article"&gt;17&lt;/ref-type&gt;&lt;contributors&gt;&lt;authors&gt;&lt;author&gt;Bao, Cheng&lt;/author&gt;&lt;author&gt;Li, Zekun&lt;/author&gt;&lt;author&gt;Liang, Shuang&lt;/author&gt;&lt;author&gt;Hu, Yulin&lt;/author&gt;&lt;author&gt;Wang, Xiaoyu&lt;/author&gt;&lt;author&gt;Fang, Bing&lt;/author&gt;&lt;author&gt;Wang, Pengjie&lt;/author&gt;&lt;author&gt;Chen, Shanan&lt;/author&gt;&lt;author&gt;Li, Yuan&lt;/author&gt;&lt;/authors&gt;&lt;/contributors&gt;&lt;titles&gt;&lt;title&gt;Microneedle patch delivery of capsaicin‐containing α‐lactalbumin nanomicelles to adipocytes achieves potent anti‐obesity effects&lt;/title&gt;&lt;secondary-title&gt;Advanced Functional Materials&lt;/secondary-title&gt;&lt;/titles&gt;&lt;periodical&gt;&lt;full-title&gt;Advanced Functional Materials&lt;/full-title&gt;&lt;/periodical&gt;&lt;pages&gt;2011130&lt;/pages&gt;&lt;volume&gt;31&lt;/volume&gt;&lt;number&gt;20&lt;/number&gt;&lt;dates&gt;&lt;year&gt;2021&lt;/year&gt;&lt;/dates&gt;&lt;isbn&gt;1616-301X&lt;/isbn&gt;&lt;urls&gt;&lt;/urls&gt;&lt;/record&gt;&lt;/Cite&gt;&lt;/EndNote&gt;</w:instrText>
      </w:r>
      <w:r>
        <w:rPr>
          <w:b/>
          <w:bCs/>
        </w:rPr>
        <w:fldChar w:fldCharType="separate"/>
      </w:r>
      <w:r>
        <w:rPr>
          <w:b/>
          <w:bCs/>
          <w:vertAlign w:val="superscript"/>
        </w:rPr>
        <w:t>11</w:t>
      </w:r>
      <w:r>
        <w:rPr>
          <w:b/>
          <w:bCs/>
        </w:rPr>
        <w:fldChar w:fldCharType="end"/>
      </w:r>
    </w:p>
    <w:p w14:paraId="48567654">
      <w:pPr>
        <w:rPr>
          <w:rFonts w:eastAsia="宋体"/>
          <w:lang w:eastAsia="zh-CN"/>
        </w:rPr>
      </w:pPr>
    </w:p>
    <w:p w14:paraId="5E4CD122">
      <w:r>
        <w:rPr>
          <w:rFonts w:eastAsia="宋体"/>
          <w:lang w:eastAsia="zh-CN"/>
        </w:rPr>
        <w:t xml:space="preserve">5.1 </w:t>
      </w:r>
      <w:r>
        <w:t>Immerse microneedle patches in PBS buffer (pH 6.5 or 7.4) at 37 °C.</w:t>
      </w:r>
      <w:bookmarkStart w:id="2" w:name="_GoBack"/>
      <w:bookmarkEnd w:id="2"/>
    </w:p>
    <w:p w14:paraId="5504FCC5">
      <w:pPr>
        <w:rPr>
          <w:rFonts w:eastAsia="宋体"/>
          <w:lang w:eastAsia="zh-CN"/>
        </w:rPr>
      </w:pPr>
    </w:p>
    <w:p w14:paraId="2BF11E19">
      <w:r>
        <w:rPr>
          <w:rFonts w:eastAsia="宋体"/>
          <w:lang w:eastAsia="zh-CN"/>
        </w:rPr>
        <w:t>5.</w:t>
      </w:r>
      <w:r>
        <w:t>2</w:t>
      </w:r>
      <w:r>
        <w:rPr>
          <w:rFonts w:eastAsia="宋体"/>
          <w:lang w:eastAsia="zh-CN"/>
        </w:rPr>
        <w:t xml:space="preserve"> </w:t>
      </w:r>
      <w:r>
        <w:t>At defined intervals, withdraw buffer samples and immediately replenish with an equal volume of fresh buffer.</w:t>
      </w:r>
    </w:p>
    <w:p w14:paraId="1D5CF768">
      <w:pPr>
        <w:rPr>
          <w:rFonts w:eastAsia="宋体"/>
          <w:lang w:eastAsia="zh-CN"/>
        </w:rPr>
      </w:pPr>
    </w:p>
    <w:p w14:paraId="02ECCE1D">
      <w:pPr>
        <w:rPr>
          <w:rFonts w:eastAsia="宋体"/>
          <w:lang w:eastAsia="zh-CN"/>
        </w:rPr>
      </w:pPr>
      <w:r>
        <w:rPr>
          <w:rFonts w:eastAsia="宋体"/>
          <w:lang w:eastAsia="zh-CN"/>
        </w:rPr>
        <w:t>5.</w:t>
      </w:r>
      <w:r>
        <w:t>3</w:t>
      </w:r>
      <w:r>
        <w:rPr>
          <w:rFonts w:eastAsia="宋体"/>
          <w:lang w:eastAsia="zh-CN"/>
        </w:rPr>
        <w:t xml:space="preserve"> Determine the capsaicin concentration in the collected samples using HPLC.</w:t>
      </w:r>
    </w:p>
    <w:p w14:paraId="0E36B126">
      <w:pPr>
        <w:rPr>
          <w:rFonts w:eastAsia="宋体"/>
          <w:lang w:eastAsia="zh-CN"/>
        </w:rPr>
      </w:pPr>
    </w:p>
    <w:p w14:paraId="3815543D">
      <w:r>
        <w:rPr>
          <w:rFonts w:eastAsia="宋体"/>
          <w:lang w:eastAsia="zh-CN"/>
        </w:rPr>
        <w:t>5.</w:t>
      </w:r>
      <w:r>
        <w:t>4</w:t>
      </w:r>
      <w:r>
        <w:rPr>
          <w:rFonts w:eastAsia="宋体"/>
          <w:lang w:eastAsia="zh-CN"/>
        </w:rPr>
        <w:t xml:space="preserve"> </w:t>
      </w:r>
      <w:r>
        <w:t>Compare the release profiles at different pH conditions</w:t>
      </w:r>
      <w:r>
        <w:rPr>
          <w:rFonts w:eastAsia="宋体"/>
          <w:lang w:eastAsia="zh-CN"/>
        </w:rPr>
        <w:t xml:space="preserve"> using HPLC</w:t>
      </w:r>
      <w:r>
        <w:t>.</w:t>
      </w:r>
    </w:p>
    <w:p w14:paraId="480996C4">
      <w:pPr>
        <w:rPr>
          <w:b/>
          <w:bCs/>
        </w:rPr>
      </w:pPr>
    </w:p>
    <w:p w14:paraId="17E313D4">
      <w:pPr>
        <w:rPr>
          <w:b/>
          <w:bCs/>
        </w:rPr>
      </w:pPr>
      <w:r>
        <w:rPr>
          <w:b/>
          <w:bCs/>
        </w:rPr>
        <w:t xml:space="preserve">6. </w:t>
      </w:r>
      <w:r>
        <w:rPr>
          <w:b/>
          <w:bCs/>
          <w:i/>
          <w:iCs/>
        </w:rPr>
        <w:t>In vivo</w:t>
      </w:r>
      <w:r>
        <w:rPr>
          <w:b/>
          <w:bCs/>
        </w:rPr>
        <w:t xml:space="preserve"> application in HFD-induced obese mice</w:t>
      </w:r>
      <w:r>
        <w:rPr>
          <w:b/>
          <w:bCs/>
        </w:rPr>
        <w:fldChar w:fldCharType="begin"/>
      </w:r>
      <w:r>
        <w:rPr>
          <w:b/>
          <w:bCs/>
        </w:rPr>
        <w:instrText xml:space="preserve"> ADDIN EN.CITE &lt;EndNote&gt;&lt;Cite&gt;&lt;Author&gt;Bao&lt;/Author&gt;&lt;Year&gt;2021&lt;/Year&gt;&lt;RecNum&gt;11&lt;/RecNum&gt;&lt;DisplayText&gt;&lt;style face="superscript"&gt;11&lt;/style&gt;&lt;/DisplayText&gt;&lt;record&gt;&lt;rec-number&gt;11&lt;/rec-number&gt;&lt;foreign-keys&gt;&lt;key app="EN" db-id="txweffvp3090pcepzeb5dww09dtz0vvzzt9w" timestamp="1764037450"&gt;11&lt;/key&gt;&lt;/foreign-keys&gt;&lt;ref-type name="Journal Article"&gt;17&lt;/ref-type&gt;&lt;contributors&gt;&lt;authors&gt;&lt;author&gt;Bao, Cheng&lt;/author&gt;&lt;author&gt;Li, Zekun&lt;/author&gt;&lt;author&gt;Liang, Shuang&lt;/author&gt;&lt;author&gt;Hu, Yulin&lt;/author&gt;&lt;author&gt;Wang, Xiaoyu&lt;/author&gt;&lt;author&gt;Fang, Bing&lt;/author&gt;&lt;author&gt;Wang, Pengjie&lt;/author&gt;&lt;author&gt;Chen, Shanan&lt;/author&gt;&lt;author&gt;Li, Yuan&lt;/author&gt;&lt;/authors&gt;&lt;/contributors&gt;&lt;titles&gt;&lt;title&gt;Microneedle patch delivery of capsaicin‐containing α‐lactalbumin nanomicelles to adipocytes achieves potent anti‐obesity effects&lt;/title&gt;&lt;secondary-title&gt;Advanced Functional Materials&lt;/secondary-title&gt;&lt;/titles&gt;&lt;periodical&gt;&lt;full-title&gt;Advanced Functional Materials&lt;/full-title&gt;&lt;/periodical&gt;&lt;pages&gt;2011130&lt;/pages&gt;&lt;volume&gt;31&lt;/volume&gt;&lt;number&gt;20&lt;/number&gt;&lt;dates&gt;&lt;year&gt;2021&lt;/year&gt;&lt;/dates&gt;&lt;isbn&gt;1616-301X&lt;/isbn&gt;&lt;urls&gt;&lt;/urls&gt;&lt;/record&gt;&lt;/Cite&gt;&lt;/EndNote&gt;</w:instrText>
      </w:r>
      <w:r>
        <w:rPr>
          <w:b/>
          <w:bCs/>
        </w:rPr>
        <w:fldChar w:fldCharType="separate"/>
      </w:r>
      <w:r>
        <w:rPr>
          <w:b/>
          <w:bCs/>
          <w:vertAlign w:val="superscript"/>
        </w:rPr>
        <w:t>11</w:t>
      </w:r>
      <w:r>
        <w:rPr>
          <w:b/>
          <w:bCs/>
        </w:rPr>
        <w:fldChar w:fldCharType="end"/>
      </w:r>
    </w:p>
    <w:p w14:paraId="31952366">
      <w:pPr>
        <w:rPr>
          <w:rFonts w:eastAsia="宋体"/>
          <w:lang w:eastAsia="zh-CN"/>
        </w:rPr>
      </w:pPr>
    </w:p>
    <w:p w14:paraId="4B566C0C">
      <w:r>
        <w:rPr>
          <w:rFonts w:eastAsia="宋体"/>
          <w:lang w:eastAsia="zh-CN"/>
        </w:rPr>
        <w:t>6.</w:t>
      </w:r>
      <w:r>
        <w:t>1</w:t>
      </w:r>
      <w:r>
        <w:rPr>
          <w:rFonts w:eastAsia="宋体"/>
          <w:lang w:eastAsia="zh-CN"/>
        </w:rPr>
        <w:t xml:space="preserve"> </w:t>
      </w:r>
      <w:r>
        <w:t>Induce obesity in C57BL/6N mice by feeding a high-fat diet (HFD, 60% kcal from fat) for 8 weeks.</w:t>
      </w:r>
    </w:p>
    <w:p w14:paraId="3A4C83DB">
      <w:pPr>
        <w:rPr>
          <w:rFonts w:eastAsia="宋体"/>
          <w:lang w:eastAsia="zh-CN"/>
        </w:rPr>
      </w:pPr>
    </w:p>
    <w:p w14:paraId="4B1B8BAF">
      <w:r>
        <w:rPr>
          <w:rFonts w:eastAsia="宋体"/>
          <w:lang w:eastAsia="zh-CN"/>
        </w:rPr>
        <w:t>6.2 Randomly divide the mice into five groups: normal control, HFD control, blank micelle microneedle patch (MP-M), capsaicin-loaded nanomicelle injection (InJ-M(Cap)), and capsaicin-loaded nanomicelle microneedle patch (MP-M(Cap)) groups.</w:t>
      </w:r>
    </w:p>
    <w:p w14:paraId="3BFBA3AE">
      <w:pPr>
        <w:rPr>
          <w:rFonts w:eastAsia="宋体"/>
          <w:lang w:eastAsia="zh-CN"/>
        </w:rPr>
      </w:pPr>
    </w:p>
    <w:p w14:paraId="6AFA10E1">
      <w:r>
        <w:rPr>
          <w:rFonts w:eastAsia="宋体"/>
          <w:lang w:eastAsia="zh-CN"/>
        </w:rPr>
        <w:t>6.</w:t>
      </w:r>
      <w:r>
        <w:t>3</w:t>
      </w:r>
      <w:r>
        <w:rPr>
          <w:rFonts w:eastAsia="宋体"/>
          <w:lang w:eastAsia="zh-CN"/>
        </w:rPr>
        <w:t xml:space="preserve"> </w:t>
      </w:r>
      <w:r>
        <w:t>Depilate the inguinal region of each mouse.</w:t>
      </w:r>
    </w:p>
    <w:p w14:paraId="0CAD6834">
      <w:pPr>
        <w:rPr>
          <w:rFonts w:eastAsia="宋体"/>
          <w:lang w:eastAsia="zh-CN"/>
        </w:rPr>
      </w:pPr>
    </w:p>
    <w:p w14:paraId="53A25F01">
      <w:r>
        <w:rPr>
          <w:rFonts w:eastAsia="宋体"/>
          <w:lang w:eastAsia="zh-CN"/>
        </w:rPr>
        <w:t>6.</w:t>
      </w:r>
      <w:r>
        <w:t>4</w:t>
      </w:r>
      <w:r>
        <w:rPr>
          <w:rFonts w:eastAsia="宋体"/>
          <w:lang w:eastAsia="zh-CN"/>
        </w:rPr>
        <w:t xml:space="preserve"> </w:t>
      </w:r>
      <w:r>
        <w:t>Apply one microneedle patch to the depilated area every 2 days for 28 days and maintain the patch in place for 30 min.</w:t>
      </w:r>
    </w:p>
    <w:p w14:paraId="421E10A1">
      <w:pPr>
        <w:rPr>
          <w:rFonts w:eastAsia="宋体"/>
          <w:lang w:eastAsia="zh-CN"/>
        </w:rPr>
      </w:pPr>
    </w:p>
    <w:p w14:paraId="55DAA301">
      <w:r>
        <w:rPr>
          <w:rFonts w:eastAsia="宋体"/>
          <w:lang w:eastAsia="zh-CN"/>
        </w:rPr>
        <w:t>6.</w:t>
      </w:r>
      <w:r>
        <w:t>5</w:t>
      </w:r>
      <w:r>
        <w:rPr>
          <w:rFonts w:eastAsia="宋体"/>
          <w:lang w:eastAsia="zh-CN"/>
        </w:rPr>
        <w:t xml:space="preserve"> </w:t>
      </w:r>
      <w:r>
        <w:t>Record body weight and food intake every 2 days during the treatment period.</w:t>
      </w:r>
    </w:p>
    <w:p w14:paraId="3799D9DD">
      <w:pPr>
        <w:rPr>
          <w:rFonts w:eastAsia="宋体"/>
          <w:lang w:eastAsia="zh-CN"/>
        </w:rPr>
      </w:pPr>
    </w:p>
    <w:p w14:paraId="0FC7679A">
      <w:r>
        <w:rPr>
          <w:rFonts w:eastAsia="宋体"/>
          <w:lang w:eastAsia="zh-CN"/>
        </w:rPr>
        <w:t>6.</w:t>
      </w:r>
      <w:r>
        <w:t>6</w:t>
      </w:r>
      <w:r>
        <w:rPr>
          <w:rFonts w:eastAsia="宋体"/>
          <w:lang w:eastAsia="zh-CN"/>
        </w:rPr>
        <w:t xml:space="preserve"> </w:t>
      </w:r>
      <w:r>
        <w:t>Analyze whole-body fat and lean tissue composition by MRI at the end of the treatment.</w:t>
      </w:r>
    </w:p>
    <w:p w14:paraId="36A0F10E">
      <w:pPr>
        <w:rPr>
          <w:rFonts w:eastAsia="宋体"/>
          <w:lang w:eastAsia="zh-CN"/>
        </w:rPr>
      </w:pPr>
    </w:p>
    <w:p w14:paraId="65228D8C">
      <w:r>
        <w:rPr>
          <w:rFonts w:eastAsia="宋体"/>
          <w:lang w:eastAsia="zh-CN"/>
        </w:rPr>
        <w:t>6.</w:t>
      </w:r>
      <w:r>
        <w:t>7</w:t>
      </w:r>
      <w:r>
        <w:rPr>
          <w:rFonts w:eastAsia="宋体"/>
          <w:lang w:eastAsia="zh-CN"/>
        </w:rPr>
        <w:t xml:space="preserve"> </w:t>
      </w:r>
      <w:r>
        <w:t>Assess physical activity, oxygen consumption, CO₂ production, and respiratory quotient (RQ) in metabolic cages according to the manufacturer’s instructions.</w:t>
      </w:r>
    </w:p>
    <w:p w14:paraId="540DDBC7">
      <w:pPr>
        <w:rPr>
          <w:rFonts w:eastAsia="宋体"/>
          <w:lang w:eastAsia="zh-CN"/>
        </w:rPr>
      </w:pPr>
    </w:p>
    <w:p w14:paraId="494F31E2">
      <w:r>
        <w:rPr>
          <w:rFonts w:eastAsia="宋体"/>
          <w:lang w:eastAsia="zh-CN"/>
        </w:rPr>
        <w:t>6.</w:t>
      </w:r>
      <w:r>
        <w:t>8</w:t>
      </w:r>
      <w:r>
        <w:rPr>
          <w:rFonts w:eastAsia="宋体"/>
          <w:lang w:eastAsia="zh-CN"/>
        </w:rPr>
        <w:t xml:space="preserve"> </w:t>
      </w:r>
      <w:r>
        <w:t>Collect iWAT, sBAT, and major organs</w:t>
      </w:r>
      <w:r>
        <w:rPr>
          <w:rFonts w:eastAsia="宋体"/>
          <w:lang w:eastAsia="zh-CN"/>
        </w:rPr>
        <w:t xml:space="preserve">, </w:t>
      </w:r>
      <w:r>
        <w:t>fix, embed, section, and stain the tissues with H&amp;E, and evaluate histological changes by light microscopy.</w:t>
      </w:r>
    </w:p>
    <w:p w14:paraId="0B5F1FE8">
      <w:pPr>
        <w:rPr>
          <w:rFonts w:eastAsia="宋体"/>
          <w:lang w:eastAsia="zh-CN"/>
        </w:rPr>
      </w:pPr>
    </w:p>
    <w:p w14:paraId="37DF74E1">
      <w:r>
        <w:rPr>
          <w:rFonts w:eastAsia="宋体"/>
          <w:lang w:eastAsia="zh-CN"/>
        </w:rPr>
        <w:t>6.</w:t>
      </w:r>
      <w:r>
        <w:t>9</w:t>
      </w:r>
      <w:r>
        <w:rPr>
          <w:rFonts w:eastAsia="宋体"/>
          <w:lang w:eastAsia="zh-CN"/>
        </w:rPr>
        <w:t xml:space="preserve"> </w:t>
      </w:r>
      <w:r>
        <w:t>Perform Western blotting for TRPV1, PPARγ, C/EBPα, UCP1, and Cyt C using standard procedures.</w:t>
      </w:r>
    </w:p>
    <w:p w14:paraId="6BF0E29B">
      <w:pPr>
        <w:rPr>
          <w:b/>
        </w:rPr>
      </w:pPr>
    </w:p>
    <w:p w14:paraId="3D407E20">
      <w:r>
        <w:rPr>
          <w:b/>
        </w:rPr>
        <w:t xml:space="preserve">RESULTS: </w:t>
      </w:r>
    </w:p>
    <w:p w14:paraId="11CFC1D6">
      <w:pPr>
        <w:rPr>
          <w:b/>
          <w:bCs/>
        </w:rPr>
      </w:pPr>
    </w:p>
    <w:p w14:paraId="02B6770B">
      <w:pPr>
        <w:rPr>
          <w:b/>
          <w:bCs/>
        </w:rPr>
      </w:pPr>
      <w:r>
        <w:rPr>
          <w:b/>
          <w:bCs/>
        </w:rPr>
        <w:t>Morphology and characterization of nanomicelles</w:t>
      </w:r>
    </w:p>
    <w:p w14:paraId="397919F8">
      <w:pPr>
        <w:rPr>
          <w:bCs/>
        </w:rPr>
      </w:pPr>
      <w:r>
        <w:rPr>
          <w:bCs/>
        </w:rPr>
        <w:t>Transmission electron microscopy (TEM) showed that α-lactalbumin nanomicelles were uniformly dispersed, spherical particles with a narrow size distribution (</w:t>
      </w:r>
      <w:r>
        <w:rPr>
          <w:b/>
        </w:rPr>
        <w:t>Figure 1</w:t>
      </w:r>
      <w:r>
        <w:rPr>
          <w:bCs/>
        </w:rPr>
        <w:t>). After capsaicin encapsulation, the mean particle diameter increased from ~22 nm to ~30 nm, indicating successful drug loading into the micellar core. Consistently, the zeta potential shifted slightly from −16.8 mV to −20.3 mV, further confirming efficient encapsulation and altered surface properties.</w:t>
      </w:r>
    </w:p>
    <w:p w14:paraId="4E89B088">
      <w:pPr>
        <w:rPr>
          <w:b/>
          <w:bCs/>
        </w:rPr>
      </w:pPr>
    </w:p>
    <w:p w14:paraId="1EE94F75">
      <w:pPr>
        <w:rPr>
          <w:b/>
          <w:bCs/>
        </w:rPr>
      </w:pPr>
      <w:r>
        <w:rPr>
          <w:b/>
          <w:bCs/>
        </w:rPr>
        <w:t>Cellular uptake and anti-lipogenic effects in 3T3-L1 adipocytes</w:t>
      </w:r>
    </w:p>
    <w:p w14:paraId="661D24F3">
      <w:pPr>
        <w:rPr>
          <w:bCs/>
        </w:rPr>
      </w:pPr>
      <w:r>
        <w:rPr>
          <w:bCs/>
        </w:rPr>
        <w:t>Confocal laser scanning microscopy (CLSM) using Cy3-labeled micelles revealed rapid and efficient uptake of nanomicelles into 3T3-L1 preadipocytes within 2 h (</w:t>
      </w:r>
      <w:r>
        <w:rPr>
          <w:b/>
        </w:rPr>
        <w:t>Figure 2A</w:t>
      </w:r>
      <w:r>
        <w:rPr>
          <w:bCs/>
        </w:rPr>
        <w:t>). BODIPY staining showed that M(Cap) markedly reduced intracellular lipid droplet accumulation compared with untreated controls and free capsaicin (</w:t>
      </w:r>
      <w:r>
        <w:rPr>
          <w:b/>
        </w:rPr>
        <w:t>Figure 2B</w:t>
      </w:r>
      <w:r>
        <w:rPr>
          <w:bCs/>
        </w:rPr>
        <w:t>). Western blot and qPCR analyses demonstrated significant downregulation of the adipogenic transcription factors PPARγ and C/EBPα, together with upregulation of TRPV1, UCP1, and Cyt C (</w:t>
      </w:r>
      <w:r>
        <w:rPr>
          <w:b/>
        </w:rPr>
        <w:t>Figure 2C,D</w:t>
      </w:r>
      <w:r>
        <w:rPr>
          <w:bCs/>
        </w:rPr>
        <w:t xml:space="preserve">). TEM </w:t>
      </w:r>
      <w:r>
        <w:rPr>
          <w:rFonts w:eastAsiaTheme="minorEastAsia"/>
          <w:bCs/>
          <w:lang w:eastAsia="zh-CN"/>
        </w:rPr>
        <w:t xml:space="preserve">of adipocytes </w:t>
      </w:r>
      <w:r>
        <w:rPr>
          <w:bCs/>
        </w:rPr>
        <w:t>further confirmed an increased number of mitochondria and smaller lipid droplets in M(Cap)-treated cells (</w:t>
      </w:r>
      <w:r>
        <w:rPr>
          <w:b/>
        </w:rPr>
        <w:t>Figure 2E</w:t>
      </w:r>
      <w:r>
        <w:rPr>
          <w:bCs/>
        </w:rPr>
        <w:t>).</w:t>
      </w:r>
    </w:p>
    <w:p w14:paraId="507EAC8A">
      <w:pPr>
        <w:rPr>
          <w:b/>
          <w:bCs/>
        </w:rPr>
      </w:pPr>
    </w:p>
    <w:p w14:paraId="612FD76F">
      <w:pPr>
        <w:rPr>
          <w:b/>
          <w:bCs/>
        </w:rPr>
      </w:pPr>
      <w:r>
        <w:rPr>
          <w:b/>
          <w:bCs/>
        </w:rPr>
        <w:t>Fabrication and mechanical properties of microneedle patches</w:t>
      </w:r>
    </w:p>
    <w:p w14:paraId="70C1F50B">
      <w:pPr>
        <w:rPr>
          <w:bCs/>
        </w:rPr>
      </w:pPr>
      <w:r>
        <w:rPr>
          <w:bCs/>
        </w:rPr>
        <w:t>SEM imaging confirmed successful fabrication of microneedle patches with well-defined pyramidal needles (600 μm height, 300 μm base width) arranged in uniform arrays (Figure 3A). CLSM of Cy5-labeled M(Cap) demonstrated homogeneous distribution of nanomicelles throughout the microneedle matrix (</w:t>
      </w:r>
      <w:r>
        <w:rPr>
          <w:b/>
        </w:rPr>
        <w:t>Figure 3B</w:t>
      </w:r>
      <w:r>
        <w:rPr>
          <w:bCs/>
        </w:rPr>
        <w:t>). Texture analysis showed that each microneedle exhibited a fracture force &gt;0.15 N, sufficient to penetrate murine skin.</w:t>
      </w:r>
    </w:p>
    <w:p w14:paraId="39926E77">
      <w:pPr>
        <w:rPr>
          <w:bCs/>
        </w:rPr>
      </w:pPr>
    </w:p>
    <w:p w14:paraId="55F2CFB9">
      <w:pPr>
        <w:rPr>
          <w:rFonts w:eastAsiaTheme="minorEastAsia"/>
          <w:b/>
          <w:bCs/>
          <w:lang w:eastAsia="zh-CN"/>
        </w:rPr>
      </w:pPr>
      <w:r>
        <w:rPr>
          <w:rFonts w:eastAsiaTheme="minorEastAsia"/>
          <w:b/>
          <w:bCs/>
          <w:lang w:eastAsia="zh-CN"/>
        </w:rPr>
        <w:t>I</w:t>
      </w:r>
      <w:r>
        <w:rPr>
          <w:b/>
          <w:bCs/>
        </w:rPr>
        <w:t>nsertion, dissolution, and release</w:t>
      </w:r>
      <w:r>
        <w:rPr>
          <w:rFonts w:eastAsiaTheme="minorEastAsia"/>
          <w:b/>
          <w:bCs/>
          <w:lang w:eastAsia="zh-CN"/>
        </w:rPr>
        <w:t xml:space="preserve"> of microneedle patches</w:t>
      </w:r>
    </w:p>
    <w:p w14:paraId="2FA68EEA">
      <w:pPr>
        <w:rPr>
          <w:bCs/>
        </w:rPr>
      </w:pPr>
      <w:r>
        <w:rPr>
          <w:rFonts w:eastAsiaTheme="minorEastAsia"/>
          <w:bCs/>
          <w:i/>
          <w:iCs/>
          <w:lang w:eastAsia="zh-CN"/>
        </w:rPr>
        <w:t>In</w:t>
      </w:r>
      <w:r>
        <w:rPr>
          <w:bCs/>
          <w:i/>
          <w:iCs/>
        </w:rPr>
        <w:t xml:space="preserve"> vivo</w:t>
      </w:r>
      <w:r>
        <w:rPr>
          <w:bCs/>
        </w:rPr>
        <w:t xml:space="preserve"> insertion studies using murine abdominal skin</w:t>
      </w:r>
      <w:r>
        <w:rPr>
          <w:rFonts w:eastAsiaTheme="minorEastAsia"/>
          <w:bCs/>
          <w:lang w:eastAsia="zh-CN"/>
        </w:rPr>
        <w:t xml:space="preserve"> were performed, and</w:t>
      </w:r>
      <w:r>
        <w:rPr>
          <w:bCs/>
        </w:rPr>
        <w:t xml:space="preserve"> </w:t>
      </w:r>
      <w:r>
        <w:rPr>
          <w:rFonts w:eastAsiaTheme="minorEastAsia"/>
          <w:bCs/>
          <w:lang w:eastAsia="zh-CN"/>
        </w:rPr>
        <w:t>t</w:t>
      </w:r>
      <w:r>
        <w:rPr>
          <w:bCs/>
        </w:rPr>
        <w:t>he microneedles dissolved completely within ~30 min after application</w:t>
      </w:r>
      <w:r>
        <w:rPr>
          <w:rFonts w:eastAsiaTheme="minorEastAsia"/>
          <w:bCs/>
          <w:lang w:eastAsia="zh-CN"/>
        </w:rPr>
        <w:t>. The results</w:t>
      </w:r>
      <w:r>
        <w:rPr>
          <w:bCs/>
        </w:rPr>
        <w:t xml:space="preserve"> showed that the microneedles penetrated the stratum corneum effectively, creating distinct microchannels visualized</w:t>
      </w:r>
      <w:r>
        <w:rPr>
          <w:rFonts w:eastAsiaTheme="minorEastAsia"/>
          <w:bCs/>
          <w:lang w:eastAsia="zh-CN"/>
        </w:rPr>
        <w:t xml:space="preserve"> by H&amp;E staining</w:t>
      </w:r>
      <w:r>
        <w:rPr>
          <w:bCs/>
        </w:rPr>
        <w:t xml:space="preserve"> (</w:t>
      </w:r>
      <w:r>
        <w:rPr>
          <w:b/>
        </w:rPr>
        <w:t>Figure 4A</w:t>
      </w:r>
      <w:r>
        <w:rPr>
          <w:rFonts w:eastAsiaTheme="minorEastAsia"/>
          <w:b/>
          <w:lang w:eastAsia="zh-CN"/>
        </w:rPr>
        <w:t>,</w:t>
      </w:r>
      <w:r>
        <w:rPr>
          <w:b/>
        </w:rPr>
        <w:t>B</w:t>
      </w:r>
      <w:r>
        <w:rPr>
          <w:bCs/>
        </w:rPr>
        <w:t xml:space="preserve">). </w:t>
      </w:r>
      <w:r>
        <w:rPr>
          <w:bCs/>
          <w:i/>
          <w:iCs/>
        </w:rPr>
        <w:t>In vitro</w:t>
      </w:r>
      <w:r>
        <w:rPr>
          <w:bCs/>
        </w:rPr>
        <w:t xml:space="preserve"> release experiments revealed pH-responsive behavior, with cumulative capsaicin release reaching ~98% at pH 6.5 and ~78% at pH 7.4 after 50 min, mimicking adipose tissue versus physiological pH conditions (</w:t>
      </w:r>
      <w:r>
        <w:rPr>
          <w:b/>
        </w:rPr>
        <w:t>Figure 4C</w:t>
      </w:r>
      <w:r>
        <w:rPr>
          <w:bCs/>
        </w:rPr>
        <w:t>).</w:t>
      </w:r>
    </w:p>
    <w:p w14:paraId="3BF73277">
      <w:pPr>
        <w:rPr>
          <w:b/>
          <w:bCs/>
        </w:rPr>
      </w:pPr>
    </w:p>
    <w:p w14:paraId="0EE24689">
      <w:pPr>
        <w:rPr>
          <w:b/>
          <w:bCs/>
        </w:rPr>
      </w:pPr>
      <w:r>
        <w:rPr>
          <w:b/>
          <w:bCs/>
          <w:i/>
          <w:iCs/>
        </w:rPr>
        <w:t>In vivo</w:t>
      </w:r>
      <w:r>
        <w:rPr>
          <w:b/>
          <w:bCs/>
        </w:rPr>
        <w:t xml:space="preserve"> anti-obesity effects in HFD-induced obese mice</w:t>
      </w:r>
    </w:p>
    <w:p w14:paraId="0AEEB2ED">
      <w:pPr>
        <w:rPr>
          <w:bCs/>
        </w:rPr>
      </w:pPr>
      <w:r>
        <w:rPr>
          <w:bCs/>
        </w:rPr>
        <w:t>In HFD-fed obese mice, treatment with M(Cap)-loaded microneedle patches induced marked body weight reduction compared with HFD controls and free capsaicin groups (</w:t>
      </w:r>
      <w:r>
        <w:rPr>
          <w:b/>
        </w:rPr>
        <w:t>Figure 5A–C</w:t>
      </w:r>
      <w:r>
        <w:rPr>
          <w:bCs/>
        </w:rPr>
        <w:t xml:space="preserve">). MRI analysis showed a pronounced decrease in whole-body fat mass (4.7% </w:t>
      </w:r>
      <w:r>
        <w:rPr>
          <w:bCs/>
          <w:i/>
          <w:iCs/>
        </w:rPr>
        <w:t>vs</w:t>
      </w:r>
      <w:r>
        <w:rPr>
          <w:bCs/>
        </w:rPr>
        <w:t>. 15.7% in untreated HFD mice), accompanied by an increase in lean mass (</w:t>
      </w:r>
      <w:r>
        <w:rPr>
          <w:b/>
        </w:rPr>
        <w:t>Figure 5D,E</w:t>
      </w:r>
      <w:r>
        <w:rPr>
          <w:bCs/>
        </w:rPr>
        <w:t>). Histological examination of WAT</w:t>
      </w:r>
      <w:r>
        <w:rPr>
          <w:rFonts w:eastAsiaTheme="minorEastAsia"/>
          <w:bCs/>
          <w:lang w:eastAsia="zh-CN"/>
        </w:rPr>
        <w:t>s</w:t>
      </w:r>
      <w:r>
        <w:rPr>
          <w:bCs/>
        </w:rPr>
        <w:t xml:space="preserve"> and sBAT</w:t>
      </w:r>
      <w:r>
        <w:rPr>
          <w:rFonts w:eastAsiaTheme="minorEastAsia"/>
          <w:bCs/>
          <w:lang w:eastAsia="zh-CN"/>
        </w:rPr>
        <w:t xml:space="preserve"> (E-WAT: epididymis white adipose tissue (WAT); P-WAT: perinephric WAT; iWAT: inguinal WAT; S-BAT: shoulder blades brown adipose tissue)</w:t>
      </w:r>
      <w:r>
        <w:rPr>
          <w:bCs/>
        </w:rPr>
        <w:t xml:space="preserve"> revealed smaller adipocytes and features consistent with adipose tissue browning in the M(Cap) MN group (</w:t>
      </w:r>
      <w:r>
        <w:rPr>
          <w:b/>
        </w:rPr>
        <w:t>Figure 5F</w:t>
      </w:r>
      <w:r>
        <w:rPr>
          <w:bCs/>
        </w:rPr>
        <w:t>).</w:t>
      </w:r>
    </w:p>
    <w:p w14:paraId="5A1ADA05">
      <w:pPr>
        <w:rPr>
          <w:b/>
          <w:bCs/>
        </w:rPr>
      </w:pPr>
    </w:p>
    <w:p w14:paraId="1DFF6510">
      <w:pPr>
        <w:rPr>
          <w:b/>
          <w:bCs/>
        </w:rPr>
      </w:pPr>
      <w:r>
        <w:rPr>
          <w:b/>
          <w:bCs/>
        </w:rPr>
        <w:t>Physiological and molecular impacts of treatment</w:t>
      </w:r>
    </w:p>
    <w:p w14:paraId="4D4F4DF2">
      <w:r>
        <w:rPr>
          <w:bCs/>
        </w:rPr>
        <w:t>Metabolic cage studies demonstrated that M(Cap)-treated mice displayed higher physical activity and oxygen consumption, together with a lower respiratory quotient, indicative of enhanced fatty acid oxidation. Immunohistochemistry and Western blotting of iWAT confirmed significant downregulation of lipogenic proteins (PPARγ, C/EBPα) and upregulation of browning-related markers (UCP1, Cyt C, PGC1α) (</w:t>
      </w:r>
      <w:r>
        <w:rPr>
          <w:b/>
        </w:rPr>
        <w:t>Figure 6A–D</w:t>
      </w:r>
      <w:r>
        <w:rPr>
          <w:bCs/>
        </w:rPr>
        <w:t>). No evident toxicity was observed in major organs, and serum biochemical parameters remained within normal ranges after treatment.</w:t>
      </w:r>
    </w:p>
    <w:p w14:paraId="60D093B9">
      <w:pPr>
        <w:rPr>
          <w:b/>
        </w:rPr>
      </w:pPr>
    </w:p>
    <w:p w14:paraId="1ED0B325">
      <w:r>
        <w:rPr>
          <w:b/>
        </w:rPr>
        <w:t>FIGURE LEGENDS:</w:t>
      </w:r>
      <w:r>
        <w:t xml:space="preserve"> </w:t>
      </w:r>
    </w:p>
    <w:p w14:paraId="3AB2CAE8">
      <w:pPr>
        <w:rPr>
          <w:rFonts w:eastAsia="宋体"/>
          <w:lang w:eastAsia="zh-CN"/>
        </w:rPr>
      </w:pPr>
    </w:p>
    <w:p w14:paraId="693B096C">
      <w:pPr>
        <w:rPr>
          <w:rFonts w:eastAsia="宋体"/>
          <w:lang w:eastAsia="zh-CN"/>
        </w:rPr>
      </w:pPr>
      <w:r>
        <w:rPr>
          <w:b/>
          <w:bCs/>
        </w:rPr>
        <w:t>Figure 1: T</w:t>
      </w:r>
      <w:r>
        <w:rPr>
          <w:rFonts w:eastAsiaTheme="minorEastAsia"/>
          <w:b/>
          <w:bCs/>
          <w:lang w:eastAsia="zh-CN"/>
        </w:rPr>
        <w:t xml:space="preserve">he </w:t>
      </w:r>
      <w:r>
        <w:rPr>
          <w:b/>
          <w:bCs/>
        </w:rPr>
        <w:t>characterization of α-lactalbumin nanomicelles</w:t>
      </w:r>
      <w:r>
        <w:rPr>
          <w:rFonts w:eastAsia="宋体"/>
          <w:b/>
          <w:bCs/>
          <w:lang w:eastAsia="zh-CN"/>
        </w:rPr>
        <w:t xml:space="preserve"> (SNS)</w:t>
      </w:r>
      <w:r>
        <w:rPr>
          <w:b/>
          <w:bCs/>
        </w:rPr>
        <w:t xml:space="preserve"> </w:t>
      </w:r>
      <w:r>
        <w:rPr>
          <w:rFonts w:eastAsia="宋体"/>
          <w:b/>
          <w:bCs/>
          <w:lang w:eastAsia="zh-CN"/>
        </w:rPr>
        <w:t>and</w:t>
      </w:r>
      <w:r>
        <w:rPr>
          <w:b/>
          <w:bCs/>
        </w:rPr>
        <w:t xml:space="preserve"> capsaicin-loaded micelles</w:t>
      </w:r>
      <w:r>
        <w:rPr>
          <w:rFonts w:eastAsia="宋体"/>
          <w:b/>
          <w:bCs/>
          <w:lang w:eastAsia="zh-CN"/>
        </w:rPr>
        <w:t xml:space="preserve"> (SNS-Cap)</w:t>
      </w:r>
      <w:r>
        <w:rPr>
          <w:rFonts w:eastAsia="宋体"/>
          <w:lang w:eastAsia="zh-CN"/>
        </w:rPr>
        <w:t>. (</w:t>
      </w:r>
      <w:r>
        <w:rPr>
          <w:rFonts w:eastAsia="宋体"/>
          <w:b/>
          <w:bCs/>
          <w:lang w:eastAsia="zh-CN"/>
        </w:rPr>
        <w:t>A</w:t>
      </w:r>
      <w:r>
        <w:rPr>
          <w:rFonts w:eastAsia="宋体"/>
          <w:lang w:eastAsia="zh-CN"/>
        </w:rPr>
        <w:t>) TEM images of SNS and SNS-Cap showing uniformly dispersed spherical micelles. Scale bar: 100 nm</w:t>
      </w:r>
      <w:r>
        <w:t>.</w:t>
      </w:r>
      <w:r>
        <w:rPr>
          <w:rFonts w:eastAsia="宋体"/>
          <w:lang w:eastAsia="zh-CN"/>
        </w:rPr>
        <w:t xml:space="preserve"> (</w:t>
      </w:r>
      <w:r>
        <w:rPr>
          <w:rFonts w:eastAsia="宋体"/>
          <w:b/>
          <w:bCs/>
          <w:lang w:eastAsia="zh-CN"/>
        </w:rPr>
        <w:t>B</w:t>
      </w:r>
      <w:r>
        <w:rPr>
          <w:rFonts w:eastAsia="宋体"/>
          <w:lang w:eastAsia="zh-CN"/>
        </w:rPr>
        <w:t>)</w:t>
      </w:r>
      <w:r>
        <w:t xml:space="preserve"> Size distribution histograms of SNS and SNS-Cap.</w:t>
      </w:r>
      <w:r>
        <w:rPr>
          <w:rFonts w:eastAsiaTheme="minorEastAsia"/>
          <w:lang w:eastAsia="zh-CN"/>
        </w:rPr>
        <w:t xml:space="preserve"> </w:t>
      </w:r>
      <w:r>
        <w:t>This</w:t>
      </w:r>
      <w:r>
        <w:rPr>
          <w:lang w:eastAsia="zh-CN"/>
        </w:rPr>
        <w:t xml:space="preserve"> figure</w:t>
      </w:r>
      <w:r>
        <w:t xml:space="preserve"> has been modified from Bao et al.</w:t>
      </w:r>
      <w:r>
        <w:rPr>
          <w:vertAlign w:val="superscript"/>
        </w:rPr>
        <w:t>11</w:t>
      </w:r>
      <w:r>
        <w:rPr>
          <w:rFonts w:eastAsia="宋体"/>
          <w:lang w:eastAsia="zh-CN"/>
        </w:rPr>
        <w:t>.</w:t>
      </w:r>
    </w:p>
    <w:p w14:paraId="32F2F655"/>
    <w:p w14:paraId="1D5CCBDE">
      <w:pPr>
        <w:rPr>
          <w:rFonts w:eastAsia="宋体"/>
          <w:lang w:eastAsia="zh-CN"/>
        </w:rPr>
      </w:pPr>
      <w:r>
        <w:rPr>
          <w:b/>
          <w:bCs/>
        </w:rPr>
        <w:t>Figure 2:  The characterization of α-lactalbumin nanomicelles (SNS) and capsaicin-loaded micelles (SNS-Cap)</w:t>
      </w:r>
      <w:r>
        <w:t>. (</w:t>
      </w:r>
      <w:r>
        <w:rPr>
          <w:b/>
          <w:bCs/>
        </w:rPr>
        <w:t>A</w:t>
      </w:r>
      <w:r>
        <w:t>) CLSM imaging shows efficient intracellular uptake of Cy3-labeled micelles (M(Cy3); nuclei stained with DAPI, scale bar: 20 µm). (</w:t>
      </w:r>
      <w:r>
        <w:rPr>
          <w:b/>
          <w:bCs/>
        </w:rPr>
        <w:t>B</w:t>
      </w:r>
      <w:r>
        <w:t>) Fluorescence lipid staining demonstrates reduced lipid accumulation following M(Cap) treatment (scale bar: 200 µm). (</w:t>
      </w:r>
      <w:r>
        <w:rPr>
          <w:b/>
          <w:bCs/>
        </w:rPr>
        <w:t>C</w:t>
      </w:r>
      <w:r>
        <w:rPr>
          <w:rFonts w:eastAsiaTheme="minorEastAsia"/>
          <w:b/>
          <w:bCs/>
          <w:lang w:eastAsia="zh-CN"/>
        </w:rPr>
        <w:t>,D</w:t>
      </w:r>
      <w:r>
        <w:t>) Western blot</w:t>
      </w:r>
      <w:r>
        <w:rPr>
          <w:rFonts w:eastAsiaTheme="minorEastAsia"/>
          <w:lang w:eastAsia="zh-CN"/>
        </w:rPr>
        <w:t xml:space="preserve"> </w:t>
      </w:r>
      <w:r>
        <w:t>and qPCR analyse</w:t>
      </w:r>
      <w:r>
        <w:rPr>
          <w:rFonts w:eastAsiaTheme="minorEastAsia"/>
          <w:lang w:eastAsia="zh-CN"/>
        </w:rPr>
        <w:t>d</w:t>
      </w:r>
      <w:r>
        <w:t xml:space="preserve"> adipogenic </w:t>
      </w:r>
      <w:r>
        <w:rPr>
          <w:rFonts w:eastAsiaTheme="minorEastAsia"/>
          <w:lang w:eastAsia="zh-CN"/>
        </w:rPr>
        <w:t xml:space="preserve">and </w:t>
      </w:r>
      <w:r>
        <w:t>browning-related genes. (</w:t>
      </w:r>
      <w:r>
        <w:rPr>
          <w:b/>
          <w:bCs/>
        </w:rPr>
        <w:t>E</w:t>
      </w:r>
      <w:r>
        <w:t>) TEM imaging</w:t>
      </w:r>
      <w:r>
        <w:rPr>
          <w:rFonts w:eastAsiaTheme="minorEastAsia"/>
          <w:lang w:eastAsia="zh-CN"/>
        </w:rPr>
        <w:t xml:space="preserve"> </w:t>
      </w:r>
      <w:r>
        <w:t>shows mitochondrial content and lipid droplets in M(Cap)-treated adipocytes (scale bar: 200 nm).</w:t>
      </w:r>
      <w:r>
        <w:rPr>
          <w:rFonts w:eastAsia="宋体"/>
          <w:lang w:eastAsia="zh-CN"/>
        </w:rPr>
        <w:t xml:space="preserve"> </w:t>
      </w:r>
      <w:r>
        <w:t>This</w:t>
      </w:r>
      <w:r>
        <w:rPr>
          <w:lang w:eastAsia="zh-CN"/>
        </w:rPr>
        <w:t xml:space="preserve"> figure</w:t>
      </w:r>
      <w:r>
        <w:t xml:space="preserve"> has been modified from Bao et al.</w:t>
      </w:r>
      <w:r>
        <w:rPr>
          <w:vertAlign w:val="superscript"/>
        </w:rPr>
        <w:t>11</w:t>
      </w:r>
      <w:r>
        <w:rPr>
          <w:rFonts w:eastAsia="宋体"/>
          <w:lang w:eastAsia="zh-CN"/>
        </w:rPr>
        <w:t>.</w:t>
      </w:r>
    </w:p>
    <w:p w14:paraId="5F5830D5"/>
    <w:p w14:paraId="0F3DC4FC">
      <w:pPr>
        <w:rPr>
          <w:rFonts w:eastAsia="宋体"/>
          <w:lang w:eastAsia="zh-CN"/>
        </w:rPr>
      </w:pPr>
      <w:r>
        <w:rPr>
          <w:b/>
          <w:bCs/>
        </w:rPr>
        <w:t>Figure 3: Structural characterization and micelle incorporation of dissolvable microneedle patches</w:t>
      </w:r>
      <w:r>
        <w:t>. (</w:t>
      </w:r>
      <w:r>
        <w:rPr>
          <w:b/>
          <w:bCs/>
        </w:rPr>
        <w:t>A</w:t>
      </w:r>
      <w:r>
        <w:t>) Optical and SEM images of the microneedle mold and resulting microneedle (MP) array, showing uniform pyramidal structures (~600 µm height). Scale bars: 600 µm and 1.00 mm.</w:t>
      </w:r>
      <w:r>
        <w:rPr>
          <w:rFonts w:eastAsiaTheme="minorEastAsia"/>
          <w:lang w:eastAsia="zh-CN"/>
        </w:rPr>
        <w:t xml:space="preserve"> </w:t>
      </w:r>
      <w:r>
        <w:t>(</w:t>
      </w:r>
      <w:r>
        <w:rPr>
          <w:b/>
          <w:bCs/>
        </w:rPr>
        <w:t>B</w:t>
      </w:r>
      <w:r>
        <w:t>) CLSM images of Cy5-labeled nanomicelles distributed within the microneedles and their melting at body temperature. This</w:t>
      </w:r>
      <w:r>
        <w:rPr>
          <w:lang w:eastAsia="zh-CN"/>
        </w:rPr>
        <w:t xml:space="preserve"> figure</w:t>
      </w:r>
      <w:r>
        <w:t xml:space="preserve"> has been modified from Bao et al.</w:t>
      </w:r>
      <w:r>
        <w:rPr>
          <w:vertAlign w:val="superscript"/>
        </w:rPr>
        <w:t>11</w:t>
      </w:r>
      <w:r>
        <w:rPr>
          <w:rFonts w:eastAsia="宋体"/>
          <w:lang w:eastAsia="zh-CN"/>
        </w:rPr>
        <w:t>.</w:t>
      </w:r>
    </w:p>
    <w:p w14:paraId="4956195A"/>
    <w:p w14:paraId="09BDA3C5">
      <w:pPr>
        <w:rPr>
          <w:rFonts w:eastAsia="宋体"/>
          <w:lang w:eastAsia="zh-CN"/>
        </w:rPr>
      </w:pPr>
      <w:r>
        <w:rPr>
          <w:b/>
          <w:bCs/>
        </w:rPr>
        <w:t>Figure 4: Skin insertion, dissolution, and release behavior of dissolvable microneedle patches</w:t>
      </w:r>
      <w:r>
        <w:t>. (</w:t>
      </w:r>
      <w:r>
        <w:rPr>
          <w:b/>
          <w:bCs/>
        </w:rPr>
        <w:t>A</w:t>
      </w:r>
      <w:r>
        <w:t xml:space="preserve">) </w:t>
      </w:r>
      <w:r>
        <w:rPr>
          <w:rFonts w:eastAsiaTheme="minorEastAsia"/>
          <w:lang w:eastAsia="zh-CN"/>
        </w:rPr>
        <w:t>H</w:t>
      </w:r>
      <w:r>
        <w:t>istological images showing successful microneedle penetration into mouse skin.</w:t>
      </w:r>
      <w:r>
        <w:rPr>
          <w:rFonts w:eastAsiaTheme="minorEastAsia"/>
          <w:lang w:eastAsia="zh-CN"/>
        </w:rPr>
        <w:t xml:space="preserve"> </w:t>
      </w:r>
      <w:r>
        <w:t>(</w:t>
      </w:r>
      <w:r>
        <w:rPr>
          <w:b/>
          <w:bCs/>
        </w:rPr>
        <w:t>B</w:t>
      </w:r>
      <w:r>
        <w:t>) Representative images of microneedle application, in situ dissolution, and post-removal skin appearance</w:t>
      </w:r>
      <w:r>
        <w:rPr>
          <w:rFonts w:eastAsiaTheme="minorEastAsia"/>
          <w:lang w:eastAsia="zh-CN"/>
        </w:rPr>
        <w:t xml:space="preserve"> by H&amp;E staining</w:t>
      </w:r>
      <w:r>
        <w:t>.</w:t>
      </w:r>
      <w:r>
        <w:rPr>
          <w:rFonts w:eastAsiaTheme="minorEastAsia"/>
          <w:lang w:eastAsia="zh-CN"/>
        </w:rPr>
        <w:t xml:space="preserve"> </w:t>
      </w:r>
      <w:r>
        <w:t>(</w:t>
      </w:r>
      <w:r>
        <w:rPr>
          <w:b/>
          <w:bCs/>
        </w:rPr>
        <w:t>C</w:t>
      </w:r>
      <w:r>
        <w:t xml:space="preserve">) </w:t>
      </w:r>
      <w:r>
        <w:rPr>
          <w:i/>
          <w:iCs/>
        </w:rPr>
        <w:t>In vitro</w:t>
      </w:r>
      <w:r>
        <w:t xml:space="preserve"> cumulative capsaicin release profiles of microneedle patches at pH 6.5 and 7.4.</w:t>
      </w:r>
      <w:r>
        <w:rPr>
          <w:rFonts w:eastAsiaTheme="minorEastAsia"/>
          <w:lang w:eastAsia="zh-CN"/>
        </w:rPr>
        <w:t xml:space="preserve"> </w:t>
      </w:r>
      <w:r>
        <w:t>This</w:t>
      </w:r>
      <w:r>
        <w:rPr>
          <w:lang w:eastAsia="zh-CN"/>
        </w:rPr>
        <w:t xml:space="preserve"> figure</w:t>
      </w:r>
      <w:r>
        <w:t xml:space="preserve"> has been modified from Bao et al.</w:t>
      </w:r>
      <w:r>
        <w:rPr>
          <w:vertAlign w:val="superscript"/>
        </w:rPr>
        <w:t>11</w:t>
      </w:r>
      <w:r>
        <w:rPr>
          <w:rFonts w:eastAsia="宋体"/>
          <w:lang w:eastAsia="zh-CN"/>
        </w:rPr>
        <w:t>.</w:t>
      </w:r>
    </w:p>
    <w:p w14:paraId="5B8F4A5B">
      <w:pPr>
        <w:rPr>
          <w:rFonts w:eastAsia="宋体"/>
          <w:lang w:eastAsia="zh-CN"/>
        </w:rPr>
      </w:pPr>
    </w:p>
    <w:p w14:paraId="559B5817">
      <w:pPr>
        <w:rPr>
          <w:rFonts w:eastAsia="宋体"/>
          <w:lang w:eastAsia="zh-CN"/>
        </w:rPr>
      </w:pPr>
      <w:r>
        <w:rPr>
          <w:b/>
          <w:bCs/>
        </w:rPr>
        <w:t xml:space="preserve">Figure 5: </w:t>
      </w:r>
      <w:r>
        <w:rPr>
          <w:b/>
          <w:bCs/>
          <w:i/>
          <w:iCs/>
        </w:rPr>
        <w:t>In vivo</w:t>
      </w:r>
      <w:r>
        <w:rPr>
          <w:b/>
          <w:bCs/>
        </w:rPr>
        <w:t xml:space="preserve"> anti-obesity efficacy of capsaicin-loaded microneedle patches in HFD-induced obese mice</w:t>
      </w:r>
      <w:r>
        <w:t>. (</w:t>
      </w:r>
      <w:r>
        <w:rPr>
          <w:b/>
          <w:bCs/>
        </w:rPr>
        <w:t>A</w:t>
      </w:r>
      <w:r>
        <w:t xml:space="preserve">) The </w:t>
      </w:r>
      <w:r>
        <w:rPr>
          <w:rFonts w:eastAsiaTheme="minorEastAsia"/>
          <w:lang w:eastAsia="zh-CN"/>
        </w:rPr>
        <w:t xml:space="preserve">animal </w:t>
      </w:r>
      <w:r>
        <w:t>treatment protocol</w:t>
      </w:r>
      <w:r>
        <w:rPr>
          <w:rFonts w:eastAsiaTheme="minorEastAsia"/>
          <w:lang w:eastAsia="zh-CN"/>
        </w:rPr>
        <w:t>.</w:t>
      </w:r>
      <w:r>
        <w:t xml:space="preserve"> (</w:t>
      </w:r>
      <w:r>
        <w:rPr>
          <w:b/>
          <w:bCs/>
        </w:rPr>
        <w:t>B</w:t>
      </w:r>
      <w:r>
        <w:rPr>
          <w:rFonts w:eastAsiaTheme="minorEastAsia"/>
          <w:b/>
          <w:bCs/>
          <w:lang w:eastAsia="zh-CN"/>
        </w:rPr>
        <w:t>,C</w:t>
      </w:r>
      <w:r>
        <w:t>) body weight progression and</w:t>
      </w:r>
      <w:r>
        <w:rPr>
          <w:rFonts w:eastAsiaTheme="minorEastAsia"/>
          <w:lang w:eastAsia="zh-CN"/>
        </w:rPr>
        <w:t xml:space="preserve"> the </w:t>
      </w:r>
      <w:r>
        <w:t>representative mouse images. (</w:t>
      </w:r>
      <w:r>
        <w:rPr>
          <w:b/>
          <w:bCs/>
        </w:rPr>
        <w:t>D,E</w:t>
      </w:r>
      <w:r>
        <w:t xml:space="preserve">) MRI analyses </w:t>
      </w:r>
      <w:r>
        <w:rPr>
          <w:rFonts w:eastAsiaTheme="minorEastAsia"/>
          <w:lang w:eastAsia="zh-CN"/>
        </w:rPr>
        <w:t>of</w:t>
      </w:r>
      <w:r>
        <w:t xml:space="preserve"> fat mass and lean mass in treated mice</w:t>
      </w:r>
      <w:r>
        <w:rPr>
          <w:rFonts w:eastAsiaTheme="minorEastAsia"/>
          <w:lang w:eastAsia="zh-CN"/>
        </w:rPr>
        <w:t>.</w:t>
      </w:r>
      <w:r>
        <w:t xml:space="preserve"> (</w:t>
      </w:r>
      <w:r>
        <w:rPr>
          <w:b/>
          <w:bCs/>
        </w:rPr>
        <w:t>F</w:t>
      </w:r>
      <w:r>
        <w:t xml:space="preserve">) </w:t>
      </w:r>
      <w:r>
        <w:rPr>
          <w:rFonts w:eastAsiaTheme="minorEastAsia"/>
          <w:lang w:eastAsia="zh-CN"/>
        </w:rPr>
        <w:t>The representative a</w:t>
      </w:r>
      <w:r>
        <w:t xml:space="preserve">dipose tissues </w:t>
      </w:r>
      <w:r>
        <w:rPr>
          <w:rFonts w:eastAsiaTheme="minorEastAsia"/>
          <w:lang w:eastAsia="zh-CN"/>
        </w:rPr>
        <w:t>of different treated mice</w:t>
      </w:r>
      <w:r>
        <w:t>. This</w:t>
      </w:r>
      <w:r>
        <w:rPr>
          <w:lang w:eastAsia="zh-CN"/>
        </w:rPr>
        <w:t xml:space="preserve"> figure</w:t>
      </w:r>
      <w:r>
        <w:t xml:space="preserve"> has been modified from Bao et al.</w:t>
      </w:r>
      <w:r>
        <w:rPr>
          <w:vertAlign w:val="superscript"/>
        </w:rPr>
        <w:t>11</w:t>
      </w:r>
      <w:r>
        <w:rPr>
          <w:rFonts w:eastAsia="宋体"/>
          <w:lang w:eastAsia="zh-CN"/>
        </w:rPr>
        <w:t>.</w:t>
      </w:r>
    </w:p>
    <w:p w14:paraId="2794CDDD"/>
    <w:p w14:paraId="0F7400CD">
      <w:pPr>
        <w:rPr>
          <w:rFonts w:eastAsia="宋体"/>
          <w:lang w:eastAsia="zh-CN"/>
        </w:rPr>
      </w:pPr>
      <w:r>
        <w:rPr>
          <w:b/>
          <w:bCs/>
        </w:rPr>
        <w:t>Figure 6: Physiological and molecular effects of capsaicin-loaded microneedle treatment in obese mice</w:t>
      </w:r>
      <w:r>
        <w:t>. (</w:t>
      </w:r>
      <w:r>
        <w:rPr>
          <w:b/>
          <w:bCs/>
        </w:rPr>
        <w:t>A</w:t>
      </w:r>
      <w:r>
        <w:t xml:space="preserve">) Physical activity and respiratory quotient (RQ) measurements </w:t>
      </w:r>
      <w:r>
        <w:rPr>
          <w:rFonts w:eastAsiaTheme="minorEastAsia"/>
          <w:lang w:eastAsia="zh-CN"/>
        </w:rPr>
        <w:t>exhibit</w:t>
      </w:r>
      <w:r>
        <w:t xml:space="preserve"> </w:t>
      </w:r>
      <w:r>
        <w:rPr>
          <w:rFonts w:eastAsiaTheme="minorEastAsia"/>
          <w:lang w:eastAsia="zh-CN"/>
        </w:rPr>
        <w:t xml:space="preserve">the </w:t>
      </w:r>
      <w:r>
        <w:t>energy expenditure following M(Cap) microneedle treatment. (</w:t>
      </w:r>
      <w:r>
        <w:rPr>
          <w:b/>
          <w:bCs/>
        </w:rPr>
        <w:t>B</w:t>
      </w:r>
      <w:r>
        <w:t>) Immunohistochemical staining of UCP1 and Cyt C in adipose tissues</w:t>
      </w:r>
      <w:r>
        <w:rPr>
          <w:rFonts w:eastAsiaTheme="minorEastAsia"/>
          <w:lang w:eastAsia="zh-CN"/>
        </w:rPr>
        <w:t xml:space="preserve"> of different treated mice</w:t>
      </w:r>
      <w:r>
        <w:t>. (</w:t>
      </w:r>
      <w:r>
        <w:rPr>
          <w:b/>
          <w:bCs/>
        </w:rPr>
        <w:t>C,D</w:t>
      </w:r>
      <w:r>
        <w:t xml:space="preserve">) Western blot </w:t>
      </w:r>
      <w:r>
        <w:rPr>
          <w:rFonts w:eastAsia="宋体"/>
          <w:lang w:eastAsia="zh-CN"/>
        </w:rPr>
        <w:t>analyzed</w:t>
      </w:r>
      <w:r>
        <w:t xml:space="preserve"> </w:t>
      </w:r>
      <w:r>
        <w:rPr>
          <w:rFonts w:eastAsiaTheme="minorEastAsia"/>
          <w:lang w:eastAsia="zh-CN"/>
        </w:rPr>
        <w:t>the</w:t>
      </w:r>
      <w:r>
        <w:t xml:space="preserve"> adipogenic markers and browning markers in treated mice</w:t>
      </w:r>
      <w:r>
        <w:rPr>
          <w:lang w:eastAsia="zh-CN"/>
        </w:rPr>
        <w:t>(TRPV1 95kDa, PPARγ 53kDa, cEBPα 42kDa, PGC1α 130kDa, UCP-1 30kDa, Cyt C 14kDa)</w:t>
      </w:r>
      <w:r>
        <w:t>.</w:t>
      </w:r>
      <w:r>
        <w:rPr>
          <w:lang w:eastAsia="zh-CN"/>
        </w:rPr>
        <w:t xml:space="preserve"> </w:t>
      </w:r>
      <w:r>
        <w:t>This</w:t>
      </w:r>
      <w:r>
        <w:rPr>
          <w:lang w:eastAsia="zh-CN"/>
        </w:rPr>
        <w:t xml:space="preserve"> figure</w:t>
      </w:r>
      <w:r>
        <w:t xml:space="preserve"> has been modified from Bao et al.</w:t>
      </w:r>
      <w:r>
        <w:rPr>
          <w:vertAlign w:val="superscript"/>
        </w:rPr>
        <w:t>11</w:t>
      </w:r>
      <w:r>
        <w:rPr>
          <w:rFonts w:eastAsia="宋体"/>
          <w:lang w:eastAsia="zh-CN"/>
        </w:rPr>
        <w:t>.</w:t>
      </w:r>
    </w:p>
    <w:p w14:paraId="023CA477"/>
    <w:p w14:paraId="42D5A155">
      <w:pPr>
        <w:rPr>
          <w:b/>
        </w:rPr>
      </w:pPr>
      <w:r>
        <w:rPr>
          <w:b/>
        </w:rPr>
        <w:t>DISCUSSION:</w:t>
      </w:r>
    </w:p>
    <w:p w14:paraId="3FAA951E">
      <w:pPr>
        <w:rPr>
          <w:rFonts w:eastAsiaTheme="minorEastAsia"/>
          <w:lang w:eastAsia="zh-CN"/>
        </w:rPr>
      </w:pPr>
      <w:r>
        <w:t>This study demonstrates that dissolvable microneedle (MN) patches loaded with α-lactalbumin nanomicelles encapsulating capsaicin (M(Cap)) can achieve localized, minimally invasive anti-obesity effects. α-Lactalbumin nanomicelles efficiently encapsulated hydrophobic capsaicin, improved its aqueous dispersibility, and enhanced cellular uptake, leading to stronger inhibition of adipogenesis and more prominent mitochondrial biogenesis in 3T3-L1 adipocytes than free capsaicin. These results are consistent with previous work showing that protein-based nanocarriers improve the bioavailability and cellular penetration of lipophilic nutraceuticals</w:t>
      </w:r>
      <w:r>
        <w:fldChar w:fldCharType="begin"/>
      </w:r>
      <w:r>
        <w:instrText xml:space="preserve"> ADDIN EN.CITE &lt;EndNote&gt;&lt;Cite&gt;&lt;Author&gt;Bao&lt;/Author&gt;&lt;Year&gt;2021&lt;/Year&gt;&lt;RecNum&gt;11&lt;/RecNum&gt;&lt;DisplayText&gt;&lt;style face="superscript"&gt;11&lt;/style&gt;&lt;/DisplayText&gt;&lt;record&gt;&lt;rec-number&gt;11&lt;/rec-number&gt;&lt;foreign-keys&gt;&lt;key app="EN" db-id="txweffvp3090pcepzeb5dww09dtz0vvzzt9w" timestamp="1764037450"&gt;11&lt;/key&gt;&lt;/foreign-keys&gt;&lt;ref-type name="Journal Article"&gt;17&lt;/ref-type&gt;&lt;contributors&gt;&lt;authors&gt;&lt;author&gt;Bao, Cheng&lt;/author&gt;&lt;author&gt;Li, Zekun&lt;/author&gt;&lt;author&gt;Liang, Shuang&lt;/author&gt;&lt;author&gt;Hu, Yulin&lt;/author&gt;&lt;author&gt;Wang, Xiaoyu&lt;/author&gt;&lt;author&gt;Fang, Bing&lt;/author&gt;&lt;author&gt;Wang, Pengjie&lt;/author&gt;&lt;author&gt;Chen, Shanan&lt;/author&gt;&lt;author&gt;Li, Yuan&lt;/author&gt;&lt;/authors&gt;&lt;/contributors&gt;&lt;titles&gt;&lt;title&gt;Microneedle patch delivery of capsaicin‐containing α‐lactalbumin nanomicelles to adipocytes achieves potent anti‐obesity effects&lt;/title&gt;&lt;secondary-title&gt;Advanced Functional Materials&lt;/secondary-title&gt;&lt;/titles&gt;&lt;periodical&gt;&lt;full-title&gt;Advanced Functional Materials&lt;/full-title&gt;&lt;/periodical&gt;&lt;pages&gt;2011130&lt;/pages&gt;&lt;volume&gt;31&lt;/volume&gt;&lt;number&gt;20&lt;/number&gt;&lt;dates&gt;&lt;year&gt;2021&lt;/year&gt;&lt;/dates&gt;&lt;isbn&gt;1616-301X&lt;/isbn&gt;&lt;urls&gt;&lt;/urls&gt;&lt;/record&gt;&lt;/Cite&gt;&lt;/EndNote&gt;</w:instrText>
      </w:r>
      <w:r>
        <w:fldChar w:fldCharType="separate"/>
      </w:r>
      <w:r>
        <w:rPr>
          <w:vertAlign w:val="superscript"/>
        </w:rPr>
        <w:t>11</w:t>
      </w:r>
      <w:r>
        <w:fldChar w:fldCharType="end"/>
      </w:r>
      <w:r>
        <w:t>.</w:t>
      </w:r>
    </w:p>
    <w:p w14:paraId="4623ADBF">
      <w:pPr>
        <w:rPr>
          <w:rFonts w:eastAsiaTheme="minorEastAsia"/>
          <w:lang w:eastAsia="zh-CN"/>
        </w:rPr>
      </w:pPr>
    </w:p>
    <w:p w14:paraId="0EB3E98A">
      <w:r>
        <w:t>The dissolvable MNs provided robust transdermal delivery. The HA/PVA-based needles showed uniform pyramidal morphology and sufficient mechanical strength for skin penetration, then dissolved within ~30 min, fulfilling key requirements for patient-friendly application. A pH-responsive release profile, with faster capsaicin release at pH ~6.5 than at pH 7.4, favored drug liberation in the adipose tissue microenvironment and helped limit systemic leakage, in line with prior reports on dissolving MNs for controlled delivery</w:t>
      </w:r>
      <w:r>
        <w:fldChar w:fldCharType="begin"/>
      </w:r>
      <w:r>
        <w:instrText xml:space="preserve"> ADDIN EN.CITE &lt;EndNote&gt;&lt;Cite&gt;&lt;Author&gt;Hu&lt;/Author&gt;&lt;Year&gt;2019&lt;/Year&gt;&lt;RecNum&gt;16&lt;/RecNum&gt;&lt;DisplayText&gt;&lt;style face="superscript"&gt;12,20&lt;/style&gt;&lt;/DisplayText&gt;&lt;record&gt;&lt;rec-number&gt;16&lt;/rec-number&gt;&lt;foreign-keys&gt;&lt;key app="EN" db-id="txweffvp3090pcepzeb5dww09dtz0vvzzt9w" timestamp="1764037774"&gt;16&lt;/key&gt;&lt;/foreign-keys&gt;&lt;ref-type name="Journal Article"&gt;17&lt;/ref-type&gt;&lt;contributors&gt;&lt;authors&gt;&lt;author&gt;Hu, Yulin&lt;/author&gt;&lt;author&gt;Bao, Cheng&lt;/author&gt;&lt;author&gt;Li, Dan&lt;/author&gt;&lt;author&gt;You, Lingxin&lt;/author&gt;&lt;author&gt;Du, Yizheng&lt;/author&gt;&lt;author&gt;Liu, Bin&lt;/author&gt;&lt;author&gt;Li, Xin&lt;/author&gt;&lt;author&gt;Ren, Fazheng&lt;/author&gt;&lt;author&gt;Li, Yuan&lt;/author&gt;&lt;/authors&gt;&lt;/contributors&gt;&lt;titles&gt;&lt;title&gt;The construction of enzymolyzed α-lactalbumin based micellar nanoassemblies for encapsulating various kinds of hydrophobic bioactive compounds&lt;/title&gt;&lt;secondary-title&gt;Food &amp;amp; Function&lt;/secondary-title&gt;&lt;/titles&gt;&lt;periodical&gt;&lt;full-title&gt;Food &amp;amp; Function&lt;/full-title&gt;&lt;/periodical&gt;&lt;pages&gt;8263-8272&lt;/pages&gt;&lt;volume&gt;10&lt;/volume&gt;&lt;number&gt;12&lt;/number&gt;&lt;dates&gt;&lt;year&gt;2019&lt;/year&gt;&lt;/dates&gt;&lt;urls&gt;&lt;/urls&gt;&lt;/record&gt;&lt;/Cite&gt;&lt;Cite&gt;&lt;Author&gt;Richmond&lt;/Author&gt;&lt;Year&gt;2010&lt;/Year&gt;&lt;RecNum&gt;20&lt;/RecNum&gt;&lt;record&gt;&lt;rec-number&gt;20&lt;/rec-number&gt;&lt;foreign-keys&gt;&lt;key app="EN" db-id="txweffvp3090pcepzeb5dww09dtz0vvzzt9w" timestamp="1764058678"&gt;20&lt;/key&gt;&lt;/foreign-keys&gt;&lt;ref-type name="Journal Article"&gt;17&lt;/ref-type&gt;&lt;contributors&gt;&lt;authors&gt;&lt;author&gt;Richmond, Wendy&lt;/author&gt;&lt;author&gt;Wogan, Megan&lt;/author&gt;&lt;author&gt;Isbell, John&lt;/author&gt;&lt;author&gt;Gordon, W Perry&lt;/author&gt;&lt;/authors&gt;&lt;/contributors&gt;&lt;titles&gt;&lt;title&gt;Interstrain differences of in vitro metabolic stability and impact on early drug discovery&lt;/title&gt;&lt;secondary-title&gt;Journal of pharmaceutical sciences&lt;/secondary-title&gt;&lt;/titles&gt;&lt;periodical&gt;&lt;full-title&gt;Journal of pharmaceutical sciences&lt;/full-title&gt;&lt;/periodical&gt;&lt;pages&gt;4463-4468&lt;/pages&gt;&lt;volume&gt;99&lt;/volume&gt;&lt;number&gt;11&lt;/number&gt;&lt;dates&gt;&lt;year&gt;2010&lt;/year&gt;&lt;/dates&gt;&lt;isbn&gt;0022-3549&lt;/isbn&gt;&lt;urls&gt;&lt;/urls&gt;&lt;/record&gt;&lt;/Cite&gt;&lt;/EndNote&gt;</w:instrText>
      </w:r>
      <w:r>
        <w:fldChar w:fldCharType="separate"/>
      </w:r>
      <w:r>
        <w:rPr>
          <w:vertAlign w:val="superscript"/>
        </w:rPr>
        <w:t>12,20</w:t>
      </w:r>
      <w:r>
        <w:fldChar w:fldCharType="end"/>
      </w:r>
      <w:r>
        <w:t xml:space="preserve">. </w:t>
      </w:r>
    </w:p>
    <w:p w14:paraId="2AFCABCD"/>
    <w:p w14:paraId="6BCBC21F">
      <w:r>
        <w:t>In HFD-induced obese mice, M(Cap) MNs significantly reduced body weight, fat mass, and adipocyte size while preserving lean mass. Indirect calorimetry revealed increased oxygen consumption and decreased respiratory quotient, indicating enhanced fatty acid oxidation. Molecular analyses showed downregulation of adipogenic markers (PPARγ, C/EBPα) and upregulation of TRPV1 and browning markers (UCP1, PGC1α, Cyt C), supporting a dual mechanism involving inhibition of lipogenesis and promotion of beige adipogenesis. These improvements exceeded those obtained with free capsaicin or blank MNs, highlighting the benefit of combining nanomicelles with localized MN delivery.</w:t>
      </w:r>
    </w:p>
    <w:p w14:paraId="4DFE8D05"/>
    <w:p w14:paraId="4DBF48CD">
      <w:pPr>
        <w:rPr>
          <w:rFonts w:eastAsiaTheme="minorEastAsia"/>
          <w:lang w:eastAsia="zh-CN"/>
        </w:rPr>
      </w:pPr>
      <w:r>
        <w:t>No obvious organ toxicity or serum biochemical abnormalities were observed, underscoring the biocompatibility of the α-lactalbumin/HA/PVA system. Compared with systemic nanocarrier injections, MN delivery confines the drug mainly to subcutaneous adipose tissue, reducing off-target exposure and systemic side effects. This localized, minimally invasive strategy aligns well with current efforts to develop MN platforms for chronic, self-administered therapies</w:t>
      </w:r>
      <w:r>
        <w:fldChar w:fldCharType="begin"/>
      </w:r>
      <w:r>
        <w:instrText xml:space="preserve"> ADDIN EN.CITE &lt;EndNote&gt;&lt;Cite&gt;&lt;Author&gt;Amini-Nik&lt;/Author&gt;&lt;Year&gt;2018&lt;/Year&gt;&lt;RecNum&gt;22&lt;/RecNum&gt;&lt;DisplayText&gt;&lt;style face="superscript"&gt;21,22&lt;/style&gt;&lt;/DisplayText&gt;&lt;record&gt;&lt;rec-number&gt;22&lt;/rec-number&gt;&lt;foreign-keys&gt;&lt;key app="EN" db-id="txweffvp3090pcepzeb5dww09dtz0vvzzt9w" timestamp="1764058855"&gt;22&lt;/key&gt;&lt;/foreign-keys&gt;&lt;ref-type name="Journal Article"&gt;17&lt;/ref-type&gt;&lt;contributors&gt;&lt;authors&gt;&lt;author&gt;Amini-Nik, Saeid&lt;/author&gt;&lt;author&gt;Yousuf, Yusef&lt;/author&gt;&lt;author&gt;Jeschke, Marc G&lt;/author&gt;&lt;/authors&gt;&lt;/contributors&gt;&lt;titles&gt;&lt;title&gt;Scar management in burn injuries using drug delivery and molecular signaling: current treatments and future directions&lt;/title&gt;&lt;secondary-title&gt;Advanced drug delivery reviews&lt;/secondary-title&gt;&lt;/titles&gt;&lt;periodical&gt;&lt;full-title&gt;Advanced drug delivery reviews&lt;/full-title&gt;&lt;/periodical&gt;&lt;pages&gt;135-154&lt;/pages&gt;&lt;volume&gt;123&lt;/volume&gt;&lt;dates&gt;&lt;year&gt;2018&lt;/year&gt;&lt;/dates&gt;&lt;isbn&gt;0169-409X&lt;/isbn&gt;&lt;urls&gt;&lt;/urls&gt;&lt;/record&gt;&lt;/Cite&gt;&lt;Cite&gt;&lt;Author&gt;Prausnitz&lt;/Author&gt;&lt;Year&gt;2008&lt;/Year&gt;&lt;RecNum&gt;21&lt;/RecNum&gt;&lt;record&gt;&lt;rec-number&gt;21&lt;/rec-number&gt;&lt;foreign-keys&gt;&lt;key app="EN" db-id="txweffvp3090pcepzeb5dww09dtz0vvzzt9w" timestamp="1764058829"&gt;21&lt;/key&gt;&lt;/foreign-keys&gt;&lt;ref-type name="Journal Article"&gt;17&lt;/ref-type&gt;&lt;contributors&gt;&lt;authors&gt;&lt;author&gt;Prausnitz, Mark R&lt;/author&gt;&lt;author&gt;Langer, Robert&lt;/author&gt;&lt;/authors&gt;&lt;/contributors&gt;&lt;titles&gt;&lt;title&gt;Transdermal drug delivery&lt;/title&gt;&lt;secondary-title&gt;Nature biotechnology&lt;/secondary-title&gt;&lt;/titles&gt;&lt;periodical&gt;&lt;full-title&gt;Nature biotechnology&lt;/full-title&gt;&lt;/periodical&gt;&lt;pages&gt;1261-1268&lt;/pages&gt;&lt;volume&gt;26&lt;/volume&gt;&lt;number&gt;11&lt;/number&gt;&lt;dates&gt;&lt;year&gt;2008&lt;/year&gt;&lt;/dates&gt;&lt;isbn&gt;1087-0156&lt;/isbn&gt;&lt;urls&gt;&lt;/urls&gt;&lt;/record&gt;&lt;/Cite&gt;&lt;/EndNote&gt;</w:instrText>
      </w:r>
      <w:r>
        <w:fldChar w:fldCharType="separate"/>
      </w:r>
      <w:r>
        <w:rPr>
          <w:vertAlign w:val="superscript"/>
        </w:rPr>
        <w:t>21,22</w:t>
      </w:r>
      <w:r>
        <w:fldChar w:fldCharType="end"/>
      </w:r>
      <w:r>
        <w:rPr>
          <w:rFonts w:eastAsiaTheme="minorEastAsia"/>
          <w:lang w:eastAsia="zh-CN"/>
        </w:rPr>
        <w:t>.</w:t>
      </w:r>
    </w:p>
    <w:p w14:paraId="42801386"/>
    <w:p w14:paraId="00FECA55">
      <w:pPr>
        <w:rPr>
          <w:b/>
        </w:rPr>
      </w:pPr>
      <w:r>
        <w:rPr>
          <w:b/>
        </w:rPr>
        <w:t>Critical steps and key parameters</w:t>
      </w:r>
    </w:p>
    <w:p w14:paraId="74EA4290">
      <w:pPr>
        <w:rPr>
          <w:rFonts w:eastAsia="宋体"/>
          <w:lang w:eastAsia="zh-CN"/>
        </w:rPr>
      </w:pPr>
      <w:r>
        <w:t>Several steps strongly influence protocol success. During nanomicelle preparation, α-lactalbumin concentration (6 mg/mL), the BLP enzyme–substrate ratio (1:100, w/w), and hydrolysis conditions (50 °C, 30</w:t>
      </w:r>
      <w:r>
        <w:rPr>
          <w:rFonts w:eastAsiaTheme="minorEastAsia"/>
          <w:lang w:eastAsia="zh-CN"/>
        </w:rPr>
        <w:t xml:space="preserve"> min</w:t>
      </w:r>
      <w:r>
        <w:t xml:space="preserve">) must be tightly controlled to generate amphiphilic peptides with suitable self-assembly properties. The capsaicin feeding concentration and slow, dropwise addition under gentle stirring are important for achieving high encapsulation efficiency and narrow size distributions. For MN fabrication, the HA/PVA concentrations (each 5% w/v), the M(Cap):polymer ratio (4:1), and centrifugation (1800 × </w:t>
      </w:r>
      <w:r>
        <w:rPr>
          <w:i/>
          <w:iCs/>
        </w:rPr>
        <w:t>g</w:t>
      </w:r>
      <w:r>
        <w:t>, 10 min, repeated once) are critical for complete mold filling, homogeneous micelle distribution, and adequate mechanical strength</w:t>
      </w:r>
      <w:r>
        <w:rPr>
          <w:rFonts w:eastAsia="宋体"/>
          <w:lang w:eastAsia="zh-CN"/>
        </w:rPr>
        <w:t>.</w:t>
      </w:r>
      <w:r>
        <w:t xml:space="preserve"> </w:t>
      </w:r>
      <w:r>
        <w:rPr>
          <w:lang w:eastAsia="zh-CN"/>
        </w:rPr>
        <w:t xml:space="preserve">The centrifuge condition </w:t>
      </w:r>
      <w:r>
        <w:t>was selected based on preliminary optimization and our previous work with similar α-lactalbumin nanomicelle-loaded HA/PVA microneedles, where lower forces led to incomplete filling of needle cavities and higher forces or longer times caused polymer overflow and tip deformation</w:t>
      </w:r>
      <w:r>
        <w:fldChar w:fldCharType="begin"/>
      </w:r>
      <w:r>
        <w:instrText xml:space="preserve"> ADDIN EN.CITE &lt;EndNote&gt;&lt;Cite&gt;&lt;Author&gt;Bao&lt;/Author&gt;&lt;Year&gt;2021&lt;/Year&gt;&lt;RecNum&gt;11&lt;/RecNum&gt;&lt;DisplayText&gt;&lt;style face="superscript"&gt;6,11&lt;/style&gt;&lt;/DisplayText&gt;&lt;record&gt;&lt;rec-number&gt;11&lt;/rec-number&gt;&lt;foreign-keys&gt;&lt;key app="EN" db-id="txweffvp3090pcepzeb5dww09dtz0vvzzt9w" timestamp="1764037450"&gt;11&lt;/key&gt;&lt;/foreign-keys&gt;&lt;ref-type name="Journal Article"&gt;17&lt;/ref-type&gt;&lt;contributors&gt;&lt;authors&gt;&lt;author&gt;Bao, Cheng&lt;/author&gt;&lt;author&gt;Li, Zekun&lt;/author&gt;&lt;author&gt;Liang, Shuang&lt;/author&gt;&lt;author&gt;Hu, Yulin&lt;/author&gt;&lt;author&gt;Wang, Xiaoyu&lt;/author&gt;&lt;author&gt;Fang, Bing&lt;/author&gt;&lt;author&gt;Wang, Pengjie&lt;/author&gt;&lt;author&gt;Chen, Shanan&lt;/author&gt;&lt;author&gt;Li, Yuan&lt;/author&gt;&lt;/authors&gt;&lt;/contributors&gt;&lt;titles&gt;&lt;title&gt;Microneedle patch delivery of capsaicin‐containing α‐lactalbumin nanomicelles to adipocytes achieves potent anti‐obesity effects&lt;/title&gt;&lt;secondary-title&gt;Advanced Functional Materials&lt;/secondary-title&gt;&lt;/titles&gt;&lt;periodical&gt;&lt;full-title&gt;Advanced Functional Materials&lt;/full-title&gt;&lt;/periodical&gt;&lt;pages&gt;2011130&lt;/pages&gt;&lt;volume&gt;31&lt;/volume&gt;&lt;number&gt;20&lt;/number&gt;&lt;dates&gt;&lt;year&gt;2021&lt;/year&gt;&lt;/dates&gt;&lt;isbn&gt;1616-301X&lt;/isbn&gt;&lt;urls&gt;&lt;/urls&gt;&lt;/record&gt;&lt;/Cite&gt;&lt;Cite&gt;&lt;Author&gt;Li&lt;/Author&gt;&lt;Year&gt;2023&lt;/Year&gt;&lt;RecNum&gt;6&lt;/RecNum&gt;&lt;record&gt;&lt;rec-number&gt;6&lt;/rec-number&gt;&lt;foreign-keys&gt;&lt;key app="EN" db-id="txweffvp3090pcepzeb5dww09dtz0vvzzt9w" timestamp="1764037337"&gt;6&lt;/key&gt;&lt;/foreign-keys&gt;&lt;ref-type name="Journal Article"&gt;17&lt;/ref-type&gt;&lt;contributors&gt;&lt;authors&gt;&lt;author&gt;Li, Zekun&lt;/author&gt;&lt;author&gt;Liang, Shuang&lt;/author&gt;&lt;author&gt;Sun, Huijuan&lt;/author&gt;&lt;author&gt;Bao, Cheng&lt;/author&gt;&lt;author&gt;Li, Yuan&lt;/author&gt;&lt;/authors&gt;&lt;/contributors&gt;&lt;titles&gt;&lt;title&gt;Antilipogenesis effect of Rutin-Loaded liposomes using a microneedle delivery system&lt;/title&gt;&lt;secondary-title&gt;ACS Applied Materials &amp;amp; Interfaces&lt;/secondary-title&gt;&lt;/titles&gt;&lt;periodical&gt;&lt;full-title&gt;ACS Applied Materials &amp;amp; Interfaces&lt;/full-title&gt;&lt;/periodical&gt;&lt;pages&gt;54294-54303&lt;/pages&gt;&lt;volume&gt;15&lt;/volume&gt;&lt;number&gt;47&lt;/number&gt;&lt;dates&gt;&lt;year&gt;2023&lt;/year&gt;&lt;/dates&gt;&lt;isbn&gt;1944-8244&lt;/isbn&gt;&lt;urls&gt;&lt;/urls&gt;&lt;/record&gt;&lt;/Cite&gt;&lt;/EndNote&gt;</w:instrText>
      </w:r>
      <w:r>
        <w:fldChar w:fldCharType="separate"/>
      </w:r>
      <w:r>
        <w:rPr>
          <w:vertAlign w:val="superscript"/>
        </w:rPr>
        <w:t>6,11</w:t>
      </w:r>
      <w:r>
        <w:fldChar w:fldCharType="end"/>
      </w:r>
      <w:r>
        <w:t>.</w:t>
      </w:r>
      <w:r>
        <w:rPr>
          <w:lang w:eastAsia="zh-CN"/>
        </w:rPr>
        <w:t xml:space="preserve"> W</w:t>
      </w:r>
      <w:r>
        <w:t>hile 12 h vacuum drying ensures structural integrity and storage stability.</w:t>
      </w:r>
      <w:r>
        <w:rPr>
          <w:rFonts w:eastAsia="宋体"/>
          <w:lang w:eastAsia="zh-CN"/>
        </w:rPr>
        <w:t xml:space="preserve"> </w:t>
      </w:r>
    </w:p>
    <w:p w14:paraId="647FBE5B"/>
    <w:p w14:paraId="2F85BA25">
      <w:pPr>
        <w:rPr>
          <w:b/>
        </w:rPr>
      </w:pPr>
      <w:r>
        <w:rPr>
          <w:b/>
        </w:rPr>
        <w:t>Troubleshooting and protocol modifications</w:t>
      </w:r>
    </w:p>
    <w:p w14:paraId="3ACD863F">
      <w:r>
        <w:t>If nanomicelles show aggregation or broad size distributions by TEM/DLS, hydrolysis time, pH, and ionic strength should be re-optimized, and 0.22 μm filtration and adjustment of the capsaicin-to-peptide ratio are recommended. Low loading efficiency can be addressed by increasing the capsaicin concentration within its solubility limit, extending self-assembly time, or applying more gradual solvent removal. During MN casting, bubbles or incomplete cavity filling can be mitigated by longer degassing, slightly higher centrifugation speed/time, or gentle vibration of the mold. Inadequate skin insertion may require increasing needle height or polymer concentration; excessive irritation can be reduced by shortening needles or lowering array density. Patch adhesion issues can often be resolved by better depilation and cleaning of the site, using an adhesive backing, and applying standardized pressure for a fixed period.</w:t>
      </w:r>
    </w:p>
    <w:p w14:paraId="12A79860"/>
    <w:p w14:paraId="7C0F5E82">
      <w:pPr>
        <w:rPr>
          <w:b/>
        </w:rPr>
      </w:pPr>
      <w:r>
        <w:rPr>
          <w:b/>
        </w:rPr>
        <w:t>Practical usability and throughput</w:t>
      </w:r>
    </w:p>
    <w:p w14:paraId="6F494CA6">
      <w:r>
        <w:t>The protocol uses reusable PDMS molds (10 × 10 arrays, 600 µm height) and water-based HA/PVA formulations, which are compatible with batch and potential semi-automated casting/drying processes. Multiple patches can be fabricated in parallel at relatively low cost, and the workflow could be adapted to higher-throughput production by scaling mold number and integrating temperature- and humidity-controlled drying. For end users, the patches require only a short application (~30 min), generate no sharps waste, and can, in principle, be supplied as pre-dosed, single-use devices with adhesive backing, which would facilitate routine or home-based use and improve treatment adherence.</w:t>
      </w:r>
    </w:p>
    <w:p w14:paraId="5C7D581A"/>
    <w:p w14:paraId="0158CC90">
      <w:pPr>
        <w:rPr>
          <w:b/>
        </w:rPr>
      </w:pPr>
      <w:r>
        <w:rPr>
          <w:b/>
        </w:rPr>
        <w:t>Limitations and future directions</w:t>
      </w:r>
    </w:p>
    <w:p w14:paraId="5FF2E1D5">
      <w:pPr>
        <w:rPr>
          <w:rFonts w:eastAsiaTheme="minorEastAsia"/>
          <w:lang w:eastAsia="zh-CN"/>
        </w:rPr>
      </w:pPr>
      <w:r>
        <w:rPr>
          <w:rFonts w:eastAsiaTheme="minorEastAsia"/>
          <w:lang w:eastAsia="zh-CN"/>
        </w:rPr>
        <w:t xml:space="preserve">The present study is limited to murine models, so translation to human obesity requires caution. The 600 μm microneedles used here were optimized for murine abdominal skin and will likely require redesign for human application, where thicker skin and different anatomical sites demand adjusted needle length (e.g., ~700–900 μm), density, and patch size, supported by </w:t>
      </w:r>
      <w:r>
        <w:rPr>
          <w:rFonts w:eastAsiaTheme="minorEastAsia"/>
          <w:i/>
          <w:iCs/>
          <w:lang w:eastAsia="zh-CN"/>
        </w:rPr>
        <w:t>ex vivo</w:t>
      </w:r>
      <w:r>
        <w:rPr>
          <w:rFonts w:eastAsiaTheme="minorEastAsia"/>
          <w:lang w:eastAsia="zh-CN"/>
        </w:rPr>
        <w:t xml:space="preserve"> human skin testing and larger-animal studies to confirm penetration depth, drug deposition, and tolerability. In parallel, long-term biocompatibility, immunogenicity, and practical aspects such as patient comfort and feasibility of self-administration should be systematically evaluated. The platform is also adaptable to other hydrophobic nutraceuticals or drugs (e.g., rutin, resveratrol, or anti-diabetic agents), alone or in combination, and comparative studies of cargos, dosing regimens, and application frequency will help define the therapeutic window and broaden indications. Overall, the α-lactalbumin nanomicelle–loaded dissolvable MN system provides a reproducible, tunable platform for localized delivery of hydrophobic bioactives to adipose tissue and holds promise for future development as a practical anti-obesity therapy in humans.</w:t>
      </w:r>
    </w:p>
    <w:p w14:paraId="038A402B">
      <w:pPr>
        <w:rPr>
          <w:rFonts w:eastAsiaTheme="minorEastAsia"/>
          <w:lang w:eastAsia="zh-CN"/>
        </w:rPr>
      </w:pPr>
    </w:p>
    <w:p w14:paraId="5A98E865">
      <w:r>
        <w:rPr>
          <w:b/>
        </w:rPr>
        <w:t>ACKNOWLEDGMENTS:</w:t>
      </w:r>
    </w:p>
    <w:p w14:paraId="623F5639">
      <w:r>
        <w:t>This project was supported by the Young Scientists Fund of the National Natural Science Foundation of China (No. 32202024), the Young Scientists Fund of Shandong Provincial Natural Science Foundation (No. ZR2024QC103), the Key Research and Development Plan of Shandong Province (2025CXGC010803, 2022CXPT022), the Shandong Province Poultry Industry Technology System (SDAIT-11-10), and the Universities-Industry Collaboration Program funded by the Bureau of Education of Yantai City, China (Development of Next-Generation Vaccines Platform for Pet Animals).</w:t>
      </w:r>
    </w:p>
    <w:p w14:paraId="18BDDFC5"/>
    <w:p w14:paraId="2855E52F">
      <w:r>
        <w:rPr>
          <w:b/>
        </w:rPr>
        <w:t>DISCLOSURES:</w:t>
      </w:r>
    </w:p>
    <w:p w14:paraId="6CEEBAC4">
      <w:r>
        <w:t>There are no disclosures.</w:t>
      </w:r>
    </w:p>
    <w:p w14:paraId="34F0E286"/>
    <w:p w14:paraId="4A6299AC">
      <w:pPr>
        <w:rPr>
          <w:rFonts w:eastAsiaTheme="minorEastAsia"/>
          <w:b/>
          <w:lang w:eastAsia="zh-CN"/>
        </w:rPr>
      </w:pPr>
      <w:r>
        <w:rPr>
          <w:b/>
        </w:rPr>
        <w:t>REFERENCES:</w:t>
      </w:r>
      <w:r>
        <w:t xml:space="preserve"> </w:t>
      </w:r>
    </w:p>
    <w:p w14:paraId="3AFAE354">
      <w:pPr>
        <w:pStyle w:val="12"/>
        <w:numPr>
          <w:ilvl w:val="0"/>
          <w:numId w:val="1"/>
        </w:numPr>
        <w:spacing w:beforeAutospacing="0" w:afterAutospacing="0"/>
        <w:ind w:left="0" w:firstLine="0"/>
        <w:jc w:val="both"/>
        <w:rPr>
          <w:rFonts w:eastAsia="Times New Roman" w:cs="Calibri"/>
          <w:lang w:val="en-IN" w:eastAsia="en-IN"/>
        </w:rPr>
      </w:pPr>
      <w:r>
        <w:rPr>
          <w:rFonts w:cs="Calibri"/>
        </w:rPr>
        <w:t xml:space="preserve">Organization, W. H. Obesity and overweight. </w:t>
      </w:r>
      <w:r>
        <w:rPr>
          <w:rStyle w:val="19"/>
          <w:rFonts w:cs="Calibri"/>
        </w:rPr>
        <w:t>WHO Fact Sheets</w:t>
      </w:r>
      <w:r>
        <w:rPr>
          <w:rFonts w:cs="Calibri"/>
        </w:rPr>
        <w:t xml:space="preserve">. </w:t>
      </w:r>
      <w:r>
        <w:fldChar w:fldCharType="begin"/>
      </w:r>
      <w:r>
        <w:instrText xml:space="preserve"> HYPERLINK "https://www.who.int/news-room/fact-sheets/detail/obesity-and-overweight" \t "_new" </w:instrText>
      </w:r>
      <w:r>
        <w:fldChar w:fldCharType="separate"/>
      </w:r>
      <w:r>
        <w:rPr>
          <w:rStyle w:val="21"/>
          <w:rFonts w:cs="Calibri"/>
        </w:rPr>
        <w:t>https://www.who.int/news-room/fact-sheets/detail/obesity-and-overweight</w:t>
      </w:r>
      <w:r>
        <w:rPr>
          <w:rStyle w:val="21"/>
          <w:rFonts w:cs="Calibri"/>
        </w:rPr>
        <w:fldChar w:fldCharType="end"/>
      </w:r>
      <w:r>
        <w:rPr>
          <w:rFonts w:cs="Calibri"/>
        </w:rPr>
        <w:t xml:space="preserve"> (2025).</w:t>
      </w:r>
    </w:p>
    <w:p w14:paraId="45EFE0FC">
      <w:pPr>
        <w:pStyle w:val="12"/>
        <w:numPr>
          <w:ilvl w:val="0"/>
          <w:numId w:val="1"/>
        </w:numPr>
        <w:spacing w:beforeAutospacing="0" w:afterAutospacing="0"/>
        <w:ind w:left="0" w:firstLine="0"/>
        <w:jc w:val="both"/>
        <w:rPr>
          <w:rFonts w:cs="Calibri"/>
        </w:rPr>
      </w:pPr>
      <w:r>
        <w:rPr>
          <w:rFonts w:cs="Calibri"/>
        </w:rPr>
        <w:t xml:space="preserve">Bray, G. A., Kim, K. K., Wilding, J. P. H., Federation, W. O. Obesity: A chronic relapsing progressive disease process. A position statement of the World Obesity Federation. </w:t>
      </w:r>
      <w:r>
        <w:rPr>
          <w:rStyle w:val="19"/>
          <w:rFonts w:cs="Calibri"/>
        </w:rPr>
        <w:t>Obes Rev</w:t>
      </w:r>
      <w:r>
        <w:rPr>
          <w:rFonts w:cs="Calibri"/>
        </w:rPr>
        <w:t xml:space="preserve">. </w:t>
      </w:r>
      <w:r>
        <w:rPr>
          <w:rStyle w:val="17"/>
          <w:rFonts w:cs="Calibri"/>
        </w:rPr>
        <w:t xml:space="preserve">18 </w:t>
      </w:r>
      <w:r>
        <w:rPr>
          <w:rFonts w:cs="Calibri"/>
        </w:rPr>
        <w:t>(7), 715–723 (2017).</w:t>
      </w:r>
    </w:p>
    <w:p w14:paraId="1E970ABA">
      <w:pPr>
        <w:pStyle w:val="12"/>
        <w:numPr>
          <w:ilvl w:val="0"/>
          <w:numId w:val="1"/>
        </w:numPr>
        <w:spacing w:beforeAutospacing="0" w:afterAutospacing="0"/>
        <w:ind w:left="0" w:firstLine="0"/>
        <w:jc w:val="both"/>
        <w:rPr>
          <w:rFonts w:cs="Calibri"/>
        </w:rPr>
      </w:pPr>
      <w:r>
        <w:rPr>
          <w:rFonts w:cs="Calibri"/>
        </w:rPr>
        <w:t xml:space="preserve">Hruby, A., Hu, F. B. The epidemiology of obesity: A big picture. </w:t>
      </w:r>
      <w:r>
        <w:rPr>
          <w:rStyle w:val="19"/>
          <w:rFonts w:cs="Calibri"/>
        </w:rPr>
        <w:t>Pharmacoeconomics</w:t>
      </w:r>
      <w:r>
        <w:rPr>
          <w:rFonts w:cs="Calibri"/>
        </w:rPr>
        <w:t xml:space="preserve">. </w:t>
      </w:r>
      <w:r>
        <w:rPr>
          <w:rStyle w:val="17"/>
          <w:rFonts w:cs="Calibri"/>
        </w:rPr>
        <w:t xml:space="preserve">33 </w:t>
      </w:r>
      <w:r>
        <w:rPr>
          <w:rFonts w:cs="Calibri"/>
        </w:rPr>
        <w:t>(7), 673–689 (2015).</w:t>
      </w:r>
    </w:p>
    <w:p w14:paraId="2383399E">
      <w:pPr>
        <w:pStyle w:val="12"/>
        <w:numPr>
          <w:ilvl w:val="0"/>
          <w:numId w:val="1"/>
        </w:numPr>
        <w:spacing w:beforeAutospacing="0" w:afterAutospacing="0"/>
        <w:ind w:left="0" w:firstLine="0"/>
        <w:jc w:val="both"/>
        <w:rPr>
          <w:rFonts w:cs="Calibri"/>
        </w:rPr>
      </w:pPr>
      <w:r>
        <w:rPr>
          <w:rFonts w:cs="Calibri"/>
        </w:rPr>
        <w:t xml:space="preserve">Dietrich, M. O., Horvath, T. L. Limitations in anti-obesity drug development: The critical role of hunger-promoting neurons. </w:t>
      </w:r>
      <w:r>
        <w:rPr>
          <w:rStyle w:val="19"/>
          <w:rFonts w:cs="Calibri"/>
        </w:rPr>
        <w:t>Nat Rev Drug Discov</w:t>
      </w:r>
      <w:r>
        <w:rPr>
          <w:rFonts w:cs="Calibri"/>
        </w:rPr>
        <w:t xml:space="preserve">. </w:t>
      </w:r>
      <w:r>
        <w:rPr>
          <w:rStyle w:val="17"/>
          <w:rFonts w:cs="Calibri"/>
        </w:rPr>
        <w:t xml:space="preserve">11 </w:t>
      </w:r>
      <w:r>
        <w:rPr>
          <w:rFonts w:cs="Calibri"/>
        </w:rPr>
        <w:t>(9), 675–691 (2012).</w:t>
      </w:r>
    </w:p>
    <w:p w14:paraId="7C463724">
      <w:pPr>
        <w:pStyle w:val="12"/>
        <w:numPr>
          <w:ilvl w:val="0"/>
          <w:numId w:val="1"/>
        </w:numPr>
        <w:spacing w:beforeAutospacing="0" w:afterAutospacing="0"/>
        <w:ind w:left="0" w:firstLine="0"/>
        <w:jc w:val="both"/>
        <w:rPr>
          <w:rFonts w:cs="Calibri"/>
        </w:rPr>
      </w:pPr>
      <w:r>
        <w:rPr>
          <w:rFonts w:cs="Calibri"/>
        </w:rPr>
        <w:t xml:space="preserve">Garvey, W. T. et al. American Association of Clinical Endocrinologists and American College of Endocrinology comprehensive clinical practice guidelines for medical care of patients with obesity. </w:t>
      </w:r>
      <w:r>
        <w:rPr>
          <w:rStyle w:val="19"/>
          <w:rFonts w:cs="Calibri"/>
        </w:rPr>
        <w:t>Endocr Pract</w:t>
      </w:r>
      <w:r>
        <w:rPr>
          <w:rFonts w:cs="Calibri"/>
        </w:rPr>
        <w:t xml:space="preserve">. </w:t>
      </w:r>
      <w:r>
        <w:rPr>
          <w:rStyle w:val="17"/>
          <w:rFonts w:cs="Calibri"/>
        </w:rPr>
        <w:t>22</w:t>
      </w:r>
      <w:r>
        <w:rPr>
          <w:rFonts w:cs="Calibri"/>
        </w:rPr>
        <w:t>, 1–203 (2016).</w:t>
      </w:r>
    </w:p>
    <w:p w14:paraId="2CBE4AA1">
      <w:pPr>
        <w:pStyle w:val="12"/>
        <w:numPr>
          <w:ilvl w:val="0"/>
          <w:numId w:val="1"/>
        </w:numPr>
        <w:spacing w:beforeAutospacing="0" w:afterAutospacing="0"/>
        <w:ind w:left="0" w:firstLine="0"/>
        <w:jc w:val="both"/>
        <w:rPr>
          <w:rFonts w:cs="Calibri"/>
        </w:rPr>
      </w:pPr>
      <w:r>
        <w:rPr>
          <w:rFonts w:cs="Calibri"/>
        </w:rPr>
        <w:t xml:space="preserve">Li, Z., Liang, S., Sun, H., Bao, C., Li, Y. Antilipogenesis effect of rutin-loaded liposomes using a microneedle delivery system. </w:t>
      </w:r>
      <w:r>
        <w:rPr>
          <w:rStyle w:val="19"/>
          <w:rFonts w:cs="Calibri"/>
        </w:rPr>
        <w:t>ACS Appl Mater Interfaces</w:t>
      </w:r>
      <w:r>
        <w:rPr>
          <w:rFonts w:cs="Calibri"/>
        </w:rPr>
        <w:t xml:space="preserve">. </w:t>
      </w:r>
      <w:r>
        <w:rPr>
          <w:rStyle w:val="17"/>
          <w:rFonts w:cs="Calibri"/>
        </w:rPr>
        <w:t xml:space="preserve">15 </w:t>
      </w:r>
      <w:r>
        <w:rPr>
          <w:rFonts w:cs="Calibri"/>
        </w:rPr>
        <w:t>(47), 54294–54303 (2023).</w:t>
      </w:r>
    </w:p>
    <w:p w14:paraId="1B41C15B">
      <w:pPr>
        <w:pStyle w:val="12"/>
        <w:numPr>
          <w:ilvl w:val="0"/>
          <w:numId w:val="1"/>
        </w:numPr>
        <w:spacing w:beforeAutospacing="0" w:afterAutospacing="0"/>
        <w:ind w:left="0" w:firstLine="0"/>
        <w:jc w:val="both"/>
        <w:rPr>
          <w:rFonts w:cs="Calibri"/>
        </w:rPr>
      </w:pPr>
      <w:r>
        <w:rPr>
          <w:rFonts w:cs="Calibri"/>
        </w:rPr>
        <w:t xml:space="preserve">Hsu, C. L., Yen, G. C. Effects of flavonoids and phenolic acids on the inhibition of adipogenesis in 3T3-L1 adipocytes. </w:t>
      </w:r>
      <w:r>
        <w:rPr>
          <w:rStyle w:val="19"/>
          <w:rFonts w:cs="Calibri"/>
        </w:rPr>
        <w:t>J Agric Food Chem</w:t>
      </w:r>
      <w:r>
        <w:rPr>
          <w:rFonts w:cs="Calibri"/>
        </w:rPr>
        <w:t xml:space="preserve">. </w:t>
      </w:r>
      <w:r>
        <w:rPr>
          <w:rStyle w:val="17"/>
          <w:rFonts w:cs="Calibri"/>
        </w:rPr>
        <w:t xml:space="preserve">55 </w:t>
      </w:r>
      <w:r>
        <w:rPr>
          <w:rFonts w:cs="Calibri"/>
        </w:rPr>
        <w:t>(21), 8404–8410 (2007).</w:t>
      </w:r>
    </w:p>
    <w:p w14:paraId="44A382BF">
      <w:pPr>
        <w:pStyle w:val="12"/>
        <w:numPr>
          <w:ilvl w:val="0"/>
          <w:numId w:val="1"/>
        </w:numPr>
        <w:spacing w:beforeAutospacing="0" w:afterAutospacing="0"/>
        <w:ind w:left="0" w:firstLine="0"/>
        <w:jc w:val="both"/>
        <w:rPr>
          <w:rFonts w:cs="Calibri"/>
        </w:rPr>
      </w:pPr>
      <w:r>
        <w:rPr>
          <w:rFonts w:cs="Calibri"/>
        </w:rPr>
        <w:t xml:space="preserve">Zhang, L. L. et al. Activation of transient receptor potential vanilloid type-1 channel prevents adipogenesis and obesity. </w:t>
      </w:r>
      <w:r>
        <w:rPr>
          <w:rStyle w:val="19"/>
          <w:rFonts w:cs="Calibri"/>
        </w:rPr>
        <w:t>Circ Res</w:t>
      </w:r>
      <w:r>
        <w:rPr>
          <w:rFonts w:cs="Calibri"/>
        </w:rPr>
        <w:t xml:space="preserve">. </w:t>
      </w:r>
      <w:r>
        <w:rPr>
          <w:rStyle w:val="17"/>
          <w:rFonts w:cs="Calibri"/>
        </w:rPr>
        <w:t xml:space="preserve">100 </w:t>
      </w:r>
      <w:r>
        <w:rPr>
          <w:rFonts w:cs="Calibri"/>
        </w:rPr>
        <w:t>(7), 1063–1070 (2007).</w:t>
      </w:r>
    </w:p>
    <w:p w14:paraId="4FDBA630">
      <w:pPr>
        <w:pStyle w:val="12"/>
        <w:numPr>
          <w:ilvl w:val="0"/>
          <w:numId w:val="1"/>
        </w:numPr>
        <w:spacing w:beforeAutospacing="0" w:afterAutospacing="0"/>
        <w:ind w:left="0" w:firstLine="0"/>
        <w:jc w:val="both"/>
        <w:rPr>
          <w:rFonts w:cs="Calibri"/>
        </w:rPr>
      </w:pPr>
      <w:r>
        <w:rPr>
          <w:rFonts w:cs="Calibri"/>
        </w:rPr>
        <w:t xml:space="preserve">Zheng, J., Zheng, S., Feng, Q., Zhang, Q., Xiao, X. Dietary capsaicin and its anti-obesity potency: from mechanism to clinical implications. </w:t>
      </w:r>
      <w:r>
        <w:rPr>
          <w:rStyle w:val="19"/>
          <w:rFonts w:cs="Calibri"/>
        </w:rPr>
        <w:t>Biosci Rep</w:t>
      </w:r>
      <w:r>
        <w:rPr>
          <w:rFonts w:cs="Calibri"/>
        </w:rPr>
        <w:t xml:space="preserve">. </w:t>
      </w:r>
      <w:r>
        <w:rPr>
          <w:rStyle w:val="17"/>
          <w:rFonts w:cs="Calibri"/>
        </w:rPr>
        <w:t xml:space="preserve">37 </w:t>
      </w:r>
      <w:r>
        <w:rPr>
          <w:rFonts w:cs="Calibri"/>
        </w:rPr>
        <w:t>(3), BSR20170286 (2017).</w:t>
      </w:r>
    </w:p>
    <w:p w14:paraId="3883603F">
      <w:pPr>
        <w:pStyle w:val="12"/>
        <w:numPr>
          <w:ilvl w:val="0"/>
          <w:numId w:val="1"/>
        </w:numPr>
        <w:spacing w:beforeAutospacing="0" w:afterAutospacing="0"/>
        <w:ind w:left="0" w:firstLine="0"/>
        <w:jc w:val="both"/>
        <w:rPr>
          <w:rFonts w:cs="Calibri"/>
        </w:rPr>
      </w:pPr>
      <w:r>
        <w:rPr>
          <w:rFonts w:cs="Calibri"/>
        </w:rPr>
        <w:t xml:space="preserve">Negahdari, R. et al. Therapeutic benefits of rutin and its nanoformulations. </w:t>
      </w:r>
      <w:r>
        <w:rPr>
          <w:rStyle w:val="19"/>
          <w:rFonts w:cs="Calibri"/>
        </w:rPr>
        <w:t>Phytother Res</w:t>
      </w:r>
      <w:r>
        <w:rPr>
          <w:rFonts w:cs="Calibri"/>
        </w:rPr>
        <w:t xml:space="preserve">. </w:t>
      </w:r>
      <w:r>
        <w:rPr>
          <w:rStyle w:val="17"/>
          <w:rFonts w:cs="Calibri"/>
        </w:rPr>
        <w:t xml:space="preserve">35 </w:t>
      </w:r>
      <w:r>
        <w:rPr>
          <w:rFonts w:cs="Calibri"/>
        </w:rPr>
        <w:t>(4), 1719–1738 (2021).</w:t>
      </w:r>
    </w:p>
    <w:p w14:paraId="23101E71">
      <w:pPr>
        <w:pStyle w:val="12"/>
        <w:numPr>
          <w:ilvl w:val="0"/>
          <w:numId w:val="1"/>
        </w:numPr>
        <w:spacing w:beforeAutospacing="0" w:afterAutospacing="0"/>
        <w:ind w:left="0" w:firstLine="0"/>
        <w:jc w:val="both"/>
        <w:rPr>
          <w:rFonts w:cs="Calibri"/>
        </w:rPr>
      </w:pPr>
      <w:r>
        <w:rPr>
          <w:rFonts w:cs="Calibri"/>
        </w:rPr>
        <w:t xml:space="preserve">Bao, C. et al. Microneedle patch delivery of capsaicin-containing α-lactalbumin nanomicelles to adipocytes achieves potent anti-obesity effects. </w:t>
      </w:r>
      <w:r>
        <w:rPr>
          <w:rStyle w:val="19"/>
          <w:rFonts w:cs="Calibri"/>
        </w:rPr>
        <w:t>Adv Funct Mater</w:t>
      </w:r>
      <w:r>
        <w:rPr>
          <w:rFonts w:cs="Calibri"/>
        </w:rPr>
        <w:t xml:space="preserve">. </w:t>
      </w:r>
      <w:r>
        <w:rPr>
          <w:rStyle w:val="17"/>
          <w:rFonts w:cs="Calibri"/>
        </w:rPr>
        <w:t xml:space="preserve">31 </w:t>
      </w:r>
      <w:r>
        <w:rPr>
          <w:rFonts w:cs="Calibri"/>
        </w:rPr>
        <w:t>(20), 2011130 (2021).</w:t>
      </w:r>
    </w:p>
    <w:p w14:paraId="3C6C8874">
      <w:pPr>
        <w:pStyle w:val="12"/>
        <w:numPr>
          <w:ilvl w:val="0"/>
          <w:numId w:val="1"/>
        </w:numPr>
        <w:spacing w:beforeAutospacing="0" w:afterAutospacing="0"/>
        <w:ind w:left="0" w:firstLine="0"/>
        <w:jc w:val="both"/>
        <w:rPr>
          <w:rFonts w:cs="Calibri"/>
        </w:rPr>
      </w:pPr>
      <w:r>
        <w:rPr>
          <w:rFonts w:cs="Calibri"/>
        </w:rPr>
        <w:t xml:space="preserve">Hu, Y. et al. The construction of enzymolyzed α-lactalbumin-based micellar nanoassemblies for encapsulating various kinds of hydrophobic bioactive compounds. </w:t>
      </w:r>
      <w:r>
        <w:rPr>
          <w:rStyle w:val="19"/>
          <w:rFonts w:cs="Calibri"/>
        </w:rPr>
        <w:t>Food Funct</w:t>
      </w:r>
      <w:r>
        <w:rPr>
          <w:rFonts w:cs="Calibri"/>
        </w:rPr>
        <w:t xml:space="preserve">. </w:t>
      </w:r>
      <w:r>
        <w:rPr>
          <w:rStyle w:val="17"/>
          <w:rFonts w:cs="Calibri"/>
        </w:rPr>
        <w:t xml:space="preserve">10 </w:t>
      </w:r>
      <w:r>
        <w:rPr>
          <w:rFonts w:cs="Calibri"/>
        </w:rPr>
        <w:t>(12), 8263–8272 (2019).</w:t>
      </w:r>
    </w:p>
    <w:p w14:paraId="2ABB94D9">
      <w:pPr>
        <w:pStyle w:val="12"/>
        <w:numPr>
          <w:ilvl w:val="0"/>
          <w:numId w:val="1"/>
        </w:numPr>
        <w:spacing w:beforeAutospacing="0" w:afterAutospacing="0"/>
        <w:ind w:left="0" w:firstLine="0"/>
        <w:jc w:val="both"/>
        <w:rPr>
          <w:rFonts w:cs="Calibri"/>
        </w:rPr>
      </w:pPr>
      <w:r>
        <w:rPr>
          <w:rFonts w:cs="Calibri"/>
        </w:rPr>
        <w:t xml:space="preserve">Wang, Q. et al. The stability and bioavailability of curcumin-loaded α-lactalbumin nanocarriers formulated in functional dairy drink. </w:t>
      </w:r>
      <w:r>
        <w:rPr>
          <w:rStyle w:val="19"/>
          <w:rFonts w:cs="Calibri"/>
        </w:rPr>
        <w:t>Food Hydrocoll</w:t>
      </w:r>
      <w:r>
        <w:rPr>
          <w:rFonts w:cs="Calibri"/>
        </w:rPr>
        <w:t xml:space="preserve">. </w:t>
      </w:r>
      <w:r>
        <w:rPr>
          <w:rStyle w:val="17"/>
          <w:rFonts w:cs="Calibri"/>
        </w:rPr>
        <w:t>131</w:t>
      </w:r>
      <w:r>
        <w:rPr>
          <w:rFonts w:cs="Calibri"/>
        </w:rPr>
        <w:t>, 107807 (2022).</w:t>
      </w:r>
    </w:p>
    <w:p w14:paraId="7949FFFA">
      <w:pPr>
        <w:pStyle w:val="12"/>
        <w:numPr>
          <w:ilvl w:val="0"/>
          <w:numId w:val="1"/>
        </w:numPr>
        <w:spacing w:beforeAutospacing="0" w:afterAutospacing="0"/>
        <w:ind w:left="0" w:firstLine="0"/>
        <w:jc w:val="both"/>
        <w:rPr>
          <w:rFonts w:cs="Calibri"/>
        </w:rPr>
      </w:pPr>
      <w:r>
        <w:rPr>
          <w:rFonts w:cs="Calibri"/>
        </w:rPr>
        <w:t xml:space="preserve">Luo, T. et al. Adipose tissue-targeted drug delivery for treating obesity: Current opportunities and challenges. </w:t>
      </w:r>
      <w:r>
        <w:rPr>
          <w:rStyle w:val="19"/>
          <w:rFonts w:cs="Calibri"/>
        </w:rPr>
        <w:t>Drug Deliv</w:t>
      </w:r>
      <w:r>
        <w:rPr>
          <w:rFonts w:cs="Calibri"/>
        </w:rPr>
        <w:t xml:space="preserve">. </w:t>
      </w:r>
      <w:r>
        <w:rPr>
          <w:rStyle w:val="17"/>
          <w:rFonts w:cs="Calibri"/>
        </w:rPr>
        <w:t xml:space="preserve">32 </w:t>
      </w:r>
      <w:r>
        <w:rPr>
          <w:rFonts w:cs="Calibri"/>
        </w:rPr>
        <w:t>(1), 2547751 (2025).</w:t>
      </w:r>
    </w:p>
    <w:p w14:paraId="26EE0E09">
      <w:pPr>
        <w:pStyle w:val="12"/>
        <w:numPr>
          <w:ilvl w:val="0"/>
          <w:numId w:val="1"/>
        </w:numPr>
        <w:spacing w:beforeAutospacing="0" w:afterAutospacing="0"/>
        <w:ind w:left="0" w:firstLine="0"/>
        <w:jc w:val="both"/>
        <w:rPr>
          <w:rFonts w:cs="Calibri"/>
        </w:rPr>
      </w:pPr>
      <w:r>
        <w:rPr>
          <w:rFonts w:cs="Calibri"/>
        </w:rPr>
        <w:t xml:space="preserve">Patel, D., Patel, N., Parmar, M., Kaur, N. Transdermal drug delivery system: An overview. </w:t>
      </w:r>
      <w:r>
        <w:rPr>
          <w:rStyle w:val="19"/>
          <w:rFonts w:cs="Calibri"/>
        </w:rPr>
        <w:t>Int J Toxicol Pharmacol Res</w:t>
      </w:r>
      <w:r>
        <w:rPr>
          <w:rFonts w:cs="Calibri"/>
        </w:rPr>
        <w:t xml:space="preserve">. </w:t>
      </w:r>
      <w:r>
        <w:rPr>
          <w:rStyle w:val="17"/>
          <w:rFonts w:cs="Calibri"/>
        </w:rPr>
        <w:t>1</w:t>
      </w:r>
      <w:r>
        <w:rPr>
          <w:rFonts w:cs="Calibri"/>
        </w:rPr>
        <w:t>, 61–80 (2011).</w:t>
      </w:r>
    </w:p>
    <w:p w14:paraId="159D3E9F">
      <w:pPr>
        <w:pStyle w:val="12"/>
        <w:numPr>
          <w:ilvl w:val="0"/>
          <w:numId w:val="1"/>
        </w:numPr>
        <w:spacing w:beforeAutospacing="0" w:afterAutospacing="0"/>
        <w:ind w:left="0" w:firstLine="0"/>
        <w:jc w:val="both"/>
        <w:rPr>
          <w:rFonts w:cs="Calibri"/>
        </w:rPr>
      </w:pPr>
      <w:r>
        <w:rPr>
          <w:rFonts w:cs="Calibri"/>
        </w:rPr>
        <w:t xml:space="preserve">Singh, P. et al. Single-administration self-boosting microneedle patch for the treatment of obesity. </w:t>
      </w:r>
      <w:r>
        <w:rPr>
          <w:rStyle w:val="19"/>
          <w:rFonts w:cs="Calibri"/>
        </w:rPr>
        <w:t>Adv Ther</w:t>
      </w:r>
      <w:r>
        <w:rPr>
          <w:rFonts w:cs="Calibri"/>
        </w:rPr>
        <w:t xml:space="preserve">. </w:t>
      </w:r>
      <w:r>
        <w:rPr>
          <w:rStyle w:val="17"/>
          <w:rFonts w:cs="Calibri"/>
        </w:rPr>
        <w:t xml:space="preserve">7 </w:t>
      </w:r>
      <w:r>
        <w:rPr>
          <w:rFonts w:cs="Calibri"/>
        </w:rPr>
        <w:t>(9), 2400028 (2024).</w:t>
      </w:r>
    </w:p>
    <w:p w14:paraId="4C781AF3">
      <w:pPr>
        <w:pStyle w:val="12"/>
        <w:numPr>
          <w:ilvl w:val="0"/>
          <w:numId w:val="1"/>
        </w:numPr>
        <w:spacing w:beforeAutospacing="0" w:afterAutospacing="0"/>
        <w:ind w:left="0" w:firstLine="0"/>
        <w:jc w:val="both"/>
        <w:rPr>
          <w:rFonts w:cs="Calibri"/>
        </w:rPr>
      </w:pPr>
      <w:r>
        <w:rPr>
          <w:rFonts w:cs="Calibri"/>
        </w:rPr>
        <w:t xml:space="preserve">Than, A. et al. Transdermal delivery of anti-obesity compounds to subcutaneous adipose tissue with polymeric microneedle patches. </w:t>
      </w:r>
      <w:r>
        <w:rPr>
          <w:rStyle w:val="19"/>
          <w:rFonts w:cs="Calibri"/>
        </w:rPr>
        <w:t>Small Methods</w:t>
      </w:r>
      <w:r>
        <w:rPr>
          <w:rFonts w:cs="Calibri"/>
        </w:rPr>
        <w:t xml:space="preserve">. </w:t>
      </w:r>
      <w:r>
        <w:rPr>
          <w:rStyle w:val="17"/>
          <w:rFonts w:cs="Calibri"/>
        </w:rPr>
        <w:t xml:space="preserve">1 </w:t>
      </w:r>
      <w:r>
        <w:rPr>
          <w:rFonts w:cs="Calibri"/>
        </w:rPr>
        <w:t>(11), 1700269 (2017).</w:t>
      </w:r>
    </w:p>
    <w:p w14:paraId="36AEB72B">
      <w:pPr>
        <w:pStyle w:val="12"/>
        <w:numPr>
          <w:ilvl w:val="0"/>
          <w:numId w:val="1"/>
        </w:numPr>
        <w:spacing w:beforeAutospacing="0" w:afterAutospacing="0"/>
        <w:ind w:left="0" w:firstLine="0"/>
        <w:jc w:val="both"/>
        <w:rPr>
          <w:rFonts w:cs="Calibri"/>
        </w:rPr>
      </w:pPr>
      <w:r>
        <w:rPr>
          <w:rFonts w:cs="Calibri"/>
        </w:rPr>
        <w:t xml:space="preserve">Nguyen, H. X., Nguyen, C. N. Microneedle-mediated transdermal delivery of biopharmaceuticals. </w:t>
      </w:r>
      <w:r>
        <w:rPr>
          <w:rStyle w:val="19"/>
          <w:rFonts w:cs="Calibri"/>
        </w:rPr>
        <w:t>Pharmaceutics</w:t>
      </w:r>
      <w:r>
        <w:rPr>
          <w:rFonts w:cs="Calibri"/>
        </w:rPr>
        <w:t xml:space="preserve">. </w:t>
      </w:r>
      <w:r>
        <w:rPr>
          <w:rStyle w:val="17"/>
          <w:rFonts w:cs="Calibri"/>
        </w:rPr>
        <w:t xml:space="preserve">15 </w:t>
      </w:r>
      <w:r>
        <w:rPr>
          <w:rFonts w:cs="Calibri"/>
        </w:rPr>
        <w:t>(1), 277 (2023).</w:t>
      </w:r>
    </w:p>
    <w:p w14:paraId="67B5ACC2">
      <w:pPr>
        <w:pStyle w:val="12"/>
        <w:numPr>
          <w:ilvl w:val="0"/>
          <w:numId w:val="1"/>
        </w:numPr>
        <w:spacing w:beforeAutospacing="0" w:afterAutospacing="0"/>
        <w:ind w:left="0" w:firstLine="0"/>
        <w:jc w:val="both"/>
        <w:rPr>
          <w:rFonts w:cs="Calibri"/>
        </w:rPr>
      </w:pPr>
      <w:r>
        <w:rPr>
          <w:rFonts w:cs="Calibri"/>
        </w:rPr>
        <w:t xml:space="preserve">Chu, L. Y., Choi, S. O., Prausnitz, M. R. Fabrication of dissolving polymer microneedles for controlled drug encapsulation and delivery: Bubble and pedestal microneedle designs. </w:t>
      </w:r>
      <w:r>
        <w:rPr>
          <w:rStyle w:val="19"/>
          <w:rFonts w:cs="Calibri"/>
        </w:rPr>
        <w:t>J Pharm Sci</w:t>
      </w:r>
      <w:r>
        <w:rPr>
          <w:rFonts w:cs="Calibri"/>
        </w:rPr>
        <w:t xml:space="preserve">. </w:t>
      </w:r>
      <w:r>
        <w:rPr>
          <w:rStyle w:val="17"/>
          <w:rFonts w:cs="Calibri"/>
        </w:rPr>
        <w:t xml:space="preserve">99 </w:t>
      </w:r>
      <w:r>
        <w:rPr>
          <w:rFonts w:cs="Calibri"/>
        </w:rPr>
        <w:t>(10), 4228–4238 (2010).</w:t>
      </w:r>
    </w:p>
    <w:p w14:paraId="3FB17AE6">
      <w:pPr>
        <w:pStyle w:val="12"/>
        <w:numPr>
          <w:ilvl w:val="0"/>
          <w:numId w:val="1"/>
        </w:numPr>
        <w:spacing w:beforeAutospacing="0" w:afterAutospacing="0"/>
        <w:ind w:left="0" w:firstLine="0"/>
        <w:jc w:val="both"/>
        <w:rPr>
          <w:rFonts w:cs="Calibri"/>
        </w:rPr>
      </w:pPr>
      <w:r>
        <w:rPr>
          <w:rFonts w:cs="Calibri"/>
        </w:rPr>
        <w:t xml:space="preserve">Richmond, W., Wogan, M., Isbell, J., Gordon, W. P. Interstrain differences of </w:t>
      </w:r>
      <w:r>
        <w:rPr>
          <w:rFonts w:cs="Calibri"/>
          <w:i/>
          <w:iCs/>
        </w:rPr>
        <w:t>in vitro</w:t>
      </w:r>
      <w:r>
        <w:rPr>
          <w:rFonts w:cs="Calibri"/>
        </w:rPr>
        <w:t xml:space="preserve"> metabolic stability and impact on early drug discovery. </w:t>
      </w:r>
      <w:r>
        <w:rPr>
          <w:rStyle w:val="19"/>
          <w:rFonts w:cs="Calibri"/>
        </w:rPr>
        <w:t>J Pharm Sci</w:t>
      </w:r>
      <w:r>
        <w:rPr>
          <w:rFonts w:cs="Calibri"/>
        </w:rPr>
        <w:t xml:space="preserve">. </w:t>
      </w:r>
      <w:r>
        <w:rPr>
          <w:rStyle w:val="17"/>
          <w:rFonts w:cs="Calibri"/>
        </w:rPr>
        <w:t xml:space="preserve">99 </w:t>
      </w:r>
      <w:r>
        <w:rPr>
          <w:rFonts w:cs="Calibri"/>
        </w:rPr>
        <w:t>(11), 4463–4468 (2010).</w:t>
      </w:r>
    </w:p>
    <w:p w14:paraId="16C49D07">
      <w:pPr>
        <w:pStyle w:val="12"/>
        <w:numPr>
          <w:ilvl w:val="0"/>
          <w:numId w:val="1"/>
        </w:numPr>
        <w:spacing w:beforeAutospacing="0" w:afterAutospacing="0"/>
        <w:ind w:left="0" w:firstLine="0"/>
        <w:jc w:val="both"/>
        <w:rPr>
          <w:rFonts w:cs="Calibri"/>
        </w:rPr>
      </w:pPr>
      <w:r>
        <w:rPr>
          <w:rFonts w:cs="Calibri"/>
        </w:rPr>
        <w:t xml:space="preserve">Amini-Nik, S., Yousuf, Y., Jeschke, M. G. Scar management in burn injuries using drug delivery and molecular signaling: Current treatments and future directions. </w:t>
      </w:r>
      <w:r>
        <w:rPr>
          <w:rStyle w:val="19"/>
          <w:rFonts w:cs="Calibri"/>
        </w:rPr>
        <w:t>Adv Drug Deliv Rev</w:t>
      </w:r>
      <w:r>
        <w:rPr>
          <w:rFonts w:cs="Calibri"/>
        </w:rPr>
        <w:t xml:space="preserve">. </w:t>
      </w:r>
      <w:r>
        <w:rPr>
          <w:rStyle w:val="17"/>
          <w:rFonts w:cs="Calibri"/>
        </w:rPr>
        <w:t>123</w:t>
      </w:r>
      <w:r>
        <w:rPr>
          <w:rFonts w:cs="Calibri"/>
        </w:rPr>
        <w:t>, 135–154 (2018).</w:t>
      </w:r>
    </w:p>
    <w:p w14:paraId="302159FA">
      <w:pPr>
        <w:pStyle w:val="12"/>
        <w:numPr>
          <w:ilvl w:val="0"/>
          <w:numId w:val="1"/>
        </w:numPr>
        <w:spacing w:beforeAutospacing="0" w:afterAutospacing="0"/>
        <w:ind w:left="0" w:firstLine="0"/>
        <w:jc w:val="both"/>
        <w:rPr>
          <w:rFonts w:cs="Calibri"/>
          <w:bCs/>
          <w:color w:val="EE0000"/>
        </w:rPr>
      </w:pPr>
      <w:r>
        <w:rPr>
          <w:rFonts w:cs="Calibri"/>
        </w:rPr>
        <w:t xml:space="preserve">Prausnitz, M. R., Langer, R. Transdermal drug delivery. </w:t>
      </w:r>
      <w:r>
        <w:rPr>
          <w:rStyle w:val="19"/>
          <w:rFonts w:cs="Calibri"/>
        </w:rPr>
        <w:t>Nat Biotechnol</w:t>
      </w:r>
      <w:r>
        <w:rPr>
          <w:rFonts w:cs="Calibri"/>
        </w:rPr>
        <w:t xml:space="preserve">. </w:t>
      </w:r>
      <w:r>
        <w:rPr>
          <w:rStyle w:val="17"/>
          <w:rFonts w:cs="Calibri"/>
        </w:rPr>
        <w:t xml:space="preserve">26 </w:t>
      </w:r>
      <w:r>
        <w:rPr>
          <w:rFonts w:cs="Calibri"/>
        </w:rPr>
        <w:t>(11), 1261–1268 (2008).</w:t>
      </w:r>
    </w:p>
    <w:sectPr>
      <w:headerReference r:id="rId5" w:type="first"/>
      <w:footerReference r:id="rId8" w:type="first"/>
      <w:headerReference r:id="rId3" w:type="default"/>
      <w:footerReference r:id="rId6" w:type="default"/>
      <w:headerReference r:id="rId4" w:type="even"/>
      <w:footerReference r:id="rId7" w:type="even"/>
      <w:pgSz w:w="12240" w:h="15840"/>
      <w:pgMar w:top="1440" w:right="1440" w:bottom="1440" w:left="1440" w:header="720" w:footer="605" w:gutter="0"/>
      <w:lnNumType w:countBy="1" w:restart="continuous"/>
      <w:pgNumType w:start="1"/>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Georgia">
    <w:panose1 w:val="02040502050405020303"/>
    <w:charset w:val="00"/>
    <w:family w:val="roman"/>
    <w:pitch w:val="default"/>
    <w:sig w:usb0="00000287" w:usb1="00000000" w:usb2="00000000" w:usb3="00000000" w:csb0="2000009F" w:csb1="00000000"/>
  </w:font>
  <w:font w:name="Palatino Linotype">
    <w:panose1 w:val="02040502050505030304"/>
    <w:charset w:val="00"/>
    <w:family w:val="roman"/>
    <w:pitch w:val="default"/>
    <w:sig w:usb0="E0000287" w:usb1="40000013" w:usb2="00000000" w:usb3="00000000" w:csb0="2000019F" w:csb1="00000000"/>
  </w:font>
  <w:font w:name="Malgun Gothic">
    <w:panose1 w:val="020B0503020000020004"/>
    <w:charset w:val="81"/>
    <w:family w:val="swiss"/>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2A777">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817FE">
    <w:pPr>
      <w:tabs>
        <w:tab w:val="center" w:pos="4680"/>
        <w:tab w:val="right" w:pos="9360"/>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7628A">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1F128">
    <w:pPr>
      <w:tabs>
        <w:tab w:val="center" w:pos="4680"/>
        <w:tab w:val="left" w:pos="5724"/>
        <w:tab w:val="right" w:pos="9360"/>
      </w:tabs>
      <w:rPr>
        <w:b/>
        <w:color w:val="1F497D"/>
        <w:sz w:val="28"/>
        <w:szCs w:val="28"/>
      </w:rPr>
    </w:pPr>
    <w:r>
      <w:rPr>
        <w:color w:val="000000"/>
        <w:sz w:val="22"/>
        <w:szCs w:val="22"/>
      </w:rPr>
      <w:tab/>
    </w:r>
    <w:r>
      <w:rPr>
        <w:color w:val="000000"/>
        <w:sz w:val="22"/>
        <w:szCs w:val="2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03D4C">
    <w:pPr>
      <w:tabs>
        <w:tab w:val="center" w:pos="4680"/>
        <w:tab w:val="right" w:pos="9360"/>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8F356">
    <w:pPr>
      <w:tabs>
        <w:tab w:val="center" w:pos="4680"/>
        <w:tab w:val="right" w:pos="9360"/>
      </w:tabs>
      <w:jc w:val="right"/>
      <w:rPr>
        <w:b/>
        <w:color w:val="1F497D"/>
        <w:sz w:val="32"/>
        <w:szCs w:val="32"/>
      </w:rPr>
    </w:pPr>
    <w:r>
      <w:rPr>
        <w:b/>
        <w:color w:val="1F497D"/>
        <w:sz w:val="32"/>
        <w:szCs w:val="32"/>
      </w:rPr>
      <w:br w:type="textWrapp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F912DB"/>
    <w:multiLevelType w:val="multilevel"/>
    <w:tmpl w:val="5FF912DB"/>
    <w:lvl w:ilvl="0" w:tentative="0">
      <w:start w:val="1"/>
      <w:numFmt w:val="decimal"/>
      <w:lvlText w:val="%1."/>
      <w:lvlJc w:val="left"/>
      <w:pPr>
        <w:ind w:left="720" w:hanging="360"/>
      </w:pPr>
      <w:rPr>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hideSpellingErrors/>
  <w:hideGrammaticalErrors/>
  <w:documentProtection w:enforcement="0"/>
  <w:defaultTabStop w:val="72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c0MrcwNjQxtzA1tTBU0lEKTi0uzszPAykwNK4FAIFA4bYtAAAA"/>
    <w:docVar w:name="EN.InstantFormat" w:val="&lt;ENInstantFormat&gt;&lt;Enabled&gt;1&lt;/Enabled&gt;&lt;ScanUnformatted&gt;1&lt;/ScanUnformatted&gt;&lt;ScanChanges&gt;1&lt;/ScanChanges&gt;&lt;Suspended&gt;0&lt;/Suspended&gt;&lt;/ENInstantFormat&gt;"/>
    <w:docVar w:name="EN.Layout" w:val="&lt;ENLayout&gt;&lt;Style&gt;JoVE_New_2023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xweffvp3090pcepzeb5dww09dtz0vvzzt9w&quot;&gt;My EndNote Library&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record-ids&gt;&lt;/item&gt;&lt;/Libraries&gt;"/>
  </w:docVars>
  <w:rsids>
    <w:rsidRoot w:val="006E4797"/>
    <w:rsid w:val="0000515B"/>
    <w:rsid w:val="00011457"/>
    <w:rsid w:val="00013652"/>
    <w:rsid w:val="00017C31"/>
    <w:rsid w:val="00034DD1"/>
    <w:rsid w:val="0004355D"/>
    <w:rsid w:val="00055BA0"/>
    <w:rsid w:val="00057B67"/>
    <w:rsid w:val="00061E0E"/>
    <w:rsid w:val="0007506F"/>
    <w:rsid w:val="00076815"/>
    <w:rsid w:val="00081F44"/>
    <w:rsid w:val="00082A5F"/>
    <w:rsid w:val="000A4A69"/>
    <w:rsid w:val="000B0210"/>
    <w:rsid w:val="000B41B6"/>
    <w:rsid w:val="000E2ABF"/>
    <w:rsid w:val="000E3F21"/>
    <w:rsid w:val="000E4C51"/>
    <w:rsid w:val="00113A0C"/>
    <w:rsid w:val="00114992"/>
    <w:rsid w:val="001151DF"/>
    <w:rsid w:val="00147CBA"/>
    <w:rsid w:val="0015327B"/>
    <w:rsid w:val="001624E4"/>
    <w:rsid w:val="001674F9"/>
    <w:rsid w:val="00181A81"/>
    <w:rsid w:val="0018412F"/>
    <w:rsid w:val="00194C04"/>
    <w:rsid w:val="00194CE8"/>
    <w:rsid w:val="001959A2"/>
    <w:rsid w:val="001A1CA1"/>
    <w:rsid w:val="001A3D0F"/>
    <w:rsid w:val="001B3400"/>
    <w:rsid w:val="001B610D"/>
    <w:rsid w:val="001D1578"/>
    <w:rsid w:val="001F3109"/>
    <w:rsid w:val="00210DD6"/>
    <w:rsid w:val="00214319"/>
    <w:rsid w:val="00216774"/>
    <w:rsid w:val="0023296D"/>
    <w:rsid w:val="00232DDC"/>
    <w:rsid w:val="00246AAA"/>
    <w:rsid w:val="00252077"/>
    <w:rsid w:val="00264659"/>
    <w:rsid w:val="00270FDF"/>
    <w:rsid w:val="00273EDD"/>
    <w:rsid w:val="00277BC9"/>
    <w:rsid w:val="002B25F0"/>
    <w:rsid w:val="002C2E45"/>
    <w:rsid w:val="002E63A7"/>
    <w:rsid w:val="002F0CAA"/>
    <w:rsid w:val="00315702"/>
    <w:rsid w:val="0031658E"/>
    <w:rsid w:val="00327B0F"/>
    <w:rsid w:val="00345A90"/>
    <w:rsid w:val="00351087"/>
    <w:rsid w:val="003548DA"/>
    <w:rsid w:val="00356228"/>
    <w:rsid w:val="00356880"/>
    <w:rsid w:val="00384E2F"/>
    <w:rsid w:val="00387CDA"/>
    <w:rsid w:val="003A09C3"/>
    <w:rsid w:val="003A5297"/>
    <w:rsid w:val="003D67E2"/>
    <w:rsid w:val="003D6825"/>
    <w:rsid w:val="0040208F"/>
    <w:rsid w:val="0040579A"/>
    <w:rsid w:val="00414ADE"/>
    <w:rsid w:val="00423846"/>
    <w:rsid w:val="00426A75"/>
    <w:rsid w:val="004361C8"/>
    <w:rsid w:val="00436F4D"/>
    <w:rsid w:val="00437459"/>
    <w:rsid w:val="00441D0F"/>
    <w:rsid w:val="00453C10"/>
    <w:rsid w:val="004620C9"/>
    <w:rsid w:val="004939EE"/>
    <w:rsid w:val="004969D3"/>
    <w:rsid w:val="004B3FD0"/>
    <w:rsid w:val="004C0985"/>
    <w:rsid w:val="004C17C9"/>
    <w:rsid w:val="004C537C"/>
    <w:rsid w:val="004C67DB"/>
    <w:rsid w:val="004D2D0B"/>
    <w:rsid w:val="004D362E"/>
    <w:rsid w:val="004E1729"/>
    <w:rsid w:val="004F2F60"/>
    <w:rsid w:val="004F6AD9"/>
    <w:rsid w:val="0050652F"/>
    <w:rsid w:val="00513CCF"/>
    <w:rsid w:val="00516914"/>
    <w:rsid w:val="00531FBC"/>
    <w:rsid w:val="005367A4"/>
    <w:rsid w:val="00551D82"/>
    <w:rsid w:val="0055344F"/>
    <w:rsid w:val="005642D4"/>
    <w:rsid w:val="005734D7"/>
    <w:rsid w:val="00575E55"/>
    <w:rsid w:val="00585BF5"/>
    <w:rsid w:val="005A637B"/>
    <w:rsid w:val="005E1EE7"/>
    <w:rsid w:val="005E4070"/>
    <w:rsid w:val="00604100"/>
    <w:rsid w:val="006055CE"/>
    <w:rsid w:val="00610EB7"/>
    <w:rsid w:val="00615035"/>
    <w:rsid w:val="00620842"/>
    <w:rsid w:val="00622578"/>
    <w:rsid w:val="006231CD"/>
    <w:rsid w:val="006239A1"/>
    <w:rsid w:val="00630E7A"/>
    <w:rsid w:val="006329F4"/>
    <w:rsid w:val="00634672"/>
    <w:rsid w:val="00647209"/>
    <w:rsid w:val="00663CFB"/>
    <w:rsid w:val="00664F3A"/>
    <w:rsid w:val="0067437B"/>
    <w:rsid w:val="006755EE"/>
    <w:rsid w:val="006824BF"/>
    <w:rsid w:val="006A6821"/>
    <w:rsid w:val="006E4797"/>
    <w:rsid w:val="006E7C64"/>
    <w:rsid w:val="00702ADE"/>
    <w:rsid w:val="0070444F"/>
    <w:rsid w:val="00714BE0"/>
    <w:rsid w:val="00735601"/>
    <w:rsid w:val="00736371"/>
    <w:rsid w:val="00741F93"/>
    <w:rsid w:val="00751D3D"/>
    <w:rsid w:val="00773874"/>
    <w:rsid w:val="007A1056"/>
    <w:rsid w:val="007A2D3A"/>
    <w:rsid w:val="007A4BBA"/>
    <w:rsid w:val="007B488F"/>
    <w:rsid w:val="007B6C02"/>
    <w:rsid w:val="007B72A4"/>
    <w:rsid w:val="007D379C"/>
    <w:rsid w:val="007D6BE0"/>
    <w:rsid w:val="007E1F43"/>
    <w:rsid w:val="007E4B90"/>
    <w:rsid w:val="007F13E9"/>
    <w:rsid w:val="007F2030"/>
    <w:rsid w:val="007F5EB0"/>
    <w:rsid w:val="00807759"/>
    <w:rsid w:val="00833B96"/>
    <w:rsid w:val="008425A4"/>
    <w:rsid w:val="008461C6"/>
    <w:rsid w:val="0085421A"/>
    <w:rsid w:val="0085548D"/>
    <w:rsid w:val="00863D8F"/>
    <w:rsid w:val="00872F7F"/>
    <w:rsid w:val="00873A80"/>
    <w:rsid w:val="00885E83"/>
    <w:rsid w:val="008A4859"/>
    <w:rsid w:val="008A7A39"/>
    <w:rsid w:val="008B2D50"/>
    <w:rsid w:val="008B35D2"/>
    <w:rsid w:val="008B64A3"/>
    <w:rsid w:val="008D293E"/>
    <w:rsid w:val="008E19AC"/>
    <w:rsid w:val="008E1A1E"/>
    <w:rsid w:val="008F2564"/>
    <w:rsid w:val="00901C81"/>
    <w:rsid w:val="00911EF7"/>
    <w:rsid w:val="00925770"/>
    <w:rsid w:val="00936E08"/>
    <w:rsid w:val="009409EA"/>
    <w:rsid w:val="00994E4E"/>
    <w:rsid w:val="00994F50"/>
    <w:rsid w:val="0099605E"/>
    <w:rsid w:val="009B204A"/>
    <w:rsid w:val="009B49B8"/>
    <w:rsid w:val="009F4F18"/>
    <w:rsid w:val="00A1684A"/>
    <w:rsid w:val="00A35853"/>
    <w:rsid w:val="00A61636"/>
    <w:rsid w:val="00A624BE"/>
    <w:rsid w:val="00A841FA"/>
    <w:rsid w:val="00AB4038"/>
    <w:rsid w:val="00AC2172"/>
    <w:rsid w:val="00AD2400"/>
    <w:rsid w:val="00AD4F7E"/>
    <w:rsid w:val="00B023E5"/>
    <w:rsid w:val="00B0695E"/>
    <w:rsid w:val="00B127CA"/>
    <w:rsid w:val="00B244DA"/>
    <w:rsid w:val="00B34CFE"/>
    <w:rsid w:val="00B66177"/>
    <w:rsid w:val="00B81064"/>
    <w:rsid w:val="00B87681"/>
    <w:rsid w:val="00BA439A"/>
    <w:rsid w:val="00BD2C59"/>
    <w:rsid w:val="00BD3767"/>
    <w:rsid w:val="00BE22A2"/>
    <w:rsid w:val="00BE2769"/>
    <w:rsid w:val="00C11D93"/>
    <w:rsid w:val="00C27C71"/>
    <w:rsid w:val="00C366E0"/>
    <w:rsid w:val="00C550F3"/>
    <w:rsid w:val="00C652D8"/>
    <w:rsid w:val="00C84B98"/>
    <w:rsid w:val="00C875D1"/>
    <w:rsid w:val="00C92E0F"/>
    <w:rsid w:val="00CB1713"/>
    <w:rsid w:val="00CB1783"/>
    <w:rsid w:val="00CC7B0F"/>
    <w:rsid w:val="00D021AE"/>
    <w:rsid w:val="00D07A90"/>
    <w:rsid w:val="00D1565E"/>
    <w:rsid w:val="00D2510B"/>
    <w:rsid w:val="00D57F1F"/>
    <w:rsid w:val="00D661BB"/>
    <w:rsid w:val="00D86D57"/>
    <w:rsid w:val="00D91E12"/>
    <w:rsid w:val="00D959E7"/>
    <w:rsid w:val="00DA154A"/>
    <w:rsid w:val="00DA3C5C"/>
    <w:rsid w:val="00DB1F6C"/>
    <w:rsid w:val="00DC0E61"/>
    <w:rsid w:val="00DC18A7"/>
    <w:rsid w:val="00DD0D2A"/>
    <w:rsid w:val="00DD1A31"/>
    <w:rsid w:val="00DE47A9"/>
    <w:rsid w:val="00E03054"/>
    <w:rsid w:val="00E159BE"/>
    <w:rsid w:val="00E159D2"/>
    <w:rsid w:val="00E32E0E"/>
    <w:rsid w:val="00E401D5"/>
    <w:rsid w:val="00E527FE"/>
    <w:rsid w:val="00E643B6"/>
    <w:rsid w:val="00EB1E68"/>
    <w:rsid w:val="00EB4B0C"/>
    <w:rsid w:val="00EB5BBB"/>
    <w:rsid w:val="00EC0649"/>
    <w:rsid w:val="00EC57F0"/>
    <w:rsid w:val="00EE1B2A"/>
    <w:rsid w:val="00F06B82"/>
    <w:rsid w:val="00F15FFD"/>
    <w:rsid w:val="00F22FB1"/>
    <w:rsid w:val="00F36869"/>
    <w:rsid w:val="00F37F65"/>
    <w:rsid w:val="00F41DE1"/>
    <w:rsid w:val="00F511BF"/>
    <w:rsid w:val="00F5295B"/>
    <w:rsid w:val="00F64CD8"/>
    <w:rsid w:val="00F72213"/>
    <w:rsid w:val="00FA3B53"/>
    <w:rsid w:val="00FA6C9C"/>
    <w:rsid w:val="00FC2690"/>
    <w:rsid w:val="00FC7204"/>
    <w:rsid w:val="00FF44B5"/>
    <w:rsid w:val="00FF4595"/>
    <w:rsid w:val="120E6DAD"/>
    <w:rsid w:val="137B6A8B"/>
    <w:rsid w:val="14584B38"/>
    <w:rsid w:val="171B2DF6"/>
    <w:rsid w:val="1E4D083A"/>
    <w:rsid w:val="27C77AF6"/>
    <w:rsid w:val="2C517851"/>
    <w:rsid w:val="40252900"/>
    <w:rsid w:val="4B29305C"/>
    <w:rsid w:val="4D2228BD"/>
    <w:rsid w:val="5F61051B"/>
    <w:rsid w:val="72365D1A"/>
    <w:rsid w:val="7A8827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Calibri" w:cs="Calibri"/>
      <w:sz w:val="24"/>
      <w:szCs w:val="24"/>
      <w:lang w:val="en-US" w:eastAsia="en-US" w:bidi="ar-SA"/>
    </w:rPr>
  </w:style>
  <w:style w:type="paragraph" w:styleId="2">
    <w:name w:val="heading 1"/>
    <w:basedOn w:val="1"/>
    <w:next w:val="1"/>
    <w:qFormat/>
    <w:uiPriority w:val="9"/>
    <w:pPr>
      <w:keepNext/>
      <w:spacing w:before="240" w:after="60"/>
      <w:outlineLvl w:val="0"/>
    </w:pPr>
    <w:rPr>
      <w:b/>
      <w:sz w:val="28"/>
      <w:szCs w:val="28"/>
    </w:rPr>
  </w:style>
  <w:style w:type="paragraph" w:styleId="3">
    <w:name w:val="heading 2"/>
    <w:basedOn w:val="1"/>
    <w:next w:val="1"/>
    <w:semiHidden/>
    <w:unhideWhenUsed/>
    <w:qFormat/>
    <w:uiPriority w:val="9"/>
    <w:pPr>
      <w:keepNext/>
      <w:outlineLvl w:val="1"/>
    </w:pPr>
    <w:rPr>
      <w:b/>
    </w:rPr>
  </w:style>
  <w:style w:type="paragraph" w:styleId="4">
    <w:name w:val="heading 3"/>
    <w:basedOn w:val="1"/>
    <w:next w:val="1"/>
    <w:semiHidden/>
    <w:unhideWhenUsed/>
    <w:qFormat/>
    <w:uiPriority w:val="9"/>
    <w:pPr>
      <w:keepNext/>
      <w:keepLines/>
      <w:spacing w:before="200"/>
      <w:outlineLvl w:val="2"/>
    </w:pPr>
    <w:rPr>
      <w:rFonts w:ascii="Cambria" w:hAnsi="Cambria" w:eastAsia="Cambria" w:cs="Cambria"/>
      <w:b/>
      <w:color w:val="4F81BD"/>
    </w:rPr>
  </w:style>
  <w:style w:type="paragraph" w:styleId="5">
    <w:name w:val="heading 4"/>
    <w:basedOn w:val="1"/>
    <w:next w:val="1"/>
    <w:semiHidden/>
    <w:unhideWhenUsed/>
    <w:qFormat/>
    <w:uiPriority w:val="9"/>
    <w:pPr>
      <w:keepNext/>
      <w:keepLines/>
      <w:spacing w:before="240" w:after="40"/>
      <w:outlineLvl w:val="3"/>
    </w:pPr>
    <w:rPr>
      <w:b/>
    </w:rPr>
  </w:style>
  <w:style w:type="paragraph" w:styleId="6">
    <w:name w:val="heading 5"/>
    <w:basedOn w:val="1"/>
    <w:next w:val="1"/>
    <w:semiHidden/>
    <w:unhideWhenUsed/>
    <w:qFormat/>
    <w:uiPriority w:val="9"/>
    <w:pPr>
      <w:keepNext/>
      <w:keepLines/>
      <w:spacing w:before="220" w:after="40"/>
      <w:outlineLvl w:val="4"/>
    </w:pPr>
    <w:rPr>
      <w:b/>
      <w:sz w:val="22"/>
      <w:szCs w:val="22"/>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link w:val="27"/>
    <w:unhideWhenUsed/>
    <w:qFormat/>
    <w:uiPriority w:val="99"/>
    <w:rPr>
      <w:sz w:val="20"/>
      <w:szCs w:val="20"/>
    </w:rPr>
  </w:style>
  <w:style w:type="paragraph" w:styleId="9">
    <w:name w:val="Balloon Text"/>
    <w:basedOn w:val="1"/>
    <w:link w:val="32"/>
    <w:semiHidden/>
    <w:unhideWhenUsed/>
    <w:qFormat/>
    <w:uiPriority w:val="99"/>
    <w:rPr>
      <w:rFonts w:ascii="Segoe UI" w:hAnsi="Segoe UI" w:cs="Segoe UI"/>
      <w:sz w:val="18"/>
      <w:szCs w:val="18"/>
    </w:rPr>
  </w:style>
  <w:style w:type="paragraph" w:styleId="10">
    <w:name w:val="footer"/>
    <w:basedOn w:val="1"/>
    <w:link w:val="24"/>
    <w:unhideWhenUsed/>
    <w:qFormat/>
    <w:uiPriority w:val="99"/>
    <w:pPr>
      <w:tabs>
        <w:tab w:val="center" w:pos="4680"/>
        <w:tab w:val="right" w:pos="9360"/>
      </w:tabs>
    </w:pPr>
  </w:style>
  <w:style w:type="paragraph" w:styleId="11">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2">
    <w:name w:val="Normal (Web)"/>
    <w:basedOn w:val="1"/>
    <w:unhideWhenUsed/>
    <w:qFormat/>
    <w:uiPriority w:val="99"/>
    <w:pPr>
      <w:spacing w:beforeAutospacing="1" w:afterAutospacing="1"/>
      <w:jc w:val="left"/>
    </w:pPr>
    <w:rPr>
      <w:rFonts w:cs="Times New Roman"/>
      <w:lang w:eastAsia="zh-CN"/>
    </w:rPr>
  </w:style>
  <w:style w:type="paragraph" w:styleId="13">
    <w:name w:val="Title"/>
    <w:basedOn w:val="1"/>
    <w:next w:val="1"/>
    <w:qFormat/>
    <w:uiPriority w:val="10"/>
    <w:pPr>
      <w:keepNext/>
      <w:keepLines/>
      <w:spacing w:before="480" w:after="120"/>
    </w:pPr>
    <w:rPr>
      <w:b/>
      <w:sz w:val="72"/>
      <w:szCs w:val="72"/>
    </w:rPr>
  </w:style>
  <w:style w:type="paragraph" w:styleId="14">
    <w:name w:val="annotation subject"/>
    <w:basedOn w:val="8"/>
    <w:next w:val="8"/>
    <w:link w:val="28"/>
    <w:semiHidden/>
    <w:unhideWhenUsed/>
    <w:qFormat/>
    <w:uiPriority w:val="99"/>
    <w:rPr>
      <w:b/>
      <w:bCs/>
    </w:rPr>
  </w:style>
  <w:style w:type="character" w:styleId="17">
    <w:name w:val="Strong"/>
    <w:basedOn w:val="16"/>
    <w:qFormat/>
    <w:uiPriority w:val="22"/>
    <w:rPr>
      <w:b/>
    </w:rPr>
  </w:style>
  <w:style w:type="character" w:styleId="18">
    <w:name w:val="FollowedHyperlink"/>
    <w:basedOn w:val="16"/>
    <w:semiHidden/>
    <w:unhideWhenUsed/>
    <w:qFormat/>
    <w:uiPriority w:val="99"/>
    <w:rPr>
      <w:color w:val="800080" w:themeColor="followedHyperlink"/>
      <w:u w:val="single"/>
      <w14:textFill>
        <w14:solidFill>
          <w14:schemeClr w14:val="folHlink"/>
        </w14:solidFill>
      </w14:textFill>
    </w:rPr>
  </w:style>
  <w:style w:type="character" w:styleId="19">
    <w:name w:val="Emphasis"/>
    <w:basedOn w:val="16"/>
    <w:qFormat/>
    <w:uiPriority w:val="20"/>
    <w:rPr>
      <w:i/>
    </w:rPr>
  </w:style>
  <w:style w:type="character" w:styleId="20">
    <w:name w:val="line number"/>
    <w:basedOn w:val="16"/>
    <w:semiHidden/>
    <w:unhideWhenUsed/>
    <w:qFormat/>
    <w:uiPriority w:val="99"/>
  </w:style>
  <w:style w:type="character" w:styleId="21">
    <w:name w:val="Hyperlink"/>
    <w:basedOn w:val="16"/>
    <w:unhideWhenUsed/>
    <w:qFormat/>
    <w:uiPriority w:val="99"/>
    <w:rPr>
      <w:color w:val="0000FF" w:themeColor="hyperlink"/>
      <w:u w:val="single"/>
      <w14:textFill>
        <w14:solidFill>
          <w14:schemeClr w14:val="hlink"/>
        </w14:solidFill>
      </w14:textFill>
    </w:rPr>
  </w:style>
  <w:style w:type="character" w:styleId="22">
    <w:name w:val="annotation reference"/>
    <w:basedOn w:val="16"/>
    <w:semiHidden/>
    <w:unhideWhenUsed/>
    <w:qFormat/>
    <w:uiPriority w:val="99"/>
    <w:rPr>
      <w:sz w:val="16"/>
      <w:szCs w:val="16"/>
    </w:rPr>
  </w:style>
  <w:style w:type="character" w:customStyle="1" w:styleId="23">
    <w:name w:val="Unresolved Mention1"/>
    <w:basedOn w:val="16"/>
    <w:semiHidden/>
    <w:unhideWhenUsed/>
    <w:qFormat/>
    <w:uiPriority w:val="99"/>
    <w:rPr>
      <w:color w:val="605E5C"/>
      <w:shd w:val="clear" w:color="auto" w:fill="E1DFDD"/>
    </w:rPr>
  </w:style>
  <w:style w:type="character" w:customStyle="1" w:styleId="24">
    <w:name w:val="Footer Char"/>
    <w:basedOn w:val="16"/>
    <w:link w:val="10"/>
    <w:qFormat/>
    <w:uiPriority w:val="99"/>
  </w:style>
  <w:style w:type="paragraph" w:customStyle="1" w:styleId="25">
    <w:name w:val="Revision1"/>
    <w:hidden/>
    <w:semiHidden/>
    <w:qFormat/>
    <w:uiPriority w:val="99"/>
    <w:rPr>
      <w:rFonts w:ascii="Calibri" w:hAnsi="Calibri" w:eastAsia="Calibri" w:cs="Calibri"/>
      <w:sz w:val="24"/>
      <w:szCs w:val="24"/>
      <w:lang w:val="en-US" w:eastAsia="en-US" w:bidi="ar-SA"/>
    </w:rPr>
  </w:style>
  <w:style w:type="paragraph" w:styleId="26">
    <w:name w:val="List Paragraph"/>
    <w:basedOn w:val="1"/>
    <w:link w:val="31"/>
    <w:qFormat/>
    <w:uiPriority w:val="34"/>
    <w:pPr>
      <w:widowControl/>
      <w:spacing w:after="200" w:line="276" w:lineRule="auto"/>
      <w:ind w:left="720"/>
      <w:contextualSpacing/>
      <w:jc w:val="left"/>
    </w:pPr>
    <w:rPr>
      <w:rFonts w:asciiTheme="minorHAnsi" w:hAnsiTheme="minorHAnsi" w:eastAsiaTheme="minorHAnsi" w:cstheme="minorBidi"/>
      <w:sz w:val="22"/>
      <w:szCs w:val="22"/>
    </w:rPr>
  </w:style>
  <w:style w:type="character" w:customStyle="1" w:styleId="27">
    <w:name w:val="Comment Text Char"/>
    <w:basedOn w:val="16"/>
    <w:link w:val="8"/>
    <w:qFormat/>
    <w:uiPriority w:val="99"/>
    <w:rPr>
      <w:sz w:val="20"/>
      <w:szCs w:val="20"/>
    </w:rPr>
  </w:style>
  <w:style w:type="character" w:customStyle="1" w:styleId="28">
    <w:name w:val="Comment Subject Char"/>
    <w:basedOn w:val="27"/>
    <w:link w:val="14"/>
    <w:semiHidden/>
    <w:qFormat/>
    <w:uiPriority w:val="99"/>
    <w:rPr>
      <w:b/>
      <w:bCs/>
      <w:sz w:val="20"/>
      <w:szCs w:val="20"/>
    </w:rPr>
  </w:style>
  <w:style w:type="character" w:customStyle="1" w:styleId="29">
    <w:name w:val="cf01"/>
    <w:basedOn w:val="16"/>
    <w:qFormat/>
    <w:uiPriority w:val="0"/>
    <w:rPr>
      <w:rFonts w:hint="default" w:ascii="Segoe UI" w:hAnsi="Segoe UI" w:cs="Segoe UI"/>
      <w:sz w:val="18"/>
      <w:szCs w:val="18"/>
    </w:rPr>
  </w:style>
  <w:style w:type="paragraph" w:customStyle="1" w:styleId="30">
    <w:name w:val="MDPI_6.2_back_matter"/>
    <w:qFormat/>
    <w:uiPriority w:val="0"/>
    <w:pPr>
      <w:adjustRightInd w:val="0"/>
      <w:snapToGrid w:val="0"/>
      <w:spacing w:after="120" w:line="280" w:lineRule="atLeast"/>
      <w:ind w:left="2608"/>
      <w:jc w:val="both"/>
    </w:pPr>
    <w:rPr>
      <w:rFonts w:ascii="Palatino Linotype" w:hAnsi="Palatino Linotype" w:eastAsia="Times New Roman" w:cs="Times New Roman"/>
      <w:snapToGrid w:val="0"/>
      <w:color w:val="000000"/>
      <w:sz w:val="18"/>
      <w:lang w:val="en-US" w:eastAsia="en-US" w:bidi="en-US"/>
    </w:rPr>
  </w:style>
  <w:style w:type="character" w:customStyle="1" w:styleId="31">
    <w:name w:val="List Paragraph Char"/>
    <w:basedOn w:val="16"/>
    <w:link w:val="26"/>
    <w:qFormat/>
    <w:uiPriority w:val="34"/>
    <w:rPr>
      <w:rFonts w:asciiTheme="minorHAnsi" w:hAnsiTheme="minorHAnsi" w:eastAsiaTheme="minorHAnsi" w:cstheme="minorBidi"/>
      <w:sz w:val="22"/>
      <w:szCs w:val="22"/>
      <w:lang w:val="en-US" w:eastAsia="en-US"/>
    </w:rPr>
  </w:style>
  <w:style w:type="character" w:customStyle="1" w:styleId="32">
    <w:name w:val="Balloon Text Char"/>
    <w:basedOn w:val="16"/>
    <w:link w:val="9"/>
    <w:semiHidden/>
    <w:qFormat/>
    <w:uiPriority w:val="99"/>
    <w:rPr>
      <w:rFonts w:ascii="Segoe UI" w:hAnsi="Segoe UI" w:eastAsia="Calibri" w:cs="Segoe UI"/>
      <w:sz w:val="18"/>
      <w:szCs w:val="18"/>
      <w:lang w:val="en-US" w:eastAsia="en-US"/>
    </w:rPr>
  </w:style>
  <w:style w:type="paragraph" w:customStyle="1" w:styleId="33">
    <w:name w:val="EndNote Bibliography Title"/>
    <w:basedOn w:val="1"/>
    <w:link w:val="34"/>
    <w:qFormat/>
    <w:uiPriority w:val="0"/>
    <w:pPr>
      <w:jc w:val="center"/>
    </w:pPr>
  </w:style>
  <w:style w:type="character" w:customStyle="1" w:styleId="34">
    <w:name w:val="EndNote Bibliography Title Char"/>
    <w:basedOn w:val="16"/>
    <w:link w:val="33"/>
    <w:qFormat/>
    <w:uiPriority w:val="0"/>
    <w:rPr>
      <w:rFonts w:ascii="Calibri" w:hAnsi="Calibri" w:eastAsia="Calibri" w:cs="Calibri"/>
      <w:sz w:val="24"/>
      <w:szCs w:val="24"/>
      <w:lang w:eastAsia="en-US"/>
    </w:rPr>
  </w:style>
  <w:style w:type="paragraph" w:customStyle="1" w:styleId="35">
    <w:name w:val="EndNote Bibliography"/>
    <w:basedOn w:val="1"/>
    <w:link w:val="36"/>
    <w:qFormat/>
    <w:uiPriority w:val="0"/>
  </w:style>
  <w:style w:type="character" w:customStyle="1" w:styleId="36">
    <w:name w:val="EndNote Bibliography Char"/>
    <w:basedOn w:val="16"/>
    <w:link w:val="35"/>
    <w:qFormat/>
    <w:uiPriority w:val="0"/>
    <w:rPr>
      <w:rFonts w:ascii="Calibri" w:hAnsi="Calibri" w:eastAsia="Calibri" w:cs="Calibri"/>
      <w:sz w:val="24"/>
      <w:szCs w:val="24"/>
      <w:lang w:eastAsia="en-US"/>
    </w:rPr>
  </w:style>
  <w:style w:type="character" w:customStyle="1" w:styleId="37">
    <w:name w:val="Unresolved Mention"/>
    <w:basedOn w:val="16"/>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11</Pages>
  <Words>3985</Words>
  <Characters>24980</Characters>
  <Lines>433</Lines>
  <Paragraphs>111</Paragraphs>
  <TotalTime>6</TotalTime>
  <ScaleCrop>false</ScaleCrop>
  <LinksUpToDate>false</LinksUpToDate>
  <CharactersWithSpaces>28856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2025-11-30T04:40:00Z</dcterms:created>
  <dcterms:modified xsi:type="dcterms:W3CDTF">2025-12-03T11:18:10Z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y fmtid="{D5CDD505-2E9C-101B-9397-08002B2CF9AE}" pid="3" name="KSOTemplateDocerSaveRecord">
    <vt:lpwstr>eyJoZGlkIjoiZjEyODA4YzZlM2Y1N2MyMzRhNDEzZTAwNjFkNmFmNjkiLCJ1c2VySWQiOiI1NzgwMzM5MzAifQ==</vt:lpwstr>
  </property>
  <property fmtid="{D5CDD505-2E9C-101B-9397-08002B2CF9AE}" pid="4" name="KSOProductBuildVer">
    <vt:lpwstr>2052-12.1.0.23542</vt:lpwstr>
  </property>
  <property fmtid="{D5CDD505-2E9C-101B-9397-08002B2CF9AE}" pid="5" name="ICV">
    <vt:lpwstr>CB49BAF55AE54FC78952BCD9FA889BA9_13</vt:lpwstr>
  </property>
</Properties>
</file>