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0A6F5F" w:rsidRDefault="00000000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0A6F5F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0A6F5F" w:rsidRDefault="00C74D7E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6ED76A8" w14:textId="3F7A131E" w:rsidR="00C414B9" w:rsidRPr="000A6F5F" w:rsidRDefault="00000000" w:rsidP="000A6F5F">
      <w:pPr>
        <w:spacing w:before="120" w:after="0" w:line="240" w:lineRule="auto"/>
        <w:rPr>
          <w:rFonts w:ascii="Calibri" w:eastAsia="Times New Roman" w:hAnsi="Calibri" w:cs="Calibri"/>
          <w:bCs/>
          <w:sz w:val="24"/>
          <w:szCs w:val="24"/>
        </w:rPr>
      </w:pPr>
      <w:r w:rsidRPr="000A6F5F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C414B9"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https://review.jove.com/t/69714?st</w:t>
        </w:r>
        <w:r w:rsidR="00C414B9"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a</w:t>
        </w:r>
        <w:r w:rsidR="00C414B9"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tus=a71720k</w:t>
        </w:r>
      </w:hyperlink>
    </w:p>
    <w:p w14:paraId="6F9E443A" w14:textId="494C3F8A" w:rsidR="00C414B9" w:rsidRPr="000A6F5F" w:rsidRDefault="00C414B9" w:rsidP="000A6F5F">
      <w:pPr>
        <w:spacing w:before="120" w:after="0" w:line="240" w:lineRule="auto"/>
        <w:rPr>
          <w:rFonts w:ascii="Calibri" w:eastAsia="Times New Roman" w:hAnsi="Calibri" w:cs="Calibri"/>
          <w:bCs/>
          <w:sz w:val="24"/>
          <w:szCs w:val="24"/>
        </w:rPr>
      </w:pPr>
      <w:r w:rsidRPr="000A6F5F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6411A0" w:rsidRPr="000A6F5F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</w:t>
        </w:r>
        <w:r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6</w:t>
        </w:r>
        <w:r w:rsidRPr="000A6F5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9714?status=a71720k</w:t>
        </w:r>
      </w:hyperlink>
    </w:p>
    <w:p w14:paraId="0000000B" w14:textId="60D94199" w:rsidR="00C74D7E" w:rsidRPr="000A6F5F" w:rsidRDefault="00C414B9" w:rsidP="000A6F5F">
      <w:pPr>
        <w:spacing w:before="120" w:after="0" w:line="240" w:lineRule="auto"/>
        <w:rPr>
          <w:rFonts w:ascii="Calibri" w:eastAsia="Times New Roman" w:hAnsi="Calibri" w:cs="Calibri"/>
          <w:bCs/>
          <w:sz w:val="24"/>
          <w:szCs w:val="24"/>
        </w:rPr>
      </w:pPr>
      <w:r w:rsidRPr="000A6F5F">
        <w:rPr>
          <w:rFonts w:ascii="Calibri" w:eastAsia="Times New Roman" w:hAnsi="Calibri" w:cs="Calibri"/>
          <w:b/>
          <w:sz w:val="24"/>
          <w:szCs w:val="24"/>
        </w:rPr>
        <w:t xml:space="preserve"> </w:t>
      </w:r>
    </w:p>
    <w:p w14:paraId="0000000C" w14:textId="77777777" w:rsidR="00C74D7E" w:rsidRPr="000A6F5F" w:rsidRDefault="00000000" w:rsidP="000A6F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A6F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46AEEDF5" w:rsidR="00C74D7E" w:rsidRPr="000A6F5F" w:rsidRDefault="000A6F5F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0A6F5F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>
        <w:rPr>
          <w:rFonts w:ascii="Calibri" w:eastAsia="Times New Roman" w:hAnsi="Calibri" w:cs="Calibri"/>
          <w:sz w:val="24"/>
          <w:szCs w:val="24"/>
        </w:rPr>
        <w:t xml:space="preserve">: </w:t>
      </w:r>
      <w:r w:rsidR="007B083B">
        <w:rPr>
          <w:rFonts w:ascii="Calibri" w:eastAsia="Times New Roman" w:hAnsi="Calibri" w:cs="Calibri"/>
          <w:sz w:val="24"/>
          <w:szCs w:val="24"/>
        </w:rPr>
        <w:t>0</w:t>
      </w:r>
      <w:r w:rsidR="007B083B" w:rsidRPr="000A6F5F">
        <w:rPr>
          <w:rFonts w:ascii="Calibri" w:hAnsi="Calibri" w:cs="Calibri"/>
          <w:sz w:val="24"/>
          <w:szCs w:val="24"/>
        </w:rPr>
        <w:t>1:37</w:t>
      </w:r>
      <w:r>
        <w:rPr>
          <w:rFonts w:ascii="Calibri" w:eastAsia="Times New Roman" w:hAnsi="Calibri" w:cs="Calibri"/>
          <w:sz w:val="24"/>
          <w:szCs w:val="24"/>
        </w:rPr>
        <w:t xml:space="preserve"> and </w:t>
      </w:r>
      <w:r w:rsidRPr="000A6F5F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>
        <w:rPr>
          <w:rFonts w:ascii="Calibri" w:eastAsia="Times New Roman" w:hAnsi="Calibri" w:cs="Calibri"/>
          <w:sz w:val="24"/>
          <w:szCs w:val="24"/>
        </w:rPr>
        <w:t xml:space="preserve">: </w:t>
      </w:r>
      <w:r w:rsidR="007B083B">
        <w:rPr>
          <w:rFonts w:ascii="Calibri" w:eastAsia="Times New Roman" w:hAnsi="Calibri" w:cs="Calibri"/>
          <w:sz w:val="24"/>
          <w:szCs w:val="24"/>
        </w:rPr>
        <w:t>1.3.1</w:t>
      </w:r>
    </w:p>
    <w:p w14:paraId="42577336" w14:textId="701202CB" w:rsidR="00323762" w:rsidRDefault="000A6F5F" w:rsidP="000A6F5F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>“Confirm a surgical plan</w:t>
      </w:r>
      <w:r>
        <w:rPr>
          <w:rFonts w:ascii="Calibri" w:hAnsi="Calibri" w:cs="Calibri"/>
          <w:color w:val="000000"/>
          <w:sz w:val="24"/>
          <w:szCs w:val="24"/>
        </w:rPr>
        <w:t>e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 xml:space="preserve"> of anesthesia prior to starting surgery with appropriate monitoring (e.g., toe pinch).” This was not described in the manuscript or performed on the video.</w:t>
      </w:r>
    </w:p>
    <w:p w14:paraId="332CDDBF" w14:textId="280F732F" w:rsidR="000A6F5F" w:rsidRDefault="000A6F5F" w:rsidP="000A6F5F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Edit the text to add the details and mention it as onscreen text in the video.</w:t>
      </w:r>
    </w:p>
    <w:p w14:paraId="0CD9C784" w14:textId="77777777" w:rsidR="000A6F5F" w:rsidRDefault="000A6F5F" w:rsidP="000A6F5F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2B28EE7" w14:textId="79EC1EDA" w:rsidR="000A6F5F" w:rsidRPr="000A6F5F" w:rsidRDefault="000A6F5F" w:rsidP="000A6F5F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0A6F5F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03:36-03:52</w:t>
      </w:r>
    </w:p>
    <w:p w14:paraId="2FEBBD1A" w14:textId="64979B19" w:rsidR="00323762" w:rsidRPr="000A6F5F" w:rsidRDefault="000A6F5F" w:rsidP="000A6F5F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“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 xml:space="preserve">Do not drag suture material over non-sterile surfaces while suturing wounds.” Used </w:t>
      </w:r>
      <w:r w:rsidR="007B083B">
        <w:rPr>
          <w:rFonts w:ascii="Calibri" w:hAnsi="Calibri" w:cs="Calibri"/>
          <w:color w:val="000000"/>
          <w:sz w:val="24"/>
          <w:szCs w:val="24"/>
        </w:rPr>
        <w:t xml:space="preserve">a 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>drape for surgery</w:t>
      </w:r>
      <w:r w:rsidR="007B083B">
        <w:rPr>
          <w:rFonts w:ascii="Calibri" w:hAnsi="Calibri" w:cs="Calibri"/>
          <w:color w:val="000000"/>
          <w:sz w:val="24"/>
          <w:szCs w:val="24"/>
        </w:rPr>
        <w:t>,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 xml:space="preserve"> but </w:t>
      </w:r>
      <w:r w:rsidR="007B083B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 xml:space="preserve">suture material was pulled across </w:t>
      </w:r>
      <w:r w:rsidR="007B083B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323762" w:rsidRPr="000A6F5F">
        <w:rPr>
          <w:rFonts w:ascii="Calibri" w:hAnsi="Calibri" w:cs="Calibri"/>
          <w:color w:val="000000"/>
          <w:sz w:val="24"/>
          <w:szCs w:val="24"/>
        </w:rPr>
        <w:t>skin and fur during abdominal wall and skin closure.</w:t>
      </w:r>
    </w:p>
    <w:p w14:paraId="174EBA8D" w14:textId="15E1059C" w:rsidR="00323762" w:rsidRDefault="007B083B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Remove footage that shows the suture material dragging on the fur.</w:t>
      </w:r>
    </w:p>
    <w:p w14:paraId="6CCCA47C" w14:textId="77777777" w:rsidR="007B083B" w:rsidRPr="000A6F5F" w:rsidRDefault="007B083B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29B696B8" w14:textId="0BA6B7F8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7B083B">
        <w:rPr>
          <w:rFonts w:ascii="Calibri" w:hAnsi="Calibri" w:cs="Calibri"/>
          <w:b/>
          <w:bCs/>
          <w:sz w:val="24"/>
          <w:szCs w:val="24"/>
        </w:rPr>
        <w:t>V</w:t>
      </w:r>
      <w:r w:rsidRPr="000A6F5F">
        <w:rPr>
          <w:rFonts w:ascii="Calibri" w:hAnsi="Calibri" w:cs="Calibri"/>
          <w:b/>
          <w:bCs/>
          <w:sz w:val="24"/>
          <w:szCs w:val="24"/>
        </w:rPr>
        <w:t>ideo</w:t>
      </w:r>
      <w:r w:rsidRPr="000A6F5F">
        <w:rPr>
          <w:rFonts w:ascii="Calibri" w:hAnsi="Calibri" w:cs="Calibri"/>
          <w:sz w:val="24"/>
          <w:szCs w:val="24"/>
        </w:rPr>
        <w:t xml:space="preserve">: </w:t>
      </w:r>
      <w:r w:rsidR="007B083B">
        <w:rPr>
          <w:rFonts w:ascii="Calibri" w:hAnsi="Calibri" w:cs="Calibri"/>
          <w:sz w:val="24"/>
          <w:szCs w:val="24"/>
        </w:rPr>
        <w:t>0</w:t>
      </w:r>
      <w:r w:rsidRPr="000A6F5F">
        <w:rPr>
          <w:rFonts w:ascii="Calibri" w:hAnsi="Calibri" w:cs="Calibri"/>
          <w:sz w:val="24"/>
          <w:szCs w:val="24"/>
        </w:rPr>
        <w:t>3:38</w:t>
      </w:r>
    </w:p>
    <w:p w14:paraId="5CC0CE0F" w14:textId="02BCA090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 xml:space="preserve">: Narration says to anchor </w:t>
      </w:r>
      <w:r w:rsidR="007B083B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 xml:space="preserve">implant to </w:t>
      </w:r>
      <w:r w:rsidR="007B083B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 xml:space="preserve">body wall subcutaneously, but the implant is placed intraperitoneally.  </w:t>
      </w:r>
    </w:p>
    <w:p w14:paraId="6BADFEA5" w14:textId="36503F39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Modify narration to reflect </w:t>
      </w:r>
      <w:r w:rsidR="007B083B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>correct anatomic location (IP)</w:t>
      </w:r>
      <w:r w:rsidR="007B083B">
        <w:rPr>
          <w:rFonts w:ascii="Calibri" w:hAnsi="Calibri" w:cs="Calibri"/>
          <w:sz w:val="24"/>
          <w:szCs w:val="24"/>
        </w:rPr>
        <w:t>.</w:t>
      </w:r>
    </w:p>
    <w:p w14:paraId="542EEDB0" w14:textId="77777777" w:rsidR="007B083B" w:rsidRDefault="007B083B" w:rsidP="000A6F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5C2822C" w14:textId="5C7B598B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B083B">
        <w:rPr>
          <w:rFonts w:ascii="Calibri" w:hAnsi="Calibri" w:cs="Calibri"/>
          <w:b/>
          <w:bCs/>
          <w:sz w:val="24"/>
          <w:szCs w:val="24"/>
        </w:rPr>
        <w:t>T</w:t>
      </w:r>
      <w:r w:rsidRPr="000A6F5F">
        <w:rPr>
          <w:rFonts w:ascii="Calibri" w:hAnsi="Calibri" w:cs="Calibri"/>
          <w:b/>
          <w:bCs/>
          <w:sz w:val="24"/>
          <w:szCs w:val="24"/>
        </w:rPr>
        <w:t>ext</w:t>
      </w:r>
      <w:r w:rsidRPr="000A6F5F">
        <w:rPr>
          <w:rFonts w:ascii="Calibri" w:hAnsi="Calibri" w:cs="Calibri"/>
          <w:sz w:val="24"/>
          <w:szCs w:val="24"/>
        </w:rPr>
        <w:t>: 1.2.2., 1.7.4., 2.1.1., 2.4.3.</w:t>
      </w:r>
    </w:p>
    <w:p w14:paraId="32089592" w14:textId="06DEDB8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0A6F5F">
        <w:rPr>
          <w:rFonts w:ascii="Calibri" w:hAnsi="Calibri" w:cs="Calibri"/>
          <w:sz w:val="24"/>
          <w:szCs w:val="24"/>
        </w:rPr>
        <w:t xml:space="preserve">: Buprenorphine dose and frequency </w:t>
      </w:r>
      <w:r w:rsidR="007B083B">
        <w:rPr>
          <w:rFonts w:ascii="Calibri" w:hAnsi="Calibri" w:cs="Calibri"/>
          <w:sz w:val="24"/>
          <w:szCs w:val="24"/>
        </w:rPr>
        <w:t>do</w:t>
      </w:r>
      <w:r w:rsidRPr="000A6F5F">
        <w:rPr>
          <w:rFonts w:ascii="Calibri" w:hAnsi="Calibri" w:cs="Calibri"/>
          <w:sz w:val="24"/>
          <w:szCs w:val="24"/>
        </w:rPr>
        <w:t xml:space="preserve"> not meet current veterinary standards.  See Tables 9 and 13 in </w:t>
      </w:r>
      <w:r w:rsidR="007B083B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 xml:space="preserve">recent review </w:t>
      </w:r>
      <w:hyperlink r:id="rId8" w:history="1">
        <w:r w:rsidRPr="000A6F5F">
          <w:rPr>
            <w:rStyle w:val="Hyperlink"/>
            <w:rFonts w:ascii="Calibri" w:hAnsi="Calibri" w:cs="Calibri"/>
            <w:sz w:val="24"/>
            <w:szCs w:val="24"/>
          </w:rPr>
          <w:t>Clinical Management of Pain in Rodents - PMC</w:t>
        </w:r>
      </w:hyperlink>
    </w:p>
    <w:p w14:paraId="0E5ED5BD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>: Change protocol to recommend minimum dose and frequency in line with current literature, or address justification for low and infrequent dosing in text.</w:t>
      </w:r>
    </w:p>
    <w:p w14:paraId="1606A47D" w14:textId="77777777" w:rsidR="007B083B" w:rsidRDefault="007B083B" w:rsidP="000A6F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1D09E5D" w14:textId="2ECB2AA5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Location in text</w:t>
      </w:r>
      <w:r w:rsidRPr="000A6F5F">
        <w:rPr>
          <w:rFonts w:ascii="Calibri" w:hAnsi="Calibri" w:cs="Calibri"/>
          <w:sz w:val="24"/>
          <w:szCs w:val="24"/>
        </w:rPr>
        <w:t>:</w:t>
      </w:r>
      <w:r w:rsidR="007B083B">
        <w:rPr>
          <w:rFonts w:ascii="Calibri" w:hAnsi="Calibri" w:cs="Calibri"/>
          <w:sz w:val="24"/>
          <w:szCs w:val="24"/>
        </w:rPr>
        <w:t xml:space="preserve"> </w:t>
      </w:r>
      <w:r w:rsidRPr="000A6F5F">
        <w:rPr>
          <w:rFonts w:ascii="Calibri" w:hAnsi="Calibri" w:cs="Calibri"/>
          <w:sz w:val="24"/>
          <w:szCs w:val="24"/>
        </w:rPr>
        <w:t xml:space="preserve">1.5.3. </w:t>
      </w:r>
    </w:p>
    <w:p w14:paraId="6B585C21" w14:textId="433A8EB2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 xml:space="preserve">: Tissue adhesive description does not include </w:t>
      </w:r>
      <w:r w:rsidR="007B083B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>30-45</w:t>
      </w:r>
      <w:r w:rsidR="007B083B">
        <w:rPr>
          <w:rFonts w:ascii="Calibri" w:hAnsi="Calibri" w:cs="Calibri"/>
          <w:sz w:val="24"/>
          <w:szCs w:val="24"/>
        </w:rPr>
        <w:t xml:space="preserve"> </w:t>
      </w:r>
      <w:r w:rsidRPr="000A6F5F">
        <w:rPr>
          <w:rFonts w:ascii="Calibri" w:hAnsi="Calibri" w:cs="Calibri"/>
          <w:sz w:val="24"/>
          <w:szCs w:val="24"/>
        </w:rPr>
        <w:t xml:space="preserve">s wait time described as a model refinement in </w:t>
      </w:r>
      <w:r w:rsidR="007B083B">
        <w:rPr>
          <w:rFonts w:ascii="Calibri" w:hAnsi="Calibri" w:cs="Calibri"/>
          <w:sz w:val="24"/>
          <w:szCs w:val="24"/>
        </w:rPr>
        <w:t>the d</w:t>
      </w:r>
      <w:r w:rsidRPr="000A6F5F">
        <w:rPr>
          <w:rFonts w:ascii="Calibri" w:hAnsi="Calibri" w:cs="Calibri"/>
          <w:sz w:val="24"/>
          <w:szCs w:val="24"/>
        </w:rPr>
        <w:t>iscussion</w:t>
      </w:r>
      <w:r w:rsidR="007B083B">
        <w:rPr>
          <w:rFonts w:ascii="Calibri" w:hAnsi="Calibri" w:cs="Calibri"/>
          <w:sz w:val="24"/>
          <w:szCs w:val="24"/>
        </w:rPr>
        <w:t>.</w:t>
      </w:r>
    </w:p>
    <w:p w14:paraId="37D3520E" w14:textId="707D8259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Modify this step to include observing the </w:t>
      </w:r>
      <w:proofErr w:type="gramStart"/>
      <w:r w:rsidRPr="000A6F5F">
        <w:rPr>
          <w:rFonts w:ascii="Calibri" w:hAnsi="Calibri" w:cs="Calibri"/>
          <w:sz w:val="24"/>
          <w:szCs w:val="24"/>
        </w:rPr>
        <w:t>wait</w:t>
      </w:r>
      <w:proofErr w:type="gramEnd"/>
      <w:r w:rsidRPr="000A6F5F">
        <w:rPr>
          <w:rFonts w:ascii="Calibri" w:hAnsi="Calibri" w:cs="Calibri"/>
          <w:sz w:val="24"/>
          <w:szCs w:val="24"/>
        </w:rPr>
        <w:t xml:space="preserve"> </w:t>
      </w:r>
      <w:r w:rsidR="007B083B" w:rsidRPr="000A6F5F">
        <w:rPr>
          <w:rFonts w:ascii="Calibri" w:hAnsi="Calibri" w:cs="Calibri"/>
          <w:sz w:val="24"/>
          <w:szCs w:val="24"/>
        </w:rPr>
        <w:t>time</w:t>
      </w:r>
      <w:r w:rsidRPr="000A6F5F">
        <w:rPr>
          <w:rFonts w:ascii="Calibri" w:hAnsi="Calibri" w:cs="Calibri"/>
          <w:sz w:val="24"/>
          <w:szCs w:val="24"/>
        </w:rPr>
        <w:t>.</w:t>
      </w:r>
    </w:p>
    <w:p w14:paraId="2A568BEE" w14:textId="6466B6E2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5430399" w14:textId="107BACC3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B083B">
        <w:rPr>
          <w:rFonts w:ascii="Calibri" w:hAnsi="Calibri" w:cs="Calibri"/>
          <w:b/>
          <w:bCs/>
          <w:sz w:val="24"/>
          <w:szCs w:val="24"/>
        </w:rPr>
        <w:t>T</w:t>
      </w:r>
      <w:r w:rsidRPr="000A6F5F">
        <w:rPr>
          <w:rFonts w:ascii="Calibri" w:hAnsi="Calibri" w:cs="Calibri"/>
          <w:b/>
          <w:bCs/>
          <w:sz w:val="24"/>
          <w:szCs w:val="24"/>
        </w:rPr>
        <w:t>ext</w:t>
      </w:r>
      <w:r w:rsidRPr="000A6F5F">
        <w:rPr>
          <w:rFonts w:ascii="Calibri" w:hAnsi="Calibri" w:cs="Calibri"/>
          <w:sz w:val="24"/>
          <w:szCs w:val="24"/>
        </w:rPr>
        <w:t>:</w:t>
      </w:r>
      <w:r w:rsidR="00ED11B7">
        <w:rPr>
          <w:rFonts w:ascii="Calibri" w:hAnsi="Calibri" w:cs="Calibri"/>
          <w:sz w:val="24"/>
          <w:szCs w:val="24"/>
        </w:rPr>
        <w:t xml:space="preserve"> </w:t>
      </w:r>
      <w:r w:rsidRPr="000A6F5F">
        <w:rPr>
          <w:rFonts w:ascii="Calibri" w:hAnsi="Calibri" w:cs="Calibri"/>
          <w:sz w:val="24"/>
          <w:szCs w:val="24"/>
        </w:rPr>
        <w:t>1.5.4.</w:t>
      </w:r>
    </w:p>
    <w:p w14:paraId="06EDF222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 xml:space="preserve">: Text says to “Anchor the implant body to the abdominal wall subcutaneously, slightly away from the incision site, by suturing the suture rib with non-absorbable sutures to ensure stability throughout the experiment.” </w:t>
      </w:r>
    </w:p>
    <w:p w14:paraId="716EA4E4" w14:textId="77777777" w:rsidR="00323762" w:rsidRPr="000A6F5F" w:rsidRDefault="00323762" w:rsidP="000A6F5F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sz w:val="24"/>
          <w:szCs w:val="24"/>
        </w:rPr>
        <w:t xml:space="preserve">The implant is placed intraperitoneally, not subcutaneously.  </w:t>
      </w:r>
    </w:p>
    <w:p w14:paraId="3CB8B4EA" w14:textId="77777777" w:rsidR="00323762" w:rsidRPr="000A6F5F" w:rsidRDefault="00323762" w:rsidP="000A6F5F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sz w:val="24"/>
          <w:szCs w:val="24"/>
        </w:rPr>
        <w:t>The following verbiage is unclear: “…by suturing the suture rib with non-absorbable sutures to ensure…”</w:t>
      </w:r>
    </w:p>
    <w:p w14:paraId="1501590A" w14:textId="476026DA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>: Modify to reflect the correct anatomic location and clarify the intent of “suturing the suture rib”</w:t>
      </w:r>
      <w:r w:rsidR="00ED11B7">
        <w:rPr>
          <w:rFonts w:ascii="Calibri" w:hAnsi="Calibri" w:cs="Calibri"/>
          <w:sz w:val="24"/>
          <w:szCs w:val="24"/>
        </w:rPr>
        <w:t>.</w:t>
      </w:r>
    </w:p>
    <w:p w14:paraId="6FC19AEA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E32E97E" w14:textId="70C870EE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D11B7">
        <w:rPr>
          <w:rFonts w:ascii="Calibri" w:hAnsi="Calibri" w:cs="Calibri"/>
          <w:b/>
          <w:bCs/>
          <w:sz w:val="24"/>
          <w:szCs w:val="24"/>
        </w:rPr>
        <w:t>T</w:t>
      </w:r>
      <w:r w:rsidRPr="000A6F5F">
        <w:rPr>
          <w:rFonts w:ascii="Calibri" w:hAnsi="Calibri" w:cs="Calibri"/>
          <w:b/>
          <w:bCs/>
          <w:sz w:val="24"/>
          <w:szCs w:val="24"/>
        </w:rPr>
        <w:t>ext</w:t>
      </w:r>
      <w:r w:rsidRPr="000A6F5F">
        <w:rPr>
          <w:rFonts w:ascii="Calibri" w:hAnsi="Calibri" w:cs="Calibri"/>
          <w:sz w:val="24"/>
          <w:szCs w:val="24"/>
        </w:rPr>
        <w:t>: 1.7.1.</w:t>
      </w:r>
      <w:r w:rsidR="00ED11B7">
        <w:rPr>
          <w:rFonts w:ascii="Calibri" w:hAnsi="Calibri" w:cs="Calibri"/>
          <w:sz w:val="24"/>
          <w:szCs w:val="24"/>
        </w:rPr>
        <w:t xml:space="preserve"> and</w:t>
      </w:r>
      <w:r w:rsidRPr="000A6F5F">
        <w:rPr>
          <w:rFonts w:ascii="Calibri" w:hAnsi="Calibri" w:cs="Calibri"/>
          <w:sz w:val="24"/>
          <w:szCs w:val="24"/>
        </w:rPr>
        <w:t xml:space="preserve"> 2.4.2.</w:t>
      </w:r>
    </w:p>
    <w:p w14:paraId="723446FC" w14:textId="4D427BF4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 xml:space="preserve">: Protocols describe parenteral antibiotic use, with the first doses being given after surgery. </w:t>
      </w:r>
      <w:r w:rsidR="00ED11B7">
        <w:rPr>
          <w:rFonts w:ascii="Calibri" w:hAnsi="Calibri" w:cs="Calibri"/>
          <w:sz w:val="24"/>
          <w:szCs w:val="24"/>
        </w:rPr>
        <w:t>The current</w:t>
      </w:r>
      <w:r w:rsidRPr="000A6F5F">
        <w:rPr>
          <w:rFonts w:ascii="Calibri" w:hAnsi="Calibri" w:cs="Calibri"/>
          <w:sz w:val="24"/>
          <w:szCs w:val="24"/>
        </w:rPr>
        <w:t xml:space="preserve"> veterinary standard is to administer antibiotics pre-operatively.</w:t>
      </w:r>
    </w:p>
    <w:p w14:paraId="5A9424EF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>: Comment on why the initial dose of antibiotics is delayed in this model.</w:t>
      </w:r>
    </w:p>
    <w:p w14:paraId="0059DA8A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F36A1AE" w14:textId="66A714BB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D11B7">
        <w:rPr>
          <w:rFonts w:ascii="Calibri" w:hAnsi="Calibri" w:cs="Calibri"/>
          <w:b/>
          <w:bCs/>
          <w:sz w:val="24"/>
          <w:szCs w:val="24"/>
        </w:rPr>
        <w:t>T</w:t>
      </w:r>
      <w:r w:rsidRPr="000A6F5F">
        <w:rPr>
          <w:rFonts w:ascii="Calibri" w:hAnsi="Calibri" w:cs="Calibri"/>
          <w:b/>
          <w:bCs/>
          <w:sz w:val="24"/>
          <w:szCs w:val="24"/>
        </w:rPr>
        <w:t>ext</w:t>
      </w:r>
      <w:r w:rsidRPr="000A6F5F">
        <w:rPr>
          <w:rFonts w:ascii="Calibri" w:hAnsi="Calibri" w:cs="Calibri"/>
          <w:sz w:val="24"/>
          <w:szCs w:val="24"/>
        </w:rPr>
        <w:t>: 2.4.3.</w:t>
      </w:r>
    </w:p>
    <w:p w14:paraId="5DE55EB7" w14:textId="51FFC0F9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Comment</w:t>
      </w:r>
      <w:r w:rsidRPr="000A6F5F">
        <w:rPr>
          <w:rFonts w:ascii="Calibri" w:hAnsi="Calibri" w:cs="Calibri"/>
          <w:sz w:val="24"/>
          <w:szCs w:val="24"/>
        </w:rPr>
        <w:t xml:space="preserve">: Post-operative care description does not reflect </w:t>
      </w:r>
      <w:r w:rsidR="00ED11B7">
        <w:rPr>
          <w:rFonts w:ascii="Calibri" w:hAnsi="Calibri" w:cs="Calibri"/>
          <w:sz w:val="24"/>
          <w:szCs w:val="24"/>
        </w:rPr>
        <w:t xml:space="preserve">the </w:t>
      </w:r>
      <w:r w:rsidRPr="000A6F5F">
        <w:rPr>
          <w:rFonts w:ascii="Calibri" w:hAnsi="Calibri" w:cs="Calibri"/>
          <w:sz w:val="24"/>
          <w:szCs w:val="24"/>
        </w:rPr>
        <w:t xml:space="preserve">use of alternative bedding or food provision. The video shows the post-SCI rat housed on paper towels (not conventional bedding) with food on the floor (not in </w:t>
      </w:r>
      <w:r w:rsidR="00ED11B7">
        <w:rPr>
          <w:rFonts w:ascii="Calibri" w:hAnsi="Calibri" w:cs="Calibri"/>
          <w:sz w:val="24"/>
          <w:szCs w:val="24"/>
        </w:rPr>
        <w:t xml:space="preserve">a </w:t>
      </w:r>
      <w:r w:rsidRPr="000A6F5F">
        <w:rPr>
          <w:rFonts w:ascii="Calibri" w:hAnsi="Calibri" w:cs="Calibri"/>
          <w:sz w:val="24"/>
          <w:szCs w:val="24"/>
        </w:rPr>
        <w:t>hopper). These are atypical husbandry practices in most institutions, but common supportive measures for SCI rodents.</w:t>
      </w:r>
    </w:p>
    <w:p w14:paraId="436F81F9" w14:textId="7BF75096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Update this section to </w:t>
      </w:r>
      <w:r w:rsidR="00ED11B7" w:rsidRPr="000A6F5F">
        <w:rPr>
          <w:rFonts w:ascii="Calibri" w:hAnsi="Calibri" w:cs="Calibri"/>
          <w:sz w:val="24"/>
          <w:szCs w:val="24"/>
        </w:rPr>
        <w:t>reflect on</w:t>
      </w:r>
      <w:r w:rsidRPr="000A6F5F">
        <w:rPr>
          <w:rFonts w:ascii="Calibri" w:hAnsi="Calibri" w:cs="Calibri"/>
          <w:sz w:val="24"/>
          <w:szCs w:val="24"/>
        </w:rPr>
        <w:t xml:space="preserve"> any husbandry modifications recommended/used for SCI </w:t>
      </w:r>
      <w:proofErr w:type="gramStart"/>
      <w:r w:rsidRPr="000A6F5F">
        <w:rPr>
          <w:rFonts w:ascii="Calibri" w:hAnsi="Calibri" w:cs="Calibri"/>
          <w:sz w:val="24"/>
          <w:szCs w:val="24"/>
        </w:rPr>
        <w:t>rats</w:t>
      </w:r>
      <w:proofErr w:type="gramEnd"/>
      <w:r w:rsidRPr="000A6F5F">
        <w:rPr>
          <w:rFonts w:ascii="Calibri" w:hAnsi="Calibri" w:cs="Calibri"/>
          <w:sz w:val="24"/>
          <w:szCs w:val="24"/>
        </w:rPr>
        <w:t>.</w:t>
      </w:r>
    </w:p>
    <w:p w14:paraId="73F4ADA8" w14:textId="58530A2A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CB6F3CE" w14:textId="6A144DD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D11B7">
        <w:rPr>
          <w:rFonts w:ascii="Calibri" w:hAnsi="Calibri" w:cs="Calibri"/>
          <w:b/>
          <w:bCs/>
          <w:sz w:val="24"/>
          <w:szCs w:val="24"/>
        </w:rPr>
        <w:t>T</w:t>
      </w:r>
      <w:r w:rsidRPr="000A6F5F">
        <w:rPr>
          <w:rFonts w:ascii="Calibri" w:hAnsi="Calibri" w:cs="Calibri"/>
          <w:b/>
          <w:bCs/>
          <w:sz w:val="24"/>
          <w:szCs w:val="24"/>
        </w:rPr>
        <w:t>ext</w:t>
      </w:r>
      <w:r w:rsidRPr="000A6F5F">
        <w:rPr>
          <w:rFonts w:ascii="Calibri" w:hAnsi="Calibri" w:cs="Calibri"/>
          <w:sz w:val="24"/>
          <w:szCs w:val="24"/>
        </w:rPr>
        <w:t>: 2.4.3.</w:t>
      </w:r>
    </w:p>
    <w:p w14:paraId="61B3DD5B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0A6F5F">
        <w:rPr>
          <w:rFonts w:ascii="Calibri" w:hAnsi="Calibri" w:cs="Calibri"/>
          <w:sz w:val="24"/>
          <w:szCs w:val="24"/>
        </w:rPr>
        <w:t xml:space="preserve">: This directs the reader to express bladders but does not comment on how often or for how long this is needed. I believe the correct spelling of this maneuver in humans is </w:t>
      </w:r>
      <w:proofErr w:type="spellStart"/>
      <w:r w:rsidRPr="000A6F5F">
        <w:rPr>
          <w:rFonts w:ascii="Calibri" w:hAnsi="Calibri" w:cs="Calibri"/>
          <w:sz w:val="24"/>
          <w:szCs w:val="24"/>
        </w:rPr>
        <w:t>Credé</w:t>
      </w:r>
      <w:proofErr w:type="spellEnd"/>
      <w:r w:rsidRPr="000A6F5F">
        <w:rPr>
          <w:rFonts w:ascii="Calibri" w:hAnsi="Calibri" w:cs="Calibri"/>
          <w:sz w:val="24"/>
          <w:szCs w:val="24"/>
        </w:rPr>
        <w:t>.</w:t>
      </w:r>
    </w:p>
    <w:p w14:paraId="4C3FDCC0" w14:textId="77777777" w:rsidR="00323762" w:rsidRPr="000A6F5F" w:rsidRDefault="00323762" w:rsidP="000A6F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A6F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0A6F5F">
        <w:rPr>
          <w:rFonts w:ascii="Calibri" w:hAnsi="Calibri" w:cs="Calibri"/>
          <w:sz w:val="24"/>
          <w:szCs w:val="24"/>
        </w:rPr>
        <w:t xml:space="preserve">: Update to reflect recommendations for frequency and duration of bladder care. Confirm/correct the spelling/punctuation of </w:t>
      </w:r>
      <w:proofErr w:type="spellStart"/>
      <w:r w:rsidRPr="000A6F5F">
        <w:rPr>
          <w:rFonts w:ascii="Calibri" w:hAnsi="Calibri" w:cs="Calibri"/>
          <w:sz w:val="24"/>
          <w:szCs w:val="24"/>
        </w:rPr>
        <w:t>Credé</w:t>
      </w:r>
      <w:proofErr w:type="spellEnd"/>
      <w:r w:rsidRPr="000A6F5F">
        <w:rPr>
          <w:rFonts w:ascii="Calibri" w:hAnsi="Calibri" w:cs="Calibri"/>
          <w:sz w:val="24"/>
          <w:szCs w:val="24"/>
        </w:rPr>
        <w:t>.</w:t>
      </w:r>
    </w:p>
    <w:p w14:paraId="4B82AD62" w14:textId="77777777" w:rsidR="00323762" w:rsidRPr="000A6F5F" w:rsidRDefault="00323762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0A6F5F" w:rsidRDefault="00000000" w:rsidP="000A6F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A6F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3FEC34D4" w:rsidR="00C74D7E" w:rsidRPr="000A6F5F" w:rsidRDefault="00323762" w:rsidP="000A6F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0A6F5F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0A6F5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6554671-07CC-4076-8796-3F45A90950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363587B-1060-4B49-BEE1-0F4DBBAF36D5}"/>
    <w:embedBold r:id="rId3" w:fontKey="{D6710EC8-E972-4AD5-AFC0-755C9D03CB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50FF98F7-D7A9-4307-9BB5-0456CA9C2949}"/>
    <w:embedBold r:id="rId5" w:fontKey="{67BB31EF-49DA-4299-A2D8-66147B67C7C3}"/>
    <w:embedItalic r:id="rId6" w:fontKey="{84ED9FCF-BA95-4EFF-9AE5-18F2E2DF703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25A5304A-BD40-4C07-B4D1-2D8E4B5926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0161B7"/>
    <w:multiLevelType w:val="hybridMultilevel"/>
    <w:tmpl w:val="136219E4"/>
    <w:lvl w:ilvl="0" w:tplc="EE7EF3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248646">
    <w:abstractNumId w:val="0"/>
  </w:num>
  <w:num w:numId="2" w16cid:durableId="1935359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A6F5F"/>
    <w:rsid w:val="00323762"/>
    <w:rsid w:val="00325025"/>
    <w:rsid w:val="00325F33"/>
    <w:rsid w:val="003760AF"/>
    <w:rsid w:val="00413DA0"/>
    <w:rsid w:val="004C582D"/>
    <w:rsid w:val="00542BFA"/>
    <w:rsid w:val="006411A0"/>
    <w:rsid w:val="006714B7"/>
    <w:rsid w:val="00744D7E"/>
    <w:rsid w:val="007B083B"/>
    <w:rsid w:val="007D3FB3"/>
    <w:rsid w:val="00882B75"/>
    <w:rsid w:val="009005AE"/>
    <w:rsid w:val="00C414B9"/>
    <w:rsid w:val="00C74D7E"/>
    <w:rsid w:val="00D118E8"/>
    <w:rsid w:val="00DC6097"/>
    <w:rsid w:val="00ED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c.ncbi.nlm.nih.gov/articles/PMC6935704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view.jove.com/v/69714?status=a7172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714?status=a71720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2026-03-03T11:09:00Z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