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b/>
        </w:rPr>
        <w:t>TITLE:</w:t>
      </w:r>
      <w:r w:rsidRPr="00C0728B">
        <w:rPr>
          <w:rFonts w:asciiTheme="majorHAnsi" w:hAnsiTheme="majorHAnsi" w:cstheme="majorHAnsi"/>
        </w:rPr>
        <w:t xml:space="preserve">  </w:t>
      </w:r>
    </w:p>
    <w:p w14:paraId="00000002"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Construction Methods for Hybrid Polycarbonate-Silicon Microfluidic Devices</w:t>
      </w:r>
    </w:p>
    <w:p w14:paraId="00000003" w14:textId="77777777" w:rsidR="00C916AB" w:rsidRPr="00C0728B" w:rsidRDefault="00C916AB" w:rsidP="00C0728B">
      <w:pPr>
        <w:rPr>
          <w:rFonts w:asciiTheme="majorHAnsi" w:hAnsiTheme="majorHAnsi" w:cstheme="majorHAnsi"/>
          <w:b/>
        </w:rPr>
      </w:pPr>
    </w:p>
    <w:p w14:paraId="00000004"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 xml:space="preserve">AUTHORS AND AFFILIATIONS: </w:t>
      </w:r>
    </w:p>
    <w:p w14:paraId="00000005"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Nicholas C. Higgins</w:t>
      </w:r>
      <w:r w:rsidRPr="00C0728B">
        <w:rPr>
          <w:rFonts w:asciiTheme="majorHAnsi" w:hAnsiTheme="majorHAnsi" w:cstheme="majorHAnsi"/>
          <w:vertAlign w:val="superscript"/>
        </w:rPr>
        <w:t>1</w:t>
      </w:r>
      <w:r w:rsidRPr="00C0728B">
        <w:rPr>
          <w:rFonts w:asciiTheme="majorHAnsi" w:hAnsiTheme="majorHAnsi" w:cstheme="majorHAnsi"/>
        </w:rPr>
        <w:t>, Jacqueline C. Kading</w:t>
      </w:r>
      <w:r w:rsidRPr="00C0728B">
        <w:rPr>
          <w:rFonts w:asciiTheme="majorHAnsi" w:hAnsiTheme="majorHAnsi" w:cstheme="majorHAnsi"/>
          <w:vertAlign w:val="superscript"/>
        </w:rPr>
        <w:t>2</w:t>
      </w:r>
      <w:r w:rsidRPr="00C0728B">
        <w:rPr>
          <w:rFonts w:asciiTheme="majorHAnsi" w:hAnsiTheme="majorHAnsi" w:cstheme="majorHAnsi"/>
        </w:rPr>
        <w:t>, David G. Blauvelt</w:t>
      </w:r>
      <w:r w:rsidRPr="00C0728B">
        <w:rPr>
          <w:rFonts w:asciiTheme="majorHAnsi" w:hAnsiTheme="majorHAnsi" w:cstheme="majorHAnsi"/>
          <w:vertAlign w:val="superscript"/>
        </w:rPr>
        <w:t>3,4</w:t>
      </w:r>
      <w:r w:rsidRPr="00C0728B">
        <w:rPr>
          <w:rFonts w:asciiTheme="majorHAnsi" w:hAnsiTheme="majorHAnsi" w:cstheme="majorHAnsi"/>
        </w:rPr>
        <w:t>, Shuvo Roy</w:t>
      </w:r>
      <w:r w:rsidRPr="00C0728B">
        <w:rPr>
          <w:rFonts w:asciiTheme="majorHAnsi" w:hAnsiTheme="majorHAnsi" w:cstheme="majorHAnsi"/>
          <w:vertAlign w:val="superscript"/>
        </w:rPr>
        <w:t>1</w:t>
      </w:r>
      <w:r w:rsidRPr="00C0728B">
        <w:rPr>
          <w:rFonts w:asciiTheme="majorHAnsi" w:hAnsiTheme="majorHAnsi" w:cstheme="majorHAnsi"/>
        </w:rPr>
        <w:t>*</w:t>
      </w:r>
    </w:p>
    <w:p w14:paraId="00000006" w14:textId="77777777" w:rsidR="00C916AB" w:rsidRPr="00C0728B" w:rsidRDefault="00C916AB" w:rsidP="00C0728B">
      <w:pPr>
        <w:rPr>
          <w:rFonts w:asciiTheme="majorHAnsi" w:hAnsiTheme="majorHAnsi" w:cstheme="majorHAnsi"/>
        </w:rPr>
      </w:pPr>
    </w:p>
    <w:p w14:paraId="00000007" w14:textId="77777777" w:rsidR="00C916AB" w:rsidRPr="00C0728B" w:rsidRDefault="003A3C6E" w:rsidP="00C0728B">
      <w:pPr>
        <w:widowControl/>
        <w:pBdr>
          <w:top w:val="nil"/>
          <w:left w:val="nil"/>
          <w:bottom w:val="nil"/>
          <w:right w:val="nil"/>
          <w:between w:val="nil"/>
        </w:pBdr>
        <w:rPr>
          <w:rFonts w:asciiTheme="majorHAnsi" w:hAnsiTheme="majorHAnsi" w:cstheme="majorHAnsi"/>
        </w:rPr>
      </w:pPr>
      <w:r w:rsidRPr="00C0728B">
        <w:rPr>
          <w:rFonts w:asciiTheme="majorHAnsi" w:hAnsiTheme="majorHAnsi" w:cstheme="majorHAnsi"/>
          <w:vertAlign w:val="superscript"/>
        </w:rPr>
        <w:t>1</w:t>
      </w:r>
      <w:r w:rsidRPr="00C0728B">
        <w:rPr>
          <w:rFonts w:asciiTheme="majorHAnsi" w:hAnsiTheme="majorHAnsi" w:cstheme="majorHAnsi"/>
        </w:rPr>
        <w:t>Department of Bioengineering and Therapeutic Sciences, University of California, San Francisco; San Francisco, CA, USA</w:t>
      </w:r>
    </w:p>
    <w:p w14:paraId="00000008" w14:textId="77777777" w:rsidR="00C916AB" w:rsidRPr="00C0728B" w:rsidRDefault="003A3C6E" w:rsidP="00C0728B">
      <w:pPr>
        <w:widowControl/>
        <w:pBdr>
          <w:top w:val="nil"/>
          <w:left w:val="nil"/>
          <w:bottom w:val="nil"/>
          <w:right w:val="nil"/>
          <w:between w:val="nil"/>
        </w:pBdr>
        <w:rPr>
          <w:rFonts w:asciiTheme="majorHAnsi" w:hAnsiTheme="majorHAnsi" w:cstheme="majorHAnsi"/>
        </w:rPr>
      </w:pPr>
      <w:r w:rsidRPr="00C0728B">
        <w:rPr>
          <w:rFonts w:asciiTheme="majorHAnsi" w:hAnsiTheme="majorHAnsi" w:cstheme="majorHAnsi"/>
          <w:vertAlign w:val="superscript"/>
        </w:rPr>
        <w:t>2</w:t>
      </w:r>
      <w:r w:rsidRPr="00C0728B">
        <w:rPr>
          <w:rFonts w:asciiTheme="majorHAnsi" w:hAnsiTheme="majorHAnsi" w:cstheme="majorHAnsi"/>
        </w:rPr>
        <w:t>Department of Pediatrics, Division of Neonatology, University of California, San Francisco; San Francisco, CA, USA</w:t>
      </w:r>
    </w:p>
    <w:p w14:paraId="00000009" w14:textId="77777777" w:rsidR="00C916AB" w:rsidRPr="00C0728B" w:rsidRDefault="003A3C6E" w:rsidP="00C0728B">
      <w:pPr>
        <w:widowControl/>
        <w:pBdr>
          <w:top w:val="nil"/>
          <w:left w:val="nil"/>
          <w:bottom w:val="nil"/>
          <w:right w:val="nil"/>
          <w:between w:val="nil"/>
        </w:pBdr>
        <w:rPr>
          <w:rFonts w:asciiTheme="majorHAnsi" w:hAnsiTheme="majorHAnsi" w:cstheme="majorHAnsi"/>
        </w:rPr>
      </w:pPr>
      <w:r w:rsidRPr="00C0728B">
        <w:rPr>
          <w:rFonts w:asciiTheme="majorHAnsi" w:hAnsiTheme="majorHAnsi" w:cstheme="majorHAnsi"/>
          <w:vertAlign w:val="superscript"/>
        </w:rPr>
        <w:t>3</w:t>
      </w:r>
      <w:r w:rsidRPr="00C0728B">
        <w:rPr>
          <w:rFonts w:asciiTheme="majorHAnsi" w:hAnsiTheme="majorHAnsi" w:cstheme="majorHAnsi"/>
        </w:rPr>
        <w:t>Department of Pediatrics, Nemours Children’s Health, Wilmington, DE, USA</w:t>
      </w:r>
    </w:p>
    <w:p w14:paraId="0000000A" w14:textId="77777777" w:rsidR="00C916AB" w:rsidRPr="00C0728B" w:rsidRDefault="003A3C6E" w:rsidP="00C0728B">
      <w:pPr>
        <w:widowControl/>
        <w:pBdr>
          <w:top w:val="nil"/>
          <w:left w:val="nil"/>
          <w:bottom w:val="nil"/>
          <w:right w:val="nil"/>
          <w:between w:val="nil"/>
        </w:pBdr>
        <w:rPr>
          <w:rFonts w:asciiTheme="majorHAnsi" w:hAnsiTheme="majorHAnsi" w:cstheme="majorHAnsi"/>
        </w:rPr>
      </w:pPr>
      <w:r w:rsidRPr="00C0728B">
        <w:rPr>
          <w:rFonts w:asciiTheme="majorHAnsi" w:hAnsiTheme="majorHAnsi" w:cstheme="majorHAnsi"/>
          <w:vertAlign w:val="superscript"/>
        </w:rPr>
        <w:t>4</w:t>
      </w:r>
      <w:r w:rsidRPr="00C0728B">
        <w:rPr>
          <w:rFonts w:asciiTheme="majorHAnsi" w:hAnsiTheme="majorHAnsi" w:cstheme="majorHAnsi"/>
        </w:rPr>
        <w:t>Department of Pediatrics, Sidney Kimmel Medical College at Thomas Jefferson University, Philadelphia, PA, USA</w:t>
      </w:r>
    </w:p>
    <w:p w14:paraId="0000000B" w14:textId="77777777" w:rsidR="00C916AB" w:rsidRPr="00C0728B" w:rsidRDefault="00C916AB" w:rsidP="00C0728B">
      <w:pPr>
        <w:rPr>
          <w:rFonts w:asciiTheme="majorHAnsi" w:hAnsiTheme="majorHAnsi" w:cstheme="majorHAnsi"/>
        </w:rPr>
      </w:pPr>
    </w:p>
    <w:p w14:paraId="0000000C" w14:textId="77777777" w:rsidR="00C916AB" w:rsidRPr="00C0728B" w:rsidRDefault="003A3C6E" w:rsidP="00C0728B">
      <w:pPr>
        <w:rPr>
          <w:rFonts w:asciiTheme="majorHAnsi" w:hAnsiTheme="majorHAnsi" w:cstheme="majorHAnsi"/>
          <w:b/>
        </w:rPr>
      </w:pPr>
      <w:r w:rsidRPr="00C0728B">
        <w:rPr>
          <w:rFonts w:asciiTheme="majorHAnsi" w:hAnsiTheme="majorHAnsi" w:cstheme="majorHAnsi"/>
          <w:b/>
        </w:rPr>
        <w:t>Email addresses of the co-authors:</w:t>
      </w:r>
    </w:p>
    <w:p w14:paraId="0000000D"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Nicholas C. Higgins</w:t>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t>nicholas.higgins@ucsf.edu</w:t>
      </w:r>
    </w:p>
    <w:p w14:paraId="0000000E" w14:textId="549B4B03" w:rsidR="00C916AB" w:rsidRPr="00C0728B" w:rsidRDefault="003A3C6E" w:rsidP="663CBE5C">
      <w:pPr>
        <w:rPr>
          <w:rFonts w:asciiTheme="majorHAnsi" w:hAnsiTheme="majorHAnsi" w:cstheme="majorBidi"/>
        </w:rPr>
      </w:pPr>
      <w:r w:rsidRPr="663CBE5C">
        <w:rPr>
          <w:rFonts w:asciiTheme="majorHAnsi" w:hAnsiTheme="majorHAnsi" w:cstheme="majorBidi"/>
        </w:rPr>
        <w:t>Jacqueline C. Kading</w:t>
      </w:r>
      <w:r w:rsidRPr="00EC7A08">
        <w:tab/>
      </w:r>
      <w:r w:rsidRPr="00EC7A08">
        <w:tab/>
      </w:r>
      <w:r w:rsidRPr="00EC7A08">
        <w:tab/>
      </w:r>
      <w:r w:rsidRPr="00EC7A08">
        <w:tab/>
      </w:r>
      <w:r w:rsidR="556236A0" w:rsidRPr="663CBE5C">
        <w:rPr>
          <w:rFonts w:asciiTheme="majorHAnsi" w:hAnsiTheme="majorHAnsi" w:cstheme="majorBidi"/>
        </w:rPr>
        <w:t>j</w:t>
      </w:r>
      <w:r w:rsidRPr="663CBE5C">
        <w:rPr>
          <w:rFonts w:asciiTheme="majorHAnsi" w:hAnsiTheme="majorHAnsi" w:cstheme="majorBidi"/>
        </w:rPr>
        <w:t>acqueline.</w:t>
      </w:r>
      <w:r w:rsidR="43A788E8" w:rsidRPr="663CBE5C">
        <w:rPr>
          <w:rFonts w:asciiTheme="majorHAnsi" w:hAnsiTheme="majorHAnsi" w:cstheme="majorBidi"/>
        </w:rPr>
        <w:t>k</w:t>
      </w:r>
      <w:r w:rsidRPr="663CBE5C">
        <w:rPr>
          <w:rFonts w:asciiTheme="majorHAnsi" w:hAnsiTheme="majorHAnsi" w:cstheme="majorBidi"/>
        </w:rPr>
        <w:t>ading@ucsf.edu</w:t>
      </w:r>
    </w:p>
    <w:p w14:paraId="0000000F" w14:textId="3B1ED295" w:rsidR="00C916AB" w:rsidRPr="00C0728B" w:rsidRDefault="003A3C6E" w:rsidP="00C0728B">
      <w:pPr>
        <w:rPr>
          <w:rFonts w:asciiTheme="majorHAnsi" w:hAnsiTheme="majorHAnsi" w:cstheme="majorHAnsi"/>
        </w:rPr>
      </w:pPr>
      <w:r w:rsidRPr="00C0728B">
        <w:rPr>
          <w:rFonts w:asciiTheme="majorHAnsi" w:hAnsiTheme="majorHAnsi" w:cstheme="majorHAnsi"/>
        </w:rPr>
        <w:t>David G. Blauvelt</w:t>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t>david.blauvelt@nemours.org</w:t>
      </w:r>
    </w:p>
    <w:p w14:paraId="00000010" w14:textId="77777777" w:rsidR="00C916AB" w:rsidRPr="00C0728B" w:rsidRDefault="00C916AB" w:rsidP="00C0728B">
      <w:pPr>
        <w:rPr>
          <w:rFonts w:asciiTheme="majorHAnsi" w:hAnsiTheme="majorHAnsi" w:cstheme="majorHAnsi"/>
        </w:rPr>
      </w:pPr>
    </w:p>
    <w:p w14:paraId="00000011" w14:textId="77777777" w:rsidR="00C916AB" w:rsidRPr="00C0728B" w:rsidRDefault="003A3C6E" w:rsidP="00C0728B">
      <w:pPr>
        <w:rPr>
          <w:rFonts w:asciiTheme="majorHAnsi" w:hAnsiTheme="majorHAnsi" w:cstheme="majorHAnsi"/>
          <w:b/>
        </w:rPr>
      </w:pPr>
      <w:r w:rsidRPr="00C0728B">
        <w:rPr>
          <w:rFonts w:asciiTheme="majorHAnsi" w:hAnsiTheme="majorHAnsi" w:cstheme="majorHAnsi"/>
          <w:b/>
        </w:rPr>
        <w:t>*Corresponding author:</w:t>
      </w:r>
    </w:p>
    <w:p w14:paraId="00000012"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Shuvo Roy</w:t>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r>
      <w:r w:rsidRPr="00C0728B">
        <w:rPr>
          <w:rFonts w:asciiTheme="majorHAnsi" w:hAnsiTheme="majorHAnsi" w:cstheme="majorHAnsi"/>
        </w:rPr>
        <w:tab/>
        <w:t>shuvo.roy@ucsf.edu</w:t>
      </w:r>
    </w:p>
    <w:p w14:paraId="00000013"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14"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SUMMARY:</w:t>
      </w:r>
      <w:r w:rsidRPr="00C0728B">
        <w:rPr>
          <w:rFonts w:asciiTheme="majorHAnsi" w:hAnsiTheme="majorHAnsi" w:cstheme="majorHAnsi"/>
        </w:rPr>
        <w:t xml:space="preserve"> </w:t>
      </w:r>
    </w:p>
    <w:p w14:paraId="00000015"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This protocol describes three straightforward sealing methods for fabricating a hybrid microfluidic device that integrates polycarbonate and silicon components. By implementing solvent bonding, thermal compression, and mechanical compression strategies, we enable reliable, low-temperature sealing techniques that avoid specialized equipment for hybrid microfluidic devices.</w:t>
      </w:r>
    </w:p>
    <w:p w14:paraId="00000016" w14:textId="77777777" w:rsidR="00C916AB" w:rsidRPr="00C0728B" w:rsidRDefault="00C916AB" w:rsidP="00C0728B">
      <w:pPr>
        <w:rPr>
          <w:rFonts w:asciiTheme="majorHAnsi" w:hAnsiTheme="majorHAnsi" w:cstheme="majorHAnsi"/>
        </w:rPr>
      </w:pPr>
    </w:p>
    <w:p w14:paraId="00000017"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ABSTRACT:</w:t>
      </w:r>
      <w:r w:rsidRPr="00C0728B">
        <w:rPr>
          <w:rFonts w:asciiTheme="majorHAnsi" w:hAnsiTheme="majorHAnsi" w:cstheme="majorHAnsi"/>
        </w:rPr>
        <w:t xml:space="preserve"> </w:t>
      </w:r>
    </w:p>
    <w:p w14:paraId="00000018" w14:textId="77777777" w:rsidR="00C916AB" w:rsidRPr="00EC7A08" w:rsidRDefault="003A3C6E" w:rsidP="663CBE5C">
      <w:pPr>
        <w:rPr>
          <w:rFonts w:asciiTheme="majorHAnsi" w:hAnsiTheme="majorHAnsi"/>
          <w:lang w:val="en-US"/>
        </w:rPr>
      </w:pPr>
      <w:r w:rsidRPr="00EC7A08">
        <w:rPr>
          <w:rFonts w:asciiTheme="majorHAnsi" w:hAnsiTheme="majorHAnsi"/>
          <w:lang w:val="en-US"/>
        </w:rPr>
        <w:t xml:space="preserve">Hybrid microfluidic devices combining thermoplastics with rigid substrates, such as silicon and glass, enable advanced biological applications but are difficult to bond due to differences in thermal and mechanical properties. These challenges render conventional high-temperature, high-pressure methods unsuitable, underscoring the need for alternative sealing strategies. Here, we present three relatively low-cost sealing strategies for polycarbonate–silicon microfluidic devices: solvent bonding with protective masking to preserve channel geometry; a low-temperature thermal bonding layer using a 100 µm low-density polyethylene (LDPE) interlayer; and mechanical compression with an O-ring cord serving as a gasket. Each approach requires tailored design and assembly steps to ensure leak-tight seals. These strategies require no specialized equipment or expensive infrastructure, making them well-suited for prototyping hybrid microfluidic devices in academic research laboratories and resource-limited environments. Solvent bonding produced the highest leak resistance (up to 692 mmHg) with a robust polycarbonate–polycarbonate interface, while gasket compression yielded the most reproducible, visually clean seals with minimal pressure drop (2 mmHg at 10 mL/min). In contrast, </w:t>
      </w:r>
      <w:r w:rsidRPr="00EC7A08">
        <w:rPr>
          <w:rFonts w:asciiTheme="majorHAnsi" w:hAnsiTheme="majorHAnsi"/>
          <w:lang w:val="en-US"/>
        </w:rPr>
        <w:lastRenderedPageBreak/>
        <w:t>LDPE bonding showed channel intrusion, elevated pressure drop (196 mmHg), and instances of delamination.</w:t>
      </w:r>
    </w:p>
    <w:p w14:paraId="00000019" w14:textId="77777777" w:rsidR="00C916AB" w:rsidRPr="00C0728B" w:rsidRDefault="00C916AB" w:rsidP="00C0728B">
      <w:pPr>
        <w:rPr>
          <w:rFonts w:asciiTheme="majorHAnsi" w:hAnsiTheme="majorHAnsi" w:cstheme="majorHAnsi"/>
        </w:rPr>
      </w:pPr>
    </w:p>
    <w:p w14:paraId="0000001A"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INTRODUCTION:</w:t>
      </w:r>
      <w:r w:rsidRPr="00C0728B">
        <w:rPr>
          <w:rFonts w:asciiTheme="majorHAnsi" w:hAnsiTheme="majorHAnsi" w:cstheme="majorHAnsi"/>
        </w:rPr>
        <w:t xml:space="preserve">  </w:t>
      </w:r>
    </w:p>
    <w:p w14:paraId="0000001B" w14:textId="63B466F3" w:rsidR="00C916AB" w:rsidRPr="00EC7A08" w:rsidRDefault="003A3C6E" w:rsidP="663CBE5C">
      <w:pPr>
        <w:rPr>
          <w:rFonts w:asciiTheme="majorHAnsi" w:hAnsiTheme="majorHAnsi"/>
          <w:lang w:val="en-US"/>
        </w:rPr>
      </w:pPr>
      <w:r w:rsidRPr="00EC7A08">
        <w:rPr>
          <w:rFonts w:asciiTheme="majorHAnsi" w:hAnsiTheme="majorHAnsi"/>
          <w:lang w:val="en-US"/>
        </w:rPr>
        <w:t>Microfluidic systems enable controlled manipulation of small fluid volumes and have become essential tools in biomedical applications, including point-of-care diagnostics</w:t>
      </w:r>
      <w:hyperlink r:id="rId7">
        <w:r w:rsidRPr="00EC7A08">
          <w:rPr>
            <w:rFonts w:asciiTheme="majorHAnsi" w:hAnsiTheme="majorHAnsi"/>
            <w:vertAlign w:val="superscript"/>
            <w:lang w:val="en-US"/>
          </w:rPr>
          <w:t>1,2</w:t>
        </w:r>
      </w:hyperlink>
      <w:r w:rsidRPr="00EC7A08">
        <w:rPr>
          <w:rFonts w:asciiTheme="majorHAnsi" w:hAnsiTheme="majorHAnsi"/>
          <w:lang w:val="en-US"/>
        </w:rPr>
        <w:t>, organ-on-chip platforms</w:t>
      </w:r>
      <w:hyperlink r:id="rId8">
        <w:r w:rsidRPr="00EC7A08">
          <w:rPr>
            <w:rFonts w:asciiTheme="majorHAnsi" w:hAnsiTheme="majorHAnsi"/>
            <w:vertAlign w:val="superscript"/>
            <w:lang w:val="en-US"/>
          </w:rPr>
          <w:t>3,4</w:t>
        </w:r>
      </w:hyperlink>
      <w:r w:rsidRPr="00EC7A08">
        <w:rPr>
          <w:rFonts w:asciiTheme="majorHAnsi" w:hAnsiTheme="majorHAnsi"/>
          <w:lang w:val="en-US"/>
        </w:rPr>
        <w:t>, and sensor technologies</w:t>
      </w:r>
      <w:hyperlink r:id="rId9">
        <w:r w:rsidRPr="00EC7A08">
          <w:rPr>
            <w:rFonts w:asciiTheme="majorHAnsi" w:hAnsiTheme="majorHAnsi"/>
            <w:vertAlign w:val="superscript"/>
            <w:lang w:val="en-US"/>
          </w:rPr>
          <w:t>5,6</w:t>
        </w:r>
      </w:hyperlink>
      <w:r w:rsidRPr="00EC7A08">
        <w:rPr>
          <w:rFonts w:asciiTheme="majorHAnsi" w:hAnsiTheme="majorHAnsi"/>
          <w:lang w:val="en-US"/>
        </w:rPr>
        <w:t>. Despite the diversity of their applications, these devices share core engineering demands: appropriate material selection, reproducible fabrication strategies, and sustained biocompatibility</w:t>
      </w:r>
      <w:hyperlink r:id="rId10">
        <w:r w:rsidRPr="00EC7A08">
          <w:rPr>
            <w:rFonts w:asciiTheme="majorHAnsi" w:hAnsiTheme="majorHAnsi"/>
            <w:vertAlign w:val="superscript"/>
            <w:lang w:val="en-US"/>
          </w:rPr>
          <w:t>7,8</w:t>
        </w:r>
      </w:hyperlink>
      <w:r w:rsidRPr="00EC7A08">
        <w:rPr>
          <w:rFonts w:asciiTheme="majorHAnsi" w:hAnsiTheme="majorHAnsi"/>
          <w:lang w:val="en-US"/>
        </w:rPr>
        <w:t>. These requirements become more stringent in blood-contacting systems, where materials and device architectures must ensure hemocompatibility, robust fluid sealing, and maintain physiologic flow parameters such as shear stress and pressure gradients</w:t>
      </w:r>
      <w:hyperlink r:id="rId11">
        <w:r w:rsidRPr="00EC7A08">
          <w:rPr>
            <w:rFonts w:asciiTheme="majorHAnsi" w:hAnsiTheme="majorHAnsi"/>
            <w:vertAlign w:val="superscript"/>
            <w:lang w:val="en-US"/>
          </w:rPr>
          <w:t>9–11</w:t>
        </w:r>
      </w:hyperlink>
      <w:r w:rsidRPr="00EC7A08">
        <w:rPr>
          <w:rFonts w:asciiTheme="majorHAnsi" w:hAnsiTheme="majorHAnsi"/>
          <w:lang w:val="en-US"/>
        </w:rPr>
        <w:t xml:space="preserve">. </w:t>
      </w:r>
    </w:p>
    <w:p w14:paraId="0000001C" w14:textId="77777777" w:rsidR="00C916AB" w:rsidRPr="00C0728B" w:rsidRDefault="00C916AB" w:rsidP="00C0728B">
      <w:pPr>
        <w:rPr>
          <w:rFonts w:asciiTheme="majorHAnsi" w:hAnsiTheme="majorHAnsi" w:cstheme="majorHAnsi"/>
        </w:rPr>
      </w:pPr>
    </w:p>
    <w:p w14:paraId="0000001D" w14:textId="7479DA06" w:rsidR="00C916AB" w:rsidRPr="00EC7A08" w:rsidRDefault="003A3C6E" w:rsidP="663CBE5C">
      <w:pPr>
        <w:rPr>
          <w:rFonts w:asciiTheme="majorHAnsi" w:hAnsiTheme="majorHAnsi"/>
          <w:lang w:val="en-US"/>
        </w:rPr>
      </w:pPr>
      <w:r w:rsidRPr="00EC7A08">
        <w:rPr>
          <w:rFonts w:asciiTheme="majorHAnsi" w:hAnsiTheme="majorHAnsi"/>
          <w:lang w:val="en-US"/>
        </w:rPr>
        <w:t>Hybrid microfluidic systems integrate thermoplastics with rigid substrates such as silicon and glass, expanding the functionality of biomedical devices (</w:t>
      </w:r>
      <w:r w:rsidRPr="00EC7A08">
        <w:rPr>
          <w:rFonts w:asciiTheme="majorHAnsi" w:hAnsiTheme="majorHAnsi"/>
          <w:b/>
          <w:lang w:val="en-US"/>
        </w:rPr>
        <w:t>Supplemental Figure S1</w:t>
      </w:r>
      <w:r w:rsidRPr="00EC7A08">
        <w:rPr>
          <w:rFonts w:asciiTheme="majorHAnsi" w:hAnsiTheme="majorHAnsi"/>
          <w:lang w:val="en-US"/>
        </w:rPr>
        <w:t>)</w:t>
      </w:r>
      <w:hyperlink r:id="rId12">
        <w:r w:rsidRPr="00EC7A08">
          <w:rPr>
            <w:rFonts w:asciiTheme="majorHAnsi" w:hAnsiTheme="majorHAnsi"/>
            <w:vertAlign w:val="superscript"/>
            <w:lang w:val="en-US"/>
          </w:rPr>
          <w:t>12–17</w:t>
        </w:r>
      </w:hyperlink>
      <w:r w:rsidRPr="00EC7A08">
        <w:rPr>
          <w:rFonts w:asciiTheme="majorHAnsi" w:hAnsiTheme="majorHAnsi"/>
          <w:lang w:val="en-US"/>
        </w:rPr>
        <w:t>. This approach is particularly intriguing for blood-contacting applications, where mechanically fragile yet highly precise silicon or glass components are coupled to low-cost polymer housings to enable scalable</w:t>
      </w:r>
      <w:r w:rsidR="00D64682" w:rsidRPr="00EC7A08">
        <w:rPr>
          <w:rFonts w:asciiTheme="majorHAnsi" w:hAnsiTheme="majorHAnsi"/>
          <w:lang w:val="en-US"/>
        </w:rPr>
        <w:t>,</w:t>
      </w:r>
      <w:r w:rsidRPr="00EC7A08">
        <w:rPr>
          <w:rFonts w:asciiTheme="majorHAnsi" w:hAnsiTheme="majorHAnsi"/>
          <w:lang w:val="en-US"/>
        </w:rPr>
        <w:t xml:space="preserve"> biocompatible designs</w:t>
      </w:r>
      <w:hyperlink r:id="rId13">
        <w:r w:rsidRPr="00EC7A08">
          <w:rPr>
            <w:rFonts w:asciiTheme="majorHAnsi" w:hAnsiTheme="majorHAnsi"/>
            <w:vertAlign w:val="superscript"/>
            <w:lang w:val="en-US"/>
          </w:rPr>
          <w:t>18–24</w:t>
        </w:r>
      </w:hyperlink>
      <w:r w:rsidRPr="00EC7A08">
        <w:rPr>
          <w:rFonts w:asciiTheme="majorHAnsi" w:hAnsiTheme="majorHAnsi"/>
          <w:lang w:val="en-US"/>
        </w:rPr>
        <w:t xml:space="preserve">. While PDMS and thermoplastic microdevices remain prevalent due to their fabrication simplicity, these </w:t>
      </w:r>
      <w:r w:rsidRPr="663CBE5C">
        <w:rPr>
          <w:rFonts w:asciiTheme="majorHAnsi" w:hAnsiTheme="majorHAnsi" w:cstheme="majorBidi"/>
          <w:lang w:val="en-US"/>
        </w:rPr>
        <w:t>material</w:t>
      </w:r>
      <w:r w:rsidR="26A301DA" w:rsidRPr="663CBE5C">
        <w:rPr>
          <w:rFonts w:asciiTheme="majorHAnsi" w:hAnsiTheme="majorHAnsi" w:cstheme="majorBidi"/>
          <w:lang w:val="en-US"/>
        </w:rPr>
        <w:t>s</w:t>
      </w:r>
      <w:r w:rsidRPr="00EC7A08">
        <w:rPr>
          <w:rFonts w:asciiTheme="majorHAnsi" w:hAnsiTheme="majorHAnsi"/>
          <w:lang w:val="en-US"/>
        </w:rPr>
        <w:t xml:space="preserve"> limit chemical resistance, mechanical durability, and incorporation of rigid functional materials, motivating the development of hybrid architectures</w:t>
      </w:r>
      <w:hyperlink r:id="rId14">
        <w:r w:rsidRPr="00EC7A08">
          <w:rPr>
            <w:rFonts w:asciiTheme="majorHAnsi" w:hAnsiTheme="majorHAnsi"/>
            <w:vertAlign w:val="superscript"/>
            <w:lang w:val="en-US"/>
          </w:rPr>
          <w:t>25–28</w:t>
        </w:r>
      </w:hyperlink>
      <w:r w:rsidRPr="00EC7A08">
        <w:rPr>
          <w:rFonts w:asciiTheme="majorHAnsi" w:hAnsiTheme="majorHAnsi"/>
          <w:lang w:val="en-US"/>
        </w:rPr>
        <w:t xml:space="preserve">. Despite </w:t>
      </w:r>
      <w:r w:rsidRPr="663CBE5C">
        <w:rPr>
          <w:rFonts w:asciiTheme="majorHAnsi" w:hAnsiTheme="majorHAnsi" w:cstheme="majorBidi"/>
          <w:lang w:val="en-US"/>
        </w:rPr>
        <w:t>the</w:t>
      </w:r>
      <w:r w:rsidRPr="00EC7A08">
        <w:rPr>
          <w:rFonts w:asciiTheme="majorHAnsi" w:hAnsiTheme="majorHAnsi"/>
          <w:lang w:val="en-US"/>
        </w:rPr>
        <w:t xml:space="preserve"> advantages</w:t>
      </w:r>
      <w:r w:rsidR="170F9DCD" w:rsidRPr="663CBE5C">
        <w:rPr>
          <w:rFonts w:asciiTheme="majorHAnsi" w:hAnsiTheme="majorHAnsi" w:cstheme="majorBidi"/>
          <w:lang w:val="en-US"/>
        </w:rPr>
        <w:t xml:space="preserve"> of hybrid devices</w:t>
      </w:r>
      <w:r w:rsidRPr="00EC7A08">
        <w:rPr>
          <w:rFonts w:asciiTheme="majorHAnsi" w:hAnsiTheme="majorHAnsi"/>
          <w:lang w:val="en-US"/>
        </w:rPr>
        <w:t>, assembling dissimilar materials presents inherent challenges. Differences in thermal expansion and mechanical properties can undermine seal integrity, and fabrication conditions must be tightly controlled to preserve hemocompatibility, maintain channel geometry, and prevent damage to brittle silicon or glass structures. Successful implementation of hybrid systems</w:t>
      </w:r>
      <w:r w:rsidR="00F233B4" w:rsidRPr="00EC7A08">
        <w:rPr>
          <w:rFonts w:asciiTheme="majorHAnsi" w:hAnsiTheme="majorHAnsi"/>
          <w:lang w:val="en-US"/>
        </w:rPr>
        <w:t>,</w:t>
      </w:r>
      <w:r w:rsidRPr="00EC7A08">
        <w:rPr>
          <w:rFonts w:asciiTheme="majorHAnsi" w:hAnsiTheme="majorHAnsi"/>
          <w:lang w:val="en-US"/>
        </w:rPr>
        <w:t xml:space="preserve"> therefore</w:t>
      </w:r>
      <w:r w:rsidR="00F233B4" w:rsidRPr="00EC7A08">
        <w:rPr>
          <w:rFonts w:asciiTheme="majorHAnsi" w:hAnsiTheme="majorHAnsi"/>
          <w:lang w:val="en-US"/>
        </w:rPr>
        <w:t>,</w:t>
      </w:r>
      <w:r w:rsidRPr="00EC7A08">
        <w:rPr>
          <w:rFonts w:asciiTheme="majorHAnsi" w:hAnsiTheme="majorHAnsi"/>
          <w:lang w:val="en-US"/>
        </w:rPr>
        <w:t xml:space="preserve"> depends on deliberate choices of material properties with appropriate fabrication strategies.</w:t>
      </w:r>
    </w:p>
    <w:p w14:paraId="0000001E" w14:textId="77777777" w:rsidR="00C916AB" w:rsidRPr="00C0728B" w:rsidRDefault="00C916AB" w:rsidP="663CBE5C">
      <w:pPr>
        <w:rPr>
          <w:rFonts w:asciiTheme="majorHAnsi" w:hAnsiTheme="majorHAnsi" w:cstheme="majorBidi"/>
        </w:rPr>
      </w:pPr>
    </w:p>
    <w:p w14:paraId="0000001F" w14:textId="4618882F" w:rsidR="00C916AB" w:rsidRPr="00EC7A08" w:rsidRDefault="003A3C6E" w:rsidP="663CBE5C">
      <w:pPr>
        <w:rPr>
          <w:rFonts w:asciiTheme="majorHAnsi" w:hAnsiTheme="majorHAnsi"/>
          <w:lang w:val="en-US"/>
        </w:rPr>
      </w:pPr>
      <w:r w:rsidRPr="00EC7A08">
        <w:rPr>
          <w:rFonts w:asciiTheme="majorHAnsi" w:hAnsiTheme="majorHAnsi"/>
          <w:lang w:val="en-US"/>
        </w:rPr>
        <w:t>Thermoplastic materials, including polycarbonate and poly(methyl methacrylate) (PMMA), are widely used in microfluidic systems because they provide mechanical strength, biocompatibility, cost efficiency, and are compatible with scalable fabrication strategies such as solvent bonding, thermocompression, and adhesives</w:t>
      </w:r>
      <w:hyperlink r:id="rId15">
        <w:r w:rsidRPr="00EC7A08">
          <w:rPr>
            <w:rFonts w:asciiTheme="majorHAnsi" w:hAnsiTheme="majorHAnsi"/>
            <w:vertAlign w:val="superscript"/>
            <w:lang w:val="en-US"/>
          </w:rPr>
          <w:t>12,29–35</w:t>
        </w:r>
      </w:hyperlink>
      <w:r w:rsidRPr="00EC7A08">
        <w:rPr>
          <w:rFonts w:asciiTheme="majorHAnsi" w:hAnsiTheme="majorHAnsi"/>
          <w:lang w:val="en-US"/>
        </w:rPr>
        <w:t>. In contrast, silicon and glass substrates offer enhanced chemical resistance and high-precision geometries, yet their integration with thermoplastics remains technically challenging due to disparities in surface chemistry and mechanical properties</w:t>
      </w:r>
      <w:hyperlink r:id="rId16">
        <w:r w:rsidRPr="00EC7A08">
          <w:rPr>
            <w:rFonts w:asciiTheme="majorHAnsi" w:hAnsiTheme="majorHAnsi"/>
            <w:vertAlign w:val="superscript"/>
            <w:lang w:val="en-US"/>
          </w:rPr>
          <w:t>36–39</w:t>
        </w:r>
      </w:hyperlink>
      <w:r w:rsidRPr="00EC7A08">
        <w:rPr>
          <w:rFonts w:asciiTheme="majorHAnsi" w:hAnsiTheme="majorHAnsi"/>
          <w:lang w:val="en-US"/>
        </w:rPr>
        <w:t xml:space="preserve">. Conventional thermocompression bonding can subject brittle silicon or glass </w:t>
      </w:r>
      <w:r w:rsidR="003A4803" w:rsidRPr="00EC7A08">
        <w:rPr>
          <w:rFonts w:asciiTheme="majorHAnsi" w:hAnsiTheme="majorHAnsi"/>
          <w:lang w:val="en-US"/>
        </w:rPr>
        <w:t>components to elevated pressures, increasing</w:t>
      </w:r>
      <w:r w:rsidRPr="00EC7A08">
        <w:rPr>
          <w:rFonts w:asciiTheme="majorHAnsi" w:hAnsiTheme="majorHAnsi"/>
          <w:lang w:val="en-US"/>
        </w:rPr>
        <w:t xml:space="preserve"> the risk of cracking. Alternatively, adhesive-based approaches may reduce mechanical stress but can introduce variability in bond uniformity or raise concerns regarding long-term biocompatibility</w:t>
      </w:r>
      <w:hyperlink r:id="rId17">
        <w:r w:rsidRPr="00EC7A08">
          <w:rPr>
            <w:rFonts w:asciiTheme="majorHAnsi" w:hAnsiTheme="majorHAnsi"/>
            <w:vertAlign w:val="superscript"/>
            <w:lang w:val="en-US"/>
          </w:rPr>
          <w:t>40</w:t>
        </w:r>
      </w:hyperlink>
      <w:r w:rsidRPr="00EC7A08">
        <w:rPr>
          <w:rFonts w:asciiTheme="majorHAnsi" w:hAnsiTheme="majorHAnsi"/>
          <w:lang w:val="en-US"/>
        </w:rPr>
        <w:t xml:space="preserve">. </w:t>
      </w:r>
    </w:p>
    <w:p w14:paraId="00000020" w14:textId="77777777" w:rsidR="00C916AB" w:rsidRPr="00C0728B" w:rsidRDefault="00C916AB" w:rsidP="663CBE5C">
      <w:pPr>
        <w:rPr>
          <w:rFonts w:asciiTheme="majorHAnsi" w:hAnsiTheme="majorHAnsi" w:cstheme="majorBidi"/>
        </w:rPr>
      </w:pPr>
    </w:p>
    <w:p w14:paraId="00000021" w14:textId="01AE04C1" w:rsidR="00C916AB" w:rsidRPr="00EC7A08" w:rsidRDefault="003A3C6E" w:rsidP="663CBE5C">
      <w:pPr>
        <w:rPr>
          <w:rFonts w:asciiTheme="majorHAnsi" w:hAnsiTheme="majorHAnsi"/>
          <w:lang w:val="en-US"/>
        </w:rPr>
      </w:pPr>
      <w:r w:rsidRPr="00EC7A08">
        <w:rPr>
          <w:rFonts w:asciiTheme="majorHAnsi" w:hAnsiTheme="majorHAnsi"/>
          <w:lang w:val="en-US"/>
        </w:rPr>
        <w:t>Our lab is developing blood-contacting devices intended for organ replacement functions, including oxygenators and hemofilters</w:t>
      </w:r>
      <w:hyperlink r:id="rId18">
        <w:r w:rsidRPr="00EC7A08">
          <w:rPr>
            <w:rFonts w:asciiTheme="majorHAnsi" w:hAnsiTheme="majorHAnsi"/>
            <w:vertAlign w:val="superscript"/>
            <w:lang w:val="en-US"/>
          </w:rPr>
          <w:t>17,21</w:t>
        </w:r>
      </w:hyperlink>
      <w:r w:rsidRPr="00EC7A08">
        <w:rPr>
          <w:rFonts w:asciiTheme="majorHAnsi" w:hAnsiTheme="majorHAnsi"/>
          <w:lang w:val="en-US"/>
        </w:rPr>
        <w:t xml:space="preserve">. These systems integrate silicon nanopore membranes as </w:t>
      </w:r>
      <w:r w:rsidR="081308D0" w:rsidRPr="00EC7A08">
        <w:rPr>
          <w:rFonts w:asciiTheme="majorHAnsi" w:hAnsiTheme="majorHAnsi"/>
          <w:lang w:val="en-US"/>
        </w:rPr>
        <w:t>active</w:t>
      </w:r>
      <w:r w:rsidRPr="00EC7A08">
        <w:rPr>
          <w:rFonts w:asciiTheme="majorHAnsi" w:hAnsiTheme="majorHAnsi"/>
          <w:lang w:val="en-US"/>
        </w:rPr>
        <w:t xml:space="preserve"> functional elements with polycarbonate housings that establish the blood flow pathway and provide mechanical support</w:t>
      </w:r>
      <w:hyperlink r:id="rId19">
        <w:r w:rsidRPr="00EC7A08">
          <w:rPr>
            <w:rFonts w:asciiTheme="majorHAnsi" w:hAnsiTheme="majorHAnsi"/>
            <w:vertAlign w:val="superscript"/>
            <w:lang w:val="en-US"/>
          </w:rPr>
          <w:t>18,19,21</w:t>
        </w:r>
      </w:hyperlink>
      <w:r w:rsidRPr="00EC7A08">
        <w:rPr>
          <w:rFonts w:asciiTheme="majorHAnsi" w:hAnsiTheme="majorHAnsi"/>
          <w:lang w:val="en-US"/>
        </w:rPr>
        <w:t>. Achieving robust and scalable fabrication of these platforms depends on reliable bonding between these dissimilar materials.</w:t>
      </w:r>
    </w:p>
    <w:p w14:paraId="00000022" w14:textId="77777777" w:rsidR="00C916AB" w:rsidRPr="00C0728B" w:rsidRDefault="00C916AB" w:rsidP="663CBE5C">
      <w:pPr>
        <w:rPr>
          <w:rFonts w:asciiTheme="majorHAnsi" w:hAnsiTheme="majorHAnsi" w:cstheme="majorBidi"/>
        </w:rPr>
      </w:pPr>
    </w:p>
    <w:p w14:paraId="09A2C8E5" w14:textId="0BF91B3C" w:rsidR="00C0728B" w:rsidRPr="00C0728B" w:rsidRDefault="00C0728B" w:rsidP="663CBE5C">
      <w:pPr>
        <w:pStyle w:val="NormalWeb"/>
        <w:spacing w:before="0" w:beforeAutospacing="0" w:after="0" w:afterAutospacing="0"/>
        <w:jc w:val="both"/>
        <w:rPr>
          <w:rFonts w:asciiTheme="majorHAnsi" w:hAnsiTheme="majorHAnsi" w:cstheme="majorBidi"/>
        </w:rPr>
      </w:pPr>
      <w:r w:rsidRPr="663CBE5C">
        <w:rPr>
          <w:rFonts w:asciiTheme="majorHAnsi" w:hAnsiTheme="majorHAnsi" w:cstheme="majorBidi"/>
        </w:rPr>
        <w:lastRenderedPageBreak/>
        <w:t>This work evaluates three bonding approaches developed to address the constraints of conventional high-temperature and high-pressure assembly methods used for hybrid polycarbonate–silicon microfluidic systems. The platform design is derived from ongoing efforts to develop modular components for a microfluidic extracorporeal membrane oxygenator</w:t>
      </w:r>
      <w:r w:rsidRPr="663CBE5C">
        <w:rPr>
          <w:rFonts w:asciiTheme="majorHAnsi" w:hAnsiTheme="majorHAnsi" w:cstheme="majorBidi"/>
          <w:vertAlign w:val="superscript"/>
        </w:rPr>
        <w:t>17</w:t>
      </w:r>
      <w:r w:rsidRPr="663CBE5C">
        <w:rPr>
          <w:rFonts w:asciiTheme="majorHAnsi" w:hAnsiTheme="majorHAnsi" w:cstheme="majorBidi"/>
        </w:rPr>
        <w:t>. The device incorporates a rigid polycarbonate housing that provides mechanical stability and defines a machined blood flow channel, integrated with a semi-permeable silicon membrane intended to facilitate gas exchange. To isolate bonding performance during testing, a non-porous silicon substrate was used in place of the functional membrane.</w:t>
      </w:r>
    </w:p>
    <w:p w14:paraId="44385FEB" w14:textId="77777777" w:rsidR="00C0728B" w:rsidRPr="00C0728B" w:rsidRDefault="00C0728B" w:rsidP="663CBE5C">
      <w:pPr>
        <w:pStyle w:val="NormalWeb"/>
        <w:spacing w:before="0" w:beforeAutospacing="0" w:after="0" w:afterAutospacing="0"/>
        <w:jc w:val="both"/>
        <w:rPr>
          <w:rFonts w:asciiTheme="majorHAnsi" w:hAnsiTheme="majorHAnsi" w:cstheme="majorBidi"/>
        </w:rPr>
      </w:pPr>
    </w:p>
    <w:p w14:paraId="00000023" w14:textId="6E968C56" w:rsidR="00C916AB" w:rsidRPr="00EC7A08" w:rsidRDefault="003A3C6E" w:rsidP="663CBE5C">
      <w:pPr>
        <w:rPr>
          <w:rFonts w:asciiTheme="majorHAnsi" w:hAnsiTheme="majorHAnsi"/>
          <w:lang w:val="en-US"/>
        </w:rPr>
      </w:pPr>
      <w:r w:rsidRPr="00EC7A08">
        <w:rPr>
          <w:rFonts w:asciiTheme="majorHAnsi" w:hAnsiTheme="majorHAnsi"/>
          <w:lang w:val="en-US"/>
        </w:rPr>
        <w:t>The three bonding approaches evaluated were: 1) a solvent-based method that avoids high-temperature and significant mechanical load with a protective masking strategy to preserve channel geometry, 2) a low-temperature thermal bonding technique incorporating a 100 µm low-density polyethylene (LDPE) interlayer between polycarbonate plates, and 3) a mechanically sealed configuration using an O-ring gasket cord positioned around the fluidic channel. These strategies were systematically compared to determine their feasibility and reliability for rapid prototyping of hybrid microfluidic devices in a laboratory research setting. All methods were designed to enable low-temperature assembly while supporting moderate operating pressures (10–700 mmHg) and flow conditions relevant to blood-contacting microfluidic systems. The following article builds upon a chapter from the dissertation of the first author</w:t>
      </w:r>
      <w:hyperlink r:id="rId20">
        <w:r w:rsidRPr="00EC7A08">
          <w:rPr>
            <w:rFonts w:asciiTheme="majorHAnsi" w:hAnsiTheme="majorHAnsi"/>
            <w:vertAlign w:val="superscript"/>
            <w:lang w:val="en-US"/>
          </w:rPr>
          <w:t>41</w:t>
        </w:r>
      </w:hyperlink>
      <w:r w:rsidRPr="00EC7A08">
        <w:rPr>
          <w:rFonts w:asciiTheme="majorHAnsi" w:hAnsiTheme="majorHAnsi"/>
          <w:lang w:val="en-US"/>
        </w:rPr>
        <w:t>.</w:t>
      </w:r>
    </w:p>
    <w:p w14:paraId="00000024" w14:textId="77777777" w:rsidR="00C916AB" w:rsidRPr="00C0728B" w:rsidRDefault="00C916AB" w:rsidP="00C0728B">
      <w:pPr>
        <w:rPr>
          <w:rFonts w:asciiTheme="majorHAnsi" w:hAnsiTheme="majorHAnsi" w:cstheme="majorHAnsi"/>
        </w:rPr>
      </w:pPr>
    </w:p>
    <w:p w14:paraId="00000025"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PROTOCOL:</w:t>
      </w:r>
      <w:r w:rsidRPr="00C0728B">
        <w:rPr>
          <w:rFonts w:asciiTheme="majorHAnsi" w:hAnsiTheme="majorHAnsi" w:cstheme="majorHAnsi"/>
        </w:rPr>
        <w:t xml:space="preserve"> </w:t>
      </w:r>
    </w:p>
    <w:p w14:paraId="00000026" w14:textId="77777777" w:rsidR="00C916AB" w:rsidRPr="00C0728B" w:rsidRDefault="00C916AB" w:rsidP="00C0728B">
      <w:pPr>
        <w:pBdr>
          <w:top w:val="nil"/>
          <w:left w:val="nil"/>
          <w:bottom w:val="nil"/>
          <w:right w:val="nil"/>
          <w:between w:val="nil"/>
        </w:pBdr>
        <w:rPr>
          <w:rFonts w:asciiTheme="majorHAnsi" w:hAnsiTheme="majorHAnsi" w:cstheme="majorHAnsi"/>
          <w:b/>
        </w:rPr>
      </w:pPr>
    </w:p>
    <w:p w14:paraId="00000027" w14:textId="77777777" w:rsidR="00C916AB" w:rsidRPr="00C0728B" w:rsidRDefault="003A3C6E" w:rsidP="00C0728B">
      <w:pPr>
        <w:numPr>
          <w:ilvl w:val="0"/>
          <w:numId w:val="2"/>
        </w:numPr>
        <w:pBdr>
          <w:top w:val="nil"/>
          <w:left w:val="nil"/>
          <w:bottom w:val="nil"/>
          <w:right w:val="nil"/>
          <w:between w:val="nil"/>
        </w:pBdr>
        <w:ind w:left="0" w:firstLine="0"/>
        <w:rPr>
          <w:rFonts w:asciiTheme="majorHAnsi" w:hAnsiTheme="majorHAnsi" w:cstheme="majorHAnsi"/>
          <w:b/>
        </w:rPr>
      </w:pPr>
      <w:r w:rsidRPr="00C0728B">
        <w:rPr>
          <w:rFonts w:asciiTheme="majorHAnsi" w:hAnsiTheme="majorHAnsi" w:cstheme="majorHAnsi"/>
          <w:b/>
        </w:rPr>
        <w:t>Device design: polycarbonate housing modifications</w:t>
      </w:r>
    </w:p>
    <w:p w14:paraId="00000028" w14:textId="77777777" w:rsidR="00C916AB" w:rsidRPr="00C0728B" w:rsidRDefault="00C916AB" w:rsidP="00C0728B">
      <w:pPr>
        <w:pBdr>
          <w:top w:val="nil"/>
          <w:left w:val="nil"/>
          <w:bottom w:val="nil"/>
          <w:right w:val="nil"/>
          <w:between w:val="nil"/>
        </w:pBdr>
        <w:rPr>
          <w:rFonts w:asciiTheme="majorHAnsi" w:hAnsiTheme="majorHAnsi" w:cstheme="majorHAnsi"/>
          <w:b/>
        </w:rPr>
      </w:pPr>
    </w:p>
    <w:p w14:paraId="00000029" w14:textId="1C89D0F8" w:rsidR="00C916AB" w:rsidRPr="00EC7A08" w:rsidRDefault="003A3C6E" w:rsidP="663CBE5C">
      <w:pPr>
        <w:pBdr>
          <w:top w:val="nil"/>
          <w:left w:val="nil"/>
          <w:bottom w:val="nil"/>
          <w:right w:val="nil"/>
          <w:between w:val="nil"/>
        </w:pBdr>
        <w:rPr>
          <w:rFonts w:asciiTheme="majorHAnsi" w:hAnsiTheme="majorHAnsi"/>
          <w:lang w:val="en-US"/>
        </w:rPr>
      </w:pPr>
      <w:r w:rsidRPr="00EC7A08">
        <w:rPr>
          <w:rFonts w:asciiTheme="majorHAnsi" w:hAnsiTheme="majorHAnsi"/>
          <w:lang w:val="en-US"/>
        </w:rPr>
        <w:t>NOTE: Each bonding strategy required targeted design modification to the polycarbonate housing. The base microfluidic layout was therefore adapted to facilitate simple and effective implementation of different bonding approaches for our hybrid devices. Device design files are provided in</w:t>
      </w:r>
      <w:r w:rsidR="00F233B4" w:rsidRPr="00EC7A08">
        <w:rPr>
          <w:rFonts w:asciiTheme="majorHAnsi" w:hAnsiTheme="majorHAnsi"/>
          <w:lang w:val="en-US"/>
        </w:rPr>
        <w:t xml:space="preserve"> </w:t>
      </w:r>
      <w:r w:rsidR="00F233B4" w:rsidRPr="00EC7A08">
        <w:rPr>
          <w:rFonts w:asciiTheme="majorHAnsi" w:hAnsiTheme="majorHAnsi"/>
          <w:b/>
          <w:lang w:val="en-US"/>
        </w:rPr>
        <w:t>Supplemental File 1</w:t>
      </w:r>
      <w:r w:rsidRPr="00EC7A08">
        <w:rPr>
          <w:rFonts w:asciiTheme="majorHAnsi" w:hAnsiTheme="majorHAnsi"/>
          <w:lang w:val="en-US"/>
        </w:rPr>
        <w:t>.</w:t>
      </w:r>
    </w:p>
    <w:p w14:paraId="0000002A"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2B"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General housing design</w:t>
      </w:r>
    </w:p>
    <w:p w14:paraId="0000002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2D"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Design the polycarbonate layer to include a recessed seat for the silicon chip with an interior perimeter trough to contain epoxy adhesive.</w:t>
      </w:r>
    </w:p>
    <w:p w14:paraId="0000002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2F"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 xml:space="preserve">Design considerations for LDPE bonding </w:t>
      </w:r>
    </w:p>
    <w:p w14:paraId="0000003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1"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Include dowel pin holes in the housing design to allow precise alignment of the polycarbonate layers and the LDPE sheet.</w:t>
      </w:r>
    </w:p>
    <w:p w14:paraId="00000032"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3"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Account for the additional channel height created by the thickness of the LDPE layer.</w:t>
      </w:r>
    </w:p>
    <w:p w14:paraId="00000034"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5"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Ensure that the final LDPE design features are as follows: sealed surface area: ~15 cm</w:t>
      </w:r>
      <w:r w:rsidRPr="00EC7A08">
        <w:rPr>
          <w:rFonts w:asciiTheme="majorHAnsi" w:hAnsiTheme="majorHAnsi"/>
          <w:vertAlign w:val="superscript"/>
          <w:lang w:val="en-US"/>
        </w:rPr>
        <w:t>2</w:t>
      </w:r>
      <w:r w:rsidRPr="00EC7A08">
        <w:rPr>
          <w:rFonts w:asciiTheme="majorHAnsi" w:hAnsiTheme="majorHAnsi"/>
          <w:lang w:val="en-US"/>
        </w:rPr>
        <w:t>, target Channel Height: 200 μm.</w:t>
      </w:r>
    </w:p>
    <w:p w14:paraId="00000036"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7"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lastRenderedPageBreak/>
        <w:t>Design considerations for solvent bonding</w:t>
      </w:r>
    </w:p>
    <w:p w14:paraId="00000038"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9"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Include dowel pin holes to allow alignment between polycarbonate layers.</w:t>
      </w:r>
    </w:p>
    <w:p w14:paraId="0000003A"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B"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Adjust channel height to compensate for potential reduction in height after solvent bonding.</w:t>
      </w:r>
    </w:p>
    <w:p w14:paraId="0000003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D"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Create a lip or ledge by recessing the edges of one polycarbonate piece. This facilitates solvent wicking at the bonding interface.</w:t>
      </w:r>
    </w:p>
    <w:p w14:paraId="0000003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3F"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Ensure that the final solvent design features are as follows: sealed surface area: ~11 cm</w:t>
      </w:r>
      <w:r w:rsidRPr="00EC7A08">
        <w:rPr>
          <w:rFonts w:asciiTheme="majorHAnsi" w:hAnsiTheme="majorHAnsi"/>
          <w:vertAlign w:val="superscript"/>
          <w:lang w:val="en-US"/>
        </w:rPr>
        <w:t>2</w:t>
      </w:r>
      <w:r w:rsidRPr="00EC7A08">
        <w:rPr>
          <w:rFonts w:asciiTheme="majorHAnsi" w:hAnsiTheme="majorHAnsi"/>
          <w:lang w:val="en-US"/>
        </w:rPr>
        <w:t>, target Channel Height: 200 μm.</w:t>
      </w:r>
    </w:p>
    <w:p w14:paraId="0000004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1"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Design considerations for gasket compression bonding</w:t>
      </w:r>
    </w:p>
    <w:p w14:paraId="00000042"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3"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Design a gasket gland for a gasket cord that follows the fluidic channel path. Dimension the gland to achieve approximately 25% compression of the selected gasket cross-section.</w:t>
      </w:r>
    </w:p>
    <w:p w14:paraId="00000044"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5"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Include the gasket gland in the bottom polycarbonate piece; design the top polycarbonate surface to be flat.</w:t>
      </w:r>
    </w:p>
    <w:p w14:paraId="00000046"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7"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Add bolt holes around the perimeter to allow for screws. To create even compression, use washers or strong compression plates. Use bolts for layer alignment during assembly, instead of dowel pins.</w:t>
      </w:r>
    </w:p>
    <w:p w14:paraId="00000048"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9"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Ensure that the final Gasket design features are as follows: sealed surface area: ~3 cm</w:t>
      </w:r>
      <w:r w:rsidRPr="00EC7A08">
        <w:rPr>
          <w:rFonts w:asciiTheme="majorHAnsi" w:hAnsiTheme="majorHAnsi"/>
          <w:vertAlign w:val="superscript"/>
          <w:lang w:val="en-US"/>
        </w:rPr>
        <w:t>2</w:t>
      </w:r>
      <w:r w:rsidRPr="00EC7A08">
        <w:rPr>
          <w:rFonts w:asciiTheme="majorHAnsi" w:hAnsiTheme="majorHAnsi"/>
          <w:lang w:val="en-US"/>
        </w:rPr>
        <w:t>, target Channel Height: 200 μm.</w:t>
      </w:r>
    </w:p>
    <w:p w14:paraId="0000004A" w14:textId="77777777" w:rsidR="00C916AB" w:rsidRPr="00C0728B" w:rsidRDefault="00C916AB" w:rsidP="00C0728B">
      <w:pPr>
        <w:pBdr>
          <w:top w:val="nil"/>
          <w:left w:val="nil"/>
          <w:bottom w:val="nil"/>
          <w:right w:val="nil"/>
          <w:between w:val="nil"/>
        </w:pBdr>
        <w:rPr>
          <w:rFonts w:asciiTheme="majorHAnsi" w:hAnsiTheme="majorHAnsi" w:cstheme="majorHAnsi"/>
          <w:i/>
        </w:rPr>
      </w:pPr>
    </w:p>
    <w:p w14:paraId="0000004B" w14:textId="77777777" w:rsidR="00C916AB" w:rsidRPr="00C0728B" w:rsidRDefault="003A3C6E" w:rsidP="00C0728B">
      <w:pPr>
        <w:numPr>
          <w:ilvl w:val="0"/>
          <w:numId w:val="5"/>
        </w:numPr>
        <w:pBdr>
          <w:top w:val="nil"/>
          <w:left w:val="nil"/>
          <w:bottom w:val="nil"/>
          <w:right w:val="nil"/>
          <w:between w:val="nil"/>
        </w:pBdr>
        <w:ind w:left="0" w:firstLine="0"/>
        <w:rPr>
          <w:rFonts w:asciiTheme="majorHAnsi" w:hAnsiTheme="majorHAnsi" w:cstheme="majorHAnsi"/>
          <w:b/>
        </w:rPr>
      </w:pPr>
      <w:r w:rsidRPr="00C0728B">
        <w:rPr>
          <w:rFonts w:asciiTheme="majorHAnsi" w:hAnsiTheme="majorHAnsi" w:cstheme="majorHAnsi"/>
          <w:b/>
        </w:rPr>
        <w:t>Fabrication and preparation of device layers</w:t>
      </w:r>
    </w:p>
    <w:p w14:paraId="0000004C" w14:textId="77777777" w:rsidR="00C916AB" w:rsidRPr="00C0728B" w:rsidRDefault="00C916AB" w:rsidP="00C0728B">
      <w:pPr>
        <w:pBdr>
          <w:top w:val="nil"/>
          <w:left w:val="nil"/>
          <w:bottom w:val="nil"/>
          <w:right w:val="nil"/>
          <w:between w:val="nil"/>
        </w:pBdr>
        <w:rPr>
          <w:rFonts w:asciiTheme="majorHAnsi" w:hAnsiTheme="majorHAnsi" w:cstheme="majorHAnsi"/>
          <w:b/>
          <w:i/>
        </w:rPr>
      </w:pPr>
    </w:p>
    <w:p w14:paraId="0000004D"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Fabricate the polycarbonate housing.</w:t>
      </w:r>
    </w:p>
    <w:p w14:paraId="0000004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4F"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 xml:space="preserve">Fabricate the polycarbonate layers according to the design specifications using an appropriate method (e.g., CNC milling). To follow this protocol, perform CNC machining to obtain a flat bonding surface and a surface roughness of 0.8 µm. </w:t>
      </w:r>
    </w:p>
    <w:p w14:paraId="0000005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1"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rPr>
        <w:t>NOTE: 3D printing was also evaluated but resulted in bowing, which reduced the effective bonding area.</w:t>
      </w:r>
    </w:p>
    <w:p w14:paraId="00000052"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3"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Clean the polycarbonate housings and silicon chips.</w:t>
      </w:r>
    </w:p>
    <w:p w14:paraId="00000054"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5"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Inspect and clean the fabricated housings for debris, burs, or machining residue under optical magnification. Rinse the parts thoroughly with isopropyl alcohol and allow to dry completely at room temperature.</w:t>
      </w:r>
    </w:p>
    <w:p w14:paraId="00000056"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7"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lastRenderedPageBreak/>
        <w:t xml:space="preserve">Inspect and clean the silicon chips for defects or excess residue. Clean as necessary using isopropyl alcohol to remove particulate debris. </w:t>
      </w:r>
    </w:p>
    <w:p w14:paraId="00000058"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9"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rPr>
        <w:t>NOTE: No further surface preparation was incorporated for the purpose of this evaluation.</w:t>
      </w:r>
    </w:p>
    <w:p w14:paraId="0000005A"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B"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Prepare epoxy adhesive.</w:t>
      </w:r>
    </w:p>
    <w:p w14:paraId="0000005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D"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Mix a two-part epoxy according to the manufacturer's instructions. Allow the epoxy to partially cure at room temperature until it reaches a thicker viscosity suitable for precise application.</w:t>
      </w:r>
    </w:p>
    <w:p w14:paraId="0000005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5F"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 xml:space="preserve">Apply epoxy and mount the silicon chip. </w:t>
      </w:r>
    </w:p>
    <w:p w14:paraId="0000006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1"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Load the viscous epoxy into a syringe fitted with a dispensing needle. Apply a controlled bead of epoxy into the trough surrounding the chip seat.</w:t>
      </w:r>
    </w:p>
    <w:p w14:paraId="00000062"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3" w14:textId="77777777" w:rsidR="00C916AB" w:rsidRPr="00EC7A08" w:rsidRDefault="003A3C6E" w:rsidP="663CBE5C">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Gently place the silicon chip into the recessed seat, ensuring full contact with the epoxy and no trapped air bubbles. Apply additional epoxy as necessary to fill any gaps.</w:t>
      </w:r>
    </w:p>
    <w:p w14:paraId="00000064"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5"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rPr>
        <w:t>NOTE: Using partially cured, viscous epoxy minimizes overflow beyond the bonding area. However, trapped bubbles can create failure points, so consider degassing or poking residual bubbles out of the trough.</w:t>
      </w:r>
    </w:p>
    <w:p w14:paraId="00000066"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7"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 xml:space="preserve">Cure the primary bond. </w:t>
      </w:r>
    </w:p>
    <w:p w14:paraId="00000068"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9" w14:textId="77777777" w:rsidR="00C916AB" w:rsidRPr="00C0728B" w:rsidRDefault="003A3C6E" w:rsidP="00C0728B">
      <w:pPr>
        <w:numPr>
          <w:ilvl w:val="2"/>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Allow the assembly to cure at room temperature or low heat (&lt;40 °C).</w:t>
      </w:r>
    </w:p>
    <w:p w14:paraId="0000006A"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B"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rPr>
        <w:t>NOTE: Avoid excessive heating, as polycarbonate has a low glass transition temperature (150 °C), which can result in warping or bowing.</w:t>
      </w:r>
    </w:p>
    <w:p w14:paraId="0000006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6D" w14:textId="77777777" w:rsidR="00C916AB" w:rsidRPr="00C0728B" w:rsidRDefault="003A3C6E" w:rsidP="00C0728B">
      <w:pPr>
        <w:numPr>
          <w:ilvl w:val="1"/>
          <w:numId w:val="5"/>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 xml:space="preserve">Seal residual gaps. </w:t>
      </w:r>
    </w:p>
    <w:p w14:paraId="0000006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2F7E92B5" w14:textId="59D98903" w:rsidR="00A900B1" w:rsidRPr="00A900B1" w:rsidRDefault="003A3C6E" w:rsidP="00A900B1">
      <w:pPr>
        <w:numPr>
          <w:ilvl w:val="2"/>
          <w:numId w:val="5"/>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Prepare a fresh batch of epoxy and load it into a syringe fitted with a thin needle (27–30 G needle). Run a thin bead of epoxy along the perimeter seam between the silicon and polycarbonate housing, allowing epoxy to fill cracks. Allow the sealant epoxy layer to cure completely before further handling.</w:t>
      </w:r>
    </w:p>
    <w:p w14:paraId="0000007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71" w14:textId="77777777" w:rsidR="00C916AB" w:rsidRPr="00061E04" w:rsidRDefault="003A3C6E" w:rsidP="00C0728B">
      <w:pPr>
        <w:numPr>
          <w:ilvl w:val="0"/>
          <w:numId w:val="5"/>
        </w:numPr>
        <w:pBdr>
          <w:top w:val="nil"/>
          <w:left w:val="nil"/>
          <w:bottom w:val="nil"/>
          <w:right w:val="nil"/>
          <w:between w:val="nil"/>
        </w:pBdr>
        <w:ind w:left="0" w:firstLine="0"/>
        <w:rPr>
          <w:rFonts w:asciiTheme="majorHAnsi" w:hAnsiTheme="majorHAnsi" w:cstheme="majorHAnsi"/>
          <w:b/>
          <w:highlight w:val="yellow"/>
        </w:rPr>
      </w:pPr>
      <w:r w:rsidRPr="00061E04">
        <w:rPr>
          <w:rFonts w:asciiTheme="majorHAnsi" w:hAnsiTheme="majorHAnsi" w:cstheme="majorHAnsi"/>
          <w:b/>
          <w:highlight w:val="yellow"/>
        </w:rPr>
        <w:t xml:space="preserve">Solvent bonding </w:t>
      </w:r>
    </w:p>
    <w:p w14:paraId="00000072" w14:textId="77777777" w:rsidR="00C916AB" w:rsidRPr="00061E04" w:rsidRDefault="00C916AB" w:rsidP="00C0728B">
      <w:pPr>
        <w:pBdr>
          <w:top w:val="nil"/>
          <w:left w:val="nil"/>
          <w:bottom w:val="nil"/>
          <w:right w:val="nil"/>
          <w:between w:val="nil"/>
        </w:pBdr>
        <w:rPr>
          <w:rFonts w:asciiTheme="majorHAnsi" w:hAnsiTheme="majorHAnsi" w:cstheme="majorHAnsi"/>
          <w:b/>
          <w:highlight w:val="yellow"/>
        </w:rPr>
      </w:pPr>
    </w:p>
    <w:p w14:paraId="00000073" w14:textId="77777777" w:rsidR="00C916AB" w:rsidRPr="00061E04" w:rsidRDefault="003A3C6E" w:rsidP="00C0728B">
      <w:pPr>
        <w:numPr>
          <w:ilvl w:val="1"/>
          <w:numId w:val="5"/>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Apply adhesive tape to define the channel walls. Laser-cut adhesive tape to match the shape of the channel walls.</w:t>
      </w:r>
    </w:p>
    <w:p w14:paraId="0000007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5" w14:textId="77777777" w:rsidR="00C916AB" w:rsidRPr="00061E04" w:rsidRDefault="003A3C6E" w:rsidP="00C0728B">
      <w:pPr>
        <w:pBdr>
          <w:top w:val="nil"/>
          <w:left w:val="nil"/>
          <w:bottom w:val="nil"/>
          <w:right w:val="nil"/>
          <w:between w:val="nil"/>
        </w:pBdr>
        <w:rPr>
          <w:rFonts w:asciiTheme="majorHAnsi" w:hAnsiTheme="majorHAnsi" w:cstheme="majorHAnsi"/>
          <w:highlight w:val="yellow"/>
        </w:rPr>
      </w:pPr>
      <w:r w:rsidRPr="00061E04">
        <w:rPr>
          <w:rFonts w:asciiTheme="majorHAnsi" w:hAnsiTheme="majorHAnsi" w:cstheme="majorHAnsi"/>
          <w:highlight w:val="yellow"/>
        </w:rPr>
        <w:t xml:space="preserve">NOTE: Microfluidic diagnostic tape was used for temporary channel walls (see the </w:t>
      </w:r>
      <w:r w:rsidRPr="00061E04">
        <w:rPr>
          <w:rFonts w:asciiTheme="majorHAnsi" w:hAnsiTheme="majorHAnsi" w:cstheme="majorHAnsi"/>
          <w:b/>
          <w:highlight w:val="yellow"/>
        </w:rPr>
        <w:t>Table of Materials</w:t>
      </w:r>
      <w:r w:rsidRPr="00061E04">
        <w:rPr>
          <w:rFonts w:asciiTheme="majorHAnsi" w:hAnsiTheme="majorHAnsi" w:cstheme="majorHAnsi"/>
          <w:highlight w:val="yellow"/>
        </w:rPr>
        <w:t xml:space="preserve">). </w:t>
      </w:r>
    </w:p>
    <w:p w14:paraId="00000076"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7" w14:textId="77777777" w:rsidR="00C916AB" w:rsidRPr="00061E04" w:rsidRDefault="003A3C6E" w:rsidP="00C0728B">
      <w:pPr>
        <w:pBdr>
          <w:top w:val="nil"/>
          <w:left w:val="nil"/>
          <w:bottom w:val="nil"/>
          <w:right w:val="nil"/>
          <w:between w:val="nil"/>
        </w:pBdr>
        <w:rPr>
          <w:rFonts w:asciiTheme="majorHAnsi" w:hAnsiTheme="majorHAnsi" w:cstheme="majorHAnsi"/>
          <w:highlight w:val="yellow"/>
        </w:rPr>
      </w:pPr>
      <w:r w:rsidRPr="00061E04">
        <w:rPr>
          <w:rFonts w:asciiTheme="majorHAnsi" w:hAnsiTheme="majorHAnsi" w:cstheme="majorHAnsi"/>
          <w:highlight w:val="yellow"/>
        </w:rPr>
        <w:lastRenderedPageBreak/>
        <w:t>3.2. Remove one liner layer from the tape. Align and apply the tape to the channel wall surfaces using dowel pins for registration.</w:t>
      </w:r>
    </w:p>
    <w:p w14:paraId="00000078"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9" w14:textId="2092B147" w:rsidR="00C916AB" w:rsidRPr="00061E04" w:rsidRDefault="003A3C6E" w:rsidP="663CBE5C">
      <w:pPr>
        <w:numPr>
          <w:ilvl w:val="1"/>
          <w:numId w:val="3"/>
        </w:numPr>
        <w:pBdr>
          <w:top w:val="nil"/>
          <w:left w:val="nil"/>
          <w:bottom w:val="nil"/>
          <w:right w:val="nil"/>
          <w:between w:val="nil"/>
        </w:pBdr>
        <w:ind w:left="0" w:firstLine="0"/>
        <w:rPr>
          <w:rFonts w:asciiTheme="majorHAnsi" w:hAnsiTheme="majorHAnsi" w:cstheme="majorBidi"/>
          <w:highlight w:val="yellow"/>
        </w:rPr>
      </w:pPr>
      <w:r w:rsidRPr="00061E04">
        <w:rPr>
          <w:rFonts w:asciiTheme="majorHAnsi" w:hAnsiTheme="majorHAnsi" w:cstheme="majorBidi"/>
          <w:highlight w:val="yellow"/>
        </w:rPr>
        <w:t xml:space="preserve">Coat the fluidic channel with </w:t>
      </w:r>
      <w:r w:rsidR="1C130318" w:rsidRPr="00061E04">
        <w:rPr>
          <w:rFonts w:asciiTheme="majorHAnsi" w:hAnsiTheme="majorHAnsi" w:cstheme="majorBidi"/>
          <w:highlight w:val="yellow"/>
        </w:rPr>
        <w:t>p</w:t>
      </w:r>
      <w:r w:rsidRPr="00061E04">
        <w:rPr>
          <w:rFonts w:asciiTheme="majorHAnsi" w:hAnsiTheme="majorHAnsi" w:cstheme="majorBidi"/>
          <w:highlight w:val="yellow"/>
        </w:rPr>
        <w:t>olyvinyl alcohol (PVA). Add enough 1% PVA solution to cover the entire fluidic channel area. Allow the PVA solution to dry completely at room temperature.</w:t>
      </w:r>
    </w:p>
    <w:p w14:paraId="0000007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B" w14:textId="77777777" w:rsidR="00C916AB" w:rsidRPr="00061E04" w:rsidRDefault="003A3C6E" w:rsidP="00C0728B">
      <w:pPr>
        <w:pBdr>
          <w:top w:val="nil"/>
          <w:left w:val="nil"/>
          <w:bottom w:val="nil"/>
          <w:right w:val="nil"/>
          <w:between w:val="nil"/>
        </w:pBdr>
        <w:rPr>
          <w:rFonts w:asciiTheme="majorHAnsi" w:hAnsiTheme="majorHAnsi" w:cstheme="majorHAnsi"/>
          <w:highlight w:val="yellow"/>
        </w:rPr>
      </w:pPr>
      <w:r w:rsidRPr="00061E04">
        <w:rPr>
          <w:rFonts w:asciiTheme="majorHAnsi" w:hAnsiTheme="majorHAnsi" w:cstheme="majorHAnsi"/>
          <w:highlight w:val="yellow"/>
        </w:rPr>
        <w:t>NOTE: PVA does not readily dissolve in dichloromethane, thus protects epoxy, silicon, as well as coatings, such as PDMS and PEG.</w:t>
      </w:r>
    </w:p>
    <w:p w14:paraId="0000007C"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D" w14:textId="373C1A3A" w:rsidR="00C916AB" w:rsidRPr="00061E04" w:rsidRDefault="003A3C6E" w:rsidP="00C0728B">
      <w:pPr>
        <w:numPr>
          <w:ilvl w:val="1"/>
          <w:numId w:val="3"/>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Remove the adhesive mask. Once the PVA layer has fully cured, carefully peel off the double-sided adhesive, leaving a PVA-coated fluidic channel. Inspect and</w:t>
      </w:r>
      <w:r w:rsidR="00651A3A" w:rsidRPr="00061E04">
        <w:rPr>
          <w:rFonts w:asciiTheme="majorHAnsi" w:hAnsiTheme="majorHAnsi" w:cstheme="majorHAnsi"/>
          <w:highlight w:val="yellow"/>
        </w:rPr>
        <w:t>, if necessary, clean any residual adhesive from the channel walls</w:t>
      </w:r>
      <w:r w:rsidRPr="00061E04">
        <w:rPr>
          <w:rFonts w:asciiTheme="majorHAnsi" w:hAnsiTheme="majorHAnsi" w:cstheme="majorHAnsi"/>
          <w:highlight w:val="yellow"/>
        </w:rPr>
        <w:t>.</w:t>
      </w:r>
    </w:p>
    <w:p w14:paraId="0000007E"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7F" w14:textId="77777777" w:rsidR="00C916AB" w:rsidRPr="00061E04" w:rsidRDefault="003A3C6E" w:rsidP="00C0728B">
      <w:pPr>
        <w:numPr>
          <w:ilvl w:val="1"/>
          <w:numId w:val="3"/>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Assemble the polycarbonate layers. Align the top and bottom polycarbonate housings using dowel pins.</w:t>
      </w:r>
    </w:p>
    <w:p w14:paraId="00000080"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1" w14:textId="77777777" w:rsidR="00C916AB" w:rsidRPr="00061E04" w:rsidRDefault="003A3C6E" w:rsidP="663CBE5C">
      <w:pPr>
        <w:numPr>
          <w:ilvl w:val="1"/>
          <w:numId w:val="3"/>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 xml:space="preserve">Apply solvent along the bonding interface. </w:t>
      </w:r>
    </w:p>
    <w:p w14:paraId="00000082"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3" w14:textId="77777777" w:rsidR="00C916AB" w:rsidRPr="00061E04" w:rsidRDefault="003A3C6E" w:rsidP="00C0728B">
      <w:pPr>
        <w:numPr>
          <w:ilvl w:val="2"/>
          <w:numId w:val="3"/>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Fill a 5 mL syringe with a 30 G needle with the chosen solvent (e.g., dichloromethane, acetone). Position the syringe tip at the lip/ledge created in the device design. Carefully dispense the solvent along the lip/ledge on both sides of the assembly, allowing the solvent to wick into the bonding interface and reach the PVA barrier.</w:t>
      </w:r>
    </w:p>
    <w:p w14:paraId="0000008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5" w14:textId="45B3A168" w:rsidR="00C916AB" w:rsidRPr="00061E04" w:rsidRDefault="003A3C6E" w:rsidP="663CBE5C">
      <w:pPr>
        <w:pBdr>
          <w:top w:val="nil"/>
          <w:left w:val="nil"/>
          <w:bottom w:val="nil"/>
          <w:right w:val="nil"/>
          <w:between w:val="nil"/>
        </w:pBdr>
        <w:rPr>
          <w:rFonts w:asciiTheme="majorHAnsi" w:hAnsiTheme="majorHAnsi"/>
          <w:highlight w:val="yellow"/>
          <w:lang w:val="en-US"/>
        </w:rPr>
      </w:pPr>
      <w:r w:rsidRPr="00061E04">
        <w:rPr>
          <w:rFonts w:asciiTheme="majorHAnsi" w:hAnsiTheme="majorHAnsi"/>
          <w:highlight w:val="yellow"/>
          <w:lang w:val="en-US"/>
        </w:rPr>
        <w:t>NOTE: Perform all solvent handling in a chemical fume hood wearing gloves and eye protection. Dispense solvent steadily to minimize bubble formation at the interface. CAUTION: Dispose of excess solvent in a labeled</w:t>
      </w:r>
      <w:r w:rsidR="00651A3A" w:rsidRPr="00061E04">
        <w:rPr>
          <w:rFonts w:asciiTheme="majorHAnsi" w:hAnsiTheme="majorHAnsi"/>
          <w:highlight w:val="yellow"/>
          <w:lang w:val="en-US"/>
        </w:rPr>
        <w:t>, appropriate chemical waste container in accordance with</w:t>
      </w:r>
      <w:r w:rsidRPr="00061E04">
        <w:rPr>
          <w:rFonts w:asciiTheme="majorHAnsi" w:hAnsiTheme="majorHAnsi"/>
          <w:highlight w:val="yellow"/>
          <w:lang w:val="en-US"/>
        </w:rPr>
        <w:t xml:space="preserve"> institutional guidelines.</w:t>
      </w:r>
    </w:p>
    <w:p w14:paraId="00000086"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7" w14:textId="77777777" w:rsidR="00C916AB" w:rsidRPr="00061E04" w:rsidRDefault="003A3C6E" w:rsidP="00C0728B">
      <w:pPr>
        <w:numPr>
          <w:ilvl w:val="1"/>
          <w:numId w:val="3"/>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Apply pressure and cure. </w:t>
      </w:r>
    </w:p>
    <w:p w14:paraId="00000088"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9" w14:textId="77777777" w:rsidR="00C916AB" w:rsidRPr="00061E04" w:rsidRDefault="003A3C6E" w:rsidP="663CBE5C">
      <w:pPr>
        <w:numPr>
          <w:ilvl w:val="2"/>
          <w:numId w:val="3"/>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Place a moderate weight (approximately 2–3 lbs) evenly over the assembled device. Allow the device to cure fully at room temperature for 10–15 min.</w:t>
      </w:r>
    </w:p>
    <w:p w14:paraId="0000008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B" w14:textId="77777777" w:rsidR="00C916AB" w:rsidRPr="00061E04" w:rsidRDefault="003A3C6E" w:rsidP="663CBE5C">
      <w:pPr>
        <w:numPr>
          <w:ilvl w:val="2"/>
          <w:numId w:val="3"/>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Under a microscope, ensure no large bubbles are present to reduce points of failure.</w:t>
      </w:r>
    </w:p>
    <w:p w14:paraId="0000008C"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D" w14:textId="77777777" w:rsidR="00C916AB" w:rsidRPr="00061E04" w:rsidRDefault="003A3C6E" w:rsidP="00C0728B">
      <w:pPr>
        <w:numPr>
          <w:ilvl w:val="1"/>
          <w:numId w:val="3"/>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Remove the PVA sacrificial layer. After curing, flow 80 °C deionized water through the fluidic channel at low flows (1–5 mL/min) for a minimum of 3 h to dissolve and remove the PVA coating. Allow up to 24 h of water flow to ensure complete PVA removal. </w:t>
      </w:r>
    </w:p>
    <w:p w14:paraId="0000008E"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8F" w14:textId="77777777" w:rsidR="00C916AB" w:rsidRPr="00061E04" w:rsidRDefault="003A3C6E" w:rsidP="663CBE5C">
      <w:pPr>
        <w:numPr>
          <w:ilvl w:val="2"/>
          <w:numId w:val="3"/>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Inspect the device visually for residual PVA in the channel. If PVA is apparent, repeat the flow of water until no PVA is visually apparent.</w:t>
      </w:r>
    </w:p>
    <w:p w14:paraId="00000090"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1" w14:textId="77777777" w:rsidR="00C916AB" w:rsidRPr="00061E04" w:rsidRDefault="003A3C6E" w:rsidP="00C0728B">
      <w:pPr>
        <w:numPr>
          <w:ilvl w:val="0"/>
          <w:numId w:val="3"/>
        </w:numPr>
        <w:pBdr>
          <w:top w:val="nil"/>
          <w:left w:val="nil"/>
          <w:bottom w:val="nil"/>
          <w:right w:val="nil"/>
          <w:between w:val="nil"/>
        </w:pBdr>
        <w:ind w:left="0" w:firstLine="0"/>
        <w:rPr>
          <w:rFonts w:asciiTheme="majorHAnsi" w:hAnsiTheme="majorHAnsi" w:cstheme="majorHAnsi"/>
          <w:b/>
          <w:highlight w:val="yellow"/>
        </w:rPr>
      </w:pPr>
      <w:r w:rsidRPr="00061E04">
        <w:rPr>
          <w:rFonts w:asciiTheme="majorHAnsi" w:hAnsiTheme="majorHAnsi" w:cstheme="majorHAnsi"/>
          <w:b/>
          <w:highlight w:val="yellow"/>
        </w:rPr>
        <w:t>LDPE bonding</w:t>
      </w:r>
    </w:p>
    <w:p w14:paraId="00000092" w14:textId="77777777" w:rsidR="00C916AB" w:rsidRPr="00061E04" w:rsidRDefault="00C916AB" w:rsidP="00C0728B">
      <w:pPr>
        <w:pBdr>
          <w:top w:val="nil"/>
          <w:left w:val="nil"/>
          <w:bottom w:val="nil"/>
          <w:right w:val="nil"/>
          <w:between w:val="nil"/>
        </w:pBdr>
        <w:rPr>
          <w:rFonts w:asciiTheme="majorHAnsi" w:hAnsiTheme="majorHAnsi" w:cstheme="majorHAnsi"/>
          <w:b/>
          <w:i/>
          <w:highlight w:val="yellow"/>
        </w:rPr>
      </w:pPr>
    </w:p>
    <w:p w14:paraId="00000093" w14:textId="22DC6CD1"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Prepare LDPE bonding sheets. </w:t>
      </w:r>
      <w:r w:rsidR="00651A3A" w:rsidRPr="00061E04">
        <w:rPr>
          <w:rFonts w:asciiTheme="majorHAnsi" w:hAnsiTheme="majorHAnsi" w:cstheme="majorHAnsi"/>
          <w:highlight w:val="yellow"/>
        </w:rPr>
        <w:t>Laser-cut</w:t>
      </w:r>
      <w:r w:rsidRPr="00061E04">
        <w:rPr>
          <w:rFonts w:asciiTheme="majorHAnsi" w:hAnsiTheme="majorHAnsi" w:cstheme="majorHAnsi"/>
          <w:highlight w:val="yellow"/>
        </w:rPr>
        <w:t xml:space="preserve"> low-density polyethylene (LDPE) sheets to match the shape of the channel wall regions. For a 100–200 µm LDPE sheet, use 75% power and 100% speed for the referenced desktop laser cutter (see the </w:t>
      </w:r>
      <w:r w:rsidRPr="00061E04">
        <w:rPr>
          <w:rFonts w:asciiTheme="majorHAnsi" w:hAnsiTheme="majorHAnsi" w:cstheme="majorHAnsi"/>
          <w:b/>
          <w:highlight w:val="yellow"/>
        </w:rPr>
        <w:t>Table of Materials</w:t>
      </w:r>
      <w:r w:rsidRPr="00061E04">
        <w:rPr>
          <w:rFonts w:asciiTheme="majorHAnsi" w:hAnsiTheme="majorHAnsi" w:cstheme="majorHAnsi"/>
          <w:highlight w:val="yellow"/>
        </w:rPr>
        <w:t xml:space="preserve">). </w:t>
      </w:r>
    </w:p>
    <w:p w14:paraId="0000009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5"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Clean the LDPE sheets. </w:t>
      </w:r>
    </w:p>
    <w:p w14:paraId="00000096"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7"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Inspect the laser-cut LDPE sheets for ash, residue, or particulates. Rinse thoroughly with isopropyl alcohol (IPA) and allow to dry completely.</w:t>
      </w:r>
    </w:p>
    <w:p w14:paraId="00000098"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9"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Assemble the housing with LDPE layers. </w:t>
      </w:r>
    </w:p>
    <w:p w14:paraId="0000009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B"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Align the LDPE cutouts onto the side walls of the fluid channel using dowel pins for registration. Place the top polycarbonate piece onto the bottom assembly, sandwiching the LDPE layers at the bonding interface.</w:t>
      </w:r>
    </w:p>
    <w:p w14:paraId="0000009C"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D"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Bond the assembly in a heated oven. </w:t>
      </w:r>
    </w:p>
    <w:p w14:paraId="0000009E"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9F" w14:textId="56707E9A"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Place the assembled housing into a preheated programmable oven set to 145 </w:t>
      </w:r>
      <w:r w:rsidRPr="00061E04">
        <w:rPr>
          <w:rFonts w:asciiTheme="majorHAnsi" w:eastAsia="Symbol" w:hAnsiTheme="majorHAnsi" w:cstheme="majorHAnsi"/>
          <w:highlight w:val="yellow"/>
        </w:rPr>
        <w:t>°</w:t>
      </w:r>
      <w:r w:rsidRPr="00061E04">
        <w:rPr>
          <w:rFonts w:asciiTheme="majorHAnsi" w:hAnsiTheme="majorHAnsi" w:cstheme="majorHAnsi"/>
          <w:highlight w:val="yellow"/>
        </w:rPr>
        <w:t>C with a temperature sensor.</w:t>
      </w:r>
    </w:p>
    <w:p w14:paraId="000000A0"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1"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Apply moderate pressure (2–3 pounds per square inch (PSI)) on top of the assembly using a calibrated weight such as a metal plate.</w:t>
      </w:r>
    </w:p>
    <w:p w14:paraId="000000A2"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3"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Complete the assembly. </w:t>
      </w:r>
    </w:p>
    <w:p w14:paraId="000000A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5"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After 2 h, remove the assembly from the oven. Ensure an even LDPE transparency across the entire bonded surface area. Allow the device to cool to room temperature under ambient conditions.</w:t>
      </w:r>
    </w:p>
    <w:p w14:paraId="000000A6"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7" w14:textId="77777777" w:rsidR="00C916AB" w:rsidRPr="00061E04" w:rsidRDefault="003A3C6E" w:rsidP="00C0728B">
      <w:pPr>
        <w:numPr>
          <w:ilvl w:val="0"/>
          <w:numId w:val="4"/>
        </w:numPr>
        <w:pBdr>
          <w:top w:val="nil"/>
          <w:left w:val="nil"/>
          <w:bottom w:val="nil"/>
          <w:right w:val="nil"/>
          <w:between w:val="nil"/>
        </w:pBdr>
        <w:ind w:left="0" w:firstLine="0"/>
        <w:rPr>
          <w:rFonts w:asciiTheme="majorHAnsi" w:hAnsiTheme="majorHAnsi" w:cstheme="majorHAnsi"/>
          <w:b/>
          <w:highlight w:val="yellow"/>
        </w:rPr>
      </w:pPr>
      <w:r w:rsidRPr="00061E04">
        <w:rPr>
          <w:rFonts w:asciiTheme="majorHAnsi" w:hAnsiTheme="majorHAnsi" w:cstheme="majorHAnsi"/>
          <w:b/>
          <w:highlight w:val="yellow"/>
        </w:rPr>
        <w:t>Gasket sealing</w:t>
      </w:r>
    </w:p>
    <w:p w14:paraId="000000A8" w14:textId="77777777" w:rsidR="00C916AB" w:rsidRPr="00061E04" w:rsidRDefault="00C916AB" w:rsidP="00C0728B">
      <w:pPr>
        <w:pBdr>
          <w:top w:val="nil"/>
          <w:left w:val="nil"/>
          <w:bottom w:val="nil"/>
          <w:right w:val="nil"/>
          <w:between w:val="nil"/>
        </w:pBdr>
        <w:rPr>
          <w:rFonts w:asciiTheme="majorHAnsi" w:hAnsiTheme="majorHAnsi" w:cstheme="majorHAnsi"/>
          <w:b/>
          <w:i/>
          <w:highlight w:val="yellow"/>
        </w:rPr>
      </w:pPr>
    </w:p>
    <w:p w14:paraId="000000A9"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Cut and place the gasket.</w:t>
      </w:r>
    </w:p>
    <w:p w14:paraId="000000A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B"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Cut the gasket cord material to the required length to match the fluidic channel path.</w:t>
      </w:r>
    </w:p>
    <w:p w14:paraId="000000AC"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D"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Place the gasket cord into the gasket gland on the bottom polycarbonate housing, ensuring a snug and continuous fit along the entire path.</w:t>
      </w:r>
    </w:p>
    <w:p w14:paraId="000000AE"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AF"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Assemble the housing. </w:t>
      </w:r>
    </w:p>
    <w:p w14:paraId="000000B0"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1"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Align the top polycarbonate piece with the bottom piece using bolts for alignment. Insert bolts through the top layer and into the hex nut, including washers or a compression plate as needed to evenly distribute pressure.</w:t>
      </w:r>
    </w:p>
    <w:p w14:paraId="000000B2"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3"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 xml:space="preserve">Tighten the bolts to seal the assembly. </w:t>
      </w:r>
    </w:p>
    <w:p w14:paraId="000000B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5"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Hand-tighten each screw to hold the bolts and device in place.</w:t>
      </w:r>
    </w:p>
    <w:p w14:paraId="000000B6"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7"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Use a torque wrench to tighten each screw, moving in a cross pattern.</w:t>
      </w:r>
    </w:p>
    <w:p w14:paraId="000000B8"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9"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Tighten to 0.5 lb-in to avoid cracking the silicon chip or deforming the polycarbonate housing. Tighten further as necessary.</w:t>
      </w:r>
    </w:p>
    <w:p w14:paraId="000000B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BB" w14:textId="77126D08" w:rsidR="00C916AB" w:rsidRPr="00EC7A08" w:rsidRDefault="003A3C6E" w:rsidP="663CBE5C">
      <w:pPr>
        <w:pBdr>
          <w:top w:val="nil"/>
          <w:left w:val="nil"/>
          <w:bottom w:val="nil"/>
          <w:right w:val="nil"/>
          <w:between w:val="nil"/>
        </w:pBdr>
        <w:rPr>
          <w:rFonts w:asciiTheme="majorHAnsi" w:hAnsiTheme="majorHAnsi"/>
          <w:lang w:val="en-US"/>
        </w:rPr>
      </w:pPr>
      <w:r w:rsidRPr="00061E04">
        <w:rPr>
          <w:rFonts w:asciiTheme="majorHAnsi" w:hAnsiTheme="majorHAnsi"/>
          <w:highlight w:val="yellow"/>
          <w:lang w:val="en-US"/>
        </w:rPr>
        <w:t xml:space="preserve">NOTE: Even compression is critical to ensure a fluid-tight seal and to avoid cracking of </w:t>
      </w:r>
      <w:r w:rsidR="00651A3A" w:rsidRPr="00061E04">
        <w:rPr>
          <w:rFonts w:asciiTheme="majorHAnsi" w:hAnsiTheme="majorHAnsi"/>
          <w:highlight w:val="yellow"/>
          <w:lang w:val="en-US"/>
        </w:rPr>
        <w:t xml:space="preserve">the </w:t>
      </w:r>
      <w:r w:rsidRPr="00061E04">
        <w:rPr>
          <w:rFonts w:asciiTheme="majorHAnsi" w:hAnsiTheme="majorHAnsi"/>
          <w:highlight w:val="yellow"/>
          <w:lang w:val="en-US"/>
        </w:rPr>
        <w:t>silicon.</w:t>
      </w:r>
    </w:p>
    <w:p w14:paraId="000000B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BD" w14:textId="77777777" w:rsidR="00C916AB" w:rsidRPr="00C0728B" w:rsidRDefault="003A3C6E" w:rsidP="00C0728B">
      <w:pPr>
        <w:numPr>
          <w:ilvl w:val="0"/>
          <w:numId w:val="4"/>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b/>
        </w:rPr>
        <w:t>Inlet-outlet (I/O) port</w:t>
      </w:r>
    </w:p>
    <w:p w14:paraId="000000B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BF" w14:textId="463A1A12" w:rsidR="00C916AB" w:rsidRPr="00EC7A08" w:rsidRDefault="003A3C6E" w:rsidP="663CBE5C">
      <w:pPr>
        <w:pBdr>
          <w:top w:val="nil"/>
          <w:left w:val="nil"/>
          <w:bottom w:val="nil"/>
          <w:right w:val="nil"/>
          <w:between w:val="nil"/>
        </w:pBdr>
        <w:rPr>
          <w:rFonts w:asciiTheme="majorHAnsi" w:hAnsiTheme="majorHAnsi"/>
          <w:lang w:val="en-US"/>
        </w:rPr>
      </w:pPr>
      <w:r w:rsidRPr="00EC7A08">
        <w:rPr>
          <w:rFonts w:asciiTheme="majorHAnsi" w:hAnsiTheme="majorHAnsi"/>
          <w:lang w:val="en-US"/>
        </w:rPr>
        <w:t xml:space="preserve">NOTE: The following steps have been optimized for </w:t>
      </w:r>
      <w:r w:rsidR="00651A3A" w:rsidRPr="00EC7A08">
        <w:rPr>
          <w:rFonts w:asciiTheme="majorHAnsi" w:hAnsiTheme="majorHAnsi"/>
          <w:lang w:val="en-US"/>
        </w:rPr>
        <w:t>evaluating</w:t>
      </w:r>
      <w:r w:rsidRPr="00EC7A08">
        <w:rPr>
          <w:rFonts w:asciiTheme="majorHAnsi" w:hAnsiTheme="majorHAnsi"/>
          <w:lang w:val="en-US"/>
        </w:rPr>
        <w:t xml:space="preserve"> our hybrid device design, as outlined in the remainder of the protocol. The following steps in this section are not required for use of the bonding techniques. The I/O port design used in this portion has been added to </w:t>
      </w:r>
      <w:r w:rsidR="00F233B4" w:rsidRPr="00EC7A08">
        <w:rPr>
          <w:rFonts w:asciiTheme="majorHAnsi" w:hAnsiTheme="majorHAnsi"/>
          <w:b/>
          <w:lang w:val="en-US"/>
        </w:rPr>
        <w:t>Supplemental File 1</w:t>
      </w:r>
      <w:r w:rsidRPr="00EC7A08">
        <w:rPr>
          <w:rFonts w:asciiTheme="majorHAnsi" w:hAnsiTheme="majorHAnsi"/>
          <w:lang w:val="en-US"/>
        </w:rPr>
        <w:t>.</w:t>
      </w:r>
    </w:p>
    <w:p w14:paraId="000000C0"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1" w14:textId="77777777" w:rsidR="00C916AB" w:rsidRPr="00EC7A08" w:rsidRDefault="003A3C6E" w:rsidP="663CBE5C">
      <w:pPr>
        <w:numPr>
          <w:ilvl w:val="1"/>
          <w:numId w:val="4"/>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 xml:space="preserve">Design and fabricate the appropriate I/O port for the microfluidic design. </w:t>
      </w:r>
    </w:p>
    <w:p w14:paraId="000000C2"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3" w14:textId="77777777" w:rsidR="00C916AB" w:rsidRPr="00EC7A08" w:rsidRDefault="003A3C6E" w:rsidP="663CBE5C">
      <w:pPr>
        <w:numPr>
          <w:ilvl w:val="2"/>
          <w:numId w:val="4"/>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 xml:space="preserve">Design an I/O port that can fit with the microfluidic design and attach to a fluidic circuit (i.e., tube fitting, luer lock). </w:t>
      </w:r>
    </w:p>
    <w:p w14:paraId="000000C4"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5" w14:textId="77777777" w:rsidR="00C916AB" w:rsidRPr="00EC7A08" w:rsidRDefault="003A3C6E" w:rsidP="663CBE5C">
      <w:pPr>
        <w:numPr>
          <w:ilvl w:val="2"/>
          <w:numId w:val="4"/>
        </w:numPr>
        <w:pBdr>
          <w:top w:val="nil"/>
          <w:left w:val="nil"/>
          <w:bottom w:val="nil"/>
          <w:right w:val="nil"/>
          <w:between w:val="nil"/>
        </w:pBdr>
        <w:ind w:left="0" w:firstLine="0"/>
        <w:rPr>
          <w:rFonts w:asciiTheme="majorHAnsi" w:hAnsiTheme="majorHAnsi"/>
          <w:lang w:val="en-US"/>
        </w:rPr>
      </w:pPr>
      <w:r w:rsidRPr="00EC7A08">
        <w:rPr>
          <w:rFonts w:asciiTheme="majorHAnsi" w:hAnsiTheme="majorHAnsi"/>
          <w:lang w:val="en-US"/>
        </w:rPr>
        <w:t xml:space="preserve">3D print the design with a high-precision 3D printer. </w:t>
      </w:r>
    </w:p>
    <w:p w14:paraId="000000C6"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7" w14:textId="77777777" w:rsidR="00C916AB" w:rsidRPr="00EC7A08" w:rsidRDefault="003A3C6E" w:rsidP="663CBE5C">
      <w:pPr>
        <w:pBdr>
          <w:top w:val="nil"/>
          <w:left w:val="nil"/>
          <w:bottom w:val="nil"/>
          <w:right w:val="nil"/>
          <w:between w:val="nil"/>
        </w:pBdr>
        <w:rPr>
          <w:rFonts w:asciiTheme="majorHAnsi" w:hAnsiTheme="majorHAnsi"/>
          <w:lang w:val="en-US"/>
        </w:rPr>
      </w:pPr>
      <w:r w:rsidRPr="00EC7A08">
        <w:rPr>
          <w:rFonts w:asciiTheme="majorHAnsi" w:hAnsiTheme="majorHAnsi"/>
          <w:lang w:val="en-US"/>
        </w:rPr>
        <w:t>NOTE: Other I/O ports can be used for the design, such as purchased I/O ports or luer-locked connectors.</w:t>
      </w:r>
    </w:p>
    <w:p w14:paraId="000000C8"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9" w14:textId="77777777" w:rsidR="00C916AB" w:rsidRPr="00C0728B" w:rsidRDefault="003A3C6E" w:rsidP="00C0728B">
      <w:pPr>
        <w:numPr>
          <w:ilvl w:val="1"/>
          <w:numId w:val="4"/>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 xml:space="preserve">Attach the I/O ports to the assembled microfluidic device. </w:t>
      </w:r>
    </w:p>
    <w:p w14:paraId="000000CA"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B" w14:textId="77777777" w:rsidR="00C916AB" w:rsidRPr="00C0728B" w:rsidRDefault="003A3C6E" w:rsidP="00C0728B">
      <w:pPr>
        <w:numPr>
          <w:ilvl w:val="2"/>
          <w:numId w:val="4"/>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Prepare epoxy according to the manufacturer's instructions and place it in a 1 mL syringe with a 27 G needle.</w:t>
      </w:r>
    </w:p>
    <w:p w14:paraId="000000CC"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D" w14:textId="77777777" w:rsidR="00C916AB" w:rsidRPr="00C0728B" w:rsidRDefault="003A3C6E" w:rsidP="00C0728B">
      <w:pPr>
        <w:numPr>
          <w:ilvl w:val="2"/>
          <w:numId w:val="4"/>
        </w:numPr>
        <w:pBdr>
          <w:top w:val="nil"/>
          <w:left w:val="nil"/>
          <w:bottom w:val="nil"/>
          <w:right w:val="nil"/>
          <w:between w:val="nil"/>
        </w:pBdr>
        <w:ind w:left="0" w:firstLine="0"/>
        <w:rPr>
          <w:rFonts w:asciiTheme="majorHAnsi" w:hAnsiTheme="majorHAnsi" w:cstheme="majorHAnsi"/>
        </w:rPr>
      </w:pPr>
      <w:r w:rsidRPr="00C0728B">
        <w:rPr>
          <w:rFonts w:asciiTheme="majorHAnsi" w:hAnsiTheme="majorHAnsi" w:cstheme="majorHAnsi"/>
        </w:rPr>
        <w:t>Dispense 100–200 µL onto the I/O ports face, taking care not to get epoxy in the flow path, and attach the I/O ports to the microfluidic device ports. Allow to cure for 24 h.</w:t>
      </w:r>
    </w:p>
    <w:p w14:paraId="000000CE" w14:textId="77777777" w:rsidR="00C916AB" w:rsidRPr="00C0728B" w:rsidRDefault="00C916AB" w:rsidP="00C0728B">
      <w:pPr>
        <w:pBdr>
          <w:top w:val="nil"/>
          <w:left w:val="nil"/>
          <w:bottom w:val="nil"/>
          <w:right w:val="nil"/>
          <w:between w:val="nil"/>
        </w:pBdr>
        <w:rPr>
          <w:rFonts w:asciiTheme="majorHAnsi" w:hAnsiTheme="majorHAnsi" w:cstheme="majorHAnsi"/>
        </w:rPr>
      </w:pPr>
    </w:p>
    <w:p w14:paraId="000000CF" w14:textId="77777777" w:rsidR="00C916AB" w:rsidRPr="00061E04" w:rsidRDefault="003A3C6E" w:rsidP="00C0728B">
      <w:pPr>
        <w:numPr>
          <w:ilvl w:val="0"/>
          <w:numId w:val="4"/>
        </w:numPr>
        <w:pBdr>
          <w:top w:val="nil"/>
          <w:left w:val="nil"/>
          <w:bottom w:val="nil"/>
          <w:right w:val="nil"/>
          <w:between w:val="nil"/>
        </w:pBdr>
        <w:ind w:left="0" w:firstLine="0"/>
        <w:rPr>
          <w:rFonts w:asciiTheme="majorHAnsi" w:hAnsiTheme="majorHAnsi" w:cstheme="majorHAnsi"/>
          <w:b/>
          <w:highlight w:val="yellow"/>
        </w:rPr>
      </w:pPr>
      <w:r w:rsidRPr="00061E04">
        <w:rPr>
          <w:rFonts w:asciiTheme="majorHAnsi" w:hAnsiTheme="majorHAnsi" w:cstheme="majorHAnsi"/>
          <w:b/>
          <w:highlight w:val="yellow"/>
        </w:rPr>
        <w:t>Testing the device</w:t>
      </w:r>
    </w:p>
    <w:p w14:paraId="000000D0" w14:textId="77777777" w:rsidR="00C916AB" w:rsidRPr="00061E04" w:rsidRDefault="00C916AB" w:rsidP="00C0728B">
      <w:pPr>
        <w:pBdr>
          <w:top w:val="nil"/>
          <w:left w:val="nil"/>
          <w:bottom w:val="nil"/>
          <w:right w:val="nil"/>
          <w:between w:val="nil"/>
        </w:pBdr>
        <w:rPr>
          <w:rFonts w:asciiTheme="majorHAnsi" w:hAnsiTheme="majorHAnsi" w:cstheme="majorHAnsi"/>
          <w:b/>
          <w:i/>
          <w:highlight w:val="yellow"/>
        </w:rPr>
      </w:pPr>
    </w:p>
    <w:p w14:paraId="000000D1"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Connect the hybrid microfluidic device to a fluidic circuit.</w:t>
      </w:r>
    </w:p>
    <w:p w14:paraId="000000D2"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D3"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 xml:space="preserve">Using peristaltic pump tubing (see the </w:t>
      </w:r>
      <w:r w:rsidRPr="00061E04">
        <w:rPr>
          <w:rFonts w:asciiTheme="majorHAnsi" w:hAnsiTheme="majorHAnsi"/>
          <w:b/>
          <w:highlight w:val="yellow"/>
          <w:lang w:val="en-US"/>
        </w:rPr>
        <w:t>Table of Materials</w:t>
      </w:r>
      <w:r w:rsidRPr="00061E04">
        <w:rPr>
          <w:rFonts w:asciiTheme="majorHAnsi" w:hAnsiTheme="majorHAnsi"/>
          <w:highlight w:val="yellow"/>
          <w:lang w:val="en-US"/>
        </w:rPr>
        <w:t>), connect a water reservoir, roller pump, pressure sensor, and the hybrid microfluidic device in series.</w:t>
      </w:r>
    </w:p>
    <w:p w14:paraId="000000D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D5"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lastRenderedPageBreak/>
        <w:t>Position the pressure sensor as close to the device inlet as possible to ensure accurate pressure measurements.</w:t>
      </w:r>
    </w:p>
    <w:p w14:paraId="000000D6" w14:textId="77777777" w:rsidR="00C916AB" w:rsidRPr="00061E04" w:rsidRDefault="00C916AB" w:rsidP="00C0728B">
      <w:pPr>
        <w:rPr>
          <w:rFonts w:asciiTheme="majorHAnsi" w:hAnsiTheme="majorHAnsi" w:cstheme="majorHAnsi"/>
          <w:highlight w:val="yellow"/>
        </w:rPr>
      </w:pPr>
    </w:p>
    <w:p w14:paraId="000000D7"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Pressure and leak testing</w:t>
      </w:r>
    </w:p>
    <w:p w14:paraId="000000D8"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D9"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Pump water through the circuit at an initial flow rate of 10 mL/min.</w:t>
      </w:r>
    </w:p>
    <w:p w14:paraId="000000DA"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DB"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Increase the flow rate in increments of 10 mL/min every minute.</w:t>
      </w:r>
    </w:p>
    <w:p w14:paraId="000000DC" w14:textId="77777777" w:rsidR="00C916AB" w:rsidRPr="00061E04" w:rsidRDefault="00C916AB" w:rsidP="00C0728B">
      <w:pPr>
        <w:rPr>
          <w:rFonts w:asciiTheme="majorHAnsi" w:hAnsiTheme="majorHAnsi" w:cstheme="majorHAnsi"/>
          <w:highlight w:val="yellow"/>
        </w:rPr>
      </w:pPr>
    </w:p>
    <w:p w14:paraId="000000DD"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Measure and record the pressure at each flow rate. If additional pressure is required, add a needle restriction downstream of the device to increase circuit resistance.</w:t>
      </w:r>
    </w:p>
    <w:p w14:paraId="000000DE" w14:textId="77777777" w:rsidR="00C916AB" w:rsidRPr="00061E04" w:rsidRDefault="00C916AB" w:rsidP="00C0728B">
      <w:pPr>
        <w:rPr>
          <w:rFonts w:asciiTheme="majorHAnsi" w:hAnsiTheme="majorHAnsi" w:cstheme="majorHAnsi"/>
          <w:highlight w:val="yellow"/>
        </w:rPr>
      </w:pPr>
    </w:p>
    <w:p w14:paraId="000000DF"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Define the rated pressure as the pressure at which the first visible leak occurs.</w:t>
      </w:r>
    </w:p>
    <w:p w14:paraId="000000E0" w14:textId="77777777" w:rsidR="00C916AB" w:rsidRPr="00061E04" w:rsidRDefault="00C916AB" w:rsidP="00C0728B">
      <w:pPr>
        <w:rPr>
          <w:rFonts w:asciiTheme="majorHAnsi" w:hAnsiTheme="majorHAnsi" w:cstheme="majorHAnsi"/>
          <w:highlight w:val="yellow"/>
        </w:rPr>
      </w:pPr>
    </w:p>
    <w:p w14:paraId="000000E1" w14:textId="77777777" w:rsidR="00C916AB" w:rsidRPr="00061E04" w:rsidRDefault="003A3C6E" w:rsidP="00C0728B">
      <w:pPr>
        <w:numPr>
          <w:ilvl w:val="1"/>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Pressure drop testing</w:t>
      </w:r>
    </w:p>
    <w:p w14:paraId="000000E2"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E3" w14:textId="77777777" w:rsidR="00C916AB" w:rsidRPr="00061E04" w:rsidRDefault="003A3C6E" w:rsidP="663CBE5C">
      <w:pPr>
        <w:numPr>
          <w:ilvl w:val="2"/>
          <w:numId w:val="4"/>
        </w:numPr>
        <w:pBdr>
          <w:top w:val="nil"/>
          <w:left w:val="nil"/>
          <w:bottom w:val="nil"/>
          <w:right w:val="nil"/>
          <w:between w:val="nil"/>
        </w:pBdr>
        <w:ind w:left="0" w:firstLine="0"/>
        <w:rPr>
          <w:rFonts w:asciiTheme="majorHAnsi" w:hAnsiTheme="majorHAnsi"/>
          <w:highlight w:val="yellow"/>
          <w:lang w:val="en-US"/>
        </w:rPr>
      </w:pPr>
      <w:r w:rsidRPr="00061E04">
        <w:rPr>
          <w:rFonts w:asciiTheme="majorHAnsi" w:hAnsiTheme="majorHAnsi"/>
          <w:highlight w:val="yellow"/>
          <w:lang w:val="en-US"/>
        </w:rPr>
        <w:t>Using the same circuit, insert a second pressure sensor immediately downstream of the device.</w:t>
      </w:r>
    </w:p>
    <w:p w14:paraId="000000E4" w14:textId="77777777" w:rsidR="00C916AB" w:rsidRPr="00061E04" w:rsidRDefault="00C916AB" w:rsidP="00C0728B">
      <w:pPr>
        <w:pBdr>
          <w:top w:val="nil"/>
          <w:left w:val="nil"/>
          <w:bottom w:val="nil"/>
          <w:right w:val="nil"/>
          <w:between w:val="nil"/>
        </w:pBdr>
        <w:rPr>
          <w:rFonts w:asciiTheme="majorHAnsi" w:hAnsiTheme="majorHAnsi" w:cstheme="majorHAnsi"/>
          <w:highlight w:val="yellow"/>
        </w:rPr>
      </w:pPr>
    </w:p>
    <w:p w14:paraId="000000E5"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Flow water at a selected flow rate (10 mL/min in this study).</w:t>
      </w:r>
    </w:p>
    <w:p w14:paraId="000000E6" w14:textId="77777777" w:rsidR="00C916AB" w:rsidRPr="00061E04" w:rsidRDefault="00C916AB" w:rsidP="00C0728B">
      <w:pPr>
        <w:rPr>
          <w:rFonts w:asciiTheme="majorHAnsi" w:hAnsiTheme="majorHAnsi" w:cstheme="majorHAnsi"/>
          <w:highlight w:val="yellow"/>
        </w:rPr>
      </w:pPr>
    </w:p>
    <w:p w14:paraId="000000E7" w14:textId="77777777" w:rsidR="00C916AB" w:rsidRPr="00061E04" w:rsidRDefault="003A3C6E" w:rsidP="00C0728B">
      <w:pPr>
        <w:numPr>
          <w:ilvl w:val="2"/>
          <w:numId w:val="4"/>
        </w:numPr>
        <w:pBdr>
          <w:top w:val="nil"/>
          <w:left w:val="nil"/>
          <w:bottom w:val="nil"/>
          <w:right w:val="nil"/>
          <w:between w:val="nil"/>
        </w:pBdr>
        <w:ind w:left="0" w:firstLine="0"/>
        <w:rPr>
          <w:rFonts w:asciiTheme="majorHAnsi" w:hAnsiTheme="majorHAnsi" w:cstheme="majorHAnsi"/>
          <w:highlight w:val="yellow"/>
        </w:rPr>
      </w:pPr>
      <w:r w:rsidRPr="00061E04">
        <w:rPr>
          <w:rFonts w:asciiTheme="majorHAnsi" w:hAnsiTheme="majorHAnsi" w:cstheme="majorHAnsi"/>
          <w:highlight w:val="yellow"/>
        </w:rPr>
        <w:t>Calculate the pressure drop across the device as the difference between the pre and post device pressure measurements.</w:t>
      </w:r>
    </w:p>
    <w:p w14:paraId="000000E8" w14:textId="77777777" w:rsidR="00C916AB" w:rsidRPr="00C0728B" w:rsidRDefault="00C916AB" w:rsidP="00C0728B">
      <w:pPr>
        <w:rPr>
          <w:rFonts w:asciiTheme="majorHAnsi" w:hAnsiTheme="majorHAnsi" w:cstheme="majorHAnsi"/>
        </w:rPr>
      </w:pPr>
    </w:p>
    <w:p w14:paraId="000000E9"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b/>
        </w:rPr>
        <w:t>REPRESENTATIVE RESULTS:</w:t>
      </w:r>
    </w:p>
    <w:p w14:paraId="1E9894A0"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r w:rsidRPr="00C0728B">
        <w:rPr>
          <w:rFonts w:asciiTheme="majorHAnsi" w:hAnsiTheme="majorHAnsi" w:cstheme="majorHAnsi"/>
          <w:b/>
          <w:bCs/>
        </w:rPr>
        <w:t>Figure 1</w:t>
      </w:r>
      <w:r w:rsidRPr="00C0728B">
        <w:rPr>
          <w:rFonts w:asciiTheme="majorHAnsi" w:hAnsiTheme="majorHAnsi" w:cstheme="majorHAnsi"/>
        </w:rPr>
        <w:t xml:space="preserve"> summarizes the overall assembly sequence for the three bonding approaches evaluated in this study. The device architecture consisted of two machined polycarbonate layers, each incorporating a fluidic channel. A silicon element was bonded to each layer to complete half of the intended flow path. The selected sealing strategies were then used to join the two polycarbonate assemblies, thereby enclosing the microchannel. Performance metrics for each configuration are presented in </w:t>
      </w:r>
      <w:r w:rsidRPr="00C0728B">
        <w:rPr>
          <w:rFonts w:asciiTheme="majorHAnsi" w:hAnsiTheme="majorHAnsi" w:cstheme="majorHAnsi"/>
          <w:b/>
          <w:bCs/>
        </w:rPr>
        <w:t>Table 1</w:t>
      </w:r>
      <w:r w:rsidRPr="00C0728B">
        <w:rPr>
          <w:rFonts w:asciiTheme="majorHAnsi" w:hAnsiTheme="majorHAnsi" w:cstheme="majorHAnsi"/>
        </w:rPr>
        <w:t>, including maximum sustainable pressure prior to leakage, pressure drop measured at 10 mL/min water flow, and post-bonding channel height measurements</w:t>
      </w:r>
      <w:r w:rsidRPr="00C0728B">
        <w:rPr>
          <w:rFonts w:asciiTheme="majorHAnsi" w:hAnsiTheme="majorHAnsi" w:cstheme="majorHAnsi"/>
          <w:vertAlign w:val="superscript"/>
        </w:rPr>
        <w:t>41</w:t>
      </w:r>
      <w:r w:rsidRPr="00C0728B">
        <w:rPr>
          <w:rFonts w:asciiTheme="majorHAnsi" w:hAnsiTheme="majorHAnsi" w:cstheme="majorHAnsi"/>
        </w:rPr>
        <w:t>.</w:t>
      </w:r>
    </w:p>
    <w:p w14:paraId="464D8837"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p>
    <w:p w14:paraId="5E8A8F32" w14:textId="58B1B899" w:rsidR="00210635" w:rsidRPr="00C0728B" w:rsidRDefault="00210635" w:rsidP="663CBE5C">
      <w:pPr>
        <w:pStyle w:val="NormalWeb"/>
        <w:spacing w:before="0" w:beforeAutospacing="0" w:after="0" w:afterAutospacing="0"/>
        <w:jc w:val="both"/>
        <w:rPr>
          <w:rFonts w:asciiTheme="majorHAnsi" w:hAnsiTheme="majorHAnsi" w:cstheme="majorBidi"/>
        </w:rPr>
      </w:pPr>
      <w:r w:rsidRPr="663CBE5C">
        <w:rPr>
          <w:rFonts w:asciiTheme="majorHAnsi" w:hAnsiTheme="majorHAnsi" w:cstheme="majorBidi"/>
          <w:b/>
          <w:bCs/>
        </w:rPr>
        <w:t>Figure 2</w:t>
      </w:r>
      <w:r w:rsidRPr="663CBE5C">
        <w:rPr>
          <w:rFonts w:asciiTheme="majorHAnsi" w:hAnsiTheme="majorHAnsi" w:cstheme="majorBidi"/>
        </w:rPr>
        <w:t xml:space="preserve"> presents the exploded CAD rendering, assembled configuration, and final prototype obtained using solvent bonding. Devices fabricated using this approach tolerated leak-testing pressures up to 692 mmHg. When failure occurred, it was observed at the polycarbonate–silicon junction or at the inlet/outlet fittings, rather than at the polycarbonate–polycarbonate bond interface. The solvent-sealed interface consistently exceeded pressures typical of blood-contacting microfluidic systems (&lt;100 mmHg). Application of a PVA sacrificial coating prior to solvent exposure preserved channel geometry despite excess solvent delivery. In some cases, slight optical haze was noted adjacent to the channel boundaries, potentially resulting from partial d</w:t>
      </w:r>
      <w:r w:rsidR="496EF2B4" w:rsidRPr="663CBE5C">
        <w:rPr>
          <w:rFonts w:asciiTheme="majorHAnsi" w:hAnsiTheme="majorHAnsi" w:cstheme="majorBidi"/>
        </w:rPr>
        <w:t>etachment of the</w:t>
      </w:r>
      <w:r w:rsidRPr="663CBE5C">
        <w:rPr>
          <w:rFonts w:asciiTheme="majorHAnsi" w:hAnsiTheme="majorHAnsi" w:cstheme="majorBidi"/>
        </w:rPr>
        <w:t xml:space="preserve"> PVA layer during </w:t>
      </w:r>
      <w:r w:rsidR="686C8137" w:rsidRPr="663CBE5C">
        <w:rPr>
          <w:rFonts w:asciiTheme="majorHAnsi" w:hAnsiTheme="majorHAnsi" w:cstheme="majorBidi"/>
        </w:rPr>
        <w:t>the solvent</w:t>
      </w:r>
      <w:r w:rsidRPr="663CBE5C">
        <w:rPr>
          <w:rFonts w:asciiTheme="majorHAnsi" w:hAnsiTheme="majorHAnsi" w:cstheme="majorBidi"/>
        </w:rPr>
        <w:t xml:space="preserve"> curing process</w:t>
      </w:r>
      <w:r w:rsidRPr="663CBE5C">
        <w:rPr>
          <w:rFonts w:asciiTheme="majorHAnsi" w:hAnsiTheme="majorHAnsi" w:cstheme="majorBidi"/>
          <w:vertAlign w:val="superscript"/>
        </w:rPr>
        <w:t>41</w:t>
      </w:r>
      <w:r w:rsidRPr="663CBE5C">
        <w:rPr>
          <w:rFonts w:asciiTheme="majorHAnsi" w:hAnsiTheme="majorHAnsi" w:cstheme="majorBidi"/>
        </w:rPr>
        <w:t>.</w:t>
      </w:r>
    </w:p>
    <w:p w14:paraId="7A67F9E4"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p>
    <w:p w14:paraId="04A45F8A" w14:textId="569A6414" w:rsidR="00210635" w:rsidRPr="00C0728B" w:rsidRDefault="00210635" w:rsidP="663CBE5C">
      <w:pPr>
        <w:pStyle w:val="NormalWeb"/>
        <w:spacing w:before="0" w:beforeAutospacing="0" w:after="0" w:afterAutospacing="0"/>
        <w:jc w:val="both"/>
        <w:rPr>
          <w:rFonts w:asciiTheme="majorHAnsi" w:hAnsiTheme="majorHAnsi" w:cstheme="majorBidi"/>
        </w:rPr>
      </w:pPr>
      <w:r w:rsidRPr="663CBE5C">
        <w:rPr>
          <w:rFonts w:asciiTheme="majorHAnsi" w:hAnsiTheme="majorHAnsi" w:cstheme="majorBidi"/>
          <w:b/>
          <w:bCs/>
        </w:rPr>
        <w:lastRenderedPageBreak/>
        <w:t>Figure 3</w:t>
      </w:r>
      <w:r w:rsidRPr="663CBE5C">
        <w:rPr>
          <w:rFonts w:asciiTheme="majorHAnsi" w:hAnsiTheme="majorHAnsi" w:cstheme="majorBidi"/>
        </w:rPr>
        <w:t xml:space="preserve"> illustrates the CAD components, assembled device, and completed prototype generated using the LDPE interlayer technique. At a flow rate of 10 mL/min, these devices exhibited a pressure drop of 196 mmHg. Post-bond evaluation demonstrated deformation of the flow channel due to partial LDPE intrusion, along with measurable reductions in channel height. These effects were likely attributable to extended thermal exposure durin</w:t>
      </w:r>
      <w:r w:rsidR="4B5B94AB" w:rsidRPr="663CBE5C">
        <w:rPr>
          <w:rFonts w:asciiTheme="majorHAnsi" w:hAnsiTheme="majorHAnsi" w:cstheme="majorBidi"/>
        </w:rPr>
        <w:t>g oven bonding</w:t>
      </w:r>
      <w:r w:rsidRPr="663CBE5C">
        <w:rPr>
          <w:rFonts w:asciiTheme="majorHAnsi" w:hAnsiTheme="majorHAnsi" w:cstheme="majorBidi"/>
        </w:rPr>
        <w:t>. Additionally, incomplete adhesion between LDPE and polycarbonate surfaces led to localized bond delamination in several devices</w:t>
      </w:r>
      <w:r w:rsidRPr="663CBE5C">
        <w:rPr>
          <w:rFonts w:asciiTheme="majorHAnsi" w:hAnsiTheme="majorHAnsi" w:cstheme="majorBidi"/>
          <w:vertAlign w:val="superscript"/>
        </w:rPr>
        <w:t>41</w:t>
      </w:r>
      <w:r w:rsidRPr="663CBE5C">
        <w:rPr>
          <w:rFonts w:asciiTheme="majorHAnsi" w:hAnsiTheme="majorHAnsi" w:cstheme="majorBidi"/>
        </w:rPr>
        <w:t>.</w:t>
      </w:r>
    </w:p>
    <w:p w14:paraId="161C6487"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p>
    <w:p w14:paraId="30F1D39A"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r w:rsidRPr="00C0728B">
        <w:rPr>
          <w:rFonts w:asciiTheme="majorHAnsi" w:hAnsiTheme="majorHAnsi" w:cstheme="majorHAnsi"/>
          <w:b/>
          <w:bCs/>
        </w:rPr>
        <w:t>Figure 4</w:t>
      </w:r>
      <w:r w:rsidRPr="00C0728B">
        <w:rPr>
          <w:rFonts w:asciiTheme="majorHAnsi" w:hAnsiTheme="majorHAnsi" w:cstheme="majorHAnsi"/>
        </w:rPr>
        <w:t xml:space="preserve"> shows the CAD model, assembled configuration, and physical prototype employing a gasket-based mechanical sealing strategy. This configuration sustained pressures up to 239 mmHg before leakage, with a low measured pressure drop of 2 mmHg at 10 mL/min. Even compression provided by washers contributed to stable channel dimensions and consistent sealing. Among the techniques tested, the gasket method demonstrated the highest reproducibility and the cleanest visual interfaces. Leakage events, when present, were typically confined to regions with reduced compressive force, often located farther from the washer positions</w:t>
      </w:r>
      <w:r w:rsidRPr="00C0728B">
        <w:rPr>
          <w:rFonts w:asciiTheme="majorHAnsi" w:hAnsiTheme="majorHAnsi" w:cstheme="majorHAnsi"/>
          <w:vertAlign w:val="superscript"/>
        </w:rPr>
        <w:t>41</w:t>
      </w:r>
      <w:r w:rsidRPr="00C0728B">
        <w:rPr>
          <w:rFonts w:asciiTheme="majorHAnsi" w:hAnsiTheme="majorHAnsi" w:cstheme="majorHAnsi"/>
        </w:rPr>
        <w:t>.</w:t>
      </w:r>
    </w:p>
    <w:p w14:paraId="571DD33E" w14:textId="77777777" w:rsidR="00210635" w:rsidRPr="00C0728B" w:rsidRDefault="00210635" w:rsidP="00C0728B">
      <w:pPr>
        <w:pStyle w:val="NormalWeb"/>
        <w:spacing w:before="0" w:beforeAutospacing="0" w:after="0" w:afterAutospacing="0"/>
        <w:jc w:val="both"/>
        <w:rPr>
          <w:rFonts w:asciiTheme="majorHAnsi" w:hAnsiTheme="majorHAnsi" w:cstheme="majorHAnsi"/>
        </w:rPr>
      </w:pPr>
    </w:p>
    <w:p w14:paraId="000000F2"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FIGURE AND TABLE LEGENDS:</w:t>
      </w:r>
      <w:r w:rsidRPr="00C0728B">
        <w:rPr>
          <w:rFonts w:asciiTheme="majorHAnsi" w:hAnsiTheme="majorHAnsi" w:cstheme="majorHAnsi"/>
        </w:rPr>
        <w:t xml:space="preserve"> </w:t>
      </w:r>
    </w:p>
    <w:p w14:paraId="000000F3" w14:textId="77777777" w:rsidR="00C916AB" w:rsidRPr="00C0728B" w:rsidRDefault="00C916AB" w:rsidP="00C0728B">
      <w:pPr>
        <w:rPr>
          <w:rFonts w:asciiTheme="majorHAnsi" w:hAnsiTheme="majorHAnsi" w:cstheme="majorHAnsi"/>
        </w:rPr>
      </w:pPr>
    </w:p>
    <w:p w14:paraId="000000F4" w14:textId="4785A8E5" w:rsidR="00C916AB" w:rsidRPr="00EC7A08" w:rsidRDefault="003A3C6E" w:rsidP="663CBE5C">
      <w:pPr>
        <w:rPr>
          <w:rFonts w:asciiTheme="majorHAnsi" w:hAnsiTheme="majorHAnsi"/>
          <w:b/>
          <w:lang w:val="en-US"/>
        </w:rPr>
      </w:pPr>
      <w:r w:rsidRPr="00EC7A08">
        <w:rPr>
          <w:rFonts w:asciiTheme="majorHAnsi" w:hAnsiTheme="majorHAnsi"/>
          <w:b/>
          <w:lang w:val="en-US"/>
        </w:rPr>
        <w:t xml:space="preserve">Figure 1. Schematic of assembly process for polycarbonate-silicon bonding, polycarbonate-polycarbonate solvent bonding, low-density polyethylene bonding, and gasket sealing. </w:t>
      </w:r>
      <w:r w:rsidRPr="00EC7A08">
        <w:rPr>
          <w:rFonts w:asciiTheme="majorHAnsi" w:hAnsiTheme="majorHAnsi"/>
          <w:lang w:val="en-US"/>
        </w:rPr>
        <w:t xml:space="preserve">Polycarbonate is machined to incorporate part of the flow path. A recessed seat in the polycarbonate allows for silicon to be bonded with epoxy to complete the flow path for half the device. Three strategies were taken to bond the polycarbonate-silicon to the other polycarbonate-silicon half. Solvent bonding uses dowel pins to help control the final channel height and align the half plates. A lip/ledge is formed from the top and bottom polycarbonate plates, allowing for a syringe to apply the solvent. LDPE utilizes dowel pins to align the LDPE sheet with the flow path on the polycarbonate. LDPE has a lower melting point than polycarbonate, allowing for LDPE to act as an adhesive without distorting the polycarbonate flow path. Gasket sealing utilized an O-ring gasket cord to create a seal between the two polycarbonate plates. Screws and washers were incorporated to create the necessary compression to form the seal. </w:t>
      </w:r>
      <w:r w:rsidR="00A55DCD" w:rsidRPr="00EC7A08">
        <w:rPr>
          <w:rFonts w:asciiTheme="majorHAnsi" w:hAnsiTheme="majorHAnsi"/>
          <w:lang w:val="en-US"/>
        </w:rPr>
        <w:t>This figure was taken from Higgins</w:t>
      </w:r>
      <w:r w:rsidR="00A55DCD" w:rsidRPr="00EC7A08">
        <w:rPr>
          <w:rFonts w:asciiTheme="majorHAnsi" w:hAnsiTheme="majorHAnsi"/>
          <w:vertAlign w:val="superscript"/>
          <w:lang w:val="en-US"/>
        </w:rPr>
        <w:t>41</w:t>
      </w:r>
      <w:r w:rsidR="00A55DCD" w:rsidRPr="00EC7A08">
        <w:rPr>
          <w:rFonts w:asciiTheme="majorHAnsi" w:hAnsiTheme="majorHAnsi"/>
          <w:lang w:val="en-US"/>
        </w:rPr>
        <w:t xml:space="preserve">. </w:t>
      </w:r>
      <w:r w:rsidRPr="00EC7A08">
        <w:rPr>
          <w:rFonts w:asciiTheme="majorHAnsi" w:hAnsiTheme="majorHAnsi"/>
          <w:lang w:val="en-US"/>
        </w:rPr>
        <w:t xml:space="preserve">Abbreviation: LDPE = low-density polyethylene. </w:t>
      </w:r>
    </w:p>
    <w:p w14:paraId="000000F5" w14:textId="77777777" w:rsidR="00C916AB" w:rsidRPr="00C0728B" w:rsidRDefault="00C916AB" w:rsidP="00C0728B">
      <w:pPr>
        <w:rPr>
          <w:rFonts w:asciiTheme="majorHAnsi" w:hAnsiTheme="majorHAnsi" w:cstheme="majorHAnsi"/>
          <w:b/>
        </w:rPr>
      </w:pPr>
    </w:p>
    <w:p w14:paraId="000000F6" w14:textId="661CA31D" w:rsidR="00C916AB" w:rsidRPr="00C0728B" w:rsidRDefault="003A3C6E" w:rsidP="00C0728B">
      <w:pPr>
        <w:rPr>
          <w:rFonts w:asciiTheme="majorHAnsi" w:hAnsiTheme="majorHAnsi" w:cstheme="majorHAnsi"/>
        </w:rPr>
      </w:pPr>
      <w:r w:rsidRPr="00C0728B">
        <w:rPr>
          <w:rFonts w:asciiTheme="majorHAnsi" w:hAnsiTheme="majorHAnsi" w:cstheme="majorHAnsi"/>
          <w:b/>
        </w:rPr>
        <w:t xml:space="preserve">Figure 2. Solvent bonding construction. </w:t>
      </w:r>
      <w:r w:rsidRPr="00C0728B">
        <w:rPr>
          <w:rFonts w:asciiTheme="majorHAnsi" w:hAnsiTheme="majorHAnsi" w:cstheme="majorHAnsi"/>
        </w:rPr>
        <w:t>(</w:t>
      </w:r>
      <w:r w:rsidRPr="00C0728B">
        <w:rPr>
          <w:rFonts w:asciiTheme="majorHAnsi" w:hAnsiTheme="majorHAnsi" w:cstheme="majorHAnsi"/>
          <w:b/>
        </w:rPr>
        <w:t>A</w:t>
      </w:r>
      <w:r w:rsidRPr="00C0728B">
        <w:rPr>
          <w:rFonts w:asciiTheme="majorHAnsi" w:hAnsiTheme="majorHAnsi" w:cstheme="majorHAnsi"/>
        </w:rPr>
        <w:t>) Exploded view of CAD assembly of solvent bonding construction: a. top polycarbonate plate b. solid silicon chip c. 3/16” x 1/8” dowel pins d. bonding surface area e. lip/ledge of the polycarbonate plate f. bottom polycarbonate plate. Solvent bonding creates a strong seal by polymer crosslinking at the polycarbonate-polycarbonate interface. Solvent is administered between the two polycarbonate pieces, allowing for mobility of the polymer chains. (</w:t>
      </w:r>
      <w:r w:rsidRPr="00C0728B">
        <w:rPr>
          <w:rFonts w:asciiTheme="majorHAnsi" w:hAnsiTheme="majorHAnsi" w:cstheme="majorHAnsi"/>
          <w:b/>
        </w:rPr>
        <w:t>B</w:t>
      </w:r>
      <w:r w:rsidRPr="00C0728B">
        <w:rPr>
          <w:rFonts w:asciiTheme="majorHAnsi" w:hAnsiTheme="majorHAnsi" w:cstheme="majorHAnsi"/>
        </w:rPr>
        <w:t>) CAD assembly of solvent-bonding construction. The seam created between the two polycarbonate pieces becomes the point of solvent distribution. Our design incorporates a small ledge that allows the needle to follow the seam, enabling improved solvent distribution. (</w:t>
      </w:r>
      <w:r w:rsidRPr="00C0728B">
        <w:rPr>
          <w:rFonts w:asciiTheme="majorHAnsi" w:hAnsiTheme="majorHAnsi" w:cstheme="majorHAnsi"/>
          <w:b/>
        </w:rPr>
        <w:t>C</w:t>
      </w:r>
      <w:r w:rsidRPr="00C0728B">
        <w:rPr>
          <w:rFonts w:asciiTheme="majorHAnsi" w:hAnsiTheme="majorHAnsi" w:cstheme="majorHAnsi"/>
        </w:rPr>
        <w:t xml:space="preserve">) Complete in-house assembly of the solvent-bonded hybrid microfluidic device. </w:t>
      </w:r>
      <w:r w:rsidR="00A55DCD" w:rsidRPr="00C0728B">
        <w:rPr>
          <w:rFonts w:asciiTheme="majorHAnsi" w:hAnsiTheme="majorHAnsi" w:cstheme="majorHAnsi"/>
        </w:rPr>
        <w:t>This figure was taken from Higgins</w:t>
      </w:r>
      <w:r w:rsidR="00A55DCD" w:rsidRPr="00C0728B">
        <w:rPr>
          <w:rFonts w:asciiTheme="majorHAnsi" w:hAnsiTheme="majorHAnsi" w:cstheme="majorHAnsi"/>
          <w:vertAlign w:val="superscript"/>
        </w:rPr>
        <w:t>41</w:t>
      </w:r>
      <w:r w:rsidR="00A55DCD" w:rsidRPr="00C0728B">
        <w:rPr>
          <w:rFonts w:asciiTheme="majorHAnsi" w:hAnsiTheme="majorHAnsi" w:cstheme="majorHAnsi"/>
        </w:rPr>
        <w:t xml:space="preserve">. </w:t>
      </w:r>
      <w:r w:rsidRPr="00C0728B">
        <w:rPr>
          <w:rFonts w:asciiTheme="majorHAnsi" w:hAnsiTheme="majorHAnsi" w:cstheme="majorHAnsi"/>
        </w:rPr>
        <w:t xml:space="preserve">Abbreviation: CAD = computer-aided design. </w:t>
      </w:r>
    </w:p>
    <w:p w14:paraId="000000F7" w14:textId="77777777" w:rsidR="00C916AB" w:rsidRPr="00C0728B" w:rsidRDefault="00C916AB" w:rsidP="00C0728B">
      <w:pPr>
        <w:rPr>
          <w:rFonts w:asciiTheme="majorHAnsi" w:hAnsiTheme="majorHAnsi" w:cstheme="majorHAnsi"/>
        </w:rPr>
      </w:pPr>
    </w:p>
    <w:p w14:paraId="000000F8" w14:textId="46CC9A02" w:rsidR="00C916AB" w:rsidRPr="00EC7A08" w:rsidRDefault="003A3C6E" w:rsidP="663CBE5C">
      <w:pPr>
        <w:rPr>
          <w:rFonts w:asciiTheme="majorHAnsi" w:hAnsiTheme="majorHAnsi"/>
          <w:lang w:val="en-US"/>
        </w:rPr>
      </w:pPr>
      <w:r w:rsidRPr="00EC7A08">
        <w:rPr>
          <w:rFonts w:asciiTheme="majorHAnsi" w:hAnsiTheme="majorHAnsi"/>
          <w:b/>
          <w:lang w:val="en-US"/>
        </w:rPr>
        <w:lastRenderedPageBreak/>
        <w:t>Figure 3. Low-density polyethylene construction.</w:t>
      </w:r>
      <w:r w:rsidRPr="00EC7A08">
        <w:rPr>
          <w:rFonts w:asciiTheme="majorHAnsi" w:hAnsiTheme="majorHAnsi"/>
          <w:lang w:val="en-US"/>
        </w:rPr>
        <w:t xml:space="preserve"> (</w:t>
      </w:r>
      <w:r w:rsidRPr="00EC7A08">
        <w:rPr>
          <w:rFonts w:asciiTheme="majorHAnsi" w:hAnsiTheme="majorHAnsi"/>
          <w:b/>
          <w:lang w:val="en-US"/>
        </w:rPr>
        <w:t>A</w:t>
      </w:r>
      <w:r w:rsidRPr="00EC7A08">
        <w:rPr>
          <w:rFonts w:asciiTheme="majorHAnsi" w:hAnsiTheme="majorHAnsi"/>
          <w:lang w:val="en-US"/>
        </w:rPr>
        <w:t xml:space="preserve">) Exploded view of CAD assembly of LDPE bonding construction: a. top polycarbonate plate b. silicon chip c. 3/16" x 1/8" dowel pins d. 100 µm LDPE e. LDPE-Polycarbonate bonding area f. bottom polycarbonate plate. LDPE acts as a </w:t>
      </w:r>
      <w:r w:rsidR="00651A3A" w:rsidRPr="00EC7A08">
        <w:rPr>
          <w:rFonts w:asciiTheme="majorHAnsi" w:hAnsiTheme="majorHAnsi"/>
          <w:lang w:val="en-US"/>
        </w:rPr>
        <w:t>low-temperature</w:t>
      </w:r>
      <w:r w:rsidRPr="00EC7A08">
        <w:rPr>
          <w:rFonts w:asciiTheme="majorHAnsi" w:hAnsiTheme="majorHAnsi"/>
          <w:lang w:val="en-US"/>
        </w:rPr>
        <w:t xml:space="preserve"> thermal bonding film. The polycarbonate is then protected from higher temperatures that could distort the flow path. (</w:t>
      </w:r>
      <w:r w:rsidRPr="00EC7A08">
        <w:rPr>
          <w:rFonts w:asciiTheme="majorHAnsi" w:hAnsiTheme="majorHAnsi"/>
          <w:b/>
          <w:lang w:val="en-US"/>
        </w:rPr>
        <w:t>B</w:t>
      </w:r>
      <w:r w:rsidRPr="00EC7A08">
        <w:rPr>
          <w:rFonts w:asciiTheme="majorHAnsi" w:hAnsiTheme="majorHAnsi"/>
          <w:lang w:val="en-US"/>
        </w:rPr>
        <w:t xml:space="preserve">) CAD assembly of LDPE construction. The LDPE sheet is aligned between the two polycarbonate pieces by the dowel pins. (C) Complete in-house assembly of the LDPE-bonded hybrid microfluidic device. The black regions show where the melted LDPE is located between the two polycarbonate sheets. </w:t>
      </w:r>
      <w:r w:rsidR="00A55DCD" w:rsidRPr="00EC7A08">
        <w:rPr>
          <w:rFonts w:asciiTheme="majorHAnsi" w:hAnsiTheme="majorHAnsi"/>
          <w:lang w:val="en-US"/>
        </w:rPr>
        <w:t>This figure was taken from Higgins</w:t>
      </w:r>
      <w:r w:rsidR="00A55DCD" w:rsidRPr="00EC7A08">
        <w:rPr>
          <w:rFonts w:asciiTheme="majorHAnsi" w:hAnsiTheme="majorHAnsi"/>
          <w:vertAlign w:val="superscript"/>
          <w:lang w:val="en-US"/>
        </w:rPr>
        <w:t>41</w:t>
      </w:r>
      <w:r w:rsidR="00A55DCD" w:rsidRPr="00EC7A08">
        <w:rPr>
          <w:rFonts w:asciiTheme="majorHAnsi" w:hAnsiTheme="majorHAnsi"/>
          <w:lang w:val="en-US"/>
        </w:rPr>
        <w:t xml:space="preserve">. </w:t>
      </w:r>
      <w:r w:rsidRPr="00EC7A08">
        <w:rPr>
          <w:rFonts w:asciiTheme="majorHAnsi" w:hAnsiTheme="majorHAnsi"/>
          <w:lang w:val="en-US"/>
        </w:rPr>
        <w:t xml:space="preserve">Abbreviations: LDPE = low-density polyethylene; CAD = computer-aided design. </w:t>
      </w:r>
    </w:p>
    <w:p w14:paraId="000000F9" w14:textId="77777777" w:rsidR="00C916AB" w:rsidRPr="00C0728B" w:rsidRDefault="00C916AB" w:rsidP="00C0728B">
      <w:pPr>
        <w:rPr>
          <w:rFonts w:asciiTheme="majorHAnsi" w:hAnsiTheme="majorHAnsi" w:cstheme="majorHAnsi"/>
        </w:rPr>
      </w:pPr>
    </w:p>
    <w:p w14:paraId="000000FA" w14:textId="38F73EF6" w:rsidR="00C916AB" w:rsidRPr="00EC7A08" w:rsidRDefault="003A3C6E" w:rsidP="663CBE5C">
      <w:pPr>
        <w:rPr>
          <w:rFonts w:asciiTheme="majorHAnsi" w:hAnsiTheme="majorHAnsi"/>
          <w:b/>
          <w:lang w:val="en-US"/>
        </w:rPr>
      </w:pPr>
      <w:r w:rsidRPr="00EC7A08">
        <w:rPr>
          <w:rFonts w:asciiTheme="majorHAnsi" w:hAnsiTheme="majorHAnsi"/>
          <w:b/>
          <w:lang w:val="en-US"/>
        </w:rPr>
        <w:t xml:space="preserve">Figure 4. Gasket cord construction. </w:t>
      </w:r>
      <w:r w:rsidRPr="00EC7A08">
        <w:rPr>
          <w:rFonts w:asciiTheme="majorHAnsi" w:hAnsiTheme="majorHAnsi"/>
          <w:lang w:val="en-US"/>
        </w:rPr>
        <w:t>(</w:t>
      </w:r>
      <w:r w:rsidRPr="00EC7A08">
        <w:rPr>
          <w:rFonts w:asciiTheme="majorHAnsi" w:hAnsiTheme="majorHAnsi"/>
          <w:b/>
          <w:lang w:val="en-US"/>
        </w:rPr>
        <w:t>A</w:t>
      </w:r>
      <w:r w:rsidRPr="00EC7A08">
        <w:rPr>
          <w:rFonts w:asciiTheme="majorHAnsi" w:hAnsiTheme="majorHAnsi"/>
          <w:lang w:val="en-US"/>
        </w:rPr>
        <w:t>) Exploded view of CAD assembly of gasket construction: a. Ultra low-profile 6-32 screws b. washer c. top polycarbonate plate d. silicon chip e. 1 mm O-ring gasket cord f. fluid flow path g. gasket gland h. bottom polycarbonate plate with gasket gland g. hex nuts. This gasket assembly takes advantage of mechanical compression. The bottom polycarbonate plate is designed with the gasket gland to hold the gasket in place. The top polycarbonate plate is flush to create the necessary compression. (</w:t>
      </w:r>
      <w:r w:rsidRPr="00EC7A08">
        <w:rPr>
          <w:rFonts w:asciiTheme="majorHAnsi" w:hAnsiTheme="majorHAnsi"/>
          <w:b/>
          <w:lang w:val="en-US"/>
        </w:rPr>
        <w:t>B</w:t>
      </w:r>
      <w:r w:rsidRPr="00EC7A08">
        <w:rPr>
          <w:rFonts w:asciiTheme="majorHAnsi" w:hAnsiTheme="majorHAnsi"/>
          <w:lang w:val="en-US"/>
        </w:rPr>
        <w:t>) CAD assembly of gasket construction. In this iteration, screws were used to apply the force needed to compress the two polycarbonate plates. (</w:t>
      </w:r>
      <w:r w:rsidRPr="00EC7A08">
        <w:rPr>
          <w:rFonts w:asciiTheme="majorHAnsi" w:hAnsiTheme="majorHAnsi"/>
          <w:b/>
          <w:lang w:val="en-US"/>
        </w:rPr>
        <w:t>C</w:t>
      </w:r>
      <w:r w:rsidRPr="00EC7A08">
        <w:rPr>
          <w:rFonts w:asciiTheme="majorHAnsi" w:hAnsiTheme="majorHAnsi"/>
          <w:lang w:val="en-US"/>
        </w:rPr>
        <w:t xml:space="preserve">) Complete in-house assembly of the O-ring gasket cord assembly. The black gasket can be seen outlining the flow path, creating the necessary seal for fluid flow. </w:t>
      </w:r>
      <w:r w:rsidR="00A55DCD" w:rsidRPr="00EC7A08">
        <w:rPr>
          <w:rFonts w:asciiTheme="majorHAnsi" w:hAnsiTheme="majorHAnsi"/>
          <w:lang w:val="en-US"/>
        </w:rPr>
        <w:t>This figure was taken from Higgins</w:t>
      </w:r>
      <w:r w:rsidR="00A55DCD" w:rsidRPr="00EC7A08">
        <w:rPr>
          <w:rFonts w:asciiTheme="majorHAnsi" w:hAnsiTheme="majorHAnsi"/>
          <w:vertAlign w:val="superscript"/>
          <w:lang w:val="en-US"/>
        </w:rPr>
        <w:t>41</w:t>
      </w:r>
      <w:r w:rsidR="00A55DCD" w:rsidRPr="00EC7A08">
        <w:rPr>
          <w:rFonts w:asciiTheme="majorHAnsi" w:hAnsiTheme="majorHAnsi"/>
          <w:lang w:val="en-US"/>
        </w:rPr>
        <w:t xml:space="preserve">. </w:t>
      </w:r>
      <w:r w:rsidRPr="00EC7A08">
        <w:rPr>
          <w:rFonts w:asciiTheme="majorHAnsi" w:hAnsiTheme="majorHAnsi"/>
          <w:lang w:val="en-US"/>
        </w:rPr>
        <w:t>Abbreviation: CAD = computer-aided design.</w:t>
      </w:r>
    </w:p>
    <w:p w14:paraId="000000FB" w14:textId="77777777" w:rsidR="00C916AB" w:rsidRPr="00C0728B" w:rsidRDefault="00C916AB" w:rsidP="00C0728B">
      <w:pPr>
        <w:rPr>
          <w:rFonts w:asciiTheme="majorHAnsi" w:hAnsiTheme="majorHAnsi" w:cstheme="majorHAnsi"/>
          <w:b/>
        </w:rPr>
      </w:pPr>
    </w:p>
    <w:p w14:paraId="000000FC" w14:textId="30DCE7B7" w:rsidR="00C916AB" w:rsidRPr="00EC7A08" w:rsidRDefault="003A3C6E" w:rsidP="663CBE5C">
      <w:pPr>
        <w:rPr>
          <w:rFonts w:asciiTheme="majorHAnsi" w:hAnsiTheme="majorHAnsi"/>
          <w:lang w:val="en-US"/>
        </w:rPr>
      </w:pPr>
      <w:r w:rsidRPr="00EC7A08">
        <w:rPr>
          <w:rFonts w:asciiTheme="majorHAnsi" w:hAnsiTheme="majorHAnsi"/>
          <w:b/>
          <w:lang w:val="en-US"/>
        </w:rPr>
        <w:t xml:space="preserve">Table 1. Construction method parameters and results. </w:t>
      </w:r>
      <w:r w:rsidRPr="00EC7A08">
        <w:rPr>
          <w:rFonts w:asciiTheme="majorHAnsi" w:hAnsiTheme="majorHAnsi"/>
          <w:lang w:val="en-US"/>
        </w:rPr>
        <w:t>Summary of rated pressure (n = 4 for all methods), pressure drop (n = 4 for all methods), and channel height for solvent bonding (n = 4), LDPE bonding (n = 3), and gasket bonding (n = 2). Rated pressure is defined as the maximum pressure sustained prior to mechanical failure or leakage of the channel. Flow was increased slowly in increments of 10 mL/min for 1 min at each level. Pressure was measured across the device, and the device was assessed for leaks at each level. The level at which leaks began to form was designated the rated pressure. Pressure drop was measured at 10 mL/min water flow rate, and the pressure lost across the device was recorded. Channel height was measured using a digital micrometer after bonding. Success rate is presented as the percentage of channels that achieved a rated pressure threshold of &gt;200 mmHg</w:t>
      </w:r>
      <w:hyperlink r:id="rId21">
        <w:r w:rsidRPr="00EC7A08">
          <w:rPr>
            <w:rFonts w:asciiTheme="majorHAnsi" w:hAnsiTheme="majorHAnsi"/>
            <w:vertAlign w:val="superscript"/>
            <w:lang w:val="en-US"/>
          </w:rPr>
          <w:t>41</w:t>
        </w:r>
      </w:hyperlink>
      <w:r w:rsidRPr="00EC7A08">
        <w:rPr>
          <w:rFonts w:asciiTheme="majorHAnsi" w:hAnsiTheme="majorHAnsi"/>
          <w:lang w:val="en-US"/>
        </w:rPr>
        <w:t>.</w:t>
      </w:r>
      <w:r w:rsidR="00A55DCD" w:rsidRPr="00EC7A08">
        <w:rPr>
          <w:rFonts w:asciiTheme="majorHAnsi" w:hAnsiTheme="majorHAnsi"/>
          <w:lang w:val="en-US"/>
        </w:rPr>
        <w:t xml:space="preserve"> </w:t>
      </w:r>
    </w:p>
    <w:p w14:paraId="000000FD" w14:textId="77777777" w:rsidR="00C916AB" w:rsidRPr="00C0728B" w:rsidRDefault="00C916AB" w:rsidP="00C0728B">
      <w:pPr>
        <w:rPr>
          <w:rFonts w:asciiTheme="majorHAnsi" w:hAnsiTheme="majorHAnsi" w:cstheme="majorHAnsi"/>
        </w:rPr>
      </w:pPr>
    </w:p>
    <w:p w14:paraId="000000FE" w14:textId="1E2F95D5" w:rsidR="00C916AB" w:rsidRPr="00EC7A08" w:rsidRDefault="003A3C6E" w:rsidP="663CBE5C">
      <w:pPr>
        <w:rPr>
          <w:rFonts w:asciiTheme="majorHAnsi" w:hAnsiTheme="majorHAnsi"/>
          <w:vertAlign w:val="superscript"/>
          <w:lang w:val="en-US"/>
        </w:rPr>
      </w:pPr>
      <w:r w:rsidRPr="00EC7A08">
        <w:rPr>
          <w:rFonts w:asciiTheme="majorHAnsi" w:hAnsiTheme="majorHAnsi"/>
          <w:b/>
          <w:lang w:val="en-US"/>
        </w:rPr>
        <w:t>Supplemental Figure S1.</w:t>
      </w:r>
      <w:r w:rsidRPr="00EC7A08">
        <w:rPr>
          <w:rFonts w:asciiTheme="majorHAnsi" w:hAnsiTheme="majorHAnsi"/>
          <w:lang w:val="en-US"/>
        </w:rPr>
        <w:t xml:space="preserve"> </w:t>
      </w:r>
      <w:r w:rsidRPr="00EC7A08">
        <w:rPr>
          <w:rFonts w:asciiTheme="majorHAnsi" w:hAnsiTheme="majorHAnsi"/>
          <w:b/>
          <w:lang w:val="en-US"/>
        </w:rPr>
        <w:t xml:space="preserve">Assorted microfluidic devices that utilize </w:t>
      </w:r>
      <w:r w:rsidR="00651A3A" w:rsidRPr="00EC7A08">
        <w:rPr>
          <w:rFonts w:asciiTheme="majorHAnsi" w:hAnsiTheme="majorHAnsi"/>
          <w:b/>
          <w:lang w:val="en-US"/>
        </w:rPr>
        <w:t xml:space="preserve">a </w:t>
      </w:r>
      <w:r w:rsidRPr="00EC7A08">
        <w:rPr>
          <w:rFonts w:asciiTheme="majorHAnsi" w:hAnsiTheme="majorHAnsi"/>
          <w:b/>
          <w:lang w:val="en-US"/>
        </w:rPr>
        <w:t>silicon-thermoplastic hybrid microfluidic assembly.</w:t>
      </w:r>
      <w:r w:rsidRPr="00EC7A08">
        <w:rPr>
          <w:rFonts w:asciiTheme="majorHAnsi" w:hAnsiTheme="majorHAnsi"/>
          <w:lang w:val="en-US"/>
        </w:rPr>
        <w:t xml:space="preserve"> (</w:t>
      </w:r>
      <w:r w:rsidRPr="00EC7A08">
        <w:rPr>
          <w:rFonts w:asciiTheme="majorHAnsi" w:hAnsiTheme="majorHAnsi"/>
          <w:b/>
          <w:lang w:val="en-US"/>
        </w:rPr>
        <w:t>A</w:t>
      </w:r>
      <w:r w:rsidRPr="00EC7A08">
        <w:rPr>
          <w:rFonts w:asciiTheme="majorHAnsi" w:hAnsiTheme="majorHAnsi"/>
          <w:lang w:val="en-US"/>
        </w:rPr>
        <w:t>) Microchannel device for on-site cell-based scheme detection of coagulation from blood. H</w:t>
      </w:r>
      <w:r w:rsidRPr="00EC7A08">
        <w:rPr>
          <w:rFonts w:asciiTheme="majorHAnsi" w:hAnsiTheme="majorHAnsi"/>
          <w:vertAlign w:val="subscript"/>
          <w:lang w:val="en-US"/>
        </w:rPr>
        <w:t>2</w:t>
      </w:r>
      <w:r w:rsidRPr="00EC7A08">
        <w:rPr>
          <w:rFonts w:asciiTheme="majorHAnsi" w:hAnsiTheme="majorHAnsi"/>
          <w:lang w:val="en-US"/>
        </w:rPr>
        <w:t>O plasma treatment was used to bond PMMA and double-sided polished silicon substrates (Adapted from Chiang et al.)</w:t>
      </w:r>
      <w:hyperlink r:id="rId22">
        <w:r w:rsidRPr="00EC7A08">
          <w:rPr>
            <w:rFonts w:asciiTheme="majorHAnsi" w:hAnsiTheme="majorHAnsi"/>
            <w:vertAlign w:val="superscript"/>
            <w:lang w:val="en-US"/>
          </w:rPr>
          <w:t>16</w:t>
        </w:r>
      </w:hyperlink>
      <w:r w:rsidRPr="00EC7A08">
        <w:rPr>
          <w:rFonts w:asciiTheme="majorHAnsi" w:hAnsiTheme="majorHAnsi"/>
          <w:lang w:val="en-US"/>
        </w:rPr>
        <w:t>. (</w:t>
      </w:r>
      <w:r w:rsidRPr="00EC7A08">
        <w:rPr>
          <w:rFonts w:asciiTheme="majorHAnsi" w:hAnsiTheme="majorHAnsi"/>
          <w:b/>
          <w:lang w:val="en-US"/>
        </w:rPr>
        <w:t>B</w:t>
      </w:r>
      <w:r w:rsidRPr="00EC7A08">
        <w:rPr>
          <w:rFonts w:asciiTheme="majorHAnsi" w:hAnsiTheme="majorHAnsi"/>
          <w:lang w:val="en-US"/>
        </w:rPr>
        <w:t>) PMMA microfluidic devices. PMMA was bonded to glass via capillarity-assisted adhesive delivery. (Adapted from Matellan et al.)</w:t>
      </w:r>
      <w:hyperlink r:id="rId23">
        <w:r w:rsidRPr="00EC7A08">
          <w:rPr>
            <w:rFonts w:asciiTheme="majorHAnsi" w:hAnsiTheme="majorHAnsi"/>
            <w:vertAlign w:val="superscript"/>
            <w:lang w:val="en-US"/>
          </w:rPr>
          <w:t>12</w:t>
        </w:r>
      </w:hyperlink>
      <w:r w:rsidRPr="00EC7A08">
        <w:rPr>
          <w:rFonts w:asciiTheme="majorHAnsi" w:hAnsiTheme="majorHAnsi"/>
          <w:lang w:val="en-US"/>
        </w:rPr>
        <w:t>. (</w:t>
      </w:r>
      <w:r w:rsidRPr="00EC7A08">
        <w:rPr>
          <w:rFonts w:asciiTheme="majorHAnsi" w:hAnsiTheme="majorHAnsi"/>
          <w:b/>
          <w:lang w:val="en-US"/>
        </w:rPr>
        <w:t>C</w:t>
      </w:r>
      <w:r w:rsidRPr="00EC7A08">
        <w:rPr>
          <w:rFonts w:asciiTheme="majorHAnsi" w:hAnsiTheme="majorHAnsi"/>
          <w:lang w:val="en-US"/>
        </w:rPr>
        <w:t>) Minimodule components representation of perovskite/silicon tandem solar cell and top view of the tandem minimodule (Adapted from Toniolo et al.)</w:t>
      </w:r>
      <w:hyperlink r:id="rId24">
        <w:r w:rsidRPr="00EC7A08">
          <w:rPr>
            <w:rFonts w:asciiTheme="majorHAnsi" w:hAnsiTheme="majorHAnsi"/>
            <w:vertAlign w:val="superscript"/>
            <w:lang w:val="en-US"/>
          </w:rPr>
          <w:t>15</w:t>
        </w:r>
      </w:hyperlink>
      <w:r w:rsidRPr="00EC7A08">
        <w:rPr>
          <w:rFonts w:asciiTheme="majorHAnsi" w:hAnsiTheme="majorHAnsi"/>
          <w:lang w:val="en-US"/>
        </w:rPr>
        <w:t>. (</w:t>
      </w:r>
      <w:r w:rsidRPr="00EC7A08">
        <w:rPr>
          <w:rFonts w:asciiTheme="majorHAnsi" w:hAnsiTheme="majorHAnsi"/>
          <w:b/>
          <w:lang w:val="en-US"/>
        </w:rPr>
        <w:t>D</w:t>
      </w:r>
      <w:r w:rsidRPr="00EC7A08">
        <w:rPr>
          <w:rFonts w:asciiTheme="majorHAnsi" w:hAnsiTheme="majorHAnsi"/>
          <w:lang w:val="en-US"/>
        </w:rPr>
        <w:t>) Silicon nanopore membrane hemodialyzer. Silicon membranes are sealed into a polycarbonate housing through gasket compression (Adapted from Moyer et al.)</w:t>
      </w:r>
      <w:hyperlink r:id="rId25">
        <w:r w:rsidRPr="00EC7A08">
          <w:rPr>
            <w:rFonts w:asciiTheme="majorHAnsi" w:hAnsiTheme="majorHAnsi"/>
            <w:vertAlign w:val="superscript"/>
            <w:lang w:val="en-US"/>
          </w:rPr>
          <w:t>17</w:t>
        </w:r>
      </w:hyperlink>
      <w:r w:rsidRPr="00EC7A08">
        <w:rPr>
          <w:rFonts w:asciiTheme="majorHAnsi" w:hAnsiTheme="majorHAnsi"/>
          <w:lang w:val="en-US"/>
        </w:rPr>
        <w:t xml:space="preserve">. Abbreviations: PMMA = poly(methyl methacrylate); COC = Cyclic Olefin Copolymer. </w:t>
      </w:r>
    </w:p>
    <w:p w14:paraId="000000FF" w14:textId="77777777" w:rsidR="00C916AB" w:rsidRPr="00C0728B" w:rsidRDefault="00C916AB" w:rsidP="00C0728B">
      <w:pPr>
        <w:rPr>
          <w:rFonts w:asciiTheme="majorHAnsi" w:hAnsiTheme="majorHAnsi" w:cstheme="majorHAnsi"/>
        </w:rPr>
      </w:pPr>
    </w:p>
    <w:p w14:paraId="4B050218" w14:textId="2E92B3BD" w:rsidR="007849BC" w:rsidRPr="00EC7A08" w:rsidRDefault="0042052B" w:rsidP="663CBE5C">
      <w:pPr>
        <w:rPr>
          <w:rFonts w:asciiTheme="majorHAnsi" w:hAnsiTheme="majorHAnsi"/>
          <w:b/>
          <w:lang w:val="en-US"/>
        </w:rPr>
      </w:pPr>
      <w:r w:rsidRPr="00EC7A08">
        <w:rPr>
          <w:rFonts w:asciiTheme="majorHAnsi" w:hAnsiTheme="majorHAnsi"/>
          <w:b/>
          <w:lang w:val="en-US"/>
        </w:rPr>
        <w:t xml:space="preserve">Supplemental File 1: ZIP folder containing design files </w:t>
      </w:r>
      <w:r w:rsidR="00F233B4" w:rsidRPr="00EC7A08">
        <w:rPr>
          <w:rFonts w:asciiTheme="majorHAnsi" w:hAnsiTheme="majorHAnsi"/>
          <w:b/>
          <w:lang w:val="en-US"/>
        </w:rPr>
        <w:t>for g</w:t>
      </w:r>
      <w:r w:rsidR="007849BC" w:rsidRPr="00EC7A08">
        <w:rPr>
          <w:rFonts w:asciiTheme="majorHAnsi" w:hAnsiTheme="majorHAnsi"/>
          <w:b/>
          <w:lang w:val="en-US"/>
        </w:rPr>
        <w:t xml:space="preserve">asket Housing - Top </w:t>
      </w:r>
      <w:r w:rsidR="007849BC" w:rsidRPr="00EC7A08">
        <w:rPr>
          <w:rFonts w:asciiTheme="majorHAnsi" w:hAnsiTheme="majorHAnsi"/>
          <w:b/>
          <w:lang w:val="en-US"/>
        </w:rPr>
        <w:lastRenderedPageBreak/>
        <w:t>(Publication).step</w:t>
      </w:r>
      <w:r w:rsidR="00F233B4" w:rsidRPr="00EC7A08">
        <w:rPr>
          <w:rFonts w:asciiTheme="majorHAnsi" w:hAnsiTheme="majorHAnsi"/>
          <w:b/>
          <w:lang w:val="en-US"/>
        </w:rPr>
        <w:t>, i</w:t>
      </w:r>
      <w:r w:rsidR="007849BC" w:rsidRPr="00EC7A08">
        <w:rPr>
          <w:rFonts w:asciiTheme="majorHAnsi" w:hAnsiTheme="majorHAnsi"/>
          <w:b/>
          <w:lang w:val="en-US"/>
        </w:rPr>
        <w:t>nlet-outlet.stl</w:t>
      </w:r>
      <w:r w:rsidR="00F233B4" w:rsidRPr="00EC7A08">
        <w:rPr>
          <w:rFonts w:asciiTheme="majorHAnsi" w:hAnsiTheme="majorHAnsi"/>
          <w:b/>
          <w:lang w:val="en-US"/>
        </w:rPr>
        <w:t>, p</w:t>
      </w:r>
      <w:r w:rsidR="007849BC" w:rsidRPr="00EC7A08">
        <w:rPr>
          <w:rFonts w:asciiTheme="majorHAnsi" w:hAnsiTheme="majorHAnsi"/>
          <w:b/>
          <w:lang w:val="en-US"/>
        </w:rPr>
        <w:t>olycarbonate Housing (Publication).step</w:t>
      </w:r>
      <w:r w:rsidR="00F233B4" w:rsidRPr="00EC7A08">
        <w:rPr>
          <w:rFonts w:asciiTheme="majorHAnsi" w:hAnsiTheme="majorHAnsi"/>
          <w:b/>
          <w:lang w:val="en-US"/>
        </w:rPr>
        <w:t>, s</w:t>
      </w:r>
      <w:r w:rsidR="007849BC" w:rsidRPr="00EC7A08">
        <w:rPr>
          <w:rFonts w:asciiTheme="majorHAnsi" w:hAnsiTheme="majorHAnsi"/>
          <w:b/>
          <w:lang w:val="en-US"/>
        </w:rPr>
        <w:t>olvent Bonding Housing (Publication).step</w:t>
      </w:r>
      <w:r w:rsidR="00F233B4" w:rsidRPr="00EC7A08">
        <w:rPr>
          <w:rFonts w:asciiTheme="majorHAnsi" w:hAnsiTheme="majorHAnsi"/>
          <w:b/>
          <w:lang w:val="en-US"/>
        </w:rPr>
        <w:t>, g</w:t>
      </w:r>
      <w:r w:rsidR="007849BC" w:rsidRPr="00EC7A08">
        <w:rPr>
          <w:rFonts w:asciiTheme="majorHAnsi" w:hAnsiTheme="majorHAnsi"/>
          <w:b/>
          <w:lang w:val="en-US"/>
        </w:rPr>
        <w:t>asket Housing - Bottom (Publication).step</w:t>
      </w:r>
      <w:r w:rsidR="00F233B4" w:rsidRPr="00EC7A08">
        <w:rPr>
          <w:rFonts w:asciiTheme="majorHAnsi" w:hAnsiTheme="majorHAnsi"/>
          <w:b/>
          <w:lang w:val="en-US"/>
        </w:rPr>
        <w:t>.</w:t>
      </w:r>
    </w:p>
    <w:p w14:paraId="04DB41FC" w14:textId="77777777" w:rsidR="007849BC" w:rsidRPr="00C0728B" w:rsidRDefault="007849BC" w:rsidP="00C0728B">
      <w:pPr>
        <w:rPr>
          <w:rFonts w:asciiTheme="majorHAnsi" w:hAnsiTheme="majorHAnsi" w:cstheme="majorHAnsi"/>
        </w:rPr>
      </w:pPr>
    </w:p>
    <w:p w14:paraId="00000100" w14:textId="77777777" w:rsidR="00C916AB" w:rsidRPr="00C0728B" w:rsidRDefault="003A3C6E" w:rsidP="00C0728B">
      <w:pPr>
        <w:rPr>
          <w:rFonts w:asciiTheme="majorHAnsi" w:hAnsiTheme="majorHAnsi" w:cstheme="majorHAnsi"/>
          <w:b/>
        </w:rPr>
      </w:pPr>
      <w:r w:rsidRPr="00C0728B">
        <w:rPr>
          <w:rFonts w:asciiTheme="majorHAnsi" w:hAnsiTheme="majorHAnsi" w:cstheme="majorHAnsi"/>
          <w:b/>
        </w:rPr>
        <w:t xml:space="preserve">DISCUSSION: </w:t>
      </w:r>
    </w:p>
    <w:p w14:paraId="53F704EF" w14:textId="3503B48D" w:rsidR="006203BA" w:rsidRPr="00C0728B" w:rsidRDefault="00F304E5" w:rsidP="663CBE5C">
      <w:pPr>
        <w:pStyle w:val="NormalWeb"/>
        <w:spacing w:before="0" w:beforeAutospacing="0" w:after="0" w:afterAutospacing="0"/>
        <w:jc w:val="both"/>
        <w:rPr>
          <w:rFonts w:asciiTheme="majorHAnsi" w:hAnsiTheme="majorHAnsi" w:cstheme="majorBidi"/>
        </w:rPr>
      </w:pPr>
      <w:bookmarkStart w:id="0" w:name="_atrbx8m7h3k9"/>
      <w:bookmarkStart w:id="1" w:name="_6o1681x6qi2"/>
      <w:bookmarkEnd w:id="0"/>
      <w:bookmarkEnd w:id="1"/>
      <w:r w:rsidRPr="663CBE5C">
        <w:rPr>
          <w:rFonts w:asciiTheme="majorHAnsi" w:hAnsiTheme="majorHAnsi" w:cstheme="majorBidi"/>
        </w:rPr>
        <w:t>Reliable enclosure and sealing continue to present significant challenges in hybrid microfluidic systems, particularly where structural integrity must be maintained during pressurized operation</w:t>
      </w:r>
      <w:r w:rsidR="003A3C6E" w:rsidRPr="663CBE5C">
        <w:rPr>
          <w:rFonts w:asciiTheme="majorHAnsi" w:hAnsiTheme="majorHAnsi" w:cstheme="majorBidi"/>
        </w:rPr>
        <w:t xml:space="preserve">. Standard microfluidic device fabrication has leveraged a wide range of bonding strategies, including laser welding, thermal bonding, adhesive layers, and chemical surface modification, depending on </w:t>
      </w:r>
      <w:r w:rsidR="007F788D" w:rsidRPr="663CBE5C">
        <w:rPr>
          <w:rFonts w:asciiTheme="majorHAnsi" w:hAnsiTheme="majorHAnsi" w:cstheme="majorBidi"/>
        </w:rPr>
        <w:t xml:space="preserve">the </w:t>
      </w:r>
      <w:r w:rsidR="003A3C6E" w:rsidRPr="663CBE5C">
        <w:rPr>
          <w:rFonts w:asciiTheme="majorHAnsi" w:hAnsiTheme="majorHAnsi" w:cstheme="majorBidi"/>
        </w:rPr>
        <w:t>material and application</w:t>
      </w:r>
      <w:hyperlink r:id="rId26">
        <w:r w:rsidR="003A3C6E" w:rsidRPr="663CBE5C">
          <w:rPr>
            <w:rFonts w:asciiTheme="majorHAnsi" w:hAnsiTheme="majorHAnsi" w:cstheme="majorBidi"/>
            <w:vertAlign w:val="superscript"/>
          </w:rPr>
          <w:t>42–45</w:t>
        </w:r>
      </w:hyperlink>
      <w:r w:rsidR="003A3C6E" w:rsidRPr="663CBE5C">
        <w:rPr>
          <w:rFonts w:asciiTheme="majorHAnsi" w:hAnsiTheme="majorHAnsi" w:cstheme="majorBidi"/>
        </w:rPr>
        <w:t xml:space="preserve">. </w:t>
      </w:r>
      <w:r w:rsidR="00067ABB" w:rsidRPr="663CBE5C">
        <w:rPr>
          <w:rFonts w:asciiTheme="majorHAnsi" w:hAnsiTheme="majorHAnsi" w:cstheme="majorBidi"/>
        </w:rPr>
        <w:t xml:space="preserve">Established bonding techniques are generally effective in single-polymer constructs; however, hybrid devices composed of chemically and mechanically dissimilar materials introduce interfacial constraints. Property mismatches at the bonding interface can impair sealing performance and contribute to mechanical failure. </w:t>
      </w:r>
      <w:r w:rsidR="003A3C6E" w:rsidRPr="663CBE5C">
        <w:rPr>
          <w:rFonts w:asciiTheme="majorHAnsi" w:hAnsiTheme="majorHAnsi" w:cstheme="majorBidi"/>
        </w:rPr>
        <w:t>Despite these challenges, hybrid microfluidic devices enable capabilities not readily achieved with uniform polymer systems, including integration of rigid substrates and functional components that support more advanced device architectures, motivating the development of improved hybrid bonding strategies</w:t>
      </w:r>
      <w:hyperlink r:id="rId27">
        <w:r w:rsidR="003A3C6E" w:rsidRPr="663CBE5C">
          <w:rPr>
            <w:rFonts w:asciiTheme="majorHAnsi" w:hAnsiTheme="majorHAnsi" w:cstheme="majorBidi"/>
            <w:vertAlign w:val="superscript"/>
          </w:rPr>
          <w:t>18–21</w:t>
        </w:r>
      </w:hyperlink>
      <w:r w:rsidR="003A3C6E" w:rsidRPr="663CBE5C">
        <w:rPr>
          <w:rFonts w:asciiTheme="majorHAnsi" w:hAnsiTheme="majorHAnsi" w:cstheme="majorBidi"/>
        </w:rPr>
        <w:t xml:space="preserve">. </w:t>
      </w:r>
      <w:r w:rsidR="006203BA" w:rsidRPr="663CBE5C">
        <w:rPr>
          <w:rFonts w:asciiTheme="majorHAnsi" w:hAnsiTheme="majorHAnsi" w:cstheme="majorBidi"/>
        </w:rPr>
        <w:t xml:space="preserve">A range of techniques—including epoxy adhesion, </w:t>
      </w:r>
      <w:r w:rsidR="1F758B1A" w:rsidRPr="663CBE5C">
        <w:rPr>
          <w:rFonts w:asciiTheme="majorHAnsi" w:hAnsiTheme="majorHAnsi" w:cstheme="majorBidi"/>
        </w:rPr>
        <w:t>H</w:t>
      </w:r>
      <w:r w:rsidR="1F758B1A" w:rsidRPr="663CBE5C">
        <w:rPr>
          <w:rFonts w:asciiTheme="majorHAnsi" w:hAnsiTheme="majorHAnsi" w:cstheme="majorBidi"/>
          <w:vertAlign w:val="subscript"/>
        </w:rPr>
        <w:t>2</w:t>
      </w:r>
      <w:r w:rsidR="1F758B1A" w:rsidRPr="663CBE5C">
        <w:rPr>
          <w:rFonts w:asciiTheme="majorHAnsi" w:hAnsiTheme="majorHAnsi" w:cstheme="majorBidi"/>
        </w:rPr>
        <w:t>O</w:t>
      </w:r>
      <w:r w:rsidR="006203BA" w:rsidRPr="663CBE5C">
        <w:rPr>
          <w:rFonts w:asciiTheme="majorHAnsi" w:hAnsiTheme="majorHAnsi" w:cstheme="majorBidi"/>
        </w:rPr>
        <w:t xml:space="preserve"> plasma treatment, and vacuum-assisted lamination—have been applied to hybrid microfluidic assemblies, but their performance has been inconsistent across material combinations</w:t>
      </w:r>
      <w:r w:rsidR="006203BA" w:rsidRPr="663CBE5C">
        <w:rPr>
          <w:rFonts w:asciiTheme="majorHAnsi" w:hAnsiTheme="majorHAnsi" w:cstheme="majorBidi"/>
          <w:vertAlign w:val="superscript"/>
        </w:rPr>
        <w:t>12,15,16</w:t>
      </w:r>
      <w:r w:rsidR="006203BA" w:rsidRPr="663CBE5C">
        <w:rPr>
          <w:rFonts w:asciiTheme="majorHAnsi" w:hAnsiTheme="majorHAnsi" w:cstheme="majorBidi"/>
        </w:rPr>
        <w:t>. These approaches may require extensive process control, can be challenging to standardize, and often show variability in reproducibility. In addition to bond strength, preserving geometric fidelity within the fluidic channel is essential. Even modest deviations in channel height can influence flow resistance and alter shear conditions, potentially affecting hemodynamic performance. The protocols presented here aim to simplify fabrication while maintaining reproducibility, thereby supporting rapid design iteration and testing within a typical laboratory environment</w:t>
      </w:r>
      <w:r w:rsidR="006203BA" w:rsidRPr="663CBE5C">
        <w:rPr>
          <w:rFonts w:asciiTheme="majorHAnsi" w:hAnsiTheme="majorHAnsi" w:cstheme="majorBidi"/>
          <w:vertAlign w:val="superscript"/>
        </w:rPr>
        <w:t>41</w:t>
      </w:r>
      <w:r w:rsidR="006203BA" w:rsidRPr="663CBE5C">
        <w:rPr>
          <w:rFonts w:asciiTheme="majorHAnsi" w:hAnsiTheme="majorHAnsi" w:cstheme="majorBidi"/>
        </w:rPr>
        <w:t>.</w:t>
      </w:r>
    </w:p>
    <w:p w14:paraId="0E1D7657" w14:textId="77777777" w:rsidR="006203BA" w:rsidRPr="00C0728B" w:rsidRDefault="006203BA" w:rsidP="00C0728B">
      <w:pPr>
        <w:pStyle w:val="NormalWeb"/>
        <w:spacing w:before="0" w:beforeAutospacing="0" w:after="0" w:afterAutospacing="0"/>
        <w:jc w:val="both"/>
        <w:rPr>
          <w:rFonts w:asciiTheme="majorHAnsi" w:hAnsiTheme="majorHAnsi" w:cstheme="majorHAnsi"/>
        </w:rPr>
      </w:pPr>
    </w:p>
    <w:p w14:paraId="46852315" w14:textId="77777777" w:rsidR="006203BA" w:rsidRPr="00C0728B" w:rsidRDefault="006203BA" w:rsidP="663CBE5C">
      <w:pPr>
        <w:pStyle w:val="NormalWeb"/>
        <w:spacing w:before="0" w:beforeAutospacing="0" w:after="0" w:afterAutospacing="0"/>
        <w:jc w:val="both"/>
        <w:rPr>
          <w:rFonts w:asciiTheme="majorHAnsi" w:hAnsiTheme="majorHAnsi" w:cstheme="majorBidi"/>
        </w:rPr>
      </w:pPr>
      <w:r w:rsidRPr="663CBE5C">
        <w:rPr>
          <w:rFonts w:asciiTheme="majorHAnsi" w:hAnsiTheme="majorHAnsi" w:cstheme="majorBidi"/>
        </w:rPr>
        <w:t>Device assembly involves two primary sealing steps. The first consists of bonding the silicon component to the polycarbonate housing. Achieving a uniform, leak-tight interface at this stage is essential, as discontinuities within the epoxy layer can lead to premature failure under pressurized operation. To reduce unintended adhesive spread onto critical regions such as the milled channel or exposed silicon surface, the epoxy is allowed to partially pre-cure to increase viscosity prior to application. This approach confines the adhesive within the designated trough and limits overflow into the flow path. A trade-off of this higher viscosity, however, is an increased likelihood of air entrapment. Bubble formation can weaken the interface, but this risk can be mitigated through pre-application degassing and by incorporating secondary sealing features into the device design</w:t>
      </w:r>
      <w:r w:rsidRPr="663CBE5C">
        <w:rPr>
          <w:rFonts w:asciiTheme="majorHAnsi" w:hAnsiTheme="majorHAnsi" w:cstheme="majorBidi"/>
          <w:vertAlign w:val="superscript"/>
        </w:rPr>
        <w:t>41</w:t>
      </w:r>
      <w:r w:rsidRPr="663CBE5C">
        <w:rPr>
          <w:rFonts w:asciiTheme="majorHAnsi" w:hAnsiTheme="majorHAnsi" w:cstheme="majorBidi"/>
        </w:rPr>
        <w:t>.</w:t>
      </w:r>
    </w:p>
    <w:p w14:paraId="2B91D76D" w14:textId="6009F091" w:rsidR="663CBE5C" w:rsidRDefault="663CBE5C" w:rsidP="663CBE5C">
      <w:pPr>
        <w:pStyle w:val="NormalWeb"/>
        <w:spacing w:before="0" w:beforeAutospacing="0" w:after="0" w:afterAutospacing="0"/>
        <w:jc w:val="both"/>
        <w:rPr>
          <w:rFonts w:asciiTheme="majorHAnsi" w:hAnsiTheme="majorHAnsi" w:cstheme="majorBidi"/>
        </w:rPr>
      </w:pPr>
    </w:p>
    <w:p w14:paraId="7C9FC9CC" w14:textId="6A325F6F" w:rsidR="006203BA" w:rsidRPr="00C0728B" w:rsidRDefault="006203BA" w:rsidP="663CBE5C">
      <w:pPr>
        <w:pStyle w:val="NormalWeb"/>
        <w:spacing w:before="0" w:beforeAutospacing="0" w:after="0" w:afterAutospacing="0" w:line="259" w:lineRule="auto"/>
        <w:jc w:val="both"/>
        <w:rPr>
          <w:rFonts w:asciiTheme="majorHAnsi" w:hAnsiTheme="majorHAnsi" w:cstheme="majorBidi"/>
        </w:rPr>
      </w:pPr>
      <w:r w:rsidRPr="663CBE5C">
        <w:rPr>
          <w:rFonts w:asciiTheme="majorHAnsi" w:hAnsiTheme="majorHAnsi" w:cstheme="majorBidi"/>
        </w:rPr>
        <w:t xml:space="preserve">The second stage focuses on sealing the two polycarbonate layers to enclose the channel. Three bonding strategies were evaluated for this purpose. Among them, solvent bonding achieved the highest resistance to leakage, withstanding pressures exceeding those typically encountered in blood-contacting microfluidic systems. The application of a PVA sacrificial coating protected the channel architecture by limiting solvent exposure within the flow region. Minor optical hazing was occasionally observed adjacent to the channel boundaries, potentially associated with partial </w:t>
      </w:r>
      <w:r w:rsidRPr="663CBE5C">
        <w:rPr>
          <w:rFonts w:asciiTheme="majorHAnsi" w:hAnsiTheme="majorHAnsi" w:cstheme="majorBidi"/>
        </w:rPr>
        <w:lastRenderedPageBreak/>
        <w:t xml:space="preserve">disruption of the PVA layer </w:t>
      </w:r>
      <w:r w:rsidR="15697080" w:rsidRPr="663CBE5C">
        <w:rPr>
          <w:rFonts w:asciiTheme="majorHAnsi" w:hAnsiTheme="majorHAnsi" w:cstheme="majorBidi"/>
        </w:rPr>
        <w:t>during solvent bonding</w:t>
      </w:r>
      <w:r w:rsidRPr="663CBE5C">
        <w:rPr>
          <w:rFonts w:asciiTheme="majorHAnsi" w:hAnsiTheme="majorHAnsi" w:cstheme="majorBidi"/>
        </w:rPr>
        <w:t>, and could likely be reduced through refined handling procedures.</w:t>
      </w:r>
    </w:p>
    <w:p w14:paraId="32574FB6" w14:textId="5093CFBC" w:rsidR="663CBE5C" w:rsidRDefault="663CBE5C" w:rsidP="663CBE5C">
      <w:pPr>
        <w:pStyle w:val="NormalWeb"/>
        <w:spacing w:before="0" w:beforeAutospacing="0" w:after="0" w:afterAutospacing="0"/>
        <w:jc w:val="both"/>
        <w:rPr>
          <w:rFonts w:asciiTheme="majorHAnsi" w:hAnsiTheme="majorHAnsi" w:cstheme="majorBidi"/>
        </w:rPr>
      </w:pPr>
    </w:p>
    <w:p w14:paraId="00000105" w14:textId="1D4E2B61" w:rsidR="00C916AB" w:rsidRPr="00EC7A08" w:rsidRDefault="003A3C6E" w:rsidP="663CBE5C">
      <w:pPr>
        <w:rPr>
          <w:rFonts w:asciiTheme="majorHAnsi" w:hAnsiTheme="majorHAnsi"/>
          <w:lang w:val="en-US"/>
        </w:rPr>
      </w:pPr>
      <w:r w:rsidRPr="00EC7A08">
        <w:rPr>
          <w:rFonts w:asciiTheme="majorHAnsi" w:hAnsiTheme="majorHAnsi"/>
          <w:lang w:val="en-US"/>
        </w:rPr>
        <w:t xml:space="preserve">This technique can be readily adapted across a range of device designs and sizes, making it accessible to a broad range of users. While increased sealed surface area generally improved overall bonding strength, larger bonding footprints also increased the likelihood of incomplete sealing across the interface, particularly in devices that have surface irregularities. </w:t>
      </w:r>
      <w:r w:rsidR="0053146F" w:rsidRPr="00EC7A08">
        <w:rPr>
          <w:rFonts w:asciiTheme="majorHAnsi" w:hAnsiTheme="majorHAnsi"/>
          <w:lang w:val="en-US"/>
        </w:rPr>
        <w:t>One limitation encountered during fabrication was the occasional presence of trapped air at the bonding interface, which introduced slight dimensional inconsistencies within the channel and may have influenced flow distribution.</w:t>
      </w:r>
      <w:r w:rsidRPr="00EC7A08">
        <w:rPr>
          <w:rFonts w:asciiTheme="majorHAnsi" w:hAnsiTheme="majorHAnsi"/>
          <w:lang w:val="en-US"/>
        </w:rPr>
        <w:t xml:space="preserve"> To minimize bubble formation, it is critical to maintain continuous, intimate contact between the bonding interfaces and avoid separation during solvent application</w:t>
      </w:r>
      <w:hyperlink r:id="rId28">
        <w:r w:rsidRPr="00EC7A08">
          <w:rPr>
            <w:rFonts w:asciiTheme="majorHAnsi" w:hAnsiTheme="majorHAnsi"/>
            <w:vertAlign w:val="superscript"/>
            <w:lang w:val="en-US"/>
          </w:rPr>
          <w:t>41</w:t>
        </w:r>
      </w:hyperlink>
      <w:r w:rsidRPr="00EC7A08">
        <w:rPr>
          <w:rFonts w:asciiTheme="majorHAnsi" w:hAnsiTheme="majorHAnsi"/>
          <w:lang w:val="en-US"/>
        </w:rPr>
        <w:t>.</w:t>
      </w:r>
    </w:p>
    <w:p w14:paraId="00000106" w14:textId="77777777" w:rsidR="00C916AB" w:rsidRPr="00C0728B" w:rsidRDefault="00C916AB" w:rsidP="00C0728B">
      <w:pPr>
        <w:rPr>
          <w:rFonts w:asciiTheme="majorHAnsi" w:hAnsiTheme="majorHAnsi" w:cstheme="majorHAnsi"/>
        </w:rPr>
      </w:pPr>
    </w:p>
    <w:p w14:paraId="00000107" w14:textId="298419D7" w:rsidR="00C916AB" w:rsidRPr="00EC7A08" w:rsidRDefault="007E011A" w:rsidP="663CBE5C">
      <w:pPr>
        <w:rPr>
          <w:rFonts w:asciiTheme="majorHAnsi" w:hAnsiTheme="majorHAnsi"/>
          <w:lang w:val="en-US"/>
        </w:rPr>
      </w:pPr>
      <w:r w:rsidRPr="00EC7A08">
        <w:rPr>
          <w:rFonts w:asciiTheme="majorHAnsi" w:hAnsiTheme="majorHAnsi"/>
          <w:lang w:val="en-US"/>
        </w:rPr>
        <w:t xml:space="preserve">The LDPE interlayer approach was implemented as a lower-temperature thermocompression-style bonding strategy. Compared to solvent bonding and gasket-based sealing, devices fabricated using LDPE demonstrated markedly greater resistance to flow, as reflected by the elevated pressure drop. This behavior is consistent with post-bond observations of partial channel deformation and encroachment of </w:t>
      </w:r>
      <w:r w:rsidR="15E54212" w:rsidRPr="663CBE5C">
        <w:rPr>
          <w:rFonts w:asciiTheme="majorHAnsi" w:hAnsiTheme="majorHAnsi" w:cstheme="majorBidi"/>
          <w:lang w:val="en-US"/>
        </w:rPr>
        <w:t>melted</w:t>
      </w:r>
      <w:r w:rsidRPr="00EC7A08">
        <w:rPr>
          <w:rFonts w:asciiTheme="majorHAnsi" w:hAnsiTheme="majorHAnsi"/>
          <w:lang w:val="en-US"/>
        </w:rPr>
        <w:t xml:space="preserve"> LDPE into the flow path, likely resulting from extended thermal exposure during processing. In addition, the interfacial bond between LDPE and polycarbonate was inconsistent, with localized delamination observed in several regions. Although the smooth polycarbonate surface is advantageous for hemocompatibility, limited mechanical interlocking may contribute to weak adhesion. Increasing surface roughness through controlled abrasion or surface modification </w:t>
      </w:r>
      <w:r w:rsidR="6E6E0E13" w:rsidRPr="663CBE5C">
        <w:rPr>
          <w:rFonts w:asciiTheme="majorHAnsi" w:hAnsiTheme="majorHAnsi" w:cstheme="majorBidi"/>
          <w:lang w:val="en-US"/>
        </w:rPr>
        <w:t xml:space="preserve">at the bonding interface </w:t>
      </w:r>
      <w:r w:rsidRPr="00EC7A08">
        <w:rPr>
          <w:rFonts w:asciiTheme="majorHAnsi" w:hAnsiTheme="majorHAnsi"/>
          <w:lang w:val="en-US"/>
        </w:rPr>
        <w:t xml:space="preserve">could enhance interfacial bonding and mitigate delamination. </w:t>
      </w:r>
      <w:r w:rsidR="003A3C6E" w:rsidRPr="00EC7A08">
        <w:rPr>
          <w:rFonts w:asciiTheme="majorHAnsi" w:hAnsiTheme="majorHAnsi"/>
          <w:lang w:val="en-US"/>
        </w:rPr>
        <w:t>LDPE bonding uses readily available materials, but its application may be best suited to devices where modest channel deformation can be tolerated</w:t>
      </w:r>
      <w:hyperlink r:id="rId29">
        <w:r w:rsidR="003A3C6E" w:rsidRPr="00EC7A08">
          <w:rPr>
            <w:rFonts w:asciiTheme="majorHAnsi" w:hAnsiTheme="majorHAnsi"/>
            <w:vertAlign w:val="superscript"/>
            <w:lang w:val="en-US"/>
          </w:rPr>
          <w:t>41</w:t>
        </w:r>
      </w:hyperlink>
      <w:r w:rsidR="003A3C6E" w:rsidRPr="00EC7A08">
        <w:rPr>
          <w:rFonts w:asciiTheme="majorHAnsi" w:hAnsiTheme="majorHAnsi"/>
          <w:lang w:val="en-US"/>
        </w:rPr>
        <w:t>.</w:t>
      </w:r>
    </w:p>
    <w:p w14:paraId="00000108" w14:textId="77777777" w:rsidR="00C916AB" w:rsidRPr="00C0728B" w:rsidRDefault="00C916AB" w:rsidP="00C0728B">
      <w:pPr>
        <w:rPr>
          <w:rFonts w:asciiTheme="majorHAnsi" w:hAnsiTheme="majorHAnsi" w:cstheme="majorHAnsi"/>
        </w:rPr>
      </w:pPr>
    </w:p>
    <w:p w14:paraId="0000010A" w14:textId="7A69C1B4" w:rsidR="00C916AB" w:rsidRPr="00C0728B" w:rsidRDefault="00892D05" w:rsidP="00C0728B">
      <w:pPr>
        <w:pStyle w:val="NormalWeb"/>
        <w:spacing w:before="0" w:beforeAutospacing="0" w:after="0" w:afterAutospacing="0"/>
        <w:jc w:val="both"/>
        <w:rPr>
          <w:rFonts w:asciiTheme="majorHAnsi" w:hAnsiTheme="majorHAnsi" w:cstheme="majorHAnsi"/>
        </w:rPr>
      </w:pPr>
      <w:r w:rsidRPr="00C0728B">
        <w:rPr>
          <w:rFonts w:asciiTheme="majorHAnsi" w:hAnsiTheme="majorHAnsi" w:cstheme="majorHAnsi"/>
        </w:rPr>
        <w:t>Among the bonding strategies evaluated, gasket sealing yielded the most reproducible outcomes, maintaining low flow resistance and stable leak-free operation.</w:t>
      </w:r>
      <w:r w:rsidR="003A3C6E" w:rsidRPr="00C0728B">
        <w:rPr>
          <w:rFonts w:asciiTheme="majorHAnsi" w:hAnsiTheme="majorHAnsi" w:cstheme="majorHAnsi"/>
        </w:rPr>
        <w:t xml:space="preserve"> A pressure drop of ~2 mmHg was measured, corresponding to an effective channel height of approximately 250 µm, whereas a pressure drop closer to 3.7 mmHg was expected for the designed 200 µm channel height. This discrepancy may be attributed to incomplete compression of the O-ring gasket cord or the need for further optimization of the gasket trough geometry. </w:t>
      </w:r>
      <w:r w:rsidR="00232719" w:rsidRPr="00C0728B">
        <w:rPr>
          <w:rFonts w:asciiTheme="majorHAnsi" w:hAnsiTheme="majorHAnsi" w:cstheme="majorHAnsi"/>
        </w:rPr>
        <w:t>Requiring only limited compressive loading, this approach reduces mechanical stress on the silicon substrate and provides the practical advantage of reversible assembly should imperfections arise.</w:t>
      </w:r>
      <w:r w:rsidR="005D7751" w:rsidRPr="00C0728B">
        <w:rPr>
          <w:rFonts w:asciiTheme="majorHAnsi" w:hAnsiTheme="majorHAnsi" w:cstheme="majorHAnsi"/>
        </w:rPr>
        <w:t xml:space="preserve"> </w:t>
      </w:r>
      <w:r w:rsidR="003A3C6E" w:rsidRPr="00C0728B">
        <w:rPr>
          <w:rFonts w:asciiTheme="majorHAnsi" w:hAnsiTheme="majorHAnsi" w:cstheme="majorHAnsi"/>
        </w:rPr>
        <w:t xml:space="preserve">This technique provides a highly reproducible and adaptable method that supports repeated assembly, disassembly, and design iteration, which is particularly valuable for prototyping and early-stage testing. </w:t>
      </w:r>
      <w:r w:rsidR="00211799" w:rsidRPr="00C0728B">
        <w:rPr>
          <w:rFonts w:asciiTheme="majorHAnsi" w:hAnsiTheme="majorHAnsi" w:cstheme="majorHAnsi"/>
        </w:rPr>
        <w:t>The need for screws and washers increases the physical complexity of the assembly compared to adhesive-based bonding strategies. When leakage occurred, it was associated with uneven compressive loading and was addressed by retightening fasteners to standardize torque across the device. Employing a continuous compression plate in future designs may further improve force distribution and enhance overall sealing reliability</w:t>
      </w:r>
      <w:r w:rsidR="00211799" w:rsidRPr="00C0728B">
        <w:rPr>
          <w:rFonts w:asciiTheme="majorHAnsi" w:hAnsiTheme="majorHAnsi" w:cstheme="majorHAnsi"/>
          <w:vertAlign w:val="superscript"/>
        </w:rPr>
        <w:t>41</w:t>
      </w:r>
      <w:r w:rsidR="00211799" w:rsidRPr="00C0728B">
        <w:rPr>
          <w:rFonts w:asciiTheme="majorHAnsi" w:hAnsiTheme="majorHAnsi" w:cstheme="majorHAnsi"/>
        </w:rPr>
        <w:t>.</w:t>
      </w:r>
    </w:p>
    <w:p w14:paraId="6429C5C7" w14:textId="77777777" w:rsidR="005B2FED" w:rsidRPr="00C0728B" w:rsidRDefault="005B2FED" w:rsidP="00C0728B">
      <w:pPr>
        <w:pStyle w:val="NormalWeb"/>
        <w:spacing w:before="0" w:beforeAutospacing="0" w:after="0" w:afterAutospacing="0"/>
        <w:jc w:val="both"/>
        <w:rPr>
          <w:rFonts w:asciiTheme="majorHAnsi" w:hAnsiTheme="majorHAnsi" w:cstheme="majorHAnsi"/>
        </w:rPr>
      </w:pPr>
    </w:p>
    <w:p w14:paraId="2EC45474" w14:textId="77777777" w:rsidR="00465FF9" w:rsidRPr="00C0728B" w:rsidRDefault="00B84CF0" w:rsidP="00C0728B">
      <w:pPr>
        <w:pStyle w:val="NormalWeb"/>
        <w:spacing w:before="0" w:beforeAutospacing="0" w:after="0" w:afterAutospacing="0"/>
        <w:jc w:val="both"/>
        <w:rPr>
          <w:rFonts w:asciiTheme="majorHAnsi" w:hAnsiTheme="majorHAnsi" w:cstheme="majorHAnsi"/>
        </w:rPr>
      </w:pPr>
      <w:r w:rsidRPr="00C0728B">
        <w:rPr>
          <w:rFonts w:asciiTheme="majorHAnsi" w:hAnsiTheme="majorHAnsi" w:cstheme="majorHAnsi"/>
        </w:rPr>
        <w:t xml:space="preserve">These fabrication strategies were designed to balance sealing reliability with preservation of channel architecture. While all three approaches introduced unique technical considerations, the </w:t>
      </w:r>
      <w:r w:rsidRPr="00C0728B">
        <w:rPr>
          <w:rFonts w:asciiTheme="majorHAnsi" w:hAnsiTheme="majorHAnsi" w:cstheme="majorHAnsi"/>
        </w:rPr>
        <w:lastRenderedPageBreak/>
        <w:t xml:space="preserve">gasket-based method provided the most straightforward implementation and consistent performance. Its minimal surface preparation requirements and potential for improvement through hardware modifications make it a practical option for laboratory use. </w:t>
      </w:r>
      <w:r w:rsidR="00B7220A" w:rsidRPr="00C0728B">
        <w:rPr>
          <w:rFonts w:asciiTheme="majorHAnsi" w:hAnsiTheme="majorHAnsi" w:cstheme="majorHAnsi"/>
        </w:rPr>
        <w:t xml:space="preserve">Further optimization of the LDPE method may require stricter temperature control and surface modification of the polycarbonate interface to promote stronger interlayer bonding. In comparison, solvent-based sealing could be refined by integrating controlled, automated solvent dispensing to reduce process variability. </w:t>
      </w:r>
      <w:r w:rsidR="003A3C6E" w:rsidRPr="00C0728B">
        <w:rPr>
          <w:rFonts w:asciiTheme="majorHAnsi" w:hAnsiTheme="majorHAnsi" w:cstheme="majorHAnsi"/>
        </w:rPr>
        <w:t xml:space="preserve">Notably, differences in effective sealed surface area across bonding modalities limited direct sensitivity comparisons, motivating future studies within individual bonding strategies. Future applications of these protocols can be readily extended to other hybrid microfluidic architectures that integrate brittle substrates. The gasket and solvent-bonding approaches are particularly adaptable to multilayer flow paths, enabling rapid iteration of microfluidic and medical technology. </w:t>
      </w:r>
      <w:r w:rsidR="00465FF9" w:rsidRPr="00C0728B">
        <w:rPr>
          <w:rFonts w:asciiTheme="majorHAnsi" w:hAnsiTheme="majorHAnsi" w:cstheme="majorHAnsi"/>
        </w:rPr>
        <w:t>Each bonding approach can be modified to accommodate specific experimental needs and is sufficiently straightforward to implement in standard laboratory settings</w:t>
      </w:r>
      <w:r w:rsidR="00465FF9" w:rsidRPr="00C0728B">
        <w:rPr>
          <w:rFonts w:asciiTheme="majorHAnsi" w:hAnsiTheme="majorHAnsi" w:cstheme="majorHAnsi"/>
          <w:vertAlign w:val="superscript"/>
        </w:rPr>
        <w:t>41</w:t>
      </w:r>
      <w:r w:rsidR="00465FF9" w:rsidRPr="00C0728B">
        <w:rPr>
          <w:rFonts w:asciiTheme="majorHAnsi" w:hAnsiTheme="majorHAnsi" w:cstheme="majorHAnsi"/>
        </w:rPr>
        <w:t>.</w:t>
      </w:r>
    </w:p>
    <w:p w14:paraId="3859C652" w14:textId="77777777" w:rsidR="00465FF9" w:rsidRPr="00C0728B" w:rsidRDefault="00465FF9" w:rsidP="00C0728B">
      <w:pPr>
        <w:pStyle w:val="NormalWeb"/>
        <w:spacing w:before="0" w:beforeAutospacing="0" w:after="0" w:afterAutospacing="0"/>
        <w:jc w:val="both"/>
        <w:rPr>
          <w:rFonts w:asciiTheme="majorHAnsi" w:hAnsiTheme="majorHAnsi" w:cstheme="majorHAnsi"/>
        </w:rPr>
      </w:pPr>
    </w:p>
    <w:p w14:paraId="3CE8A53B" w14:textId="77777777" w:rsidR="00465FF9" w:rsidRPr="00C0728B" w:rsidRDefault="00465FF9" w:rsidP="00C0728B">
      <w:pPr>
        <w:pStyle w:val="NormalWeb"/>
        <w:spacing w:before="0" w:beforeAutospacing="0" w:after="0" w:afterAutospacing="0"/>
        <w:jc w:val="both"/>
        <w:rPr>
          <w:rFonts w:asciiTheme="majorHAnsi" w:hAnsiTheme="majorHAnsi" w:cstheme="majorHAnsi"/>
        </w:rPr>
      </w:pPr>
      <w:r w:rsidRPr="00C0728B">
        <w:rPr>
          <w:rFonts w:asciiTheme="majorHAnsi" w:hAnsiTheme="majorHAnsi" w:cstheme="majorHAnsi"/>
        </w:rPr>
        <w:t>In summary, we evaluated multiple strategies for assembling polycarbonate-based microfluidic devices incorporating brittle silicon or glass components under low-temperature and low-pressure conditions. These methods eliminate the need for plasma activation, specialized bonding equipment, or cleanroom-dependent processing, thereby increasing accessibility for laboratories with varying resource levels. Providing three distinct sealing options enables users to select an approach aligned with their performance targets and available infrastructure. Both solvent bonding and gasket-based sealing achieved durable, leak-resistant assemblies appropriate for blood-contacting microfluidic systems. Although LDPE bonding resulted in reduced dimensional precision, it offers a rapid and scalable technique for sealing larger surface interfaces. By facilitating reliable integration of dissimilar materials without imposing substantial equipment requirements, these protocols broaden practical fabrication options for emerging biomedical microfluidic platforms</w:t>
      </w:r>
      <w:r w:rsidRPr="00C0728B">
        <w:rPr>
          <w:rFonts w:asciiTheme="majorHAnsi" w:hAnsiTheme="majorHAnsi" w:cstheme="majorHAnsi"/>
          <w:vertAlign w:val="superscript"/>
        </w:rPr>
        <w:t>41</w:t>
      </w:r>
      <w:r w:rsidRPr="00C0728B">
        <w:rPr>
          <w:rFonts w:asciiTheme="majorHAnsi" w:hAnsiTheme="majorHAnsi" w:cstheme="majorHAnsi"/>
        </w:rPr>
        <w:t>.</w:t>
      </w:r>
    </w:p>
    <w:p w14:paraId="00000117" w14:textId="4417A006" w:rsidR="00C916AB" w:rsidRPr="00C0728B" w:rsidRDefault="00C916AB" w:rsidP="00C0728B">
      <w:pPr>
        <w:rPr>
          <w:rFonts w:asciiTheme="majorHAnsi" w:hAnsiTheme="majorHAnsi" w:cstheme="majorHAnsi"/>
        </w:rPr>
      </w:pPr>
    </w:p>
    <w:p w14:paraId="00000118"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b/>
        </w:rPr>
        <w:t xml:space="preserve">ACKNOWLEDGMENTS:  </w:t>
      </w:r>
    </w:p>
    <w:p w14:paraId="00000119" w14:textId="77777777" w:rsidR="00C916AB" w:rsidRPr="00EC7A08" w:rsidRDefault="003A3C6E" w:rsidP="663CBE5C">
      <w:pPr>
        <w:rPr>
          <w:rFonts w:asciiTheme="majorHAnsi" w:hAnsiTheme="majorHAnsi"/>
          <w:lang w:val="en-US"/>
        </w:rPr>
      </w:pPr>
      <w:r w:rsidRPr="00EC7A08">
        <w:rPr>
          <w:rFonts w:asciiTheme="majorHAnsi" w:hAnsiTheme="majorHAnsi"/>
          <w:lang w:val="en-US"/>
        </w:rPr>
        <w:t>Thank you to Dr. Dorian Liepmann from UC Berkeley for his guidance and expertise in microfluidic device fabrication.</w:t>
      </w:r>
    </w:p>
    <w:p w14:paraId="0000011A"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Funding:</w:t>
      </w:r>
      <w:r w:rsidRPr="00C0728B">
        <w:rPr>
          <w:rFonts w:asciiTheme="majorHAnsi" w:hAnsiTheme="majorHAnsi" w:cstheme="majorHAnsi"/>
        </w:rPr>
        <w:t xml:space="preserve"> National Institutes of Health Grant U01 EB025136, National Institutes of Health Grant R21 HD113527, Department of Defense Grant PR2104827, Pediatric Scientist Development Program &amp; March of Dimes, National Institutes of Health K12HD047349</w:t>
      </w:r>
    </w:p>
    <w:p w14:paraId="0000011B" w14:textId="77777777" w:rsidR="00C916AB" w:rsidRPr="00C0728B" w:rsidRDefault="00C916AB" w:rsidP="00C0728B">
      <w:pPr>
        <w:rPr>
          <w:rFonts w:asciiTheme="majorHAnsi" w:hAnsiTheme="majorHAnsi" w:cstheme="majorHAnsi"/>
          <w:b/>
        </w:rPr>
      </w:pPr>
    </w:p>
    <w:p w14:paraId="0000011C" w14:textId="77777777" w:rsidR="00C916AB" w:rsidRPr="00C0728B" w:rsidRDefault="003A3C6E" w:rsidP="00C0728B">
      <w:pPr>
        <w:pBdr>
          <w:top w:val="nil"/>
          <w:left w:val="nil"/>
          <w:bottom w:val="nil"/>
          <w:right w:val="nil"/>
          <w:between w:val="nil"/>
        </w:pBdr>
        <w:rPr>
          <w:rFonts w:asciiTheme="majorHAnsi" w:hAnsiTheme="majorHAnsi" w:cstheme="majorHAnsi"/>
        </w:rPr>
      </w:pPr>
      <w:r w:rsidRPr="00C0728B">
        <w:rPr>
          <w:rFonts w:asciiTheme="majorHAnsi" w:hAnsiTheme="majorHAnsi" w:cstheme="majorHAnsi"/>
          <w:b/>
        </w:rPr>
        <w:t xml:space="preserve">DISCLOSURES:  </w:t>
      </w:r>
    </w:p>
    <w:p w14:paraId="0000011D" w14:textId="77777777" w:rsidR="00C916AB" w:rsidRPr="00C0728B" w:rsidRDefault="003A3C6E" w:rsidP="00C0728B">
      <w:pPr>
        <w:rPr>
          <w:rFonts w:asciiTheme="majorHAnsi" w:hAnsiTheme="majorHAnsi" w:cstheme="majorHAnsi"/>
        </w:rPr>
      </w:pPr>
      <w:r w:rsidRPr="00C0728B">
        <w:rPr>
          <w:rFonts w:asciiTheme="majorHAnsi" w:hAnsiTheme="majorHAnsi" w:cstheme="majorHAnsi"/>
        </w:rPr>
        <w:t>SR is the founder of Silicon Kidney. NCH, DGB, and SR are co-inventors on a provisional patent related to the technology described in this manuscript. The authors have no other competing interests to declare.</w:t>
      </w:r>
    </w:p>
    <w:p w14:paraId="0000011E" w14:textId="77777777" w:rsidR="00C916AB" w:rsidRPr="00C0728B" w:rsidRDefault="00C916AB" w:rsidP="00C0728B">
      <w:pPr>
        <w:rPr>
          <w:rFonts w:asciiTheme="majorHAnsi" w:hAnsiTheme="majorHAnsi" w:cstheme="majorHAnsi"/>
        </w:rPr>
      </w:pPr>
    </w:p>
    <w:p w14:paraId="0000011F" w14:textId="77777777" w:rsidR="00C916AB" w:rsidRPr="00C0728B" w:rsidRDefault="003A3C6E" w:rsidP="00C0728B">
      <w:pPr>
        <w:rPr>
          <w:rFonts w:asciiTheme="majorHAnsi" w:hAnsiTheme="majorHAnsi" w:cstheme="majorHAnsi"/>
        </w:rPr>
      </w:pPr>
      <w:r w:rsidRPr="00C0728B">
        <w:rPr>
          <w:rFonts w:asciiTheme="majorHAnsi" w:hAnsiTheme="majorHAnsi" w:cstheme="majorHAnsi"/>
          <w:b/>
        </w:rPr>
        <w:t>REFERENCES:</w:t>
      </w:r>
      <w:r w:rsidRPr="00C0728B">
        <w:rPr>
          <w:rFonts w:asciiTheme="majorHAnsi" w:hAnsiTheme="majorHAnsi" w:cstheme="majorHAnsi"/>
        </w:rPr>
        <w:t xml:space="preserve"> </w:t>
      </w:r>
    </w:p>
    <w:p w14:paraId="00000120" w14:textId="77777777" w:rsidR="00C916AB" w:rsidRPr="00C0728B" w:rsidRDefault="00C916AB" w:rsidP="00C0728B">
      <w:pPr>
        <w:rPr>
          <w:rFonts w:asciiTheme="majorHAnsi" w:hAnsiTheme="majorHAnsi" w:cstheme="majorHAnsi"/>
        </w:rPr>
      </w:pPr>
    </w:p>
    <w:p w14:paraId="7F251DB1" w14:textId="4BE011E4" w:rsidR="00AD5765" w:rsidRPr="00C0728B" w:rsidRDefault="3C7E1681" w:rsidP="663CBE5C">
      <w:pPr>
        <w:pStyle w:val="NormalWeb"/>
        <w:numPr>
          <w:ilvl w:val="0"/>
          <w:numId w:val="20"/>
        </w:numPr>
        <w:tabs>
          <w:tab w:val="clear" w:pos="720"/>
        </w:tabs>
        <w:spacing w:before="0" w:beforeAutospacing="0" w:after="0" w:afterAutospacing="0"/>
        <w:ind w:left="0" w:firstLine="0"/>
        <w:jc w:val="both"/>
        <w:rPr>
          <w:rFonts w:asciiTheme="majorHAnsi" w:hAnsiTheme="majorHAnsi" w:cstheme="majorBidi"/>
        </w:rPr>
      </w:pPr>
      <w:r w:rsidRPr="663CBE5C">
        <w:rPr>
          <w:rFonts w:asciiTheme="majorHAnsi" w:hAnsiTheme="majorHAnsi" w:cstheme="majorBidi"/>
        </w:rPr>
        <w:t>Y</w:t>
      </w:r>
      <w:r w:rsidR="00AD5765" w:rsidRPr="663CBE5C">
        <w:rPr>
          <w:rFonts w:asciiTheme="majorHAnsi" w:hAnsiTheme="majorHAnsi" w:cstheme="majorBidi"/>
        </w:rPr>
        <w:t xml:space="preserve">ang, S.-M., Lv, S., Zhang, W., Cui, Y. Microfluidic point-of-care (POC) devices in early diagnosis: a review of opportunities and challenges. </w:t>
      </w:r>
      <w:r w:rsidR="00AD5765" w:rsidRPr="663CBE5C">
        <w:rPr>
          <w:rStyle w:val="Emphasis"/>
          <w:rFonts w:asciiTheme="majorHAnsi" w:hAnsiTheme="majorHAnsi" w:cstheme="majorBidi"/>
        </w:rPr>
        <w:t>Sensors (Basel)</w:t>
      </w:r>
      <w:r w:rsidR="00AD5765" w:rsidRPr="663CBE5C">
        <w:rPr>
          <w:rFonts w:asciiTheme="majorHAnsi" w:hAnsiTheme="majorHAnsi" w:cstheme="majorBidi"/>
        </w:rPr>
        <w:t xml:space="preserve">. </w:t>
      </w:r>
      <w:r w:rsidR="00AD5765" w:rsidRPr="663CBE5C">
        <w:rPr>
          <w:rStyle w:val="Strong"/>
          <w:rFonts w:asciiTheme="majorHAnsi" w:hAnsiTheme="majorHAnsi" w:cstheme="majorBidi"/>
        </w:rPr>
        <w:t>22</w:t>
      </w:r>
      <w:r w:rsidR="00AD5765" w:rsidRPr="663CBE5C">
        <w:rPr>
          <w:rFonts w:asciiTheme="majorHAnsi" w:hAnsiTheme="majorHAnsi" w:cstheme="majorBidi"/>
        </w:rPr>
        <w:t xml:space="preserve"> (4), 1620 (2022).</w:t>
      </w:r>
    </w:p>
    <w:p w14:paraId="4DF0FF05"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lastRenderedPageBreak/>
        <w:t xml:space="preserve">Kankaanpää, M. et al. Comparison of the use of comprehensive point-of-care test panel to conventional laboratory process in emergency department. </w:t>
      </w:r>
      <w:r w:rsidRPr="00C0728B">
        <w:rPr>
          <w:rStyle w:val="Emphasis"/>
          <w:rFonts w:asciiTheme="majorHAnsi" w:hAnsiTheme="majorHAnsi" w:cstheme="majorHAnsi"/>
        </w:rPr>
        <w:t>BMC Emerg Med</w:t>
      </w:r>
      <w:r w:rsidRPr="00C0728B">
        <w:rPr>
          <w:rFonts w:asciiTheme="majorHAnsi" w:hAnsiTheme="majorHAnsi" w:cstheme="majorHAnsi"/>
        </w:rPr>
        <w:t xml:space="preserve">. </w:t>
      </w:r>
      <w:r w:rsidRPr="00C0728B">
        <w:rPr>
          <w:rStyle w:val="Strong"/>
          <w:rFonts w:asciiTheme="majorHAnsi" w:hAnsiTheme="majorHAnsi" w:cstheme="majorHAnsi"/>
        </w:rPr>
        <w:t>18</w:t>
      </w:r>
      <w:r w:rsidRPr="00C0728B">
        <w:rPr>
          <w:rFonts w:asciiTheme="majorHAnsi" w:hAnsiTheme="majorHAnsi" w:cstheme="majorHAnsi"/>
        </w:rPr>
        <w:t xml:space="preserve"> (1), 43 (2018).</w:t>
      </w:r>
    </w:p>
    <w:p w14:paraId="31743610"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Ingber, D. E. Human organs-on-chips for disease modelling, drug development and personalized medicine. </w:t>
      </w:r>
      <w:r w:rsidRPr="00C0728B">
        <w:rPr>
          <w:rStyle w:val="Emphasis"/>
          <w:rFonts w:asciiTheme="majorHAnsi" w:hAnsiTheme="majorHAnsi" w:cstheme="majorHAnsi"/>
        </w:rPr>
        <w:t>Nat Rev Genet</w:t>
      </w:r>
      <w:r w:rsidRPr="00C0728B">
        <w:rPr>
          <w:rFonts w:asciiTheme="majorHAnsi" w:hAnsiTheme="majorHAnsi" w:cstheme="majorHAnsi"/>
        </w:rPr>
        <w:t xml:space="preserve">. </w:t>
      </w:r>
      <w:r w:rsidRPr="00C0728B">
        <w:rPr>
          <w:rStyle w:val="Strong"/>
          <w:rFonts w:asciiTheme="majorHAnsi" w:hAnsiTheme="majorHAnsi" w:cstheme="majorHAnsi"/>
        </w:rPr>
        <w:t>23</w:t>
      </w:r>
      <w:r w:rsidRPr="00C0728B">
        <w:rPr>
          <w:rFonts w:asciiTheme="majorHAnsi" w:hAnsiTheme="majorHAnsi" w:cstheme="majorHAnsi"/>
        </w:rPr>
        <w:t xml:space="preserve"> (8), 467–491 (2022).</w:t>
      </w:r>
    </w:p>
    <w:p w14:paraId="524AD615"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Baudoin, R., Griscom, L., Monge, M., Legallais, C., Leclerc, E. Development of a renal microchip for in vitro distal tubule models. </w:t>
      </w:r>
      <w:r w:rsidRPr="00C0728B">
        <w:rPr>
          <w:rStyle w:val="Emphasis"/>
          <w:rFonts w:asciiTheme="majorHAnsi" w:hAnsiTheme="majorHAnsi" w:cstheme="majorHAnsi"/>
        </w:rPr>
        <w:t>Biotechnol Prog</w:t>
      </w:r>
      <w:r w:rsidRPr="00C0728B">
        <w:rPr>
          <w:rFonts w:asciiTheme="majorHAnsi" w:hAnsiTheme="majorHAnsi" w:cstheme="majorHAnsi"/>
        </w:rPr>
        <w:t xml:space="preserve">. </w:t>
      </w:r>
      <w:r w:rsidRPr="00C0728B">
        <w:rPr>
          <w:rStyle w:val="Strong"/>
          <w:rFonts w:asciiTheme="majorHAnsi" w:hAnsiTheme="majorHAnsi" w:cstheme="majorHAnsi"/>
        </w:rPr>
        <w:t>23</w:t>
      </w:r>
      <w:r w:rsidRPr="00C0728B">
        <w:rPr>
          <w:rFonts w:asciiTheme="majorHAnsi" w:hAnsiTheme="majorHAnsi" w:cstheme="majorHAnsi"/>
        </w:rPr>
        <w:t xml:space="preserve"> (1), 124–131 (2007).</w:t>
      </w:r>
    </w:p>
    <w:p w14:paraId="1C03CE67"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Spinelli, J. C. et al. Wearable microfluidic biosensors with haptic feedback for continuous monitoring of hydration biomarkers in workers. </w:t>
      </w:r>
      <w:r w:rsidRPr="00C0728B">
        <w:rPr>
          <w:rStyle w:val="Emphasis"/>
          <w:rFonts w:asciiTheme="majorHAnsi" w:hAnsiTheme="majorHAnsi" w:cstheme="majorHAnsi"/>
        </w:rPr>
        <w:t>npj Digit Med</w:t>
      </w:r>
      <w:r w:rsidRPr="00C0728B">
        <w:rPr>
          <w:rFonts w:asciiTheme="majorHAnsi" w:hAnsiTheme="majorHAnsi" w:cstheme="majorHAnsi"/>
        </w:rPr>
        <w:t xml:space="preserve">. </w:t>
      </w:r>
      <w:r w:rsidRPr="00C0728B">
        <w:rPr>
          <w:rStyle w:val="Strong"/>
          <w:rFonts w:asciiTheme="majorHAnsi" w:hAnsiTheme="majorHAnsi" w:cstheme="majorHAnsi"/>
        </w:rPr>
        <w:t>8</w:t>
      </w:r>
      <w:r w:rsidRPr="00C0728B">
        <w:rPr>
          <w:rFonts w:asciiTheme="majorHAnsi" w:hAnsiTheme="majorHAnsi" w:cstheme="majorHAnsi"/>
        </w:rPr>
        <w:t xml:space="preserve"> (1), 76 (2025).</w:t>
      </w:r>
    </w:p>
    <w:p w14:paraId="59121909"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Pour, S. R. S. et al. Microfluidic-based non-invasive wearable biosensors for real-time monitoring of sweat biomarkers. </w:t>
      </w:r>
      <w:r w:rsidRPr="00C0728B">
        <w:rPr>
          <w:rStyle w:val="Emphasis"/>
          <w:rFonts w:asciiTheme="majorHAnsi" w:hAnsiTheme="majorHAnsi" w:cstheme="majorHAnsi"/>
        </w:rPr>
        <w:t>Biosensors</w:t>
      </w:r>
      <w:r w:rsidRPr="00C0728B">
        <w:rPr>
          <w:rFonts w:asciiTheme="majorHAnsi" w:hAnsiTheme="majorHAnsi" w:cstheme="majorHAnsi"/>
        </w:rPr>
        <w:t xml:space="preserve">. </w:t>
      </w:r>
      <w:r w:rsidRPr="00C0728B">
        <w:rPr>
          <w:rStyle w:val="Strong"/>
          <w:rFonts w:asciiTheme="majorHAnsi" w:hAnsiTheme="majorHAnsi" w:cstheme="majorHAnsi"/>
        </w:rPr>
        <w:t>14</w:t>
      </w:r>
      <w:r w:rsidRPr="00C0728B">
        <w:rPr>
          <w:rFonts w:asciiTheme="majorHAnsi" w:hAnsiTheme="majorHAnsi" w:cstheme="majorHAnsi"/>
        </w:rPr>
        <w:t xml:space="preserve"> (1), 29 (2024).</w:t>
      </w:r>
    </w:p>
    <w:p w14:paraId="26576362"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S., A. D., P., S. P. A., Naveen, J., Khan, T., Khahro, S. H. Advancement in biomedical implant materials—a mini review. </w:t>
      </w:r>
      <w:r w:rsidRPr="00C0728B">
        <w:rPr>
          <w:rStyle w:val="Emphasis"/>
          <w:rFonts w:asciiTheme="majorHAnsi" w:hAnsiTheme="majorHAnsi" w:cstheme="majorHAnsi"/>
        </w:rPr>
        <w:t>Front Bioeng Biotechnol</w:t>
      </w:r>
      <w:r w:rsidRPr="00C0728B">
        <w:rPr>
          <w:rFonts w:asciiTheme="majorHAnsi" w:hAnsiTheme="majorHAnsi" w:cstheme="majorHAnsi"/>
        </w:rPr>
        <w:t xml:space="preserve">. </w:t>
      </w:r>
      <w:r w:rsidRPr="00C0728B">
        <w:rPr>
          <w:rStyle w:val="Strong"/>
          <w:rFonts w:asciiTheme="majorHAnsi" w:hAnsiTheme="majorHAnsi" w:cstheme="majorHAnsi"/>
        </w:rPr>
        <w:t>12</w:t>
      </w:r>
      <w:r w:rsidRPr="00C0728B">
        <w:rPr>
          <w:rFonts w:asciiTheme="majorHAnsi" w:hAnsiTheme="majorHAnsi" w:cstheme="majorHAnsi"/>
        </w:rPr>
        <w:t>, 1400918 (2024).</w:t>
      </w:r>
    </w:p>
    <w:p w14:paraId="018C7CC6"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Ranjan, N. Chitosan with PVC polymer for biomedical applications: a bibliometric analysis. </w:t>
      </w:r>
      <w:r w:rsidRPr="00C0728B">
        <w:rPr>
          <w:rStyle w:val="Emphasis"/>
          <w:rFonts w:asciiTheme="majorHAnsi" w:hAnsiTheme="majorHAnsi" w:cstheme="majorHAnsi"/>
        </w:rPr>
        <w:t>Mater Today Proc</w:t>
      </w:r>
      <w:r w:rsidRPr="00C0728B">
        <w:rPr>
          <w:rFonts w:asciiTheme="majorHAnsi" w:hAnsiTheme="majorHAnsi" w:cstheme="majorHAnsi"/>
        </w:rPr>
        <w:t xml:space="preserve">. </w:t>
      </w:r>
      <w:r w:rsidRPr="00C0728B">
        <w:rPr>
          <w:rStyle w:val="Strong"/>
          <w:rFonts w:asciiTheme="majorHAnsi" w:hAnsiTheme="majorHAnsi" w:cstheme="majorHAnsi"/>
        </w:rPr>
        <w:t>81</w:t>
      </w:r>
      <w:r w:rsidRPr="00C0728B">
        <w:rPr>
          <w:rFonts w:asciiTheme="majorHAnsi" w:hAnsiTheme="majorHAnsi" w:cstheme="majorHAnsi"/>
        </w:rPr>
        <w:t>, 894–898 (2023).</w:t>
      </w:r>
    </w:p>
    <w:p w14:paraId="059B6710"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Szydzik, C., Brazilek, R. J., Nesbitt, W. S. A review of design considerations for hemocompatibility within microfluidic systems. </w:t>
      </w:r>
      <w:r w:rsidRPr="00C0728B">
        <w:rPr>
          <w:rStyle w:val="Emphasis"/>
          <w:rFonts w:asciiTheme="majorHAnsi" w:hAnsiTheme="majorHAnsi" w:cstheme="majorHAnsi"/>
        </w:rPr>
        <w:t>Semin Thromb Hemost</w:t>
      </w:r>
      <w:r w:rsidRPr="00C0728B">
        <w:rPr>
          <w:rFonts w:asciiTheme="majorHAnsi" w:hAnsiTheme="majorHAnsi" w:cstheme="majorHAnsi"/>
        </w:rPr>
        <w:t xml:space="preserve">. </w:t>
      </w:r>
      <w:r w:rsidRPr="00C0728B">
        <w:rPr>
          <w:rStyle w:val="Strong"/>
          <w:rFonts w:asciiTheme="majorHAnsi" w:hAnsiTheme="majorHAnsi" w:cstheme="majorHAnsi"/>
        </w:rPr>
        <w:t>46</w:t>
      </w:r>
      <w:r w:rsidRPr="00C0728B">
        <w:rPr>
          <w:rFonts w:asciiTheme="majorHAnsi" w:hAnsiTheme="majorHAnsi" w:cstheme="majorHAnsi"/>
        </w:rPr>
        <w:t xml:space="preserve"> (5), 622–636 (2020).</w:t>
      </w:r>
    </w:p>
    <w:p w14:paraId="35CD8DF5"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Xu, Y., Yu, G., Nie, R., Wu, Z. Microfluidic systems toward blood hemostasis monitoring and thrombosis diagnosis: from design principles to micro/nano fabrication technologies. </w:t>
      </w:r>
      <w:r w:rsidRPr="00C0728B">
        <w:rPr>
          <w:rStyle w:val="Emphasis"/>
          <w:rFonts w:asciiTheme="majorHAnsi" w:hAnsiTheme="majorHAnsi" w:cstheme="majorHAnsi"/>
        </w:rPr>
        <w:t>VIEW</w:t>
      </w:r>
      <w:r w:rsidRPr="00C0728B">
        <w:rPr>
          <w:rFonts w:asciiTheme="majorHAnsi" w:hAnsiTheme="majorHAnsi" w:cstheme="majorHAnsi"/>
        </w:rPr>
        <w:t xml:space="preserve">. </w:t>
      </w:r>
      <w:r w:rsidRPr="00C0728B">
        <w:rPr>
          <w:rStyle w:val="Strong"/>
          <w:rFonts w:asciiTheme="majorHAnsi" w:hAnsiTheme="majorHAnsi" w:cstheme="majorHAnsi"/>
        </w:rPr>
        <w:t>3</w:t>
      </w:r>
      <w:r w:rsidRPr="00C0728B">
        <w:rPr>
          <w:rFonts w:asciiTheme="majorHAnsi" w:hAnsiTheme="majorHAnsi" w:cstheme="majorHAnsi"/>
        </w:rPr>
        <w:t xml:space="preserve"> (1), 20200183 (2022).</w:t>
      </w:r>
    </w:p>
    <w:p w14:paraId="29CBB75F"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Blauvelt, D. G., Abada, E. N., Oishi, P., Roy, S. Advances in extracorporeal membrane oxygenator design for artificial placenta technology. </w:t>
      </w:r>
      <w:r w:rsidRPr="00C0728B">
        <w:rPr>
          <w:rStyle w:val="Emphasis"/>
          <w:rFonts w:asciiTheme="majorHAnsi" w:hAnsiTheme="majorHAnsi" w:cstheme="majorHAnsi"/>
        </w:rPr>
        <w:t>Artif Organs</w:t>
      </w:r>
      <w:r w:rsidRPr="00C0728B">
        <w:rPr>
          <w:rFonts w:asciiTheme="majorHAnsi" w:hAnsiTheme="majorHAnsi" w:cstheme="majorHAnsi"/>
        </w:rPr>
        <w:t xml:space="preserve">. </w:t>
      </w:r>
      <w:r w:rsidRPr="00C0728B">
        <w:rPr>
          <w:rStyle w:val="Strong"/>
          <w:rFonts w:asciiTheme="majorHAnsi" w:hAnsiTheme="majorHAnsi" w:cstheme="majorHAnsi"/>
        </w:rPr>
        <w:t>45</w:t>
      </w:r>
      <w:r w:rsidRPr="00C0728B">
        <w:rPr>
          <w:rFonts w:asciiTheme="majorHAnsi" w:hAnsiTheme="majorHAnsi" w:cstheme="majorHAnsi"/>
        </w:rPr>
        <w:t xml:space="preserve"> (3), 205–221 (2021).</w:t>
      </w:r>
    </w:p>
    <w:p w14:paraId="0746770E"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Matellan, C., Del Río Hernández, A. E. Cost-effective rapid prototyping and assembly of poly(methyl methacrylate) microfluidic devices. </w:t>
      </w:r>
      <w:r w:rsidRPr="00C0728B">
        <w:rPr>
          <w:rStyle w:val="Emphasis"/>
          <w:rFonts w:asciiTheme="majorHAnsi" w:hAnsiTheme="majorHAnsi" w:cstheme="majorHAnsi"/>
        </w:rPr>
        <w:t>Sci Rep</w:t>
      </w:r>
      <w:r w:rsidRPr="00C0728B">
        <w:rPr>
          <w:rFonts w:asciiTheme="majorHAnsi" w:hAnsiTheme="majorHAnsi" w:cstheme="majorHAnsi"/>
        </w:rPr>
        <w:t xml:space="preserve">. </w:t>
      </w:r>
      <w:r w:rsidRPr="00C0728B">
        <w:rPr>
          <w:rStyle w:val="Strong"/>
          <w:rFonts w:asciiTheme="majorHAnsi" w:hAnsiTheme="majorHAnsi" w:cstheme="majorHAnsi"/>
        </w:rPr>
        <w:t>8</w:t>
      </w:r>
      <w:r w:rsidRPr="00C0728B">
        <w:rPr>
          <w:rFonts w:asciiTheme="majorHAnsi" w:hAnsiTheme="majorHAnsi" w:cstheme="majorHAnsi"/>
        </w:rPr>
        <w:t xml:space="preserve"> (1), 6971 (2018).</w:t>
      </w:r>
    </w:p>
    <w:p w14:paraId="355208C3"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Yu, H., Chong, Z. Z., Tor, S. B., Liu, E., Loh, N. H. Low temperature and deformation-free bonding of PMMA microfluidic devices with stable hydrophilicity via oxygen plasma treatment and PVA coating. </w:t>
      </w:r>
      <w:r w:rsidRPr="00C0728B">
        <w:rPr>
          <w:rStyle w:val="Emphasis"/>
          <w:rFonts w:asciiTheme="majorHAnsi" w:hAnsiTheme="majorHAnsi" w:cstheme="majorHAnsi"/>
        </w:rPr>
        <w:t>RSC Adv</w:t>
      </w:r>
      <w:r w:rsidRPr="00C0728B">
        <w:rPr>
          <w:rFonts w:asciiTheme="majorHAnsi" w:hAnsiTheme="majorHAnsi" w:cstheme="majorHAnsi"/>
        </w:rPr>
        <w:t xml:space="preserve">. </w:t>
      </w:r>
      <w:r w:rsidRPr="00C0728B">
        <w:rPr>
          <w:rStyle w:val="Strong"/>
          <w:rFonts w:asciiTheme="majorHAnsi" w:hAnsiTheme="majorHAnsi" w:cstheme="majorHAnsi"/>
        </w:rPr>
        <w:t>5</w:t>
      </w:r>
      <w:r w:rsidRPr="00C0728B">
        <w:rPr>
          <w:rFonts w:asciiTheme="majorHAnsi" w:hAnsiTheme="majorHAnsi" w:cstheme="majorHAnsi"/>
        </w:rPr>
        <w:t xml:space="preserve"> (11), 8377–8388 (2015).</w:t>
      </w:r>
    </w:p>
    <w:p w14:paraId="2726EEEB"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Testa, G., Persichetti, G., Sarro, P. M., Bernini, R. A hybrid silicon-PDMS optofluidic platform for sensing applications. </w:t>
      </w:r>
      <w:r w:rsidRPr="00C0728B">
        <w:rPr>
          <w:rStyle w:val="Emphasis"/>
          <w:rFonts w:asciiTheme="majorHAnsi" w:hAnsiTheme="majorHAnsi" w:cstheme="majorHAnsi"/>
        </w:rPr>
        <w:t>Biomed Opt Express</w:t>
      </w:r>
      <w:r w:rsidRPr="00C0728B">
        <w:rPr>
          <w:rFonts w:asciiTheme="majorHAnsi" w:hAnsiTheme="majorHAnsi" w:cstheme="majorHAnsi"/>
        </w:rPr>
        <w:t xml:space="preserve">. </w:t>
      </w:r>
      <w:r w:rsidRPr="00C0728B">
        <w:rPr>
          <w:rStyle w:val="Strong"/>
          <w:rFonts w:asciiTheme="majorHAnsi" w:hAnsiTheme="majorHAnsi" w:cstheme="majorHAnsi"/>
        </w:rPr>
        <w:t>5</w:t>
      </w:r>
      <w:r w:rsidRPr="00C0728B">
        <w:rPr>
          <w:rFonts w:asciiTheme="majorHAnsi" w:hAnsiTheme="majorHAnsi" w:cstheme="majorHAnsi"/>
        </w:rPr>
        <w:t xml:space="preserve"> (2), 417–425 (2014).</w:t>
      </w:r>
    </w:p>
    <w:p w14:paraId="1BA86B31"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Toniolo, F. et al. Efficient and reliable encapsulation for perovskite/silicon tandem solar modules. </w:t>
      </w:r>
      <w:r w:rsidRPr="00C0728B">
        <w:rPr>
          <w:rStyle w:val="Emphasis"/>
          <w:rFonts w:asciiTheme="majorHAnsi" w:hAnsiTheme="majorHAnsi" w:cstheme="majorHAnsi"/>
        </w:rPr>
        <w:t>Nanoscale</w:t>
      </w:r>
      <w:r w:rsidRPr="00C0728B">
        <w:rPr>
          <w:rFonts w:asciiTheme="majorHAnsi" w:hAnsiTheme="majorHAnsi" w:cstheme="majorHAnsi"/>
        </w:rPr>
        <w:t xml:space="preserve">. </w:t>
      </w:r>
      <w:r w:rsidRPr="00C0728B">
        <w:rPr>
          <w:rStyle w:val="Strong"/>
          <w:rFonts w:asciiTheme="majorHAnsi" w:hAnsiTheme="majorHAnsi" w:cstheme="majorHAnsi"/>
        </w:rPr>
        <w:t>15</w:t>
      </w:r>
      <w:r w:rsidRPr="00C0728B">
        <w:rPr>
          <w:rFonts w:asciiTheme="majorHAnsi" w:hAnsiTheme="majorHAnsi" w:cstheme="majorHAnsi"/>
        </w:rPr>
        <w:t xml:space="preserve"> (42), 16984–16991 (2023).</w:t>
      </w:r>
    </w:p>
    <w:p w14:paraId="2724E4A9"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Chiang, C.-C., Immanuel, P. N., Chiu, Y.-H., Huang, S.-J. Heterogeneous bonding of PMMA and double-sided polished silicon wafers through H2O plasma treatment for microfluidic devices. </w:t>
      </w:r>
      <w:r w:rsidRPr="00C0728B">
        <w:rPr>
          <w:rStyle w:val="Emphasis"/>
          <w:rFonts w:asciiTheme="majorHAnsi" w:hAnsiTheme="majorHAnsi" w:cstheme="majorHAnsi"/>
        </w:rPr>
        <w:t>Coatings</w:t>
      </w:r>
      <w:r w:rsidRPr="00C0728B">
        <w:rPr>
          <w:rFonts w:asciiTheme="majorHAnsi" w:hAnsiTheme="majorHAnsi" w:cstheme="majorHAnsi"/>
        </w:rPr>
        <w:t xml:space="preserve">. </w:t>
      </w:r>
      <w:r w:rsidRPr="00C0728B">
        <w:rPr>
          <w:rStyle w:val="Strong"/>
          <w:rFonts w:asciiTheme="majorHAnsi" w:hAnsiTheme="majorHAnsi" w:cstheme="majorHAnsi"/>
        </w:rPr>
        <w:t>11</w:t>
      </w:r>
      <w:r w:rsidRPr="00C0728B">
        <w:rPr>
          <w:rFonts w:asciiTheme="majorHAnsi" w:hAnsiTheme="majorHAnsi" w:cstheme="majorHAnsi"/>
        </w:rPr>
        <w:t xml:space="preserve"> (5), 580 (2021).</w:t>
      </w:r>
    </w:p>
    <w:p w14:paraId="4D64E12A"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Moyer, J. et al. Surgical refinement of silicon nanopore membrane devices for implantable kidney replacement therapy: 7-year experience across 90 prototypes: SA-PO557. </w:t>
      </w:r>
      <w:r w:rsidRPr="00C0728B">
        <w:rPr>
          <w:rStyle w:val="Emphasis"/>
          <w:rFonts w:asciiTheme="majorHAnsi" w:hAnsiTheme="majorHAnsi" w:cstheme="majorHAnsi"/>
        </w:rPr>
        <w:t>J Am Soc Nephrol</w:t>
      </w:r>
      <w:r w:rsidRPr="00C0728B">
        <w:rPr>
          <w:rFonts w:asciiTheme="majorHAnsi" w:hAnsiTheme="majorHAnsi" w:cstheme="majorHAnsi"/>
        </w:rPr>
        <w:t xml:space="preserve">. </w:t>
      </w:r>
      <w:r w:rsidRPr="00C0728B">
        <w:rPr>
          <w:rStyle w:val="Strong"/>
          <w:rFonts w:asciiTheme="majorHAnsi" w:hAnsiTheme="majorHAnsi" w:cstheme="majorHAnsi"/>
        </w:rPr>
        <w:t>35</w:t>
      </w:r>
      <w:r w:rsidRPr="00C0728B">
        <w:rPr>
          <w:rFonts w:asciiTheme="majorHAnsi" w:hAnsiTheme="majorHAnsi" w:cstheme="majorHAnsi"/>
        </w:rPr>
        <w:t xml:space="preserve"> (10S) (2024).</w:t>
      </w:r>
    </w:p>
    <w:p w14:paraId="321EE3D2"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Santandreu, A. G. et al. Characterization of human islet function in a convection-driven intravascular bioartificial pancreas. </w:t>
      </w:r>
      <w:r w:rsidRPr="00C0728B">
        <w:rPr>
          <w:rStyle w:val="Emphasis"/>
          <w:rFonts w:asciiTheme="majorHAnsi" w:hAnsiTheme="majorHAnsi" w:cstheme="majorHAnsi"/>
        </w:rPr>
        <w:t>Bioeng Transl Med</w:t>
      </w:r>
      <w:r w:rsidRPr="00C0728B">
        <w:rPr>
          <w:rFonts w:asciiTheme="majorHAnsi" w:hAnsiTheme="majorHAnsi" w:cstheme="majorHAnsi"/>
        </w:rPr>
        <w:t xml:space="preserve">. </w:t>
      </w:r>
      <w:r w:rsidRPr="00C0728B">
        <w:rPr>
          <w:rStyle w:val="Strong"/>
          <w:rFonts w:asciiTheme="majorHAnsi" w:hAnsiTheme="majorHAnsi" w:cstheme="majorHAnsi"/>
        </w:rPr>
        <w:t>8</w:t>
      </w:r>
      <w:r w:rsidRPr="00C0728B">
        <w:rPr>
          <w:rFonts w:asciiTheme="majorHAnsi" w:hAnsiTheme="majorHAnsi" w:cstheme="majorHAnsi"/>
        </w:rPr>
        <w:t xml:space="preserve"> (2), e10444 (2023).</w:t>
      </w:r>
    </w:p>
    <w:p w14:paraId="6616C7C7"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Kim, E. J. et al. Feasibility of an implantable bioreactor for renal cell therapy using silicon nanopore membranes. </w:t>
      </w:r>
      <w:r w:rsidRPr="00C0728B">
        <w:rPr>
          <w:rStyle w:val="Emphasis"/>
          <w:rFonts w:asciiTheme="majorHAnsi" w:hAnsiTheme="majorHAnsi" w:cstheme="majorHAnsi"/>
        </w:rPr>
        <w:t>Nat Commun</w:t>
      </w:r>
      <w:r w:rsidRPr="00C0728B">
        <w:rPr>
          <w:rFonts w:asciiTheme="majorHAnsi" w:hAnsiTheme="majorHAnsi" w:cstheme="majorHAnsi"/>
        </w:rPr>
        <w:t xml:space="preserve">. </w:t>
      </w:r>
      <w:r w:rsidRPr="00C0728B">
        <w:rPr>
          <w:rStyle w:val="Strong"/>
          <w:rFonts w:asciiTheme="majorHAnsi" w:hAnsiTheme="majorHAnsi" w:cstheme="majorHAnsi"/>
        </w:rPr>
        <w:t>14</w:t>
      </w:r>
      <w:r w:rsidRPr="00C0728B">
        <w:rPr>
          <w:rFonts w:asciiTheme="majorHAnsi" w:hAnsiTheme="majorHAnsi" w:cstheme="majorHAnsi"/>
        </w:rPr>
        <w:t xml:space="preserve"> (1), 4890 (2023).</w:t>
      </w:r>
    </w:p>
    <w:p w14:paraId="12FB0AFE"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Dharia, A. et al. Silicon micropore-based parallel plate membrane oxygenator. </w:t>
      </w:r>
      <w:r w:rsidRPr="00C0728B">
        <w:rPr>
          <w:rStyle w:val="Emphasis"/>
          <w:rFonts w:asciiTheme="majorHAnsi" w:hAnsiTheme="majorHAnsi" w:cstheme="majorHAnsi"/>
        </w:rPr>
        <w:t>Artif Organs</w:t>
      </w:r>
      <w:r w:rsidRPr="00C0728B">
        <w:rPr>
          <w:rFonts w:asciiTheme="majorHAnsi" w:hAnsiTheme="majorHAnsi" w:cstheme="majorHAnsi"/>
        </w:rPr>
        <w:t xml:space="preserve">. </w:t>
      </w:r>
      <w:r w:rsidRPr="00C0728B">
        <w:rPr>
          <w:rStyle w:val="Strong"/>
          <w:rFonts w:asciiTheme="majorHAnsi" w:hAnsiTheme="majorHAnsi" w:cstheme="majorHAnsi"/>
        </w:rPr>
        <w:t>42</w:t>
      </w:r>
      <w:r w:rsidRPr="00C0728B">
        <w:rPr>
          <w:rFonts w:asciiTheme="majorHAnsi" w:hAnsiTheme="majorHAnsi" w:cstheme="majorHAnsi"/>
        </w:rPr>
        <w:t xml:space="preserve"> (2), 166–173 (2018).</w:t>
      </w:r>
    </w:p>
    <w:p w14:paraId="43E162C1"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Blauvelt, D. G. et al. A silicon membrane microfluidic oxygenator for use as an artificial placenta with minimal anticoagulation. </w:t>
      </w:r>
      <w:r w:rsidRPr="00C0728B">
        <w:rPr>
          <w:rStyle w:val="Emphasis"/>
          <w:rFonts w:asciiTheme="majorHAnsi" w:hAnsiTheme="majorHAnsi" w:cstheme="majorHAnsi"/>
        </w:rPr>
        <w:t>Bioeng Transl Med</w:t>
      </w:r>
      <w:r w:rsidRPr="00C0728B">
        <w:rPr>
          <w:rFonts w:asciiTheme="majorHAnsi" w:hAnsiTheme="majorHAnsi" w:cstheme="majorHAnsi"/>
        </w:rPr>
        <w:t>. e70037 (2025).</w:t>
      </w:r>
    </w:p>
    <w:p w14:paraId="38964D98"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lastRenderedPageBreak/>
        <w:t xml:space="preserve">Aralekallu, S., Boddula, R., Singh, V. Development of glass-based microfluidic devices: a review on its fabrication and biologic applications. </w:t>
      </w:r>
      <w:r w:rsidRPr="00C0728B">
        <w:rPr>
          <w:rStyle w:val="Emphasis"/>
          <w:rFonts w:asciiTheme="majorHAnsi" w:hAnsiTheme="majorHAnsi" w:cstheme="majorHAnsi"/>
        </w:rPr>
        <w:t>Mater Des</w:t>
      </w:r>
      <w:r w:rsidRPr="00C0728B">
        <w:rPr>
          <w:rFonts w:asciiTheme="majorHAnsi" w:hAnsiTheme="majorHAnsi" w:cstheme="majorHAnsi"/>
        </w:rPr>
        <w:t xml:space="preserve">. </w:t>
      </w:r>
      <w:r w:rsidRPr="00C0728B">
        <w:rPr>
          <w:rStyle w:val="Strong"/>
          <w:rFonts w:asciiTheme="majorHAnsi" w:hAnsiTheme="majorHAnsi" w:cstheme="majorHAnsi"/>
        </w:rPr>
        <w:t>225</w:t>
      </w:r>
      <w:r w:rsidRPr="00C0728B">
        <w:rPr>
          <w:rFonts w:asciiTheme="majorHAnsi" w:hAnsiTheme="majorHAnsi" w:cstheme="majorHAnsi"/>
        </w:rPr>
        <w:t>, 111517 (2023).</w:t>
      </w:r>
    </w:p>
    <w:p w14:paraId="792BA4FE"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Carvell, T., Burgoyne, P., Fraser, A. R., Bridle, H. Categorising hybrid material microfluidic devices. </w:t>
      </w:r>
      <w:r w:rsidRPr="00C0728B">
        <w:rPr>
          <w:rStyle w:val="Emphasis"/>
          <w:rFonts w:asciiTheme="majorHAnsi" w:hAnsiTheme="majorHAnsi" w:cstheme="majorHAnsi"/>
        </w:rPr>
        <w:t>Front Lab Chip Technol</w:t>
      </w:r>
      <w:r w:rsidRPr="00C0728B">
        <w:rPr>
          <w:rFonts w:asciiTheme="majorHAnsi" w:hAnsiTheme="majorHAnsi" w:cstheme="majorHAnsi"/>
        </w:rPr>
        <w:t xml:space="preserve">. </w:t>
      </w:r>
      <w:r w:rsidRPr="00C0728B">
        <w:rPr>
          <w:rStyle w:val="Strong"/>
          <w:rFonts w:asciiTheme="majorHAnsi" w:hAnsiTheme="majorHAnsi" w:cstheme="majorHAnsi"/>
        </w:rPr>
        <w:t>3</w:t>
      </w:r>
      <w:r w:rsidRPr="00C0728B">
        <w:rPr>
          <w:rFonts w:asciiTheme="majorHAnsi" w:hAnsiTheme="majorHAnsi" w:cstheme="majorHAnsi"/>
        </w:rPr>
        <w:t>, 1412290 (2024).</w:t>
      </w:r>
    </w:p>
    <w:p w14:paraId="1A65B03E"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Yadavali, S., Jeong, H.-H., Lee, D., Issadore, D. Silicon and glass very large scale microfluidic droplet integration for terascale generation of polymer microparticles. </w:t>
      </w:r>
      <w:r w:rsidRPr="00C0728B">
        <w:rPr>
          <w:rStyle w:val="Emphasis"/>
          <w:rFonts w:asciiTheme="majorHAnsi" w:hAnsiTheme="majorHAnsi" w:cstheme="majorHAnsi"/>
        </w:rPr>
        <w:t>Nat Commun</w:t>
      </w:r>
      <w:r w:rsidRPr="00C0728B">
        <w:rPr>
          <w:rFonts w:asciiTheme="majorHAnsi" w:hAnsiTheme="majorHAnsi" w:cstheme="majorHAnsi"/>
        </w:rPr>
        <w:t xml:space="preserve">. </w:t>
      </w:r>
      <w:r w:rsidRPr="00C0728B">
        <w:rPr>
          <w:rStyle w:val="Strong"/>
          <w:rFonts w:asciiTheme="majorHAnsi" w:hAnsiTheme="majorHAnsi" w:cstheme="majorHAnsi"/>
        </w:rPr>
        <w:t>9</w:t>
      </w:r>
      <w:r w:rsidRPr="00C0728B">
        <w:rPr>
          <w:rFonts w:asciiTheme="majorHAnsi" w:hAnsiTheme="majorHAnsi" w:cstheme="majorHAnsi"/>
        </w:rPr>
        <w:t xml:space="preserve"> (1), 1222 (2018).</w:t>
      </w:r>
    </w:p>
    <w:p w14:paraId="4A26F9B0"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Thompson, A. J., Ma, L. J., Plegue, T. J., Potkay, J. A. Design analysis and optimization of a single-layer PDMS microfluidic artificial lung. </w:t>
      </w:r>
      <w:r w:rsidRPr="00C0728B">
        <w:rPr>
          <w:rStyle w:val="Emphasis"/>
          <w:rFonts w:asciiTheme="majorHAnsi" w:hAnsiTheme="majorHAnsi" w:cstheme="majorHAnsi"/>
        </w:rPr>
        <w:t>IEEE Trans Biomed Eng</w:t>
      </w:r>
      <w:r w:rsidRPr="00C0728B">
        <w:rPr>
          <w:rFonts w:asciiTheme="majorHAnsi" w:hAnsiTheme="majorHAnsi" w:cstheme="majorHAnsi"/>
        </w:rPr>
        <w:t xml:space="preserve">. </w:t>
      </w:r>
      <w:r w:rsidRPr="00C0728B">
        <w:rPr>
          <w:rStyle w:val="Strong"/>
          <w:rFonts w:asciiTheme="majorHAnsi" w:hAnsiTheme="majorHAnsi" w:cstheme="majorHAnsi"/>
        </w:rPr>
        <w:t>66</w:t>
      </w:r>
      <w:r w:rsidRPr="00C0728B">
        <w:rPr>
          <w:rFonts w:asciiTheme="majorHAnsi" w:hAnsiTheme="majorHAnsi" w:cstheme="majorHAnsi"/>
        </w:rPr>
        <w:t xml:space="preserve"> (4), 1082–1093 (2019).</w:t>
      </w:r>
    </w:p>
    <w:p w14:paraId="5445B37F"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Tony, A. et al. The additive manufacturing approach to polydimethylsiloxane (PDMS) microfluidic devices: review and future directions. </w:t>
      </w:r>
      <w:r w:rsidRPr="00C0728B">
        <w:rPr>
          <w:rStyle w:val="Emphasis"/>
          <w:rFonts w:asciiTheme="majorHAnsi" w:hAnsiTheme="majorHAnsi" w:cstheme="majorHAnsi"/>
        </w:rPr>
        <w:t>Polymers</w:t>
      </w:r>
      <w:r w:rsidRPr="00C0728B">
        <w:rPr>
          <w:rFonts w:asciiTheme="majorHAnsi" w:hAnsiTheme="majorHAnsi" w:cstheme="majorHAnsi"/>
        </w:rPr>
        <w:t xml:space="preserve">. </w:t>
      </w:r>
      <w:r w:rsidRPr="00C0728B">
        <w:rPr>
          <w:rStyle w:val="Strong"/>
          <w:rFonts w:asciiTheme="majorHAnsi" w:hAnsiTheme="majorHAnsi" w:cstheme="majorHAnsi"/>
        </w:rPr>
        <w:t>15</w:t>
      </w:r>
      <w:r w:rsidRPr="00C0728B">
        <w:rPr>
          <w:rFonts w:asciiTheme="majorHAnsi" w:hAnsiTheme="majorHAnsi" w:cstheme="majorHAnsi"/>
        </w:rPr>
        <w:t xml:space="preserve"> (8), 1926 (2023).</w:t>
      </w:r>
    </w:p>
    <w:p w14:paraId="1103F1D2"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Gonçalves, M. et al. Polydimethylsiloxane surface modification of microfluidic devices for blood plasma separation. </w:t>
      </w:r>
      <w:r w:rsidRPr="00C0728B">
        <w:rPr>
          <w:rStyle w:val="Emphasis"/>
          <w:rFonts w:asciiTheme="majorHAnsi" w:hAnsiTheme="majorHAnsi" w:cstheme="majorHAnsi"/>
        </w:rPr>
        <w:t>Polymers</w:t>
      </w:r>
      <w:r w:rsidRPr="00C0728B">
        <w:rPr>
          <w:rFonts w:asciiTheme="majorHAnsi" w:hAnsiTheme="majorHAnsi" w:cstheme="majorHAnsi"/>
        </w:rPr>
        <w:t xml:space="preserve">. </w:t>
      </w:r>
      <w:r w:rsidRPr="00C0728B">
        <w:rPr>
          <w:rStyle w:val="Strong"/>
          <w:rFonts w:asciiTheme="majorHAnsi" w:hAnsiTheme="majorHAnsi" w:cstheme="majorHAnsi"/>
        </w:rPr>
        <w:t>16</w:t>
      </w:r>
      <w:r w:rsidRPr="00C0728B">
        <w:rPr>
          <w:rFonts w:asciiTheme="majorHAnsi" w:hAnsiTheme="majorHAnsi" w:cstheme="majorHAnsi"/>
        </w:rPr>
        <w:t xml:space="preserve"> (10), 1416 (2024).</w:t>
      </w:r>
    </w:p>
    <w:p w14:paraId="5F60C13B"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Khoo, H., Allen, W. S., Arroyo-Currás, N., Hur, S. C. Rapid prototyping of thermoplastic microfluidic devices via SLA 3D printing. </w:t>
      </w:r>
      <w:r w:rsidRPr="00C0728B">
        <w:rPr>
          <w:rStyle w:val="Emphasis"/>
          <w:rFonts w:asciiTheme="majorHAnsi" w:hAnsiTheme="majorHAnsi" w:cstheme="majorHAnsi"/>
        </w:rPr>
        <w:t>Sci Rep</w:t>
      </w:r>
      <w:r w:rsidRPr="00C0728B">
        <w:rPr>
          <w:rFonts w:asciiTheme="majorHAnsi" w:hAnsiTheme="majorHAnsi" w:cstheme="majorHAnsi"/>
        </w:rPr>
        <w:t xml:space="preserve">. </w:t>
      </w:r>
      <w:r w:rsidRPr="00C0728B">
        <w:rPr>
          <w:rStyle w:val="Strong"/>
          <w:rFonts w:asciiTheme="majorHAnsi" w:hAnsiTheme="majorHAnsi" w:cstheme="majorHAnsi"/>
        </w:rPr>
        <w:t>14</w:t>
      </w:r>
      <w:r w:rsidRPr="00C0728B">
        <w:rPr>
          <w:rFonts w:asciiTheme="majorHAnsi" w:hAnsiTheme="majorHAnsi" w:cstheme="majorHAnsi"/>
        </w:rPr>
        <w:t xml:space="preserve"> (1), 17646 (2024).</w:t>
      </w:r>
    </w:p>
    <w:p w14:paraId="1DE1DA43"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Gencturk, E., Mutlu, S., Ulgen, K. O. Advances in microfluidic devices made from thermoplastics used in cell biology and analyses. </w:t>
      </w:r>
      <w:r w:rsidRPr="00C0728B">
        <w:rPr>
          <w:rStyle w:val="Emphasis"/>
          <w:rFonts w:asciiTheme="majorHAnsi" w:hAnsiTheme="majorHAnsi" w:cstheme="majorHAnsi"/>
        </w:rPr>
        <w:t>Biomicrofluidics</w:t>
      </w:r>
      <w:r w:rsidRPr="00C0728B">
        <w:rPr>
          <w:rFonts w:asciiTheme="majorHAnsi" w:hAnsiTheme="majorHAnsi" w:cstheme="majorHAnsi"/>
        </w:rPr>
        <w:t xml:space="preserve">. </w:t>
      </w:r>
      <w:r w:rsidRPr="00C0728B">
        <w:rPr>
          <w:rStyle w:val="Strong"/>
          <w:rFonts w:asciiTheme="majorHAnsi" w:hAnsiTheme="majorHAnsi" w:cstheme="majorHAnsi"/>
        </w:rPr>
        <w:t>11</w:t>
      </w:r>
      <w:r w:rsidRPr="00C0728B">
        <w:rPr>
          <w:rFonts w:asciiTheme="majorHAnsi" w:hAnsiTheme="majorHAnsi" w:cstheme="majorHAnsi"/>
        </w:rPr>
        <w:t xml:space="preserve"> (5), 051502 (2017).</w:t>
      </w:r>
    </w:p>
    <w:p w14:paraId="7C7F1068"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Islam, M. M., Loewen, A., Allen, P. B. Simple, low-cost fabrication of acrylic based droplet microfluidics and its use to generate DNA-coated particles. </w:t>
      </w:r>
      <w:r w:rsidRPr="00C0728B">
        <w:rPr>
          <w:rStyle w:val="Emphasis"/>
          <w:rFonts w:asciiTheme="majorHAnsi" w:hAnsiTheme="majorHAnsi" w:cstheme="majorHAnsi"/>
        </w:rPr>
        <w:t>Sci Rep</w:t>
      </w:r>
      <w:r w:rsidRPr="00C0728B">
        <w:rPr>
          <w:rFonts w:asciiTheme="majorHAnsi" w:hAnsiTheme="majorHAnsi" w:cstheme="majorHAnsi"/>
        </w:rPr>
        <w:t xml:space="preserve">. </w:t>
      </w:r>
      <w:r w:rsidRPr="00C0728B">
        <w:rPr>
          <w:rStyle w:val="Strong"/>
          <w:rFonts w:asciiTheme="majorHAnsi" w:hAnsiTheme="majorHAnsi" w:cstheme="majorHAnsi"/>
        </w:rPr>
        <w:t>8</w:t>
      </w:r>
      <w:r w:rsidRPr="00C0728B">
        <w:rPr>
          <w:rFonts w:asciiTheme="majorHAnsi" w:hAnsiTheme="majorHAnsi" w:cstheme="majorHAnsi"/>
        </w:rPr>
        <w:t xml:space="preserve"> (1), 8763 (2018).</w:t>
      </w:r>
    </w:p>
    <w:p w14:paraId="31A55E58"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Giri, K., Tsao, C.-W. Recent advances in thermoplastic microfluidic bonding. </w:t>
      </w:r>
      <w:r w:rsidRPr="00C0728B">
        <w:rPr>
          <w:rStyle w:val="Emphasis"/>
          <w:rFonts w:asciiTheme="majorHAnsi" w:hAnsiTheme="majorHAnsi" w:cstheme="majorHAnsi"/>
        </w:rPr>
        <w:t>Micromachines</w:t>
      </w:r>
      <w:r w:rsidRPr="00C0728B">
        <w:rPr>
          <w:rFonts w:asciiTheme="majorHAnsi" w:hAnsiTheme="majorHAnsi" w:cstheme="majorHAnsi"/>
        </w:rPr>
        <w:t xml:space="preserve">. </w:t>
      </w:r>
      <w:r w:rsidRPr="00C0728B">
        <w:rPr>
          <w:rStyle w:val="Strong"/>
          <w:rFonts w:asciiTheme="majorHAnsi" w:hAnsiTheme="majorHAnsi" w:cstheme="majorHAnsi"/>
        </w:rPr>
        <w:t>13</w:t>
      </w:r>
      <w:r w:rsidRPr="00C0728B">
        <w:rPr>
          <w:rFonts w:asciiTheme="majorHAnsi" w:hAnsiTheme="majorHAnsi" w:cstheme="majorHAnsi"/>
        </w:rPr>
        <w:t xml:space="preserve"> (3), 486 (2022).</w:t>
      </w:r>
    </w:p>
    <w:p w14:paraId="3021137C"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Wan, A. M. D., Moore, T. A., Young, E. W. K. Solvent bonding for fabrication of PMMA and COP microfluidic devices. </w:t>
      </w:r>
      <w:r w:rsidRPr="00C0728B">
        <w:rPr>
          <w:rStyle w:val="Emphasis"/>
          <w:rFonts w:asciiTheme="majorHAnsi" w:hAnsiTheme="majorHAnsi" w:cstheme="majorHAnsi"/>
        </w:rPr>
        <w:t>J Vis Exp</w:t>
      </w:r>
      <w:r w:rsidRPr="00C0728B">
        <w:rPr>
          <w:rFonts w:asciiTheme="majorHAnsi" w:hAnsiTheme="majorHAnsi" w:cstheme="majorHAnsi"/>
        </w:rPr>
        <w:t xml:space="preserve">. </w:t>
      </w:r>
      <w:r w:rsidRPr="00C0728B">
        <w:rPr>
          <w:rStyle w:val="Strong"/>
          <w:rFonts w:asciiTheme="majorHAnsi" w:hAnsiTheme="majorHAnsi" w:cstheme="majorHAnsi"/>
        </w:rPr>
        <w:t>119</w:t>
      </w:r>
      <w:r w:rsidRPr="00C0728B">
        <w:rPr>
          <w:rFonts w:asciiTheme="majorHAnsi" w:hAnsiTheme="majorHAnsi" w:cstheme="majorHAnsi"/>
        </w:rPr>
        <w:t>, 55175 (2017).</w:t>
      </w:r>
    </w:p>
    <w:p w14:paraId="7FF55AC1"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Ogończyk, D., Węgrzyn, J., Jankowski, P., Dąbrowski, B., Garstecki, P. Bonding of microfluidic devices fabricated in polycarbonate. </w:t>
      </w:r>
      <w:r w:rsidRPr="00C0728B">
        <w:rPr>
          <w:rStyle w:val="Emphasis"/>
          <w:rFonts w:asciiTheme="majorHAnsi" w:hAnsiTheme="majorHAnsi" w:cstheme="majorHAnsi"/>
        </w:rPr>
        <w:t>Lab Chip</w:t>
      </w:r>
      <w:r w:rsidRPr="00C0728B">
        <w:rPr>
          <w:rFonts w:asciiTheme="majorHAnsi" w:hAnsiTheme="majorHAnsi" w:cstheme="majorHAnsi"/>
        </w:rPr>
        <w:t xml:space="preserve">. </w:t>
      </w:r>
      <w:r w:rsidRPr="00C0728B">
        <w:rPr>
          <w:rStyle w:val="Strong"/>
          <w:rFonts w:asciiTheme="majorHAnsi" w:hAnsiTheme="majorHAnsi" w:cstheme="majorHAnsi"/>
        </w:rPr>
        <w:t>10</w:t>
      </w:r>
      <w:r w:rsidRPr="00C0728B">
        <w:rPr>
          <w:rFonts w:asciiTheme="majorHAnsi" w:hAnsiTheme="majorHAnsi" w:cstheme="majorHAnsi"/>
        </w:rPr>
        <w:t xml:space="preserve"> (10), 1324–1327 (2010).</w:t>
      </w:r>
    </w:p>
    <w:p w14:paraId="02A78EBC"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Ahmed, M. A. M., Jurczak, K. M., Lynn, N. S., Mulder, J.-P. S. H., Verpoorte, E. M. J., Nagelkerke, A. Rapid prototyping of PMMA-based microfluidic spheroid-on-a-chip models using micromilling and vapour-assisted thermal bonding. </w:t>
      </w:r>
      <w:r w:rsidRPr="00C0728B">
        <w:rPr>
          <w:rStyle w:val="Emphasis"/>
          <w:rFonts w:asciiTheme="majorHAnsi" w:hAnsiTheme="majorHAnsi" w:cstheme="majorHAnsi"/>
        </w:rPr>
        <w:t>Sci Rep</w:t>
      </w:r>
      <w:r w:rsidRPr="00C0728B">
        <w:rPr>
          <w:rFonts w:asciiTheme="majorHAnsi" w:hAnsiTheme="majorHAnsi" w:cstheme="majorHAnsi"/>
        </w:rPr>
        <w:t xml:space="preserve">. </w:t>
      </w:r>
      <w:r w:rsidRPr="00C0728B">
        <w:rPr>
          <w:rStyle w:val="Strong"/>
          <w:rFonts w:asciiTheme="majorHAnsi" w:hAnsiTheme="majorHAnsi" w:cstheme="majorHAnsi"/>
        </w:rPr>
        <w:t>14</w:t>
      </w:r>
      <w:r w:rsidRPr="00C0728B">
        <w:rPr>
          <w:rFonts w:asciiTheme="majorHAnsi" w:hAnsiTheme="majorHAnsi" w:cstheme="majorHAnsi"/>
        </w:rPr>
        <w:t xml:space="preserve"> (1), 2831 (2024).</w:t>
      </w:r>
    </w:p>
    <w:p w14:paraId="711B7612"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Hassanpour-Tamrin, S., Sanati-Nezhad, A., Sen, A. A simple and low-cost approach for irreversible bonding of polymethylmethacrylate and polydimethylsiloxane at room temperature for high-pressure hybrid microfluidics. </w:t>
      </w:r>
      <w:r w:rsidRPr="00C0728B">
        <w:rPr>
          <w:rStyle w:val="Emphasis"/>
          <w:rFonts w:asciiTheme="majorHAnsi" w:hAnsiTheme="majorHAnsi" w:cstheme="majorHAnsi"/>
        </w:rPr>
        <w:t>Sci Rep</w:t>
      </w:r>
      <w:r w:rsidRPr="00C0728B">
        <w:rPr>
          <w:rFonts w:asciiTheme="majorHAnsi" w:hAnsiTheme="majorHAnsi" w:cstheme="majorHAnsi"/>
        </w:rPr>
        <w:t xml:space="preserve">. </w:t>
      </w:r>
      <w:r w:rsidRPr="00C0728B">
        <w:rPr>
          <w:rStyle w:val="Strong"/>
          <w:rFonts w:asciiTheme="majorHAnsi" w:hAnsiTheme="majorHAnsi" w:cstheme="majorHAnsi"/>
        </w:rPr>
        <w:t>11</w:t>
      </w:r>
      <w:r w:rsidRPr="00C0728B">
        <w:rPr>
          <w:rFonts w:asciiTheme="majorHAnsi" w:hAnsiTheme="majorHAnsi" w:cstheme="majorHAnsi"/>
        </w:rPr>
        <w:t xml:space="preserve"> (1), 4821 (2021).</w:t>
      </w:r>
    </w:p>
    <w:p w14:paraId="458D7E16"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Zhao, Z. et al. Plastic polymers for efficient DNA microarray hybridization: application to microbiological diagnostics. </w:t>
      </w:r>
      <w:r w:rsidRPr="00C0728B">
        <w:rPr>
          <w:rStyle w:val="Emphasis"/>
          <w:rFonts w:asciiTheme="majorHAnsi" w:hAnsiTheme="majorHAnsi" w:cstheme="majorHAnsi"/>
        </w:rPr>
        <w:t>J Clin Microbiol</w:t>
      </w:r>
      <w:r w:rsidRPr="00C0728B">
        <w:rPr>
          <w:rFonts w:asciiTheme="majorHAnsi" w:hAnsiTheme="majorHAnsi" w:cstheme="majorHAnsi"/>
        </w:rPr>
        <w:t xml:space="preserve">. </w:t>
      </w:r>
      <w:r w:rsidRPr="00C0728B">
        <w:rPr>
          <w:rStyle w:val="Strong"/>
          <w:rFonts w:asciiTheme="majorHAnsi" w:hAnsiTheme="majorHAnsi" w:cstheme="majorHAnsi"/>
        </w:rPr>
        <w:t>46</w:t>
      </w:r>
      <w:r w:rsidRPr="00C0728B">
        <w:rPr>
          <w:rFonts w:asciiTheme="majorHAnsi" w:hAnsiTheme="majorHAnsi" w:cstheme="majorHAnsi"/>
        </w:rPr>
        <w:t xml:space="preserve"> (11), 3752–3758 (2008).</w:t>
      </w:r>
    </w:p>
    <w:p w14:paraId="602AF1F9"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Nielsen, J. B. et al. Microfluidics: innovations in materials and their fabrication and functionalization. </w:t>
      </w:r>
      <w:r w:rsidRPr="00C0728B">
        <w:rPr>
          <w:rStyle w:val="Emphasis"/>
          <w:rFonts w:asciiTheme="majorHAnsi" w:hAnsiTheme="majorHAnsi" w:cstheme="majorHAnsi"/>
        </w:rPr>
        <w:t>Anal Chem</w:t>
      </w:r>
      <w:r w:rsidRPr="00C0728B">
        <w:rPr>
          <w:rFonts w:asciiTheme="majorHAnsi" w:hAnsiTheme="majorHAnsi" w:cstheme="majorHAnsi"/>
        </w:rPr>
        <w:t xml:space="preserve">. </w:t>
      </w:r>
      <w:r w:rsidRPr="00C0728B">
        <w:rPr>
          <w:rStyle w:val="Strong"/>
          <w:rFonts w:asciiTheme="majorHAnsi" w:hAnsiTheme="majorHAnsi" w:cstheme="majorHAnsi"/>
        </w:rPr>
        <w:t>92</w:t>
      </w:r>
      <w:r w:rsidRPr="00C0728B">
        <w:rPr>
          <w:rFonts w:asciiTheme="majorHAnsi" w:hAnsiTheme="majorHAnsi" w:cstheme="majorHAnsi"/>
        </w:rPr>
        <w:t xml:space="preserve"> (1), 150–168 (2020).</w:t>
      </w:r>
    </w:p>
    <w:p w14:paraId="6A91D172"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Washburn, A. L., Gunn, L. C., Bailey, R. C. Label-free quantitation of a cancer biomarker in complex media using silicon photonic microring resonators. </w:t>
      </w:r>
      <w:r w:rsidRPr="00C0728B">
        <w:rPr>
          <w:rStyle w:val="Emphasis"/>
          <w:rFonts w:asciiTheme="majorHAnsi" w:hAnsiTheme="majorHAnsi" w:cstheme="majorHAnsi"/>
        </w:rPr>
        <w:t>Anal Chem</w:t>
      </w:r>
      <w:r w:rsidRPr="00C0728B">
        <w:rPr>
          <w:rFonts w:asciiTheme="majorHAnsi" w:hAnsiTheme="majorHAnsi" w:cstheme="majorHAnsi"/>
        </w:rPr>
        <w:t xml:space="preserve">. </w:t>
      </w:r>
      <w:r w:rsidRPr="00C0728B">
        <w:rPr>
          <w:rStyle w:val="Strong"/>
          <w:rFonts w:asciiTheme="majorHAnsi" w:hAnsiTheme="majorHAnsi" w:cstheme="majorHAnsi"/>
        </w:rPr>
        <w:t>81</w:t>
      </w:r>
      <w:r w:rsidRPr="00C0728B">
        <w:rPr>
          <w:rFonts w:asciiTheme="majorHAnsi" w:hAnsiTheme="majorHAnsi" w:cstheme="majorHAnsi"/>
        </w:rPr>
        <w:t xml:space="preserve"> (22), 9499–9506 (2009).</w:t>
      </w:r>
    </w:p>
    <w:p w14:paraId="771CE325"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Kojic, S. P., Stojanovic, G. M., Radonic, V. Novel cost-effective microfluidic chip based on hybrid fabrication and its comprehensive characterization. </w:t>
      </w:r>
      <w:r w:rsidRPr="00C0728B">
        <w:rPr>
          <w:rStyle w:val="Emphasis"/>
          <w:rFonts w:asciiTheme="majorHAnsi" w:hAnsiTheme="majorHAnsi" w:cstheme="majorHAnsi"/>
        </w:rPr>
        <w:t>Sensors (Basel)</w:t>
      </w:r>
      <w:r w:rsidRPr="00C0728B">
        <w:rPr>
          <w:rFonts w:asciiTheme="majorHAnsi" w:hAnsiTheme="majorHAnsi" w:cstheme="majorHAnsi"/>
        </w:rPr>
        <w:t xml:space="preserve">. </w:t>
      </w:r>
      <w:r w:rsidRPr="00C0728B">
        <w:rPr>
          <w:rStyle w:val="Strong"/>
          <w:rFonts w:asciiTheme="majorHAnsi" w:hAnsiTheme="majorHAnsi" w:cstheme="majorHAnsi"/>
        </w:rPr>
        <w:t>19</w:t>
      </w:r>
      <w:r w:rsidRPr="00C0728B">
        <w:rPr>
          <w:rFonts w:asciiTheme="majorHAnsi" w:hAnsiTheme="majorHAnsi" w:cstheme="majorHAnsi"/>
        </w:rPr>
        <w:t xml:space="preserve"> (7), 1719 (2019).</w:t>
      </w:r>
    </w:p>
    <w:p w14:paraId="2A42EF64"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Boursier, M., Bayon, Y., Negrell, C., Pinaud, J., Caillol, S. Biocompatible glues: recent progress and emerging frontiers in surgical adhesion. </w:t>
      </w:r>
      <w:r w:rsidRPr="00C0728B">
        <w:rPr>
          <w:rStyle w:val="Emphasis"/>
          <w:rFonts w:asciiTheme="majorHAnsi" w:hAnsiTheme="majorHAnsi" w:cstheme="majorHAnsi"/>
        </w:rPr>
        <w:t>Polymers</w:t>
      </w:r>
      <w:r w:rsidRPr="00C0728B">
        <w:rPr>
          <w:rFonts w:asciiTheme="majorHAnsi" w:hAnsiTheme="majorHAnsi" w:cstheme="majorHAnsi"/>
        </w:rPr>
        <w:t xml:space="preserve">. </w:t>
      </w:r>
      <w:r w:rsidRPr="00C0728B">
        <w:rPr>
          <w:rStyle w:val="Strong"/>
          <w:rFonts w:asciiTheme="majorHAnsi" w:hAnsiTheme="majorHAnsi" w:cstheme="majorHAnsi"/>
        </w:rPr>
        <w:t>17</w:t>
      </w:r>
      <w:r w:rsidRPr="00C0728B">
        <w:rPr>
          <w:rFonts w:asciiTheme="majorHAnsi" w:hAnsiTheme="majorHAnsi" w:cstheme="majorHAnsi"/>
        </w:rPr>
        <w:t xml:space="preserve"> (13), 1749 (2025).</w:t>
      </w:r>
    </w:p>
    <w:p w14:paraId="64E686FF"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Higgins, N. Engineering a silicon membrane oxygenator for an artificial placenta. eScholarship (2025).</w:t>
      </w:r>
    </w:p>
    <w:p w14:paraId="7AD5E343"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lastRenderedPageBreak/>
        <w:t xml:space="preserve">Wei, Y. et al. Rapid prototyping of multi-functional and biocompatible Parafilm®-based microfluidic devices by laser ablation and thermal bonding. </w:t>
      </w:r>
      <w:r w:rsidRPr="00C0728B">
        <w:rPr>
          <w:rStyle w:val="Emphasis"/>
          <w:rFonts w:asciiTheme="majorHAnsi" w:hAnsiTheme="majorHAnsi" w:cstheme="majorHAnsi"/>
        </w:rPr>
        <w:t>Micromachines</w:t>
      </w:r>
      <w:r w:rsidRPr="00C0728B">
        <w:rPr>
          <w:rFonts w:asciiTheme="majorHAnsi" w:hAnsiTheme="majorHAnsi" w:cstheme="majorHAnsi"/>
        </w:rPr>
        <w:t xml:space="preserve">. </w:t>
      </w:r>
      <w:r w:rsidRPr="00C0728B">
        <w:rPr>
          <w:rStyle w:val="Strong"/>
          <w:rFonts w:asciiTheme="majorHAnsi" w:hAnsiTheme="majorHAnsi" w:cstheme="majorHAnsi"/>
        </w:rPr>
        <w:t>14</w:t>
      </w:r>
      <w:r w:rsidRPr="00C0728B">
        <w:rPr>
          <w:rFonts w:asciiTheme="majorHAnsi" w:hAnsiTheme="majorHAnsi" w:cstheme="majorHAnsi"/>
        </w:rPr>
        <w:t xml:space="preserve"> (3), 656 (2023).</w:t>
      </w:r>
    </w:p>
    <w:p w14:paraId="7A7C807D"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Madadi, M., Madadi, A., Zareifar, R., Nikfarjam, A. A simple solvent-assisted method for thermal bonding of large-surface, multilayer PMMA microfluidic devices. </w:t>
      </w:r>
      <w:r w:rsidRPr="00C0728B">
        <w:rPr>
          <w:rStyle w:val="Emphasis"/>
          <w:rFonts w:asciiTheme="majorHAnsi" w:hAnsiTheme="majorHAnsi" w:cstheme="majorHAnsi"/>
        </w:rPr>
        <w:t>Sens Actuators A Phys</w:t>
      </w:r>
      <w:r w:rsidRPr="00C0728B">
        <w:rPr>
          <w:rFonts w:asciiTheme="majorHAnsi" w:hAnsiTheme="majorHAnsi" w:cstheme="majorHAnsi"/>
        </w:rPr>
        <w:t xml:space="preserve">. </w:t>
      </w:r>
      <w:r w:rsidRPr="00C0728B">
        <w:rPr>
          <w:rStyle w:val="Strong"/>
          <w:rFonts w:asciiTheme="majorHAnsi" w:hAnsiTheme="majorHAnsi" w:cstheme="majorHAnsi"/>
        </w:rPr>
        <w:t>349</w:t>
      </w:r>
      <w:r w:rsidRPr="00C0728B">
        <w:rPr>
          <w:rFonts w:asciiTheme="majorHAnsi" w:hAnsiTheme="majorHAnsi" w:cstheme="majorHAnsi"/>
        </w:rPr>
        <w:t>, 114077 (2023).</w:t>
      </w:r>
    </w:p>
    <w:p w14:paraId="155A450E"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Riegger, L., Strohmeier, O., Faltin, B., Zengerle, R., Koltay, P. Adhesive bonding of microfluidic chips: influence of process parameters. </w:t>
      </w:r>
      <w:r w:rsidRPr="00C0728B">
        <w:rPr>
          <w:rStyle w:val="Emphasis"/>
          <w:rFonts w:asciiTheme="majorHAnsi" w:hAnsiTheme="majorHAnsi" w:cstheme="majorHAnsi"/>
        </w:rPr>
        <w:t>J Micromech Microeng</w:t>
      </w:r>
      <w:r w:rsidRPr="00C0728B">
        <w:rPr>
          <w:rFonts w:asciiTheme="majorHAnsi" w:hAnsiTheme="majorHAnsi" w:cstheme="majorHAnsi"/>
        </w:rPr>
        <w:t xml:space="preserve">. </w:t>
      </w:r>
      <w:r w:rsidRPr="00C0728B">
        <w:rPr>
          <w:rStyle w:val="Strong"/>
          <w:rFonts w:asciiTheme="majorHAnsi" w:hAnsiTheme="majorHAnsi" w:cstheme="majorHAnsi"/>
        </w:rPr>
        <w:t>20</w:t>
      </w:r>
      <w:r w:rsidRPr="00C0728B">
        <w:rPr>
          <w:rFonts w:asciiTheme="majorHAnsi" w:hAnsiTheme="majorHAnsi" w:cstheme="majorHAnsi"/>
        </w:rPr>
        <w:t xml:space="preserve"> (8), 087003 (2010).</w:t>
      </w:r>
    </w:p>
    <w:p w14:paraId="4317F77D" w14:textId="77777777" w:rsidR="00AD5765" w:rsidRPr="00C0728B" w:rsidRDefault="00AD5765" w:rsidP="00C0728B">
      <w:pPr>
        <w:pStyle w:val="NormalWeb"/>
        <w:numPr>
          <w:ilvl w:val="0"/>
          <w:numId w:val="20"/>
        </w:numPr>
        <w:tabs>
          <w:tab w:val="clear" w:pos="720"/>
        </w:tabs>
        <w:spacing w:before="0" w:beforeAutospacing="0" w:after="0" w:afterAutospacing="0"/>
        <w:ind w:left="0" w:firstLine="0"/>
        <w:jc w:val="both"/>
        <w:rPr>
          <w:rFonts w:asciiTheme="majorHAnsi" w:hAnsiTheme="majorHAnsi" w:cstheme="majorHAnsi"/>
        </w:rPr>
      </w:pPr>
      <w:r w:rsidRPr="00C0728B">
        <w:rPr>
          <w:rFonts w:asciiTheme="majorHAnsi" w:hAnsiTheme="majorHAnsi" w:cstheme="majorHAnsi"/>
        </w:rPr>
        <w:t xml:space="preserve">Jung, B.-J. et al. Surface functionalization and bonding of chemically inert parylene microfluidics using Parylene-A adhesive layer. </w:t>
      </w:r>
      <w:r w:rsidRPr="00C0728B">
        <w:rPr>
          <w:rStyle w:val="Emphasis"/>
          <w:rFonts w:asciiTheme="majorHAnsi" w:hAnsiTheme="majorHAnsi" w:cstheme="majorHAnsi"/>
        </w:rPr>
        <w:t>BioChip J</w:t>
      </w:r>
      <w:r w:rsidRPr="00C0728B">
        <w:rPr>
          <w:rFonts w:asciiTheme="majorHAnsi" w:hAnsiTheme="majorHAnsi" w:cstheme="majorHAnsi"/>
        </w:rPr>
        <w:t xml:space="preserve">. </w:t>
      </w:r>
      <w:r w:rsidRPr="00C0728B">
        <w:rPr>
          <w:rStyle w:val="Strong"/>
          <w:rFonts w:asciiTheme="majorHAnsi" w:hAnsiTheme="majorHAnsi" w:cstheme="majorHAnsi"/>
        </w:rPr>
        <w:t>16</w:t>
      </w:r>
      <w:r w:rsidRPr="00C0728B">
        <w:rPr>
          <w:rFonts w:asciiTheme="majorHAnsi" w:hAnsiTheme="majorHAnsi" w:cstheme="majorHAnsi"/>
        </w:rPr>
        <w:t xml:space="preserve"> (2), 168–174 (2022).</w:t>
      </w:r>
    </w:p>
    <w:p w14:paraId="0000014D" w14:textId="7FEE9708" w:rsidR="00C916AB" w:rsidRPr="00C0728B" w:rsidRDefault="00C916AB" w:rsidP="00C0728B">
      <w:pPr>
        <w:rPr>
          <w:rFonts w:asciiTheme="majorHAnsi" w:hAnsiTheme="majorHAnsi" w:cstheme="majorHAnsi"/>
        </w:rPr>
      </w:pPr>
    </w:p>
    <w:sectPr w:rsidR="00C916AB" w:rsidRPr="00C0728B" w:rsidSect="00F233B4">
      <w:headerReference w:type="even" r:id="rId30"/>
      <w:headerReference w:type="default" r:id="rId31"/>
      <w:footerReference w:type="even" r:id="rId32"/>
      <w:footerReference w:type="default" r:id="rId33"/>
      <w:headerReference w:type="first" r:id="rId34"/>
      <w:footerReference w:type="first" r:id="rId35"/>
      <w:pgSz w:w="12240" w:h="15840"/>
      <w:pgMar w:top="1440" w:right="1440" w:bottom="1440" w:left="1440" w:header="720" w:footer="6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1054F" w14:textId="77777777" w:rsidR="000A25AD" w:rsidRDefault="000A25AD">
      <w:r>
        <w:separator/>
      </w:r>
    </w:p>
  </w:endnote>
  <w:endnote w:type="continuationSeparator" w:id="0">
    <w:p w14:paraId="7594CFB3" w14:textId="77777777" w:rsidR="000A25AD" w:rsidRDefault="000A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E7F84E6-146E-49C1-9D13-09F547F09DE4}"/>
    <w:embedBold r:id="rId2" w:fontKey="{F3E17365-9F7C-43DB-8CB8-1BC57F2AFC4E}"/>
    <w:embedItalic r:id="rId3" w:fontKey="{40D2BBB7-CAC3-4B2D-9B62-F789B75B3F4D}"/>
    <w:embedBoldItalic r:id="rId4" w:fontKey="{0A5519BD-0161-4A1F-B8E7-72387DF00495}"/>
  </w:font>
  <w:font w:name="Cambria">
    <w:panose1 w:val="02040503050406030204"/>
    <w:charset w:val="00"/>
    <w:family w:val="roman"/>
    <w:pitch w:val="variable"/>
    <w:sig w:usb0="E00006FF" w:usb1="420024FF" w:usb2="02000000" w:usb3="00000000" w:csb0="0000019F" w:csb1="00000000"/>
    <w:embedRegular r:id="rId5" w:fontKey="{DB6D6DA9-970D-488D-BAFD-964B1CAF68B2}"/>
    <w:embedBold r:id="rId6" w:fontKey="{87D4534F-C950-4997-8CAD-0547C6EAB96C}"/>
  </w:font>
  <w:font w:name="Georgia">
    <w:panose1 w:val="02040502050405020303"/>
    <w:charset w:val="00"/>
    <w:family w:val="roman"/>
    <w:pitch w:val="variable"/>
    <w:sig w:usb0="00000287" w:usb1="00000000" w:usb2="00000000" w:usb3="00000000" w:csb0="0000009F" w:csb1="00000000"/>
    <w:embedItalic r:id="rId7" w:fontKey="{70328141-2800-4E1E-B4A6-2148E8FAF07F}"/>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1" w14:textId="77777777" w:rsidR="00C916AB" w:rsidRDefault="00C916AB">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459093"/>
      <w:docPartObj>
        <w:docPartGallery w:val="Page Numbers (Bottom of Page)"/>
        <w:docPartUnique/>
      </w:docPartObj>
    </w:sdtPr>
    <w:sdtEndPr>
      <w:rPr>
        <w:noProof/>
      </w:rPr>
    </w:sdtEndPr>
    <w:sdtContent>
      <w:p w14:paraId="097177C4" w14:textId="50B8678F" w:rsidR="00061E04" w:rsidRDefault="00061E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57CD72" w14:textId="77777777" w:rsidR="00061E04" w:rsidRDefault="00061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220154"/>
      <w:docPartObj>
        <w:docPartGallery w:val="Page Numbers (Bottom of Page)"/>
        <w:docPartUnique/>
      </w:docPartObj>
    </w:sdtPr>
    <w:sdtEndPr>
      <w:rPr>
        <w:noProof/>
      </w:rPr>
    </w:sdtEndPr>
    <w:sdtContent>
      <w:p w14:paraId="26A319C0" w14:textId="31632825" w:rsidR="00061E04" w:rsidRDefault="00061E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408B04" w14:textId="77777777" w:rsidR="00061E04" w:rsidRDefault="00061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5B8D" w14:textId="77777777" w:rsidR="000A25AD" w:rsidRDefault="000A25AD">
      <w:r>
        <w:separator/>
      </w:r>
    </w:p>
  </w:footnote>
  <w:footnote w:type="continuationSeparator" w:id="0">
    <w:p w14:paraId="2B62B200" w14:textId="77777777" w:rsidR="000A25AD" w:rsidRDefault="000A2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E" w14:textId="77777777" w:rsidR="00C916AB" w:rsidRDefault="00C916A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F" w14:textId="77777777" w:rsidR="00C916AB" w:rsidRDefault="003A3C6E">
    <w:pPr>
      <w:pBdr>
        <w:top w:val="nil"/>
        <w:left w:val="nil"/>
        <w:bottom w:val="nil"/>
        <w:right w:val="nil"/>
        <w:between w:val="nil"/>
      </w:pBdr>
      <w:tabs>
        <w:tab w:val="center" w:pos="4680"/>
        <w:tab w:val="right" w:pos="9360"/>
        <w:tab w:val="left" w:pos="5724"/>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50" w14:textId="77777777" w:rsidR="00C916AB" w:rsidRDefault="00C916AB">
    <w:pPr>
      <w:pBdr>
        <w:top w:val="nil"/>
        <w:left w:val="nil"/>
        <w:bottom w:val="nil"/>
        <w:right w:val="nil"/>
        <w:between w:val="nil"/>
      </w:pBdr>
      <w:tabs>
        <w:tab w:val="center" w:pos="4680"/>
        <w:tab w:val="right" w:pos="9360"/>
      </w:tabs>
      <w:jc w:val="righ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43D"/>
    <w:multiLevelType w:val="multilevel"/>
    <w:tmpl w:val="C3B4741C"/>
    <w:lvl w:ilvl="0">
      <w:start w:val="1"/>
      <w:numFmt w:val="decimal"/>
      <w:lvlText w:val="%1."/>
      <w:lvlJc w:val="right"/>
      <w:pPr>
        <w:ind w:left="360" w:hanging="180"/>
      </w:pPr>
      <w:rPr>
        <w:b w:val="0"/>
        <w:bCs w:val="0"/>
      </w:rPr>
    </w:lvl>
    <w:lvl w:ilvl="1">
      <w:start w:val="1"/>
      <w:numFmt w:val="decimal"/>
      <w:lvlText w:val="%1.%2."/>
      <w:lvlJc w:val="right"/>
      <w:pPr>
        <w:ind w:left="1080" w:hanging="504"/>
      </w:pPr>
    </w:lvl>
    <w:lvl w:ilvl="2">
      <w:start w:val="1"/>
      <w:numFmt w:val="decimal"/>
      <w:lvlText w:val="%1.%2.%3."/>
      <w:lvlJc w:val="right"/>
      <w:pPr>
        <w:ind w:left="1728" w:hanging="575"/>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1" w15:restartNumberingAfterBreak="0">
    <w:nsid w:val="034774E5"/>
    <w:multiLevelType w:val="multilevel"/>
    <w:tmpl w:val="786E92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3776BA"/>
    <w:multiLevelType w:val="multilevel"/>
    <w:tmpl w:val="434C2002"/>
    <w:lvl w:ilvl="0">
      <w:start w:val="1"/>
      <w:numFmt w:val="decimal"/>
      <w:lvlText w:val="%1."/>
      <w:lvlJc w:val="right"/>
      <w:pPr>
        <w:ind w:left="360" w:hanging="180"/>
      </w:pPr>
    </w:lvl>
    <w:lvl w:ilvl="1">
      <w:start w:val="1"/>
      <w:numFmt w:val="decimal"/>
      <w:lvlText w:val="%1.%2."/>
      <w:lvlJc w:val="right"/>
      <w:pPr>
        <w:ind w:left="1080" w:hanging="540"/>
      </w:pPr>
    </w:lvl>
    <w:lvl w:ilvl="2">
      <w:start w:val="1"/>
      <w:numFmt w:val="decimal"/>
      <w:lvlText w:val="%1.%2.%3."/>
      <w:lvlJc w:val="right"/>
      <w:pPr>
        <w:ind w:left="1440" w:hanging="360"/>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3" w15:restartNumberingAfterBreak="0">
    <w:nsid w:val="14873977"/>
    <w:multiLevelType w:val="multilevel"/>
    <w:tmpl w:val="6EC88A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787DDF"/>
    <w:multiLevelType w:val="multilevel"/>
    <w:tmpl w:val="4C32A674"/>
    <w:lvl w:ilvl="0">
      <w:start w:val="1"/>
      <w:numFmt w:val="decimal"/>
      <w:lvlText w:val="%1."/>
      <w:lvlJc w:val="right"/>
      <w:pPr>
        <w:ind w:left="360" w:hanging="180"/>
      </w:pPr>
      <w:rPr>
        <w:b w:val="0"/>
        <w:bCs w:val="0"/>
      </w:rPr>
    </w:lvl>
    <w:lvl w:ilvl="1">
      <w:start w:val="1"/>
      <w:numFmt w:val="decimal"/>
      <w:lvlText w:val="%1.%2."/>
      <w:lvlJc w:val="right"/>
      <w:pPr>
        <w:ind w:left="1080" w:hanging="504"/>
      </w:pPr>
    </w:lvl>
    <w:lvl w:ilvl="2">
      <w:start w:val="1"/>
      <w:numFmt w:val="decimal"/>
      <w:lvlText w:val="%1.%2.%3."/>
      <w:lvlJc w:val="right"/>
      <w:pPr>
        <w:ind w:left="1728" w:hanging="575"/>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5" w15:restartNumberingAfterBreak="0">
    <w:nsid w:val="24DD7831"/>
    <w:multiLevelType w:val="multilevel"/>
    <w:tmpl w:val="87565720"/>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6A949E2"/>
    <w:multiLevelType w:val="multilevel"/>
    <w:tmpl w:val="3E88797E"/>
    <w:lvl w:ilvl="0">
      <w:start w:val="1"/>
      <w:numFmt w:val="decimal"/>
      <w:lvlText w:val="%1."/>
      <w:lvlJc w:val="right"/>
      <w:pPr>
        <w:ind w:left="360" w:hanging="180"/>
      </w:pPr>
      <w:rPr>
        <w:b w:val="0"/>
        <w:bCs w:val="0"/>
      </w:rPr>
    </w:lvl>
    <w:lvl w:ilvl="1">
      <w:start w:val="1"/>
      <w:numFmt w:val="decimal"/>
      <w:lvlText w:val="%1.%2."/>
      <w:lvlJc w:val="right"/>
      <w:pPr>
        <w:ind w:left="1080" w:hanging="504"/>
      </w:pPr>
    </w:lvl>
    <w:lvl w:ilvl="2">
      <w:start w:val="1"/>
      <w:numFmt w:val="decimal"/>
      <w:lvlText w:val="%1.%2.%3."/>
      <w:lvlJc w:val="right"/>
      <w:pPr>
        <w:ind w:left="1440" w:hanging="360"/>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7" w15:restartNumberingAfterBreak="0">
    <w:nsid w:val="276A535F"/>
    <w:multiLevelType w:val="hybridMultilevel"/>
    <w:tmpl w:val="E2C673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EEC416A"/>
    <w:multiLevelType w:val="multilevel"/>
    <w:tmpl w:val="9EC2155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34AC5728"/>
    <w:multiLevelType w:val="multilevel"/>
    <w:tmpl w:val="DDC219C2"/>
    <w:lvl w:ilvl="0">
      <w:start w:val="1"/>
      <w:numFmt w:val="decimal"/>
      <w:lvlText w:val="%1."/>
      <w:lvlJc w:val="right"/>
      <w:pPr>
        <w:ind w:left="360" w:hanging="180"/>
      </w:pPr>
      <w:rPr>
        <w:u w:val="none"/>
      </w:rPr>
    </w:lvl>
    <w:lvl w:ilvl="1">
      <w:start w:val="1"/>
      <w:numFmt w:val="decimal"/>
      <w:lvlText w:val="%1.%2."/>
      <w:lvlJc w:val="right"/>
      <w:pPr>
        <w:ind w:left="1080" w:hanging="450"/>
      </w:pPr>
      <w:rPr>
        <w:u w:val="none"/>
      </w:rPr>
    </w:lvl>
    <w:lvl w:ilvl="2">
      <w:start w:val="1"/>
      <w:numFmt w:val="decimal"/>
      <w:lvlText w:val="%1.%2.%3."/>
      <w:lvlJc w:val="right"/>
      <w:pPr>
        <w:ind w:left="1710" w:hanging="54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34D92C5D"/>
    <w:multiLevelType w:val="multilevel"/>
    <w:tmpl w:val="30F2F928"/>
    <w:lvl w:ilvl="0">
      <w:start w:val="1"/>
      <w:numFmt w:val="decimal"/>
      <w:lvlText w:val="%1."/>
      <w:lvlJc w:val="right"/>
      <w:pPr>
        <w:ind w:left="360" w:hanging="180"/>
      </w:pPr>
      <w:rPr>
        <w:u w:val="none"/>
      </w:rPr>
    </w:lvl>
    <w:lvl w:ilvl="1">
      <w:start w:val="1"/>
      <w:numFmt w:val="decimal"/>
      <w:lvlText w:val="%1.%2."/>
      <w:lvlJc w:val="right"/>
      <w:pPr>
        <w:ind w:left="1080" w:hanging="450"/>
      </w:pPr>
      <w:rPr>
        <w:u w:val="none"/>
      </w:rPr>
    </w:lvl>
    <w:lvl w:ilvl="2">
      <w:start w:val="1"/>
      <w:numFmt w:val="decimal"/>
      <w:lvlText w:val="%1.%2.%3."/>
      <w:lvlJc w:val="right"/>
      <w:pPr>
        <w:ind w:left="1710" w:hanging="54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 w15:restartNumberingAfterBreak="0">
    <w:nsid w:val="3A7009A3"/>
    <w:multiLevelType w:val="multilevel"/>
    <w:tmpl w:val="ACD03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4B2C3E"/>
    <w:multiLevelType w:val="multilevel"/>
    <w:tmpl w:val="4DC60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5366DC"/>
    <w:multiLevelType w:val="multilevel"/>
    <w:tmpl w:val="9D9AC5D8"/>
    <w:lvl w:ilvl="0">
      <w:start w:val="7"/>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CE5E68"/>
    <w:multiLevelType w:val="multilevel"/>
    <w:tmpl w:val="EEB40344"/>
    <w:lvl w:ilvl="0">
      <w:start w:val="3"/>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4CB5041D"/>
    <w:multiLevelType w:val="multilevel"/>
    <w:tmpl w:val="F4B6A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BE0225"/>
    <w:multiLevelType w:val="multilevel"/>
    <w:tmpl w:val="DB144478"/>
    <w:lvl w:ilvl="0">
      <w:start w:val="3"/>
      <w:numFmt w:val="decimal"/>
      <w:lvlText w:val="%1."/>
      <w:lvlJc w:val="left"/>
      <w:pPr>
        <w:ind w:left="360" w:hanging="360"/>
      </w:pPr>
    </w:lvl>
    <w:lvl w:ilvl="1">
      <w:start w:val="3"/>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7" w15:restartNumberingAfterBreak="0">
    <w:nsid w:val="5EA0698D"/>
    <w:multiLevelType w:val="multilevel"/>
    <w:tmpl w:val="1FF8E5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976315B"/>
    <w:multiLevelType w:val="multilevel"/>
    <w:tmpl w:val="4C04C5A2"/>
    <w:lvl w:ilvl="0">
      <w:start w:val="1"/>
      <w:numFmt w:val="decimal"/>
      <w:lvlText w:val="%1."/>
      <w:lvlJc w:val="right"/>
      <w:pPr>
        <w:ind w:left="360" w:hanging="180"/>
      </w:pPr>
    </w:lvl>
    <w:lvl w:ilvl="1">
      <w:start w:val="1"/>
      <w:numFmt w:val="decimal"/>
      <w:lvlText w:val="%1.%2."/>
      <w:lvlJc w:val="right"/>
      <w:pPr>
        <w:ind w:left="1080" w:hanging="540"/>
      </w:pPr>
    </w:lvl>
    <w:lvl w:ilvl="2">
      <w:start w:val="1"/>
      <w:numFmt w:val="decimal"/>
      <w:lvlText w:val="%1.%2.%3."/>
      <w:lvlJc w:val="right"/>
      <w:pPr>
        <w:ind w:left="1440" w:hanging="360"/>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abstractNum w:abstractNumId="19" w15:restartNumberingAfterBreak="0">
    <w:nsid w:val="783E28F6"/>
    <w:multiLevelType w:val="multilevel"/>
    <w:tmpl w:val="64044A12"/>
    <w:lvl w:ilvl="0">
      <w:start w:val="1"/>
      <w:numFmt w:val="decimal"/>
      <w:lvlText w:val="%1."/>
      <w:lvlJc w:val="right"/>
      <w:pPr>
        <w:ind w:left="360" w:hanging="180"/>
      </w:pPr>
      <w:rPr>
        <w:b w:val="0"/>
        <w:bCs w:val="0"/>
      </w:rPr>
    </w:lvl>
    <w:lvl w:ilvl="1">
      <w:start w:val="1"/>
      <w:numFmt w:val="decimal"/>
      <w:lvlText w:val="%1.%2."/>
      <w:lvlJc w:val="right"/>
      <w:pPr>
        <w:ind w:left="1080" w:hanging="504"/>
      </w:pPr>
    </w:lvl>
    <w:lvl w:ilvl="2">
      <w:start w:val="1"/>
      <w:numFmt w:val="decimal"/>
      <w:lvlText w:val="%1.%2.%3."/>
      <w:lvlJc w:val="right"/>
      <w:pPr>
        <w:ind w:left="1728" w:hanging="575"/>
      </w:pPr>
    </w:lvl>
    <w:lvl w:ilvl="3">
      <w:start w:val="1"/>
      <w:numFmt w:val="decimal"/>
      <w:lvlText w:val="%1.%2.%3.%4."/>
      <w:lvlJc w:val="right"/>
      <w:pPr>
        <w:ind w:left="1728" w:hanging="647"/>
      </w:pPr>
    </w:lvl>
    <w:lvl w:ilvl="4">
      <w:start w:val="1"/>
      <w:numFmt w:val="decimal"/>
      <w:lvlText w:val="%1.%2.%3.%4.%5."/>
      <w:lvlJc w:val="right"/>
      <w:pPr>
        <w:ind w:left="2232" w:hanging="792"/>
      </w:pPr>
    </w:lvl>
    <w:lvl w:ilvl="5">
      <w:start w:val="1"/>
      <w:numFmt w:val="decimal"/>
      <w:lvlText w:val="%1.%2.%3.%4.%5.%6."/>
      <w:lvlJc w:val="right"/>
      <w:pPr>
        <w:ind w:left="2736" w:hanging="933"/>
      </w:pPr>
    </w:lvl>
    <w:lvl w:ilvl="6">
      <w:start w:val="1"/>
      <w:numFmt w:val="decimal"/>
      <w:lvlText w:val="%1.%2.%3.%4.%5.%6.%7."/>
      <w:lvlJc w:val="right"/>
      <w:pPr>
        <w:ind w:left="3240" w:hanging="1080"/>
      </w:pPr>
    </w:lvl>
    <w:lvl w:ilvl="7">
      <w:start w:val="1"/>
      <w:numFmt w:val="decimal"/>
      <w:lvlText w:val="%1.%2.%3.%4.%5.%6.%7.%8."/>
      <w:lvlJc w:val="right"/>
      <w:pPr>
        <w:ind w:left="3744" w:hanging="1224"/>
      </w:pPr>
    </w:lvl>
    <w:lvl w:ilvl="8">
      <w:start w:val="1"/>
      <w:numFmt w:val="decimal"/>
      <w:lvlText w:val="%1.%2.%3.%4.%5.%6.%7.%8.%9."/>
      <w:lvlJc w:val="right"/>
      <w:pPr>
        <w:ind w:left="4320" w:hanging="1440"/>
      </w:pPr>
    </w:lvl>
  </w:abstractNum>
  <w:num w:numId="1" w16cid:durableId="444497537">
    <w:abstractNumId w:val="12"/>
  </w:num>
  <w:num w:numId="2" w16cid:durableId="2137527067">
    <w:abstractNumId w:val="1"/>
  </w:num>
  <w:num w:numId="3" w16cid:durableId="675810559">
    <w:abstractNumId w:val="16"/>
  </w:num>
  <w:num w:numId="4" w16cid:durableId="1319381181">
    <w:abstractNumId w:val="8"/>
  </w:num>
  <w:num w:numId="5" w16cid:durableId="832913717">
    <w:abstractNumId w:val="18"/>
  </w:num>
  <w:num w:numId="6" w16cid:durableId="1643925893">
    <w:abstractNumId w:val="10"/>
  </w:num>
  <w:num w:numId="7" w16cid:durableId="521289040">
    <w:abstractNumId w:val="5"/>
  </w:num>
  <w:num w:numId="8" w16cid:durableId="1111625318">
    <w:abstractNumId w:val="9"/>
  </w:num>
  <w:num w:numId="9" w16cid:durableId="763113973">
    <w:abstractNumId w:val="17"/>
  </w:num>
  <w:num w:numId="10" w16cid:durableId="1204249269">
    <w:abstractNumId w:val="2"/>
  </w:num>
  <w:num w:numId="11" w16cid:durableId="1708874527">
    <w:abstractNumId w:val="6"/>
  </w:num>
  <w:num w:numId="12" w16cid:durableId="513419116">
    <w:abstractNumId w:val="19"/>
  </w:num>
  <w:num w:numId="13" w16cid:durableId="977298635">
    <w:abstractNumId w:val="4"/>
  </w:num>
  <w:num w:numId="14" w16cid:durableId="1905993065">
    <w:abstractNumId w:val="0"/>
  </w:num>
  <w:num w:numId="15" w16cid:durableId="1800147584">
    <w:abstractNumId w:val="7"/>
  </w:num>
  <w:num w:numId="16" w16cid:durableId="1926180314">
    <w:abstractNumId w:val="14"/>
  </w:num>
  <w:num w:numId="17" w16cid:durableId="1013414384">
    <w:abstractNumId w:val="3"/>
  </w:num>
  <w:num w:numId="18" w16cid:durableId="109513060">
    <w:abstractNumId w:val="13"/>
  </w:num>
  <w:num w:numId="19" w16cid:durableId="212352148">
    <w:abstractNumId w:val="15"/>
  </w:num>
  <w:num w:numId="20" w16cid:durableId="486489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AB"/>
    <w:rsid w:val="00010B5D"/>
    <w:rsid w:val="00050191"/>
    <w:rsid w:val="00061E04"/>
    <w:rsid w:val="00067ABB"/>
    <w:rsid w:val="000A25AD"/>
    <w:rsid w:val="000B2A67"/>
    <w:rsid w:val="000D4467"/>
    <w:rsid w:val="000E1028"/>
    <w:rsid w:val="000E1383"/>
    <w:rsid w:val="001A7ECE"/>
    <w:rsid w:val="00210635"/>
    <w:rsid w:val="00211799"/>
    <w:rsid w:val="0022637F"/>
    <w:rsid w:val="00230A68"/>
    <w:rsid w:val="00232719"/>
    <w:rsid w:val="00262F8E"/>
    <w:rsid w:val="002A20C3"/>
    <w:rsid w:val="002C65E5"/>
    <w:rsid w:val="002D5999"/>
    <w:rsid w:val="00323FF9"/>
    <w:rsid w:val="0039107C"/>
    <w:rsid w:val="003A3C6E"/>
    <w:rsid w:val="003A4803"/>
    <w:rsid w:val="003C1F52"/>
    <w:rsid w:val="003C7B0F"/>
    <w:rsid w:val="003F3478"/>
    <w:rsid w:val="00403687"/>
    <w:rsid w:val="00416956"/>
    <w:rsid w:val="0042052B"/>
    <w:rsid w:val="00465FF9"/>
    <w:rsid w:val="00491BA0"/>
    <w:rsid w:val="004A6398"/>
    <w:rsid w:val="004D52A3"/>
    <w:rsid w:val="0053146F"/>
    <w:rsid w:val="0053562D"/>
    <w:rsid w:val="005720FD"/>
    <w:rsid w:val="005A1779"/>
    <w:rsid w:val="005B2FED"/>
    <w:rsid w:val="005C3CBC"/>
    <w:rsid w:val="005C7DA3"/>
    <w:rsid w:val="005D7751"/>
    <w:rsid w:val="005E085D"/>
    <w:rsid w:val="006203BA"/>
    <w:rsid w:val="00651A3A"/>
    <w:rsid w:val="00656E89"/>
    <w:rsid w:val="006631D8"/>
    <w:rsid w:val="00670BDD"/>
    <w:rsid w:val="006D6858"/>
    <w:rsid w:val="00722506"/>
    <w:rsid w:val="00762C7B"/>
    <w:rsid w:val="0077619C"/>
    <w:rsid w:val="007849BC"/>
    <w:rsid w:val="007A46A2"/>
    <w:rsid w:val="007D335B"/>
    <w:rsid w:val="007E011A"/>
    <w:rsid w:val="007E160E"/>
    <w:rsid w:val="007F788D"/>
    <w:rsid w:val="00801289"/>
    <w:rsid w:val="00810EC6"/>
    <w:rsid w:val="008111AB"/>
    <w:rsid w:val="00822484"/>
    <w:rsid w:val="008622DF"/>
    <w:rsid w:val="00870A38"/>
    <w:rsid w:val="00892D05"/>
    <w:rsid w:val="008C320E"/>
    <w:rsid w:val="008E065A"/>
    <w:rsid w:val="008E5C8E"/>
    <w:rsid w:val="0090308B"/>
    <w:rsid w:val="00911D5D"/>
    <w:rsid w:val="00956469"/>
    <w:rsid w:val="0096312D"/>
    <w:rsid w:val="00967069"/>
    <w:rsid w:val="00992BCF"/>
    <w:rsid w:val="009B539E"/>
    <w:rsid w:val="009F09B1"/>
    <w:rsid w:val="00A55DCD"/>
    <w:rsid w:val="00A900B1"/>
    <w:rsid w:val="00AC3097"/>
    <w:rsid w:val="00AC5DBC"/>
    <w:rsid w:val="00AD1418"/>
    <w:rsid w:val="00AD5765"/>
    <w:rsid w:val="00AE6FCB"/>
    <w:rsid w:val="00AE74C6"/>
    <w:rsid w:val="00AF45DD"/>
    <w:rsid w:val="00B06358"/>
    <w:rsid w:val="00B07CA4"/>
    <w:rsid w:val="00B169BF"/>
    <w:rsid w:val="00B351A0"/>
    <w:rsid w:val="00B45720"/>
    <w:rsid w:val="00B5300B"/>
    <w:rsid w:val="00B67976"/>
    <w:rsid w:val="00B7220A"/>
    <w:rsid w:val="00B77F9A"/>
    <w:rsid w:val="00B84CF0"/>
    <w:rsid w:val="00B93365"/>
    <w:rsid w:val="00B96CA3"/>
    <w:rsid w:val="00BF774F"/>
    <w:rsid w:val="00C0728B"/>
    <w:rsid w:val="00C26CA6"/>
    <w:rsid w:val="00C6131E"/>
    <w:rsid w:val="00C85DCB"/>
    <w:rsid w:val="00C86020"/>
    <w:rsid w:val="00C916AB"/>
    <w:rsid w:val="00CD4B46"/>
    <w:rsid w:val="00D133CA"/>
    <w:rsid w:val="00D16D04"/>
    <w:rsid w:val="00D22D9E"/>
    <w:rsid w:val="00D64682"/>
    <w:rsid w:val="00DB2928"/>
    <w:rsid w:val="00E16096"/>
    <w:rsid w:val="00E435C3"/>
    <w:rsid w:val="00E90487"/>
    <w:rsid w:val="00E91CA7"/>
    <w:rsid w:val="00EA25ED"/>
    <w:rsid w:val="00EC5348"/>
    <w:rsid w:val="00EC7A08"/>
    <w:rsid w:val="00ED00A8"/>
    <w:rsid w:val="00F233B4"/>
    <w:rsid w:val="00F304E5"/>
    <w:rsid w:val="00F31BCB"/>
    <w:rsid w:val="00F4170C"/>
    <w:rsid w:val="00F44396"/>
    <w:rsid w:val="00F67CC0"/>
    <w:rsid w:val="00F819D0"/>
    <w:rsid w:val="00F92AB5"/>
    <w:rsid w:val="00F92CD0"/>
    <w:rsid w:val="00FC3E06"/>
    <w:rsid w:val="0153499A"/>
    <w:rsid w:val="05215631"/>
    <w:rsid w:val="081308D0"/>
    <w:rsid w:val="081A8A55"/>
    <w:rsid w:val="0CB80CEC"/>
    <w:rsid w:val="15697080"/>
    <w:rsid w:val="15E54212"/>
    <w:rsid w:val="170F9DCD"/>
    <w:rsid w:val="1A9C4459"/>
    <w:rsid w:val="1C130318"/>
    <w:rsid w:val="1F758B1A"/>
    <w:rsid w:val="23D026FF"/>
    <w:rsid w:val="25925466"/>
    <w:rsid w:val="25DC9E8E"/>
    <w:rsid w:val="267FDE46"/>
    <w:rsid w:val="26A301DA"/>
    <w:rsid w:val="2FCCFA6E"/>
    <w:rsid w:val="3C7E1681"/>
    <w:rsid w:val="3EFC4FEC"/>
    <w:rsid w:val="43A788E8"/>
    <w:rsid w:val="496EF2B4"/>
    <w:rsid w:val="4970340A"/>
    <w:rsid w:val="4AE60207"/>
    <w:rsid w:val="4B5B94AB"/>
    <w:rsid w:val="4D78C09F"/>
    <w:rsid w:val="4DC90445"/>
    <w:rsid w:val="4F861F75"/>
    <w:rsid w:val="526029F8"/>
    <w:rsid w:val="556236A0"/>
    <w:rsid w:val="58425DB7"/>
    <w:rsid w:val="5D019152"/>
    <w:rsid w:val="663CBE5C"/>
    <w:rsid w:val="6784CB12"/>
    <w:rsid w:val="686C8137"/>
    <w:rsid w:val="68CAF067"/>
    <w:rsid w:val="6E6E0E13"/>
    <w:rsid w:val="7A755C37"/>
    <w:rsid w:val="7E93A10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F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I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FC3E06"/>
    <w:pPr>
      <w:keepNext/>
      <w:spacing w:before="240" w:after="60"/>
      <w:outlineLvl w:val="0"/>
    </w:pPr>
    <w:rPr>
      <w:b/>
      <w:bCs/>
      <w:sz w:val="28"/>
      <w:szCs w:val="28"/>
    </w:rPr>
  </w:style>
  <w:style w:type="paragraph" w:styleId="Heading2">
    <w:name w:val="heading 2"/>
    <w:basedOn w:val="Normal"/>
    <w:next w:val="Normal"/>
    <w:uiPriority w:val="9"/>
    <w:semiHidden/>
    <w:unhideWhenUsed/>
    <w:qFormat/>
    <w:rsid w:val="00FC3E06"/>
    <w:pPr>
      <w:keepNext/>
      <w:outlineLvl w:val="1"/>
    </w:pPr>
    <w:rPr>
      <w:b/>
      <w:bCs/>
    </w:rPr>
  </w:style>
  <w:style w:type="paragraph" w:styleId="Heading3">
    <w:name w:val="heading 3"/>
    <w:basedOn w:val="Normal"/>
    <w:next w:val="Normal"/>
    <w:uiPriority w:val="9"/>
    <w:semiHidden/>
    <w:unhideWhenUsed/>
    <w:qFormat/>
    <w:rsid w:val="00FC3E06"/>
    <w:pPr>
      <w:keepNext/>
      <w:keepLines/>
      <w:spacing w:before="200"/>
      <w:outlineLvl w:val="2"/>
    </w:pPr>
    <w:rPr>
      <w:rFonts w:ascii="Cambria" w:eastAsia="Cambria" w:hAnsi="Cambria" w:cs="Cambria"/>
      <w:b/>
      <w:bCs/>
      <w:color w:val="4F81BD"/>
    </w:rPr>
  </w:style>
  <w:style w:type="paragraph" w:styleId="Heading4">
    <w:name w:val="heading 4"/>
    <w:basedOn w:val="Normal"/>
    <w:next w:val="Normal"/>
    <w:uiPriority w:val="9"/>
    <w:semiHidden/>
    <w:unhideWhenUsed/>
    <w:qFormat/>
    <w:rsid w:val="00FC3E06"/>
    <w:pPr>
      <w:keepNext/>
      <w:keepLines/>
      <w:spacing w:before="240" w:after="40"/>
      <w:outlineLvl w:val="3"/>
    </w:pPr>
    <w:rPr>
      <w:b/>
      <w:bCs/>
    </w:rPr>
  </w:style>
  <w:style w:type="paragraph" w:styleId="Heading5">
    <w:name w:val="heading 5"/>
    <w:basedOn w:val="Normal"/>
    <w:next w:val="Normal"/>
    <w:uiPriority w:val="9"/>
    <w:semiHidden/>
    <w:unhideWhenUsed/>
    <w:qFormat/>
    <w:rsid w:val="00FC3E06"/>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00FC3E06"/>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FC3E06"/>
  </w:style>
  <w:style w:type="paragraph" w:styleId="Footer">
    <w:name w:val="footer"/>
    <w:basedOn w:val="Normal"/>
    <w:link w:val="FooterChar"/>
    <w:uiPriority w:val="99"/>
    <w:unhideWhenUsed/>
    <w:rsid w:val="00FC3E06"/>
    <w:pPr>
      <w:tabs>
        <w:tab w:val="center" w:pos="4513"/>
        <w:tab w:val="right" w:pos="9026"/>
      </w:tabs>
    </w:pPr>
  </w:style>
  <w:style w:type="character" w:customStyle="1" w:styleId="FooterChar">
    <w:name w:val="Footer Char"/>
    <w:basedOn w:val="DefaultParagraphFont"/>
    <w:link w:val="Footer"/>
    <w:uiPriority w:val="99"/>
    <w:rsid w:val="00FC3E06"/>
  </w:style>
  <w:style w:type="paragraph" w:styleId="Revision">
    <w:name w:val="Revision"/>
    <w:hidden/>
    <w:uiPriority w:val="99"/>
    <w:semiHidden/>
    <w:rsid w:val="00FC3E06"/>
    <w:pPr>
      <w:widowControl/>
      <w:jc w:val="left"/>
    </w:pPr>
  </w:style>
  <w:style w:type="character" w:styleId="Hyperlink">
    <w:name w:val="Hyperlink"/>
    <w:basedOn w:val="DefaultParagraphFont"/>
    <w:uiPriority w:val="99"/>
    <w:unhideWhenUsed/>
    <w:rsid w:val="00FC3E06"/>
    <w:rPr>
      <w:color w:val="0000FF" w:themeColor="hyperlink"/>
      <w:u w:val="single"/>
    </w:rPr>
  </w:style>
  <w:style w:type="character" w:customStyle="1" w:styleId="UnresolvedMention1">
    <w:name w:val="Unresolved Mention1"/>
    <w:basedOn w:val="DefaultParagraphFont"/>
    <w:uiPriority w:val="99"/>
    <w:semiHidden/>
    <w:unhideWhenUsed/>
    <w:rsid w:val="00FC3E06"/>
    <w:rPr>
      <w:color w:val="605E5C"/>
      <w:shd w:val="clear" w:color="auto" w:fill="E1DFDD"/>
    </w:rPr>
  </w:style>
  <w:style w:type="paragraph" w:styleId="ListParagraph">
    <w:name w:val="List Paragraph"/>
    <w:basedOn w:val="Normal"/>
    <w:uiPriority w:val="34"/>
    <w:qFormat/>
    <w:rsid w:val="00FC3E06"/>
    <w:pPr>
      <w:ind w:left="720"/>
      <w:contextualSpacing/>
    </w:pPr>
  </w:style>
  <w:style w:type="paragraph" w:styleId="CommentSubject">
    <w:name w:val="annotation subject"/>
    <w:basedOn w:val="CommentText"/>
    <w:next w:val="CommentText"/>
    <w:link w:val="CommentSubjectChar"/>
    <w:uiPriority w:val="99"/>
    <w:semiHidden/>
    <w:unhideWhenUsed/>
    <w:rsid w:val="00FC3E06"/>
    <w:rPr>
      <w:b/>
      <w:bCs/>
    </w:rPr>
  </w:style>
  <w:style w:type="character" w:customStyle="1" w:styleId="CommentSubjectChar">
    <w:name w:val="Comment Subject Char"/>
    <w:basedOn w:val="CommentTextChar"/>
    <w:link w:val="CommentSubject"/>
    <w:uiPriority w:val="99"/>
    <w:semiHidden/>
    <w:rsid w:val="00FC3E06"/>
    <w:rPr>
      <w:b/>
      <w:bCs/>
      <w:sz w:val="20"/>
      <w:szCs w:val="20"/>
    </w:rPr>
  </w:style>
  <w:style w:type="paragraph" w:styleId="NormalWeb">
    <w:name w:val="Normal (Web)"/>
    <w:basedOn w:val="Normal"/>
    <w:uiPriority w:val="99"/>
    <w:unhideWhenUsed/>
    <w:rsid w:val="00AD5765"/>
    <w:pPr>
      <w:widowControl/>
      <w:spacing w:before="100" w:beforeAutospacing="1" w:after="100" w:afterAutospacing="1"/>
      <w:jc w:val="left"/>
    </w:pPr>
    <w:rPr>
      <w:rFonts w:ascii="Times New Roman" w:eastAsia="Times New Roman" w:hAnsi="Times New Roman" w:cs="Times New Roman"/>
      <w:lang w:val="en-IN"/>
    </w:rPr>
  </w:style>
  <w:style w:type="character" w:styleId="Emphasis">
    <w:name w:val="Emphasis"/>
    <w:basedOn w:val="DefaultParagraphFont"/>
    <w:uiPriority w:val="20"/>
    <w:qFormat/>
    <w:rsid w:val="00AD5765"/>
    <w:rPr>
      <w:i/>
      <w:iCs/>
    </w:rPr>
  </w:style>
  <w:style w:type="character" w:styleId="Strong">
    <w:name w:val="Strong"/>
    <w:basedOn w:val="DefaultParagraphFont"/>
    <w:uiPriority w:val="22"/>
    <w:qFormat/>
    <w:rsid w:val="00AD57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zotero.org/google-docs/?5rebF0" TargetMode="External"/><Relationship Id="rId18" Type="http://schemas.openxmlformats.org/officeDocument/2006/relationships/hyperlink" Target="https://www.zotero.org/google-docs/?eGmMv6" TargetMode="External"/><Relationship Id="rId26" Type="http://schemas.openxmlformats.org/officeDocument/2006/relationships/hyperlink" Target="https://www.zotero.org/google-docs/?RkMRvf" TargetMode="External"/><Relationship Id="rId21" Type="http://schemas.openxmlformats.org/officeDocument/2006/relationships/hyperlink" Target="https://www.zotero.org/google-docs/?L4vCbk" TargetMode="External"/><Relationship Id="rId34" Type="http://schemas.openxmlformats.org/officeDocument/2006/relationships/header" Target="header3.xml"/><Relationship Id="rId7" Type="http://schemas.openxmlformats.org/officeDocument/2006/relationships/hyperlink" Target="https://www.zotero.org/google-docs/?690nKc" TargetMode="External"/><Relationship Id="rId12" Type="http://schemas.openxmlformats.org/officeDocument/2006/relationships/hyperlink" Target="https://www.zotero.org/google-docs/?UA5B8v" TargetMode="External"/><Relationship Id="rId17" Type="http://schemas.openxmlformats.org/officeDocument/2006/relationships/hyperlink" Target="https://www.zotero.org/google-docs/?44mbMd" TargetMode="External"/><Relationship Id="rId25" Type="http://schemas.openxmlformats.org/officeDocument/2006/relationships/hyperlink" Target="https://www.zotero.org/google-docs/?nWCJwN"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zotero.org/google-docs/?7vfBR8" TargetMode="External"/><Relationship Id="rId20" Type="http://schemas.openxmlformats.org/officeDocument/2006/relationships/hyperlink" Target="https://www.zotero.org/google-docs/?9HCEFW" TargetMode="External"/><Relationship Id="rId29" Type="http://schemas.openxmlformats.org/officeDocument/2006/relationships/hyperlink" Target="https://www.zotero.org/google-docs/?HZCoDQ"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otero.org/google-docs/?xLfKAA" TargetMode="External"/><Relationship Id="rId24" Type="http://schemas.openxmlformats.org/officeDocument/2006/relationships/hyperlink" Target="https://www.zotero.org/google-docs/?JfarKH"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zotero.org/google-docs/?CALjYt" TargetMode="External"/><Relationship Id="rId23" Type="http://schemas.openxmlformats.org/officeDocument/2006/relationships/hyperlink" Target="https://www.zotero.org/google-docs/?h30f7J" TargetMode="External"/><Relationship Id="rId28" Type="http://schemas.openxmlformats.org/officeDocument/2006/relationships/hyperlink" Target="https://www.zotero.org/google-docs/?ITcl3j" TargetMode="External"/><Relationship Id="rId36" Type="http://schemas.openxmlformats.org/officeDocument/2006/relationships/fontTable" Target="fontTable.xml"/><Relationship Id="rId10" Type="http://schemas.openxmlformats.org/officeDocument/2006/relationships/hyperlink" Target="https://www.zotero.org/google-docs/?4WQFhv" TargetMode="External"/><Relationship Id="rId19" Type="http://schemas.openxmlformats.org/officeDocument/2006/relationships/hyperlink" Target="https://www.zotero.org/google-docs/?q2DpgX"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zotero.org/google-docs/?atCVKf" TargetMode="External"/><Relationship Id="rId14" Type="http://schemas.openxmlformats.org/officeDocument/2006/relationships/hyperlink" Target="https://www.zotero.org/google-docs/?WusKFS" TargetMode="External"/><Relationship Id="rId22" Type="http://schemas.openxmlformats.org/officeDocument/2006/relationships/hyperlink" Target="https://www.zotero.org/google-docs/?NtOFtu" TargetMode="External"/><Relationship Id="rId27" Type="http://schemas.openxmlformats.org/officeDocument/2006/relationships/hyperlink" Target="https://www.zotero.org/google-docs/?cIfjUJ"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hyperlink" Target="https://www.zotero.org/google-docs/?JpRsuU" TargetMode="External"/><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6856</Words>
  <Characters>39085</Characters>
  <Application>Microsoft Office Word</Application>
  <DocSecurity>0</DocSecurity>
  <Lines>325</Lines>
  <Paragraphs>91</Paragraphs>
  <ScaleCrop>false</ScaleCrop>
  <Company/>
  <LinksUpToDate>false</LinksUpToDate>
  <CharactersWithSpaces>45850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2026-03-12T18:51:00Z</dcterms:created>
  <dcterms:modified xsi:type="dcterms:W3CDTF">2026-03-12T18:54:00Z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