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47D8B" w14:textId="39C1F400" w:rsidR="00DC5EE3" w:rsidRPr="006B731C" w:rsidRDefault="00BA50D5" w:rsidP="006B731C">
      <w:pPr>
        <w:spacing w:after="0" w:line="240" w:lineRule="auto"/>
        <w:jc w:val="both"/>
        <w:rPr>
          <w:rFonts w:ascii="Calibri" w:hAnsi="Calibri" w:cs="Calibri"/>
          <w:b/>
          <w:sz w:val="24"/>
          <w:szCs w:val="24"/>
        </w:rPr>
      </w:pPr>
      <w:proofErr w:type="spellStart"/>
      <w:r>
        <w:rPr>
          <w:rFonts w:ascii="Calibri" w:hAnsi="Calibri" w:cs="Calibri"/>
          <w:b/>
          <w:sz w:val="24"/>
          <w:szCs w:val="24"/>
        </w:rPr>
        <w:t>w</w:t>
      </w:r>
      <w:r w:rsidR="009A7CD2" w:rsidRPr="006B731C">
        <w:rPr>
          <w:rFonts w:ascii="Calibri" w:hAnsi="Calibri" w:cs="Calibri"/>
          <w:b/>
          <w:sz w:val="24"/>
          <w:szCs w:val="24"/>
        </w:rPr>
        <w:t>T</w:t>
      </w:r>
      <w:r w:rsidR="00DC5EE3" w:rsidRPr="006B731C">
        <w:rPr>
          <w:rFonts w:ascii="Calibri" w:hAnsi="Calibri" w:cs="Calibri"/>
          <w:b/>
          <w:sz w:val="24"/>
          <w:szCs w:val="24"/>
        </w:rPr>
        <w:t>ITLE</w:t>
      </w:r>
      <w:proofErr w:type="spellEnd"/>
      <w:r w:rsidR="009A7CD2" w:rsidRPr="006B731C">
        <w:rPr>
          <w:rFonts w:ascii="Calibri" w:hAnsi="Calibri" w:cs="Calibri"/>
          <w:b/>
          <w:sz w:val="24"/>
          <w:szCs w:val="24"/>
        </w:rPr>
        <w:t xml:space="preserve">: </w:t>
      </w:r>
    </w:p>
    <w:p w14:paraId="5E6793EB" w14:textId="4EAF15F6" w:rsidR="00600B5E" w:rsidRPr="006B731C" w:rsidRDefault="00487CB5" w:rsidP="006B731C">
      <w:pPr>
        <w:spacing w:after="0" w:line="240" w:lineRule="auto"/>
        <w:jc w:val="both"/>
        <w:rPr>
          <w:rFonts w:ascii="Calibri" w:hAnsi="Calibri" w:cs="Calibri"/>
          <w:sz w:val="24"/>
          <w:szCs w:val="24"/>
        </w:rPr>
      </w:pPr>
      <w:r w:rsidRPr="006B731C">
        <w:rPr>
          <w:rFonts w:ascii="Calibri" w:hAnsi="Calibri" w:cs="Calibri"/>
          <w:sz w:val="24"/>
          <w:szCs w:val="24"/>
        </w:rPr>
        <w:t xml:space="preserve">Lentiviral-induced </w:t>
      </w:r>
      <w:r w:rsidR="007315F8" w:rsidRPr="006B731C">
        <w:rPr>
          <w:rFonts w:ascii="Calibri" w:hAnsi="Calibri" w:cs="Calibri"/>
          <w:sz w:val="24"/>
          <w:szCs w:val="24"/>
        </w:rPr>
        <w:t>S</w:t>
      </w:r>
      <w:r w:rsidRPr="006B731C">
        <w:rPr>
          <w:rFonts w:ascii="Calibri" w:hAnsi="Calibri" w:cs="Calibri"/>
          <w:sz w:val="24"/>
          <w:szCs w:val="24"/>
        </w:rPr>
        <w:t xml:space="preserve">triatal </w:t>
      </w:r>
      <w:r w:rsidR="007315F8" w:rsidRPr="006B731C">
        <w:rPr>
          <w:rFonts w:ascii="Calibri" w:hAnsi="Calibri" w:cs="Calibri"/>
          <w:sz w:val="24"/>
          <w:szCs w:val="24"/>
        </w:rPr>
        <w:t>P</w:t>
      </w:r>
      <w:r w:rsidRPr="006B731C">
        <w:rPr>
          <w:rFonts w:ascii="Calibri" w:hAnsi="Calibri" w:cs="Calibri"/>
          <w:sz w:val="24"/>
          <w:szCs w:val="24"/>
        </w:rPr>
        <w:t xml:space="preserve">athology as a </w:t>
      </w:r>
      <w:r w:rsidR="007315F8" w:rsidRPr="006B731C">
        <w:rPr>
          <w:rFonts w:ascii="Calibri" w:hAnsi="Calibri" w:cs="Calibri"/>
          <w:sz w:val="24"/>
          <w:szCs w:val="24"/>
        </w:rPr>
        <w:t>P</w:t>
      </w:r>
      <w:r w:rsidRPr="006B731C">
        <w:rPr>
          <w:rFonts w:ascii="Calibri" w:hAnsi="Calibri" w:cs="Calibri"/>
          <w:sz w:val="24"/>
          <w:szCs w:val="24"/>
        </w:rPr>
        <w:t xml:space="preserve">reclinical </w:t>
      </w:r>
      <w:r w:rsidR="007315F8" w:rsidRPr="006B731C">
        <w:rPr>
          <w:rFonts w:ascii="Calibri" w:hAnsi="Calibri" w:cs="Calibri"/>
          <w:sz w:val="24"/>
          <w:szCs w:val="24"/>
        </w:rPr>
        <w:t>M</w:t>
      </w:r>
      <w:r w:rsidRPr="006B731C">
        <w:rPr>
          <w:rFonts w:ascii="Calibri" w:hAnsi="Calibri" w:cs="Calibri"/>
          <w:sz w:val="24"/>
          <w:szCs w:val="24"/>
        </w:rPr>
        <w:t xml:space="preserve">odel of </w:t>
      </w:r>
      <w:r w:rsidR="007315F8" w:rsidRPr="006B731C">
        <w:rPr>
          <w:rFonts w:ascii="Calibri" w:hAnsi="Calibri" w:cs="Calibri"/>
          <w:sz w:val="24"/>
          <w:szCs w:val="24"/>
        </w:rPr>
        <w:t>P</w:t>
      </w:r>
      <w:r w:rsidRPr="006B731C">
        <w:rPr>
          <w:rFonts w:ascii="Calibri" w:hAnsi="Calibri" w:cs="Calibri"/>
          <w:sz w:val="24"/>
          <w:szCs w:val="24"/>
        </w:rPr>
        <w:t xml:space="preserve">olyglutamine </w:t>
      </w:r>
      <w:r w:rsidR="007315F8" w:rsidRPr="006B731C">
        <w:rPr>
          <w:rFonts w:ascii="Calibri" w:hAnsi="Calibri" w:cs="Calibri"/>
          <w:sz w:val="24"/>
          <w:szCs w:val="24"/>
        </w:rPr>
        <w:t>S</w:t>
      </w:r>
      <w:r w:rsidRPr="006B731C">
        <w:rPr>
          <w:rFonts w:ascii="Calibri" w:hAnsi="Calibri" w:cs="Calibri"/>
          <w:sz w:val="24"/>
          <w:szCs w:val="24"/>
        </w:rPr>
        <w:t xml:space="preserve">pinocerebellar </w:t>
      </w:r>
      <w:r w:rsidR="007315F8" w:rsidRPr="006B731C">
        <w:rPr>
          <w:rFonts w:ascii="Calibri" w:hAnsi="Calibri" w:cs="Calibri"/>
          <w:sz w:val="24"/>
          <w:szCs w:val="24"/>
        </w:rPr>
        <w:t>A</w:t>
      </w:r>
      <w:r w:rsidRPr="006B731C">
        <w:rPr>
          <w:rFonts w:ascii="Calibri" w:hAnsi="Calibri" w:cs="Calibri"/>
          <w:sz w:val="24"/>
          <w:szCs w:val="24"/>
        </w:rPr>
        <w:t>taxias</w:t>
      </w:r>
    </w:p>
    <w:p w14:paraId="46A27F4A" w14:textId="77777777" w:rsidR="00600B5E" w:rsidRPr="006B731C" w:rsidRDefault="00600B5E" w:rsidP="006B731C">
      <w:pPr>
        <w:spacing w:after="0" w:line="240" w:lineRule="auto"/>
        <w:jc w:val="both"/>
        <w:rPr>
          <w:rFonts w:ascii="Calibri" w:hAnsi="Calibri" w:cs="Calibri"/>
          <w:sz w:val="24"/>
          <w:szCs w:val="24"/>
        </w:rPr>
      </w:pPr>
    </w:p>
    <w:p w14:paraId="62FA2507" w14:textId="20A4D657" w:rsidR="00600B5E" w:rsidRPr="006B731C" w:rsidRDefault="00DC5EE3" w:rsidP="006B731C">
      <w:pPr>
        <w:spacing w:after="0" w:line="240" w:lineRule="auto"/>
        <w:jc w:val="both"/>
        <w:rPr>
          <w:rFonts w:ascii="Calibri" w:hAnsi="Calibri" w:cs="Calibri"/>
          <w:b/>
          <w:sz w:val="24"/>
          <w:szCs w:val="24"/>
        </w:rPr>
      </w:pPr>
      <w:r w:rsidRPr="006B731C">
        <w:rPr>
          <w:rFonts w:ascii="Calibri" w:hAnsi="Calibri" w:cs="Calibri"/>
          <w:b/>
          <w:sz w:val="24"/>
          <w:szCs w:val="24"/>
        </w:rPr>
        <w:t>AUTHORS AND AFFILIATIONS:</w:t>
      </w:r>
    </w:p>
    <w:p w14:paraId="316B7401" w14:textId="64D739A0" w:rsidR="00600B5E" w:rsidRPr="006B731C" w:rsidRDefault="009A7CD2" w:rsidP="006B731C">
      <w:pPr>
        <w:spacing w:after="0" w:line="240" w:lineRule="auto"/>
        <w:jc w:val="both"/>
        <w:rPr>
          <w:rFonts w:ascii="Calibri" w:hAnsi="Calibri" w:cs="Calibri"/>
          <w:sz w:val="24"/>
          <w:szCs w:val="24"/>
          <w:vertAlign w:val="superscript"/>
        </w:rPr>
      </w:pPr>
      <w:r w:rsidRPr="006B731C">
        <w:rPr>
          <w:rFonts w:ascii="Calibri" w:hAnsi="Calibri" w:cs="Calibri"/>
          <w:sz w:val="24"/>
          <w:szCs w:val="24"/>
        </w:rPr>
        <w:t>Tiago Moreira-Gomes</w:t>
      </w:r>
      <w:r w:rsidRPr="006B731C">
        <w:rPr>
          <w:rFonts w:ascii="Calibri" w:hAnsi="Calibri" w:cs="Calibri"/>
          <w:sz w:val="24"/>
          <w:szCs w:val="24"/>
          <w:vertAlign w:val="superscript"/>
        </w:rPr>
        <w:t>1</w:t>
      </w:r>
      <w:r w:rsidR="00DC5EE3" w:rsidRPr="006B731C">
        <w:rPr>
          <w:rFonts w:ascii="Calibri" w:hAnsi="Calibri" w:cs="Calibri"/>
          <w:sz w:val="24"/>
          <w:szCs w:val="24"/>
          <w:vertAlign w:val="superscript"/>
        </w:rPr>
        <w:t>–</w:t>
      </w:r>
      <w:r w:rsidR="007315F8" w:rsidRPr="006B731C">
        <w:rPr>
          <w:rFonts w:ascii="Calibri" w:hAnsi="Calibri" w:cs="Calibri"/>
          <w:sz w:val="24"/>
          <w:szCs w:val="24"/>
          <w:vertAlign w:val="superscript"/>
        </w:rPr>
        <w:t>3</w:t>
      </w:r>
      <w:r w:rsidRPr="006B731C">
        <w:rPr>
          <w:rFonts w:ascii="Calibri" w:hAnsi="Calibri" w:cs="Calibri"/>
          <w:sz w:val="24"/>
          <w:szCs w:val="24"/>
        </w:rPr>
        <w:t>, Inês T Afonso</w:t>
      </w:r>
      <w:r w:rsidRPr="006B731C">
        <w:rPr>
          <w:rFonts w:ascii="Calibri" w:hAnsi="Calibri" w:cs="Calibri"/>
          <w:sz w:val="24"/>
          <w:szCs w:val="24"/>
          <w:vertAlign w:val="superscript"/>
        </w:rPr>
        <w:t>1,2</w:t>
      </w:r>
      <w:r w:rsidRPr="006B731C">
        <w:rPr>
          <w:rFonts w:ascii="Calibri" w:hAnsi="Calibri" w:cs="Calibri"/>
          <w:sz w:val="24"/>
          <w:szCs w:val="24"/>
        </w:rPr>
        <w:t>, Rafael G Costa</w:t>
      </w:r>
      <w:r w:rsidRPr="006B731C">
        <w:rPr>
          <w:rFonts w:ascii="Calibri" w:hAnsi="Calibri" w:cs="Calibri"/>
          <w:sz w:val="24"/>
          <w:szCs w:val="24"/>
          <w:vertAlign w:val="superscript"/>
        </w:rPr>
        <w:t>1,2</w:t>
      </w:r>
      <w:r w:rsidRPr="006B731C">
        <w:rPr>
          <w:rFonts w:ascii="Calibri" w:hAnsi="Calibri" w:cs="Calibri"/>
          <w:sz w:val="24"/>
          <w:szCs w:val="24"/>
        </w:rPr>
        <w:t>, David V C Brito</w:t>
      </w:r>
      <w:r w:rsidRPr="006B731C">
        <w:rPr>
          <w:rFonts w:ascii="Calibri" w:hAnsi="Calibri" w:cs="Calibri"/>
          <w:sz w:val="24"/>
          <w:szCs w:val="24"/>
          <w:vertAlign w:val="superscript"/>
        </w:rPr>
        <w:t>1</w:t>
      </w:r>
      <w:r w:rsidR="002D2EA6" w:rsidRPr="006B731C">
        <w:rPr>
          <w:rFonts w:ascii="Calibri" w:hAnsi="Calibri" w:cs="Calibri"/>
          <w:sz w:val="24"/>
          <w:szCs w:val="24"/>
          <w:vertAlign w:val="superscript"/>
        </w:rPr>
        <w:t>–</w:t>
      </w:r>
      <w:r w:rsidRPr="006B731C">
        <w:rPr>
          <w:rFonts w:ascii="Calibri" w:hAnsi="Calibri" w:cs="Calibri"/>
          <w:sz w:val="24"/>
          <w:szCs w:val="24"/>
          <w:vertAlign w:val="superscript"/>
        </w:rPr>
        <w:t>3</w:t>
      </w:r>
      <w:r w:rsidRPr="006B731C">
        <w:rPr>
          <w:rFonts w:ascii="Calibri" w:hAnsi="Calibri" w:cs="Calibri"/>
          <w:sz w:val="24"/>
          <w:szCs w:val="24"/>
        </w:rPr>
        <w:t>, Pedro Alexandre Ricardo</w:t>
      </w:r>
      <w:r w:rsidRPr="006B731C">
        <w:rPr>
          <w:rFonts w:ascii="Calibri" w:hAnsi="Calibri" w:cs="Calibri"/>
          <w:sz w:val="24"/>
          <w:szCs w:val="24"/>
          <w:vertAlign w:val="superscript"/>
        </w:rPr>
        <w:t>1</w:t>
      </w:r>
      <w:r w:rsidRPr="006B731C">
        <w:rPr>
          <w:rFonts w:ascii="Calibri" w:hAnsi="Calibri" w:cs="Calibri"/>
          <w:sz w:val="24"/>
          <w:szCs w:val="24"/>
        </w:rPr>
        <w:t>, Clévio Nóbrega</w:t>
      </w:r>
      <w:r w:rsidRPr="006B731C">
        <w:rPr>
          <w:rFonts w:ascii="Calibri" w:hAnsi="Calibri" w:cs="Calibri"/>
          <w:sz w:val="24"/>
          <w:szCs w:val="24"/>
          <w:vertAlign w:val="superscript"/>
        </w:rPr>
        <w:t>1</w:t>
      </w:r>
      <w:r w:rsidR="002D2EA6" w:rsidRPr="006B731C">
        <w:rPr>
          <w:rFonts w:ascii="Calibri" w:hAnsi="Calibri" w:cs="Calibri"/>
          <w:sz w:val="24"/>
          <w:szCs w:val="24"/>
          <w:vertAlign w:val="superscript"/>
        </w:rPr>
        <w:t>–</w:t>
      </w:r>
      <w:r w:rsidRPr="006B731C">
        <w:rPr>
          <w:rFonts w:ascii="Calibri" w:hAnsi="Calibri" w:cs="Calibri"/>
          <w:sz w:val="24"/>
          <w:szCs w:val="24"/>
          <w:vertAlign w:val="superscript"/>
        </w:rPr>
        <w:t>3</w:t>
      </w:r>
    </w:p>
    <w:p w14:paraId="38761AB7" w14:textId="77777777" w:rsidR="002D2EA6" w:rsidRPr="006B731C" w:rsidRDefault="002D2EA6" w:rsidP="006B731C">
      <w:pPr>
        <w:spacing w:after="0" w:line="240" w:lineRule="auto"/>
        <w:jc w:val="both"/>
        <w:rPr>
          <w:rFonts w:ascii="Calibri" w:hAnsi="Calibri" w:cs="Calibri"/>
          <w:sz w:val="24"/>
          <w:szCs w:val="24"/>
          <w:vertAlign w:val="superscript"/>
        </w:rPr>
      </w:pPr>
    </w:p>
    <w:p w14:paraId="024E2AE0" w14:textId="419CF6A1"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vertAlign w:val="superscript"/>
        </w:rPr>
        <w:t>1</w:t>
      </w:r>
      <w:r w:rsidRPr="006B731C">
        <w:rPr>
          <w:rFonts w:ascii="Calibri" w:hAnsi="Calibri" w:cs="Calibri"/>
          <w:sz w:val="24"/>
          <w:szCs w:val="24"/>
        </w:rPr>
        <w:t>ABC-RI, Algarve Biomedical Center Research Institute, Faro, Portugal</w:t>
      </w:r>
    </w:p>
    <w:p w14:paraId="0BCF850E" w14:textId="5117FE7B"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vertAlign w:val="superscript"/>
        </w:rPr>
        <w:t>2</w:t>
      </w:r>
      <w:r w:rsidRPr="006B731C">
        <w:rPr>
          <w:rFonts w:ascii="Calibri" w:hAnsi="Calibri" w:cs="Calibri"/>
          <w:sz w:val="24"/>
          <w:szCs w:val="24"/>
        </w:rPr>
        <w:t xml:space="preserve">Faculdade de Medicina e </w:t>
      </w:r>
      <w:proofErr w:type="spellStart"/>
      <w:r w:rsidRPr="006B731C">
        <w:rPr>
          <w:rFonts w:ascii="Calibri" w:hAnsi="Calibri" w:cs="Calibri"/>
          <w:sz w:val="24"/>
          <w:szCs w:val="24"/>
        </w:rPr>
        <w:t>Ciências</w:t>
      </w:r>
      <w:proofErr w:type="spellEnd"/>
      <w:r w:rsidRPr="006B731C">
        <w:rPr>
          <w:rFonts w:ascii="Calibri" w:hAnsi="Calibri" w:cs="Calibri"/>
          <w:sz w:val="24"/>
          <w:szCs w:val="24"/>
        </w:rPr>
        <w:t xml:space="preserve"> </w:t>
      </w:r>
      <w:proofErr w:type="spellStart"/>
      <w:r w:rsidRPr="006B731C">
        <w:rPr>
          <w:rFonts w:ascii="Calibri" w:hAnsi="Calibri" w:cs="Calibri"/>
          <w:sz w:val="24"/>
          <w:szCs w:val="24"/>
        </w:rPr>
        <w:t>Biomédicas</w:t>
      </w:r>
      <w:proofErr w:type="spellEnd"/>
      <w:r w:rsidRPr="006B731C">
        <w:rPr>
          <w:rFonts w:ascii="Calibri" w:hAnsi="Calibri" w:cs="Calibri"/>
          <w:sz w:val="24"/>
          <w:szCs w:val="24"/>
        </w:rPr>
        <w:t xml:space="preserve">, </w:t>
      </w:r>
      <w:proofErr w:type="spellStart"/>
      <w:r w:rsidRPr="006B731C">
        <w:rPr>
          <w:rFonts w:ascii="Calibri" w:hAnsi="Calibri" w:cs="Calibri"/>
          <w:sz w:val="24"/>
          <w:szCs w:val="24"/>
        </w:rPr>
        <w:t>Universidade</w:t>
      </w:r>
      <w:proofErr w:type="spellEnd"/>
      <w:r w:rsidRPr="006B731C">
        <w:rPr>
          <w:rFonts w:ascii="Calibri" w:hAnsi="Calibri" w:cs="Calibri"/>
          <w:sz w:val="24"/>
          <w:szCs w:val="24"/>
        </w:rPr>
        <w:t xml:space="preserve"> do Algarve, Faro, Portugal</w:t>
      </w:r>
    </w:p>
    <w:p w14:paraId="33302DF9" w14:textId="7BF153B7"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vertAlign w:val="superscript"/>
        </w:rPr>
        <w:t>3</w:t>
      </w:r>
      <w:r w:rsidRPr="006B731C">
        <w:rPr>
          <w:rFonts w:ascii="Calibri" w:hAnsi="Calibri" w:cs="Calibri"/>
          <w:sz w:val="24"/>
          <w:szCs w:val="24"/>
        </w:rPr>
        <w:t xml:space="preserve">ABC Collaborative Laboratory: Integrated Ageing and Rejuvenation Solutions (ABC </w:t>
      </w:r>
      <w:proofErr w:type="spellStart"/>
      <w:r w:rsidRPr="006B731C">
        <w:rPr>
          <w:rFonts w:ascii="Calibri" w:hAnsi="Calibri" w:cs="Calibri"/>
          <w:sz w:val="24"/>
          <w:szCs w:val="24"/>
        </w:rPr>
        <w:t>CoLAB</w:t>
      </w:r>
      <w:proofErr w:type="spellEnd"/>
      <w:r w:rsidRPr="006B731C">
        <w:rPr>
          <w:rFonts w:ascii="Calibri" w:hAnsi="Calibri" w:cs="Calibri"/>
          <w:sz w:val="24"/>
          <w:szCs w:val="24"/>
        </w:rPr>
        <w:t xml:space="preserve"> – Ageing Better), Rua Humberto Pacheco, Loulé, Portugal</w:t>
      </w:r>
    </w:p>
    <w:p w14:paraId="448DC550" w14:textId="77777777" w:rsidR="00600B5E" w:rsidRPr="006B731C" w:rsidRDefault="00600B5E" w:rsidP="006B731C">
      <w:pPr>
        <w:spacing w:after="0" w:line="240" w:lineRule="auto"/>
        <w:jc w:val="both"/>
        <w:rPr>
          <w:rFonts w:ascii="Calibri" w:hAnsi="Calibri" w:cs="Calibri"/>
          <w:bCs/>
          <w:sz w:val="24"/>
          <w:szCs w:val="24"/>
        </w:rPr>
      </w:pPr>
    </w:p>
    <w:p w14:paraId="0DD776F7" w14:textId="61E6D432" w:rsidR="00600B5E" w:rsidRPr="006B731C" w:rsidRDefault="007315F8" w:rsidP="006B731C">
      <w:pPr>
        <w:spacing w:after="0" w:line="240" w:lineRule="auto"/>
        <w:jc w:val="both"/>
        <w:rPr>
          <w:rFonts w:ascii="Calibri" w:hAnsi="Calibri" w:cs="Calibri"/>
          <w:bCs/>
          <w:sz w:val="24"/>
          <w:szCs w:val="24"/>
        </w:rPr>
      </w:pPr>
      <w:r w:rsidRPr="006B731C">
        <w:rPr>
          <w:rFonts w:ascii="Calibri" w:hAnsi="Calibri" w:cs="Calibri"/>
          <w:bCs/>
          <w:sz w:val="24"/>
          <w:szCs w:val="24"/>
        </w:rPr>
        <w:t>Email addresses of co-authors:</w:t>
      </w:r>
    </w:p>
    <w:p w14:paraId="1DFBA099" w14:textId="40E7136E" w:rsidR="00600B5E" w:rsidRPr="006B731C" w:rsidRDefault="009A7CD2" w:rsidP="006B731C">
      <w:pPr>
        <w:spacing w:after="0" w:line="240" w:lineRule="auto"/>
        <w:jc w:val="both"/>
        <w:rPr>
          <w:rFonts w:ascii="Calibri" w:hAnsi="Calibri" w:cs="Calibri"/>
          <w:bCs/>
          <w:sz w:val="24"/>
          <w:szCs w:val="24"/>
        </w:rPr>
      </w:pPr>
      <w:r w:rsidRPr="006B731C">
        <w:rPr>
          <w:rFonts w:ascii="Calibri" w:hAnsi="Calibri" w:cs="Calibri"/>
          <w:bCs/>
          <w:sz w:val="24"/>
          <w:szCs w:val="24"/>
        </w:rPr>
        <w:t>Tiago Moreira-Gomes</w:t>
      </w:r>
      <w:r w:rsidR="007315F8" w:rsidRPr="006B731C">
        <w:rPr>
          <w:rFonts w:ascii="Calibri" w:hAnsi="Calibri" w:cs="Calibri"/>
          <w:bCs/>
          <w:sz w:val="24"/>
          <w:szCs w:val="24"/>
        </w:rPr>
        <w:tab/>
      </w:r>
      <w:r w:rsidR="007315F8" w:rsidRPr="006B731C">
        <w:rPr>
          <w:rFonts w:ascii="Calibri" w:hAnsi="Calibri" w:cs="Calibri"/>
          <w:bCs/>
          <w:sz w:val="24"/>
          <w:szCs w:val="24"/>
        </w:rPr>
        <w:tab/>
        <w:t>(</w:t>
      </w:r>
      <w:r w:rsidR="007315F8" w:rsidRPr="006B731C">
        <w:rPr>
          <w:rFonts w:ascii="Calibri" w:eastAsia="Calibri" w:hAnsi="Calibri" w:cs="Calibri"/>
          <w:bCs/>
          <w:sz w:val="24"/>
          <w:szCs w:val="24"/>
        </w:rPr>
        <w:t>tagomes@ualg.pt)</w:t>
      </w:r>
    </w:p>
    <w:p w14:paraId="594CD044" w14:textId="72ADAB61" w:rsidR="00600B5E" w:rsidRPr="006B731C" w:rsidRDefault="009A7CD2" w:rsidP="006B731C">
      <w:pPr>
        <w:spacing w:after="0" w:line="240" w:lineRule="auto"/>
        <w:jc w:val="both"/>
        <w:rPr>
          <w:rFonts w:ascii="Calibri" w:hAnsi="Calibri" w:cs="Calibri"/>
          <w:bCs/>
          <w:sz w:val="24"/>
          <w:szCs w:val="24"/>
        </w:rPr>
      </w:pPr>
      <w:r w:rsidRPr="006B731C">
        <w:rPr>
          <w:rFonts w:ascii="Calibri" w:hAnsi="Calibri" w:cs="Calibri"/>
          <w:bCs/>
          <w:sz w:val="24"/>
          <w:szCs w:val="24"/>
        </w:rPr>
        <w:t>Inês T Afonso</w:t>
      </w:r>
      <w:r w:rsidR="007315F8" w:rsidRPr="006B731C">
        <w:rPr>
          <w:rFonts w:ascii="Calibri" w:hAnsi="Calibri" w:cs="Calibri"/>
          <w:bCs/>
          <w:sz w:val="24"/>
          <w:szCs w:val="24"/>
        </w:rPr>
        <w:tab/>
      </w:r>
      <w:r w:rsidR="007315F8" w:rsidRPr="006B731C">
        <w:rPr>
          <w:rFonts w:ascii="Calibri" w:hAnsi="Calibri" w:cs="Calibri"/>
          <w:bCs/>
          <w:sz w:val="24"/>
          <w:szCs w:val="24"/>
        </w:rPr>
        <w:tab/>
      </w:r>
      <w:r w:rsidR="007315F8" w:rsidRPr="006B731C">
        <w:rPr>
          <w:rFonts w:ascii="Calibri" w:hAnsi="Calibri" w:cs="Calibri"/>
          <w:bCs/>
          <w:sz w:val="24"/>
          <w:szCs w:val="24"/>
        </w:rPr>
        <w:tab/>
        <w:t>(a54132@ualg.pt)</w:t>
      </w:r>
    </w:p>
    <w:p w14:paraId="72DEB3DD" w14:textId="66BD7205" w:rsidR="00600B5E" w:rsidRPr="006B731C" w:rsidRDefault="009A7CD2" w:rsidP="006B731C">
      <w:pPr>
        <w:spacing w:after="0" w:line="240" w:lineRule="auto"/>
        <w:jc w:val="both"/>
        <w:rPr>
          <w:rFonts w:ascii="Calibri" w:hAnsi="Calibri" w:cs="Calibri"/>
          <w:bCs/>
          <w:sz w:val="24"/>
          <w:szCs w:val="24"/>
        </w:rPr>
      </w:pPr>
      <w:r w:rsidRPr="006B731C">
        <w:rPr>
          <w:rFonts w:ascii="Calibri" w:hAnsi="Calibri" w:cs="Calibri"/>
          <w:bCs/>
          <w:sz w:val="24"/>
          <w:szCs w:val="24"/>
        </w:rPr>
        <w:t>Rafael G Costa</w:t>
      </w:r>
      <w:r w:rsidR="007315F8" w:rsidRPr="006B731C">
        <w:rPr>
          <w:rFonts w:ascii="Calibri" w:hAnsi="Calibri" w:cs="Calibri"/>
          <w:bCs/>
          <w:sz w:val="24"/>
          <w:szCs w:val="24"/>
        </w:rPr>
        <w:tab/>
      </w:r>
      <w:r w:rsidR="007315F8" w:rsidRPr="006B731C">
        <w:rPr>
          <w:rFonts w:ascii="Calibri" w:hAnsi="Calibri" w:cs="Calibri"/>
          <w:bCs/>
          <w:sz w:val="24"/>
          <w:szCs w:val="24"/>
        </w:rPr>
        <w:tab/>
      </w:r>
      <w:r w:rsidR="007315F8" w:rsidRPr="006B731C">
        <w:rPr>
          <w:rFonts w:ascii="Calibri" w:hAnsi="Calibri" w:cs="Calibri"/>
          <w:bCs/>
          <w:sz w:val="24"/>
          <w:szCs w:val="24"/>
        </w:rPr>
        <w:tab/>
        <w:t>(rgcosta@ualg.pt)</w:t>
      </w:r>
    </w:p>
    <w:p w14:paraId="64A72C74" w14:textId="47470430" w:rsidR="00600B5E" w:rsidRPr="006B731C" w:rsidRDefault="009A7CD2" w:rsidP="006B731C">
      <w:pPr>
        <w:spacing w:after="0" w:line="240" w:lineRule="auto"/>
        <w:jc w:val="both"/>
        <w:rPr>
          <w:rFonts w:ascii="Calibri" w:hAnsi="Calibri" w:cs="Calibri"/>
          <w:bCs/>
          <w:sz w:val="24"/>
          <w:szCs w:val="24"/>
        </w:rPr>
      </w:pPr>
      <w:r w:rsidRPr="006B731C">
        <w:rPr>
          <w:rFonts w:ascii="Calibri" w:hAnsi="Calibri" w:cs="Calibri"/>
          <w:bCs/>
          <w:sz w:val="24"/>
          <w:szCs w:val="24"/>
        </w:rPr>
        <w:t>David V C Brito</w:t>
      </w:r>
      <w:r w:rsidR="007315F8" w:rsidRPr="006B731C">
        <w:rPr>
          <w:rFonts w:ascii="Calibri" w:hAnsi="Calibri" w:cs="Calibri"/>
          <w:bCs/>
          <w:sz w:val="24"/>
          <w:szCs w:val="24"/>
        </w:rPr>
        <w:tab/>
      </w:r>
      <w:r w:rsidR="007315F8" w:rsidRPr="006B731C">
        <w:rPr>
          <w:rFonts w:ascii="Calibri" w:hAnsi="Calibri" w:cs="Calibri"/>
          <w:bCs/>
          <w:sz w:val="24"/>
          <w:szCs w:val="24"/>
        </w:rPr>
        <w:tab/>
        <w:t>(dbrito@ualg.pt)</w:t>
      </w:r>
      <w:r w:rsidRPr="006B731C">
        <w:rPr>
          <w:rFonts w:ascii="Calibri" w:hAnsi="Calibri" w:cs="Calibri"/>
          <w:bCs/>
          <w:sz w:val="24"/>
          <w:szCs w:val="24"/>
        </w:rPr>
        <w:t xml:space="preserve"> </w:t>
      </w:r>
    </w:p>
    <w:p w14:paraId="7C61520D" w14:textId="2438F8A2" w:rsidR="00600B5E" w:rsidRPr="006B731C" w:rsidRDefault="009A7CD2" w:rsidP="006B731C">
      <w:pPr>
        <w:spacing w:after="0" w:line="240" w:lineRule="auto"/>
        <w:jc w:val="both"/>
        <w:rPr>
          <w:rFonts w:ascii="Calibri" w:hAnsi="Calibri" w:cs="Calibri"/>
          <w:bCs/>
          <w:sz w:val="24"/>
          <w:szCs w:val="24"/>
        </w:rPr>
      </w:pPr>
      <w:r w:rsidRPr="006B731C">
        <w:rPr>
          <w:rFonts w:ascii="Calibri" w:hAnsi="Calibri" w:cs="Calibri"/>
          <w:bCs/>
          <w:sz w:val="24"/>
          <w:szCs w:val="24"/>
        </w:rPr>
        <w:t>Pedro Alexandre Ricardo</w:t>
      </w:r>
      <w:r w:rsidR="007315F8" w:rsidRPr="006B731C">
        <w:rPr>
          <w:rFonts w:ascii="Calibri" w:hAnsi="Calibri" w:cs="Calibri"/>
          <w:bCs/>
          <w:sz w:val="24"/>
          <w:szCs w:val="24"/>
        </w:rPr>
        <w:tab/>
        <w:t>(</w:t>
      </w:r>
      <w:r w:rsidR="00D969C6" w:rsidRPr="006B731C">
        <w:rPr>
          <w:rFonts w:ascii="Calibri" w:hAnsi="Calibri" w:cs="Calibri"/>
          <w:bCs/>
          <w:sz w:val="24"/>
          <w:szCs w:val="24"/>
        </w:rPr>
        <w:t>mngt@ualg.pt</w:t>
      </w:r>
      <w:r w:rsidR="007315F8" w:rsidRPr="006B731C">
        <w:rPr>
          <w:rFonts w:ascii="Calibri" w:hAnsi="Calibri" w:cs="Calibri"/>
          <w:bCs/>
          <w:sz w:val="24"/>
          <w:szCs w:val="24"/>
        </w:rPr>
        <w:t>)</w:t>
      </w:r>
    </w:p>
    <w:p w14:paraId="577AC20C" w14:textId="77777777" w:rsidR="00600B5E" w:rsidRPr="006B731C" w:rsidRDefault="00600B5E" w:rsidP="006B731C">
      <w:pPr>
        <w:spacing w:after="0" w:line="240" w:lineRule="auto"/>
        <w:jc w:val="both"/>
        <w:rPr>
          <w:rFonts w:ascii="Calibri" w:hAnsi="Calibri" w:cs="Calibri"/>
          <w:bCs/>
          <w:sz w:val="24"/>
          <w:szCs w:val="24"/>
        </w:rPr>
      </w:pPr>
    </w:p>
    <w:p w14:paraId="1B7331CF" w14:textId="7D927D13" w:rsidR="00600B5E" w:rsidRPr="006B731C" w:rsidRDefault="009A7CD2" w:rsidP="006B731C">
      <w:pPr>
        <w:spacing w:after="0" w:line="240" w:lineRule="auto"/>
        <w:jc w:val="both"/>
        <w:rPr>
          <w:rFonts w:ascii="Calibri" w:hAnsi="Calibri" w:cs="Calibri"/>
          <w:bCs/>
          <w:sz w:val="24"/>
          <w:szCs w:val="24"/>
        </w:rPr>
      </w:pPr>
      <w:r w:rsidRPr="006B731C">
        <w:rPr>
          <w:rFonts w:ascii="Calibri" w:hAnsi="Calibri" w:cs="Calibri"/>
          <w:bCs/>
          <w:sz w:val="24"/>
          <w:szCs w:val="24"/>
        </w:rPr>
        <w:t>Corresponding author</w:t>
      </w:r>
      <w:r w:rsidR="007315F8" w:rsidRPr="006B731C">
        <w:rPr>
          <w:rFonts w:ascii="Calibri" w:hAnsi="Calibri" w:cs="Calibri"/>
          <w:bCs/>
          <w:sz w:val="24"/>
          <w:szCs w:val="24"/>
        </w:rPr>
        <w:t>:</w:t>
      </w:r>
    </w:p>
    <w:p w14:paraId="2D4A97CF" w14:textId="1F06C389" w:rsidR="00600B5E" w:rsidRPr="006B731C" w:rsidRDefault="009A7CD2" w:rsidP="006B731C">
      <w:pPr>
        <w:spacing w:after="0" w:line="240" w:lineRule="auto"/>
        <w:jc w:val="both"/>
        <w:rPr>
          <w:rFonts w:ascii="Calibri" w:hAnsi="Calibri" w:cs="Calibri"/>
          <w:bCs/>
          <w:sz w:val="24"/>
          <w:szCs w:val="24"/>
        </w:rPr>
      </w:pPr>
      <w:r w:rsidRPr="006B731C">
        <w:rPr>
          <w:rFonts w:ascii="Calibri" w:hAnsi="Calibri" w:cs="Calibri"/>
          <w:bCs/>
          <w:sz w:val="24"/>
          <w:szCs w:val="24"/>
        </w:rPr>
        <w:t>Clévio Nóbrega</w:t>
      </w:r>
      <w:r w:rsidR="007315F8" w:rsidRPr="006B731C">
        <w:rPr>
          <w:rFonts w:ascii="Calibri" w:hAnsi="Calibri" w:cs="Calibri"/>
          <w:bCs/>
          <w:sz w:val="24"/>
          <w:szCs w:val="24"/>
        </w:rPr>
        <w:tab/>
      </w:r>
      <w:r w:rsidR="007315F8" w:rsidRPr="006B731C">
        <w:rPr>
          <w:rFonts w:ascii="Calibri" w:hAnsi="Calibri" w:cs="Calibri"/>
          <w:bCs/>
          <w:sz w:val="24"/>
          <w:szCs w:val="24"/>
        </w:rPr>
        <w:tab/>
        <w:t>(</w:t>
      </w:r>
      <w:r w:rsidR="00600B5E" w:rsidRPr="006B731C">
        <w:rPr>
          <w:rFonts w:ascii="Calibri" w:hAnsi="Calibri" w:cs="Calibri"/>
          <w:bCs/>
          <w:sz w:val="24"/>
          <w:szCs w:val="24"/>
        </w:rPr>
        <w:t>cdnobrega@ualg.pt</w:t>
      </w:r>
      <w:r w:rsidR="007315F8" w:rsidRPr="006B731C">
        <w:rPr>
          <w:rFonts w:ascii="Calibri" w:hAnsi="Calibri" w:cs="Calibri"/>
          <w:bCs/>
          <w:sz w:val="24"/>
          <w:szCs w:val="24"/>
        </w:rPr>
        <w:t>)</w:t>
      </w:r>
      <w:r w:rsidRPr="006B731C">
        <w:rPr>
          <w:rFonts w:ascii="Calibri" w:hAnsi="Calibri" w:cs="Calibri"/>
          <w:bCs/>
          <w:sz w:val="24"/>
          <w:szCs w:val="24"/>
        </w:rPr>
        <w:t xml:space="preserve"> </w:t>
      </w:r>
    </w:p>
    <w:p w14:paraId="21AEB03A" w14:textId="77777777" w:rsidR="00600B5E" w:rsidRPr="006B731C" w:rsidRDefault="00600B5E" w:rsidP="006B731C">
      <w:pPr>
        <w:spacing w:after="0" w:line="240" w:lineRule="auto"/>
        <w:jc w:val="both"/>
        <w:rPr>
          <w:rFonts w:ascii="Calibri" w:hAnsi="Calibri" w:cs="Calibri"/>
          <w:b/>
          <w:sz w:val="24"/>
          <w:szCs w:val="24"/>
        </w:rPr>
      </w:pPr>
    </w:p>
    <w:p w14:paraId="58CBD10C" w14:textId="3BA3B2F1" w:rsidR="00600B5E" w:rsidRPr="006B731C" w:rsidRDefault="009A7CD2" w:rsidP="006B731C">
      <w:pPr>
        <w:spacing w:after="0" w:line="240" w:lineRule="auto"/>
        <w:jc w:val="both"/>
        <w:rPr>
          <w:rFonts w:ascii="Calibri" w:hAnsi="Calibri" w:cs="Calibri"/>
          <w:b/>
          <w:sz w:val="24"/>
          <w:szCs w:val="24"/>
        </w:rPr>
      </w:pPr>
      <w:r w:rsidRPr="006B731C">
        <w:rPr>
          <w:rFonts w:ascii="Calibri" w:hAnsi="Calibri" w:cs="Calibri"/>
          <w:b/>
          <w:sz w:val="24"/>
          <w:szCs w:val="24"/>
        </w:rPr>
        <w:t>S</w:t>
      </w:r>
      <w:r w:rsidR="007315F8" w:rsidRPr="006B731C">
        <w:rPr>
          <w:rFonts w:ascii="Calibri" w:hAnsi="Calibri" w:cs="Calibri"/>
          <w:b/>
          <w:sz w:val="24"/>
          <w:szCs w:val="24"/>
        </w:rPr>
        <w:t>UMMARY:</w:t>
      </w:r>
    </w:p>
    <w:p w14:paraId="1E1FA33C" w14:textId="05F2CF83" w:rsidR="00600B5E" w:rsidRPr="006B731C" w:rsidRDefault="000A2BCF" w:rsidP="006B731C">
      <w:pPr>
        <w:spacing w:after="0" w:line="240" w:lineRule="auto"/>
        <w:jc w:val="both"/>
        <w:rPr>
          <w:rFonts w:ascii="Calibri" w:hAnsi="Calibri" w:cs="Calibri"/>
          <w:bCs/>
          <w:sz w:val="24"/>
          <w:szCs w:val="24"/>
        </w:rPr>
      </w:pPr>
      <w:r w:rsidRPr="006B731C">
        <w:rPr>
          <w:rFonts w:ascii="Calibri" w:hAnsi="Calibri" w:cs="Calibri"/>
          <w:bCs/>
          <w:sz w:val="24"/>
          <w:szCs w:val="24"/>
        </w:rPr>
        <w:t xml:space="preserve">Polyglutamine spinocerebellar ataxias are caused by CAG expansions producing aggregation-prone proteins. This protocol describes vector production, stereotaxic delivery, and analysis of inclusions and neuronal marker loss, providing a controlled platform to investigate mechanisms and evaluate targeted therapies for neurodegenerative diseases. </w:t>
      </w:r>
    </w:p>
    <w:p w14:paraId="19221AED" w14:textId="77777777" w:rsidR="000A2BCF" w:rsidRPr="006B731C" w:rsidRDefault="000A2BCF" w:rsidP="006B731C">
      <w:pPr>
        <w:spacing w:after="0" w:line="240" w:lineRule="auto"/>
        <w:jc w:val="both"/>
        <w:rPr>
          <w:rFonts w:ascii="Calibri" w:hAnsi="Calibri" w:cs="Calibri"/>
          <w:bCs/>
          <w:sz w:val="24"/>
          <w:szCs w:val="24"/>
        </w:rPr>
      </w:pPr>
    </w:p>
    <w:p w14:paraId="75D69D32" w14:textId="3DF6DEE4" w:rsidR="00600B5E" w:rsidRPr="006B731C" w:rsidRDefault="009A7CD2" w:rsidP="006B731C">
      <w:pPr>
        <w:spacing w:after="0" w:line="240" w:lineRule="auto"/>
        <w:jc w:val="both"/>
        <w:rPr>
          <w:rFonts w:ascii="Calibri" w:hAnsi="Calibri" w:cs="Calibri"/>
          <w:b/>
          <w:sz w:val="24"/>
          <w:szCs w:val="24"/>
        </w:rPr>
      </w:pPr>
      <w:r w:rsidRPr="006B731C">
        <w:rPr>
          <w:rFonts w:ascii="Calibri" w:hAnsi="Calibri" w:cs="Calibri"/>
          <w:b/>
          <w:sz w:val="24"/>
          <w:szCs w:val="24"/>
        </w:rPr>
        <w:t>A</w:t>
      </w:r>
      <w:r w:rsidR="007315F8" w:rsidRPr="006B731C">
        <w:rPr>
          <w:rFonts w:ascii="Calibri" w:hAnsi="Calibri" w:cs="Calibri"/>
          <w:b/>
          <w:sz w:val="24"/>
          <w:szCs w:val="24"/>
        </w:rPr>
        <w:t>BSTRACT:</w:t>
      </w:r>
    </w:p>
    <w:p w14:paraId="45597948" w14:textId="38A711E1"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 xml:space="preserve">Polyglutamine spinocerebellar ataxias are a group of six neurodegenerative diseases caused by a mutation in the trinucleotide CAG tract within the coding region of each causative gene. This mutation leads to an abnormally expanded polyglutamine stretch in the protein, making it prone to aggregation and leading to the formation of intraneuronal inclusions, which are a hallmark of these diseases. The molecular mechanisms underlying the pathogenesis of these diseases are complex and not fully understood. So far, these diseases remain incurable. </w:t>
      </w:r>
      <w:r w:rsidR="009A25E9" w:rsidRPr="006B731C">
        <w:rPr>
          <w:rFonts w:ascii="Calibri" w:hAnsi="Calibri" w:cs="Calibri"/>
          <w:sz w:val="24"/>
          <w:szCs w:val="24"/>
        </w:rPr>
        <w:t>Understanding molecular mechanisms in vulnerable brain regions is essential for therapeutic development. Flexible, region-specific experimental platforms are needed to rapidly test mechanisms and interventions without the time and cost of generating multiple transgenic lines, even though not addressing selective vulnerability.</w:t>
      </w:r>
      <w:r w:rsidRPr="006B731C">
        <w:rPr>
          <w:rFonts w:ascii="Calibri" w:hAnsi="Calibri" w:cs="Calibri"/>
          <w:sz w:val="24"/>
          <w:szCs w:val="24"/>
        </w:rPr>
        <w:t xml:space="preserve"> In recent years, we and others have developed several lentiviral-based models to study the impact of expanded protein expression in specific regions of the brain. These models show neuropathological and behavioral features that mimic some disease features, highlighting their importance in understanding the pathogenesis and in the development of new therapeutic strategies. In this paper, we describe the development of a </w:t>
      </w:r>
      <w:r w:rsidRPr="006B731C">
        <w:rPr>
          <w:rFonts w:ascii="Calibri" w:hAnsi="Calibri" w:cs="Calibri"/>
          <w:sz w:val="24"/>
          <w:szCs w:val="24"/>
        </w:rPr>
        <w:lastRenderedPageBreak/>
        <w:t>striatal model using SCA2 as an example. We highlight lentiviral vector development and production, and the stereotaxic injection of the vectors expressing the expanded form of ataxin-2 (the disease-causing protein). Lastly, we characterize two main neuropathological hallmarks: the formation of inclusions and the loss of neuronal markers. By providing a controlled platform that reproduces these key pathological features, this model offers a valuable tool to dissect region-specific mechanisms of neurodegeneration and to evaluate targeted therapeutic interventions.</w:t>
      </w:r>
    </w:p>
    <w:p w14:paraId="148E8B36" w14:textId="77777777" w:rsidR="00600B5E" w:rsidRPr="006B731C" w:rsidRDefault="00600B5E" w:rsidP="006B731C">
      <w:pPr>
        <w:spacing w:after="0" w:line="240" w:lineRule="auto"/>
        <w:jc w:val="both"/>
        <w:rPr>
          <w:rFonts w:ascii="Calibri" w:hAnsi="Calibri" w:cs="Calibri"/>
          <w:b/>
          <w:sz w:val="24"/>
          <w:szCs w:val="24"/>
        </w:rPr>
      </w:pPr>
    </w:p>
    <w:p w14:paraId="3B7F581B" w14:textId="0147263A" w:rsidR="00600B5E" w:rsidRPr="006B731C" w:rsidRDefault="009A7CD2" w:rsidP="006B731C">
      <w:pPr>
        <w:spacing w:after="0" w:line="240" w:lineRule="auto"/>
        <w:jc w:val="both"/>
        <w:rPr>
          <w:rFonts w:ascii="Calibri" w:hAnsi="Calibri" w:cs="Calibri"/>
          <w:b/>
          <w:sz w:val="24"/>
          <w:szCs w:val="24"/>
        </w:rPr>
      </w:pPr>
      <w:r w:rsidRPr="006B731C">
        <w:rPr>
          <w:rFonts w:ascii="Calibri" w:hAnsi="Calibri" w:cs="Calibri"/>
          <w:b/>
          <w:sz w:val="24"/>
          <w:szCs w:val="24"/>
        </w:rPr>
        <w:t>I</w:t>
      </w:r>
      <w:r w:rsidR="00805438" w:rsidRPr="006B731C">
        <w:rPr>
          <w:rFonts w:ascii="Calibri" w:hAnsi="Calibri" w:cs="Calibri"/>
          <w:b/>
          <w:sz w:val="24"/>
          <w:szCs w:val="24"/>
        </w:rPr>
        <w:t>NTRODUCTION:</w:t>
      </w:r>
    </w:p>
    <w:p w14:paraId="1F63D435" w14:textId="648F797B"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Polyglutamine spinocerebellar ataxias (</w:t>
      </w:r>
      <w:proofErr w:type="spellStart"/>
      <w:r w:rsidRPr="006B731C">
        <w:rPr>
          <w:rFonts w:ascii="Calibri" w:hAnsi="Calibri" w:cs="Calibri"/>
          <w:sz w:val="24"/>
          <w:szCs w:val="24"/>
        </w:rPr>
        <w:t>polyQ</w:t>
      </w:r>
      <w:proofErr w:type="spellEnd"/>
      <w:r w:rsidRPr="006B731C">
        <w:rPr>
          <w:rFonts w:ascii="Calibri" w:hAnsi="Calibri" w:cs="Calibri"/>
          <w:sz w:val="24"/>
          <w:szCs w:val="24"/>
        </w:rPr>
        <w:t xml:space="preserve"> SCAs) are a group of six autosomal dominant neurodegenerative disorders caused by CAG trinucleotide repeat expansions in various causative genes, resulting in toxic polyglutamine (</w:t>
      </w:r>
      <w:proofErr w:type="spellStart"/>
      <w:r w:rsidRPr="006B731C">
        <w:rPr>
          <w:rFonts w:ascii="Calibri" w:hAnsi="Calibri" w:cs="Calibri"/>
          <w:sz w:val="24"/>
          <w:szCs w:val="24"/>
        </w:rPr>
        <w:t>polyQ</w:t>
      </w:r>
      <w:proofErr w:type="spellEnd"/>
      <w:r w:rsidRPr="006B731C">
        <w:rPr>
          <w:rFonts w:ascii="Calibri" w:hAnsi="Calibri" w:cs="Calibri"/>
          <w:sz w:val="24"/>
          <w:szCs w:val="24"/>
        </w:rPr>
        <w:t>) tracts within encoded proteins</w:t>
      </w:r>
      <w:r w:rsidR="003669CA" w:rsidRPr="006B731C">
        <w:rPr>
          <w:rFonts w:ascii="Calibri" w:hAnsi="Calibri" w:cs="Calibri"/>
          <w:sz w:val="24"/>
          <w:szCs w:val="24"/>
        </w:rPr>
        <w:fldChar w:fldCharType="begin"/>
      </w:r>
      <w:r w:rsidR="00D33EF9" w:rsidRPr="006B731C">
        <w:rPr>
          <w:rFonts w:ascii="Calibri" w:hAnsi="Calibri" w:cs="Calibri"/>
          <w:sz w:val="24"/>
          <w:szCs w:val="24"/>
        </w:rPr>
        <w:instrText xml:space="preserve"> ADDIN ZOTERO_ITEM CSL_CITATION {"citationID":"DTWhzVXM","properties":{"formattedCitation":"\\super 1\\nosupersub{}","plainCitation":"1","noteIndex":0},"citationItems":[{"id":1,"uris":["http://zotero.org/users/5701247/items/LR67IWJN"],"itemData":{"id":1,"type":"article-journal","abstract":"Polyglutamine spinocerebellar ataxias (PolyQ SCAs) are a group of 6 rare autosomal dominant diseases, which arise from an abnormal CAG repeat expansion in the coding region of their causative gene. These neurodegenerative ataxic disorders are characterized by progressive cerebellar degeneration, which translates into progressive ataxia, the main clinical feature, often accompanied by oculomotor deﬁcits and dysarthria. Currently, PolyQ SCAs treatment is limited only to symptomatic mitigation, and no therapy is available to stop or delay the disease progression, which culminates with death. Over the last years, many promising gene therapy approaches were investigated in preclinical studies and could lead to a future treatment to stop or delay the disease development. Here, we summed up the most promising of these therapies, categorizing them in gene augmentation therapy, gene silencing strategies, and gene edition approaches. While several of the reviewed strategies are promising, there is still a gap from the preclinical results obtained and their translation to clinical studies. However, there is an increase in the number of approved gene therapies, as well as a constant development in their safety and efﬁcacy proﬁles. Thus, it is expected that in a near future some of the promising strategies reviewed here could be tested in a clinical setting and if successful provide hope for SCAs patients.","container-title":"International Journal of Molecular Sciences","DOI":"10.3390/ijms22084249","ISSN":"1422-0067","issue":"8","journalAbbreviation":"IJMS","language":"en","page":"4249","source":"DOI.org (Crossref)","title":"Current Status of Gene Therapy Research in Polyglutamine Spinocerebellar Ataxias","volume":"22","author":[{"family":"Afonso-Reis","given":"Ricardo"},{"family":"Afonso","given":"Inês T."},{"family":"Nóbrega","given":"Clévio"}],"issued":{"date-parts":[["2021",4,19]]}}}],"schema":"https://github.com/citation-style-language/schema/raw/master/csl-citation.json"} </w:instrText>
      </w:r>
      <w:r w:rsidR="003669CA" w:rsidRPr="006B731C">
        <w:rPr>
          <w:rFonts w:ascii="Calibri" w:hAnsi="Calibri" w:cs="Calibri"/>
          <w:sz w:val="24"/>
          <w:szCs w:val="24"/>
        </w:rPr>
        <w:fldChar w:fldCharType="separate"/>
      </w:r>
      <w:r w:rsidR="003669CA" w:rsidRPr="006B731C">
        <w:rPr>
          <w:rFonts w:ascii="Calibri" w:hAnsi="Calibri" w:cs="Calibri"/>
          <w:sz w:val="24"/>
          <w:szCs w:val="24"/>
          <w:vertAlign w:val="superscript"/>
        </w:rPr>
        <w:t>1</w:t>
      </w:r>
      <w:r w:rsidR="003669CA" w:rsidRPr="006B731C">
        <w:rPr>
          <w:rFonts w:ascii="Calibri" w:hAnsi="Calibri" w:cs="Calibri"/>
          <w:sz w:val="24"/>
          <w:szCs w:val="24"/>
        </w:rPr>
        <w:fldChar w:fldCharType="end"/>
      </w:r>
      <w:r w:rsidRPr="006B731C">
        <w:rPr>
          <w:rFonts w:ascii="Calibri" w:hAnsi="Calibri" w:cs="Calibri"/>
          <w:sz w:val="24"/>
          <w:szCs w:val="24"/>
        </w:rPr>
        <w:t xml:space="preserve">. Among them, the most frequent </w:t>
      </w:r>
      <w:proofErr w:type="spellStart"/>
      <w:r w:rsidRPr="006B731C">
        <w:rPr>
          <w:rFonts w:ascii="Calibri" w:hAnsi="Calibri" w:cs="Calibri"/>
          <w:sz w:val="24"/>
          <w:szCs w:val="24"/>
        </w:rPr>
        <w:t>polyQ</w:t>
      </w:r>
      <w:proofErr w:type="spellEnd"/>
      <w:r w:rsidRPr="006B731C">
        <w:rPr>
          <w:rFonts w:ascii="Calibri" w:hAnsi="Calibri" w:cs="Calibri"/>
          <w:sz w:val="24"/>
          <w:szCs w:val="24"/>
        </w:rPr>
        <w:t xml:space="preserve"> SCAs are SCA3/Machado-Joseph disease and SCA2</w:t>
      </w:r>
      <w:r w:rsidR="003669CA" w:rsidRPr="006B731C">
        <w:rPr>
          <w:rFonts w:ascii="Calibri" w:hAnsi="Calibri" w:cs="Calibri"/>
          <w:sz w:val="24"/>
          <w:szCs w:val="24"/>
        </w:rPr>
        <w:fldChar w:fldCharType="begin"/>
      </w:r>
      <w:r w:rsidR="00D33EF9" w:rsidRPr="006B731C">
        <w:rPr>
          <w:rFonts w:ascii="Calibri" w:hAnsi="Calibri" w:cs="Calibri"/>
          <w:sz w:val="24"/>
          <w:szCs w:val="24"/>
        </w:rPr>
        <w:instrText xml:space="preserve"> ADDIN ZOTERO_ITEM CSL_CITATION {"citationID":"qSA6U7wf","properties":{"formattedCitation":"\\super 2\\nosupersub{}","plainCitation":"2","noteIndex":0},"citationItems":[{"id":643,"uris":["http://zotero.org/users/5701247/items/R2P6ATE8"],"itemData":{"id":643,"type":"article-journal","abstract":"Cerebellar ataxias with autosomal dominant transmission are rare, but identification of the associated genes has provided insight into the mechanisms that could underlie other forms of genetic or non-genetic ataxias. In many instances, the phenotype is not restricted to cerebellar dysfunction but includes complex multisystemic neurological deficits. The designation of the loci, SCA for spinocerebellar ataxia, indicates the involvement of at least two systems: the spinal cord and the cerebellum. 11 of 18 known genes are caused by repeat expansions in the corresponding proteins, sharing the same mutational mechanism. All other SCAs are caused by either conventional mutations or large rearrangements in genes with different functions, including glutamate signalling (SCA5/SPTBN2) and calcium signalling (SCA15/16/ITPR1), channel function (SCA13/KCNC3, SCA14/PRKCG, SCA27/FGF14), tau regulation (SCA11/TTBK2), and mitochondrial activity (SCA28/AFG3L2) or RNA alteration (SCA31/BEAN-TK2). The diversity of underlying mechanisms that give rise to the dominant cerebellar ataxias need to be taken into account to identify therapeutic targets.","container-title":"The Lancet. Neurology","DOI":"10.1016/S1474-4422(10)70183-6","ISSN":"1474-4465","issue":"9","journalAbbreviation":"Lancet Neurol","language":"eng","page":"885-894","PMID":"20723845","source":"PubMed","title":"Autosomal dominant cerebellar ataxias: polyglutamine expansions and beyond","title-short":"Autosomal dominant cerebellar ataxias","volume":"9","author":[{"family":"Durr","given":"Alexandra"}],"issued":{"date-parts":[["2010",9]]}}}],"schema":"https://github.com/citation-style-language/schema/raw/master/csl-citation.json"} </w:instrText>
      </w:r>
      <w:r w:rsidR="003669CA" w:rsidRPr="006B731C">
        <w:rPr>
          <w:rFonts w:ascii="Calibri" w:hAnsi="Calibri" w:cs="Calibri"/>
          <w:sz w:val="24"/>
          <w:szCs w:val="24"/>
        </w:rPr>
        <w:fldChar w:fldCharType="separate"/>
      </w:r>
      <w:r w:rsidR="003669CA" w:rsidRPr="006B731C">
        <w:rPr>
          <w:rFonts w:ascii="Calibri" w:hAnsi="Calibri" w:cs="Calibri"/>
          <w:sz w:val="24"/>
          <w:szCs w:val="24"/>
          <w:vertAlign w:val="superscript"/>
        </w:rPr>
        <w:t>2</w:t>
      </w:r>
      <w:r w:rsidR="003669CA" w:rsidRPr="006B731C">
        <w:rPr>
          <w:rFonts w:ascii="Calibri" w:hAnsi="Calibri" w:cs="Calibri"/>
          <w:sz w:val="24"/>
          <w:szCs w:val="24"/>
        </w:rPr>
        <w:fldChar w:fldCharType="end"/>
      </w:r>
      <w:r w:rsidRPr="006B731C">
        <w:rPr>
          <w:rFonts w:ascii="Calibri" w:hAnsi="Calibri" w:cs="Calibri"/>
          <w:sz w:val="24"/>
          <w:szCs w:val="24"/>
        </w:rPr>
        <w:t xml:space="preserve">. These disorders primarily affect neuronal cells in specific brain regions, including the cerebellum and brainstem, as well as the striatum and other areas. Consequently, </w:t>
      </w:r>
      <w:r w:rsidR="00450BF4" w:rsidRPr="006B731C">
        <w:rPr>
          <w:rFonts w:ascii="Calibri" w:hAnsi="Calibri" w:cs="Calibri"/>
          <w:sz w:val="24"/>
          <w:szCs w:val="24"/>
        </w:rPr>
        <w:t>they</w:t>
      </w:r>
      <w:r w:rsidRPr="006B731C">
        <w:rPr>
          <w:rFonts w:ascii="Calibri" w:hAnsi="Calibri" w:cs="Calibri"/>
          <w:sz w:val="24"/>
          <w:szCs w:val="24"/>
        </w:rPr>
        <w:t xml:space="preserve"> cause progressive motor incoordination, gait disturbances, severe neurodegeneration, and premature death</w:t>
      </w:r>
      <w:r w:rsidR="003669CA" w:rsidRPr="006B731C">
        <w:rPr>
          <w:rFonts w:ascii="Calibri" w:hAnsi="Calibri" w:cs="Calibri"/>
          <w:sz w:val="24"/>
          <w:szCs w:val="24"/>
        </w:rPr>
        <w:fldChar w:fldCharType="begin"/>
      </w:r>
      <w:r w:rsidR="00D33EF9" w:rsidRPr="006B731C">
        <w:rPr>
          <w:rFonts w:ascii="Calibri" w:hAnsi="Calibri" w:cs="Calibri"/>
          <w:sz w:val="24"/>
          <w:szCs w:val="24"/>
        </w:rPr>
        <w:instrText xml:space="preserve"> ADDIN ZOTERO_ITEM CSL_CITATION {"citationID":"Bsiz7aby","properties":{"formattedCitation":"\\super 3\\nosupersub{}","plainCitation":"3","noteIndex":0},"citationItems":[{"id":671,"uris":["http://zotero.org/users/5701247/items/C6EJ452E"],"itemData":{"id":671,"type":"article-journal","abstract":"Polyglutamine (polyQ) ataxias are a heterogenous group of neurological disorders all caused by an expanded CAG trinucleotide repeat located in the coding region of each unique causative gene. To date, polyQ ataxias encompass six disorders: spinocerebellar ataxia types 1, 2, 3, 6, 7, and 17 and account for a larger group of disorders simply known as polyglutamine disorders, which also includes Huntington’s disease. These diseases are typically characterised by progressive ataxia, speech and swallowing difficulties, lack of coordination and gait, and are unfortunately fatal in nature, with the exception of SCA6. All the polyQ spinocerebellar ataxias have a hallmark feature of neuronal aggregations and share many common pathogenic mechanisms, such as mitochondrial dysfunction, impaired proteasomal function, and autophagy impairment. Currently, therapeutic options are limited, with no available treatments that slow or halt disease progression. Here, we discuss the common molecular and clinical presentations of polyQ spinocerebellar ataxias. We will also discuss the promising antisense oligonucleotide therapeutics being developed as treatments for these devastating diseases. With recent advancements and therapeutic approvals of various antisense therapies, it is envisioned that some of the studies reviewed may progress into clinical trials and beyond.","container-title":"Biomedicines","DOI":"10.3390/biomedicines9111499","ISSN":"2227-9059","issue":"11","journalAbbreviation":"Biomedicines","page":"1499","PMID":"34829728","PMCID":"PMC8615177","source":"PubMed Central","title":"Polyglutamine Ataxias: Our Current Molecular Understanding and What the Future Holds for Antisense Therapies","title-short":"Polyglutamine Ataxias","volume":"9","author":[{"family":"McIntosh","given":"Craig S."},{"family":"Li","given":"Dunhui"},{"family":"Wilton","given":"Steve D."},{"family":"Aung-Htut","given":"May T."}],"issued":{"date-parts":[["2021",10,20]]}}}],"schema":"https://github.com/citation-style-language/schema/raw/master/csl-citation.json"} </w:instrText>
      </w:r>
      <w:r w:rsidR="003669CA" w:rsidRPr="006B731C">
        <w:rPr>
          <w:rFonts w:ascii="Calibri" w:hAnsi="Calibri" w:cs="Calibri"/>
          <w:sz w:val="24"/>
          <w:szCs w:val="24"/>
        </w:rPr>
        <w:fldChar w:fldCharType="separate"/>
      </w:r>
      <w:r w:rsidR="003669CA" w:rsidRPr="006B731C">
        <w:rPr>
          <w:rFonts w:ascii="Calibri" w:hAnsi="Calibri" w:cs="Calibri"/>
          <w:sz w:val="24"/>
          <w:szCs w:val="24"/>
          <w:vertAlign w:val="superscript"/>
        </w:rPr>
        <w:t>3</w:t>
      </w:r>
      <w:r w:rsidR="003669CA" w:rsidRPr="006B731C">
        <w:rPr>
          <w:rFonts w:ascii="Calibri" w:hAnsi="Calibri" w:cs="Calibri"/>
          <w:sz w:val="24"/>
          <w:szCs w:val="24"/>
        </w:rPr>
        <w:fldChar w:fldCharType="end"/>
      </w:r>
      <w:r w:rsidRPr="006B731C">
        <w:rPr>
          <w:rFonts w:ascii="Calibri" w:hAnsi="Calibri" w:cs="Calibri"/>
          <w:sz w:val="24"/>
          <w:szCs w:val="24"/>
        </w:rPr>
        <w:t>.</w:t>
      </w:r>
    </w:p>
    <w:p w14:paraId="28A49837" w14:textId="77777777" w:rsidR="008D4D32" w:rsidRPr="006B731C" w:rsidRDefault="008D4D32" w:rsidP="006B731C">
      <w:pPr>
        <w:spacing w:after="0" w:line="240" w:lineRule="auto"/>
        <w:jc w:val="both"/>
        <w:rPr>
          <w:rFonts w:ascii="Calibri" w:hAnsi="Calibri" w:cs="Calibri"/>
          <w:sz w:val="24"/>
          <w:szCs w:val="24"/>
        </w:rPr>
      </w:pPr>
    </w:p>
    <w:p w14:paraId="53D0CB45" w14:textId="3F76E314"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 xml:space="preserve">Multiple animal models have been developed to study </w:t>
      </w:r>
      <w:proofErr w:type="spellStart"/>
      <w:r w:rsidRPr="006B731C">
        <w:rPr>
          <w:rFonts w:ascii="Calibri" w:hAnsi="Calibri" w:cs="Calibri"/>
          <w:sz w:val="24"/>
          <w:szCs w:val="24"/>
        </w:rPr>
        <w:t>polyQ</w:t>
      </w:r>
      <w:proofErr w:type="spellEnd"/>
      <w:r w:rsidRPr="006B731C">
        <w:rPr>
          <w:rFonts w:ascii="Calibri" w:hAnsi="Calibri" w:cs="Calibri"/>
          <w:sz w:val="24"/>
          <w:szCs w:val="24"/>
        </w:rPr>
        <w:t xml:space="preserve"> SCAs and to test therapeutic approaches. Transgenic mice, knock-in lines, and conditional expression mouse models have been used to elucidate the molecular basis of disease progression and the cellular pathways involved</w:t>
      </w:r>
      <w:r w:rsidR="003669CA" w:rsidRPr="006B731C">
        <w:rPr>
          <w:rFonts w:ascii="Calibri" w:hAnsi="Calibri" w:cs="Calibri"/>
          <w:sz w:val="24"/>
          <w:szCs w:val="24"/>
        </w:rPr>
        <w:fldChar w:fldCharType="begin"/>
      </w:r>
      <w:r w:rsidR="00D33EF9" w:rsidRPr="006B731C">
        <w:rPr>
          <w:rFonts w:ascii="Calibri" w:hAnsi="Calibri" w:cs="Calibri"/>
          <w:sz w:val="24"/>
          <w:szCs w:val="24"/>
        </w:rPr>
        <w:instrText xml:space="preserve"> ADDIN ZOTERO_ITEM CSL_CITATION {"citationID":"BUcKX8YY","properties":{"formattedCitation":"\\super 4, 5\\nosupersub{}","plainCitation":"4, 5","dontUpdate":true,"noteIndex":0},"citationItems":[{"id":670,"uris":["http://zotero.org/users/5701247/items/UCE9HKEE"],"itemData":{"id":670,"type":"article-journal","abstract":"Polyglutamine disorders are a complex group of incurable neurodegenerative disorders caused by an abnormal expansion in the trinucleotide cytosine-adenine-guanine tract of the affected gene. To better understand these disorders, our dependence on animal models persists, primarily relying on transgenic models. In an effort to complement and deepen our knowledge, researchers have also developed animal models of polyglutamine disorders employing viral vectors.Viral vectors have been extensively used to deliver genes to the brain, not only for therapeutic purposes but also for the development of animal models, given their remarkable flexibility. In a time- and cost-effective manner, it is possible to use different transgenes, at varying doses, in diverse targeted tissues, at different ages, and in different species, to recreate polyglutamine pathology.This paper aims to showcase the utility of viral vectors in disease modelling, share essential considerations for developing animal models with viral vectors, and provide a comprehensive review of existing viral-based animal models for polyglutamine disorders.","container-title":"Brain","DOI":"10.1093/brain/awae012","ISSN":"0006-8950","issue":"4","journalAbbreviation":"Brain","page":"1166-1189","source":"Silverchair","title":"Viral-based animal models in polyglutamine disorders","volume":"147","author":[{"family":"Henriques","given":"Carina"},{"family":"Lopes","given":"Miguel M"},{"family":"Silva","given":"Ana C"},{"family":"Lobo","given":"Diana D"},{"family":"Badin","given":"Romina Aron"},{"family":"Hantraye","given":"Philippe"},{"family":"Pereira de Almeida","given":"Luís"},{"family":"Nobre","given":"Rui Jorge"}],"issued":{"date-parts":[["2024",4,1]]}}},{"id":669,"uris":["http://zotero.org/users/5701247/items/F9PYJZA9"],"itemData":{"id":669,"type":"article-journal","abstract":"The genetic and physiological similarities between mice and humans have focused considerable attention on rodents as potential models of human health and disease. Together with the wealth of resources, knowledge, and technologies surrounding the mouse as a model system, these similarities have propelled this species to the forefront of biomedical research. The advent of genomic manipulation has quickly led to the creation and use of genetically engineered mice as powerful tools for cutting edge studies of human disease research, including the discovery, refinement, and utility of many currently available therapeutic regimes. In particular, the creation of genetically modified mice as models of human disease has remarkably changed our ability to understand the molecular mechanisms and cellular pathways underlying disease states. Moreover, the mouse models resulting from gene transfer technologies have been important components correlating an individual’s gene expression profile to the development of disease pathologies. The objective of this review is to provide physician-scientists with an expansive historical and logistical overview of the creation of mouse models of human disease through gene transfer technologies. Our expectation is that this will facilitate on-going disease research studies and may initiate new areas of translational research leading to enhanced patient care.","container-title":"Transgenic research","DOI":"10.1007/s11248-011-9537-3","ISSN":"0962-8819","issue":"2","journalAbbreviation":"Transgenic Res","page":"327-349","PMID":"21800101","PMCID":"PMC3516403","source":"PubMed Central","title":"The Construction of Transgenic and Gene Knockout/Knockin Mouse Models of Human Disease","volume":"21","author":[{"family":"Doyle","given":"Alfred"},{"family":"McGarry","given":"Michael P."},{"family":"Lee","given":"Nancy A."},{"family":"Lee","given":"James J."}],"issued":{"date-parts":[["2012",4]]}}}],"schema":"https://github.com/citation-style-language/schema/raw/master/csl-citation.json"} </w:instrText>
      </w:r>
      <w:r w:rsidR="003669CA" w:rsidRPr="006B731C">
        <w:rPr>
          <w:rFonts w:ascii="Calibri" w:hAnsi="Calibri" w:cs="Calibri"/>
          <w:sz w:val="24"/>
          <w:szCs w:val="24"/>
        </w:rPr>
        <w:fldChar w:fldCharType="separate"/>
      </w:r>
      <w:r w:rsidR="003669CA" w:rsidRPr="006B731C">
        <w:rPr>
          <w:rFonts w:ascii="Calibri" w:hAnsi="Calibri" w:cs="Calibri"/>
          <w:sz w:val="24"/>
          <w:szCs w:val="24"/>
          <w:vertAlign w:val="superscript"/>
        </w:rPr>
        <w:t>4,5</w:t>
      </w:r>
      <w:r w:rsidR="003669CA" w:rsidRPr="006B731C">
        <w:rPr>
          <w:rFonts w:ascii="Calibri" w:hAnsi="Calibri" w:cs="Calibri"/>
          <w:sz w:val="24"/>
          <w:szCs w:val="24"/>
        </w:rPr>
        <w:fldChar w:fldCharType="end"/>
      </w:r>
      <w:r w:rsidRPr="006B731C">
        <w:rPr>
          <w:rFonts w:ascii="Calibri" w:hAnsi="Calibri" w:cs="Calibri"/>
          <w:sz w:val="24"/>
          <w:szCs w:val="24"/>
        </w:rPr>
        <w:t xml:space="preserve">. However, generating a new disease animal model is time-consuming and costly, and </w:t>
      </w:r>
      <w:r w:rsidR="00675E68" w:rsidRPr="006B731C">
        <w:rPr>
          <w:rFonts w:ascii="Calibri" w:hAnsi="Calibri" w:cs="Calibri"/>
          <w:sz w:val="24"/>
          <w:szCs w:val="24"/>
        </w:rPr>
        <w:t>it is often not useful for studying brain regional involvement in disease pathogenesis</w:t>
      </w:r>
      <w:r w:rsidR="00462AD6" w:rsidRPr="00462AD6">
        <w:rPr>
          <w:rFonts w:ascii="Calibri" w:hAnsi="Calibri" w:cs="Calibri"/>
          <w:sz w:val="24"/>
          <w:szCs w:val="24"/>
          <w:vertAlign w:val="superscript"/>
        </w:rPr>
        <w:t>6</w:t>
      </w:r>
      <w:r w:rsidR="00675E68" w:rsidRPr="006B731C">
        <w:rPr>
          <w:rFonts w:ascii="Calibri" w:hAnsi="Calibri" w:cs="Calibri"/>
          <w:sz w:val="24"/>
          <w:szCs w:val="24"/>
        </w:rPr>
        <w:fldChar w:fldCharType="begin"/>
      </w:r>
      <w:r w:rsidR="00675E68" w:rsidRPr="006B731C">
        <w:rPr>
          <w:rFonts w:ascii="Calibri" w:hAnsi="Calibri" w:cs="Calibri"/>
          <w:sz w:val="24"/>
          <w:szCs w:val="24"/>
        </w:rPr>
        <w:instrText xml:space="preserve"> ADDIN ZOTERO_ITEM CSL_CITATION {"citationID":"mRd4fxvn","properties":{"formattedCitation":"\\super 6\\nosupersub{}","plainCitation":"6","dontUpdate":true,"noteIndex":0},"citationItems":[{"id":664,"uris":["http://zotero.org/users/5701247/items/67437JJM"],"itemData":{"id":664,"type":"article-journal","abstract":"In order to understand the underlying mechanisms of NDs and to evaluate new therapeutic strategies, different animal models of adult-onset neurodegenerative diseases have been established. The use of various in vivo models, across different species and disease conditions, have provided essential insights into the pathophysiology of NDs, including the characterization of neural cell types, developmental patterns, organ function, and the effects of aging and drugs. While these animal models have proven useful for studying drugs toxicity, sensory function, motor coordination, learning ability, and memory functions, most of them simply fail to recapitulate the complexity of an intact nervous system, and to fully capture the human disease phenotypes. Hence, translation of these findings into the clinic and therapeutic settings have been mostly unsuccessful. In this review, we describe NDs and their associated pathogenic proteins, focused mostly in AD. We discuss the benefits and limitations of cell culture and other animal models to investigate the complex mechanisms of human NDs, culminating with the unequivocal benefits that fly models offer for the future of therapeutics and drug discovery.","container-title":"Frontiers in Molecular Neuroscience","DOI":"10.3389/fnmol.2022.883358","ISSN":"1662-5099","journalAbbreviation":"Front. Mol. Neurosci.","language":"English","publisher":"Frontiers","source":"Frontiers","title":"Animal Models of Neurodegenerative Disease: Recent Advances in Fly Highlight Innovative Approaches to Drug Discovery","title-short":"Animal Models of Neurodegenerative Disease","URL":"https://www.frontiersin.org/journals/molecular-neuroscience/articles/10.3389/fnmol.2022.883358/full","volume":"15","author":[{"family":"Tello","given":"Judith A."},{"family":"Williams","given":"Haley E."},{"family":"Eppler","given":"Robert M."},{"family":"Steinhilb","given":"Michelle L."},{"family":"Khanna","given":"May"}],"accessed":{"date-parts":[["2025",8,23]]},"issued":{"date-parts":[["2022",4,19]]}}}],"schema":"https://github.com/citation-style-language/schema/raw/master/csl-citation.json"} </w:instrText>
      </w:r>
      <w:r w:rsidR="00675E68" w:rsidRPr="006B731C">
        <w:rPr>
          <w:rFonts w:ascii="Calibri" w:hAnsi="Calibri" w:cs="Calibri"/>
          <w:sz w:val="24"/>
          <w:szCs w:val="24"/>
        </w:rPr>
        <w:fldChar w:fldCharType="separate"/>
      </w:r>
      <w:r w:rsidR="00675E68" w:rsidRPr="006B731C">
        <w:rPr>
          <w:rFonts w:ascii="Calibri" w:hAnsi="Calibri" w:cs="Calibri"/>
          <w:sz w:val="24"/>
          <w:szCs w:val="24"/>
        </w:rPr>
        <w:fldChar w:fldCharType="end"/>
      </w:r>
      <w:r w:rsidR="00675E68" w:rsidRPr="006B731C">
        <w:rPr>
          <w:rFonts w:ascii="Calibri" w:hAnsi="Calibri" w:cs="Calibri"/>
          <w:sz w:val="24"/>
          <w:szCs w:val="24"/>
        </w:rPr>
        <w:t>.</w:t>
      </w:r>
    </w:p>
    <w:p w14:paraId="2F477B49" w14:textId="77777777" w:rsidR="00130DBC" w:rsidRPr="006B731C" w:rsidRDefault="00130DBC" w:rsidP="006B731C">
      <w:pPr>
        <w:spacing w:after="0" w:line="240" w:lineRule="auto"/>
        <w:jc w:val="both"/>
        <w:rPr>
          <w:rFonts w:ascii="Calibri" w:hAnsi="Calibri" w:cs="Calibri"/>
          <w:sz w:val="24"/>
          <w:szCs w:val="24"/>
        </w:rPr>
      </w:pPr>
    </w:p>
    <w:p w14:paraId="0C1303FD" w14:textId="19CC4771"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 xml:space="preserve">Lentiviral (LV)-based mouse models offer a complementary alternative to conventional models, </w:t>
      </w:r>
      <w:r w:rsidR="00450BF4" w:rsidRPr="006B731C">
        <w:rPr>
          <w:rFonts w:ascii="Calibri" w:hAnsi="Calibri" w:cs="Calibri"/>
          <w:sz w:val="24"/>
          <w:szCs w:val="24"/>
        </w:rPr>
        <w:t>with</w:t>
      </w:r>
      <w:r w:rsidRPr="006B731C">
        <w:rPr>
          <w:rFonts w:ascii="Calibri" w:hAnsi="Calibri" w:cs="Calibri"/>
          <w:sz w:val="24"/>
          <w:szCs w:val="24"/>
        </w:rPr>
        <w:t xml:space="preserve"> reduced cost and the possibility to study specific regions of the brain</w:t>
      </w:r>
      <w:r w:rsidR="00D33EF9" w:rsidRPr="006B731C">
        <w:rPr>
          <w:rFonts w:ascii="Calibri" w:hAnsi="Calibri" w:cs="Calibri"/>
          <w:sz w:val="24"/>
          <w:szCs w:val="24"/>
        </w:rPr>
        <w:fldChar w:fldCharType="begin"/>
      </w:r>
      <w:r w:rsidR="00675E68" w:rsidRPr="006B731C">
        <w:rPr>
          <w:rFonts w:ascii="Calibri" w:hAnsi="Calibri" w:cs="Calibri"/>
          <w:sz w:val="24"/>
          <w:szCs w:val="24"/>
        </w:rPr>
        <w:instrText xml:space="preserve"> ADDIN ZOTERO_ITEM CSL_CITATION {"citationID":"tL2EJx4v","properties":{"formattedCitation":"\\super 7, 8\\nosupersub{}","plainCitation":"7, 8","noteIndex":0},"citationItems":[{"id":690,"uris":["http://zotero.org/users/5701247/items/5ME74S8F"],"itemData":{"id":690,"type":"chapter","container-title":"Lentiviral Vectors: Application for Basic and Clinical Neuroscience","publisher":"Springer Nature","title":"Development of a gene therapy with lentiviral vectors for spinocerebellar ataxias","author":[{"family":"Moreira-Gomes","given":"Tiago"},{"family":"Nóbrega","given":"Clévio"}],"issued":{"date-parts":[["2024"]]}}},{"id":1927,"uris":["http://zotero.org/users/5701247/items/B49MTJKA","http://zotero.org/users/5701247/items/RZDKF5HK"],"itemData":{"id":1927,"type":"article-journal","abstract":"Lentiviruses have been extensively used as gene delivery vectors since the mid-1990s. Usually derived from the human immunodeficiency virus genome, they mediate efficient gene transfer to non-dividing cells, including neurons and glia in the adult mammalian brain. In addition, integration of the recombinant lentiviral construct into the host genome provides permanent expression, including the progeny of dividing neural precursors. In this review, we describe targeted vectors with modified envelope glycoproteins and expression of transgenes under the regulation of cell-selective and inducible promoters. This technology has broad utility to address fundamental questions in neuroscience and we outline how this has been used in rodents and primates. Combining viral tract tracing with immunohistochemistry and confocal or electron microscopy, lentiviral vectors provide a tool to selectively label and trace specific neuronal populations at gross or ultrastructural levels. Additionally, new generation optogenetic technologies can be readily utilized to analyze neuronal circuit and gene functions in the mature mammalian brain. Examples of these applications, limitations of current systems and prospects for future developments to enhance neuroscience knowledge will be reviewed. Finally, we will discuss how these vectors may be translated from gene therapy trials into the clinical setting.","container-title":"Frontiers in Molecular Neuroscience","DOI":"10.3389/fnmol.2015.00014","ISSN":"1662-5099","journalAbbreviation":"Front Mol Neurosci","language":"eng","page":"14","PMID":"26041987","PMCID":"PMC4434958","source":"PubMed","title":"Lentiviral vectors as tools to understand central nervous system biology in mammalian model organisms","volume":"8","author":[{"family":"Parr-Brownlie","given":"Louise C."},{"family":"Bosch-Bouju","given":"Clémentine"},{"family":"Schoderboeck","given":"Lucia"},{"family":"Sizemore","given":"Rachel J."},{"family":"Abraham","given":"Wickliffe C."},{"family":"Hughes","given":"Stephanie M."}],"issued":{"date-parts":[["2015"]]}}}],"schema":"https://github.com/citation-style-language/schema/raw/master/csl-citation.json"} </w:instrText>
      </w:r>
      <w:r w:rsidR="00D33EF9" w:rsidRPr="006B731C">
        <w:rPr>
          <w:rFonts w:ascii="Calibri" w:hAnsi="Calibri" w:cs="Calibri"/>
          <w:sz w:val="24"/>
          <w:szCs w:val="24"/>
        </w:rPr>
        <w:fldChar w:fldCharType="separate"/>
      </w:r>
      <w:r w:rsidR="00D33EF9" w:rsidRPr="006B731C">
        <w:rPr>
          <w:rFonts w:ascii="Calibri" w:hAnsi="Calibri" w:cs="Calibri"/>
          <w:sz w:val="24"/>
          <w:szCs w:val="24"/>
          <w:vertAlign w:val="superscript"/>
        </w:rPr>
        <w:t>7,8</w:t>
      </w:r>
      <w:r w:rsidR="00D33EF9" w:rsidRPr="006B731C">
        <w:rPr>
          <w:rFonts w:ascii="Calibri" w:hAnsi="Calibri" w:cs="Calibri"/>
          <w:sz w:val="24"/>
          <w:szCs w:val="24"/>
        </w:rPr>
        <w:fldChar w:fldCharType="end"/>
      </w:r>
      <w:r w:rsidRPr="006B731C">
        <w:rPr>
          <w:rFonts w:ascii="Calibri" w:hAnsi="Calibri" w:cs="Calibri"/>
          <w:sz w:val="24"/>
          <w:szCs w:val="24"/>
        </w:rPr>
        <w:t>. Lentivirus</w:t>
      </w:r>
      <w:r w:rsidR="00280519" w:rsidRPr="006B731C">
        <w:rPr>
          <w:rFonts w:ascii="Calibri" w:hAnsi="Calibri" w:cs="Calibri"/>
          <w:sz w:val="24"/>
          <w:szCs w:val="24"/>
        </w:rPr>
        <w:t xml:space="preserve"> vectors offer the possibility of introducing large genes (up to 8</w:t>
      </w:r>
      <w:r w:rsidR="003669CA" w:rsidRPr="006B731C">
        <w:rPr>
          <w:rFonts w:ascii="Calibri" w:hAnsi="Calibri" w:cs="Calibri"/>
          <w:sz w:val="24"/>
          <w:szCs w:val="24"/>
        </w:rPr>
        <w:t xml:space="preserve"> </w:t>
      </w:r>
      <w:r w:rsidR="00280519" w:rsidRPr="006B731C">
        <w:rPr>
          <w:rFonts w:ascii="Calibri" w:hAnsi="Calibri" w:cs="Calibri"/>
          <w:sz w:val="24"/>
          <w:szCs w:val="24"/>
        </w:rPr>
        <w:t>kb), leading to a</w:t>
      </w:r>
      <w:r w:rsidRPr="006B731C">
        <w:rPr>
          <w:rFonts w:ascii="Calibri" w:hAnsi="Calibri" w:cs="Calibri"/>
          <w:sz w:val="24"/>
          <w:szCs w:val="24"/>
        </w:rPr>
        <w:t xml:space="preserve"> rapid induction of pathology in defined brain regions without the need for germline modification, and </w:t>
      </w:r>
      <w:r w:rsidR="00450BF4" w:rsidRPr="006B731C">
        <w:rPr>
          <w:rFonts w:ascii="Calibri" w:hAnsi="Calibri" w:cs="Calibri"/>
          <w:sz w:val="24"/>
          <w:szCs w:val="24"/>
        </w:rPr>
        <w:t>they</w:t>
      </w:r>
      <w:r w:rsidRPr="006B731C">
        <w:rPr>
          <w:rFonts w:ascii="Calibri" w:hAnsi="Calibri" w:cs="Calibri"/>
          <w:sz w:val="24"/>
          <w:szCs w:val="24"/>
        </w:rPr>
        <w:t xml:space="preserve"> can be used in animals </w:t>
      </w:r>
      <w:r w:rsidR="00D14FF4" w:rsidRPr="006B731C">
        <w:rPr>
          <w:rFonts w:ascii="Calibri" w:hAnsi="Calibri" w:cs="Calibri"/>
          <w:sz w:val="24"/>
          <w:szCs w:val="24"/>
        </w:rPr>
        <w:t>of</w:t>
      </w:r>
      <w:r w:rsidRPr="006B731C">
        <w:rPr>
          <w:rFonts w:ascii="Calibri" w:hAnsi="Calibri" w:cs="Calibri"/>
          <w:sz w:val="24"/>
          <w:szCs w:val="24"/>
        </w:rPr>
        <w:t xml:space="preserve"> different ages. The </w:t>
      </w:r>
      <w:r w:rsidR="00675E68" w:rsidRPr="006B731C">
        <w:rPr>
          <w:rFonts w:ascii="Calibri" w:hAnsi="Calibri" w:cs="Calibri"/>
          <w:sz w:val="24"/>
          <w:szCs w:val="24"/>
        </w:rPr>
        <w:t xml:space="preserve">direct </w:t>
      </w:r>
      <w:r w:rsidRPr="006B731C">
        <w:rPr>
          <w:rFonts w:ascii="Calibri" w:hAnsi="Calibri" w:cs="Calibri"/>
          <w:sz w:val="24"/>
          <w:szCs w:val="24"/>
        </w:rPr>
        <w:t>injection of lentiviral vectors into the target brain region can achieve region-specific expression of pathogenic or therapeutic genes</w:t>
      </w:r>
      <w:r w:rsidR="00280519" w:rsidRPr="006B731C">
        <w:rPr>
          <w:rFonts w:ascii="Calibri" w:hAnsi="Calibri" w:cs="Calibri"/>
          <w:sz w:val="24"/>
          <w:szCs w:val="24"/>
        </w:rPr>
        <w:t xml:space="preserve"> with reduced immunogenicity compared to other viral vector</w:t>
      </w:r>
      <w:r w:rsidR="00675E68" w:rsidRPr="006B731C">
        <w:rPr>
          <w:rFonts w:ascii="Calibri" w:hAnsi="Calibri" w:cs="Calibri"/>
          <w:sz w:val="24"/>
          <w:szCs w:val="24"/>
        </w:rPr>
        <w:t>s</w:t>
      </w:r>
      <w:r w:rsidR="003669CA" w:rsidRPr="006B731C">
        <w:rPr>
          <w:rFonts w:ascii="Calibri" w:hAnsi="Calibri" w:cs="Calibri"/>
          <w:sz w:val="24"/>
          <w:szCs w:val="24"/>
        </w:rPr>
        <w:fldChar w:fldCharType="begin"/>
      </w:r>
      <w:r w:rsidR="00D33EF9" w:rsidRPr="006B731C">
        <w:rPr>
          <w:rFonts w:ascii="Calibri" w:hAnsi="Calibri" w:cs="Calibri"/>
          <w:sz w:val="24"/>
          <w:szCs w:val="24"/>
        </w:rPr>
        <w:instrText xml:space="preserve"> ADDIN ZOTERO_ITEM CSL_CITATION {"citationID":"USuzwMz7","properties":{"formattedCitation":"\\super 4\\nosupersub{}","plainCitation":"4","noteIndex":0},"citationItems":[{"id":670,"uris":["http://zotero.org/users/5701247/items/UCE9HKEE"],"itemData":{"id":670,"type":"article-journal","abstract":"Polyglutamine disorders are a complex group of incurable neurodegenerative disorders caused by an abnormal expansion in the trinucleotide cytosine-adenine-guanine tract of the affected gene. To better understand these disorders, our dependence on animal models persists, primarily relying on transgenic models. In an effort to complement and deepen our knowledge, researchers have also developed animal models of polyglutamine disorders employing viral vectors.Viral vectors have been extensively used to deliver genes to the brain, not only for therapeutic purposes but also for the development of animal models, given their remarkable flexibility. In a time- and cost-effective manner, it is possible to use different transgenes, at varying doses, in diverse targeted tissues, at different ages, and in different species, to recreate polyglutamine pathology.This paper aims to showcase the utility of viral vectors in disease modelling, share essential considerations for developing animal models with viral vectors, and provide a comprehensive review of existing viral-based animal models for polyglutamine disorders.","container-title":"Brain","DOI":"10.1093/brain/awae012","ISSN":"0006-8950","issue":"4","journalAbbreviation":"Brain","page":"1166-1189","source":"Silverchair","title":"Viral-based animal models in polyglutamine disorders","volume":"147","author":[{"family":"Henriques","given":"Carina"},{"family":"Lopes","given":"Miguel M"},{"family":"Silva","given":"Ana C"},{"family":"Lobo","given":"Diana D"},{"family":"Badin","given":"Romina Aron"},{"family":"Hantraye","given":"Philippe"},{"family":"Pereira de Almeida","given":"Luís"},{"family":"Nobre","given":"Rui Jorge"}],"issued":{"date-parts":[["2024",4,1]]}}}],"schema":"https://github.com/citation-style-language/schema/raw/master/csl-citation.json"} </w:instrText>
      </w:r>
      <w:r w:rsidR="003669CA" w:rsidRPr="006B731C">
        <w:rPr>
          <w:rFonts w:ascii="Calibri" w:hAnsi="Calibri" w:cs="Calibri"/>
          <w:sz w:val="24"/>
          <w:szCs w:val="24"/>
        </w:rPr>
        <w:fldChar w:fldCharType="separate"/>
      </w:r>
      <w:r w:rsidR="003669CA" w:rsidRPr="006B731C">
        <w:rPr>
          <w:rFonts w:ascii="Calibri" w:hAnsi="Calibri" w:cs="Calibri"/>
          <w:sz w:val="24"/>
          <w:szCs w:val="24"/>
          <w:vertAlign w:val="superscript"/>
        </w:rPr>
        <w:t>4</w:t>
      </w:r>
      <w:r w:rsidR="003669CA" w:rsidRPr="006B731C">
        <w:rPr>
          <w:rFonts w:ascii="Calibri" w:hAnsi="Calibri" w:cs="Calibri"/>
          <w:sz w:val="24"/>
          <w:szCs w:val="24"/>
        </w:rPr>
        <w:fldChar w:fldCharType="end"/>
      </w:r>
      <w:r w:rsidRPr="006B731C">
        <w:rPr>
          <w:rFonts w:ascii="Calibri" w:hAnsi="Calibri" w:cs="Calibri"/>
          <w:sz w:val="24"/>
          <w:szCs w:val="24"/>
        </w:rPr>
        <w:t>. Moreover, postnatal delivery avoids developmental compensation to investigate disease mechanisms under conditions that more closely resemble human onset</w:t>
      </w:r>
      <w:r w:rsidR="0037144E" w:rsidRPr="0037144E">
        <w:rPr>
          <w:rFonts w:ascii="Calibri" w:hAnsi="Calibri" w:cs="Calibri"/>
          <w:sz w:val="24"/>
          <w:szCs w:val="24"/>
          <w:vertAlign w:val="superscript"/>
        </w:rPr>
        <w:t>9</w:t>
      </w:r>
      <w:r w:rsidRPr="006B731C">
        <w:rPr>
          <w:rFonts w:ascii="Calibri" w:hAnsi="Calibri" w:cs="Calibri"/>
          <w:sz w:val="24"/>
          <w:szCs w:val="24"/>
        </w:rPr>
        <w:t>. Expression levels can be titrated by adjusting viral dose, producing phenotypes of controlled severity and facilitating modeling of graded disease progression. Additionally, this method allows cell-type-specific expression dependent on the chosen promoter</w:t>
      </w:r>
      <w:r w:rsidR="003669CA" w:rsidRPr="006B731C">
        <w:rPr>
          <w:rFonts w:ascii="Calibri" w:hAnsi="Calibri" w:cs="Calibri"/>
          <w:sz w:val="24"/>
          <w:szCs w:val="24"/>
        </w:rPr>
        <w:fldChar w:fldCharType="begin"/>
      </w:r>
      <w:r w:rsidR="00D33EF9" w:rsidRPr="006B731C">
        <w:rPr>
          <w:rFonts w:ascii="Calibri" w:hAnsi="Calibri" w:cs="Calibri"/>
          <w:sz w:val="24"/>
          <w:szCs w:val="24"/>
        </w:rPr>
        <w:instrText xml:space="preserve"> ADDIN ZOTERO_ITEM CSL_CITATION {"citationID":"bN1ySfKi","properties":{"formattedCitation":"\\super 4, 7\\nosupersub{}","plainCitation":"4, 7","dontUpdate":true,"noteIndex":0},"citationItems":[{"id":670,"uris":["http://zotero.org/users/5701247/items/UCE9HKEE"],"itemData":{"id":670,"type":"article-journal","abstract":"Polyglutamine disorders are a complex group of incurable neurodegenerative disorders caused by an abnormal expansion in the trinucleotide cytosine-adenine-guanine tract of the affected gene. To better understand these disorders, our dependence on animal models persists, primarily relying on transgenic models. In an effort to complement and deepen our knowledge, researchers have also developed animal models of polyglutamine disorders employing viral vectors.Viral vectors have been extensively used to deliver genes to the brain, not only for therapeutic purposes but also for the development of animal models, given their remarkable flexibility. In a time- and cost-effective manner, it is possible to use different transgenes, at varying doses, in diverse targeted tissues, at different ages, and in different species, to recreate polyglutamine pathology.This paper aims to showcase the utility of viral vectors in disease modelling, share essential considerations for developing animal models with viral vectors, and provide a comprehensive review of existing viral-based animal models for polyglutamine disorders.","container-title":"Brain","DOI":"10.1093/brain/awae012","ISSN":"0006-8950","issue":"4","journalAbbreviation":"Brain","page":"1166-1189","source":"Silverchair","title":"Viral-based animal models in polyglutamine disorders","volume":"147","author":[{"family":"Henriques","given":"Carina"},{"family":"Lopes","given":"Miguel M"},{"family":"Silva","given":"Ana C"},{"family":"Lobo","given":"Diana D"},{"family":"Badin","given":"Romina Aron"},{"family":"Hantraye","given":"Philippe"},{"family":"Pereira de Almeida","given":"Luís"},{"family":"Nobre","given":"Rui Jorge"}],"issued":{"date-parts":[["2024",4,1]]}}},{"id":668,"uris":["http://zotero.org/users/5701247/items/JURQHLNK"],"itemData":{"id":668,"type":"article-journal","abstract":"Gene therapy offers promising potential as an efficacious and long-lasting therapeutic option for genetic conditions, by correcting defective mutations using engineered vectors to deliver genetic material to host cells. Among these vectors, adeno-associated viruses (AAVs) stand out for their efficiency, versatility, and safety, making them one of the leading platforms in gene therapy. The enormous potential of AAVs has been demonstrated through their use in over 225 clinical trials and the FDA’s approval of six AAV-based gene therapy products, positioning these vectors at the forefront of the field. This review highlights the evolution and current applications of AAVs in gene therapy, focusing on their clinical successes, ongoing developments, and the manufacturing processes required for the rapid commercial growth anticipated in the AAV therapy market. It also discusses the broader implications of these advancements for future therapeutic strategies targeting more complex and multi-systemic conditions and biological processes such as aging. Finally, we explore some of the major challenges currently confronting the field.","container-title":"Viruses","DOI":"10.3390/v17020239","ISSN":"1999-4915","issue":"2","journalAbbreviation":"Viruses","page":"239","PMID":"40006994","PMCID":"PMC11861813","source":"PubMed Central","title":"Adeno-Associated Virus Vectors: Principles, Practices, and Prospects in Gene Therapy","title-short":"Adeno-Associated Virus Vectors","volume":"17","author":[{"family":"Zwi-Dantsis","given":"Limor"},{"family":"Mohamed","given":"Saira"},{"family":"Massaro","given":"Giulia"},{"family":"Moeendarbary","given":"Emad"}],"issued":{"date-parts":[["2025",2,9]]}}}],"schema":"https://github.com/citation-style-language/schema/raw/master/csl-citation.json"} </w:instrText>
      </w:r>
      <w:r w:rsidR="003669CA" w:rsidRPr="006B731C">
        <w:rPr>
          <w:rFonts w:ascii="Calibri" w:hAnsi="Calibri" w:cs="Calibri"/>
          <w:sz w:val="24"/>
          <w:szCs w:val="24"/>
        </w:rPr>
        <w:fldChar w:fldCharType="separate"/>
      </w:r>
      <w:r w:rsidR="003669CA" w:rsidRPr="006B731C">
        <w:rPr>
          <w:rFonts w:ascii="Calibri" w:hAnsi="Calibri" w:cs="Calibri"/>
          <w:sz w:val="24"/>
          <w:szCs w:val="24"/>
          <w:vertAlign w:val="superscript"/>
        </w:rPr>
        <w:t>4,7</w:t>
      </w:r>
      <w:r w:rsidR="003669CA" w:rsidRPr="006B731C">
        <w:rPr>
          <w:rFonts w:ascii="Calibri" w:hAnsi="Calibri" w:cs="Calibri"/>
          <w:sz w:val="24"/>
          <w:szCs w:val="24"/>
        </w:rPr>
        <w:fldChar w:fldCharType="end"/>
      </w:r>
      <w:r w:rsidRPr="006B731C">
        <w:rPr>
          <w:rFonts w:ascii="Calibri" w:hAnsi="Calibri" w:cs="Calibri"/>
          <w:sz w:val="24"/>
          <w:szCs w:val="24"/>
        </w:rPr>
        <w:t>.</w:t>
      </w:r>
    </w:p>
    <w:p w14:paraId="20BA1B1E" w14:textId="77777777" w:rsidR="003633A7" w:rsidRPr="006B731C" w:rsidRDefault="003633A7" w:rsidP="006B731C">
      <w:pPr>
        <w:spacing w:after="0" w:line="240" w:lineRule="auto"/>
        <w:jc w:val="both"/>
        <w:rPr>
          <w:rFonts w:ascii="Calibri" w:hAnsi="Calibri" w:cs="Calibri"/>
          <w:sz w:val="24"/>
          <w:szCs w:val="24"/>
        </w:rPr>
      </w:pPr>
    </w:p>
    <w:p w14:paraId="508CC64B" w14:textId="4510DC4C"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 xml:space="preserve">Several studies have shown the practicality and usefulness of LV-based mouse models for the modeling of </w:t>
      </w:r>
      <w:proofErr w:type="spellStart"/>
      <w:r w:rsidRPr="006B731C">
        <w:rPr>
          <w:rFonts w:ascii="Calibri" w:hAnsi="Calibri" w:cs="Calibri"/>
          <w:sz w:val="24"/>
          <w:szCs w:val="24"/>
        </w:rPr>
        <w:t>polyQ</w:t>
      </w:r>
      <w:proofErr w:type="spellEnd"/>
      <w:r w:rsidRPr="006B731C">
        <w:rPr>
          <w:rFonts w:ascii="Calibri" w:hAnsi="Calibri" w:cs="Calibri"/>
          <w:sz w:val="24"/>
          <w:szCs w:val="24"/>
        </w:rPr>
        <w:t xml:space="preserve"> SCAs</w:t>
      </w:r>
      <w:r w:rsidR="00022419" w:rsidRPr="006B731C">
        <w:rPr>
          <w:rFonts w:ascii="Calibri" w:hAnsi="Calibri" w:cs="Calibri"/>
          <w:sz w:val="24"/>
          <w:szCs w:val="24"/>
        </w:rPr>
        <w:fldChar w:fldCharType="begin"/>
      </w:r>
      <w:r w:rsidR="00D33EF9" w:rsidRPr="006B731C">
        <w:rPr>
          <w:rFonts w:ascii="Calibri" w:hAnsi="Calibri" w:cs="Calibri"/>
          <w:sz w:val="24"/>
          <w:szCs w:val="24"/>
        </w:rPr>
        <w:instrText xml:space="preserve"> ADDIN ZOTERO_ITEM CSL_CITATION {"citationID":"fjzPqpRU","properties":{"formattedCitation":"\\super 10\\nosupersub{}","plainCitation":"10","noteIndex":0},"citationItems":[{"id":710,"uris":["http://zotero.org/users/5701247/items/BPFATQBG"],"itemData":{"id":710,"type":"article-journal","abstract":"Polyglutamine spinocerebellar ataxias (PolyQ SCAs) represent a group of monogenetic diseases in which the expanded polyglutamine repeats give rise to a mutated protein. The abnormally expanded polyglutamine protein produces aggregates and toxic species, causing neuronal dysfunction and neuronal death. The main symptoms of these disorders include progressive ataxia, motor dysfunction, oculomotor impairment, and swallowing problems. Nowadays, the current treatments are restricted to symptomatic alleviation, and no existing therapeutic strategies can reduce or stop the disease progression. Even though the origin of these disorders has been associated with polyglutamine-induced toxicity, RNA toxicity has recently gained relevance in polyQ SCAs molecular pathogenesis. Therefore, the research's focus on RNA metabolism has been increasing, especially on RNA-binding proteins (RBPs). The present review summarizes RNA metabolism, exposing the different processes and the main RBPs involved. We also explore the mechanisms by which RBPs are dysregulated in PolyQ SCAs. Finally, possible therapies targeting the RNA metabolism are presented as strategies to reverse neuropathological anomalies and mitigate physical symptoms.","container-title":"Journal of Neurochemistry","DOI":"10.1111/jnc.16010","ISSN":"1471-4159","issue":"8","journalAbbreviation":"J Neurochem","language":"eng","page":"1442-1459","PMID":"37990934","source":"PubMed","title":"From the disruption of RNA metabolism to the targeting of RNA-binding proteins: The case of polyglutamine spinocerebellar ataxias","title-short":"From the disruption of RNA metabolism to the targeting of RNA-binding proteins","volume":"168","author":[{"family":"Moreira-Gomes","given":"Tiago"},{"family":"Nóbrega","given":"Clévio"}],"issued":{"date-parts":[["2024",8]]}}}],"schema":"https://github.com/citation-style-language/schema/raw/master/csl-citation.json"} </w:instrText>
      </w:r>
      <w:r w:rsidR="00022419" w:rsidRPr="006B731C">
        <w:rPr>
          <w:rFonts w:ascii="Calibri" w:hAnsi="Calibri" w:cs="Calibri"/>
          <w:sz w:val="24"/>
          <w:szCs w:val="24"/>
        </w:rPr>
        <w:fldChar w:fldCharType="separate"/>
      </w:r>
      <w:r w:rsidR="00D33EF9" w:rsidRPr="006B731C">
        <w:rPr>
          <w:rFonts w:ascii="Calibri" w:hAnsi="Calibri" w:cs="Calibri"/>
          <w:sz w:val="24"/>
          <w:szCs w:val="24"/>
          <w:vertAlign w:val="superscript"/>
        </w:rPr>
        <w:t>10</w:t>
      </w:r>
      <w:r w:rsidR="00022419" w:rsidRPr="006B731C">
        <w:rPr>
          <w:rFonts w:ascii="Calibri" w:hAnsi="Calibri" w:cs="Calibri"/>
          <w:sz w:val="24"/>
          <w:szCs w:val="24"/>
        </w:rPr>
        <w:fldChar w:fldCharType="end"/>
      </w:r>
      <w:r w:rsidR="003633A7" w:rsidRPr="006B731C">
        <w:rPr>
          <w:rFonts w:ascii="Calibri" w:hAnsi="Calibri" w:cs="Calibri"/>
          <w:sz w:val="24"/>
          <w:szCs w:val="24"/>
          <w:vertAlign w:val="superscript"/>
        </w:rPr>
        <w:t>–13</w:t>
      </w:r>
      <w:r w:rsidRPr="006B731C">
        <w:rPr>
          <w:rFonts w:ascii="Calibri" w:hAnsi="Calibri" w:cs="Calibri"/>
          <w:sz w:val="24"/>
          <w:szCs w:val="24"/>
        </w:rPr>
        <w:t xml:space="preserve">. </w:t>
      </w:r>
      <w:r w:rsidR="0041011C" w:rsidRPr="006B731C">
        <w:rPr>
          <w:rFonts w:ascii="Calibri" w:hAnsi="Calibri" w:cs="Calibri"/>
          <w:sz w:val="24"/>
          <w:szCs w:val="24"/>
        </w:rPr>
        <w:t xml:space="preserve">We and others </w:t>
      </w:r>
      <w:r w:rsidRPr="006B731C">
        <w:rPr>
          <w:rFonts w:ascii="Calibri" w:hAnsi="Calibri" w:cs="Calibri"/>
          <w:sz w:val="24"/>
          <w:szCs w:val="24"/>
        </w:rPr>
        <w:t xml:space="preserve">have developed </w:t>
      </w:r>
      <w:r w:rsidR="0041011C" w:rsidRPr="006B731C">
        <w:rPr>
          <w:rFonts w:ascii="Calibri" w:hAnsi="Calibri" w:cs="Calibri"/>
          <w:sz w:val="24"/>
          <w:szCs w:val="24"/>
        </w:rPr>
        <w:t xml:space="preserve">LV-based models </w:t>
      </w:r>
      <w:r w:rsidRPr="006B731C">
        <w:rPr>
          <w:rFonts w:ascii="Calibri" w:hAnsi="Calibri" w:cs="Calibri"/>
          <w:sz w:val="24"/>
          <w:szCs w:val="24"/>
        </w:rPr>
        <w:t xml:space="preserve">for </w:t>
      </w:r>
      <w:r w:rsidR="00022419" w:rsidRPr="006B731C">
        <w:rPr>
          <w:rFonts w:ascii="Calibri" w:hAnsi="Calibri" w:cs="Calibri"/>
          <w:sz w:val="24"/>
          <w:szCs w:val="24"/>
        </w:rPr>
        <w:t>SCA1</w:t>
      </w:r>
      <w:r w:rsidR="00022419" w:rsidRPr="006B731C">
        <w:rPr>
          <w:rFonts w:ascii="Calibri" w:hAnsi="Calibri" w:cs="Calibri"/>
          <w:sz w:val="24"/>
          <w:szCs w:val="24"/>
        </w:rPr>
        <w:fldChar w:fldCharType="begin"/>
      </w:r>
      <w:r w:rsidR="00D33EF9" w:rsidRPr="006B731C">
        <w:rPr>
          <w:rFonts w:ascii="Calibri" w:hAnsi="Calibri" w:cs="Calibri"/>
          <w:sz w:val="24"/>
          <w:szCs w:val="24"/>
        </w:rPr>
        <w:instrText xml:space="preserve"> ADDIN ZOTERO_ITEM CSL_CITATION {"citationID":"sJaU0Jym","properties":{"formattedCitation":"\\super 11\\nosupersub{}","plainCitation":"11","noteIndex":0},"citationItems":[{"id":667,"uris":["http://zotero.org/users/5701247/items/M6WNBPW8"],"itemData":{"id":667,"type":"article-journal","abstract":"BACKGROUND: Certain inherited progressive neurodegenerative disorders, such as spinocerebellar ataxia (SCA), affect neurons in large areas of the central nervous system (CNS). The selective expression of disease-causing and therapeutic genes in susceptible regions and cell types is critical for the generation of animal models and development of gene therapies for these diseases. Previous studies have demonstrated the advantages of the short synapsin I (SynI) promoter (0.5 kb) as a neuron-specific promoter for robust transgene expression. However, the short SynI promoter has also shown some promoter activity in glia and a lack of transgene expression in significant areas of the CNS. New methods: To improve the SynI promoter, we used a SynI promoter that is twice as long (1.0 kb) as the short SynI promoter and incorporated a minimal CMV (minCMV) sequence.\nRESULTS: We observed that the 1.0 kb rat SynI promoter with minCMV [rSynI(1.0)-minCMV] exhibited robust promoter strength, excellent neuronal specificity and wide-ranging transgene expression throughout the CNS. Comparison with existing methods: Compared with the two previously reported short (0.5 kb) promoters, the new promoter was superior with respect to neuronal specificity and more efficiently transduced neurons. Moreover, transgenic mice expressing the mutant protein ATXN1[Q98], which causes SCA type 1 (SCA1), under the control of the rSynI(1.0)-minCMV promoter showed robust transgene expression specifically in neurons throughout the CNS and exhibited progressive ataxia.\nCONCLUSION: rSynI(1.0)-minCMV drives robust and neuron-specific transgene expression throughout the CNS and is therefore useful for viral vector-mediated neuron-specific gene delivery and generation of neuron-specific transgenic animals.","container-title":"Journal of Neuroscience Methods","DOI":"10.1016/j.jneumeth.2013.12.004","ISSN":"1872-678X","journalAbbreviation":"J Neurosci Methods","language":"eng","page":"133-143","PMID":"24361760","source":"PubMed","title":"Generation of a neurodegenerative disease mouse model using lentiviral vectors carrying an enhanced synapsin I promoter","volume":"223","author":[{"family":"Matsuzaki","given":"Yasunori"},{"family":"Oue","given":"Miho"},{"family":"Hirai","given":"Hirokazu"}],"issued":{"date-parts":[["2014",2,15]]}}}],"schema":"https://github.com/citation-style-language/schema/raw/master/csl-citation.json"} </w:instrText>
      </w:r>
      <w:r w:rsidR="00022419" w:rsidRPr="006B731C">
        <w:rPr>
          <w:rFonts w:ascii="Calibri" w:hAnsi="Calibri" w:cs="Calibri"/>
          <w:sz w:val="24"/>
          <w:szCs w:val="24"/>
        </w:rPr>
        <w:fldChar w:fldCharType="separate"/>
      </w:r>
      <w:r w:rsidR="00D33EF9" w:rsidRPr="006B731C">
        <w:rPr>
          <w:rFonts w:ascii="Calibri" w:hAnsi="Calibri" w:cs="Calibri"/>
          <w:sz w:val="24"/>
          <w:szCs w:val="24"/>
          <w:vertAlign w:val="superscript"/>
        </w:rPr>
        <w:t>11</w:t>
      </w:r>
      <w:r w:rsidR="00022419" w:rsidRPr="006B731C">
        <w:rPr>
          <w:rFonts w:ascii="Calibri" w:hAnsi="Calibri" w:cs="Calibri"/>
          <w:sz w:val="24"/>
          <w:szCs w:val="24"/>
        </w:rPr>
        <w:fldChar w:fldCharType="end"/>
      </w:r>
      <w:r w:rsidR="00022419" w:rsidRPr="006B731C">
        <w:rPr>
          <w:rFonts w:ascii="Calibri" w:hAnsi="Calibri" w:cs="Calibri"/>
          <w:sz w:val="24"/>
          <w:szCs w:val="24"/>
        </w:rPr>
        <w:t>, SCA2</w:t>
      </w:r>
      <w:r w:rsidR="00022419" w:rsidRPr="006B731C">
        <w:rPr>
          <w:rFonts w:ascii="Calibri" w:hAnsi="Calibri" w:cs="Calibri"/>
          <w:sz w:val="24"/>
          <w:szCs w:val="24"/>
        </w:rPr>
        <w:fldChar w:fldCharType="begin"/>
      </w:r>
      <w:r w:rsidR="00D33EF9" w:rsidRPr="006B731C">
        <w:rPr>
          <w:rFonts w:ascii="Calibri" w:hAnsi="Calibri" w:cs="Calibri"/>
          <w:sz w:val="24"/>
          <w:szCs w:val="24"/>
        </w:rPr>
        <w:instrText xml:space="preserve"> ADDIN ZOTERO_ITEM CSL_CITATION {"citationID":"d5Q9Sjn3","properties":{"formattedCitation":"\\super 12\\nosupersub{}","plainCitation":"12","noteIndex":0},"citationItems":[{"id":730,"uris":["http://zotero.org/users/5701247/items/H8II9THG"],"itemData":{"id":730,"type":"article-journal","abstract":"Spinocerebellar ataxia type 2 (SCA2) is an incurable and genetic neurodegenerative disorder. The disease is characterized by progressive degeneration of several brain regions, resulting in severe motor and non-motor clinical manifestations. The mutation causing SCA2 disease is an abnormal expansion of CAG trinucleotide repeats in the ATXN2 gene, leading to a toxic expanded polyglutamine segment in the translated ataxin-2 protein. While the genetic cause is well established, the exact mechanisms behind neuronal death induced by mutant ataxin-2 are not yet completely understood. Thus, the goal of this study is to investigate the role of autophagy in SCA2 pathogenesis and investigate its suitability as a target for therapeutic intervention. For that, we developed and characterized a new striatal lentiviral mouse model that resembled several neuropathological hallmarks observed in SCA2 disease, including formation of aggregates, neuronal marker loss, cell death and neuroinflammation. In this new model, we analyzed autophagic markers, which were also analyzed in a SCA2 cellular model and in human post-mortem brain samples. Our results showed altered levels of SQSTM1 and LC3B in cells and tissues expressing mutant ataxin-2. Moreover, an abnormal accumulation of these markers was detected in SCA2 patients’ striatum and cerebellum. Importantly, the molecular activation of autophagy, using the compound cordycepin, mitigated the phenotypic alterations observed in disease models. Overall, our study suggests an important role for autophagy in the context of SCA2 pathology, proposing that targeting this pathway could be a potential target to treat SCA2 patients.","container-title":"Cell Death &amp; Disease","DOI":"10.1038/s41419-021-04404-1","ISSN":"2041-4889","issue":"12","journalAbbreviation":"Cell Death Dis","page":"1117","PMID":"34845184","PMCID":"PMC8630050","source":"PubMed Central","title":"Autophagy in Spinocerebellar ataxia type 2, a dysregulated pathway, and a target for therapy","volume":"12","author":[{"family":"Marcelo","given":"Adriana"},{"family":"Afonso","given":"Inês T."},{"family":"Afonso-Reis","given":"Ricardo"},{"family":"Brito","given":"David V. C."},{"family":"Costa","given":"Rafael G."},{"family":"Rosa","given":"Ana"},{"family":"Alves-Cruzeiro","given":"João"},{"family":"Ferreira","given":"Benedita"},{"family":"Henriques","given":"Carina"},{"family":"Nobre","given":"Rui J."},{"family":"Matos","given":"Carlos A."},{"family":"Almeida","given":"Luís Pereira","non-dropping-particle":"de"},{"family":"Nóbrega","given":"Clévio"}],"issued":{"date-parts":[["2021",11,29]]}}}],"schema":"https://github.com/citation-style-language/schema/raw/master/csl-citation.json"} </w:instrText>
      </w:r>
      <w:r w:rsidR="00022419" w:rsidRPr="006B731C">
        <w:rPr>
          <w:rFonts w:ascii="Calibri" w:hAnsi="Calibri" w:cs="Calibri"/>
          <w:sz w:val="24"/>
          <w:szCs w:val="24"/>
        </w:rPr>
        <w:fldChar w:fldCharType="separate"/>
      </w:r>
      <w:r w:rsidR="00D33EF9" w:rsidRPr="006B731C">
        <w:rPr>
          <w:rFonts w:ascii="Calibri" w:hAnsi="Calibri" w:cs="Calibri"/>
          <w:sz w:val="24"/>
          <w:szCs w:val="24"/>
          <w:vertAlign w:val="superscript"/>
        </w:rPr>
        <w:t>12</w:t>
      </w:r>
      <w:r w:rsidR="00022419" w:rsidRPr="006B731C">
        <w:rPr>
          <w:rFonts w:ascii="Calibri" w:hAnsi="Calibri" w:cs="Calibri"/>
          <w:sz w:val="24"/>
          <w:szCs w:val="24"/>
        </w:rPr>
        <w:fldChar w:fldCharType="end"/>
      </w:r>
      <w:r w:rsidR="00022419" w:rsidRPr="006B731C">
        <w:rPr>
          <w:rFonts w:ascii="Calibri" w:hAnsi="Calibri" w:cs="Calibri"/>
          <w:sz w:val="24"/>
          <w:szCs w:val="24"/>
        </w:rPr>
        <w:t>, SCA3</w:t>
      </w:r>
      <w:r w:rsidR="00022419" w:rsidRPr="006B731C">
        <w:rPr>
          <w:rFonts w:ascii="Calibri" w:hAnsi="Calibri" w:cs="Calibri"/>
          <w:sz w:val="24"/>
          <w:szCs w:val="24"/>
        </w:rPr>
        <w:fldChar w:fldCharType="begin"/>
      </w:r>
      <w:r w:rsidR="00D33EF9" w:rsidRPr="006B731C">
        <w:rPr>
          <w:rFonts w:ascii="Calibri" w:hAnsi="Calibri" w:cs="Calibri"/>
          <w:sz w:val="24"/>
          <w:szCs w:val="24"/>
        </w:rPr>
        <w:instrText xml:space="preserve"> ADDIN ZOTERO_ITEM CSL_CITATION {"citationID":"Wy9PbL9h","properties":{"formattedCitation":"\\super 11, 12\\nosupersub{}","plainCitation":"11, 12","dontUpdate":true,"noteIndex":0},"citationItems":[{"id":621,"uris":["http://zotero.org/users/5701247/items/H5R6EYNQ"],"itemData":{"id":621,"type":"article-journal","abstract":"Machado-Joseph disease (MJD) is a fatal, dominant neurodegenerative disorder. MJD results from polyglutamine repeat expansion in the MJD-1 gene, conferring a toxic gain of function to the ataxin-3 protein. In this study, we aimed at overexpressing ataxin-3 in the rat brain using lentiviral vectors (LV), to generate an in vivo MJD genetic model and, to study the disorder in defined brain regions: substantia nigra, an area affected in MJD, cortex and striatum, regions not previously reported to be affected in MJD. LV encoding mutant or wild-type human ataxin-3 was injected in the brain of adult rats and the animals were tested for behavioral deficits and neuropathological abnormalities. Striatal pathology was confirmed in transgenic mice and human tissue. In substantia nigra, unilateral overexpression of mutant ataxin-3 led to: apomorphine-induced turning behavior; formation of ubiquitinated ataxin-3 aggregates; alpha-synuclein immunoreactivity; and loss of dopaminergic markers (TH and VMAT2). No neuropathological changes were observed upon wild-type ataxin-3 overexpression. Mutant ataxin-3 expression in striatum and cortex, resulted in accumulation of misfolded ataxin-3, and within striatum, loss of neuronal markers. Striatal pathology was confirmed by observation in MJD transgenic mice of ataxin-3 aggregates and substantial reduction of DARPP-32 immunoreactivity and, in human striata, by ataxin-3 inclusions, immunoreactive for ubiquitin and alpha-synuclein. This study demonstrates the use of LV encoding mutant ataxin-3 to produce a model of MJD and brings evidence of striatal pathology, suggesting that this region may contribute to dystonia and chorea observed in some MJD patients and may represent a target for therapies.","container-title":"Human Molecular Genetics","DOI":"10.1093/hmg/ddn106","ISSN":"1460-2083","issue":"14","journalAbbreviation":"Hum Mol Genet","language":"eng","page":"2071-2083","PMID":"18385100","source":"PubMed","title":"Striatal and nigral pathology in a lentiviral rat model of Machado-Joseph disease","volume":"17","author":[{"family":"Alves","given":"Sandro"},{"family":"Régulier","given":"Etienne"},{"family":"Nascimento-Ferreira","given":"Isabel"},{"family":"Hassig","given":"Raymonde"},{"family":"Dufour","given":"Noelle"},{"family":"Koeppen","given":"Arnulf"},{"family":"Carvalho","given":"Ana Luísa"},{"family":"Simões","given":"Sérgio"},{"family":"Lima","given":"Maria C. Pedroso","non-dropping-particle":"de"},{"family":"Brouillet","given":"Emmanuel"},{"family":"Gould","given":"Veronica Colomer"},{"family":"Déglon","given":"Nicole"},{"family":"Almeida","given":"Luís Pereira","non-dropping-particle":"de"}],"issued":{"date-parts":[["2008",7,15]]}}},{"id":624,"uris":["http://zotero.org/users/5701247/items/TYP9WWDG"],"itemData":{"id":624,"type":"article-journal","abstract":"Machado–Joseph disease (MJD), also known as spinocerebellar ataxia type 3 (SCA3), is a fatal, dominant neurodegenerative disorder caused by the polyglutamine-expanded protein ataxin-3. Clinical manifestations include cerebellar ataxia and pyramidal signs culminating in severe neuronal degeneration. Currently, there is no therapy able to modify disease progression. In the present study, we aimed at investigating one of the most severely affected brain regions in the disorder—the cerebellum—and the behavioral defects associated with the neuropathology in this region. For this purpose, we injected lentiviral vectors encoding full-length human mutant ataxin-3 in the mouse cerebellum of 3-week-old C57/BL6 mice. We show that circumscribed expression of human mutant ataxin-3 in the cerebellum mediates within a short time frame—6 weeks, the development of a behavioral phenotype including reduced motor coordination, wide-based ataxic gait, and hyperactivity. Furthermore, the expression of mutant ataxin-3 resulted in the accumulation of intranuclear inclusions, neuropathological abnormalities, and neuronal death. These data show that lentiviral-based expression of mutant ataxin-3 in the mouse cerebellum induces localized neuropathology, which is sufficient to generate a behavioral ataxic phenotype. Moreover, this approach provides a physiologically relevant, cost-effective and time-effective animal model to gain further insights into the pathogenesis of MJD and for the evaluation of experimental therapeutics of MJD.","container-title":"The Cerebellum","DOI":"10.1007/s12311-012-0432-0","ISSN":"1473-4230","issue":"4","journalAbbreviation":"Cerebellum","language":"en","page":"441-455","source":"Springer Link","title":"Overexpression of Mutant Ataxin-3 in Mouse Cerebellum Induces Ataxia and Cerebellar Neuropathology","volume":"12","author":[{"family":"Nóbrega","given":"Clévio"},{"family":"Nascimento-Ferreira","given":"Isabel"},{"family":"Onofre","given":"Isabel"},{"family":"Albuquerque","given":"David"},{"family":"Conceição","given":"Mariana"},{"family":"Déglon","given":"Nicole"},{"family":"Almeida","given":"Luís Pereira","non-dropping-particle":"de"}],"issued":{"date-parts":[["2013",8,1]]}}}],"schema":"https://github.com/citation-style-language/schema/raw/master/csl-citation.json"} </w:instrText>
      </w:r>
      <w:r w:rsidR="00022419" w:rsidRPr="006B731C">
        <w:rPr>
          <w:rFonts w:ascii="Calibri" w:hAnsi="Calibri" w:cs="Calibri"/>
          <w:sz w:val="24"/>
          <w:szCs w:val="24"/>
        </w:rPr>
        <w:fldChar w:fldCharType="separate"/>
      </w:r>
      <w:r w:rsidR="00022419" w:rsidRPr="006B731C">
        <w:rPr>
          <w:rFonts w:ascii="Calibri" w:hAnsi="Calibri" w:cs="Calibri"/>
          <w:sz w:val="24"/>
          <w:szCs w:val="24"/>
          <w:vertAlign w:val="superscript"/>
        </w:rPr>
        <w:t>11,12</w:t>
      </w:r>
      <w:r w:rsidR="00022419" w:rsidRPr="006B731C">
        <w:rPr>
          <w:rFonts w:ascii="Calibri" w:hAnsi="Calibri" w:cs="Calibri"/>
          <w:sz w:val="24"/>
          <w:szCs w:val="24"/>
        </w:rPr>
        <w:fldChar w:fldCharType="end"/>
      </w:r>
      <w:r w:rsidR="00022419" w:rsidRPr="006B731C">
        <w:rPr>
          <w:rFonts w:ascii="Calibri" w:hAnsi="Calibri" w:cs="Calibri"/>
          <w:sz w:val="24"/>
          <w:szCs w:val="24"/>
        </w:rPr>
        <w:t>, and SCA7</w:t>
      </w:r>
      <w:r w:rsidR="00022419" w:rsidRPr="006B731C">
        <w:rPr>
          <w:rFonts w:ascii="Calibri" w:hAnsi="Calibri" w:cs="Calibri"/>
          <w:sz w:val="24"/>
          <w:szCs w:val="24"/>
        </w:rPr>
        <w:fldChar w:fldCharType="begin"/>
      </w:r>
      <w:r w:rsidR="00D33EF9" w:rsidRPr="006B731C">
        <w:rPr>
          <w:rFonts w:ascii="Calibri" w:hAnsi="Calibri" w:cs="Calibri"/>
          <w:sz w:val="24"/>
          <w:szCs w:val="24"/>
        </w:rPr>
        <w:instrText xml:space="preserve"> ADDIN ZOTERO_ITEM CSL_CITATION {"citationID":"XZLNW9ls","properties":{"formattedCitation":"\\super 15\\nosupersub{}","plainCitation":"15","noteIndex":0},"citationItems":[{"id":570,"uris":["http://zotero.org/users/5701247/items/SN29G6RG"],"itemData":{"id":570,"type":"article-journal","abstract":"We used lentiviral vectors (LVs) to generate a new SCA7 animal model overexpressing a truncated mutant ataxin-7 (MUT ATXN7) fragment in the mouse cerebellum, in order to characterize the specific neuropathological and behavioral consequences of the genetic defect in this brain structure.","container-title":"Molecular Neurodegeneration","DOI":"10.1186/s13024-016-0123-2","ISSN":"1750-1326","issue":"1","journalAbbreviation":"Molecular Neurodegeneration","page":"58","source":"BioMed Central","title":"Lentiviral vector-mediated overexpression of mutant ataxin-7 recapitulates SCA7 pathology and promotes accumulation of the FUS/TLS and MBNL1 RNA-binding proteins","volume":"11","author":[{"family":"Alves","given":"Sandro"},{"family":"Marais","given":"Thibaut"},{"family":"Biferi","given":"Maria-Grazia"},{"family":"Furling","given":"Denis"},{"family":"Marinello","given":"Martina"},{"family":"El Hachimi","given":"Khalid"},{"family":"Cartier","given":"Nathalie"},{"family":"Ruberg","given":"Merle"},{"family":"Stevanin","given":"Giovanni"},{"family":"Brice","given":"Alexis"},{"family":"Barkats","given":"Martine"},{"family":"Sittler","given":"Annie"}],"issued":{"date-parts":[["2016",7,28]]}}}],"schema":"https://github.com/citation-style-language/schema/raw/master/csl-citation.json"} </w:instrText>
      </w:r>
      <w:r w:rsidR="00022419" w:rsidRPr="006B731C">
        <w:rPr>
          <w:rFonts w:ascii="Calibri" w:hAnsi="Calibri" w:cs="Calibri"/>
          <w:sz w:val="24"/>
          <w:szCs w:val="24"/>
        </w:rPr>
        <w:fldChar w:fldCharType="separate"/>
      </w:r>
      <w:r w:rsidR="00D33EF9" w:rsidRPr="006B731C">
        <w:rPr>
          <w:rFonts w:ascii="Calibri" w:hAnsi="Calibri" w:cs="Calibri"/>
          <w:sz w:val="24"/>
          <w:szCs w:val="24"/>
          <w:vertAlign w:val="superscript"/>
        </w:rPr>
        <w:t>1</w:t>
      </w:r>
      <w:r w:rsidR="00022419" w:rsidRPr="006B731C">
        <w:rPr>
          <w:rFonts w:ascii="Calibri" w:hAnsi="Calibri" w:cs="Calibri"/>
          <w:sz w:val="24"/>
          <w:szCs w:val="24"/>
        </w:rPr>
        <w:fldChar w:fldCharType="end"/>
      </w:r>
      <w:r w:rsidR="0037144E" w:rsidRPr="0037144E">
        <w:rPr>
          <w:rFonts w:ascii="Calibri" w:hAnsi="Calibri" w:cs="Calibri"/>
          <w:sz w:val="24"/>
          <w:szCs w:val="24"/>
          <w:vertAlign w:val="superscript"/>
        </w:rPr>
        <w:t>4</w:t>
      </w:r>
      <w:r w:rsidRPr="006B731C">
        <w:rPr>
          <w:rFonts w:ascii="Calibri" w:hAnsi="Calibri" w:cs="Calibri"/>
          <w:sz w:val="24"/>
          <w:szCs w:val="24"/>
        </w:rPr>
        <w:t>, constituting platforms for rapid</w:t>
      </w:r>
      <w:r w:rsidR="00450BF4" w:rsidRPr="006B731C">
        <w:rPr>
          <w:rFonts w:ascii="Calibri" w:hAnsi="Calibri" w:cs="Calibri"/>
          <w:sz w:val="24"/>
          <w:szCs w:val="24"/>
        </w:rPr>
        <w:t>,</w:t>
      </w:r>
      <w:r w:rsidRPr="006B731C">
        <w:rPr>
          <w:rFonts w:ascii="Calibri" w:hAnsi="Calibri" w:cs="Calibri"/>
          <w:sz w:val="24"/>
          <w:szCs w:val="24"/>
        </w:rPr>
        <w:t xml:space="preserve"> region-specific expression or silencing of disease genes </w:t>
      </w:r>
      <w:r w:rsidR="00450BF4" w:rsidRPr="006B731C">
        <w:rPr>
          <w:rFonts w:ascii="Calibri" w:hAnsi="Calibri" w:cs="Calibri"/>
          <w:sz w:val="24"/>
          <w:szCs w:val="24"/>
        </w:rPr>
        <w:t>while</w:t>
      </w:r>
      <w:r w:rsidRPr="006B731C">
        <w:rPr>
          <w:rFonts w:ascii="Calibri" w:hAnsi="Calibri" w:cs="Calibri"/>
          <w:sz w:val="24"/>
          <w:szCs w:val="24"/>
        </w:rPr>
        <w:t xml:space="preserve"> reproducing key aspects of neuropathology.</w:t>
      </w:r>
    </w:p>
    <w:p w14:paraId="49469932" w14:textId="77777777" w:rsidR="003633A7" w:rsidRPr="006B731C" w:rsidRDefault="003633A7" w:rsidP="006B731C">
      <w:pPr>
        <w:spacing w:after="0" w:line="240" w:lineRule="auto"/>
        <w:jc w:val="both"/>
        <w:rPr>
          <w:rFonts w:ascii="Calibri" w:hAnsi="Calibri" w:cs="Calibri"/>
          <w:sz w:val="24"/>
          <w:szCs w:val="24"/>
        </w:rPr>
      </w:pPr>
    </w:p>
    <w:p w14:paraId="43A00CBA" w14:textId="54367061"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 xml:space="preserve">In summary, the lentiviral approach described here provides a versatile and efficient tool for modeling the pathogenesis of </w:t>
      </w:r>
      <w:proofErr w:type="spellStart"/>
      <w:r w:rsidRPr="006B731C">
        <w:rPr>
          <w:rFonts w:ascii="Calibri" w:hAnsi="Calibri" w:cs="Calibri"/>
          <w:sz w:val="24"/>
          <w:szCs w:val="24"/>
        </w:rPr>
        <w:t>polyQ</w:t>
      </w:r>
      <w:proofErr w:type="spellEnd"/>
      <w:r w:rsidRPr="006B731C">
        <w:rPr>
          <w:rFonts w:ascii="Calibri" w:hAnsi="Calibri" w:cs="Calibri"/>
          <w:sz w:val="24"/>
          <w:szCs w:val="24"/>
        </w:rPr>
        <w:t xml:space="preserve"> SCAs. By overcoming some of the major drawbacks of current animal models, this method accelerates proof-of-concept studies and provides greater </w:t>
      </w:r>
      <w:r w:rsidRPr="006B731C">
        <w:rPr>
          <w:rFonts w:ascii="Calibri" w:hAnsi="Calibri" w:cs="Calibri"/>
          <w:sz w:val="24"/>
          <w:szCs w:val="24"/>
        </w:rPr>
        <w:lastRenderedPageBreak/>
        <w:t xml:space="preserve">control over disease onset, localization, and severity - features that make it highly suitable for therapeutic screening and </w:t>
      </w:r>
      <w:r w:rsidR="00C72F28" w:rsidRPr="006B731C">
        <w:rPr>
          <w:rFonts w:ascii="Calibri" w:hAnsi="Calibri" w:cs="Calibri"/>
          <w:sz w:val="24"/>
          <w:szCs w:val="24"/>
        </w:rPr>
        <w:t xml:space="preserve">the </w:t>
      </w:r>
      <w:r w:rsidRPr="006B731C">
        <w:rPr>
          <w:rFonts w:ascii="Calibri" w:hAnsi="Calibri" w:cs="Calibri"/>
          <w:sz w:val="24"/>
          <w:szCs w:val="24"/>
        </w:rPr>
        <w:t>study of molecular mechanisms. Here, we describe a reproducible method to generate and characterize a striatal lentiviral model of polyglutamine spinocerebellar ataxia, enabling detailed analysis of early pathogenic events and evaluation of candidate therapeutics.</w:t>
      </w:r>
    </w:p>
    <w:p w14:paraId="53F278F9" w14:textId="77777777" w:rsidR="00600B5E" w:rsidRPr="006B731C" w:rsidRDefault="00600B5E" w:rsidP="006B731C">
      <w:pPr>
        <w:spacing w:after="0" w:line="240" w:lineRule="auto"/>
        <w:jc w:val="both"/>
        <w:rPr>
          <w:rFonts w:ascii="Calibri" w:hAnsi="Calibri" w:cs="Calibri"/>
          <w:sz w:val="24"/>
          <w:szCs w:val="24"/>
        </w:rPr>
      </w:pPr>
    </w:p>
    <w:p w14:paraId="1817CF1D" w14:textId="7A70B17D" w:rsidR="00600B5E" w:rsidRPr="006B731C" w:rsidRDefault="009A7CD2" w:rsidP="006B731C">
      <w:pPr>
        <w:spacing w:after="0" w:line="240" w:lineRule="auto"/>
        <w:jc w:val="both"/>
        <w:rPr>
          <w:rFonts w:ascii="Calibri" w:hAnsi="Calibri" w:cs="Calibri"/>
          <w:b/>
          <w:sz w:val="24"/>
          <w:szCs w:val="24"/>
        </w:rPr>
      </w:pPr>
      <w:r w:rsidRPr="006B731C">
        <w:rPr>
          <w:rFonts w:ascii="Calibri" w:hAnsi="Calibri" w:cs="Calibri"/>
          <w:b/>
          <w:sz w:val="24"/>
          <w:szCs w:val="24"/>
        </w:rPr>
        <w:t>P</w:t>
      </w:r>
      <w:r w:rsidR="00086699" w:rsidRPr="006B731C">
        <w:rPr>
          <w:rFonts w:ascii="Calibri" w:hAnsi="Calibri" w:cs="Calibri"/>
          <w:b/>
          <w:sz w:val="24"/>
          <w:szCs w:val="24"/>
        </w:rPr>
        <w:t>ROTOCOL:</w:t>
      </w:r>
    </w:p>
    <w:p w14:paraId="097B452B" w14:textId="0DFD79B4" w:rsidR="008958E4" w:rsidRPr="006B731C" w:rsidRDefault="008958E4" w:rsidP="006B731C">
      <w:pPr>
        <w:spacing w:after="0" w:line="240" w:lineRule="auto"/>
        <w:jc w:val="both"/>
        <w:rPr>
          <w:rFonts w:ascii="Calibri" w:hAnsi="Calibri" w:cs="Calibri"/>
          <w:sz w:val="24"/>
          <w:szCs w:val="24"/>
        </w:rPr>
      </w:pPr>
      <w:r w:rsidRPr="006B731C">
        <w:rPr>
          <w:rFonts w:ascii="Calibri" w:hAnsi="Calibri" w:cs="Calibri"/>
          <w:sz w:val="24"/>
          <w:szCs w:val="24"/>
        </w:rPr>
        <w:t xml:space="preserve">All animal experiments were conducted in accordance with the Animal Research: Reporting of In Vivo Experiments (ARRIVE) guidelines and the National Institutes of Health Guide for the Care and Use of Laboratory Animals. The present study was approved by the </w:t>
      </w:r>
      <w:proofErr w:type="spellStart"/>
      <w:r w:rsidRPr="006B731C">
        <w:rPr>
          <w:rFonts w:ascii="Calibri" w:hAnsi="Calibri" w:cs="Calibri"/>
          <w:sz w:val="24"/>
          <w:szCs w:val="24"/>
        </w:rPr>
        <w:t>Direção</w:t>
      </w:r>
      <w:proofErr w:type="spellEnd"/>
      <w:r w:rsidRPr="006B731C">
        <w:rPr>
          <w:rFonts w:ascii="Calibri" w:hAnsi="Calibri" w:cs="Calibri"/>
          <w:sz w:val="24"/>
          <w:szCs w:val="24"/>
        </w:rPr>
        <w:t xml:space="preserve">-Geral da </w:t>
      </w:r>
      <w:proofErr w:type="spellStart"/>
      <w:r w:rsidRPr="006B731C">
        <w:rPr>
          <w:rFonts w:ascii="Calibri" w:hAnsi="Calibri" w:cs="Calibri"/>
          <w:sz w:val="24"/>
          <w:szCs w:val="24"/>
        </w:rPr>
        <w:t>Alimentação</w:t>
      </w:r>
      <w:proofErr w:type="spellEnd"/>
      <w:r w:rsidRPr="006B731C">
        <w:rPr>
          <w:rFonts w:ascii="Calibri" w:hAnsi="Calibri" w:cs="Calibri"/>
          <w:sz w:val="24"/>
          <w:szCs w:val="24"/>
        </w:rPr>
        <w:t xml:space="preserve"> e </w:t>
      </w:r>
      <w:proofErr w:type="spellStart"/>
      <w:r w:rsidRPr="006B731C">
        <w:rPr>
          <w:rFonts w:ascii="Calibri" w:hAnsi="Calibri" w:cs="Calibri"/>
          <w:sz w:val="24"/>
          <w:szCs w:val="24"/>
        </w:rPr>
        <w:t>Veterinária</w:t>
      </w:r>
      <w:proofErr w:type="spellEnd"/>
      <w:r w:rsidRPr="006B731C">
        <w:rPr>
          <w:rFonts w:ascii="Calibri" w:hAnsi="Calibri" w:cs="Calibri"/>
          <w:sz w:val="24"/>
          <w:szCs w:val="24"/>
        </w:rPr>
        <w:t xml:space="preserve"> (DGAV). C57BL/6J mice were used in this study and were group housed in standard cages under a 12 h light/12 h dark cycle, with food and water provided </w:t>
      </w:r>
      <w:r w:rsidRPr="006B731C">
        <w:rPr>
          <w:rFonts w:ascii="Calibri" w:hAnsi="Calibri" w:cs="Calibri"/>
          <w:i/>
          <w:sz w:val="24"/>
          <w:szCs w:val="24"/>
        </w:rPr>
        <w:t>ad libitum</w:t>
      </w:r>
      <w:r w:rsidRPr="006B731C">
        <w:rPr>
          <w:rFonts w:ascii="Calibri" w:hAnsi="Calibri" w:cs="Calibri"/>
          <w:sz w:val="24"/>
          <w:szCs w:val="24"/>
        </w:rPr>
        <w:t>.</w:t>
      </w:r>
    </w:p>
    <w:p w14:paraId="6C7BDE31" w14:textId="77777777" w:rsidR="00086699" w:rsidRPr="006B731C" w:rsidRDefault="00086699" w:rsidP="006B731C">
      <w:pPr>
        <w:spacing w:after="0" w:line="240" w:lineRule="auto"/>
        <w:jc w:val="both"/>
        <w:rPr>
          <w:rFonts w:ascii="Calibri" w:hAnsi="Calibri" w:cs="Calibri"/>
          <w:bCs/>
          <w:sz w:val="24"/>
          <w:szCs w:val="24"/>
        </w:rPr>
      </w:pPr>
    </w:p>
    <w:p w14:paraId="06C59143" w14:textId="0C53819B" w:rsidR="00086699" w:rsidRPr="006B731C" w:rsidRDefault="00086699" w:rsidP="006B731C">
      <w:pPr>
        <w:spacing w:after="0" w:line="240" w:lineRule="auto"/>
        <w:jc w:val="both"/>
        <w:rPr>
          <w:rFonts w:ascii="Calibri" w:hAnsi="Calibri" w:cs="Calibri"/>
          <w:bCs/>
          <w:sz w:val="24"/>
          <w:szCs w:val="24"/>
        </w:rPr>
      </w:pPr>
      <w:r w:rsidRPr="006B731C">
        <w:rPr>
          <w:rFonts w:ascii="Calibri" w:hAnsi="Calibri" w:cs="Calibri"/>
          <w:bCs/>
          <w:sz w:val="24"/>
          <w:szCs w:val="24"/>
        </w:rPr>
        <w:t xml:space="preserve">NOTE: </w:t>
      </w:r>
      <w:r w:rsidR="00B14AC2" w:rsidRPr="006B731C">
        <w:rPr>
          <w:rFonts w:ascii="Calibri" w:hAnsi="Calibri" w:cs="Calibri"/>
          <w:bCs/>
          <w:sz w:val="24"/>
          <w:szCs w:val="24"/>
        </w:rPr>
        <w:t xml:space="preserve">Materials used in this protocol are described further in the </w:t>
      </w:r>
      <w:r w:rsidR="00B14AC2" w:rsidRPr="006B731C">
        <w:rPr>
          <w:rFonts w:ascii="Calibri" w:hAnsi="Calibri" w:cs="Calibri"/>
          <w:b/>
          <w:sz w:val="24"/>
          <w:szCs w:val="24"/>
        </w:rPr>
        <w:t xml:space="preserve">Table of </w:t>
      </w:r>
      <w:r w:rsidRPr="006B731C">
        <w:rPr>
          <w:rFonts w:ascii="Calibri" w:hAnsi="Calibri" w:cs="Calibri"/>
          <w:b/>
          <w:sz w:val="24"/>
          <w:szCs w:val="24"/>
        </w:rPr>
        <w:t>Materials</w:t>
      </w:r>
      <w:r w:rsidRPr="006B731C">
        <w:rPr>
          <w:rFonts w:ascii="Calibri" w:hAnsi="Calibri" w:cs="Calibri"/>
          <w:bCs/>
          <w:sz w:val="24"/>
          <w:szCs w:val="24"/>
        </w:rPr>
        <w:t>.</w:t>
      </w:r>
    </w:p>
    <w:p w14:paraId="1A64AAA2" w14:textId="77777777" w:rsidR="00086699" w:rsidRPr="006B731C" w:rsidRDefault="00086699" w:rsidP="006B731C">
      <w:pPr>
        <w:spacing w:after="0" w:line="240" w:lineRule="auto"/>
        <w:jc w:val="both"/>
        <w:rPr>
          <w:rFonts w:ascii="Calibri" w:hAnsi="Calibri" w:cs="Calibri"/>
          <w:bCs/>
          <w:sz w:val="24"/>
          <w:szCs w:val="24"/>
        </w:rPr>
      </w:pPr>
    </w:p>
    <w:p w14:paraId="6471392A" w14:textId="17C29311" w:rsidR="00600B5E" w:rsidRPr="006B731C" w:rsidRDefault="009A7CD2" w:rsidP="006B731C">
      <w:pPr>
        <w:pStyle w:val="PargrafodaLista"/>
        <w:numPr>
          <w:ilvl w:val="0"/>
          <w:numId w:val="11"/>
        </w:numPr>
        <w:spacing w:after="0" w:line="240" w:lineRule="auto"/>
        <w:ind w:left="0" w:firstLine="0"/>
        <w:contextualSpacing w:val="0"/>
        <w:jc w:val="both"/>
        <w:rPr>
          <w:rFonts w:ascii="Calibri" w:hAnsi="Calibri" w:cs="Calibri"/>
          <w:b/>
          <w:sz w:val="24"/>
          <w:szCs w:val="24"/>
        </w:rPr>
      </w:pPr>
      <w:r w:rsidRPr="006B731C">
        <w:rPr>
          <w:rFonts w:ascii="Calibri" w:hAnsi="Calibri" w:cs="Calibri"/>
          <w:b/>
          <w:sz w:val="24"/>
          <w:szCs w:val="24"/>
        </w:rPr>
        <w:t>Packaging of lentiviral vectors</w:t>
      </w:r>
    </w:p>
    <w:p w14:paraId="04B63723" w14:textId="77777777" w:rsidR="00086699" w:rsidRPr="006B731C" w:rsidRDefault="00086699" w:rsidP="006B731C">
      <w:pPr>
        <w:spacing w:after="0" w:line="240" w:lineRule="auto"/>
        <w:jc w:val="both"/>
        <w:rPr>
          <w:rFonts w:ascii="Calibri" w:hAnsi="Calibri" w:cs="Calibri"/>
          <w:sz w:val="24"/>
          <w:szCs w:val="24"/>
        </w:rPr>
      </w:pPr>
    </w:p>
    <w:p w14:paraId="66AAF1D9" w14:textId="28176231" w:rsidR="00600B5E" w:rsidRPr="006B731C" w:rsidRDefault="00086699" w:rsidP="006B731C">
      <w:pPr>
        <w:spacing w:after="0" w:line="240" w:lineRule="auto"/>
        <w:jc w:val="both"/>
        <w:rPr>
          <w:rFonts w:ascii="Calibri" w:hAnsi="Calibri" w:cs="Calibri"/>
          <w:sz w:val="24"/>
          <w:szCs w:val="24"/>
        </w:rPr>
      </w:pPr>
      <w:r w:rsidRPr="006B731C">
        <w:rPr>
          <w:rFonts w:ascii="Calibri" w:hAnsi="Calibri" w:cs="Calibri"/>
          <w:sz w:val="24"/>
          <w:szCs w:val="24"/>
        </w:rPr>
        <w:t xml:space="preserve">NOTE: </w:t>
      </w:r>
      <w:r w:rsidR="009A7CD2" w:rsidRPr="006B731C">
        <w:rPr>
          <w:rFonts w:ascii="Calibri" w:hAnsi="Calibri" w:cs="Calibri"/>
          <w:sz w:val="24"/>
          <w:szCs w:val="24"/>
        </w:rPr>
        <w:t>All procedures involving lentiviral vectors must be conducted in a BSL-2 laboratory following the institution’s safety guidelines.</w:t>
      </w:r>
      <w:r w:rsidR="005D1C6A" w:rsidRPr="006B731C">
        <w:rPr>
          <w:rFonts w:ascii="Calibri" w:hAnsi="Calibri" w:cs="Calibri"/>
          <w:sz w:val="24"/>
          <w:szCs w:val="24"/>
        </w:rPr>
        <w:t xml:space="preserve"> We used the 4-plasmid transfection system due to </w:t>
      </w:r>
      <w:r w:rsidR="00097793" w:rsidRPr="006B731C">
        <w:rPr>
          <w:rFonts w:ascii="Calibri" w:hAnsi="Calibri" w:cs="Calibri"/>
          <w:sz w:val="24"/>
          <w:szCs w:val="24"/>
        </w:rPr>
        <w:t>it</w:t>
      </w:r>
      <w:r w:rsidR="005D1C6A" w:rsidRPr="006B731C">
        <w:rPr>
          <w:rFonts w:ascii="Calibri" w:hAnsi="Calibri" w:cs="Calibri"/>
          <w:sz w:val="24"/>
          <w:szCs w:val="24"/>
        </w:rPr>
        <w:t>s higher biosafety compared to other lentiviral producing systems</w:t>
      </w:r>
      <w:r w:rsidR="00CF761F" w:rsidRPr="006B731C">
        <w:rPr>
          <w:rFonts w:ascii="Calibri" w:hAnsi="Calibri" w:cs="Calibri"/>
          <w:sz w:val="24"/>
          <w:szCs w:val="24"/>
        </w:rPr>
        <w:t xml:space="preserve"> (see </w:t>
      </w:r>
      <w:r w:rsidR="00CF761F" w:rsidRPr="006B731C">
        <w:rPr>
          <w:rFonts w:ascii="Calibri" w:hAnsi="Calibri" w:cs="Calibri"/>
          <w:b/>
          <w:bCs/>
          <w:sz w:val="24"/>
          <w:szCs w:val="24"/>
        </w:rPr>
        <w:t>Figure 1</w:t>
      </w:r>
      <w:r w:rsidR="00CF761F" w:rsidRPr="006B731C">
        <w:rPr>
          <w:rFonts w:ascii="Calibri" w:hAnsi="Calibri" w:cs="Calibri"/>
          <w:sz w:val="24"/>
          <w:szCs w:val="24"/>
        </w:rPr>
        <w:t xml:space="preserve"> for the details on the transfer plasmid)</w:t>
      </w:r>
      <w:r w:rsidR="005D1C6A" w:rsidRPr="006B731C">
        <w:rPr>
          <w:rFonts w:ascii="Calibri" w:hAnsi="Calibri" w:cs="Calibri"/>
          <w:sz w:val="24"/>
          <w:szCs w:val="24"/>
        </w:rPr>
        <w:t>.</w:t>
      </w:r>
    </w:p>
    <w:p w14:paraId="28513475" w14:textId="77777777" w:rsidR="00086699" w:rsidRPr="006B731C" w:rsidRDefault="00086699" w:rsidP="006B731C">
      <w:pPr>
        <w:spacing w:after="0" w:line="240" w:lineRule="auto"/>
        <w:jc w:val="both"/>
        <w:rPr>
          <w:rFonts w:ascii="Calibri" w:hAnsi="Calibri" w:cs="Calibri"/>
          <w:sz w:val="24"/>
          <w:szCs w:val="24"/>
        </w:rPr>
      </w:pPr>
    </w:p>
    <w:p w14:paraId="57D65ED8" w14:textId="4A2ABECF" w:rsidR="00600B5E" w:rsidRPr="006B731C" w:rsidRDefault="009A7CD2" w:rsidP="006B731C">
      <w:pPr>
        <w:pStyle w:val="PargrafodaLista"/>
        <w:numPr>
          <w:ilvl w:val="1"/>
          <w:numId w:val="11"/>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Thaw HEK 293T cells in a water bath and seed them in a T75 flask using Dulbecco's Modified Eagle Medium (DMEM) supplemented with 2 mM L-glutamine, 10% FBS, and 1% Pen-Strep.</w:t>
      </w:r>
      <w:r w:rsidR="00F76F2C" w:rsidRPr="006B731C">
        <w:rPr>
          <w:rFonts w:ascii="Calibri" w:hAnsi="Calibri" w:cs="Calibri"/>
          <w:sz w:val="24"/>
          <w:szCs w:val="24"/>
        </w:rPr>
        <w:t xml:space="preserve"> This complete DMEM medium was used in all steps of the protocol.</w:t>
      </w:r>
      <w:r w:rsidR="00086699" w:rsidRPr="006B731C">
        <w:rPr>
          <w:rFonts w:ascii="Calibri" w:hAnsi="Calibri" w:cs="Calibri"/>
          <w:sz w:val="24"/>
          <w:szCs w:val="24"/>
        </w:rPr>
        <w:t xml:space="preserve"> </w:t>
      </w:r>
      <w:r w:rsidRPr="006B731C">
        <w:rPr>
          <w:rFonts w:ascii="Calibri" w:hAnsi="Calibri" w:cs="Calibri"/>
          <w:sz w:val="24"/>
          <w:szCs w:val="24"/>
        </w:rPr>
        <w:t>Use cells at passage number ≤10 to ensure high viral titers and consistent results.</w:t>
      </w:r>
    </w:p>
    <w:p w14:paraId="447C96F8" w14:textId="77777777" w:rsidR="00086699" w:rsidRPr="006B731C" w:rsidRDefault="00086699" w:rsidP="006B731C">
      <w:pPr>
        <w:pStyle w:val="PargrafodaLista"/>
        <w:spacing w:after="0" w:line="240" w:lineRule="auto"/>
        <w:ind w:left="0"/>
        <w:contextualSpacing w:val="0"/>
        <w:jc w:val="both"/>
        <w:rPr>
          <w:rFonts w:ascii="Calibri" w:hAnsi="Calibri" w:cs="Calibri"/>
          <w:sz w:val="24"/>
          <w:szCs w:val="24"/>
        </w:rPr>
      </w:pPr>
    </w:p>
    <w:p w14:paraId="5601565D" w14:textId="77777777"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bCs/>
          <w:sz w:val="24"/>
          <w:szCs w:val="24"/>
        </w:rPr>
        <w:t>NOTE:</w:t>
      </w:r>
      <w:r w:rsidRPr="006B731C">
        <w:rPr>
          <w:rFonts w:ascii="Calibri" w:hAnsi="Calibri" w:cs="Calibri"/>
          <w:sz w:val="24"/>
          <w:szCs w:val="24"/>
        </w:rPr>
        <w:t xml:space="preserve"> Always check for mycoplasma contamination before proceeding.</w:t>
      </w:r>
    </w:p>
    <w:p w14:paraId="38FEB861" w14:textId="77777777" w:rsidR="00086699" w:rsidRPr="006B731C" w:rsidRDefault="00086699" w:rsidP="006B731C">
      <w:pPr>
        <w:spacing w:after="0" w:line="240" w:lineRule="auto"/>
        <w:jc w:val="both"/>
        <w:rPr>
          <w:rFonts w:ascii="Calibri" w:hAnsi="Calibri" w:cs="Calibri"/>
          <w:sz w:val="24"/>
          <w:szCs w:val="24"/>
        </w:rPr>
      </w:pPr>
    </w:p>
    <w:p w14:paraId="1E51137E" w14:textId="7E43756C" w:rsidR="00600B5E" w:rsidRPr="006B731C" w:rsidRDefault="009A7CD2" w:rsidP="006B731C">
      <w:pPr>
        <w:pStyle w:val="PargrafodaLista"/>
        <w:numPr>
          <w:ilvl w:val="1"/>
          <w:numId w:val="11"/>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When cells reach 80</w:t>
      </w:r>
      <w:r w:rsidR="00086699" w:rsidRPr="006B731C">
        <w:rPr>
          <w:rFonts w:ascii="Calibri" w:hAnsi="Calibri" w:cs="Calibri"/>
          <w:sz w:val="24"/>
          <w:szCs w:val="24"/>
        </w:rPr>
        <w:t>%</w:t>
      </w:r>
      <w:r w:rsidRPr="006B731C">
        <w:rPr>
          <w:rFonts w:ascii="Calibri" w:hAnsi="Calibri" w:cs="Calibri"/>
          <w:sz w:val="24"/>
          <w:szCs w:val="24"/>
        </w:rPr>
        <w:t xml:space="preserve">-90% confluency, expand them into 2 T175 flasks by splitting the initial culture 1:2. Seed 20 100-mm culture dishes with 3.8 </w:t>
      </w:r>
      <w:r w:rsidR="00B27AF0" w:rsidRPr="006B731C">
        <w:rPr>
          <w:rFonts w:ascii="Calibri" w:hAnsi="Calibri" w:cs="Calibri"/>
          <w:sz w:val="24"/>
          <w:szCs w:val="24"/>
        </w:rPr>
        <w:t>x</w:t>
      </w:r>
      <w:r w:rsidRPr="006B731C">
        <w:rPr>
          <w:rFonts w:ascii="Calibri" w:hAnsi="Calibri" w:cs="Calibri"/>
          <w:sz w:val="24"/>
          <w:szCs w:val="24"/>
        </w:rPr>
        <w:t xml:space="preserve"> 10⁶ cells per dish (final volume 10 mL) and incubate them for 24 h at 37 °C in a humidified incubator with 5% CO₂.</w:t>
      </w:r>
      <w:r w:rsidR="00D969C6" w:rsidRPr="006B731C">
        <w:rPr>
          <w:rFonts w:ascii="Calibri" w:hAnsi="Calibri" w:cs="Calibri"/>
          <w:sz w:val="24"/>
          <w:szCs w:val="24"/>
        </w:rPr>
        <w:t xml:space="preserve"> </w:t>
      </w:r>
      <w:r w:rsidR="006B731C" w:rsidRPr="006B731C">
        <w:rPr>
          <w:rFonts w:ascii="Calibri" w:hAnsi="Calibri" w:cs="Calibri"/>
          <w:sz w:val="24"/>
          <w:szCs w:val="24"/>
        </w:rPr>
        <w:t>Count c</w:t>
      </w:r>
      <w:r w:rsidR="00D969C6" w:rsidRPr="006B731C">
        <w:rPr>
          <w:rFonts w:ascii="Calibri" w:hAnsi="Calibri" w:cs="Calibri"/>
          <w:sz w:val="24"/>
          <w:szCs w:val="24"/>
        </w:rPr>
        <w:t>ell</w:t>
      </w:r>
      <w:r w:rsidR="006B731C" w:rsidRPr="006B731C">
        <w:rPr>
          <w:rFonts w:ascii="Calibri" w:hAnsi="Calibri" w:cs="Calibri"/>
          <w:sz w:val="24"/>
          <w:szCs w:val="24"/>
        </w:rPr>
        <w:t xml:space="preserve">s </w:t>
      </w:r>
      <w:r w:rsidR="00D969C6" w:rsidRPr="006B731C">
        <w:rPr>
          <w:rFonts w:ascii="Calibri" w:hAnsi="Calibri" w:cs="Calibri"/>
          <w:sz w:val="24"/>
          <w:szCs w:val="24"/>
        </w:rPr>
        <w:t>by trypan blue exclusion using a Neubauer hemocytometer.</w:t>
      </w:r>
    </w:p>
    <w:p w14:paraId="06B1D430" w14:textId="77777777" w:rsidR="007C6264" w:rsidRPr="006B731C" w:rsidRDefault="007C6264" w:rsidP="006B731C">
      <w:pPr>
        <w:pStyle w:val="PargrafodaLista"/>
        <w:spacing w:after="0" w:line="240" w:lineRule="auto"/>
        <w:ind w:left="0"/>
        <w:contextualSpacing w:val="0"/>
        <w:jc w:val="both"/>
        <w:rPr>
          <w:rFonts w:ascii="Calibri" w:hAnsi="Calibri" w:cs="Calibri"/>
          <w:sz w:val="24"/>
          <w:szCs w:val="24"/>
        </w:rPr>
      </w:pPr>
    </w:p>
    <w:p w14:paraId="276595A7" w14:textId="77777777"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bCs/>
          <w:sz w:val="24"/>
          <w:szCs w:val="24"/>
        </w:rPr>
        <w:t>NOTE:</w:t>
      </w:r>
      <w:r w:rsidRPr="006B731C">
        <w:rPr>
          <w:rFonts w:ascii="Calibri" w:hAnsi="Calibri" w:cs="Calibri"/>
          <w:sz w:val="24"/>
          <w:szCs w:val="24"/>
        </w:rPr>
        <w:t xml:space="preserve"> Consider excluding Pen-Strep from the medium to reduce cell stress and, consequently, maximize cell transfection.</w:t>
      </w:r>
    </w:p>
    <w:p w14:paraId="51D0A3AF" w14:textId="77777777" w:rsidR="00F07E2D" w:rsidRPr="006B731C" w:rsidRDefault="00F07E2D" w:rsidP="006B731C">
      <w:pPr>
        <w:spacing w:after="0" w:line="240" w:lineRule="auto"/>
        <w:jc w:val="both"/>
        <w:rPr>
          <w:rFonts w:ascii="Calibri" w:hAnsi="Calibri" w:cs="Calibri"/>
          <w:sz w:val="24"/>
          <w:szCs w:val="24"/>
        </w:rPr>
      </w:pPr>
    </w:p>
    <w:p w14:paraId="7F2AE914" w14:textId="1DF09AAF" w:rsidR="00600B5E" w:rsidRPr="006B731C" w:rsidRDefault="009A7CD2" w:rsidP="006B731C">
      <w:pPr>
        <w:pStyle w:val="PargrafodaLista"/>
        <w:numPr>
          <w:ilvl w:val="1"/>
          <w:numId w:val="11"/>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 xml:space="preserve">The next day, prepare the transfection mix as described in </w:t>
      </w:r>
      <w:r w:rsidRPr="006B731C">
        <w:rPr>
          <w:rFonts w:ascii="Calibri" w:hAnsi="Calibri" w:cs="Calibri"/>
          <w:b/>
          <w:sz w:val="24"/>
          <w:szCs w:val="24"/>
        </w:rPr>
        <w:t>Table 1</w:t>
      </w:r>
      <w:r w:rsidRPr="006B731C">
        <w:rPr>
          <w:rFonts w:ascii="Calibri" w:hAnsi="Calibri" w:cs="Calibri"/>
          <w:sz w:val="24"/>
          <w:szCs w:val="24"/>
        </w:rPr>
        <w:t>. Vortex and briefly spin down to homogenize. Incubate the mixture at room temperature for 10–20 min to allow DNA:</w:t>
      </w:r>
      <w:r w:rsidR="0037144E">
        <w:rPr>
          <w:rFonts w:ascii="Calibri" w:hAnsi="Calibri" w:cs="Calibri"/>
          <w:sz w:val="24"/>
          <w:szCs w:val="24"/>
        </w:rPr>
        <w:t xml:space="preserve"> </w:t>
      </w:r>
      <w:r w:rsidRPr="006B731C">
        <w:rPr>
          <w:rFonts w:ascii="Calibri" w:hAnsi="Calibri" w:cs="Calibri"/>
          <w:sz w:val="24"/>
          <w:szCs w:val="24"/>
        </w:rPr>
        <w:t>PEI complexes to form.</w:t>
      </w:r>
    </w:p>
    <w:p w14:paraId="70C8A515" w14:textId="77777777" w:rsidR="008447FB" w:rsidRPr="006B731C" w:rsidRDefault="008447FB" w:rsidP="006B731C">
      <w:pPr>
        <w:pStyle w:val="PargrafodaLista"/>
        <w:spacing w:after="0" w:line="240" w:lineRule="auto"/>
        <w:ind w:left="0"/>
        <w:contextualSpacing w:val="0"/>
        <w:jc w:val="both"/>
        <w:rPr>
          <w:rFonts w:ascii="Calibri" w:hAnsi="Calibri" w:cs="Calibri"/>
          <w:sz w:val="24"/>
          <w:szCs w:val="24"/>
        </w:rPr>
      </w:pPr>
    </w:p>
    <w:p w14:paraId="538A6FD1" w14:textId="06B27B2F" w:rsidR="00300817" w:rsidRPr="006B731C" w:rsidRDefault="008447FB" w:rsidP="006B731C">
      <w:pPr>
        <w:spacing w:after="0" w:line="240" w:lineRule="auto"/>
        <w:jc w:val="both"/>
        <w:rPr>
          <w:rFonts w:ascii="Calibri" w:hAnsi="Calibri" w:cs="Calibri"/>
          <w:sz w:val="24"/>
          <w:szCs w:val="24"/>
        </w:rPr>
      </w:pPr>
      <w:r w:rsidRPr="006B731C">
        <w:rPr>
          <w:rFonts w:ascii="Calibri" w:hAnsi="Calibri" w:cs="Calibri"/>
          <w:sz w:val="24"/>
          <w:szCs w:val="24"/>
        </w:rPr>
        <w:t>1.4</w:t>
      </w:r>
      <w:r w:rsidRPr="006B731C">
        <w:rPr>
          <w:rFonts w:ascii="Calibri" w:hAnsi="Calibri" w:cs="Calibri"/>
          <w:sz w:val="24"/>
          <w:szCs w:val="24"/>
        </w:rPr>
        <w:tab/>
      </w:r>
      <w:r w:rsidR="00300817" w:rsidRPr="006B731C">
        <w:rPr>
          <w:rFonts w:ascii="Calibri" w:hAnsi="Calibri" w:cs="Calibri"/>
          <w:sz w:val="24"/>
          <w:szCs w:val="24"/>
        </w:rPr>
        <w:t xml:space="preserve">After </w:t>
      </w:r>
      <w:r w:rsidR="00D46D4D" w:rsidRPr="006B731C">
        <w:rPr>
          <w:rFonts w:ascii="Calibri" w:hAnsi="Calibri" w:cs="Calibri"/>
          <w:sz w:val="24"/>
          <w:szCs w:val="24"/>
        </w:rPr>
        <w:t xml:space="preserve">the </w:t>
      </w:r>
      <w:r w:rsidR="00300817" w:rsidRPr="006B731C">
        <w:rPr>
          <w:rFonts w:ascii="Calibri" w:hAnsi="Calibri" w:cs="Calibri"/>
          <w:sz w:val="24"/>
          <w:szCs w:val="24"/>
        </w:rPr>
        <w:t>DNA:</w:t>
      </w:r>
      <w:r w:rsidR="0037144E">
        <w:rPr>
          <w:rFonts w:ascii="Calibri" w:hAnsi="Calibri" w:cs="Calibri"/>
          <w:sz w:val="24"/>
          <w:szCs w:val="24"/>
        </w:rPr>
        <w:t xml:space="preserve"> </w:t>
      </w:r>
      <w:r w:rsidR="00300817" w:rsidRPr="006B731C">
        <w:rPr>
          <w:rFonts w:ascii="Calibri" w:hAnsi="Calibri" w:cs="Calibri"/>
          <w:sz w:val="24"/>
          <w:szCs w:val="24"/>
        </w:rPr>
        <w:t xml:space="preserve">PEI </w:t>
      </w:r>
      <w:r w:rsidR="00D46D4D" w:rsidRPr="006B731C">
        <w:rPr>
          <w:rFonts w:ascii="Calibri" w:hAnsi="Calibri" w:cs="Calibri"/>
          <w:sz w:val="24"/>
          <w:szCs w:val="24"/>
        </w:rPr>
        <w:t xml:space="preserve">complexes </w:t>
      </w:r>
      <w:r w:rsidR="0064551F" w:rsidRPr="006B731C">
        <w:rPr>
          <w:rFonts w:ascii="Calibri" w:hAnsi="Calibri" w:cs="Calibri"/>
          <w:sz w:val="24"/>
          <w:szCs w:val="24"/>
        </w:rPr>
        <w:t xml:space="preserve">were allowed to form for 15 min at room temperature, </w:t>
      </w:r>
      <w:r w:rsidR="00300817" w:rsidRPr="006B731C">
        <w:rPr>
          <w:rFonts w:ascii="Calibri" w:hAnsi="Calibri" w:cs="Calibri"/>
          <w:sz w:val="24"/>
          <w:szCs w:val="24"/>
        </w:rPr>
        <w:t xml:space="preserve">adjust the mixture to 5 mL with complete DMEM. </w:t>
      </w:r>
    </w:p>
    <w:p w14:paraId="78815B85" w14:textId="4D69E623" w:rsidR="00300817" w:rsidRPr="006B731C" w:rsidRDefault="00300817" w:rsidP="006B731C">
      <w:pPr>
        <w:spacing w:after="0" w:line="240" w:lineRule="auto"/>
        <w:jc w:val="both"/>
        <w:rPr>
          <w:rFonts w:ascii="Calibri" w:hAnsi="Calibri" w:cs="Calibri"/>
          <w:sz w:val="24"/>
          <w:szCs w:val="24"/>
        </w:rPr>
      </w:pPr>
      <w:r w:rsidRPr="006B731C">
        <w:rPr>
          <w:rFonts w:ascii="Calibri" w:hAnsi="Calibri" w:cs="Calibri"/>
          <w:sz w:val="24"/>
          <w:szCs w:val="24"/>
        </w:rPr>
        <w:lastRenderedPageBreak/>
        <w:t>Remove 5 mL of medium from each culture dish (half of the total volume</w:t>
      </w:r>
      <w:r w:rsidR="00B246F6" w:rsidRPr="006B731C">
        <w:rPr>
          <w:rFonts w:ascii="Calibri" w:hAnsi="Calibri" w:cs="Calibri"/>
          <w:sz w:val="24"/>
          <w:szCs w:val="24"/>
        </w:rPr>
        <w:t>) and</w:t>
      </w:r>
      <w:r w:rsidRPr="006B731C">
        <w:rPr>
          <w:rFonts w:ascii="Calibri" w:hAnsi="Calibri" w:cs="Calibri"/>
          <w:sz w:val="24"/>
          <w:szCs w:val="24"/>
        </w:rPr>
        <w:t xml:space="preserve"> replace it with the 5 mL</w:t>
      </w:r>
      <w:r w:rsidR="008447FB" w:rsidRPr="006B731C">
        <w:rPr>
          <w:rFonts w:ascii="Calibri" w:hAnsi="Calibri" w:cs="Calibri"/>
          <w:sz w:val="24"/>
          <w:szCs w:val="24"/>
        </w:rPr>
        <w:t xml:space="preserve"> of</w:t>
      </w:r>
      <w:r w:rsidRPr="006B731C">
        <w:rPr>
          <w:rFonts w:ascii="Calibri" w:hAnsi="Calibri" w:cs="Calibri"/>
          <w:sz w:val="24"/>
          <w:szCs w:val="24"/>
        </w:rPr>
        <w:t xml:space="preserve"> transfection mixture. This maintains the final culture volume at 10 mL during transfection.</w:t>
      </w:r>
    </w:p>
    <w:p w14:paraId="5AC928B4" w14:textId="77777777" w:rsidR="008447FB" w:rsidRPr="006B731C" w:rsidRDefault="008447FB" w:rsidP="006B731C">
      <w:pPr>
        <w:spacing w:after="0" w:line="240" w:lineRule="auto"/>
        <w:jc w:val="both"/>
        <w:rPr>
          <w:rFonts w:ascii="Calibri" w:hAnsi="Calibri" w:cs="Calibri"/>
          <w:sz w:val="24"/>
          <w:szCs w:val="24"/>
        </w:rPr>
      </w:pPr>
    </w:p>
    <w:p w14:paraId="023387C4" w14:textId="7E9B8624" w:rsidR="00600B5E" w:rsidRPr="006B731C" w:rsidRDefault="00300817" w:rsidP="006B731C">
      <w:pPr>
        <w:pStyle w:val="PargrafodaLista"/>
        <w:numPr>
          <w:ilvl w:val="1"/>
          <w:numId w:val="12"/>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 xml:space="preserve">Transfect the cells with the three packaging plasmids and the transfer plasmid as described in </w:t>
      </w:r>
      <w:r w:rsidRPr="006B731C">
        <w:rPr>
          <w:rFonts w:ascii="Calibri" w:hAnsi="Calibri" w:cs="Calibri"/>
          <w:b/>
          <w:sz w:val="24"/>
          <w:szCs w:val="24"/>
        </w:rPr>
        <w:t>Table 1</w:t>
      </w:r>
      <w:r w:rsidRPr="006B731C">
        <w:rPr>
          <w:rFonts w:ascii="Calibri" w:hAnsi="Calibri" w:cs="Calibri"/>
          <w:sz w:val="24"/>
          <w:szCs w:val="24"/>
        </w:rPr>
        <w:t xml:space="preserve">. </w:t>
      </w:r>
    </w:p>
    <w:p w14:paraId="3B146E0B" w14:textId="77777777" w:rsidR="008447FB" w:rsidRPr="006B731C" w:rsidRDefault="008447FB" w:rsidP="006B731C">
      <w:pPr>
        <w:pStyle w:val="PargrafodaLista"/>
        <w:spacing w:after="0" w:line="240" w:lineRule="auto"/>
        <w:ind w:left="0"/>
        <w:contextualSpacing w:val="0"/>
        <w:jc w:val="both"/>
        <w:rPr>
          <w:rFonts w:ascii="Calibri" w:hAnsi="Calibri" w:cs="Calibri"/>
          <w:sz w:val="24"/>
          <w:szCs w:val="24"/>
        </w:rPr>
      </w:pPr>
    </w:p>
    <w:p w14:paraId="3E00AA05" w14:textId="3BA1C3D9" w:rsidR="00B51AAA" w:rsidRPr="006B731C" w:rsidRDefault="00B51AAA" w:rsidP="006B731C">
      <w:pPr>
        <w:spacing w:after="0" w:line="240" w:lineRule="auto"/>
        <w:jc w:val="both"/>
        <w:rPr>
          <w:rFonts w:ascii="Calibri" w:hAnsi="Calibri" w:cs="Calibri"/>
          <w:sz w:val="24"/>
          <w:szCs w:val="24"/>
        </w:rPr>
      </w:pPr>
      <w:r w:rsidRPr="006B731C">
        <w:rPr>
          <w:rFonts w:ascii="Calibri" w:hAnsi="Calibri" w:cs="Calibri"/>
          <w:sz w:val="24"/>
          <w:szCs w:val="24"/>
        </w:rPr>
        <w:t>NOTE: All plasmids used for lentiviral production should be prepared using endotoxin-free purification kits. Moreover, the plasmid integrity should be verified by restriction enzyme analysis to confirm the correctness of the LTR regions and the transgene cassette prior to transfection.</w:t>
      </w:r>
    </w:p>
    <w:p w14:paraId="29AA20B8" w14:textId="77777777" w:rsidR="008447FB" w:rsidRPr="006B731C" w:rsidRDefault="008447FB" w:rsidP="006B731C">
      <w:pPr>
        <w:spacing w:after="0" w:line="240" w:lineRule="auto"/>
        <w:jc w:val="both"/>
        <w:rPr>
          <w:rFonts w:ascii="Calibri" w:hAnsi="Calibri" w:cs="Calibri"/>
          <w:sz w:val="24"/>
          <w:szCs w:val="24"/>
        </w:rPr>
      </w:pPr>
    </w:p>
    <w:p w14:paraId="3352EF62" w14:textId="3170DDF7" w:rsidR="00600B5E" w:rsidRPr="006B731C" w:rsidRDefault="009A7CD2" w:rsidP="006B731C">
      <w:pPr>
        <w:pStyle w:val="PargrafodaLista"/>
        <w:numPr>
          <w:ilvl w:val="1"/>
          <w:numId w:val="12"/>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Add 5 mL of the transfection mix dropwise to each plate and incubate for 6 h.</w:t>
      </w:r>
      <w:r w:rsidR="008447FB" w:rsidRPr="006B731C">
        <w:rPr>
          <w:rFonts w:ascii="Calibri" w:hAnsi="Calibri" w:cs="Calibri"/>
          <w:sz w:val="24"/>
          <w:szCs w:val="24"/>
        </w:rPr>
        <w:t xml:space="preserve"> </w:t>
      </w:r>
      <w:r w:rsidRPr="006B731C">
        <w:rPr>
          <w:rFonts w:ascii="Calibri" w:hAnsi="Calibri" w:cs="Calibri"/>
          <w:sz w:val="24"/>
          <w:szCs w:val="24"/>
        </w:rPr>
        <w:t xml:space="preserve">Aspirate </w:t>
      </w:r>
      <w:r w:rsidR="005D1C6A" w:rsidRPr="006B731C">
        <w:rPr>
          <w:rFonts w:ascii="Calibri" w:hAnsi="Calibri" w:cs="Calibri"/>
          <w:sz w:val="24"/>
          <w:szCs w:val="24"/>
        </w:rPr>
        <w:t>all</w:t>
      </w:r>
      <w:r w:rsidRPr="006B731C">
        <w:rPr>
          <w:rFonts w:ascii="Calibri" w:hAnsi="Calibri" w:cs="Calibri"/>
          <w:sz w:val="24"/>
          <w:szCs w:val="24"/>
        </w:rPr>
        <w:t xml:space="preserve"> the medium and replace it with 10 mL of fresh medium. Incubate for 48 h.</w:t>
      </w:r>
    </w:p>
    <w:p w14:paraId="3F79D328" w14:textId="77777777" w:rsidR="008447FB" w:rsidRPr="006B731C" w:rsidRDefault="008447FB" w:rsidP="006B731C">
      <w:pPr>
        <w:pStyle w:val="PargrafodaLista"/>
        <w:spacing w:after="0" w:line="240" w:lineRule="auto"/>
        <w:ind w:left="0"/>
        <w:contextualSpacing w:val="0"/>
        <w:jc w:val="both"/>
        <w:rPr>
          <w:rFonts w:ascii="Calibri" w:hAnsi="Calibri" w:cs="Calibri"/>
          <w:sz w:val="24"/>
          <w:szCs w:val="24"/>
        </w:rPr>
      </w:pPr>
    </w:p>
    <w:p w14:paraId="0FB645D1" w14:textId="079B3BCF"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bCs/>
          <w:sz w:val="24"/>
          <w:szCs w:val="24"/>
        </w:rPr>
        <w:t>NOTE:</w:t>
      </w:r>
      <w:r w:rsidRPr="006B731C">
        <w:rPr>
          <w:rFonts w:ascii="Calibri" w:hAnsi="Calibri" w:cs="Calibri"/>
          <w:sz w:val="24"/>
          <w:szCs w:val="24"/>
        </w:rPr>
        <w:t xml:space="preserve"> To increase the viral titer, collect the medium at 48 h, add 10 mL of fresh medium to each plate, and collect again after 24 h. The previously collected medium can be stored at 4 °C for up to 24 h.</w:t>
      </w:r>
      <w:r w:rsidR="005D1C6A" w:rsidRPr="006B731C">
        <w:rPr>
          <w:rFonts w:ascii="Calibri" w:hAnsi="Calibri" w:cs="Calibri"/>
          <w:sz w:val="24"/>
          <w:szCs w:val="24"/>
        </w:rPr>
        <w:t xml:space="preserve"> This will allow </w:t>
      </w:r>
      <w:r w:rsidR="008E5F34" w:rsidRPr="006B731C">
        <w:rPr>
          <w:rFonts w:ascii="Calibri" w:hAnsi="Calibri" w:cs="Calibri"/>
          <w:sz w:val="24"/>
          <w:szCs w:val="24"/>
        </w:rPr>
        <w:t xml:space="preserve">for a concentration of twice </w:t>
      </w:r>
      <w:r w:rsidR="005D1C6A" w:rsidRPr="006B731C">
        <w:rPr>
          <w:rFonts w:ascii="Calibri" w:hAnsi="Calibri" w:cs="Calibri"/>
          <w:sz w:val="24"/>
          <w:szCs w:val="24"/>
        </w:rPr>
        <w:t>the volume and increase the viral titer.</w:t>
      </w:r>
    </w:p>
    <w:p w14:paraId="5EA113C7" w14:textId="77777777" w:rsidR="00600B5E" w:rsidRPr="006B731C" w:rsidRDefault="00600B5E" w:rsidP="006B731C">
      <w:pPr>
        <w:spacing w:after="0" w:line="240" w:lineRule="auto"/>
        <w:jc w:val="both"/>
        <w:rPr>
          <w:rFonts w:ascii="Calibri" w:hAnsi="Calibri" w:cs="Calibri"/>
          <w:sz w:val="24"/>
          <w:szCs w:val="24"/>
        </w:rPr>
      </w:pPr>
    </w:p>
    <w:p w14:paraId="6480A39D" w14:textId="69F451C3" w:rsidR="00600B5E" w:rsidRPr="006B731C" w:rsidRDefault="008E5F34" w:rsidP="006B731C">
      <w:pPr>
        <w:spacing w:after="0" w:line="240" w:lineRule="auto"/>
        <w:jc w:val="both"/>
        <w:rPr>
          <w:rFonts w:ascii="Calibri" w:hAnsi="Calibri" w:cs="Calibri"/>
          <w:sz w:val="24"/>
          <w:szCs w:val="24"/>
        </w:rPr>
      </w:pPr>
      <w:r w:rsidRPr="006B731C">
        <w:rPr>
          <w:rFonts w:ascii="Calibri" w:hAnsi="Calibri" w:cs="Calibri"/>
          <w:sz w:val="24"/>
          <w:szCs w:val="24"/>
        </w:rPr>
        <w:t>1.7</w:t>
      </w:r>
      <w:r w:rsidRPr="006B731C">
        <w:rPr>
          <w:rFonts w:ascii="Calibri" w:hAnsi="Calibri" w:cs="Calibri"/>
          <w:sz w:val="24"/>
          <w:szCs w:val="24"/>
        </w:rPr>
        <w:tab/>
      </w:r>
      <w:r w:rsidR="009A7CD2" w:rsidRPr="006B731C">
        <w:rPr>
          <w:rFonts w:ascii="Calibri" w:hAnsi="Calibri" w:cs="Calibri"/>
          <w:sz w:val="24"/>
          <w:szCs w:val="24"/>
        </w:rPr>
        <w:t>Filter all conditioned medium containing lentiviral vectors using a 0.22 µm filter unit.</w:t>
      </w:r>
    </w:p>
    <w:p w14:paraId="60492C83" w14:textId="77777777" w:rsidR="00600B5E" w:rsidRPr="006B731C" w:rsidRDefault="00600B5E" w:rsidP="006B731C">
      <w:pPr>
        <w:spacing w:after="0" w:line="240" w:lineRule="auto"/>
        <w:jc w:val="both"/>
        <w:rPr>
          <w:rFonts w:ascii="Calibri" w:hAnsi="Calibri" w:cs="Calibri"/>
          <w:sz w:val="24"/>
          <w:szCs w:val="24"/>
        </w:rPr>
      </w:pPr>
    </w:p>
    <w:p w14:paraId="723D97DF" w14:textId="37A7FAD8" w:rsidR="00600B5E" w:rsidRPr="006B731C" w:rsidRDefault="009A7CD2" w:rsidP="006B731C">
      <w:pPr>
        <w:pStyle w:val="PargrafodaLista"/>
        <w:numPr>
          <w:ilvl w:val="0"/>
          <w:numId w:val="11"/>
        </w:numPr>
        <w:spacing w:after="0" w:line="240" w:lineRule="auto"/>
        <w:ind w:left="0" w:firstLine="0"/>
        <w:contextualSpacing w:val="0"/>
        <w:jc w:val="both"/>
        <w:rPr>
          <w:rFonts w:ascii="Calibri" w:hAnsi="Calibri" w:cs="Calibri"/>
          <w:b/>
          <w:sz w:val="24"/>
          <w:szCs w:val="24"/>
        </w:rPr>
      </w:pPr>
      <w:r w:rsidRPr="006B731C">
        <w:rPr>
          <w:rFonts w:ascii="Calibri" w:hAnsi="Calibri" w:cs="Calibri"/>
          <w:b/>
          <w:sz w:val="24"/>
          <w:szCs w:val="24"/>
        </w:rPr>
        <w:t>Purification and titration of lentiviral vectors</w:t>
      </w:r>
    </w:p>
    <w:p w14:paraId="4C33E586" w14:textId="77777777" w:rsidR="008E5F34" w:rsidRPr="006B731C" w:rsidRDefault="008E5F34" w:rsidP="006B731C">
      <w:pPr>
        <w:pStyle w:val="PargrafodaLista"/>
        <w:spacing w:after="0" w:line="240" w:lineRule="auto"/>
        <w:ind w:left="0"/>
        <w:contextualSpacing w:val="0"/>
        <w:jc w:val="both"/>
        <w:rPr>
          <w:rFonts w:ascii="Calibri" w:hAnsi="Calibri" w:cs="Calibri"/>
          <w:b/>
          <w:sz w:val="24"/>
          <w:szCs w:val="24"/>
        </w:rPr>
      </w:pPr>
    </w:p>
    <w:p w14:paraId="3FF830A3" w14:textId="148A4BBD" w:rsidR="00600B5E" w:rsidRPr="006B731C" w:rsidRDefault="009A7CD2" w:rsidP="006B731C">
      <w:pPr>
        <w:pStyle w:val="PargrafodaLista"/>
        <w:numPr>
          <w:ilvl w:val="1"/>
          <w:numId w:val="11"/>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 xml:space="preserve">Transfer the filtered supernatant into appropriate conical ultracentrifuge tubes and centrifuge at 65,000 </w:t>
      </w:r>
      <w:r w:rsidR="008E5F34" w:rsidRPr="006B731C">
        <w:rPr>
          <w:rFonts w:ascii="Calibri" w:hAnsi="Calibri" w:cs="Calibri"/>
          <w:sz w:val="24"/>
          <w:szCs w:val="24"/>
        </w:rPr>
        <w:t>x</w:t>
      </w:r>
      <w:r w:rsidRPr="006B731C">
        <w:rPr>
          <w:rFonts w:ascii="Calibri" w:hAnsi="Calibri" w:cs="Calibri"/>
          <w:sz w:val="24"/>
          <w:szCs w:val="24"/>
        </w:rPr>
        <w:t xml:space="preserve"> </w:t>
      </w:r>
      <w:r w:rsidRPr="006B731C">
        <w:rPr>
          <w:rFonts w:ascii="Calibri" w:hAnsi="Calibri" w:cs="Calibri"/>
          <w:i/>
          <w:sz w:val="24"/>
          <w:szCs w:val="24"/>
        </w:rPr>
        <w:t>g</w:t>
      </w:r>
      <w:r w:rsidRPr="006B731C">
        <w:rPr>
          <w:rFonts w:ascii="Calibri" w:hAnsi="Calibri" w:cs="Calibri"/>
          <w:sz w:val="24"/>
          <w:szCs w:val="24"/>
        </w:rPr>
        <w:t xml:space="preserve"> for 1 h 30 min at 4 °C, using, for example, a </w:t>
      </w:r>
      <w:r w:rsidR="008E5F34" w:rsidRPr="006B731C">
        <w:rPr>
          <w:rFonts w:ascii="Calibri" w:hAnsi="Calibri" w:cs="Calibri"/>
          <w:sz w:val="24"/>
          <w:szCs w:val="24"/>
        </w:rPr>
        <w:t>s</w:t>
      </w:r>
      <w:r w:rsidRPr="006B731C">
        <w:rPr>
          <w:rFonts w:ascii="Calibri" w:hAnsi="Calibri" w:cs="Calibri"/>
          <w:sz w:val="24"/>
          <w:szCs w:val="24"/>
        </w:rPr>
        <w:t>winging-</w:t>
      </w:r>
      <w:r w:rsidR="008E5F34" w:rsidRPr="006B731C">
        <w:rPr>
          <w:rFonts w:ascii="Calibri" w:hAnsi="Calibri" w:cs="Calibri"/>
          <w:sz w:val="24"/>
          <w:szCs w:val="24"/>
        </w:rPr>
        <w:t>b</w:t>
      </w:r>
      <w:r w:rsidRPr="006B731C">
        <w:rPr>
          <w:rFonts w:ascii="Calibri" w:hAnsi="Calibri" w:cs="Calibri"/>
          <w:sz w:val="24"/>
          <w:szCs w:val="24"/>
        </w:rPr>
        <w:t>ucket rotor.</w:t>
      </w:r>
    </w:p>
    <w:p w14:paraId="3278081A" w14:textId="77777777" w:rsidR="008E5F34" w:rsidRPr="006B731C" w:rsidRDefault="008E5F34" w:rsidP="006B731C">
      <w:pPr>
        <w:pStyle w:val="PargrafodaLista"/>
        <w:spacing w:after="0" w:line="240" w:lineRule="auto"/>
        <w:ind w:left="0"/>
        <w:contextualSpacing w:val="0"/>
        <w:jc w:val="both"/>
        <w:rPr>
          <w:rFonts w:ascii="Calibri" w:hAnsi="Calibri" w:cs="Calibri"/>
          <w:sz w:val="24"/>
          <w:szCs w:val="24"/>
        </w:rPr>
      </w:pPr>
    </w:p>
    <w:p w14:paraId="2F6EA2F9" w14:textId="16BC2048" w:rsidR="00600B5E" w:rsidRPr="006B731C" w:rsidRDefault="009A7CD2" w:rsidP="006B731C">
      <w:pPr>
        <w:pStyle w:val="PargrafodaLista"/>
        <w:numPr>
          <w:ilvl w:val="1"/>
          <w:numId w:val="11"/>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Carefully discard the supernatant and resuspend each pellet in 400 µL of 1% BSA diluted in 1</w:t>
      </w:r>
      <w:r w:rsidR="008E5F34" w:rsidRPr="006B731C">
        <w:rPr>
          <w:rFonts w:ascii="Calibri" w:hAnsi="Calibri" w:cs="Calibri"/>
          <w:sz w:val="24"/>
          <w:szCs w:val="24"/>
        </w:rPr>
        <w:t>x</w:t>
      </w:r>
      <w:r w:rsidRPr="006B731C">
        <w:rPr>
          <w:rFonts w:ascii="Calibri" w:hAnsi="Calibri" w:cs="Calibri"/>
          <w:sz w:val="24"/>
          <w:szCs w:val="24"/>
        </w:rPr>
        <w:t xml:space="preserve"> PBS, avoiding bubble formation. Incubate on ice for at least 1 h.</w:t>
      </w:r>
    </w:p>
    <w:p w14:paraId="3251F927" w14:textId="77777777" w:rsidR="008E5F34" w:rsidRPr="006B731C" w:rsidRDefault="008E5F34" w:rsidP="006B731C">
      <w:pPr>
        <w:spacing w:after="0" w:line="240" w:lineRule="auto"/>
        <w:jc w:val="both"/>
        <w:rPr>
          <w:rFonts w:ascii="Calibri" w:hAnsi="Calibri" w:cs="Calibri"/>
          <w:sz w:val="24"/>
          <w:szCs w:val="24"/>
        </w:rPr>
      </w:pPr>
    </w:p>
    <w:p w14:paraId="51CF0560" w14:textId="51FC5CE9" w:rsidR="00300817" w:rsidRPr="006B731C" w:rsidRDefault="00300817" w:rsidP="006B731C">
      <w:pPr>
        <w:pStyle w:val="PargrafodaLista"/>
        <w:numPr>
          <w:ilvl w:val="1"/>
          <w:numId w:val="11"/>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After 1</w:t>
      </w:r>
      <w:r w:rsidR="008E5F34" w:rsidRPr="006B731C">
        <w:rPr>
          <w:rFonts w:ascii="Calibri" w:hAnsi="Calibri" w:cs="Calibri"/>
          <w:sz w:val="24"/>
          <w:szCs w:val="24"/>
        </w:rPr>
        <w:t xml:space="preserve"> </w:t>
      </w:r>
      <w:r w:rsidRPr="006B731C">
        <w:rPr>
          <w:rFonts w:ascii="Calibri" w:hAnsi="Calibri" w:cs="Calibri"/>
          <w:sz w:val="24"/>
          <w:szCs w:val="24"/>
        </w:rPr>
        <w:t>h</w:t>
      </w:r>
      <w:r w:rsidR="008E5F34" w:rsidRPr="006B731C">
        <w:rPr>
          <w:rFonts w:ascii="Calibri" w:hAnsi="Calibri" w:cs="Calibri"/>
          <w:sz w:val="24"/>
          <w:szCs w:val="24"/>
        </w:rPr>
        <w:t xml:space="preserve"> of</w:t>
      </w:r>
      <w:r w:rsidRPr="006B731C">
        <w:rPr>
          <w:rFonts w:ascii="Calibri" w:hAnsi="Calibri" w:cs="Calibri"/>
          <w:sz w:val="24"/>
          <w:szCs w:val="24"/>
        </w:rPr>
        <w:t xml:space="preserve"> incubation, gently mix each tube to ensure the pellets are fully resuspended and homogeneous, then pool all resuspended pellets into a single tube.</w:t>
      </w:r>
    </w:p>
    <w:p w14:paraId="6903A40F" w14:textId="77777777" w:rsidR="008E5F34" w:rsidRPr="006B731C" w:rsidRDefault="008E5F34" w:rsidP="006B731C">
      <w:pPr>
        <w:spacing w:after="0" w:line="240" w:lineRule="auto"/>
        <w:jc w:val="both"/>
        <w:rPr>
          <w:rFonts w:ascii="Calibri" w:hAnsi="Calibri" w:cs="Calibri"/>
          <w:sz w:val="24"/>
          <w:szCs w:val="24"/>
        </w:rPr>
      </w:pPr>
    </w:p>
    <w:p w14:paraId="38A2C22B" w14:textId="2A9B6E7E" w:rsidR="00600B5E" w:rsidRPr="006B731C" w:rsidRDefault="009A7CD2" w:rsidP="006B731C">
      <w:pPr>
        <w:pStyle w:val="PargrafodaLista"/>
        <w:numPr>
          <w:ilvl w:val="1"/>
          <w:numId w:val="11"/>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 xml:space="preserve">Fill the tube with 1% BSA/PBS until at least </w:t>
      </w:r>
      <w:r w:rsidR="00D46D4D" w:rsidRPr="006B731C">
        <w:rPr>
          <w:rFonts w:ascii="Calibri" w:hAnsi="Calibri" w:cs="Calibri"/>
          <w:sz w:val="24"/>
          <w:szCs w:val="24"/>
        </w:rPr>
        <w:t>two-thirds</w:t>
      </w:r>
      <w:r w:rsidRPr="006B731C">
        <w:rPr>
          <w:rFonts w:ascii="Calibri" w:hAnsi="Calibri" w:cs="Calibri"/>
          <w:sz w:val="24"/>
          <w:szCs w:val="24"/>
        </w:rPr>
        <w:t xml:space="preserve"> full to prevent collapse during centrifugation.</w:t>
      </w:r>
    </w:p>
    <w:p w14:paraId="3B829FDB" w14:textId="77777777" w:rsidR="008958E4" w:rsidRPr="006B731C" w:rsidRDefault="008958E4" w:rsidP="006B731C">
      <w:pPr>
        <w:spacing w:after="0" w:line="240" w:lineRule="auto"/>
        <w:jc w:val="both"/>
        <w:rPr>
          <w:rFonts w:ascii="Calibri" w:hAnsi="Calibri" w:cs="Calibri"/>
          <w:sz w:val="24"/>
          <w:szCs w:val="24"/>
        </w:rPr>
      </w:pPr>
    </w:p>
    <w:p w14:paraId="2DBCEC3D" w14:textId="33ED3F9E" w:rsidR="00600B5E" w:rsidRPr="006B731C" w:rsidRDefault="009A7CD2" w:rsidP="006B731C">
      <w:pPr>
        <w:pStyle w:val="PargrafodaLista"/>
        <w:numPr>
          <w:ilvl w:val="1"/>
          <w:numId w:val="11"/>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 xml:space="preserve">Centrifuge again at 65,000 </w:t>
      </w:r>
      <w:r w:rsidR="008958E4" w:rsidRPr="006B731C">
        <w:rPr>
          <w:rFonts w:ascii="Calibri" w:hAnsi="Calibri" w:cs="Calibri"/>
          <w:sz w:val="24"/>
          <w:szCs w:val="24"/>
        </w:rPr>
        <w:t>x</w:t>
      </w:r>
      <w:r w:rsidRPr="006B731C">
        <w:rPr>
          <w:rFonts w:ascii="Calibri" w:hAnsi="Calibri" w:cs="Calibri"/>
          <w:sz w:val="24"/>
          <w:szCs w:val="24"/>
        </w:rPr>
        <w:t xml:space="preserve"> </w:t>
      </w:r>
      <w:r w:rsidRPr="006B731C">
        <w:rPr>
          <w:rFonts w:ascii="Calibri" w:hAnsi="Calibri" w:cs="Calibri"/>
          <w:i/>
          <w:sz w:val="24"/>
          <w:szCs w:val="24"/>
        </w:rPr>
        <w:t>g</w:t>
      </w:r>
      <w:r w:rsidRPr="006B731C">
        <w:rPr>
          <w:rFonts w:ascii="Calibri" w:hAnsi="Calibri" w:cs="Calibri"/>
          <w:sz w:val="24"/>
          <w:szCs w:val="24"/>
        </w:rPr>
        <w:t xml:space="preserve"> for 1 h 30 min at 4 °C to pellet the lentiviral vectors.</w:t>
      </w:r>
      <w:r w:rsidR="008958E4" w:rsidRPr="006B731C">
        <w:rPr>
          <w:rFonts w:ascii="Calibri" w:hAnsi="Calibri" w:cs="Calibri"/>
          <w:sz w:val="24"/>
          <w:szCs w:val="24"/>
        </w:rPr>
        <w:t xml:space="preserve"> </w:t>
      </w:r>
      <w:r w:rsidRPr="006B731C">
        <w:rPr>
          <w:rFonts w:ascii="Calibri" w:hAnsi="Calibri" w:cs="Calibri"/>
          <w:sz w:val="24"/>
          <w:szCs w:val="24"/>
        </w:rPr>
        <w:t>Carefully discard the supernatant and dry the rim of the tube with sterile paper.</w:t>
      </w:r>
    </w:p>
    <w:p w14:paraId="6A17E480" w14:textId="77777777" w:rsidR="008958E4" w:rsidRPr="006B731C" w:rsidRDefault="008958E4" w:rsidP="006B731C">
      <w:pPr>
        <w:spacing w:after="0" w:line="240" w:lineRule="auto"/>
        <w:jc w:val="both"/>
        <w:rPr>
          <w:rFonts w:ascii="Calibri" w:hAnsi="Calibri" w:cs="Calibri"/>
          <w:sz w:val="24"/>
          <w:szCs w:val="24"/>
        </w:rPr>
      </w:pPr>
    </w:p>
    <w:p w14:paraId="2AEB1F38" w14:textId="73D77D58" w:rsidR="00600B5E" w:rsidRPr="006B731C" w:rsidRDefault="009A7CD2" w:rsidP="006B731C">
      <w:pPr>
        <w:pStyle w:val="PargrafodaLista"/>
        <w:numPr>
          <w:ilvl w:val="1"/>
          <w:numId w:val="11"/>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Resuspend the pellet containing the lentiviral vectors in 45 µL of 1% BSA/PBS, avoiding bubbles.</w:t>
      </w:r>
      <w:r w:rsidR="008958E4" w:rsidRPr="006B731C">
        <w:rPr>
          <w:rFonts w:ascii="Calibri" w:hAnsi="Calibri" w:cs="Calibri"/>
          <w:sz w:val="24"/>
          <w:szCs w:val="24"/>
        </w:rPr>
        <w:t xml:space="preserve"> </w:t>
      </w:r>
      <w:r w:rsidRPr="006B731C">
        <w:rPr>
          <w:rFonts w:ascii="Calibri" w:hAnsi="Calibri" w:cs="Calibri"/>
          <w:sz w:val="24"/>
          <w:szCs w:val="24"/>
        </w:rPr>
        <w:t>Seal the tube with</w:t>
      </w:r>
      <w:r w:rsidR="008958E4" w:rsidRPr="006B731C">
        <w:rPr>
          <w:rFonts w:ascii="Calibri" w:hAnsi="Calibri" w:cs="Calibri"/>
          <w:sz w:val="24"/>
          <w:szCs w:val="24"/>
        </w:rPr>
        <w:t xml:space="preserve"> transparent</w:t>
      </w:r>
      <w:r w:rsidRPr="006B731C">
        <w:rPr>
          <w:rFonts w:ascii="Calibri" w:hAnsi="Calibri" w:cs="Calibri"/>
          <w:sz w:val="24"/>
          <w:szCs w:val="24"/>
        </w:rPr>
        <w:t xml:space="preserve"> </w:t>
      </w:r>
      <w:r w:rsidR="008958E4" w:rsidRPr="006B731C">
        <w:rPr>
          <w:rFonts w:ascii="Calibri" w:hAnsi="Calibri" w:cs="Calibri"/>
          <w:sz w:val="24"/>
          <w:szCs w:val="24"/>
        </w:rPr>
        <w:t xml:space="preserve">film </w:t>
      </w:r>
      <w:r w:rsidRPr="006B731C">
        <w:rPr>
          <w:rFonts w:ascii="Calibri" w:hAnsi="Calibri" w:cs="Calibri"/>
          <w:sz w:val="24"/>
          <w:szCs w:val="24"/>
        </w:rPr>
        <w:t>and incubate at 4 °C for 24 h.</w:t>
      </w:r>
    </w:p>
    <w:p w14:paraId="3C8BD1BD" w14:textId="77777777" w:rsidR="008958E4" w:rsidRPr="006B731C" w:rsidRDefault="008958E4" w:rsidP="006B731C">
      <w:pPr>
        <w:spacing w:after="0" w:line="240" w:lineRule="auto"/>
        <w:jc w:val="both"/>
        <w:rPr>
          <w:rFonts w:ascii="Calibri" w:hAnsi="Calibri" w:cs="Calibri"/>
          <w:sz w:val="24"/>
          <w:szCs w:val="24"/>
        </w:rPr>
      </w:pPr>
    </w:p>
    <w:p w14:paraId="4FDDF71A" w14:textId="1935B741" w:rsidR="00600B5E" w:rsidRPr="006B731C" w:rsidRDefault="009A7CD2" w:rsidP="006B731C">
      <w:pPr>
        <w:pStyle w:val="PargrafodaLista"/>
        <w:numPr>
          <w:ilvl w:val="1"/>
          <w:numId w:val="11"/>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On the following day, prepare 10 µL aliquots of the lentiviral vectors.</w:t>
      </w:r>
      <w:r w:rsidRPr="006B731C">
        <w:rPr>
          <w:rFonts w:ascii="Calibri" w:hAnsi="Calibri" w:cs="Calibri"/>
          <w:b/>
          <w:sz w:val="24"/>
          <w:szCs w:val="24"/>
        </w:rPr>
        <w:t xml:space="preserve"> </w:t>
      </w:r>
      <w:r w:rsidRPr="006B731C">
        <w:rPr>
          <w:rFonts w:ascii="Calibri" w:hAnsi="Calibri" w:cs="Calibri"/>
          <w:sz w:val="24"/>
          <w:szCs w:val="24"/>
        </w:rPr>
        <w:t>Keep a 10 µL aliquot for titration: 5 µL for the p24 ELISA kit and 2 µL for the qPCR kit.</w:t>
      </w:r>
      <w:r w:rsidR="008958E4" w:rsidRPr="006B731C">
        <w:rPr>
          <w:rFonts w:ascii="Calibri" w:hAnsi="Calibri" w:cs="Calibri"/>
          <w:sz w:val="24"/>
          <w:szCs w:val="24"/>
        </w:rPr>
        <w:t xml:space="preserve"> </w:t>
      </w:r>
      <w:r w:rsidRPr="006B731C">
        <w:rPr>
          <w:rFonts w:ascii="Calibri" w:hAnsi="Calibri" w:cs="Calibri"/>
          <w:sz w:val="24"/>
          <w:szCs w:val="24"/>
        </w:rPr>
        <w:t>Titrate the lentiviral vectors using ELISA and qPCR according to the manufacturer’s instructions.</w:t>
      </w:r>
    </w:p>
    <w:p w14:paraId="6948B58E" w14:textId="77777777" w:rsidR="008958E4" w:rsidRPr="006B731C" w:rsidRDefault="008958E4" w:rsidP="006B731C">
      <w:pPr>
        <w:spacing w:after="0" w:line="240" w:lineRule="auto"/>
        <w:jc w:val="both"/>
        <w:rPr>
          <w:rFonts w:ascii="Calibri" w:hAnsi="Calibri" w:cs="Calibri"/>
          <w:sz w:val="24"/>
          <w:szCs w:val="24"/>
        </w:rPr>
      </w:pPr>
    </w:p>
    <w:p w14:paraId="680AABE1" w14:textId="7BA147C7" w:rsidR="00D70BE4" w:rsidRPr="006B731C" w:rsidRDefault="00D70BE4" w:rsidP="006B731C">
      <w:pPr>
        <w:spacing w:after="0" w:line="240" w:lineRule="auto"/>
        <w:jc w:val="both"/>
        <w:rPr>
          <w:rFonts w:ascii="Calibri" w:hAnsi="Calibri" w:cs="Calibri"/>
          <w:sz w:val="24"/>
          <w:szCs w:val="24"/>
        </w:rPr>
      </w:pPr>
      <w:r w:rsidRPr="006B731C">
        <w:rPr>
          <w:rFonts w:ascii="Calibri" w:hAnsi="Calibri" w:cs="Calibri"/>
          <w:bCs/>
          <w:sz w:val="24"/>
          <w:szCs w:val="24"/>
        </w:rPr>
        <w:lastRenderedPageBreak/>
        <w:t>NOTE: The</w:t>
      </w:r>
      <w:r w:rsidRPr="006B731C">
        <w:rPr>
          <w:rFonts w:ascii="Calibri" w:hAnsi="Calibri" w:cs="Calibri"/>
          <w:sz w:val="24"/>
          <w:szCs w:val="24"/>
        </w:rPr>
        <w:t xml:space="preserve"> choice of titration method depends on the experimental needs, for example, a rapid assessment or precise quantification of infectious units.</w:t>
      </w:r>
      <w:r w:rsidR="00171F2D" w:rsidRPr="006B731C">
        <w:rPr>
          <w:rFonts w:ascii="Calibri" w:hAnsi="Calibri" w:cs="Calibri"/>
          <w:sz w:val="24"/>
          <w:szCs w:val="24"/>
        </w:rPr>
        <w:t xml:space="preserve"> ELISA based </w:t>
      </w:r>
      <w:r w:rsidR="00C84D81" w:rsidRPr="006B731C">
        <w:rPr>
          <w:rFonts w:ascii="Calibri" w:hAnsi="Calibri" w:cs="Calibri"/>
          <w:sz w:val="24"/>
          <w:szCs w:val="24"/>
        </w:rPr>
        <w:t>o</w:t>
      </w:r>
      <w:r w:rsidR="00171F2D" w:rsidRPr="006B731C">
        <w:rPr>
          <w:rFonts w:ascii="Calibri" w:hAnsi="Calibri" w:cs="Calibri"/>
          <w:sz w:val="24"/>
          <w:szCs w:val="24"/>
        </w:rPr>
        <w:t xml:space="preserve">n p24 quantifies </w:t>
      </w:r>
      <w:r w:rsidR="00C84D81" w:rsidRPr="006B731C">
        <w:rPr>
          <w:rFonts w:ascii="Calibri" w:hAnsi="Calibri" w:cs="Calibri"/>
          <w:sz w:val="24"/>
          <w:szCs w:val="24"/>
        </w:rPr>
        <w:t xml:space="preserve">the </w:t>
      </w:r>
      <w:r w:rsidR="00171F2D" w:rsidRPr="006B731C">
        <w:rPr>
          <w:rFonts w:ascii="Calibri" w:hAnsi="Calibri" w:cs="Calibri"/>
          <w:sz w:val="24"/>
          <w:szCs w:val="24"/>
        </w:rPr>
        <w:t xml:space="preserve">capsid protein and therefore </w:t>
      </w:r>
      <w:r w:rsidR="0007180C" w:rsidRPr="006B731C">
        <w:rPr>
          <w:rFonts w:ascii="Calibri" w:hAnsi="Calibri" w:cs="Calibri"/>
          <w:sz w:val="24"/>
          <w:szCs w:val="24"/>
        </w:rPr>
        <w:t xml:space="preserve">measures </w:t>
      </w:r>
      <w:r w:rsidR="00171F2D" w:rsidRPr="006B731C">
        <w:rPr>
          <w:rFonts w:ascii="Calibri" w:hAnsi="Calibri" w:cs="Calibri"/>
          <w:sz w:val="24"/>
          <w:szCs w:val="24"/>
        </w:rPr>
        <w:t xml:space="preserve">total physical particles; it is rapid, less expensive than other methods, and highly reproducible. However, it does not distinguish infectious from non-infectious particles, which can lead to overestimation of functional titer. The titration based </w:t>
      </w:r>
      <w:r w:rsidR="008958E4" w:rsidRPr="006B731C">
        <w:rPr>
          <w:rFonts w:ascii="Calibri" w:hAnsi="Calibri" w:cs="Calibri"/>
          <w:sz w:val="24"/>
          <w:szCs w:val="24"/>
        </w:rPr>
        <w:t>on</w:t>
      </w:r>
      <w:r w:rsidR="00171F2D" w:rsidRPr="006B731C">
        <w:rPr>
          <w:rFonts w:ascii="Calibri" w:hAnsi="Calibri" w:cs="Calibri"/>
          <w:sz w:val="24"/>
          <w:szCs w:val="24"/>
        </w:rPr>
        <w:t xml:space="preserve"> qPCR measures the number of viral genomes (vg) packaged into particles, providing a more accurate estimate of genome-containing virions and allowing direct comparison between vector preparations. However, it still cannot assess </w:t>
      </w:r>
      <w:r w:rsidR="008958E4" w:rsidRPr="006B731C">
        <w:rPr>
          <w:rFonts w:ascii="Calibri" w:hAnsi="Calibri" w:cs="Calibri"/>
          <w:sz w:val="24"/>
          <w:szCs w:val="24"/>
        </w:rPr>
        <w:t xml:space="preserve">the </w:t>
      </w:r>
      <w:r w:rsidR="00171F2D" w:rsidRPr="006B731C">
        <w:rPr>
          <w:rFonts w:ascii="Calibri" w:hAnsi="Calibri" w:cs="Calibri"/>
          <w:sz w:val="24"/>
          <w:szCs w:val="24"/>
        </w:rPr>
        <w:t xml:space="preserve">effective infectivity of the viral particles. Finally, infectivity-based assays, such as flow cytometry for fluorescent vectors or antibiotic-resistance colony formation, directly measure functional transducing units (TU/ml) and are the most biologically relevant, though they are more labor-intensive, cell-type dependent, </w:t>
      </w:r>
      <w:r w:rsidR="0007180C" w:rsidRPr="006B731C">
        <w:rPr>
          <w:rFonts w:ascii="Calibri" w:hAnsi="Calibri" w:cs="Calibri"/>
          <w:sz w:val="24"/>
          <w:szCs w:val="24"/>
        </w:rPr>
        <w:t>time-consuming</w:t>
      </w:r>
      <w:r w:rsidR="008958E4" w:rsidRPr="006B731C">
        <w:rPr>
          <w:rFonts w:ascii="Calibri" w:hAnsi="Calibri" w:cs="Calibri"/>
          <w:sz w:val="24"/>
          <w:szCs w:val="24"/>
        </w:rPr>
        <w:t>,</w:t>
      </w:r>
      <w:r w:rsidR="00171F2D" w:rsidRPr="006B731C">
        <w:rPr>
          <w:rFonts w:ascii="Calibri" w:hAnsi="Calibri" w:cs="Calibri"/>
          <w:sz w:val="24"/>
          <w:szCs w:val="24"/>
        </w:rPr>
        <w:t xml:space="preserve"> and more expensive</w:t>
      </w:r>
      <w:r w:rsidR="00D33EF9" w:rsidRPr="006B731C">
        <w:rPr>
          <w:rFonts w:ascii="Calibri" w:hAnsi="Calibri" w:cs="Calibri"/>
          <w:sz w:val="24"/>
          <w:szCs w:val="24"/>
        </w:rPr>
        <w:fldChar w:fldCharType="begin"/>
      </w:r>
      <w:r w:rsidR="00675E68" w:rsidRPr="006B731C">
        <w:rPr>
          <w:rFonts w:ascii="Calibri" w:hAnsi="Calibri" w:cs="Calibri"/>
          <w:sz w:val="24"/>
          <w:szCs w:val="24"/>
        </w:rPr>
        <w:instrText xml:space="preserve"> ADDIN ZOTERO_ITEM CSL_CITATION {"citationID":"aVFRooFR","properties":{"formattedCitation":"\\super 16, 17\\nosupersub{}","plainCitation":"16, 17","noteIndex":0},"citationItems":[{"id":722,"uris":["http://zotero.org/users/5701247/items/7MM7QX8J","http://zotero.org/users/5701247/items/26IQRA5F"],"itemData":{"id":722,"type":"article-journal","abstract":"Lentiviral vectors are efficient vehicles for stable gene transfer in dividing and non-dividing cells. Several improvements in vector design to increase biosafety and transgene expression, have led to the approval of these vectors for use in clinical studies. Methods are required to analyze the quality of lentiviral vector production, the efficiency of gene transfer and the extent of therapeutic gene expression.","container-title":"BMC Biotechnology","DOI":"10.1186/1472-6750-6-34","ISSN":"1472-6750","issue":"1","journalAbbreviation":"BMC Biotechnology","page":"34","source":"BioMed Central","title":"Comparison of lentiviral vector titration methods","volume":"6","author":[{"family":"Geraerts","given":"Martine"},{"family":"Willems","given":"Sofie"},{"family":"Baekelandt","given":"Veerle"},{"family":"Debyser","given":"Zeger"},{"family":"Gijsbers","given":"Rik"}],"issued":{"date-parts":[["2006",7,12]]}}},{"id":1930,"uris":["http://zotero.org/users/5701247/items/6P9GL9BW"],"itemData":{"id":1930,"type":"article-journal","abstract":"Background/Objectives: To date, nearly 300 lentiviral-based gene therapy clinical trials have been conducted, with eight therapies receiving regulatory approval for commercialization. These advances, along with the increased number of advanced-phase clinical trials, have prompted contract development and manufacturing organizations (CDMOs) to develop innovative strategies to address the growing demand for large-scale batches of lentiviral vectors (LVVs). Consequently, manufacturers have focused on optimizing processes under good manufacturing practices (GMPs) to improve cost-efficiency, increase process robustness, and ensure regulatory compliance. Nowadays, the LVV production process mainly relies on the transient transfection of four plasmids encoding for the lentiviral helper genes and the transgene. While this method is efficient at small scales and has also proven to be scalable, the industry is exploring alternative processes due to the high cost of GMP reagents, and the batch-to-batch variability predominantly attributed to the transfection step. Methods: Here, we report the development and implementation of a reliable and clinical-grade envisioned platform based on the generation of stable producer cell lines (SCLs) from an initial well-characterized lentiviral packaging cell line (PCL). Results: This platform enables the production of VSV-G-pseudotyped LVVs through a fully transfection-free manufacturing process. Our data demonstrate that the developed platform will facilitate successful technological transfer to large-scale LVV production for clinical application. Conclusions: With this simple and robust stable cell line generation strategy, we address key concerns associated with the costs and reproducibility of current manufacturing processes.","container-title":"Biomedicines","DOI":"10.3390/biomedicines12102265","ISSN":"2227-9059","issue":"10","language":"en","license":"http://creativecommons.org/licenses/by/3.0/","page":"2265","publisher":"Multidisciplinary Digital Publishing Institute","source":"www.mdpi.com","title":"Establishment and Characterization of a Stable Producer Cell Line Generation Platform for the Manufacturing of Clinical-Grade Lentiviral Vectors","volume":"12","author":[{"family":"Arrasate","given":"Ane"},{"family":"Bravo","given":"Igone"},{"family":"Lopez-Robles","given":"Carlos"},{"family":"Arbelaiz-Sarasola","given":"Ane"},{"family":"Ugalde","given":"Maddi"},{"family":"Meijueiro","given":"Martha Lucia"},{"family":"Zuazo","given":"Miren"},{"family":"Valero","given":"Ana"},{"family":"Banos-Mateos","given":"Soledad"},{"family":"Ramirez","given":"Juan Carlos"},{"family":"Albo","given":"Carmen"},{"family":"Lamsfus-Calle","given":"Andrés"},{"family":"Fertin","given":"Marie J."}],"issued":{"date-parts":[["2024",10]]}}}],"schema":"https://github.com/citation-style-language/schema/raw/master/csl-citation.json"} </w:instrText>
      </w:r>
      <w:r w:rsidR="00D33EF9" w:rsidRPr="006B731C">
        <w:rPr>
          <w:rFonts w:ascii="Calibri" w:hAnsi="Calibri" w:cs="Calibri"/>
          <w:sz w:val="24"/>
          <w:szCs w:val="24"/>
        </w:rPr>
        <w:fldChar w:fldCharType="separate"/>
      </w:r>
      <w:r w:rsidR="00D33EF9" w:rsidRPr="006B731C">
        <w:rPr>
          <w:rFonts w:ascii="Calibri" w:hAnsi="Calibri" w:cs="Calibri"/>
          <w:sz w:val="24"/>
          <w:szCs w:val="24"/>
          <w:vertAlign w:val="superscript"/>
        </w:rPr>
        <w:t>1</w:t>
      </w:r>
      <w:r w:rsidR="0037144E">
        <w:rPr>
          <w:rFonts w:ascii="Calibri" w:hAnsi="Calibri" w:cs="Calibri"/>
          <w:sz w:val="24"/>
          <w:szCs w:val="24"/>
          <w:vertAlign w:val="superscript"/>
        </w:rPr>
        <w:t>5</w:t>
      </w:r>
      <w:r w:rsidR="00D33EF9" w:rsidRPr="006B731C">
        <w:rPr>
          <w:rFonts w:ascii="Calibri" w:hAnsi="Calibri" w:cs="Calibri"/>
          <w:sz w:val="24"/>
          <w:szCs w:val="24"/>
          <w:vertAlign w:val="superscript"/>
        </w:rPr>
        <w:t>,1</w:t>
      </w:r>
      <w:r w:rsidR="00D33EF9" w:rsidRPr="006B731C">
        <w:rPr>
          <w:rFonts w:ascii="Calibri" w:hAnsi="Calibri" w:cs="Calibri"/>
          <w:sz w:val="24"/>
          <w:szCs w:val="24"/>
        </w:rPr>
        <w:fldChar w:fldCharType="end"/>
      </w:r>
      <w:r w:rsidR="0037144E" w:rsidRPr="0037144E">
        <w:rPr>
          <w:rFonts w:ascii="Calibri" w:hAnsi="Calibri" w:cs="Calibri"/>
          <w:sz w:val="24"/>
          <w:szCs w:val="24"/>
          <w:vertAlign w:val="superscript"/>
        </w:rPr>
        <w:t>6</w:t>
      </w:r>
      <w:r w:rsidR="00171F2D" w:rsidRPr="006B731C">
        <w:rPr>
          <w:rFonts w:ascii="Calibri" w:hAnsi="Calibri" w:cs="Calibri"/>
          <w:sz w:val="24"/>
          <w:szCs w:val="24"/>
        </w:rPr>
        <w:t>.</w:t>
      </w:r>
    </w:p>
    <w:p w14:paraId="115D7BF0" w14:textId="77777777" w:rsidR="00600B5E" w:rsidRPr="006B731C" w:rsidRDefault="00600B5E" w:rsidP="006B731C">
      <w:pPr>
        <w:spacing w:after="0" w:line="240" w:lineRule="auto"/>
        <w:jc w:val="both"/>
        <w:rPr>
          <w:rFonts w:ascii="Calibri" w:hAnsi="Calibri" w:cs="Calibri"/>
          <w:sz w:val="24"/>
          <w:szCs w:val="24"/>
        </w:rPr>
      </w:pPr>
    </w:p>
    <w:p w14:paraId="4A686859" w14:textId="0862974E" w:rsidR="00600B5E" w:rsidRPr="00BA50D5" w:rsidRDefault="009A7CD2" w:rsidP="006B731C">
      <w:pPr>
        <w:pStyle w:val="PargrafodaLista"/>
        <w:numPr>
          <w:ilvl w:val="0"/>
          <w:numId w:val="11"/>
        </w:numPr>
        <w:spacing w:after="0" w:line="240" w:lineRule="auto"/>
        <w:ind w:left="0" w:firstLine="0"/>
        <w:contextualSpacing w:val="0"/>
        <w:jc w:val="both"/>
        <w:rPr>
          <w:rFonts w:ascii="Calibri" w:hAnsi="Calibri" w:cs="Calibri"/>
          <w:b/>
          <w:sz w:val="24"/>
          <w:szCs w:val="24"/>
          <w:highlight w:val="yellow"/>
        </w:rPr>
      </w:pPr>
      <w:r w:rsidRPr="00BA50D5">
        <w:rPr>
          <w:rFonts w:ascii="Calibri" w:hAnsi="Calibri" w:cs="Calibri"/>
          <w:b/>
          <w:sz w:val="24"/>
          <w:szCs w:val="24"/>
          <w:highlight w:val="yellow"/>
        </w:rPr>
        <w:t xml:space="preserve">Stereotaxic </w:t>
      </w:r>
      <w:r w:rsidR="008958E4" w:rsidRPr="00BA50D5">
        <w:rPr>
          <w:rFonts w:ascii="Calibri" w:hAnsi="Calibri" w:cs="Calibri"/>
          <w:b/>
          <w:sz w:val="24"/>
          <w:szCs w:val="24"/>
          <w:highlight w:val="yellow"/>
        </w:rPr>
        <w:t>s</w:t>
      </w:r>
      <w:r w:rsidRPr="00BA50D5">
        <w:rPr>
          <w:rFonts w:ascii="Calibri" w:hAnsi="Calibri" w:cs="Calibri"/>
          <w:b/>
          <w:sz w:val="24"/>
          <w:szCs w:val="24"/>
          <w:highlight w:val="yellow"/>
        </w:rPr>
        <w:t xml:space="preserve">urgery for </w:t>
      </w:r>
      <w:r w:rsidR="008958E4" w:rsidRPr="00BA50D5">
        <w:rPr>
          <w:rFonts w:ascii="Calibri" w:hAnsi="Calibri" w:cs="Calibri"/>
          <w:b/>
          <w:sz w:val="24"/>
          <w:szCs w:val="24"/>
          <w:highlight w:val="yellow"/>
        </w:rPr>
        <w:t>b</w:t>
      </w:r>
      <w:r w:rsidRPr="00BA50D5">
        <w:rPr>
          <w:rFonts w:ascii="Calibri" w:hAnsi="Calibri" w:cs="Calibri"/>
          <w:b/>
          <w:sz w:val="24"/>
          <w:szCs w:val="24"/>
          <w:highlight w:val="yellow"/>
        </w:rPr>
        <w:t xml:space="preserve">ilateral </w:t>
      </w:r>
      <w:r w:rsidR="008958E4" w:rsidRPr="00BA50D5">
        <w:rPr>
          <w:rFonts w:ascii="Calibri" w:hAnsi="Calibri" w:cs="Calibri"/>
          <w:b/>
          <w:sz w:val="24"/>
          <w:szCs w:val="24"/>
          <w:highlight w:val="yellow"/>
        </w:rPr>
        <w:t>l</w:t>
      </w:r>
      <w:r w:rsidRPr="00BA50D5">
        <w:rPr>
          <w:rFonts w:ascii="Calibri" w:hAnsi="Calibri" w:cs="Calibri"/>
          <w:b/>
          <w:sz w:val="24"/>
          <w:szCs w:val="24"/>
          <w:highlight w:val="yellow"/>
        </w:rPr>
        <w:t xml:space="preserve">entiviral </w:t>
      </w:r>
      <w:r w:rsidR="008958E4" w:rsidRPr="00BA50D5">
        <w:rPr>
          <w:rFonts w:ascii="Calibri" w:hAnsi="Calibri" w:cs="Calibri"/>
          <w:b/>
          <w:sz w:val="24"/>
          <w:szCs w:val="24"/>
          <w:highlight w:val="yellow"/>
        </w:rPr>
        <w:t>d</w:t>
      </w:r>
      <w:r w:rsidRPr="00BA50D5">
        <w:rPr>
          <w:rFonts w:ascii="Calibri" w:hAnsi="Calibri" w:cs="Calibri"/>
          <w:b/>
          <w:sz w:val="24"/>
          <w:szCs w:val="24"/>
          <w:highlight w:val="yellow"/>
        </w:rPr>
        <w:t xml:space="preserve">elivery in the </w:t>
      </w:r>
      <w:r w:rsidR="008958E4" w:rsidRPr="00BA50D5">
        <w:rPr>
          <w:rFonts w:ascii="Calibri" w:hAnsi="Calibri" w:cs="Calibri"/>
          <w:b/>
          <w:sz w:val="24"/>
          <w:szCs w:val="24"/>
          <w:highlight w:val="yellow"/>
        </w:rPr>
        <w:t>m</w:t>
      </w:r>
      <w:r w:rsidRPr="00BA50D5">
        <w:rPr>
          <w:rFonts w:ascii="Calibri" w:hAnsi="Calibri" w:cs="Calibri"/>
          <w:b/>
          <w:sz w:val="24"/>
          <w:szCs w:val="24"/>
          <w:highlight w:val="yellow"/>
        </w:rPr>
        <w:t xml:space="preserve">ouse </w:t>
      </w:r>
      <w:r w:rsidR="008958E4" w:rsidRPr="00BA50D5">
        <w:rPr>
          <w:rFonts w:ascii="Calibri" w:hAnsi="Calibri" w:cs="Calibri"/>
          <w:b/>
          <w:sz w:val="24"/>
          <w:szCs w:val="24"/>
          <w:highlight w:val="yellow"/>
        </w:rPr>
        <w:t>s</w:t>
      </w:r>
      <w:r w:rsidRPr="00BA50D5">
        <w:rPr>
          <w:rFonts w:ascii="Calibri" w:hAnsi="Calibri" w:cs="Calibri"/>
          <w:b/>
          <w:sz w:val="24"/>
          <w:szCs w:val="24"/>
          <w:highlight w:val="yellow"/>
        </w:rPr>
        <w:t>triatum</w:t>
      </w:r>
    </w:p>
    <w:p w14:paraId="71B487EB" w14:textId="77777777" w:rsidR="00600B5E" w:rsidRPr="00BA50D5" w:rsidRDefault="00600B5E" w:rsidP="006B731C">
      <w:pPr>
        <w:spacing w:after="0" w:line="240" w:lineRule="auto"/>
        <w:jc w:val="both"/>
        <w:rPr>
          <w:rFonts w:ascii="Calibri" w:hAnsi="Calibri" w:cs="Calibri"/>
          <w:sz w:val="24"/>
          <w:szCs w:val="24"/>
          <w:highlight w:val="yellow"/>
        </w:rPr>
      </w:pPr>
    </w:p>
    <w:p w14:paraId="35CF33AA" w14:textId="23081E40" w:rsidR="00600B5E" w:rsidRPr="00BA50D5" w:rsidRDefault="008958E4" w:rsidP="006B731C">
      <w:pPr>
        <w:spacing w:after="0" w:line="240" w:lineRule="auto"/>
        <w:jc w:val="both"/>
        <w:rPr>
          <w:rFonts w:ascii="Calibri" w:hAnsi="Calibri" w:cs="Calibri"/>
          <w:bCs/>
          <w:sz w:val="24"/>
          <w:szCs w:val="24"/>
          <w:highlight w:val="yellow"/>
        </w:rPr>
      </w:pPr>
      <w:r w:rsidRPr="00BA50D5">
        <w:rPr>
          <w:rFonts w:ascii="Calibri" w:hAnsi="Calibri" w:cs="Calibri"/>
          <w:bCs/>
          <w:sz w:val="24"/>
          <w:szCs w:val="24"/>
          <w:highlight w:val="yellow"/>
        </w:rPr>
        <w:t>3.1</w:t>
      </w:r>
      <w:r w:rsidRPr="00BA50D5">
        <w:rPr>
          <w:rFonts w:ascii="Calibri" w:hAnsi="Calibri" w:cs="Calibri"/>
          <w:bCs/>
          <w:sz w:val="24"/>
          <w:szCs w:val="24"/>
          <w:highlight w:val="yellow"/>
        </w:rPr>
        <w:tab/>
      </w:r>
      <w:r w:rsidR="009A7CD2" w:rsidRPr="00BA50D5">
        <w:rPr>
          <w:rFonts w:ascii="Calibri" w:hAnsi="Calibri" w:cs="Calibri"/>
          <w:bCs/>
          <w:sz w:val="24"/>
          <w:szCs w:val="24"/>
          <w:highlight w:val="yellow"/>
        </w:rPr>
        <w:t>Animal preparation</w:t>
      </w:r>
    </w:p>
    <w:p w14:paraId="6E3EC866" w14:textId="77777777" w:rsidR="008958E4" w:rsidRPr="00BA50D5" w:rsidRDefault="008958E4" w:rsidP="006B731C">
      <w:pPr>
        <w:spacing w:after="0" w:line="240" w:lineRule="auto"/>
        <w:jc w:val="both"/>
        <w:rPr>
          <w:rFonts w:ascii="Calibri" w:hAnsi="Calibri" w:cs="Calibri"/>
          <w:sz w:val="24"/>
          <w:szCs w:val="24"/>
          <w:highlight w:val="yellow"/>
        </w:rPr>
      </w:pPr>
    </w:p>
    <w:p w14:paraId="6BA7090C" w14:textId="7039D663" w:rsidR="00600B5E" w:rsidRPr="00BA50D5" w:rsidRDefault="00D14FF4" w:rsidP="006B731C">
      <w:pPr>
        <w:pStyle w:val="PargrafodaLista"/>
        <w:numPr>
          <w:ilvl w:val="2"/>
          <w:numId w:val="11"/>
        </w:numPr>
        <w:spacing w:after="0" w:line="240" w:lineRule="auto"/>
        <w:ind w:left="0" w:firstLine="0"/>
        <w:contextualSpacing w:val="0"/>
        <w:jc w:val="both"/>
        <w:rPr>
          <w:rFonts w:ascii="Calibri" w:hAnsi="Calibri" w:cs="Calibri"/>
          <w:sz w:val="24"/>
          <w:szCs w:val="24"/>
        </w:rPr>
      </w:pPr>
      <w:r w:rsidRPr="00BA50D5">
        <w:rPr>
          <w:rFonts w:ascii="Calibri" w:hAnsi="Calibri" w:cs="Calibri"/>
          <w:sz w:val="24"/>
          <w:szCs w:val="24"/>
          <w:highlight w:val="yellow"/>
        </w:rPr>
        <w:t>Weigh the animal and calculate the required anesthesia dose.</w:t>
      </w:r>
      <w:r w:rsidR="008958E4" w:rsidRPr="00BA50D5">
        <w:rPr>
          <w:rFonts w:ascii="Calibri" w:hAnsi="Calibri" w:cs="Calibri"/>
          <w:sz w:val="24"/>
          <w:szCs w:val="24"/>
          <w:highlight w:val="yellow"/>
        </w:rPr>
        <w:t xml:space="preserve"> </w:t>
      </w:r>
      <w:r w:rsidR="009A7CD2" w:rsidRPr="00BA50D5">
        <w:rPr>
          <w:rFonts w:ascii="Calibri" w:hAnsi="Calibri" w:cs="Calibri"/>
          <w:sz w:val="24"/>
          <w:szCs w:val="24"/>
          <w:highlight w:val="yellow"/>
        </w:rPr>
        <w:t xml:space="preserve">Administer anesthesia intraperitoneally at a dose of 10 µL/g body weight using a </w:t>
      </w:r>
      <w:r w:rsidR="00324DCC" w:rsidRPr="00BA50D5">
        <w:rPr>
          <w:rFonts w:ascii="Calibri" w:hAnsi="Calibri" w:cs="Calibri"/>
          <w:sz w:val="24"/>
          <w:szCs w:val="24"/>
          <w:highlight w:val="yellow"/>
        </w:rPr>
        <w:t>ready-mix</w:t>
      </w:r>
      <w:r w:rsidR="009A7CD2" w:rsidRPr="00BA50D5">
        <w:rPr>
          <w:rFonts w:ascii="Calibri" w:hAnsi="Calibri" w:cs="Calibri"/>
          <w:sz w:val="24"/>
          <w:szCs w:val="24"/>
          <w:highlight w:val="yellow"/>
        </w:rPr>
        <w:t xml:space="preserve"> solution. </w:t>
      </w:r>
      <w:r w:rsidR="009A7CD2" w:rsidRPr="00BA50D5">
        <w:rPr>
          <w:rFonts w:ascii="Calibri" w:hAnsi="Calibri" w:cs="Calibri"/>
          <w:sz w:val="24"/>
          <w:szCs w:val="24"/>
        </w:rPr>
        <w:t xml:space="preserve">This solution is prepared by combining 7.5 mL of 0.9% NaCl, 500 µL of medetomidine (1.0 mg/mL), 1.0 mL of midazolam (5.0 mg/mL), and 1.0 mL of fentanyl (0.05 mg/mL), for a final volume of 10 </w:t>
      </w:r>
      <w:proofErr w:type="spellStart"/>
      <w:r w:rsidR="009A7CD2" w:rsidRPr="00BA50D5">
        <w:rPr>
          <w:rFonts w:ascii="Calibri" w:hAnsi="Calibri" w:cs="Calibri"/>
          <w:sz w:val="24"/>
          <w:szCs w:val="24"/>
        </w:rPr>
        <w:t>mL.</w:t>
      </w:r>
      <w:proofErr w:type="spellEnd"/>
      <w:r w:rsidR="009A7CD2" w:rsidRPr="00BA50D5">
        <w:rPr>
          <w:rFonts w:ascii="Calibri" w:hAnsi="Calibri" w:cs="Calibri"/>
          <w:sz w:val="24"/>
          <w:szCs w:val="24"/>
        </w:rPr>
        <w:t xml:space="preserve"> Allow approximately 10 min for full induction of anesthesia.</w:t>
      </w:r>
    </w:p>
    <w:p w14:paraId="6EFB8832" w14:textId="77777777" w:rsidR="008958E4" w:rsidRPr="00BA50D5" w:rsidRDefault="008958E4" w:rsidP="006B731C">
      <w:pPr>
        <w:pStyle w:val="PargrafodaLista"/>
        <w:spacing w:after="0" w:line="240" w:lineRule="auto"/>
        <w:ind w:left="0"/>
        <w:contextualSpacing w:val="0"/>
        <w:jc w:val="both"/>
        <w:rPr>
          <w:rFonts w:ascii="Calibri" w:hAnsi="Calibri" w:cs="Calibri"/>
          <w:sz w:val="24"/>
          <w:szCs w:val="24"/>
          <w:highlight w:val="yellow"/>
        </w:rPr>
      </w:pPr>
    </w:p>
    <w:p w14:paraId="2F2B635B" w14:textId="4D8ECFF2" w:rsidR="00600B5E" w:rsidRPr="00BA50D5" w:rsidRDefault="009A7CD2" w:rsidP="006B731C">
      <w:pPr>
        <w:pStyle w:val="PargrafodaLista"/>
        <w:numPr>
          <w:ilvl w:val="2"/>
          <w:numId w:val="11"/>
        </w:numPr>
        <w:spacing w:after="0" w:line="240" w:lineRule="auto"/>
        <w:ind w:left="0" w:firstLine="0"/>
        <w:contextualSpacing w:val="0"/>
        <w:jc w:val="both"/>
        <w:rPr>
          <w:rFonts w:ascii="Calibri" w:hAnsi="Calibri" w:cs="Calibri"/>
          <w:sz w:val="24"/>
          <w:szCs w:val="24"/>
          <w:highlight w:val="yellow"/>
        </w:rPr>
      </w:pPr>
      <w:r w:rsidRPr="00BA50D5">
        <w:rPr>
          <w:rFonts w:ascii="Calibri" w:hAnsi="Calibri" w:cs="Calibri"/>
          <w:sz w:val="24"/>
          <w:szCs w:val="24"/>
          <w:highlight w:val="yellow"/>
        </w:rPr>
        <w:t>Confirm anesthesia depth (e.g., toe pinch reflex).</w:t>
      </w:r>
      <w:r w:rsidR="008958E4" w:rsidRPr="00BA50D5">
        <w:rPr>
          <w:rFonts w:ascii="Calibri" w:hAnsi="Calibri" w:cs="Calibri"/>
          <w:sz w:val="24"/>
          <w:szCs w:val="24"/>
          <w:highlight w:val="yellow"/>
        </w:rPr>
        <w:t xml:space="preserve"> </w:t>
      </w:r>
      <w:r w:rsidRPr="00BA50D5">
        <w:rPr>
          <w:rFonts w:ascii="Calibri" w:hAnsi="Calibri" w:cs="Calibri"/>
          <w:sz w:val="24"/>
          <w:szCs w:val="24"/>
          <w:highlight w:val="yellow"/>
        </w:rPr>
        <w:t>Apply ophthalmic ointment to both eyes and shave the scalp</w:t>
      </w:r>
      <w:r w:rsidR="008958E4" w:rsidRPr="00BA50D5">
        <w:rPr>
          <w:rFonts w:ascii="Calibri" w:hAnsi="Calibri" w:cs="Calibri"/>
          <w:sz w:val="24"/>
          <w:szCs w:val="24"/>
          <w:highlight w:val="yellow"/>
        </w:rPr>
        <w:t>.</w:t>
      </w:r>
    </w:p>
    <w:p w14:paraId="7D929557" w14:textId="77777777" w:rsidR="008958E4" w:rsidRPr="00BA50D5" w:rsidRDefault="008958E4" w:rsidP="006B731C">
      <w:pPr>
        <w:spacing w:after="0" w:line="240" w:lineRule="auto"/>
        <w:jc w:val="both"/>
        <w:rPr>
          <w:rFonts w:ascii="Calibri" w:hAnsi="Calibri" w:cs="Calibri"/>
          <w:sz w:val="24"/>
          <w:szCs w:val="24"/>
          <w:highlight w:val="yellow"/>
        </w:rPr>
      </w:pPr>
    </w:p>
    <w:p w14:paraId="018667B2" w14:textId="75E28E3F" w:rsidR="00C5486D" w:rsidRPr="00BA50D5" w:rsidRDefault="009A7CD2" w:rsidP="006B731C">
      <w:pPr>
        <w:pStyle w:val="PargrafodaLista"/>
        <w:numPr>
          <w:ilvl w:val="2"/>
          <w:numId w:val="11"/>
        </w:numPr>
        <w:spacing w:after="0" w:line="240" w:lineRule="auto"/>
        <w:ind w:left="0" w:firstLine="0"/>
        <w:contextualSpacing w:val="0"/>
        <w:jc w:val="both"/>
        <w:rPr>
          <w:rFonts w:ascii="Calibri" w:hAnsi="Calibri" w:cs="Calibri"/>
          <w:sz w:val="24"/>
          <w:szCs w:val="24"/>
          <w:highlight w:val="yellow"/>
        </w:rPr>
      </w:pPr>
      <w:r w:rsidRPr="00BA50D5">
        <w:rPr>
          <w:rFonts w:ascii="Calibri" w:hAnsi="Calibri" w:cs="Calibri"/>
          <w:sz w:val="24"/>
          <w:szCs w:val="24"/>
          <w:highlight w:val="yellow"/>
        </w:rPr>
        <w:t xml:space="preserve">Place the animal </w:t>
      </w:r>
      <w:r w:rsidR="00D46D4D" w:rsidRPr="00BA50D5">
        <w:rPr>
          <w:rFonts w:ascii="Calibri" w:hAnsi="Calibri" w:cs="Calibri"/>
          <w:sz w:val="24"/>
          <w:szCs w:val="24"/>
          <w:highlight w:val="yellow"/>
        </w:rPr>
        <w:t>in</w:t>
      </w:r>
      <w:r w:rsidRPr="00BA50D5">
        <w:rPr>
          <w:rFonts w:ascii="Calibri" w:hAnsi="Calibri" w:cs="Calibri"/>
          <w:sz w:val="24"/>
          <w:szCs w:val="24"/>
          <w:highlight w:val="yellow"/>
        </w:rPr>
        <w:t xml:space="preserve"> the stereotaxic frame</w:t>
      </w:r>
      <w:r w:rsidR="00D46D4D" w:rsidRPr="00BA50D5">
        <w:rPr>
          <w:rFonts w:ascii="Calibri" w:hAnsi="Calibri" w:cs="Calibri"/>
          <w:sz w:val="24"/>
          <w:szCs w:val="24"/>
          <w:highlight w:val="yellow"/>
        </w:rPr>
        <w:t xml:space="preserve"> on a heating pad</w:t>
      </w:r>
      <w:r w:rsidRPr="00BA50D5">
        <w:rPr>
          <w:rFonts w:ascii="Calibri" w:hAnsi="Calibri" w:cs="Calibri"/>
          <w:sz w:val="24"/>
          <w:szCs w:val="24"/>
          <w:highlight w:val="yellow"/>
        </w:rPr>
        <w:t>.</w:t>
      </w:r>
      <w:r w:rsidR="008958E4" w:rsidRPr="00BA50D5">
        <w:rPr>
          <w:rFonts w:ascii="Calibri" w:hAnsi="Calibri" w:cs="Calibri"/>
          <w:sz w:val="24"/>
          <w:szCs w:val="24"/>
          <w:highlight w:val="yellow"/>
        </w:rPr>
        <w:t xml:space="preserve"> </w:t>
      </w:r>
      <w:r w:rsidRPr="00BA50D5">
        <w:rPr>
          <w:rFonts w:ascii="Calibri" w:hAnsi="Calibri" w:cs="Calibri"/>
          <w:sz w:val="24"/>
          <w:szCs w:val="24"/>
          <w:highlight w:val="yellow"/>
        </w:rPr>
        <w:t>Position the head using the ear bars and bite bar.</w:t>
      </w:r>
    </w:p>
    <w:p w14:paraId="66860CC6" w14:textId="77777777" w:rsidR="008958E4" w:rsidRPr="00BA50D5" w:rsidRDefault="008958E4" w:rsidP="006B731C">
      <w:pPr>
        <w:spacing w:after="0" w:line="240" w:lineRule="auto"/>
        <w:jc w:val="both"/>
        <w:rPr>
          <w:rFonts w:ascii="Calibri" w:hAnsi="Calibri" w:cs="Calibri"/>
          <w:sz w:val="24"/>
          <w:szCs w:val="24"/>
          <w:highlight w:val="yellow"/>
        </w:rPr>
      </w:pPr>
    </w:p>
    <w:p w14:paraId="605B27B6" w14:textId="3E9B0BD8" w:rsidR="00C5486D" w:rsidRPr="00BA50D5" w:rsidRDefault="00C5486D" w:rsidP="006B731C">
      <w:pPr>
        <w:spacing w:after="0" w:line="240" w:lineRule="auto"/>
        <w:jc w:val="both"/>
        <w:rPr>
          <w:rFonts w:ascii="Calibri" w:hAnsi="Calibri" w:cs="Calibri"/>
          <w:b/>
          <w:bCs/>
          <w:sz w:val="24"/>
          <w:szCs w:val="24"/>
        </w:rPr>
      </w:pPr>
      <w:r w:rsidRPr="00BA50D5">
        <w:rPr>
          <w:rFonts w:ascii="Calibri" w:hAnsi="Calibri" w:cs="Calibri"/>
          <w:sz w:val="24"/>
          <w:szCs w:val="24"/>
        </w:rPr>
        <w:t xml:space="preserve">NOTE: </w:t>
      </w:r>
      <w:r w:rsidR="002E4ADF" w:rsidRPr="00BA50D5">
        <w:rPr>
          <w:rFonts w:ascii="Calibri" w:hAnsi="Calibri" w:cs="Calibri"/>
          <w:sz w:val="24"/>
          <w:szCs w:val="24"/>
        </w:rPr>
        <w:t xml:space="preserve">The number of animals to inject and the timeline are experiment-dependent and should be determined by a </w:t>
      </w:r>
      <w:r w:rsidR="002E4ADF" w:rsidRPr="00BA50D5">
        <w:rPr>
          <w:rFonts w:ascii="Calibri" w:hAnsi="Calibri" w:cs="Calibri"/>
          <w:i/>
          <w:iCs/>
          <w:sz w:val="24"/>
          <w:szCs w:val="24"/>
        </w:rPr>
        <w:t>priori</w:t>
      </w:r>
      <w:r w:rsidR="002E4ADF" w:rsidRPr="00BA50D5">
        <w:rPr>
          <w:rFonts w:ascii="Calibri" w:hAnsi="Calibri" w:cs="Calibri"/>
          <w:sz w:val="24"/>
          <w:szCs w:val="24"/>
        </w:rPr>
        <w:t xml:space="preserve"> statistical power analysis based on the specific hypotheses and expected effect sizes. As an example, in our previous study</w:t>
      </w:r>
      <w:r w:rsidR="009E0544" w:rsidRPr="00BA50D5">
        <w:rPr>
          <w:rFonts w:ascii="Calibri" w:hAnsi="Calibri" w:cs="Calibri"/>
          <w:sz w:val="24"/>
          <w:szCs w:val="24"/>
          <w:vertAlign w:val="superscript"/>
        </w:rPr>
        <w:fldChar w:fldCharType="begin"/>
      </w:r>
      <w:r w:rsidR="00D33EF9" w:rsidRPr="00BA50D5">
        <w:rPr>
          <w:rFonts w:ascii="Calibri" w:hAnsi="Calibri" w:cs="Calibri"/>
          <w:sz w:val="24"/>
          <w:szCs w:val="24"/>
          <w:vertAlign w:val="superscript"/>
        </w:rPr>
        <w:instrText xml:space="preserve"> ADDIN ZOTERO_ITEM CSL_CITATION {"citationID":"Dih2nCrz","properties":{"formattedCitation":"\\super 12\\nosupersub{}","plainCitation":"12","noteIndex":0},"citationItems":[{"id":730,"uris":["http://zotero.org/users/5701247/items/H8II9THG"],"itemData":{"id":730,"type":"article-journal","abstract":"Spinocerebellar ataxia type 2 (SCA2) is an incurable and genetic neurodegenerative disorder. The disease is characterized by progressive degeneration of several brain regions, resulting in severe motor and non-motor clinical manifestations. The mutation causing SCA2 disease is an abnormal expansion of CAG trinucleotide repeats in the ATXN2 gene, leading to a toxic expanded polyglutamine segment in the translated ataxin-2 protein. While the genetic cause is well established, the exact mechanisms behind neuronal death induced by mutant ataxin-2 are not yet completely understood. Thus, the goal of this study is to investigate the role of autophagy in SCA2 pathogenesis and investigate its suitability as a target for therapeutic intervention. For that, we developed and characterized a new striatal lentiviral mouse model that resembled several neuropathological hallmarks observed in SCA2 disease, including formation of aggregates, neuronal marker loss, cell death and neuroinflammation. In this new model, we analyzed autophagic markers, which were also analyzed in a SCA2 cellular model and in human post-mortem brain samples. Our results showed altered levels of SQSTM1 and LC3B in cells and tissues expressing mutant ataxin-2. Moreover, an abnormal accumulation of these markers was detected in SCA2 patients’ striatum and cerebellum. Importantly, the molecular activation of autophagy, using the compound cordycepin, mitigated the phenotypic alterations observed in disease models. Overall, our study suggests an important role for autophagy in the context of SCA2 pathology, proposing that targeting this pathway could be a potential target to treat SCA2 patients.","container-title":"Cell Death &amp; Disease","DOI":"10.1038/s41419-021-04404-1","ISSN":"2041-4889","issue":"12","journalAbbreviation":"Cell Death Dis","page":"1117","PMID":"34845184","PMCID":"PMC8630050","source":"PubMed Central","title":"Autophagy in Spinocerebellar ataxia type 2, a dysregulated pathway, and a target for therapy","volume":"12","author":[{"family":"Marcelo","given":"Adriana"},{"family":"Afonso","given":"Inês T."},{"family":"Afonso-Reis","given":"Ricardo"},{"family":"Brito","given":"David V. C."},{"family":"Costa","given":"Rafael G."},{"family":"Rosa","given":"Ana"},{"family":"Alves-Cruzeiro","given":"João"},{"family":"Ferreira","given":"Benedita"},{"family":"Henriques","given":"Carina"},{"family":"Nobre","given":"Rui J."},{"family":"Matos","given":"Carlos A."},{"family":"Almeida","given":"Luís Pereira","non-dropping-particle":"de"},{"family":"Nóbrega","given":"Clévio"}],"issued":{"date-parts":[["2021",11,29]]}}}],"schema":"https://github.com/citation-style-language/schema/raw/master/csl-citation.json"} </w:instrText>
      </w:r>
      <w:r w:rsidR="009E0544" w:rsidRPr="00BA50D5">
        <w:rPr>
          <w:rFonts w:ascii="Calibri" w:hAnsi="Calibri" w:cs="Calibri"/>
          <w:sz w:val="24"/>
          <w:szCs w:val="24"/>
          <w:vertAlign w:val="superscript"/>
        </w:rPr>
        <w:fldChar w:fldCharType="separate"/>
      </w:r>
      <w:r w:rsidR="00D33EF9" w:rsidRPr="00BA50D5">
        <w:rPr>
          <w:rFonts w:ascii="Calibri" w:hAnsi="Calibri" w:cs="Calibri"/>
          <w:sz w:val="24"/>
          <w:szCs w:val="24"/>
          <w:vertAlign w:val="superscript"/>
        </w:rPr>
        <w:t>12</w:t>
      </w:r>
      <w:r w:rsidR="009E0544" w:rsidRPr="00BA50D5">
        <w:rPr>
          <w:rFonts w:ascii="Calibri" w:hAnsi="Calibri" w:cs="Calibri"/>
          <w:sz w:val="24"/>
          <w:szCs w:val="24"/>
          <w:vertAlign w:val="superscript"/>
        </w:rPr>
        <w:fldChar w:fldCharType="end"/>
      </w:r>
      <w:r w:rsidR="002E4ADF" w:rsidRPr="00BA50D5">
        <w:rPr>
          <w:rFonts w:ascii="Calibri" w:hAnsi="Calibri" w:cs="Calibri"/>
          <w:sz w:val="24"/>
          <w:szCs w:val="24"/>
        </w:rPr>
        <w:t xml:space="preserve">, the injected brains were </w:t>
      </w:r>
      <w:r w:rsidR="008958E4" w:rsidRPr="00BA50D5">
        <w:rPr>
          <w:rFonts w:ascii="Calibri" w:hAnsi="Calibri" w:cs="Calibri"/>
          <w:sz w:val="24"/>
          <w:szCs w:val="24"/>
        </w:rPr>
        <w:t>analyzed</w:t>
      </w:r>
      <w:r w:rsidR="002E4ADF" w:rsidRPr="00BA50D5">
        <w:rPr>
          <w:rFonts w:ascii="Calibri" w:hAnsi="Calibri" w:cs="Calibri"/>
          <w:sz w:val="24"/>
          <w:szCs w:val="24"/>
        </w:rPr>
        <w:t xml:space="preserve"> at 4, 8, and 12</w:t>
      </w:r>
      <w:r w:rsidR="009E0544" w:rsidRPr="00BA50D5">
        <w:rPr>
          <w:rFonts w:ascii="Calibri" w:hAnsi="Calibri" w:cs="Calibri"/>
          <w:sz w:val="24"/>
          <w:szCs w:val="24"/>
        </w:rPr>
        <w:t xml:space="preserve"> </w:t>
      </w:r>
      <w:r w:rsidR="002E4ADF" w:rsidRPr="00BA50D5">
        <w:rPr>
          <w:rFonts w:ascii="Calibri" w:hAnsi="Calibri" w:cs="Calibri"/>
          <w:sz w:val="24"/>
          <w:szCs w:val="24"/>
        </w:rPr>
        <w:t>weeks post-injection to evaluate the progression of neuropathological changes.</w:t>
      </w:r>
    </w:p>
    <w:p w14:paraId="3B8B5D44" w14:textId="77777777" w:rsidR="00600B5E" w:rsidRPr="00BA50D5" w:rsidRDefault="00600B5E" w:rsidP="006B731C">
      <w:pPr>
        <w:spacing w:after="0" w:line="240" w:lineRule="auto"/>
        <w:jc w:val="both"/>
        <w:rPr>
          <w:rFonts w:ascii="Calibri" w:hAnsi="Calibri" w:cs="Calibri"/>
          <w:sz w:val="24"/>
          <w:szCs w:val="24"/>
          <w:highlight w:val="yellow"/>
        </w:rPr>
      </w:pPr>
    </w:p>
    <w:p w14:paraId="6C85DCE8" w14:textId="5E9502E4" w:rsidR="00600B5E" w:rsidRPr="00BA50D5" w:rsidRDefault="008958E4" w:rsidP="006B731C">
      <w:pPr>
        <w:spacing w:after="0" w:line="240" w:lineRule="auto"/>
        <w:jc w:val="both"/>
        <w:rPr>
          <w:rFonts w:ascii="Calibri" w:hAnsi="Calibri" w:cs="Calibri"/>
          <w:bCs/>
          <w:sz w:val="24"/>
          <w:szCs w:val="24"/>
          <w:highlight w:val="yellow"/>
        </w:rPr>
      </w:pPr>
      <w:r w:rsidRPr="00BA50D5">
        <w:rPr>
          <w:rFonts w:ascii="Calibri" w:hAnsi="Calibri" w:cs="Calibri"/>
          <w:bCs/>
          <w:sz w:val="24"/>
          <w:szCs w:val="24"/>
          <w:highlight w:val="yellow"/>
        </w:rPr>
        <w:t>3.2</w:t>
      </w:r>
      <w:r w:rsidRPr="00BA50D5">
        <w:rPr>
          <w:rFonts w:ascii="Calibri" w:hAnsi="Calibri" w:cs="Calibri"/>
          <w:bCs/>
          <w:sz w:val="24"/>
          <w:szCs w:val="24"/>
          <w:highlight w:val="yellow"/>
        </w:rPr>
        <w:tab/>
      </w:r>
      <w:r w:rsidR="009A7CD2" w:rsidRPr="00BA50D5">
        <w:rPr>
          <w:rFonts w:ascii="Calibri" w:hAnsi="Calibri" w:cs="Calibri"/>
          <w:bCs/>
          <w:sz w:val="24"/>
          <w:szCs w:val="24"/>
          <w:highlight w:val="yellow"/>
        </w:rPr>
        <w:t>Syringe preparation and viral loading</w:t>
      </w:r>
    </w:p>
    <w:p w14:paraId="6C14C636" w14:textId="77777777" w:rsidR="008958E4" w:rsidRPr="00BA50D5" w:rsidRDefault="008958E4" w:rsidP="006B731C">
      <w:pPr>
        <w:spacing w:after="0" w:line="240" w:lineRule="auto"/>
        <w:jc w:val="both"/>
        <w:rPr>
          <w:rFonts w:ascii="Calibri" w:hAnsi="Calibri" w:cs="Calibri"/>
          <w:sz w:val="24"/>
          <w:szCs w:val="24"/>
          <w:highlight w:val="yellow"/>
        </w:rPr>
      </w:pPr>
    </w:p>
    <w:p w14:paraId="3C2BF86B" w14:textId="469A6A7B" w:rsidR="00600B5E" w:rsidRPr="00BA50D5" w:rsidRDefault="008958E4" w:rsidP="006B731C">
      <w:pPr>
        <w:spacing w:after="0" w:line="240" w:lineRule="auto"/>
        <w:jc w:val="both"/>
        <w:rPr>
          <w:rFonts w:ascii="Calibri" w:hAnsi="Calibri" w:cs="Calibri"/>
          <w:sz w:val="24"/>
          <w:szCs w:val="24"/>
        </w:rPr>
      </w:pPr>
      <w:r w:rsidRPr="00BA50D5">
        <w:rPr>
          <w:rFonts w:ascii="Calibri" w:hAnsi="Calibri" w:cs="Calibri"/>
          <w:sz w:val="24"/>
          <w:szCs w:val="24"/>
        </w:rPr>
        <w:t>3.2.1</w:t>
      </w:r>
      <w:r w:rsidRPr="00BA50D5">
        <w:rPr>
          <w:rFonts w:ascii="Calibri" w:hAnsi="Calibri" w:cs="Calibri"/>
          <w:sz w:val="24"/>
          <w:szCs w:val="24"/>
        </w:rPr>
        <w:tab/>
      </w:r>
      <w:r w:rsidR="009A7CD2" w:rsidRPr="00BA50D5">
        <w:rPr>
          <w:rFonts w:ascii="Calibri" w:hAnsi="Calibri" w:cs="Calibri"/>
          <w:sz w:val="24"/>
          <w:szCs w:val="24"/>
        </w:rPr>
        <w:t>Use the standard Hamilton needle for loading and a 26G blunt-tip needle for injection.</w:t>
      </w:r>
      <w:r w:rsidR="00A83EE5" w:rsidRPr="00BA50D5">
        <w:rPr>
          <w:rFonts w:ascii="Calibri" w:hAnsi="Calibri" w:cs="Calibri"/>
          <w:sz w:val="24"/>
          <w:szCs w:val="24"/>
        </w:rPr>
        <w:t xml:space="preserve"> </w:t>
      </w:r>
      <w:r w:rsidR="009A7CD2" w:rsidRPr="00BA50D5">
        <w:rPr>
          <w:rFonts w:ascii="Calibri" w:hAnsi="Calibri" w:cs="Calibri"/>
          <w:sz w:val="24"/>
          <w:szCs w:val="24"/>
        </w:rPr>
        <w:t>Load 2 µL of lentiviral vector solution into the syringe. Ensure the viral dose per injection site is 400 ng of p24 antigen/mL, or 5</w:t>
      </w:r>
      <w:r w:rsidR="00514268" w:rsidRPr="00BA50D5">
        <w:rPr>
          <w:rFonts w:ascii="Calibri" w:hAnsi="Calibri" w:cs="Calibri"/>
          <w:sz w:val="24"/>
          <w:szCs w:val="24"/>
        </w:rPr>
        <w:t xml:space="preserve"> x </w:t>
      </w:r>
      <w:r w:rsidR="009A7CD2" w:rsidRPr="00BA50D5">
        <w:rPr>
          <w:rFonts w:ascii="Calibri" w:hAnsi="Calibri" w:cs="Calibri"/>
          <w:sz w:val="24"/>
          <w:szCs w:val="24"/>
        </w:rPr>
        <w:t>10</w:t>
      </w:r>
      <w:r w:rsidR="009A7CD2" w:rsidRPr="00BA50D5">
        <w:rPr>
          <w:rFonts w:ascii="Calibri" w:hAnsi="Calibri" w:cs="Calibri"/>
          <w:sz w:val="24"/>
          <w:szCs w:val="24"/>
          <w:vertAlign w:val="superscript"/>
        </w:rPr>
        <w:t>9</w:t>
      </w:r>
      <w:r w:rsidR="009A7CD2" w:rsidRPr="00BA50D5">
        <w:rPr>
          <w:rFonts w:ascii="Calibri" w:hAnsi="Calibri" w:cs="Calibri"/>
          <w:sz w:val="24"/>
          <w:szCs w:val="24"/>
        </w:rPr>
        <w:t xml:space="preserve"> IU/mL</w:t>
      </w:r>
      <w:r w:rsidR="009E0544" w:rsidRPr="00BA50D5">
        <w:rPr>
          <w:rFonts w:ascii="Calibri" w:hAnsi="Calibri" w:cs="Calibri"/>
          <w:sz w:val="24"/>
          <w:szCs w:val="24"/>
        </w:rPr>
        <w:fldChar w:fldCharType="begin"/>
      </w:r>
      <w:r w:rsidR="00D33EF9" w:rsidRPr="00BA50D5">
        <w:rPr>
          <w:rFonts w:ascii="Calibri" w:hAnsi="Calibri" w:cs="Calibri"/>
          <w:sz w:val="24"/>
          <w:szCs w:val="24"/>
        </w:rPr>
        <w:instrText xml:space="preserve"> ADDIN ZOTERO_ITEM CSL_CITATION {"citationID":"x5Z6H6N4","properties":{"formattedCitation":"\\super 10, 12, 14\\nosupersub{}","plainCitation":"10, 12, 14","dontUpdate":true,"noteIndex":0},"citationItems":[{"id":730,"uris":["http://zotero.org/users/5701247/items/H8II9THG"],"itemData":{"id":730,"type":"article-journal","abstract":"Spinocerebellar ataxia type 2 (SCA2) is an incurable and genetic neurodegenerative disorder. The disease is characterized by progressive degeneration of several brain regions, resulting in severe motor and non-motor clinical manifestations. The mutation causing SCA2 disease is an abnormal expansion of CAG trinucleotide repeats in the ATXN2 gene, leading to a toxic expanded polyglutamine segment in the translated ataxin-2 protein. While the genetic cause is well established, the exact mechanisms behind neuronal death induced by mutant ataxin-2 are not yet completely understood. Thus, the goal of this study is to investigate the role of autophagy in SCA2 pathogenesis and investigate its suitability as a target for therapeutic intervention. For that, we developed and characterized a new striatal lentiviral mouse model that resembled several neuropathological hallmarks observed in SCA2 disease, including formation of aggregates, neuronal marker loss, cell death and neuroinflammation. In this new model, we analyzed autophagic markers, which were also analyzed in a SCA2 cellular model and in human post-mortem brain samples. Our results showed altered levels of SQSTM1 and LC3B in cells and tissues expressing mutant ataxin-2. Moreover, an abnormal accumulation of these markers was detected in SCA2 patients’ striatum and cerebellum. Importantly, the molecular activation of autophagy, using the compound cordycepin, mitigated the phenotypic alterations observed in disease models. Overall, our study suggests an important role for autophagy in the context of SCA2 pathology, proposing that targeting this pathway could be a potential target to treat SCA2 patients.","container-title":"Cell Death &amp; Disease","DOI":"10.1038/s41419-021-04404-1","ISSN":"2041-4889","issue":"12","journalAbbreviation":"Cell Death Dis","page":"1117","PMID":"34845184","PMCID":"PMC8630050","source":"PubMed Central","title":"Autophagy in Spinocerebellar ataxia type 2, a dysregulated pathway, and a target for therapy","volume":"12","author":[{"family":"Marcelo","given":"Adriana"},{"family":"Afonso","given":"Inês T."},{"family":"Afonso-Reis","given":"Ricardo"},{"family":"Brito","given":"David V. C."},{"family":"Costa","given":"Rafael G."},{"family":"Rosa","given":"Ana"},{"family":"Alves-Cruzeiro","given":"João"},{"family":"Ferreira","given":"Benedita"},{"family":"Henriques","given":"Carina"},{"family":"Nobre","given":"Rui J."},{"family":"Matos","given":"Carlos A."},{"family":"Almeida","given":"Luís Pereira","non-dropping-particle":"de"},{"family":"Nóbrega","given":"Clévio"}],"issued":{"date-parts":[["2021",11,29]]}}},{"id":624,"uris":["http://zotero.org/users/5701247/items/TYP9WWDG"],"itemData":{"id":624,"type":"article-journal","abstract":"Machado–Joseph disease (MJD), also known as spinocerebellar ataxia type 3 (SCA3), is a fatal, dominant neurodegenerative disorder caused by the polyglutamine-expanded protein ataxin-3. Clinical manifestations include cerebellar ataxia and pyramidal signs culminating in severe neuronal degeneration. Currently, there is no therapy able to modify disease progression. In the present study, we aimed at investigating one of the most severely affected brain regions in the disorder—the cerebellum—and the behavioral defects associated with the neuropathology in this region. For this purpose, we injected lentiviral vectors encoding full-length human mutant ataxin-3 in the mouse cerebellum of 3-week-old C57/BL6 mice. We show that circumscribed expression of human mutant ataxin-3 in the cerebellum mediates within a short time frame—6 weeks, the development of a behavioral phenotype including reduced motor coordination, wide-based ataxic gait, and hyperactivity. Furthermore, the expression of mutant ataxin-3 resulted in the accumulation of intranuclear inclusions, neuropathological abnormalities, and neuronal death. These data show that lentiviral-based expression of mutant ataxin-3 in the mouse cerebellum induces localized neuropathology, which is sufficient to generate a behavioral ataxic phenotype. Moreover, this approach provides a physiologically relevant, cost-effective and time-effective animal model to gain further insights into the pathogenesis of MJD and for the evaluation of experimental therapeutics of MJD.","container-title":"The Cerebellum","DOI":"10.1007/s12311-012-0432-0","ISSN":"1473-4230","issue":"4","journalAbbreviation":"Cerebellum","language":"en","page":"441-455","source":"Springer Link","title":"Overexpression of Mutant Ataxin-3 in Mouse Cerebellum Induces Ataxia and Cerebellar Neuropathology","volume":"12","author":[{"family":"Nóbrega","given":"Clévio"},{"family":"Nascimento-Ferreira","given":"Isabel"},{"family":"Onofre","given":"Isabel"},{"family":"Albuquerque","given":"David"},{"family":"Conceição","given":"Mariana"},{"family":"Déglon","given":"Nicole"},{"family":"Almeida","given":"Luís Pereira","non-dropping-particle":"de"}],"issued":{"date-parts":[["2013",8,1]]}}},{"id":617,"uris":["http://zotero.org/users/5701247/items/TFD99TAU","http://zotero.org/users/5701247/items/55VGBTJC"],"itemData":{"id":617,"type":"article-journal","abstract":"Machado-Joseph disease is a progressive neurodegenerative disorder associated with the polyQ-expanded ataxin-3 (encoded by ATXN3), for which no therapy is available. With the aim of clarifying the mechanism of neurodegeneration, we hypothesized that the abnormally long polyQ tract would interact aberrantly with ataxin-2 (encoded by ATXN2), another polyQ protein whose function has recently been linked to translational regulation. Using patient's samples and cellular and animal's models we found that in Machado-Joseph disease: (i) ataxin-2 levels are reduced; and (ii) its subcellular localization is changed towards the nucleus. Restoring ataxin-2 levels by lentiviral-mediated overexpression: (i) reduced mutant ataxin-3 levels; and (ii) rescued behaviour defects and neuropathology in a transgenic mouse model of Machado-Joseph disease. Conversely (i) mutating the ataxin-2 motif that enables binding to its natural interactor and translation activator poly(A)-binding protein; or (ii) overexpressing poly(A)-binding protein, had opposite effects, increasing mutant ataxin-3 translation and aggregation. This work suggests that in Machado-Joseph disease, mutant ataxin-3 drives an abnormal reduction of ataxin-2 levels, which overactivates poly(A)-binding protein, increases translation of mutant ataxin-3 and other proteins and aggravates Machado-Joseph disease. Re-establishment of ataxin-2 levels reduces mutant ataxin-3 and alleviates Machado-Joseph disease pathogenesis opening a new avenue for therapeutic intervention in this and potentially other polyQ disorders.","container-title":"Brain: A Journal of Neurology","DOI":"10.1093/brain/awv298","ISSN":"1460-2156","issue":"Pt 12","journalAbbreviation":"Brain","language":"eng","page":"3537-3554","PMID":"26490332","source":"PubMed","title":"Re-establishing ataxin-2 downregulates translation of mutant ataxin-3 and alleviates Machado-Joseph disease","volume":"138","author":[{"family":"Nóbrega","given":"Clévio"},{"family":"Carmo-Silva","given":"Sara"},{"family":"Albuquerque","given":"David"},{"family":"Vasconcelos-Ferreira","given":"Ana"},{"family":"Vijayakumar","given":"Udaya-Geetha"},{"family":"Mendonça","given":"Liliana"},{"family":"Hirai","given":"Hirokazu"},{"family":"Almeida","given":"Luís Pereira","non-dropping-particle":"de"}],"issued":{"date-parts":[["2015",12]]}}}],"schema":"https://github.com/citation-style-language/schema/raw/master/csl-citation.json"} </w:instrText>
      </w:r>
      <w:r w:rsidR="009E0544" w:rsidRPr="00BA50D5">
        <w:rPr>
          <w:rFonts w:ascii="Calibri" w:hAnsi="Calibri" w:cs="Calibri"/>
          <w:sz w:val="24"/>
          <w:szCs w:val="24"/>
        </w:rPr>
        <w:fldChar w:fldCharType="separate"/>
      </w:r>
      <w:r w:rsidR="009E0544" w:rsidRPr="00BA50D5">
        <w:rPr>
          <w:rFonts w:ascii="Calibri" w:hAnsi="Calibri" w:cs="Calibri"/>
          <w:sz w:val="24"/>
          <w:szCs w:val="24"/>
          <w:vertAlign w:val="superscript"/>
        </w:rPr>
        <w:t>10,12,1</w:t>
      </w:r>
      <w:r w:rsidR="009E0544" w:rsidRPr="00BA50D5">
        <w:rPr>
          <w:rFonts w:ascii="Calibri" w:hAnsi="Calibri" w:cs="Calibri"/>
          <w:sz w:val="24"/>
          <w:szCs w:val="24"/>
        </w:rPr>
        <w:fldChar w:fldCharType="end"/>
      </w:r>
      <w:r w:rsidR="0037144E" w:rsidRPr="00BA50D5">
        <w:rPr>
          <w:rFonts w:ascii="Calibri" w:hAnsi="Calibri" w:cs="Calibri"/>
          <w:sz w:val="24"/>
          <w:szCs w:val="24"/>
          <w:vertAlign w:val="superscript"/>
        </w:rPr>
        <w:t>7</w:t>
      </w:r>
      <w:r w:rsidR="009A7CD2" w:rsidRPr="00BA50D5">
        <w:rPr>
          <w:rFonts w:ascii="Calibri" w:hAnsi="Calibri" w:cs="Calibri"/>
          <w:sz w:val="24"/>
          <w:szCs w:val="24"/>
        </w:rPr>
        <w:t>.</w:t>
      </w:r>
    </w:p>
    <w:p w14:paraId="137B8491" w14:textId="77777777" w:rsidR="00514268" w:rsidRPr="00BA50D5" w:rsidRDefault="00514268" w:rsidP="006B731C">
      <w:pPr>
        <w:spacing w:after="0" w:line="240" w:lineRule="auto"/>
        <w:jc w:val="both"/>
        <w:rPr>
          <w:rFonts w:ascii="Calibri" w:hAnsi="Calibri" w:cs="Calibri"/>
          <w:sz w:val="24"/>
          <w:szCs w:val="24"/>
          <w:highlight w:val="yellow"/>
        </w:rPr>
      </w:pPr>
    </w:p>
    <w:p w14:paraId="7B628331" w14:textId="38783C5B" w:rsidR="00600B5E" w:rsidRPr="00BA50D5" w:rsidRDefault="00514268" w:rsidP="006B731C">
      <w:pPr>
        <w:spacing w:after="0" w:line="240" w:lineRule="auto"/>
        <w:jc w:val="both"/>
        <w:rPr>
          <w:rFonts w:ascii="Calibri" w:hAnsi="Calibri" w:cs="Calibri"/>
          <w:sz w:val="24"/>
          <w:szCs w:val="24"/>
          <w:highlight w:val="yellow"/>
        </w:rPr>
      </w:pPr>
      <w:r w:rsidRPr="00BA50D5">
        <w:rPr>
          <w:rFonts w:ascii="Calibri" w:hAnsi="Calibri" w:cs="Calibri"/>
          <w:sz w:val="24"/>
          <w:szCs w:val="24"/>
          <w:highlight w:val="yellow"/>
        </w:rPr>
        <w:t>3.2.2</w:t>
      </w:r>
      <w:r w:rsidRPr="00BA50D5">
        <w:rPr>
          <w:rFonts w:ascii="Calibri" w:hAnsi="Calibri" w:cs="Calibri"/>
          <w:sz w:val="24"/>
          <w:szCs w:val="24"/>
          <w:highlight w:val="yellow"/>
        </w:rPr>
        <w:tab/>
      </w:r>
      <w:r w:rsidR="009A7CD2" w:rsidRPr="00BA50D5">
        <w:rPr>
          <w:rFonts w:ascii="Calibri" w:hAnsi="Calibri" w:cs="Calibri"/>
          <w:sz w:val="24"/>
          <w:szCs w:val="24"/>
          <w:highlight w:val="yellow"/>
        </w:rPr>
        <w:t>Mount the syringe into the automated microinjection pump (e.g., Stoelting).</w:t>
      </w:r>
      <w:r w:rsidRPr="00BA50D5">
        <w:rPr>
          <w:rFonts w:ascii="Calibri" w:hAnsi="Calibri" w:cs="Calibri"/>
          <w:sz w:val="24"/>
          <w:szCs w:val="24"/>
          <w:highlight w:val="yellow"/>
        </w:rPr>
        <w:t xml:space="preserve"> </w:t>
      </w:r>
      <w:r w:rsidR="009A7CD2" w:rsidRPr="00BA50D5">
        <w:rPr>
          <w:rFonts w:ascii="Calibri" w:hAnsi="Calibri" w:cs="Calibri"/>
          <w:sz w:val="24"/>
          <w:szCs w:val="24"/>
          <w:highlight w:val="yellow"/>
        </w:rPr>
        <w:t>Prime the syringe in infusion mode until a drop of liquid appears at the needle tip. Ensure the bevel is facing forward.</w:t>
      </w:r>
    </w:p>
    <w:p w14:paraId="0D4FDC46" w14:textId="04B49FE4" w:rsidR="00600B5E" w:rsidRPr="00BA50D5" w:rsidRDefault="00CA2D2B" w:rsidP="006B731C">
      <w:pPr>
        <w:spacing w:after="0" w:line="240" w:lineRule="auto"/>
        <w:jc w:val="both"/>
        <w:rPr>
          <w:rFonts w:ascii="Calibri" w:hAnsi="Calibri" w:cs="Calibri"/>
          <w:sz w:val="24"/>
          <w:szCs w:val="24"/>
          <w:highlight w:val="yellow"/>
        </w:rPr>
      </w:pPr>
      <w:r w:rsidRPr="00BA50D5">
        <w:rPr>
          <w:rFonts w:ascii="Calibri" w:hAnsi="Calibri" w:cs="Calibri"/>
          <w:sz w:val="24"/>
          <w:szCs w:val="24"/>
          <w:highlight w:val="yellow"/>
        </w:rPr>
        <w:lastRenderedPageBreak/>
        <w:t>3.2.3</w:t>
      </w:r>
      <w:r w:rsidRPr="00BA50D5">
        <w:rPr>
          <w:rFonts w:ascii="Calibri" w:hAnsi="Calibri" w:cs="Calibri"/>
          <w:sz w:val="24"/>
          <w:szCs w:val="24"/>
          <w:highlight w:val="yellow"/>
        </w:rPr>
        <w:tab/>
      </w:r>
      <w:r w:rsidR="009A7CD2" w:rsidRPr="00BA50D5">
        <w:rPr>
          <w:rFonts w:ascii="Calibri" w:hAnsi="Calibri" w:cs="Calibri"/>
          <w:sz w:val="24"/>
          <w:szCs w:val="24"/>
          <w:highlight w:val="yellow"/>
        </w:rPr>
        <w:t>Set the pump parameters - speed: 0.25 µL/min, volume per hemisphere: 2 µL, syringe type: appropriate to what is being used.</w:t>
      </w:r>
    </w:p>
    <w:p w14:paraId="67C307B0" w14:textId="77777777" w:rsidR="00CA2D2B" w:rsidRPr="00BA50D5" w:rsidRDefault="00CA2D2B" w:rsidP="006B731C">
      <w:pPr>
        <w:spacing w:after="0" w:line="240" w:lineRule="auto"/>
        <w:jc w:val="both"/>
        <w:rPr>
          <w:rFonts w:ascii="Calibri" w:hAnsi="Calibri" w:cs="Calibri"/>
          <w:sz w:val="24"/>
          <w:szCs w:val="24"/>
          <w:highlight w:val="yellow"/>
        </w:rPr>
      </w:pPr>
    </w:p>
    <w:p w14:paraId="5DC5F49C" w14:textId="41F9D2B6" w:rsidR="00331008" w:rsidRPr="00BA50D5" w:rsidRDefault="00331008" w:rsidP="006B731C">
      <w:pPr>
        <w:spacing w:after="0" w:line="240" w:lineRule="auto"/>
        <w:jc w:val="both"/>
        <w:rPr>
          <w:rFonts w:ascii="Calibri" w:hAnsi="Calibri" w:cs="Calibri"/>
          <w:sz w:val="24"/>
          <w:szCs w:val="24"/>
        </w:rPr>
      </w:pPr>
      <w:r w:rsidRPr="00BA50D5">
        <w:rPr>
          <w:rFonts w:ascii="Calibri" w:hAnsi="Calibri" w:cs="Calibri"/>
          <w:sz w:val="24"/>
          <w:szCs w:val="24"/>
        </w:rPr>
        <w:t>NOTE: The volume to inject depend</w:t>
      </w:r>
      <w:r w:rsidR="003C7E81" w:rsidRPr="00BA50D5">
        <w:rPr>
          <w:rFonts w:ascii="Calibri" w:hAnsi="Calibri" w:cs="Calibri"/>
          <w:sz w:val="24"/>
          <w:szCs w:val="24"/>
        </w:rPr>
        <w:t>s</w:t>
      </w:r>
      <w:r w:rsidRPr="00BA50D5">
        <w:rPr>
          <w:rFonts w:ascii="Calibri" w:hAnsi="Calibri" w:cs="Calibri"/>
          <w:sz w:val="24"/>
          <w:szCs w:val="24"/>
        </w:rPr>
        <w:t xml:space="preserve"> on the rodent species and the target brain area to </w:t>
      </w:r>
      <w:r w:rsidR="008C6DD8" w:rsidRPr="00BA50D5">
        <w:rPr>
          <w:rFonts w:ascii="Calibri" w:hAnsi="Calibri" w:cs="Calibri"/>
          <w:sz w:val="24"/>
          <w:szCs w:val="24"/>
        </w:rPr>
        <w:t xml:space="preserve">be </w:t>
      </w:r>
      <w:r w:rsidRPr="00BA50D5">
        <w:rPr>
          <w:rFonts w:ascii="Calibri" w:hAnsi="Calibri" w:cs="Calibri"/>
          <w:sz w:val="24"/>
          <w:szCs w:val="24"/>
        </w:rPr>
        <w:t>transduce</w:t>
      </w:r>
      <w:r w:rsidR="008C6DD8" w:rsidRPr="00BA50D5">
        <w:rPr>
          <w:rFonts w:ascii="Calibri" w:hAnsi="Calibri" w:cs="Calibri"/>
          <w:sz w:val="24"/>
          <w:szCs w:val="24"/>
        </w:rPr>
        <w:t>d</w:t>
      </w:r>
      <w:r w:rsidRPr="00BA50D5">
        <w:rPr>
          <w:rFonts w:ascii="Calibri" w:hAnsi="Calibri" w:cs="Calibri"/>
          <w:sz w:val="24"/>
          <w:szCs w:val="24"/>
        </w:rPr>
        <w:t>. Injections of 1 µL will lead to a focal expression, while larger total volumes (up to 10 µL) need very slow</w:t>
      </w:r>
      <w:r w:rsidR="008C6DD8" w:rsidRPr="00BA50D5">
        <w:rPr>
          <w:rFonts w:ascii="Calibri" w:hAnsi="Calibri" w:cs="Calibri"/>
          <w:sz w:val="24"/>
          <w:szCs w:val="24"/>
        </w:rPr>
        <w:t xml:space="preserve"> injection rates</w:t>
      </w:r>
      <w:r w:rsidRPr="00BA50D5">
        <w:rPr>
          <w:rFonts w:ascii="Calibri" w:hAnsi="Calibri" w:cs="Calibri"/>
          <w:sz w:val="24"/>
          <w:szCs w:val="24"/>
        </w:rPr>
        <w:t xml:space="preserve"> and carry </w:t>
      </w:r>
      <w:r w:rsidR="003C7E81" w:rsidRPr="00BA50D5">
        <w:rPr>
          <w:rFonts w:ascii="Calibri" w:hAnsi="Calibri" w:cs="Calibri"/>
          <w:sz w:val="24"/>
          <w:szCs w:val="24"/>
        </w:rPr>
        <w:t xml:space="preserve">a </w:t>
      </w:r>
      <w:r w:rsidRPr="00BA50D5">
        <w:rPr>
          <w:rFonts w:ascii="Calibri" w:hAnsi="Calibri" w:cs="Calibri"/>
          <w:sz w:val="24"/>
          <w:szCs w:val="24"/>
        </w:rPr>
        <w:t xml:space="preserve">higher risk of tissue disruption or reflux. </w:t>
      </w:r>
    </w:p>
    <w:p w14:paraId="4BC22B71" w14:textId="77777777" w:rsidR="00600B5E" w:rsidRPr="00BA50D5" w:rsidRDefault="00600B5E" w:rsidP="006B731C">
      <w:pPr>
        <w:spacing w:after="0" w:line="240" w:lineRule="auto"/>
        <w:jc w:val="both"/>
        <w:rPr>
          <w:rFonts w:ascii="Calibri" w:hAnsi="Calibri" w:cs="Calibri"/>
          <w:sz w:val="24"/>
          <w:szCs w:val="24"/>
          <w:highlight w:val="yellow"/>
        </w:rPr>
      </w:pPr>
    </w:p>
    <w:p w14:paraId="730968DC" w14:textId="7B97BB4C" w:rsidR="00600B5E" w:rsidRPr="00BA50D5" w:rsidRDefault="00CA2D2B" w:rsidP="006B731C">
      <w:pPr>
        <w:spacing w:after="0" w:line="240" w:lineRule="auto"/>
        <w:jc w:val="both"/>
        <w:rPr>
          <w:rFonts w:ascii="Calibri" w:hAnsi="Calibri" w:cs="Calibri"/>
          <w:bCs/>
          <w:sz w:val="24"/>
          <w:szCs w:val="24"/>
          <w:highlight w:val="yellow"/>
        </w:rPr>
      </w:pPr>
      <w:r w:rsidRPr="00BA50D5">
        <w:rPr>
          <w:rFonts w:ascii="Calibri" w:hAnsi="Calibri" w:cs="Calibri"/>
          <w:bCs/>
          <w:sz w:val="24"/>
          <w:szCs w:val="24"/>
          <w:highlight w:val="yellow"/>
        </w:rPr>
        <w:t>3.3</w:t>
      </w:r>
      <w:r w:rsidRPr="00BA50D5">
        <w:rPr>
          <w:rFonts w:ascii="Calibri" w:hAnsi="Calibri" w:cs="Calibri"/>
          <w:bCs/>
          <w:sz w:val="24"/>
          <w:szCs w:val="24"/>
          <w:highlight w:val="yellow"/>
        </w:rPr>
        <w:tab/>
      </w:r>
      <w:r w:rsidR="009A7CD2" w:rsidRPr="00BA50D5">
        <w:rPr>
          <w:rFonts w:ascii="Calibri" w:hAnsi="Calibri" w:cs="Calibri"/>
          <w:bCs/>
          <w:sz w:val="24"/>
          <w:szCs w:val="24"/>
          <w:highlight w:val="yellow"/>
        </w:rPr>
        <w:t>Striatal targeting and injection</w:t>
      </w:r>
    </w:p>
    <w:p w14:paraId="220BA708" w14:textId="77777777" w:rsidR="00CA2D2B" w:rsidRPr="00BA50D5" w:rsidRDefault="00CA2D2B" w:rsidP="006B731C">
      <w:pPr>
        <w:spacing w:after="0" w:line="240" w:lineRule="auto"/>
        <w:jc w:val="both"/>
        <w:rPr>
          <w:rFonts w:ascii="Calibri" w:hAnsi="Calibri" w:cs="Calibri"/>
          <w:bCs/>
          <w:sz w:val="24"/>
          <w:szCs w:val="24"/>
          <w:highlight w:val="yellow"/>
        </w:rPr>
      </w:pPr>
    </w:p>
    <w:p w14:paraId="2A99D38B" w14:textId="0F77F183" w:rsidR="00600B5E" w:rsidRPr="00BA50D5" w:rsidRDefault="0050282E" w:rsidP="006B731C">
      <w:pPr>
        <w:spacing w:after="0" w:line="240" w:lineRule="auto"/>
        <w:jc w:val="both"/>
        <w:rPr>
          <w:rFonts w:ascii="Calibri" w:hAnsi="Calibri" w:cs="Calibri"/>
          <w:sz w:val="24"/>
          <w:szCs w:val="24"/>
          <w:highlight w:val="yellow"/>
        </w:rPr>
      </w:pPr>
      <w:r w:rsidRPr="00BA50D5">
        <w:rPr>
          <w:rFonts w:ascii="Calibri" w:hAnsi="Calibri" w:cs="Calibri"/>
          <w:sz w:val="24"/>
          <w:szCs w:val="24"/>
          <w:highlight w:val="yellow"/>
        </w:rPr>
        <w:t>3.3.1</w:t>
      </w:r>
      <w:r w:rsidRPr="00BA50D5">
        <w:rPr>
          <w:rFonts w:ascii="Calibri" w:hAnsi="Calibri" w:cs="Calibri"/>
          <w:sz w:val="24"/>
          <w:szCs w:val="24"/>
          <w:highlight w:val="yellow"/>
        </w:rPr>
        <w:tab/>
      </w:r>
      <w:r w:rsidR="009A7CD2" w:rsidRPr="00BA50D5">
        <w:rPr>
          <w:rFonts w:ascii="Calibri" w:hAnsi="Calibri" w:cs="Calibri"/>
          <w:sz w:val="24"/>
          <w:szCs w:val="24"/>
          <w:highlight w:val="yellow"/>
        </w:rPr>
        <w:t>Disinfect the scalp with 70% ethanol.</w:t>
      </w:r>
      <w:r w:rsidRPr="00BA50D5">
        <w:rPr>
          <w:rFonts w:ascii="Calibri" w:hAnsi="Calibri" w:cs="Calibri"/>
          <w:sz w:val="24"/>
          <w:szCs w:val="24"/>
          <w:highlight w:val="yellow"/>
        </w:rPr>
        <w:t xml:space="preserve"> </w:t>
      </w:r>
      <w:r w:rsidR="00D46D4D" w:rsidRPr="00BA50D5">
        <w:rPr>
          <w:rFonts w:ascii="Calibri" w:hAnsi="Calibri" w:cs="Calibri"/>
          <w:sz w:val="24"/>
          <w:szCs w:val="24"/>
          <w:highlight w:val="yellow"/>
        </w:rPr>
        <w:t>Make a</w:t>
      </w:r>
      <w:r w:rsidR="00324DCC" w:rsidRPr="00BA50D5">
        <w:rPr>
          <w:rFonts w:ascii="Calibri" w:hAnsi="Calibri" w:cs="Calibri"/>
          <w:sz w:val="24"/>
          <w:szCs w:val="24"/>
          <w:highlight w:val="yellow"/>
        </w:rPr>
        <w:t xml:space="preserve"> midline incision (~1–1.5 cm) using a sterile scalpel blade </w:t>
      </w:r>
      <w:r w:rsidR="009A7CD2" w:rsidRPr="00BA50D5">
        <w:rPr>
          <w:rFonts w:ascii="Calibri" w:hAnsi="Calibri" w:cs="Calibri"/>
          <w:sz w:val="24"/>
          <w:szCs w:val="24"/>
          <w:highlight w:val="yellow"/>
        </w:rPr>
        <w:t>from between the ears to the eyes.</w:t>
      </w:r>
    </w:p>
    <w:p w14:paraId="1D67BBEC" w14:textId="77777777" w:rsidR="0050282E" w:rsidRPr="00BA50D5" w:rsidRDefault="0050282E" w:rsidP="006B731C">
      <w:pPr>
        <w:spacing w:after="0" w:line="240" w:lineRule="auto"/>
        <w:jc w:val="both"/>
        <w:rPr>
          <w:rFonts w:ascii="Calibri" w:hAnsi="Calibri" w:cs="Calibri"/>
          <w:sz w:val="24"/>
          <w:szCs w:val="24"/>
          <w:highlight w:val="yellow"/>
        </w:rPr>
      </w:pPr>
    </w:p>
    <w:p w14:paraId="66C03586" w14:textId="2B759CDC" w:rsidR="00600B5E" w:rsidRPr="00BA50D5" w:rsidRDefault="0050282E" w:rsidP="006B731C">
      <w:pPr>
        <w:spacing w:after="0" w:line="240" w:lineRule="auto"/>
        <w:jc w:val="both"/>
        <w:rPr>
          <w:rFonts w:ascii="Calibri" w:hAnsi="Calibri" w:cs="Calibri"/>
          <w:sz w:val="24"/>
          <w:szCs w:val="24"/>
          <w:highlight w:val="yellow"/>
        </w:rPr>
      </w:pPr>
      <w:r w:rsidRPr="00BA50D5">
        <w:rPr>
          <w:rFonts w:ascii="Calibri" w:hAnsi="Calibri" w:cs="Calibri"/>
          <w:sz w:val="24"/>
          <w:szCs w:val="24"/>
          <w:highlight w:val="yellow"/>
        </w:rPr>
        <w:t>3.3.2</w:t>
      </w:r>
      <w:r w:rsidRPr="00BA50D5">
        <w:rPr>
          <w:rFonts w:ascii="Calibri" w:hAnsi="Calibri" w:cs="Calibri"/>
          <w:sz w:val="24"/>
          <w:szCs w:val="24"/>
          <w:highlight w:val="yellow"/>
        </w:rPr>
        <w:tab/>
      </w:r>
      <w:r w:rsidR="009A7CD2" w:rsidRPr="00BA50D5">
        <w:rPr>
          <w:rFonts w:ascii="Calibri" w:hAnsi="Calibri" w:cs="Calibri"/>
          <w:sz w:val="24"/>
          <w:szCs w:val="24"/>
          <w:highlight w:val="yellow"/>
        </w:rPr>
        <w:t>Expose and clean the skull, removing the periosteum with cotton swabs.</w:t>
      </w:r>
      <w:r w:rsidRPr="00BA50D5">
        <w:rPr>
          <w:rFonts w:ascii="Calibri" w:hAnsi="Calibri" w:cs="Calibri"/>
          <w:sz w:val="24"/>
          <w:szCs w:val="24"/>
          <w:highlight w:val="yellow"/>
        </w:rPr>
        <w:t xml:space="preserve"> </w:t>
      </w:r>
      <w:r w:rsidR="009A7CD2" w:rsidRPr="00BA50D5">
        <w:rPr>
          <w:rFonts w:ascii="Calibri" w:hAnsi="Calibri" w:cs="Calibri"/>
          <w:sz w:val="24"/>
          <w:szCs w:val="24"/>
          <w:highlight w:val="yellow"/>
        </w:rPr>
        <w:t>Locate Bregma and record the stereotaxic zero point (manually or digitally).</w:t>
      </w:r>
    </w:p>
    <w:p w14:paraId="500CED99" w14:textId="77777777" w:rsidR="0050282E" w:rsidRPr="00BA50D5" w:rsidRDefault="0050282E" w:rsidP="006B731C">
      <w:pPr>
        <w:spacing w:after="0" w:line="240" w:lineRule="auto"/>
        <w:jc w:val="both"/>
        <w:rPr>
          <w:rFonts w:ascii="Calibri" w:hAnsi="Calibri" w:cs="Calibri"/>
          <w:sz w:val="24"/>
          <w:szCs w:val="24"/>
          <w:highlight w:val="yellow"/>
        </w:rPr>
      </w:pPr>
    </w:p>
    <w:p w14:paraId="76D24911" w14:textId="5F02FAD1" w:rsidR="00600B5E" w:rsidRPr="00BA50D5" w:rsidRDefault="0050282E" w:rsidP="006B731C">
      <w:pPr>
        <w:spacing w:after="0" w:line="240" w:lineRule="auto"/>
        <w:jc w:val="both"/>
        <w:rPr>
          <w:rFonts w:ascii="Calibri" w:hAnsi="Calibri" w:cs="Calibri"/>
          <w:bCs/>
          <w:sz w:val="24"/>
          <w:szCs w:val="24"/>
          <w:highlight w:val="yellow"/>
        </w:rPr>
      </w:pPr>
      <w:r w:rsidRPr="00BA50D5">
        <w:rPr>
          <w:rFonts w:ascii="Calibri" w:hAnsi="Calibri" w:cs="Calibri"/>
          <w:sz w:val="24"/>
          <w:szCs w:val="24"/>
          <w:highlight w:val="yellow"/>
        </w:rPr>
        <w:t>3.3.3</w:t>
      </w:r>
      <w:r w:rsidRPr="00BA50D5">
        <w:rPr>
          <w:rFonts w:ascii="Calibri" w:hAnsi="Calibri" w:cs="Calibri"/>
          <w:sz w:val="24"/>
          <w:szCs w:val="24"/>
          <w:highlight w:val="yellow"/>
        </w:rPr>
        <w:tab/>
      </w:r>
      <w:r w:rsidR="009A7CD2" w:rsidRPr="00BA50D5">
        <w:rPr>
          <w:rFonts w:ascii="Calibri" w:hAnsi="Calibri" w:cs="Calibri"/>
          <w:sz w:val="24"/>
          <w:szCs w:val="24"/>
          <w:highlight w:val="yellow"/>
        </w:rPr>
        <w:t>Determine injection coordinates relative to Bregma</w:t>
      </w:r>
      <w:r w:rsidR="00A27D16" w:rsidRPr="00BA50D5">
        <w:rPr>
          <w:rFonts w:ascii="Calibri" w:hAnsi="Calibri" w:cs="Calibri"/>
          <w:sz w:val="24"/>
          <w:szCs w:val="24"/>
          <w:highlight w:val="yellow"/>
        </w:rPr>
        <w:t xml:space="preserve"> (for a mouse with 8-1</w:t>
      </w:r>
      <w:r w:rsidR="00882912" w:rsidRPr="00BA50D5">
        <w:rPr>
          <w:rFonts w:ascii="Calibri" w:hAnsi="Calibri" w:cs="Calibri"/>
          <w:sz w:val="24"/>
          <w:szCs w:val="24"/>
          <w:highlight w:val="yellow"/>
        </w:rPr>
        <w:t>2</w:t>
      </w:r>
      <w:r w:rsidR="00A27D16" w:rsidRPr="00BA50D5">
        <w:rPr>
          <w:rFonts w:ascii="Calibri" w:hAnsi="Calibri" w:cs="Calibri"/>
          <w:sz w:val="24"/>
          <w:szCs w:val="24"/>
          <w:highlight w:val="yellow"/>
        </w:rPr>
        <w:t xml:space="preserve"> weeks of age with </w:t>
      </w:r>
      <w:r w:rsidRPr="00BA50D5">
        <w:rPr>
          <w:rFonts w:ascii="Calibri" w:hAnsi="Calibri" w:cs="Calibri"/>
          <w:sz w:val="24"/>
          <w:szCs w:val="24"/>
          <w:highlight w:val="yellow"/>
        </w:rPr>
        <w:t>approximately 18-20 g</w:t>
      </w:r>
      <w:r w:rsidR="00A27D16" w:rsidRPr="00BA50D5">
        <w:rPr>
          <w:rFonts w:ascii="Calibri" w:hAnsi="Calibri" w:cs="Calibri"/>
          <w:sz w:val="24"/>
          <w:szCs w:val="24"/>
          <w:highlight w:val="yellow"/>
        </w:rPr>
        <w:t>)</w:t>
      </w:r>
      <w:r w:rsidR="009A7CD2" w:rsidRPr="00BA50D5">
        <w:rPr>
          <w:rFonts w:ascii="Calibri" w:hAnsi="Calibri" w:cs="Calibri"/>
          <w:sz w:val="24"/>
          <w:szCs w:val="24"/>
          <w:highlight w:val="yellow"/>
        </w:rPr>
        <w:t xml:space="preserve">: </w:t>
      </w:r>
      <w:r w:rsidR="009A7CD2" w:rsidRPr="00BA50D5">
        <w:rPr>
          <w:rFonts w:ascii="Calibri" w:hAnsi="Calibri" w:cs="Calibri"/>
          <w:bCs/>
          <w:sz w:val="24"/>
          <w:szCs w:val="24"/>
          <w:highlight w:val="yellow"/>
        </w:rPr>
        <w:t>Antero-posterior (AP) +0.6 mm; Medio-lateral (ML) ±1.8 mm; Dorso-ventral (DV): –3.3 mm.</w:t>
      </w:r>
    </w:p>
    <w:p w14:paraId="7B64DD73" w14:textId="77777777" w:rsidR="0050282E" w:rsidRPr="00BA50D5" w:rsidRDefault="0050282E" w:rsidP="006B731C">
      <w:pPr>
        <w:spacing w:after="0" w:line="240" w:lineRule="auto"/>
        <w:jc w:val="both"/>
        <w:rPr>
          <w:rFonts w:ascii="Calibri" w:hAnsi="Calibri" w:cs="Calibri"/>
          <w:bCs/>
          <w:sz w:val="24"/>
          <w:szCs w:val="24"/>
          <w:highlight w:val="yellow"/>
        </w:rPr>
      </w:pPr>
    </w:p>
    <w:p w14:paraId="7C4A06E3" w14:textId="0778F45A" w:rsidR="00600B5E" w:rsidRPr="00BA50D5" w:rsidRDefault="0050282E" w:rsidP="006B731C">
      <w:pPr>
        <w:spacing w:after="0" w:line="240" w:lineRule="auto"/>
        <w:jc w:val="both"/>
        <w:rPr>
          <w:rFonts w:ascii="Calibri" w:hAnsi="Calibri" w:cs="Calibri"/>
          <w:sz w:val="24"/>
          <w:szCs w:val="24"/>
          <w:highlight w:val="yellow"/>
        </w:rPr>
      </w:pPr>
      <w:r w:rsidRPr="00BA50D5">
        <w:rPr>
          <w:rFonts w:ascii="Calibri" w:hAnsi="Calibri" w:cs="Calibri"/>
          <w:sz w:val="24"/>
          <w:szCs w:val="24"/>
          <w:highlight w:val="yellow"/>
        </w:rPr>
        <w:t>3.3.4</w:t>
      </w:r>
      <w:r w:rsidRPr="00BA50D5">
        <w:rPr>
          <w:rFonts w:ascii="Calibri" w:hAnsi="Calibri" w:cs="Calibri"/>
          <w:sz w:val="24"/>
          <w:szCs w:val="24"/>
          <w:highlight w:val="yellow"/>
        </w:rPr>
        <w:tab/>
      </w:r>
      <w:r w:rsidR="009A7CD2" w:rsidRPr="00BA50D5">
        <w:rPr>
          <w:rFonts w:ascii="Calibri" w:hAnsi="Calibri" w:cs="Calibri"/>
          <w:sz w:val="24"/>
          <w:szCs w:val="24"/>
          <w:highlight w:val="yellow"/>
        </w:rPr>
        <w:t xml:space="preserve">Drill carefully at the marked AP/ML coordinates. Proceed slowly to avoid penetrating the brain. Alternatively, stop once the bone is sufficiently thinned - this is indicated by </w:t>
      </w:r>
      <w:r w:rsidR="00D46D4D" w:rsidRPr="00BA50D5">
        <w:rPr>
          <w:rFonts w:ascii="Calibri" w:hAnsi="Calibri" w:cs="Calibri"/>
          <w:sz w:val="24"/>
          <w:szCs w:val="24"/>
          <w:highlight w:val="yellow"/>
        </w:rPr>
        <w:t>visualization</w:t>
      </w:r>
      <w:r w:rsidR="009A7CD2" w:rsidRPr="00BA50D5">
        <w:rPr>
          <w:rFonts w:ascii="Calibri" w:hAnsi="Calibri" w:cs="Calibri"/>
          <w:sz w:val="24"/>
          <w:szCs w:val="24"/>
          <w:highlight w:val="yellow"/>
        </w:rPr>
        <w:t xml:space="preserve"> of blood vessels in the dura mater through the skull. Carefully perforate the dura mater with a small needle.</w:t>
      </w:r>
    </w:p>
    <w:p w14:paraId="6AE17E57" w14:textId="77777777" w:rsidR="00F515FE" w:rsidRPr="00BA50D5" w:rsidRDefault="00F515FE" w:rsidP="006B731C">
      <w:pPr>
        <w:spacing w:after="0" w:line="240" w:lineRule="auto"/>
        <w:jc w:val="both"/>
        <w:rPr>
          <w:rFonts w:ascii="Calibri" w:hAnsi="Calibri" w:cs="Calibri"/>
          <w:sz w:val="24"/>
          <w:szCs w:val="24"/>
          <w:highlight w:val="yellow"/>
        </w:rPr>
      </w:pPr>
    </w:p>
    <w:p w14:paraId="28B0C64A" w14:textId="16C521D2" w:rsidR="00600B5E" w:rsidRPr="00BA50D5" w:rsidRDefault="00F515FE" w:rsidP="006B731C">
      <w:pPr>
        <w:spacing w:after="0" w:line="240" w:lineRule="auto"/>
        <w:jc w:val="both"/>
        <w:rPr>
          <w:rFonts w:ascii="Calibri" w:hAnsi="Calibri" w:cs="Calibri"/>
          <w:sz w:val="24"/>
          <w:szCs w:val="24"/>
          <w:highlight w:val="yellow"/>
        </w:rPr>
      </w:pPr>
      <w:r w:rsidRPr="00BA50D5">
        <w:rPr>
          <w:rFonts w:ascii="Calibri" w:hAnsi="Calibri" w:cs="Calibri"/>
          <w:sz w:val="24"/>
          <w:szCs w:val="24"/>
          <w:highlight w:val="yellow"/>
        </w:rPr>
        <w:t>3.3.5</w:t>
      </w:r>
      <w:r w:rsidRPr="00BA50D5">
        <w:rPr>
          <w:rFonts w:ascii="Calibri" w:hAnsi="Calibri" w:cs="Calibri"/>
          <w:sz w:val="24"/>
          <w:szCs w:val="24"/>
          <w:highlight w:val="yellow"/>
        </w:rPr>
        <w:tab/>
      </w:r>
      <w:r w:rsidR="009A7CD2" w:rsidRPr="00BA50D5">
        <w:rPr>
          <w:rFonts w:ascii="Calibri" w:hAnsi="Calibri" w:cs="Calibri"/>
          <w:sz w:val="24"/>
          <w:szCs w:val="24"/>
          <w:highlight w:val="yellow"/>
        </w:rPr>
        <w:t xml:space="preserve">Test that the hole is in the right position by lowering the injection needle. Test </w:t>
      </w:r>
      <w:r w:rsidRPr="00BA50D5">
        <w:rPr>
          <w:rFonts w:ascii="Calibri" w:hAnsi="Calibri" w:cs="Calibri"/>
          <w:sz w:val="24"/>
          <w:szCs w:val="24"/>
          <w:highlight w:val="yellow"/>
        </w:rPr>
        <w:t>for needle clogging by injecting a portion</w:t>
      </w:r>
      <w:r w:rsidR="009A7CD2" w:rsidRPr="00BA50D5">
        <w:rPr>
          <w:rFonts w:ascii="Calibri" w:hAnsi="Calibri" w:cs="Calibri"/>
          <w:sz w:val="24"/>
          <w:szCs w:val="24"/>
          <w:highlight w:val="yellow"/>
        </w:rPr>
        <w:t xml:space="preserve"> of the solution until a drop is clearly visible.</w:t>
      </w:r>
    </w:p>
    <w:p w14:paraId="29200C6A" w14:textId="77777777" w:rsidR="00F515FE" w:rsidRPr="00BA50D5" w:rsidRDefault="00F515FE" w:rsidP="006B731C">
      <w:pPr>
        <w:spacing w:after="0" w:line="240" w:lineRule="auto"/>
        <w:jc w:val="both"/>
        <w:rPr>
          <w:rFonts w:ascii="Calibri" w:hAnsi="Calibri" w:cs="Calibri"/>
          <w:sz w:val="24"/>
          <w:szCs w:val="24"/>
          <w:highlight w:val="yellow"/>
        </w:rPr>
      </w:pPr>
    </w:p>
    <w:p w14:paraId="359FD87A" w14:textId="2FEE590A" w:rsidR="00600B5E" w:rsidRPr="00BA50D5" w:rsidRDefault="00F515FE" w:rsidP="006B731C">
      <w:pPr>
        <w:spacing w:after="0" w:line="240" w:lineRule="auto"/>
        <w:jc w:val="both"/>
        <w:rPr>
          <w:rFonts w:ascii="Calibri" w:hAnsi="Calibri" w:cs="Calibri"/>
          <w:sz w:val="24"/>
          <w:szCs w:val="24"/>
          <w:highlight w:val="yellow"/>
        </w:rPr>
      </w:pPr>
      <w:r w:rsidRPr="00BA50D5">
        <w:rPr>
          <w:rFonts w:ascii="Calibri" w:hAnsi="Calibri" w:cs="Calibri"/>
          <w:sz w:val="24"/>
          <w:szCs w:val="24"/>
          <w:highlight w:val="yellow"/>
        </w:rPr>
        <w:t>3.3.6</w:t>
      </w:r>
      <w:r w:rsidRPr="00BA50D5">
        <w:rPr>
          <w:rFonts w:ascii="Calibri" w:hAnsi="Calibri" w:cs="Calibri"/>
          <w:sz w:val="24"/>
          <w:szCs w:val="24"/>
          <w:highlight w:val="yellow"/>
        </w:rPr>
        <w:tab/>
      </w:r>
      <w:r w:rsidR="009A7CD2" w:rsidRPr="00BA50D5">
        <w:rPr>
          <w:rFonts w:ascii="Calibri" w:hAnsi="Calibri" w:cs="Calibri"/>
          <w:sz w:val="24"/>
          <w:szCs w:val="24"/>
          <w:highlight w:val="yellow"/>
        </w:rPr>
        <w:t>Lower the injection needle slowly to the DV coordinate.</w:t>
      </w:r>
      <w:r w:rsidRPr="00BA50D5">
        <w:rPr>
          <w:rFonts w:ascii="Calibri" w:hAnsi="Calibri" w:cs="Calibri"/>
          <w:sz w:val="24"/>
          <w:szCs w:val="24"/>
          <w:highlight w:val="yellow"/>
        </w:rPr>
        <w:t xml:space="preserve"> </w:t>
      </w:r>
      <w:r w:rsidR="009A7CD2" w:rsidRPr="00BA50D5">
        <w:rPr>
          <w:rFonts w:ascii="Calibri" w:hAnsi="Calibri" w:cs="Calibri"/>
          <w:sz w:val="24"/>
          <w:szCs w:val="24"/>
          <w:highlight w:val="yellow"/>
        </w:rPr>
        <w:t>Inject 2 µL of viral solution per hemisphere at 0.25 µL/min.</w:t>
      </w:r>
      <w:r w:rsidRPr="00BA50D5">
        <w:rPr>
          <w:rFonts w:ascii="Calibri" w:hAnsi="Calibri" w:cs="Calibri"/>
          <w:sz w:val="24"/>
          <w:szCs w:val="24"/>
          <w:highlight w:val="yellow"/>
        </w:rPr>
        <w:t xml:space="preserve"> </w:t>
      </w:r>
      <w:r w:rsidR="009A7CD2" w:rsidRPr="00BA50D5">
        <w:rPr>
          <w:rFonts w:ascii="Calibri" w:hAnsi="Calibri" w:cs="Calibri"/>
          <w:sz w:val="24"/>
          <w:szCs w:val="24"/>
          <w:highlight w:val="yellow"/>
        </w:rPr>
        <w:t>After injection, wait 5 min before slowly retracting the needle to avoid reflux.</w:t>
      </w:r>
    </w:p>
    <w:p w14:paraId="0165A5D7" w14:textId="77777777" w:rsidR="00F515FE" w:rsidRPr="00BA50D5" w:rsidRDefault="00F515FE" w:rsidP="006B731C">
      <w:pPr>
        <w:spacing w:after="0" w:line="240" w:lineRule="auto"/>
        <w:jc w:val="both"/>
        <w:rPr>
          <w:rFonts w:ascii="Calibri" w:hAnsi="Calibri" w:cs="Calibri"/>
          <w:sz w:val="24"/>
          <w:szCs w:val="24"/>
          <w:highlight w:val="yellow"/>
        </w:rPr>
      </w:pPr>
    </w:p>
    <w:p w14:paraId="50408F5E" w14:textId="220EB7E4" w:rsidR="00600B5E" w:rsidRPr="00CD3230" w:rsidRDefault="00F515FE" w:rsidP="006B731C">
      <w:pPr>
        <w:spacing w:after="0" w:line="240" w:lineRule="auto"/>
        <w:jc w:val="both"/>
        <w:rPr>
          <w:rFonts w:ascii="Calibri" w:hAnsi="Calibri" w:cs="Calibri"/>
          <w:sz w:val="24"/>
          <w:szCs w:val="24"/>
        </w:rPr>
      </w:pPr>
      <w:r w:rsidRPr="00CD3230">
        <w:rPr>
          <w:rFonts w:ascii="Calibri" w:hAnsi="Calibri" w:cs="Calibri"/>
          <w:sz w:val="24"/>
          <w:szCs w:val="24"/>
        </w:rPr>
        <w:t>3.3.7</w:t>
      </w:r>
      <w:r w:rsidRPr="00CD3230">
        <w:rPr>
          <w:rFonts w:ascii="Calibri" w:hAnsi="Calibri" w:cs="Calibri"/>
          <w:sz w:val="24"/>
          <w:szCs w:val="24"/>
        </w:rPr>
        <w:tab/>
      </w:r>
      <w:r w:rsidR="009A7CD2" w:rsidRPr="00CD3230">
        <w:rPr>
          <w:rFonts w:ascii="Calibri" w:hAnsi="Calibri" w:cs="Calibri"/>
          <w:sz w:val="24"/>
          <w:szCs w:val="24"/>
        </w:rPr>
        <w:t xml:space="preserve">Inject lentivirus encoding for </w:t>
      </w:r>
      <w:r w:rsidR="00D14FF4" w:rsidRPr="00CD3230">
        <w:rPr>
          <w:rFonts w:ascii="Calibri" w:hAnsi="Calibri" w:cs="Calibri"/>
          <w:sz w:val="24"/>
          <w:szCs w:val="24"/>
        </w:rPr>
        <w:t xml:space="preserve">the </w:t>
      </w:r>
      <w:r w:rsidR="007B1E9D" w:rsidRPr="00CD3230">
        <w:rPr>
          <w:rFonts w:ascii="Calibri" w:hAnsi="Calibri" w:cs="Calibri"/>
          <w:sz w:val="24"/>
          <w:szCs w:val="24"/>
        </w:rPr>
        <w:t>wild-type</w:t>
      </w:r>
      <w:r w:rsidR="009A7CD2" w:rsidRPr="00CD3230">
        <w:rPr>
          <w:rFonts w:ascii="Calibri" w:hAnsi="Calibri" w:cs="Calibri"/>
          <w:sz w:val="24"/>
          <w:szCs w:val="24"/>
        </w:rPr>
        <w:t xml:space="preserve"> protein</w:t>
      </w:r>
      <w:r w:rsidR="004C19C0" w:rsidRPr="00CD3230">
        <w:rPr>
          <w:rFonts w:ascii="Calibri" w:hAnsi="Calibri" w:cs="Calibri"/>
          <w:sz w:val="24"/>
          <w:szCs w:val="24"/>
        </w:rPr>
        <w:t xml:space="preserve"> (ATXN2WT or ATXN3WT)</w:t>
      </w:r>
      <w:r w:rsidR="00D46D4D" w:rsidRPr="00CD3230">
        <w:rPr>
          <w:rFonts w:ascii="Calibri" w:hAnsi="Calibri" w:cs="Calibri"/>
          <w:sz w:val="24"/>
          <w:szCs w:val="24"/>
        </w:rPr>
        <w:t xml:space="preserve"> </w:t>
      </w:r>
      <w:r w:rsidR="009A7CD2" w:rsidRPr="00CD3230">
        <w:rPr>
          <w:rFonts w:ascii="Calibri" w:hAnsi="Calibri" w:cs="Calibri"/>
          <w:sz w:val="24"/>
          <w:szCs w:val="24"/>
        </w:rPr>
        <w:t>into one hemisphere and lentivirus encoding for the mutant/expanded protein</w:t>
      </w:r>
      <w:r w:rsidR="004C19C0" w:rsidRPr="00CD3230">
        <w:rPr>
          <w:rFonts w:ascii="Calibri" w:hAnsi="Calibri" w:cs="Calibri"/>
          <w:sz w:val="24"/>
          <w:szCs w:val="24"/>
        </w:rPr>
        <w:t xml:space="preserve"> (ATXN2MUT or ATXN3MUT)</w:t>
      </w:r>
      <w:r w:rsidR="006B731C" w:rsidRPr="00CD3230">
        <w:rPr>
          <w:rFonts w:ascii="Calibri" w:hAnsi="Calibri" w:cs="Calibri"/>
          <w:sz w:val="24"/>
          <w:szCs w:val="24"/>
        </w:rPr>
        <w:t xml:space="preserve"> </w:t>
      </w:r>
      <w:r w:rsidR="009A7CD2" w:rsidRPr="00CD3230">
        <w:rPr>
          <w:rFonts w:ascii="Calibri" w:hAnsi="Calibri" w:cs="Calibri"/>
          <w:sz w:val="24"/>
          <w:szCs w:val="24"/>
        </w:rPr>
        <w:t>into the contralateral side (randomized or predefined)</w:t>
      </w:r>
      <w:r w:rsidR="00D33EF9" w:rsidRPr="00CD3230">
        <w:rPr>
          <w:rFonts w:ascii="Calibri" w:hAnsi="Calibri" w:cs="Calibri"/>
          <w:sz w:val="24"/>
          <w:szCs w:val="24"/>
        </w:rPr>
        <w:fldChar w:fldCharType="begin"/>
      </w:r>
      <w:r w:rsidR="00D33EF9" w:rsidRPr="00CD3230">
        <w:rPr>
          <w:rFonts w:ascii="Calibri" w:hAnsi="Calibri" w:cs="Calibri"/>
          <w:sz w:val="24"/>
          <w:szCs w:val="24"/>
        </w:rPr>
        <w:instrText xml:space="preserve"> ADDIN ZOTERO_ITEM CSL_CITATION {"citationID":"kI12pK8h","properties":{"formattedCitation":"\\super 12, 13\\nosupersub{}","plainCitation":"12, 13","noteIndex":0},"citationItems":[{"id":730,"uris":["http://zotero.org/users/5701247/items/H8II9THG"],"itemData":{"id":730,"type":"article-journal","abstract":"Spinocerebellar ataxia type 2 (SCA2) is an incurable and genetic neurodegenerative disorder. The disease is characterized by progressive degeneration of several brain regions, resulting in severe motor and non-motor clinical manifestations. The mutation causing SCA2 disease is an abnormal expansion of CAG trinucleotide repeats in the ATXN2 gene, leading to a toxic expanded polyglutamine segment in the translated ataxin-2 protein. While the genetic cause is well established, the exact mechanisms behind neuronal death induced by mutant ataxin-2 are not yet completely understood. Thus, the goal of this study is to investigate the role of autophagy in SCA2 pathogenesis and investigate its suitability as a target for therapeutic intervention. For that, we developed and characterized a new striatal lentiviral mouse model that resembled several neuropathological hallmarks observed in SCA2 disease, including formation of aggregates, neuronal marker loss, cell death and neuroinflammation. In this new model, we analyzed autophagic markers, which were also analyzed in a SCA2 cellular model and in human post-mortem brain samples. Our results showed altered levels of SQSTM1 and LC3B in cells and tissues expressing mutant ataxin-2. Moreover, an abnormal accumulation of these markers was detected in SCA2 patients’ striatum and cerebellum. Importantly, the molecular activation of autophagy, using the compound cordycepin, mitigated the phenotypic alterations observed in disease models. Overall, our study suggests an important role for autophagy in the context of SCA2 pathology, proposing that targeting this pathway could be a potential target to treat SCA2 patients.","container-title":"Cell Death &amp; Disease","DOI":"10.1038/s41419-021-04404-1","ISSN":"2041-4889","issue":"12","journalAbbreviation":"Cell Death Dis","page":"1117","PMID":"34845184","PMCID":"PMC8630050","source":"PubMed Central","title":"Autophagy in Spinocerebellar ataxia type 2, a dysregulated pathway, and a target for therapy","volume":"12","author":[{"family":"Marcelo","given":"Adriana"},{"family":"Afonso","given":"Inês T."},{"family":"Afonso-Reis","given":"Ricardo"},{"family":"Brito","given":"David V. C."},{"family":"Costa","given":"Rafael G."},{"family":"Rosa","given":"Ana"},{"family":"Alves-Cruzeiro","given":"João"},{"family":"Ferreira","given":"Benedita"},{"family":"Henriques","given":"Carina"},{"family":"Nobre","given":"Rui J."},{"family":"Matos","given":"Carlos A."},{"family":"Almeida","given":"Luís Pereira","non-dropping-particle":"de"},{"family":"Nóbrega","given":"Clévio"}],"issued":{"date-parts":[["2021",11,29]]}}},{"id":621,"uris":["http://zotero.org/users/5701247/items/H5R6EYNQ"],"itemData":{"id":621,"type":"article-journal","abstract":"Machado-Joseph disease (MJD) is a fatal, dominant neurodegenerative disorder. MJD results from polyglutamine repeat expansion in the MJD-1 gene, conferring a toxic gain of function to the ataxin-3 protein. In this study, we aimed at overexpressing ataxin-3 in the rat brain using lentiviral vectors (LV), to generate an in vivo MJD genetic model and, to study the disorder in defined brain regions: substantia nigra, an area affected in MJD, cortex and striatum, regions not previously reported to be affected in MJD. LV encoding mutant or wild-type human ataxin-3 was injected in the brain of adult rats and the animals were tested for behavioral deficits and neuropathological abnormalities. Striatal pathology was confirmed in transgenic mice and human tissue. In substantia nigra, unilateral overexpression of mutant ataxin-3 led to: apomorphine-induced turning behavior; formation of ubiquitinated ataxin-3 aggregates; alpha-synuclein immunoreactivity; and loss of dopaminergic markers (TH and VMAT2). No neuropathological changes were observed upon wild-type ataxin-3 overexpression. Mutant ataxin-3 expression in striatum and cortex, resulted in accumulation of misfolded ataxin-3, and within striatum, loss of neuronal markers. Striatal pathology was confirmed by observation in MJD transgenic mice of ataxin-3 aggregates and substantial reduction of DARPP-32 immunoreactivity and, in human striata, by ataxin-3 inclusions, immunoreactive for ubiquitin and alpha-synuclein. This study demonstrates the use of LV encoding mutant ataxin-3 to produce a model of MJD and brings evidence of striatal pathology, suggesting that this region may contribute to dystonia and chorea observed in some MJD patients and may represent a target for therapies.","container-title":"Human Molecular Genetics","DOI":"10.1093/hmg/ddn106","ISSN":"1460-2083","issue":"14","journalAbbreviation":"Hum Mol Genet","language":"eng","page":"2071-2083","PMID":"18385100","source":"PubMed","title":"Striatal and nigral pathology in a lentiviral rat model of Machado-Joseph disease","volume":"17","author":[{"family":"Alves","given":"Sandro"},{"family":"Régulier","given":"Etienne"},{"family":"Nascimento-Ferreira","given":"Isabel"},{"family":"Hassig","given":"Raymonde"},{"family":"Dufour","given":"Noelle"},{"family":"Koeppen","given":"Arnulf"},{"family":"Carvalho","given":"Ana Luísa"},{"family":"Simões","given":"Sérgio"},{"family":"Lima","given":"Maria C. Pedroso","non-dropping-particle":"de"},{"family":"Brouillet","given":"Emmanuel"},{"family":"Gould","given":"Veronica Colomer"},{"family":"Déglon","given":"Nicole"},{"family":"Almeida","given":"Luís Pereira","non-dropping-particle":"de"}],"issued":{"date-parts":[["2008",7,15]]}}}],"schema":"https://github.com/citation-style-language/schema/raw/master/csl-citation.json"} </w:instrText>
      </w:r>
      <w:r w:rsidR="00D33EF9" w:rsidRPr="00CD3230">
        <w:rPr>
          <w:rFonts w:ascii="Calibri" w:hAnsi="Calibri" w:cs="Calibri"/>
          <w:sz w:val="24"/>
          <w:szCs w:val="24"/>
        </w:rPr>
        <w:fldChar w:fldCharType="separate"/>
      </w:r>
      <w:r w:rsidR="00D33EF9" w:rsidRPr="00CD3230">
        <w:rPr>
          <w:rFonts w:ascii="Calibri" w:hAnsi="Calibri" w:cs="Calibri"/>
          <w:sz w:val="24"/>
          <w:szCs w:val="24"/>
          <w:vertAlign w:val="superscript"/>
        </w:rPr>
        <w:t>12,13</w:t>
      </w:r>
      <w:r w:rsidR="00D33EF9" w:rsidRPr="00CD3230">
        <w:rPr>
          <w:rFonts w:ascii="Calibri" w:hAnsi="Calibri" w:cs="Calibri"/>
          <w:sz w:val="24"/>
          <w:szCs w:val="24"/>
        </w:rPr>
        <w:fldChar w:fldCharType="end"/>
      </w:r>
      <w:r w:rsidR="009A7CD2" w:rsidRPr="00CD3230">
        <w:rPr>
          <w:rFonts w:ascii="Calibri" w:hAnsi="Calibri" w:cs="Calibri"/>
          <w:sz w:val="24"/>
          <w:szCs w:val="24"/>
        </w:rPr>
        <w:t>.</w:t>
      </w:r>
    </w:p>
    <w:p w14:paraId="1709E7D3" w14:textId="77777777" w:rsidR="00074CB6" w:rsidRPr="00BA50D5" w:rsidRDefault="00074CB6" w:rsidP="006B731C">
      <w:pPr>
        <w:spacing w:after="0" w:line="240" w:lineRule="auto"/>
        <w:jc w:val="both"/>
        <w:rPr>
          <w:rFonts w:ascii="Calibri" w:hAnsi="Calibri" w:cs="Calibri"/>
          <w:sz w:val="24"/>
          <w:szCs w:val="24"/>
          <w:highlight w:val="yellow"/>
        </w:rPr>
      </w:pPr>
    </w:p>
    <w:p w14:paraId="54845BE5" w14:textId="346B0EA1" w:rsidR="007364A3" w:rsidRPr="00BA50D5" w:rsidRDefault="007364A3" w:rsidP="006B731C">
      <w:pPr>
        <w:spacing w:after="0" w:line="240" w:lineRule="auto"/>
        <w:jc w:val="both"/>
        <w:rPr>
          <w:rFonts w:ascii="Calibri" w:hAnsi="Calibri" w:cs="Calibri"/>
          <w:sz w:val="24"/>
          <w:szCs w:val="24"/>
        </w:rPr>
      </w:pPr>
      <w:r w:rsidRPr="00BA50D5">
        <w:rPr>
          <w:rFonts w:ascii="Calibri" w:hAnsi="Calibri" w:cs="Calibri"/>
          <w:sz w:val="24"/>
          <w:szCs w:val="24"/>
        </w:rPr>
        <w:t>NOTE:</w:t>
      </w:r>
      <w:r w:rsidR="00C20585" w:rsidRPr="00BA50D5">
        <w:rPr>
          <w:rFonts w:ascii="Calibri" w:hAnsi="Calibri" w:cs="Calibri"/>
          <w:sz w:val="24"/>
          <w:szCs w:val="24"/>
        </w:rPr>
        <w:t xml:space="preserve"> Using the mouse brain atlas</w:t>
      </w:r>
      <w:r w:rsidR="009A7CD2" w:rsidRPr="00BA50D5">
        <w:rPr>
          <w:rFonts w:ascii="Calibri" w:hAnsi="Calibri" w:cs="Calibri"/>
          <w:sz w:val="24"/>
          <w:szCs w:val="24"/>
        </w:rPr>
        <w:fldChar w:fldCharType="begin"/>
      </w:r>
      <w:r w:rsidR="00D33EF9" w:rsidRPr="00BA50D5">
        <w:rPr>
          <w:rFonts w:ascii="Calibri" w:hAnsi="Calibri" w:cs="Calibri"/>
          <w:sz w:val="24"/>
          <w:szCs w:val="24"/>
        </w:rPr>
        <w:instrText xml:space="preserve"> ADDIN ZOTERO_ITEM CSL_CITATION {"citationID":"H16l2SC7","properties":{"formattedCitation":"\\super 19\\nosupersub{}","plainCitation":"19","noteIndex":0},"citationItems":[{"id":656,"uris":["http://zotero.org/users/5701247/items/PX2LWVSE"],"itemData":{"id":656,"type":"book","abstract":"The Mouse Brain in Stereotaxic Coordinates, Second Edition has been the acknowledged reference in this field since the publication of the first edition, and is now available in a Compact Edition. This will provide a more affordable option for students, as well as researchers needing an additional lab atlas. This version includes the coronal diagrams delineating the entire brain as well as the introductory text from the Deluxe edition. It is an essential reference for anyone studying the mouse brain or related species.","ISBN":"978-0-12-547640-9","language":"en","note":"Google-Books-ID: EHy1QN1xv0gC","number-of-pages":"134","publisher":"Gulf Professional Publishing","source":"Google Books","title":"The Mouse Brain in Stereotaxic Coordinates: Compact Second Edition","title-short":"The Mouse Brain in Stereotaxic Coordinates","author":[{"family":"Paxinos","given":"George"},{"family":"Franklin","given":"Keith B. J."}],"issued":{"date-parts":[["2004"]]}}}],"schema":"https://github.com/citation-style-language/schema/raw/master/csl-citation.json"} </w:instrText>
      </w:r>
      <w:r w:rsidR="009A7CD2" w:rsidRPr="00BA50D5">
        <w:rPr>
          <w:rFonts w:ascii="Calibri" w:hAnsi="Calibri" w:cs="Calibri"/>
          <w:sz w:val="24"/>
          <w:szCs w:val="24"/>
        </w:rPr>
        <w:fldChar w:fldCharType="separate"/>
      </w:r>
      <w:r w:rsidR="00D33EF9" w:rsidRPr="00BA50D5">
        <w:rPr>
          <w:rFonts w:ascii="Calibri" w:hAnsi="Calibri" w:cs="Calibri"/>
          <w:sz w:val="24"/>
          <w:szCs w:val="24"/>
          <w:vertAlign w:val="superscript"/>
        </w:rPr>
        <w:t>1</w:t>
      </w:r>
      <w:r w:rsidR="009A7CD2" w:rsidRPr="00BA50D5">
        <w:rPr>
          <w:rFonts w:ascii="Calibri" w:hAnsi="Calibri" w:cs="Calibri"/>
          <w:sz w:val="24"/>
          <w:szCs w:val="24"/>
        </w:rPr>
        <w:fldChar w:fldCharType="end"/>
      </w:r>
      <w:r w:rsidR="0037144E" w:rsidRPr="00BA50D5">
        <w:rPr>
          <w:rFonts w:ascii="Calibri" w:hAnsi="Calibri" w:cs="Calibri"/>
          <w:sz w:val="24"/>
          <w:szCs w:val="24"/>
          <w:vertAlign w:val="superscript"/>
        </w:rPr>
        <w:t>8</w:t>
      </w:r>
      <w:r w:rsidR="00C20585" w:rsidRPr="00BA50D5">
        <w:rPr>
          <w:rFonts w:ascii="Calibri" w:hAnsi="Calibri" w:cs="Calibri"/>
          <w:sz w:val="24"/>
          <w:szCs w:val="24"/>
        </w:rPr>
        <w:t xml:space="preserve">, virtually all brain regions can be targeted </w:t>
      </w:r>
      <w:proofErr w:type="spellStart"/>
      <w:r w:rsidR="00C20585" w:rsidRPr="00BA50D5">
        <w:rPr>
          <w:rFonts w:ascii="Calibri" w:hAnsi="Calibri" w:cs="Calibri"/>
          <w:sz w:val="24"/>
          <w:szCs w:val="24"/>
        </w:rPr>
        <w:t>stereotaxically</w:t>
      </w:r>
      <w:proofErr w:type="spellEnd"/>
      <w:r w:rsidR="00C20585" w:rsidRPr="00BA50D5">
        <w:rPr>
          <w:rFonts w:ascii="Calibri" w:hAnsi="Calibri" w:cs="Calibri"/>
          <w:sz w:val="24"/>
          <w:szCs w:val="24"/>
        </w:rPr>
        <w:t xml:space="preserve"> beyond the striatum, including cortex, hippocampus, substantia nigra, and cerebellum. Because the cerebellum is the primary site of pathology in SCAs, it represents a particularly relevant target for vector delivery. For the development of </w:t>
      </w:r>
      <w:r w:rsidR="00074CB6" w:rsidRPr="00BA50D5">
        <w:rPr>
          <w:rFonts w:ascii="Calibri" w:hAnsi="Calibri" w:cs="Calibri"/>
          <w:sz w:val="24"/>
          <w:szCs w:val="24"/>
        </w:rPr>
        <w:t>this</w:t>
      </w:r>
      <w:r w:rsidR="00C20585" w:rsidRPr="00BA50D5">
        <w:rPr>
          <w:rFonts w:ascii="Calibri" w:hAnsi="Calibri" w:cs="Calibri"/>
          <w:sz w:val="24"/>
          <w:szCs w:val="24"/>
        </w:rPr>
        <w:t xml:space="preserve"> cerebellar SCA3 mouse model, we used coordinates 1.6 mm rostral to lambda, 0 mm from the midline, and 1 mm ventral to the skull surface, with the mouth bar set at −3.3, ensuring precise targeting of the cerebellar cortex</w:t>
      </w:r>
      <w:r w:rsidR="00704971" w:rsidRPr="00BA50D5">
        <w:rPr>
          <w:rFonts w:ascii="Calibri" w:hAnsi="Calibri" w:cs="Calibri"/>
          <w:sz w:val="24"/>
          <w:szCs w:val="24"/>
        </w:rPr>
        <w:fldChar w:fldCharType="begin"/>
      </w:r>
      <w:r w:rsidR="00D33EF9" w:rsidRPr="00BA50D5">
        <w:rPr>
          <w:rFonts w:ascii="Calibri" w:hAnsi="Calibri" w:cs="Calibri"/>
          <w:sz w:val="24"/>
          <w:szCs w:val="24"/>
        </w:rPr>
        <w:instrText xml:space="preserve"> ADDIN ZOTERO_ITEM CSL_CITATION {"citationID":"9ATNUbHu","properties":{"formattedCitation":"\\super 12, 16\\nosupersub{}","plainCitation":"12, 16","dontUpdate":true,"noteIndex":0},"citationItems":[{"id":624,"uris":["http://zotero.org/users/5701247/items/TYP9WWDG"],"itemData":{"id":624,"type":"article-journal","abstract":"Machado–Joseph disease (MJD), also known as spinocerebellar ataxia type 3 (SCA3), is a fatal, dominant neurodegenerative disorder caused by the polyglutamine-expanded protein ataxin-3. Clinical manifestations include cerebellar ataxia and pyramidal signs culminating in severe neuronal degeneration. Currently, there is no therapy able to modify disease progression. In the present study, we aimed at investigating one of the most severely affected brain regions in the disorder—the cerebellum—and the behavioral defects associated with the neuropathology in this region. For this purpose, we injected lentiviral vectors encoding full-length human mutant ataxin-3 in the mouse cerebellum of 3-week-old C57/BL6 mice. We show that circumscribed expression of human mutant ataxin-3 in the cerebellum mediates within a short time frame—6 weeks, the development of a behavioral phenotype including reduced motor coordination, wide-based ataxic gait, and hyperactivity. Furthermore, the expression of mutant ataxin-3 resulted in the accumulation of intranuclear inclusions, neuropathological abnormalities, and neuronal death. These data show that lentiviral-based expression of mutant ataxin-3 in the mouse cerebellum induces localized neuropathology, which is sufficient to generate a behavioral ataxic phenotype. Moreover, this approach provides a physiologically relevant, cost-effective and time-effective animal model to gain further insights into the pathogenesis of MJD and for the evaluation of experimental therapeutics of MJD.","container-title":"The Cerebellum","DOI":"10.1007/s12311-012-0432-0","ISSN":"1473-4230","issue":"4","journalAbbreviation":"Cerebellum","language":"en","page":"441-455","source":"Springer Link","title":"Overexpression of Mutant Ataxin-3 in Mouse Cerebellum Induces Ataxia and Cerebellar Neuropathology","volume":"12","author":[{"family":"Nóbrega","given":"Clévio"},{"family":"Nascimento-Ferreira","given":"Isabel"},{"family":"Onofre","given":"Isabel"},{"family":"Albuquerque","given":"David"},{"family":"Conceição","given":"Mariana"},{"family":"Déglon","given":"Nicole"},{"family":"Almeida","given":"Luís Pereira","non-dropping-particle":"de"}],"issued":{"date-parts":[["2013",8,1]]}}},{"id":663,"uris":["http://zotero.org/users/5701247/items/YUAEKXVE"],"itemData":{"id":663,"type":"article-journal","abstract":"Machado-Joseph disease or Spinocerebellar ataxia type 3 is a progressive fatal neurodegenerative disorder caused by the polyglutamine-expanded protein ataxin-3. Recent studies demonstrate that RNA interference is a promising approach for the treatment of Machado-Joseph disease. However, whether gene silencing at an early time-point is able to prevent the appearance of motor behavior deficits typical of the disease when initiated before onset of the disease had not been explored. Here, using a lentiviral-mediated allele-specific silencing of mutant ataxin-3 in an early pre-symptomatic cerebellar mouse model of Machado-Joseph disease we show that this strategy hampers the development of the motor and neuropathological phenotypic characteristics of the disease. At the histological level, the RNA-specific silencing of mutant ataxin-3 decreased formation of mutant ataxin-3 aggregates, preserved Purkinje cell morphology and expression of neuronal markers while reducing cell death. Importantly, gene silencing prevented the development of impairments in balance, motor coordination, gait and hyperactivity observed in control mice. These data support the therapeutic potential of RNA interference for Machado-Joseph disease and constitute a proof of principle of the beneficial effects of early allele-specific silencing for therapy of this disease.","container-title":"PloS One","DOI":"10.1371/journal.pone.0100086","ISSN":"1932-6203","issue":"8","journalAbbreviation":"PLoS One","language":"eng","page":"e100086","PMID":"25144231","PMCID":"PMC4140724","source":"PubMed","title":"RNA interference mitigates motor and neuropathological deficits in a cerebellar mouse model of Machado-Joseph disease","volume":"9","author":[{"family":"Nóbrega","given":"Clévio"},{"family":"Nascimento-Ferreira","given":"Isabel"},{"family":"Onofre","given":"Isabel"},{"family":"Albuquerque","given":"David"},{"family":"Déglon","given":"Nicole"},{"family":"Almeida","given":"Luís Pereira","non-dropping-particle":"de"}],"issued":{"date-parts":[["2014"]]}}}],"schema":"https://github.com/citation-style-language/schema/raw/master/csl-citation.json"} </w:instrText>
      </w:r>
      <w:r w:rsidR="00704971" w:rsidRPr="00BA50D5">
        <w:rPr>
          <w:rFonts w:ascii="Calibri" w:hAnsi="Calibri" w:cs="Calibri"/>
          <w:sz w:val="24"/>
          <w:szCs w:val="24"/>
        </w:rPr>
        <w:fldChar w:fldCharType="separate"/>
      </w:r>
      <w:r w:rsidR="009A7CD2" w:rsidRPr="00BA50D5">
        <w:rPr>
          <w:rFonts w:ascii="Calibri" w:hAnsi="Calibri" w:cs="Calibri"/>
          <w:sz w:val="24"/>
          <w:szCs w:val="24"/>
          <w:vertAlign w:val="superscript"/>
        </w:rPr>
        <w:t>12,1</w:t>
      </w:r>
      <w:r w:rsidR="00704971" w:rsidRPr="00BA50D5">
        <w:rPr>
          <w:rFonts w:ascii="Calibri" w:hAnsi="Calibri" w:cs="Calibri"/>
          <w:sz w:val="24"/>
          <w:szCs w:val="24"/>
        </w:rPr>
        <w:fldChar w:fldCharType="end"/>
      </w:r>
      <w:r w:rsidR="0037144E" w:rsidRPr="00BA50D5">
        <w:rPr>
          <w:rFonts w:ascii="Calibri" w:hAnsi="Calibri" w:cs="Calibri"/>
          <w:sz w:val="24"/>
          <w:szCs w:val="24"/>
          <w:vertAlign w:val="superscript"/>
        </w:rPr>
        <w:t>5</w:t>
      </w:r>
      <w:r w:rsidR="0037144E" w:rsidRPr="00BA50D5">
        <w:rPr>
          <w:rFonts w:ascii="Calibri" w:hAnsi="Calibri" w:cs="Calibri"/>
          <w:sz w:val="24"/>
          <w:szCs w:val="24"/>
        </w:rPr>
        <w:t>.</w:t>
      </w:r>
    </w:p>
    <w:p w14:paraId="3375FE17" w14:textId="77777777" w:rsidR="007364A3" w:rsidRPr="00BA50D5" w:rsidRDefault="007364A3" w:rsidP="006B731C">
      <w:pPr>
        <w:spacing w:after="0" w:line="240" w:lineRule="auto"/>
        <w:jc w:val="both"/>
        <w:rPr>
          <w:rFonts w:ascii="Calibri" w:hAnsi="Calibri" w:cs="Calibri"/>
          <w:sz w:val="24"/>
          <w:szCs w:val="24"/>
          <w:highlight w:val="yellow"/>
        </w:rPr>
      </w:pPr>
    </w:p>
    <w:p w14:paraId="57C8FB30" w14:textId="6251862C" w:rsidR="00600B5E" w:rsidRPr="00BA50D5" w:rsidRDefault="00074CB6" w:rsidP="006B731C">
      <w:pPr>
        <w:spacing w:after="0" w:line="240" w:lineRule="auto"/>
        <w:jc w:val="both"/>
        <w:rPr>
          <w:rFonts w:ascii="Calibri" w:hAnsi="Calibri" w:cs="Calibri"/>
          <w:bCs/>
          <w:sz w:val="24"/>
          <w:szCs w:val="24"/>
          <w:highlight w:val="yellow"/>
        </w:rPr>
      </w:pPr>
      <w:r w:rsidRPr="00BA50D5">
        <w:rPr>
          <w:rFonts w:ascii="Calibri" w:hAnsi="Calibri" w:cs="Calibri"/>
          <w:bCs/>
          <w:sz w:val="24"/>
          <w:szCs w:val="24"/>
          <w:highlight w:val="yellow"/>
        </w:rPr>
        <w:t>3.4</w:t>
      </w:r>
      <w:r w:rsidRPr="00BA50D5">
        <w:rPr>
          <w:rFonts w:ascii="Calibri" w:hAnsi="Calibri" w:cs="Calibri"/>
          <w:bCs/>
          <w:sz w:val="24"/>
          <w:szCs w:val="24"/>
          <w:highlight w:val="yellow"/>
        </w:rPr>
        <w:tab/>
      </w:r>
      <w:r w:rsidR="009A7CD2" w:rsidRPr="00BA50D5">
        <w:rPr>
          <w:rFonts w:ascii="Calibri" w:hAnsi="Calibri" w:cs="Calibri"/>
          <w:bCs/>
          <w:sz w:val="24"/>
          <w:szCs w:val="24"/>
          <w:highlight w:val="yellow"/>
        </w:rPr>
        <w:t>Monitoring during surgery</w:t>
      </w:r>
    </w:p>
    <w:p w14:paraId="3B442264" w14:textId="77777777" w:rsidR="00074CB6" w:rsidRPr="00BA50D5" w:rsidRDefault="00074CB6" w:rsidP="006B731C">
      <w:pPr>
        <w:spacing w:after="0" w:line="240" w:lineRule="auto"/>
        <w:jc w:val="both"/>
        <w:rPr>
          <w:rFonts w:ascii="Calibri" w:hAnsi="Calibri" w:cs="Calibri"/>
          <w:sz w:val="24"/>
          <w:szCs w:val="24"/>
          <w:highlight w:val="yellow"/>
        </w:rPr>
      </w:pPr>
    </w:p>
    <w:p w14:paraId="00BE2935" w14:textId="10E6FB9D" w:rsidR="00600B5E" w:rsidRPr="00BA50D5" w:rsidRDefault="00074CB6" w:rsidP="006B731C">
      <w:pPr>
        <w:spacing w:after="0" w:line="240" w:lineRule="auto"/>
        <w:jc w:val="both"/>
        <w:rPr>
          <w:rFonts w:ascii="Calibri" w:hAnsi="Calibri" w:cs="Calibri"/>
          <w:sz w:val="24"/>
          <w:szCs w:val="24"/>
          <w:highlight w:val="yellow"/>
        </w:rPr>
      </w:pPr>
      <w:r w:rsidRPr="00BA50D5">
        <w:rPr>
          <w:rFonts w:ascii="Calibri" w:hAnsi="Calibri" w:cs="Calibri"/>
          <w:sz w:val="24"/>
          <w:szCs w:val="24"/>
          <w:highlight w:val="yellow"/>
        </w:rPr>
        <w:lastRenderedPageBreak/>
        <w:t>3.4.1</w:t>
      </w:r>
      <w:r w:rsidRPr="00BA50D5">
        <w:rPr>
          <w:rFonts w:ascii="Calibri" w:hAnsi="Calibri" w:cs="Calibri"/>
          <w:sz w:val="24"/>
          <w:szCs w:val="24"/>
          <w:highlight w:val="yellow"/>
        </w:rPr>
        <w:tab/>
      </w:r>
      <w:r w:rsidR="009A7CD2" w:rsidRPr="00BA50D5">
        <w:rPr>
          <w:rFonts w:ascii="Calibri" w:hAnsi="Calibri" w:cs="Calibri"/>
          <w:sz w:val="24"/>
          <w:szCs w:val="24"/>
          <w:highlight w:val="yellow"/>
        </w:rPr>
        <w:t>Monitor whisker movement and reflexes.</w:t>
      </w:r>
      <w:r w:rsidRPr="00BA50D5">
        <w:rPr>
          <w:rFonts w:ascii="Calibri" w:hAnsi="Calibri" w:cs="Calibri"/>
          <w:sz w:val="24"/>
          <w:szCs w:val="24"/>
          <w:highlight w:val="yellow"/>
        </w:rPr>
        <w:t xml:space="preserve"> </w:t>
      </w:r>
      <w:r w:rsidR="009A7CD2" w:rsidRPr="00BA50D5">
        <w:rPr>
          <w:rFonts w:ascii="Calibri" w:hAnsi="Calibri" w:cs="Calibri"/>
          <w:sz w:val="24"/>
          <w:szCs w:val="24"/>
          <w:highlight w:val="yellow"/>
        </w:rPr>
        <w:t>If movement is observed, administer a supplemental anesthesia dose (</w:t>
      </w:r>
      <w:r w:rsidR="00874BE8" w:rsidRPr="00BA50D5">
        <w:rPr>
          <w:rFonts w:ascii="Calibri" w:hAnsi="Calibri" w:cs="Calibri"/>
          <w:sz w:val="24"/>
          <w:szCs w:val="24"/>
          <w:highlight w:val="yellow"/>
        </w:rPr>
        <w:t>one-third</w:t>
      </w:r>
      <w:r w:rsidR="009A7CD2" w:rsidRPr="00BA50D5">
        <w:rPr>
          <w:rFonts w:ascii="Calibri" w:hAnsi="Calibri" w:cs="Calibri"/>
          <w:sz w:val="24"/>
          <w:szCs w:val="24"/>
          <w:highlight w:val="yellow"/>
        </w:rPr>
        <w:t xml:space="preserve"> of the initial volume).</w:t>
      </w:r>
    </w:p>
    <w:p w14:paraId="67B7A8FE" w14:textId="77777777" w:rsidR="00074CB6" w:rsidRPr="00BA50D5" w:rsidRDefault="00074CB6" w:rsidP="006B731C">
      <w:pPr>
        <w:spacing w:after="0" w:line="240" w:lineRule="auto"/>
        <w:jc w:val="both"/>
        <w:rPr>
          <w:rFonts w:ascii="Calibri" w:hAnsi="Calibri" w:cs="Calibri"/>
          <w:bCs/>
          <w:sz w:val="24"/>
          <w:szCs w:val="24"/>
          <w:highlight w:val="yellow"/>
        </w:rPr>
      </w:pPr>
    </w:p>
    <w:p w14:paraId="1A3F840A" w14:textId="02E0BF47" w:rsidR="00600B5E" w:rsidRPr="00BA50D5" w:rsidRDefault="00074CB6" w:rsidP="006B731C">
      <w:pPr>
        <w:spacing w:after="0" w:line="240" w:lineRule="auto"/>
        <w:jc w:val="both"/>
        <w:rPr>
          <w:rFonts w:ascii="Calibri" w:hAnsi="Calibri" w:cs="Calibri"/>
          <w:bCs/>
          <w:sz w:val="24"/>
          <w:szCs w:val="24"/>
          <w:highlight w:val="yellow"/>
        </w:rPr>
      </w:pPr>
      <w:r w:rsidRPr="00BA50D5">
        <w:rPr>
          <w:rFonts w:ascii="Calibri" w:hAnsi="Calibri" w:cs="Calibri"/>
          <w:bCs/>
          <w:sz w:val="24"/>
          <w:szCs w:val="24"/>
          <w:highlight w:val="yellow"/>
        </w:rPr>
        <w:t>3.5</w:t>
      </w:r>
      <w:r w:rsidRPr="00BA50D5">
        <w:rPr>
          <w:rFonts w:ascii="Calibri" w:hAnsi="Calibri" w:cs="Calibri"/>
          <w:bCs/>
          <w:sz w:val="24"/>
          <w:szCs w:val="24"/>
          <w:highlight w:val="yellow"/>
        </w:rPr>
        <w:tab/>
      </w:r>
      <w:r w:rsidR="009A7CD2" w:rsidRPr="00BA50D5">
        <w:rPr>
          <w:rFonts w:ascii="Calibri" w:hAnsi="Calibri" w:cs="Calibri"/>
          <w:bCs/>
          <w:sz w:val="24"/>
          <w:szCs w:val="24"/>
          <w:highlight w:val="yellow"/>
        </w:rPr>
        <w:t>Wound closure and recovery</w:t>
      </w:r>
    </w:p>
    <w:p w14:paraId="3F7985BA" w14:textId="77777777" w:rsidR="00074CB6" w:rsidRPr="00BA50D5" w:rsidRDefault="00074CB6" w:rsidP="006B731C">
      <w:pPr>
        <w:spacing w:after="0" w:line="240" w:lineRule="auto"/>
        <w:jc w:val="both"/>
        <w:rPr>
          <w:rFonts w:ascii="Calibri" w:hAnsi="Calibri" w:cs="Calibri"/>
          <w:b/>
          <w:sz w:val="24"/>
          <w:szCs w:val="24"/>
          <w:highlight w:val="yellow"/>
        </w:rPr>
      </w:pPr>
    </w:p>
    <w:p w14:paraId="07045B83" w14:textId="084F7FEB" w:rsidR="00600B5E" w:rsidRPr="00BA50D5" w:rsidRDefault="00074CB6" w:rsidP="006B731C">
      <w:pPr>
        <w:spacing w:after="0" w:line="240" w:lineRule="auto"/>
        <w:jc w:val="both"/>
        <w:rPr>
          <w:rFonts w:ascii="Calibri" w:hAnsi="Calibri" w:cs="Calibri"/>
          <w:sz w:val="24"/>
          <w:szCs w:val="24"/>
          <w:highlight w:val="yellow"/>
        </w:rPr>
      </w:pPr>
      <w:r w:rsidRPr="00BA50D5">
        <w:rPr>
          <w:rFonts w:ascii="Calibri" w:hAnsi="Calibri" w:cs="Calibri"/>
          <w:sz w:val="24"/>
          <w:szCs w:val="24"/>
          <w:highlight w:val="yellow"/>
        </w:rPr>
        <w:t>3.5.1</w:t>
      </w:r>
      <w:r w:rsidRPr="00BA50D5">
        <w:rPr>
          <w:rFonts w:ascii="Calibri" w:hAnsi="Calibri" w:cs="Calibri"/>
          <w:sz w:val="24"/>
          <w:szCs w:val="24"/>
          <w:highlight w:val="yellow"/>
        </w:rPr>
        <w:tab/>
      </w:r>
      <w:r w:rsidR="009A7CD2" w:rsidRPr="00BA50D5">
        <w:rPr>
          <w:rFonts w:ascii="Calibri" w:hAnsi="Calibri" w:cs="Calibri"/>
          <w:sz w:val="24"/>
          <w:szCs w:val="24"/>
          <w:highlight w:val="yellow"/>
        </w:rPr>
        <w:t xml:space="preserve">Close the incision </w:t>
      </w:r>
      <w:r w:rsidR="00FD2D1E" w:rsidRPr="00BA50D5">
        <w:rPr>
          <w:rFonts w:ascii="Calibri" w:hAnsi="Calibri" w:cs="Calibri"/>
          <w:sz w:val="24"/>
          <w:szCs w:val="24"/>
          <w:highlight w:val="yellow"/>
        </w:rPr>
        <w:t>with 3–5 interrupted 5-0 nylon sutures</w:t>
      </w:r>
      <w:r w:rsidR="009A7CD2" w:rsidRPr="00BA50D5">
        <w:rPr>
          <w:rFonts w:ascii="Calibri" w:hAnsi="Calibri" w:cs="Calibri"/>
          <w:sz w:val="24"/>
          <w:szCs w:val="24"/>
          <w:highlight w:val="yellow"/>
        </w:rPr>
        <w:t>.</w:t>
      </w:r>
      <w:r w:rsidRPr="00BA50D5">
        <w:rPr>
          <w:rFonts w:ascii="Calibri" w:hAnsi="Calibri" w:cs="Calibri"/>
          <w:sz w:val="24"/>
          <w:szCs w:val="24"/>
          <w:highlight w:val="yellow"/>
        </w:rPr>
        <w:t xml:space="preserve"> </w:t>
      </w:r>
      <w:r w:rsidR="009A7CD2" w:rsidRPr="00BA50D5">
        <w:rPr>
          <w:rFonts w:ascii="Calibri" w:hAnsi="Calibri" w:cs="Calibri"/>
          <w:sz w:val="24"/>
          <w:szCs w:val="24"/>
          <w:highlight w:val="yellow"/>
        </w:rPr>
        <w:t xml:space="preserve">Administer a mixture of antagonistic drugs subcutaneously at a dose of 10 µL/g body weight to reverse the effects of the initial anesthetics. This solution is prepared by combining 1.5 mL of 0.9% NaCl, 500 µL of atipamezole (5.0 mg/mL), 5.0 mL of flumazenil (0.1 mg/mL), and 3.0 mL of naloxone (0.4 mg/mL), for a final volume of 10 </w:t>
      </w:r>
      <w:proofErr w:type="spellStart"/>
      <w:r w:rsidR="009A7CD2" w:rsidRPr="00BA50D5">
        <w:rPr>
          <w:rFonts w:ascii="Calibri" w:hAnsi="Calibri" w:cs="Calibri"/>
          <w:sz w:val="24"/>
          <w:szCs w:val="24"/>
          <w:highlight w:val="yellow"/>
        </w:rPr>
        <w:t>mL.</w:t>
      </w:r>
      <w:proofErr w:type="spellEnd"/>
    </w:p>
    <w:p w14:paraId="6D8A7EE0" w14:textId="77777777" w:rsidR="00074CB6" w:rsidRPr="00BA50D5" w:rsidRDefault="00074CB6" w:rsidP="006B731C">
      <w:pPr>
        <w:spacing w:after="0" w:line="240" w:lineRule="auto"/>
        <w:jc w:val="both"/>
        <w:rPr>
          <w:rFonts w:ascii="Calibri" w:hAnsi="Calibri" w:cs="Calibri"/>
          <w:sz w:val="24"/>
          <w:szCs w:val="24"/>
          <w:highlight w:val="yellow"/>
        </w:rPr>
      </w:pPr>
    </w:p>
    <w:p w14:paraId="4D0DF273" w14:textId="4EB01C54" w:rsidR="00882912" w:rsidRPr="00BA50D5" w:rsidRDefault="00074CB6" w:rsidP="006B731C">
      <w:pPr>
        <w:spacing w:after="0" w:line="240" w:lineRule="auto"/>
        <w:jc w:val="both"/>
        <w:rPr>
          <w:rFonts w:ascii="Calibri" w:hAnsi="Calibri" w:cs="Calibri"/>
          <w:sz w:val="24"/>
          <w:szCs w:val="24"/>
        </w:rPr>
      </w:pPr>
      <w:r w:rsidRPr="00BA50D5">
        <w:rPr>
          <w:rFonts w:ascii="Calibri" w:hAnsi="Calibri" w:cs="Calibri"/>
          <w:sz w:val="24"/>
          <w:szCs w:val="24"/>
        </w:rPr>
        <w:t>3.5.2</w:t>
      </w:r>
      <w:r w:rsidRPr="00BA50D5">
        <w:rPr>
          <w:rFonts w:ascii="Calibri" w:hAnsi="Calibri" w:cs="Calibri"/>
          <w:sz w:val="24"/>
          <w:szCs w:val="24"/>
        </w:rPr>
        <w:tab/>
      </w:r>
      <w:r w:rsidR="009A7CD2" w:rsidRPr="00BA50D5">
        <w:rPr>
          <w:rFonts w:ascii="Calibri" w:hAnsi="Calibri" w:cs="Calibri"/>
          <w:sz w:val="24"/>
          <w:szCs w:val="24"/>
        </w:rPr>
        <w:t>Place the animal in a clean recovery cage over a heating pad and monitor</w:t>
      </w:r>
      <w:r w:rsidR="00D46D4D" w:rsidRPr="00BA50D5">
        <w:rPr>
          <w:rFonts w:ascii="Calibri" w:hAnsi="Calibri" w:cs="Calibri"/>
          <w:sz w:val="24"/>
          <w:szCs w:val="24"/>
        </w:rPr>
        <w:t xml:space="preserve"> it</w:t>
      </w:r>
      <w:r w:rsidR="009A7CD2" w:rsidRPr="00BA50D5">
        <w:rPr>
          <w:rFonts w:ascii="Calibri" w:hAnsi="Calibri" w:cs="Calibri"/>
          <w:sz w:val="24"/>
          <w:szCs w:val="24"/>
        </w:rPr>
        <w:t xml:space="preserve"> overnight.</w:t>
      </w:r>
    </w:p>
    <w:p w14:paraId="189E6A19" w14:textId="77777777" w:rsidR="00074CB6" w:rsidRPr="00BA50D5" w:rsidRDefault="00074CB6" w:rsidP="006B731C">
      <w:pPr>
        <w:spacing w:after="0" w:line="240" w:lineRule="auto"/>
        <w:jc w:val="both"/>
        <w:rPr>
          <w:rFonts w:ascii="Calibri" w:hAnsi="Calibri" w:cs="Calibri"/>
          <w:sz w:val="24"/>
          <w:szCs w:val="24"/>
        </w:rPr>
      </w:pPr>
    </w:p>
    <w:p w14:paraId="2D62E567" w14:textId="6CEB1197" w:rsidR="00882912" w:rsidRPr="006B731C" w:rsidRDefault="00882912" w:rsidP="006B731C">
      <w:pPr>
        <w:spacing w:after="0" w:line="240" w:lineRule="auto"/>
        <w:jc w:val="both"/>
        <w:rPr>
          <w:rFonts w:ascii="Calibri" w:hAnsi="Calibri" w:cs="Calibri"/>
          <w:sz w:val="24"/>
          <w:szCs w:val="24"/>
        </w:rPr>
      </w:pPr>
      <w:r w:rsidRPr="00BA50D5">
        <w:rPr>
          <w:rFonts w:ascii="Calibri" w:hAnsi="Calibri" w:cs="Calibri"/>
          <w:sz w:val="24"/>
          <w:szCs w:val="24"/>
        </w:rPr>
        <w:t xml:space="preserve">NOTE: </w:t>
      </w:r>
      <w:r w:rsidR="007364A3" w:rsidRPr="00BA50D5">
        <w:rPr>
          <w:rFonts w:ascii="Calibri" w:hAnsi="Calibri" w:cs="Calibri"/>
          <w:sz w:val="24"/>
          <w:szCs w:val="24"/>
        </w:rPr>
        <w:t xml:space="preserve">The injection room </w:t>
      </w:r>
      <w:r w:rsidR="00874BE8" w:rsidRPr="00BA50D5">
        <w:rPr>
          <w:rFonts w:ascii="Calibri" w:hAnsi="Calibri" w:cs="Calibri"/>
          <w:sz w:val="24"/>
          <w:szCs w:val="24"/>
        </w:rPr>
        <w:t xml:space="preserve">should </w:t>
      </w:r>
      <w:r w:rsidR="007364A3" w:rsidRPr="00BA50D5">
        <w:rPr>
          <w:rFonts w:ascii="Calibri" w:hAnsi="Calibri" w:cs="Calibri"/>
          <w:sz w:val="24"/>
          <w:szCs w:val="24"/>
        </w:rPr>
        <w:t>ideally be equipped with a biological safety cabinet for vector handling. Researchers must wear appropriate personal protective equipment (PPE)</w:t>
      </w:r>
      <w:r w:rsidR="00FC754E" w:rsidRPr="00BA50D5">
        <w:rPr>
          <w:rFonts w:ascii="Calibri" w:hAnsi="Calibri" w:cs="Calibri"/>
          <w:sz w:val="24"/>
          <w:szCs w:val="24"/>
        </w:rPr>
        <w:t xml:space="preserve">, including a </w:t>
      </w:r>
      <w:r w:rsidR="007364A3" w:rsidRPr="00BA50D5">
        <w:rPr>
          <w:rFonts w:ascii="Calibri" w:hAnsi="Calibri" w:cs="Calibri"/>
          <w:sz w:val="24"/>
          <w:szCs w:val="24"/>
        </w:rPr>
        <w:t>lab coat, gloves, and eye protection. All waste (e.g., needles, syringes, and contaminated materials) must be disposed of in biohazard containers according to institutional and national regulations.</w:t>
      </w:r>
      <w:r w:rsidR="007364A3" w:rsidRPr="006B731C">
        <w:rPr>
          <w:rFonts w:ascii="Calibri" w:hAnsi="Calibri" w:cs="Calibri"/>
          <w:sz w:val="24"/>
          <w:szCs w:val="24"/>
        </w:rPr>
        <w:t xml:space="preserve"> </w:t>
      </w:r>
    </w:p>
    <w:p w14:paraId="0EB0541E" w14:textId="749020FE" w:rsidR="002A161C" w:rsidRPr="006B731C" w:rsidRDefault="002A161C" w:rsidP="006B731C">
      <w:pPr>
        <w:spacing w:after="0" w:line="240" w:lineRule="auto"/>
        <w:jc w:val="both"/>
        <w:rPr>
          <w:rFonts w:ascii="Calibri" w:hAnsi="Calibri" w:cs="Calibri"/>
          <w:sz w:val="24"/>
          <w:szCs w:val="24"/>
        </w:rPr>
      </w:pPr>
    </w:p>
    <w:p w14:paraId="27540566" w14:textId="76DD1F7F" w:rsidR="00600B5E" w:rsidRPr="006B731C" w:rsidRDefault="009A7CD2" w:rsidP="006B731C">
      <w:pPr>
        <w:pStyle w:val="PargrafodaLista"/>
        <w:numPr>
          <w:ilvl w:val="0"/>
          <w:numId w:val="11"/>
        </w:numPr>
        <w:spacing w:after="0" w:line="240" w:lineRule="auto"/>
        <w:ind w:left="0" w:firstLine="0"/>
        <w:contextualSpacing w:val="0"/>
        <w:jc w:val="both"/>
        <w:rPr>
          <w:rFonts w:ascii="Calibri" w:hAnsi="Calibri" w:cs="Calibri"/>
          <w:b/>
          <w:sz w:val="24"/>
          <w:szCs w:val="24"/>
        </w:rPr>
      </w:pPr>
      <w:r w:rsidRPr="006B731C">
        <w:rPr>
          <w:rFonts w:ascii="Calibri" w:hAnsi="Calibri" w:cs="Calibri"/>
          <w:b/>
          <w:sz w:val="24"/>
          <w:szCs w:val="24"/>
        </w:rPr>
        <w:t>Tissue collection, preparation</w:t>
      </w:r>
      <w:r w:rsidR="00FC754E" w:rsidRPr="006B731C">
        <w:rPr>
          <w:rFonts w:ascii="Calibri" w:hAnsi="Calibri" w:cs="Calibri"/>
          <w:b/>
          <w:sz w:val="24"/>
          <w:szCs w:val="24"/>
        </w:rPr>
        <w:t>,</w:t>
      </w:r>
      <w:r w:rsidRPr="006B731C">
        <w:rPr>
          <w:rFonts w:ascii="Calibri" w:hAnsi="Calibri" w:cs="Calibri"/>
          <w:b/>
          <w:sz w:val="24"/>
          <w:szCs w:val="24"/>
        </w:rPr>
        <w:t xml:space="preserve"> and processing</w:t>
      </w:r>
    </w:p>
    <w:p w14:paraId="5D5FF2D8" w14:textId="77777777" w:rsidR="00600B5E" w:rsidRPr="006B731C" w:rsidRDefault="00600B5E" w:rsidP="006B731C">
      <w:pPr>
        <w:spacing w:after="0" w:line="240" w:lineRule="auto"/>
        <w:jc w:val="both"/>
        <w:rPr>
          <w:rFonts w:ascii="Calibri" w:hAnsi="Calibri" w:cs="Calibri"/>
          <w:b/>
          <w:sz w:val="24"/>
          <w:szCs w:val="24"/>
        </w:rPr>
      </w:pPr>
    </w:p>
    <w:p w14:paraId="44F42BAD" w14:textId="269ABE28" w:rsidR="00600B5E" w:rsidRPr="006B731C" w:rsidRDefault="009A7CD2" w:rsidP="006B731C">
      <w:pPr>
        <w:pStyle w:val="PargrafodaLista"/>
        <w:numPr>
          <w:ilvl w:val="1"/>
          <w:numId w:val="11"/>
        </w:numPr>
        <w:spacing w:after="0" w:line="240" w:lineRule="auto"/>
        <w:ind w:left="0" w:firstLine="0"/>
        <w:contextualSpacing w:val="0"/>
        <w:jc w:val="both"/>
        <w:rPr>
          <w:rFonts w:ascii="Calibri" w:hAnsi="Calibri" w:cs="Calibri"/>
          <w:bCs/>
          <w:sz w:val="24"/>
          <w:szCs w:val="24"/>
        </w:rPr>
      </w:pPr>
      <w:r w:rsidRPr="006B731C">
        <w:rPr>
          <w:rFonts w:ascii="Calibri" w:hAnsi="Calibri" w:cs="Calibri"/>
          <w:bCs/>
          <w:sz w:val="24"/>
          <w:szCs w:val="24"/>
        </w:rPr>
        <w:t>Preparation</w:t>
      </w:r>
    </w:p>
    <w:p w14:paraId="318D28DE" w14:textId="77777777" w:rsidR="00FC754E" w:rsidRPr="006B731C" w:rsidRDefault="00FC754E" w:rsidP="006B731C">
      <w:pPr>
        <w:pStyle w:val="PargrafodaLista"/>
        <w:spacing w:after="0" w:line="240" w:lineRule="auto"/>
        <w:ind w:left="0"/>
        <w:contextualSpacing w:val="0"/>
        <w:jc w:val="both"/>
        <w:rPr>
          <w:rFonts w:ascii="Calibri" w:hAnsi="Calibri" w:cs="Calibri"/>
          <w:bCs/>
          <w:sz w:val="24"/>
          <w:szCs w:val="24"/>
        </w:rPr>
      </w:pPr>
    </w:p>
    <w:p w14:paraId="663C5234" w14:textId="72C6F02C" w:rsidR="00600B5E" w:rsidRPr="006B731C" w:rsidRDefault="009A7CD2" w:rsidP="006B731C">
      <w:pPr>
        <w:pStyle w:val="PargrafodaLista"/>
        <w:numPr>
          <w:ilvl w:val="2"/>
          <w:numId w:val="11"/>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Prepare all dissection instruments and required solutions for mouse euthanasia and tissue collection (e.g., anesthesia, 4% paraformaldehyde [PFA] in PBS</w:t>
      </w:r>
      <w:r w:rsidR="008C0754" w:rsidRPr="006B731C">
        <w:rPr>
          <w:rFonts w:ascii="Calibri" w:hAnsi="Calibri" w:cs="Calibri"/>
          <w:sz w:val="24"/>
          <w:szCs w:val="24"/>
        </w:rPr>
        <w:t>)</w:t>
      </w:r>
      <w:r w:rsidRPr="006B731C">
        <w:rPr>
          <w:rFonts w:ascii="Calibri" w:hAnsi="Calibri" w:cs="Calibri"/>
          <w:sz w:val="24"/>
          <w:szCs w:val="24"/>
        </w:rPr>
        <w:t>.</w:t>
      </w:r>
    </w:p>
    <w:p w14:paraId="0B7F670A" w14:textId="77777777" w:rsidR="00FC754E" w:rsidRPr="006B731C" w:rsidRDefault="00FC754E" w:rsidP="006B731C">
      <w:pPr>
        <w:pStyle w:val="PargrafodaLista"/>
        <w:spacing w:after="0" w:line="240" w:lineRule="auto"/>
        <w:ind w:left="0"/>
        <w:contextualSpacing w:val="0"/>
        <w:jc w:val="both"/>
        <w:rPr>
          <w:rFonts w:ascii="Calibri" w:hAnsi="Calibri" w:cs="Calibri"/>
          <w:sz w:val="24"/>
          <w:szCs w:val="24"/>
        </w:rPr>
      </w:pPr>
    </w:p>
    <w:p w14:paraId="332A843C" w14:textId="110EC90A" w:rsidR="00600B5E" w:rsidRPr="006B731C" w:rsidRDefault="009A7CD2" w:rsidP="006B731C">
      <w:pPr>
        <w:pStyle w:val="PargrafodaLista"/>
        <w:numPr>
          <w:ilvl w:val="2"/>
          <w:numId w:val="11"/>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 xml:space="preserve">Prepare </w:t>
      </w:r>
      <w:r w:rsidR="00246359" w:rsidRPr="006B731C">
        <w:rPr>
          <w:rFonts w:ascii="Calibri" w:hAnsi="Calibri" w:cs="Calibri"/>
          <w:sz w:val="24"/>
          <w:szCs w:val="24"/>
        </w:rPr>
        <w:t xml:space="preserve">4% </w:t>
      </w:r>
      <w:r w:rsidRPr="006B731C">
        <w:rPr>
          <w:rFonts w:ascii="Calibri" w:hAnsi="Calibri" w:cs="Calibri"/>
          <w:sz w:val="24"/>
          <w:szCs w:val="24"/>
        </w:rPr>
        <w:t>PFA in advance, store it frozen, and thaw no more than 24 h before use. Ensure the solution is thoroughly chilled prior to perfusion.</w:t>
      </w:r>
    </w:p>
    <w:p w14:paraId="2FBC3BC1" w14:textId="77777777" w:rsidR="00FC754E" w:rsidRPr="006B731C" w:rsidRDefault="00FC754E" w:rsidP="006B731C">
      <w:pPr>
        <w:spacing w:after="0" w:line="240" w:lineRule="auto"/>
        <w:jc w:val="both"/>
        <w:rPr>
          <w:rFonts w:ascii="Calibri" w:hAnsi="Calibri" w:cs="Calibri"/>
          <w:sz w:val="24"/>
          <w:szCs w:val="24"/>
        </w:rPr>
      </w:pPr>
    </w:p>
    <w:p w14:paraId="011FC87E" w14:textId="77777777"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CAUTION: PFA is toxic. Handle only inside a fume hood with appropriate personal protective equipment (PPE) and training.</w:t>
      </w:r>
    </w:p>
    <w:p w14:paraId="50B0C46D" w14:textId="77777777" w:rsidR="00FC754E" w:rsidRPr="006B731C" w:rsidRDefault="00FC754E" w:rsidP="006B731C">
      <w:pPr>
        <w:spacing w:after="0" w:line="240" w:lineRule="auto"/>
        <w:jc w:val="both"/>
        <w:rPr>
          <w:rFonts w:ascii="Calibri" w:hAnsi="Calibri" w:cs="Calibri"/>
          <w:sz w:val="24"/>
          <w:szCs w:val="24"/>
        </w:rPr>
      </w:pPr>
    </w:p>
    <w:p w14:paraId="3B5B4352" w14:textId="221E0837" w:rsidR="00600B5E" w:rsidRPr="006B731C" w:rsidRDefault="00FC754E" w:rsidP="006B731C">
      <w:pPr>
        <w:spacing w:after="0" w:line="240" w:lineRule="auto"/>
        <w:jc w:val="both"/>
        <w:rPr>
          <w:rFonts w:ascii="Calibri" w:hAnsi="Calibri" w:cs="Calibri"/>
          <w:sz w:val="24"/>
          <w:szCs w:val="24"/>
        </w:rPr>
      </w:pPr>
      <w:r w:rsidRPr="006B731C">
        <w:rPr>
          <w:rFonts w:ascii="Calibri" w:hAnsi="Calibri" w:cs="Calibri"/>
          <w:sz w:val="24"/>
          <w:szCs w:val="24"/>
        </w:rPr>
        <w:t>4.1.3</w:t>
      </w:r>
      <w:r w:rsidRPr="006B731C">
        <w:rPr>
          <w:rFonts w:ascii="Calibri" w:hAnsi="Calibri" w:cs="Calibri"/>
          <w:sz w:val="24"/>
          <w:szCs w:val="24"/>
        </w:rPr>
        <w:tab/>
      </w:r>
      <w:r w:rsidR="009A7CD2" w:rsidRPr="006B731C">
        <w:rPr>
          <w:rFonts w:ascii="Calibri" w:hAnsi="Calibri" w:cs="Calibri"/>
          <w:sz w:val="24"/>
          <w:szCs w:val="24"/>
        </w:rPr>
        <w:t>Administer a lethal dose of pentobarbital (100–200 mg/kg, intraperitoneally) to anesthetize the animal. Confirm deep anesthesia by the absence of the toe-pinch reflex; if the reflex persists, administer an additional dose.</w:t>
      </w:r>
    </w:p>
    <w:p w14:paraId="37326773" w14:textId="77777777" w:rsidR="00600B5E" w:rsidRPr="006B731C" w:rsidRDefault="00600B5E" w:rsidP="006B731C">
      <w:pPr>
        <w:spacing w:after="0" w:line="240" w:lineRule="auto"/>
        <w:jc w:val="both"/>
        <w:rPr>
          <w:rFonts w:ascii="Calibri" w:hAnsi="Calibri" w:cs="Calibri"/>
          <w:bCs/>
          <w:sz w:val="24"/>
          <w:szCs w:val="24"/>
        </w:rPr>
      </w:pPr>
    </w:p>
    <w:p w14:paraId="23B770BC" w14:textId="5C1EA45F" w:rsidR="00600B5E" w:rsidRPr="006B731C" w:rsidRDefault="007406A3" w:rsidP="006B731C">
      <w:pPr>
        <w:spacing w:after="0" w:line="240" w:lineRule="auto"/>
        <w:jc w:val="both"/>
        <w:rPr>
          <w:rFonts w:ascii="Calibri" w:hAnsi="Calibri" w:cs="Calibri"/>
          <w:bCs/>
          <w:sz w:val="24"/>
          <w:szCs w:val="24"/>
        </w:rPr>
      </w:pPr>
      <w:r w:rsidRPr="006B731C">
        <w:rPr>
          <w:rFonts w:ascii="Calibri" w:hAnsi="Calibri" w:cs="Calibri"/>
          <w:bCs/>
          <w:sz w:val="24"/>
          <w:szCs w:val="24"/>
        </w:rPr>
        <w:t>4.2</w:t>
      </w:r>
      <w:r w:rsidRPr="006B731C">
        <w:rPr>
          <w:rFonts w:ascii="Calibri" w:hAnsi="Calibri" w:cs="Calibri"/>
          <w:bCs/>
          <w:sz w:val="24"/>
          <w:szCs w:val="24"/>
        </w:rPr>
        <w:tab/>
      </w:r>
      <w:proofErr w:type="spellStart"/>
      <w:r w:rsidR="009A7CD2" w:rsidRPr="006B731C">
        <w:rPr>
          <w:rFonts w:ascii="Calibri" w:hAnsi="Calibri" w:cs="Calibri"/>
          <w:bCs/>
          <w:sz w:val="24"/>
          <w:szCs w:val="24"/>
        </w:rPr>
        <w:t>Transcardial</w:t>
      </w:r>
      <w:proofErr w:type="spellEnd"/>
      <w:r w:rsidR="009A7CD2" w:rsidRPr="006B731C">
        <w:rPr>
          <w:rFonts w:ascii="Calibri" w:hAnsi="Calibri" w:cs="Calibri"/>
          <w:bCs/>
          <w:sz w:val="24"/>
          <w:szCs w:val="24"/>
        </w:rPr>
        <w:t xml:space="preserve"> perfusion</w:t>
      </w:r>
    </w:p>
    <w:p w14:paraId="4A009634" w14:textId="77777777" w:rsidR="007406A3" w:rsidRPr="006B731C" w:rsidRDefault="007406A3" w:rsidP="006B731C">
      <w:pPr>
        <w:spacing w:after="0" w:line="240" w:lineRule="auto"/>
        <w:jc w:val="both"/>
        <w:rPr>
          <w:rFonts w:ascii="Calibri" w:hAnsi="Calibri" w:cs="Calibri"/>
          <w:sz w:val="24"/>
          <w:szCs w:val="24"/>
        </w:rPr>
      </w:pPr>
    </w:p>
    <w:p w14:paraId="146F7E1C" w14:textId="5C3ADFF7" w:rsidR="00600B5E" w:rsidRPr="006B731C" w:rsidRDefault="007406A3" w:rsidP="006B731C">
      <w:pPr>
        <w:spacing w:after="0" w:line="240" w:lineRule="auto"/>
        <w:jc w:val="both"/>
        <w:rPr>
          <w:rFonts w:ascii="Calibri" w:hAnsi="Calibri" w:cs="Calibri"/>
          <w:sz w:val="24"/>
          <w:szCs w:val="24"/>
        </w:rPr>
      </w:pPr>
      <w:r w:rsidRPr="006B731C">
        <w:rPr>
          <w:rFonts w:ascii="Calibri" w:hAnsi="Calibri" w:cs="Calibri"/>
          <w:sz w:val="24"/>
          <w:szCs w:val="24"/>
        </w:rPr>
        <w:t>4.2.1</w:t>
      </w:r>
      <w:r w:rsidRPr="006B731C">
        <w:rPr>
          <w:rFonts w:ascii="Calibri" w:hAnsi="Calibri" w:cs="Calibri"/>
          <w:sz w:val="24"/>
          <w:szCs w:val="24"/>
        </w:rPr>
        <w:tab/>
      </w:r>
      <w:r w:rsidR="009A7CD2" w:rsidRPr="006B731C">
        <w:rPr>
          <w:rFonts w:ascii="Calibri" w:hAnsi="Calibri" w:cs="Calibri"/>
          <w:sz w:val="24"/>
          <w:szCs w:val="24"/>
        </w:rPr>
        <w:t>Position and secure the animal in the dissection apparatus.</w:t>
      </w:r>
      <w:r w:rsidRPr="006B731C">
        <w:rPr>
          <w:rFonts w:ascii="Calibri" w:hAnsi="Calibri" w:cs="Calibri"/>
          <w:sz w:val="24"/>
          <w:szCs w:val="24"/>
        </w:rPr>
        <w:t xml:space="preserve"> </w:t>
      </w:r>
      <w:r w:rsidR="009A7CD2" w:rsidRPr="006B731C">
        <w:rPr>
          <w:rFonts w:ascii="Calibri" w:hAnsi="Calibri" w:cs="Calibri"/>
          <w:sz w:val="24"/>
          <w:szCs w:val="24"/>
        </w:rPr>
        <w:t>Using forceps, lift the abdominal skin and make an ascending vertical incision with scissors (</w:t>
      </w:r>
      <w:r w:rsidR="009A7CD2" w:rsidRPr="006B731C">
        <w:rPr>
          <w:rFonts w:ascii="Calibri" w:hAnsi="Calibri" w:cs="Calibri"/>
          <w:b/>
          <w:bCs/>
          <w:sz w:val="24"/>
          <w:szCs w:val="24"/>
        </w:rPr>
        <w:t xml:space="preserve">Figure </w:t>
      </w:r>
      <w:r w:rsidR="00CF761F" w:rsidRPr="006B731C">
        <w:rPr>
          <w:rFonts w:ascii="Calibri" w:hAnsi="Calibri" w:cs="Calibri"/>
          <w:b/>
          <w:bCs/>
          <w:sz w:val="24"/>
          <w:szCs w:val="24"/>
        </w:rPr>
        <w:t>2</w:t>
      </w:r>
      <w:r w:rsidR="009A7CD2" w:rsidRPr="006B731C">
        <w:rPr>
          <w:rFonts w:ascii="Calibri" w:hAnsi="Calibri" w:cs="Calibri"/>
          <w:b/>
          <w:bCs/>
          <w:sz w:val="24"/>
          <w:szCs w:val="24"/>
        </w:rPr>
        <w:t>A</w:t>
      </w:r>
      <w:r w:rsidR="009A7CD2" w:rsidRPr="006B731C">
        <w:rPr>
          <w:rFonts w:ascii="Calibri" w:hAnsi="Calibri" w:cs="Calibri"/>
          <w:sz w:val="24"/>
          <w:szCs w:val="24"/>
        </w:rPr>
        <w:t>, pink arrow).</w:t>
      </w:r>
    </w:p>
    <w:p w14:paraId="6FDD7515" w14:textId="77777777" w:rsidR="007406A3" w:rsidRPr="006B731C" w:rsidRDefault="007406A3" w:rsidP="006B731C">
      <w:pPr>
        <w:spacing w:after="0" w:line="240" w:lineRule="auto"/>
        <w:jc w:val="both"/>
        <w:rPr>
          <w:rFonts w:ascii="Calibri" w:hAnsi="Calibri" w:cs="Calibri"/>
          <w:sz w:val="24"/>
          <w:szCs w:val="24"/>
        </w:rPr>
      </w:pPr>
    </w:p>
    <w:p w14:paraId="1445C3B4" w14:textId="0602B44C" w:rsidR="00600B5E" w:rsidRPr="006B731C" w:rsidRDefault="007406A3" w:rsidP="006B731C">
      <w:pPr>
        <w:spacing w:after="0" w:line="240" w:lineRule="auto"/>
        <w:jc w:val="both"/>
        <w:rPr>
          <w:rFonts w:ascii="Calibri" w:hAnsi="Calibri" w:cs="Calibri"/>
          <w:sz w:val="24"/>
          <w:szCs w:val="24"/>
        </w:rPr>
      </w:pPr>
      <w:r w:rsidRPr="006B731C">
        <w:rPr>
          <w:rFonts w:ascii="Calibri" w:hAnsi="Calibri" w:cs="Calibri"/>
          <w:sz w:val="24"/>
          <w:szCs w:val="24"/>
        </w:rPr>
        <w:t>4.2.2</w:t>
      </w:r>
      <w:r w:rsidRPr="006B731C">
        <w:rPr>
          <w:rFonts w:ascii="Calibri" w:hAnsi="Calibri" w:cs="Calibri"/>
          <w:sz w:val="24"/>
          <w:szCs w:val="24"/>
        </w:rPr>
        <w:tab/>
      </w:r>
      <w:r w:rsidR="009A7CD2" w:rsidRPr="006B731C">
        <w:rPr>
          <w:rFonts w:ascii="Calibri" w:hAnsi="Calibri" w:cs="Calibri"/>
          <w:sz w:val="24"/>
          <w:szCs w:val="24"/>
        </w:rPr>
        <w:t>Lift the superficial fascia and make a superior incision until the liver is visible, avoiding injury to abdominal organs.</w:t>
      </w:r>
    </w:p>
    <w:p w14:paraId="64BB7828" w14:textId="77777777" w:rsidR="007406A3" w:rsidRPr="006B731C" w:rsidRDefault="007406A3" w:rsidP="006B731C">
      <w:pPr>
        <w:spacing w:after="0" w:line="240" w:lineRule="auto"/>
        <w:jc w:val="both"/>
        <w:rPr>
          <w:rFonts w:ascii="Calibri" w:hAnsi="Calibri" w:cs="Calibri"/>
          <w:sz w:val="24"/>
          <w:szCs w:val="24"/>
        </w:rPr>
      </w:pPr>
    </w:p>
    <w:p w14:paraId="53718776" w14:textId="5455441A" w:rsidR="00600B5E" w:rsidRPr="006B731C" w:rsidRDefault="007406A3" w:rsidP="006B731C">
      <w:pPr>
        <w:spacing w:after="0" w:line="240" w:lineRule="auto"/>
        <w:jc w:val="both"/>
        <w:rPr>
          <w:rFonts w:ascii="Calibri" w:hAnsi="Calibri" w:cs="Calibri"/>
          <w:sz w:val="24"/>
          <w:szCs w:val="24"/>
        </w:rPr>
      </w:pPr>
      <w:r w:rsidRPr="006B731C">
        <w:rPr>
          <w:rFonts w:ascii="Calibri" w:hAnsi="Calibri" w:cs="Calibri"/>
          <w:sz w:val="24"/>
          <w:szCs w:val="24"/>
        </w:rPr>
        <w:lastRenderedPageBreak/>
        <w:t>4.2.3</w:t>
      </w:r>
      <w:r w:rsidRPr="006B731C">
        <w:rPr>
          <w:rFonts w:ascii="Calibri" w:hAnsi="Calibri" w:cs="Calibri"/>
          <w:sz w:val="24"/>
          <w:szCs w:val="24"/>
        </w:rPr>
        <w:tab/>
      </w:r>
      <w:r w:rsidR="009A7CD2" w:rsidRPr="006B731C">
        <w:rPr>
          <w:rFonts w:ascii="Calibri" w:hAnsi="Calibri" w:cs="Calibri"/>
          <w:sz w:val="24"/>
          <w:szCs w:val="24"/>
        </w:rPr>
        <w:t>Cut the diaphragm horizontally, then extend the incision toward the axilla (</w:t>
      </w:r>
      <w:r w:rsidR="009A7CD2" w:rsidRPr="006B731C">
        <w:rPr>
          <w:rFonts w:ascii="Calibri" w:hAnsi="Calibri" w:cs="Calibri"/>
          <w:b/>
          <w:bCs/>
          <w:sz w:val="24"/>
          <w:szCs w:val="24"/>
        </w:rPr>
        <w:t xml:space="preserve">Figure </w:t>
      </w:r>
      <w:r w:rsidR="00CF761F" w:rsidRPr="006B731C">
        <w:rPr>
          <w:rFonts w:ascii="Calibri" w:hAnsi="Calibri" w:cs="Calibri"/>
          <w:b/>
          <w:bCs/>
          <w:sz w:val="24"/>
          <w:szCs w:val="24"/>
        </w:rPr>
        <w:t>2</w:t>
      </w:r>
      <w:r w:rsidR="009A7CD2" w:rsidRPr="006B731C">
        <w:rPr>
          <w:rFonts w:ascii="Calibri" w:hAnsi="Calibri" w:cs="Calibri"/>
          <w:b/>
          <w:bCs/>
          <w:sz w:val="24"/>
          <w:szCs w:val="24"/>
        </w:rPr>
        <w:t>A</w:t>
      </w:r>
      <w:r w:rsidR="009A7CD2" w:rsidRPr="006B731C">
        <w:rPr>
          <w:rFonts w:ascii="Calibri" w:hAnsi="Calibri" w:cs="Calibri"/>
          <w:sz w:val="24"/>
          <w:szCs w:val="24"/>
        </w:rPr>
        <w:t>, white arrow). Reflect and pin back the thoracic wall.</w:t>
      </w:r>
    </w:p>
    <w:p w14:paraId="167B823F" w14:textId="77777777" w:rsidR="007406A3" w:rsidRPr="006B731C" w:rsidRDefault="007406A3" w:rsidP="006B731C">
      <w:pPr>
        <w:spacing w:after="0" w:line="240" w:lineRule="auto"/>
        <w:jc w:val="both"/>
        <w:rPr>
          <w:rFonts w:ascii="Calibri" w:hAnsi="Calibri" w:cs="Calibri"/>
          <w:sz w:val="24"/>
          <w:szCs w:val="24"/>
        </w:rPr>
      </w:pPr>
    </w:p>
    <w:p w14:paraId="4566A71D" w14:textId="7472977E" w:rsidR="00600B5E" w:rsidRPr="006B731C" w:rsidRDefault="007406A3" w:rsidP="006B731C">
      <w:pPr>
        <w:spacing w:after="0" w:line="240" w:lineRule="auto"/>
        <w:jc w:val="both"/>
        <w:rPr>
          <w:rFonts w:ascii="Calibri" w:hAnsi="Calibri" w:cs="Calibri"/>
          <w:sz w:val="24"/>
          <w:szCs w:val="24"/>
        </w:rPr>
      </w:pPr>
      <w:r w:rsidRPr="006B731C">
        <w:rPr>
          <w:rFonts w:ascii="Calibri" w:hAnsi="Calibri" w:cs="Calibri"/>
          <w:sz w:val="24"/>
          <w:szCs w:val="24"/>
        </w:rPr>
        <w:t>4.2.4</w:t>
      </w:r>
      <w:r w:rsidRPr="006B731C">
        <w:rPr>
          <w:rFonts w:ascii="Calibri" w:hAnsi="Calibri" w:cs="Calibri"/>
          <w:sz w:val="24"/>
          <w:szCs w:val="24"/>
        </w:rPr>
        <w:tab/>
      </w:r>
      <w:r w:rsidR="009A7CD2" w:rsidRPr="006B731C">
        <w:rPr>
          <w:rFonts w:ascii="Calibri" w:hAnsi="Calibri" w:cs="Calibri"/>
          <w:sz w:val="24"/>
          <w:szCs w:val="24"/>
        </w:rPr>
        <w:t>Insert a perfusion needle into the apex of the left ventricle, ensuring it does not pierce the ventricular wall. Make a small incision in the right atrium with fine scissors</w:t>
      </w:r>
      <w:r w:rsidR="00AE140E" w:rsidRPr="006B731C">
        <w:rPr>
          <w:rFonts w:ascii="Calibri" w:hAnsi="Calibri" w:cs="Calibri"/>
          <w:sz w:val="24"/>
          <w:szCs w:val="24"/>
        </w:rPr>
        <w:t xml:space="preserve"> (</w:t>
      </w:r>
      <w:r w:rsidR="00AE140E" w:rsidRPr="006B731C">
        <w:rPr>
          <w:rFonts w:ascii="Calibri" w:hAnsi="Calibri" w:cs="Calibri"/>
          <w:b/>
          <w:bCs/>
          <w:sz w:val="24"/>
          <w:szCs w:val="24"/>
        </w:rPr>
        <w:t xml:space="preserve">Figure </w:t>
      </w:r>
      <w:r w:rsidR="00CF761F" w:rsidRPr="006B731C">
        <w:rPr>
          <w:rFonts w:ascii="Calibri" w:hAnsi="Calibri" w:cs="Calibri"/>
          <w:b/>
          <w:bCs/>
          <w:sz w:val="24"/>
          <w:szCs w:val="24"/>
        </w:rPr>
        <w:t>2</w:t>
      </w:r>
      <w:r w:rsidR="00AE140E" w:rsidRPr="006B731C">
        <w:rPr>
          <w:rFonts w:ascii="Calibri" w:hAnsi="Calibri" w:cs="Calibri"/>
          <w:b/>
          <w:bCs/>
          <w:sz w:val="24"/>
          <w:szCs w:val="24"/>
        </w:rPr>
        <w:t>B)</w:t>
      </w:r>
      <w:r w:rsidR="009A7CD2" w:rsidRPr="006B731C">
        <w:rPr>
          <w:rFonts w:ascii="Calibri" w:hAnsi="Calibri" w:cs="Calibri"/>
          <w:sz w:val="24"/>
          <w:szCs w:val="24"/>
        </w:rPr>
        <w:t xml:space="preserve">. </w:t>
      </w:r>
    </w:p>
    <w:p w14:paraId="74F75C4D" w14:textId="77777777" w:rsidR="00982123" w:rsidRPr="006B731C" w:rsidRDefault="00982123" w:rsidP="006B731C">
      <w:pPr>
        <w:spacing w:after="0" w:line="240" w:lineRule="auto"/>
        <w:jc w:val="both"/>
        <w:rPr>
          <w:rFonts w:ascii="Calibri" w:hAnsi="Calibri" w:cs="Calibri"/>
          <w:sz w:val="24"/>
          <w:szCs w:val="24"/>
        </w:rPr>
      </w:pPr>
    </w:p>
    <w:p w14:paraId="0E25D6EF" w14:textId="1AFFF7D7" w:rsidR="00600B5E" w:rsidRPr="006B731C" w:rsidRDefault="00982123" w:rsidP="006B731C">
      <w:pPr>
        <w:spacing w:after="0" w:line="240" w:lineRule="auto"/>
        <w:jc w:val="both"/>
        <w:rPr>
          <w:rFonts w:ascii="Calibri" w:hAnsi="Calibri" w:cs="Calibri"/>
          <w:sz w:val="24"/>
          <w:szCs w:val="24"/>
        </w:rPr>
      </w:pPr>
      <w:r w:rsidRPr="006B731C">
        <w:rPr>
          <w:rFonts w:ascii="Calibri" w:hAnsi="Calibri" w:cs="Calibri"/>
          <w:sz w:val="24"/>
          <w:szCs w:val="24"/>
        </w:rPr>
        <w:t>4.2.5</w:t>
      </w:r>
      <w:r w:rsidRPr="006B731C">
        <w:rPr>
          <w:rFonts w:ascii="Calibri" w:hAnsi="Calibri" w:cs="Calibri"/>
          <w:sz w:val="24"/>
          <w:szCs w:val="24"/>
        </w:rPr>
        <w:tab/>
      </w:r>
      <w:r w:rsidR="009A7CD2" w:rsidRPr="006B731C">
        <w:rPr>
          <w:rFonts w:ascii="Calibri" w:hAnsi="Calibri" w:cs="Calibri"/>
          <w:sz w:val="24"/>
          <w:szCs w:val="24"/>
        </w:rPr>
        <w:t xml:space="preserve">Begin </w:t>
      </w:r>
      <w:proofErr w:type="spellStart"/>
      <w:r w:rsidR="009A7CD2" w:rsidRPr="006B731C">
        <w:rPr>
          <w:rFonts w:ascii="Calibri" w:hAnsi="Calibri" w:cs="Calibri"/>
          <w:sz w:val="24"/>
          <w:szCs w:val="24"/>
        </w:rPr>
        <w:t>transcardial</w:t>
      </w:r>
      <w:proofErr w:type="spellEnd"/>
      <w:r w:rsidR="009A7CD2" w:rsidRPr="006B731C">
        <w:rPr>
          <w:rFonts w:ascii="Calibri" w:hAnsi="Calibri" w:cs="Calibri"/>
          <w:sz w:val="24"/>
          <w:szCs w:val="24"/>
        </w:rPr>
        <w:t xml:space="preserve"> perfusion using 50 mL of ice-cold 4% paraformaldehyde (PFA) at a flow rate of 1-2 mL/min.</w:t>
      </w:r>
    </w:p>
    <w:p w14:paraId="5864FCA8" w14:textId="77777777" w:rsidR="00982123" w:rsidRPr="006B731C" w:rsidRDefault="00982123" w:rsidP="006B731C">
      <w:pPr>
        <w:spacing w:after="0" w:line="240" w:lineRule="auto"/>
        <w:jc w:val="both"/>
        <w:rPr>
          <w:rFonts w:ascii="Calibri" w:hAnsi="Calibri" w:cs="Calibri"/>
          <w:sz w:val="24"/>
          <w:szCs w:val="24"/>
        </w:rPr>
      </w:pPr>
    </w:p>
    <w:p w14:paraId="5CB348AB" w14:textId="1E0617EB"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bCs/>
          <w:sz w:val="24"/>
          <w:szCs w:val="24"/>
        </w:rPr>
        <w:t>NOTE:</w:t>
      </w:r>
      <w:r w:rsidRPr="006B731C">
        <w:rPr>
          <w:rFonts w:ascii="Calibri" w:hAnsi="Calibri" w:cs="Calibri"/>
          <w:sz w:val="24"/>
          <w:szCs w:val="24"/>
        </w:rPr>
        <w:t xml:space="preserve"> Often</w:t>
      </w:r>
      <w:r w:rsidR="00D14FF4" w:rsidRPr="006B731C">
        <w:rPr>
          <w:rFonts w:ascii="Calibri" w:hAnsi="Calibri" w:cs="Calibri"/>
          <w:sz w:val="24"/>
          <w:szCs w:val="24"/>
        </w:rPr>
        <w:t>,</w:t>
      </w:r>
      <w:r w:rsidRPr="006B731C">
        <w:rPr>
          <w:rFonts w:ascii="Calibri" w:hAnsi="Calibri" w:cs="Calibri"/>
          <w:sz w:val="24"/>
          <w:szCs w:val="24"/>
        </w:rPr>
        <w:t xml:space="preserve"> the cold solution causes tail curling and muscle twitching, which is an indicator of good perfusion.</w:t>
      </w:r>
    </w:p>
    <w:p w14:paraId="64F7AAA6" w14:textId="77777777" w:rsidR="00600B5E" w:rsidRPr="006B731C" w:rsidRDefault="00600B5E" w:rsidP="006B731C">
      <w:pPr>
        <w:spacing w:after="0" w:line="240" w:lineRule="auto"/>
        <w:jc w:val="both"/>
        <w:rPr>
          <w:rFonts w:ascii="Calibri" w:hAnsi="Calibri" w:cs="Calibri"/>
          <w:sz w:val="24"/>
          <w:szCs w:val="24"/>
        </w:rPr>
      </w:pPr>
    </w:p>
    <w:p w14:paraId="0C5A9D0A" w14:textId="0CE0FD62" w:rsidR="00600B5E" w:rsidRPr="006B731C" w:rsidRDefault="00982123" w:rsidP="006B731C">
      <w:pPr>
        <w:spacing w:after="0" w:line="240" w:lineRule="auto"/>
        <w:jc w:val="both"/>
        <w:rPr>
          <w:rFonts w:ascii="Calibri" w:hAnsi="Calibri" w:cs="Calibri"/>
          <w:bCs/>
          <w:sz w:val="24"/>
          <w:szCs w:val="24"/>
        </w:rPr>
      </w:pPr>
      <w:r w:rsidRPr="006B731C">
        <w:rPr>
          <w:rFonts w:ascii="Calibri" w:hAnsi="Calibri" w:cs="Calibri"/>
          <w:bCs/>
          <w:sz w:val="24"/>
          <w:szCs w:val="24"/>
        </w:rPr>
        <w:t>4.3</w:t>
      </w:r>
      <w:r w:rsidRPr="006B731C">
        <w:rPr>
          <w:rFonts w:ascii="Calibri" w:hAnsi="Calibri" w:cs="Calibri"/>
          <w:bCs/>
          <w:sz w:val="24"/>
          <w:szCs w:val="24"/>
        </w:rPr>
        <w:tab/>
      </w:r>
      <w:r w:rsidR="009A7CD2" w:rsidRPr="006B731C">
        <w:rPr>
          <w:rFonts w:ascii="Calibri" w:hAnsi="Calibri" w:cs="Calibri"/>
          <w:bCs/>
          <w:sz w:val="24"/>
          <w:szCs w:val="24"/>
        </w:rPr>
        <w:t>Brain dissection</w:t>
      </w:r>
    </w:p>
    <w:p w14:paraId="1F49FB96" w14:textId="77777777" w:rsidR="00982123" w:rsidRPr="006B731C" w:rsidRDefault="00982123" w:rsidP="006B731C">
      <w:pPr>
        <w:spacing w:after="0" w:line="240" w:lineRule="auto"/>
        <w:jc w:val="both"/>
        <w:rPr>
          <w:rFonts w:ascii="Calibri" w:hAnsi="Calibri" w:cs="Calibri"/>
          <w:sz w:val="24"/>
          <w:szCs w:val="24"/>
        </w:rPr>
      </w:pPr>
    </w:p>
    <w:p w14:paraId="49E1ECED" w14:textId="7F434FC8" w:rsidR="00600B5E" w:rsidRPr="006B731C" w:rsidRDefault="00982123" w:rsidP="006B731C">
      <w:pPr>
        <w:spacing w:after="0" w:line="240" w:lineRule="auto"/>
        <w:jc w:val="both"/>
        <w:rPr>
          <w:rFonts w:ascii="Calibri" w:hAnsi="Calibri" w:cs="Calibri"/>
          <w:sz w:val="24"/>
          <w:szCs w:val="24"/>
        </w:rPr>
      </w:pPr>
      <w:r w:rsidRPr="006B731C">
        <w:rPr>
          <w:rFonts w:ascii="Calibri" w:hAnsi="Calibri" w:cs="Calibri"/>
          <w:sz w:val="24"/>
          <w:szCs w:val="24"/>
        </w:rPr>
        <w:t>4.3.1</w:t>
      </w:r>
      <w:r w:rsidRPr="006B731C">
        <w:rPr>
          <w:rFonts w:ascii="Calibri" w:hAnsi="Calibri" w:cs="Calibri"/>
          <w:sz w:val="24"/>
          <w:szCs w:val="24"/>
        </w:rPr>
        <w:tab/>
      </w:r>
      <w:r w:rsidR="009A7CD2" w:rsidRPr="006B731C">
        <w:rPr>
          <w:rFonts w:ascii="Calibri" w:hAnsi="Calibri" w:cs="Calibri"/>
          <w:sz w:val="24"/>
          <w:szCs w:val="24"/>
        </w:rPr>
        <w:t>Prepare a tube containing sufficient PFA 4% to fully submerge the brain.</w:t>
      </w:r>
      <w:r w:rsidRPr="006B731C">
        <w:rPr>
          <w:rFonts w:ascii="Calibri" w:hAnsi="Calibri" w:cs="Calibri"/>
          <w:sz w:val="24"/>
          <w:szCs w:val="24"/>
        </w:rPr>
        <w:t xml:space="preserve"> </w:t>
      </w:r>
      <w:r w:rsidR="009A7CD2" w:rsidRPr="006B731C">
        <w:rPr>
          <w:rFonts w:ascii="Calibri" w:hAnsi="Calibri" w:cs="Calibri"/>
          <w:sz w:val="24"/>
          <w:szCs w:val="24"/>
        </w:rPr>
        <w:t xml:space="preserve">Decapitate the mouse with large scissors. Dispose of the body in a sealed </w:t>
      </w:r>
      <w:r w:rsidR="00976B67" w:rsidRPr="006B731C">
        <w:rPr>
          <w:rFonts w:ascii="Calibri" w:hAnsi="Calibri" w:cs="Calibri"/>
          <w:sz w:val="24"/>
          <w:szCs w:val="24"/>
        </w:rPr>
        <w:t xml:space="preserve">biohazard </w:t>
      </w:r>
      <w:r w:rsidR="009A7CD2" w:rsidRPr="006B731C">
        <w:rPr>
          <w:rFonts w:ascii="Calibri" w:hAnsi="Calibri" w:cs="Calibri"/>
          <w:sz w:val="24"/>
          <w:szCs w:val="24"/>
        </w:rPr>
        <w:t>bag for incineration.</w:t>
      </w:r>
    </w:p>
    <w:p w14:paraId="57F0D90F" w14:textId="77777777" w:rsidR="00982123" w:rsidRPr="006B731C" w:rsidRDefault="00982123" w:rsidP="006B731C">
      <w:pPr>
        <w:spacing w:after="0" w:line="240" w:lineRule="auto"/>
        <w:jc w:val="both"/>
        <w:rPr>
          <w:rFonts w:ascii="Calibri" w:hAnsi="Calibri" w:cs="Calibri"/>
          <w:sz w:val="24"/>
          <w:szCs w:val="24"/>
        </w:rPr>
      </w:pPr>
    </w:p>
    <w:p w14:paraId="7B4B1955" w14:textId="716634AC" w:rsidR="00600B5E" w:rsidRPr="006B731C" w:rsidRDefault="00BD1614" w:rsidP="006B731C">
      <w:pPr>
        <w:spacing w:after="0" w:line="240" w:lineRule="auto"/>
        <w:jc w:val="both"/>
        <w:rPr>
          <w:rFonts w:ascii="Calibri" w:hAnsi="Calibri" w:cs="Calibri"/>
          <w:sz w:val="24"/>
          <w:szCs w:val="24"/>
        </w:rPr>
      </w:pPr>
      <w:r w:rsidRPr="006B731C">
        <w:rPr>
          <w:rFonts w:ascii="Calibri" w:hAnsi="Calibri" w:cs="Calibri"/>
          <w:sz w:val="24"/>
          <w:szCs w:val="24"/>
        </w:rPr>
        <w:t>4.3.2</w:t>
      </w:r>
      <w:r w:rsidRPr="006B731C">
        <w:rPr>
          <w:rFonts w:ascii="Calibri" w:hAnsi="Calibri" w:cs="Calibri"/>
          <w:sz w:val="24"/>
          <w:szCs w:val="24"/>
        </w:rPr>
        <w:tab/>
      </w:r>
      <w:r w:rsidR="009A7CD2" w:rsidRPr="006B731C">
        <w:rPr>
          <w:rFonts w:ascii="Calibri" w:hAnsi="Calibri" w:cs="Calibri"/>
          <w:sz w:val="24"/>
          <w:szCs w:val="24"/>
        </w:rPr>
        <w:t>Reflect the scalp to expose the skull. Identify the foramen magnum and begin removing the skull by cutting laterally with fine scissors, parallel to the brain (</w:t>
      </w:r>
      <w:r w:rsidR="009A7CD2" w:rsidRPr="006B731C">
        <w:rPr>
          <w:rFonts w:ascii="Calibri" w:hAnsi="Calibri" w:cs="Calibri"/>
          <w:b/>
          <w:bCs/>
          <w:sz w:val="24"/>
          <w:szCs w:val="24"/>
        </w:rPr>
        <w:t xml:space="preserve">Figure </w:t>
      </w:r>
      <w:r w:rsidR="00CF761F" w:rsidRPr="006B731C">
        <w:rPr>
          <w:rFonts w:ascii="Calibri" w:hAnsi="Calibri" w:cs="Calibri"/>
          <w:b/>
          <w:bCs/>
          <w:sz w:val="24"/>
          <w:szCs w:val="24"/>
        </w:rPr>
        <w:t>2</w:t>
      </w:r>
      <w:r w:rsidR="009A7CD2" w:rsidRPr="006B731C">
        <w:rPr>
          <w:rFonts w:ascii="Calibri" w:hAnsi="Calibri" w:cs="Calibri"/>
          <w:b/>
          <w:bCs/>
          <w:sz w:val="24"/>
          <w:szCs w:val="24"/>
        </w:rPr>
        <w:t>C</w:t>
      </w:r>
      <w:r w:rsidR="009A7CD2" w:rsidRPr="006B731C">
        <w:rPr>
          <w:rFonts w:ascii="Calibri" w:hAnsi="Calibri" w:cs="Calibri"/>
          <w:sz w:val="24"/>
          <w:szCs w:val="24"/>
        </w:rPr>
        <w:t>).</w:t>
      </w:r>
    </w:p>
    <w:p w14:paraId="7C40D3A6" w14:textId="77777777" w:rsidR="00BD1614" w:rsidRPr="006B731C" w:rsidRDefault="00BD1614" w:rsidP="006B731C">
      <w:pPr>
        <w:spacing w:after="0" w:line="240" w:lineRule="auto"/>
        <w:jc w:val="both"/>
        <w:rPr>
          <w:rFonts w:ascii="Calibri" w:hAnsi="Calibri" w:cs="Calibri"/>
          <w:sz w:val="24"/>
          <w:szCs w:val="24"/>
        </w:rPr>
      </w:pPr>
    </w:p>
    <w:p w14:paraId="0B17DEE6" w14:textId="4677D43B" w:rsidR="00600B5E" w:rsidRPr="006B731C" w:rsidRDefault="00BD1614" w:rsidP="006B731C">
      <w:pPr>
        <w:spacing w:after="0" w:line="240" w:lineRule="auto"/>
        <w:jc w:val="both"/>
        <w:rPr>
          <w:rFonts w:ascii="Calibri" w:hAnsi="Calibri" w:cs="Calibri"/>
          <w:sz w:val="24"/>
          <w:szCs w:val="24"/>
        </w:rPr>
      </w:pPr>
      <w:r w:rsidRPr="006B731C">
        <w:rPr>
          <w:rFonts w:ascii="Calibri" w:hAnsi="Calibri" w:cs="Calibri"/>
          <w:sz w:val="24"/>
          <w:szCs w:val="24"/>
        </w:rPr>
        <w:t>4.3.3</w:t>
      </w:r>
      <w:r w:rsidRPr="006B731C">
        <w:rPr>
          <w:rFonts w:ascii="Calibri" w:hAnsi="Calibri" w:cs="Calibri"/>
          <w:sz w:val="24"/>
          <w:szCs w:val="24"/>
        </w:rPr>
        <w:tab/>
      </w:r>
      <w:r w:rsidR="009A7CD2" w:rsidRPr="006B731C">
        <w:rPr>
          <w:rFonts w:ascii="Calibri" w:hAnsi="Calibri" w:cs="Calibri"/>
          <w:sz w:val="24"/>
          <w:szCs w:val="24"/>
        </w:rPr>
        <w:t>Repeat on the contralateral side, then cut the skull between the eyes above the olfactory bulbs.</w:t>
      </w:r>
    </w:p>
    <w:p w14:paraId="5707EC86" w14:textId="77777777" w:rsidR="00BD1614" w:rsidRPr="006B731C" w:rsidRDefault="00BD1614" w:rsidP="006B731C">
      <w:pPr>
        <w:spacing w:after="0" w:line="240" w:lineRule="auto"/>
        <w:jc w:val="both"/>
        <w:rPr>
          <w:rFonts w:ascii="Calibri" w:hAnsi="Calibri" w:cs="Calibri"/>
          <w:sz w:val="24"/>
          <w:szCs w:val="24"/>
        </w:rPr>
      </w:pPr>
    </w:p>
    <w:p w14:paraId="715B7B67" w14:textId="33011EC2" w:rsidR="00600B5E" w:rsidRPr="006B731C" w:rsidRDefault="00BD1614" w:rsidP="006B731C">
      <w:pPr>
        <w:spacing w:after="0" w:line="240" w:lineRule="auto"/>
        <w:jc w:val="both"/>
        <w:rPr>
          <w:rFonts w:ascii="Calibri" w:hAnsi="Calibri" w:cs="Calibri"/>
          <w:sz w:val="24"/>
          <w:szCs w:val="24"/>
        </w:rPr>
      </w:pPr>
      <w:r w:rsidRPr="006B731C">
        <w:rPr>
          <w:rFonts w:ascii="Calibri" w:hAnsi="Calibri" w:cs="Calibri"/>
          <w:sz w:val="24"/>
          <w:szCs w:val="24"/>
        </w:rPr>
        <w:t>4.3.4</w:t>
      </w:r>
      <w:r w:rsidRPr="006B731C">
        <w:rPr>
          <w:rFonts w:ascii="Calibri" w:hAnsi="Calibri" w:cs="Calibri"/>
          <w:sz w:val="24"/>
          <w:szCs w:val="24"/>
        </w:rPr>
        <w:tab/>
      </w:r>
      <w:r w:rsidR="009A7CD2" w:rsidRPr="006B731C">
        <w:rPr>
          <w:rFonts w:ascii="Calibri" w:hAnsi="Calibri" w:cs="Calibri"/>
          <w:sz w:val="24"/>
          <w:szCs w:val="24"/>
        </w:rPr>
        <w:t>Lift the skull from the cerebellum toward the olfactory bulbs to expose the brain.</w:t>
      </w:r>
      <w:r w:rsidRPr="006B731C">
        <w:rPr>
          <w:rFonts w:ascii="Calibri" w:hAnsi="Calibri" w:cs="Calibri"/>
          <w:sz w:val="24"/>
          <w:szCs w:val="24"/>
        </w:rPr>
        <w:t xml:space="preserve"> </w:t>
      </w:r>
      <w:r w:rsidR="009A7CD2" w:rsidRPr="006B731C">
        <w:rPr>
          <w:rFonts w:ascii="Calibri" w:hAnsi="Calibri" w:cs="Calibri"/>
          <w:sz w:val="24"/>
          <w:szCs w:val="24"/>
        </w:rPr>
        <w:t xml:space="preserve">Using a spatula, remove the brain carefully from posterior to anterior and immerse it in 4% PFA for no longer than 24 </w:t>
      </w:r>
      <w:proofErr w:type="spellStart"/>
      <w:r w:rsidR="009A7CD2" w:rsidRPr="006B731C">
        <w:rPr>
          <w:rFonts w:ascii="Calibri" w:hAnsi="Calibri" w:cs="Calibri"/>
          <w:sz w:val="24"/>
          <w:szCs w:val="24"/>
        </w:rPr>
        <w:t>h at</w:t>
      </w:r>
      <w:proofErr w:type="spellEnd"/>
      <w:r w:rsidR="009A7CD2" w:rsidRPr="006B731C">
        <w:rPr>
          <w:rFonts w:ascii="Calibri" w:hAnsi="Calibri" w:cs="Calibri"/>
          <w:sz w:val="24"/>
          <w:szCs w:val="24"/>
        </w:rPr>
        <w:t xml:space="preserve"> 4</w:t>
      </w:r>
      <w:r w:rsidRPr="006B731C">
        <w:rPr>
          <w:rFonts w:ascii="Calibri" w:hAnsi="Calibri" w:cs="Calibri"/>
          <w:sz w:val="24"/>
          <w:szCs w:val="24"/>
        </w:rPr>
        <w:t xml:space="preserve"> </w:t>
      </w:r>
      <w:r w:rsidR="009A7CD2" w:rsidRPr="006B731C">
        <w:rPr>
          <w:rFonts w:ascii="Calibri" w:hAnsi="Calibri" w:cs="Calibri"/>
          <w:sz w:val="24"/>
          <w:szCs w:val="24"/>
        </w:rPr>
        <w:t>°C.</w:t>
      </w:r>
    </w:p>
    <w:p w14:paraId="6036D4FB" w14:textId="77777777" w:rsidR="00BD1614" w:rsidRPr="006B731C" w:rsidRDefault="00BD1614" w:rsidP="006B731C">
      <w:pPr>
        <w:spacing w:after="0" w:line="240" w:lineRule="auto"/>
        <w:jc w:val="both"/>
        <w:rPr>
          <w:rFonts w:ascii="Calibri" w:hAnsi="Calibri" w:cs="Calibri"/>
          <w:sz w:val="24"/>
          <w:szCs w:val="24"/>
        </w:rPr>
      </w:pPr>
    </w:p>
    <w:p w14:paraId="5D9A2477" w14:textId="1389FA06" w:rsidR="00600B5E" w:rsidRPr="006B731C" w:rsidRDefault="00BD1614" w:rsidP="006B731C">
      <w:pPr>
        <w:spacing w:after="0" w:line="240" w:lineRule="auto"/>
        <w:jc w:val="both"/>
        <w:rPr>
          <w:rFonts w:ascii="Calibri" w:hAnsi="Calibri" w:cs="Calibri"/>
          <w:sz w:val="24"/>
          <w:szCs w:val="24"/>
        </w:rPr>
      </w:pPr>
      <w:r w:rsidRPr="006B731C">
        <w:rPr>
          <w:rFonts w:ascii="Calibri" w:hAnsi="Calibri" w:cs="Calibri"/>
          <w:sz w:val="24"/>
          <w:szCs w:val="24"/>
        </w:rPr>
        <w:t>4.3.5</w:t>
      </w:r>
      <w:r w:rsidRPr="006B731C">
        <w:rPr>
          <w:rFonts w:ascii="Calibri" w:hAnsi="Calibri" w:cs="Calibri"/>
          <w:sz w:val="24"/>
          <w:szCs w:val="24"/>
        </w:rPr>
        <w:tab/>
      </w:r>
      <w:r w:rsidR="009A7CD2" w:rsidRPr="006B731C">
        <w:rPr>
          <w:rFonts w:ascii="Calibri" w:hAnsi="Calibri" w:cs="Calibri"/>
          <w:sz w:val="24"/>
          <w:szCs w:val="24"/>
        </w:rPr>
        <w:t>Replace the embedding solution with 20</w:t>
      </w:r>
      <w:r w:rsidRPr="006B731C">
        <w:rPr>
          <w:rFonts w:ascii="Calibri" w:hAnsi="Calibri" w:cs="Calibri"/>
          <w:sz w:val="24"/>
          <w:szCs w:val="24"/>
        </w:rPr>
        <w:t>%</w:t>
      </w:r>
      <w:r w:rsidR="009A7CD2" w:rsidRPr="006B731C">
        <w:rPr>
          <w:rFonts w:ascii="Calibri" w:hAnsi="Calibri" w:cs="Calibri"/>
          <w:sz w:val="24"/>
          <w:szCs w:val="24"/>
        </w:rPr>
        <w:t>-30% sucrose in PBS and incubate at 4</w:t>
      </w:r>
      <w:r w:rsidRPr="006B731C">
        <w:rPr>
          <w:rFonts w:ascii="Calibri" w:hAnsi="Calibri" w:cs="Calibri"/>
          <w:sz w:val="24"/>
          <w:szCs w:val="24"/>
        </w:rPr>
        <w:t xml:space="preserve"> </w:t>
      </w:r>
      <w:r w:rsidR="009A7CD2" w:rsidRPr="006B731C">
        <w:rPr>
          <w:rFonts w:ascii="Calibri" w:hAnsi="Calibri" w:cs="Calibri"/>
          <w:sz w:val="24"/>
          <w:szCs w:val="24"/>
        </w:rPr>
        <w:t>°C until infiltration is complete. The brain will initially float and then sink once fully infiltrated, typically within 24</w:t>
      </w:r>
      <w:r w:rsidRPr="006B731C">
        <w:rPr>
          <w:rFonts w:ascii="Calibri" w:hAnsi="Calibri" w:cs="Calibri"/>
          <w:sz w:val="24"/>
          <w:szCs w:val="24"/>
        </w:rPr>
        <w:t xml:space="preserve"> </w:t>
      </w:r>
      <w:r w:rsidR="009A7CD2" w:rsidRPr="006B731C">
        <w:rPr>
          <w:rFonts w:ascii="Calibri" w:hAnsi="Calibri" w:cs="Calibri"/>
          <w:sz w:val="24"/>
          <w:szCs w:val="24"/>
        </w:rPr>
        <w:t>h. If it remains afloat, extend the incubation until it settles at the bottom of the tube.</w:t>
      </w:r>
    </w:p>
    <w:p w14:paraId="5A2F4D22" w14:textId="77777777" w:rsidR="00BD1614" w:rsidRPr="006B731C" w:rsidRDefault="00BD1614" w:rsidP="006B731C">
      <w:pPr>
        <w:spacing w:after="0" w:line="240" w:lineRule="auto"/>
        <w:jc w:val="both"/>
        <w:rPr>
          <w:rFonts w:ascii="Calibri" w:hAnsi="Calibri" w:cs="Calibri"/>
          <w:sz w:val="24"/>
          <w:szCs w:val="24"/>
        </w:rPr>
      </w:pPr>
    </w:p>
    <w:p w14:paraId="7D75C16B" w14:textId="77777777"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bCs/>
          <w:sz w:val="24"/>
          <w:szCs w:val="24"/>
        </w:rPr>
        <w:t xml:space="preserve">NOTE: </w:t>
      </w:r>
      <w:r w:rsidRPr="006B731C">
        <w:rPr>
          <w:rFonts w:ascii="Calibri" w:hAnsi="Calibri" w:cs="Calibri"/>
          <w:sz w:val="24"/>
          <w:szCs w:val="24"/>
        </w:rPr>
        <w:t>This cryoprotection step minimizes freezing artifacts by reducing tissue water content.</w:t>
      </w:r>
    </w:p>
    <w:p w14:paraId="298A1E0F" w14:textId="2B2B455F"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Gently dry the brain and tube, then store at -80</w:t>
      </w:r>
      <w:r w:rsidR="0037144E">
        <w:rPr>
          <w:rFonts w:ascii="Calibri" w:hAnsi="Calibri" w:cs="Calibri"/>
          <w:sz w:val="24"/>
          <w:szCs w:val="24"/>
        </w:rPr>
        <w:t xml:space="preserve"> </w:t>
      </w:r>
      <w:r w:rsidRPr="006B731C">
        <w:rPr>
          <w:rFonts w:ascii="Calibri" w:hAnsi="Calibri" w:cs="Calibri"/>
          <w:sz w:val="24"/>
          <w:szCs w:val="24"/>
        </w:rPr>
        <w:t>°C until further use.</w:t>
      </w:r>
    </w:p>
    <w:p w14:paraId="32AFE66A" w14:textId="77777777" w:rsidR="00600B5E" w:rsidRPr="006B731C" w:rsidRDefault="00600B5E" w:rsidP="006B731C">
      <w:pPr>
        <w:spacing w:after="0" w:line="240" w:lineRule="auto"/>
        <w:jc w:val="both"/>
        <w:rPr>
          <w:rFonts w:ascii="Calibri" w:hAnsi="Calibri" w:cs="Calibri"/>
          <w:sz w:val="24"/>
          <w:szCs w:val="24"/>
        </w:rPr>
      </w:pPr>
    </w:p>
    <w:p w14:paraId="2127367E" w14:textId="45E3FB24" w:rsidR="00600B5E" w:rsidRPr="00CD3230" w:rsidRDefault="00BD1614" w:rsidP="006B731C">
      <w:pPr>
        <w:spacing w:after="0" w:line="240" w:lineRule="auto"/>
        <w:jc w:val="both"/>
        <w:rPr>
          <w:rFonts w:ascii="Calibri" w:hAnsi="Calibri" w:cs="Calibri"/>
          <w:bCs/>
          <w:sz w:val="24"/>
          <w:szCs w:val="24"/>
          <w:highlight w:val="yellow"/>
        </w:rPr>
      </w:pPr>
      <w:r w:rsidRPr="00CD3230">
        <w:rPr>
          <w:rFonts w:ascii="Calibri" w:hAnsi="Calibri" w:cs="Calibri"/>
          <w:bCs/>
          <w:sz w:val="24"/>
          <w:szCs w:val="24"/>
          <w:highlight w:val="yellow"/>
        </w:rPr>
        <w:t>4.4</w:t>
      </w:r>
      <w:r w:rsidRPr="00CD3230">
        <w:rPr>
          <w:rFonts w:ascii="Calibri" w:hAnsi="Calibri" w:cs="Calibri"/>
          <w:bCs/>
          <w:sz w:val="24"/>
          <w:szCs w:val="24"/>
          <w:highlight w:val="yellow"/>
        </w:rPr>
        <w:tab/>
      </w:r>
      <w:proofErr w:type="spellStart"/>
      <w:r w:rsidR="009A7CD2" w:rsidRPr="00CD3230">
        <w:rPr>
          <w:rFonts w:ascii="Calibri" w:hAnsi="Calibri" w:cs="Calibri"/>
          <w:bCs/>
          <w:sz w:val="24"/>
          <w:szCs w:val="24"/>
          <w:highlight w:val="yellow"/>
        </w:rPr>
        <w:t>Cryosectioning</w:t>
      </w:r>
      <w:proofErr w:type="spellEnd"/>
      <w:r w:rsidR="009A7CD2" w:rsidRPr="00CD3230">
        <w:rPr>
          <w:rFonts w:ascii="Calibri" w:hAnsi="Calibri" w:cs="Calibri"/>
          <w:bCs/>
          <w:sz w:val="24"/>
          <w:szCs w:val="24"/>
          <w:highlight w:val="yellow"/>
        </w:rPr>
        <w:t xml:space="preserve"> and free-floating tissue collection</w:t>
      </w:r>
    </w:p>
    <w:p w14:paraId="35D274E6" w14:textId="77777777" w:rsidR="00BD1614" w:rsidRPr="00CD3230" w:rsidRDefault="00BD1614" w:rsidP="006B731C">
      <w:pPr>
        <w:spacing w:after="0" w:line="240" w:lineRule="auto"/>
        <w:jc w:val="both"/>
        <w:rPr>
          <w:rFonts w:ascii="Calibri" w:hAnsi="Calibri" w:cs="Calibri"/>
          <w:bCs/>
          <w:sz w:val="24"/>
          <w:szCs w:val="24"/>
          <w:highlight w:val="yellow"/>
        </w:rPr>
      </w:pPr>
    </w:p>
    <w:p w14:paraId="78624C46" w14:textId="3284D702" w:rsidR="00600B5E" w:rsidRPr="006B731C" w:rsidRDefault="00BD1614" w:rsidP="006B731C">
      <w:pPr>
        <w:spacing w:after="0" w:line="240" w:lineRule="auto"/>
        <w:jc w:val="both"/>
        <w:rPr>
          <w:rFonts w:ascii="Calibri" w:hAnsi="Calibri" w:cs="Calibri"/>
          <w:sz w:val="24"/>
          <w:szCs w:val="24"/>
        </w:rPr>
      </w:pPr>
      <w:r w:rsidRPr="00CD3230">
        <w:rPr>
          <w:rFonts w:ascii="Calibri" w:hAnsi="Calibri" w:cs="Calibri"/>
          <w:sz w:val="24"/>
          <w:szCs w:val="24"/>
          <w:highlight w:val="yellow"/>
        </w:rPr>
        <w:t>4.4.1</w:t>
      </w:r>
      <w:r w:rsidRPr="00CD3230">
        <w:rPr>
          <w:rFonts w:ascii="Calibri" w:hAnsi="Calibri" w:cs="Calibri"/>
          <w:sz w:val="24"/>
          <w:szCs w:val="24"/>
          <w:highlight w:val="yellow"/>
        </w:rPr>
        <w:tab/>
      </w:r>
      <w:r w:rsidR="009A7CD2" w:rsidRPr="00CD3230">
        <w:rPr>
          <w:rFonts w:ascii="Calibri" w:hAnsi="Calibri" w:cs="Calibri"/>
          <w:sz w:val="24"/>
          <w:szCs w:val="24"/>
          <w:highlight w:val="yellow"/>
        </w:rPr>
        <w:t>Prior to sectioning, set the cryostat at -20</w:t>
      </w:r>
      <w:r w:rsidRPr="00CD3230">
        <w:rPr>
          <w:rFonts w:ascii="Calibri" w:hAnsi="Calibri" w:cs="Calibri"/>
          <w:sz w:val="24"/>
          <w:szCs w:val="24"/>
          <w:highlight w:val="yellow"/>
        </w:rPr>
        <w:t xml:space="preserve"> </w:t>
      </w:r>
      <w:r w:rsidR="009A7CD2" w:rsidRPr="00CD3230">
        <w:rPr>
          <w:rFonts w:ascii="Calibri" w:hAnsi="Calibri" w:cs="Calibri"/>
          <w:sz w:val="24"/>
          <w:szCs w:val="24"/>
          <w:highlight w:val="yellow"/>
        </w:rPr>
        <w:t>°C and the desired thickness.</w:t>
      </w:r>
    </w:p>
    <w:p w14:paraId="281AFEB2" w14:textId="77777777" w:rsidR="00BD1614" w:rsidRPr="006B731C" w:rsidRDefault="00BD1614" w:rsidP="006B731C">
      <w:pPr>
        <w:spacing w:after="0" w:line="240" w:lineRule="auto"/>
        <w:jc w:val="both"/>
        <w:rPr>
          <w:rFonts w:ascii="Calibri" w:hAnsi="Calibri" w:cs="Calibri"/>
          <w:sz w:val="24"/>
          <w:szCs w:val="24"/>
        </w:rPr>
      </w:pPr>
    </w:p>
    <w:p w14:paraId="6E1504B9" w14:textId="5458B2FA"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bCs/>
          <w:sz w:val="24"/>
          <w:szCs w:val="24"/>
        </w:rPr>
        <w:t>NOTE:</w:t>
      </w:r>
      <w:r w:rsidRPr="006B731C">
        <w:rPr>
          <w:rFonts w:ascii="Calibri" w:hAnsi="Calibri" w:cs="Calibri"/>
          <w:sz w:val="24"/>
          <w:szCs w:val="24"/>
        </w:rPr>
        <w:t xml:space="preserve"> For the striatum, </w:t>
      </w:r>
      <w:r w:rsidR="00432AB4" w:rsidRPr="006B731C">
        <w:rPr>
          <w:rFonts w:ascii="Calibri" w:hAnsi="Calibri" w:cs="Calibri"/>
          <w:sz w:val="24"/>
          <w:szCs w:val="24"/>
        </w:rPr>
        <w:t xml:space="preserve">coronal sections with </w:t>
      </w:r>
      <w:r w:rsidRPr="006B731C">
        <w:rPr>
          <w:rFonts w:ascii="Calibri" w:hAnsi="Calibri" w:cs="Calibri"/>
          <w:sz w:val="24"/>
          <w:szCs w:val="24"/>
        </w:rPr>
        <w:t>a thickness of 20-25 µm offer an ideal compromise between structural preservation and antibody penetration, producing sections that are robust enough for handling while maintaining high staining quality and spatial resolution.</w:t>
      </w:r>
      <w:r w:rsidR="00432AB4" w:rsidRPr="006B731C">
        <w:rPr>
          <w:rFonts w:ascii="Calibri" w:hAnsi="Calibri" w:cs="Calibri"/>
          <w:sz w:val="24"/>
          <w:szCs w:val="24"/>
        </w:rPr>
        <w:t xml:space="preserve"> </w:t>
      </w:r>
      <w:proofErr w:type="spellStart"/>
      <w:r w:rsidR="00432AB4" w:rsidRPr="006B731C">
        <w:rPr>
          <w:rFonts w:ascii="Calibri" w:hAnsi="Calibri" w:cs="Calibri"/>
          <w:sz w:val="24"/>
          <w:szCs w:val="24"/>
        </w:rPr>
        <w:t>Cryosectioning</w:t>
      </w:r>
      <w:proofErr w:type="spellEnd"/>
      <w:r w:rsidR="00432AB4" w:rsidRPr="006B731C">
        <w:rPr>
          <w:rFonts w:ascii="Calibri" w:hAnsi="Calibri" w:cs="Calibri"/>
          <w:sz w:val="24"/>
          <w:szCs w:val="24"/>
        </w:rPr>
        <w:t xml:space="preserve"> conditions should also be specified for </w:t>
      </w:r>
      <w:r w:rsidR="00644845" w:rsidRPr="006B731C">
        <w:rPr>
          <w:rFonts w:ascii="Calibri" w:hAnsi="Calibri" w:cs="Calibri"/>
          <w:sz w:val="24"/>
          <w:szCs w:val="24"/>
        </w:rPr>
        <w:t xml:space="preserve">other </w:t>
      </w:r>
      <w:r w:rsidR="00432AB4" w:rsidRPr="006B731C">
        <w:rPr>
          <w:rFonts w:ascii="Calibri" w:hAnsi="Calibri" w:cs="Calibri"/>
          <w:sz w:val="24"/>
          <w:szCs w:val="24"/>
        </w:rPr>
        <w:t>brain regions, as optimal thickness can vary with cytoarchitecture. For the cerebellum, sagittal sections of 25–3</w:t>
      </w:r>
      <w:r w:rsidR="001B4657" w:rsidRPr="006B731C">
        <w:rPr>
          <w:rFonts w:ascii="Calibri" w:hAnsi="Calibri" w:cs="Calibri"/>
          <w:sz w:val="24"/>
          <w:szCs w:val="24"/>
        </w:rPr>
        <w:t>5</w:t>
      </w:r>
      <w:r w:rsidR="00432AB4" w:rsidRPr="006B731C">
        <w:rPr>
          <w:rFonts w:ascii="Calibri" w:hAnsi="Calibri" w:cs="Calibri"/>
          <w:sz w:val="24"/>
          <w:szCs w:val="24"/>
        </w:rPr>
        <w:t xml:space="preserve"> µm are generally recommended, as this thickness preserves the layered organization of the cerebellar cortex.</w:t>
      </w:r>
    </w:p>
    <w:p w14:paraId="6E62918A" w14:textId="77777777" w:rsidR="00BD1614" w:rsidRPr="006B731C" w:rsidRDefault="00BD1614" w:rsidP="006B731C">
      <w:pPr>
        <w:spacing w:after="0" w:line="240" w:lineRule="auto"/>
        <w:jc w:val="both"/>
        <w:rPr>
          <w:rFonts w:ascii="Calibri" w:hAnsi="Calibri" w:cs="Calibri"/>
          <w:sz w:val="24"/>
          <w:szCs w:val="24"/>
        </w:rPr>
      </w:pPr>
    </w:p>
    <w:p w14:paraId="3763319B" w14:textId="69D6FC75" w:rsidR="00600B5E" w:rsidRPr="00CD3230" w:rsidRDefault="00BD1614" w:rsidP="006B731C">
      <w:pPr>
        <w:spacing w:after="0" w:line="240" w:lineRule="auto"/>
        <w:jc w:val="both"/>
        <w:rPr>
          <w:rFonts w:ascii="Calibri" w:hAnsi="Calibri" w:cs="Calibri"/>
          <w:sz w:val="24"/>
          <w:szCs w:val="24"/>
          <w:highlight w:val="yellow"/>
        </w:rPr>
      </w:pPr>
      <w:r w:rsidRPr="00CD3230">
        <w:rPr>
          <w:rFonts w:ascii="Calibri" w:hAnsi="Calibri" w:cs="Calibri"/>
          <w:sz w:val="24"/>
          <w:szCs w:val="24"/>
          <w:highlight w:val="yellow"/>
        </w:rPr>
        <w:t>4.4.2</w:t>
      </w:r>
      <w:r w:rsidRPr="00CD3230">
        <w:rPr>
          <w:rFonts w:ascii="Calibri" w:hAnsi="Calibri" w:cs="Calibri"/>
          <w:sz w:val="24"/>
          <w:szCs w:val="24"/>
          <w:highlight w:val="yellow"/>
        </w:rPr>
        <w:tab/>
      </w:r>
      <w:r w:rsidR="009A7CD2" w:rsidRPr="00CD3230">
        <w:rPr>
          <w:rFonts w:ascii="Calibri" w:hAnsi="Calibri" w:cs="Calibri"/>
          <w:sz w:val="24"/>
          <w:szCs w:val="24"/>
          <w:highlight w:val="yellow"/>
        </w:rPr>
        <w:t>Transport the brain on dry ice and allow it to equilibrate inside the cryostat for 5-10 min</w:t>
      </w:r>
      <w:r w:rsidRPr="00CD3230">
        <w:rPr>
          <w:rFonts w:ascii="Calibri" w:hAnsi="Calibri" w:cs="Calibri"/>
          <w:sz w:val="24"/>
          <w:szCs w:val="24"/>
          <w:highlight w:val="yellow"/>
        </w:rPr>
        <w:t>. T</w:t>
      </w:r>
      <w:r w:rsidR="009A7CD2" w:rsidRPr="00CD3230">
        <w:rPr>
          <w:rFonts w:ascii="Calibri" w:hAnsi="Calibri" w:cs="Calibri"/>
          <w:sz w:val="24"/>
          <w:szCs w:val="24"/>
          <w:highlight w:val="yellow"/>
        </w:rPr>
        <w:t xml:space="preserve">his step is important to prevent </w:t>
      </w:r>
      <w:r w:rsidR="00550555" w:rsidRPr="00CD3230">
        <w:rPr>
          <w:rFonts w:ascii="Calibri" w:hAnsi="Calibri" w:cs="Calibri"/>
          <w:sz w:val="24"/>
          <w:szCs w:val="24"/>
          <w:highlight w:val="yellow"/>
        </w:rPr>
        <w:t>tissue damage.</w:t>
      </w:r>
    </w:p>
    <w:p w14:paraId="6AEB0020" w14:textId="77777777" w:rsidR="00BD1614" w:rsidRPr="00CD3230" w:rsidRDefault="00BD1614" w:rsidP="006B731C">
      <w:pPr>
        <w:spacing w:after="0" w:line="240" w:lineRule="auto"/>
        <w:jc w:val="both"/>
        <w:rPr>
          <w:rFonts w:ascii="Calibri" w:hAnsi="Calibri" w:cs="Calibri"/>
          <w:sz w:val="24"/>
          <w:szCs w:val="24"/>
          <w:highlight w:val="yellow"/>
        </w:rPr>
      </w:pPr>
    </w:p>
    <w:p w14:paraId="18FAC311" w14:textId="4E5F0DF1" w:rsidR="00600B5E" w:rsidRPr="006B731C" w:rsidRDefault="00BD1614" w:rsidP="006B731C">
      <w:pPr>
        <w:spacing w:after="0" w:line="240" w:lineRule="auto"/>
        <w:jc w:val="both"/>
        <w:rPr>
          <w:rFonts w:ascii="Calibri" w:hAnsi="Calibri" w:cs="Calibri"/>
          <w:sz w:val="24"/>
          <w:szCs w:val="24"/>
        </w:rPr>
      </w:pPr>
      <w:r w:rsidRPr="00CD3230">
        <w:rPr>
          <w:rFonts w:ascii="Calibri" w:hAnsi="Calibri" w:cs="Calibri"/>
          <w:sz w:val="24"/>
          <w:szCs w:val="24"/>
          <w:highlight w:val="yellow"/>
        </w:rPr>
        <w:t>4.4.3</w:t>
      </w:r>
      <w:r w:rsidRPr="00CD3230">
        <w:rPr>
          <w:rFonts w:ascii="Calibri" w:hAnsi="Calibri" w:cs="Calibri"/>
          <w:sz w:val="24"/>
          <w:szCs w:val="24"/>
          <w:highlight w:val="yellow"/>
        </w:rPr>
        <w:tab/>
      </w:r>
      <w:r w:rsidR="009A7CD2" w:rsidRPr="00CD3230">
        <w:rPr>
          <w:rFonts w:ascii="Calibri" w:hAnsi="Calibri" w:cs="Calibri"/>
          <w:sz w:val="24"/>
          <w:szCs w:val="24"/>
          <w:highlight w:val="yellow"/>
        </w:rPr>
        <w:t>Remove the olfactory bulbs with a scalpel; they should be soft and easy to cut.</w:t>
      </w:r>
      <w:r w:rsidRPr="00CD3230">
        <w:rPr>
          <w:rFonts w:ascii="Calibri" w:hAnsi="Calibri" w:cs="Calibri"/>
          <w:sz w:val="24"/>
          <w:szCs w:val="24"/>
          <w:highlight w:val="yellow"/>
        </w:rPr>
        <w:t xml:space="preserve"> </w:t>
      </w:r>
      <w:r w:rsidR="009A7CD2" w:rsidRPr="00CD3230">
        <w:rPr>
          <w:rFonts w:ascii="Calibri" w:hAnsi="Calibri" w:cs="Calibri"/>
          <w:sz w:val="24"/>
          <w:szCs w:val="24"/>
          <w:highlight w:val="yellow"/>
        </w:rPr>
        <w:t>Apply a pea-sized drop of fresh O.C.T. onto the specimen disk and place the cerebellum in contact (</w:t>
      </w:r>
      <w:r w:rsidR="009A7CD2" w:rsidRPr="00CD3230">
        <w:rPr>
          <w:rFonts w:ascii="Calibri" w:hAnsi="Calibri" w:cs="Calibri"/>
          <w:b/>
          <w:bCs/>
          <w:sz w:val="24"/>
          <w:szCs w:val="24"/>
          <w:highlight w:val="yellow"/>
        </w:rPr>
        <w:t xml:space="preserve">Figure </w:t>
      </w:r>
      <w:r w:rsidR="00AE140E" w:rsidRPr="00CD3230">
        <w:rPr>
          <w:rFonts w:ascii="Calibri" w:hAnsi="Calibri" w:cs="Calibri"/>
          <w:b/>
          <w:bCs/>
          <w:sz w:val="24"/>
          <w:szCs w:val="24"/>
          <w:highlight w:val="yellow"/>
        </w:rPr>
        <w:t>1</w:t>
      </w:r>
      <w:r w:rsidR="009A7CD2" w:rsidRPr="00CD3230">
        <w:rPr>
          <w:rFonts w:ascii="Calibri" w:hAnsi="Calibri" w:cs="Calibri"/>
          <w:b/>
          <w:bCs/>
          <w:sz w:val="24"/>
          <w:szCs w:val="24"/>
          <w:highlight w:val="yellow"/>
        </w:rPr>
        <w:t>D</w:t>
      </w:r>
      <w:r w:rsidR="009A7CD2" w:rsidRPr="00CD3230">
        <w:rPr>
          <w:rFonts w:ascii="Calibri" w:hAnsi="Calibri" w:cs="Calibri"/>
          <w:sz w:val="24"/>
          <w:szCs w:val="24"/>
          <w:highlight w:val="yellow"/>
        </w:rPr>
        <w:t>). Position the brain for coronal sectioning.</w:t>
      </w:r>
      <w:r w:rsidR="006B731C" w:rsidRPr="00CD3230">
        <w:rPr>
          <w:rFonts w:ascii="Calibri" w:hAnsi="Calibri" w:cs="Calibri"/>
          <w:sz w:val="24"/>
          <w:szCs w:val="24"/>
          <w:highlight w:val="yellow"/>
        </w:rPr>
        <w:t xml:space="preserve"> </w:t>
      </w:r>
      <w:r w:rsidR="009A7CD2" w:rsidRPr="00CD3230">
        <w:rPr>
          <w:rFonts w:ascii="Calibri" w:hAnsi="Calibri" w:cs="Calibri"/>
          <w:sz w:val="24"/>
          <w:szCs w:val="24"/>
          <w:highlight w:val="yellow"/>
        </w:rPr>
        <w:t>Once frozen, add additional O.C.T. to embed the entire brain.</w:t>
      </w:r>
    </w:p>
    <w:p w14:paraId="25BED1C2" w14:textId="77777777" w:rsidR="00BD1614" w:rsidRPr="006B731C" w:rsidRDefault="00BD1614" w:rsidP="006B731C">
      <w:pPr>
        <w:spacing w:after="0" w:line="240" w:lineRule="auto"/>
        <w:jc w:val="both"/>
        <w:rPr>
          <w:rFonts w:ascii="Calibri" w:hAnsi="Calibri" w:cs="Calibri"/>
          <w:sz w:val="24"/>
          <w:szCs w:val="24"/>
        </w:rPr>
      </w:pPr>
    </w:p>
    <w:p w14:paraId="671A1C0B" w14:textId="77777777"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bCs/>
          <w:sz w:val="24"/>
          <w:szCs w:val="24"/>
        </w:rPr>
        <w:t>NOTE: O.C.T. is transparent at room temperature and becomes opaque white when fully frozen;</w:t>
      </w:r>
      <w:r w:rsidRPr="006B731C">
        <w:rPr>
          <w:rFonts w:ascii="Calibri" w:hAnsi="Calibri" w:cs="Calibri"/>
          <w:sz w:val="24"/>
          <w:szCs w:val="24"/>
        </w:rPr>
        <w:t xml:space="preserve"> if it remains shiny, allow more freezing time in the cryostat.</w:t>
      </w:r>
    </w:p>
    <w:p w14:paraId="50E97FDE" w14:textId="77777777" w:rsidR="00BD1614" w:rsidRPr="006B731C" w:rsidRDefault="00BD1614" w:rsidP="006B731C">
      <w:pPr>
        <w:spacing w:after="0" w:line="240" w:lineRule="auto"/>
        <w:jc w:val="both"/>
        <w:rPr>
          <w:rFonts w:ascii="Calibri" w:hAnsi="Calibri" w:cs="Calibri"/>
          <w:sz w:val="24"/>
          <w:szCs w:val="24"/>
        </w:rPr>
      </w:pPr>
    </w:p>
    <w:p w14:paraId="39706920" w14:textId="39A7DCED" w:rsidR="00600B5E" w:rsidRPr="00CD3230" w:rsidRDefault="00BD1614" w:rsidP="006B731C">
      <w:pPr>
        <w:spacing w:after="0" w:line="240" w:lineRule="auto"/>
        <w:jc w:val="both"/>
        <w:rPr>
          <w:rFonts w:ascii="Calibri" w:hAnsi="Calibri" w:cs="Calibri"/>
          <w:sz w:val="24"/>
          <w:szCs w:val="24"/>
          <w:highlight w:val="yellow"/>
        </w:rPr>
      </w:pPr>
      <w:r w:rsidRPr="00CD3230">
        <w:rPr>
          <w:rFonts w:ascii="Calibri" w:hAnsi="Calibri" w:cs="Calibri"/>
          <w:sz w:val="24"/>
          <w:szCs w:val="24"/>
          <w:highlight w:val="yellow"/>
        </w:rPr>
        <w:t>4.4.4</w:t>
      </w:r>
      <w:r w:rsidRPr="00CD3230">
        <w:rPr>
          <w:rFonts w:ascii="Calibri" w:hAnsi="Calibri" w:cs="Calibri"/>
          <w:sz w:val="24"/>
          <w:szCs w:val="24"/>
          <w:highlight w:val="yellow"/>
        </w:rPr>
        <w:tab/>
      </w:r>
      <w:r w:rsidR="009A7CD2" w:rsidRPr="00CD3230">
        <w:rPr>
          <w:rFonts w:ascii="Calibri" w:hAnsi="Calibri" w:cs="Calibri"/>
          <w:sz w:val="24"/>
          <w:szCs w:val="24"/>
          <w:highlight w:val="yellow"/>
        </w:rPr>
        <w:t>Mount the specimen disk in the holder and trim until the striatum (two white circles in each hemisphere) is visible.</w:t>
      </w:r>
      <w:r w:rsidRPr="00CD3230">
        <w:rPr>
          <w:rFonts w:ascii="Calibri" w:hAnsi="Calibri" w:cs="Calibri"/>
          <w:sz w:val="24"/>
          <w:szCs w:val="24"/>
          <w:highlight w:val="yellow"/>
        </w:rPr>
        <w:t xml:space="preserve"> </w:t>
      </w:r>
      <w:r w:rsidR="009A7CD2" w:rsidRPr="00CD3230">
        <w:rPr>
          <w:rFonts w:ascii="Calibri" w:hAnsi="Calibri" w:cs="Calibri"/>
          <w:sz w:val="24"/>
          <w:szCs w:val="24"/>
          <w:highlight w:val="yellow"/>
        </w:rPr>
        <w:t>If hemispheres received different treatments, pierce one hemisphere with a needle to maintain orientation. Record this for later analysis.</w:t>
      </w:r>
    </w:p>
    <w:p w14:paraId="21EB53CD" w14:textId="77777777" w:rsidR="00BD1614" w:rsidRPr="00CD3230" w:rsidRDefault="00BD1614" w:rsidP="006B731C">
      <w:pPr>
        <w:spacing w:after="0" w:line="240" w:lineRule="auto"/>
        <w:jc w:val="both"/>
        <w:rPr>
          <w:rFonts w:ascii="Calibri" w:hAnsi="Calibri" w:cs="Calibri"/>
          <w:sz w:val="24"/>
          <w:szCs w:val="24"/>
          <w:highlight w:val="yellow"/>
        </w:rPr>
      </w:pPr>
    </w:p>
    <w:p w14:paraId="287DB38A" w14:textId="28680266" w:rsidR="00600B5E" w:rsidRPr="006B731C" w:rsidRDefault="00BD1614" w:rsidP="006B731C">
      <w:pPr>
        <w:spacing w:after="0" w:line="240" w:lineRule="auto"/>
        <w:jc w:val="both"/>
        <w:rPr>
          <w:rFonts w:ascii="Calibri" w:hAnsi="Calibri" w:cs="Calibri"/>
          <w:sz w:val="24"/>
          <w:szCs w:val="24"/>
        </w:rPr>
      </w:pPr>
      <w:r w:rsidRPr="00CD3230">
        <w:rPr>
          <w:rFonts w:ascii="Calibri" w:hAnsi="Calibri" w:cs="Calibri"/>
          <w:sz w:val="24"/>
          <w:szCs w:val="24"/>
          <w:highlight w:val="yellow"/>
        </w:rPr>
        <w:t>4.4.5</w:t>
      </w:r>
      <w:r w:rsidRPr="00CD3230">
        <w:rPr>
          <w:rFonts w:ascii="Calibri" w:hAnsi="Calibri" w:cs="Calibri"/>
          <w:sz w:val="24"/>
          <w:szCs w:val="24"/>
          <w:highlight w:val="yellow"/>
        </w:rPr>
        <w:tab/>
      </w:r>
      <w:r w:rsidR="009A7CD2" w:rsidRPr="00CD3230">
        <w:rPr>
          <w:rFonts w:ascii="Calibri" w:hAnsi="Calibri" w:cs="Calibri"/>
          <w:sz w:val="24"/>
          <w:szCs w:val="24"/>
          <w:highlight w:val="yellow"/>
        </w:rPr>
        <w:t xml:space="preserve">Switch to sectioning mode and collect </w:t>
      </w:r>
      <w:r w:rsidR="00D5776E" w:rsidRPr="00CD3230">
        <w:rPr>
          <w:rFonts w:ascii="Calibri" w:hAnsi="Calibri" w:cs="Calibri"/>
          <w:sz w:val="24"/>
          <w:szCs w:val="24"/>
          <w:highlight w:val="yellow"/>
        </w:rPr>
        <w:t xml:space="preserve">free-floating </w:t>
      </w:r>
      <w:r w:rsidR="009A7CD2" w:rsidRPr="00CD3230">
        <w:rPr>
          <w:rFonts w:ascii="Calibri" w:hAnsi="Calibri" w:cs="Calibri"/>
          <w:sz w:val="24"/>
          <w:szCs w:val="24"/>
          <w:highlight w:val="yellow"/>
        </w:rPr>
        <w:t>sections in a 48-well plate using a fine brush or</w:t>
      </w:r>
      <w:r w:rsidR="00217786" w:rsidRPr="00CD3230">
        <w:rPr>
          <w:rFonts w:ascii="Calibri" w:hAnsi="Calibri" w:cs="Calibri"/>
          <w:sz w:val="24"/>
          <w:szCs w:val="24"/>
          <w:highlight w:val="yellow"/>
        </w:rPr>
        <w:t xml:space="preserve"> a</w:t>
      </w:r>
      <w:r w:rsidR="009A7CD2" w:rsidRPr="00CD3230">
        <w:rPr>
          <w:rFonts w:ascii="Calibri" w:hAnsi="Calibri" w:cs="Calibri"/>
          <w:sz w:val="24"/>
          <w:szCs w:val="24"/>
          <w:highlight w:val="yellow"/>
        </w:rPr>
        <w:t xml:space="preserve"> fire-polished glass Pasteur pipette.</w:t>
      </w:r>
    </w:p>
    <w:p w14:paraId="613A87F2" w14:textId="77777777" w:rsidR="00BD1614" w:rsidRPr="006B731C" w:rsidRDefault="00BD1614" w:rsidP="006B731C">
      <w:pPr>
        <w:spacing w:after="0" w:line="240" w:lineRule="auto"/>
        <w:jc w:val="both"/>
        <w:rPr>
          <w:rFonts w:ascii="Calibri" w:hAnsi="Calibri" w:cs="Calibri"/>
          <w:sz w:val="24"/>
          <w:szCs w:val="24"/>
        </w:rPr>
      </w:pPr>
    </w:p>
    <w:p w14:paraId="795D7079" w14:textId="77777777"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bCs/>
          <w:sz w:val="24"/>
          <w:szCs w:val="24"/>
        </w:rPr>
        <w:t>NOTE: T</w:t>
      </w:r>
      <w:r w:rsidRPr="006B731C">
        <w:rPr>
          <w:rFonts w:ascii="Calibri" w:hAnsi="Calibri" w:cs="Calibri"/>
          <w:sz w:val="24"/>
          <w:szCs w:val="24"/>
        </w:rPr>
        <w:t>he free-floating method improves antibody penetration, reduces background, allows long-term storage, and ensures evenly spaced sections for complete striatal coverage.</w:t>
      </w:r>
    </w:p>
    <w:p w14:paraId="430B3DAB" w14:textId="77777777" w:rsidR="00BD1614" w:rsidRPr="006B731C" w:rsidRDefault="00BD1614" w:rsidP="006B731C">
      <w:pPr>
        <w:spacing w:after="0" w:line="240" w:lineRule="auto"/>
        <w:jc w:val="both"/>
        <w:rPr>
          <w:rFonts w:ascii="Calibri" w:hAnsi="Calibri" w:cs="Calibri"/>
          <w:sz w:val="24"/>
          <w:szCs w:val="24"/>
        </w:rPr>
      </w:pPr>
    </w:p>
    <w:p w14:paraId="10B0CCC5" w14:textId="5230FC78" w:rsidR="00600B5E" w:rsidRPr="006B731C" w:rsidRDefault="00BD1614" w:rsidP="006B731C">
      <w:pPr>
        <w:spacing w:after="0" w:line="240" w:lineRule="auto"/>
        <w:jc w:val="both"/>
        <w:rPr>
          <w:rFonts w:ascii="Calibri" w:hAnsi="Calibri" w:cs="Calibri"/>
          <w:sz w:val="24"/>
          <w:szCs w:val="24"/>
        </w:rPr>
      </w:pPr>
      <w:r w:rsidRPr="00CD3230">
        <w:rPr>
          <w:rFonts w:ascii="Calibri" w:hAnsi="Calibri" w:cs="Calibri"/>
          <w:sz w:val="24"/>
          <w:szCs w:val="24"/>
          <w:highlight w:val="yellow"/>
        </w:rPr>
        <w:t>4.4.6</w:t>
      </w:r>
      <w:r w:rsidRPr="00CD3230">
        <w:rPr>
          <w:rFonts w:ascii="Calibri" w:hAnsi="Calibri" w:cs="Calibri"/>
          <w:sz w:val="24"/>
          <w:szCs w:val="24"/>
          <w:highlight w:val="yellow"/>
        </w:rPr>
        <w:tab/>
      </w:r>
      <w:r w:rsidR="009A7CD2" w:rsidRPr="00CD3230">
        <w:rPr>
          <w:rFonts w:ascii="Calibri" w:hAnsi="Calibri" w:cs="Calibri"/>
          <w:sz w:val="24"/>
          <w:szCs w:val="24"/>
          <w:highlight w:val="yellow"/>
        </w:rPr>
        <w:t xml:space="preserve">Fill wells with PBS containing 0.05% sodium </w:t>
      </w:r>
      <w:proofErr w:type="spellStart"/>
      <w:r w:rsidR="009A7CD2" w:rsidRPr="00CD3230">
        <w:rPr>
          <w:rFonts w:ascii="Calibri" w:hAnsi="Calibri" w:cs="Calibri"/>
          <w:sz w:val="24"/>
          <w:szCs w:val="24"/>
          <w:highlight w:val="yellow"/>
        </w:rPr>
        <w:t>azide</w:t>
      </w:r>
      <w:proofErr w:type="spellEnd"/>
      <w:r w:rsidR="009A7CD2" w:rsidRPr="00CD3230">
        <w:rPr>
          <w:rFonts w:ascii="Calibri" w:hAnsi="Calibri" w:cs="Calibri"/>
          <w:sz w:val="24"/>
          <w:szCs w:val="24"/>
          <w:highlight w:val="yellow"/>
        </w:rPr>
        <w:t>.</w:t>
      </w:r>
    </w:p>
    <w:p w14:paraId="29A6D566" w14:textId="77777777" w:rsidR="00BD1614" w:rsidRPr="006B731C" w:rsidRDefault="00BD1614" w:rsidP="006B731C">
      <w:pPr>
        <w:spacing w:after="0" w:line="240" w:lineRule="auto"/>
        <w:jc w:val="both"/>
        <w:rPr>
          <w:rFonts w:ascii="Calibri" w:hAnsi="Calibri" w:cs="Calibri"/>
          <w:sz w:val="24"/>
          <w:szCs w:val="24"/>
        </w:rPr>
      </w:pPr>
    </w:p>
    <w:p w14:paraId="69AC49F3" w14:textId="77777777"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 xml:space="preserve">CAUTION: Sodium </w:t>
      </w:r>
      <w:proofErr w:type="spellStart"/>
      <w:r w:rsidRPr="006B731C">
        <w:rPr>
          <w:rFonts w:ascii="Calibri" w:hAnsi="Calibri" w:cs="Calibri"/>
          <w:sz w:val="24"/>
          <w:szCs w:val="24"/>
        </w:rPr>
        <w:t>azide</w:t>
      </w:r>
      <w:proofErr w:type="spellEnd"/>
      <w:r w:rsidRPr="006B731C">
        <w:rPr>
          <w:rFonts w:ascii="Calibri" w:hAnsi="Calibri" w:cs="Calibri"/>
          <w:sz w:val="24"/>
          <w:szCs w:val="24"/>
        </w:rPr>
        <w:t xml:space="preserve"> is toxic - handle with PPE and dispose of waste appropriately.</w:t>
      </w:r>
    </w:p>
    <w:p w14:paraId="35D6635F" w14:textId="77777777" w:rsidR="00BD1614" w:rsidRPr="006B731C" w:rsidRDefault="00BD1614" w:rsidP="006B731C">
      <w:pPr>
        <w:spacing w:after="0" w:line="240" w:lineRule="auto"/>
        <w:jc w:val="both"/>
        <w:rPr>
          <w:rFonts w:ascii="Calibri" w:hAnsi="Calibri" w:cs="Calibri"/>
          <w:sz w:val="24"/>
          <w:szCs w:val="24"/>
        </w:rPr>
      </w:pPr>
    </w:p>
    <w:p w14:paraId="3CEE1ECE" w14:textId="40D026AC" w:rsidR="00600B5E" w:rsidRPr="006B731C" w:rsidRDefault="00BD1614" w:rsidP="006B731C">
      <w:pPr>
        <w:spacing w:after="0" w:line="240" w:lineRule="auto"/>
        <w:jc w:val="both"/>
        <w:rPr>
          <w:rFonts w:ascii="Calibri" w:hAnsi="Calibri" w:cs="Calibri"/>
          <w:sz w:val="24"/>
          <w:szCs w:val="24"/>
        </w:rPr>
      </w:pPr>
      <w:r w:rsidRPr="00CD3230">
        <w:rPr>
          <w:rFonts w:ascii="Calibri" w:hAnsi="Calibri" w:cs="Calibri"/>
          <w:sz w:val="24"/>
          <w:szCs w:val="24"/>
          <w:highlight w:val="yellow"/>
        </w:rPr>
        <w:t>4.4.7</w:t>
      </w:r>
      <w:r w:rsidRPr="00CD3230">
        <w:rPr>
          <w:rFonts w:ascii="Calibri" w:hAnsi="Calibri" w:cs="Calibri"/>
          <w:sz w:val="24"/>
          <w:szCs w:val="24"/>
          <w:highlight w:val="yellow"/>
        </w:rPr>
        <w:tab/>
      </w:r>
      <w:r w:rsidR="009A7CD2" w:rsidRPr="00CD3230">
        <w:rPr>
          <w:rFonts w:ascii="Calibri" w:hAnsi="Calibri" w:cs="Calibri"/>
          <w:sz w:val="24"/>
          <w:szCs w:val="24"/>
          <w:highlight w:val="yellow"/>
        </w:rPr>
        <w:t>Place the first section in well A1, the second in A2, and continue sequentially.</w:t>
      </w:r>
      <w:r w:rsidRPr="00CD3230">
        <w:rPr>
          <w:rFonts w:ascii="Calibri" w:hAnsi="Calibri" w:cs="Calibri"/>
          <w:sz w:val="24"/>
          <w:szCs w:val="24"/>
          <w:highlight w:val="yellow"/>
        </w:rPr>
        <w:t xml:space="preserve"> </w:t>
      </w:r>
      <w:r w:rsidR="009A7CD2" w:rsidRPr="00CD3230">
        <w:rPr>
          <w:rFonts w:ascii="Calibri" w:hAnsi="Calibri" w:cs="Calibri"/>
          <w:sz w:val="24"/>
          <w:szCs w:val="24"/>
          <w:highlight w:val="yellow"/>
        </w:rPr>
        <w:t>When the plate is full, either continue in a new plate or return to well A1 and proceed until the entire striatum is sectioned (~3 full 48-well plates).</w:t>
      </w:r>
      <w:r w:rsidRPr="00CD3230">
        <w:rPr>
          <w:rFonts w:ascii="Calibri" w:hAnsi="Calibri" w:cs="Calibri"/>
          <w:sz w:val="24"/>
          <w:szCs w:val="24"/>
          <w:highlight w:val="yellow"/>
        </w:rPr>
        <w:t xml:space="preserve"> </w:t>
      </w:r>
      <w:r w:rsidR="009A7CD2" w:rsidRPr="00CD3230">
        <w:rPr>
          <w:rFonts w:ascii="Calibri" w:hAnsi="Calibri" w:cs="Calibri"/>
          <w:sz w:val="24"/>
          <w:szCs w:val="24"/>
          <w:highlight w:val="yellow"/>
        </w:rPr>
        <w:t xml:space="preserve">Seal plates with </w:t>
      </w:r>
      <w:r w:rsidRPr="00CD3230">
        <w:rPr>
          <w:rFonts w:ascii="Calibri" w:hAnsi="Calibri" w:cs="Calibri"/>
          <w:sz w:val="24"/>
          <w:szCs w:val="24"/>
          <w:highlight w:val="yellow"/>
        </w:rPr>
        <w:t>transparent film</w:t>
      </w:r>
      <w:r w:rsidR="009A7CD2" w:rsidRPr="00CD3230">
        <w:rPr>
          <w:rFonts w:ascii="Calibri" w:hAnsi="Calibri" w:cs="Calibri"/>
          <w:sz w:val="24"/>
          <w:szCs w:val="24"/>
          <w:highlight w:val="yellow"/>
        </w:rPr>
        <w:t xml:space="preserve"> and store at 4</w:t>
      </w:r>
      <w:r w:rsidRPr="00CD3230">
        <w:rPr>
          <w:rFonts w:ascii="Calibri" w:hAnsi="Calibri" w:cs="Calibri"/>
          <w:sz w:val="24"/>
          <w:szCs w:val="24"/>
          <w:highlight w:val="yellow"/>
        </w:rPr>
        <w:t xml:space="preserve"> </w:t>
      </w:r>
      <w:r w:rsidR="009A7CD2" w:rsidRPr="00CD3230">
        <w:rPr>
          <w:rFonts w:ascii="Calibri" w:hAnsi="Calibri" w:cs="Calibri"/>
          <w:sz w:val="24"/>
          <w:szCs w:val="24"/>
          <w:highlight w:val="yellow"/>
        </w:rPr>
        <w:t>°C until use.</w:t>
      </w:r>
    </w:p>
    <w:p w14:paraId="31DEE1C8" w14:textId="77777777" w:rsidR="00BD1614" w:rsidRPr="006B731C" w:rsidRDefault="00BD1614" w:rsidP="006B731C">
      <w:pPr>
        <w:spacing w:after="0" w:line="240" w:lineRule="auto"/>
        <w:jc w:val="both"/>
        <w:rPr>
          <w:rFonts w:ascii="Calibri" w:hAnsi="Calibri" w:cs="Calibri"/>
          <w:sz w:val="24"/>
          <w:szCs w:val="24"/>
        </w:rPr>
      </w:pPr>
    </w:p>
    <w:p w14:paraId="1B4E8E23" w14:textId="14C3589F"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bCs/>
          <w:sz w:val="24"/>
          <w:szCs w:val="24"/>
        </w:rPr>
        <w:t>NOTE:</w:t>
      </w:r>
      <w:r w:rsidRPr="006B731C">
        <w:rPr>
          <w:rFonts w:ascii="Calibri" w:hAnsi="Calibri" w:cs="Calibri"/>
          <w:sz w:val="24"/>
          <w:szCs w:val="24"/>
        </w:rPr>
        <w:t xml:space="preserve"> For whole-striatum analysis, selecting one column from the plate yields evenly spaced sections representative of the entire region.</w:t>
      </w:r>
    </w:p>
    <w:p w14:paraId="1772E83A" w14:textId="77777777" w:rsidR="00BD1614" w:rsidRPr="006B731C" w:rsidRDefault="00BD1614" w:rsidP="006B731C">
      <w:pPr>
        <w:spacing w:after="0" w:line="240" w:lineRule="auto"/>
        <w:jc w:val="both"/>
        <w:rPr>
          <w:rFonts w:ascii="Calibri" w:hAnsi="Calibri" w:cs="Calibri"/>
          <w:sz w:val="24"/>
          <w:szCs w:val="24"/>
        </w:rPr>
      </w:pPr>
    </w:p>
    <w:p w14:paraId="2FAF9694" w14:textId="1B4BF4A7" w:rsidR="00600B5E" w:rsidRPr="006B731C" w:rsidRDefault="009A7CD2" w:rsidP="006B731C">
      <w:pPr>
        <w:pStyle w:val="PargrafodaLista"/>
        <w:numPr>
          <w:ilvl w:val="0"/>
          <w:numId w:val="11"/>
        </w:numPr>
        <w:spacing w:after="0" w:line="240" w:lineRule="auto"/>
        <w:ind w:left="0" w:firstLine="0"/>
        <w:contextualSpacing w:val="0"/>
        <w:jc w:val="both"/>
        <w:rPr>
          <w:rFonts w:ascii="Calibri" w:hAnsi="Calibri" w:cs="Calibri"/>
          <w:b/>
          <w:sz w:val="24"/>
          <w:szCs w:val="24"/>
        </w:rPr>
      </w:pPr>
      <w:r w:rsidRPr="006B731C">
        <w:rPr>
          <w:rFonts w:ascii="Calibri" w:hAnsi="Calibri" w:cs="Calibri"/>
          <w:b/>
          <w:sz w:val="24"/>
          <w:szCs w:val="24"/>
        </w:rPr>
        <w:t>Immunohistochemistry with DAB staining</w:t>
      </w:r>
    </w:p>
    <w:p w14:paraId="7E3078A3" w14:textId="77777777" w:rsidR="00600B5E" w:rsidRPr="006B731C" w:rsidRDefault="00600B5E" w:rsidP="006B731C">
      <w:pPr>
        <w:spacing w:after="0" w:line="240" w:lineRule="auto"/>
        <w:jc w:val="both"/>
        <w:rPr>
          <w:rFonts w:ascii="Calibri" w:hAnsi="Calibri" w:cs="Calibri"/>
          <w:b/>
          <w:sz w:val="24"/>
          <w:szCs w:val="24"/>
        </w:rPr>
      </w:pPr>
    </w:p>
    <w:p w14:paraId="6CA05390" w14:textId="5E0B7A0F" w:rsidR="00600B5E" w:rsidRPr="006B731C" w:rsidRDefault="009A7CD2" w:rsidP="006B731C">
      <w:pPr>
        <w:pStyle w:val="PargrafodaLista"/>
        <w:numPr>
          <w:ilvl w:val="1"/>
          <w:numId w:val="11"/>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Wash sections 3</w:t>
      </w:r>
      <w:r w:rsidR="00BD1614" w:rsidRPr="006B731C">
        <w:rPr>
          <w:rFonts w:ascii="Calibri" w:hAnsi="Calibri" w:cs="Calibri"/>
          <w:sz w:val="24"/>
          <w:szCs w:val="24"/>
        </w:rPr>
        <w:t>x</w:t>
      </w:r>
      <w:r w:rsidRPr="006B731C">
        <w:rPr>
          <w:rFonts w:ascii="Calibri" w:hAnsi="Calibri" w:cs="Calibri"/>
          <w:sz w:val="24"/>
          <w:szCs w:val="24"/>
        </w:rPr>
        <w:t xml:space="preserve"> in PBS to remove residual sodium </w:t>
      </w:r>
      <w:proofErr w:type="spellStart"/>
      <w:r w:rsidRPr="006B731C">
        <w:rPr>
          <w:rFonts w:ascii="Calibri" w:hAnsi="Calibri" w:cs="Calibri"/>
          <w:sz w:val="24"/>
          <w:szCs w:val="24"/>
        </w:rPr>
        <w:t>azide</w:t>
      </w:r>
      <w:proofErr w:type="spellEnd"/>
      <w:r w:rsidRPr="006B731C">
        <w:rPr>
          <w:rFonts w:ascii="Calibri" w:hAnsi="Calibri" w:cs="Calibri"/>
          <w:sz w:val="24"/>
          <w:szCs w:val="24"/>
        </w:rPr>
        <w:t>.</w:t>
      </w:r>
      <w:r w:rsidR="00BD1614" w:rsidRPr="006B731C">
        <w:rPr>
          <w:rFonts w:ascii="Calibri" w:hAnsi="Calibri" w:cs="Calibri"/>
          <w:sz w:val="24"/>
          <w:szCs w:val="24"/>
        </w:rPr>
        <w:t xml:space="preserve"> </w:t>
      </w:r>
      <w:r w:rsidRPr="006B731C">
        <w:rPr>
          <w:rFonts w:ascii="Calibri" w:hAnsi="Calibri" w:cs="Calibri"/>
          <w:sz w:val="24"/>
          <w:szCs w:val="24"/>
        </w:rPr>
        <w:t xml:space="preserve">Incubate in </w:t>
      </w:r>
      <w:proofErr w:type="spellStart"/>
      <w:r w:rsidRPr="006B731C">
        <w:rPr>
          <w:rFonts w:ascii="Calibri" w:hAnsi="Calibri" w:cs="Calibri"/>
          <w:sz w:val="24"/>
          <w:szCs w:val="24"/>
        </w:rPr>
        <w:t>phenylhydrazine</w:t>
      </w:r>
      <w:proofErr w:type="spellEnd"/>
      <w:r w:rsidRPr="006B731C">
        <w:rPr>
          <w:rFonts w:ascii="Calibri" w:hAnsi="Calibri" w:cs="Calibri"/>
          <w:sz w:val="24"/>
          <w:szCs w:val="24"/>
        </w:rPr>
        <w:t xml:space="preserve"> solution (0.2 - 0.3 mg/mL in PBS) for 30 min at 37</w:t>
      </w:r>
      <w:r w:rsidR="00BD1614" w:rsidRPr="006B731C">
        <w:rPr>
          <w:rFonts w:ascii="Calibri" w:hAnsi="Calibri" w:cs="Calibri"/>
          <w:sz w:val="24"/>
          <w:szCs w:val="24"/>
        </w:rPr>
        <w:t xml:space="preserve"> </w:t>
      </w:r>
      <w:r w:rsidRPr="006B731C">
        <w:rPr>
          <w:rFonts w:ascii="Calibri" w:hAnsi="Calibri" w:cs="Calibri"/>
          <w:sz w:val="24"/>
          <w:szCs w:val="24"/>
        </w:rPr>
        <w:t>°C.</w:t>
      </w:r>
    </w:p>
    <w:p w14:paraId="4A8DEE0F" w14:textId="77777777" w:rsidR="00BD1614" w:rsidRPr="006B731C" w:rsidRDefault="00BD1614" w:rsidP="006B731C">
      <w:pPr>
        <w:pStyle w:val="PargrafodaLista"/>
        <w:spacing w:after="0" w:line="240" w:lineRule="auto"/>
        <w:ind w:left="0"/>
        <w:contextualSpacing w:val="0"/>
        <w:jc w:val="both"/>
        <w:rPr>
          <w:rFonts w:ascii="Calibri" w:hAnsi="Calibri" w:cs="Calibri"/>
          <w:sz w:val="24"/>
          <w:szCs w:val="24"/>
        </w:rPr>
      </w:pPr>
    </w:p>
    <w:p w14:paraId="5DB29C6B" w14:textId="77777777"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 xml:space="preserve">CAUTION: </w:t>
      </w:r>
      <w:proofErr w:type="spellStart"/>
      <w:r w:rsidRPr="006B731C">
        <w:rPr>
          <w:rFonts w:ascii="Calibri" w:hAnsi="Calibri" w:cs="Calibri"/>
          <w:sz w:val="24"/>
          <w:szCs w:val="24"/>
        </w:rPr>
        <w:t>Phenylhydrazine</w:t>
      </w:r>
      <w:proofErr w:type="spellEnd"/>
      <w:r w:rsidRPr="006B731C">
        <w:rPr>
          <w:rFonts w:ascii="Calibri" w:hAnsi="Calibri" w:cs="Calibri"/>
          <w:sz w:val="24"/>
          <w:szCs w:val="24"/>
        </w:rPr>
        <w:t xml:space="preserve"> is carcinogenic - perform this step in a fume hood and dispose of waste as hazardous.</w:t>
      </w:r>
    </w:p>
    <w:p w14:paraId="64682F7A" w14:textId="77777777" w:rsidR="00BD1614" w:rsidRPr="006B731C" w:rsidRDefault="00BD1614" w:rsidP="006B731C">
      <w:pPr>
        <w:spacing w:after="0" w:line="240" w:lineRule="auto"/>
        <w:jc w:val="both"/>
        <w:rPr>
          <w:rFonts w:ascii="Calibri" w:hAnsi="Calibri" w:cs="Calibri"/>
          <w:sz w:val="24"/>
          <w:szCs w:val="24"/>
        </w:rPr>
      </w:pPr>
    </w:p>
    <w:p w14:paraId="12F092E4" w14:textId="77BFDFCE" w:rsidR="00600B5E" w:rsidRPr="006B731C" w:rsidRDefault="00BD1614" w:rsidP="006B731C">
      <w:pPr>
        <w:spacing w:after="0" w:line="240" w:lineRule="auto"/>
        <w:jc w:val="both"/>
        <w:rPr>
          <w:rFonts w:ascii="Calibri" w:hAnsi="Calibri" w:cs="Calibri"/>
          <w:sz w:val="24"/>
          <w:szCs w:val="24"/>
        </w:rPr>
      </w:pPr>
      <w:r w:rsidRPr="006B731C">
        <w:rPr>
          <w:rFonts w:ascii="Calibri" w:hAnsi="Calibri" w:cs="Calibri"/>
          <w:sz w:val="24"/>
          <w:szCs w:val="24"/>
        </w:rPr>
        <w:t>5.2</w:t>
      </w:r>
      <w:r w:rsidRPr="006B731C">
        <w:rPr>
          <w:rFonts w:ascii="Calibri" w:hAnsi="Calibri" w:cs="Calibri"/>
          <w:sz w:val="24"/>
          <w:szCs w:val="24"/>
        </w:rPr>
        <w:tab/>
      </w:r>
      <w:r w:rsidR="009A7CD2" w:rsidRPr="006B731C">
        <w:rPr>
          <w:rFonts w:ascii="Calibri" w:hAnsi="Calibri" w:cs="Calibri"/>
          <w:sz w:val="24"/>
          <w:szCs w:val="24"/>
        </w:rPr>
        <w:t>Wash 3</w:t>
      </w:r>
      <w:r w:rsidRPr="006B731C">
        <w:rPr>
          <w:rFonts w:ascii="Calibri" w:hAnsi="Calibri" w:cs="Calibri"/>
          <w:sz w:val="24"/>
          <w:szCs w:val="24"/>
        </w:rPr>
        <w:t>x</w:t>
      </w:r>
      <w:r w:rsidR="009A7CD2" w:rsidRPr="006B731C">
        <w:rPr>
          <w:rFonts w:ascii="Calibri" w:hAnsi="Calibri" w:cs="Calibri"/>
          <w:sz w:val="24"/>
          <w:szCs w:val="24"/>
        </w:rPr>
        <w:t xml:space="preserve"> in PBS </w:t>
      </w:r>
      <w:r w:rsidRPr="006B731C">
        <w:rPr>
          <w:rFonts w:ascii="Calibri" w:hAnsi="Calibri" w:cs="Calibri"/>
          <w:sz w:val="24"/>
          <w:szCs w:val="24"/>
        </w:rPr>
        <w:t xml:space="preserve">for </w:t>
      </w:r>
      <w:r w:rsidR="009A7CD2" w:rsidRPr="006B731C">
        <w:rPr>
          <w:rFonts w:ascii="Calibri" w:hAnsi="Calibri" w:cs="Calibri"/>
          <w:sz w:val="24"/>
          <w:szCs w:val="24"/>
        </w:rPr>
        <w:t>5 min, 10 min, 10 min</w:t>
      </w:r>
      <w:r w:rsidRPr="006B731C">
        <w:rPr>
          <w:rFonts w:ascii="Calibri" w:hAnsi="Calibri" w:cs="Calibri"/>
          <w:sz w:val="24"/>
          <w:szCs w:val="24"/>
        </w:rPr>
        <w:t xml:space="preserve"> sequentially</w:t>
      </w:r>
      <w:r w:rsidR="009A7CD2" w:rsidRPr="006B731C">
        <w:rPr>
          <w:rFonts w:ascii="Calibri" w:hAnsi="Calibri" w:cs="Calibri"/>
          <w:sz w:val="24"/>
          <w:szCs w:val="24"/>
        </w:rPr>
        <w:t>.</w:t>
      </w:r>
      <w:r w:rsidRPr="006B731C">
        <w:rPr>
          <w:rFonts w:ascii="Calibri" w:hAnsi="Calibri" w:cs="Calibri"/>
          <w:sz w:val="24"/>
          <w:szCs w:val="24"/>
        </w:rPr>
        <w:t xml:space="preserve"> </w:t>
      </w:r>
      <w:r w:rsidR="009A7CD2" w:rsidRPr="006B731C">
        <w:rPr>
          <w:rFonts w:ascii="Calibri" w:hAnsi="Calibri" w:cs="Calibri"/>
          <w:sz w:val="24"/>
          <w:szCs w:val="24"/>
        </w:rPr>
        <w:t xml:space="preserve">Block the tissue for 1 </w:t>
      </w:r>
      <w:proofErr w:type="spellStart"/>
      <w:r w:rsidR="009A7CD2" w:rsidRPr="006B731C">
        <w:rPr>
          <w:rFonts w:ascii="Calibri" w:hAnsi="Calibri" w:cs="Calibri"/>
          <w:sz w:val="24"/>
          <w:szCs w:val="24"/>
        </w:rPr>
        <w:t>h at</w:t>
      </w:r>
      <w:proofErr w:type="spellEnd"/>
      <w:r w:rsidR="009A7CD2" w:rsidRPr="006B731C">
        <w:rPr>
          <w:rFonts w:ascii="Calibri" w:hAnsi="Calibri" w:cs="Calibri"/>
          <w:sz w:val="24"/>
          <w:szCs w:val="24"/>
        </w:rPr>
        <w:t xml:space="preserve"> RT in PBS containing 10% normal goat serum (NGS) and 0.1% Triton X-100.</w:t>
      </w:r>
    </w:p>
    <w:p w14:paraId="4EEDE305" w14:textId="77777777" w:rsidR="00BD1614" w:rsidRPr="006B731C" w:rsidRDefault="00BD1614" w:rsidP="006B731C">
      <w:pPr>
        <w:spacing w:after="0" w:line="240" w:lineRule="auto"/>
        <w:jc w:val="both"/>
        <w:rPr>
          <w:rFonts w:ascii="Calibri" w:hAnsi="Calibri" w:cs="Calibri"/>
          <w:sz w:val="24"/>
          <w:szCs w:val="24"/>
        </w:rPr>
      </w:pPr>
    </w:p>
    <w:p w14:paraId="4F3F4095" w14:textId="265BC0AD" w:rsidR="00BD1614" w:rsidRPr="006B731C" w:rsidRDefault="009A7CD2" w:rsidP="006B731C">
      <w:pPr>
        <w:pStyle w:val="PargrafodaLista"/>
        <w:numPr>
          <w:ilvl w:val="1"/>
          <w:numId w:val="13"/>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Incubate overnight at 4</w:t>
      </w:r>
      <w:r w:rsidR="00BD1614" w:rsidRPr="006B731C">
        <w:rPr>
          <w:rFonts w:ascii="Calibri" w:hAnsi="Calibri" w:cs="Calibri"/>
          <w:sz w:val="24"/>
          <w:szCs w:val="24"/>
        </w:rPr>
        <w:t xml:space="preserve"> </w:t>
      </w:r>
      <w:r w:rsidRPr="006B731C">
        <w:rPr>
          <w:rFonts w:ascii="Calibri" w:hAnsi="Calibri" w:cs="Calibri"/>
          <w:sz w:val="24"/>
          <w:szCs w:val="24"/>
        </w:rPr>
        <w:t>°C with primary antibody in the recommended dilution (e.g., mouse anti-ataxin-2, 1:1000 in blocking solution) under gentle agitation.</w:t>
      </w:r>
      <w:r w:rsidR="00BD1614" w:rsidRPr="006B731C">
        <w:rPr>
          <w:rFonts w:ascii="Calibri" w:hAnsi="Calibri" w:cs="Calibri"/>
          <w:sz w:val="24"/>
          <w:szCs w:val="24"/>
        </w:rPr>
        <w:t xml:space="preserve"> Wash 3x in PBS for 5 min, 10 min, 10 min sequentially.</w:t>
      </w:r>
    </w:p>
    <w:p w14:paraId="4503BD81" w14:textId="77777777" w:rsidR="00BD1614" w:rsidRPr="006B731C" w:rsidRDefault="00BD1614" w:rsidP="006B731C">
      <w:pPr>
        <w:pStyle w:val="PargrafodaLista"/>
        <w:spacing w:after="0" w:line="240" w:lineRule="auto"/>
        <w:ind w:left="0"/>
        <w:contextualSpacing w:val="0"/>
        <w:jc w:val="both"/>
        <w:rPr>
          <w:rFonts w:ascii="Calibri" w:hAnsi="Calibri" w:cs="Calibri"/>
          <w:sz w:val="24"/>
          <w:szCs w:val="24"/>
        </w:rPr>
      </w:pPr>
    </w:p>
    <w:p w14:paraId="1F93180A" w14:textId="100E5542" w:rsidR="00600B5E" w:rsidRPr="006B731C" w:rsidRDefault="009A7CD2" w:rsidP="006B731C">
      <w:pPr>
        <w:pStyle w:val="PargrafodaLista"/>
        <w:numPr>
          <w:ilvl w:val="1"/>
          <w:numId w:val="13"/>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 xml:space="preserve">Incubate with biotinylated secondary antibody (1:200 in blocking solution) for 2 </w:t>
      </w:r>
      <w:proofErr w:type="spellStart"/>
      <w:r w:rsidRPr="006B731C">
        <w:rPr>
          <w:rFonts w:ascii="Calibri" w:hAnsi="Calibri" w:cs="Calibri"/>
          <w:sz w:val="24"/>
          <w:szCs w:val="24"/>
        </w:rPr>
        <w:t>h at</w:t>
      </w:r>
      <w:proofErr w:type="spellEnd"/>
      <w:r w:rsidRPr="006B731C">
        <w:rPr>
          <w:rFonts w:ascii="Calibri" w:hAnsi="Calibri" w:cs="Calibri"/>
          <w:sz w:val="24"/>
          <w:szCs w:val="24"/>
        </w:rPr>
        <w:t xml:space="preserve"> RT under gentle agitation.</w:t>
      </w:r>
      <w:r w:rsidR="00BD1614" w:rsidRPr="006B731C">
        <w:rPr>
          <w:rFonts w:ascii="Calibri" w:hAnsi="Calibri" w:cs="Calibri"/>
          <w:sz w:val="24"/>
          <w:szCs w:val="24"/>
        </w:rPr>
        <w:t xml:space="preserve"> Wash 3x in PBS for 5 min, 10 min, 10 min sequentially.</w:t>
      </w:r>
    </w:p>
    <w:p w14:paraId="5038D06E" w14:textId="77777777" w:rsidR="00BD1614" w:rsidRPr="006B731C" w:rsidRDefault="00BD1614" w:rsidP="006B731C">
      <w:pPr>
        <w:spacing w:after="0" w:line="240" w:lineRule="auto"/>
        <w:jc w:val="both"/>
        <w:rPr>
          <w:rFonts w:ascii="Calibri" w:hAnsi="Calibri" w:cs="Calibri"/>
          <w:sz w:val="24"/>
          <w:szCs w:val="24"/>
        </w:rPr>
      </w:pPr>
    </w:p>
    <w:p w14:paraId="2E532AF8" w14:textId="67EA8312" w:rsidR="00BD1614" w:rsidRPr="006B731C" w:rsidRDefault="009A7CD2" w:rsidP="006B731C">
      <w:pPr>
        <w:pStyle w:val="PargrafodaLista"/>
        <w:numPr>
          <w:ilvl w:val="1"/>
          <w:numId w:val="13"/>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Incubate in ABC complex for 30–40 min at RT.</w:t>
      </w:r>
      <w:r w:rsidR="00BD1614" w:rsidRPr="006B731C">
        <w:rPr>
          <w:rFonts w:ascii="Calibri" w:hAnsi="Calibri" w:cs="Calibri"/>
          <w:sz w:val="24"/>
          <w:szCs w:val="24"/>
        </w:rPr>
        <w:t xml:space="preserve"> Wash 3x in PBS for 5 min, 10 min, 10 min sequentially.</w:t>
      </w:r>
    </w:p>
    <w:p w14:paraId="63E0FAD5" w14:textId="77777777" w:rsidR="00BD1614" w:rsidRPr="006B731C" w:rsidRDefault="00BD1614" w:rsidP="006B731C">
      <w:pPr>
        <w:pStyle w:val="PargrafodaLista"/>
        <w:spacing w:after="0" w:line="240" w:lineRule="auto"/>
        <w:ind w:left="0"/>
        <w:contextualSpacing w:val="0"/>
        <w:jc w:val="both"/>
        <w:rPr>
          <w:rFonts w:ascii="Calibri" w:hAnsi="Calibri" w:cs="Calibri"/>
          <w:sz w:val="24"/>
          <w:szCs w:val="24"/>
        </w:rPr>
      </w:pPr>
    </w:p>
    <w:p w14:paraId="5EA29E9D" w14:textId="34F3AF34" w:rsidR="00600B5E" w:rsidRPr="006B731C" w:rsidRDefault="009A7CD2" w:rsidP="006B731C">
      <w:pPr>
        <w:pStyle w:val="PargrafodaLista"/>
        <w:numPr>
          <w:ilvl w:val="1"/>
          <w:numId w:val="13"/>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 xml:space="preserve">Prepare DAB solution fresh: for 2.5 mL </w:t>
      </w:r>
      <w:r w:rsidR="00BD1614" w:rsidRPr="006B731C">
        <w:rPr>
          <w:rFonts w:ascii="Calibri" w:hAnsi="Calibri" w:cs="Calibri"/>
          <w:sz w:val="24"/>
          <w:szCs w:val="24"/>
        </w:rPr>
        <w:t>of ultrapure</w:t>
      </w:r>
      <w:r w:rsidRPr="006B731C">
        <w:rPr>
          <w:rFonts w:ascii="Calibri" w:hAnsi="Calibri" w:cs="Calibri"/>
          <w:sz w:val="24"/>
          <w:szCs w:val="24"/>
        </w:rPr>
        <w:t xml:space="preserve"> water, add 1 drop buffer and vortex; add 2 drops DAB and vortex; add 1 drop H₂O₂ and vortex again.</w:t>
      </w:r>
    </w:p>
    <w:p w14:paraId="1E29B260" w14:textId="77777777" w:rsidR="00BD1614" w:rsidRPr="006B731C" w:rsidRDefault="00BD1614" w:rsidP="006B731C">
      <w:pPr>
        <w:spacing w:after="0" w:line="240" w:lineRule="auto"/>
        <w:jc w:val="both"/>
        <w:rPr>
          <w:rFonts w:ascii="Calibri" w:hAnsi="Calibri" w:cs="Calibri"/>
          <w:sz w:val="24"/>
          <w:szCs w:val="24"/>
        </w:rPr>
      </w:pPr>
    </w:p>
    <w:p w14:paraId="1FABD6D6" w14:textId="77777777"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CAUTION: DAB is carcinogenic - handle in a fume hood and discard waste properly.</w:t>
      </w:r>
    </w:p>
    <w:p w14:paraId="02A179DC" w14:textId="77777777" w:rsidR="00BD1614" w:rsidRPr="006B731C" w:rsidRDefault="00BD1614" w:rsidP="006B731C">
      <w:pPr>
        <w:spacing w:after="0" w:line="240" w:lineRule="auto"/>
        <w:jc w:val="both"/>
        <w:rPr>
          <w:rFonts w:ascii="Calibri" w:hAnsi="Calibri" w:cs="Calibri"/>
          <w:sz w:val="24"/>
          <w:szCs w:val="24"/>
        </w:rPr>
      </w:pPr>
    </w:p>
    <w:p w14:paraId="1E5D9581" w14:textId="7DBC17A1" w:rsidR="00600B5E" w:rsidRPr="006B731C" w:rsidRDefault="009A7CD2" w:rsidP="006B731C">
      <w:pPr>
        <w:pStyle w:val="PargrafodaLista"/>
        <w:numPr>
          <w:ilvl w:val="1"/>
          <w:numId w:val="13"/>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 xml:space="preserve">Develop sections in DAB solution individually until </w:t>
      </w:r>
      <w:r w:rsidR="00BD1614" w:rsidRPr="006B731C">
        <w:rPr>
          <w:rFonts w:ascii="Calibri" w:hAnsi="Calibri" w:cs="Calibri"/>
          <w:sz w:val="24"/>
          <w:szCs w:val="24"/>
        </w:rPr>
        <w:t xml:space="preserve">the </w:t>
      </w:r>
      <w:r w:rsidRPr="006B731C">
        <w:rPr>
          <w:rFonts w:ascii="Calibri" w:hAnsi="Calibri" w:cs="Calibri"/>
          <w:sz w:val="24"/>
          <w:szCs w:val="24"/>
        </w:rPr>
        <w:t>desired staining intensity is reached (typically 1–10 min). Stop the reaction immediately by transferring to PBS.</w:t>
      </w:r>
    </w:p>
    <w:p w14:paraId="183A3216" w14:textId="77777777" w:rsidR="00BD1614" w:rsidRPr="006B731C" w:rsidRDefault="00BD1614" w:rsidP="006B731C">
      <w:pPr>
        <w:pStyle w:val="PargrafodaLista"/>
        <w:spacing w:after="0" w:line="240" w:lineRule="auto"/>
        <w:ind w:left="0"/>
        <w:contextualSpacing w:val="0"/>
        <w:jc w:val="both"/>
        <w:rPr>
          <w:rFonts w:ascii="Calibri" w:hAnsi="Calibri" w:cs="Calibri"/>
          <w:sz w:val="24"/>
          <w:szCs w:val="24"/>
        </w:rPr>
      </w:pPr>
    </w:p>
    <w:p w14:paraId="073D2D77" w14:textId="018EFCBC" w:rsidR="00600B5E" w:rsidRPr="006B731C" w:rsidRDefault="009A7CD2" w:rsidP="006B731C">
      <w:pPr>
        <w:spacing w:after="0" w:line="240" w:lineRule="auto"/>
        <w:jc w:val="both"/>
        <w:rPr>
          <w:rFonts w:ascii="Calibri" w:hAnsi="Calibri" w:cs="Calibri"/>
          <w:bCs/>
          <w:sz w:val="24"/>
          <w:szCs w:val="24"/>
        </w:rPr>
      </w:pPr>
      <w:r w:rsidRPr="006B731C">
        <w:rPr>
          <w:rFonts w:ascii="Calibri" w:hAnsi="Calibri" w:cs="Calibri"/>
          <w:bCs/>
          <w:sz w:val="24"/>
          <w:szCs w:val="24"/>
        </w:rPr>
        <w:t>NOTE: DAB reactivity decreases over time; work efficiently. If more than one section is in the well at</w:t>
      </w:r>
      <w:r w:rsidR="00246359" w:rsidRPr="006B731C">
        <w:rPr>
          <w:rFonts w:ascii="Calibri" w:hAnsi="Calibri" w:cs="Calibri"/>
          <w:bCs/>
          <w:sz w:val="24"/>
          <w:szCs w:val="24"/>
        </w:rPr>
        <w:t xml:space="preserve"> a</w:t>
      </w:r>
      <w:r w:rsidRPr="006B731C">
        <w:rPr>
          <w:rFonts w:ascii="Calibri" w:hAnsi="Calibri" w:cs="Calibri"/>
          <w:bCs/>
          <w:sz w:val="24"/>
          <w:szCs w:val="24"/>
        </w:rPr>
        <w:t xml:space="preserve"> time, ensure they are not in contact, as it will influence the staining process.</w:t>
      </w:r>
    </w:p>
    <w:p w14:paraId="1292B53F" w14:textId="7D2A231A" w:rsidR="00FF4421" w:rsidRPr="006B731C" w:rsidRDefault="00FF4421" w:rsidP="006B731C">
      <w:pPr>
        <w:spacing w:after="0" w:line="240" w:lineRule="auto"/>
        <w:jc w:val="both"/>
        <w:rPr>
          <w:rFonts w:ascii="Calibri" w:hAnsi="Calibri" w:cs="Calibri"/>
          <w:bCs/>
          <w:sz w:val="24"/>
          <w:szCs w:val="24"/>
        </w:rPr>
      </w:pPr>
    </w:p>
    <w:p w14:paraId="1EC53D74" w14:textId="4FE9238A" w:rsidR="00600B5E" w:rsidRPr="006B731C" w:rsidRDefault="00FF4421" w:rsidP="006B731C">
      <w:pPr>
        <w:pStyle w:val="PargrafodaLista"/>
        <w:numPr>
          <w:ilvl w:val="1"/>
          <w:numId w:val="13"/>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 xml:space="preserve">Wash 3x in PBS for 5 min, 10 min, 10 min sequentially. </w:t>
      </w:r>
      <w:r w:rsidR="009A7CD2" w:rsidRPr="006B731C">
        <w:rPr>
          <w:rFonts w:ascii="Calibri" w:hAnsi="Calibri" w:cs="Calibri"/>
          <w:sz w:val="24"/>
          <w:szCs w:val="24"/>
        </w:rPr>
        <w:t xml:space="preserve">Mount sections on gelatin-coated slides and allow </w:t>
      </w:r>
      <w:r w:rsidRPr="006B731C">
        <w:rPr>
          <w:rFonts w:ascii="Calibri" w:hAnsi="Calibri" w:cs="Calibri"/>
          <w:sz w:val="24"/>
          <w:szCs w:val="24"/>
        </w:rPr>
        <w:t>them</w:t>
      </w:r>
      <w:r w:rsidR="009A7CD2" w:rsidRPr="006B731C">
        <w:rPr>
          <w:rFonts w:ascii="Calibri" w:hAnsi="Calibri" w:cs="Calibri"/>
          <w:sz w:val="24"/>
          <w:szCs w:val="24"/>
        </w:rPr>
        <w:t xml:space="preserve"> to dry completely.</w:t>
      </w:r>
      <w:r w:rsidR="00D80691" w:rsidRPr="006B731C">
        <w:rPr>
          <w:rFonts w:ascii="Calibri" w:hAnsi="Calibri" w:cs="Calibri"/>
          <w:sz w:val="24"/>
          <w:szCs w:val="24"/>
        </w:rPr>
        <w:t xml:space="preserve"> </w:t>
      </w:r>
      <w:r w:rsidR="009A7CD2" w:rsidRPr="006B731C">
        <w:rPr>
          <w:rFonts w:ascii="Calibri" w:hAnsi="Calibri" w:cs="Calibri"/>
          <w:sz w:val="24"/>
          <w:szCs w:val="24"/>
        </w:rPr>
        <w:t xml:space="preserve">Do not label slides with </w:t>
      </w:r>
      <w:r w:rsidR="0037144E">
        <w:rPr>
          <w:rFonts w:ascii="Calibri" w:hAnsi="Calibri" w:cs="Calibri"/>
          <w:sz w:val="24"/>
          <w:szCs w:val="24"/>
        </w:rPr>
        <w:t xml:space="preserve">a </w:t>
      </w:r>
      <w:r w:rsidR="009A7CD2" w:rsidRPr="006B731C">
        <w:rPr>
          <w:rFonts w:ascii="Calibri" w:hAnsi="Calibri" w:cs="Calibri"/>
          <w:sz w:val="24"/>
          <w:szCs w:val="24"/>
        </w:rPr>
        <w:t>graphite pencil, as it may interfere with imaging.</w:t>
      </w:r>
    </w:p>
    <w:p w14:paraId="20A8D51D" w14:textId="77777777" w:rsidR="00D80691" w:rsidRPr="006B731C" w:rsidRDefault="00D80691" w:rsidP="006B731C">
      <w:pPr>
        <w:pStyle w:val="PargrafodaLista"/>
        <w:spacing w:after="0" w:line="240" w:lineRule="auto"/>
        <w:ind w:left="0"/>
        <w:contextualSpacing w:val="0"/>
        <w:jc w:val="both"/>
        <w:rPr>
          <w:rFonts w:ascii="Calibri" w:hAnsi="Calibri" w:cs="Calibri"/>
          <w:sz w:val="24"/>
          <w:szCs w:val="24"/>
        </w:rPr>
      </w:pPr>
    </w:p>
    <w:p w14:paraId="3A978B05" w14:textId="6BB23C43" w:rsidR="00600B5E" w:rsidRPr="006B731C" w:rsidRDefault="009A7CD2" w:rsidP="006B731C">
      <w:pPr>
        <w:pStyle w:val="PargrafodaLista"/>
        <w:numPr>
          <w:ilvl w:val="1"/>
          <w:numId w:val="13"/>
        </w:numPr>
        <w:spacing w:after="0" w:line="240" w:lineRule="auto"/>
        <w:ind w:left="0" w:firstLine="0"/>
        <w:contextualSpacing w:val="0"/>
        <w:jc w:val="both"/>
        <w:rPr>
          <w:rFonts w:ascii="Calibri" w:hAnsi="Calibri" w:cs="Calibri"/>
          <w:sz w:val="24"/>
          <w:szCs w:val="24"/>
        </w:rPr>
      </w:pPr>
      <w:r w:rsidRPr="006B731C">
        <w:rPr>
          <w:rFonts w:ascii="Calibri" w:hAnsi="Calibri" w:cs="Calibri"/>
          <w:sz w:val="24"/>
          <w:szCs w:val="24"/>
        </w:rPr>
        <w:t xml:space="preserve">Dehydrate, clear, and coverslip as </w:t>
      </w:r>
      <w:r w:rsidR="00D80691" w:rsidRPr="006B731C">
        <w:rPr>
          <w:rFonts w:ascii="Calibri" w:hAnsi="Calibri" w:cs="Calibri"/>
          <w:sz w:val="24"/>
          <w:szCs w:val="24"/>
        </w:rPr>
        <w:t>follows</w:t>
      </w:r>
      <w:r w:rsidRPr="006B731C">
        <w:rPr>
          <w:rFonts w:ascii="Calibri" w:hAnsi="Calibri" w:cs="Calibri"/>
          <w:sz w:val="24"/>
          <w:szCs w:val="24"/>
        </w:rPr>
        <w:t>:</w:t>
      </w:r>
      <w:r w:rsidR="00D80691" w:rsidRPr="006B731C">
        <w:rPr>
          <w:rFonts w:ascii="Calibri" w:hAnsi="Calibri" w:cs="Calibri"/>
          <w:sz w:val="24"/>
          <w:szCs w:val="24"/>
        </w:rPr>
        <w:t xml:space="preserve"> </w:t>
      </w:r>
      <w:r w:rsidRPr="006B731C">
        <w:rPr>
          <w:rFonts w:ascii="Calibri" w:hAnsi="Calibri" w:cs="Calibri"/>
          <w:sz w:val="24"/>
          <w:szCs w:val="24"/>
        </w:rPr>
        <w:t>Immerse in distilled water for 30 s</w:t>
      </w:r>
      <w:r w:rsidR="00D80691" w:rsidRPr="006B731C">
        <w:rPr>
          <w:rFonts w:ascii="Calibri" w:hAnsi="Calibri" w:cs="Calibri"/>
          <w:sz w:val="24"/>
          <w:szCs w:val="24"/>
        </w:rPr>
        <w:t>, d</w:t>
      </w:r>
      <w:r w:rsidRPr="006B731C">
        <w:rPr>
          <w:rFonts w:ascii="Calibri" w:hAnsi="Calibri" w:cs="Calibri"/>
          <w:sz w:val="24"/>
          <w:szCs w:val="24"/>
        </w:rPr>
        <w:t>ehydrate through ethanol series: 75%, 96%, 100% (3 min each).</w:t>
      </w:r>
      <w:r w:rsidR="00D80691" w:rsidRPr="006B731C">
        <w:rPr>
          <w:rFonts w:ascii="Calibri" w:hAnsi="Calibri" w:cs="Calibri"/>
          <w:sz w:val="24"/>
          <w:szCs w:val="24"/>
        </w:rPr>
        <w:t xml:space="preserve"> </w:t>
      </w:r>
      <w:r w:rsidRPr="006B731C">
        <w:rPr>
          <w:rFonts w:ascii="Calibri" w:hAnsi="Calibri" w:cs="Calibri"/>
          <w:sz w:val="24"/>
          <w:szCs w:val="24"/>
        </w:rPr>
        <w:t>Clear in xylene substitute for 5 min and air dry.</w:t>
      </w:r>
      <w:r w:rsidR="00D80691" w:rsidRPr="006B731C">
        <w:rPr>
          <w:rFonts w:ascii="Calibri" w:hAnsi="Calibri" w:cs="Calibri"/>
          <w:sz w:val="24"/>
          <w:szCs w:val="24"/>
        </w:rPr>
        <w:t xml:space="preserve"> </w:t>
      </w:r>
      <w:r w:rsidRPr="006B731C">
        <w:rPr>
          <w:rFonts w:ascii="Calibri" w:hAnsi="Calibri" w:cs="Calibri"/>
          <w:sz w:val="24"/>
          <w:szCs w:val="24"/>
        </w:rPr>
        <w:t>Apply coverslip using a quick-hardening mounting medium and allow it to cure inside the fume hood for at least 24 h before imaging or storing.</w:t>
      </w:r>
    </w:p>
    <w:p w14:paraId="1EE60A61" w14:textId="77777777" w:rsidR="00600B5E" w:rsidRPr="006B731C" w:rsidRDefault="00600B5E" w:rsidP="006B731C">
      <w:pPr>
        <w:spacing w:after="0" w:line="240" w:lineRule="auto"/>
        <w:jc w:val="both"/>
        <w:rPr>
          <w:rFonts w:ascii="Calibri" w:hAnsi="Calibri" w:cs="Calibri"/>
          <w:sz w:val="24"/>
          <w:szCs w:val="24"/>
        </w:rPr>
      </w:pPr>
    </w:p>
    <w:p w14:paraId="7A28DB57" w14:textId="164C2CA9" w:rsidR="00600B5E" w:rsidRPr="006B731C" w:rsidRDefault="009A7CD2" w:rsidP="006B731C">
      <w:pPr>
        <w:pStyle w:val="PargrafodaLista"/>
        <w:numPr>
          <w:ilvl w:val="0"/>
          <w:numId w:val="11"/>
        </w:numPr>
        <w:spacing w:after="0" w:line="240" w:lineRule="auto"/>
        <w:ind w:left="0" w:firstLine="0"/>
        <w:contextualSpacing w:val="0"/>
        <w:jc w:val="both"/>
        <w:rPr>
          <w:rFonts w:ascii="Calibri" w:hAnsi="Calibri" w:cs="Calibri"/>
          <w:b/>
          <w:sz w:val="24"/>
          <w:szCs w:val="24"/>
        </w:rPr>
      </w:pPr>
      <w:r w:rsidRPr="006B731C">
        <w:rPr>
          <w:rFonts w:ascii="Calibri" w:hAnsi="Calibri" w:cs="Calibri"/>
          <w:b/>
          <w:sz w:val="24"/>
          <w:szCs w:val="24"/>
        </w:rPr>
        <w:t xml:space="preserve">Quantification of </w:t>
      </w:r>
      <w:r w:rsidR="00D14FF4" w:rsidRPr="006B731C">
        <w:rPr>
          <w:rFonts w:ascii="Calibri" w:hAnsi="Calibri" w:cs="Calibri"/>
          <w:b/>
          <w:sz w:val="24"/>
          <w:szCs w:val="24"/>
        </w:rPr>
        <w:t>DARPP-32-depleted</w:t>
      </w:r>
      <w:r w:rsidRPr="006B731C">
        <w:rPr>
          <w:rFonts w:ascii="Calibri" w:hAnsi="Calibri" w:cs="Calibri"/>
          <w:b/>
          <w:sz w:val="24"/>
          <w:szCs w:val="24"/>
        </w:rPr>
        <w:t xml:space="preserve"> volume in the mouse striatum using FIJI (ImageJ)</w:t>
      </w:r>
    </w:p>
    <w:p w14:paraId="0C7389FA" w14:textId="77777777" w:rsidR="00600B5E" w:rsidRPr="006B731C" w:rsidRDefault="00600B5E" w:rsidP="006B731C">
      <w:pPr>
        <w:spacing w:after="0" w:line="240" w:lineRule="auto"/>
        <w:jc w:val="both"/>
        <w:rPr>
          <w:rFonts w:ascii="Calibri" w:hAnsi="Calibri" w:cs="Calibri"/>
          <w:b/>
          <w:sz w:val="24"/>
          <w:szCs w:val="24"/>
        </w:rPr>
      </w:pPr>
    </w:p>
    <w:p w14:paraId="4780E88D" w14:textId="652BD0D5" w:rsidR="00600B5E" w:rsidRPr="006B731C" w:rsidRDefault="00D80691" w:rsidP="006B731C">
      <w:pPr>
        <w:spacing w:after="0" w:line="240" w:lineRule="auto"/>
        <w:jc w:val="both"/>
        <w:rPr>
          <w:rFonts w:ascii="Calibri" w:hAnsi="Calibri" w:cs="Calibri"/>
          <w:bCs/>
          <w:sz w:val="24"/>
          <w:szCs w:val="24"/>
        </w:rPr>
      </w:pPr>
      <w:r w:rsidRPr="006B731C">
        <w:rPr>
          <w:rFonts w:ascii="Calibri" w:hAnsi="Calibri" w:cs="Calibri"/>
          <w:bCs/>
          <w:sz w:val="24"/>
          <w:szCs w:val="24"/>
        </w:rPr>
        <w:t>6.1</w:t>
      </w:r>
      <w:r w:rsidRPr="006B731C">
        <w:rPr>
          <w:rFonts w:ascii="Calibri" w:hAnsi="Calibri" w:cs="Calibri"/>
          <w:bCs/>
          <w:sz w:val="24"/>
          <w:szCs w:val="24"/>
        </w:rPr>
        <w:tab/>
      </w:r>
      <w:r w:rsidR="009A7CD2" w:rsidRPr="006B731C">
        <w:rPr>
          <w:rFonts w:ascii="Calibri" w:hAnsi="Calibri" w:cs="Calibri"/>
          <w:bCs/>
          <w:sz w:val="24"/>
          <w:szCs w:val="24"/>
        </w:rPr>
        <w:t>Image acquisition</w:t>
      </w:r>
    </w:p>
    <w:p w14:paraId="29A00480" w14:textId="77777777" w:rsidR="00D80691" w:rsidRPr="006B731C" w:rsidRDefault="00D80691" w:rsidP="006B731C">
      <w:pPr>
        <w:spacing w:after="0" w:line="240" w:lineRule="auto"/>
        <w:jc w:val="both"/>
        <w:rPr>
          <w:rFonts w:ascii="Calibri" w:hAnsi="Calibri" w:cs="Calibri"/>
          <w:sz w:val="24"/>
          <w:szCs w:val="24"/>
        </w:rPr>
      </w:pPr>
    </w:p>
    <w:p w14:paraId="376653EC" w14:textId="41C8858D" w:rsidR="00600B5E" w:rsidRPr="006B731C" w:rsidRDefault="00D80691" w:rsidP="006B731C">
      <w:pPr>
        <w:spacing w:after="0" w:line="240" w:lineRule="auto"/>
        <w:jc w:val="both"/>
        <w:rPr>
          <w:rFonts w:ascii="Calibri" w:hAnsi="Calibri" w:cs="Calibri"/>
          <w:sz w:val="24"/>
          <w:szCs w:val="24"/>
        </w:rPr>
      </w:pPr>
      <w:r w:rsidRPr="006B731C">
        <w:rPr>
          <w:rFonts w:ascii="Calibri" w:hAnsi="Calibri" w:cs="Calibri"/>
          <w:sz w:val="24"/>
          <w:szCs w:val="24"/>
        </w:rPr>
        <w:t>6.1.1</w:t>
      </w:r>
      <w:r w:rsidRPr="006B731C">
        <w:rPr>
          <w:rFonts w:ascii="Calibri" w:hAnsi="Calibri" w:cs="Calibri"/>
          <w:sz w:val="24"/>
          <w:szCs w:val="24"/>
        </w:rPr>
        <w:tab/>
      </w:r>
      <w:r w:rsidR="009A7CD2" w:rsidRPr="006B731C">
        <w:rPr>
          <w:rFonts w:ascii="Calibri" w:hAnsi="Calibri" w:cs="Calibri"/>
          <w:sz w:val="24"/>
          <w:szCs w:val="24"/>
        </w:rPr>
        <w:t>Capture images of coronal brain sections spanning the entire striatum (approximately Bregma +1.0 to –0.5 mm).</w:t>
      </w:r>
      <w:r w:rsidR="008C0754" w:rsidRPr="006B731C">
        <w:rPr>
          <w:rFonts w:ascii="Calibri" w:hAnsi="Calibri" w:cs="Calibri"/>
          <w:sz w:val="24"/>
          <w:szCs w:val="24"/>
        </w:rPr>
        <w:t xml:space="preserve"> </w:t>
      </w:r>
      <w:r w:rsidR="009A7CD2" w:rsidRPr="006B731C">
        <w:rPr>
          <w:rFonts w:ascii="Calibri" w:hAnsi="Calibri" w:cs="Calibri"/>
          <w:sz w:val="24"/>
          <w:szCs w:val="24"/>
        </w:rPr>
        <w:t>Maintain consistent illumination, magnification (e.g., 10</w:t>
      </w:r>
      <w:r w:rsidRPr="006B731C">
        <w:rPr>
          <w:rFonts w:ascii="Calibri" w:hAnsi="Calibri" w:cs="Calibri"/>
          <w:sz w:val="24"/>
          <w:szCs w:val="24"/>
        </w:rPr>
        <w:t>x</w:t>
      </w:r>
      <w:r w:rsidR="009A7CD2" w:rsidRPr="006B731C">
        <w:rPr>
          <w:rFonts w:ascii="Calibri" w:hAnsi="Calibri" w:cs="Calibri"/>
          <w:sz w:val="24"/>
          <w:szCs w:val="24"/>
        </w:rPr>
        <w:t>), and resolution.</w:t>
      </w:r>
      <w:r w:rsidR="008C0754" w:rsidRPr="006B731C">
        <w:rPr>
          <w:rFonts w:ascii="Calibri" w:hAnsi="Calibri" w:cs="Calibri"/>
          <w:sz w:val="24"/>
          <w:szCs w:val="24"/>
        </w:rPr>
        <w:t xml:space="preserve"> </w:t>
      </w:r>
      <w:r w:rsidR="009A7CD2" w:rsidRPr="006B731C">
        <w:rPr>
          <w:rFonts w:ascii="Calibri" w:hAnsi="Calibri" w:cs="Calibri"/>
          <w:sz w:val="24"/>
          <w:szCs w:val="24"/>
        </w:rPr>
        <w:t>Save images in TIFF format with sequential filenames (e.g., Striatum_Bregma_+0.5.tif).</w:t>
      </w:r>
    </w:p>
    <w:p w14:paraId="6BAE5162" w14:textId="77777777" w:rsidR="00600B5E" w:rsidRPr="006B731C" w:rsidRDefault="00600B5E" w:rsidP="006B731C">
      <w:pPr>
        <w:spacing w:after="0" w:line="240" w:lineRule="auto"/>
        <w:jc w:val="both"/>
        <w:rPr>
          <w:rFonts w:ascii="Calibri" w:hAnsi="Calibri" w:cs="Calibri"/>
          <w:sz w:val="24"/>
          <w:szCs w:val="24"/>
        </w:rPr>
      </w:pPr>
    </w:p>
    <w:p w14:paraId="197515D7" w14:textId="2C72D414" w:rsidR="00600B5E" w:rsidRPr="006B731C" w:rsidRDefault="0049112F" w:rsidP="006B731C">
      <w:pPr>
        <w:spacing w:after="0" w:line="240" w:lineRule="auto"/>
        <w:jc w:val="both"/>
        <w:rPr>
          <w:rFonts w:ascii="Calibri" w:hAnsi="Calibri" w:cs="Calibri"/>
          <w:bCs/>
          <w:sz w:val="24"/>
          <w:szCs w:val="24"/>
        </w:rPr>
      </w:pPr>
      <w:r w:rsidRPr="006B731C">
        <w:rPr>
          <w:rFonts w:ascii="Calibri" w:hAnsi="Calibri" w:cs="Calibri"/>
          <w:bCs/>
          <w:sz w:val="24"/>
          <w:szCs w:val="24"/>
        </w:rPr>
        <w:t>6.2</w:t>
      </w:r>
      <w:r w:rsidRPr="006B731C">
        <w:rPr>
          <w:rFonts w:ascii="Calibri" w:hAnsi="Calibri" w:cs="Calibri"/>
          <w:bCs/>
          <w:sz w:val="24"/>
          <w:szCs w:val="24"/>
        </w:rPr>
        <w:tab/>
      </w:r>
      <w:r w:rsidR="009A7CD2" w:rsidRPr="006B731C">
        <w:rPr>
          <w:rFonts w:ascii="Calibri" w:hAnsi="Calibri" w:cs="Calibri"/>
          <w:bCs/>
          <w:sz w:val="24"/>
          <w:szCs w:val="24"/>
        </w:rPr>
        <w:t>Image preparation in FIJI</w:t>
      </w:r>
    </w:p>
    <w:p w14:paraId="36920EBA" w14:textId="77777777" w:rsidR="0049112F" w:rsidRPr="006B731C" w:rsidRDefault="0049112F" w:rsidP="006B731C">
      <w:pPr>
        <w:spacing w:after="0" w:line="240" w:lineRule="auto"/>
        <w:jc w:val="both"/>
        <w:rPr>
          <w:rFonts w:ascii="Calibri" w:hAnsi="Calibri" w:cs="Calibri"/>
          <w:b/>
          <w:sz w:val="24"/>
          <w:szCs w:val="24"/>
        </w:rPr>
      </w:pPr>
    </w:p>
    <w:p w14:paraId="392D919E" w14:textId="01CA28D5" w:rsidR="0049112F" w:rsidRPr="006B731C" w:rsidRDefault="0049112F" w:rsidP="006B731C">
      <w:pPr>
        <w:spacing w:after="0" w:line="240" w:lineRule="auto"/>
        <w:jc w:val="both"/>
        <w:rPr>
          <w:rFonts w:ascii="Calibri" w:hAnsi="Calibri" w:cs="Calibri"/>
          <w:sz w:val="24"/>
          <w:szCs w:val="24"/>
        </w:rPr>
      </w:pPr>
      <w:r w:rsidRPr="006B731C">
        <w:rPr>
          <w:rFonts w:ascii="Calibri" w:hAnsi="Calibri" w:cs="Calibri"/>
          <w:sz w:val="24"/>
          <w:szCs w:val="24"/>
        </w:rPr>
        <w:t>6.2.1</w:t>
      </w:r>
      <w:r w:rsidRPr="006B731C">
        <w:rPr>
          <w:rFonts w:ascii="Calibri" w:hAnsi="Calibri" w:cs="Calibri"/>
          <w:sz w:val="24"/>
          <w:szCs w:val="24"/>
        </w:rPr>
        <w:tab/>
      </w:r>
      <w:r w:rsidR="009A7CD2" w:rsidRPr="006B731C">
        <w:rPr>
          <w:rFonts w:ascii="Calibri" w:hAnsi="Calibri" w:cs="Calibri"/>
          <w:sz w:val="24"/>
          <w:szCs w:val="24"/>
        </w:rPr>
        <w:t>Open each image in FIJI.</w:t>
      </w:r>
      <w:r w:rsidRPr="006B731C">
        <w:rPr>
          <w:rFonts w:ascii="Calibri" w:hAnsi="Calibri" w:cs="Calibri"/>
          <w:sz w:val="24"/>
          <w:szCs w:val="24"/>
        </w:rPr>
        <w:t xml:space="preserve"> </w:t>
      </w:r>
      <w:r w:rsidR="009A7CD2" w:rsidRPr="006B731C">
        <w:rPr>
          <w:rFonts w:ascii="Calibri" w:hAnsi="Calibri" w:cs="Calibri"/>
          <w:sz w:val="24"/>
          <w:szCs w:val="24"/>
        </w:rPr>
        <w:t xml:space="preserve">Calibrate the pixel size: Go to </w:t>
      </w:r>
      <w:r w:rsidR="009A7CD2" w:rsidRPr="006B731C">
        <w:rPr>
          <w:rFonts w:ascii="Calibri" w:hAnsi="Calibri" w:cs="Calibri"/>
          <w:b/>
          <w:sz w:val="24"/>
          <w:szCs w:val="24"/>
        </w:rPr>
        <w:t>Analyze &gt; Set Scale</w:t>
      </w:r>
      <w:r w:rsidR="009A7CD2" w:rsidRPr="006B731C">
        <w:rPr>
          <w:rFonts w:ascii="Calibri" w:hAnsi="Calibri" w:cs="Calibri"/>
          <w:sz w:val="24"/>
          <w:szCs w:val="24"/>
        </w:rPr>
        <w:t>.</w:t>
      </w:r>
      <w:r w:rsidRPr="006B731C">
        <w:rPr>
          <w:rFonts w:ascii="Calibri" w:hAnsi="Calibri" w:cs="Calibri"/>
          <w:sz w:val="24"/>
          <w:szCs w:val="24"/>
        </w:rPr>
        <w:t xml:space="preserve"> </w:t>
      </w:r>
      <w:r w:rsidR="009A7CD2" w:rsidRPr="006B731C">
        <w:rPr>
          <w:rFonts w:ascii="Calibri" w:hAnsi="Calibri" w:cs="Calibri"/>
          <w:sz w:val="24"/>
          <w:szCs w:val="24"/>
        </w:rPr>
        <w:t xml:space="preserve">Use </w:t>
      </w:r>
      <w:r w:rsidR="00D14FF4" w:rsidRPr="006B731C">
        <w:rPr>
          <w:rFonts w:ascii="Calibri" w:hAnsi="Calibri" w:cs="Calibri"/>
          <w:sz w:val="24"/>
          <w:szCs w:val="24"/>
        </w:rPr>
        <w:t xml:space="preserve">a </w:t>
      </w:r>
      <w:r w:rsidR="009A7CD2" w:rsidRPr="006B731C">
        <w:rPr>
          <w:rFonts w:ascii="Calibri" w:hAnsi="Calibri" w:cs="Calibri"/>
          <w:sz w:val="24"/>
          <w:szCs w:val="24"/>
        </w:rPr>
        <w:t xml:space="preserve">known scale from </w:t>
      </w:r>
      <w:r w:rsidR="00292DE6" w:rsidRPr="006B731C">
        <w:rPr>
          <w:rFonts w:ascii="Calibri" w:hAnsi="Calibri" w:cs="Calibri"/>
          <w:sz w:val="24"/>
          <w:szCs w:val="24"/>
        </w:rPr>
        <w:t xml:space="preserve">a </w:t>
      </w:r>
      <w:r w:rsidR="009A7CD2" w:rsidRPr="006B731C">
        <w:rPr>
          <w:rFonts w:ascii="Calibri" w:hAnsi="Calibri" w:cs="Calibri"/>
          <w:sz w:val="24"/>
          <w:szCs w:val="24"/>
        </w:rPr>
        <w:t xml:space="preserve">micrometer or </w:t>
      </w:r>
      <w:r w:rsidR="00292DE6" w:rsidRPr="006B731C">
        <w:rPr>
          <w:rFonts w:ascii="Calibri" w:hAnsi="Calibri" w:cs="Calibri"/>
          <w:sz w:val="24"/>
          <w:szCs w:val="24"/>
        </w:rPr>
        <w:t xml:space="preserve">the image </w:t>
      </w:r>
      <w:r w:rsidR="009A7CD2" w:rsidRPr="006B731C">
        <w:rPr>
          <w:rFonts w:ascii="Calibri" w:hAnsi="Calibri" w:cs="Calibri"/>
          <w:sz w:val="24"/>
          <w:szCs w:val="24"/>
        </w:rPr>
        <w:t>metadata (e.g., 1 pixel = 1 µm).</w:t>
      </w:r>
    </w:p>
    <w:p w14:paraId="120E4828" w14:textId="02720C6B" w:rsidR="00600B5E" w:rsidRPr="006B731C" w:rsidRDefault="0049112F" w:rsidP="006B731C">
      <w:pPr>
        <w:spacing w:after="0" w:line="240" w:lineRule="auto"/>
        <w:jc w:val="both"/>
        <w:rPr>
          <w:rFonts w:ascii="Calibri" w:hAnsi="Calibri" w:cs="Calibri"/>
          <w:sz w:val="24"/>
          <w:szCs w:val="24"/>
        </w:rPr>
      </w:pPr>
      <w:r w:rsidRPr="006B731C">
        <w:rPr>
          <w:rFonts w:ascii="Calibri" w:hAnsi="Calibri" w:cs="Calibri"/>
          <w:sz w:val="24"/>
          <w:szCs w:val="24"/>
        </w:rPr>
        <w:lastRenderedPageBreak/>
        <w:t>6.2.2</w:t>
      </w:r>
      <w:r w:rsidRPr="006B731C">
        <w:rPr>
          <w:rFonts w:ascii="Calibri" w:hAnsi="Calibri" w:cs="Calibri"/>
          <w:sz w:val="24"/>
          <w:szCs w:val="24"/>
        </w:rPr>
        <w:tab/>
      </w:r>
      <w:r w:rsidR="009A7CD2" w:rsidRPr="006B731C">
        <w:rPr>
          <w:rFonts w:ascii="Calibri" w:hAnsi="Calibri" w:cs="Calibri"/>
          <w:sz w:val="24"/>
          <w:szCs w:val="24"/>
        </w:rPr>
        <w:t xml:space="preserve">Convert images to 8-bit: </w:t>
      </w:r>
      <w:r w:rsidR="009A7CD2" w:rsidRPr="006B731C">
        <w:rPr>
          <w:rFonts w:ascii="Calibri" w:hAnsi="Calibri" w:cs="Calibri"/>
          <w:b/>
          <w:sz w:val="24"/>
          <w:szCs w:val="24"/>
        </w:rPr>
        <w:t>Image &gt; Type &gt; 8-bit</w:t>
      </w:r>
      <w:r w:rsidRPr="006B731C">
        <w:rPr>
          <w:rFonts w:ascii="Calibri" w:hAnsi="Calibri" w:cs="Calibri"/>
          <w:b/>
          <w:sz w:val="24"/>
          <w:szCs w:val="24"/>
        </w:rPr>
        <w:t xml:space="preserve">. </w:t>
      </w:r>
      <w:r w:rsidR="009A7CD2" w:rsidRPr="006B731C">
        <w:rPr>
          <w:rFonts w:ascii="Calibri" w:hAnsi="Calibri" w:cs="Calibri"/>
          <w:sz w:val="24"/>
          <w:szCs w:val="24"/>
        </w:rPr>
        <w:t>Adjust brightness/contrast if necessary for optimal visualization of the depleted area (avoid thresholding at this step).</w:t>
      </w:r>
    </w:p>
    <w:p w14:paraId="48F2EFE3" w14:textId="77777777" w:rsidR="00600B5E" w:rsidRPr="006B731C" w:rsidRDefault="00600B5E" w:rsidP="006B731C">
      <w:pPr>
        <w:spacing w:after="0" w:line="240" w:lineRule="auto"/>
        <w:jc w:val="both"/>
        <w:rPr>
          <w:rFonts w:ascii="Calibri" w:hAnsi="Calibri" w:cs="Calibri"/>
          <w:sz w:val="24"/>
          <w:szCs w:val="24"/>
        </w:rPr>
      </w:pPr>
    </w:p>
    <w:p w14:paraId="2AE9AAA3" w14:textId="3899E165" w:rsidR="00600B5E" w:rsidRPr="006B731C" w:rsidRDefault="00A44DBD" w:rsidP="006B731C">
      <w:pPr>
        <w:spacing w:after="0" w:line="240" w:lineRule="auto"/>
        <w:jc w:val="both"/>
        <w:rPr>
          <w:rFonts w:ascii="Calibri" w:hAnsi="Calibri" w:cs="Calibri"/>
          <w:bCs/>
          <w:sz w:val="24"/>
          <w:szCs w:val="24"/>
        </w:rPr>
      </w:pPr>
      <w:r w:rsidRPr="006B731C">
        <w:rPr>
          <w:rFonts w:ascii="Calibri" w:hAnsi="Calibri" w:cs="Calibri"/>
          <w:bCs/>
          <w:sz w:val="24"/>
          <w:szCs w:val="24"/>
        </w:rPr>
        <w:t>6.3</w:t>
      </w:r>
      <w:r w:rsidRPr="006B731C">
        <w:rPr>
          <w:rFonts w:ascii="Calibri" w:hAnsi="Calibri" w:cs="Calibri"/>
          <w:bCs/>
          <w:sz w:val="24"/>
          <w:szCs w:val="24"/>
        </w:rPr>
        <w:tab/>
      </w:r>
      <w:r w:rsidR="009A7CD2" w:rsidRPr="006B731C">
        <w:rPr>
          <w:rFonts w:ascii="Calibri" w:hAnsi="Calibri" w:cs="Calibri"/>
          <w:bCs/>
          <w:sz w:val="24"/>
          <w:szCs w:val="24"/>
        </w:rPr>
        <w:t>ROI selection of depleted areas</w:t>
      </w:r>
    </w:p>
    <w:p w14:paraId="6427BECB" w14:textId="77777777" w:rsidR="00A44DBD" w:rsidRPr="006B731C" w:rsidRDefault="00A44DBD" w:rsidP="006B731C">
      <w:pPr>
        <w:spacing w:after="0" w:line="240" w:lineRule="auto"/>
        <w:jc w:val="both"/>
        <w:rPr>
          <w:rFonts w:ascii="Calibri" w:hAnsi="Calibri" w:cs="Calibri"/>
          <w:sz w:val="24"/>
          <w:szCs w:val="24"/>
        </w:rPr>
      </w:pPr>
    </w:p>
    <w:p w14:paraId="07EE88DA" w14:textId="330BBA63" w:rsidR="00600B5E" w:rsidRPr="006B731C" w:rsidRDefault="00A44DBD" w:rsidP="006B731C">
      <w:pPr>
        <w:spacing w:after="0" w:line="240" w:lineRule="auto"/>
        <w:jc w:val="both"/>
        <w:rPr>
          <w:rFonts w:ascii="Calibri" w:hAnsi="Calibri" w:cs="Calibri"/>
          <w:sz w:val="24"/>
          <w:szCs w:val="24"/>
        </w:rPr>
      </w:pPr>
      <w:r w:rsidRPr="006B731C">
        <w:rPr>
          <w:rFonts w:ascii="Calibri" w:hAnsi="Calibri" w:cs="Calibri"/>
          <w:sz w:val="24"/>
          <w:szCs w:val="24"/>
        </w:rPr>
        <w:t>6.3.1</w:t>
      </w:r>
      <w:r w:rsidRPr="006B731C">
        <w:rPr>
          <w:rFonts w:ascii="Calibri" w:hAnsi="Calibri" w:cs="Calibri"/>
          <w:sz w:val="24"/>
          <w:szCs w:val="24"/>
        </w:rPr>
        <w:tab/>
      </w:r>
      <w:r w:rsidR="009A7CD2" w:rsidRPr="006B731C">
        <w:rPr>
          <w:rFonts w:ascii="Calibri" w:hAnsi="Calibri" w:cs="Calibri"/>
          <w:sz w:val="24"/>
          <w:szCs w:val="24"/>
        </w:rPr>
        <w:t xml:space="preserve">Use the </w:t>
      </w:r>
      <w:r w:rsidR="009A7CD2" w:rsidRPr="006B731C">
        <w:rPr>
          <w:rFonts w:ascii="Calibri" w:hAnsi="Calibri" w:cs="Calibri"/>
          <w:bCs/>
          <w:sz w:val="24"/>
          <w:szCs w:val="24"/>
        </w:rPr>
        <w:t>Polygon, Freehand, or Brush tool to outline the DARPP-32-depleted region (usually lighter or absent staining in the striatum).</w:t>
      </w:r>
      <w:r w:rsidRPr="006B731C">
        <w:rPr>
          <w:rFonts w:ascii="Calibri" w:hAnsi="Calibri" w:cs="Calibri"/>
          <w:bCs/>
          <w:sz w:val="24"/>
          <w:szCs w:val="24"/>
        </w:rPr>
        <w:t xml:space="preserve"> </w:t>
      </w:r>
      <w:r w:rsidR="009A7CD2" w:rsidRPr="006B731C">
        <w:rPr>
          <w:rFonts w:ascii="Calibri" w:hAnsi="Calibri" w:cs="Calibri"/>
          <w:sz w:val="24"/>
          <w:szCs w:val="24"/>
        </w:rPr>
        <w:t xml:space="preserve">Go to </w:t>
      </w:r>
      <w:r w:rsidR="009A7CD2" w:rsidRPr="006B731C">
        <w:rPr>
          <w:rFonts w:ascii="Calibri" w:hAnsi="Calibri" w:cs="Calibri"/>
          <w:b/>
          <w:sz w:val="24"/>
          <w:szCs w:val="24"/>
        </w:rPr>
        <w:t>Analyze &gt; Measure</w:t>
      </w:r>
      <w:r w:rsidR="009A7CD2" w:rsidRPr="006B731C">
        <w:rPr>
          <w:rFonts w:ascii="Calibri" w:hAnsi="Calibri" w:cs="Calibri"/>
          <w:sz w:val="24"/>
          <w:szCs w:val="24"/>
        </w:rPr>
        <w:t xml:space="preserve"> to record the area in µm².</w:t>
      </w:r>
    </w:p>
    <w:p w14:paraId="514108D3" w14:textId="77777777" w:rsidR="00A44DBD" w:rsidRPr="006B731C" w:rsidRDefault="00A44DBD" w:rsidP="006B731C">
      <w:pPr>
        <w:spacing w:after="0" w:line="240" w:lineRule="auto"/>
        <w:jc w:val="both"/>
        <w:rPr>
          <w:rFonts w:ascii="Calibri" w:hAnsi="Calibri" w:cs="Calibri"/>
          <w:sz w:val="24"/>
          <w:szCs w:val="24"/>
        </w:rPr>
      </w:pPr>
    </w:p>
    <w:p w14:paraId="6504C013" w14:textId="4C304E6F" w:rsidR="00600B5E" w:rsidRPr="006B731C" w:rsidRDefault="00A44DBD" w:rsidP="006B731C">
      <w:pPr>
        <w:spacing w:after="0" w:line="240" w:lineRule="auto"/>
        <w:jc w:val="both"/>
        <w:rPr>
          <w:rFonts w:ascii="Calibri" w:hAnsi="Calibri" w:cs="Calibri"/>
          <w:sz w:val="24"/>
          <w:szCs w:val="24"/>
        </w:rPr>
      </w:pPr>
      <w:r w:rsidRPr="006B731C">
        <w:rPr>
          <w:rFonts w:ascii="Calibri" w:hAnsi="Calibri" w:cs="Calibri"/>
          <w:sz w:val="24"/>
          <w:szCs w:val="24"/>
        </w:rPr>
        <w:t>6.3.2</w:t>
      </w:r>
      <w:r w:rsidRPr="006B731C">
        <w:rPr>
          <w:rFonts w:ascii="Calibri" w:hAnsi="Calibri" w:cs="Calibri"/>
          <w:sz w:val="24"/>
          <w:szCs w:val="24"/>
        </w:rPr>
        <w:tab/>
      </w:r>
      <w:r w:rsidR="009A7CD2" w:rsidRPr="006B731C">
        <w:rPr>
          <w:rFonts w:ascii="Calibri" w:hAnsi="Calibri" w:cs="Calibri"/>
          <w:sz w:val="24"/>
          <w:szCs w:val="24"/>
        </w:rPr>
        <w:t xml:space="preserve">Save the ROI by going to </w:t>
      </w:r>
      <w:r w:rsidR="009A7CD2" w:rsidRPr="006B731C">
        <w:rPr>
          <w:rFonts w:ascii="Calibri" w:hAnsi="Calibri" w:cs="Calibri"/>
          <w:b/>
          <w:sz w:val="24"/>
          <w:szCs w:val="24"/>
        </w:rPr>
        <w:t xml:space="preserve">ROI Manager &gt; Add &gt; More &gt; </w:t>
      </w:r>
      <w:r w:rsidR="0037144E" w:rsidRPr="006B731C">
        <w:rPr>
          <w:rFonts w:ascii="Calibri" w:hAnsi="Calibri" w:cs="Calibri"/>
          <w:b/>
          <w:sz w:val="24"/>
          <w:szCs w:val="24"/>
        </w:rPr>
        <w:t>Save</w:t>
      </w:r>
      <w:r w:rsidR="0037144E" w:rsidRPr="006B731C">
        <w:rPr>
          <w:rFonts w:ascii="Calibri" w:hAnsi="Calibri" w:cs="Calibri"/>
          <w:sz w:val="24"/>
          <w:szCs w:val="24"/>
        </w:rPr>
        <w:t xml:space="preserve"> or</w:t>
      </w:r>
      <w:r w:rsidR="009A7CD2" w:rsidRPr="006B731C">
        <w:rPr>
          <w:rFonts w:ascii="Calibri" w:hAnsi="Calibri" w:cs="Calibri"/>
          <w:sz w:val="24"/>
          <w:szCs w:val="24"/>
        </w:rPr>
        <w:t xml:space="preserve"> use the </w:t>
      </w:r>
      <w:proofErr w:type="gramStart"/>
      <w:r w:rsidR="009A7CD2" w:rsidRPr="006B731C">
        <w:rPr>
          <w:rFonts w:ascii="Calibri" w:hAnsi="Calibri" w:cs="Calibri"/>
          <w:sz w:val="24"/>
          <w:szCs w:val="24"/>
        </w:rPr>
        <w:t>Multi-measure</w:t>
      </w:r>
      <w:proofErr w:type="gramEnd"/>
      <w:r w:rsidRPr="006B731C">
        <w:rPr>
          <w:rFonts w:ascii="Calibri" w:hAnsi="Calibri" w:cs="Calibri"/>
          <w:sz w:val="24"/>
          <w:szCs w:val="24"/>
        </w:rPr>
        <w:t xml:space="preserve"> </w:t>
      </w:r>
      <w:r w:rsidR="009A7CD2" w:rsidRPr="006B731C">
        <w:rPr>
          <w:rFonts w:ascii="Calibri" w:hAnsi="Calibri" w:cs="Calibri"/>
          <w:sz w:val="24"/>
          <w:szCs w:val="24"/>
        </w:rPr>
        <w:t>function for batch analysis.</w:t>
      </w:r>
    </w:p>
    <w:p w14:paraId="7C463F78" w14:textId="77777777" w:rsidR="00A44DBD" w:rsidRPr="006B731C" w:rsidRDefault="00A44DBD" w:rsidP="006B731C">
      <w:pPr>
        <w:spacing w:after="0" w:line="240" w:lineRule="auto"/>
        <w:jc w:val="both"/>
        <w:rPr>
          <w:rFonts w:ascii="Calibri" w:hAnsi="Calibri" w:cs="Calibri"/>
          <w:sz w:val="24"/>
          <w:szCs w:val="24"/>
        </w:rPr>
      </w:pPr>
    </w:p>
    <w:p w14:paraId="0249918A" w14:textId="27D6084B" w:rsidR="00600B5E" w:rsidRPr="006B731C" w:rsidRDefault="00A44DBD" w:rsidP="006B731C">
      <w:pPr>
        <w:spacing w:after="0" w:line="240" w:lineRule="auto"/>
        <w:jc w:val="both"/>
        <w:rPr>
          <w:rFonts w:ascii="Calibri" w:hAnsi="Calibri" w:cs="Calibri"/>
          <w:sz w:val="24"/>
          <w:szCs w:val="24"/>
        </w:rPr>
      </w:pPr>
      <w:r w:rsidRPr="006B731C">
        <w:rPr>
          <w:rFonts w:ascii="Calibri" w:hAnsi="Calibri" w:cs="Calibri"/>
          <w:sz w:val="24"/>
          <w:szCs w:val="24"/>
        </w:rPr>
        <w:t>6.3.3</w:t>
      </w:r>
      <w:r w:rsidRPr="006B731C">
        <w:rPr>
          <w:rFonts w:ascii="Calibri" w:hAnsi="Calibri" w:cs="Calibri"/>
          <w:sz w:val="24"/>
          <w:szCs w:val="24"/>
        </w:rPr>
        <w:tab/>
      </w:r>
      <w:r w:rsidR="009A7CD2" w:rsidRPr="006B731C">
        <w:rPr>
          <w:rFonts w:ascii="Calibri" w:hAnsi="Calibri" w:cs="Calibri"/>
          <w:sz w:val="24"/>
          <w:szCs w:val="24"/>
        </w:rPr>
        <w:t>Repeat for all relevant brain sections.</w:t>
      </w:r>
    </w:p>
    <w:p w14:paraId="5B611F8A" w14:textId="77777777" w:rsidR="00600B5E" w:rsidRPr="006B731C" w:rsidRDefault="00600B5E" w:rsidP="006B731C">
      <w:pPr>
        <w:spacing w:after="0" w:line="240" w:lineRule="auto"/>
        <w:jc w:val="both"/>
        <w:rPr>
          <w:rFonts w:ascii="Calibri" w:hAnsi="Calibri" w:cs="Calibri"/>
          <w:bCs/>
          <w:sz w:val="24"/>
          <w:szCs w:val="24"/>
        </w:rPr>
      </w:pPr>
    </w:p>
    <w:p w14:paraId="3803EB1F" w14:textId="6BAEEB89" w:rsidR="00600B5E" w:rsidRPr="006B731C" w:rsidRDefault="00A44DBD" w:rsidP="006B731C">
      <w:pPr>
        <w:spacing w:after="0" w:line="240" w:lineRule="auto"/>
        <w:jc w:val="both"/>
        <w:rPr>
          <w:rFonts w:ascii="Calibri" w:hAnsi="Calibri" w:cs="Calibri"/>
          <w:bCs/>
          <w:sz w:val="24"/>
          <w:szCs w:val="24"/>
        </w:rPr>
      </w:pPr>
      <w:r w:rsidRPr="006B731C">
        <w:rPr>
          <w:rFonts w:ascii="Calibri" w:hAnsi="Calibri" w:cs="Calibri"/>
          <w:bCs/>
          <w:sz w:val="24"/>
          <w:szCs w:val="24"/>
        </w:rPr>
        <w:t>6.4</w:t>
      </w:r>
      <w:r w:rsidRPr="006B731C">
        <w:rPr>
          <w:rFonts w:ascii="Calibri" w:hAnsi="Calibri" w:cs="Calibri"/>
          <w:bCs/>
          <w:sz w:val="24"/>
          <w:szCs w:val="24"/>
        </w:rPr>
        <w:tab/>
      </w:r>
      <w:r w:rsidR="009A7CD2" w:rsidRPr="006B731C">
        <w:rPr>
          <w:rFonts w:ascii="Calibri" w:hAnsi="Calibri" w:cs="Calibri"/>
          <w:bCs/>
          <w:sz w:val="24"/>
          <w:szCs w:val="24"/>
        </w:rPr>
        <w:t>Calculat</w:t>
      </w:r>
      <w:r w:rsidRPr="006B731C">
        <w:rPr>
          <w:rFonts w:ascii="Calibri" w:hAnsi="Calibri" w:cs="Calibri"/>
          <w:bCs/>
          <w:sz w:val="24"/>
          <w:szCs w:val="24"/>
        </w:rPr>
        <w:t>ion of</w:t>
      </w:r>
      <w:r w:rsidR="009A7CD2" w:rsidRPr="006B731C">
        <w:rPr>
          <w:rFonts w:ascii="Calibri" w:hAnsi="Calibri" w:cs="Calibri"/>
          <w:bCs/>
          <w:sz w:val="24"/>
          <w:szCs w:val="24"/>
        </w:rPr>
        <w:t xml:space="preserve"> depleted volume</w:t>
      </w:r>
    </w:p>
    <w:p w14:paraId="0D3F0C37" w14:textId="77777777" w:rsidR="00A44DBD" w:rsidRPr="006B731C" w:rsidRDefault="00A44DBD" w:rsidP="006B731C">
      <w:pPr>
        <w:spacing w:after="0" w:line="240" w:lineRule="auto"/>
        <w:jc w:val="both"/>
        <w:rPr>
          <w:rFonts w:ascii="Calibri" w:hAnsi="Calibri" w:cs="Calibri"/>
          <w:sz w:val="24"/>
          <w:szCs w:val="24"/>
        </w:rPr>
      </w:pPr>
    </w:p>
    <w:p w14:paraId="095FC3A8" w14:textId="0A93BEA5" w:rsidR="00600B5E" w:rsidRPr="006B731C" w:rsidRDefault="00A44DBD" w:rsidP="006B731C">
      <w:pPr>
        <w:spacing w:after="0" w:line="240" w:lineRule="auto"/>
        <w:jc w:val="both"/>
        <w:rPr>
          <w:rFonts w:ascii="Calibri" w:hAnsi="Calibri" w:cs="Calibri"/>
          <w:sz w:val="24"/>
          <w:szCs w:val="24"/>
        </w:rPr>
      </w:pPr>
      <w:r w:rsidRPr="006B731C">
        <w:rPr>
          <w:rFonts w:ascii="Calibri" w:hAnsi="Calibri" w:cs="Calibri"/>
          <w:sz w:val="24"/>
          <w:szCs w:val="24"/>
        </w:rPr>
        <w:t>6.4.1</w:t>
      </w:r>
      <w:r w:rsidRPr="006B731C">
        <w:rPr>
          <w:rFonts w:ascii="Calibri" w:hAnsi="Calibri" w:cs="Calibri"/>
          <w:sz w:val="24"/>
          <w:szCs w:val="24"/>
        </w:rPr>
        <w:tab/>
      </w:r>
      <w:r w:rsidR="009A7CD2" w:rsidRPr="006B731C">
        <w:rPr>
          <w:rFonts w:ascii="Calibri" w:hAnsi="Calibri" w:cs="Calibri"/>
          <w:sz w:val="24"/>
          <w:szCs w:val="24"/>
        </w:rPr>
        <w:t xml:space="preserve">Multiply the depleted area in each section by the distance between sections (typically 120 </w:t>
      </w:r>
      <w:r w:rsidR="002E2DB0" w:rsidRPr="006B731C">
        <w:rPr>
          <w:rFonts w:ascii="Calibri" w:hAnsi="Calibri" w:cs="Calibri"/>
          <w:sz w:val="24"/>
          <w:szCs w:val="24"/>
        </w:rPr>
        <w:t>–</w:t>
      </w:r>
      <w:r w:rsidR="009A7CD2" w:rsidRPr="006B731C">
        <w:rPr>
          <w:rFonts w:ascii="Calibri" w:hAnsi="Calibri" w:cs="Calibri"/>
          <w:sz w:val="24"/>
          <w:szCs w:val="24"/>
        </w:rPr>
        <w:t xml:space="preserve"> 240 µm</w:t>
      </w:r>
      <w:r w:rsidR="0037144E">
        <w:rPr>
          <w:rFonts w:ascii="Calibri" w:hAnsi="Calibri" w:cs="Calibri"/>
          <w:sz w:val="24"/>
          <w:szCs w:val="24"/>
        </w:rPr>
        <w:t>,</w:t>
      </w:r>
      <w:r w:rsidR="009A7CD2" w:rsidRPr="006B731C">
        <w:rPr>
          <w:rFonts w:ascii="Calibri" w:hAnsi="Calibri" w:cs="Calibri"/>
          <w:sz w:val="24"/>
          <w:szCs w:val="24"/>
        </w:rPr>
        <w:t xml:space="preserve"> depending on section thickness and spacing).</w:t>
      </w:r>
    </w:p>
    <w:p w14:paraId="39E1AAC5" w14:textId="77777777" w:rsidR="00600B5E" w:rsidRPr="006B731C" w:rsidRDefault="009A7CD2" w:rsidP="006B731C">
      <w:pPr>
        <w:spacing w:after="0" w:line="240" w:lineRule="auto"/>
        <w:jc w:val="both"/>
        <w:rPr>
          <w:rFonts w:ascii="Calibri" w:hAnsi="Calibri" w:cs="Calibri"/>
          <w:bCs/>
          <w:sz w:val="24"/>
          <w:szCs w:val="24"/>
        </w:rPr>
      </w:pPr>
      <w:r w:rsidRPr="006B731C">
        <w:rPr>
          <w:rFonts w:ascii="Calibri" w:hAnsi="Calibri" w:cs="Calibri"/>
          <w:bCs/>
          <w:sz w:val="24"/>
          <w:szCs w:val="24"/>
        </w:rPr>
        <w:t>Volume per section (mm³) = Depleted area (mm²) × Section interval (mm)</w:t>
      </w:r>
      <w:r w:rsidRPr="006B731C">
        <w:rPr>
          <w:rFonts w:ascii="Calibri" w:hAnsi="Calibri" w:cs="Calibri"/>
          <w:bCs/>
          <w:sz w:val="24"/>
          <w:szCs w:val="24"/>
        </w:rPr>
        <w:br/>
      </w:r>
    </w:p>
    <w:p w14:paraId="21611DE3" w14:textId="303ED70D" w:rsidR="00600B5E" w:rsidRPr="006B731C" w:rsidRDefault="002E2DB0" w:rsidP="006B731C">
      <w:pPr>
        <w:spacing w:after="0" w:line="240" w:lineRule="auto"/>
        <w:jc w:val="both"/>
        <w:rPr>
          <w:rFonts w:ascii="Calibri" w:hAnsi="Calibri" w:cs="Calibri"/>
          <w:sz w:val="24"/>
          <w:szCs w:val="24"/>
        </w:rPr>
      </w:pPr>
      <w:r w:rsidRPr="006B731C">
        <w:rPr>
          <w:rFonts w:ascii="Calibri" w:hAnsi="Calibri" w:cs="Calibri"/>
          <w:sz w:val="24"/>
          <w:szCs w:val="24"/>
        </w:rPr>
        <w:t>6.4.2</w:t>
      </w:r>
      <w:r w:rsidRPr="006B731C">
        <w:rPr>
          <w:rFonts w:ascii="Calibri" w:hAnsi="Calibri" w:cs="Calibri"/>
          <w:sz w:val="24"/>
          <w:szCs w:val="24"/>
        </w:rPr>
        <w:tab/>
      </w:r>
      <w:r w:rsidR="009A7CD2" w:rsidRPr="006B731C">
        <w:rPr>
          <w:rFonts w:ascii="Calibri" w:hAnsi="Calibri" w:cs="Calibri"/>
          <w:sz w:val="24"/>
          <w:szCs w:val="24"/>
        </w:rPr>
        <w:t>Sum the volume across all sections:</w:t>
      </w:r>
    </w:p>
    <w:p w14:paraId="25C44A89" w14:textId="77777777" w:rsidR="00600B5E" w:rsidRPr="006B731C" w:rsidRDefault="009A7CD2" w:rsidP="006B731C">
      <w:pPr>
        <w:spacing w:after="0" w:line="240" w:lineRule="auto"/>
        <w:jc w:val="both"/>
        <w:rPr>
          <w:rFonts w:ascii="Calibri" w:hAnsi="Calibri" w:cs="Calibri"/>
          <w:bCs/>
          <w:sz w:val="24"/>
          <w:szCs w:val="24"/>
        </w:rPr>
      </w:pPr>
      <w:r w:rsidRPr="006B731C">
        <w:rPr>
          <w:rFonts w:ascii="Calibri" w:hAnsi="Calibri" w:cs="Calibri"/>
          <w:bCs/>
          <w:sz w:val="24"/>
          <w:szCs w:val="24"/>
        </w:rPr>
        <w:t>Total depleted volume (mm³) = Σ (area × interval)</w:t>
      </w:r>
    </w:p>
    <w:p w14:paraId="186BBFDC" w14:textId="77777777" w:rsidR="002E2DB0" w:rsidRPr="006B731C" w:rsidRDefault="002E2DB0" w:rsidP="006B731C">
      <w:pPr>
        <w:spacing w:after="0" w:line="240" w:lineRule="auto"/>
        <w:jc w:val="both"/>
        <w:rPr>
          <w:rFonts w:ascii="Calibri" w:hAnsi="Calibri" w:cs="Calibri"/>
          <w:sz w:val="24"/>
          <w:szCs w:val="24"/>
        </w:rPr>
      </w:pPr>
    </w:p>
    <w:p w14:paraId="5E89E256" w14:textId="2193CB16" w:rsidR="00600B5E" w:rsidRPr="006B731C" w:rsidRDefault="002E2DB0" w:rsidP="006B731C">
      <w:pPr>
        <w:spacing w:after="0" w:line="240" w:lineRule="auto"/>
        <w:jc w:val="both"/>
        <w:rPr>
          <w:rFonts w:ascii="Calibri" w:hAnsi="Calibri" w:cs="Calibri"/>
          <w:sz w:val="24"/>
          <w:szCs w:val="24"/>
        </w:rPr>
      </w:pPr>
      <w:r w:rsidRPr="006B731C">
        <w:rPr>
          <w:rFonts w:ascii="Calibri" w:hAnsi="Calibri" w:cs="Calibri"/>
          <w:sz w:val="24"/>
          <w:szCs w:val="24"/>
        </w:rPr>
        <w:t>6.4.3</w:t>
      </w:r>
      <w:r w:rsidRPr="006B731C">
        <w:rPr>
          <w:rFonts w:ascii="Calibri" w:hAnsi="Calibri" w:cs="Calibri"/>
          <w:sz w:val="24"/>
          <w:szCs w:val="24"/>
        </w:rPr>
        <w:tab/>
      </w:r>
      <w:r w:rsidR="009A7CD2" w:rsidRPr="006B731C">
        <w:rPr>
          <w:rFonts w:ascii="Calibri" w:hAnsi="Calibri" w:cs="Calibri"/>
          <w:sz w:val="24"/>
          <w:szCs w:val="24"/>
        </w:rPr>
        <w:t xml:space="preserve">Optional: Overlay for </w:t>
      </w:r>
      <w:r w:rsidRPr="006B731C">
        <w:rPr>
          <w:rFonts w:ascii="Calibri" w:hAnsi="Calibri" w:cs="Calibri"/>
          <w:sz w:val="24"/>
          <w:szCs w:val="24"/>
        </w:rPr>
        <w:t>v</w:t>
      </w:r>
      <w:r w:rsidR="009A7CD2" w:rsidRPr="006B731C">
        <w:rPr>
          <w:rFonts w:ascii="Calibri" w:hAnsi="Calibri" w:cs="Calibri"/>
          <w:sz w:val="24"/>
          <w:szCs w:val="24"/>
        </w:rPr>
        <w:t>isualization</w:t>
      </w:r>
      <w:r w:rsidRPr="006B731C">
        <w:rPr>
          <w:rFonts w:ascii="Calibri" w:hAnsi="Calibri" w:cs="Calibri"/>
          <w:sz w:val="24"/>
          <w:szCs w:val="24"/>
        </w:rPr>
        <w:t xml:space="preserve">. </w:t>
      </w:r>
      <w:r w:rsidR="009A7CD2" w:rsidRPr="006B731C">
        <w:rPr>
          <w:rFonts w:ascii="Calibri" w:hAnsi="Calibri" w:cs="Calibri"/>
          <w:sz w:val="24"/>
          <w:szCs w:val="24"/>
        </w:rPr>
        <w:t xml:space="preserve">Use </w:t>
      </w:r>
      <w:r w:rsidR="009A7CD2" w:rsidRPr="006B731C">
        <w:rPr>
          <w:rFonts w:ascii="Calibri" w:hAnsi="Calibri" w:cs="Calibri"/>
          <w:b/>
          <w:sz w:val="24"/>
          <w:szCs w:val="24"/>
        </w:rPr>
        <w:t>Image &gt; Overlay &gt; From ROI</w:t>
      </w:r>
      <w:r w:rsidR="009A7CD2" w:rsidRPr="006B731C">
        <w:rPr>
          <w:rFonts w:ascii="Calibri" w:hAnsi="Calibri" w:cs="Calibri"/>
          <w:sz w:val="24"/>
          <w:szCs w:val="24"/>
        </w:rPr>
        <w:t xml:space="preserve"> to visualize the depleted regions across sections.</w:t>
      </w:r>
      <w:r w:rsidRPr="006B731C">
        <w:rPr>
          <w:rFonts w:ascii="Calibri" w:hAnsi="Calibri" w:cs="Calibri"/>
          <w:sz w:val="24"/>
          <w:szCs w:val="24"/>
        </w:rPr>
        <w:t xml:space="preserve"> </w:t>
      </w:r>
      <w:r w:rsidR="009A7CD2" w:rsidRPr="006B731C">
        <w:rPr>
          <w:rFonts w:ascii="Calibri" w:hAnsi="Calibri" w:cs="Calibri"/>
          <w:sz w:val="24"/>
          <w:szCs w:val="24"/>
        </w:rPr>
        <w:t>Export a summary image or animation for figures.</w:t>
      </w:r>
    </w:p>
    <w:p w14:paraId="6CD11243" w14:textId="77777777" w:rsidR="002E2DB0" w:rsidRPr="006B731C" w:rsidRDefault="002E2DB0" w:rsidP="006B731C">
      <w:pPr>
        <w:spacing w:after="0" w:line="240" w:lineRule="auto"/>
        <w:jc w:val="both"/>
        <w:rPr>
          <w:rFonts w:ascii="Calibri" w:hAnsi="Calibri" w:cs="Calibri"/>
          <w:sz w:val="24"/>
          <w:szCs w:val="24"/>
        </w:rPr>
      </w:pPr>
    </w:p>
    <w:p w14:paraId="69F2EE08" w14:textId="6C95D291" w:rsidR="00600B5E" w:rsidRPr="006B731C" w:rsidRDefault="002E2DB0" w:rsidP="006B731C">
      <w:pPr>
        <w:spacing w:after="0" w:line="240" w:lineRule="auto"/>
        <w:jc w:val="both"/>
        <w:rPr>
          <w:rFonts w:ascii="Calibri" w:hAnsi="Calibri" w:cs="Calibri"/>
          <w:sz w:val="24"/>
          <w:szCs w:val="24"/>
        </w:rPr>
      </w:pPr>
      <w:r w:rsidRPr="006B731C">
        <w:rPr>
          <w:rFonts w:ascii="Calibri" w:hAnsi="Calibri" w:cs="Calibri"/>
          <w:bCs/>
          <w:sz w:val="24"/>
          <w:szCs w:val="24"/>
        </w:rPr>
        <w:t>6.5</w:t>
      </w:r>
      <w:r w:rsidRPr="006B731C">
        <w:rPr>
          <w:rFonts w:ascii="Calibri" w:hAnsi="Calibri" w:cs="Calibri"/>
          <w:b/>
          <w:sz w:val="24"/>
          <w:szCs w:val="24"/>
        </w:rPr>
        <w:tab/>
      </w:r>
      <w:r w:rsidR="009A7CD2" w:rsidRPr="006B731C">
        <w:rPr>
          <w:rFonts w:ascii="Calibri" w:hAnsi="Calibri" w:cs="Calibri"/>
          <w:sz w:val="24"/>
          <w:szCs w:val="24"/>
        </w:rPr>
        <w:t>Always check alignment with the mouse brain atlas for accurate rostro-caudal mapping.</w:t>
      </w:r>
      <w:r w:rsidRPr="006B731C">
        <w:rPr>
          <w:rFonts w:ascii="Calibri" w:hAnsi="Calibri" w:cs="Calibri"/>
          <w:sz w:val="24"/>
          <w:szCs w:val="24"/>
        </w:rPr>
        <w:t xml:space="preserve"> </w:t>
      </w:r>
      <w:r w:rsidR="009A7CD2" w:rsidRPr="006B731C">
        <w:rPr>
          <w:rFonts w:ascii="Calibri" w:hAnsi="Calibri" w:cs="Calibri"/>
          <w:sz w:val="24"/>
          <w:szCs w:val="24"/>
        </w:rPr>
        <w:t>Analyze each hemisphere separately to distinguish unilateral effects (e.g., WT vs mutant injection).</w:t>
      </w:r>
    </w:p>
    <w:p w14:paraId="27A293C1" w14:textId="77777777" w:rsidR="00600B5E" w:rsidRPr="006B731C" w:rsidRDefault="00600B5E" w:rsidP="006B731C">
      <w:pPr>
        <w:spacing w:after="0" w:line="240" w:lineRule="auto"/>
        <w:jc w:val="both"/>
        <w:rPr>
          <w:rFonts w:ascii="Calibri" w:hAnsi="Calibri" w:cs="Calibri"/>
          <w:b/>
          <w:sz w:val="24"/>
          <w:szCs w:val="24"/>
        </w:rPr>
      </w:pPr>
    </w:p>
    <w:p w14:paraId="230B2DB4" w14:textId="6A20C993" w:rsidR="00600B5E" w:rsidRPr="002B7408" w:rsidRDefault="009A7CD2" w:rsidP="006B731C">
      <w:pPr>
        <w:pStyle w:val="PargrafodaLista"/>
        <w:numPr>
          <w:ilvl w:val="0"/>
          <w:numId w:val="11"/>
        </w:numPr>
        <w:spacing w:after="0" w:line="240" w:lineRule="auto"/>
        <w:ind w:left="0" w:firstLine="0"/>
        <w:contextualSpacing w:val="0"/>
        <w:jc w:val="both"/>
        <w:rPr>
          <w:rFonts w:ascii="Calibri" w:hAnsi="Calibri" w:cs="Calibri"/>
          <w:b/>
          <w:sz w:val="24"/>
          <w:szCs w:val="24"/>
          <w:highlight w:val="yellow"/>
        </w:rPr>
      </w:pPr>
      <w:r w:rsidRPr="002B7408">
        <w:rPr>
          <w:rFonts w:ascii="Calibri" w:hAnsi="Calibri" w:cs="Calibri"/>
          <w:b/>
          <w:sz w:val="24"/>
          <w:szCs w:val="24"/>
          <w:highlight w:val="yellow"/>
        </w:rPr>
        <w:t>Quantification of protein aggregates in the mouse striatum</w:t>
      </w:r>
    </w:p>
    <w:p w14:paraId="634D151B" w14:textId="77777777" w:rsidR="002E2DB0" w:rsidRPr="002B7408" w:rsidRDefault="002E2DB0" w:rsidP="006B731C">
      <w:pPr>
        <w:pStyle w:val="PargrafodaLista"/>
        <w:spacing w:after="0" w:line="240" w:lineRule="auto"/>
        <w:ind w:left="0"/>
        <w:contextualSpacing w:val="0"/>
        <w:jc w:val="both"/>
        <w:rPr>
          <w:rFonts w:ascii="Calibri" w:hAnsi="Calibri" w:cs="Calibri"/>
          <w:bCs/>
          <w:sz w:val="24"/>
          <w:szCs w:val="24"/>
          <w:highlight w:val="yellow"/>
        </w:rPr>
      </w:pPr>
    </w:p>
    <w:p w14:paraId="7EE51D04" w14:textId="1EB3C746" w:rsidR="00600B5E" w:rsidRPr="002B7408" w:rsidRDefault="00F93C53" w:rsidP="006B731C">
      <w:pPr>
        <w:spacing w:after="0" w:line="240" w:lineRule="auto"/>
        <w:jc w:val="both"/>
        <w:rPr>
          <w:rFonts w:ascii="Calibri" w:hAnsi="Calibri" w:cs="Calibri"/>
          <w:bCs/>
          <w:sz w:val="24"/>
          <w:szCs w:val="24"/>
          <w:highlight w:val="yellow"/>
        </w:rPr>
      </w:pPr>
      <w:r w:rsidRPr="002B7408">
        <w:rPr>
          <w:rFonts w:ascii="Calibri" w:hAnsi="Calibri" w:cs="Calibri"/>
          <w:bCs/>
          <w:sz w:val="24"/>
          <w:szCs w:val="24"/>
          <w:highlight w:val="yellow"/>
        </w:rPr>
        <w:t>7.1</w:t>
      </w:r>
      <w:r w:rsidRPr="002B7408">
        <w:rPr>
          <w:rFonts w:ascii="Calibri" w:hAnsi="Calibri" w:cs="Calibri"/>
          <w:bCs/>
          <w:sz w:val="24"/>
          <w:szCs w:val="24"/>
          <w:highlight w:val="yellow"/>
        </w:rPr>
        <w:tab/>
      </w:r>
      <w:r w:rsidR="009A7CD2" w:rsidRPr="002B7408">
        <w:rPr>
          <w:rFonts w:ascii="Calibri" w:hAnsi="Calibri" w:cs="Calibri"/>
          <w:bCs/>
          <w:sz w:val="24"/>
          <w:szCs w:val="24"/>
          <w:highlight w:val="yellow"/>
        </w:rPr>
        <w:t>Manual quantification using FIJI</w:t>
      </w:r>
    </w:p>
    <w:p w14:paraId="496B3F47" w14:textId="77777777" w:rsidR="00F93C53" w:rsidRPr="002B7408" w:rsidRDefault="00F93C53" w:rsidP="006B731C">
      <w:pPr>
        <w:spacing w:after="0" w:line="240" w:lineRule="auto"/>
        <w:jc w:val="both"/>
        <w:rPr>
          <w:rFonts w:ascii="Calibri" w:hAnsi="Calibri" w:cs="Calibri"/>
          <w:sz w:val="24"/>
          <w:szCs w:val="24"/>
          <w:highlight w:val="yellow"/>
        </w:rPr>
      </w:pPr>
    </w:p>
    <w:p w14:paraId="4CEDE403" w14:textId="17B6E125" w:rsidR="00F93C53" w:rsidRPr="002B7408" w:rsidRDefault="00F93C53" w:rsidP="006B731C">
      <w:pPr>
        <w:spacing w:after="0" w:line="240" w:lineRule="auto"/>
        <w:jc w:val="both"/>
        <w:rPr>
          <w:rFonts w:ascii="Calibri" w:hAnsi="Calibri" w:cs="Calibri"/>
          <w:sz w:val="24"/>
          <w:szCs w:val="24"/>
          <w:highlight w:val="yellow"/>
        </w:rPr>
      </w:pPr>
      <w:r w:rsidRPr="002B7408">
        <w:rPr>
          <w:rFonts w:ascii="Calibri" w:hAnsi="Calibri" w:cs="Calibri"/>
          <w:sz w:val="24"/>
          <w:szCs w:val="24"/>
          <w:highlight w:val="yellow"/>
        </w:rPr>
        <w:t>7.1.1</w:t>
      </w:r>
      <w:r w:rsidRPr="002B7408">
        <w:rPr>
          <w:rFonts w:ascii="Calibri" w:hAnsi="Calibri" w:cs="Calibri"/>
          <w:sz w:val="24"/>
          <w:szCs w:val="24"/>
          <w:highlight w:val="yellow"/>
        </w:rPr>
        <w:tab/>
      </w:r>
      <w:r w:rsidR="009A7CD2" w:rsidRPr="002B7408">
        <w:rPr>
          <w:rFonts w:ascii="Calibri" w:hAnsi="Calibri" w:cs="Calibri"/>
          <w:sz w:val="24"/>
          <w:szCs w:val="24"/>
          <w:highlight w:val="yellow"/>
        </w:rPr>
        <w:t xml:space="preserve">Load and </w:t>
      </w:r>
      <w:r w:rsidR="00231C15" w:rsidRPr="002B7408">
        <w:rPr>
          <w:rFonts w:ascii="Calibri" w:hAnsi="Calibri" w:cs="Calibri"/>
          <w:sz w:val="24"/>
          <w:szCs w:val="24"/>
          <w:highlight w:val="yellow"/>
        </w:rPr>
        <w:t>c</w:t>
      </w:r>
      <w:r w:rsidR="009A7CD2" w:rsidRPr="002B7408">
        <w:rPr>
          <w:rFonts w:ascii="Calibri" w:hAnsi="Calibri" w:cs="Calibri"/>
          <w:sz w:val="24"/>
          <w:szCs w:val="24"/>
          <w:highlight w:val="yellow"/>
        </w:rPr>
        <w:t>alibrate</w:t>
      </w:r>
      <w:r w:rsidR="00231C15" w:rsidRPr="002B7408">
        <w:rPr>
          <w:rFonts w:ascii="Calibri" w:hAnsi="Calibri" w:cs="Calibri"/>
          <w:sz w:val="24"/>
          <w:szCs w:val="24"/>
          <w:highlight w:val="yellow"/>
        </w:rPr>
        <w:t xml:space="preserve"> the</w:t>
      </w:r>
      <w:r w:rsidR="009A7CD2" w:rsidRPr="002B7408">
        <w:rPr>
          <w:rFonts w:ascii="Calibri" w:hAnsi="Calibri" w:cs="Calibri"/>
          <w:sz w:val="24"/>
          <w:szCs w:val="24"/>
          <w:highlight w:val="yellow"/>
        </w:rPr>
        <w:t xml:space="preserve"> </w:t>
      </w:r>
      <w:r w:rsidR="00231C15" w:rsidRPr="002B7408">
        <w:rPr>
          <w:rFonts w:ascii="Calibri" w:hAnsi="Calibri" w:cs="Calibri"/>
          <w:sz w:val="24"/>
          <w:szCs w:val="24"/>
          <w:highlight w:val="yellow"/>
        </w:rPr>
        <w:t>i</w:t>
      </w:r>
      <w:r w:rsidR="009A7CD2" w:rsidRPr="002B7408">
        <w:rPr>
          <w:rFonts w:ascii="Calibri" w:hAnsi="Calibri" w:cs="Calibri"/>
          <w:sz w:val="24"/>
          <w:szCs w:val="24"/>
          <w:highlight w:val="yellow"/>
        </w:rPr>
        <w:t>mage</w:t>
      </w:r>
      <w:r w:rsidRPr="002B7408">
        <w:rPr>
          <w:rFonts w:ascii="Calibri" w:hAnsi="Calibri" w:cs="Calibri"/>
          <w:sz w:val="24"/>
          <w:szCs w:val="24"/>
          <w:highlight w:val="yellow"/>
        </w:rPr>
        <w:t xml:space="preserve">. </w:t>
      </w:r>
      <w:r w:rsidR="009A7CD2" w:rsidRPr="002B7408">
        <w:rPr>
          <w:rFonts w:ascii="Calibri" w:hAnsi="Calibri" w:cs="Calibri"/>
          <w:sz w:val="24"/>
          <w:szCs w:val="24"/>
          <w:highlight w:val="yellow"/>
        </w:rPr>
        <w:t xml:space="preserve">Open the image in </w:t>
      </w:r>
      <w:r w:rsidR="009A7CD2" w:rsidRPr="002B7408">
        <w:rPr>
          <w:rFonts w:ascii="Calibri" w:hAnsi="Calibri" w:cs="Calibri"/>
          <w:bCs/>
          <w:sz w:val="24"/>
          <w:szCs w:val="24"/>
          <w:highlight w:val="yellow"/>
        </w:rPr>
        <w:t>FIJI.</w:t>
      </w:r>
      <w:r w:rsidR="00140512" w:rsidRPr="002B7408">
        <w:rPr>
          <w:rFonts w:ascii="Calibri" w:hAnsi="Calibri" w:cs="Calibri"/>
          <w:sz w:val="24"/>
          <w:szCs w:val="24"/>
          <w:highlight w:val="yellow"/>
        </w:rPr>
        <w:t xml:space="preserve"> </w:t>
      </w:r>
      <w:r w:rsidR="009A7CD2" w:rsidRPr="002B7408">
        <w:rPr>
          <w:rFonts w:ascii="Calibri" w:hAnsi="Calibri" w:cs="Calibri"/>
          <w:sz w:val="24"/>
          <w:szCs w:val="24"/>
          <w:highlight w:val="yellow"/>
        </w:rPr>
        <w:t>Calibrate pixel size (skip this step if using images with metadata)</w:t>
      </w:r>
      <w:r w:rsidRPr="002B7408">
        <w:rPr>
          <w:rFonts w:ascii="Calibri" w:hAnsi="Calibri" w:cs="Calibri"/>
          <w:sz w:val="24"/>
          <w:szCs w:val="24"/>
          <w:highlight w:val="yellow"/>
        </w:rPr>
        <w:t>.</w:t>
      </w:r>
    </w:p>
    <w:p w14:paraId="47DEDE25" w14:textId="77777777" w:rsidR="00F93C53" w:rsidRPr="002B7408" w:rsidRDefault="00F93C53" w:rsidP="006B731C">
      <w:pPr>
        <w:spacing w:after="0" w:line="240" w:lineRule="auto"/>
        <w:jc w:val="both"/>
        <w:rPr>
          <w:rFonts w:ascii="Calibri" w:hAnsi="Calibri" w:cs="Calibri"/>
          <w:sz w:val="24"/>
          <w:szCs w:val="24"/>
          <w:highlight w:val="yellow"/>
        </w:rPr>
      </w:pPr>
    </w:p>
    <w:p w14:paraId="3D2190A7" w14:textId="5DE7F446" w:rsidR="00600B5E" w:rsidRPr="002B7408" w:rsidRDefault="00F93C53" w:rsidP="006B731C">
      <w:pPr>
        <w:spacing w:after="0" w:line="240" w:lineRule="auto"/>
        <w:jc w:val="both"/>
        <w:rPr>
          <w:rFonts w:ascii="Calibri" w:hAnsi="Calibri" w:cs="Calibri"/>
          <w:sz w:val="24"/>
          <w:szCs w:val="24"/>
          <w:highlight w:val="yellow"/>
        </w:rPr>
      </w:pPr>
      <w:r w:rsidRPr="002B7408">
        <w:rPr>
          <w:rFonts w:ascii="Calibri" w:hAnsi="Calibri" w:cs="Calibri"/>
          <w:sz w:val="24"/>
          <w:szCs w:val="24"/>
          <w:highlight w:val="yellow"/>
        </w:rPr>
        <w:t>7.1.2</w:t>
      </w:r>
      <w:r w:rsidRPr="002B7408">
        <w:rPr>
          <w:rFonts w:ascii="Calibri" w:hAnsi="Calibri" w:cs="Calibri"/>
          <w:sz w:val="24"/>
          <w:szCs w:val="24"/>
          <w:highlight w:val="yellow"/>
        </w:rPr>
        <w:tab/>
      </w:r>
      <w:r w:rsidR="009A7CD2" w:rsidRPr="002B7408">
        <w:rPr>
          <w:rFonts w:ascii="Calibri" w:hAnsi="Calibri" w:cs="Calibri"/>
          <w:sz w:val="24"/>
          <w:szCs w:val="24"/>
          <w:highlight w:val="yellow"/>
        </w:rPr>
        <w:t xml:space="preserve">Go to </w:t>
      </w:r>
      <w:r w:rsidR="009A7CD2" w:rsidRPr="002B7408">
        <w:rPr>
          <w:rFonts w:ascii="Calibri" w:hAnsi="Calibri" w:cs="Calibri"/>
          <w:b/>
          <w:sz w:val="24"/>
          <w:szCs w:val="24"/>
          <w:highlight w:val="yellow"/>
        </w:rPr>
        <w:t>Analyze &gt; Set Scale</w:t>
      </w:r>
      <w:r w:rsidRPr="002B7408">
        <w:rPr>
          <w:rFonts w:ascii="Calibri" w:hAnsi="Calibri" w:cs="Calibri"/>
          <w:b/>
          <w:sz w:val="24"/>
          <w:szCs w:val="24"/>
          <w:highlight w:val="yellow"/>
        </w:rPr>
        <w:t xml:space="preserve">, </w:t>
      </w:r>
      <w:r w:rsidRPr="002B7408">
        <w:rPr>
          <w:rFonts w:ascii="Calibri" w:hAnsi="Calibri" w:cs="Calibri"/>
          <w:bCs/>
          <w:sz w:val="24"/>
          <w:szCs w:val="24"/>
          <w:highlight w:val="yellow"/>
        </w:rPr>
        <w:t>e</w:t>
      </w:r>
      <w:r w:rsidR="009A7CD2" w:rsidRPr="002B7408">
        <w:rPr>
          <w:rFonts w:ascii="Calibri" w:hAnsi="Calibri" w:cs="Calibri"/>
          <w:sz w:val="24"/>
          <w:szCs w:val="24"/>
          <w:highlight w:val="yellow"/>
        </w:rPr>
        <w:t xml:space="preserve">nter </w:t>
      </w:r>
      <w:r w:rsidR="00BD4F60" w:rsidRPr="002B7408">
        <w:rPr>
          <w:rFonts w:ascii="Calibri" w:hAnsi="Calibri" w:cs="Calibri"/>
          <w:sz w:val="24"/>
          <w:szCs w:val="24"/>
          <w:highlight w:val="yellow"/>
        </w:rPr>
        <w:t xml:space="preserve">the </w:t>
      </w:r>
      <w:r w:rsidR="009A7CD2" w:rsidRPr="002B7408">
        <w:rPr>
          <w:rFonts w:ascii="Calibri" w:hAnsi="Calibri" w:cs="Calibri"/>
          <w:sz w:val="24"/>
          <w:szCs w:val="24"/>
          <w:highlight w:val="yellow"/>
        </w:rPr>
        <w:t>known distance (e.g., 1 pixel = 0.5 µm)</w:t>
      </w:r>
      <w:r w:rsidRPr="002B7408">
        <w:rPr>
          <w:rFonts w:ascii="Calibri" w:hAnsi="Calibri" w:cs="Calibri"/>
          <w:sz w:val="24"/>
          <w:szCs w:val="24"/>
          <w:highlight w:val="yellow"/>
        </w:rPr>
        <w:t xml:space="preserve">. </w:t>
      </w:r>
      <w:r w:rsidR="009A7CD2" w:rsidRPr="002B7408">
        <w:rPr>
          <w:rFonts w:ascii="Calibri" w:hAnsi="Calibri" w:cs="Calibri"/>
          <w:sz w:val="24"/>
          <w:szCs w:val="24"/>
          <w:highlight w:val="yellow"/>
        </w:rPr>
        <w:t xml:space="preserve">In </w:t>
      </w:r>
      <w:r w:rsidR="00231C15" w:rsidRPr="002B7408">
        <w:rPr>
          <w:rFonts w:ascii="Calibri" w:hAnsi="Calibri" w:cs="Calibri"/>
          <w:sz w:val="24"/>
          <w:szCs w:val="24"/>
          <w:highlight w:val="yellow"/>
        </w:rPr>
        <w:t>FIJI</w:t>
      </w:r>
      <w:r w:rsidRPr="002B7408">
        <w:rPr>
          <w:rFonts w:ascii="Calibri" w:hAnsi="Calibri" w:cs="Calibri"/>
          <w:sz w:val="24"/>
          <w:szCs w:val="24"/>
          <w:highlight w:val="yellow"/>
        </w:rPr>
        <w:t>, g</w:t>
      </w:r>
      <w:r w:rsidR="009A7CD2" w:rsidRPr="002B7408">
        <w:rPr>
          <w:rFonts w:ascii="Calibri" w:hAnsi="Calibri" w:cs="Calibri"/>
          <w:sz w:val="24"/>
          <w:szCs w:val="24"/>
          <w:highlight w:val="yellow"/>
        </w:rPr>
        <w:t xml:space="preserve">o to </w:t>
      </w:r>
      <w:r w:rsidR="009A7CD2" w:rsidRPr="002B7408">
        <w:rPr>
          <w:rFonts w:ascii="Calibri" w:hAnsi="Calibri" w:cs="Calibri"/>
          <w:b/>
          <w:sz w:val="24"/>
          <w:szCs w:val="24"/>
          <w:highlight w:val="yellow"/>
        </w:rPr>
        <w:t>Plugins &gt; Analyze &gt; Cell Counter &gt; Cell Counter</w:t>
      </w:r>
      <w:r w:rsidR="009A7CD2" w:rsidRPr="002B7408">
        <w:rPr>
          <w:rFonts w:ascii="Calibri" w:hAnsi="Calibri" w:cs="Calibri"/>
          <w:sz w:val="24"/>
          <w:szCs w:val="24"/>
          <w:highlight w:val="yellow"/>
        </w:rPr>
        <w:t>.</w:t>
      </w:r>
      <w:r w:rsidRPr="002B7408">
        <w:rPr>
          <w:rFonts w:ascii="Calibri" w:hAnsi="Calibri" w:cs="Calibri"/>
          <w:sz w:val="24"/>
          <w:szCs w:val="24"/>
          <w:highlight w:val="yellow"/>
        </w:rPr>
        <w:t xml:space="preserve"> </w:t>
      </w:r>
      <w:r w:rsidR="009A7CD2" w:rsidRPr="002B7408">
        <w:rPr>
          <w:rFonts w:ascii="Calibri" w:hAnsi="Calibri" w:cs="Calibri"/>
          <w:sz w:val="24"/>
          <w:szCs w:val="24"/>
          <w:highlight w:val="yellow"/>
        </w:rPr>
        <w:t xml:space="preserve">Click </w:t>
      </w:r>
      <w:r w:rsidR="009A7CD2" w:rsidRPr="002B7408">
        <w:rPr>
          <w:rFonts w:ascii="Calibri" w:hAnsi="Calibri" w:cs="Calibri"/>
          <w:b/>
          <w:sz w:val="24"/>
          <w:szCs w:val="24"/>
          <w:highlight w:val="yellow"/>
        </w:rPr>
        <w:t>Initialize</w:t>
      </w:r>
      <w:r w:rsidRPr="002B7408">
        <w:rPr>
          <w:rFonts w:ascii="Calibri" w:hAnsi="Calibri" w:cs="Calibri"/>
          <w:b/>
          <w:sz w:val="24"/>
          <w:szCs w:val="24"/>
          <w:highlight w:val="yellow"/>
        </w:rPr>
        <w:t>,</w:t>
      </w:r>
      <w:r w:rsidR="009A7CD2" w:rsidRPr="002B7408">
        <w:rPr>
          <w:rFonts w:ascii="Calibri" w:hAnsi="Calibri" w:cs="Calibri"/>
          <w:sz w:val="24"/>
          <w:szCs w:val="24"/>
          <w:highlight w:val="yellow"/>
        </w:rPr>
        <w:t xml:space="preserve"> then select the image.</w:t>
      </w:r>
    </w:p>
    <w:p w14:paraId="26B7A358" w14:textId="77777777" w:rsidR="00F93C53" w:rsidRPr="002B7408" w:rsidRDefault="00F93C53" w:rsidP="006B731C">
      <w:pPr>
        <w:spacing w:after="0" w:line="240" w:lineRule="auto"/>
        <w:jc w:val="both"/>
        <w:rPr>
          <w:rFonts w:ascii="Calibri" w:hAnsi="Calibri" w:cs="Calibri"/>
          <w:sz w:val="24"/>
          <w:szCs w:val="24"/>
          <w:highlight w:val="yellow"/>
        </w:rPr>
      </w:pPr>
    </w:p>
    <w:p w14:paraId="2780C0D7" w14:textId="4D49B7D9" w:rsidR="00600B5E" w:rsidRPr="002B7408" w:rsidRDefault="00F93C53" w:rsidP="006B731C">
      <w:pPr>
        <w:spacing w:after="0" w:line="240" w:lineRule="auto"/>
        <w:jc w:val="both"/>
        <w:rPr>
          <w:rFonts w:ascii="Calibri" w:hAnsi="Calibri" w:cs="Calibri"/>
          <w:sz w:val="24"/>
          <w:szCs w:val="24"/>
          <w:highlight w:val="yellow"/>
        </w:rPr>
      </w:pPr>
      <w:r w:rsidRPr="002B7408">
        <w:rPr>
          <w:rFonts w:ascii="Calibri" w:hAnsi="Calibri" w:cs="Calibri"/>
          <w:sz w:val="24"/>
          <w:szCs w:val="24"/>
          <w:highlight w:val="yellow"/>
        </w:rPr>
        <w:t>7.1.3</w:t>
      </w:r>
      <w:r w:rsidRPr="002B7408">
        <w:rPr>
          <w:rFonts w:ascii="Calibri" w:hAnsi="Calibri" w:cs="Calibri"/>
          <w:sz w:val="24"/>
          <w:szCs w:val="24"/>
          <w:highlight w:val="yellow"/>
        </w:rPr>
        <w:tab/>
      </w:r>
      <w:r w:rsidR="009A7CD2" w:rsidRPr="002B7408">
        <w:rPr>
          <w:rFonts w:ascii="Calibri" w:hAnsi="Calibri" w:cs="Calibri"/>
          <w:sz w:val="24"/>
          <w:szCs w:val="24"/>
          <w:highlight w:val="yellow"/>
        </w:rPr>
        <w:t>Choose a marker type (e.g., Type 1) for aggregates.</w:t>
      </w:r>
      <w:r w:rsidRPr="002B7408">
        <w:rPr>
          <w:rFonts w:ascii="Calibri" w:hAnsi="Calibri" w:cs="Calibri"/>
          <w:sz w:val="24"/>
          <w:szCs w:val="24"/>
          <w:highlight w:val="yellow"/>
        </w:rPr>
        <w:t xml:space="preserve"> </w:t>
      </w:r>
      <w:r w:rsidR="009A7CD2" w:rsidRPr="002B7408">
        <w:rPr>
          <w:rFonts w:ascii="Calibri" w:hAnsi="Calibri" w:cs="Calibri"/>
          <w:sz w:val="24"/>
          <w:szCs w:val="24"/>
          <w:highlight w:val="yellow"/>
        </w:rPr>
        <w:t xml:space="preserve">Manually click on each visible aggregate to label </w:t>
      </w:r>
      <w:r w:rsidR="00D14FF4" w:rsidRPr="002B7408">
        <w:rPr>
          <w:rFonts w:ascii="Calibri" w:hAnsi="Calibri" w:cs="Calibri"/>
          <w:sz w:val="24"/>
          <w:szCs w:val="24"/>
          <w:highlight w:val="yellow"/>
        </w:rPr>
        <w:t>it</w:t>
      </w:r>
      <w:r w:rsidR="009A7CD2" w:rsidRPr="002B7408">
        <w:rPr>
          <w:rFonts w:ascii="Calibri" w:hAnsi="Calibri" w:cs="Calibri"/>
          <w:sz w:val="24"/>
          <w:szCs w:val="24"/>
          <w:highlight w:val="yellow"/>
        </w:rPr>
        <w:t>.</w:t>
      </w:r>
      <w:r w:rsidRPr="002B7408">
        <w:rPr>
          <w:rFonts w:ascii="Calibri" w:hAnsi="Calibri" w:cs="Calibri"/>
          <w:sz w:val="24"/>
          <w:szCs w:val="24"/>
          <w:highlight w:val="yellow"/>
        </w:rPr>
        <w:t xml:space="preserve"> </w:t>
      </w:r>
      <w:r w:rsidR="009A7CD2" w:rsidRPr="002B7408">
        <w:rPr>
          <w:rFonts w:ascii="Calibri" w:hAnsi="Calibri" w:cs="Calibri"/>
          <w:sz w:val="24"/>
          <w:szCs w:val="24"/>
          <w:highlight w:val="yellow"/>
        </w:rPr>
        <w:t>Record Data:</w:t>
      </w:r>
      <w:r w:rsidRPr="002B7408">
        <w:rPr>
          <w:rFonts w:ascii="Calibri" w:hAnsi="Calibri" w:cs="Calibri"/>
          <w:sz w:val="24"/>
          <w:szCs w:val="24"/>
          <w:highlight w:val="yellow"/>
        </w:rPr>
        <w:t xml:space="preserve"> </w:t>
      </w:r>
      <w:r w:rsidR="009A7CD2" w:rsidRPr="002B7408">
        <w:rPr>
          <w:rFonts w:ascii="Calibri" w:hAnsi="Calibri" w:cs="Calibri"/>
          <w:sz w:val="24"/>
          <w:szCs w:val="24"/>
          <w:highlight w:val="yellow"/>
        </w:rPr>
        <w:t>FIJI will display the count in the Cell Counter panel.</w:t>
      </w:r>
      <w:r w:rsidRPr="002B7408">
        <w:rPr>
          <w:rFonts w:ascii="Calibri" w:hAnsi="Calibri" w:cs="Calibri"/>
          <w:sz w:val="24"/>
          <w:szCs w:val="24"/>
          <w:highlight w:val="yellow"/>
        </w:rPr>
        <w:t xml:space="preserve"> </w:t>
      </w:r>
      <w:r w:rsidR="009A7CD2" w:rsidRPr="002B7408">
        <w:rPr>
          <w:rFonts w:ascii="Calibri" w:hAnsi="Calibri" w:cs="Calibri"/>
          <w:sz w:val="24"/>
          <w:szCs w:val="24"/>
          <w:highlight w:val="yellow"/>
        </w:rPr>
        <w:t>Record counts for each image/section.</w:t>
      </w:r>
      <w:r w:rsidRPr="002B7408">
        <w:rPr>
          <w:rFonts w:ascii="Calibri" w:hAnsi="Calibri" w:cs="Calibri"/>
          <w:sz w:val="24"/>
          <w:szCs w:val="24"/>
          <w:highlight w:val="yellow"/>
        </w:rPr>
        <w:t xml:space="preserve"> </w:t>
      </w:r>
      <w:r w:rsidR="009A7CD2" w:rsidRPr="002B7408">
        <w:rPr>
          <w:rFonts w:ascii="Calibri" w:hAnsi="Calibri" w:cs="Calibri"/>
          <w:sz w:val="24"/>
          <w:szCs w:val="24"/>
          <w:highlight w:val="yellow"/>
        </w:rPr>
        <w:t>Export counts manually or use a macro to compile results.</w:t>
      </w:r>
    </w:p>
    <w:p w14:paraId="116BE6E2" w14:textId="77777777" w:rsidR="00F93C53" w:rsidRPr="002B7408" w:rsidRDefault="00F93C53" w:rsidP="006B731C">
      <w:pPr>
        <w:spacing w:after="0" w:line="240" w:lineRule="auto"/>
        <w:jc w:val="both"/>
        <w:rPr>
          <w:rFonts w:ascii="Calibri" w:hAnsi="Calibri" w:cs="Calibri"/>
          <w:sz w:val="24"/>
          <w:szCs w:val="24"/>
          <w:highlight w:val="yellow"/>
        </w:rPr>
      </w:pPr>
    </w:p>
    <w:p w14:paraId="1172AE0F" w14:textId="7770BE04" w:rsidR="00600B5E" w:rsidRPr="002B7408" w:rsidRDefault="00FA15B4" w:rsidP="006B731C">
      <w:pPr>
        <w:spacing w:after="0" w:line="240" w:lineRule="auto"/>
        <w:jc w:val="both"/>
        <w:rPr>
          <w:rFonts w:ascii="Calibri" w:hAnsi="Calibri" w:cs="Calibri"/>
          <w:bCs/>
          <w:sz w:val="24"/>
          <w:szCs w:val="24"/>
          <w:highlight w:val="yellow"/>
        </w:rPr>
      </w:pPr>
      <w:r w:rsidRPr="002B7408">
        <w:rPr>
          <w:rFonts w:ascii="Calibri" w:hAnsi="Calibri" w:cs="Calibri"/>
          <w:bCs/>
          <w:sz w:val="24"/>
          <w:szCs w:val="24"/>
          <w:highlight w:val="yellow"/>
        </w:rPr>
        <w:lastRenderedPageBreak/>
        <w:t>7.2</w:t>
      </w:r>
      <w:r w:rsidRPr="002B7408">
        <w:rPr>
          <w:rFonts w:ascii="Calibri" w:hAnsi="Calibri" w:cs="Calibri"/>
          <w:bCs/>
          <w:sz w:val="24"/>
          <w:szCs w:val="24"/>
          <w:highlight w:val="yellow"/>
        </w:rPr>
        <w:tab/>
      </w:r>
      <w:r w:rsidR="009A7CD2" w:rsidRPr="002B7408">
        <w:rPr>
          <w:rFonts w:ascii="Calibri" w:hAnsi="Calibri" w:cs="Calibri"/>
          <w:bCs/>
          <w:sz w:val="24"/>
          <w:szCs w:val="24"/>
          <w:highlight w:val="yellow"/>
        </w:rPr>
        <w:t xml:space="preserve">Semi-automated quantification using </w:t>
      </w:r>
      <w:proofErr w:type="spellStart"/>
      <w:r w:rsidR="009A7CD2" w:rsidRPr="002B7408">
        <w:rPr>
          <w:rFonts w:ascii="Calibri" w:hAnsi="Calibri" w:cs="Calibri"/>
          <w:bCs/>
          <w:sz w:val="24"/>
          <w:szCs w:val="24"/>
          <w:highlight w:val="yellow"/>
        </w:rPr>
        <w:t>IHCAggreCount</w:t>
      </w:r>
      <w:proofErr w:type="spellEnd"/>
    </w:p>
    <w:p w14:paraId="2C91A0BD" w14:textId="77777777" w:rsidR="00FA15B4" w:rsidRPr="002B7408" w:rsidRDefault="00FA15B4" w:rsidP="006B731C">
      <w:pPr>
        <w:spacing w:after="0" w:line="240" w:lineRule="auto"/>
        <w:jc w:val="both"/>
        <w:rPr>
          <w:rFonts w:ascii="Calibri" w:hAnsi="Calibri" w:cs="Calibri"/>
          <w:sz w:val="24"/>
          <w:szCs w:val="24"/>
          <w:highlight w:val="yellow"/>
        </w:rPr>
      </w:pPr>
    </w:p>
    <w:p w14:paraId="55C8EC41" w14:textId="0F62673D" w:rsidR="00600B5E" w:rsidRPr="002B7408" w:rsidRDefault="00FA15B4" w:rsidP="006B731C">
      <w:pPr>
        <w:spacing w:after="0" w:line="240" w:lineRule="auto"/>
        <w:jc w:val="both"/>
        <w:rPr>
          <w:rFonts w:ascii="Calibri" w:hAnsi="Calibri" w:cs="Calibri"/>
          <w:sz w:val="24"/>
          <w:szCs w:val="24"/>
          <w:highlight w:val="yellow"/>
        </w:rPr>
      </w:pPr>
      <w:r w:rsidRPr="002B7408">
        <w:rPr>
          <w:rFonts w:ascii="Calibri" w:hAnsi="Calibri" w:cs="Calibri"/>
          <w:sz w:val="24"/>
          <w:szCs w:val="24"/>
          <w:highlight w:val="yellow"/>
        </w:rPr>
        <w:t>7.2.1</w:t>
      </w:r>
      <w:r w:rsidRPr="002B7408">
        <w:rPr>
          <w:rFonts w:ascii="Calibri" w:hAnsi="Calibri" w:cs="Calibri"/>
          <w:sz w:val="24"/>
          <w:szCs w:val="24"/>
          <w:highlight w:val="yellow"/>
        </w:rPr>
        <w:tab/>
      </w:r>
      <w:r w:rsidR="009A7CD2" w:rsidRPr="002B7408">
        <w:rPr>
          <w:rFonts w:ascii="Calibri" w:hAnsi="Calibri" w:cs="Calibri"/>
          <w:sz w:val="24"/>
          <w:szCs w:val="24"/>
          <w:highlight w:val="yellow"/>
        </w:rPr>
        <w:t xml:space="preserve">Upload and </w:t>
      </w:r>
      <w:r w:rsidRPr="002B7408">
        <w:rPr>
          <w:rFonts w:ascii="Calibri" w:hAnsi="Calibri" w:cs="Calibri"/>
          <w:sz w:val="24"/>
          <w:szCs w:val="24"/>
          <w:highlight w:val="yellow"/>
        </w:rPr>
        <w:t>p</w:t>
      </w:r>
      <w:r w:rsidR="009A7CD2" w:rsidRPr="002B7408">
        <w:rPr>
          <w:rFonts w:ascii="Calibri" w:hAnsi="Calibri" w:cs="Calibri"/>
          <w:sz w:val="24"/>
          <w:szCs w:val="24"/>
          <w:highlight w:val="yellow"/>
        </w:rPr>
        <w:t xml:space="preserve">rocess </w:t>
      </w:r>
      <w:r w:rsidRPr="002B7408">
        <w:rPr>
          <w:rFonts w:ascii="Calibri" w:hAnsi="Calibri" w:cs="Calibri"/>
          <w:sz w:val="24"/>
          <w:szCs w:val="24"/>
          <w:highlight w:val="yellow"/>
        </w:rPr>
        <w:t>i</w:t>
      </w:r>
      <w:r w:rsidR="009A7CD2" w:rsidRPr="002B7408">
        <w:rPr>
          <w:rFonts w:ascii="Calibri" w:hAnsi="Calibri" w:cs="Calibri"/>
          <w:sz w:val="24"/>
          <w:szCs w:val="24"/>
          <w:highlight w:val="yellow"/>
        </w:rPr>
        <w:t>mages</w:t>
      </w:r>
      <w:r w:rsidRPr="002B7408">
        <w:rPr>
          <w:rFonts w:ascii="Calibri" w:hAnsi="Calibri" w:cs="Calibri"/>
          <w:sz w:val="24"/>
          <w:szCs w:val="24"/>
          <w:highlight w:val="yellow"/>
        </w:rPr>
        <w:t xml:space="preserve">. </w:t>
      </w:r>
      <w:r w:rsidR="009A7CD2" w:rsidRPr="002B7408">
        <w:rPr>
          <w:rFonts w:ascii="Calibri" w:hAnsi="Calibri" w:cs="Calibri"/>
          <w:sz w:val="24"/>
          <w:szCs w:val="24"/>
          <w:highlight w:val="yellow"/>
        </w:rPr>
        <w:t xml:space="preserve">Open </w:t>
      </w:r>
      <w:proofErr w:type="spellStart"/>
      <w:r w:rsidR="009A7CD2" w:rsidRPr="002B7408">
        <w:rPr>
          <w:rFonts w:ascii="Calibri" w:hAnsi="Calibri" w:cs="Calibri"/>
          <w:sz w:val="24"/>
          <w:szCs w:val="24"/>
          <w:highlight w:val="yellow"/>
        </w:rPr>
        <w:t>IHCAggreCount</w:t>
      </w:r>
      <w:proofErr w:type="spellEnd"/>
      <w:r w:rsidR="009A7CD2" w:rsidRPr="002B7408">
        <w:rPr>
          <w:rFonts w:ascii="Calibri" w:hAnsi="Calibri" w:cs="Calibri"/>
          <w:sz w:val="24"/>
          <w:szCs w:val="24"/>
          <w:highlight w:val="yellow"/>
        </w:rPr>
        <w:t xml:space="preserve"> and click </w:t>
      </w:r>
      <w:r w:rsidR="009A7CD2" w:rsidRPr="002B7408">
        <w:rPr>
          <w:rFonts w:ascii="Calibri" w:hAnsi="Calibri" w:cs="Calibri"/>
          <w:b/>
          <w:bCs/>
          <w:sz w:val="24"/>
          <w:szCs w:val="24"/>
          <w:highlight w:val="yellow"/>
        </w:rPr>
        <w:t>Upload Image</w:t>
      </w:r>
      <w:r w:rsidR="009A7CD2" w:rsidRPr="002B7408">
        <w:rPr>
          <w:rFonts w:ascii="Calibri" w:hAnsi="Calibri" w:cs="Calibri"/>
          <w:sz w:val="24"/>
          <w:szCs w:val="24"/>
          <w:highlight w:val="yellow"/>
        </w:rPr>
        <w:t xml:space="preserve"> (</w:t>
      </w:r>
      <w:r w:rsidR="009A7CD2" w:rsidRPr="002B7408">
        <w:rPr>
          <w:rFonts w:ascii="Calibri" w:hAnsi="Calibri" w:cs="Calibri"/>
          <w:b/>
          <w:sz w:val="24"/>
          <w:szCs w:val="24"/>
          <w:highlight w:val="yellow"/>
        </w:rPr>
        <w:t>Supplementary Figure 1</w:t>
      </w:r>
      <w:r w:rsidR="009A7CD2" w:rsidRPr="002B7408">
        <w:rPr>
          <w:rFonts w:ascii="Calibri" w:hAnsi="Calibri" w:cs="Calibri"/>
          <w:sz w:val="24"/>
          <w:szCs w:val="24"/>
          <w:highlight w:val="yellow"/>
        </w:rPr>
        <w:t>).</w:t>
      </w:r>
    </w:p>
    <w:p w14:paraId="7F8F8AE0" w14:textId="77777777" w:rsidR="00FF49F5" w:rsidRPr="002B7408" w:rsidRDefault="00FF49F5" w:rsidP="006B731C">
      <w:pPr>
        <w:spacing w:after="0" w:line="240" w:lineRule="auto"/>
        <w:jc w:val="both"/>
        <w:rPr>
          <w:rFonts w:ascii="Calibri" w:hAnsi="Calibri" w:cs="Calibri"/>
          <w:sz w:val="24"/>
          <w:szCs w:val="24"/>
          <w:highlight w:val="yellow"/>
        </w:rPr>
      </w:pPr>
    </w:p>
    <w:p w14:paraId="5673B538" w14:textId="2693053C" w:rsidR="00DE52F5" w:rsidRPr="002B7408" w:rsidRDefault="00DE52F5" w:rsidP="006B731C">
      <w:pPr>
        <w:spacing w:after="0" w:line="240" w:lineRule="auto"/>
        <w:jc w:val="both"/>
        <w:rPr>
          <w:rFonts w:ascii="Calibri" w:hAnsi="Calibri" w:cs="Calibri"/>
          <w:sz w:val="24"/>
          <w:szCs w:val="24"/>
          <w:highlight w:val="yellow"/>
        </w:rPr>
      </w:pPr>
      <w:r w:rsidRPr="002B7408">
        <w:rPr>
          <w:rFonts w:ascii="Calibri" w:hAnsi="Calibri" w:cs="Calibri"/>
          <w:sz w:val="24"/>
          <w:szCs w:val="24"/>
          <w:highlight w:val="yellow"/>
        </w:rPr>
        <w:t xml:space="preserve">NOTE: The </w:t>
      </w:r>
      <w:proofErr w:type="spellStart"/>
      <w:r w:rsidRPr="002B7408">
        <w:rPr>
          <w:rFonts w:ascii="Calibri" w:hAnsi="Calibri" w:cs="Calibri"/>
          <w:sz w:val="24"/>
          <w:szCs w:val="24"/>
          <w:highlight w:val="yellow"/>
        </w:rPr>
        <w:t>IHCAggreCount</w:t>
      </w:r>
      <w:proofErr w:type="spellEnd"/>
      <w:r w:rsidRPr="002B7408">
        <w:rPr>
          <w:rFonts w:ascii="Calibri" w:hAnsi="Calibri" w:cs="Calibri"/>
          <w:sz w:val="24"/>
          <w:szCs w:val="24"/>
          <w:highlight w:val="yellow"/>
        </w:rPr>
        <w:t xml:space="preserve"> application was developed by our laboratory as a standalone scientific tool designed to streamline and standardize the quantification of cell aggregates from microscopy images. The software was built entirely in Python using a modular architecture that separates image handling, processing, selection corrections, measurement calculation, and others. </w:t>
      </w:r>
      <w:proofErr w:type="spellStart"/>
      <w:r w:rsidRPr="002B7408">
        <w:rPr>
          <w:rFonts w:ascii="Calibri" w:hAnsi="Calibri" w:cs="Calibri"/>
          <w:sz w:val="24"/>
          <w:szCs w:val="24"/>
          <w:highlight w:val="yellow"/>
        </w:rPr>
        <w:t>IHCAggreCount</w:t>
      </w:r>
      <w:proofErr w:type="spellEnd"/>
      <w:r w:rsidRPr="002B7408">
        <w:rPr>
          <w:rFonts w:ascii="Calibri" w:hAnsi="Calibri" w:cs="Calibri"/>
          <w:sz w:val="24"/>
          <w:szCs w:val="24"/>
          <w:highlight w:val="yellow"/>
        </w:rPr>
        <w:t xml:space="preserve"> is fully compatible with Windows 10 and Windows 11, as well as macOS 13 Ventura and macOS 14 Sonoma, and has been tested successfully on both platforms. Compared with conventional manual image-inspection methods, the software provides significant analytical advantages: it reduces user subjectivity, eliminates repetitive manual steps, accelerates image processing, ensures reproducible measurements, enables consistent region-of-interest extraction, and allows batch processing of multiple environments. Overall, the application provides a faster, more objective, and more robust workflow for globule detection and quantification than the traditional manual approach. The app will be</w:t>
      </w:r>
      <w:r w:rsidR="008C6EA9" w:rsidRPr="002B7408">
        <w:rPr>
          <w:rFonts w:ascii="Calibri" w:hAnsi="Calibri" w:cs="Calibri"/>
          <w:sz w:val="24"/>
          <w:szCs w:val="24"/>
          <w:highlight w:val="yellow"/>
        </w:rPr>
        <w:t xml:space="preserve"> available</w:t>
      </w:r>
      <w:r w:rsidRPr="002B7408">
        <w:rPr>
          <w:rFonts w:ascii="Calibri" w:hAnsi="Calibri" w:cs="Calibri"/>
          <w:sz w:val="24"/>
          <w:szCs w:val="24"/>
          <w:highlight w:val="yellow"/>
        </w:rPr>
        <w:t xml:space="preserve"> soon to the scientific community</w:t>
      </w:r>
      <w:r w:rsidR="00CD37AF" w:rsidRPr="002B7408">
        <w:rPr>
          <w:rFonts w:ascii="Calibri" w:hAnsi="Calibri" w:cs="Calibri"/>
          <w:sz w:val="24"/>
          <w:szCs w:val="24"/>
          <w:highlight w:val="yellow"/>
        </w:rPr>
        <w:t xml:space="preserve"> upon request.</w:t>
      </w:r>
    </w:p>
    <w:p w14:paraId="1129D712" w14:textId="77777777" w:rsidR="00DE52F5" w:rsidRPr="002B7408" w:rsidRDefault="00DE52F5" w:rsidP="006B731C">
      <w:pPr>
        <w:spacing w:after="0" w:line="240" w:lineRule="auto"/>
        <w:jc w:val="both"/>
        <w:rPr>
          <w:rFonts w:ascii="Calibri" w:hAnsi="Calibri" w:cs="Calibri"/>
          <w:sz w:val="24"/>
          <w:szCs w:val="24"/>
          <w:highlight w:val="yellow"/>
        </w:rPr>
      </w:pPr>
    </w:p>
    <w:p w14:paraId="0E818A47" w14:textId="781E56EA" w:rsidR="00600B5E" w:rsidRPr="002B7408" w:rsidRDefault="00934D5F" w:rsidP="006B731C">
      <w:pPr>
        <w:spacing w:after="0" w:line="240" w:lineRule="auto"/>
        <w:jc w:val="both"/>
        <w:rPr>
          <w:rFonts w:ascii="Calibri" w:hAnsi="Calibri" w:cs="Calibri"/>
          <w:sz w:val="24"/>
          <w:szCs w:val="24"/>
          <w:highlight w:val="yellow"/>
        </w:rPr>
      </w:pPr>
      <w:r w:rsidRPr="002B7408">
        <w:rPr>
          <w:rFonts w:ascii="Calibri" w:hAnsi="Calibri" w:cs="Calibri"/>
          <w:sz w:val="24"/>
          <w:szCs w:val="24"/>
          <w:highlight w:val="yellow"/>
        </w:rPr>
        <w:t>7.2.2</w:t>
      </w:r>
      <w:r w:rsidRPr="002B7408">
        <w:rPr>
          <w:rFonts w:ascii="Calibri" w:hAnsi="Calibri" w:cs="Calibri"/>
          <w:sz w:val="24"/>
          <w:szCs w:val="24"/>
          <w:highlight w:val="yellow"/>
        </w:rPr>
        <w:tab/>
      </w:r>
      <w:r w:rsidR="009A7CD2" w:rsidRPr="002B7408">
        <w:rPr>
          <w:rFonts w:ascii="Calibri" w:hAnsi="Calibri" w:cs="Calibri"/>
          <w:sz w:val="24"/>
          <w:szCs w:val="24"/>
          <w:highlight w:val="yellow"/>
        </w:rPr>
        <w:t>The image will appear in the Original Image Display.</w:t>
      </w:r>
      <w:r w:rsidRPr="002B7408">
        <w:rPr>
          <w:rFonts w:ascii="Calibri" w:hAnsi="Calibri" w:cs="Calibri"/>
          <w:sz w:val="24"/>
          <w:szCs w:val="24"/>
          <w:highlight w:val="yellow"/>
        </w:rPr>
        <w:t xml:space="preserve"> </w:t>
      </w:r>
      <w:r w:rsidR="009A7CD2" w:rsidRPr="002B7408">
        <w:rPr>
          <w:rFonts w:ascii="Calibri" w:hAnsi="Calibri" w:cs="Calibri"/>
          <w:sz w:val="24"/>
          <w:szCs w:val="24"/>
          <w:highlight w:val="yellow"/>
        </w:rPr>
        <w:t>Navigate to the Processing Tab</w:t>
      </w:r>
      <w:r w:rsidRPr="002B7408">
        <w:rPr>
          <w:rFonts w:ascii="Calibri" w:hAnsi="Calibri" w:cs="Calibri"/>
          <w:sz w:val="24"/>
          <w:szCs w:val="24"/>
          <w:highlight w:val="yellow"/>
        </w:rPr>
        <w:t xml:space="preserve">. </w:t>
      </w:r>
      <w:r w:rsidR="009A7CD2" w:rsidRPr="002B7408">
        <w:rPr>
          <w:rFonts w:ascii="Calibri" w:hAnsi="Calibri" w:cs="Calibri"/>
          <w:sz w:val="24"/>
          <w:szCs w:val="24"/>
          <w:highlight w:val="yellow"/>
        </w:rPr>
        <w:t xml:space="preserve">Apply </w:t>
      </w:r>
      <w:proofErr w:type="spellStart"/>
      <w:r w:rsidR="009A7CD2" w:rsidRPr="002B7408">
        <w:rPr>
          <w:rFonts w:ascii="Calibri" w:hAnsi="Calibri" w:cs="Calibri"/>
          <w:sz w:val="24"/>
          <w:szCs w:val="24"/>
          <w:highlight w:val="yellow"/>
        </w:rPr>
        <w:t>HiLo</w:t>
      </w:r>
      <w:proofErr w:type="spellEnd"/>
      <w:r w:rsidR="009A7CD2" w:rsidRPr="002B7408">
        <w:rPr>
          <w:rFonts w:ascii="Calibri" w:hAnsi="Calibri" w:cs="Calibri"/>
          <w:sz w:val="24"/>
          <w:szCs w:val="24"/>
          <w:highlight w:val="yellow"/>
        </w:rPr>
        <w:t xml:space="preserve"> to enhance aggregates/background contrast (see </w:t>
      </w:r>
      <w:r w:rsidR="009A7CD2" w:rsidRPr="002B7408">
        <w:rPr>
          <w:rFonts w:ascii="Calibri" w:hAnsi="Calibri" w:cs="Calibri"/>
          <w:b/>
          <w:sz w:val="24"/>
          <w:szCs w:val="24"/>
          <w:highlight w:val="yellow"/>
        </w:rPr>
        <w:t>Supplementary Figure 2</w:t>
      </w:r>
      <w:r w:rsidR="009A7CD2" w:rsidRPr="002B7408">
        <w:rPr>
          <w:rFonts w:ascii="Calibri" w:hAnsi="Calibri" w:cs="Calibri"/>
          <w:sz w:val="24"/>
          <w:szCs w:val="24"/>
          <w:highlight w:val="yellow"/>
        </w:rPr>
        <w:t>).</w:t>
      </w:r>
      <w:r w:rsidRPr="002B7408">
        <w:rPr>
          <w:rFonts w:ascii="Calibri" w:hAnsi="Calibri" w:cs="Calibri"/>
          <w:sz w:val="24"/>
          <w:szCs w:val="24"/>
          <w:highlight w:val="yellow"/>
        </w:rPr>
        <w:t xml:space="preserve"> </w:t>
      </w:r>
      <w:r w:rsidR="009A7CD2" w:rsidRPr="002B7408">
        <w:rPr>
          <w:rFonts w:ascii="Calibri" w:hAnsi="Calibri" w:cs="Calibri"/>
          <w:sz w:val="24"/>
          <w:szCs w:val="24"/>
          <w:highlight w:val="yellow"/>
        </w:rPr>
        <w:t>Apply</w:t>
      </w:r>
      <w:r w:rsidR="000E7D55" w:rsidRPr="002B7408">
        <w:rPr>
          <w:rFonts w:ascii="Calibri" w:hAnsi="Calibri" w:cs="Calibri"/>
          <w:sz w:val="24"/>
          <w:szCs w:val="24"/>
          <w:highlight w:val="yellow"/>
        </w:rPr>
        <w:t xml:space="preserve"> a</w:t>
      </w:r>
      <w:r w:rsidR="009A7CD2" w:rsidRPr="002B7408">
        <w:rPr>
          <w:rFonts w:ascii="Calibri" w:hAnsi="Calibri" w:cs="Calibri"/>
          <w:sz w:val="24"/>
          <w:szCs w:val="24"/>
          <w:highlight w:val="yellow"/>
        </w:rPr>
        <w:t xml:space="preserve"> brightness threshold to filter aggregates from </w:t>
      </w:r>
      <w:r w:rsidR="0037144E" w:rsidRPr="002B7408">
        <w:rPr>
          <w:rFonts w:ascii="Calibri" w:hAnsi="Calibri" w:cs="Calibri"/>
          <w:sz w:val="24"/>
          <w:szCs w:val="24"/>
          <w:highlight w:val="yellow"/>
        </w:rPr>
        <w:t xml:space="preserve">the </w:t>
      </w:r>
      <w:r w:rsidR="009A7CD2" w:rsidRPr="002B7408">
        <w:rPr>
          <w:rFonts w:ascii="Calibri" w:hAnsi="Calibri" w:cs="Calibri"/>
          <w:sz w:val="24"/>
          <w:szCs w:val="24"/>
          <w:highlight w:val="yellow"/>
        </w:rPr>
        <w:t>background (</w:t>
      </w:r>
      <w:r w:rsidR="009A7CD2" w:rsidRPr="002B7408">
        <w:rPr>
          <w:rFonts w:ascii="Calibri" w:hAnsi="Calibri" w:cs="Calibri"/>
          <w:b/>
          <w:sz w:val="24"/>
          <w:szCs w:val="24"/>
          <w:highlight w:val="yellow"/>
        </w:rPr>
        <w:t>Supplementary Figure 3</w:t>
      </w:r>
      <w:r w:rsidR="009A7CD2" w:rsidRPr="002B7408">
        <w:rPr>
          <w:rFonts w:ascii="Calibri" w:hAnsi="Calibri" w:cs="Calibri"/>
          <w:sz w:val="24"/>
          <w:szCs w:val="24"/>
          <w:highlight w:val="yellow"/>
        </w:rPr>
        <w:t>).</w:t>
      </w:r>
      <w:r w:rsidRPr="002B7408">
        <w:rPr>
          <w:rFonts w:ascii="Calibri" w:hAnsi="Calibri" w:cs="Calibri"/>
          <w:sz w:val="24"/>
          <w:szCs w:val="24"/>
          <w:highlight w:val="yellow"/>
        </w:rPr>
        <w:t xml:space="preserve"> </w:t>
      </w:r>
      <w:r w:rsidR="009A7CD2" w:rsidRPr="002B7408">
        <w:rPr>
          <w:rFonts w:ascii="Calibri" w:hAnsi="Calibri" w:cs="Calibri"/>
          <w:sz w:val="24"/>
          <w:szCs w:val="24"/>
          <w:highlight w:val="yellow"/>
        </w:rPr>
        <w:t>Use</w:t>
      </w:r>
      <w:r w:rsidR="000E7D55" w:rsidRPr="002B7408">
        <w:rPr>
          <w:rFonts w:ascii="Calibri" w:hAnsi="Calibri" w:cs="Calibri"/>
          <w:sz w:val="24"/>
          <w:szCs w:val="24"/>
          <w:highlight w:val="yellow"/>
        </w:rPr>
        <w:t xml:space="preserve"> the</w:t>
      </w:r>
      <w:r w:rsidR="009A7CD2" w:rsidRPr="002B7408">
        <w:rPr>
          <w:rFonts w:ascii="Calibri" w:hAnsi="Calibri" w:cs="Calibri"/>
          <w:sz w:val="24"/>
          <w:szCs w:val="24"/>
          <w:highlight w:val="yellow"/>
        </w:rPr>
        <w:t xml:space="preserve"> Min Size Filter to remove small particles (noise) (</w:t>
      </w:r>
      <w:r w:rsidR="009A7CD2" w:rsidRPr="002B7408">
        <w:rPr>
          <w:rFonts w:ascii="Calibri" w:hAnsi="Calibri" w:cs="Calibri"/>
          <w:b/>
          <w:sz w:val="24"/>
          <w:szCs w:val="24"/>
          <w:highlight w:val="yellow"/>
        </w:rPr>
        <w:t>Supplementary Figure 4</w:t>
      </w:r>
      <w:r w:rsidR="009A7CD2" w:rsidRPr="002B7408">
        <w:rPr>
          <w:rFonts w:ascii="Calibri" w:hAnsi="Calibri" w:cs="Calibri"/>
          <w:sz w:val="24"/>
          <w:szCs w:val="24"/>
          <w:highlight w:val="yellow"/>
        </w:rPr>
        <w:t>).</w:t>
      </w:r>
      <w:r w:rsidRPr="002B7408">
        <w:rPr>
          <w:rFonts w:ascii="Calibri" w:hAnsi="Calibri" w:cs="Calibri"/>
          <w:sz w:val="24"/>
          <w:szCs w:val="24"/>
          <w:highlight w:val="yellow"/>
        </w:rPr>
        <w:t xml:space="preserve"> </w:t>
      </w:r>
      <w:r w:rsidR="009A7CD2" w:rsidRPr="002B7408">
        <w:rPr>
          <w:rFonts w:ascii="Calibri" w:hAnsi="Calibri" w:cs="Calibri"/>
          <w:sz w:val="24"/>
          <w:szCs w:val="24"/>
          <w:highlight w:val="yellow"/>
        </w:rPr>
        <w:t>Optionally apply Roundness Threshold to exclude non-aggregate shapes (</w:t>
      </w:r>
      <w:r w:rsidR="009A7CD2" w:rsidRPr="002B7408">
        <w:rPr>
          <w:rFonts w:ascii="Calibri" w:hAnsi="Calibri" w:cs="Calibri"/>
          <w:b/>
          <w:sz w:val="24"/>
          <w:szCs w:val="24"/>
          <w:highlight w:val="yellow"/>
        </w:rPr>
        <w:t>Supplementary Figure 5</w:t>
      </w:r>
      <w:r w:rsidR="009A7CD2" w:rsidRPr="002B7408">
        <w:rPr>
          <w:rFonts w:ascii="Calibri" w:hAnsi="Calibri" w:cs="Calibri"/>
          <w:sz w:val="24"/>
          <w:szCs w:val="24"/>
          <w:highlight w:val="yellow"/>
        </w:rPr>
        <w:t>).</w:t>
      </w:r>
    </w:p>
    <w:p w14:paraId="11ABB648" w14:textId="77777777" w:rsidR="00934D5F" w:rsidRPr="002B7408" w:rsidRDefault="00934D5F" w:rsidP="006B731C">
      <w:pPr>
        <w:spacing w:after="0" w:line="240" w:lineRule="auto"/>
        <w:jc w:val="both"/>
        <w:rPr>
          <w:rFonts w:ascii="Calibri" w:hAnsi="Calibri" w:cs="Calibri"/>
          <w:sz w:val="24"/>
          <w:szCs w:val="24"/>
          <w:highlight w:val="yellow"/>
        </w:rPr>
      </w:pPr>
    </w:p>
    <w:p w14:paraId="74C98A05" w14:textId="2C9E672C" w:rsidR="00600B5E" w:rsidRPr="006B731C" w:rsidRDefault="00934D5F" w:rsidP="006B731C">
      <w:pPr>
        <w:spacing w:after="0" w:line="240" w:lineRule="auto"/>
        <w:jc w:val="both"/>
        <w:rPr>
          <w:rFonts w:ascii="Calibri" w:hAnsi="Calibri" w:cs="Calibri"/>
          <w:sz w:val="24"/>
          <w:szCs w:val="24"/>
        </w:rPr>
      </w:pPr>
      <w:r w:rsidRPr="002B7408">
        <w:rPr>
          <w:rFonts w:ascii="Calibri" w:hAnsi="Calibri" w:cs="Calibri"/>
          <w:sz w:val="24"/>
          <w:szCs w:val="24"/>
          <w:highlight w:val="yellow"/>
        </w:rPr>
        <w:t>7.2.3</w:t>
      </w:r>
      <w:r w:rsidRPr="002B7408">
        <w:rPr>
          <w:rFonts w:ascii="Calibri" w:hAnsi="Calibri" w:cs="Calibri"/>
          <w:sz w:val="24"/>
          <w:szCs w:val="24"/>
          <w:highlight w:val="yellow"/>
        </w:rPr>
        <w:tab/>
      </w:r>
      <w:r w:rsidR="009A7CD2" w:rsidRPr="002B7408">
        <w:rPr>
          <w:rFonts w:ascii="Calibri" w:hAnsi="Calibri" w:cs="Calibri"/>
          <w:sz w:val="24"/>
          <w:szCs w:val="24"/>
          <w:highlight w:val="yellow"/>
        </w:rPr>
        <w:t>For IHC aggregate detection, go to the General Tab and click</w:t>
      </w:r>
      <w:r w:rsidRPr="002B7408">
        <w:rPr>
          <w:rFonts w:ascii="Calibri" w:hAnsi="Calibri" w:cs="Calibri"/>
          <w:sz w:val="24"/>
          <w:szCs w:val="24"/>
          <w:highlight w:val="yellow"/>
        </w:rPr>
        <w:t xml:space="preserve"> </w:t>
      </w:r>
      <w:r w:rsidR="009A7CD2" w:rsidRPr="002B7408">
        <w:rPr>
          <w:rFonts w:ascii="Calibri" w:hAnsi="Calibri" w:cs="Calibri"/>
          <w:b/>
          <w:bCs/>
          <w:sz w:val="24"/>
          <w:szCs w:val="24"/>
          <w:highlight w:val="yellow"/>
        </w:rPr>
        <w:t>Calculate Total Aggregates</w:t>
      </w:r>
      <w:r w:rsidRPr="002B7408">
        <w:rPr>
          <w:rFonts w:ascii="Calibri" w:hAnsi="Calibri" w:cs="Calibri"/>
          <w:b/>
          <w:bCs/>
          <w:sz w:val="24"/>
          <w:szCs w:val="24"/>
          <w:highlight w:val="yellow"/>
        </w:rPr>
        <w:t xml:space="preserve"> </w:t>
      </w:r>
      <w:r w:rsidRPr="002B7408">
        <w:rPr>
          <w:rFonts w:ascii="Calibri" w:hAnsi="Calibri" w:cs="Calibri"/>
          <w:sz w:val="24"/>
          <w:szCs w:val="24"/>
          <w:highlight w:val="yellow"/>
        </w:rPr>
        <w:t>and</w:t>
      </w:r>
      <w:r w:rsidRPr="002B7408">
        <w:rPr>
          <w:rFonts w:ascii="Calibri" w:hAnsi="Calibri" w:cs="Calibri"/>
          <w:b/>
          <w:bCs/>
          <w:sz w:val="24"/>
          <w:szCs w:val="24"/>
          <w:highlight w:val="yellow"/>
        </w:rPr>
        <w:t xml:space="preserve"> </w:t>
      </w:r>
      <w:r w:rsidR="009A7CD2" w:rsidRPr="002B7408">
        <w:rPr>
          <w:rFonts w:ascii="Calibri" w:hAnsi="Calibri" w:cs="Calibri"/>
          <w:b/>
          <w:bCs/>
          <w:sz w:val="24"/>
          <w:szCs w:val="24"/>
          <w:highlight w:val="yellow"/>
        </w:rPr>
        <w:t>Calculate Aggregate Area</w:t>
      </w:r>
      <w:r w:rsidRPr="002B7408">
        <w:rPr>
          <w:rFonts w:ascii="Calibri" w:hAnsi="Calibri" w:cs="Calibri"/>
          <w:b/>
          <w:bCs/>
          <w:sz w:val="24"/>
          <w:szCs w:val="24"/>
          <w:highlight w:val="yellow"/>
        </w:rPr>
        <w:t>.</w:t>
      </w:r>
      <w:r w:rsidR="009A7CD2" w:rsidRPr="002B7408">
        <w:rPr>
          <w:rFonts w:ascii="Calibri" w:hAnsi="Calibri" w:cs="Calibri"/>
          <w:sz w:val="24"/>
          <w:szCs w:val="24"/>
          <w:highlight w:val="yellow"/>
        </w:rPr>
        <w:t xml:space="preserve"> All detected aggregates are highlighted and listed in the Matrix Table (ID, area, mean size</w:t>
      </w:r>
      <w:r w:rsidRPr="002B7408">
        <w:rPr>
          <w:rFonts w:ascii="Calibri" w:hAnsi="Calibri" w:cs="Calibri"/>
          <w:sz w:val="24"/>
          <w:szCs w:val="24"/>
          <w:highlight w:val="yellow"/>
        </w:rPr>
        <w:t xml:space="preserve">; </w:t>
      </w:r>
      <w:r w:rsidR="009A7CD2" w:rsidRPr="002B7408">
        <w:rPr>
          <w:rFonts w:ascii="Calibri" w:hAnsi="Calibri" w:cs="Calibri"/>
          <w:b/>
          <w:sz w:val="24"/>
          <w:szCs w:val="24"/>
          <w:highlight w:val="yellow"/>
        </w:rPr>
        <w:t>Supplementary Figure 6</w:t>
      </w:r>
      <w:r w:rsidR="009A7CD2" w:rsidRPr="002B7408">
        <w:rPr>
          <w:rFonts w:ascii="Calibri" w:hAnsi="Calibri" w:cs="Calibri"/>
          <w:sz w:val="24"/>
          <w:szCs w:val="24"/>
          <w:highlight w:val="yellow"/>
        </w:rPr>
        <w:t>).</w:t>
      </w:r>
    </w:p>
    <w:p w14:paraId="72C0CD7C" w14:textId="77777777" w:rsidR="00600B5E" w:rsidRPr="006B731C" w:rsidRDefault="00600B5E" w:rsidP="006B731C">
      <w:pPr>
        <w:spacing w:after="0" w:line="240" w:lineRule="auto"/>
        <w:jc w:val="both"/>
        <w:rPr>
          <w:rFonts w:ascii="Calibri" w:hAnsi="Calibri" w:cs="Calibri"/>
          <w:sz w:val="24"/>
          <w:szCs w:val="24"/>
        </w:rPr>
      </w:pPr>
    </w:p>
    <w:p w14:paraId="69980EFF" w14:textId="22292E88" w:rsidR="00600B5E" w:rsidRPr="006B731C" w:rsidRDefault="00934D5F" w:rsidP="006B731C">
      <w:pPr>
        <w:spacing w:after="0" w:line="240" w:lineRule="auto"/>
        <w:jc w:val="both"/>
        <w:rPr>
          <w:rFonts w:ascii="Calibri" w:hAnsi="Calibri" w:cs="Calibri"/>
          <w:bCs/>
          <w:sz w:val="24"/>
          <w:szCs w:val="24"/>
        </w:rPr>
      </w:pPr>
      <w:r w:rsidRPr="006B731C">
        <w:rPr>
          <w:rFonts w:ascii="Calibri" w:hAnsi="Calibri" w:cs="Calibri"/>
          <w:bCs/>
          <w:sz w:val="24"/>
          <w:szCs w:val="24"/>
        </w:rPr>
        <w:t>7.3</w:t>
      </w:r>
      <w:r w:rsidRPr="006B731C">
        <w:rPr>
          <w:rFonts w:ascii="Calibri" w:hAnsi="Calibri" w:cs="Calibri"/>
          <w:bCs/>
          <w:sz w:val="24"/>
          <w:szCs w:val="24"/>
        </w:rPr>
        <w:tab/>
      </w:r>
      <w:r w:rsidR="009A7CD2" w:rsidRPr="006B731C">
        <w:rPr>
          <w:rFonts w:ascii="Calibri" w:hAnsi="Calibri" w:cs="Calibri"/>
          <w:bCs/>
          <w:sz w:val="24"/>
          <w:szCs w:val="24"/>
        </w:rPr>
        <w:t>Manual corrections (optional)</w:t>
      </w:r>
    </w:p>
    <w:p w14:paraId="35F4C164" w14:textId="77777777" w:rsidR="00934D5F" w:rsidRPr="006B731C" w:rsidRDefault="00934D5F" w:rsidP="006B731C">
      <w:pPr>
        <w:spacing w:after="0" w:line="240" w:lineRule="auto"/>
        <w:jc w:val="both"/>
        <w:rPr>
          <w:rFonts w:ascii="Calibri" w:hAnsi="Calibri" w:cs="Calibri"/>
          <w:sz w:val="24"/>
          <w:szCs w:val="24"/>
        </w:rPr>
      </w:pPr>
    </w:p>
    <w:p w14:paraId="4A74C529" w14:textId="6099670E" w:rsidR="008C0754" w:rsidRPr="006B731C" w:rsidRDefault="00934D5F" w:rsidP="006B731C">
      <w:pPr>
        <w:spacing w:after="0" w:line="240" w:lineRule="auto"/>
        <w:jc w:val="both"/>
        <w:rPr>
          <w:rFonts w:ascii="Calibri" w:hAnsi="Calibri" w:cs="Calibri"/>
          <w:sz w:val="24"/>
          <w:szCs w:val="24"/>
        </w:rPr>
      </w:pPr>
      <w:r w:rsidRPr="006B731C">
        <w:rPr>
          <w:rFonts w:ascii="Calibri" w:hAnsi="Calibri" w:cs="Calibri"/>
          <w:sz w:val="24"/>
          <w:szCs w:val="24"/>
        </w:rPr>
        <w:t>7.3.1</w:t>
      </w:r>
      <w:r w:rsidRPr="006B731C">
        <w:rPr>
          <w:rFonts w:ascii="Calibri" w:hAnsi="Calibri" w:cs="Calibri"/>
          <w:sz w:val="24"/>
          <w:szCs w:val="24"/>
        </w:rPr>
        <w:tab/>
      </w:r>
      <w:r w:rsidR="009A7CD2" w:rsidRPr="006B731C">
        <w:rPr>
          <w:rFonts w:ascii="Calibri" w:hAnsi="Calibri" w:cs="Calibri"/>
          <w:sz w:val="24"/>
          <w:szCs w:val="24"/>
        </w:rPr>
        <w:t xml:space="preserve">Go to the </w:t>
      </w:r>
      <w:r w:rsidRPr="006B731C">
        <w:rPr>
          <w:rFonts w:ascii="Calibri" w:hAnsi="Calibri" w:cs="Calibri"/>
          <w:sz w:val="24"/>
          <w:szCs w:val="24"/>
        </w:rPr>
        <w:t>c</w:t>
      </w:r>
      <w:r w:rsidR="009A7CD2" w:rsidRPr="006B731C">
        <w:rPr>
          <w:rFonts w:ascii="Calibri" w:hAnsi="Calibri" w:cs="Calibri"/>
          <w:sz w:val="24"/>
          <w:szCs w:val="24"/>
        </w:rPr>
        <w:t xml:space="preserve">orrection </w:t>
      </w:r>
      <w:r w:rsidRPr="006B731C">
        <w:rPr>
          <w:rFonts w:ascii="Calibri" w:hAnsi="Calibri" w:cs="Calibri"/>
          <w:sz w:val="24"/>
          <w:szCs w:val="24"/>
        </w:rPr>
        <w:t>t</w:t>
      </w:r>
      <w:r w:rsidR="009A7CD2" w:rsidRPr="006B731C">
        <w:rPr>
          <w:rFonts w:ascii="Calibri" w:hAnsi="Calibri" w:cs="Calibri"/>
          <w:sz w:val="24"/>
          <w:szCs w:val="24"/>
        </w:rPr>
        <w:t>ab</w:t>
      </w:r>
      <w:r w:rsidRPr="006B731C">
        <w:rPr>
          <w:rFonts w:ascii="Calibri" w:hAnsi="Calibri" w:cs="Calibri"/>
          <w:sz w:val="24"/>
          <w:szCs w:val="24"/>
        </w:rPr>
        <w:t>, u</w:t>
      </w:r>
      <w:r w:rsidR="009A7CD2" w:rsidRPr="006B731C">
        <w:rPr>
          <w:rFonts w:ascii="Calibri" w:hAnsi="Calibri" w:cs="Calibri"/>
          <w:sz w:val="24"/>
          <w:szCs w:val="24"/>
        </w:rPr>
        <w:t>se Smart Add to auto-detect aggregates in selected regions (</w:t>
      </w:r>
      <w:r w:rsidR="009A7CD2" w:rsidRPr="006B731C">
        <w:rPr>
          <w:rFonts w:ascii="Calibri" w:hAnsi="Calibri" w:cs="Calibri"/>
          <w:b/>
          <w:sz w:val="24"/>
          <w:szCs w:val="24"/>
        </w:rPr>
        <w:t>Supplementary Figure 8</w:t>
      </w:r>
      <w:r w:rsidR="009A7CD2" w:rsidRPr="006B731C">
        <w:rPr>
          <w:rFonts w:ascii="Calibri" w:hAnsi="Calibri" w:cs="Calibri"/>
          <w:sz w:val="24"/>
          <w:szCs w:val="24"/>
        </w:rPr>
        <w:t>).</w:t>
      </w:r>
      <w:r w:rsidRPr="006B731C">
        <w:rPr>
          <w:rFonts w:ascii="Calibri" w:hAnsi="Calibri" w:cs="Calibri"/>
          <w:sz w:val="24"/>
          <w:szCs w:val="24"/>
        </w:rPr>
        <w:t xml:space="preserve"> </w:t>
      </w:r>
      <w:r w:rsidR="009A7CD2" w:rsidRPr="006B731C">
        <w:rPr>
          <w:rFonts w:ascii="Calibri" w:hAnsi="Calibri" w:cs="Calibri"/>
          <w:sz w:val="24"/>
          <w:szCs w:val="24"/>
        </w:rPr>
        <w:t xml:space="preserve">Use </w:t>
      </w:r>
      <w:r w:rsidRPr="006B731C">
        <w:rPr>
          <w:rFonts w:ascii="Calibri" w:hAnsi="Calibri" w:cs="Calibri"/>
          <w:sz w:val="24"/>
          <w:szCs w:val="24"/>
        </w:rPr>
        <w:t>m</w:t>
      </w:r>
      <w:r w:rsidR="009A7CD2" w:rsidRPr="006B731C">
        <w:rPr>
          <w:rFonts w:ascii="Calibri" w:hAnsi="Calibri" w:cs="Calibri"/>
          <w:sz w:val="24"/>
          <w:szCs w:val="24"/>
        </w:rPr>
        <w:t xml:space="preserve">anual </w:t>
      </w:r>
      <w:r w:rsidRPr="006B731C">
        <w:rPr>
          <w:rFonts w:ascii="Calibri" w:hAnsi="Calibri" w:cs="Calibri"/>
          <w:sz w:val="24"/>
          <w:szCs w:val="24"/>
        </w:rPr>
        <w:t>a</w:t>
      </w:r>
      <w:r w:rsidR="009A7CD2" w:rsidRPr="006B731C">
        <w:rPr>
          <w:rFonts w:ascii="Calibri" w:hAnsi="Calibri" w:cs="Calibri"/>
          <w:sz w:val="24"/>
          <w:szCs w:val="24"/>
        </w:rPr>
        <w:t>dd to manually label aggregates.</w:t>
      </w:r>
      <w:r w:rsidRPr="006B731C">
        <w:rPr>
          <w:rFonts w:ascii="Calibri" w:hAnsi="Calibri" w:cs="Calibri"/>
          <w:sz w:val="24"/>
          <w:szCs w:val="24"/>
        </w:rPr>
        <w:t xml:space="preserve"> </w:t>
      </w:r>
      <w:r w:rsidR="009A7CD2" w:rsidRPr="006B731C">
        <w:rPr>
          <w:rFonts w:ascii="Calibri" w:hAnsi="Calibri" w:cs="Calibri"/>
          <w:sz w:val="24"/>
          <w:szCs w:val="24"/>
        </w:rPr>
        <w:t>Use Smart Delete to remove unwanted labels. (Highlighted aggregates are displayed for visual inspection</w:t>
      </w:r>
      <w:r w:rsidRPr="006B731C">
        <w:rPr>
          <w:rFonts w:ascii="Calibri" w:hAnsi="Calibri" w:cs="Calibri"/>
          <w:sz w:val="24"/>
          <w:szCs w:val="24"/>
        </w:rPr>
        <w:t xml:space="preserve">; </w:t>
      </w:r>
      <w:r w:rsidR="009A7CD2" w:rsidRPr="006B731C">
        <w:rPr>
          <w:rFonts w:ascii="Calibri" w:hAnsi="Calibri" w:cs="Calibri"/>
          <w:b/>
          <w:sz w:val="24"/>
          <w:szCs w:val="24"/>
        </w:rPr>
        <w:t>Supplementary Figure 7</w:t>
      </w:r>
      <w:r w:rsidR="009A7CD2" w:rsidRPr="006B731C">
        <w:rPr>
          <w:rFonts w:ascii="Calibri" w:hAnsi="Calibri" w:cs="Calibri"/>
          <w:sz w:val="24"/>
          <w:szCs w:val="24"/>
        </w:rPr>
        <w:t>).</w:t>
      </w:r>
    </w:p>
    <w:p w14:paraId="30C86AD8" w14:textId="39EE1088" w:rsidR="00600B5E" w:rsidRPr="006B731C" w:rsidRDefault="00600B5E" w:rsidP="006B731C">
      <w:pPr>
        <w:spacing w:after="0" w:line="240" w:lineRule="auto"/>
        <w:jc w:val="both"/>
        <w:rPr>
          <w:rFonts w:ascii="Calibri" w:hAnsi="Calibri" w:cs="Calibri"/>
          <w:bCs/>
          <w:sz w:val="24"/>
          <w:szCs w:val="24"/>
        </w:rPr>
      </w:pPr>
    </w:p>
    <w:p w14:paraId="13B79AD7" w14:textId="6D789836" w:rsidR="00600B5E" w:rsidRPr="006B731C" w:rsidRDefault="005150D5" w:rsidP="006B731C">
      <w:pPr>
        <w:spacing w:after="0" w:line="240" w:lineRule="auto"/>
        <w:jc w:val="both"/>
        <w:rPr>
          <w:rFonts w:ascii="Calibri" w:hAnsi="Calibri" w:cs="Calibri"/>
          <w:bCs/>
          <w:sz w:val="24"/>
          <w:szCs w:val="24"/>
        </w:rPr>
      </w:pPr>
      <w:r w:rsidRPr="006B731C">
        <w:rPr>
          <w:rFonts w:ascii="Calibri" w:hAnsi="Calibri" w:cs="Calibri"/>
          <w:bCs/>
          <w:sz w:val="24"/>
          <w:szCs w:val="24"/>
        </w:rPr>
        <w:t>7.4</w:t>
      </w:r>
      <w:r w:rsidRPr="006B731C">
        <w:rPr>
          <w:rFonts w:ascii="Calibri" w:hAnsi="Calibri" w:cs="Calibri"/>
          <w:bCs/>
          <w:sz w:val="24"/>
          <w:szCs w:val="24"/>
        </w:rPr>
        <w:tab/>
      </w:r>
      <w:r w:rsidR="009A7CD2" w:rsidRPr="006B731C">
        <w:rPr>
          <w:rFonts w:ascii="Calibri" w:hAnsi="Calibri" w:cs="Calibri"/>
          <w:bCs/>
          <w:sz w:val="24"/>
          <w:szCs w:val="24"/>
        </w:rPr>
        <w:t>Export</w:t>
      </w:r>
      <w:r w:rsidRPr="006B731C">
        <w:rPr>
          <w:rFonts w:ascii="Calibri" w:hAnsi="Calibri" w:cs="Calibri"/>
          <w:bCs/>
          <w:sz w:val="24"/>
          <w:szCs w:val="24"/>
        </w:rPr>
        <w:t>ing r</w:t>
      </w:r>
      <w:r w:rsidR="009A7CD2" w:rsidRPr="006B731C">
        <w:rPr>
          <w:rFonts w:ascii="Calibri" w:hAnsi="Calibri" w:cs="Calibri"/>
          <w:bCs/>
          <w:sz w:val="24"/>
          <w:szCs w:val="24"/>
        </w:rPr>
        <w:t>esults</w:t>
      </w:r>
    </w:p>
    <w:p w14:paraId="51BE8A88" w14:textId="77777777" w:rsidR="005150D5" w:rsidRPr="006B731C" w:rsidRDefault="005150D5" w:rsidP="006B731C">
      <w:pPr>
        <w:spacing w:after="0" w:line="240" w:lineRule="auto"/>
        <w:jc w:val="both"/>
        <w:rPr>
          <w:rFonts w:ascii="Calibri" w:hAnsi="Calibri" w:cs="Calibri"/>
          <w:sz w:val="24"/>
          <w:szCs w:val="24"/>
        </w:rPr>
      </w:pPr>
    </w:p>
    <w:p w14:paraId="1722450A" w14:textId="77777777" w:rsidR="000E7D55" w:rsidRPr="006B731C" w:rsidRDefault="005150D5" w:rsidP="006B731C">
      <w:pPr>
        <w:spacing w:after="0" w:line="240" w:lineRule="auto"/>
        <w:jc w:val="both"/>
        <w:rPr>
          <w:rFonts w:ascii="Calibri" w:hAnsi="Calibri" w:cs="Calibri"/>
          <w:sz w:val="24"/>
          <w:szCs w:val="24"/>
        </w:rPr>
      </w:pPr>
      <w:r w:rsidRPr="006B731C">
        <w:rPr>
          <w:rFonts w:ascii="Calibri" w:hAnsi="Calibri" w:cs="Calibri"/>
          <w:sz w:val="24"/>
          <w:szCs w:val="24"/>
        </w:rPr>
        <w:t>7.4.1</w:t>
      </w:r>
      <w:r w:rsidRPr="006B731C">
        <w:rPr>
          <w:rFonts w:ascii="Calibri" w:hAnsi="Calibri" w:cs="Calibri"/>
          <w:sz w:val="24"/>
          <w:szCs w:val="24"/>
        </w:rPr>
        <w:tab/>
      </w:r>
      <w:r w:rsidR="009A7CD2" w:rsidRPr="006B731C">
        <w:rPr>
          <w:rFonts w:ascii="Calibri" w:hAnsi="Calibri" w:cs="Calibri"/>
          <w:sz w:val="24"/>
          <w:szCs w:val="24"/>
        </w:rPr>
        <w:t xml:space="preserve">Click </w:t>
      </w:r>
      <w:r w:rsidR="009A7CD2" w:rsidRPr="006B731C">
        <w:rPr>
          <w:rFonts w:ascii="Calibri" w:hAnsi="Calibri" w:cs="Calibri"/>
          <w:b/>
          <w:bCs/>
          <w:sz w:val="24"/>
          <w:szCs w:val="24"/>
        </w:rPr>
        <w:t>Export CSV</w:t>
      </w:r>
      <w:r w:rsidR="009A7CD2" w:rsidRPr="006B731C">
        <w:rPr>
          <w:rFonts w:ascii="Calibri" w:hAnsi="Calibri" w:cs="Calibri"/>
          <w:sz w:val="24"/>
          <w:szCs w:val="24"/>
        </w:rPr>
        <w:t xml:space="preserve"> to export </w:t>
      </w:r>
      <w:r w:rsidR="00D14FF4" w:rsidRPr="006B731C">
        <w:rPr>
          <w:rFonts w:ascii="Calibri" w:hAnsi="Calibri" w:cs="Calibri"/>
          <w:sz w:val="24"/>
          <w:szCs w:val="24"/>
        </w:rPr>
        <w:t xml:space="preserve">the </w:t>
      </w:r>
      <w:r w:rsidR="009A7CD2" w:rsidRPr="006B731C">
        <w:rPr>
          <w:rFonts w:ascii="Calibri" w:hAnsi="Calibri" w:cs="Calibri"/>
          <w:sz w:val="24"/>
          <w:szCs w:val="24"/>
        </w:rPr>
        <w:t>current image data.</w:t>
      </w:r>
      <w:r w:rsidRPr="006B731C">
        <w:rPr>
          <w:rFonts w:ascii="Calibri" w:hAnsi="Calibri" w:cs="Calibri"/>
          <w:sz w:val="24"/>
          <w:szCs w:val="24"/>
        </w:rPr>
        <w:t xml:space="preserve"> </w:t>
      </w:r>
      <w:r w:rsidR="009A7CD2" w:rsidRPr="006B731C">
        <w:rPr>
          <w:rFonts w:ascii="Calibri" w:hAnsi="Calibri" w:cs="Calibri"/>
          <w:sz w:val="24"/>
          <w:szCs w:val="24"/>
        </w:rPr>
        <w:t xml:space="preserve">Click </w:t>
      </w:r>
      <w:r w:rsidR="009A7CD2" w:rsidRPr="006B731C">
        <w:rPr>
          <w:rFonts w:ascii="Calibri" w:hAnsi="Calibri" w:cs="Calibri"/>
          <w:b/>
          <w:bCs/>
          <w:sz w:val="24"/>
          <w:szCs w:val="24"/>
        </w:rPr>
        <w:t>Export All</w:t>
      </w:r>
      <w:r w:rsidR="009A7CD2" w:rsidRPr="006B731C">
        <w:rPr>
          <w:rFonts w:ascii="Calibri" w:hAnsi="Calibri" w:cs="Calibri"/>
          <w:sz w:val="24"/>
          <w:szCs w:val="24"/>
        </w:rPr>
        <w:t xml:space="preserve"> to batch-export data from multiple analyzed images.</w:t>
      </w:r>
      <w:r w:rsidRPr="006B731C">
        <w:rPr>
          <w:rFonts w:ascii="Calibri" w:hAnsi="Calibri" w:cs="Calibri"/>
          <w:sz w:val="24"/>
          <w:szCs w:val="24"/>
        </w:rPr>
        <w:t xml:space="preserve"> </w:t>
      </w:r>
      <w:r w:rsidR="009A7CD2" w:rsidRPr="006B731C">
        <w:rPr>
          <w:rFonts w:ascii="Calibri" w:hAnsi="Calibri" w:cs="Calibri"/>
          <w:sz w:val="24"/>
          <w:szCs w:val="24"/>
        </w:rPr>
        <w:t>Always analyze images under the same brightness/contrast settings and other parameters (e.g.</w:t>
      </w:r>
      <w:r w:rsidR="00D14FF4" w:rsidRPr="006B731C">
        <w:rPr>
          <w:rFonts w:ascii="Calibri" w:hAnsi="Calibri" w:cs="Calibri"/>
          <w:sz w:val="24"/>
          <w:szCs w:val="24"/>
        </w:rPr>
        <w:t>,</w:t>
      </w:r>
      <w:r w:rsidR="009A7CD2" w:rsidRPr="006B731C">
        <w:rPr>
          <w:rFonts w:ascii="Calibri" w:hAnsi="Calibri" w:cs="Calibri"/>
          <w:sz w:val="24"/>
          <w:szCs w:val="24"/>
        </w:rPr>
        <w:t xml:space="preserve"> threshold) across experimental groups in </w:t>
      </w:r>
      <w:proofErr w:type="spellStart"/>
      <w:r w:rsidR="009A7CD2" w:rsidRPr="006B731C">
        <w:rPr>
          <w:rFonts w:ascii="Calibri" w:hAnsi="Calibri" w:cs="Calibri"/>
          <w:sz w:val="24"/>
          <w:szCs w:val="24"/>
        </w:rPr>
        <w:t>IHCAggreCount</w:t>
      </w:r>
      <w:proofErr w:type="spellEnd"/>
      <w:r w:rsidR="009A7CD2" w:rsidRPr="006B731C">
        <w:rPr>
          <w:rFonts w:ascii="Calibri" w:hAnsi="Calibri" w:cs="Calibri"/>
          <w:sz w:val="24"/>
          <w:szCs w:val="24"/>
        </w:rPr>
        <w:t>.</w:t>
      </w:r>
    </w:p>
    <w:p w14:paraId="513E714E" w14:textId="77777777" w:rsidR="000E7D55" w:rsidRPr="006B731C" w:rsidRDefault="000E7D55" w:rsidP="006B731C">
      <w:pPr>
        <w:spacing w:after="0" w:line="240" w:lineRule="auto"/>
        <w:jc w:val="both"/>
        <w:rPr>
          <w:rFonts w:ascii="Calibri" w:hAnsi="Calibri" w:cs="Calibri"/>
          <w:sz w:val="24"/>
          <w:szCs w:val="24"/>
        </w:rPr>
      </w:pPr>
    </w:p>
    <w:p w14:paraId="1C3B01FC" w14:textId="1E197231"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br/>
      </w:r>
    </w:p>
    <w:p w14:paraId="1EC7DB38" w14:textId="40D2A519" w:rsidR="00600B5E" w:rsidRPr="006B731C" w:rsidRDefault="00894366" w:rsidP="006B731C">
      <w:pPr>
        <w:spacing w:after="0" w:line="240" w:lineRule="auto"/>
        <w:jc w:val="both"/>
        <w:rPr>
          <w:rFonts w:ascii="Calibri" w:hAnsi="Calibri" w:cs="Calibri"/>
          <w:sz w:val="24"/>
          <w:szCs w:val="24"/>
        </w:rPr>
      </w:pPr>
      <w:r w:rsidRPr="006B731C">
        <w:rPr>
          <w:rFonts w:ascii="Calibri" w:hAnsi="Calibri" w:cs="Calibri"/>
          <w:b/>
          <w:sz w:val="24"/>
          <w:szCs w:val="24"/>
        </w:rPr>
        <w:lastRenderedPageBreak/>
        <w:t>RESULTS:</w:t>
      </w:r>
    </w:p>
    <w:p w14:paraId="7431AF6F" w14:textId="7FD0E3B3"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 xml:space="preserve">This study successfully identified </w:t>
      </w:r>
      <w:r w:rsidR="00D5584C" w:rsidRPr="006B731C">
        <w:rPr>
          <w:rFonts w:ascii="Calibri" w:hAnsi="Calibri" w:cs="Calibri"/>
          <w:sz w:val="24"/>
          <w:szCs w:val="24"/>
        </w:rPr>
        <w:t xml:space="preserve">the expression of ataxin-2 and DARPP-32 </w:t>
      </w:r>
      <w:r w:rsidRPr="006B731C">
        <w:rPr>
          <w:rFonts w:ascii="Calibri" w:hAnsi="Calibri" w:cs="Calibri"/>
          <w:sz w:val="24"/>
          <w:szCs w:val="24"/>
        </w:rPr>
        <w:t xml:space="preserve">using the present protocol. Following stereotaxic injection of lentiviral vectors into the striatum of C57BL/6J mice, robust expression of both </w:t>
      </w:r>
      <w:r w:rsidR="007B1E9D" w:rsidRPr="006B731C">
        <w:rPr>
          <w:rFonts w:ascii="Calibri" w:hAnsi="Calibri" w:cs="Calibri"/>
          <w:i/>
          <w:iCs/>
          <w:sz w:val="24"/>
          <w:szCs w:val="24"/>
        </w:rPr>
        <w:t>wild-type</w:t>
      </w:r>
      <w:r w:rsidRPr="006B731C">
        <w:rPr>
          <w:rFonts w:ascii="Calibri" w:hAnsi="Calibri" w:cs="Calibri"/>
          <w:sz w:val="24"/>
          <w:szCs w:val="24"/>
        </w:rPr>
        <w:t xml:space="preserve"> and mutant ataxin-2 was detected after 12 weeks. </w:t>
      </w:r>
      <w:r w:rsidR="001670CA" w:rsidRPr="006B731C">
        <w:rPr>
          <w:rFonts w:ascii="Calibri" w:hAnsi="Calibri" w:cs="Calibri"/>
          <w:sz w:val="24"/>
          <w:szCs w:val="24"/>
        </w:rPr>
        <w:t>We showed previously</w:t>
      </w:r>
      <w:r w:rsidR="00704971" w:rsidRPr="006B731C">
        <w:rPr>
          <w:rFonts w:ascii="Calibri" w:hAnsi="Calibri" w:cs="Calibri"/>
          <w:sz w:val="24"/>
          <w:szCs w:val="24"/>
          <w:vertAlign w:val="superscript"/>
        </w:rPr>
        <w:fldChar w:fldCharType="begin"/>
      </w:r>
      <w:r w:rsidR="00D33EF9" w:rsidRPr="006B731C">
        <w:rPr>
          <w:rFonts w:ascii="Calibri" w:hAnsi="Calibri" w:cs="Calibri"/>
          <w:sz w:val="24"/>
          <w:szCs w:val="24"/>
          <w:vertAlign w:val="superscript"/>
        </w:rPr>
        <w:instrText xml:space="preserve"> ADDIN ZOTERO_ITEM CSL_CITATION {"citationID":"Ce4V7MML","properties":{"formattedCitation":"\\super 12\\nosupersub{}","plainCitation":"12","noteIndex":0},"citationItems":[{"id":730,"uris":["http://zotero.org/users/5701247/items/H8II9THG"],"itemData":{"id":730,"type":"article-journal","abstract":"Spinocerebellar ataxia type 2 (SCA2) is an incurable and genetic neurodegenerative disorder. The disease is characterized by progressive degeneration of several brain regions, resulting in severe motor and non-motor clinical manifestations. The mutation causing SCA2 disease is an abnormal expansion of CAG trinucleotide repeats in the ATXN2 gene, leading to a toxic expanded polyglutamine segment in the translated ataxin-2 protein. While the genetic cause is well established, the exact mechanisms behind neuronal death induced by mutant ataxin-2 are not yet completely understood. Thus, the goal of this study is to investigate the role of autophagy in SCA2 pathogenesis and investigate its suitability as a target for therapeutic intervention. For that, we developed and characterized a new striatal lentiviral mouse model that resembled several neuropathological hallmarks observed in SCA2 disease, including formation of aggregates, neuronal marker loss, cell death and neuroinflammation. In this new model, we analyzed autophagic markers, which were also analyzed in a SCA2 cellular model and in human post-mortem brain samples. Our results showed altered levels of SQSTM1 and LC3B in cells and tissues expressing mutant ataxin-2. Moreover, an abnormal accumulation of these markers was detected in SCA2 patients’ striatum and cerebellum. Importantly, the molecular activation of autophagy, using the compound cordycepin, mitigated the phenotypic alterations observed in disease models. Overall, our study suggests an important role for autophagy in the context of SCA2 pathology, proposing that targeting this pathway could be a potential target to treat SCA2 patients.","container-title":"Cell Death &amp; Disease","DOI":"10.1038/s41419-021-04404-1","ISSN":"2041-4889","issue":"12","journalAbbreviation":"Cell Death Dis","page":"1117","PMID":"34845184","PMCID":"PMC8630050","source":"PubMed Central","title":"Autophagy in Spinocerebellar ataxia type 2, a dysregulated pathway, and a target for therapy","volume":"12","author":[{"family":"Marcelo","given":"Adriana"},{"family":"Afonso","given":"Inês T."},{"family":"Afonso-Reis","given":"Ricardo"},{"family":"Brito","given":"David V. C."},{"family":"Costa","given":"Rafael G."},{"family":"Rosa","given":"Ana"},{"family":"Alves-Cruzeiro","given":"João"},{"family":"Ferreira","given":"Benedita"},{"family":"Henriques","given":"Carina"},{"family":"Nobre","given":"Rui J."},{"family":"Matos","given":"Carlos A."},{"family":"Almeida","given":"Luís Pereira","non-dropping-particle":"de"},{"family":"Nóbrega","given":"Clévio"}],"issued":{"date-parts":[["2021",11,29]]}}}],"schema":"https://github.com/citation-style-language/schema/raw/master/csl-citation.json"} </w:instrText>
      </w:r>
      <w:r w:rsidR="00704971" w:rsidRPr="006B731C">
        <w:rPr>
          <w:rFonts w:ascii="Calibri" w:hAnsi="Calibri" w:cs="Calibri"/>
          <w:sz w:val="24"/>
          <w:szCs w:val="24"/>
          <w:vertAlign w:val="superscript"/>
        </w:rPr>
        <w:fldChar w:fldCharType="separate"/>
      </w:r>
      <w:r w:rsidR="00D33EF9" w:rsidRPr="006B731C">
        <w:rPr>
          <w:rFonts w:ascii="Calibri" w:hAnsi="Calibri" w:cs="Calibri"/>
          <w:sz w:val="24"/>
          <w:szCs w:val="24"/>
          <w:vertAlign w:val="superscript"/>
        </w:rPr>
        <w:t>12</w:t>
      </w:r>
      <w:r w:rsidR="00704971" w:rsidRPr="006B731C">
        <w:rPr>
          <w:rFonts w:ascii="Calibri" w:hAnsi="Calibri" w:cs="Calibri"/>
          <w:sz w:val="24"/>
          <w:szCs w:val="24"/>
          <w:vertAlign w:val="superscript"/>
        </w:rPr>
        <w:fldChar w:fldCharType="end"/>
      </w:r>
      <w:r w:rsidR="001670CA" w:rsidRPr="006B731C">
        <w:rPr>
          <w:rFonts w:ascii="Calibri" w:hAnsi="Calibri" w:cs="Calibri"/>
          <w:sz w:val="24"/>
          <w:szCs w:val="24"/>
        </w:rPr>
        <w:t xml:space="preserve"> that these constructs are specific to neurons, effectively transducing an average of </w:t>
      </w:r>
      <w:r w:rsidR="00894366" w:rsidRPr="006B731C">
        <w:rPr>
          <w:rFonts w:ascii="Calibri" w:hAnsi="Calibri" w:cs="Calibri"/>
          <w:sz w:val="24"/>
          <w:szCs w:val="24"/>
        </w:rPr>
        <w:t>20,000 neurons per mm³</w:t>
      </w:r>
      <w:r w:rsidR="001670CA" w:rsidRPr="006B731C">
        <w:rPr>
          <w:rFonts w:ascii="Calibri" w:hAnsi="Calibri" w:cs="Calibri"/>
          <w:sz w:val="24"/>
          <w:szCs w:val="24"/>
        </w:rPr>
        <w:t xml:space="preserve">. </w:t>
      </w:r>
      <w:r w:rsidR="00FC26BB" w:rsidRPr="006B731C">
        <w:rPr>
          <w:rFonts w:ascii="Calibri" w:hAnsi="Calibri" w:cs="Calibri"/>
          <w:sz w:val="24"/>
          <w:szCs w:val="24"/>
        </w:rPr>
        <w:t>Under our experimental conditions, i</w:t>
      </w:r>
      <w:r w:rsidRPr="006B731C">
        <w:rPr>
          <w:rFonts w:ascii="Calibri" w:hAnsi="Calibri" w:cs="Calibri"/>
          <w:sz w:val="24"/>
          <w:szCs w:val="24"/>
        </w:rPr>
        <w:t xml:space="preserve">mmunostaining for ataxin-2 revealed a diffuse cytoplasmic distribution of </w:t>
      </w:r>
      <w:r w:rsidR="007B1E9D" w:rsidRPr="006B731C">
        <w:rPr>
          <w:rFonts w:ascii="Calibri" w:hAnsi="Calibri" w:cs="Calibri"/>
          <w:i/>
          <w:iCs/>
          <w:sz w:val="24"/>
          <w:szCs w:val="24"/>
        </w:rPr>
        <w:t>wild-type</w:t>
      </w:r>
      <w:r w:rsidRPr="006B731C">
        <w:rPr>
          <w:rFonts w:ascii="Calibri" w:hAnsi="Calibri" w:cs="Calibri"/>
          <w:sz w:val="24"/>
          <w:szCs w:val="24"/>
        </w:rPr>
        <w:t xml:space="preserve"> ataxin-2 </w:t>
      </w:r>
      <w:r w:rsidR="00FC26BB" w:rsidRPr="006B731C">
        <w:rPr>
          <w:rFonts w:ascii="Calibri" w:hAnsi="Calibri" w:cs="Calibri"/>
          <w:sz w:val="24"/>
          <w:szCs w:val="24"/>
        </w:rPr>
        <w:t xml:space="preserve">without forming discrete inclusions </w:t>
      </w:r>
      <w:r w:rsidRPr="006B731C">
        <w:rPr>
          <w:rFonts w:ascii="Calibri" w:hAnsi="Calibri" w:cs="Calibri"/>
          <w:sz w:val="24"/>
          <w:szCs w:val="24"/>
        </w:rPr>
        <w:t>(22Q</w:t>
      </w:r>
      <w:r w:rsidR="00894366" w:rsidRPr="006B731C">
        <w:rPr>
          <w:rFonts w:ascii="Calibri" w:hAnsi="Calibri" w:cs="Calibri"/>
          <w:sz w:val="24"/>
          <w:szCs w:val="24"/>
        </w:rPr>
        <w:t xml:space="preserve">; </w:t>
      </w:r>
      <w:r w:rsidRPr="006B731C">
        <w:rPr>
          <w:rFonts w:ascii="Calibri" w:hAnsi="Calibri" w:cs="Calibri"/>
          <w:b/>
          <w:bCs/>
          <w:sz w:val="24"/>
          <w:szCs w:val="24"/>
        </w:rPr>
        <w:t>Figure</w:t>
      </w:r>
      <w:r w:rsidRPr="006B731C">
        <w:rPr>
          <w:rFonts w:ascii="Calibri" w:hAnsi="Calibri" w:cs="Calibri"/>
          <w:sz w:val="24"/>
          <w:szCs w:val="24"/>
        </w:rPr>
        <w:t xml:space="preserve"> </w:t>
      </w:r>
      <w:r w:rsidR="00CF761F" w:rsidRPr="006B731C">
        <w:rPr>
          <w:rFonts w:ascii="Calibri" w:hAnsi="Calibri" w:cs="Calibri"/>
          <w:b/>
          <w:bCs/>
          <w:sz w:val="24"/>
          <w:szCs w:val="24"/>
        </w:rPr>
        <w:t>3</w:t>
      </w:r>
      <w:r w:rsidRPr="006B731C">
        <w:rPr>
          <w:rFonts w:ascii="Calibri" w:hAnsi="Calibri" w:cs="Calibri"/>
          <w:b/>
          <w:bCs/>
          <w:sz w:val="24"/>
          <w:szCs w:val="24"/>
        </w:rPr>
        <w:t>A</w:t>
      </w:r>
      <w:r w:rsidRPr="006B731C">
        <w:rPr>
          <w:rFonts w:ascii="Calibri" w:hAnsi="Calibri" w:cs="Calibri"/>
          <w:sz w:val="24"/>
          <w:szCs w:val="24"/>
        </w:rPr>
        <w:t>, yellow arrows)</w:t>
      </w:r>
      <w:r w:rsidR="00B22595" w:rsidRPr="006B731C">
        <w:rPr>
          <w:rFonts w:ascii="Calibri" w:hAnsi="Calibri" w:cs="Calibri"/>
          <w:sz w:val="24"/>
          <w:szCs w:val="24"/>
        </w:rPr>
        <w:t xml:space="preserve">. In </w:t>
      </w:r>
      <w:proofErr w:type="gramStart"/>
      <w:r w:rsidR="00B22595" w:rsidRPr="006B731C">
        <w:rPr>
          <w:rFonts w:ascii="Calibri" w:hAnsi="Calibri" w:cs="Calibri"/>
          <w:sz w:val="24"/>
          <w:szCs w:val="24"/>
        </w:rPr>
        <w:t>contrast</w:t>
      </w:r>
      <w:r w:rsidR="00E90C5D" w:rsidRPr="006B731C">
        <w:rPr>
          <w:rFonts w:ascii="Calibri" w:hAnsi="Calibri" w:cs="Calibri"/>
          <w:sz w:val="24"/>
          <w:szCs w:val="24"/>
        </w:rPr>
        <w:t>,</w:t>
      </w:r>
      <w:r w:rsidRPr="006B731C">
        <w:rPr>
          <w:rFonts w:ascii="Calibri" w:hAnsi="Calibri" w:cs="Calibri"/>
          <w:sz w:val="24"/>
          <w:szCs w:val="24"/>
        </w:rPr>
        <w:t xml:space="preserve">  mutant</w:t>
      </w:r>
      <w:proofErr w:type="gramEnd"/>
      <w:r w:rsidRPr="006B731C">
        <w:rPr>
          <w:rFonts w:ascii="Calibri" w:hAnsi="Calibri" w:cs="Calibri"/>
          <w:sz w:val="24"/>
          <w:szCs w:val="24"/>
        </w:rPr>
        <w:t xml:space="preserve"> ataxin-2 (104Q) exhibited cytoplasmic aggregates with a distinct spherical morphology (</w:t>
      </w:r>
      <w:r w:rsidRPr="006B731C">
        <w:rPr>
          <w:rFonts w:ascii="Calibri" w:hAnsi="Calibri" w:cs="Calibri"/>
          <w:b/>
          <w:bCs/>
          <w:sz w:val="24"/>
          <w:szCs w:val="24"/>
        </w:rPr>
        <w:t>Figure</w:t>
      </w:r>
      <w:r w:rsidRPr="006B731C">
        <w:rPr>
          <w:rFonts w:ascii="Calibri" w:hAnsi="Calibri" w:cs="Calibri"/>
          <w:sz w:val="24"/>
          <w:szCs w:val="24"/>
        </w:rPr>
        <w:t xml:space="preserve"> </w:t>
      </w:r>
      <w:r w:rsidR="00CF761F" w:rsidRPr="006B731C">
        <w:rPr>
          <w:rFonts w:ascii="Calibri" w:hAnsi="Calibri" w:cs="Calibri"/>
          <w:b/>
          <w:bCs/>
          <w:sz w:val="24"/>
          <w:szCs w:val="24"/>
        </w:rPr>
        <w:t>3</w:t>
      </w:r>
      <w:r w:rsidRPr="006B731C">
        <w:rPr>
          <w:rFonts w:ascii="Calibri" w:hAnsi="Calibri" w:cs="Calibri"/>
          <w:b/>
          <w:bCs/>
          <w:sz w:val="24"/>
          <w:szCs w:val="24"/>
        </w:rPr>
        <w:t>B</w:t>
      </w:r>
      <w:r w:rsidRPr="006B731C">
        <w:rPr>
          <w:rFonts w:ascii="Calibri" w:hAnsi="Calibri" w:cs="Calibri"/>
          <w:sz w:val="24"/>
          <w:szCs w:val="24"/>
        </w:rPr>
        <w:t>, red arrows).</w:t>
      </w:r>
      <w:r w:rsidR="00FC26BB" w:rsidRPr="006B731C">
        <w:rPr>
          <w:rFonts w:ascii="Calibri" w:hAnsi="Calibri" w:cs="Calibri"/>
          <w:sz w:val="24"/>
          <w:szCs w:val="24"/>
        </w:rPr>
        <w:t xml:space="preserve"> </w:t>
      </w:r>
      <w:r w:rsidR="00836CF0" w:rsidRPr="006B731C">
        <w:rPr>
          <w:rFonts w:ascii="Calibri" w:hAnsi="Calibri" w:cs="Calibri"/>
          <w:sz w:val="24"/>
          <w:szCs w:val="24"/>
        </w:rPr>
        <w:t>These aggregates appeared as well-defined, high-intensity puncta clearly distinguishable from the homogeneous cytoplasmic staining observed in the wild-type condition and typically ranged from approximately 1–5 µm in diameter.</w:t>
      </w:r>
      <w:r w:rsidR="00E35E73" w:rsidRPr="006B731C">
        <w:rPr>
          <w:rFonts w:ascii="Calibri" w:hAnsi="Calibri" w:cs="Calibri"/>
          <w:sz w:val="24"/>
          <w:szCs w:val="24"/>
        </w:rPr>
        <w:t xml:space="preserve"> The presence of these discrete inclusions was used as an operational criterion to define successful pathological expression of mutant ataxin-</w:t>
      </w:r>
      <w:proofErr w:type="gramStart"/>
      <w:r w:rsidR="0037144E" w:rsidRPr="006B731C">
        <w:rPr>
          <w:rFonts w:ascii="Calibri" w:hAnsi="Calibri" w:cs="Calibri"/>
          <w:sz w:val="24"/>
          <w:szCs w:val="24"/>
        </w:rPr>
        <w:t>2, and</w:t>
      </w:r>
      <w:proofErr w:type="gramEnd"/>
      <w:r w:rsidR="00D06224" w:rsidRPr="006B731C">
        <w:rPr>
          <w:rFonts w:ascii="Calibri" w:hAnsi="Calibri" w:cs="Calibri"/>
          <w:sz w:val="24"/>
          <w:szCs w:val="24"/>
        </w:rPr>
        <w:t xml:space="preserve"> indicates that the lentiviral-based protocol effectively induces polyglutamine-dependent aggregation in the targeted brain region.</w:t>
      </w:r>
    </w:p>
    <w:p w14:paraId="378B10D8" w14:textId="77777777" w:rsidR="00894366" w:rsidRPr="006B731C" w:rsidRDefault="00894366" w:rsidP="006B731C">
      <w:pPr>
        <w:spacing w:after="0" w:line="240" w:lineRule="auto"/>
        <w:jc w:val="both"/>
        <w:rPr>
          <w:rFonts w:ascii="Calibri" w:hAnsi="Calibri" w:cs="Calibri"/>
          <w:sz w:val="24"/>
          <w:szCs w:val="24"/>
        </w:rPr>
      </w:pPr>
    </w:p>
    <w:p w14:paraId="31242917" w14:textId="5BDAE281"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Immunolabeling with DARPP-32, a marker for medium spiny neurons</w:t>
      </w:r>
      <w:r w:rsidR="0037144E" w:rsidRPr="0037144E">
        <w:rPr>
          <w:rFonts w:ascii="Calibri" w:hAnsi="Calibri" w:cs="Calibri"/>
          <w:sz w:val="24"/>
          <w:szCs w:val="24"/>
          <w:vertAlign w:val="superscript"/>
        </w:rPr>
        <w:t>19</w:t>
      </w:r>
      <w:r w:rsidR="00D63759" w:rsidRPr="006B731C">
        <w:rPr>
          <w:rFonts w:ascii="Calibri" w:hAnsi="Calibri" w:cs="Calibri"/>
          <w:sz w:val="24"/>
          <w:szCs w:val="24"/>
        </w:rPr>
        <w:fldChar w:fldCharType="begin"/>
      </w:r>
      <w:r w:rsidR="00D63759" w:rsidRPr="006B731C">
        <w:rPr>
          <w:rFonts w:ascii="Calibri" w:hAnsi="Calibri" w:cs="Calibri"/>
          <w:sz w:val="24"/>
          <w:szCs w:val="24"/>
        </w:rPr>
        <w:instrText xml:space="preserve"> ADDIN ZOTERO_ITEM CSL_CITATION {"citationID":"UjpIvujm","properties":{"formattedCitation":"\\super 21\\nosupersub{}","plainCitation":"21","noteIndex":0},"citationItems":[{"id":1935,"uris":["http://zotero.org/users/5701247/items/TIHY2SL3"],"itemData":{"id":1935,"type":"article-journal","abstract":"The direct and indirect pathways of the basal ganglia have been proposed to oppositely regulate locomotion and differentially contribute to pathological behaviors. Analysis of the distinct contributions of each pathway to behavior has been a challenge, however, due to the difficulty of selectively investigating the neurons comprising the two pathways using conventional techniques. Here we present two mouse models in which the function of striatonigral or striatopallidal neurons is selectively disrupted due to cell type-specific deletion of the striatal signaling protein dopamine- and cAMP-regulated phosphoprotein Mr 32kDa (DARPP-32). Using these mice, we found that the loss of DARPP-32 in striatonigral neurons decreased basal and cocaine-induced locomotion and abolished dyskinetic behaviors in response to the Parkinson's disease drug L-DOPA. Conversely, the loss of DARPP-32 in striatopallidal neurons produced a robust increase in locomotor activity and a strongly reduced cataleptic response to the antipsychotic drug haloperidol. These findings provide insight into the selective contributions of the direct and indirect pathways to striatal motor behaviors.","container-title":"Proceedings of the National Academy of Sciences of the United States of America","DOI":"10.1073/pnas.1009874107","ISSN":"1091-6490","issue":"33","journalAbbreviation":"Proc Natl Acad Sci U S A","language":"eng","page":"14845-14850","PMID":"20682746","PMCID":"PMC2930415","source":"PubMed","title":"Distinct subclasses of medium spiny neurons differentially regulate striatal motor behaviors","volume":"107","author":[{"family":"Bateup","given":"Helen S."},{"family":"Santini","given":"Emanuela"},{"family":"Shen","given":"Weixing"},{"family":"Birnbaum","given":"Shari"},{"family":"Valjent","given":"Emmanuel"},{"family":"Surmeier","given":"D. James"},{"family":"Fisone","given":"Gilberto"},{"family":"Nestler","given":"Eric J."},{"family":"Greengard","given":"Paul"}],"issued":{"date-parts":[["2010",8,17]]}}}],"schema":"https://github.com/citation-style-language/schema/raw/master/csl-citation.json"} </w:instrText>
      </w:r>
      <w:r w:rsidR="00D63759" w:rsidRPr="006B731C">
        <w:rPr>
          <w:rFonts w:ascii="Calibri" w:hAnsi="Calibri" w:cs="Calibri"/>
          <w:sz w:val="24"/>
          <w:szCs w:val="24"/>
        </w:rPr>
        <w:fldChar w:fldCharType="separate"/>
      </w:r>
      <w:r w:rsidR="00D63759" w:rsidRPr="006B731C">
        <w:rPr>
          <w:rFonts w:ascii="Calibri" w:hAnsi="Calibri" w:cs="Calibri"/>
          <w:sz w:val="24"/>
          <w:szCs w:val="24"/>
        </w:rPr>
        <w:fldChar w:fldCharType="end"/>
      </w:r>
      <w:r w:rsidRPr="006B731C">
        <w:rPr>
          <w:rFonts w:ascii="Calibri" w:hAnsi="Calibri" w:cs="Calibri"/>
          <w:sz w:val="24"/>
          <w:szCs w:val="24"/>
        </w:rPr>
        <w:t xml:space="preserve">, demonstrated that both </w:t>
      </w:r>
      <w:r w:rsidR="007B1E9D" w:rsidRPr="006B731C">
        <w:rPr>
          <w:rFonts w:ascii="Calibri" w:hAnsi="Calibri" w:cs="Calibri"/>
          <w:i/>
          <w:iCs/>
          <w:sz w:val="24"/>
          <w:szCs w:val="24"/>
        </w:rPr>
        <w:t>wild-type</w:t>
      </w:r>
      <w:r w:rsidRPr="006B731C">
        <w:rPr>
          <w:rFonts w:ascii="Calibri" w:hAnsi="Calibri" w:cs="Calibri"/>
          <w:sz w:val="24"/>
          <w:szCs w:val="24"/>
        </w:rPr>
        <w:t xml:space="preserve"> and mutant ataxin-2 were expressed within the striatal neuronal population (</w:t>
      </w:r>
      <w:r w:rsidRPr="006B731C">
        <w:rPr>
          <w:rFonts w:ascii="Calibri" w:hAnsi="Calibri" w:cs="Calibri"/>
          <w:b/>
          <w:bCs/>
          <w:sz w:val="24"/>
          <w:szCs w:val="24"/>
        </w:rPr>
        <w:t>Figure</w:t>
      </w:r>
      <w:r w:rsidR="00220AA3" w:rsidRPr="006B731C">
        <w:rPr>
          <w:rFonts w:ascii="Calibri" w:hAnsi="Calibri" w:cs="Calibri"/>
          <w:sz w:val="24"/>
          <w:szCs w:val="24"/>
        </w:rPr>
        <w:t xml:space="preserve"> </w:t>
      </w:r>
      <w:r w:rsidR="00CF761F" w:rsidRPr="006B731C">
        <w:rPr>
          <w:rFonts w:ascii="Calibri" w:hAnsi="Calibri" w:cs="Calibri"/>
          <w:b/>
          <w:bCs/>
          <w:sz w:val="24"/>
          <w:szCs w:val="24"/>
        </w:rPr>
        <w:t>3</w:t>
      </w:r>
      <w:r w:rsidRPr="006B731C">
        <w:rPr>
          <w:rFonts w:ascii="Calibri" w:hAnsi="Calibri" w:cs="Calibri"/>
          <w:b/>
          <w:bCs/>
          <w:sz w:val="24"/>
          <w:szCs w:val="24"/>
        </w:rPr>
        <w:t>C</w:t>
      </w:r>
      <w:r w:rsidR="00220AA3" w:rsidRPr="006B731C">
        <w:rPr>
          <w:rFonts w:ascii="Calibri" w:hAnsi="Calibri" w:cs="Calibri"/>
          <w:b/>
          <w:bCs/>
          <w:sz w:val="24"/>
          <w:szCs w:val="24"/>
        </w:rPr>
        <w:t>,</w:t>
      </w:r>
      <w:r w:rsidRPr="006B731C">
        <w:rPr>
          <w:rFonts w:ascii="Calibri" w:hAnsi="Calibri" w:cs="Calibri"/>
          <w:b/>
          <w:bCs/>
          <w:sz w:val="24"/>
          <w:szCs w:val="24"/>
        </w:rPr>
        <w:t>D</w:t>
      </w:r>
      <w:r w:rsidRPr="006B731C">
        <w:rPr>
          <w:rFonts w:ascii="Calibri" w:hAnsi="Calibri" w:cs="Calibri"/>
          <w:sz w:val="24"/>
          <w:szCs w:val="24"/>
        </w:rPr>
        <w:t xml:space="preserve">). While </w:t>
      </w:r>
      <w:r w:rsidR="007B1E9D" w:rsidRPr="006B731C">
        <w:rPr>
          <w:rFonts w:ascii="Calibri" w:hAnsi="Calibri" w:cs="Calibri"/>
          <w:i/>
          <w:iCs/>
          <w:sz w:val="24"/>
          <w:szCs w:val="24"/>
        </w:rPr>
        <w:t>wild-type</w:t>
      </w:r>
      <w:r w:rsidRPr="006B731C">
        <w:rPr>
          <w:rFonts w:ascii="Calibri" w:hAnsi="Calibri" w:cs="Calibri"/>
          <w:sz w:val="24"/>
          <w:szCs w:val="24"/>
        </w:rPr>
        <w:t xml:space="preserve"> ataxin-2 expression did not alter the gross morphology of DARPP-32–positive neurons, the mutant protein produced neuronal marker loss (red area).</w:t>
      </w:r>
    </w:p>
    <w:p w14:paraId="709E21F9" w14:textId="77777777" w:rsidR="00BB75AC" w:rsidRPr="006B731C" w:rsidRDefault="00BB75AC" w:rsidP="006B731C">
      <w:pPr>
        <w:spacing w:after="0" w:line="240" w:lineRule="auto"/>
        <w:jc w:val="both"/>
        <w:rPr>
          <w:rFonts w:ascii="Calibri" w:hAnsi="Calibri" w:cs="Calibri"/>
          <w:sz w:val="24"/>
          <w:szCs w:val="24"/>
        </w:rPr>
      </w:pPr>
    </w:p>
    <w:p w14:paraId="7DF139D4" w14:textId="135BFAA2" w:rsidR="00BB75AC" w:rsidRPr="006B731C" w:rsidRDefault="00BB75AC" w:rsidP="006B731C">
      <w:pPr>
        <w:spacing w:after="0" w:line="240" w:lineRule="auto"/>
        <w:jc w:val="both"/>
        <w:rPr>
          <w:rFonts w:ascii="Calibri" w:hAnsi="Calibri" w:cs="Calibri"/>
          <w:b/>
          <w:sz w:val="24"/>
          <w:szCs w:val="24"/>
        </w:rPr>
      </w:pPr>
      <w:r w:rsidRPr="006B731C">
        <w:rPr>
          <w:rFonts w:ascii="Calibri" w:hAnsi="Calibri" w:cs="Calibri"/>
          <w:b/>
          <w:sz w:val="24"/>
          <w:szCs w:val="24"/>
        </w:rPr>
        <w:t>FIGURE AND TABLE LEGENDS:</w:t>
      </w:r>
    </w:p>
    <w:p w14:paraId="77161F7B" w14:textId="504F7F6F" w:rsidR="00BB75AC" w:rsidRPr="006B731C" w:rsidRDefault="00BB75AC" w:rsidP="006B731C">
      <w:pPr>
        <w:spacing w:after="0" w:line="240" w:lineRule="auto"/>
        <w:jc w:val="both"/>
        <w:rPr>
          <w:rFonts w:ascii="Calibri" w:hAnsi="Calibri" w:cs="Calibri"/>
          <w:b/>
          <w:sz w:val="24"/>
          <w:szCs w:val="24"/>
        </w:rPr>
      </w:pPr>
      <w:bookmarkStart w:id="0" w:name="_Hlk207014586"/>
      <w:r w:rsidRPr="006B731C">
        <w:rPr>
          <w:rFonts w:ascii="Calibri" w:hAnsi="Calibri" w:cs="Calibri"/>
          <w:b/>
          <w:sz w:val="24"/>
          <w:szCs w:val="24"/>
        </w:rPr>
        <w:t>Figure 1</w:t>
      </w:r>
      <w:r w:rsidR="00C648CA" w:rsidRPr="006B731C">
        <w:rPr>
          <w:rFonts w:ascii="Calibri" w:hAnsi="Calibri" w:cs="Calibri"/>
          <w:b/>
          <w:sz w:val="24"/>
          <w:szCs w:val="24"/>
        </w:rPr>
        <w:t>:</w:t>
      </w:r>
      <w:r w:rsidRPr="006B731C">
        <w:rPr>
          <w:rFonts w:ascii="Calibri" w:hAnsi="Calibri" w:cs="Calibri"/>
          <w:b/>
          <w:sz w:val="24"/>
          <w:szCs w:val="24"/>
        </w:rPr>
        <w:t xml:space="preserve"> Schematic representation of the lentiviral transfer vector containing the human </w:t>
      </w:r>
      <w:r w:rsidRPr="006B731C">
        <w:rPr>
          <w:rFonts w:ascii="Calibri" w:hAnsi="Calibri" w:cs="Calibri"/>
          <w:b/>
          <w:i/>
          <w:iCs/>
          <w:sz w:val="24"/>
          <w:szCs w:val="24"/>
        </w:rPr>
        <w:t>ATXN2</w:t>
      </w:r>
      <w:r w:rsidRPr="006B731C">
        <w:rPr>
          <w:rFonts w:ascii="Calibri" w:hAnsi="Calibri" w:cs="Calibri"/>
          <w:b/>
          <w:sz w:val="24"/>
          <w:szCs w:val="24"/>
        </w:rPr>
        <w:t xml:space="preserve"> gene.</w:t>
      </w:r>
      <w:r w:rsidRPr="006B731C">
        <w:rPr>
          <w:rFonts w:ascii="Calibri" w:hAnsi="Calibri" w:cs="Calibri"/>
          <w:bCs/>
          <w:sz w:val="24"/>
          <w:szCs w:val="24"/>
        </w:rPr>
        <w:t xml:space="preserve"> The vector contains: a 5′ long terminal repeat (LTR) with a self-inactivating (SIN) U3 deletion; a central </w:t>
      </w:r>
      <w:proofErr w:type="spellStart"/>
      <w:r w:rsidRPr="006B731C">
        <w:rPr>
          <w:rFonts w:ascii="Calibri" w:hAnsi="Calibri" w:cs="Calibri"/>
          <w:bCs/>
          <w:sz w:val="24"/>
          <w:szCs w:val="24"/>
        </w:rPr>
        <w:t>polypurine</w:t>
      </w:r>
      <w:proofErr w:type="spellEnd"/>
      <w:r w:rsidRPr="006B731C">
        <w:rPr>
          <w:rFonts w:ascii="Calibri" w:hAnsi="Calibri" w:cs="Calibri"/>
          <w:bCs/>
          <w:sz w:val="24"/>
          <w:szCs w:val="24"/>
        </w:rPr>
        <w:t xml:space="preserve"> tract (</w:t>
      </w:r>
      <w:proofErr w:type="spellStart"/>
      <w:r w:rsidRPr="006B731C">
        <w:rPr>
          <w:rFonts w:ascii="Calibri" w:hAnsi="Calibri" w:cs="Calibri"/>
          <w:bCs/>
          <w:sz w:val="24"/>
          <w:szCs w:val="24"/>
        </w:rPr>
        <w:t>cPPT</w:t>
      </w:r>
      <w:proofErr w:type="spellEnd"/>
      <w:r w:rsidRPr="006B731C">
        <w:rPr>
          <w:rFonts w:ascii="Calibri" w:hAnsi="Calibri" w:cs="Calibri"/>
          <w:bCs/>
          <w:sz w:val="24"/>
          <w:szCs w:val="24"/>
        </w:rPr>
        <w:t xml:space="preserve">) that enhances nuclear import of the reverse-transcribed viral genome; the internal PGK promoter that drives expression of the transgene (human </w:t>
      </w:r>
      <w:r w:rsidRPr="006B731C">
        <w:rPr>
          <w:rFonts w:ascii="Calibri" w:hAnsi="Calibri" w:cs="Calibri"/>
          <w:bCs/>
          <w:i/>
          <w:iCs/>
          <w:sz w:val="24"/>
          <w:szCs w:val="24"/>
        </w:rPr>
        <w:t xml:space="preserve">ATXN2 </w:t>
      </w:r>
      <w:r w:rsidRPr="006B731C">
        <w:rPr>
          <w:rFonts w:ascii="Calibri" w:hAnsi="Calibri" w:cs="Calibri"/>
          <w:bCs/>
          <w:sz w:val="24"/>
          <w:szCs w:val="24"/>
        </w:rPr>
        <w:t>with 22 or 104 glutamines); the Woodchuck Hepatitis Virus post-transcriptional regulatory element (WPRE) that increases transcript stability and export; and, finally, the 3′ LTR contains the ΔU3 SIN modification that is duplicated during reverse transcription, ensuring promoter inactivation in the integrated provirus.</w:t>
      </w:r>
    </w:p>
    <w:p w14:paraId="26C2B8A2" w14:textId="77777777" w:rsidR="00BB75AC" w:rsidRPr="006B731C" w:rsidRDefault="00BB75AC" w:rsidP="006B731C">
      <w:pPr>
        <w:spacing w:after="0" w:line="240" w:lineRule="auto"/>
        <w:jc w:val="both"/>
        <w:rPr>
          <w:rFonts w:ascii="Calibri" w:hAnsi="Calibri" w:cs="Calibri"/>
          <w:b/>
          <w:bCs/>
          <w:sz w:val="24"/>
          <w:szCs w:val="24"/>
        </w:rPr>
      </w:pPr>
    </w:p>
    <w:p w14:paraId="4C790439" w14:textId="7B040115" w:rsidR="00D9562C" w:rsidRPr="006B731C" w:rsidRDefault="00BB75AC" w:rsidP="006B731C">
      <w:pPr>
        <w:spacing w:after="0" w:line="240" w:lineRule="auto"/>
        <w:jc w:val="both"/>
        <w:rPr>
          <w:rFonts w:ascii="Calibri" w:hAnsi="Calibri" w:cs="Calibri"/>
          <w:i/>
          <w:iCs/>
          <w:sz w:val="24"/>
          <w:szCs w:val="24"/>
        </w:rPr>
      </w:pPr>
      <w:r w:rsidRPr="006B731C">
        <w:rPr>
          <w:rFonts w:ascii="Calibri" w:hAnsi="Calibri" w:cs="Calibri"/>
          <w:b/>
          <w:bCs/>
          <w:sz w:val="24"/>
          <w:szCs w:val="24"/>
        </w:rPr>
        <w:t>Figure 2: Brain tissue collection and processing illustration.</w:t>
      </w:r>
      <w:r w:rsidRPr="006B731C">
        <w:rPr>
          <w:rFonts w:ascii="Calibri" w:hAnsi="Calibri" w:cs="Calibri"/>
          <w:sz w:val="24"/>
          <w:szCs w:val="24"/>
        </w:rPr>
        <w:t xml:space="preserve"> </w:t>
      </w:r>
      <w:bookmarkEnd w:id="0"/>
      <w:r w:rsidRPr="006B731C">
        <w:rPr>
          <w:rFonts w:ascii="Calibri" w:hAnsi="Calibri" w:cs="Calibri"/>
          <w:sz w:val="24"/>
          <w:szCs w:val="24"/>
        </w:rPr>
        <w:t>(</w:t>
      </w:r>
      <w:r w:rsidRPr="006B731C">
        <w:rPr>
          <w:rFonts w:ascii="Calibri" w:hAnsi="Calibri" w:cs="Calibri"/>
          <w:b/>
          <w:bCs/>
          <w:sz w:val="24"/>
          <w:szCs w:val="24"/>
        </w:rPr>
        <w:t>A</w:t>
      </w:r>
      <w:r w:rsidRPr="006B731C">
        <w:rPr>
          <w:rFonts w:ascii="Calibri" w:hAnsi="Calibri" w:cs="Calibri"/>
          <w:sz w:val="24"/>
          <w:szCs w:val="24"/>
        </w:rPr>
        <w:t xml:space="preserve">) Diagram representing the </w:t>
      </w:r>
      <w:proofErr w:type="spellStart"/>
      <w:r w:rsidRPr="006B731C">
        <w:rPr>
          <w:rFonts w:ascii="Calibri" w:hAnsi="Calibri" w:cs="Calibri"/>
          <w:sz w:val="24"/>
          <w:szCs w:val="24"/>
        </w:rPr>
        <w:t>transcardial</w:t>
      </w:r>
      <w:proofErr w:type="spellEnd"/>
      <w:r w:rsidRPr="006B731C">
        <w:rPr>
          <w:rFonts w:ascii="Calibri" w:hAnsi="Calibri" w:cs="Calibri"/>
          <w:sz w:val="24"/>
          <w:szCs w:val="24"/>
        </w:rPr>
        <w:t xml:space="preserve"> perfusion procedure. Cut the abdominal wall as indicated by the pink arrow. Proceed with two lateral incisions into the thoracic cavity (white arrows). (</w:t>
      </w:r>
      <w:r w:rsidRPr="006B731C">
        <w:rPr>
          <w:rFonts w:ascii="Calibri" w:hAnsi="Calibri" w:cs="Calibri"/>
          <w:b/>
          <w:bCs/>
          <w:sz w:val="24"/>
          <w:szCs w:val="24"/>
        </w:rPr>
        <w:t>B</w:t>
      </w:r>
      <w:r w:rsidRPr="006B731C">
        <w:rPr>
          <w:rFonts w:ascii="Calibri" w:hAnsi="Calibri" w:cs="Calibri"/>
          <w:sz w:val="24"/>
          <w:szCs w:val="24"/>
        </w:rPr>
        <w:t xml:space="preserve">) Starting the </w:t>
      </w:r>
      <w:proofErr w:type="spellStart"/>
      <w:r w:rsidRPr="006B731C">
        <w:rPr>
          <w:rFonts w:ascii="Calibri" w:hAnsi="Calibri" w:cs="Calibri"/>
          <w:sz w:val="24"/>
          <w:szCs w:val="24"/>
        </w:rPr>
        <w:t>transcardial</w:t>
      </w:r>
      <w:proofErr w:type="spellEnd"/>
      <w:r w:rsidRPr="006B731C">
        <w:rPr>
          <w:rFonts w:ascii="Calibri" w:hAnsi="Calibri" w:cs="Calibri"/>
          <w:sz w:val="24"/>
          <w:szCs w:val="24"/>
        </w:rPr>
        <w:t xml:space="preserve"> perfusion by inserting the syringe from the heart apex into the left ventricle. Cut the right ventricle and start infusing the perfusion solution. (</w:t>
      </w:r>
      <w:r w:rsidRPr="006B731C">
        <w:rPr>
          <w:rFonts w:ascii="Calibri" w:hAnsi="Calibri" w:cs="Calibri"/>
          <w:b/>
          <w:bCs/>
          <w:sz w:val="24"/>
          <w:szCs w:val="24"/>
        </w:rPr>
        <w:t>C</w:t>
      </w:r>
      <w:r w:rsidRPr="006B731C">
        <w:rPr>
          <w:rFonts w:ascii="Calibri" w:hAnsi="Calibri" w:cs="Calibri"/>
          <w:sz w:val="24"/>
          <w:szCs w:val="24"/>
        </w:rPr>
        <w:t>) Two lateral incisions parallel to the skull are made from the foramen magnum to the olfactory bulbs. Cut the frontal bone. (</w:t>
      </w:r>
      <w:r w:rsidRPr="006B731C">
        <w:rPr>
          <w:rFonts w:ascii="Calibri" w:hAnsi="Calibri" w:cs="Calibri"/>
          <w:b/>
          <w:bCs/>
          <w:sz w:val="24"/>
          <w:szCs w:val="24"/>
        </w:rPr>
        <w:t>D</w:t>
      </w:r>
      <w:r w:rsidRPr="006B731C">
        <w:rPr>
          <w:rFonts w:ascii="Calibri" w:hAnsi="Calibri" w:cs="Calibri"/>
          <w:sz w:val="24"/>
          <w:szCs w:val="24"/>
        </w:rPr>
        <w:t xml:space="preserve">) Mount the brain in a specimen disk using O.C.T. </w:t>
      </w:r>
      <w:r w:rsidR="00E90C5D" w:rsidRPr="006B731C">
        <w:rPr>
          <w:rFonts w:ascii="Calibri" w:hAnsi="Calibri" w:cs="Calibri"/>
          <w:sz w:val="24"/>
          <w:szCs w:val="24"/>
        </w:rPr>
        <w:t>(</w:t>
      </w:r>
      <w:r w:rsidRPr="006B731C">
        <w:rPr>
          <w:rFonts w:ascii="Calibri" w:hAnsi="Calibri" w:cs="Calibri"/>
          <w:b/>
          <w:bCs/>
          <w:sz w:val="24"/>
          <w:szCs w:val="24"/>
        </w:rPr>
        <w:t>E</w:t>
      </w:r>
      <w:r w:rsidRPr="006B731C">
        <w:rPr>
          <w:rFonts w:ascii="Calibri" w:hAnsi="Calibri" w:cs="Calibri"/>
          <w:sz w:val="24"/>
          <w:szCs w:val="24"/>
        </w:rPr>
        <w:t xml:space="preserve">) Brain section collection using the free-floating method. In a 48-well plate, starting in well A1, add a brain section and continue throughout the plate until all wells are complete. Continue cutting into </w:t>
      </w:r>
      <w:r w:rsidR="00C648CA" w:rsidRPr="006B731C">
        <w:rPr>
          <w:rFonts w:ascii="Calibri" w:hAnsi="Calibri" w:cs="Calibri"/>
          <w:sz w:val="24"/>
          <w:szCs w:val="24"/>
        </w:rPr>
        <w:t>different plates</w:t>
      </w:r>
      <w:r w:rsidRPr="006B731C">
        <w:rPr>
          <w:rFonts w:ascii="Calibri" w:hAnsi="Calibri" w:cs="Calibri"/>
          <w:sz w:val="24"/>
          <w:szCs w:val="24"/>
        </w:rPr>
        <w:t xml:space="preserve"> or continue in the same plate until the striatal region is collected. Adapted</w:t>
      </w:r>
      <w:r w:rsidRPr="006B731C">
        <w:rPr>
          <w:rFonts w:ascii="Calibri" w:hAnsi="Calibri" w:cs="Calibri"/>
          <w:i/>
          <w:iCs/>
          <w:sz w:val="24"/>
          <w:szCs w:val="24"/>
        </w:rPr>
        <w:t xml:space="preserve"> </w:t>
      </w:r>
      <w:r w:rsidRPr="0037144E">
        <w:rPr>
          <w:rFonts w:ascii="Calibri" w:hAnsi="Calibri" w:cs="Calibri"/>
          <w:sz w:val="24"/>
          <w:szCs w:val="24"/>
        </w:rPr>
        <w:t xml:space="preserve">from </w:t>
      </w:r>
      <w:proofErr w:type="spellStart"/>
      <w:r w:rsidRPr="0037144E">
        <w:rPr>
          <w:rFonts w:ascii="Calibri" w:hAnsi="Calibri" w:cs="Calibri"/>
          <w:sz w:val="24"/>
          <w:szCs w:val="24"/>
        </w:rPr>
        <w:t>Biorender</w:t>
      </w:r>
      <w:proofErr w:type="spellEnd"/>
      <w:r w:rsidRPr="006B731C">
        <w:rPr>
          <w:rFonts w:ascii="Calibri" w:hAnsi="Calibri" w:cs="Calibri"/>
          <w:i/>
          <w:iCs/>
          <w:sz w:val="24"/>
          <w:szCs w:val="24"/>
        </w:rPr>
        <w:t xml:space="preserve">. </w:t>
      </w:r>
    </w:p>
    <w:p w14:paraId="6E27E922" w14:textId="77777777" w:rsidR="00BB75AC" w:rsidRPr="006B731C" w:rsidRDefault="00BB75AC" w:rsidP="006B731C">
      <w:pPr>
        <w:spacing w:after="0" w:line="240" w:lineRule="auto"/>
        <w:jc w:val="both"/>
        <w:rPr>
          <w:rFonts w:ascii="Calibri" w:hAnsi="Calibri" w:cs="Calibri"/>
          <w:sz w:val="24"/>
          <w:szCs w:val="24"/>
        </w:rPr>
      </w:pPr>
    </w:p>
    <w:p w14:paraId="0C27A92D" w14:textId="2A228C26" w:rsidR="00BB75AC" w:rsidRPr="006B731C" w:rsidRDefault="00BB75AC" w:rsidP="006B731C">
      <w:pPr>
        <w:spacing w:after="0" w:line="240" w:lineRule="auto"/>
        <w:jc w:val="both"/>
        <w:rPr>
          <w:rFonts w:ascii="Calibri" w:hAnsi="Calibri" w:cs="Calibri"/>
          <w:sz w:val="24"/>
          <w:szCs w:val="24"/>
        </w:rPr>
      </w:pPr>
      <w:bookmarkStart w:id="1" w:name="_Hlk207014629"/>
      <w:r w:rsidRPr="006B731C">
        <w:rPr>
          <w:rFonts w:ascii="Calibri" w:hAnsi="Calibri" w:cs="Calibri"/>
          <w:b/>
          <w:sz w:val="24"/>
          <w:szCs w:val="24"/>
        </w:rPr>
        <w:t>Figure 3</w:t>
      </w:r>
      <w:r w:rsidR="00C648CA" w:rsidRPr="006B731C">
        <w:rPr>
          <w:rFonts w:ascii="Calibri" w:hAnsi="Calibri" w:cs="Calibri"/>
          <w:b/>
          <w:sz w:val="24"/>
          <w:szCs w:val="24"/>
        </w:rPr>
        <w:t>:</w:t>
      </w:r>
      <w:r w:rsidRPr="006B731C">
        <w:rPr>
          <w:rFonts w:ascii="Calibri" w:hAnsi="Calibri" w:cs="Calibri"/>
          <w:b/>
          <w:sz w:val="24"/>
          <w:szCs w:val="24"/>
        </w:rPr>
        <w:t xml:space="preserve"> Lentiviral delivery of </w:t>
      </w:r>
      <w:r w:rsidRPr="006B731C">
        <w:rPr>
          <w:rFonts w:ascii="Calibri" w:hAnsi="Calibri" w:cs="Calibri"/>
          <w:b/>
          <w:i/>
          <w:iCs/>
          <w:sz w:val="24"/>
          <w:szCs w:val="24"/>
        </w:rPr>
        <w:t>wild-type</w:t>
      </w:r>
      <w:r w:rsidRPr="006B731C">
        <w:rPr>
          <w:rFonts w:ascii="Calibri" w:hAnsi="Calibri" w:cs="Calibri"/>
          <w:b/>
          <w:sz w:val="24"/>
          <w:szCs w:val="24"/>
        </w:rPr>
        <w:t xml:space="preserve"> and mutant ataxin-2 into the striatum of C57BL/6J mice.</w:t>
      </w:r>
      <w:bookmarkEnd w:id="1"/>
      <w:r w:rsidRPr="006B731C">
        <w:rPr>
          <w:rFonts w:ascii="Calibri" w:hAnsi="Calibri" w:cs="Calibri"/>
          <w:b/>
          <w:sz w:val="24"/>
          <w:szCs w:val="24"/>
        </w:rPr>
        <w:t xml:space="preserve"> </w:t>
      </w:r>
      <w:r w:rsidRPr="006B731C">
        <w:rPr>
          <w:rFonts w:ascii="Calibri" w:hAnsi="Calibri" w:cs="Calibri"/>
          <w:bCs/>
          <w:sz w:val="24"/>
          <w:szCs w:val="24"/>
        </w:rPr>
        <w:t>(</w:t>
      </w:r>
      <w:r w:rsidRPr="006B731C">
        <w:rPr>
          <w:rFonts w:ascii="Calibri" w:hAnsi="Calibri" w:cs="Calibri"/>
          <w:b/>
          <w:sz w:val="24"/>
          <w:szCs w:val="24"/>
        </w:rPr>
        <w:t>A</w:t>
      </w:r>
      <w:r w:rsidRPr="006B731C">
        <w:rPr>
          <w:rFonts w:ascii="Calibri" w:hAnsi="Calibri" w:cs="Calibri"/>
          <w:bCs/>
          <w:sz w:val="24"/>
          <w:szCs w:val="24"/>
        </w:rPr>
        <w:t>)</w:t>
      </w:r>
      <w:r w:rsidRPr="006B731C">
        <w:rPr>
          <w:rFonts w:ascii="Calibri" w:hAnsi="Calibri" w:cs="Calibri"/>
          <w:b/>
          <w:sz w:val="24"/>
          <w:szCs w:val="24"/>
        </w:rPr>
        <w:t xml:space="preserve"> </w:t>
      </w:r>
      <w:r w:rsidRPr="006B731C">
        <w:rPr>
          <w:rFonts w:ascii="Calibri" w:hAnsi="Calibri" w:cs="Calibri"/>
          <w:sz w:val="24"/>
          <w:szCs w:val="24"/>
        </w:rPr>
        <w:t xml:space="preserve">Representative coronal section of the left striatum injected with lentivirus encoding </w:t>
      </w:r>
      <w:r w:rsidRPr="006B731C">
        <w:rPr>
          <w:rFonts w:ascii="Calibri" w:hAnsi="Calibri" w:cs="Calibri"/>
          <w:i/>
          <w:iCs/>
          <w:sz w:val="24"/>
          <w:szCs w:val="24"/>
        </w:rPr>
        <w:lastRenderedPageBreak/>
        <w:t>wild-type</w:t>
      </w:r>
      <w:r w:rsidRPr="006B731C">
        <w:rPr>
          <w:rFonts w:ascii="Calibri" w:hAnsi="Calibri" w:cs="Calibri"/>
          <w:sz w:val="24"/>
          <w:szCs w:val="24"/>
        </w:rPr>
        <w:t xml:space="preserve"> ataxin-2 (22Q) immunolabeled with anti-ataxin-2 antibody.</w:t>
      </w:r>
      <w:r w:rsidR="002D72F2" w:rsidRPr="006B731C">
        <w:rPr>
          <w:rFonts w:ascii="Calibri" w:hAnsi="Calibri" w:cs="Calibri"/>
          <w:sz w:val="24"/>
          <w:szCs w:val="24"/>
        </w:rPr>
        <w:t xml:space="preserve"> </w:t>
      </w:r>
      <w:r w:rsidRPr="006B731C">
        <w:rPr>
          <w:rFonts w:ascii="Calibri" w:hAnsi="Calibri" w:cs="Calibri"/>
          <w:sz w:val="24"/>
          <w:szCs w:val="24"/>
        </w:rPr>
        <w:t>(</w:t>
      </w:r>
      <w:r w:rsidRPr="006B731C">
        <w:rPr>
          <w:rFonts w:ascii="Calibri" w:hAnsi="Calibri" w:cs="Calibri"/>
          <w:b/>
          <w:sz w:val="24"/>
          <w:szCs w:val="24"/>
        </w:rPr>
        <w:t>B</w:t>
      </w:r>
      <w:r w:rsidRPr="006B731C">
        <w:rPr>
          <w:rFonts w:ascii="Calibri" w:hAnsi="Calibri" w:cs="Calibri"/>
          <w:sz w:val="24"/>
          <w:szCs w:val="24"/>
        </w:rPr>
        <w:t xml:space="preserve">) Representative coronal section of the right striatum injected with lentivirus encoding mutant ataxin-2 (104Q), immunolabeled with anti-ataxin-2 antibody. </w:t>
      </w:r>
      <w:r w:rsidR="002D72F2" w:rsidRPr="006B731C">
        <w:rPr>
          <w:rFonts w:ascii="Calibri" w:hAnsi="Calibri" w:cs="Calibri"/>
          <w:i/>
          <w:iCs/>
          <w:sz w:val="24"/>
          <w:szCs w:val="24"/>
        </w:rPr>
        <w:t>Wild-type</w:t>
      </w:r>
      <w:r w:rsidR="002D72F2" w:rsidRPr="006B731C">
        <w:rPr>
          <w:rFonts w:ascii="Calibri" w:hAnsi="Calibri" w:cs="Calibri"/>
          <w:sz w:val="24"/>
          <w:szCs w:val="24"/>
        </w:rPr>
        <w:t xml:space="preserve"> ataxin-2 presented a diffused cytoplasmic labeling (yellow arrows), while the mutant ataxin-2 formed dark </w:t>
      </w:r>
      <w:r w:rsidR="004A7778" w:rsidRPr="006B731C">
        <w:rPr>
          <w:rFonts w:ascii="Calibri" w:hAnsi="Calibri" w:cs="Calibri"/>
          <w:sz w:val="24"/>
          <w:szCs w:val="24"/>
        </w:rPr>
        <w:t>cytoplasmic</w:t>
      </w:r>
      <w:r w:rsidR="002D72F2" w:rsidRPr="006B731C">
        <w:rPr>
          <w:rFonts w:ascii="Calibri" w:hAnsi="Calibri" w:cs="Calibri"/>
          <w:sz w:val="24"/>
          <w:szCs w:val="24"/>
        </w:rPr>
        <w:t xml:space="preserve"> </w:t>
      </w:r>
      <w:r w:rsidR="00E35E73" w:rsidRPr="006B731C">
        <w:rPr>
          <w:rFonts w:ascii="Calibri" w:hAnsi="Calibri" w:cs="Calibri"/>
          <w:sz w:val="24"/>
          <w:szCs w:val="24"/>
        </w:rPr>
        <w:t xml:space="preserve">spherical </w:t>
      </w:r>
      <w:r w:rsidR="002D72F2" w:rsidRPr="006B731C">
        <w:rPr>
          <w:rFonts w:ascii="Calibri" w:hAnsi="Calibri" w:cs="Calibri"/>
          <w:sz w:val="24"/>
          <w:szCs w:val="24"/>
        </w:rPr>
        <w:t>aggregates (indicated by red arrows).</w:t>
      </w:r>
      <w:r w:rsidR="006B731C" w:rsidRPr="006B731C">
        <w:rPr>
          <w:rFonts w:ascii="Calibri" w:hAnsi="Calibri" w:cs="Calibri"/>
          <w:sz w:val="24"/>
          <w:szCs w:val="24"/>
        </w:rPr>
        <w:t xml:space="preserve"> </w:t>
      </w:r>
      <w:r w:rsidRPr="006B731C">
        <w:rPr>
          <w:rFonts w:ascii="Calibri" w:hAnsi="Calibri" w:cs="Calibri"/>
          <w:sz w:val="24"/>
          <w:szCs w:val="24"/>
        </w:rPr>
        <w:t>20x magnification, Scale bar = 100 µm. (</w:t>
      </w:r>
      <w:r w:rsidRPr="006B731C">
        <w:rPr>
          <w:rFonts w:ascii="Calibri" w:hAnsi="Calibri" w:cs="Calibri"/>
          <w:b/>
          <w:sz w:val="24"/>
          <w:szCs w:val="24"/>
        </w:rPr>
        <w:t>C</w:t>
      </w:r>
      <w:r w:rsidRPr="006B731C">
        <w:rPr>
          <w:rFonts w:ascii="Calibri" w:hAnsi="Calibri" w:cs="Calibri"/>
          <w:sz w:val="24"/>
          <w:szCs w:val="24"/>
        </w:rPr>
        <w:t xml:space="preserve">) Representative section of striatum expressing </w:t>
      </w:r>
      <w:r w:rsidRPr="006B731C">
        <w:rPr>
          <w:rFonts w:ascii="Calibri" w:hAnsi="Calibri" w:cs="Calibri"/>
          <w:i/>
          <w:iCs/>
          <w:sz w:val="24"/>
          <w:szCs w:val="24"/>
        </w:rPr>
        <w:t>wild-type</w:t>
      </w:r>
      <w:r w:rsidRPr="006B731C">
        <w:rPr>
          <w:rFonts w:ascii="Calibri" w:hAnsi="Calibri" w:cs="Calibri"/>
          <w:sz w:val="24"/>
          <w:szCs w:val="24"/>
        </w:rPr>
        <w:t xml:space="preserve"> ataxin-2, immunolabeled with anti-DARPP-32 antibody to identify medium spiny neurons. (</w:t>
      </w:r>
      <w:r w:rsidRPr="006B731C">
        <w:rPr>
          <w:rFonts w:ascii="Calibri" w:hAnsi="Calibri" w:cs="Calibri"/>
          <w:b/>
          <w:sz w:val="24"/>
          <w:szCs w:val="24"/>
        </w:rPr>
        <w:t>D</w:t>
      </w:r>
      <w:r w:rsidRPr="006B731C">
        <w:rPr>
          <w:rFonts w:ascii="Calibri" w:hAnsi="Calibri" w:cs="Calibri"/>
          <w:sz w:val="24"/>
          <w:szCs w:val="24"/>
        </w:rPr>
        <w:t xml:space="preserve">) Representative section of striatum expressing mutant ataxin-2, immunolabeled with anti-DARPP-32 antibody. 20x magnification, Scale bar = 200 µm. </w:t>
      </w:r>
      <w:r w:rsidR="00426429" w:rsidRPr="006B731C">
        <w:rPr>
          <w:rFonts w:ascii="Calibri" w:hAnsi="Calibri" w:cs="Calibri"/>
          <w:sz w:val="24"/>
          <w:szCs w:val="24"/>
        </w:rPr>
        <w:t>I</w:t>
      </w:r>
      <w:r w:rsidRPr="006B731C">
        <w:rPr>
          <w:rFonts w:ascii="Calibri" w:hAnsi="Calibri" w:cs="Calibri"/>
          <w:sz w:val="24"/>
          <w:szCs w:val="24"/>
        </w:rPr>
        <w:t>mages are representative of</w:t>
      </w:r>
      <w:r w:rsidR="001D0DBF" w:rsidRPr="006B731C">
        <w:rPr>
          <w:rFonts w:ascii="Calibri" w:hAnsi="Calibri" w:cs="Calibri"/>
          <w:sz w:val="24"/>
          <w:szCs w:val="24"/>
        </w:rPr>
        <w:t xml:space="preserve"> at least three</w:t>
      </w:r>
      <w:r w:rsidRPr="006B731C">
        <w:rPr>
          <w:rFonts w:ascii="Calibri" w:hAnsi="Calibri" w:cs="Calibri"/>
          <w:sz w:val="24"/>
          <w:szCs w:val="24"/>
        </w:rPr>
        <w:t xml:space="preserve"> biological replicates.</w:t>
      </w:r>
    </w:p>
    <w:p w14:paraId="3FEE9BB2" w14:textId="6891E582" w:rsidR="00600B5E" w:rsidRPr="006B731C" w:rsidRDefault="00600B5E" w:rsidP="006B731C">
      <w:pPr>
        <w:spacing w:after="0" w:line="240" w:lineRule="auto"/>
        <w:jc w:val="both"/>
        <w:rPr>
          <w:rFonts w:ascii="Calibri" w:hAnsi="Calibri" w:cs="Calibri"/>
          <w:sz w:val="24"/>
          <w:szCs w:val="24"/>
        </w:rPr>
      </w:pPr>
    </w:p>
    <w:p w14:paraId="5ADDE231" w14:textId="2E399854" w:rsidR="00C648CA" w:rsidRPr="006B731C" w:rsidRDefault="00C648CA" w:rsidP="006B731C">
      <w:pPr>
        <w:spacing w:after="0" w:line="240" w:lineRule="auto"/>
        <w:jc w:val="both"/>
        <w:rPr>
          <w:rFonts w:ascii="Calibri" w:hAnsi="Calibri" w:cs="Calibri"/>
          <w:b/>
          <w:sz w:val="24"/>
          <w:szCs w:val="24"/>
        </w:rPr>
      </w:pPr>
      <w:r w:rsidRPr="006B731C">
        <w:rPr>
          <w:rFonts w:ascii="Calibri" w:hAnsi="Calibri" w:cs="Calibri"/>
          <w:b/>
          <w:sz w:val="24"/>
          <w:szCs w:val="24"/>
        </w:rPr>
        <w:t>Table 1</w:t>
      </w:r>
      <w:r w:rsidR="007B160E" w:rsidRPr="006B731C">
        <w:rPr>
          <w:rFonts w:ascii="Calibri" w:hAnsi="Calibri" w:cs="Calibri"/>
          <w:b/>
          <w:sz w:val="24"/>
          <w:szCs w:val="24"/>
        </w:rPr>
        <w:t>:</w:t>
      </w:r>
      <w:r w:rsidRPr="006B731C">
        <w:rPr>
          <w:rFonts w:ascii="Calibri" w:hAnsi="Calibri" w:cs="Calibri"/>
          <w:b/>
          <w:sz w:val="24"/>
          <w:szCs w:val="24"/>
        </w:rPr>
        <w:t xml:space="preserve"> Transfection reagents for the generation of lentiviral vectors.</w:t>
      </w:r>
    </w:p>
    <w:p w14:paraId="11AE414E" w14:textId="77777777" w:rsidR="00D9562C" w:rsidRPr="006B731C" w:rsidRDefault="00D9562C" w:rsidP="006B731C">
      <w:pPr>
        <w:spacing w:after="0" w:line="240" w:lineRule="auto"/>
        <w:jc w:val="both"/>
        <w:rPr>
          <w:rFonts w:ascii="Calibri" w:hAnsi="Calibri" w:cs="Calibri"/>
          <w:b/>
          <w:sz w:val="24"/>
          <w:szCs w:val="24"/>
        </w:rPr>
      </w:pPr>
    </w:p>
    <w:p w14:paraId="458A0468" w14:textId="4F9D6FA6" w:rsidR="00D9562C" w:rsidRPr="006B731C" w:rsidRDefault="00D9562C" w:rsidP="006B731C">
      <w:pPr>
        <w:spacing w:after="0" w:line="240" w:lineRule="auto"/>
        <w:jc w:val="both"/>
        <w:rPr>
          <w:rFonts w:ascii="Calibri" w:hAnsi="Calibri" w:cs="Calibri"/>
          <w:bCs/>
          <w:sz w:val="24"/>
          <w:szCs w:val="24"/>
        </w:rPr>
      </w:pPr>
      <w:r w:rsidRPr="006B731C">
        <w:rPr>
          <w:rFonts w:ascii="Calibri" w:hAnsi="Calibri" w:cs="Calibri"/>
          <w:b/>
          <w:sz w:val="24"/>
          <w:szCs w:val="24"/>
        </w:rPr>
        <w:t>Supplementary Figure 1</w:t>
      </w:r>
      <w:r w:rsidR="0037144E">
        <w:rPr>
          <w:rFonts w:ascii="Calibri" w:hAnsi="Calibri" w:cs="Calibri"/>
          <w:b/>
          <w:sz w:val="24"/>
          <w:szCs w:val="24"/>
        </w:rPr>
        <w:t>:</w:t>
      </w:r>
      <w:r w:rsidRPr="006B731C">
        <w:rPr>
          <w:rFonts w:ascii="Calibri" w:hAnsi="Calibri" w:cs="Calibri"/>
          <w:bCs/>
          <w:sz w:val="24"/>
          <w:szCs w:val="24"/>
        </w:rPr>
        <w:t xml:space="preserve"> </w:t>
      </w:r>
      <w:r w:rsidRPr="0037144E">
        <w:rPr>
          <w:rFonts w:ascii="Calibri" w:hAnsi="Calibri" w:cs="Calibri"/>
          <w:b/>
          <w:sz w:val="24"/>
          <w:szCs w:val="24"/>
        </w:rPr>
        <w:t>Image upload</w:t>
      </w:r>
      <w:r w:rsidRPr="006B731C">
        <w:rPr>
          <w:rFonts w:ascii="Calibri" w:hAnsi="Calibri" w:cs="Calibri"/>
          <w:bCs/>
          <w:sz w:val="24"/>
          <w:szCs w:val="24"/>
        </w:rPr>
        <w:t xml:space="preserve">. Example of an immunohistochemistry image uploaded into the </w:t>
      </w:r>
      <w:proofErr w:type="spellStart"/>
      <w:r w:rsidRPr="006B731C">
        <w:rPr>
          <w:rFonts w:ascii="Calibri" w:hAnsi="Calibri" w:cs="Calibri"/>
          <w:bCs/>
          <w:sz w:val="24"/>
          <w:szCs w:val="24"/>
        </w:rPr>
        <w:t>IHCAggreCount</w:t>
      </w:r>
      <w:proofErr w:type="spellEnd"/>
      <w:r w:rsidRPr="006B731C">
        <w:rPr>
          <w:rFonts w:ascii="Calibri" w:hAnsi="Calibri" w:cs="Calibri"/>
          <w:bCs/>
          <w:sz w:val="24"/>
          <w:szCs w:val="24"/>
        </w:rPr>
        <w:t xml:space="preserve"> software. The image is displayed in the Original Image panel before processing.</w:t>
      </w:r>
    </w:p>
    <w:p w14:paraId="3808D0B0" w14:textId="77777777" w:rsidR="00D9562C" w:rsidRPr="006B731C" w:rsidRDefault="00D9562C" w:rsidP="006B731C">
      <w:pPr>
        <w:spacing w:after="0" w:line="240" w:lineRule="auto"/>
        <w:jc w:val="both"/>
        <w:rPr>
          <w:rFonts w:ascii="Calibri" w:hAnsi="Calibri" w:cs="Calibri"/>
          <w:bCs/>
          <w:sz w:val="24"/>
          <w:szCs w:val="24"/>
        </w:rPr>
      </w:pPr>
    </w:p>
    <w:p w14:paraId="27B71743" w14:textId="1D917FD1" w:rsidR="00D9562C" w:rsidRPr="006B731C" w:rsidRDefault="00D9562C" w:rsidP="006B731C">
      <w:pPr>
        <w:spacing w:after="0" w:line="240" w:lineRule="auto"/>
        <w:jc w:val="both"/>
        <w:rPr>
          <w:rFonts w:ascii="Calibri" w:hAnsi="Calibri" w:cs="Calibri"/>
          <w:bCs/>
          <w:sz w:val="24"/>
          <w:szCs w:val="24"/>
        </w:rPr>
      </w:pPr>
      <w:r w:rsidRPr="006B731C">
        <w:rPr>
          <w:rFonts w:ascii="Calibri" w:hAnsi="Calibri" w:cs="Calibri"/>
          <w:b/>
          <w:sz w:val="24"/>
          <w:szCs w:val="24"/>
        </w:rPr>
        <w:t>Supplementary Figure 2</w:t>
      </w:r>
      <w:r w:rsidR="0037144E">
        <w:rPr>
          <w:rFonts w:ascii="Calibri" w:hAnsi="Calibri" w:cs="Calibri"/>
          <w:b/>
          <w:sz w:val="24"/>
          <w:szCs w:val="24"/>
        </w:rPr>
        <w:t>:</w:t>
      </w:r>
      <w:r w:rsidRPr="006B731C">
        <w:rPr>
          <w:rFonts w:ascii="Calibri" w:hAnsi="Calibri" w:cs="Calibri"/>
          <w:b/>
          <w:sz w:val="24"/>
          <w:szCs w:val="24"/>
        </w:rPr>
        <w:t xml:space="preserve"> </w:t>
      </w:r>
      <w:proofErr w:type="spellStart"/>
      <w:r w:rsidRPr="0037144E">
        <w:rPr>
          <w:rFonts w:ascii="Calibri" w:hAnsi="Calibri" w:cs="Calibri"/>
          <w:b/>
          <w:sz w:val="24"/>
          <w:szCs w:val="24"/>
        </w:rPr>
        <w:t>HiLo</w:t>
      </w:r>
      <w:proofErr w:type="spellEnd"/>
      <w:r w:rsidRPr="0037144E">
        <w:rPr>
          <w:rFonts w:ascii="Calibri" w:hAnsi="Calibri" w:cs="Calibri"/>
          <w:b/>
          <w:sz w:val="24"/>
          <w:szCs w:val="24"/>
        </w:rPr>
        <w:t xml:space="preserve"> display</w:t>
      </w:r>
      <w:r w:rsidRPr="006B731C">
        <w:rPr>
          <w:rFonts w:ascii="Calibri" w:hAnsi="Calibri" w:cs="Calibri"/>
          <w:bCs/>
          <w:sz w:val="24"/>
          <w:szCs w:val="24"/>
        </w:rPr>
        <w:t xml:space="preserve">. </w:t>
      </w:r>
      <w:proofErr w:type="spellStart"/>
      <w:r w:rsidRPr="006B731C">
        <w:rPr>
          <w:rFonts w:ascii="Calibri" w:hAnsi="Calibri" w:cs="Calibri"/>
          <w:bCs/>
          <w:sz w:val="24"/>
          <w:szCs w:val="24"/>
        </w:rPr>
        <w:t>HiLo</w:t>
      </w:r>
      <w:proofErr w:type="spellEnd"/>
      <w:r w:rsidRPr="006B731C">
        <w:rPr>
          <w:rFonts w:ascii="Calibri" w:hAnsi="Calibri" w:cs="Calibri"/>
          <w:bCs/>
          <w:sz w:val="24"/>
          <w:szCs w:val="24"/>
        </w:rPr>
        <w:t xml:space="preserve"> filter applied to enhance contrast between aggregates and background in </w:t>
      </w:r>
      <w:proofErr w:type="spellStart"/>
      <w:r w:rsidRPr="006B731C">
        <w:rPr>
          <w:rFonts w:ascii="Calibri" w:hAnsi="Calibri" w:cs="Calibri"/>
          <w:bCs/>
          <w:sz w:val="24"/>
          <w:szCs w:val="24"/>
        </w:rPr>
        <w:t>IHCAggreCount</w:t>
      </w:r>
      <w:proofErr w:type="spellEnd"/>
      <w:r w:rsidRPr="006B731C">
        <w:rPr>
          <w:rFonts w:ascii="Calibri" w:hAnsi="Calibri" w:cs="Calibri"/>
          <w:bCs/>
          <w:sz w:val="24"/>
          <w:szCs w:val="24"/>
        </w:rPr>
        <w:t>.</w:t>
      </w:r>
    </w:p>
    <w:p w14:paraId="44346DA7" w14:textId="77777777" w:rsidR="00D9562C" w:rsidRPr="006B731C" w:rsidRDefault="00D9562C" w:rsidP="006B731C">
      <w:pPr>
        <w:spacing w:after="0" w:line="240" w:lineRule="auto"/>
        <w:jc w:val="both"/>
        <w:rPr>
          <w:rFonts w:ascii="Calibri" w:hAnsi="Calibri" w:cs="Calibri"/>
          <w:bCs/>
          <w:sz w:val="24"/>
          <w:szCs w:val="24"/>
        </w:rPr>
      </w:pPr>
    </w:p>
    <w:p w14:paraId="5A326DD1" w14:textId="36BD1C2C" w:rsidR="00D9562C" w:rsidRPr="006B731C" w:rsidRDefault="00D9562C" w:rsidP="006B731C">
      <w:pPr>
        <w:spacing w:after="0" w:line="240" w:lineRule="auto"/>
        <w:jc w:val="both"/>
        <w:rPr>
          <w:rFonts w:ascii="Calibri" w:hAnsi="Calibri" w:cs="Calibri"/>
          <w:bCs/>
          <w:sz w:val="24"/>
          <w:szCs w:val="24"/>
        </w:rPr>
      </w:pPr>
      <w:r w:rsidRPr="006B731C">
        <w:rPr>
          <w:rFonts w:ascii="Calibri" w:hAnsi="Calibri" w:cs="Calibri"/>
          <w:b/>
          <w:sz w:val="24"/>
          <w:szCs w:val="24"/>
        </w:rPr>
        <w:t>Supplementary Figure 3</w:t>
      </w:r>
      <w:r w:rsidR="0037144E">
        <w:rPr>
          <w:rFonts w:ascii="Calibri" w:hAnsi="Calibri" w:cs="Calibri"/>
          <w:b/>
          <w:sz w:val="24"/>
          <w:szCs w:val="24"/>
        </w:rPr>
        <w:t>:</w:t>
      </w:r>
      <w:r w:rsidRPr="006B731C">
        <w:rPr>
          <w:rFonts w:ascii="Calibri" w:hAnsi="Calibri" w:cs="Calibri"/>
          <w:b/>
          <w:sz w:val="24"/>
          <w:szCs w:val="24"/>
        </w:rPr>
        <w:t xml:space="preserve"> </w:t>
      </w:r>
      <w:r w:rsidRPr="0037144E">
        <w:rPr>
          <w:rFonts w:ascii="Calibri" w:hAnsi="Calibri" w:cs="Calibri"/>
          <w:b/>
          <w:sz w:val="24"/>
          <w:szCs w:val="24"/>
        </w:rPr>
        <w:t>Threshold mask</w:t>
      </w:r>
      <w:r w:rsidRPr="006B731C">
        <w:rPr>
          <w:rFonts w:ascii="Calibri" w:hAnsi="Calibri" w:cs="Calibri"/>
          <w:bCs/>
          <w:sz w:val="24"/>
          <w:szCs w:val="24"/>
        </w:rPr>
        <w:t>. Brightness thresholding to separate aggregates from the background signal.</w:t>
      </w:r>
    </w:p>
    <w:p w14:paraId="06C252C0" w14:textId="77777777" w:rsidR="00D9562C" w:rsidRPr="006B731C" w:rsidRDefault="00D9562C" w:rsidP="006B731C">
      <w:pPr>
        <w:spacing w:after="0" w:line="240" w:lineRule="auto"/>
        <w:jc w:val="both"/>
        <w:rPr>
          <w:rFonts w:ascii="Calibri" w:hAnsi="Calibri" w:cs="Calibri"/>
          <w:b/>
          <w:sz w:val="24"/>
          <w:szCs w:val="24"/>
        </w:rPr>
      </w:pPr>
    </w:p>
    <w:p w14:paraId="676EE776" w14:textId="4939FFAD" w:rsidR="00D9562C" w:rsidRPr="006B731C" w:rsidRDefault="00D9562C" w:rsidP="006B731C">
      <w:pPr>
        <w:spacing w:after="0" w:line="240" w:lineRule="auto"/>
        <w:jc w:val="both"/>
        <w:rPr>
          <w:rFonts w:ascii="Calibri" w:hAnsi="Calibri" w:cs="Calibri"/>
          <w:bCs/>
          <w:sz w:val="24"/>
          <w:szCs w:val="24"/>
        </w:rPr>
      </w:pPr>
      <w:r w:rsidRPr="006B731C">
        <w:rPr>
          <w:rFonts w:ascii="Calibri" w:hAnsi="Calibri" w:cs="Calibri"/>
          <w:b/>
          <w:sz w:val="24"/>
          <w:szCs w:val="24"/>
        </w:rPr>
        <w:t>Supplementary Figure 4</w:t>
      </w:r>
      <w:r w:rsidR="0037144E">
        <w:rPr>
          <w:rFonts w:ascii="Calibri" w:hAnsi="Calibri" w:cs="Calibri"/>
          <w:b/>
          <w:sz w:val="24"/>
          <w:szCs w:val="24"/>
        </w:rPr>
        <w:t>:</w:t>
      </w:r>
      <w:r w:rsidRPr="006B731C">
        <w:rPr>
          <w:rFonts w:ascii="Calibri" w:hAnsi="Calibri" w:cs="Calibri"/>
          <w:bCs/>
          <w:sz w:val="24"/>
          <w:szCs w:val="24"/>
        </w:rPr>
        <w:t xml:space="preserve"> </w:t>
      </w:r>
      <w:r w:rsidRPr="0037144E">
        <w:rPr>
          <w:rFonts w:ascii="Calibri" w:hAnsi="Calibri" w:cs="Calibri"/>
          <w:b/>
          <w:sz w:val="24"/>
          <w:szCs w:val="24"/>
        </w:rPr>
        <w:t>Size-based cleaning</w:t>
      </w:r>
      <w:r w:rsidRPr="006B731C">
        <w:rPr>
          <w:rFonts w:ascii="Calibri" w:hAnsi="Calibri" w:cs="Calibri"/>
          <w:bCs/>
          <w:sz w:val="24"/>
          <w:szCs w:val="24"/>
        </w:rPr>
        <w:t>. Application of minimum size filtering to remove small particles (noise).</w:t>
      </w:r>
    </w:p>
    <w:p w14:paraId="2A7D4DDB" w14:textId="77777777" w:rsidR="00D9562C" w:rsidRPr="006B731C" w:rsidRDefault="00D9562C" w:rsidP="006B731C">
      <w:pPr>
        <w:spacing w:after="0" w:line="240" w:lineRule="auto"/>
        <w:jc w:val="both"/>
        <w:rPr>
          <w:rFonts w:ascii="Calibri" w:hAnsi="Calibri" w:cs="Calibri"/>
          <w:bCs/>
          <w:sz w:val="24"/>
          <w:szCs w:val="24"/>
        </w:rPr>
      </w:pPr>
    </w:p>
    <w:p w14:paraId="6DD6EF5F" w14:textId="0A1E4E2A" w:rsidR="00D9562C" w:rsidRPr="006B731C" w:rsidRDefault="00D9562C" w:rsidP="006B731C">
      <w:pPr>
        <w:spacing w:after="0" w:line="240" w:lineRule="auto"/>
        <w:jc w:val="both"/>
        <w:rPr>
          <w:rFonts w:ascii="Calibri" w:hAnsi="Calibri" w:cs="Calibri"/>
          <w:bCs/>
          <w:sz w:val="24"/>
          <w:szCs w:val="24"/>
        </w:rPr>
      </w:pPr>
      <w:r w:rsidRPr="006B731C">
        <w:rPr>
          <w:rFonts w:ascii="Calibri" w:hAnsi="Calibri" w:cs="Calibri"/>
          <w:b/>
          <w:sz w:val="24"/>
          <w:szCs w:val="24"/>
        </w:rPr>
        <w:t>Supplementary Figure 5</w:t>
      </w:r>
      <w:r w:rsidR="0037144E">
        <w:rPr>
          <w:rFonts w:ascii="Calibri" w:hAnsi="Calibri" w:cs="Calibri"/>
          <w:b/>
          <w:sz w:val="24"/>
          <w:szCs w:val="24"/>
        </w:rPr>
        <w:t>:</w:t>
      </w:r>
      <w:r w:rsidRPr="006B731C">
        <w:rPr>
          <w:rFonts w:ascii="Calibri" w:hAnsi="Calibri" w:cs="Calibri"/>
          <w:b/>
          <w:sz w:val="24"/>
          <w:szCs w:val="24"/>
        </w:rPr>
        <w:t xml:space="preserve"> </w:t>
      </w:r>
      <w:r w:rsidRPr="0037144E">
        <w:rPr>
          <w:rFonts w:ascii="Calibri" w:hAnsi="Calibri" w:cs="Calibri"/>
          <w:b/>
          <w:sz w:val="24"/>
          <w:szCs w:val="24"/>
        </w:rPr>
        <w:t>Roundness filtering</w:t>
      </w:r>
      <w:r w:rsidRPr="006B731C">
        <w:rPr>
          <w:rFonts w:ascii="Calibri" w:hAnsi="Calibri" w:cs="Calibri"/>
          <w:bCs/>
          <w:sz w:val="24"/>
          <w:szCs w:val="24"/>
        </w:rPr>
        <w:t>. Exclusion of non-aggregate shapes based on the roundness parameter.</w:t>
      </w:r>
    </w:p>
    <w:p w14:paraId="28961BA1" w14:textId="77777777" w:rsidR="00D9562C" w:rsidRPr="006B731C" w:rsidRDefault="00D9562C" w:rsidP="006B731C">
      <w:pPr>
        <w:spacing w:after="0" w:line="240" w:lineRule="auto"/>
        <w:jc w:val="both"/>
        <w:rPr>
          <w:rFonts w:ascii="Calibri" w:hAnsi="Calibri" w:cs="Calibri"/>
          <w:b/>
          <w:sz w:val="24"/>
          <w:szCs w:val="24"/>
        </w:rPr>
      </w:pPr>
    </w:p>
    <w:p w14:paraId="391BD468" w14:textId="3D08A324" w:rsidR="00D9562C" w:rsidRPr="006B731C" w:rsidRDefault="00D9562C" w:rsidP="006B731C">
      <w:pPr>
        <w:spacing w:after="0" w:line="240" w:lineRule="auto"/>
        <w:jc w:val="both"/>
        <w:rPr>
          <w:rFonts w:ascii="Calibri" w:hAnsi="Calibri" w:cs="Calibri"/>
          <w:b/>
          <w:sz w:val="24"/>
          <w:szCs w:val="24"/>
        </w:rPr>
      </w:pPr>
      <w:r w:rsidRPr="006B731C">
        <w:rPr>
          <w:rFonts w:ascii="Calibri" w:hAnsi="Calibri" w:cs="Calibri"/>
          <w:b/>
          <w:sz w:val="24"/>
          <w:szCs w:val="24"/>
        </w:rPr>
        <w:t>Supplementary Figure 6</w:t>
      </w:r>
      <w:r w:rsidR="0037144E">
        <w:rPr>
          <w:rFonts w:ascii="Calibri" w:hAnsi="Calibri" w:cs="Calibri"/>
          <w:b/>
          <w:sz w:val="24"/>
          <w:szCs w:val="24"/>
        </w:rPr>
        <w:t>:</w:t>
      </w:r>
      <w:r w:rsidRPr="006B731C">
        <w:rPr>
          <w:rFonts w:ascii="Calibri" w:hAnsi="Calibri" w:cs="Calibri"/>
          <w:b/>
          <w:sz w:val="24"/>
          <w:szCs w:val="24"/>
        </w:rPr>
        <w:t xml:space="preserve"> </w:t>
      </w:r>
      <w:r w:rsidRPr="0037144E">
        <w:rPr>
          <w:rFonts w:ascii="Calibri" w:hAnsi="Calibri" w:cs="Calibri"/>
          <w:b/>
          <w:sz w:val="24"/>
          <w:szCs w:val="24"/>
        </w:rPr>
        <w:t>Aggregate calculation</w:t>
      </w:r>
      <w:r w:rsidRPr="006B731C">
        <w:rPr>
          <w:rFonts w:ascii="Calibri" w:hAnsi="Calibri" w:cs="Calibri"/>
          <w:bCs/>
          <w:sz w:val="24"/>
          <w:szCs w:val="24"/>
        </w:rPr>
        <w:t>. Automatic detection and calculation of total aggregates and aggregate area.</w:t>
      </w:r>
    </w:p>
    <w:p w14:paraId="51C2EA3F" w14:textId="77777777" w:rsidR="00D9562C" w:rsidRPr="006B731C" w:rsidRDefault="00D9562C" w:rsidP="006B731C">
      <w:pPr>
        <w:spacing w:after="0" w:line="240" w:lineRule="auto"/>
        <w:jc w:val="both"/>
        <w:rPr>
          <w:rFonts w:ascii="Calibri" w:hAnsi="Calibri" w:cs="Calibri"/>
          <w:b/>
          <w:sz w:val="24"/>
          <w:szCs w:val="24"/>
        </w:rPr>
      </w:pPr>
    </w:p>
    <w:p w14:paraId="37CCB4EA" w14:textId="6D6C7BD8" w:rsidR="00D9562C" w:rsidRPr="006B731C" w:rsidRDefault="00D9562C" w:rsidP="006B731C">
      <w:pPr>
        <w:spacing w:after="0" w:line="240" w:lineRule="auto"/>
        <w:jc w:val="both"/>
        <w:rPr>
          <w:rFonts w:ascii="Calibri" w:hAnsi="Calibri" w:cs="Calibri"/>
          <w:bCs/>
          <w:sz w:val="24"/>
          <w:szCs w:val="24"/>
        </w:rPr>
      </w:pPr>
      <w:r w:rsidRPr="006B731C">
        <w:rPr>
          <w:rFonts w:ascii="Calibri" w:hAnsi="Calibri" w:cs="Calibri"/>
          <w:b/>
          <w:sz w:val="24"/>
          <w:szCs w:val="24"/>
        </w:rPr>
        <w:t>Supplementary Figure 7</w:t>
      </w:r>
      <w:r w:rsidR="0037144E">
        <w:rPr>
          <w:rFonts w:ascii="Calibri" w:hAnsi="Calibri" w:cs="Calibri"/>
          <w:b/>
          <w:sz w:val="24"/>
          <w:szCs w:val="24"/>
        </w:rPr>
        <w:t>:</w:t>
      </w:r>
      <w:r w:rsidRPr="006B731C">
        <w:rPr>
          <w:rFonts w:ascii="Calibri" w:hAnsi="Calibri" w:cs="Calibri"/>
          <w:b/>
          <w:sz w:val="24"/>
          <w:szCs w:val="24"/>
        </w:rPr>
        <w:t xml:space="preserve"> </w:t>
      </w:r>
      <w:r w:rsidRPr="0037144E">
        <w:rPr>
          <w:rFonts w:ascii="Calibri" w:hAnsi="Calibri" w:cs="Calibri"/>
          <w:b/>
          <w:sz w:val="24"/>
          <w:szCs w:val="24"/>
        </w:rPr>
        <w:t>Highlighted aggregates</w:t>
      </w:r>
      <w:r w:rsidRPr="006B731C">
        <w:rPr>
          <w:rFonts w:ascii="Calibri" w:hAnsi="Calibri" w:cs="Calibri"/>
          <w:bCs/>
          <w:sz w:val="24"/>
          <w:szCs w:val="24"/>
        </w:rPr>
        <w:t>. Visualization of detected aggregates with highlighted outlines.</w:t>
      </w:r>
    </w:p>
    <w:p w14:paraId="742E467E" w14:textId="77777777" w:rsidR="00D9562C" w:rsidRPr="006B731C" w:rsidRDefault="00D9562C" w:rsidP="006B731C">
      <w:pPr>
        <w:spacing w:after="0" w:line="240" w:lineRule="auto"/>
        <w:jc w:val="both"/>
        <w:rPr>
          <w:rFonts w:ascii="Calibri" w:hAnsi="Calibri" w:cs="Calibri"/>
          <w:b/>
          <w:sz w:val="24"/>
          <w:szCs w:val="24"/>
        </w:rPr>
      </w:pPr>
    </w:p>
    <w:p w14:paraId="52B5861C" w14:textId="328F4D6E" w:rsidR="00D9562C" w:rsidRPr="006B731C" w:rsidRDefault="00D9562C" w:rsidP="006B731C">
      <w:pPr>
        <w:spacing w:after="0" w:line="240" w:lineRule="auto"/>
        <w:jc w:val="both"/>
        <w:rPr>
          <w:rFonts w:ascii="Calibri" w:hAnsi="Calibri" w:cs="Calibri"/>
          <w:b/>
          <w:sz w:val="24"/>
          <w:szCs w:val="24"/>
        </w:rPr>
      </w:pPr>
      <w:r w:rsidRPr="006B731C">
        <w:rPr>
          <w:rFonts w:ascii="Calibri" w:hAnsi="Calibri" w:cs="Calibri"/>
          <w:b/>
          <w:sz w:val="24"/>
          <w:szCs w:val="24"/>
        </w:rPr>
        <w:t>Supplementary Figure 8</w:t>
      </w:r>
      <w:r w:rsidR="0037144E">
        <w:rPr>
          <w:rFonts w:ascii="Calibri" w:hAnsi="Calibri" w:cs="Calibri"/>
          <w:b/>
          <w:sz w:val="24"/>
          <w:szCs w:val="24"/>
        </w:rPr>
        <w:t xml:space="preserve">: </w:t>
      </w:r>
      <w:r w:rsidRPr="0037144E">
        <w:rPr>
          <w:rFonts w:ascii="Calibri" w:hAnsi="Calibri" w:cs="Calibri"/>
          <w:b/>
          <w:sz w:val="24"/>
          <w:szCs w:val="24"/>
        </w:rPr>
        <w:t>Smart Add tool</w:t>
      </w:r>
      <w:r w:rsidRPr="006B731C">
        <w:rPr>
          <w:rFonts w:ascii="Calibri" w:hAnsi="Calibri" w:cs="Calibri"/>
          <w:bCs/>
          <w:sz w:val="24"/>
          <w:szCs w:val="24"/>
        </w:rPr>
        <w:t>. Example of the Smart Add function to detect additional aggregates in selected regions.</w:t>
      </w:r>
    </w:p>
    <w:p w14:paraId="51D17B59" w14:textId="77777777" w:rsidR="00D9562C" w:rsidRPr="006B731C" w:rsidRDefault="00D9562C" w:rsidP="006B731C">
      <w:pPr>
        <w:spacing w:after="0" w:line="240" w:lineRule="auto"/>
        <w:jc w:val="both"/>
        <w:rPr>
          <w:rFonts w:ascii="Calibri" w:hAnsi="Calibri" w:cs="Calibri"/>
          <w:b/>
          <w:sz w:val="24"/>
          <w:szCs w:val="24"/>
        </w:rPr>
      </w:pPr>
    </w:p>
    <w:p w14:paraId="3FD7D966" w14:textId="4DFB30D2" w:rsidR="00600B5E" w:rsidRPr="006B731C" w:rsidRDefault="009A7CD2" w:rsidP="006B731C">
      <w:pPr>
        <w:spacing w:after="0" w:line="240" w:lineRule="auto"/>
        <w:jc w:val="both"/>
        <w:rPr>
          <w:rFonts w:ascii="Calibri" w:hAnsi="Calibri" w:cs="Calibri"/>
          <w:b/>
          <w:sz w:val="24"/>
          <w:szCs w:val="24"/>
        </w:rPr>
      </w:pPr>
      <w:r w:rsidRPr="006B731C">
        <w:rPr>
          <w:rFonts w:ascii="Calibri" w:hAnsi="Calibri" w:cs="Calibri"/>
          <w:b/>
          <w:sz w:val="24"/>
          <w:szCs w:val="24"/>
        </w:rPr>
        <w:t>D</w:t>
      </w:r>
      <w:r w:rsidR="00DF069B" w:rsidRPr="006B731C">
        <w:rPr>
          <w:rFonts w:ascii="Calibri" w:hAnsi="Calibri" w:cs="Calibri"/>
          <w:b/>
          <w:sz w:val="24"/>
          <w:szCs w:val="24"/>
        </w:rPr>
        <w:t>ISCUSSION:</w:t>
      </w:r>
    </w:p>
    <w:p w14:paraId="73D22409" w14:textId="564CEDB0" w:rsidR="00C92FE0"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 xml:space="preserve">This article describes the generation of a striatal lentiviral mouse </w:t>
      </w:r>
      <w:r w:rsidR="0067590E" w:rsidRPr="006B731C">
        <w:rPr>
          <w:rFonts w:ascii="Calibri" w:hAnsi="Calibri" w:cs="Calibri"/>
          <w:sz w:val="24"/>
          <w:szCs w:val="24"/>
        </w:rPr>
        <w:t xml:space="preserve">model </w:t>
      </w:r>
      <w:r w:rsidRPr="006B731C">
        <w:rPr>
          <w:rFonts w:ascii="Calibri" w:hAnsi="Calibri" w:cs="Calibri"/>
          <w:sz w:val="24"/>
          <w:szCs w:val="24"/>
        </w:rPr>
        <w:t xml:space="preserve">for a </w:t>
      </w:r>
      <w:proofErr w:type="spellStart"/>
      <w:r w:rsidRPr="006B731C">
        <w:rPr>
          <w:rFonts w:ascii="Calibri" w:hAnsi="Calibri" w:cs="Calibri"/>
          <w:sz w:val="24"/>
          <w:szCs w:val="24"/>
        </w:rPr>
        <w:t>polyQ</w:t>
      </w:r>
      <w:proofErr w:type="spellEnd"/>
      <w:r w:rsidRPr="006B731C">
        <w:rPr>
          <w:rFonts w:ascii="Calibri" w:hAnsi="Calibri" w:cs="Calibri"/>
          <w:sz w:val="24"/>
          <w:szCs w:val="24"/>
        </w:rPr>
        <w:t xml:space="preserve"> SCA. It described the production of high-titer lentiviral vectors encoding the </w:t>
      </w:r>
      <w:r w:rsidR="007B1E9D" w:rsidRPr="006B731C">
        <w:rPr>
          <w:rFonts w:ascii="Calibri" w:hAnsi="Calibri" w:cs="Calibri"/>
          <w:i/>
          <w:iCs/>
          <w:sz w:val="24"/>
          <w:szCs w:val="24"/>
        </w:rPr>
        <w:t>wild-type</w:t>
      </w:r>
      <w:r w:rsidRPr="006B731C">
        <w:rPr>
          <w:rFonts w:ascii="Calibri" w:hAnsi="Calibri" w:cs="Calibri"/>
          <w:sz w:val="24"/>
          <w:szCs w:val="24"/>
        </w:rPr>
        <w:t xml:space="preserve"> and expanded form of the causative protein, and the bilateral injection of the LVs into the mouse striatum by stereotaxic surgery. Additionally, it describes the brain collection procedure, the histological processing, and the image-based quantification of disease hallmarks. Together, these methods enable the creation of a lentiviral </w:t>
      </w:r>
      <w:proofErr w:type="spellStart"/>
      <w:r w:rsidRPr="006B731C">
        <w:rPr>
          <w:rFonts w:ascii="Calibri" w:hAnsi="Calibri" w:cs="Calibri"/>
          <w:sz w:val="24"/>
          <w:szCs w:val="24"/>
        </w:rPr>
        <w:t>polyQ</w:t>
      </w:r>
      <w:proofErr w:type="spellEnd"/>
      <w:r w:rsidRPr="006B731C">
        <w:rPr>
          <w:rFonts w:ascii="Calibri" w:hAnsi="Calibri" w:cs="Calibri"/>
          <w:sz w:val="24"/>
          <w:szCs w:val="24"/>
        </w:rPr>
        <w:t xml:space="preserve"> SCA mouse model showing protein aggregates and </w:t>
      </w:r>
      <w:r w:rsidRPr="006B731C">
        <w:rPr>
          <w:rFonts w:ascii="Calibri" w:hAnsi="Calibri" w:cs="Calibri"/>
          <w:sz w:val="24"/>
          <w:szCs w:val="24"/>
        </w:rPr>
        <w:lastRenderedPageBreak/>
        <w:t>neuronal marker loss in the striatum, which can also be applied to other brain regions.</w:t>
      </w:r>
      <w:r w:rsidR="001670CA" w:rsidRPr="006B731C">
        <w:rPr>
          <w:rFonts w:ascii="Calibri" w:hAnsi="Calibri" w:cs="Calibri"/>
          <w:sz w:val="24"/>
          <w:szCs w:val="24"/>
        </w:rPr>
        <w:t xml:space="preserve"> </w:t>
      </w:r>
      <w:r w:rsidR="00C92FE0" w:rsidRPr="006B731C">
        <w:rPr>
          <w:rFonts w:ascii="Calibri" w:hAnsi="Calibri" w:cs="Calibri"/>
          <w:sz w:val="24"/>
          <w:szCs w:val="24"/>
        </w:rPr>
        <w:t>Although the primary objective of this protocol is the characterization of neuropathological hallmarks as essential components for disease modelling</w:t>
      </w:r>
      <w:r w:rsidR="00C92FE0" w:rsidRPr="006B731C">
        <w:rPr>
          <w:rFonts w:ascii="Calibri" w:hAnsi="Calibri" w:cs="Calibri"/>
          <w:sz w:val="24"/>
          <w:szCs w:val="24"/>
        </w:rPr>
        <w:fldChar w:fldCharType="begin"/>
      </w:r>
      <w:r w:rsidR="00D63759" w:rsidRPr="006B731C">
        <w:rPr>
          <w:rFonts w:ascii="Calibri" w:hAnsi="Calibri" w:cs="Calibri"/>
          <w:sz w:val="24"/>
          <w:szCs w:val="24"/>
        </w:rPr>
        <w:instrText xml:space="preserve"> ADDIN ZOTERO_ITEM CSL_CITATION {"citationID":"4rgikp4a","properties":{"formattedCitation":"\\super 22\\nosupersub{}","plainCitation":"22","noteIndex":0},"citationItems":[{"id":660,"uris":["http://zotero.org/users/5701247/items/MHR8TB7E"],"itemData":{"id":660,"type":"article-journal","abstract":"Polyglutamine spinocerebellar ataxias (PolyQ SCAs) comprise a group of six inherited rare neurodegenerative diseases. They are caused by abnormal mutation of a CAG tract in six otherwise unrelated genes, leading to a complex cascade of molecular events that culminate in neuronal death. Based on decades of research in these diseases, this review identifies and categorizes the distinctive hallmarks involved in the molecular pathogenesis of PolyQ SCAs. We organized these molecular signatures into three groups: (i) primary hallmarks, which directly refer to the transcription and translation of the abnormally expanded gene and protein, respectively; (ii) secondary hallmarks, which include alterations in pathways and organelles that are implicated in the disease pathogenesis; and iii) end-stage hallmarks, which highlight the final events of the pathogenesis cascade in PolyQ SCAs. This framework is expected to provide a platform for understanding the complex network of molecular mechanisms involved in these diseases and to guide current and future efforts in developing therapies.","container-title":"Cell Death &amp; Disease","DOI":"10.1038/s41419-025-08154-2","ISSN":"2041-4889","issue":"1","journalAbbreviation":"Cell Death Dis","language":"en","license":"2025 The Author(s)","page":"826","publisher":"Nature Publishing Group","source":"www.nature.com","title":"Molecular hallmarks of neurodegeneration in polyglutamine spinocerebellar ataxias","volume":"16","author":[{"family":"Nóbrega","given":"Clévio"},{"family":"Marcelo","given":"Adriana"},{"family":"Rajado","given":"Ana Teresa"},{"family":"Conceição","given":"André"},{"family":"Estevam","given":"Bernardo"},{"family":"Matos","given":"Carlos A."},{"family":"Brito","given":"David VC"},{"family":"Afonso","given":"Inês T."},{"family":"Codêsso","given":"José Miguel"},{"family":"Koppenol","given":"Rebekah"},{"family":"Costa","given":"Rafael G."},{"family":"Afonso-Reis","given":"Ricardo"},{"family":"Paulino","given":"Rodrigo"},{"family":"Moreira-Gomes","given":"Tiago"}],"issued":{"date-parts":[["2025",11,10]]}}}],"schema":"https://github.com/citation-style-language/schema/raw/master/csl-citation.json"} </w:instrText>
      </w:r>
      <w:r w:rsidR="00C92FE0" w:rsidRPr="006B731C">
        <w:rPr>
          <w:rFonts w:ascii="Calibri" w:hAnsi="Calibri" w:cs="Calibri"/>
          <w:sz w:val="24"/>
          <w:szCs w:val="24"/>
        </w:rPr>
        <w:fldChar w:fldCharType="separate"/>
      </w:r>
      <w:r w:rsidR="00D63759" w:rsidRPr="006B731C">
        <w:rPr>
          <w:rFonts w:ascii="Calibri" w:hAnsi="Calibri" w:cs="Calibri"/>
          <w:sz w:val="24"/>
          <w:szCs w:val="24"/>
          <w:vertAlign w:val="superscript"/>
        </w:rPr>
        <w:t>2</w:t>
      </w:r>
      <w:r w:rsidR="00C92FE0" w:rsidRPr="006B731C">
        <w:rPr>
          <w:rFonts w:ascii="Calibri" w:hAnsi="Calibri" w:cs="Calibri"/>
          <w:sz w:val="24"/>
          <w:szCs w:val="24"/>
        </w:rPr>
        <w:fldChar w:fldCharType="end"/>
      </w:r>
      <w:r w:rsidR="00F81B21" w:rsidRPr="00F81B21">
        <w:rPr>
          <w:rFonts w:ascii="Calibri" w:hAnsi="Calibri" w:cs="Calibri"/>
          <w:sz w:val="24"/>
          <w:szCs w:val="24"/>
          <w:vertAlign w:val="superscript"/>
        </w:rPr>
        <w:t>0</w:t>
      </w:r>
      <w:r w:rsidR="00C92FE0" w:rsidRPr="006B731C">
        <w:rPr>
          <w:rFonts w:ascii="Calibri" w:hAnsi="Calibri" w:cs="Calibri"/>
          <w:sz w:val="24"/>
          <w:szCs w:val="24"/>
        </w:rPr>
        <w:t xml:space="preserve">, </w:t>
      </w:r>
      <w:r w:rsidR="00F81B21" w:rsidRPr="006B731C">
        <w:rPr>
          <w:rFonts w:ascii="Calibri" w:hAnsi="Calibri" w:cs="Calibri"/>
          <w:sz w:val="24"/>
          <w:szCs w:val="24"/>
        </w:rPr>
        <w:t>behavioral</w:t>
      </w:r>
      <w:r w:rsidR="00C92FE0" w:rsidRPr="006B731C">
        <w:rPr>
          <w:rFonts w:ascii="Calibri" w:hAnsi="Calibri" w:cs="Calibri"/>
          <w:sz w:val="24"/>
          <w:szCs w:val="24"/>
        </w:rPr>
        <w:t xml:space="preserve"> alterations may arise depending on the targeted brain region</w:t>
      </w:r>
      <w:r w:rsidR="00DF7F1B" w:rsidRPr="006B731C">
        <w:rPr>
          <w:rFonts w:ascii="Calibri" w:hAnsi="Calibri" w:cs="Calibri"/>
          <w:sz w:val="24"/>
          <w:szCs w:val="24"/>
        </w:rPr>
        <w:fldChar w:fldCharType="begin"/>
      </w:r>
      <w:r w:rsidR="00DF7F1B" w:rsidRPr="006B731C">
        <w:rPr>
          <w:rFonts w:ascii="Calibri" w:hAnsi="Calibri" w:cs="Calibri"/>
          <w:sz w:val="24"/>
          <w:szCs w:val="24"/>
        </w:rPr>
        <w:instrText xml:space="preserve"> ADDIN ZOTERO_ITEM CSL_CITATION {"citationID":"defD9aUx","properties":{"formattedCitation":"\\super 14\\nosupersub{}","plainCitation":"14","noteIndex":0},"citationItems":[{"id":624,"uris":["http://zotero.org/users/5701247/items/TYP9WWDG"],"itemData":{"id":624,"type":"article-journal","abstract":"Machado–Joseph disease (MJD), also known as spinocerebellar ataxia type 3 (SCA3), is a fatal, dominant neurodegenerative disorder caused by the polyglutamine-expanded protein ataxin-3. Clinical manifestations include cerebellar ataxia and pyramidal signs culminating in severe neuronal degeneration. Currently, there is no therapy able to modify disease progression. In the present study, we aimed at investigating one of the most severely affected brain regions in the disorder—the cerebellum—and the behavioral defects associated with the neuropathology in this region. For this purpose, we injected lentiviral vectors encoding full-length human mutant ataxin-3 in the mouse cerebellum of 3-week-old C57/BL6 mice. We show that circumscribed expression of human mutant ataxin-3 in the cerebellum mediates within a short time frame—6 weeks, the development of a behavioral phenotype including reduced motor coordination, wide-based ataxic gait, and hyperactivity. Furthermore, the expression of mutant ataxin-3 resulted in the accumulation of intranuclear inclusions, neuropathological abnormalities, and neuronal death. These data show that lentiviral-based expression of mutant ataxin-3 in the mouse cerebellum induces localized neuropathology, which is sufficient to generate a behavioral ataxic phenotype. Moreover, this approach provides a physiologically relevant, cost-effective and time-effective animal model to gain further insights into the pathogenesis of MJD and for the evaluation of experimental therapeutics of MJD.","container-title":"The Cerebellum","DOI":"10.1007/s12311-012-0432-0","ISSN":"1473-4230","issue":"4","journalAbbreviation":"Cerebellum","language":"en","page":"441-455","source":"Springer Link","title":"Overexpression of Mutant Ataxin-3 in Mouse Cerebellum Induces Ataxia and Cerebellar Neuropathology","volume":"12","author":[{"family":"Nóbrega","given":"Clévio"},{"family":"Nascimento-Ferreira","given":"Isabel"},{"family":"Onofre","given":"Isabel"},{"family":"Albuquerque","given":"David"},{"family":"Conceição","given":"Mariana"},{"family":"Déglon","given":"Nicole"},{"family":"Almeida","given":"Luís Pereira","non-dropping-particle":"de"}],"issued":{"date-parts":[["2013",8,1]]}}}],"schema":"https://github.com/citation-style-language/schema/raw/master/csl-citation.json"} </w:instrText>
      </w:r>
      <w:r w:rsidR="00DF7F1B" w:rsidRPr="006B731C">
        <w:rPr>
          <w:rFonts w:ascii="Calibri" w:hAnsi="Calibri" w:cs="Calibri"/>
          <w:sz w:val="24"/>
          <w:szCs w:val="24"/>
        </w:rPr>
        <w:fldChar w:fldCharType="separate"/>
      </w:r>
      <w:r w:rsidR="00DF7F1B" w:rsidRPr="006B731C">
        <w:rPr>
          <w:rFonts w:ascii="Calibri" w:hAnsi="Calibri" w:cs="Calibri"/>
          <w:sz w:val="24"/>
          <w:szCs w:val="24"/>
          <w:vertAlign w:val="superscript"/>
        </w:rPr>
        <w:t>1</w:t>
      </w:r>
      <w:r w:rsidR="00DF7F1B" w:rsidRPr="006B731C">
        <w:rPr>
          <w:rFonts w:ascii="Calibri" w:hAnsi="Calibri" w:cs="Calibri"/>
          <w:sz w:val="24"/>
          <w:szCs w:val="24"/>
        </w:rPr>
        <w:fldChar w:fldCharType="end"/>
      </w:r>
      <w:r w:rsidR="00F81B21" w:rsidRPr="00F81B21">
        <w:rPr>
          <w:rFonts w:ascii="Calibri" w:hAnsi="Calibri" w:cs="Calibri"/>
          <w:sz w:val="24"/>
          <w:szCs w:val="24"/>
          <w:vertAlign w:val="superscript"/>
        </w:rPr>
        <w:t>7</w:t>
      </w:r>
      <w:r w:rsidR="00C92FE0" w:rsidRPr="006B731C">
        <w:rPr>
          <w:rFonts w:ascii="Calibri" w:hAnsi="Calibri" w:cs="Calibri"/>
          <w:sz w:val="24"/>
          <w:szCs w:val="24"/>
        </w:rPr>
        <w:t xml:space="preserve">. The lentiviral-mediated expression of mutant Ataxin-2 in the striatum led to increased locomotor activity and anxiety-like </w:t>
      </w:r>
      <w:proofErr w:type="spellStart"/>
      <w:r w:rsidR="00C92FE0" w:rsidRPr="006B731C">
        <w:rPr>
          <w:rFonts w:ascii="Calibri" w:hAnsi="Calibri" w:cs="Calibri"/>
          <w:sz w:val="24"/>
          <w:szCs w:val="24"/>
        </w:rPr>
        <w:t>behaviour</w:t>
      </w:r>
      <w:proofErr w:type="spellEnd"/>
      <w:r w:rsidR="00C92FE0" w:rsidRPr="006B731C">
        <w:rPr>
          <w:rFonts w:ascii="Calibri" w:hAnsi="Calibri" w:cs="Calibri"/>
          <w:sz w:val="24"/>
          <w:szCs w:val="24"/>
        </w:rPr>
        <w:t xml:space="preserve"> in the open field test in mice injected with mutant Ataxin-2 compared to animals injected with wild-type Ataxin-2 or non-injected controls</w:t>
      </w:r>
      <w:r w:rsidR="00C92FE0" w:rsidRPr="006B731C">
        <w:rPr>
          <w:rFonts w:ascii="Calibri" w:hAnsi="Calibri" w:cs="Calibri"/>
          <w:sz w:val="24"/>
          <w:szCs w:val="24"/>
          <w:vertAlign w:val="superscript"/>
        </w:rPr>
        <w:fldChar w:fldCharType="begin"/>
      </w:r>
      <w:r w:rsidR="00D33EF9" w:rsidRPr="006B731C">
        <w:rPr>
          <w:rFonts w:ascii="Calibri" w:hAnsi="Calibri" w:cs="Calibri"/>
          <w:sz w:val="24"/>
          <w:szCs w:val="24"/>
          <w:vertAlign w:val="superscript"/>
        </w:rPr>
        <w:instrText xml:space="preserve"> ADDIN ZOTERO_ITEM CSL_CITATION {"citationID":"HJKHGMOP","properties":{"formattedCitation":"\\super 12\\nosupersub{}","plainCitation":"12","noteIndex":0},"citationItems":[{"id":730,"uris":["http://zotero.org/users/5701247/items/H8II9THG"],"itemData":{"id":730,"type":"article-journal","abstract":"Spinocerebellar ataxia type 2 (SCA2) is an incurable and genetic neurodegenerative disorder. The disease is characterized by progressive degeneration of several brain regions, resulting in severe motor and non-motor clinical manifestations. The mutation causing SCA2 disease is an abnormal expansion of CAG trinucleotide repeats in the ATXN2 gene, leading to a toxic expanded polyglutamine segment in the translated ataxin-2 protein. While the genetic cause is well established, the exact mechanisms behind neuronal death induced by mutant ataxin-2 are not yet completely understood. Thus, the goal of this study is to investigate the role of autophagy in SCA2 pathogenesis and investigate its suitability as a target for therapeutic intervention. For that, we developed and characterized a new striatal lentiviral mouse model that resembled several neuropathological hallmarks observed in SCA2 disease, including formation of aggregates, neuronal marker loss, cell death and neuroinflammation. In this new model, we analyzed autophagic markers, which were also analyzed in a SCA2 cellular model and in human post-mortem brain samples. Our results showed altered levels of SQSTM1 and LC3B in cells and tissues expressing mutant ataxin-2. Moreover, an abnormal accumulation of these markers was detected in SCA2 patients’ striatum and cerebellum. Importantly, the molecular activation of autophagy, using the compound cordycepin, mitigated the phenotypic alterations observed in disease models. Overall, our study suggests an important role for autophagy in the context of SCA2 pathology, proposing that targeting this pathway could be a potential target to treat SCA2 patients.","container-title":"Cell Death &amp; Disease","DOI":"10.1038/s41419-021-04404-1","ISSN":"2041-4889","issue":"12","journalAbbreviation":"Cell Death Dis","page":"1117","PMID":"34845184","PMCID":"PMC8630050","source":"PubMed Central","title":"Autophagy in Spinocerebellar ataxia type 2, a dysregulated pathway, and a target for therapy","volume":"12","author":[{"family":"Marcelo","given":"Adriana"},{"family":"Afonso","given":"Inês T."},{"family":"Afonso-Reis","given":"Ricardo"},{"family":"Brito","given":"David V. C."},{"family":"Costa","given":"Rafael G."},{"family":"Rosa","given":"Ana"},{"family":"Alves-Cruzeiro","given":"João"},{"family":"Ferreira","given":"Benedita"},{"family":"Henriques","given":"Carina"},{"family":"Nobre","given":"Rui J."},{"family":"Matos","given":"Carlos A."},{"family":"Almeida","given":"Luís Pereira","non-dropping-particle":"de"},{"family":"Nóbrega","given":"Clévio"}],"issued":{"date-parts":[["2021",11,29]]}}}],"schema":"https://github.com/citation-style-language/schema/raw/master/csl-citation.json"} </w:instrText>
      </w:r>
      <w:r w:rsidR="00C92FE0" w:rsidRPr="006B731C">
        <w:rPr>
          <w:rFonts w:ascii="Calibri" w:hAnsi="Calibri" w:cs="Calibri"/>
          <w:sz w:val="24"/>
          <w:szCs w:val="24"/>
          <w:vertAlign w:val="superscript"/>
        </w:rPr>
        <w:fldChar w:fldCharType="separate"/>
      </w:r>
      <w:r w:rsidR="00D33EF9" w:rsidRPr="006B731C">
        <w:rPr>
          <w:rFonts w:ascii="Calibri" w:hAnsi="Calibri" w:cs="Calibri"/>
          <w:sz w:val="24"/>
          <w:szCs w:val="24"/>
          <w:vertAlign w:val="superscript"/>
        </w:rPr>
        <w:t>12</w:t>
      </w:r>
      <w:r w:rsidR="00C92FE0" w:rsidRPr="006B731C">
        <w:rPr>
          <w:rFonts w:ascii="Calibri" w:hAnsi="Calibri" w:cs="Calibri"/>
          <w:sz w:val="24"/>
          <w:szCs w:val="24"/>
        </w:rPr>
        <w:fldChar w:fldCharType="end"/>
      </w:r>
      <w:r w:rsidR="00C92FE0" w:rsidRPr="006B731C">
        <w:rPr>
          <w:rFonts w:ascii="Calibri" w:hAnsi="Calibri" w:cs="Calibri"/>
          <w:sz w:val="24"/>
          <w:szCs w:val="24"/>
        </w:rPr>
        <w:t>. Importantly, this model is not intended to reproduce classical cerebellar ataxia, but rather to dissect region-specific pathological mechanisms associated with polyglutamine toxicity. In the same line, for a SCA3 lentiviral model</w:t>
      </w:r>
      <w:r w:rsidR="00DF7F1B" w:rsidRPr="006B731C">
        <w:rPr>
          <w:rFonts w:ascii="Calibri" w:hAnsi="Calibri" w:cs="Calibri"/>
          <w:sz w:val="24"/>
          <w:szCs w:val="24"/>
        </w:rPr>
        <w:fldChar w:fldCharType="begin"/>
      </w:r>
      <w:r w:rsidR="00DF7F1B" w:rsidRPr="006B731C">
        <w:rPr>
          <w:rFonts w:ascii="Calibri" w:hAnsi="Calibri" w:cs="Calibri"/>
          <w:sz w:val="24"/>
          <w:szCs w:val="24"/>
        </w:rPr>
        <w:instrText xml:space="preserve"> ADDIN ZOTERO_ITEM CSL_CITATION {"citationID":"aXSDfEdL","properties":{"formattedCitation":"\\super 13\\nosupersub{}","plainCitation":"13","noteIndex":0},"citationItems":[{"id":621,"uris":["http://zotero.org/users/5701247/items/H5R6EYNQ"],"itemData":{"id":621,"type":"article-journal","abstract":"Machado-Joseph disease (MJD) is a fatal, dominant neurodegenerative disorder. MJD results from polyglutamine repeat expansion in the MJD-1 gene, conferring a toxic gain of function to the ataxin-3 protein. In this study, we aimed at overexpressing ataxin-3 in the rat brain using lentiviral vectors (LV), to generate an in vivo MJD genetic model and, to study the disorder in defined brain regions: substantia nigra, an area affected in MJD, cortex and striatum, regions not previously reported to be affected in MJD. LV encoding mutant or wild-type human ataxin-3 was injected in the brain of adult rats and the animals were tested for behavioral deficits and neuropathological abnormalities. Striatal pathology was confirmed in transgenic mice and human tissue. In substantia nigra, unilateral overexpression of mutant ataxin-3 led to: apomorphine-induced turning behavior; formation of ubiquitinated ataxin-3 aggregates; alpha-synuclein immunoreactivity; and loss of dopaminergic markers (TH and VMAT2). No neuropathological changes were observed upon wild-type ataxin-3 overexpression. Mutant ataxin-3 expression in striatum and cortex, resulted in accumulation of misfolded ataxin-3, and within striatum, loss of neuronal markers. Striatal pathology was confirmed by observation in MJD transgenic mice of ataxin-3 aggregates and substantial reduction of DARPP-32 immunoreactivity and, in human striata, by ataxin-3 inclusions, immunoreactive for ubiquitin and alpha-synuclein. This study demonstrates the use of LV encoding mutant ataxin-3 to produce a model of MJD and brings evidence of striatal pathology, suggesting that this region may contribute to dystonia and chorea observed in some MJD patients and may represent a target for therapies.","container-title":"Human Molecular Genetics","DOI":"10.1093/hmg/ddn106","ISSN":"1460-2083","issue":"14","journalAbbreviation":"Hum Mol Genet","language":"eng","page":"2071-2083","PMID":"18385100","source":"PubMed","title":"Striatal and nigral pathology in a lentiviral rat model of Machado-Joseph disease","volume":"17","author":[{"family":"Alves","given":"Sandro"},{"family":"Régulier","given":"Etienne"},{"family":"Nascimento-Ferreira","given":"Isabel"},{"family":"Hassig","given":"Raymonde"},{"family":"Dufour","given":"Noelle"},{"family":"Koeppen","given":"Arnulf"},{"family":"Carvalho","given":"Ana Luísa"},{"family":"Simões","given":"Sérgio"},{"family":"Lima","given":"Maria C. Pedroso","non-dropping-particle":"de"},{"family":"Brouillet","given":"Emmanuel"},{"family":"Gould","given":"Veronica Colomer"},{"family":"Déglon","given":"Nicole"},{"family":"Almeida","given":"Luís Pereira","non-dropping-particle":"de"}],"issued":{"date-parts":[["2008",7,15]]}}}],"schema":"https://github.com/citation-style-language/schema/raw/master/csl-citation.json"} </w:instrText>
      </w:r>
      <w:r w:rsidR="00DF7F1B" w:rsidRPr="006B731C">
        <w:rPr>
          <w:rFonts w:ascii="Calibri" w:hAnsi="Calibri" w:cs="Calibri"/>
          <w:sz w:val="24"/>
          <w:szCs w:val="24"/>
        </w:rPr>
        <w:fldChar w:fldCharType="separate"/>
      </w:r>
      <w:r w:rsidR="00DF7F1B" w:rsidRPr="006B731C">
        <w:rPr>
          <w:rFonts w:ascii="Calibri" w:hAnsi="Calibri" w:cs="Calibri"/>
          <w:sz w:val="24"/>
          <w:szCs w:val="24"/>
          <w:vertAlign w:val="superscript"/>
        </w:rPr>
        <w:t>13</w:t>
      </w:r>
      <w:r w:rsidR="00DF7F1B" w:rsidRPr="006B731C">
        <w:rPr>
          <w:rFonts w:ascii="Calibri" w:hAnsi="Calibri" w:cs="Calibri"/>
          <w:sz w:val="24"/>
          <w:szCs w:val="24"/>
        </w:rPr>
        <w:fldChar w:fldCharType="end"/>
      </w:r>
      <w:r w:rsidR="00C92FE0" w:rsidRPr="006B731C">
        <w:rPr>
          <w:rFonts w:ascii="Calibri" w:hAnsi="Calibri" w:cs="Calibri"/>
          <w:sz w:val="24"/>
          <w:szCs w:val="24"/>
        </w:rPr>
        <w:t xml:space="preserve">, the unilateral expression of mutant ataxin-3 in the substantia nigra of adult rats resulted in significant apomorphine-induced rotational asymmetry, reflecting nigrostriatal dysfunction rather than cerebellar impairment. </w:t>
      </w:r>
    </w:p>
    <w:p w14:paraId="60AE5C80" w14:textId="77777777" w:rsidR="007F35CD" w:rsidRPr="006B731C" w:rsidRDefault="007F35CD" w:rsidP="006B731C">
      <w:pPr>
        <w:spacing w:after="0" w:line="240" w:lineRule="auto"/>
        <w:jc w:val="both"/>
        <w:rPr>
          <w:rFonts w:ascii="Calibri" w:hAnsi="Calibri" w:cs="Calibri"/>
          <w:sz w:val="24"/>
          <w:szCs w:val="24"/>
        </w:rPr>
      </w:pPr>
    </w:p>
    <w:p w14:paraId="0577EE7A" w14:textId="74D43E65"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Several critical steps in this protocol are essential for ensuring reproducible outcomes. First, the quality of HEK293T cells during viral packaging is critical; using low-passage, mycoplasma-free cells (&lt;10 passages) maximizes transfection efficiency and viral yield. Also critical is the integrity of plasmids, which must be carefully analyzed through restriction enzyme analysis. Also, avoid</w:t>
      </w:r>
      <w:r w:rsidR="00F23FB1" w:rsidRPr="006B731C">
        <w:rPr>
          <w:rFonts w:ascii="Calibri" w:hAnsi="Calibri" w:cs="Calibri"/>
          <w:sz w:val="24"/>
          <w:szCs w:val="24"/>
        </w:rPr>
        <w:t xml:space="preserve"> repeated</w:t>
      </w:r>
      <w:r w:rsidRPr="006B731C">
        <w:rPr>
          <w:rFonts w:ascii="Calibri" w:hAnsi="Calibri" w:cs="Calibri"/>
          <w:sz w:val="24"/>
          <w:szCs w:val="24"/>
        </w:rPr>
        <w:t xml:space="preserve"> freeze</w:t>
      </w:r>
      <w:r w:rsidR="00F23FB1" w:rsidRPr="006B731C">
        <w:rPr>
          <w:rFonts w:ascii="Calibri" w:hAnsi="Calibri" w:cs="Calibri"/>
          <w:sz w:val="24"/>
          <w:szCs w:val="24"/>
        </w:rPr>
        <w:t>-thaw</w:t>
      </w:r>
      <w:r w:rsidRPr="006B731C">
        <w:rPr>
          <w:rFonts w:ascii="Calibri" w:hAnsi="Calibri" w:cs="Calibri"/>
          <w:sz w:val="24"/>
          <w:szCs w:val="24"/>
        </w:rPr>
        <w:t xml:space="preserve"> cycles of the </w:t>
      </w:r>
      <w:r w:rsidR="007F35CD" w:rsidRPr="006B731C">
        <w:rPr>
          <w:rFonts w:ascii="Calibri" w:hAnsi="Calibri" w:cs="Calibri"/>
          <w:sz w:val="24"/>
          <w:szCs w:val="24"/>
        </w:rPr>
        <w:t>lentiviral vectors produced</w:t>
      </w:r>
      <w:r w:rsidRPr="006B731C">
        <w:rPr>
          <w:rFonts w:ascii="Calibri" w:hAnsi="Calibri" w:cs="Calibri"/>
          <w:sz w:val="24"/>
          <w:szCs w:val="24"/>
        </w:rPr>
        <w:t xml:space="preserve">, as it will reduce their titer. During stereotaxic surgery, accurate targeting of the striatum using coordinates referenced to Bregma and an infusion rate of ≤0.25 µL/min is essential to prevent tissue damage and off-target delivery. In the brain processing, successful perfusion with fresh and cold 4% PFA is necessary for </w:t>
      </w:r>
      <w:r w:rsidR="000208F2" w:rsidRPr="006B731C">
        <w:rPr>
          <w:rFonts w:ascii="Calibri" w:hAnsi="Calibri" w:cs="Calibri"/>
          <w:sz w:val="24"/>
          <w:szCs w:val="24"/>
        </w:rPr>
        <w:t xml:space="preserve">optimal </w:t>
      </w:r>
      <w:r w:rsidRPr="006B731C">
        <w:rPr>
          <w:rFonts w:ascii="Calibri" w:hAnsi="Calibri" w:cs="Calibri"/>
          <w:sz w:val="24"/>
          <w:szCs w:val="24"/>
        </w:rPr>
        <w:t>fixation and</w:t>
      </w:r>
      <w:r w:rsidR="000208F2" w:rsidRPr="006B731C">
        <w:rPr>
          <w:rFonts w:ascii="Calibri" w:hAnsi="Calibri" w:cs="Calibri"/>
          <w:sz w:val="24"/>
          <w:szCs w:val="24"/>
        </w:rPr>
        <w:t xml:space="preserve"> tissue</w:t>
      </w:r>
      <w:r w:rsidRPr="006B731C">
        <w:rPr>
          <w:rFonts w:ascii="Calibri" w:hAnsi="Calibri" w:cs="Calibri"/>
          <w:sz w:val="24"/>
          <w:szCs w:val="24"/>
        </w:rPr>
        <w:t xml:space="preserve"> preservation, while proper cryoprotection with sucrose avoids the formation of crystals that damage the tissue.</w:t>
      </w:r>
    </w:p>
    <w:p w14:paraId="2DC6505F" w14:textId="77777777" w:rsidR="00055808" w:rsidRPr="006B731C" w:rsidRDefault="00055808" w:rsidP="006B731C">
      <w:pPr>
        <w:spacing w:after="0" w:line="240" w:lineRule="auto"/>
        <w:jc w:val="both"/>
        <w:rPr>
          <w:rFonts w:ascii="Calibri" w:hAnsi="Calibri" w:cs="Calibri"/>
          <w:sz w:val="24"/>
          <w:szCs w:val="24"/>
        </w:rPr>
      </w:pPr>
    </w:p>
    <w:p w14:paraId="650479A9" w14:textId="685DF4CA"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 xml:space="preserve">The most common problems can be troubleshooted with simple experiments and analysis. If high viral titers are not achieved, several steps can be </w:t>
      </w:r>
      <w:r w:rsidR="00055808" w:rsidRPr="006B731C">
        <w:rPr>
          <w:rFonts w:ascii="Calibri" w:hAnsi="Calibri" w:cs="Calibri"/>
          <w:sz w:val="24"/>
          <w:szCs w:val="24"/>
        </w:rPr>
        <w:t>done, such as optimization of PEI:DNA ratio, testing the integrity of plasmids through the restriction enzyme analysis,</w:t>
      </w:r>
      <w:r w:rsidRPr="006B731C">
        <w:rPr>
          <w:rFonts w:ascii="Calibri" w:hAnsi="Calibri" w:cs="Calibri"/>
          <w:sz w:val="24"/>
          <w:szCs w:val="24"/>
        </w:rPr>
        <w:t xml:space="preserve"> and testing the functionality of lentiviral vectors by applying them to the cells. In immunohistochemistry, high background staining can be reduced by increasing the blocking serum concentration or including additional washes with PBS containing 0.3% Triton X-100.</w:t>
      </w:r>
    </w:p>
    <w:p w14:paraId="1BA9C6A3" w14:textId="77777777" w:rsidR="00E2071E" w:rsidRPr="006B731C" w:rsidRDefault="00E2071E" w:rsidP="006B731C">
      <w:pPr>
        <w:spacing w:after="0" w:line="240" w:lineRule="auto"/>
        <w:jc w:val="both"/>
        <w:rPr>
          <w:rFonts w:ascii="Calibri" w:hAnsi="Calibri" w:cs="Calibri"/>
          <w:sz w:val="24"/>
          <w:szCs w:val="24"/>
        </w:rPr>
      </w:pPr>
    </w:p>
    <w:p w14:paraId="0B678714" w14:textId="7B83D32F" w:rsidR="00A62B75" w:rsidRDefault="008E24CC" w:rsidP="006B731C">
      <w:pPr>
        <w:spacing w:after="0" w:line="240" w:lineRule="auto"/>
        <w:jc w:val="both"/>
        <w:rPr>
          <w:rFonts w:ascii="Calibri" w:hAnsi="Calibri" w:cs="Calibri"/>
          <w:sz w:val="24"/>
          <w:szCs w:val="24"/>
        </w:rPr>
      </w:pPr>
      <w:r w:rsidRPr="006B731C">
        <w:rPr>
          <w:rFonts w:ascii="Calibri" w:hAnsi="Calibri" w:cs="Calibri"/>
          <w:sz w:val="24"/>
          <w:szCs w:val="24"/>
        </w:rPr>
        <w:t xml:space="preserve">In the present study, </w:t>
      </w:r>
      <w:r w:rsidR="00F46D61" w:rsidRPr="006B731C">
        <w:rPr>
          <w:rFonts w:ascii="Calibri" w:hAnsi="Calibri" w:cs="Calibri"/>
          <w:sz w:val="24"/>
          <w:szCs w:val="24"/>
        </w:rPr>
        <w:t>LVs</w:t>
      </w:r>
      <w:r w:rsidRPr="006B731C">
        <w:rPr>
          <w:rFonts w:ascii="Calibri" w:hAnsi="Calibri" w:cs="Calibri"/>
          <w:sz w:val="24"/>
          <w:szCs w:val="24"/>
        </w:rPr>
        <w:t xml:space="preserve"> were selected primarily for practical considerations. The combined size of the full-length ATXN2 cDNA and the promoter used in this construct exceeds the optimal AAV packaging capacity. </w:t>
      </w:r>
      <w:r w:rsidR="00A62B75" w:rsidRPr="006B731C">
        <w:rPr>
          <w:rFonts w:ascii="Calibri" w:hAnsi="Calibri" w:cs="Calibri"/>
          <w:sz w:val="24"/>
          <w:szCs w:val="24"/>
        </w:rPr>
        <w:t xml:space="preserve"> AAVs are also suitable for the development of local brain models for neurodegenerative diseases</w:t>
      </w:r>
      <w:r w:rsidR="00883183" w:rsidRPr="006B731C">
        <w:rPr>
          <w:rFonts w:ascii="Calibri" w:hAnsi="Calibri" w:cs="Calibri"/>
          <w:sz w:val="24"/>
          <w:szCs w:val="24"/>
        </w:rPr>
        <w:fldChar w:fldCharType="begin"/>
      </w:r>
      <w:r w:rsidR="00883183" w:rsidRPr="006B731C">
        <w:rPr>
          <w:rFonts w:ascii="Calibri" w:hAnsi="Calibri" w:cs="Calibri"/>
          <w:sz w:val="24"/>
          <w:szCs w:val="24"/>
        </w:rPr>
        <w:instrText xml:space="preserve"> ADDIN ZOTERO_ITEM CSL_CITATION {"citationID":"1Fa2Teqh","properties":{"formattedCitation":"\\super 23, 24\\nosupersub{}","plainCitation":"23, 24","noteIndex":0},"citationItems":[{"id":1939,"uris":["http://zotero.org/users/5701247/items/FQWEXMGV"],"itemData":{"id":1939,"type":"article-journal","container-title":"Molecular Therapy Methods &amp; Clinical Development","DOI":"10.1016/j.omtm.2023.101176","ISSN":"2329-0501","issue":"1","journalAbbreviation":"Molecular Therapy Methods &amp; Clinical Development","language":"English","PMID":"38225934","publisher":"Elsevier","source":"www.cell.com","title":"AAV-based gene therapy ameliorated CNS-specific GPI defect in mouse models","URL":"https://www.cell.com/molecular-therapy-family/advances/abstract/S2329-0501(23)00215-2","volume":"32","author":[{"family":"Murakami","given":"Yoshiko"},{"family":"Umeshita","given":"Saori"},{"family":"Imanishi","given":"Kae"},{"family":"Yoshioka","given":"Yoshichika"},{"family":"Ninomiya","given":"Akinori"},{"family":"Sunabori","given":"Takehiko"},{"family":"Likhite","given":"Shibi"},{"family":"Koike","given":"Masato"},{"family":"Meyer","given":"Kathrin C."},{"family":"Kinoshita","given":"Taroh"}],"accessed":{"date-parts":[["2026",2,16]]},"issued":{"date-parts":[["2024",3,14]]}}},{"id":1937,"uris":["http://zotero.org/users/5701247/items/S5LRKU7G"],"itemData":{"id":1937,"type":"article-journal","abstract":"Childhood-onset neurodegeneration with cerebellar atrophy (CONDCA) is an autosomal recessive pediatric disorder caused by biallelic mutations in the ATP/GTP-binding protein 1 gene, which encodes cytosolic carboxypeptidase 1 (CCP1) with deglutamylase activity. These patients typically exhibit progressive motor and cognitive impairment, often leading to childhood mortality. Despite its severe clinical course, no effective treatments have been developed. In this study, we demonstrate the efficacy of gene therapy using adeno-associated virus (AAV) vectors to deliver a functional mouse Ccp1 mutant in a Ccp1-deficient mouse model of CONDCA. Expression of the N-terminally truncated form of Ccp1 (Ccp1Δ1), which retains deglutamylase activity, in neurons of Ccp1-deficient neonatal mice via a blood-brain barrier-penetrating AAV vector strongly prevented Purkinje cell degeneration during postnatal development. Furthermore, gene therapy using Ccp1Δ1 partially, albeit significantly, improved motor functions in these mice, notably enhancing voluntary gait stability. This study provides robust preclinical evidence supporting the potential of postnatal AAV gene therapy as a treatment strategy for CONDCA.","container-title":"Molecular Therapy: The Journal of the American Society of Gene Therapy","DOI":"10.1016/j.ymthe.2025.07.055","ISSN":"1525-0024","issue":"11","journalAbbreviation":"Mol Ther","language":"eng","page":"5829-5839","PMID":"40754822","PMCID":"PMC12628144","source":"PubMed","title":"AAV-based gene therapy ameliorates neurological deficits in a mouse model of childhood-onset neurodegeneration with cerebellar atrophy","volume":"33","author":[{"family":"Wada","given":"Hiroko"},{"family":"Hama","given":"Noriyuki"},{"family":"Hasegawa","given":"Koichi"},{"family":"Takamuku","given":"Chie"},{"family":"Yoshida","given":"Mieko"},{"family":"Omura","given":"Mika"},{"family":"Araki","given":"Asuka"},{"family":"Kuwako","given":"Ken-Ichiro"}],"issued":{"date-parts":[["2025",11,5]]}}}],"schema":"https://github.com/citation-style-language/schema/raw/master/csl-citation.json"} </w:instrText>
      </w:r>
      <w:r w:rsidR="00883183" w:rsidRPr="006B731C">
        <w:rPr>
          <w:rFonts w:ascii="Calibri" w:hAnsi="Calibri" w:cs="Calibri"/>
          <w:sz w:val="24"/>
          <w:szCs w:val="24"/>
        </w:rPr>
        <w:fldChar w:fldCharType="separate"/>
      </w:r>
      <w:r w:rsidR="00883183" w:rsidRPr="006B731C">
        <w:rPr>
          <w:rFonts w:ascii="Calibri" w:hAnsi="Calibri" w:cs="Calibri"/>
          <w:sz w:val="24"/>
          <w:szCs w:val="24"/>
          <w:vertAlign w:val="superscript"/>
        </w:rPr>
        <w:t>2</w:t>
      </w:r>
      <w:r w:rsidR="00F81B21">
        <w:rPr>
          <w:rFonts w:ascii="Calibri" w:hAnsi="Calibri" w:cs="Calibri"/>
          <w:sz w:val="24"/>
          <w:szCs w:val="24"/>
          <w:vertAlign w:val="superscript"/>
        </w:rPr>
        <w:t>1</w:t>
      </w:r>
      <w:r w:rsidR="00883183" w:rsidRPr="006B731C">
        <w:rPr>
          <w:rFonts w:ascii="Calibri" w:hAnsi="Calibri" w:cs="Calibri"/>
          <w:sz w:val="24"/>
          <w:szCs w:val="24"/>
          <w:vertAlign w:val="superscript"/>
        </w:rPr>
        <w:t>,2</w:t>
      </w:r>
      <w:r w:rsidR="00883183" w:rsidRPr="006B731C">
        <w:rPr>
          <w:rFonts w:ascii="Calibri" w:hAnsi="Calibri" w:cs="Calibri"/>
          <w:sz w:val="24"/>
          <w:szCs w:val="24"/>
        </w:rPr>
        <w:fldChar w:fldCharType="end"/>
      </w:r>
      <w:r w:rsidR="00F81B21" w:rsidRPr="00F81B21">
        <w:rPr>
          <w:rFonts w:ascii="Calibri" w:hAnsi="Calibri" w:cs="Calibri"/>
          <w:sz w:val="24"/>
          <w:szCs w:val="24"/>
          <w:vertAlign w:val="superscript"/>
        </w:rPr>
        <w:t>2</w:t>
      </w:r>
      <w:r w:rsidR="00A62B75" w:rsidRPr="006B731C">
        <w:rPr>
          <w:rFonts w:ascii="Calibri" w:hAnsi="Calibri" w:cs="Calibri"/>
          <w:sz w:val="24"/>
          <w:szCs w:val="24"/>
        </w:rPr>
        <w:t xml:space="preserve">, </w:t>
      </w:r>
      <w:r w:rsidR="00A60E9B" w:rsidRPr="006B731C">
        <w:rPr>
          <w:rFonts w:ascii="Calibri" w:hAnsi="Calibri" w:cs="Calibri"/>
          <w:sz w:val="24"/>
          <w:szCs w:val="24"/>
        </w:rPr>
        <w:t>and have been used for the development of models for SCA3</w:t>
      </w:r>
      <w:r w:rsidR="00883183" w:rsidRPr="006B731C">
        <w:rPr>
          <w:rFonts w:ascii="Calibri" w:hAnsi="Calibri" w:cs="Calibri"/>
          <w:sz w:val="24"/>
          <w:szCs w:val="24"/>
        </w:rPr>
        <w:fldChar w:fldCharType="begin"/>
      </w:r>
      <w:r w:rsidR="00675E68" w:rsidRPr="006B731C">
        <w:rPr>
          <w:rFonts w:ascii="Calibri" w:hAnsi="Calibri" w:cs="Calibri"/>
          <w:sz w:val="24"/>
          <w:szCs w:val="24"/>
        </w:rPr>
        <w:instrText xml:space="preserve"> ADDIN ZOTERO_ITEM CSL_CITATION {"citationID":"nBnxuHNT","properties":{"formattedCitation":"\\super 25, 26\\nosupersub{}","plainCitation":"25, 26","noteIndex":0},"citationItems":[{"id":1945,"uris":["http://zotero.org/users/5701247/items/27DVG5YE"],"itemData":{"id":1945,"type":"article-journal","abstract":"We aimed to produce a mouse model of spinocerebellar ataxia type 3 (SCA3) using the mouse blood-brain barrier (BBB)-penetrating adeno-associated virus (AAV)-PHP.B. Four-to-five-week-old C57BL/6 mice received injections of high-dose (2.0 × 1011 vg/mouse) or low-dose (5.0 × 1010 vg/mouse) AAV-PHP.B encoding a SCA3 causative gene containing abnormally long 89 CAG repeats [ATXN3(Q89)] under the control of the ubiquitous chicken β-actin hybrid (CBh) promoter. Control mice received high doses of AAV-PHP.B encoding ATXN3 with non-pathogenic 15 CAG repeats [ATXN3(Q15)] or phosphate-buffered saline (PBS) alone. More than half of the mice injected with high doses of AAV-PHP.B encoding ATXN3(Q89) died within 4 weeks after the injection. No mice in other groups died during the 12-week observation period. Mice injected with low doses of AAV-PHP.B encoding ATXN3(Q89) exhibited progressive motor uncoordination starting 4 weeks and a shorter stride in footprint analysis performed at 12 weeks post-AAV injection. Immunohistochemistry showed thinning of the molecular layer and the formation of nuclear inclusions in Purkinje cells from mice injected with low doses of AAV-PHP.B encoding ATXN3(Q89). Moreover, ATXN3(Q89) expression significantly reduced the number of large projection neurons in the cerebellar nuclei to one third of that observed in mice expressing ATXN3(Q15). This AAV-based approach is superior to conventional methods in that the required number of model mice can be created simply by injecting AAV, and the expression levels of the responsible gene can be adjusted by changing the amount of AAV injected. Moreover, this method may be applied to produce SCA3 models in non-human primates.","container-title":"International Journal of Molecular Sciences","DOI":"10.3390/ijms25137205","ISSN":"1422-0067","issue":"13","journalAbbreviation":"Int J Mol Sci","language":"eng","page":"7205","PMID":"39000316","PMCID":"PMC11241190","source":"PubMed","title":"Production of Spinocerebellar Ataxia Type 3 Model Mice by Intravenous Injection of AAV-PHP.B Vectors","volume":"25","author":[{"family":"Konno","given":"Ayumu"},{"family":"Shinohara","given":"Yoichiro"},{"family":"Hirai","given":"Hirokazu"}],"issued":{"date-parts":[["2024",6,29]]}}},{"id":36,"uris":["http://zotero.org/users/5701247/items/N57ZCRL7","http://zotero.org/users/5701247/items/VUIPW94W"],"itemData":{"id":36,"type":"article-journal","abstract":"Spinocerebellar ataxia type 3 (SCA3) is a dominantly inherited cerebellar ataxia caused by the expansion of a polyglutamine (polyQ) repeat in the gene encoding ATXN3. The polyQ expansion induces protein inclusion formation in the neurons of patients and results in neuronal degeneration in the cerebellum and other brain regions. We used adeno-associated virus (AAV) technology to develop a new mouse model of SCA3 that recapitulates several features of the human disease, including locomotor defects, cerebellar-specific neuronal loss, polyQ-expanded ATXN3 inclusions, and TDP-43 pathology. We also found that neurofilament light is elevated in the cerebrospinal fluid (CSF) of the SCA3 animals, and the expanded polyQ-ATXN3 protein can be detected in the plasma. Interestingly, the levels of polyQ-ATXN3 in plasma correlated with measures of cerebellar degeneration and locomotor deficits in 6-month-old SCA3 mice, supporting the hypothesis that this factor could act as a biomarker for SCA3.","container-title":"Frontiers in Cell and Developmental Biology","ISSN":"2296-634X","source":"Frontiers","title":"Plasma PolyQ-ATXN3 Levels Associate With Cerebellar Degeneration and Behavioral Abnormalities in a New AAV-Based SCA3 Mouse Model","URL":"https://www.frontiersin.org/articles/10.3389/fcell.2022.863089","volume":"10","author":[{"family":"Jansen-West","given":"Karen"},{"family":"Todd","given":"Tiffany W."},{"family":"Daughrity","given":"Lillian M."},{"family":"Yue","given":"Mei"},{"family":"Tong","given":"Jimei"},{"family":"Carlomagno","given":"Yari"},{"family":"Del Rosso","given":"Giulia"},{"family":"Kurti","given":"Aishe"},{"family":"Jones","given":"Caroline Y."},{"family":"Dunmore","given":"Judith A."},{"family":"Castanedes-Casey","given":"Monica"},{"family":"Dickson","given":"Dennis W."},{"family":"Wszolek","given":"Zbigniew K."},{"family":"Fryer","given":"John D."},{"family":"Petrucelli","given":"Leonard"},{"family":"Prudencio","given":"Mercedes"}],"accessed":{"date-parts":[["2023",5,20]]},"issued":{"date-parts":[["2022"]]}}}],"schema":"https://github.com/citation-style-language/schema/raw/master/csl-citation.json"} </w:instrText>
      </w:r>
      <w:r w:rsidR="00883183" w:rsidRPr="006B731C">
        <w:rPr>
          <w:rFonts w:ascii="Calibri" w:hAnsi="Calibri" w:cs="Calibri"/>
          <w:sz w:val="24"/>
          <w:szCs w:val="24"/>
        </w:rPr>
        <w:fldChar w:fldCharType="separate"/>
      </w:r>
      <w:r w:rsidR="00883183" w:rsidRPr="006B731C">
        <w:rPr>
          <w:rFonts w:ascii="Calibri" w:hAnsi="Calibri" w:cs="Calibri"/>
          <w:sz w:val="24"/>
          <w:szCs w:val="24"/>
          <w:vertAlign w:val="superscript"/>
        </w:rPr>
        <w:t>2</w:t>
      </w:r>
      <w:r w:rsidR="00F81B21">
        <w:rPr>
          <w:rFonts w:ascii="Calibri" w:hAnsi="Calibri" w:cs="Calibri"/>
          <w:sz w:val="24"/>
          <w:szCs w:val="24"/>
          <w:vertAlign w:val="superscript"/>
        </w:rPr>
        <w:t>3</w:t>
      </w:r>
      <w:r w:rsidR="00883183" w:rsidRPr="006B731C">
        <w:rPr>
          <w:rFonts w:ascii="Calibri" w:hAnsi="Calibri" w:cs="Calibri"/>
          <w:sz w:val="24"/>
          <w:szCs w:val="24"/>
          <w:vertAlign w:val="superscript"/>
        </w:rPr>
        <w:t>,2</w:t>
      </w:r>
      <w:r w:rsidR="00883183" w:rsidRPr="006B731C">
        <w:rPr>
          <w:rFonts w:ascii="Calibri" w:hAnsi="Calibri" w:cs="Calibri"/>
          <w:sz w:val="24"/>
          <w:szCs w:val="24"/>
        </w:rPr>
        <w:fldChar w:fldCharType="end"/>
      </w:r>
      <w:r w:rsidR="00F81B21" w:rsidRPr="00F81B21">
        <w:rPr>
          <w:rFonts w:ascii="Calibri" w:hAnsi="Calibri" w:cs="Calibri"/>
          <w:sz w:val="24"/>
          <w:szCs w:val="24"/>
          <w:vertAlign w:val="superscript"/>
        </w:rPr>
        <w:t>4</w:t>
      </w:r>
      <w:r w:rsidR="00A62B75" w:rsidRPr="006B731C">
        <w:rPr>
          <w:rFonts w:ascii="Calibri" w:hAnsi="Calibri" w:cs="Calibri"/>
          <w:sz w:val="24"/>
          <w:szCs w:val="24"/>
        </w:rPr>
        <w:t xml:space="preserve">. </w:t>
      </w:r>
      <w:r w:rsidRPr="006B731C">
        <w:rPr>
          <w:rFonts w:ascii="Calibri" w:hAnsi="Calibri" w:cs="Calibri"/>
          <w:sz w:val="24"/>
          <w:szCs w:val="24"/>
        </w:rPr>
        <w:t xml:space="preserve">In addition, LVs enable robust local expression following stereotaxic injection, </w:t>
      </w:r>
      <w:r w:rsidR="006903B5" w:rsidRPr="006B731C">
        <w:rPr>
          <w:rFonts w:ascii="Calibri" w:hAnsi="Calibri" w:cs="Calibri"/>
          <w:sz w:val="24"/>
          <w:szCs w:val="24"/>
        </w:rPr>
        <w:t>and provide stable expression in dividing and non-dividing cells</w:t>
      </w:r>
      <w:r w:rsidR="006903B5" w:rsidRPr="006B731C">
        <w:rPr>
          <w:rFonts w:ascii="Calibri" w:hAnsi="Calibri" w:cs="Calibri"/>
          <w:sz w:val="24"/>
          <w:szCs w:val="24"/>
          <w:vertAlign w:val="superscript"/>
        </w:rPr>
        <w:fldChar w:fldCharType="begin"/>
      </w:r>
      <w:r w:rsidR="00883183" w:rsidRPr="006B731C">
        <w:rPr>
          <w:rFonts w:ascii="Calibri" w:hAnsi="Calibri" w:cs="Calibri"/>
          <w:sz w:val="24"/>
          <w:szCs w:val="24"/>
          <w:vertAlign w:val="superscript"/>
        </w:rPr>
        <w:instrText xml:space="preserve"> ADDIN ZOTERO_ITEM CSL_CITATION {"citationID":"y7r8uTgj","properties":{"formattedCitation":"\\super 27\\nosupersub{}","plainCitation":"27","noteIndex":0},"citationItems":[{"id":725,"uris":["http://zotero.org/users/5701247/items/VTDD5ID9"],"itemData":{"id":725,"type":"book","DOI":"10.1007/978-3-030-41333-0","ISBN":"978-3-030-41332-3","language":"en","license":"https://www.springer.com/tdm","publisher":"Springer International Publishing","publisher-place":"Cham","source":"DOI.org (Crossref)","title":"A Handbook of Gene and Cell Therapy","URL":"https://link.springer.com/10.1007/978-3-030-41333-0","author":[{"family":"Nóbrega","given":"Clévio"},{"family":"Mendonça","given":"Liliana"},{"family":"Matos","given":"Carlos A."}],"accessed":{"date-parts":[["2024",9,16]]},"issued":{"date-parts":[["2020"]]}}}],"schema":"https://github.com/citation-style-language/schema/raw/master/csl-citation.json"} </w:instrText>
      </w:r>
      <w:r w:rsidR="006903B5" w:rsidRPr="006B731C">
        <w:rPr>
          <w:rFonts w:ascii="Calibri" w:hAnsi="Calibri" w:cs="Calibri"/>
          <w:sz w:val="24"/>
          <w:szCs w:val="24"/>
          <w:vertAlign w:val="superscript"/>
        </w:rPr>
        <w:fldChar w:fldCharType="separate"/>
      </w:r>
      <w:r w:rsidR="00883183" w:rsidRPr="006B731C">
        <w:rPr>
          <w:rFonts w:ascii="Calibri" w:hAnsi="Calibri" w:cs="Calibri"/>
          <w:sz w:val="24"/>
          <w:szCs w:val="24"/>
          <w:vertAlign w:val="superscript"/>
        </w:rPr>
        <w:t>2</w:t>
      </w:r>
      <w:r w:rsidR="006903B5" w:rsidRPr="006B731C">
        <w:rPr>
          <w:rFonts w:ascii="Calibri" w:hAnsi="Calibri" w:cs="Calibri"/>
          <w:sz w:val="24"/>
          <w:szCs w:val="24"/>
          <w:vertAlign w:val="superscript"/>
        </w:rPr>
        <w:fldChar w:fldCharType="end"/>
      </w:r>
      <w:r w:rsidR="00F81B21">
        <w:rPr>
          <w:rFonts w:ascii="Calibri" w:hAnsi="Calibri" w:cs="Calibri"/>
          <w:sz w:val="24"/>
          <w:szCs w:val="24"/>
          <w:vertAlign w:val="superscript"/>
        </w:rPr>
        <w:t>5</w:t>
      </w:r>
      <w:r w:rsidR="006903B5" w:rsidRPr="006B731C">
        <w:rPr>
          <w:rFonts w:ascii="Calibri" w:hAnsi="Calibri" w:cs="Calibri"/>
          <w:sz w:val="24"/>
          <w:szCs w:val="24"/>
        </w:rPr>
        <w:t xml:space="preserve">, </w:t>
      </w:r>
      <w:r w:rsidRPr="006B731C">
        <w:rPr>
          <w:rFonts w:ascii="Calibri" w:hAnsi="Calibri" w:cs="Calibri"/>
          <w:sz w:val="24"/>
          <w:szCs w:val="24"/>
        </w:rPr>
        <w:t>which is advantageous for region-specific modeling.</w:t>
      </w:r>
      <w:r w:rsidR="00CB5E4C" w:rsidRPr="006B731C">
        <w:rPr>
          <w:rFonts w:ascii="Calibri" w:hAnsi="Calibri" w:cs="Calibri"/>
          <w:sz w:val="24"/>
          <w:szCs w:val="24"/>
        </w:rPr>
        <w:t xml:space="preserve"> </w:t>
      </w:r>
      <w:r w:rsidR="006621C1" w:rsidRPr="006B731C">
        <w:rPr>
          <w:rFonts w:ascii="Calibri" w:hAnsi="Calibri" w:cs="Calibri"/>
          <w:sz w:val="24"/>
          <w:szCs w:val="24"/>
        </w:rPr>
        <w:t xml:space="preserve"> </w:t>
      </w:r>
      <w:r w:rsidR="009A7CD2" w:rsidRPr="006B731C">
        <w:rPr>
          <w:rFonts w:ascii="Calibri" w:hAnsi="Calibri" w:cs="Calibri"/>
          <w:sz w:val="24"/>
          <w:szCs w:val="24"/>
        </w:rPr>
        <w:t>However, the integration into the host genome</w:t>
      </w:r>
      <w:r w:rsidR="0009488D" w:rsidRPr="006B731C">
        <w:rPr>
          <w:rFonts w:ascii="Calibri" w:hAnsi="Calibri" w:cs="Calibri"/>
          <w:sz w:val="24"/>
          <w:szCs w:val="24"/>
        </w:rPr>
        <w:t xml:space="preserve"> mediated by lentivirus</w:t>
      </w:r>
      <w:r w:rsidR="009A7CD2" w:rsidRPr="006B731C">
        <w:rPr>
          <w:rFonts w:ascii="Calibri" w:hAnsi="Calibri" w:cs="Calibri"/>
          <w:sz w:val="24"/>
          <w:szCs w:val="24"/>
        </w:rPr>
        <w:t xml:space="preserve"> involves the risk of insertional mutagenesis</w:t>
      </w:r>
      <w:r w:rsidR="007E282B" w:rsidRPr="006B731C">
        <w:rPr>
          <w:rFonts w:ascii="Calibri" w:hAnsi="Calibri" w:cs="Calibri"/>
          <w:sz w:val="24"/>
          <w:szCs w:val="24"/>
          <w:vertAlign w:val="superscript"/>
        </w:rPr>
        <w:fldChar w:fldCharType="begin"/>
      </w:r>
      <w:r w:rsidR="00883183" w:rsidRPr="006B731C">
        <w:rPr>
          <w:rFonts w:ascii="Calibri" w:hAnsi="Calibri" w:cs="Calibri"/>
          <w:sz w:val="24"/>
          <w:szCs w:val="24"/>
          <w:vertAlign w:val="superscript"/>
        </w:rPr>
        <w:instrText xml:space="preserve"> ADDIN ZOTERO_ITEM CSL_CITATION {"citationID":"7M3jIFl5","properties":{"formattedCitation":"\\super 28\\nosupersub{}","plainCitation":"28","noteIndex":0},"citationItems":[{"id":713,"uris":["http://zotero.org/users/5701247/items/7ERJZC6E"],"itemData":{"id":713,"type":"article-journal","abstract":"Gene therapy has a history of controversy. Encouraging results are starting to emerge from the clinic, but questions are still being asked about the safety of this new molecular medicine. With the development of a leukaemia-like syndrome in two of the small number of patients that have been cured of a disease by gene therapy, it is timely to contemplate how far this technology has come, and how far it still has to go.","container-title":"Nature Reviews. Genetics","DOI":"10.1038/nrg1066","ISSN":"1471-0056","issue":"5","journalAbbreviation":"Nat Rev Genet","language":"eng","page":"346-358","PMID":"12728277","source":"PubMed","title":"Progress and problems with the use of viral vectors for gene therapy","volume":"4","author":[{"family":"Thomas","given":"Clare E."},{"family":"Ehrhardt","given":"Anja"},{"family":"Kay","given":"Mark A."}],"issued":{"date-parts":[["2003",5]]}}}],"schema":"https://github.com/citation-style-language/schema/raw/master/csl-citation.json"} </w:instrText>
      </w:r>
      <w:r w:rsidR="007E282B" w:rsidRPr="006B731C">
        <w:rPr>
          <w:rFonts w:ascii="Calibri" w:hAnsi="Calibri" w:cs="Calibri"/>
          <w:sz w:val="24"/>
          <w:szCs w:val="24"/>
          <w:vertAlign w:val="superscript"/>
        </w:rPr>
        <w:fldChar w:fldCharType="separate"/>
      </w:r>
      <w:r w:rsidR="00883183" w:rsidRPr="006B731C">
        <w:rPr>
          <w:rFonts w:ascii="Calibri" w:hAnsi="Calibri" w:cs="Calibri"/>
          <w:sz w:val="24"/>
          <w:szCs w:val="24"/>
          <w:vertAlign w:val="superscript"/>
        </w:rPr>
        <w:t>2</w:t>
      </w:r>
      <w:r w:rsidR="007E282B" w:rsidRPr="006B731C">
        <w:rPr>
          <w:rFonts w:ascii="Calibri" w:hAnsi="Calibri" w:cs="Calibri"/>
          <w:sz w:val="24"/>
          <w:szCs w:val="24"/>
          <w:vertAlign w:val="superscript"/>
        </w:rPr>
        <w:fldChar w:fldCharType="end"/>
      </w:r>
      <w:r w:rsidR="00F81B21">
        <w:rPr>
          <w:rFonts w:ascii="Calibri" w:hAnsi="Calibri" w:cs="Calibri"/>
          <w:sz w:val="24"/>
          <w:szCs w:val="24"/>
          <w:vertAlign w:val="superscript"/>
        </w:rPr>
        <w:t>6</w:t>
      </w:r>
      <w:r w:rsidR="009A7CD2" w:rsidRPr="006B731C">
        <w:rPr>
          <w:rFonts w:ascii="Calibri" w:hAnsi="Calibri" w:cs="Calibri"/>
          <w:sz w:val="24"/>
          <w:szCs w:val="24"/>
        </w:rPr>
        <w:t>.</w:t>
      </w:r>
      <w:r w:rsidRPr="006B731C">
        <w:rPr>
          <w:rFonts w:ascii="Calibri" w:hAnsi="Calibri" w:cs="Calibri"/>
          <w:sz w:val="24"/>
          <w:szCs w:val="24"/>
        </w:rPr>
        <w:t xml:space="preserve"> T</w:t>
      </w:r>
      <w:r w:rsidR="0029760E" w:rsidRPr="006B731C">
        <w:rPr>
          <w:rFonts w:ascii="Calibri" w:hAnsi="Calibri" w:cs="Calibri"/>
          <w:sz w:val="24"/>
          <w:szCs w:val="24"/>
        </w:rPr>
        <w:t xml:space="preserve">he risk of insertional mutagenesis of </w:t>
      </w:r>
      <w:r w:rsidR="00E2071E" w:rsidRPr="006B731C">
        <w:rPr>
          <w:rFonts w:ascii="Calibri" w:hAnsi="Calibri" w:cs="Calibri"/>
          <w:sz w:val="24"/>
          <w:szCs w:val="24"/>
        </w:rPr>
        <w:t>third-generation self-inactivating</w:t>
      </w:r>
      <w:r w:rsidR="0029760E" w:rsidRPr="006B731C">
        <w:rPr>
          <w:rFonts w:ascii="Calibri" w:hAnsi="Calibri" w:cs="Calibri"/>
          <w:sz w:val="24"/>
          <w:szCs w:val="24"/>
        </w:rPr>
        <w:t xml:space="preserve"> lentiviral vectors is significantly reduced compared to earlier vectors, particularly when targeting non-dividing cells</w:t>
      </w:r>
      <w:r w:rsidR="007E282B" w:rsidRPr="006B731C">
        <w:rPr>
          <w:rFonts w:ascii="Calibri" w:hAnsi="Calibri" w:cs="Calibri"/>
          <w:sz w:val="24"/>
          <w:szCs w:val="24"/>
        </w:rPr>
        <w:fldChar w:fldCharType="begin"/>
      </w:r>
      <w:r w:rsidR="00883183" w:rsidRPr="006B731C">
        <w:rPr>
          <w:rFonts w:ascii="Calibri" w:hAnsi="Calibri" w:cs="Calibri"/>
          <w:sz w:val="24"/>
          <w:szCs w:val="24"/>
        </w:rPr>
        <w:instrText xml:space="preserve"> ADDIN ZOTERO_ITEM CSL_CITATION {"citationID":"jwVsiHgo","properties":{"formattedCitation":"\\super 29\\nosupersub{}","plainCitation":"29","noteIndex":0},"citationItems":[{"id":658,"uris":["http://zotero.org/users/5701247/items/B8RYHNE3"],"itemData":{"id":658,"type":"article-journal","abstract":"Over the past decades, lentiviral vectors have evolved as a benchmark tool for stable gene transfer into cells with a high replicative potential. Their relatively flexible genome and ability to transduce many forms of nondividing cells, combined with the potential for cell-specific pseudotyping, provides a rich resource for numerous applications in experimental platforms and therapeutic settings. Here, we give an overview of important biosafety features of lentiviral vectors, with detailed discussion of (i) the principles of the lentiviral split-genome design used for the construction of packaging cells; (ii) the relevance of modifications introduced into the lentiviral long terminal repeat (deletion of enhancer/promoter sequences and introduction of insulators); (iii) the basic features of mRNA processing, including the Rev/Rev-responsive element (RRE) interaction and the modifications of the 3′ untranslated region of lentiviral vectors with various post-transcriptional regulatory elements affecting transcriptional termination, polyadenylation, and differentiation-specific degradation of mRNA; and (iv) the characteristic integration pattern with the associated risk of transcriptional interference with cellular genes. We conclude with considerations regarding the importance of cell targeting via envelope modifications. Along this course, we address canonical biosafety issues encountered with any type of viral vector: the risks of shedding, mobilization, germline transmission, immunogenicity, and insertional mutagenesis.","container-title":"Human Gene Therapy","DOI":"10.1089/hum.2012.229","ISSN":"1043-0342","issue":"2","page":"132-142","publisher":"Mary Ann Liebert, Inc., publishers","source":"liebertpub.com (Atypon)","title":"Biosafety Features of Lentiviral Vectors","volume":"24","author":[{"family":"Schambach","given":"Axel"},{"family":"Zychlinski","given":"Daniela"},{"family":"Ehrnstroem","given":"Birgitta"},{"family":"Baum","given":"Christopher"}],"issued":{"date-parts":[["2013",2]]}}}],"schema":"https://github.com/citation-style-language/schema/raw/master/csl-citation.json"} </w:instrText>
      </w:r>
      <w:r w:rsidR="007E282B" w:rsidRPr="006B731C">
        <w:rPr>
          <w:rFonts w:ascii="Calibri" w:hAnsi="Calibri" w:cs="Calibri"/>
          <w:sz w:val="24"/>
          <w:szCs w:val="24"/>
        </w:rPr>
        <w:fldChar w:fldCharType="separate"/>
      </w:r>
      <w:r w:rsidR="00883183" w:rsidRPr="006B731C">
        <w:rPr>
          <w:rFonts w:ascii="Calibri" w:hAnsi="Calibri" w:cs="Calibri"/>
          <w:sz w:val="24"/>
          <w:szCs w:val="24"/>
          <w:vertAlign w:val="superscript"/>
        </w:rPr>
        <w:t>2</w:t>
      </w:r>
      <w:r w:rsidR="007E282B" w:rsidRPr="006B731C">
        <w:rPr>
          <w:rFonts w:ascii="Calibri" w:hAnsi="Calibri" w:cs="Calibri"/>
          <w:sz w:val="24"/>
          <w:szCs w:val="24"/>
        </w:rPr>
        <w:fldChar w:fldCharType="end"/>
      </w:r>
      <w:r w:rsidR="00F81B21" w:rsidRPr="00F81B21">
        <w:rPr>
          <w:rFonts w:ascii="Calibri" w:hAnsi="Calibri" w:cs="Calibri"/>
          <w:sz w:val="24"/>
          <w:szCs w:val="24"/>
          <w:vertAlign w:val="superscript"/>
        </w:rPr>
        <w:t>7</w:t>
      </w:r>
      <w:r w:rsidR="0029760E" w:rsidRPr="006B731C">
        <w:rPr>
          <w:rFonts w:ascii="Calibri" w:hAnsi="Calibri" w:cs="Calibri"/>
          <w:sz w:val="24"/>
          <w:szCs w:val="24"/>
        </w:rPr>
        <w:t xml:space="preserve">. </w:t>
      </w:r>
    </w:p>
    <w:p w14:paraId="375C61FC" w14:textId="77777777" w:rsidR="00F81B21" w:rsidRPr="006B731C" w:rsidRDefault="00F81B21" w:rsidP="006B731C">
      <w:pPr>
        <w:spacing w:after="0" w:line="240" w:lineRule="auto"/>
        <w:jc w:val="both"/>
        <w:rPr>
          <w:rFonts w:ascii="Calibri" w:hAnsi="Calibri" w:cs="Calibri"/>
          <w:sz w:val="24"/>
          <w:szCs w:val="24"/>
        </w:rPr>
      </w:pPr>
    </w:p>
    <w:p w14:paraId="1B87946A" w14:textId="000CA523" w:rsidR="0033009C"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Stereotaxic surgery is precise; however, not all the neurons in the target region will be transduced. Moreover, the level</w:t>
      </w:r>
      <w:r w:rsidR="00241A85" w:rsidRPr="006B731C">
        <w:rPr>
          <w:rFonts w:ascii="Calibri" w:hAnsi="Calibri" w:cs="Calibri"/>
          <w:sz w:val="24"/>
          <w:szCs w:val="24"/>
        </w:rPr>
        <w:t>s</w:t>
      </w:r>
      <w:r w:rsidRPr="006B731C">
        <w:rPr>
          <w:rFonts w:ascii="Calibri" w:hAnsi="Calibri" w:cs="Calibri"/>
          <w:sz w:val="24"/>
          <w:szCs w:val="24"/>
        </w:rPr>
        <w:t xml:space="preserve"> of transgene expression will be different among transduced neurons. The striatal lentiviral model allows the analysis of neuropathology, </w:t>
      </w:r>
      <w:r w:rsidR="00C83BFF" w:rsidRPr="006B731C">
        <w:rPr>
          <w:rFonts w:ascii="Calibri" w:hAnsi="Calibri" w:cs="Calibri"/>
          <w:sz w:val="24"/>
          <w:szCs w:val="24"/>
        </w:rPr>
        <w:t xml:space="preserve">and some patterns </w:t>
      </w:r>
      <w:r w:rsidR="00C83BFF" w:rsidRPr="006B731C">
        <w:rPr>
          <w:rFonts w:ascii="Calibri" w:hAnsi="Calibri" w:cs="Calibri"/>
          <w:sz w:val="24"/>
          <w:szCs w:val="24"/>
        </w:rPr>
        <w:lastRenderedPageBreak/>
        <w:t xml:space="preserve">of behavior related </w:t>
      </w:r>
      <w:r w:rsidR="00425279" w:rsidRPr="006B731C">
        <w:rPr>
          <w:rFonts w:ascii="Calibri" w:hAnsi="Calibri" w:cs="Calibri"/>
          <w:sz w:val="24"/>
          <w:szCs w:val="24"/>
        </w:rPr>
        <w:t xml:space="preserve">to </w:t>
      </w:r>
      <w:r w:rsidR="00C83BFF" w:rsidRPr="006B731C">
        <w:rPr>
          <w:rFonts w:ascii="Calibri" w:hAnsi="Calibri" w:cs="Calibri"/>
          <w:sz w:val="24"/>
          <w:szCs w:val="24"/>
        </w:rPr>
        <w:t>the local brain region</w:t>
      </w:r>
      <w:r w:rsidRPr="006B731C">
        <w:rPr>
          <w:rFonts w:ascii="Calibri" w:hAnsi="Calibri" w:cs="Calibri"/>
          <w:sz w:val="24"/>
          <w:szCs w:val="24"/>
        </w:rPr>
        <w:t>.</w:t>
      </w:r>
      <w:r w:rsidR="008B49DC" w:rsidRPr="006B731C">
        <w:rPr>
          <w:rFonts w:ascii="Calibri" w:hAnsi="Calibri" w:cs="Calibri"/>
          <w:sz w:val="24"/>
          <w:szCs w:val="24"/>
          <w:shd w:val="clear" w:color="auto" w:fill="FFFFFF"/>
        </w:rPr>
        <w:t xml:space="preserve"> </w:t>
      </w:r>
      <w:r w:rsidR="0033009C" w:rsidRPr="006B731C">
        <w:rPr>
          <w:rFonts w:ascii="Calibri" w:hAnsi="Calibri" w:cs="Calibri"/>
          <w:sz w:val="24"/>
          <w:szCs w:val="24"/>
        </w:rPr>
        <w:t xml:space="preserve">This lentiviral, region-specific expression approach is particularly powerful when rapid, hypothesis-driven experimentation is needed. </w:t>
      </w:r>
      <w:r w:rsidR="009F45E7" w:rsidRPr="006B731C">
        <w:rPr>
          <w:rFonts w:ascii="Calibri" w:hAnsi="Calibri" w:cs="Calibri"/>
          <w:sz w:val="24"/>
          <w:szCs w:val="24"/>
        </w:rPr>
        <w:t>As</w:t>
      </w:r>
      <w:r w:rsidR="0033009C" w:rsidRPr="006B731C">
        <w:rPr>
          <w:rFonts w:ascii="Calibri" w:hAnsi="Calibri" w:cs="Calibri"/>
          <w:sz w:val="24"/>
          <w:szCs w:val="24"/>
        </w:rPr>
        <w:t xml:space="preserve"> it can be implemented within weeks rather than </w:t>
      </w:r>
      <w:r w:rsidR="00C83BFF" w:rsidRPr="006B731C">
        <w:rPr>
          <w:rFonts w:ascii="Calibri" w:hAnsi="Calibri" w:cs="Calibri"/>
          <w:sz w:val="24"/>
          <w:szCs w:val="24"/>
        </w:rPr>
        <w:t xml:space="preserve">months or </w:t>
      </w:r>
      <w:r w:rsidR="0033009C" w:rsidRPr="006B731C">
        <w:rPr>
          <w:rFonts w:ascii="Calibri" w:hAnsi="Calibri" w:cs="Calibri"/>
          <w:sz w:val="24"/>
          <w:szCs w:val="24"/>
        </w:rPr>
        <w:t xml:space="preserve">years, it is well-suited for rapid screening of constructs or therapeutic candidates, as well as for testing region-specific interventions in defined </w:t>
      </w:r>
      <w:r w:rsidR="00C63F12" w:rsidRPr="006B731C">
        <w:rPr>
          <w:rFonts w:ascii="Calibri" w:hAnsi="Calibri" w:cs="Calibri"/>
          <w:sz w:val="24"/>
          <w:szCs w:val="24"/>
        </w:rPr>
        <w:t>brain regions</w:t>
      </w:r>
      <w:r w:rsidR="009474DC" w:rsidRPr="006B731C">
        <w:rPr>
          <w:rFonts w:ascii="Calibri" w:hAnsi="Calibri" w:cs="Calibri"/>
          <w:sz w:val="24"/>
          <w:szCs w:val="24"/>
        </w:rPr>
        <w:fldChar w:fldCharType="begin"/>
      </w:r>
      <w:r w:rsidR="00675E68" w:rsidRPr="006B731C">
        <w:rPr>
          <w:rFonts w:ascii="Calibri" w:hAnsi="Calibri" w:cs="Calibri"/>
          <w:sz w:val="24"/>
          <w:szCs w:val="24"/>
        </w:rPr>
        <w:instrText xml:space="preserve"> ADDIN ZOTERO_ITEM CSL_CITATION {"citationID":"26C7LF0z","properties":{"formattedCitation":"\\super 14, 30\\nosupersub{}","plainCitation":"14, 30","noteIndex":0},"citationItems":[{"id":624,"uris":["http://zotero.org/users/5701247/items/TYP9WWDG"],"itemData":{"id":624,"type":"article-journal","abstract":"Machado–Joseph disease (MJD), also known as spinocerebellar ataxia type 3 (SCA3), is a fatal, dominant neurodegenerative disorder caused by the polyglutamine-expanded protein ataxin-3. Clinical manifestations include cerebellar ataxia and pyramidal signs culminating in severe neuronal degeneration. Currently, there is no therapy able to modify disease progression. In the present study, we aimed at investigating one of the most severely affected brain regions in the disorder—the cerebellum—and the behavioral defects associated with the neuropathology in this region. For this purpose, we injected lentiviral vectors encoding full-length human mutant ataxin-3 in the mouse cerebellum of 3-week-old C57/BL6 mice. We show that circumscribed expression of human mutant ataxin-3 in the cerebellum mediates within a short time frame—6 weeks, the development of a behavioral phenotype including reduced motor coordination, wide-based ataxic gait, and hyperactivity. Furthermore, the expression of mutant ataxin-3 resulted in the accumulation of intranuclear inclusions, neuropathological abnormalities, and neuronal death. These data show that lentiviral-based expression of mutant ataxin-3 in the mouse cerebellum induces localized neuropathology, which is sufficient to generate a behavioral ataxic phenotype. Moreover, this approach provides a physiologically relevant, cost-effective and time-effective animal model to gain further insights into the pathogenesis of MJD and for the evaluation of experimental therapeutics of MJD.","container-title":"The Cerebellum","DOI":"10.1007/s12311-012-0432-0","ISSN":"1473-4230","issue":"4","journalAbbreviation":"Cerebellum","language":"en","page":"441-455","source":"Springer Link","title":"Overexpression of Mutant Ataxin-3 in Mouse Cerebellum Induces Ataxia and Cerebellar Neuropathology","volume":"12","author":[{"family":"Nóbrega","given":"Clévio"},{"family":"Nascimento-Ferreira","given":"Isabel"},{"family":"Onofre","given":"Isabel"},{"family":"Albuquerque","given":"David"},{"family":"Conceição","given":"Mariana"},{"family":"Déglon","given":"Nicole"},{"family":"Almeida","given":"Luís Pereira","non-dropping-particle":"de"}],"issued":{"date-parts":[["2013",8,1]]}}},{"id":1863,"uris":["http://zotero.org/users/5701247/items/PY2Q7RWL","http://zotero.org/users/5701247/items/NFMHZ7CU"],"itemData":{"id":1863,"type":"article-journal","abstract":"A new strategy based on lentiviral-mediated delivery of mutant huntingtin (htt) was used to create a genetic model of Huntington's disease (HD) in rats and to assess the relative contribution of polyglutamine (CAG) repeat size, htt expression levels, and protein length on the onset and specificity of the pathology. Lentiviral vectors coding for the first 171, 853, and 1520 amino acids of wild-type (19 CAG) or mutant htt (44, 66, and 82 CAG) driven by either the phosphoglycerate kinase 1 (PGK) or the cytomegalovirus (CMV) promoters were injected in rat striatum. A progressive pathology characterized by sequential appearance of ubiquitinated htt aggregates, loss of dopamine- and cAMP-regulated phosphoprotein of 32 kDa staining, and cell death was observed over 6 months with mutant htt. Earlier onset and more severe pathology occurred with shorter fragments, longer CAG repeats, and higher expression levels. Interestingly, the aggregates were predominantly located in the nucleus of PGK-htt171-injected rats, whereas they were present in both the nucleus and processes of CMV-htt171-injected animals expressing lower transgene levels. Finally, a selective sparing of interneurons was observed in animals injected with vectors expressing mutant htt. These data demonstrate that lentiviral-mediated expression of mutant htt provides a robust in vivo genetic model for selective neural degeneration that will facilitate future studies on the pathogenesis of cell death and experimental therapeutics for HD.","container-title":"Journal of Neuroscience","DOI":"10.1523/JNEUROSCI.22-09-03473.2002","ISSN":"0270-6474, 1529-2401","issue":"9","journalAbbreviation":"J. Neurosci.","language":"en","license":"Copyright © 2002 Society for Neuroscience","page":"3473-3483","PMID":"11978824","publisher":"Society for Neuroscience","section":"ARTICLE","source":"www.jneurosci.org","title":"Lentiviral-Mediated Delivery of Mutant Huntingtin in the Striatum of Rats Induces a Selective Neuropathology Modulated by Polyglutamine Repeat Size, Huntingtin Expression Levels, and Protein Length","volume":"22","author":[{"family":"Almeida","given":"Luis Pereira","dropping-particle":"de"},{"family":"Ross","given":"Christopher A."},{"family":"Zala","given":"Diana"},{"family":"Aebischer","given":"Patrick"},{"family":"Déglon","given":"Nicole"}],"issued":{"date-parts":[["2002",5,1]]}}}],"schema":"https://github.com/citation-style-language/schema/raw/master/csl-citation.json"} </w:instrText>
      </w:r>
      <w:r w:rsidR="009474DC" w:rsidRPr="006B731C">
        <w:rPr>
          <w:rFonts w:ascii="Calibri" w:hAnsi="Calibri" w:cs="Calibri"/>
          <w:sz w:val="24"/>
          <w:szCs w:val="24"/>
        </w:rPr>
        <w:fldChar w:fldCharType="separate"/>
      </w:r>
      <w:r w:rsidR="00DF7F1B" w:rsidRPr="006B731C">
        <w:rPr>
          <w:rFonts w:ascii="Calibri" w:hAnsi="Calibri" w:cs="Calibri"/>
          <w:sz w:val="24"/>
          <w:szCs w:val="24"/>
          <w:vertAlign w:val="superscript"/>
        </w:rPr>
        <w:t>1</w:t>
      </w:r>
      <w:r w:rsidR="00F81B21">
        <w:rPr>
          <w:rFonts w:ascii="Calibri" w:hAnsi="Calibri" w:cs="Calibri"/>
          <w:sz w:val="24"/>
          <w:szCs w:val="24"/>
          <w:vertAlign w:val="superscript"/>
        </w:rPr>
        <w:t>7,28</w:t>
      </w:r>
      <w:r w:rsidR="009474DC" w:rsidRPr="006B731C">
        <w:rPr>
          <w:rFonts w:ascii="Calibri" w:hAnsi="Calibri" w:cs="Calibri"/>
          <w:sz w:val="24"/>
          <w:szCs w:val="24"/>
        </w:rPr>
        <w:fldChar w:fldCharType="end"/>
      </w:r>
      <w:r w:rsidR="0033009C" w:rsidRPr="006B731C">
        <w:rPr>
          <w:rFonts w:ascii="Calibri" w:hAnsi="Calibri" w:cs="Calibri"/>
          <w:sz w:val="24"/>
          <w:szCs w:val="24"/>
        </w:rPr>
        <w:t>. It also offers a cost-effective platform for mechanistic studies, enabling controlled spatial and temporal manipulation of gene expression. However, when the research question centers on natural disease progression, multi-system pathology, or complex behavioral outcomes, alternative models</w:t>
      </w:r>
      <w:r w:rsidR="00C63F12" w:rsidRPr="006B731C">
        <w:rPr>
          <w:rFonts w:ascii="Calibri" w:hAnsi="Calibri" w:cs="Calibri"/>
          <w:sz w:val="24"/>
          <w:szCs w:val="24"/>
        </w:rPr>
        <w:t xml:space="preserve"> (e.g.</w:t>
      </w:r>
      <w:r w:rsidR="00F81B21">
        <w:rPr>
          <w:rFonts w:ascii="Calibri" w:hAnsi="Calibri" w:cs="Calibri"/>
          <w:sz w:val="24"/>
          <w:szCs w:val="24"/>
        </w:rPr>
        <w:t>,</w:t>
      </w:r>
      <w:r w:rsidR="00C63F12" w:rsidRPr="006B731C">
        <w:rPr>
          <w:rFonts w:ascii="Calibri" w:hAnsi="Calibri" w:cs="Calibri"/>
          <w:sz w:val="24"/>
          <w:szCs w:val="24"/>
        </w:rPr>
        <w:t xml:space="preserve"> transgenic</w:t>
      </w:r>
      <w:r w:rsidR="00CB5E4C" w:rsidRPr="006B731C">
        <w:rPr>
          <w:rFonts w:ascii="Calibri" w:hAnsi="Calibri" w:cs="Calibri"/>
          <w:sz w:val="24"/>
          <w:szCs w:val="24"/>
        </w:rPr>
        <w:t xml:space="preserve"> or knock-in</w:t>
      </w:r>
      <w:r w:rsidR="00C63F12" w:rsidRPr="006B731C">
        <w:rPr>
          <w:rFonts w:ascii="Calibri" w:hAnsi="Calibri" w:cs="Calibri"/>
          <w:sz w:val="24"/>
          <w:szCs w:val="24"/>
        </w:rPr>
        <w:t xml:space="preserve"> SCA2 mouse model</w:t>
      </w:r>
      <w:r w:rsidR="00027EB5" w:rsidRPr="006B731C">
        <w:rPr>
          <w:rFonts w:ascii="Calibri" w:hAnsi="Calibri" w:cs="Calibri"/>
          <w:sz w:val="24"/>
          <w:szCs w:val="24"/>
        </w:rPr>
        <w:t>s</w:t>
      </w:r>
      <w:r w:rsidR="00C63F12" w:rsidRPr="006B731C">
        <w:rPr>
          <w:rFonts w:ascii="Calibri" w:hAnsi="Calibri" w:cs="Calibri"/>
          <w:sz w:val="24"/>
          <w:szCs w:val="24"/>
        </w:rPr>
        <w:t>)</w:t>
      </w:r>
      <w:r w:rsidR="0033009C" w:rsidRPr="006B731C">
        <w:rPr>
          <w:rFonts w:ascii="Calibri" w:hAnsi="Calibri" w:cs="Calibri"/>
          <w:sz w:val="24"/>
          <w:szCs w:val="24"/>
        </w:rPr>
        <w:t xml:space="preserve"> with more physiological expression profiles </w:t>
      </w:r>
      <w:r w:rsidR="00C83BFF" w:rsidRPr="006B731C">
        <w:rPr>
          <w:rFonts w:ascii="Calibri" w:hAnsi="Calibri" w:cs="Calibri"/>
          <w:sz w:val="24"/>
          <w:szCs w:val="24"/>
        </w:rPr>
        <w:t>are preferable</w:t>
      </w:r>
      <w:r w:rsidR="00F81B21" w:rsidRPr="00F81B21">
        <w:rPr>
          <w:rFonts w:ascii="Calibri" w:hAnsi="Calibri" w:cs="Calibri"/>
          <w:sz w:val="24"/>
          <w:szCs w:val="24"/>
          <w:vertAlign w:val="superscript"/>
        </w:rPr>
        <w:t>29</w:t>
      </w:r>
      <w:r w:rsidR="007A6F0C" w:rsidRPr="006B731C">
        <w:rPr>
          <w:rFonts w:ascii="Calibri" w:hAnsi="Calibri" w:cs="Calibri"/>
          <w:sz w:val="24"/>
          <w:szCs w:val="24"/>
        </w:rPr>
        <w:fldChar w:fldCharType="begin"/>
      </w:r>
      <w:r w:rsidR="007A6F0C" w:rsidRPr="006B731C">
        <w:rPr>
          <w:rFonts w:ascii="Calibri" w:hAnsi="Calibri" w:cs="Calibri"/>
          <w:sz w:val="24"/>
          <w:szCs w:val="24"/>
        </w:rPr>
        <w:instrText xml:space="preserve"> ADDIN ZOTERO_ITEM CSL_CITATION {"citationID":"793ciQtO","properties":{"formattedCitation":"\\super 31\\nosupersub{}","plainCitation":"31","noteIndex":0},"citationItems":[{"id":1957,"uris":["http://zotero.org/users/5701247/items/H7IGM4YU"],"itemData":{"id":1957,"type":"article-journal","abstract":"Many mutant mouse strains have been developed as models to investigate neurodegenerative disease in humans. However, variability in results among studies using these mouse strains has led to questions about the value of these models. Here, we appraise various mouse models for dissecting neurodegenerative disease mechanisms and emphasize the importance of asking appropriate research questions. In therapeutic studies, we suggest that understanding variability among and within mouse models is crucial for preventing translational failures in human patients.","container-title":"Science Translational Medicine","DOI":"10.1126/scitranslmed.aaq1818","ISSN":"1946-6242","issue":"493","journalAbbreviation":"Sci Transl Med","language":"eng","page":"eaaq1818","PMID":"31118292","source":"PubMed","title":"Mouse models of neurodegeneration: Know your question, know your mouse","title-short":"Mouse models of neurodegeneration","volume":"11","author":[{"family":"Fisher","given":"Elizabeth M. C."},{"family":"Bannerman","given":"David M."}],"issued":{"date-parts":[["2019",5,22]]}}}],"schema":"https://github.com/citation-style-language/schema/raw/master/csl-citation.json"} </w:instrText>
      </w:r>
      <w:r w:rsidR="007A6F0C" w:rsidRPr="006B731C">
        <w:rPr>
          <w:rFonts w:ascii="Calibri" w:hAnsi="Calibri" w:cs="Calibri"/>
          <w:sz w:val="24"/>
          <w:szCs w:val="24"/>
        </w:rPr>
        <w:fldChar w:fldCharType="separate"/>
      </w:r>
      <w:r w:rsidR="007A6F0C" w:rsidRPr="006B731C">
        <w:rPr>
          <w:rFonts w:ascii="Calibri" w:hAnsi="Calibri" w:cs="Calibri"/>
          <w:sz w:val="24"/>
          <w:szCs w:val="24"/>
        </w:rPr>
        <w:fldChar w:fldCharType="end"/>
      </w:r>
      <w:r w:rsidR="0033009C" w:rsidRPr="006B731C">
        <w:rPr>
          <w:rFonts w:ascii="Calibri" w:hAnsi="Calibri" w:cs="Calibri"/>
          <w:sz w:val="24"/>
          <w:szCs w:val="24"/>
        </w:rPr>
        <w:t xml:space="preserve">. Strategically, these approaches should be viewed as complementary rather than </w:t>
      </w:r>
      <w:r w:rsidR="00C83BFF" w:rsidRPr="006B731C">
        <w:rPr>
          <w:rFonts w:ascii="Calibri" w:hAnsi="Calibri" w:cs="Calibri"/>
          <w:sz w:val="24"/>
          <w:szCs w:val="24"/>
        </w:rPr>
        <w:t>competing</w:t>
      </w:r>
      <w:r w:rsidR="00883183" w:rsidRPr="006B731C">
        <w:rPr>
          <w:rFonts w:ascii="Calibri" w:hAnsi="Calibri" w:cs="Calibri"/>
          <w:sz w:val="24"/>
          <w:szCs w:val="24"/>
        </w:rPr>
        <w:t>.</w:t>
      </w:r>
      <w:r w:rsidR="0033009C" w:rsidRPr="006B731C">
        <w:rPr>
          <w:rFonts w:ascii="Calibri" w:hAnsi="Calibri" w:cs="Calibri"/>
          <w:sz w:val="24"/>
          <w:szCs w:val="24"/>
        </w:rPr>
        <w:t xml:space="preserve"> </w:t>
      </w:r>
      <w:r w:rsidR="00883183" w:rsidRPr="006B731C">
        <w:rPr>
          <w:rFonts w:ascii="Calibri" w:hAnsi="Calibri" w:cs="Calibri"/>
          <w:sz w:val="24"/>
          <w:szCs w:val="24"/>
        </w:rPr>
        <w:t>L</w:t>
      </w:r>
      <w:r w:rsidR="0033009C" w:rsidRPr="006B731C">
        <w:rPr>
          <w:rFonts w:ascii="Calibri" w:hAnsi="Calibri" w:cs="Calibri"/>
          <w:sz w:val="24"/>
          <w:szCs w:val="24"/>
        </w:rPr>
        <w:t>entiviral models can serve as an efficient first-stage discovery and mechanistic platform, with key findings subsequently validated in models that better capture organism-level disease features.</w:t>
      </w:r>
      <w:r w:rsidR="00BC2769" w:rsidRPr="006B731C">
        <w:rPr>
          <w:rFonts w:ascii="Calibri" w:hAnsi="Calibri" w:cs="Calibri"/>
          <w:sz w:val="24"/>
          <w:szCs w:val="24"/>
        </w:rPr>
        <w:t xml:space="preserve"> </w:t>
      </w:r>
      <w:r w:rsidRPr="006B731C">
        <w:rPr>
          <w:rFonts w:ascii="Calibri" w:hAnsi="Calibri" w:cs="Calibri"/>
          <w:sz w:val="24"/>
          <w:szCs w:val="24"/>
        </w:rPr>
        <w:t xml:space="preserve">Additionally, DAB-based staining, while robust and permanent, limits multiplex labeling compared to fluorescence-based methods. </w:t>
      </w:r>
    </w:p>
    <w:p w14:paraId="4BAAED4E" w14:textId="77777777" w:rsidR="00027EB5" w:rsidRPr="006B731C" w:rsidRDefault="00027EB5" w:rsidP="006B731C">
      <w:pPr>
        <w:spacing w:after="0" w:line="240" w:lineRule="auto"/>
        <w:jc w:val="both"/>
        <w:rPr>
          <w:rFonts w:ascii="Calibri" w:hAnsi="Calibri" w:cs="Calibri"/>
          <w:sz w:val="24"/>
          <w:szCs w:val="24"/>
        </w:rPr>
      </w:pPr>
    </w:p>
    <w:p w14:paraId="07076219" w14:textId="164C7CDE" w:rsidR="00027EB5" w:rsidRPr="006B731C" w:rsidRDefault="00027EB5" w:rsidP="006B731C">
      <w:pPr>
        <w:spacing w:after="0" w:line="240" w:lineRule="auto"/>
        <w:jc w:val="both"/>
        <w:rPr>
          <w:rFonts w:ascii="Calibri" w:hAnsi="Calibri" w:cs="Calibri"/>
          <w:sz w:val="24"/>
          <w:szCs w:val="24"/>
        </w:rPr>
      </w:pPr>
      <w:r w:rsidRPr="006B731C">
        <w:rPr>
          <w:rFonts w:ascii="Calibri" w:hAnsi="Calibri" w:cs="Calibri"/>
          <w:sz w:val="24"/>
          <w:szCs w:val="24"/>
        </w:rPr>
        <w:t>Regarding vector trafficking, lentiviral vectors are not known to undergo significant long-range diffusion or trans-synaptic spread after stereotaxic injection. Their distribution is generally restricted to the injection site, with limited local diffusion depending on injection volume and tissue properties</w:t>
      </w:r>
      <w:r w:rsidR="003C1415" w:rsidRPr="006B731C">
        <w:rPr>
          <w:rFonts w:ascii="Calibri" w:hAnsi="Calibri" w:cs="Calibri"/>
          <w:sz w:val="24"/>
          <w:szCs w:val="24"/>
        </w:rPr>
        <w:fldChar w:fldCharType="begin"/>
      </w:r>
      <w:r w:rsidR="00675E68" w:rsidRPr="006B731C">
        <w:rPr>
          <w:rFonts w:ascii="Calibri" w:hAnsi="Calibri" w:cs="Calibri"/>
          <w:sz w:val="24"/>
          <w:szCs w:val="24"/>
        </w:rPr>
        <w:instrText xml:space="preserve"> ADDIN ZOTERO_ITEM CSL_CITATION {"citationID":"IaDO9PGg","properties":{"formattedCitation":"\\super 8\\nosupersub{}","plainCitation":"8","noteIndex":0},"citationItems":[{"id":1927,"uris":["http://zotero.org/users/5701247/items/B49MTJKA","http://zotero.org/users/5701247/items/RZDKF5HK"],"itemData":{"id":1927,"type":"article-journal","abstract":"Lentiviruses have been extensively used as gene delivery vectors since the mid-1990s. Usually derived from the human immunodeficiency virus genome, they mediate efficient gene transfer to non-dividing cells, including neurons and glia in the adult mammalian brain. In addition, integration of the recombinant lentiviral construct into the host genome provides permanent expression, including the progeny of dividing neural precursors. In this review, we describe targeted vectors with modified envelope glycoproteins and expression of transgenes under the regulation of cell-selective and inducible promoters. This technology has broad utility to address fundamental questions in neuroscience and we outline how this has been used in rodents and primates. Combining viral tract tracing with immunohistochemistry and confocal or electron microscopy, lentiviral vectors provide a tool to selectively label and trace specific neuronal populations at gross or ultrastructural levels. Additionally, new generation optogenetic technologies can be readily utilized to analyze neuronal circuit and gene functions in the mature mammalian brain. Examples of these applications, limitations of current systems and prospects for future developments to enhance neuroscience knowledge will be reviewed. Finally, we will discuss how these vectors may be translated from gene therapy trials into the clinical setting.","container-title":"Frontiers in Molecular Neuroscience","DOI":"10.3389/fnmol.2015.00014","ISSN":"1662-5099","journalAbbreviation":"Front Mol Neurosci","language":"eng","page":"14","PMID":"26041987","PMCID":"PMC4434958","source":"PubMed","title":"Lentiviral vectors as tools to understand central nervous system biology in mammalian model organisms","volume":"8","author":[{"family":"Parr-Brownlie","given":"Louise C."},{"family":"Bosch-Bouju","given":"Clémentine"},{"family":"Schoderboeck","given":"Lucia"},{"family":"Sizemore","given":"Rachel J."},{"family":"Abraham","given":"Wickliffe C."},{"family":"Hughes","given":"Stephanie M."}],"issued":{"date-parts":[["2015"]]}}}],"schema":"https://github.com/citation-style-language/schema/raw/master/csl-citation.json"} </w:instrText>
      </w:r>
      <w:r w:rsidR="003C1415" w:rsidRPr="006B731C">
        <w:rPr>
          <w:rFonts w:ascii="Calibri" w:hAnsi="Calibri" w:cs="Calibri"/>
          <w:sz w:val="24"/>
          <w:szCs w:val="24"/>
        </w:rPr>
        <w:fldChar w:fldCharType="separate"/>
      </w:r>
      <w:r w:rsidR="00675E68" w:rsidRPr="006B731C">
        <w:rPr>
          <w:rFonts w:ascii="Calibri" w:hAnsi="Calibri" w:cs="Calibri"/>
          <w:sz w:val="24"/>
          <w:szCs w:val="24"/>
          <w:vertAlign w:val="superscript"/>
        </w:rPr>
        <w:t>8</w:t>
      </w:r>
      <w:r w:rsidR="003C1415" w:rsidRPr="006B731C">
        <w:rPr>
          <w:rFonts w:ascii="Calibri" w:hAnsi="Calibri" w:cs="Calibri"/>
          <w:sz w:val="24"/>
          <w:szCs w:val="24"/>
        </w:rPr>
        <w:fldChar w:fldCharType="end"/>
      </w:r>
      <w:r w:rsidRPr="006B731C">
        <w:rPr>
          <w:rFonts w:ascii="Calibri" w:hAnsi="Calibri" w:cs="Calibri"/>
          <w:sz w:val="24"/>
          <w:szCs w:val="24"/>
        </w:rPr>
        <w:t>.</w:t>
      </w:r>
      <w:r w:rsidR="00501A02" w:rsidRPr="006B731C">
        <w:rPr>
          <w:rFonts w:ascii="Calibri" w:hAnsi="Calibri" w:cs="Calibri"/>
          <w:sz w:val="24"/>
          <w:szCs w:val="24"/>
        </w:rPr>
        <w:t xml:space="preserve"> </w:t>
      </w:r>
      <w:r w:rsidR="006D352C" w:rsidRPr="006B731C">
        <w:rPr>
          <w:rFonts w:ascii="Calibri" w:hAnsi="Calibri" w:cs="Calibri"/>
          <w:sz w:val="24"/>
          <w:szCs w:val="24"/>
        </w:rPr>
        <w:t>Moreover</w:t>
      </w:r>
      <w:r w:rsidR="009474DC" w:rsidRPr="006B731C">
        <w:rPr>
          <w:rFonts w:ascii="Calibri" w:hAnsi="Calibri" w:cs="Calibri"/>
          <w:sz w:val="24"/>
          <w:szCs w:val="24"/>
        </w:rPr>
        <w:t>,</w:t>
      </w:r>
      <w:r w:rsidR="006D352C" w:rsidRPr="006B731C">
        <w:rPr>
          <w:rFonts w:ascii="Calibri" w:hAnsi="Calibri" w:cs="Calibri"/>
          <w:sz w:val="24"/>
          <w:szCs w:val="24"/>
        </w:rPr>
        <w:t xml:space="preserve"> the</w:t>
      </w:r>
      <w:r w:rsidR="00883183" w:rsidRPr="006B731C">
        <w:rPr>
          <w:rFonts w:ascii="Calibri" w:hAnsi="Calibri" w:cs="Calibri"/>
          <w:sz w:val="24"/>
          <w:szCs w:val="24"/>
        </w:rPr>
        <w:t xml:space="preserve"> </w:t>
      </w:r>
      <w:r w:rsidRPr="006B731C">
        <w:rPr>
          <w:rFonts w:ascii="Calibri" w:hAnsi="Calibri" w:cs="Calibri"/>
          <w:sz w:val="24"/>
          <w:szCs w:val="24"/>
        </w:rPr>
        <w:t>lentiviral vectors used are replication-incompetent and</w:t>
      </w:r>
      <w:r w:rsidR="00501A02" w:rsidRPr="006B731C">
        <w:rPr>
          <w:rFonts w:ascii="Calibri" w:hAnsi="Calibri" w:cs="Calibri"/>
          <w:sz w:val="24"/>
          <w:szCs w:val="24"/>
        </w:rPr>
        <w:t xml:space="preserve"> present restricted diffusion</w:t>
      </w:r>
      <w:r w:rsidR="00DF7F1B" w:rsidRPr="006B731C">
        <w:rPr>
          <w:rFonts w:ascii="Calibri" w:hAnsi="Calibri" w:cs="Calibri"/>
          <w:sz w:val="24"/>
          <w:szCs w:val="24"/>
        </w:rPr>
        <w:fldChar w:fldCharType="begin"/>
      </w:r>
      <w:r w:rsidR="007A6F0C" w:rsidRPr="006B731C">
        <w:rPr>
          <w:rFonts w:ascii="Calibri" w:hAnsi="Calibri" w:cs="Calibri"/>
          <w:sz w:val="24"/>
          <w:szCs w:val="24"/>
        </w:rPr>
        <w:instrText xml:space="preserve"> ADDIN ZOTERO_ITEM CSL_CITATION {"citationID":"0lLph9Mk","properties":{"formattedCitation":"\\super 8, 32\\nosupersub{}","plainCitation":"8, 32","noteIndex":0},"citationItems":[{"id":1927,"uris":["http://zotero.org/users/5701247/items/B49MTJKA","http://zotero.org/users/5701247/items/RZDKF5HK"],"itemData":{"id":1927,"type":"article-journal","abstract":"Lentiviruses have been extensively used as gene delivery vectors since the mid-1990s. Usually derived from the human immunodeficiency virus genome, they mediate efficient gene transfer to non-dividing cells, including neurons and glia in the adult mammalian brain. In addition, integration of the recombinant lentiviral construct into the host genome provides permanent expression, including the progeny of dividing neural precursors. In this review, we describe targeted vectors with modified envelope glycoproteins and expression of transgenes under the regulation of cell-selective and inducible promoters. This technology has broad utility to address fundamental questions in neuroscience and we outline how this has been used in rodents and primates. Combining viral tract tracing with immunohistochemistry and confocal or electron microscopy, lentiviral vectors provide a tool to selectively label and trace specific neuronal populations at gross or ultrastructural levels. Additionally, new generation optogenetic technologies can be readily utilized to analyze neuronal circuit and gene functions in the mature mammalian brain. Examples of these applications, limitations of current systems and prospects for future developments to enhance neuroscience knowledge will be reviewed. Finally, we will discuss how these vectors may be translated from gene therapy trials into the clinical setting.","container-title":"Frontiers in Molecular Neuroscience","DOI":"10.3389/fnmol.2015.00014","ISSN":"1662-5099","journalAbbreviation":"Front Mol Neurosci","language":"eng","page":"14","PMID":"26041987","PMCID":"PMC4434958","source":"PubMed","title":"Lentiviral vectors as tools to understand central nervous system biology in mammalian model organisms","volume":"8","author":[{"family":"Parr-Brownlie","given":"Louise C."},{"family":"Bosch-Bouju","given":"Clémentine"},{"family":"Schoderboeck","given":"Lucia"},{"family":"Sizemore","given":"Rachel J."},{"family":"Abraham","given":"Wickliffe C."},{"family":"Hughes","given":"Stephanie M."}],"issued":{"date-parts":[["2015"]]}}},{"id":1954,"uris":["http://zotero.org/users/5701247/items/IWQFVHEJ"],"itemData":{"id":1954,"type":"article-journal","abstract":"Replication-incompetent gammaretroviral (γRV) and lentiviral (LV) vectors have both been used in insertional mutagenesis screens to identify cancer drivers. In this approach the vectors stably integrate in the host cell genome and induce cancers by dysregulating nearby genes. The cells that contain a retroviral vector provirus in or near a proto-oncogene or tumor suppressor are preferentially enriched in a tumor. γRV and LV vectors have different integration profiles and genotoxic potential, making them potentially complementary tools for insertional mutagenesis screens. We performed screens using both γRV and LV vectors to identify driver genes that mediate progression of androgen-independent prostate cancer (AIPC) using a xenotransplant mouse model. Vector transduced LNCaP cells were injected orthotopically into the prostate gland of immunodeficient mice. Mice that developed tumors were castrated to create an androgen-deficient environment and metastatic tumors that developed were analyzed. A high-throughput modified genomic sequencing PCR (MGS-PCR) approach identified the positions of vector integrations in these metastatic tumors. OR2A14, FER1L6, TAOK3, MAN1A2, MBNL2, SERBP1, PLEKHA2, SPTAN1, ADAMTS1, SLC30A5, ABCC1, SLC7A1 and SLC25A24 were identified as candidate prostate cancer (PC) progression genes. TAOK3 and ABCC1 expression in PC patients predicted the risk of recurrence after androgen deprivation therapy. Our data shows that γRV and LV vectors are complementary approaches to identify cancer driver genes which may be promising potential biomarkers and therapeutic targets.","container-title":"Oncotarget","DOI":"10.18632/oncotarget.24503","ISSN":"1949-2553","issue":"21","journalAbbreviation":"Oncotarget","page":"15451-15463","PMID":"29643985","PMCID":"PMC5884640","source":"PubMed Central","title":"Replication-incompetent gammaretroviral and lentiviral vector-based insertional mutagenesis screens identify prostate cancer progression genes","volume":"9","author":[{"family":"Bii","given":"Victor M."},{"family":"Collins","given":"Casey P."},{"family":"Hocum","given":"Jonah D."},{"family":"Trobridge","given":"Grant D."}],"issued":{"date-parts":[["2018",2,15]]}}}],"schema":"https://github.com/citation-style-language/schema/raw/master/csl-citation.json"} </w:instrText>
      </w:r>
      <w:r w:rsidR="00DF7F1B" w:rsidRPr="006B731C">
        <w:rPr>
          <w:rFonts w:ascii="Calibri" w:hAnsi="Calibri" w:cs="Calibri"/>
          <w:sz w:val="24"/>
          <w:szCs w:val="24"/>
        </w:rPr>
        <w:fldChar w:fldCharType="separate"/>
      </w:r>
      <w:r w:rsidR="007A6F0C" w:rsidRPr="006B731C">
        <w:rPr>
          <w:rFonts w:ascii="Calibri" w:hAnsi="Calibri" w:cs="Calibri"/>
          <w:sz w:val="24"/>
          <w:szCs w:val="24"/>
          <w:vertAlign w:val="superscript"/>
        </w:rPr>
        <w:t>8,3</w:t>
      </w:r>
      <w:r w:rsidR="00DF7F1B" w:rsidRPr="006B731C">
        <w:rPr>
          <w:rFonts w:ascii="Calibri" w:hAnsi="Calibri" w:cs="Calibri"/>
          <w:sz w:val="24"/>
          <w:szCs w:val="24"/>
        </w:rPr>
        <w:fldChar w:fldCharType="end"/>
      </w:r>
      <w:r w:rsidR="00F81B21" w:rsidRPr="00F81B21">
        <w:rPr>
          <w:rFonts w:ascii="Calibri" w:hAnsi="Calibri" w:cs="Calibri"/>
          <w:sz w:val="24"/>
          <w:szCs w:val="24"/>
          <w:vertAlign w:val="superscript"/>
        </w:rPr>
        <w:t>0</w:t>
      </w:r>
      <w:r w:rsidR="00501A02" w:rsidRPr="006B731C">
        <w:rPr>
          <w:rFonts w:ascii="Calibri" w:hAnsi="Calibri" w:cs="Calibri"/>
          <w:sz w:val="24"/>
          <w:szCs w:val="24"/>
        </w:rPr>
        <w:t>, which contributes to</w:t>
      </w:r>
      <w:r w:rsidRPr="006B731C">
        <w:rPr>
          <w:rFonts w:ascii="Calibri" w:hAnsi="Calibri" w:cs="Calibri"/>
          <w:sz w:val="24"/>
          <w:szCs w:val="24"/>
        </w:rPr>
        <w:t xml:space="preserve"> the </w:t>
      </w:r>
      <w:r w:rsidR="00501A02" w:rsidRPr="006B731C">
        <w:rPr>
          <w:rFonts w:ascii="Calibri" w:hAnsi="Calibri" w:cs="Calibri"/>
          <w:sz w:val="24"/>
          <w:szCs w:val="24"/>
        </w:rPr>
        <w:t xml:space="preserve">low or even negligible </w:t>
      </w:r>
      <w:r w:rsidRPr="006B731C">
        <w:rPr>
          <w:rFonts w:ascii="Calibri" w:hAnsi="Calibri" w:cs="Calibri"/>
          <w:sz w:val="24"/>
          <w:szCs w:val="24"/>
        </w:rPr>
        <w:t>probability of trafficking from one hemisphere to the contralateral side</w:t>
      </w:r>
      <w:r w:rsidR="006D352C" w:rsidRPr="006B731C">
        <w:rPr>
          <w:rFonts w:ascii="Calibri" w:hAnsi="Calibri" w:cs="Calibri"/>
          <w:sz w:val="24"/>
          <w:szCs w:val="24"/>
        </w:rPr>
        <w:t>.</w:t>
      </w:r>
      <w:r w:rsidRPr="006B731C">
        <w:rPr>
          <w:rFonts w:ascii="Calibri" w:hAnsi="Calibri" w:cs="Calibri"/>
          <w:sz w:val="24"/>
          <w:szCs w:val="24"/>
        </w:rPr>
        <w:t xml:space="preserve"> </w:t>
      </w:r>
    </w:p>
    <w:p w14:paraId="4DFFF46D" w14:textId="77777777" w:rsidR="0033009C" w:rsidRPr="006B731C" w:rsidRDefault="0033009C" w:rsidP="006B731C">
      <w:pPr>
        <w:spacing w:after="0" w:line="240" w:lineRule="auto"/>
        <w:jc w:val="both"/>
        <w:rPr>
          <w:rFonts w:ascii="Calibri" w:hAnsi="Calibri" w:cs="Calibri"/>
          <w:sz w:val="24"/>
          <w:szCs w:val="24"/>
        </w:rPr>
      </w:pPr>
    </w:p>
    <w:p w14:paraId="77BC4333" w14:textId="0E2F7749"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 xml:space="preserve">The described protocol integrates both classical histopathological staining and modern semi-automated image quantification, offering a balance between reproducibility and precision. While other tools provide 3D visualization, the combination of </w:t>
      </w:r>
      <w:proofErr w:type="spellStart"/>
      <w:r w:rsidRPr="006B731C">
        <w:rPr>
          <w:rFonts w:ascii="Calibri" w:hAnsi="Calibri" w:cs="Calibri"/>
          <w:sz w:val="24"/>
          <w:szCs w:val="24"/>
        </w:rPr>
        <w:t>cryosectioning</w:t>
      </w:r>
      <w:proofErr w:type="spellEnd"/>
      <w:r w:rsidRPr="006B731C">
        <w:rPr>
          <w:rFonts w:ascii="Calibri" w:hAnsi="Calibri" w:cs="Calibri"/>
          <w:sz w:val="24"/>
          <w:szCs w:val="24"/>
        </w:rPr>
        <w:t xml:space="preserve">, DAB immunohistochemistry, and FIJI-based analysis is cost-effective and compatible with most neuroscience laboratories without requiring specialized imaging infrastructure. </w:t>
      </w:r>
    </w:p>
    <w:p w14:paraId="60FB1D50" w14:textId="77777777" w:rsidR="002C4B66" w:rsidRPr="006B731C" w:rsidRDefault="002C4B66" w:rsidP="006B731C">
      <w:pPr>
        <w:spacing w:after="0" w:line="240" w:lineRule="auto"/>
        <w:jc w:val="both"/>
        <w:rPr>
          <w:rFonts w:ascii="Calibri" w:hAnsi="Calibri" w:cs="Calibri"/>
          <w:sz w:val="24"/>
          <w:szCs w:val="24"/>
        </w:rPr>
      </w:pPr>
    </w:p>
    <w:p w14:paraId="0C6AF092" w14:textId="30A9314F"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 xml:space="preserve">In conclusion, this method is highly applicable to studying the potential of both therapeutic strategies and disease mechanisms in </w:t>
      </w:r>
      <w:proofErr w:type="spellStart"/>
      <w:r w:rsidR="007E282B" w:rsidRPr="006B731C">
        <w:rPr>
          <w:rFonts w:ascii="Calibri" w:hAnsi="Calibri" w:cs="Calibri"/>
          <w:sz w:val="24"/>
          <w:szCs w:val="24"/>
        </w:rPr>
        <w:t>polyQ</w:t>
      </w:r>
      <w:proofErr w:type="spellEnd"/>
      <w:r w:rsidR="007E282B" w:rsidRPr="006B731C">
        <w:rPr>
          <w:rFonts w:ascii="Calibri" w:hAnsi="Calibri" w:cs="Calibri"/>
          <w:sz w:val="24"/>
          <w:szCs w:val="24"/>
        </w:rPr>
        <w:t xml:space="preserve"> SCAs</w:t>
      </w:r>
      <w:r w:rsidR="007E282B" w:rsidRPr="006B731C">
        <w:rPr>
          <w:rFonts w:ascii="Calibri" w:hAnsi="Calibri" w:cs="Calibri"/>
          <w:sz w:val="24"/>
          <w:szCs w:val="24"/>
        </w:rPr>
        <w:fldChar w:fldCharType="begin"/>
      </w:r>
      <w:r w:rsidR="00D33EF9" w:rsidRPr="006B731C">
        <w:rPr>
          <w:rFonts w:ascii="Calibri" w:hAnsi="Calibri" w:cs="Calibri"/>
          <w:sz w:val="24"/>
          <w:szCs w:val="24"/>
        </w:rPr>
        <w:instrText xml:space="preserve"> ADDIN ZOTERO_ITEM CSL_CITATION {"citationID":"FRDdoaXX","properties":{"formattedCitation":"\\super 10, 12, 13, 21\\nosupersub{}","plainCitation":"10, 12, 13, 21","dontUpdate":true,"noteIndex":0},"citationItems":[{"id":730,"uris":["http://zotero.org/users/5701247/items/H8II9THG"],"itemData":{"id":730,"type":"article-journal","abstract":"Spinocerebellar ataxia type 2 (SCA2) is an incurable and genetic neurodegenerative disorder. The disease is characterized by progressive degeneration of several brain regions, resulting in severe motor and non-motor clinical manifestations. The mutation causing SCA2 disease is an abnormal expansion of CAG trinucleotide repeats in the ATXN2 gene, leading to a toxic expanded polyglutamine segment in the translated ataxin-2 protein. While the genetic cause is well established, the exact mechanisms behind neuronal death induced by mutant ataxin-2 are not yet completely understood. Thus, the goal of this study is to investigate the role of autophagy in SCA2 pathogenesis and investigate its suitability as a target for therapeutic intervention. For that, we developed and characterized a new striatal lentiviral mouse model that resembled several neuropathological hallmarks observed in SCA2 disease, including formation of aggregates, neuronal marker loss, cell death and neuroinflammation. In this new model, we analyzed autophagic markers, which were also analyzed in a SCA2 cellular model and in human post-mortem brain samples. Our results showed altered levels of SQSTM1 and LC3B in cells and tissues expressing mutant ataxin-2. Moreover, an abnormal accumulation of these markers was detected in SCA2 patients’ striatum and cerebellum. Importantly, the molecular activation of autophagy, using the compound cordycepin, mitigated the phenotypic alterations observed in disease models. Overall, our study suggests an important role for autophagy in the context of SCA2 pathology, proposing that targeting this pathway could be a potential target to treat SCA2 patients.","container-title":"Cell Death &amp; Disease","DOI":"10.1038/s41419-021-04404-1","ISSN":"2041-4889","issue":"12","journalAbbreviation":"Cell Death Dis","page":"1117","PMID":"34845184","PMCID":"PMC8630050","source":"PubMed Central","title":"Autophagy in Spinocerebellar ataxia type 2, a dysregulated pathway, and a target for therapy","volume":"12","author":[{"family":"Marcelo","given":"Adriana"},{"family":"Afonso","given":"Inês T."},{"family":"Afonso-Reis","given":"Ricardo"},{"family":"Brito","given":"David V. C."},{"family":"Costa","given":"Rafael G."},{"family":"Rosa","given":"Ana"},{"family":"Alves-Cruzeiro","given":"João"},{"family":"Ferreira","given":"Benedita"},{"family":"Henriques","given":"Carina"},{"family":"Nobre","given":"Rui J."},{"family":"Matos","given":"Carlos A."},{"family":"Almeida","given":"Luís Pereira","non-dropping-particle":"de"},{"family":"Nóbrega","given":"Clévio"}],"issued":{"date-parts":[["2021",11,29]]}}},{"id":624,"uris":["http://zotero.org/users/5701247/items/TYP9WWDG"],"itemData":{"id":624,"type":"article-journal","abstract":"Machado–Joseph disease (MJD), also known as spinocerebellar ataxia type 3 (SCA3), is a fatal, dominant neurodegenerative disorder caused by the polyglutamine-expanded protein ataxin-3. Clinical manifestations include cerebellar ataxia and pyramidal signs culminating in severe neuronal degeneration. Currently, there is no therapy able to modify disease progression. In the present study, we aimed at investigating one of the most severely affected brain regions in the disorder—the cerebellum—and the behavioral defects associated with the neuropathology in this region. For this purpose, we injected lentiviral vectors encoding full-length human mutant ataxin-3 in the mouse cerebellum of 3-week-old C57/BL6 mice. We show that circumscribed expression of human mutant ataxin-3 in the cerebellum mediates within a short time frame—6 weeks, the development of a behavioral phenotype including reduced motor coordination, wide-based ataxic gait, and hyperactivity. Furthermore, the expression of mutant ataxin-3 resulted in the accumulation of intranuclear inclusions, neuropathological abnormalities, and neuronal death. These data show that lentiviral-based expression of mutant ataxin-3 in the mouse cerebellum induces localized neuropathology, which is sufficient to generate a behavioral ataxic phenotype. Moreover, this approach provides a physiologically relevant, cost-effective and time-effective animal model to gain further insights into the pathogenesis of MJD and for the evaluation of experimental therapeutics of MJD.","container-title":"The Cerebellum","DOI":"10.1007/s12311-012-0432-0","ISSN":"1473-4230","issue":"4","journalAbbreviation":"Cerebellum","language":"en","page":"441-455","source":"Springer Link","title":"Overexpression of Mutant Ataxin-3 in Mouse Cerebellum Induces Ataxia and Cerebellar Neuropathology","volume":"12","author":[{"family":"Nóbrega","given":"Clévio"},{"family":"Nascimento-Ferreira","given":"Isabel"},{"family":"Onofre","given":"Isabel"},{"family":"Albuquerque","given":"David"},{"family":"Conceição","given":"Mariana"},{"family":"Déglon","given":"Nicole"},{"family":"Almeida","given":"Luís Pereira","non-dropping-particle":"de"}],"issued":{"date-parts":[["2013",8,1]]}}},{"id":570,"uris":["http://zotero.org/users/5701247/items/SN29G6RG"],"itemData":{"id":570,"type":"article-journal","abstract":"We used lentiviral vectors (LVs) to generate a new SCA7 animal model overexpressing a truncated mutant ataxin-7 (MUT ATXN7) fragment in the mouse cerebellum, in order to characterize the specific neuropathological and behavioral consequences of the genetic defect in this brain structure.","container-title":"Molecular Neurodegeneration","DOI":"10.1186/s13024-016-0123-2","ISSN":"1750-1326","issue":"1","journalAbbreviation":"Molecular Neurodegeneration","page":"58","source":"BioMed Central","title":"Lentiviral vector-mediated overexpression of mutant ataxin-7 recapitulates SCA7 pathology and promotes accumulation of the FUS/TLS and MBNL1 RNA-binding proteins","volume":"11","author":[{"family":"Alves","given":"Sandro"},{"family":"Marais","given":"Thibaut"},{"family":"Biferi","given":"Maria-Grazia"},{"family":"Furling","given":"Denis"},{"family":"Marinello","given":"Martina"},{"family":"El Hachimi","given":"Khalid"},{"family":"Cartier","given":"Nathalie"},{"family":"Ruberg","given":"Merle"},{"family":"Stevanin","given":"Giovanni"},{"family":"Brice","given":"Alexis"},{"family":"Barkats","given":"Martine"},{"family":"Sittler","given":"Annie"}],"issued":{"date-parts":[["2016",7,28]]}}},{"id":51,"uris":["http://zotero.org/users/5701247/items/DQ8VUHMD"],"itemData":{"id":51,"type":"article-journal","abstract":"Polylgutamine (polyQ) diseases are a group of neurodegenerative disorders caused by abnormal expansion of CAG repeat tracts in the codifying regions of nine, otherwise unrelated, genes. While the protein products of these genes are suggested to play diverse cell roles, the pathogenic mutant proteins bearing an expanded polyQ sequence share a tendency to self-assemble, aggregate, and engage in abnormal molecular interactions. Understanding the shared paths that link polyQ protein expansion to the nervous system dysfunction and degeneration that takes place in these disorders is instrumental for identifying targets for therapeutic intervention. Among polyQ diseases, spinocerebellar ataxias (SCAs) share many common aspects, including the fact that they involve the functional compromise of the cerebellum, resulting in the hallmark ataxic signs. Our work aimed at exploring a putative new therapeutic target for the two forms of SCA with higher worldwide prevalence, spinocerebellar ataxias type 2 (SCA2) and type 3 (SCA3), which are caused by expanded forms of ataxin-2 (ATXN2) and ataxin-3 (ATXN3), respectively. PolyQ disease pathophysiology has been described to involve an inability to properly respond to cell stress. Taking into consideration, we evaluated the ability of GTPase-activating protein-binding protein 1 (G3BP1), an RNA-binding protein involved in RNA metabolism regulation and in stress responses, to counteract SCA2 and SCA3 pathology, using both in vitro and in vivo disease models. Our results indicate that G3BP1 overexpression in cell models leads to a reduction of ATXN2 and ATXN3 aggregation, associated with a decrease in protein expression. This protective effect of G3BP1 against polyQ protein aggregation was reinforced by the fact that silencing G3bp1 in the mouse brain increases human expanded ATXN2 and ATXN3 aggregation. Moreover, a decrease of G3BP1 levels was detected in cells derived from SCA2 and SCA3 patients, suggesting that G3BP1 function is compromised in the context of these diseases. In lentiviral models of SCA2 and SCA3, G3BP1 overexpression not only decreased protein aggregation but also contributed to the preservation of neuronal cells. Finally, in a SCA3 transgenic mouse model with a severe ataxic phenotype, G3BP1 lentiviral delivery to the cerebellum led to amelioration of several motor behavioral deficits. Overall, our results suggest that a decrease in G3BP1 levels may be a component of SCA2 and SCA3 pathophysiology, and that administration of this protein through viral vector-mediated delivery may constitute a putative approach to therapy for these diseases, and possibly other polyQ disorders.","container-title":"Brain: A Journal of Neurology","DOI":"10.1093/brain/awac473","ISSN":"1460-2156","journalAbbreviation":"Brain","language":"eng","page":"awac473","PMID":"36511898","source":"PubMed","title":"The stress granule protein G3BP1 alleviates spinocerebellar ataxia-associated deficits","author":[{"family":"Koppenol","given":"Rebekah"},{"family":"Conceição","given":"André"},{"family":"Afonso","given":"Inês T."},{"family":"Afonso-Reis","given":"Ricardo"},{"family":"Costa","given":"Rafael G."},{"family":"Tomé","given":"Sandra"},{"family":"Teixeira","given":"Diogo"},{"family":"Silva","given":"Joana Pinto","non-dropping-particle":"da"},{"family":"Côdesso","given":"José-Miguel"},{"family":"Brito","given":"David V. C."},{"family":"Mendonça","given":"Liliana"},{"family":"Marcelo","given":"Adriana"},{"family":"Pereira de Almeida","given":"Luís"},{"family":"Matos","given":"Carlos A."},{"family":"Nóbrega","given":"Clévio"}],"issued":{"date-parts":[["2022",12,13]]}}}],"schema":"https://github.com/citation-style-language/schema/raw/master/csl-citation.json"} </w:instrText>
      </w:r>
      <w:r w:rsidR="007E282B" w:rsidRPr="006B731C">
        <w:rPr>
          <w:rFonts w:ascii="Calibri" w:hAnsi="Calibri" w:cs="Calibri"/>
          <w:sz w:val="24"/>
          <w:szCs w:val="24"/>
        </w:rPr>
        <w:fldChar w:fldCharType="separate"/>
      </w:r>
      <w:r w:rsidRPr="006B731C">
        <w:rPr>
          <w:rFonts w:ascii="Calibri" w:hAnsi="Calibri" w:cs="Calibri"/>
          <w:sz w:val="24"/>
          <w:szCs w:val="24"/>
          <w:vertAlign w:val="superscript"/>
        </w:rPr>
        <w:t>10,12,13,1</w:t>
      </w:r>
      <w:r w:rsidR="007E282B" w:rsidRPr="006B731C">
        <w:rPr>
          <w:rFonts w:ascii="Calibri" w:hAnsi="Calibri" w:cs="Calibri"/>
          <w:sz w:val="24"/>
          <w:szCs w:val="24"/>
        </w:rPr>
        <w:fldChar w:fldCharType="end"/>
      </w:r>
      <w:r w:rsidR="00F81B21" w:rsidRPr="00F81B21">
        <w:rPr>
          <w:rFonts w:ascii="Calibri" w:hAnsi="Calibri" w:cs="Calibri"/>
          <w:sz w:val="24"/>
          <w:szCs w:val="24"/>
          <w:vertAlign w:val="superscript"/>
        </w:rPr>
        <w:t>9</w:t>
      </w:r>
      <w:r w:rsidRPr="006B731C">
        <w:rPr>
          <w:rFonts w:ascii="Calibri" w:hAnsi="Calibri" w:cs="Calibri"/>
          <w:sz w:val="24"/>
          <w:szCs w:val="24"/>
        </w:rPr>
        <w:t>. Besides these disorders, the lentiviral approach can be extended to other neurodegenerative diseases, enabling rapid preclinical testing of gene-targeted or pharmacological therapies. Additionally, the use of tools for image analysis</w:t>
      </w:r>
      <w:r w:rsidR="00C71445" w:rsidRPr="006B731C">
        <w:rPr>
          <w:rFonts w:ascii="Calibri" w:hAnsi="Calibri" w:cs="Calibri"/>
          <w:sz w:val="24"/>
          <w:szCs w:val="24"/>
        </w:rPr>
        <w:t xml:space="preserve">, </w:t>
      </w:r>
      <w:r w:rsidRPr="006B731C">
        <w:rPr>
          <w:rFonts w:ascii="Calibri" w:hAnsi="Calibri" w:cs="Calibri"/>
          <w:sz w:val="24"/>
          <w:szCs w:val="24"/>
        </w:rPr>
        <w:t>optimized for quantifying aggregates and neuronal marker loss</w:t>
      </w:r>
      <w:r w:rsidR="00C71445" w:rsidRPr="006B731C">
        <w:rPr>
          <w:rFonts w:ascii="Calibri" w:hAnsi="Calibri" w:cs="Calibri"/>
          <w:sz w:val="24"/>
          <w:szCs w:val="24"/>
        </w:rPr>
        <w:t xml:space="preserve">, </w:t>
      </w:r>
      <w:r w:rsidRPr="006B731C">
        <w:rPr>
          <w:rFonts w:ascii="Calibri" w:hAnsi="Calibri" w:cs="Calibri"/>
          <w:sz w:val="24"/>
          <w:szCs w:val="24"/>
        </w:rPr>
        <w:t xml:space="preserve">can be readily adapted to diverse applications in neuroscience research. </w:t>
      </w:r>
      <w:r w:rsidR="00C71445" w:rsidRPr="006B731C">
        <w:rPr>
          <w:rFonts w:ascii="Calibri" w:hAnsi="Calibri" w:cs="Calibri"/>
          <w:sz w:val="24"/>
          <w:szCs w:val="24"/>
        </w:rPr>
        <w:t>Although this model is primarily designed to analyze neuropathological hallmarks rather than behavioral impairment</w:t>
      </w:r>
      <w:r w:rsidR="002B79FD" w:rsidRPr="006B731C">
        <w:rPr>
          <w:rFonts w:ascii="Calibri" w:hAnsi="Calibri" w:cs="Calibri"/>
          <w:sz w:val="24"/>
          <w:szCs w:val="24"/>
        </w:rPr>
        <w:t>s</w:t>
      </w:r>
      <w:r w:rsidR="00C71445" w:rsidRPr="006B731C">
        <w:rPr>
          <w:rFonts w:ascii="Calibri" w:hAnsi="Calibri" w:cs="Calibri"/>
          <w:sz w:val="24"/>
          <w:szCs w:val="24"/>
        </w:rPr>
        <w:t xml:space="preserve">, it can be effectively used in combination with complementary </w:t>
      </w:r>
      <w:r w:rsidR="00C71445" w:rsidRPr="006B731C">
        <w:rPr>
          <w:rFonts w:ascii="Calibri" w:hAnsi="Calibri" w:cs="Calibri"/>
          <w:i/>
          <w:iCs/>
          <w:sz w:val="24"/>
          <w:szCs w:val="24"/>
        </w:rPr>
        <w:t>in vivo</w:t>
      </w:r>
      <w:r w:rsidR="00C71445" w:rsidRPr="006B731C">
        <w:rPr>
          <w:rFonts w:ascii="Calibri" w:hAnsi="Calibri" w:cs="Calibri"/>
          <w:sz w:val="24"/>
          <w:szCs w:val="24"/>
        </w:rPr>
        <w:t xml:space="preserve"> models to evaluate functional outcomes and improvements in key pathological features.</w:t>
      </w:r>
      <w:r w:rsidR="00535F74" w:rsidRPr="006B731C">
        <w:rPr>
          <w:rFonts w:ascii="Calibri" w:hAnsi="Calibri" w:cs="Calibri"/>
          <w:sz w:val="24"/>
          <w:szCs w:val="24"/>
        </w:rPr>
        <w:t xml:space="preserve"> In fact, several well-established SCA2 transgenic models exist that can provide important complementary insights</w:t>
      </w:r>
      <w:r w:rsidR="00A52D19" w:rsidRPr="006B731C">
        <w:rPr>
          <w:rFonts w:ascii="Calibri" w:hAnsi="Calibri" w:cs="Calibri"/>
          <w:sz w:val="24"/>
          <w:szCs w:val="24"/>
        </w:rPr>
        <w:fldChar w:fldCharType="begin"/>
      </w:r>
      <w:r w:rsidR="007A6F0C" w:rsidRPr="006B731C">
        <w:rPr>
          <w:rFonts w:ascii="Calibri" w:hAnsi="Calibri" w:cs="Calibri"/>
          <w:sz w:val="24"/>
          <w:szCs w:val="24"/>
        </w:rPr>
        <w:instrText xml:space="preserve"> ADDIN ZOTERO_ITEM CSL_CITATION {"citationID":"YPN4VYyG","properties":{"formattedCitation":"\\super 34\\nosupersub{}","plainCitation":"34","noteIndex":0},"citationItems":[{"id":657,"uris":["http://zotero.org/users/5701247/items/32RWZ3NV"],"itemData":{"id":657,"type":"article-journal","abstract":"Spinocerebellar ataxia type 2 (SCA2) is an autosomal dominant ataxia caused by an expansion of CAG repeats in the exon 1 of the gene ATXN2, conferring a gain of toxic function that triggers the appearance of the disease phenotype. SCA2 is characterized by several symptoms including progressive gait ataxia and dysarthria, slow saccadic eye movements, sleep disturbances, cognitive impairments and psychological dysfunctions such as insomnia and depression, among others. The available treatments rely on palliative care, which mitigate some of the major symptoms but ultimately fail to block the disease progression. This persistent lack of effective therapies led to the development of several models in yeast, C. elegans, D. melanogaster and mice to serve as platforms for testing new therapeutic strategies and to accelerate the research on the complex disease mechanisms. In this work, we review 4 transgenic and 1 knock-in mouse that exhibit a SCA2-related phenotype and discuss their usefulness in addressing different scientific problems. The knock-in mice are extremely faithful to the human disease, with late onset of symptoms and physiological levels of mutant ataxin-2, while the other transgenic possess robust and well-characterized motor impairments and neuropathological features. Furthermore, a new BAC model of SCA2 shows promise to study the recently explored role of non-coding RNAs as a major pathogenic mechanism in this devastating disorder. Focusing on specific aspects of the behavior and neuropathology, as well as technical aspects, we provide a highly practical description and comparison of all the models with the purpose of creating a useful resource for SCA2 researchers worldwide.","container-title":"Frontiers in Neuroscience","DOI":"10.3389/fnins.2016.00572","ISSN":"1662-453X","journalAbbreviation":"Front. Neurosci.","language":"English","publisher":"Frontiers","source":"Frontiers","title":"Motor Dysfunctions and Neuropathology in Mouse Models of Spinocerebellar Ataxia Type 2: A Comprehensive Review","title-short":"Motor Dysfunctions and Neuropathology in Mouse Models of Spinocerebellar Ataxia Type 2","URL":"https://www.frontiersin.org/journals/neuroscience/articles/10.3389/fnins.2016.00572/full","volume":"10","author":[{"family":"Alves-Cruzeiro","given":"João M. Da Conceição"},{"family":"Mendonça","given":"Liliana"},{"family":"Pereira de Almeida","given":"Luís"},{"family":"Nóbrega","given":"Clévio"}],"accessed":{"date-parts":[["2025",11,24]]},"issued":{"date-parts":[["2016",12,15]]}}}],"schema":"https://github.com/citation-style-language/schema/raw/master/csl-citation.json"} </w:instrText>
      </w:r>
      <w:r w:rsidR="00A52D19" w:rsidRPr="006B731C">
        <w:rPr>
          <w:rFonts w:ascii="Calibri" w:hAnsi="Calibri" w:cs="Calibri"/>
          <w:sz w:val="24"/>
          <w:szCs w:val="24"/>
        </w:rPr>
        <w:fldChar w:fldCharType="separate"/>
      </w:r>
      <w:r w:rsidR="007A6F0C" w:rsidRPr="006B731C">
        <w:rPr>
          <w:rFonts w:ascii="Calibri" w:hAnsi="Calibri" w:cs="Calibri"/>
          <w:sz w:val="24"/>
          <w:szCs w:val="24"/>
          <w:vertAlign w:val="superscript"/>
        </w:rPr>
        <w:t>3</w:t>
      </w:r>
      <w:r w:rsidR="00A52D19" w:rsidRPr="006B731C">
        <w:rPr>
          <w:rFonts w:ascii="Calibri" w:hAnsi="Calibri" w:cs="Calibri"/>
          <w:sz w:val="24"/>
          <w:szCs w:val="24"/>
        </w:rPr>
        <w:fldChar w:fldCharType="end"/>
      </w:r>
      <w:r w:rsidR="00F81B21" w:rsidRPr="00F81B21">
        <w:rPr>
          <w:rFonts w:ascii="Calibri" w:hAnsi="Calibri" w:cs="Calibri"/>
          <w:sz w:val="24"/>
          <w:szCs w:val="24"/>
          <w:vertAlign w:val="superscript"/>
        </w:rPr>
        <w:t>1</w:t>
      </w:r>
      <w:r w:rsidR="00535F74" w:rsidRPr="006B731C">
        <w:rPr>
          <w:rFonts w:ascii="Calibri" w:hAnsi="Calibri" w:cs="Calibri"/>
          <w:sz w:val="24"/>
          <w:szCs w:val="24"/>
        </w:rPr>
        <w:t>.</w:t>
      </w:r>
    </w:p>
    <w:p w14:paraId="226293E7" w14:textId="77777777" w:rsidR="000E7D55" w:rsidRPr="006B731C" w:rsidRDefault="000E7D55" w:rsidP="006B731C">
      <w:pPr>
        <w:spacing w:after="0" w:line="240" w:lineRule="auto"/>
        <w:jc w:val="both"/>
        <w:rPr>
          <w:rFonts w:ascii="Calibri" w:hAnsi="Calibri" w:cs="Calibri"/>
          <w:sz w:val="24"/>
          <w:szCs w:val="24"/>
        </w:rPr>
      </w:pPr>
    </w:p>
    <w:p w14:paraId="56D51588" w14:textId="1CA2CA2C" w:rsidR="00600B5E" w:rsidRPr="006B731C" w:rsidRDefault="009A7CD2" w:rsidP="006B731C">
      <w:pPr>
        <w:spacing w:after="0" w:line="240" w:lineRule="auto"/>
        <w:jc w:val="both"/>
        <w:rPr>
          <w:rFonts w:ascii="Calibri" w:hAnsi="Calibri" w:cs="Calibri"/>
          <w:b/>
          <w:sz w:val="24"/>
          <w:szCs w:val="24"/>
        </w:rPr>
      </w:pPr>
      <w:r w:rsidRPr="006B731C">
        <w:rPr>
          <w:rFonts w:ascii="Calibri" w:hAnsi="Calibri" w:cs="Calibri"/>
          <w:b/>
          <w:sz w:val="24"/>
          <w:szCs w:val="24"/>
        </w:rPr>
        <w:t>A</w:t>
      </w:r>
      <w:r w:rsidR="00BB75AC" w:rsidRPr="006B731C">
        <w:rPr>
          <w:rFonts w:ascii="Calibri" w:hAnsi="Calibri" w:cs="Calibri"/>
          <w:b/>
          <w:sz w:val="24"/>
          <w:szCs w:val="24"/>
        </w:rPr>
        <w:t>CKNOWLEDGMENTS:</w:t>
      </w:r>
    </w:p>
    <w:p w14:paraId="47A7E696" w14:textId="431D5D89"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 xml:space="preserve">Clévio Nóbrega's laboratory is funded by the Cure CSB project, by the Viljem Julijan Association for Children with Rare Diseases (Slovenia), and by the Algarve Biomedical Center Research Institute (ABC-Ri). Some of the authors of this paper have a PhD fellowship funded by </w:t>
      </w:r>
      <w:proofErr w:type="spellStart"/>
      <w:r w:rsidRPr="006B731C">
        <w:rPr>
          <w:rFonts w:ascii="Calibri" w:hAnsi="Calibri" w:cs="Calibri"/>
          <w:sz w:val="24"/>
          <w:szCs w:val="24"/>
        </w:rPr>
        <w:t>Fundação</w:t>
      </w:r>
      <w:proofErr w:type="spellEnd"/>
      <w:r w:rsidRPr="006B731C">
        <w:rPr>
          <w:rFonts w:ascii="Calibri" w:hAnsi="Calibri" w:cs="Calibri"/>
          <w:sz w:val="24"/>
          <w:szCs w:val="24"/>
        </w:rPr>
        <w:t xml:space="preserve"> para a </w:t>
      </w:r>
      <w:proofErr w:type="spellStart"/>
      <w:r w:rsidRPr="006B731C">
        <w:rPr>
          <w:rFonts w:ascii="Calibri" w:hAnsi="Calibri" w:cs="Calibri"/>
          <w:sz w:val="24"/>
          <w:szCs w:val="24"/>
        </w:rPr>
        <w:t>Ciência</w:t>
      </w:r>
      <w:proofErr w:type="spellEnd"/>
      <w:r w:rsidRPr="006B731C">
        <w:rPr>
          <w:rFonts w:ascii="Calibri" w:hAnsi="Calibri" w:cs="Calibri"/>
          <w:sz w:val="24"/>
          <w:szCs w:val="24"/>
        </w:rPr>
        <w:t xml:space="preserve"> e </w:t>
      </w:r>
      <w:proofErr w:type="spellStart"/>
      <w:r w:rsidRPr="006B731C">
        <w:rPr>
          <w:rFonts w:ascii="Calibri" w:hAnsi="Calibri" w:cs="Calibri"/>
          <w:sz w:val="24"/>
          <w:szCs w:val="24"/>
        </w:rPr>
        <w:t>Tecnologia</w:t>
      </w:r>
      <w:proofErr w:type="spellEnd"/>
      <w:r w:rsidRPr="006B731C">
        <w:rPr>
          <w:rFonts w:ascii="Calibri" w:hAnsi="Calibri" w:cs="Calibri"/>
          <w:sz w:val="24"/>
          <w:szCs w:val="24"/>
        </w:rPr>
        <w:t xml:space="preserve"> (FCT), with the following references: Tiago Moreira-Gomes (</w:t>
      </w:r>
      <w:proofErr w:type="gramStart"/>
      <w:r w:rsidRPr="006B731C">
        <w:rPr>
          <w:rFonts w:ascii="Calibri" w:hAnsi="Calibri" w:cs="Calibri"/>
          <w:sz w:val="24"/>
          <w:szCs w:val="24"/>
        </w:rPr>
        <w:t>2022.11008.BD</w:t>
      </w:r>
      <w:proofErr w:type="gramEnd"/>
      <w:r w:rsidRPr="006B731C">
        <w:rPr>
          <w:rFonts w:ascii="Calibri" w:hAnsi="Calibri" w:cs="Calibri"/>
          <w:sz w:val="24"/>
          <w:szCs w:val="24"/>
        </w:rPr>
        <w:t>), Inês T Afonso (</w:t>
      </w:r>
      <w:proofErr w:type="gramStart"/>
      <w:r w:rsidRPr="006B731C">
        <w:rPr>
          <w:rFonts w:ascii="Calibri" w:hAnsi="Calibri" w:cs="Calibri"/>
          <w:sz w:val="24"/>
          <w:szCs w:val="24"/>
        </w:rPr>
        <w:t>2022.10161.BD</w:t>
      </w:r>
      <w:proofErr w:type="gramEnd"/>
      <w:r w:rsidRPr="006B731C">
        <w:rPr>
          <w:rFonts w:ascii="Calibri" w:hAnsi="Calibri" w:cs="Calibri"/>
          <w:sz w:val="24"/>
          <w:szCs w:val="24"/>
        </w:rPr>
        <w:t>), and Rafael G Costa (</w:t>
      </w:r>
      <w:r w:rsidR="00F81B21" w:rsidRPr="006B731C">
        <w:rPr>
          <w:rFonts w:ascii="Calibri" w:hAnsi="Calibri" w:cs="Calibri"/>
          <w:sz w:val="24"/>
          <w:szCs w:val="24"/>
        </w:rPr>
        <w:t>2022. 11973.BD</w:t>
      </w:r>
      <w:r w:rsidRPr="006B731C">
        <w:rPr>
          <w:rFonts w:ascii="Calibri" w:hAnsi="Calibri" w:cs="Calibri"/>
          <w:sz w:val="24"/>
          <w:szCs w:val="24"/>
        </w:rPr>
        <w:t>).</w:t>
      </w:r>
    </w:p>
    <w:p w14:paraId="0F45DCB7" w14:textId="77777777" w:rsidR="00600B5E" w:rsidRPr="006B731C" w:rsidRDefault="00600B5E" w:rsidP="006B731C">
      <w:pPr>
        <w:spacing w:after="0" w:line="240" w:lineRule="auto"/>
        <w:jc w:val="both"/>
        <w:rPr>
          <w:rFonts w:ascii="Calibri" w:hAnsi="Calibri" w:cs="Calibri"/>
          <w:b/>
          <w:sz w:val="24"/>
          <w:szCs w:val="24"/>
        </w:rPr>
      </w:pPr>
    </w:p>
    <w:p w14:paraId="06311241" w14:textId="553F26CE" w:rsidR="00600B5E" w:rsidRPr="006B731C" w:rsidRDefault="009A7CD2" w:rsidP="006B731C">
      <w:pPr>
        <w:spacing w:after="0" w:line="240" w:lineRule="auto"/>
        <w:jc w:val="both"/>
        <w:rPr>
          <w:rFonts w:ascii="Calibri" w:hAnsi="Calibri" w:cs="Calibri"/>
          <w:b/>
          <w:sz w:val="24"/>
          <w:szCs w:val="24"/>
        </w:rPr>
      </w:pPr>
      <w:r w:rsidRPr="006B731C">
        <w:rPr>
          <w:rFonts w:ascii="Calibri" w:hAnsi="Calibri" w:cs="Calibri"/>
          <w:b/>
          <w:sz w:val="24"/>
          <w:szCs w:val="24"/>
        </w:rPr>
        <w:t>D</w:t>
      </w:r>
      <w:r w:rsidR="00BB75AC" w:rsidRPr="006B731C">
        <w:rPr>
          <w:rFonts w:ascii="Calibri" w:hAnsi="Calibri" w:cs="Calibri"/>
          <w:b/>
          <w:sz w:val="24"/>
          <w:szCs w:val="24"/>
        </w:rPr>
        <w:t>ISCLOSURES:</w:t>
      </w:r>
    </w:p>
    <w:p w14:paraId="2395FCD0" w14:textId="77777777" w:rsidR="00600B5E" w:rsidRPr="006B731C" w:rsidRDefault="009A7CD2" w:rsidP="006B731C">
      <w:pPr>
        <w:spacing w:after="0" w:line="240" w:lineRule="auto"/>
        <w:jc w:val="both"/>
        <w:rPr>
          <w:rFonts w:ascii="Calibri" w:hAnsi="Calibri" w:cs="Calibri"/>
          <w:sz w:val="24"/>
          <w:szCs w:val="24"/>
        </w:rPr>
      </w:pPr>
      <w:r w:rsidRPr="006B731C">
        <w:rPr>
          <w:rFonts w:ascii="Calibri" w:hAnsi="Calibri" w:cs="Calibri"/>
          <w:sz w:val="24"/>
          <w:szCs w:val="24"/>
        </w:rPr>
        <w:t>The authors declare no competing interests.</w:t>
      </w:r>
    </w:p>
    <w:p w14:paraId="4C10900D" w14:textId="77777777" w:rsidR="00600B5E" w:rsidRPr="006B731C" w:rsidRDefault="00600B5E" w:rsidP="006B731C">
      <w:pPr>
        <w:spacing w:after="0" w:line="240" w:lineRule="auto"/>
        <w:jc w:val="both"/>
        <w:rPr>
          <w:rFonts w:ascii="Calibri" w:hAnsi="Calibri" w:cs="Calibri"/>
          <w:b/>
          <w:sz w:val="24"/>
          <w:szCs w:val="24"/>
        </w:rPr>
      </w:pPr>
    </w:p>
    <w:p w14:paraId="3273306B" w14:textId="15068E40" w:rsidR="00600B5E" w:rsidRPr="006B731C" w:rsidRDefault="009A7CD2" w:rsidP="006B731C">
      <w:pPr>
        <w:spacing w:after="0" w:line="240" w:lineRule="auto"/>
        <w:jc w:val="both"/>
        <w:rPr>
          <w:rFonts w:ascii="Calibri" w:hAnsi="Calibri" w:cs="Calibri"/>
          <w:b/>
          <w:sz w:val="24"/>
          <w:szCs w:val="24"/>
        </w:rPr>
      </w:pPr>
      <w:r w:rsidRPr="006B731C">
        <w:rPr>
          <w:rFonts w:ascii="Calibri" w:hAnsi="Calibri" w:cs="Calibri"/>
          <w:b/>
          <w:sz w:val="24"/>
          <w:szCs w:val="24"/>
        </w:rPr>
        <w:t>R</w:t>
      </w:r>
      <w:r w:rsidR="00BB75AC" w:rsidRPr="006B731C">
        <w:rPr>
          <w:rFonts w:ascii="Calibri" w:hAnsi="Calibri" w:cs="Calibri"/>
          <w:b/>
          <w:sz w:val="24"/>
          <w:szCs w:val="24"/>
        </w:rPr>
        <w:t>EFERENCES:</w:t>
      </w:r>
    </w:p>
    <w:p w14:paraId="38D4886F" w14:textId="19F144A5" w:rsidR="007A6F0C" w:rsidRPr="006B731C" w:rsidRDefault="00A52D19" w:rsidP="006B731C">
      <w:pPr>
        <w:pStyle w:val="Bibliografia"/>
        <w:jc w:val="both"/>
        <w:rPr>
          <w:rFonts w:ascii="Calibri" w:hAnsi="Calibri" w:cs="Calibri"/>
          <w:sz w:val="24"/>
          <w:szCs w:val="24"/>
        </w:rPr>
      </w:pPr>
      <w:r w:rsidRPr="006B731C">
        <w:rPr>
          <w:rFonts w:ascii="Calibri" w:hAnsi="Calibri" w:cs="Calibri"/>
          <w:sz w:val="24"/>
          <w:szCs w:val="24"/>
        </w:rPr>
        <w:fldChar w:fldCharType="begin"/>
      </w:r>
      <w:r w:rsidR="00675E68" w:rsidRPr="006B731C">
        <w:rPr>
          <w:rFonts w:ascii="Calibri" w:hAnsi="Calibri" w:cs="Calibri"/>
          <w:sz w:val="24"/>
          <w:szCs w:val="24"/>
        </w:rPr>
        <w:instrText xml:space="preserve"> ADDIN ZOTERO_BIBL {"uncited":[],"omitted":[],"custom":[]} CSL_BIBLIOGRAPHY </w:instrText>
      </w:r>
      <w:r w:rsidRPr="006B731C">
        <w:rPr>
          <w:rFonts w:ascii="Calibri" w:hAnsi="Calibri" w:cs="Calibri"/>
          <w:sz w:val="24"/>
          <w:szCs w:val="24"/>
        </w:rPr>
        <w:fldChar w:fldCharType="separate"/>
      </w:r>
      <w:r w:rsidR="007A6F0C" w:rsidRPr="006B731C">
        <w:rPr>
          <w:rFonts w:ascii="Calibri" w:hAnsi="Calibri" w:cs="Calibri"/>
          <w:sz w:val="24"/>
          <w:szCs w:val="24"/>
        </w:rPr>
        <w:t>1.</w:t>
      </w:r>
      <w:r w:rsidR="007A6F0C" w:rsidRPr="006B731C">
        <w:rPr>
          <w:rFonts w:ascii="Calibri" w:hAnsi="Calibri" w:cs="Calibri"/>
          <w:sz w:val="24"/>
          <w:szCs w:val="24"/>
        </w:rPr>
        <w:tab/>
        <w:t>Afonso-Reis, R., Afonso, I.</w:t>
      </w:r>
      <w:r w:rsidR="008D61E8">
        <w:rPr>
          <w:rFonts w:ascii="Calibri" w:hAnsi="Calibri" w:cs="Calibri"/>
          <w:sz w:val="24"/>
          <w:szCs w:val="24"/>
        </w:rPr>
        <w:t xml:space="preserve"> </w:t>
      </w:r>
      <w:r w:rsidR="007A6F0C" w:rsidRPr="006B731C">
        <w:rPr>
          <w:rFonts w:ascii="Calibri" w:hAnsi="Calibri" w:cs="Calibri"/>
          <w:sz w:val="24"/>
          <w:szCs w:val="24"/>
        </w:rPr>
        <w:t xml:space="preserve">T., Nóbrega, C. Current Status of Gene Therapy Research in Polyglutamine Spinocerebellar Ataxias. </w:t>
      </w:r>
      <w:r w:rsidR="007A6F0C" w:rsidRPr="006B731C">
        <w:rPr>
          <w:rFonts w:ascii="Calibri" w:hAnsi="Calibri" w:cs="Calibri"/>
          <w:i/>
          <w:iCs/>
          <w:sz w:val="24"/>
          <w:szCs w:val="24"/>
        </w:rPr>
        <w:t>Int</w:t>
      </w:r>
      <w:r w:rsidR="008D61E8">
        <w:rPr>
          <w:rFonts w:ascii="Calibri" w:hAnsi="Calibri" w:cs="Calibri"/>
          <w:i/>
          <w:iCs/>
          <w:sz w:val="24"/>
          <w:szCs w:val="24"/>
        </w:rPr>
        <w:t xml:space="preserve"> </w:t>
      </w:r>
      <w:r w:rsidR="007A6F0C" w:rsidRPr="006B731C">
        <w:rPr>
          <w:rFonts w:ascii="Calibri" w:hAnsi="Calibri" w:cs="Calibri"/>
          <w:i/>
          <w:iCs/>
          <w:sz w:val="24"/>
          <w:szCs w:val="24"/>
        </w:rPr>
        <w:t>J Mol Sci</w:t>
      </w:r>
      <w:r w:rsidR="007A6F0C" w:rsidRPr="006B731C">
        <w:rPr>
          <w:rFonts w:ascii="Calibri" w:hAnsi="Calibri" w:cs="Calibri"/>
          <w:sz w:val="24"/>
          <w:szCs w:val="24"/>
        </w:rPr>
        <w:t xml:space="preserve">. </w:t>
      </w:r>
      <w:r w:rsidR="007A6F0C" w:rsidRPr="006B731C">
        <w:rPr>
          <w:rFonts w:ascii="Calibri" w:hAnsi="Calibri" w:cs="Calibri"/>
          <w:b/>
          <w:bCs/>
          <w:sz w:val="24"/>
          <w:szCs w:val="24"/>
        </w:rPr>
        <w:t>22</w:t>
      </w:r>
      <w:r w:rsidR="007A6F0C" w:rsidRPr="006B731C">
        <w:rPr>
          <w:rFonts w:ascii="Calibri" w:hAnsi="Calibri" w:cs="Calibri"/>
          <w:sz w:val="24"/>
          <w:szCs w:val="24"/>
        </w:rPr>
        <w:t xml:space="preserve"> (8), 4249 (2021).</w:t>
      </w:r>
    </w:p>
    <w:p w14:paraId="4C82E2F7" w14:textId="5CF7E543"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2.</w:t>
      </w:r>
      <w:r w:rsidRPr="006B731C">
        <w:rPr>
          <w:rFonts w:ascii="Calibri" w:hAnsi="Calibri" w:cs="Calibri"/>
          <w:sz w:val="24"/>
          <w:szCs w:val="24"/>
        </w:rPr>
        <w:tab/>
        <w:t xml:space="preserve">Durr, A. Autosomal dominant cerebellar ataxias: polyglutamine expansions and beyond. </w:t>
      </w:r>
      <w:r w:rsidRPr="006B731C">
        <w:rPr>
          <w:rFonts w:ascii="Calibri" w:hAnsi="Calibri" w:cs="Calibri"/>
          <w:i/>
          <w:iCs/>
          <w:sz w:val="24"/>
          <w:szCs w:val="24"/>
        </w:rPr>
        <w:t>Lancet Neurol</w:t>
      </w:r>
      <w:r w:rsidRPr="006B731C">
        <w:rPr>
          <w:rFonts w:ascii="Calibri" w:hAnsi="Calibri" w:cs="Calibri"/>
          <w:sz w:val="24"/>
          <w:szCs w:val="24"/>
        </w:rPr>
        <w:t xml:space="preserve">. </w:t>
      </w:r>
      <w:r w:rsidRPr="006B731C">
        <w:rPr>
          <w:rFonts w:ascii="Calibri" w:hAnsi="Calibri" w:cs="Calibri"/>
          <w:b/>
          <w:bCs/>
          <w:sz w:val="24"/>
          <w:szCs w:val="24"/>
        </w:rPr>
        <w:t>9</w:t>
      </w:r>
      <w:r w:rsidRPr="006B731C">
        <w:rPr>
          <w:rFonts w:ascii="Calibri" w:hAnsi="Calibri" w:cs="Calibri"/>
          <w:sz w:val="24"/>
          <w:szCs w:val="24"/>
        </w:rPr>
        <w:t xml:space="preserve"> (9), 885–894 (2010).</w:t>
      </w:r>
    </w:p>
    <w:p w14:paraId="5449F2FF" w14:textId="53FE9097"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3.</w:t>
      </w:r>
      <w:r w:rsidRPr="006B731C">
        <w:rPr>
          <w:rFonts w:ascii="Calibri" w:hAnsi="Calibri" w:cs="Calibri"/>
          <w:sz w:val="24"/>
          <w:szCs w:val="24"/>
        </w:rPr>
        <w:tab/>
        <w:t>McIntosh, C.</w:t>
      </w:r>
      <w:r w:rsidR="008D61E8">
        <w:rPr>
          <w:rFonts w:ascii="Calibri" w:hAnsi="Calibri" w:cs="Calibri"/>
          <w:sz w:val="24"/>
          <w:szCs w:val="24"/>
        </w:rPr>
        <w:t xml:space="preserve"> </w:t>
      </w:r>
      <w:r w:rsidRPr="006B731C">
        <w:rPr>
          <w:rFonts w:ascii="Calibri" w:hAnsi="Calibri" w:cs="Calibri"/>
          <w:sz w:val="24"/>
          <w:szCs w:val="24"/>
        </w:rPr>
        <w:t>S., Li, D., Wilton, S.</w:t>
      </w:r>
      <w:r w:rsidR="008D61E8">
        <w:rPr>
          <w:rFonts w:ascii="Calibri" w:hAnsi="Calibri" w:cs="Calibri"/>
          <w:sz w:val="24"/>
          <w:szCs w:val="24"/>
        </w:rPr>
        <w:t xml:space="preserve"> </w:t>
      </w:r>
      <w:r w:rsidRPr="006B731C">
        <w:rPr>
          <w:rFonts w:ascii="Calibri" w:hAnsi="Calibri" w:cs="Calibri"/>
          <w:sz w:val="24"/>
          <w:szCs w:val="24"/>
        </w:rPr>
        <w:t>D., Aung-Htut, M.</w:t>
      </w:r>
      <w:r w:rsidR="008D61E8">
        <w:rPr>
          <w:rFonts w:ascii="Calibri" w:hAnsi="Calibri" w:cs="Calibri"/>
          <w:sz w:val="24"/>
          <w:szCs w:val="24"/>
        </w:rPr>
        <w:t xml:space="preserve"> </w:t>
      </w:r>
      <w:r w:rsidRPr="006B731C">
        <w:rPr>
          <w:rFonts w:ascii="Calibri" w:hAnsi="Calibri" w:cs="Calibri"/>
          <w:sz w:val="24"/>
          <w:szCs w:val="24"/>
        </w:rPr>
        <w:t xml:space="preserve">T. Polyglutamine Ataxias: Our Current Molecular Understanding and What the Future Holds for Antisense Therapies. </w:t>
      </w:r>
      <w:r w:rsidRPr="006B731C">
        <w:rPr>
          <w:rFonts w:ascii="Calibri" w:hAnsi="Calibri" w:cs="Calibri"/>
          <w:i/>
          <w:iCs/>
          <w:sz w:val="24"/>
          <w:szCs w:val="24"/>
        </w:rPr>
        <w:t>Biomedicines</w:t>
      </w:r>
      <w:r w:rsidRPr="006B731C">
        <w:rPr>
          <w:rFonts w:ascii="Calibri" w:hAnsi="Calibri" w:cs="Calibri"/>
          <w:sz w:val="24"/>
          <w:szCs w:val="24"/>
        </w:rPr>
        <w:t xml:space="preserve">. </w:t>
      </w:r>
      <w:r w:rsidRPr="006B731C">
        <w:rPr>
          <w:rFonts w:ascii="Calibri" w:hAnsi="Calibri" w:cs="Calibri"/>
          <w:b/>
          <w:bCs/>
          <w:sz w:val="24"/>
          <w:szCs w:val="24"/>
        </w:rPr>
        <w:t>9</w:t>
      </w:r>
      <w:r w:rsidRPr="006B731C">
        <w:rPr>
          <w:rFonts w:ascii="Calibri" w:hAnsi="Calibri" w:cs="Calibri"/>
          <w:sz w:val="24"/>
          <w:szCs w:val="24"/>
        </w:rPr>
        <w:t xml:space="preserve"> (11), 1499 (2021).</w:t>
      </w:r>
    </w:p>
    <w:p w14:paraId="33FC159A" w14:textId="5E48E72B"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4.</w:t>
      </w:r>
      <w:r w:rsidRPr="006B731C">
        <w:rPr>
          <w:rFonts w:ascii="Calibri" w:hAnsi="Calibri" w:cs="Calibri"/>
          <w:sz w:val="24"/>
          <w:szCs w:val="24"/>
        </w:rPr>
        <w:tab/>
        <w:t xml:space="preserve">Henriques, C. </w:t>
      </w:r>
      <w:r w:rsidRPr="008D61E8">
        <w:rPr>
          <w:rFonts w:ascii="Calibri" w:hAnsi="Calibri" w:cs="Calibri"/>
          <w:sz w:val="24"/>
          <w:szCs w:val="24"/>
        </w:rPr>
        <w:t>et al</w:t>
      </w:r>
      <w:r w:rsidRPr="006B731C">
        <w:rPr>
          <w:rFonts w:ascii="Calibri" w:hAnsi="Calibri" w:cs="Calibri"/>
          <w:i/>
          <w:iCs/>
          <w:sz w:val="24"/>
          <w:szCs w:val="24"/>
        </w:rPr>
        <w:t>.</w:t>
      </w:r>
      <w:r w:rsidRPr="006B731C">
        <w:rPr>
          <w:rFonts w:ascii="Calibri" w:hAnsi="Calibri" w:cs="Calibri"/>
          <w:sz w:val="24"/>
          <w:szCs w:val="24"/>
        </w:rPr>
        <w:t xml:space="preserve"> Viral-based animal models in polyglutamine disorders. </w:t>
      </w:r>
      <w:r w:rsidRPr="006B731C">
        <w:rPr>
          <w:rFonts w:ascii="Calibri" w:hAnsi="Calibri" w:cs="Calibri"/>
          <w:i/>
          <w:iCs/>
          <w:sz w:val="24"/>
          <w:szCs w:val="24"/>
        </w:rPr>
        <w:t>Brain</w:t>
      </w:r>
      <w:r w:rsidRPr="006B731C">
        <w:rPr>
          <w:rFonts w:ascii="Calibri" w:hAnsi="Calibri" w:cs="Calibri"/>
          <w:sz w:val="24"/>
          <w:szCs w:val="24"/>
        </w:rPr>
        <w:t xml:space="preserve">. </w:t>
      </w:r>
      <w:r w:rsidRPr="006B731C">
        <w:rPr>
          <w:rFonts w:ascii="Calibri" w:hAnsi="Calibri" w:cs="Calibri"/>
          <w:b/>
          <w:bCs/>
          <w:sz w:val="24"/>
          <w:szCs w:val="24"/>
        </w:rPr>
        <w:t>147</w:t>
      </w:r>
      <w:r w:rsidRPr="006B731C">
        <w:rPr>
          <w:rFonts w:ascii="Calibri" w:hAnsi="Calibri" w:cs="Calibri"/>
          <w:sz w:val="24"/>
          <w:szCs w:val="24"/>
        </w:rPr>
        <w:t xml:space="preserve"> (4), 1166–1189 (2024).</w:t>
      </w:r>
    </w:p>
    <w:p w14:paraId="68D57D2D" w14:textId="59427C21"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5.</w:t>
      </w:r>
      <w:r w:rsidRPr="006B731C">
        <w:rPr>
          <w:rFonts w:ascii="Calibri" w:hAnsi="Calibri" w:cs="Calibri"/>
          <w:sz w:val="24"/>
          <w:szCs w:val="24"/>
        </w:rPr>
        <w:tab/>
        <w:t>Doyle, A., McGarry, M.</w:t>
      </w:r>
      <w:r w:rsidR="008D61E8">
        <w:rPr>
          <w:rFonts w:ascii="Calibri" w:hAnsi="Calibri" w:cs="Calibri"/>
          <w:sz w:val="24"/>
          <w:szCs w:val="24"/>
        </w:rPr>
        <w:t xml:space="preserve"> </w:t>
      </w:r>
      <w:r w:rsidRPr="006B731C">
        <w:rPr>
          <w:rFonts w:ascii="Calibri" w:hAnsi="Calibri" w:cs="Calibri"/>
          <w:sz w:val="24"/>
          <w:szCs w:val="24"/>
        </w:rPr>
        <w:t>P., Lee, N.</w:t>
      </w:r>
      <w:r w:rsidR="008D61E8">
        <w:rPr>
          <w:rFonts w:ascii="Calibri" w:hAnsi="Calibri" w:cs="Calibri"/>
          <w:sz w:val="24"/>
          <w:szCs w:val="24"/>
        </w:rPr>
        <w:t xml:space="preserve"> </w:t>
      </w:r>
      <w:r w:rsidRPr="006B731C">
        <w:rPr>
          <w:rFonts w:ascii="Calibri" w:hAnsi="Calibri" w:cs="Calibri"/>
          <w:sz w:val="24"/>
          <w:szCs w:val="24"/>
        </w:rPr>
        <w:t>A., Lee, J.</w:t>
      </w:r>
      <w:r w:rsidR="008D61E8">
        <w:rPr>
          <w:rFonts w:ascii="Calibri" w:hAnsi="Calibri" w:cs="Calibri"/>
          <w:sz w:val="24"/>
          <w:szCs w:val="24"/>
        </w:rPr>
        <w:t xml:space="preserve"> </w:t>
      </w:r>
      <w:r w:rsidRPr="006B731C">
        <w:rPr>
          <w:rFonts w:ascii="Calibri" w:hAnsi="Calibri" w:cs="Calibri"/>
          <w:sz w:val="24"/>
          <w:szCs w:val="24"/>
        </w:rPr>
        <w:t xml:space="preserve">J. The Construction of Transgenic and Gene Knockout/Knockin Mouse Models of Human Disease. </w:t>
      </w:r>
      <w:r w:rsidRPr="006B731C">
        <w:rPr>
          <w:rFonts w:ascii="Calibri" w:hAnsi="Calibri" w:cs="Calibri"/>
          <w:i/>
          <w:iCs/>
          <w:sz w:val="24"/>
          <w:szCs w:val="24"/>
        </w:rPr>
        <w:t xml:space="preserve">Transg </w:t>
      </w:r>
      <w:r w:rsidR="008D61E8">
        <w:rPr>
          <w:rFonts w:ascii="Calibri" w:hAnsi="Calibri" w:cs="Calibri"/>
          <w:i/>
          <w:iCs/>
          <w:sz w:val="24"/>
          <w:szCs w:val="24"/>
        </w:rPr>
        <w:t>R</w:t>
      </w:r>
      <w:r w:rsidRPr="006B731C">
        <w:rPr>
          <w:rFonts w:ascii="Calibri" w:hAnsi="Calibri" w:cs="Calibri"/>
          <w:i/>
          <w:iCs/>
          <w:sz w:val="24"/>
          <w:szCs w:val="24"/>
        </w:rPr>
        <w:t>es</w:t>
      </w:r>
      <w:r w:rsidRPr="006B731C">
        <w:rPr>
          <w:rFonts w:ascii="Calibri" w:hAnsi="Calibri" w:cs="Calibri"/>
          <w:sz w:val="24"/>
          <w:szCs w:val="24"/>
        </w:rPr>
        <w:t xml:space="preserve">. </w:t>
      </w:r>
      <w:r w:rsidRPr="006B731C">
        <w:rPr>
          <w:rFonts w:ascii="Calibri" w:hAnsi="Calibri" w:cs="Calibri"/>
          <w:b/>
          <w:bCs/>
          <w:sz w:val="24"/>
          <w:szCs w:val="24"/>
        </w:rPr>
        <w:t>21</w:t>
      </w:r>
      <w:r w:rsidRPr="006B731C">
        <w:rPr>
          <w:rFonts w:ascii="Calibri" w:hAnsi="Calibri" w:cs="Calibri"/>
          <w:sz w:val="24"/>
          <w:szCs w:val="24"/>
        </w:rPr>
        <w:t xml:space="preserve"> (2), 327–349</w:t>
      </w:r>
      <w:r w:rsidR="008D61E8">
        <w:rPr>
          <w:rFonts w:ascii="Calibri" w:hAnsi="Calibri" w:cs="Calibri"/>
          <w:sz w:val="24"/>
          <w:szCs w:val="24"/>
        </w:rPr>
        <w:t xml:space="preserve"> </w:t>
      </w:r>
      <w:r w:rsidRPr="006B731C">
        <w:rPr>
          <w:rFonts w:ascii="Calibri" w:hAnsi="Calibri" w:cs="Calibri"/>
          <w:sz w:val="24"/>
          <w:szCs w:val="24"/>
        </w:rPr>
        <w:t>(2012).</w:t>
      </w:r>
    </w:p>
    <w:p w14:paraId="61300515" w14:textId="6B54CC3E"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6.</w:t>
      </w:r>
      <w:r w:rsidRPr="006B731C">
        <w:rPr>
          <w:rFonts w:ascii="Calibri" w:hAnsi="Calibri" w:cs="Calibri"/>
          <w:sz w:val="24"/>
          <w:szCs w:val="24"/>
        </w:rPr>
        <w:tab/>
        <w:t>Tello, J.</w:t>
      </w:r>
      <w:r w:rsidR="00E268B3">
        <w:rPr>
          <w:rFonts w:ascii="Calibri" w:hAnsi="Calibri" w:cs="Calibri"/>
          <w:sz w:val="24"/>
          <w:szCs w:val="24"/>
        </w:rPr>
        <w:t xml:space="preserve"> </w:t>
      </w:r>
      <w:r w:rsidRPr="006B731C">
        <w:rPr>
          <w:rFonts w:ascii="Calibri" w:hAnsi="Calibri" w:cs="Calibri"/>
          <w:sz w:val="24"/>
          <w:szCs w:val="24"/>
        </w:rPr>
        <w:t>A., Williams, H.</w:t>
      </w:r>
      <w:r w:rsidR="00E268B3">
        <w:rPr>
          <w:rFonts w:ascii="Calibri" w:hAnsi="Calibri" w:cs="Calibri"/>
          <w:sz w:val="24"/>
          <w:szCs w:val="24"/>
        </w:rPr>
        <w:t xml:space="preserve"> </w:t>
      </w:r>
      <w:r w:rsidRPr="006B731C">
        <w:rPr>
          <w:rFonts w:ascii="Calibri" w:hAnsi="Calibri" w:cs="Calibri"/>
          <w:sz w:val="24"/>
          <w:szCs w:val="24"/>
        </w:rPr>
        <w:t>E., Eppler, R.</w:t>
      </w:r>
      <w:r w:rsidR="00E268B3">
        <w:rPr>
          <w:rFonts w:ascii="Calibri" w:hAnsi="Calibri" w:cs="Calibri"/>
          <w:sz w:val="24"/>
          <w:szCs w:val="24"/>
        </w:rPr>
        <w:t xml:space="preserve"> </w:t>
      </w:r>
      <w:r w:rsidRPr="006B731C">
        <w:rPr>
          <w:rFonts w:ascii="Calibri" w:hAnsi="Calibri" w:cs="Calibri"/>
          <w:sz w:val="24"/>
          <w:szCs w:val="24"/>
        </w:rPr>
        <w:t>M., Steinhilb, M.</w:t>
      </w:r>
      <w:r w:rsidR="00E268B3">
        <w:rPr>
          <w:rFonts w:ascii="Calibri" w:hAnsi="Calibri" w:cs="Calibri"/>
          <w:sz w:val="24"/>
          <w:szCs w:val="24"/>
        </w:rPr>
        <w:t xml:space="preserve"> </w:t>
      </w:r>
      <w:r w:rsidRPr="006B731C">
        <w:rPr>
          <w:rFonts w:ascii="Calibri" w:hAnsi="Calibri" w:cs="Calibri"/>
          <w:sz w:val="24"/>
          <w:szCs w:val="24"/>
        </w:rPr>
        <w:t xml:space="preserve">L., Khanna, M. Animal Models of Neurodegenerative Disease: Recent Advances in Fly Highlight Innovative Approaches to Drug Discovery. </w:t>
      </w:r>
      <w:r w:rsidRPr="006B731C">
        <w:rPr>
          <w:rFonts w:ascii="Calibri" w:hAnsi="Calibri" w:cs="Calibri"/>
          <w:i/>
          <w:iCs/>
          <w:sz w:val="24"/>
          <w:szCs w:val="24"/>
        </w:rPr>
        <w:t>Front Mol Neurosci</w:t>
      </w:r>
      <w:r w:rsidRPr="006B731C">
        <w:rPr>
          <w:rFonts w:ascii="Calibri" w:hAnsi="Calibri" w:cs="Calibri"/>
          <w:sz w:val="24"/>
          <w:szCs w:val="24"/>
        </w:rPr>
        <w:t xml:space="preserve">. </w:t>
      </w:r>
      <w:r w:rsidRPr="006B731C">
        <w:rPr>
          <w:rFonts w:ascii="Calibri" w:hAnsi="Calibri" w:cs="Calibri"/>
          <w:b/>
          <w:bCs/>
          <w:sz w:val="24"/>
          <w:szCs w:val="24"/>
        </w:rPr>
        <w:t>15</w:t>
      </w:r>
      <w:r w:rsidRPr="006B731C">
        <w:rPr>
          <w:rFonts w:ascii="Calibri" w:hAnsi="Calibri" w:cs="Calibri"/>
          <w:sz w:val="24"/>
          <w:szCs w:val="24"/>
        </w:rPr>
        <w:t>,</w:t>
      </w:r>
      <w:r w:rsidR="008D61E8">
        <w:rPr>
          <w:rFonts w:ascii="Calibri" w:hAnsi="Calibri" w:cs="Calibri"/>
          <w:sz w:val="24"/>
          <w:szCs w:val="24"/>
        </w:rPr>
        <w:t xml:space="preserve"> </w:t>
      </w:r>
      <w:r w:rsidRPr="006B731C">
        <w:rPr>
          <w:rFonts w:ascii="Calibri" w:hAnsi="Calibri" w:cs="Calibri"/>
          <w:sz w:val="24"/>
          <w:szCs w:val="24"/>
        </w:rPr>
        <w:t>883358 (2022).</w:t>
      </w:r>
    </w:p>
    <w:p w14:paraId="0A3FD963" w14:textId="6B548604" w:rsidR="007A6F0C" w:rsidRPr="00E268B3" w:rsidRDefault="007A6F0C" w:rsidP="006B731C">
      <w:pPr>
        <w:pStyle w:val="Bibliografia"/>
        <w:jc w:val="both"/>
        <w:rPr>
          <w:rFonts w:ascii="Calibri" w:hAnsi="Calibri" w:cs="Calibri"/>
          <w:sz w:val="24"/>
          <w:szCs w:val="24"/>
        </w:rPr>
      </w:pPr>
      <w:r w:rsidRPr="006B731C">
        <w:rPr>
          <w:rFonts w:ascii="Calibri" w:hAnsi="Calibri" w:cs="Calibri"/>
          <w:sz w:val="24"/>
          <w:szCs w:val="24"/>
        </w:rPr>
        <w:t>7.</w:t>
      </w:r>
      <w:r w:rsidRPr="006B731C">
        <w:rPr>
          <w:rFonts w:ascii="Calibri" w:hAnsi="Calibri" w:cs="Calibri"/>
          <w:sz w:val="24"/>
          <w:szCs w:val="24"/>
        </w:rPr>
        <w:tab/>
        <w:t xml:space="preserve">Moreira-Gomes, T., Nóbrega, C. Development of a gene therapy with lentiviral vectors for spinocerebellar ataxias. </w:t>
      </w:r>
      <w:r w:rsidR="00E268B3" w:rsidRPr="00E268B3">
        <w:rPr>
          <w:rFonts w:ascii="Calibri" w:hAnsi="Calibri" w:cs="Calibri"/>
          <w:i/>
          <w:iCs/>
          <w:sz w:val="24"/>
          <w:szCs w:val="24"/>
        </w:rPr>
        <w:t xml:space="preserve">Methods Mol Biol. </w:t>
      </w:r>
      <w:r w:rsidR="00E268B3" w:rsidRPr="00E268B3">
        <w:rPr>
          <w:rFonts w:ascii="Calibri" w:hAnsi="Calibri" w:cs="Calibri"/>
          <w:b/>
          <w:bCs/>
          <w:sz w:val="24"/>
          <w:szCs w:val="24"/>
        </w:rPr>
        <w:t>2974</w:t>
      </w:r>
      <w:r w:rsidR="00E268B3" w:rsidRPr="00E268B3">
        <w:rPr>
          <w:rFonts w:ascii="Calibri" w:hAnsi="Calibri" w:cs="Calibri"/>
          <w:sz w:val="24"/>
          <w:szCs w:val="24"/>
        </w:rPr>
        <w:t>, 215-225 (2026)</w:t>
      </w:r>
      <w:r w:rsidRPr="00E268B3">
        <w:rPr>
          <w:rFonts w:ascii="Calibri" w:hAnsi="Calibri" w:cs="Calibri"/>
          <w:sz w:val="24"/>
          <w:szCs w:val="24"/>
        </w:rPr>
        <w:t>.</w:t>
      </w:r>
    </w:p>
    <w:p w14:paraId="4E836DE0" w14:textId="267FB18B"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8.</w:t>
      </w:r>
      <w:r w:rsidRPr="006B731C">
        <w:rPr>
          <w:rFonts w:ascii="Calibri" w:hAnsi="Calibri" w:cs="Calibri"/>
          <w:sz w:val="24"/>
          <w:szCs w:val="24"/>
        </w:rPr>
        <w:tab/>
        <w:t>Parr-Brownlie, L.</w:t>
      </w:r>
      <w:r w:rsidR="00E268B3">
        <w:rPr>
          <w:rFonts w:ascii="Calibri" w:hAnsi="Calibri" w:cs="Calibri"/>
          <w:sz w:val="24"/>
          <w:szCs w:val="24"/>
        </w:rPr>
        <w:t xml:space="preserve"> </w:t>
      </w:r>
      <w:r w:rsidRPr="006B731C">
        <w:rPr>
          <w:rFonts w:ascii="Calibri" w:hAnsi="Calibri" w:cs="Calibri"/>
          <w:sz w:val="24"/>
          <w:szCs w:val="24"/>
        </w:rPr>
        <w:t>C.</w:t>
      </w:r>
      <w:r w:rsidR="00E268B3">
        <w:rPr>
          <w:rFonts w:ascii="Calibri" w:hAnsi="Calibri" w:cs="Calibri"/>
          <w:sz w:val="24"/>
          <w:szCs w:val="24"/>
        </w:rPr>
        <w:t xml:space="preserve"> et al.</w:t>
      </w:r>
      <w:r w:rsidRPr="006B731C">
        <w:rPr>
          <w:rFonts w:ascii="Calibri" w:hAnsi="Calibri" w:cs="Calibri"/>
          <w:sz w:val="24"/>
          <w:szCs w:val="24"/>
        </w:rPr>
        <w:t xml:space="preserve"> Lentiviral vectors as tools to understand central nervous system biology in mammalian model organisms. </w:t>
      </w:r>
      <w:r w:rsidRPr="006B731C">
        <w:rPr>
          <w:rFonts w:ascii="Calibri" w:hAnsi="Calibri" w:cs="Calibri"/>
          <w:i/>
          <w:iCs/>
          <w:sz w:val="24"/>
          <w:szCs w:val="24"/>
        </w:rPr>
        <w:t>Front</w:t>
      </w:r>
      <w:r w:rsidR="00E268B3">
        <w:rPr>
          <w:rFonts w:ascii="Calibri" w:hAnsi="Calibri" w:cs="Calibri"/>
          <w:i/>
          <w:iCs/>
          <w:sz w:val="24"/>
          <w:szCs w:val="24"/>
        </w:rPr>
        <w:t xml:space="preserve"> </w:t>
      </w:r>
      <w:r w:rsidRPr="006B731C">
        <w:rPr>
          <w:rFonts w:ascii="Calibri" w:hAnsi="Calibri" w:cs="Calibri"/>
          <w:i/>
          <w:iCs/>
          <w:sz w:val="24"/>
          <w:szCs w:val="24"/>
        </w:rPr>
        <w:t>Mol Neurosci</w:t>
      </w:r>
      <w:r w:rsidRPr="006B731C">
        <w:rPr>
          <w:rFonts w:ascii="Calibri" w:hAnsi="Calibri" w:cs="Calibri"/>
          <w:sz w:val="24"/>
          <w:szCs w:val="24"/>
        </w:rPr>
        <w:t xml:space="preserve">. </w:t>
      </w:r>
      <w:r w:rsidRPr="006B731C">
        <w:rPr>
          <w:rFonts w:ascii="Calibri" w:hAnsi="Calibri" w:cs="Calibri"/>
          <w:b/>
          <w:bCs/>
          <w:sz w:val="24"/>
          <w:szCs w:val="24"/>
        </w:rPr>
        <w:t>8</w:t>
      </w:r>
      <w:r w:rsidRPr="006B731C">
        <w:rPr>
          <w:rFonts w:ascii="Calibri" w:hAnsi="Calibri" w:cs="Calibri"/>
          <w:sz w:val="24"/>
          <w:szCs w:val="24"/>
        </w:rPr>
        <w:t>, 14</w:t>
      </w:r>
      <w:r w:rsidR="00E268B3">
        <w:rPr>
          <w:rFonts w:ascii="Calibri" w:hAnsi="Calibri" w:cs="Calibri"/>
          <w:sz w:val="24"/>
          <w:szCs w:val="24"/>
        </w:rPr>
        <w:t xml:space="preserve"> </w:t>
      </w:r>
      <w:r w:rsidRPr="006B731C">
        <w:rPr>
          <w:rFonts w:ascii="Calibri" w:hAnsi="Calibri" w:cs="Calibri"/>
          <w:sz w:val="24"/>
          <w:szCs w:val="24"/>
        </w:rPr>
        <w:t>(2015).</w:t>
      </w:r>
    </w:p>
    <w:p w14:paraId="231B0C15" w14:textId="6FB3D0C7"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9.</w:t>
      </w:r>
      <w:r w:rsidRPr="006B731C">
        <w:rPr>
          <w:rFonts w:ascii="Calibri" w:hAnsi="Calibri" w:cs="Calibri"/>
          <w:sz w:val="24"/>
          <w:szCs w:val="24"/>
        </w:rPr>
        <w:tab/>
        <w:t xml:space="preserve">Zwi-Dantsis, L., Mohamed, S., Massaro, G., Moeendarbary, E. Adeno-Associated Virus Vectors: Principles, Practices, and Prospects in Gene Therapy. </w:t>
      </w:r>
      <w:r w:rsidRPr="006B731C">
        <w:rPr>
          <w:rFonts w:ascii="Calibri" w:hAnsi="Calibri" w:cs="Calibri"/>
          <w:i/>
          <w:iCs/>
          <w:sz w:val="24"/>
          <w:szCs w:val="24"/>
        </w:rPr>
        <w:t>Viruses</w:t>
      </w:r>
      <w:r w:rsidRPr="006B731C">
        <w:rPr>
          <w:rFonts w:ascii="Calibri" w:hAnsi="Calibri" w:cs="Calibri"/>
          <w:sz w:val="24"/>
          <w:szCs w:val="24"/>
        </w:rPr>
        <w:t xml:space="preserve">. </w:t>
      </w:r>
      <w:r w:rsidRPr="006B731C">
        <w:rPr>
          <w:rFonts w:ascii="Calibri" w:hAnsi="Calibri" w:cs="Calibri"/>
          <w:b/>
          <w:bCs/>
          <w:sz w:val="24"/>
          <w:szCs w:val="24"/>
        </w:rPr>
        <w:t>17</w:t>
      </w:r>
      <w:r w:rsidRPr="006B731C">
        <w:rPr>
          <w:rFonts w:ascii="Calibri" w:hAnsi="Calibri" w:cs="Calibri"/>
          <w:sz w:val="24"/>
          <w:szCs w:val="24"/>
        </w:rPr>
        <w:t xml:space="preserve"> (2), 239 (2025).</w:t>
      </w:r>
    </w:p>
    <w:p w14:paraId="5FAB5612" w14:textId="01F20334"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10.</w:t>
      </w:r>
      <w:r w:rsidRPr="006B731C">
        <w:rPr>
          <w:rFonts w:ascii="Calibri" w:hAnsi="Calibri" w:cs="Calibri"/>
          <w:sz w:val="24"/>
          <w:szCs w:val="24"/>
        </w:rPr>
        <w:tab/>
        <w:t xml:space="preserve">Moreira-Gomes, T., Nóbrega, C. From the disruption of RNA metabolism to the targeting of RNA-binding proteins: The case of polyglutamine spinocerebellar ataxias. </w:t>
      </w:r>
      <w:r w:rsidRPr="006B731C">
        <w:rPr>
          <w:rFonts w:ascii="Calibri" w:hAnsi="Calibri" w:cs="Calibri"/>
          <w:i/>
          <w:iCs/>
          <w:sz w:val="24"/>
          <w:szCs w:val="24"/>
        </w:rPr>
        <w:t>J Neurochem</w:t>
      </w:r>
      <w:r w:rsidRPr="006B731C">
        <w:rPr>
          <w:rFonts w:ascii="Calibri" w:hAnsi="Calibri" w:cs="Calibri"/>
          <w:sz w:val="24"/>
          <w:szCs w:val="24"/>
        </w:rPr>
        <w:t xml:space="preserve">. </w:t>
      </w:r>
      <w:r w:rsidRPr="006B731C">
        <w:rPr>
          <w:rFonts w:ascii="Calibri" w:hAnsi="Calibri" w:cs="Calibri"/>
          <w:b/>
          <w:bCs/>
          <w:sz w:val="24"/>
          <w:szCs w:val="24"/>
        </w:rPr>
        <w:t>168</w:t>
      </w:r>
      <w:r w:rsidRPr="006B731C">
        <w:rPr>
          <w:rFonts w:ascii="Calibri" w:hAnsi="Calibri" w:cs="Calibri"/>
          <w:sz w:val="24"/>
          <w:szCs w:val="24"/>
        </w:rPr>
        <w:t xml:space="preserve"> (8), 1442–1459 (2024).</w:t>
      </w:r>
    </w:p>
    <w:p w14:paraId="4B11E594" w14:textId="052F012C"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11.</w:t>
      </w:r>
      <w:r w:rsidRPr="006B731C">
        <w:rPr>
          <w:rFonts w:ascii="Calibri" w:hAnsi="Calibri" w:cs="Calibri"/>
          <w:sz w:val="24"/>
          <w:szCs w:val="24"/>
        </w:rPr>
        <w:tab/>
        <w:t xml:space="preserve">Matsuzaki, Y., Oue, M., Hirai, H. Generation of a neurodegenerative disease mouse model using lentiviral vectors carrying an enhanced synapsin I promoter. </w:t>
      </w:r>
      <w:r w:rsidRPr="006B731C">
        <w:rPr>
          <w:rFonts w:ascii="Calibri" w:hAnsi="Calibri" w:cs="Calibri"/>
          <w:i/>
          <w:iCs/>
          <w:sz w:val="24"/>
          <w:szCs w:val="24"/>
        </w:rPr>
        <w:t>J Neurosci Meth</w:t>
      </w:r>
      <w:r w:rsidRPr="006B731C">
        <w:rPr>
          <w:rFonts w:ascii="Calibri" w:hAnsi="Calibri" w:cs="Calibri"/>
          <w:sz w:val="24"/>
          <w:szCs w:val="24"/>
        </w:rPr>
        <w:t xml:space="preserve">. </w:t>
      </w:r>
      <w:r w:rsidRPr="006B731C">
        <w:rPr>
          <w:rFonts w:ascii="Calibri" w:hAnsi="Calibri" w:cs="Calibri"/>
          <w:b/>
          <w:bCs/>
          <w:sz w:val="24"/>
          <w:szCs w:val="24"/>
        </w:rPr>
        <w:t>223</w:t>
      </w:r>
      <w:r w:rsidRPr="006B731C">
        <w:rPr>
          <w:rFonts w:ascii="Calibri" w:hAnsi="Calibri" w:cs="Calibri"/>
          <w:sz w:val="24"/>
          <w:szCs w:val="24"/>
        </w:rPr>
        <w:t>, 133–143 (2014).</w:t>
      </w:r>
    </w:p>
    <w:p w14:paraId="08A12DF8" w14:textId="58F3A370"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12.</w:t>
      </w:r>
      <w:r w:rsidRPr="006B731C">
        <w:rPr>
          <w:rFonts w:ascii="Calibri" w:hAnsi="Calibri" w:cs="Calibri"/>
          <w:sz w:val="24"/>
          <w:szCs w:val="24"/>
        </w:rPr>
        <w:tab/>
        <w:t xml:space="preserve">Marcelo, A. </w:t>
      </w:r>
      <w:r w:rsidRPr="00E268B3">
        <w:rPr>
          <w:rFonts w:ascii="Calibri" w:hAnsi="Calibri" w:cs="Calibri"/>
          <w:sz w:val="24"/>
          <w:szCs w:val="24"/>
        </w:rPr>
        <w:t xml:space="preserve">et al. </w:t>
      </w:r>
      <w:r w:rsidRPr="006B731C">
        <w:rPr>
          <w:rFonts w:ascii="Calibri" w:hAnsi="Calibri" w:cs="Calibri"/>
          <w:sz w:val="24"/>
          <w:szCs w:val="24"/>
        </w:rPr>
        <w:t xml:space="preserve">Autophagy in Spinocerebellar ataxia type 2, a dysregulated pathway, and a target for therapy. </w:t>
      </w:r>
      <w:r w:rsidRPr="006B731C">
        <w:rPr>
          <w:rFonts w:ascii="Calibri" w:hAnsi="Calibri" w:cs="Calibri"/>
          <w:i/>
          <w:iCs/>
          <w:sz w:val="24"/>
          <w:szCs w:val="24"/>
        </w:rPr>
        <w:t>Cell Death Dis</w:t>
      </w:r>
      <w:r w:rsidRPr="006B731C">
        <w:rPr>
          <w:rFonts w:ascii="Calibri" w:hAnsi="Calibri" w:cs="Calibri"/>
          <w:sz w:val="24"/>
          <w:szCs w:val="24"/>
        </w:rPr>
        <w:t xml:space="preserve">. </w:t>
      </w:r>
      <w:r w:rsidRPr="006B731C">
        <w:rPr>
          <w:rFonts w:ascii="Calibri" w:hAnsi="Calibri" w:cs="Calibri"/>
          <w:b/>
          <w:bCs/>
          <w:sz w:val="24"/>
          <w:szCs w:val="24"/>
        </w:rPr>
        <w:t>12</w:t>
      </w:r>
      <w:r w:rsidRPr="006B731C">
        <w:rPr>
          <w:rFonts w:ascii="Calibri" w:hAnsi="Calibri" w:cs="Calibri"/>
          <w:sz w:val="24"/>
          <w:szCs w:val="24"/>
        </w:rPr>
        <w:t xml:space="preserve"> (12), 1117 (2021).</w:t>
      </w:r>
    </w:p>
    <w:p w14:paraId="3ACAB119" w14:textId="30761BC3" w:rsidR="007A6F0C" w:rsidRPr="006B731C" w:rsidRDefault="007A6F0C" w:rsidP="00F81B21">
      <w:pPr>
        <w:pStyle w:val="Bibliografia"/>
        <w:jc w:val="both"/>
        <w:rPr>
          <w:rFonts w:ascii="Calibri" w:hAnsi="Calibri" w:cs="Calibri"/>
          <w:sz w:val="24"/>
          <w:szCs w:val="24"/>
        </w:rPr>
      </w:pPr>
      <w:r w:rsidRPr="006B731C">
        <w:rPr>
          <w:rFonts w:ascii="Calibri" w:hAnsi="Calibri" w:cs="Calibri"/>
          <w:sz w:val="24"/>
          <w:szCs w:val="24"/>
        </w:rPr>
        <w:t>13.</w:t>
      </w:r>
      <w:r w:rsidRPr="006B731C">
        <w:rPr>
          <w:rFonts w:ascii="Calibri" w:hAnsi="Calibri" w:cs="Calibri"/>
          <w:sz w:val="24"/>
          <w:szCs w:val="24"/>
        </w:rPr>
        <w:tab/>
        <w:t xml:space="preserve">Alves, S. </w:t>
      </w:r>
      <w:r w:rsidRPr="00E268B3">
        <w:rPr>
          <w:rFonts w:ascii="Calibri" w:hAnsi="Calibri" w:cs="Calibri"/>
          <w:sz w:val="24"/>
          <w:szCs w:val="24"/>
        </w:rPr>
        <w:t xml:space="preserve">et al. </w:t>
      </w:r>
      <w:r w:rsidRPr="006B731C">
        <w:rPr>
          <w:rFonts w:ascii="Calibri" w:hAnsi="Calibri" w:cs="Calibri"/>
          <w:sz w:val="24"/>
          <w:szCs w:val="24"/>
        </w:rPr>
        <w:t xml:space="preserve">Striatal and nigral pathology in a lentiviral rat model of Machado-Joseph disease. </w:t>
      </w:r>
      <w:r w:rsidRPr="006B731C">
        <w:rPr>
          <w:rFonts w:ascii="Calibri" w:hAnsi="Calibri" w:cs="Calibri"/>
          <w:i/>
          <w:iCs/>
          <w:sz w:val="24"/>
          <w:szCs w:val="24"/>
        </w:rPr>
        <w:t>Human Mol Genet</w:t>
      </w:r>
      <w:r w:rsidRPr="006B731C">
        <w:rPr>
          <w:rFonts w:ascii="Calibri" w:hAnsi="Calibri" w:cs="Calibri"/>
          <w:sz w:val="24"/>
          <w:szCs w:val="24"/>
        </w:rPr>
        <w:t xml:space="preserve">. </w:t>
      </w:r>
      <w:r w:rsidRPr="006B731C">
        <w:rPr>
          <w:rFonts w:ascii="Calibri" w:hAnsi="Calibri" w:cs="Calibri"/>
          <w:b/>
          <w:bCs/>
          <w:sz w:val="24"/>
          <w:szCs w:val="24"/>
        </w:rPr>
        <w:t>17</w:t>
      </w:r>
      <w:r w:rsidRPr="006B731C">
        <w:rPr>
          <w:rFonts w:ascii="Calibri" w:hAnsi="Calibri" w:cs="Calibri"/>
          <w:sz w:val="24"/>
          <w:szCs w:val="24"/>
        </w:rPr>
        <w:t xml:space="preserve"> (14), 2071–2083 (2008).</w:t>
      </w:r>
    </w:p>
    <w:p w14:paraId="0CF8F1D7" w14:textId="480D1774"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1</w:t>
      </w:r>
      <w:r w:rsidR="00F81B21">
        <w:rPr>
          <w:rFonts w:ascii="Calibri" w:hAnsi="Calibri" w:cs="Calibri"/>
          <w:sz w:val="24"/>
          <w:szCs w:val="24"/>
        </w:rPr>
        <w:t>4</w:t>
      </w:r>
      <w:r w:rsidRPr="006B731C">
        <w:rPr>
          <w:rFonts w:ascii="Calibri" w:hAnsi="Calibri" w:cs="Calibri"/>
          <w:sz w:val="24"/>
          <w:szCs w:val="24"/>
        </w:rPr>
        <w:t>.</w:t>
      </w:r>
      <w:r w:rsidRPr="006B731C">
        <w:rPr>
          <w:rFonts w:ascii="Calibri" w:hAnsi="Calibri" w:cs="Calibri"/>
          <w:sz w:val="24"/>
          <w:szCs w:val="24"/>
        </w:rPr>
        <w:tab/>
        <w:t xml:space="preserve">Alves, S. </w:t>
      </w:r>
      <w:r w:rsidRPr="00E268B3">
        <w:rPr>
          <w:rFonts w:ascii="Calibri" w:hAnsi="Calibri" w:cs="Calibri"/>
          <w:sz w:val="24"/>
          <w:szCs w:val="24"/>
        </w:rPr>
        <w:t xml:space="preserve">et al. </w:t>
      </w:r>
      <w:r w:rsidRPr="006B731C">
        <w:rPr>
          <w:rFonts w:ascii="Calibri" w:hAnsi="Calibri" w:cs="Calibri"/>
          <w:sz w:val="24"/>
          <w:szCs w:val="24"/>
        </w:rPr>
        <w:t xml:space="preserve">Lentiviral vector-mediated overexpression of mutant ataxin-7 recapitulates SCA7 pathology and promotes accumulation of the FUS/TLS and MBNL1 RNA-binding proteins. </w:t>
      </w:r>
      <w:r w:rsidRPr="006B731C">
        <w:rPr>
          <w:rFonts w:ascii="Calibri" w:hAnsi="Calibri" w:cs="Calibri"/>
          <w:i/>
          <w:iCs/>
          <w:sz w:val="24"/>
          <w:szCs w:val="24"/>
        </w:rPr>
        <w:t>Mol Neurodegenerat</w:t>
      </w:r>
      <w:r w:rsidRPr="006B731C">
        <w:rPr>
          <w:rFonts w:ascii="Calibri" w:hAnsi="Calibri" w:cs="Calibri"/>
          <w:sz w:val="24"/>
          <w:szCs w:val="24"/>
        </w:rPr>
        <w:t xml:space="preserve">. </w:t>
      </w:r>
      <w:r w:rsidRPr="006B731C">
        <w:rPr>
          <w:rFonts w:ascii="Calibri" w:hAnsi="Calibri" w:cs="Calibri"/>
          <w:b/>
          <w:bCs/>
          <w:sz w:val="24"/>
          <w:szCs w:val="24"/>
        </w:rPr>
        <w:t>11</w:t>
      </w:r>
      <w:r w:rsidRPr="006B731C">
        <w:rPr>
          <w:rFonts w:ascii="Calibri" w:hAnsi="Calibri" w:cs="Calibri"/>
          <w:sz w:val="24"/>
          <w:szCs w:val="24"/>
        </w:rPr>
        <w:t xml:space="preserve"> (1), 58 (2016).</w:t>
      </w:r>
    </w:p>
    <w:p w14:paraId="45626BD8" w14:textId="2B46F0C2"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1</w:t>
      </w:r>
      <w:r w:rsidR="00F81B21">
        <w:rPr>
          <w:rFonts w:ascii="Calibri" w:hAnsi="Calibri" w:cs="Calibri"/>
          <w:sz w:val="24"/>
          <w:szCs w:val="24"/>
        </w:rPr>
        <w:t>5</w:t>
      </w:r>
      <w:r w:rsidRPr="006B731C">
        <w:rPr>
          <w:rFonts w:ascii="Calibri" w:hAnsi="Calibri" w:cs="Calibri"/>
          <w:sz w:val="24"/>
          <w:szCs w:val="24"/>
        </w:rPr>
        <w:t>.</w:t>
      </w:r>
      <w:r w:rsidRPr="006B731C">
        <w:rPr>
          <w:rFonts w:ascii="Calibri" w:hAnsi="Calibri" w:cs="Calibri"/>
          <w:sz w:val="24"/>
          <w:szCs w:val="24"/>
        </w:rPr>
        <w:tab/>
        <w:t xml:space="preserve">Geraerts, M., Willems, S., Baekelandt, V., Debyser, Z., Gijsbers, R. Comparison of lentiviral vector titration methods. </w:t>
      </w:r>
      <w:r w:rsidRPr="006B731C">
        <w:rPr>
          <w:rFonts w:ascii="Calibri" w:hAnsi="Calibri" w:cs="Calibri"/>
          <w:i/>
          <w:iCs/>
          <w:sz w:val="24"/>
          <w:szCs w:val="24"/>
        </w:rPr>
        <w:t>BMC Biotechnol</w:t>
      </w:r>
      <w:r w:rsidRPr="006B731C">
        <w:rPr>
          <w:rFonts w:ascii="Calibri" w:hAnsi="Calibri" w:cs="Calibri"/>
          <w:sz w:val="24"/>
          <w:szCs w:val="24"/>
        </w:rPr>
        <w:t xml:space="preserve">. </w:t>
      </w:r>
      <w:r w:rsidRPr="006B731C">
        <w:rPr>
          <w:rFonts w:ascii="Calibri" w:hAnsi="Calibri" w:cs="Calibri"/>
          <w:b/>
          <w:bCs/>
          <w:sz w:val="24"/>
          <w:szCs w:val="24"/>
        </w:rPr>
        <w:t>6</w:t>
      </w:r>
      <w:r w:rsidRPr="006B731C">
        <w:rPr>
          <w:rFonts w:ascii="Calibri" w:hAnsi="Calibri" w:cs="Calibri"/>
          <w:sz w:val="24"/>
          <w:szCs w:val="24"/>
        </w:rPr>
        <w:t xml:space="preserve"> (1), 34 (2006).</w:t>
      </w:r>
    </w:p>
    <w:p w14:paraId="6BD013C9" w14:textId="3862AFDF" w:rsidR="007A6F0C" w:rsidRDefault="007A6F0C" w:rsidP="006B731C">
      <w:pPr>
        <w:pStyle w:val="Bibliografia"/>
        <w:jc w:val="both"/>
        <w:rPr>
          <w:rFonts w:ascii="Calibri" w:hAnsi="Calibri" w:cs="Calibri"/>
          <w:sz w:val="24"/>
          <w:szCs w:val="24"/>
        </w:rPr>
      </w:pPr>
      <w:r w:rsidRPr="006B731C">
        <w:rPr>
          <w:rFonts w:ascii="Calibri" w:hAnsi="Calibri" w:cs="Calibri"/>
          <w:sz w:val="24"/>
          <w:szCs w:val="24"/>
        </w:rPr>
        <w:t>1</w:t>
      </w:r>
      <w:r w:rsidR="00F81B21">
        <w:rPr>
          <w:rFonts w:ascii="Calibri" w:hAnsi="Calibri" w:cs="Calibri"/>
          <w:sz w:val="24"/>
          <w:szCs w:val="24"/>
        </w:rPr>
        <w:t>6</w:t>
      </w:r>
      <w:r w:rsidRPr="006B731C">
        <w:rPr>
          <w:rFonts w:ascii="Calibri" w:hAnsi="Calibri" w:cs="Calibri"/>
          <w:sz w:val="24"/>
          <w:szCs w:val="24"/>
        </w:rPr>
        <w:t>.</w:t>
      </w:r>
      <w:r w:rsidRPr="006B731C">
        <w:rPr>
          <w:rFonts w:ascii="Calibri" w:hAnsi="Calibri" w:cs="Calibri"/>
          <w:sz w:val="24"/>
          <w:szCs w:val="24"/>
        </w:rPr>
        <w:tab/>
        <w:t xml:space="preserve">Arrasate, A. </w:t>
      </w:r>
      <w:r w:rsidRPr="00E268B3">
        <w:rPr>
          <w:rFonts w:ascii="Calibri" w:hAnsi="Calibri" w:cs="Calibri"/>
          <w:sz w:val="24"/>
          <w:szCs w:val="24"/>
        </w:rPr>
        <w:t>et al.</w:t>
      </w:r>
      <w:r w:rsidRPr="006B731C">
        <w:rPr>
          <w:rFonts w:ascii="Calibri" w:hAnsi="Calibri" w:cs="Calibri"/>
          <w:sz w:val="24"/>
          <w:szCs w:val="24"/>
        </w:rPr>
        <w:t xml:space="preserve"> Establishment and Characterization of a Stable Producer Cell Line Generation Platform for the Manufacturing of Clinical-Grade Lentiviral Vectors. </w:t>
      </w:r>
      <w:r w:rsidRPr="006B731C">
        <w:rPr>
          <w:rFonts w:ascii="Calibri" w:hAnsi="Calibri" w:cs="Calibri"/>
          <w:i/>
          <w:iCs/>
          <w:sz w:val="24"/>
          <w:szCs w:val="24"/>
        </w:rPr>
        <w:t>Biomedicines</w:t>
      </w:r>
      <w:r w:rsidRPr="006B731C">
        <w:rPr>
          <w:rFonts w:ascii="Calibri" w:hAnsi="Calibri" w:cs="Calibri"/>
          <w:sz w:val="24"/>
          <w:szCs w:val="24"/>
        </w:rPr>
        <w:t xml:space="preserve">. </w:t>
      </w:r>
      <w:r w:rsidRPr="006B731C">
        <w:rPr>
          <w:rFonts w:ascii="Calibri" w:hAnsi="Calibri" w:cs="Calibri"/>
          <w:b/>
          <w:bCs/>
          <w:sz w:val="24"/>
          <w:szCs w:val="24"/>
        </w:rPr>
        <w:t>12</w:t>
      </w:r>
      <w:r w:rsidRPr="006B731C">
        <w:rPr>
          <w:rFonts w:ascii="Calibri" w:hAnsi="Calibri" w:cs="Calibri"/>
          <w:sz w:val="24"/>
          <w:szCs w:val="24"/>
        </w:rPr>
        <w:t xml:space="preserve"> (10), 2265 (2024).</w:t>
      </w:r>
    </w:p>
    <w:p w14:paraId="00435EAD" w14:textId="6FA6521E" w:rsidR="00F81B21" w:rsidRPr="00F81B21" w:rsidRDefault="00F81B21" w:rsidP="00F81B21">
      <w:r>
        <w:rPr>
          <w:rFonts w:ascii="Calibri" w:hAnsi="Calibri" w:cs="Calibri"/>
          <w:sz w:val="24"/>
          <w:szCs w:val="24"/>
        </w:rPr>
        <w:lastRenderedPageBreak/>
        <w:t>17.</w:t>
      </w:r>
      <w:r>
        <w:rPr>
          <w:rFonts w:ascii="Calibri" w:hAnsi="Calibri" w:cs="Calibri"/>
          <w:sz w:val="24"/>
          <w:szCs w:val="24"/>
        </w:rPr>
        <w:tab/>
      </w:r>
      <w:r w:rsidRPr="006B731C">
        <w:rPr>
          <w:rFonts w:ascii="Calibri" w:hAnsi="Calibri" w:cs="Calibri"/>
          <w:sz w:val="24"/>
          <w:szCs w:val="24"/>
        </w:rPr>
        <w:t xml:space="preserve">Nóbrega, C. </w:t>
      </w:r>
      <w:r w:rsidRPr="00E268B3">
        <w:rPr>
          <w:rFonts w:ascii="Calibri" w:hAnsi="Calibri" w:cs="Calibri"/>
          <w:sz w:val="24"/>
          <w:szCs w:val="24"/>
        </w:rPr>
        <w:t>et al</w:t>
      </w:r>
      <w:r w:rsidRPr="006B731C">
        <w:rPr>
          <w:rFonts w:ascii="Calibri" w:hAnsi="Calibri" w:cs="Calibri"/>
          <w:i/>
          <w:iCs/>
          <w:sz w:val="24"/>
          <w:szCs w:val="24"/>
        </w:rPr>
        <w:t>.</w:t>
      </w:r>
      <w:r w:rsidRPr="006B731C">
        <w:rPr>
          <w:rFonts w:ascii="Calibri" w:hAnsi="Calibri" w:cs="Calibri"/>
          <w:sz w:val="24"/>
          <w:szCs w:val="24"/>
        </w:rPr>
        <w:t xml:space="preserve"> Overexpression of Mutant Ataxin-3 in Mouse Cerebellum Induces Ataxia and Cerebellar Neuropathology. </w:t>
      </w:r>
      <w:r w:rsidRPr="006B731C">
        <w:rPr>
          <w:rFonts w:ascii="Calibri" w:hAnsi="Calibri" w:cs="Calibri"/>
          <w:i/>
          <w:iCs/>
          <w:sz w:val="24"/>
          <w:szCs w:val="24"/>
        </w:rPr>
        <w:t>Cerebellum</w:t>
      </w:r>
      <w:r w:rsidRPr="006B731C">
        <w:rPr>
          <w:rFonts w:ascii="Calibri" w:hAnsi="Calibri" w:cs="Calibri"/>
          <w:sz w:val="24"/>
          <w:szCs w:val="24"/>
        </w:rPr>
        <w:t xml:space="preserve">. </w:t>
      </w:r>
      <w:r w:rsidRPr="006B731C">
        <w:rPr>
          <w:rFonts w:ascii="Calibri" w:hAnsi="Calibri" w:cs="Calibri"/>
          <w:b/>
          <w:bCs/>
          <w:sz w:val="24"/>
          <w:szCs w:val="24"/>
        </w:rPr>
        <w:t>12</w:t>
      </w:r>
      <w:r w:rsidRPr="006B731C">
        <w:rPr>
          <w:rFonts w:ascii="Calibri" w:hAnsi="Calibri" w:cs="Calibri"/>
          <w:sz w:val="24"/>
          <w:szCs w:val="24"/>
        </w:rPr>
        <w:t xml:space="preserve"> (4), 441–455 (2013).</w:t>
      </w:r>
    </w:p>
    <w:p w14:paraId="4D6FBC1D" w14:textId="5D2CD01A"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18.</w:t>
      </w:r>
      <w:r w:rsidRPr="006B731C">
        <w:rPr>
          <w:rFonts w:ascii="Calibri" w:hAnsi="Calibri" w:cs="Calibri"/>
          <w:sz w:val="24"/>
          <w:szCs w:val="24"/>
        </w:rPr>
        <w:tab/>
        <w:t>Paxinos, G., Franklin, K.</w:t>
      </w:r>
      <w:r w:rsidR="00E268B3">
        <w:rPr>
          <w:rFonts w:ascii="Calibri" w:hAnsi="Calibri" w:cs="Calibri"/>
          <w:sz w:val="24"/>
          <w:szCs w:val="24"/>
        </w:rPr>
        <w:t xml:space="preserve"> </w:t>
      </w:r>
      <w:r w:rsidRPr="006B731C">
        <w:rPr>
          <w:rFonts w:ascii="Calibri" w:hAnsi="Calibri" w:cs="Calibri"/>
          <w:sz w:val="24"/>
          <w:szCs w:val="24"/>
        </w:rPr>
        <w:t>B.</w:t>
      </w:r>
      <w:r w:rsidR="00E268B3">
        <w:rPr>
          <w:rFonts w:ascii="Calibri" w:hAnsi="Calibri" w:cs="Calibri"/>
          <w:sz w:val="24"/>
          <w:szCs w:val="24"/>
        </w:rPr>
        <w:t xml:space="preserve"> </w:t>
      </w:r>
      <w:r w:rsidRPr="006B731C">
        <w:rPr>
          <w:rFonts w:ascii="Calibri" w:hAnsi="Calibri" w:cs="Calibri"/>
          <w:sz w:val="24"/>
          <w:szCs w:val="24"/>
        </w:rPr>
        <w:t xml:space="preserve">J. </w:t>
      </w:r>
      <w:r w:rsidRPr="006B731C">
        <w:rPr>
          <w:rFonts w:ascii="Calibri" w:hAnsi="Calibri" w:cs="Calibri"/>
          <w:i/>
          <w:iCs/>
          <w:sz w:val="24"/>
          <w:szCs w:val="24"/>
        </w:rPr>
        <w:t>The Mouse Brain in Stereotaxic Coordinates: Compact Second Edition</w:t>
      </w:r>
      <w:r w:rsidRPr="006B731C">
        <w:rPr>
          <w:rFonts w:ascii="Calibri" w:hAnsi="Calibri" w:cs="Calibri"/>
          <w:sz w:val="24"/>
          <w:szCs w:val="24"/>
        </w:rPr>
        <w:t>. Gulf Professional Publishing (2004).</w:t>
      </w:r>
    </w:p>
    <w:p w14:paraId="0EB6FEBF" w14:textId="72E51CC6" w:rsidR="007A6F0C" w:rsidRPr="006B731C" w:rsidRDefault="00F81B21" w:rsidP="006B731C">
      <w:pPr>
        <w:pStyle w:val="Bibliografia"/>
        <w:jc w:val="both"/>
        <w:rPr>
          <w:rFonts w:ascii="Calibri" w:hAnsi="Calibri" w:cs="Calibri"/>
          <w:sz w:val="24"/>
          <w:szCs w:val="24"/>
        </w:rPr>
      </w:pPr>
      <w:r>
        <w:rPr>
          <w:rFonts w:ascii="Calibri" w:hAnsi="Calibri" w:cs="Calibri"/>
          <w:sz w:val="24"/>
          <w:szCs w:val="24"/>
        </w:rPr>
        <w:t>19</w:t>
      </w:r>
      <w:r w:rsidR="007A6F0C" w:rsidRPr="006B731C">
        <w:rPr>
          <w:rFonts w:ascii="Calibri" w:hAnsi="Calibri" w:cs="Calibri"/>
          <w:sz w:val="24"/>
          <w:szCs w:val="24"/>
        </w:rPr>
        <w:t>.</w:t>
      </w:r>
      <w:r w:rsidR="007A6F0C" w:rsidRPr="006B731C">
        <w:rPr>
          <w:rFonts w:ascii="Calibri" w:hAnsi="Calibri" w:cs="Calibri"/>
          <w:sz w:val="24"/>
          <w:szCs w:val="24"/>
        </w:rPr>
        <w:tab/>
        <w:t>Bateup, H.</w:t>
      </w:r>
      <w:r w:rsidR="00E268B3">
        <w:rPr>
          <w:rFonts w:ascii="Calibri" w:hAnsi="Calibri" w:cs="Calibri"/>
          <w:sz w:val="24"/>
          <w:szCs w:val="24"/>
        </w:rPr>
        <w:t xml:space="preserve"> </w:t>
      </w:r>
      <w:r w:rsidR="007A6F0C" w:rsidRPr="006B731C">
        <w:rPr>
          <w:rFonts w:ascii="Calibri" w:hAnsi="Calibri" w:cs="Calibri"/>
          <w:sz w:val="24"/>
          <w:szCs w:val="24"/>
        </w:rPr>
        <w:t xml:space="preserve">S. </w:t>
      </w:r>
      <w:r w:rsidR="007A6F0C" w:rsidRPr="00E268B3">
        <w:rPr>
          <w:rFonts w:ascii="Calibri" w:hAnsi="Calibri" w:cs="Calibri"/>
          <w:sz w:val="24"/>
          <w:szCs w:val="24"/>
        </w:rPr>
        <w:t>et al</w:t>
      </w:r>
      <w:r w:rsidR="007A6F0C" w:rsidRPr="006B731C">
        <w:rPr>
          <w:rFonts w:ascii="Calibri" w:hAnsi="Calibri" w:cs="Calibri"/>
          <w:i/>
          <w:iCs/>
          <w:sz w:val="24"/>
          <w:szCs w:val="24"/>
        </w:rPr>
        <w:t>.</w:t>
      </w:r>
      <w:r w:rsidR="007A6F0C" w:rsidRPr="006B731C">
        <w:rPr>
          <w:rFonts w:ascii="Calibri" w:hAnsi="Calibri" w:cs="Calibri"/>
          <w:sz w:val="24"/>
          <w:szCs w:val="24"/>
        </w:rPr>
        <w:t xml:space="preserve"> Distinct subclasses of medium spiny neurons differentially regulate striatal motor behaviors. </w:t>
      </w:r>
      <w:r w:rsidR="007A6F0C" w:rsidRPr="006B731C">
        <w:rPr>
          <w:rFonts w:ascii="Calibri" w:hAnsi="Calibri" w:cs="Calibri"/>
          <w:i/>
          <w:iCs/>
          <w:sz w:val="24"/>
          <w:szCs w:val="24"/>
        </w:rPr>
        <w:t>Proc Natl Acad Sci U S A</w:t>
      </w:r>
      <w:r w:rsidR="007A6F0C" w:rsidRPr="006B731C">
        <w:rPr>
          <w:rFonts w:ascii="Calibri" w:hAnsi="Calibri" w:cs="Calibri"/>
          <w:sz w:val="24"/>
          <w:szCs w:val="24"/>
        </w:rPr>
        <w:t xml:space="preserve">. </w:t>
      </w:r>
      <w:r w:rsidR="007A6F0C" w:rsidRPr="006B731C">
        <w:rPr>
          <w:rFonts w:ascii="Calibri" w:hAnsi="Calibri" w:cs="Calibri"/>
          <w:b/>
          <w:bCs/>
          <w:sz w:val="24"/>
          <w:szCs w:val="24"/>
        </w:rPr>
        <w:t>107</w:t>
      </w:r>
      <w:r w:rsidR="007A6F0C" w:rsidRPr="006B731C">
        <w:rPr>
          <w:rFonts w:ascii="Calibri" w:hAnsi="Calibri" w:cs="Calibri"/>
          <w:sz w:val="24"/>
          <w:szCs w:val="24"/>
        </w:rPr>
        <w:t xml:space="preserve"> (33), 14845–14850 (2010).</w:t>
      </w:r>
    </w:p>
    <w:p w14:paraId="1D5794BE" w14:textId="542237B3"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2</w:t>
      </w:r>
      <w:r w:rsidR="00F81B21">
        <w:rPr>
          <w:rFonts w:ascii="Calibri" w:hAnsi="Calibri" w:cs="Calibri"/>
          <w:sz w:val="24"/>
          <w:szCs w:val="24"/>
        </w:rPr>
        <w:t>0</w:t>
      </w:r>
      <w:r w:rsidRPr="006B731C">
        <w:rPr>
          <w:rFonts w:ascii="Calibri" w:hAnsi="Calibri" w:cs="Calibri"/>
          <w:sz w:val="24"/>
          <w:szCs w:val="24"/>
        </w:rPr>
        <w:t>.</w:t>
      </w:r>
      <w:r w:rsidRPr="006B731C">
        <w:rPr>
          <w:rFonts w:ascii="Calibri" w:hAnsi="Calibri" w:cs="Calibri"/>
          <w:sz w:val="24"/>
          <w:szCs w:val="24"/>
        </w:rPr>
        <w:tab/>
        <w:t xml:space="preserve">Nóbrega, C. </w:t>
      </w:r>
      <w:r w:rsidRPr="00E268B3">
        <w:rPr>
          <w:rFonts w:ascii="Calibri" w:hAnsi="Calibri" w:cs="Calibri"/>
          <w:sz w:val="24"/>
          <w:szCs w:val="24"/>
        </w:rPr>
        <w:t>et al.</w:t>
      </w:r>
      <w:r w:rsidRPr="006B731C">
        <w:rPr>
          <w:rFonts w:ascii="Calibri" w:hAnsi="Calibri" w:cs="Calibri"/>
          <w:sz w:val="24"/>
          <w:szCs w:val="24"/>
        </w:rPr>
        <w:t xml:space="preserve"> Molecular hallmarks of neurodegeneration in polyglutamine spinocerebellar ataxias. </w:t>
      </w:r>
      <w:r w:rsidRPr="006B731C">
        <w:rPr>
          <w:rFonts w:ascii="Calibri" w:hAnsi="Calibri" w:cs="Calibri"/>
          <w:i/>
          <w:iCs/>
          <w:sz w:val="24"/>
          <w:szCs w:val="24"/>
        </w:rPr>
        <w:t>Cell Death Dis</w:t>
      </w:r>
      <w:r w:rsidRPr="006B731C">
        <w:rPr>
          <w:rFonts w:ascii="Calibri" w:hAnsi="Calibri" w:cs="Calibri"/>
          <w:sz w:val="24"/>
          <w:szCs w:val="24"/>
        </w:rPr>
        <w:t xml:space="preserve">. </w:t>
      </w:r>
      <w:r w:rsidRPr="006B731C">
        <w:rPr>
          <w:rFonts w:ascii="Calibri" w:hAnsi="Calibri" w:cs="Calibri"/>
          <w:b/>
          <w:bCs/>
          <w:sz w:val="24"/>
          <w:szCs w:val="24"/>
        </w:rPr>
        <w:t>16</w:t>
      </w:r>
      <w:r w:rsidRPr="006B731C">
        <w:rPr>
          <w:rFonts w:ascii="Calibri" w:hAnsi="Calibri" w:cs="Calibri"/>
          <w:sz w:val="24"/>
          <w:szCs w:val="24"/>
        </w:rPr>
        <w:t xml:space="preserve"> (1), 826 (2025).</w:t>
      </w:r>
    </w:p>
    <w:p w14:paraId="43F20F12" w14:textId="3916506A"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2</w:t>
      </w:r>
      <w:r w:rsidR="00F81B21">
        <w:rPr>
          <w:rFonts w:ascii="Calibri" w:hAnsi="Calibri" w:cs="Calibri"/>
          <w:sz w:val="24"/>
          <w:szCs w:val="24"/>
        </w:rPr>
        <w:t>1</w:t>
      </w:r>
      <w:r w:rsidRPr="006B731C">
        <w:rPr>
          <w:rFonts w:ascii="Calibri" w:hAnsi="Calibri" w:cs="Calibri"/>
          <w:sz w:val="24"/>
          <w:szCs w:val="24"/>
        </w:rPr>
        <w:t>.</w:t>
      </w:r>
      <w:r w:rsidRPr="006B731C">
        <w:rPr>
          <w:rFonts w:ascii="Calibri" w:hAnsi="Calibri" w:cs="Calibri"/>
          <w:sz w:val="24"/>
          <w:szCs w:val="24"/>
        </w:rPr>
        <w:tab/>
        <w:t xml:space="preserve">Murakami, Y. </w:t>
      </w:r>
      <w:r w:rsidRPr="00E268B3">
        <w:rPr>
          <w:rFonts w:ascii="Calibri" w:hAnsi="Calibri" w:cs="Calibri"/>
          <w:sz w:val="24"/>
          <w:szCs w:val="24"/>
        </w:rPr>
        <w:t>et al.</w:t>
      </w:r>
      <w:r w:rsidRPr="006B731C">
        <w:rPr>
          <w:rFonts w:ascii="Calibri" w:hAnsi="Calibri" w:cs="Calibri"/>
          <w:sz w:val="24"/>
          <w:szCs w:val="24"/>
        </w:rPr>
        <w:t xml:space="preserve"> AAV-based gene therapy ameliorated CNS-specific GPI defect in mouse models. </w:t>
      </w:r>
      <w:r w:rsidRPr="006B731C">
        <w:rPr>
          <w:rFonts w:ascii="Calibri" w:hAnsi="Calibri" w:cs="Calibri"/>
          <w:i/>
          <w:iCs/>
          <w:sz w:val="24"/>
          <w:szCs w:val="24"/>
        </w:rPr>
        <w:t>Mol Ther Meth Clin Dev</w:t>
      </w:r>
      <w:r w:rsidRPr="006B731C">
        <w:rPr>
          <w:rFonts w:ascii="Calibri" w:hAnsi="Calibri" w:cs="Calibri"/>
          <w:sz w:val="24"/>
          <w:szCs w:val="24"/>
        </w:rPr>
        <w:t xml:space="preserve">. </w:t>
      </w:r>
      <w:r w:rsidRPr="006B731C">
        <w:rPr>
          <w:rFonts w:ascii="Calibri" w:hAnsi="Calibri" w:cs="Calibri"/>
          <w:b/>
          <w:bCs/>
          <w:sz w:val="24"/>
          <w:szCs w:val="24"/>
        </w:rPr>
        <w:t>32</w:t>
      </w:r>
      <w:r w:rsidRPr="006B731C">
        <w:rPr>
          <w:rFonts w:ascii="Calibri" w:hAnsi="Calibri" w:cs="Calibri"/>
          <w:sz w:val="24"/>
          <w:szCs w:val="24"/>
        </w:rPr>
        <w:t xml:space="preserve"> (1), 101176 (2024).</w:t>
      </w:r>
    </w:p>
    <w:p w14:paraId="3838FB68" w14:textId="3CC633F6"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2</w:t>
      </w:r>
      <w:r w:rsidR="00F81B21">
        <w:rPr>
          <w:rFonts w:ascii="Calibri" w:hAnsi="Calibri" w:cs="Calibri"/>
          <w:sz w:val="24"/>
          <w:szCs w:val="24"/>
        </w:rPr>
        <w:t>2</w:t>
      </w:r>
      <w:r w:rsidRPr="006B731C">
        <w:rPr>
          <w:rFonts w:ascii="Calibri" w:hAnsi="Calibri" w:cs="Calibri"/>
          <w:sz w:val="24"/>
          <w:szCs w:val="24"/>
        </w:rPr>
        <w:t>.</w:t>
      </w:r>
      <w:r w:rsidRPr="006B731C">
        <w:rPr>
          <w:rFonts w:ascii="Calibri" w:hAnsi="Calibri" w:cs="Calibri"/>
          <w:sz w:val="24"/>
          <w:szCs w:val="24"/>
        </w:rPr>
        <w:tab/>
        <w:t xml:space="preserve">Wada, H. </w:t>
      </w:r>
      <w:r w:rsidRPr="00E268B3">
        <w:rPr>
          <w:rFonts w:ascii="Calibri" w:hAnsi="Calibri" w:cs="Calibri"/>
          <w:sz w:val="24"/>
          <w:szCs w:val="24"/>
        </w:rPr>
        <w:t>et al.</w:t>
      </w:r>
      <w:r w:rsidRPr="006B731C">
        <w:rPr>
          <w:rFonts w:ascii="Calibri" w:hAnsi="Calibri" w:cs="Calibri"/>
          <w:sz w:val="24"/>
          <w:szCs w:val="24"/>
        </w:rPr>
        <w:t xml:space="preserve"> AAV-based gene therapy ameliorates neurological deficits in a mouse model of childhood-onset neurodegeneration with cerebellar atrophy. </w:t>
      </w:r>
      <w:r w:rsidRPr="006B731C">
        <w:rPr>
          <w:rFonts w:ascii="Calibri" w:hAnsi="Calibri" w:cs="Calibri"/>
          <w:i/>
          <w:iCs/>
          <w:sz w:val="24"/>
          <w:szCs w:val="24"/>
        </w:rPr>
        <w:t>Mol Ther</w:t>
      </w:r>
      <w:r w:rsidR="00E268B3">
        <w:rPr>
          <w:rFonts w:ascii="Calibri" w:hAnsi="Calibri" w:cs="Calibri"/>
          <w:i/>
          <w:iCs/>
          <w:sz w:val="24"/>
          <w:szCs w:val="24"/>
        </w:rPr>
        <w:t xml:space="preserve"> </w:t>
      </w:r>
      <w:r w:rsidRPr="006B731C">
        <w:rPr>
          <w:rFonts w:ascii="Calibri" w:hAnsi="Calibri" w:cs="Calibri"/>
          <w:i/>
          <w:iCs/>
          <w:sz w:val="24"/>
          <w:szCs w:val="24"/>
        </w:rPr>
        <w:t>J Am Soc</w:t>
      </w:r>
      <w:r w:rsidR="00E268B3">
        <w:rPr>
          <w:rFonts w:ascii="Calibri" w:hAnsi="Calibri" w:cs="Calibri"/>
          <w:i/>
          <w:iCs/>
          <w:sz w:val="24"/>
          <w:szCs w:val="24"/>
        </w:rPr>
        <w:t xml:space="preserve"> </w:t>
      </w:r>
      <w:r w:rsidRPr="006B731C">
        <w:rPr>
          <w:rFonts w:ascii="Calibri" w:hAnsi="Calibri" w:cs="Calibri"/>
          <w:i/>
          <w:iCs/>
          <w:sz w:val="24"/>
          <w:szCs w:val="24"/>
        </w:rPr>
        <w:t>Gene Ther</w:t>
      </w:r>
      <w:r w:rsidRPr="006B731C">
        <w:rPr>
          <w:rFonts w:ascii="Calibri" w:hAnsi="Calibri" w:cs="Calibri"/>
          <w:sz w:val="24"/>
          <w:szCs w:val="24"/>
        </w:rPr>
        <w:t xml:space="preserve">. </w:t>
      </w:r>
      <w:r w:rsidRPr="006B731C">
        <w:rPr>
          <w:rFonts w:ascii="Calibri" w:hAnsi="Calibri" w:cs="Calibri"/>
          <w:b/>
          <w:bCs/>
          <w:sz w:val="24"/>
          <w:szCs w:val="24"/>
        </w:rPr>
        <w:t>33</w:t>
      </w:r>
      <w:r w:rsidRPr="006B731C">
        <w:rPr>
          <w:rFonts w:ascii="Calibri" w:hAnsi="Calibri" w:cs="Calibri"/>
          <w:sz w:val="24"/>
          <w:szCs w:val="24"/>
        </w:rPr>
        <w:t xml:space="preserve"> (11), 5829–583</w:t>
      </w:r>
      <w:r w:rsidR="00E268B3">
        <w:rPr>
          <w:rFonts w:ascii="Calibri" w:hAnsi="Calibri" w:cs="Calibri"/>
          <w:sz w:val="24"/>
          <w:szCs w:val="24"/>
        </w:rPr>
        <w:t>9</w:t>
      </w:r>
      <w:r w:rsidRPr="006B731C">
        <w:rPr>
          <w:rFonts w:ascii="Calibri" w:hAnsi="Calibri" w:cs="Calibri"/>
          <w:sz w:val="24"/>
          <w:szCs w:val="24"/>
        </w:rPr>
        <w:t xml:space="preserve"> (2025).</w:t>
      </w:r>
    </w:p>
    <w:p w14:paraId="7D11A4C3" w14:textId="2A4EC8DD"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2</w:t>
      </w:r>
      <w:r w:rsidR="00F81B21">
        <w:rPr>
          <w:rFonts w:ascii="Calibri" w:hAnsi="Calibri" w:cs="Calibri"/>
          <w:sz w:val="24"/>
          <w:szCs w:val="24"/>
        </w:rPr>
        <w:t>3</w:t>
      </w:r>
      <w:r w:rsidRPr="006B731C">
        <w:rPr>
          <w:rFonts w:ascii="Calibri" w:hAnsi="Calibri" w:cs="Calibri"/>
          <w:sz w:val="24"/>
          <w:szCs w:val="24"/>
        </w:rPr>
        <w:t>.</w:t>
      </w:r>
      <w:r w:rsidRPr="006B731C">
        <w:rPr>
          <w:rFonts w:ascii="Calibri" w:hAnsi="Calibri" w:cs="Calibri"/>
          <w:sz w:val="24"/>
          <w:szCs w:val="24"/>
        </w:rPr>
        <w:tab/>
        <w:t xml:space="preserve">Konno, A., Shinohara, Y., Hirai, H. Production of Spinocerebellar Ataxia Type 3 Model Mice by Intravenous Injection of AAV-PHP.B Vectors. </w:t>
      </w:r>
      <w:r w:rsidRPr="006B731C">
        <w:rPr>
          <w:rFonts w:ascii="Calibri" w:hAnsi="Calibri" w:cs="Calibri"/>
          <w:i/>
          <w:iCs/>
          <w:sz w:val="24"/>
          <w:szCs w:val="24"/>
        </w:rPr>
        <w:t>Int J Mol Sci</w:t>
      </w:r>
      <w:r w:rsidRPr="006B731C">
        <w:rPr>
          <w:rFonts w:ascii="Calibri" w:hAnsi="Calibri" w:cs="Calibri"/>
          <w:sz w:val="24"/>
          <w:szCs w:val="24"/>
        </w:rPr>
        <w:t xml:space="preserve">. </w:t>
      </w:r>
      <w:r w:rsidRPr="006B731C">
        <w:rPr>
          <w:rFonts w:ascii="Calibri" w:hAnsi="Calibri" w:cs="Calibri"/>
          <w:b/>
          <w:bCs/>
          <w:sz w:val="24"/>
          <w:szCs w:val="24"/>
        </w:rPr>
        <w:t>25</w:t>
      </w:r>
      <w:r w:rsidRPr="006B731C">
        <w:rPr>
          <w:rFonts w:ascii="Calibri" w:hAnsi="Calibri" w:cs="Calibri"/>
          <w:sz w:val="24"/>
          <w:szCs w:val="24"/>
        </w:rPr>
        <w:t xml:space="preserve"> (13), 7205</w:t>
      </w:r>
      <w:r w:rsidR="00E268B3">
        <w:rPr>
          <w:rFonts w:ascii="Calibri" w:hAnsi="Calibri" w:cs="Calibri"/>
          <w:sz w:val="24"/>
          <w:szCs w:val="24"/>
        </w:rPr>
        <w:t xml:space="preserve"> </w:t>
      </w:r>
      <w:r w:rsidRPr="006B731C">
        <w:rPr>
          <w:rFonts w:ascii="Calibri" w:hAnsi="Calibri" w:cs="Calibri"/>
          <w:sz w:val="24"/>
          <w:szCs w:val="24"/>
        </w:rPr>
        <w:t>(2024).</w:t>
      </w:r>
    </w:p>
    <w:p w14:paraId="28EAC0D5" w14:textId="019FB1B3"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2</w:t>
      </w:r>
      <w:r w:rsidR="00F81B21">
        <w:rPr>
          <w:rFonts w:ascii="Calibri" w:hAnsi="Calibri" w:cs="Calibri"/>
          <w:sz w:val="24"/>
          <w:szCs w:val="24"/>
        </w:rPr>
        <w:t>4</w:t>
      </w:r>
      <w:r w:rsidRPr="006B731C">
        <w:rPr>
          <w:rFonts w:ascii="Calibri" w:hAnsi="Calibri" w:cs="Calibri"/>
          <w:sz w:val="24"/>
          <w:szCs w:val="24"/>
        </w:rPr>
        <w:t>.</w:t>
      </w:r>
      <w:r w:rsidRPr="006B731C">
        <w:rPr>
          <w:rFonts w:ascii="Calibri" w:hAnsi="Calibri" w:cs="Calibri"/>
          <w:sz w:val="24"/>
          <w:szCs w:val="24"/>
        </w:rPr>
        <w:tab/>
        <w:t xml:space="preserve">Jansen-West, K. </w:t>
      </w:r>
      <w:r w:rsidRPr="00E268B3">
        <w:rPr>
          <w:rFonts w:ascii="Calibri" w:hAnsi="Calibri" w:cs="Calibri"/>
          <w:sz w:val="24"/>
          <w:szCs w:val="24"/>
        </w:rPr>
        <w:t xml:space="preserve">et al. </w:t>
      </w:r>
      <w:r w:rsidRPr="006B731C">
        <w:rPr>
          <w:rFonts w:ascii="Calibri" w:hAnsi="Calibri" w:cs="Calibri"/>
          <w:sz w:val="24"/>
          <w:szCs w:val="24"/>
        </w:rPr>
        <w:t xml:space="preserve">Plasma PolyQ-ATXN3 Levels Associate With Cerebellar Degeneration and Behavioral Abnormalities in a New AAV-Based SCA3 Mouse Model. </w:t>
      </w:r>
      <w:r w:rsidRPr="006B731C">
        <w:rPr>
          <w:rFonts w:ascii="Calibri" w:hAnsi="Calibri" w:cs="Calibri"/>
          <w:i/>
          <w:iCs/>
          <w:sz w:val="24"/>
          <w:szCs w:val="24"/>
        </w:rPr>
        <w:t>Front Cell Dev Biol</w:t>
      </w:r>
      <w:r w:rsidR="00E268B3">
        <w:rPr>
          <w:rFonts w:ascii="Calibri" w:hAnsi="Calibri" w:cs="Calibri"/>
          <w:i/>
          <w:iCs/>
          <w:sz w:val="24"/>
          <w:szCs w:val="24"/>
        </w:rPr>
        <w:t>.</w:t>
      </w:r>
      <w:r w:rsidRPr="006B731C">
        <w:rPr>
          <w:rFonts w:ascii="Calibri" w:hAnsi="Calibri" w:cs="Calibri"/>
          <w:sz w:val="24"/>
          <w:szCs w:val="24"/>
        </w:rPr>
        <w:t xml:space="preserve"> </w:t>
      </w:r>
      <w:r w:rsidRPr="006B731C">
        <w:rPr>
          <w:rFonts w:ascii="Calibri" w:hAnsi="Calibri" w:cs="Calibri"/>
          <w:b/>
          <w:bCs/>
          <w:sz w:val="24"/>
          <w:szCs w:val="24"/>
        </w:rPr>
        <w:t>10</w:t>
      </w:r>
      <w:r w:rsidRPr="006B731C">
        <w:rPr>
          <w:rFonts w:ascii="Calibri" w:hAnsi="Calibri" w:cs="Calibri"/>
          <w:sz w:val="24"/>
          <w:szCs w:val="24"/>
        </w:rPr>
        <w:t>, 863089 (2022).</w:t>
      </w:r>
    </w:p>
    <w:p w14:paraId="50F465BF" w14:textId="2A75B3D3"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2</w:t>
      </w:r>
      <w:r w:rsidR="00F81B21">
        <w:rPr>
          <w:rFonts w:ascii="Calibri" w:hAnsi="Calibri" w:cs="Calibri"/>
          <w:sz w:val="24"/>
          <w:szCs w:val="24"/>
        </w:rPr>
        <w:t>5</w:t>
      </w:r>
      <w:r w:rsidRPr="006B731C">
        <w:rPr>
          <w:rFonts w:ascii="Calibri" w:hAnsi="Calibri" w:cs="Calibri"/>
          <w:sz w:val="24"/>
          <w:szCs w:val="24"/>
        </w:rPr>
        <w:t>.</w:t>
      </w:r>
      <w:r w:rsidRPr="006B731C">
        <w:rPr>
          <w:rFonts w:ascii="Calibri" w:hAnsi="Calibri" w:cs="Calibri"/>
          <w:sz w:val="24"/>
          <w:szCs w:val="24"/>
        </w:rPr>
        <w:tab/>
        <w:t>Nóbrega, C., Mendonça, L., Matos, C.</w:t>
      </w:r>
      <w:r w:rsidR="00E268B3">
        <w:rPr>
          <w:rFonts w:ascii="Calibri" w:hAnsi="Calibri" w:cs="Calibri"/>
          <w:sz w:val="24"/>
          <w:szCs w:val="24"/>
        </w:rPr>
        <w:t xml:space="preserve"> </w:t>
      </w:r>
      <w:r w:rsidRPr="006B731C">
        <w:rPr>
          <w:rFonts w:ascii="Calibri" w:hAnsi="Calibri" w:cs="Calibri"/>
          <w:sz w:val="24"/>
          <w:szCs w:val="24"/>
        </w:rPr>
        <w:t xml:space="preserve">A. </w:t>
      </w:r>
      <w:r w:rsidRPr="006B731C">
        <w:rPr>
          <w:rFonts w:ascii="Calibri" w:hAnsi="Calibri" w:cs="Calibri"/>
          <w:i/>
          <w:iCs/>
          <w:sz w:val="24"/>
          <w:szCs w:val="24"/>
        </w:rPr>
        <w:t>A Handbook of Gene and Cell Therapy</w:t>
      </w:r>
      <w:r w:rsidRPr="006B731C">
        <w:rPr>
          <w:rFonts w:ascii="Calibri" w:hAnsi="Calibri" w:cs="Calibri"/>
          <w:sz w:val="24"/>
          <w:szCs w:val="24"/>
        </w:rPr>
        <w:t>. Springer International Publishing. Cham (2020).</w:t>
      </w:r>
    </w:p>
    <w:p w14:paraId="4AF03D55" w14:textId="0A17E1E1"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2</w:t>
      </w:r>
      <w:r w:rsidR="00F81B21">
        <w:rPr>
          <w:rFonts w:ascii="Calibri" w:hAnsi="Calibri" w:cs="Calibri"/>
          <w:sz w:val="24"/>
          <w:szCs w:val="24"/>
        </w:rPr>
        <w:t>6</w:t>
      </w:r>
      <w:r w:rsidRPr="006B731C">
        <w:rPr>
          <w:rFonts w:ascii="Calibri" w:hAnsi="Calibri" w:cs="Calibri"/>
          <w:sz w:val="24"/>
          <w:szCs w:val="24"/>
        </w:rPr>
        <w:t>.</w:t>
      </w:r>
      <w:r w:rsidRPr="006B731C">
        <w:rPr>
          <w:rFonts w:ascii="Calibri" w:hAnsi="Calibri" w:cs="Calibri"/>
          <w:sz w:val="24"/>
          <w:szCs w:val="24"/>
        </w:rPr>
        <w:tab/>
        <w:t>Thomas, C.</w:t>
      </w:r>
      <w:r w:rsidR="00F81B21">
        <w:rPr>
          <w:rFonts w:ascii="Calibri" w:hAnsi="Calibri" w:cs="Calibri"/>
          <w:sz w:val="24"/>
          <w:szCs w:val="24"/>
        </w:rPr>
        <w:t xml:space="preserve"> </w:t>
      </w:r>
      <w:r w:rsidRPr="006B731C">
        <w:rPr>
          <w:rFonts w:ascii="Calibri" w:hAnsi="Calibri" w:cs="Calibri"/>
          <w:sz w:val="24"/>
          <w:szCs w:val="24"/>
        </w:rPr>
        <w:t>E., Ehrhardt, A., Kay, M.</w:t>
      </w:r>
      <w:r w:rsidR="00F81B21">
        <w:rPr>
          <w:rFonts w:ascii="Calibri" w:hAnsi="Calibri" w:cs="Calibri"/>
          <w:sz w:val="24"/>
          <w:szCs w:val="24"/>
        </w:rPr>
        <w:t xml:space="preserve"> </w:t>
      </w:r>
      <w:r w:rsidRPr="006B731C">
        <w:rPr>
          <w:rFonts w:ascii="Calibri" w:hAnsi="Calibri" w:cs="Calibri"/>
          <w:sz w:val="24"/>
          <w:szCs w:val="24"/>
        </w:rPr>
        <w:t xml:space="preserve">A. Progress and problems with the use of viral vectors for gene therapy. </w:t>
      </w:r>
      <w:r w:rsidRPr="006B731C">
        <w:rPr>
          <w:rFonts w:ascii="Calibri" w:hAnsi="Calibri" w:cs="Calibri"/>
          <w:i/>
          <w:iCs/>
          <w:sz w:val="24"/>
          <w:szCs w:val="24"/>
        </w:rPr>
        <w:t>Nat Rev Genet</w:t>
      </w:r>
      <w:r w:rsidRPr="006B731C">
        <w:rPr>
          <w:rFonts w:ascii="Calibri" w:hAnsi="Calibri" w:cs="Calibri"/>
          <w:sz w:val="24"/>
          <w:szCs w:val="24"/>
        </w:rPr>
        <w:t xml:space="preserve">. </w:t>
      </w:r>
      <w:r w:rsidRPr="006B731C">
        <w:rPr>
          <w:rFonts w:ascii="Calibri" w:hAnsi="Calibri" w:cs="Calibri"/>
          <w:b/>
          <w:bCs/>
          <w:sz w:val="24"/>
          <w:szCs w:val="24"/>
        </w:rPr>
        <w:t>4</w:t>
      </w:r>
      <w:r w:rsidRPr="006B731C">
        <w:rPr>
          <w:rFonts w:ascii="Calibri" w:hAnsi="Calibri" w:cs="Calibri"/>
          <w:sz w:val="24"/>
          <w:szCs w:val="24"/>
        </w:rPr>
        <w:t xml:space="preserve"> (5), 346–358 (2003).</w:t>
      </w:r>
    </w:p>
    <w:p w14:paraId="7D6DC3C3" w14:textId="3B753605"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2</w:t>
      </w:r>
      <w:r w:rsidR="00F81B21">
        <w:rPr>
          <w:rFonts w:ascii="Calibri" w:hAnsi="Calibri" w:cs="Calibri"/>
          <w:sz w:val="24"/>
          <w:szCs w:val="24"/>
        </w:rPr>
        <w:t>7</w:t>
      </w:r>
      <w:r w:rsidRPr="006B731C">
        <w:rPr>
          <w:rFonts w:ascii="Calibri" w:hAnsi="Calibri" w:cs="Calibri"/>
          <w:sz w:val="24"/>
          <w:szCs w:val="24"/>
        </w:rPr>
        <w:t>.</w:t>
      </w:r>
      <w:r w:rsidRPr="006B731C">
        <w:rPr>
          <w:rFonts w:ascii="Calibri" w:hAnsi="Calibri" w:cs="Calibri"/>
          <w:sz w:val="24"/>
          <w:szCs w:val="24"/>
        </w:rPr>
        <w:tab/>
        <w:t xml:space="preserve">Schambach, A., Zychlinski, D., Ehrnstroem, B., Baum, C. Biosafety Features of Lentiviral Vectors. </w:t>
      </w:r>
      <w:r w:rsidRPr="006B731C">
        <w:rPr>
          <w:rFonts w:ascii="Calibri" w:hAnsi="Calibri" w:cs="Calibri"/>
          <w:i/>
          <w:iCs/>
          <w:sz w:val="24"/>
          <w:szCs w:val="24"/>
        </w:rPr>
        <w:t>Human Gene Ther</w:t>
      </w:r>
      <w:r w:rsidRPr="006B731C">
        <w:rPr>
          <w:rFonts w:ascii="Calibri" w:hAnsi="Calibri" w:cs="Calibri"/>
          <w:sz w:val="24"/>
          <w:szCs w:val="24"/>
        </w:rPr>
        <w:t xml:space="preserve">. </w:t>
      </w:r>
      <w:r w:rsidRPr="006B731C">
        <w:rPr>
          <w:rFonts w:ascii="Calibri" w:hAnsi="Calibri" w:cs="Calibri"/>
          <w:b/>
          <w:bCs/>
          <w:sz w:val="24"/>
          <w:szCs w:val="24"/>
        </w:rPr>
        <w:t>24</w:t>
      </w:r>
      <w:r w:rsidRPr="006B731C">
        <w:rPr>
          <w:rFonts w:ascii="Calibri" w:hAnsi="Calibri" w:cs="Calibri"/>
          <w:sz w:val="24"/>
          <w:szCs w:val="24"/>
        </w:rPr>
        <w:t xml:space="preserve"> (2), 132–142 (2013).</w:t>
      </w:r>
    </w:p>
    <w:p w14:paraId="76FC0087" w14:textId="17819B41" w:rsidR="007A6F0C" w:rsidRPr="006B731C" w:rsidRDefault="00F81B21" w:rsidP="006B731C">
      <w:pPr>
        <w:pStyle w:val="Bibliografia"/>
        <w:jc w:val="both"/>
        <w:rPr>
          <w:rFonts w:ascii="Calibri" w:hAnsi="Calibri" w:cs="Calibri"/>
          <w:sz w:val="24"/>
          <w:szCs w:val="24"/>
        </w:rPr>
      </w:pPr>
      <w:r>
        <w:rPr>
          <w:rFonts w:ascii="Calibri" w:hAnsi="Calibri" w:cs="Calibri"/>
          <w:sz w:val="24"/>
          <w:szCs w:val="24"/>
        </w:rPr>
        <w:t>28</w:t>
      </w:r>
      <w:r w:rsidR="007A6F0C" w:rsidRPr="006B731C">
        <w:rPr>
          <w:rFonts w:ascii="Calibri" w:hAnsi="Calibri" w:cs="Calibri"/>
          <w:sz w:val="24"/>
          <w:szCs w:val="24"/>
        </w:rPr>
        <w:t>.</w:t>
      </w:r>
      <w:r w:rsidR="007A6F0C" w:rsidRPr="006B731C">
        <w:rPr>
          <w:rFonts w:ascii="Calibri" w:hAnsi="Calibri" w:cs="Calibri"/>
          <w:sz w:val="24"/>
          <w:szCs w:val="24"/>
        </w:rPr>
        <w:tab/>
        <w:t>Almeida, L.</w:t>
      </w:r>
      <w:r>
        <w:rPr>
          <w:rFonts w:ascii="Calibri" w:hAnsi="Calibri" w:cs="Calibri"/>
          <w:sz w:val="24"/>
          <w:szCs w:val="24"/>
        </w:rPr>
        <w:t xml:space="preserve"> </w:t>
      </w:r>
      <w:r w:rsidR="007A6F0C" w:rsidRPr="006B731C">
        <w:rPr>
          <w:rFonts w:ascii="Calibri" w:hAnsi="Calibri" w:cs="Calibri"/>
          <w:sz w:val="24"/>
          <w:szCs w:val="24"/>
        </w:rPr>
        <w:t>P. de, Ross, C.</w:t>
      </w:r>
      <w:r>
        <w:rPr>
          <w:rFonts w:ascii="Calibri" w:hAnsi="Calibri" w:cs="Calibri"/>
          <w:sz w:val="24"/>
          <w:szCs w:val="24"/>
        </w:rPr>
        <w:t xml:space="preserve"> </w:t>
      </w:r>
      <w:r w:rsidR="007A6F0C" w:rsidRPr="006B731C">
        <w:rPr>
          <w:rFonts w:ascii="Calibri" w:hAnsi="Calibri" w:cs="Calibri"/>
          <w:sz w:val="24"/>
          <w:szCs w:val="24"/>
        </w:rPr>
        <w:t xml:space="preserve">A., Zala, D., Aebischer, P., Déglon, N. Lentiviral-Mediated Delivery of Mutant Huntingtin in the Striatum of Rats Induces a Selective Neuropathology Modulated by Polyglutamine Repeat Size, Huntingtin Expression Levels, and Protein Length. </w:t>
      </w:r>
      <w:r w:rsidR="007A6F0C" w:rsidRPr="006B731C">
        <w:rPr>
          <w:rFonts w:ascii="Calibri" w:hAnsi="Calibri" w:cs="Calibri"/>
          <w:i/>
          <w:iCs/>
          <w:sz w:val="24"/>
          <w:szCs w:val="24"/>
        </w:rPr>
        <w:t>J Neurosci</w:t>
      </w:r>
      <w:r w:rsidR="007A6F0C" w:rsidRPr="006B731C">
        <w:rPr>
          <w:rFonts w:ascii="Calibri" w:hAnsi="Calibri" w:cs="Calibri"/>
          <w:sz w:val="24"/>
          <w:szCs w:val="24"/>
        </w:rPr>
        <w:t xml:space="preserve">. </w:t>
      </w:r>
      <w:r w:rsidR="007A6F0C" w:rsidRPr="006B731C">
        <w:rPr>
          <w:rFonts w:ascii="Calibri" w:hAnsi="Calibri" w:cs="Calibri"/>
          <w:b/>
          <w:bCs/>
          <w:sz w:val="24"/>
          <w:szCs w:val="24"/>
        </w:rPr>
        <w:t>22</w:t>
      </w:r>
      <w:r w:rsidR="007A6F0C" w:rsidRPr="006B731C">
        <w:rPr>
          <w:rFonts w:ascii="Calibri" w:hAnsi="Calibri" w:cs="Calibri"/>
          <w:sz w:val="24"/>
          <w:szCs w:val="24"/>
        </w:rPr>
        <w:t xml:space="preserve"> (9), 3473–3483 (2002).</w:t>
      </w:r>
    </w:p>
    <w:p w14:paraId="3CAD4270" w14:textId="41D016A7" w:rsidR="007A6F0C" w:rsidRPr="006B731C" w:rsidRDefault="00F81B21" w:rsidP="006B731C">
      <w:pPr>
        <w:pStyle w:val="Bibliografia"/>
        <w:jc w:val="both"/>
        <w:rPr>
          <w:rFonts w:ascii="Calibri" w:hAnsi="Calibri" w:cs="Calibri"/>
          <w:sz w:val="24"/>
          <w:szCs w:val="24"/>
        </w:rPr>
      </w:pPr>
      <w:r>
        <w:rPr>
          <w:rFonts w:ascii="Calibri" w:hAnsi="Calibri" w:cs="Calibri"/>
          <w:sz w:val="24"/>
          <w:szCs w:val="24"/>
        </w:rPr>
        <w:t>29</w:t>
      </w:r>
      <w:r w:rsidR="007A6F0C" w:rsidRPr="006B731C">
        <w:rPr>
          <w:rFonts w:ascii="Calibri" w:hAnsi="Calibri" w:cs="Calibri"/>
          <w:sz w:val="24"/>
          <w:szCs w:val="24"/>
        </w:rPr>
        <w:t>.</w:t>
      </w:r>
      <w:r w:rsidR="007A6F0C" w:rsidRPr="006B731C">
        <w:rPr>
          <w:rFonts w:ascii="Calibri" w:hAnsi="Calibri" w:cs="Calibri"/>
          <w:sz w:val="24"/>
          <w:szCs w:val="24"/>
        </w:rPr>
        <w:tab/>
        <w:t>Fisher, E.</w:t>
      </w:r>
      <w:r>
        <w:rPr>
          <w:rFonts w:ascii="Calibri" w:hAnsi="Calibri" w:cs="Calibri"/>
          <w:sz w:val="24"/>
          <w:szCs w:val="24"/>
        </w:rPr>
        <w:t xml:space="preserve"> </w:t>
      </w:r>
      <w:r w:rsidR="007A6F0C" w:rsidRPr="006B731C">
        <w:rPr>
          <w:rFonts w:ascii="Calibri" w:hAnsi="Calibri" w:cs="Calibri"/>
          <w:sz w:val="24"/>
          <w:szCs w:val="24"/>
        </w:rPr>
        <w:t>M.</w:t>
      </w:r>
      <w:r>
        <w:rPr>
          <w:rFonts w:ascii="Calibri" w:hAnsi="Calibri" w:cs="Calibri"/>
          <w:sz w:val="24"/>
          <w:szCs w:val="24"/>
        </w:rPr>
        <w:t xml:space="preserve"> </w:t>
      </w:r>
      <w:r w:rsidR="007A6F0C" w:rsidRPr="006B731C">
        <w:rPr>
          <w:rFonts w:ascii="Calibri" w:hAnsi="Calibri" w:cs="Calibri"/>
          <w:sz w:val="24"/>
          <w:szCs w:val="24"/>
        </w:rPr>
        <w:t>C., Bannerman, D.</w:t>
      </w:r>
      <w:r>
        <w:rPr>
          <w:rFonts w:ascii="Calibri" w:hAnsi="Calibri" w:cs="Calibri"/>
          <w:sz w:val="24"/>
          <w:szCs w:val="24"/>
        </w:rPr>
        <w:t xml:space="preserve"> </w:t>
      </w:r>
      <w:r w:rsidR="007A6F0C" w:rsidRPr="006B731C">
        <w:rPr>
          <w:rFonts w:ascii="Calibri" w:hAnsi="Calibri" w:cs="Calibri"/>
          <w:sz w:val="24"/>
          <w:szCs w:val="24"/>
        </w:rPr>
        <w:t xml:space="preserve">M. Mouse models of neurodegeneration: Know your question, know your mouse. </w:t>
      </w:r>
      <w:r w:rsidR="007A6F0C" w:rsidRPr="006B731C">
        <w:rPr>
          <w:rFonts w:ascii="Calibri" w:hAnsi="Calibri" w:cs="Calibri"/>
          <w:i/>
          <w:iCs/>
          <w:sz w:val="24"/>
          <w:szCs w:val="24"/>
        </w:rPr>
        <w:t>Sci Transl Med</w:t>
      </w:r>
      <w:r w:rsidR="007A6F0C" w:rsidRPr="006B731C">
        <w:rPr>
          <w:rFonts w:ascii="Calibri" w:hAnsi="Calibri" w:cs="Calibri"/>
          <w:sz w:val="24"/>
          <w:szCs w:val="24"/>
        </w:rPr>
        <w:t xml:space="preserve">. </w:t>
      </w:r>
      <w:r w:rsidR="007A6F0C" w:rsidRPr="006B731C">
        <w:rPr>
          <w:rFonts w:ascii="Calibri" w:hAnsi="Calibri" w:cs="Calibri"/>
          <w:b/>
          <w:bCs/>
          <w:sz w:val="24"/>
          <w:szCs w:val="24"/>
        </w:rPr>
        <w:t>11</w:t>
      </w:r>
      <w:r w:rsidR="007A6F0C" w:rsidRPr="006B731C">
        <w:rPr>
          <w:rFonts w:ascii="Calibri" w:hAnsi="Calibri" w:cs="Calibri"/>
          <w:sz w:val="24"/>
          <w:szCs w:val="24"/>
        </w:rPr>
        <w:t xml:space="preserve"> (493), eaaq1818 (2019).</w:t>
      </w:r>
    </w:p>
    <w:p w14:paraId="5DDAA537" w14:textId="42667FCB"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3</w:t>
      </w:r>
      <w:r w:rsidR="00F81B21">
        <w:rPr>
          <w:rFonts w:ascii="Calibri" w:hAnsi="Calibri" w:cs="Calibri"/>
          <w:sz w:val="24"/>
          <w:szCs w:val="24"/>
        </w:rPr>
        <w:t>0</w:t>
      </w:r>
      <w:r w:rsidRPr="006B731C">
        <w:rPr>
          <w:rFonts w:ascii="Calibri" w:hAnsi="Calibri" w:cs="Calibri"/>
          <w:sz w:val="24"/>
          <w:szCs w:val="24"/>
        </w:rPr>
        <w:t>.</w:t>
      </w:r>
      <w:r w:rsidRPr="006B731C">
        <w:rPr>
          <w:rFonts w:ascii="Calibri" w:hAnsi="Calibri" w:cs="Calibri"/>
          <w:sz w:val="24"/>
          <w:szCs w:val="24"/>
        </w:rPr>
        <w:tab/>
        <w:t>Bii, V.</w:t>
      </w:r>
      <w:r w:rsidR="00F81B21">
        <w:rPr>
          <w:rFonts w:ascii="Calibri" w:hAnsi="Calibri" w:cs="Calibri"/>
          <w:sz w:val="24"/>
          <w:szCs w:val="24"/>
        </w:rPr>
        <w:t xml:space="preserve"> </w:t>
      </w:r>
      <w:r w:rsidRPr="006B731C">
        <w:rPr>
          <w:rFonts w:ascii="Calibri" w:hAnsi="Calibri" w:cs="Calibri"/>
          <w:sz w:val="24"/>
          <w:szCs w:val="24"/>
        </w:rPr>
        <w:t>M., Collins, C.</w:t>
      </w:r>
      <w:r w:rsidR="00F81B21">
        <w:rPr>
          <w:rFonts w:ascii="Calibri" w:hAnsi="Calibri" w:cs="Calibri"/>
          <w:sz w:val="24"/>
          <w:szCs w:val="24"/>
        </w:rPr>
        <w:t xml:space="preserve"> </w:t>
      </w:r>
      <w:r w:rsidRPr="006B731C">
        <w:rPr>
          <w:rFonts w:ascii="Calibri" w:hAnsi="Calibri" w:cs="Calibri"/>
          <w:sz w:val="24"/>
          <w:szCs w:val="24"/>
        </w:rPr>
        <w:t>P., Hocum, J.</w:t>
      </w:r>
      <w:r w:rsidR="00F81B21">
        <w:rPr>
          <w:rFonts w:ascii="Calibri" w:hAnsi="Calibri" w:cs="Calibri"/>
          <w:sz w:val="24"/>
          <w:szCs w:val="24"/>
        </w:rPr>
        <w:t xml:space="preserve"> </w:t>
      </w:r>
      <w:r w:rsidRPr="006B731C">
        <w:rPr>
          <w:rFonts w:ascii="Calibri" w:hAnsi="Calibri" w:cs="Calibri"/>
          <w:sz w:val="24"/>
          <w:szCs w:val="24"/>
        </w:rPr>
        <w:t>D., Trobridge, G.</w:t>
      </w:r>
      <w:r w:rsidR="00F81B21">
        <w:rPr>
          <w:rFonts w:ascii="Calibri" w:hAnsi="Calibri" w:cs="Calibri"/>
          <w:sz w:val="24"/>
          <w:szCs w:val="24"/>
        </w:rPr>
        <w:t xml:space="preserve"> </w:t>
      </w:r>
      <w:r w:rsidRPr="006B731C">
        <w:rPr>
          <w:rFonts w:ascii="Calibri" w:hAnsi="Calibri" w:cs="Calibri"/>
          <w:sz w:val="24"/>
          <w:szCs w:val="24"/>
        </w:rPr>
        <w:t xml:space="preserve">D. Replication-incompetent gammaretroviral and lentiviral vector-based insertional mutagenesis screens identify prostate cancer progression genes. </w:t>
      </w:r>
      <w:r w:rsidRPr="006B731C">
        <w:rPr>
          <w:rFonts w:ascii="Calibri" w:hAnsi="Calibri" w:cs="Calibri"/>
          <w:i/>
          <w:iCs/>
          <w:sz w:val="24"/>
          <w:szCs w:val="24"/>
        </w:rPr>
        <w:t>Oncotarget</w:t>
      </w:r>
      <w:r w:rsidRPr="006B731C">
        <w:rPr>
          <w:rFonts w:ascii="Calibri" w:hAnsi="Calibri" w:cs="Calibri"/>
          <w:sz w:val="24"/>
          <w:szCs w:val="24"/>
        </w:rPr>
        <w:t xml:space="preserve">. </w:t>
      </w:r>
      <w:r w:rsidRPr="006B731C">
        <w:rPr>
          <w:rFonts w:ascii="Calibri" w:hAnsi="Calibri" w:cs="Calibri"/>
          <w:b/>
          <w:bCs/>
          <w:sz w:val="24"/>
          <w:szCs w:val="24"/>
        </w:rPr>
        <w:t>9</w:t>
      </w:r>
      <w:r w:rsidRPr="006B731C">
        <w:rPr>
          <w:rFonts w:ascii="Calibri" w:hAnsi="Calibri" w:cs="Calibri"/>
          <w:sz w:val="24"/>
          <w:szCs w:val="24"/>
        </w:rPr>
        <w:t xml:space="preserve"> (21), 15451–15463 (2018).</w:t>
      </w:r>
    </w:p>
    <w:p w14:paraId="4FAA1930" w14:textId="39488798" w:rsidR="007A6F0C" w:rsidRPr="006B731C" w:rsidRDefault="007A6F0C" w:rsidP="006B731C">
      <w:pPr>
        <w:pStyle w:val="Bibliografia"/>
        <w:jc w:val="both"/>
        <w:rPr>
          <w:rFonts w:ascii="Calibri" w:hAnsi="Calibri" w:cs="Calibri"/>
          <w:sz w:val="24"/>
          <w:szCs w:val="24"/>
        </w:rPr>
      </w:pPr>
      <w:r w:rsidRPr="006B731C">
        <w:rPr>
          <w:rFonts w:ascii="Calibri" w:hAnsi="Calibri" w:cs="Calibri"/>
          <w:sz w:val="24"/>
          <w:szCs w:val="24"/>
        </w:rPr>
        <w:t>3</w:t>
      </w:r>
      <w:r w:rsidR="00F81B21">
        <w:rPr>
          <w:rFonts w:ascii="Calibri" w:hAnsi="Calibri" w:cs="Calibri"/>
          <w:sz w:val="24"/>
          <w:szCs w:val="24"/>
        </w:rPr>
        <w:t>1</w:t>
      </w:r>
      <w:r w:rsidRPr="006B731C">
        <w:rPr>
          <w:rFonts w:ascii="Calibri" w:hAnsi="Calibri" w:cs="Calibri"/>
          <w:sz w:val="24"/>
          <w:szCs w:val="24"/>
        </w:rPr>
        <w:t>.</w:t>
      </w:r>
      <w:r w:rsidRPr="006B731C">
        <w:rPr>
          <w:rFonts w:ascii="Calibri" w:hAnsi="Calibri" w:cs="Calibri"/>
          <w:sz w:val="24"/>
          <w:szCs w:val="24"/>
        </w:rPr>
        <w:tab/>
        <w:t>Alves-Cruzeiro, J.</w:t>
      </w:r>
      <w:r w:rsidR="00F81B21">
        <w:rPr>
          <w:rFonts w:ascii="Calibri" w:hAnsi="Calibri" w:cs="Calibri"/>
          <w:sz w:val="24"/>
          <w:szCs w:val="24"/>
        </w:rPr>
        <w:t xml:space="preserve"> </w:t>
      </w:r>
      <w:r w:rsidRPr="006B731C">
        <w:rPr>
          <w:rFonts w:ascii="Calibri" w:hAnsi="Calibri" w:cs="Calibri"/>
          <w:sz w:val="24"/>
          <w:szCs w:val="24"/>
        </w:rPr>
        <w:t>M.</w:t>
      </w:r>
      <w:r w:rsidR="00F81B21">
        <w:rPr>
          <w:rFonts w:ascii="Calibri" w:hAnsi="Calibri" w:cs="Calibri"/>
          <w:sz w:val="24"/>
          <w:szCs w:val="24"/>
        </w:rPr>
        <w:t xml:space="preserve"> </w:t>
      </w:r>
      <w:r w:rsidRPr="006B731C">
        <w:rPr>
          <w:rFonts w:ascii="Calibri" w:hAnsi="Calibri" w:cs="Calibri"/>
          <w:sz w:val="24"/>
          <w:szCs w:val="24"/>
        </w:rPr>
        <w:t>D.</w:t>
      </w:r>
      <w:r w:rsidR="00F81B21">
        <w:rPr>
          <w:rFonts w:ascii="Calibri" w:hAnsi="Calibri" w:cs="Calibri"/>
          <w:sz w:val="24"/>
          <w:szCs w:val="24"/>
        </w:rPr>
        <w:t xml:space="preserve"> </w:t>
      </w:r>
      <w:r w:rsidRPr="006B731C">
        <w:rPr>
          <w:rFonts w:ascii="Calibri" w:hAnsi="Calibri" w:cs="Calibri"/>
          <w:sz w:val="24"/>
          <w:szCs w:val="24"/>
        </w:rPr>
        <w:t xml:space="preserve">C., Mendonça, L., Pereira de Almeida, L., Nóbrega, C. Motor Dysfunctions and Neuropathology in Mouse Models of Spinocerebellar Ataxia Type 2: A Comprehensive Review. </w:t>
      </w:r>
      <w:r w:rsidRPr="006B731C">
        <w:rPr>
          <w:rFonts w:ascii="Calibri" w:hAnsi="Calibri" w:cs="Calibri"/>
          <w:i/>
          <w:iCs/>
          <w:sz w:val="24"/>
          <w:szCs w:val="24"/>
        </w:rPr>
        <w:t>Front Neurosci</w:t>
      </w:r>
      <w:r w:rsidRPr="006B731C">
        <w:rPr>
          <w:rFonts w:ascii="Calibri" w:hAnsi="Calibri" w:cs="Calibri"/>
          <w:sz w:val="24"/>
          <w:szCs w:val="24"/>
        </w:rPr>
        <w:t xml:space="preserve">. </w:t>
      </w:r>
      <w:r w:rsidRPr="006B731C">
        <w:rPr>
          <w:rFonts w:ascii="Calibri" w:hAnsi="Calibri" w:cs="Calibri"/>
          <w:b/>
          <w:bCs/>
          <w:sz w:val="24"/>
          <w:szCs w:val="24"/>
        </w:rPr>
        <w:t>10</w:t>
      </w:r>
      <w:r w:rsidRPr="006B731C">
        <w:rPr>
          <w:rFonts w:ascii="Calibri" w:hAnsi="Calibri" w:cs="Calibri"/>
          <w:sz w:val="24"/>
          <w:szCs w:val="24"/>
        </w:rPr>
        <w:t>, 572 (2016).</w:t>
      </w:r>
    </w:p>
    <w:p w14:paraId="4CA42005" w14:textId="16CDE9AF" w:rsidR="001A1B8A" w:rsidRPr="006B731C" w:rsidRDefault="00A52D19" w:rsidP="006B731C">
      <w:pPr>
        <w:pStyle w:val="Bibliografia"/>
        <w:jc w:val="both"/>
        <w:rPr>
          <w:rFonts w:ascii="Calibri" w:hAnsi="Calibri" w:cs="Calibri"/>
          <w:sz w:val="24"/>
          <w:szCs w:val="24"/>
        </w:rPr>
      </w:pPr>
      <w:r w:rsidRPr="006B731C">
        <w:rPr>
          <w:rFonts w:ascii="Calibri" w:hAnsi="Calibri" w:cs="Calibri"/>
          <w:sz w:val="24"/>
          <w:szCs w:val="24"/>
        </w:rPr>
        <w:fldChar w:fldCharType="end"/>
      </w:r>
    </w:p>
    <w:sectPr w:rsidR="001A1B8A" w:rsidRPr="006B731C" w:rsidSect="006B731C">
      <w:pgSz w:w="12240" w:h="15840" w:code="1"/>
      <w:pgMar w:top="1440" w:right="1440" w:bottom="1440" w:left="1440" w:header="709" w:footer="709"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3C462" w14:textId="77777777" w:rsidR="005B4B67" w:rsidRDefault="005B4B67" w:rsidP="006D352C">
      <w:pPr>
        <w:spacing w:after="0" w:line="240" w:lineRule="auto"/>
      </w:pPr>
      <w:r>
        <w:separator/>
      </w:r>
    </w:p>
  </w:endnote>
  <w:endnote w:type="continuationSeparator" w:id="0">
    <w:p w14:paraId="2A9D0A34" w14:textId="77777777" w:rsidR="005B4B67" w:rsidRDefault="005B4B67" w:rsidP="006D3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F245E43-3D07-E541-84F8-D73699334965}"/>
    <w:embedBold r:id="rId2" w:fontKey="{24CF4F6F-923D-E247-8620-84A44B35FEA6}"/>
    <w:embedItalic r:id="rId3" w:fontKey="{12163C9D-ED5B-3D4F-B67A-E6DEC7DEFA7D}"/>
    <w:embedBoldItalic r:id="rId4" w:fontKey="{2D574F5C-3AB3-A742-9E68-0CDCF38EE459}"/>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6" w:fontKey="{7AE2D3EF-9206-AC49-A30A-2337679E1276}"/>
  </w:font>
  <w:font w:name="Times New Roman">
    <w:panose1 w:val="02020603050405020304"/>
    <w:charset w:val="00"/>
    <w:family w:val="roman"/>
    <w:pitch w:val="variable"/>
    <w:sig w:usb0="E0002EFF" w:usb1="C000785B" w:usb2="00000009" w:usb3="00000000" w:csb0="000001FF" w:csb1="00000000"/>
    <w:embedRegular r:id="rId7" w:fontKey="{A4DCAF9F-64D2-B543-A8E0-2E8A71F665B9}"/>
    <w:embedBold r:id="rId8" w:fontKey="{052D713C-9568-EF43-8C4A-7B6112D7A92A}"/>
    <w:embedItalic r:id="rId9" w:fontKey="{06C7573A-7AC8-8F46-A0BB-434D5A291052}"/>
  </w:font>
  <w:font w:name="Arial">
    <w:panose1 w:val="020B0604020202020204"/>
    <w:charset w:val="00"/>
    <w:family w:val="swiss"/>
    <w:pitch w:val="variable"/>
    <w:sig w:usb0="E0002EFF" w:usb1="C000785B" w:usb2="00000009" w:usb3="00000000" w:csb0="000001FF" w:csb1="00000000"/>
    <w:embedRegular r:id="rId10" w:fontKey="{F9DDB9CD-7B78-D141-A71D-EA231B8A7037}"/>
    <w:embedBold r:id="rId11" w:fontKey="{DD1DD49B-E2ED-4047-B50A-15173B7B28D3}"/>
    <w:embedItalic r:id="rId12" w:fontKey="{3DC4B23D-51D0-0E4D-8932-817154082B87}"/>
    <w:embedBoldItalic r:id="rId13" w:fontKey="{562CBE11-C5B5-AB48-8770-A2CE347D1DBE}"/>
  </w:font>
  <w:font w:name="Calibri Light">
    <w:panose1 w:val="020F0302020204030204"/>
    <w:charset w:val="00"/>
    <w:family w:val="swiss"/>
    <w:pitch w:val="variable"/>
    <w:sig w:usb0="E4002EFF" w:usb1="C200247B" w:usb2="00000009" w:usb3="00000000" w:csb0="000001FF" w:csb1="00000000"/>
    <w:embedRegular r:id="rId14" w:fontKey="{6C07F88F-452C-3340-8DF4-503C28531479}"/>
  </w:font>
  <w:font w:name="Segoe UI">
    <w:panose1 w:val="020B0502040204020203"/>
    <w:charset w:val="00"/>
    <w:family w:val="swiss"/>
    <w:pitch w:val="variable"/>
    <w:sig w:usb0="E4002EFF" w:usb1="C000E47F" w:usb2="00000009" w:usb3="00000000" w:csb0="000001FF" w:csb1="00000000"/>
    <w:embedRegular r:id="rId15" w:fontKey="{621C3875-6F6A-5740-9A39-2D62745398C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85070" w14:textId="77777777" w:rsidR="005B4B67" w:rsidRDefault="005B4B67" w:rsidP="006D352C">
      <w:pPr>
        <w:spacing w:after="0" w:line="240" w:lineRule="auto"/>
      </w:pPr>
      <w:r>
        <w:separator/>
      </w:r>
    </w:p>
  </w:footnote>
  <w:footnote w:type="continuationSeparator" w:id="0">
    <w:p w14:paraId="1E59F306" w14:textId="77777777" w:rsidR="005B4B67" w:rsidRDefault="005B4B67" w:rsidP="006D35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D07CB"/>
    <w:multiLevelType w:val="multilevel"/>
    <w:tmpl w:val="03D8D318"/>
    <w:lvl w:ilvl="0">
      <w:start w:val="1"/>
      <w:numFmt w:val="bullet"/>
      <w:lvlText w:val="●"/>
      <w:lvlJc w:val="left"/>
      <w:pPr>
        <w:ind w:left="2562" w:hanging="359"/>
      </w:pPr>
      <w:rPr>
        <w:rFonts w:asciiTheme="minorHAnsi" w:eastAsia="Noto Sans Symbols" w:hAnsiTheme="minorHAnsi" w:cstheme="minorHAnsi" w:hint="default"/>
        <w:sz w:val="14"/>
        <w:szCs w:val="14"/>
      </w:rPr>
    </w:lvl>
    <w:lvl w:ilvl="1">
      <w:start w:val="1"/>
      <w:numFmt w:val="bullet"/>
      <w:lvlText w:val="o"/>
      <w:lvlJc w:val="left"/>
      <w:pPr>
        <w:ind w:left="2160" w:hanging="360"/>
      </w:pPr>
      <w:rPr>
        <w:rFonts w:ascii="Courier New" w:eastAsia="Courier New" w:hAnsi="Courier New" w:cs="Courier New"/>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1" w15:restartNumberingAfterBreak="0">
    <w:nsid w:val="093027F2"/>
    <w:multiLevelType w:val="multilevel"/>
    <w:tmpl w:val="B6D0F6FA"/>
    <w:lvl w:ilvl="0">
      <w:start w:val="1"/>
      <w:numFmt w:val="bullet"/>
      <w:lvlText w:val="●"/>
      <w:lvlJc w:val="left"/>
      <w:pPr>
        <w:ind w:left="720" w:hanging="360"/>
      </w:pPr>
      <w:rPr>
        <w:sz w:val="14"/>
        <w:szCs w:val="1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345346"/>
    <w:multiLevelType w:val="hybridMultilevel"/>
    <w:tmpl w:val="3C76CEB6"/>
    <w:lvl w:ilvl="0" w:tplc="C6C02A1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35251F"/>
    <w:multiLevelType w:val="multilevel"/>
    <w:tmpl w:val="84EA9CA0"/>
    <w:lvl w:ilvl="0">
      <w:start w:val="1"/>
      <w:numFmt w:val="bullet"/>
      <w:lvlText w:val="●"/>
      <w:lvlJc w:val="left"/>
      <w:pPr>
        <w:ind w:left="3600" w:hanging="360"/>
      </w:pPr>
      <w:rPr>
        <w:sz w:val="12"/>
        <w:szCs w:val="12"/>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4" w15:restartNumberingAfterBreak="0">
    <w:nsid w:val="27157B63"/>
    <w:multiLevelType w:val="multilevel"/>
    <w:tmpl w:val="A24A6460"/>
    <w:lvl w:ilvl="0">
      <w:start w:val="1"/>
      <w:numFmt w:val="bullet"/>
      <w:lvlText w:val="●"/>
      <w:lvlJc w:val="left"/>
      <w:pPr>
        <w:ind w:left="2880" w:hanging="360"/>
      </w:pPr>
      <w:rPr>
        <w:sz w:val="14"/>
        <w:szCs w:val="14"/>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5" w15:restartNumberingAfterBreak="0">
    <w:nsid w:val="2FDD70B8"/>
    <w:multiLevelType w:val="hybridMultilevel"/>
    <w:tmpl w:val="74B0202E"/>
    <w:lvl w:ilvl="0" w:tplc="7F76659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E30B59"/>
    <w:multiLevelType w:val="multilevel"/>
    <w:tmpl w:val="2236CE70"/>
    <w:lvl w:ilvl="0">
      <w:start w:val="5"/>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490C0406"/>
    <w:multiLevelType w:val="multilevel"/>
    <w:tmpl w:val="067E8FF2"/>
    <w:lvl w:ilvl="0">
      <w:start w:val="1"/>
      <w:numFmt w:val="bullet"/>
      <w:lvlText w:val="●"/>
      <w:lvlJc w:val="left"/>
      <w:pPr>
        <w:ind w:left="2551" w:hanging="360"/>
      </w:pPr>
      <w:rPr>
        <w:sz w:val="14"/>
        <w:szCs w:val="14"/>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8" w15:restartNumberingAfterBreak="0">
    <w:nsid w:val="57565177"/>
    <w:multiLevelType w:val="multilevel"/>
    <w:tmpl w:val="0BFAF63C"/>
    <w:lvl w:ilvl="0">
      <w:start w:val="1"/>
      <w:numFmt w:val="bullet"/>
      <w:lvlText w:val="●"/>
      <w:lvlJc w:val="left"/>
      <w:pPr>
        <w:ind w:left="720" w:hanging="360"/>
      </w:pPr>
      <w:rPr>
        <w:sz w:val="14"/>
        <w:szCs w:val="1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3D77DD4"/>
    <w:multiLevelType w:val="multilevel"/>
    <w:tmpl w:val="9E583F52"/>
    <w:lvl w:ilvl="0">
      <w:start w:val="1"/>
      <w:numFmt w:val="decimal"/>
      <w:lvlText w:val="%1."/>
      <w:lvlJc w:val="right"/>
      <w:pPr>
        <w:ind w:left="566" w:hanging="284"/>
      </w:pPr>
      <w:rPr>
        <w:u w:val="none"/>
      </w:rPr>
    </w:lvl>
    <w:lvl w:ilvl="1">
      <w:start w:val="1"/>
      <w:numFmt w:val="decimal"/>
      <w:lvlText w:val="%1.%2."/>
      <w:lvlJc w:val="right"/>
      <w:pPr>
        <w:ind w:left="1440" w:hanging="360"/>
      </w:pPr>
      <w:rPr>
        <w:rFonts w:asciiTheme="minorHAnsi" w:eastAsia="Arial" w:hAnsiTheme="minorHAnsi" w:cstheme="minorHAnsi" w:hint="default"/>
        <w:b/>
        <w:bCs w:val="0"/>
        <w:u w:val="none"/>
      </w:rPr>
    </w:lvl>
    <w:lvl w:ilvl="2">
      <w:start w:val="1"/>
      <w:numFmt w:val="decimal"/>
      <w:lvlText w:val="%1.%2.%3."/>
      <w:lvlJc w:val="right"/>
      <w:pPr>
        <w:ind w:left="2160" w:hanging="360"/>
      </w:pPr>
      <w:rPr>
        <w:rFonts w:asciiTheme="minorHAnsi" w:hAnsiTheme="minorHAnsi" w:cstheme="minorHAnsi" w:hint="default"/>
        <w:sz w:val="24"/>
        <w:szCs w:val="24"/>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0" w15:restartNumberingAfterBreak="0">
    <w:nsid w:val="6724119C"/>
    <w:multiLevelType w:val="multilevel"/>
    <w:tmpl w:val="714CE92C"/>
    <w:lvl w:ilvl="0">
      <w:start w:val="1"/>
      <w:numFmt w:val="bullet"/>
      <w:lvlText w:val="●"/>
      <w:lvlJc w:val="left"/>
      <w:pPr>
        <w:ind w:left="2880" w:hanging="360"/>
      </w:pPr>
      <w:rPr>
        <w:sz w:val="14"/>
        <w:szCs w:val="14"/>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1" w15:restartNumberingAfterBreak="0">
    <w:nsid w:val="6E6972B9"/>
    <w:multiLevelType w:val="multilevel"/>
    <w:tmpl w:val="AE6257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78874BD"/>
    <w:multiLevelType w:val="multilevel"/>
    <w:tmpl w:val="6C3A87BA"/>
    <w:lvl w:ilvl="0">
      <w:start w:val="1"/>
      <w:numFmt w:val="decimal"/>
      <w:lvlText w:val="%1"/>
      <w:lvlJc w:val="left"/>
      <w:pPr>
        <w:ind w:left="36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1797409908">
    <w:abstractNumId w:val="1"/>
  </w:num>
  <w:num w:numId="2" w16cid:durableId="1321039598">
    <w:abstractNumId w:val="10"/>
  </w:num>
  <w:num w:numId="3" w16cid:durableId="1675642944">
    <w:abstractNumId w:val="9"/>
  </w:num>
  <w:num w:numId="4" w16cid:durableId="1577519845">
    <w:abstractNumId w:val="7"/>
  </w:num>
  <w:num w:numId="5" w16cid:durableId="307591620">
    <w:abstractNumId w:val="3"/>
  </w:num>
  <w:num w:numId="6" w16cid:durableId="1228107238">
    <w:abstractNumId w:val="0"/>
  </w:num>
  <w:num w:numId="7" w16cid:durableId="423648782">
    <w:abstractNumId w:val="8"/>
  </w:num>
  <w:num w:numId="8" w16cid:durableId="1489905018">
    <w:abstractNumId w:val="4"/>
  </w:num>
  <w:num w:numId="9" w16cid:durableId="1085809280">
    <w:abstractNumId w:val="5"/>
  </w:num>
  <w:num w:numId="10" w16cid:durableId="142427057">
    <w:abstractNumId w:val="2"/>
  </w:num>
  <w:num w:numId="11" w16cid:durableId="1062872903">
    <w:abstractNumId w:val="11"/>
  </w:num>
  <w:num w:numId="12" w16cid:durableId="1373846946">
    <w:abstractNumId w:val="12"/>
  </w:num>
  <w:num w:numId="13" w16cid:durableId="2628819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removePersonalInformation/>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B5E"/>
    <w:rsid w:val="00001388"/>
    <w:rsid w:val="000167E6"/>
    <w:rsid w:val="000208F2"/>
    <w:rsid w:val="00022419"/>
    <w:rsid w:val="00027EB5"/>
    <w:rsid w:val="000309BE"/>
    <w:rsid w:val="000359A7"/>
    <w:rsid w:val="00036875"/>
    <w:rsid w:val="0005315F"/>
    <w:rsid w:val="00055808"/>
    <w:rsid w:val="0007180C"/>
    <w:rsid w:val="00074CB6"/>
    <w:rsid w:val="00085754"/>
    <w:rsid w:val="00086699"/>
    <w:rsid w:val="0009488D"/>
    <w:rsid w:val="00097793"/>
    <w:rsid w:val="000A2BCF"/>
    <w:rsid w:val="000E67F5"/>
    <w:rsid w:val="000E7D55"/>
    <w:rsid w:val="001229F1"/>
    <w:rsid w:val="00130DBC"/>
    <w:rsid w:val="00140512"/>
    <w:rsid w:val="001558A4"/>
    <w:rsid w:val="00156130"/>
    <w:rsid w:val="001670CA"/>
    <w:rsid w:val="00171F2D"/>
    <w:rsid w:val="001A1B8A"/>
    <w:rsid w:val="001B4657"/>
    <w:rsid w:val="001C060B"/>
    <w:rsid w:val="001D0DBF"/>
    <w:rsid w:val="001F5FEB"/>
    <w:rsid w:val="002005E0"/>
    <w:rsid w:val="0021021D"/>
    <w:rsid w:val="00217786"/>
    <w:rsid w:val="00220AA3"/>
    <w:rsid w:val="00226B94"/>
    <w:rsid w:val="00231C15"/>
    <w:rsid w:val="00241A85"/>
    <w:rsid w:val="00245C09"/>
    <w:rsid w:val="00246359"/>
    <w:rsid w:val="002678FF"/>
    <w:rsid w:val="00280519"/>
    <w:rsid w:val="00292DE6"/>
    <w:rsid w:val="0029760E"/>
    <w:rsid w:val="002A161C"/>
    <w:rsid w:val="002B7408"/>
    <w:rsid w:val="002B79FD"/>
    <w:rsid w:val="002C4B66"/>
    <w:rsid w:val="002D2EA6"/>
    <w:rsid w:val="002D72F2"/>
    <w:rsid w:val="002E2DB0"/>
    <w:rsid w:val="002E4ADF"/>
    <w:rsid w:val="00300817"/>
    <w:rsid w:val="00324DCC"/>
    <w:rsid w:val="00325458"/>
    <w:rsid w:val="00327474"/>
    <w:rsid w:val="0033009C"/>
    <w:rsid w:val="00331008"/>
    <w:rsid w:val="00336897"/>
    <w:rsid w:val="003633A7"/>
    <w:rsid w:val="003669CA"/>
    <w:rsid w:val="0037144E"/>
    <w:rsid w:val="003804E1"/>
    <w:rsid w:val="003869A8"/>
    <w:rsid w:val="003A6BCD"/>
    <w:rsid w:val="003C1415"/>
    <w:rsid w:val="003C7E81"/>
    <w:rsid w:val="003F000D"/>
    <w:rsid w:val="0041011C"/>
    <w:rsid w:val="00425279"/>
    <w:rsid w:val="00426429"/>
    <w:rsid w:val="00432AB4"/>
    <w:rsid w:val="00450BF4"/>
    <w:rsid w:val="00462AD6"/>
    <w:rsid w:val="00487CB5"/>
    <w:rsid w:val="0049112F"/>
    <w:rsid w:val="004A1C25"/>
    <w:rsid w:val="004A6199"/>
    <w:rsid w:val="004A7778"/>
    <w:rsid w:val="004C058C"/>
    <w:rsid w:val="004C19C0"/>
    <w:rsid w:val="004C6BB6"/>
    <w:rsid w:val="004E7076"/>
    <w:rsid w:val="00501A02"/>
    <w:rsid w:val="0050282E"/>
    <w:rsid w:val="00514268"/>
    <w:rsid w:val="005150D5"/>
    <w:rsid w:val="00516A5D"/>
    <w:rsid w:val="00535F74"/>
    <w:rsid w:val="00550555"/>
    <w:rsid w:val="005536A4"/>
    <w:rsid w:val="00572F49"/>
    <w:rsid w:val="00574B9A"/>
    <w:rsid w:val="005B46E1"/>
    <w:rsid w:val="005B4B67"/>
    <w:rsid w:val="005D1C6A"/>
    <w:rsid w:val="00600B5E"/>
    <w:rsid w:val="00625CD8"/>
    <w:rsid w:val="00644845"/>
    <w:rsid w:val="0064551F"/>
    <w:rsid w:val="006621C1"/>
    <w:rsid w:val="00662916"/>
    <w:rsid w:val="0067590E"/>
    <w:rsid w:val="00675E68"/>
    <w:rsid w:val="00683605"/>
    <w:rsid w:val="006903B5"/>
    <w:rsid w:val="006B731C"/>
    <w:rsid w:val="006D352C"/>
    <w:rsid w:val="006E0D8D"/>
    <w:rsid w:val="00704971"/>
    <w:rsid w:val="00717087"/>
    <w:rsid w:val="007315F8"/>
    <w:rsid w:val="007336DF"/>
    <w:rsid w:val="007364A3"/>
    <w:rsid w:val="007406A3"/>
    <w:rsid w:val="007621AE"/>
    <w:rsid w:val="007A6F0C"/>
    <w:rsid w:val="007B160E"/>
    <w:rsid w:val="007B1E9D"/>
    <w:rsid w:val="007C6264"/>
    <w:rsid w:val="007E20FE"/>
    <w:rsid w:val="007E282B"/>
    <w:rsid w:val="007F35CD"/>
    <w:rsid w:val="00805438"/>
    <w:rsid w:val="00835680"/>
    <w:rsid w:val="00836CF0"/>
    <w:rsid w:val="008447FB"/>
    <w:rsid w:val="00850514"/>
    <w:rsid w:val="00856628"/>
    <w:rsid w:val="00874BE8"/>
    <w:rsid w:val="00882912"/>
    <w:rsid w:val="00883183"/>
    <w:rsid w:val="00894366"/>
    <w:rsid w:val="008958E4"/>
    <w:rsid w:val="008A652B"/>
    <w:rsid w:val="008B49DC"/>
    <w:rsid w:val="008C0754"/>
    <w:rsid w:val="008C5C9E"/>
    <w:rsid w:val="008C6DD8"/>
    <w:rsid w:val="008C6EA9"/>
    <w:rsid w:val="008D4D32"/>
    <w:rsid w:val="008D61E8"/>
    <w:rsid w:val="008E24CC"/>
    <w:rsid w:val="008E5F34"/>
    <w:rsid w:val="008F582F"/>
    <w:rsid w:val="008F70D8"/>
    <w:rsid w:val="00926B3C"/>
    <w:rsid w:val="00934D5F"/>
    <w:rsid w:val="0093545C"/>
    <w:rsid w:val="0094261E"/>
    <w:rsid w:val="00944130"/>
    <w:rsid w:val="009474DC"/>
    <w:rsid w:val="00947BE1"/>
    <w:rsid w:val="00947D09"/>
    <w:rsid w:val="00976B67"/>
    <w:rsid w:val="00982123"/>
    <w:rsid w:val="009A25E9"/>
    <w:rsid w:val="009A7CD2"/>
    <w:rsid w:val="009C4AAD"/>
    <w:rsid w:val="009D0AF9"/>
    <w:rsid w:val="009E0544"/>
    <w:rsid w:val="009F45E7"/>
    <w:rsid w:val="00A210DE"/>
    <w:rsid w:val="00A27D16"/>
    <w:rsid w:val="00A44DBD"/>
    <w:rsid w:val="00A52D19"/>
    <w:rsid w:val="00A60E9B"/>
    <w:rsid w:val="00A62B75"/>
    <w:rsid w:val="00A83EE5"/>
    <w:rsid w:val="00A92DA1"/>
    <w:rsid w:val="00AB2780"/>
    <w:rsid w:val="00AD3F10"/>
    <w:rsid w:val="00AE140E"/>
    <w:rsid w:val="00B10E48"/>
    <w:rsid w:val="00B140CE"/>
    <w:rsid w:val="00B14AC2"/>
    <w:rsid w:val="00B22595"/>
    <w:rsid w:val="00B246F6"/>
    <w:rsid w:val="00B2798C"/>
    <w:rsid w:val="00B27AF0"/>
    <w:rsid w:val="00B51AAA"/>
    <w:rsid w:val="00B74619"/>
    <w:rsid w:val="00B75A4A"/>
    <w:rsid w:val="00BA50D5"/>
    <w:rsid w:val="00BB75AC"/>
    <w:rsid w:val="00BC2769"/>
    <w:rsid w:val="00BD1614"/>
    <w:rsid w:val="00BD4F60"/>
    <w:rsid w:val="00C03DA5"/>
    <w:rsid w:val="00C20585"/>
    <w:rsid w:val="00C5486D"/>
    <w:rsid w:val="00C63F12"/>
    <w:rsid w:val="00C648CA"/>
    <w:rsid w:val="00C71445"/>
    <w:rsid w:val="00C72F28"/>
    <w:rsid w:val="00C83BFF"/>
    <w:rsid w:val="00C84D81"/>
    <w:rsid w:val="00C92FE0"/>
    <w:rsid w:val="00CA2D2B"/>
    <w:rsid w:val="00CB5E4C"/>
    <w:rsid w:val="00CD3230"/>
    <w:rsid w:val="00CD37AF"/>
    <w:rsid w:val="00CD47A0"/>
    <w:rsid w:val="00CE2558"/>
    <w:rsid w:val="00CF761F"/>
    <w:rsid w:val="00D06224"/>
    <w:rsid w:val="00D14FF4"/>
    <w:rsid w:val="00D1699F"/>
    <w:rsid w:val="00D213F5"/>
    <w:rsid w:val="00D33EF9"/>
    <w:rsid w:val="00D46D4D"/>
    <w:rsid w:val="00D5584C"/>
    <w:rsid w:val="00D5776E"/>
    <w:rsid w:val="00D63759"/>
    <w:rsid w:val="00D70BE4"/>
    <w:rsid w:val="00D80691"/>
    <w:rsid w:val="00D8118C"/>
    <w:rsid w:val="00D9562C"/>
    <w:rsid w:val="00D969C6"/>
    <w:rsid w:val="00D96C9E"/>
    <w:rsid w:val="00DC5EE3"/>
    <w:rsid w:val="00DE52F5"/>
    <w:rsid w:val="00DF069B"/>
    <w:rsid w:val="00DF7F1B"/>
    <w:rsid w:val="00E2071E"/>
    <w:rsid w:val="00E268B3"/>
    <w:rsid w:val="00E35E73"/>
    <w:rsid w:val="00E55E3D"/>
    <w:rsid w:val="00E75C4C"/>
    <w:rsid w:val="00E90C5D"/>
    <w:rsid w:val="00EB0148"/>
    <w:rsid w:val="00ED4ED5"/>
    <w:rsid w:val="00F01BBE"/>
    <w:rsid w:val="00F07E2D"/>
    <w:rsid w:val="00F23FB1"/>
    <w:rsid w:val="00F34734"/>
    <w:rsid w:val="00F35173"/>
    <w:rsid w:val="00F46D61"/>
    <w:rsid w:val="00F515FE"/>
    <w:rsid w:val="00F73581"/>
    <w:rsid w:val="00F76F2C"/>
    <w:rsid w:val="00F81B21"/>
    <w:rsid w:val="00F93C53"/>
    <w:rsid w:val="00FA15B4"/>
    <w:rsid w:val="00FC26BB"/>
    <w:rsid w:val="00FC3FAF"/>
    <w:rsid w:val="00FC754E"/>
    <w:rsid w:val="00FD2D1E"/>
    <w:rsid w:val="00FE54E9"/>
    <w:rsid w:val="00FE61A3"/>
    <w:rsid w:val="00FF4421"/>
    <w:rsid w:val="00FF4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B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B8A"/>
    <w:rPr>
      <w:lang w:val="en-US"/>
    </w:rPr>
  </w:style>
  <w:style w:type="paragraph" w:styleId="Ttulo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Ttulo3">
    <w:name w:val="heading 3"/>
    <w:basedOn w:val="Normal"/>
    <w:next w:val="Normal"/>
    <w:uiPriority w:val="9"/>
    <w:semiHidden/>
    <w:unhideWhenUsed/>
    <w:qFormat/>
    <w:pPr>
      <w:keepNext/>
      <w:keepLines/>
      <w:spacing w:before="160" w:after="80"/>
      <w:outlineLvl w:val="2"/>
    </w:pPr>
    <w:rPr>
      <w:rFonts w:ascii="Calibri" w:eastAsia="Calibri" w:hAnsi="Calibri" w:cs="Calibri"/>
      <w:color w:val="2F5496"/>
      <w:sz w:val="28"/>
      <w:szCs w:val="28"/>
    </w:rPr>
  </w:style>
  <w:style w:type="paragraph" w:styleId="Ttulo4">
    <w:name w:val="heading 4"/>
    <w:basedOn w:val="Normal"/>
    <w:next w:val="Normal"/>
    <w:uiPriority w:val="9"/>
    <w:semiHidden/>
    <w:unhideWhenUsed/>
    <w:qFormat/>
    <w:pPr>
      <w:keepNext/>
      <w:keepLines/>
      <w:spacing w:before="80" w:after="40"/>
      <w:outlineLvl w:val="3"/>
    </w:pPr>
    <w:rPr>
      <w:rFonts w:ascii="Calibri" w:eastAsia="Calibri" w:hAnsi="Calibri" w:cs="Calibri"/>
      <w:i/>
      <w:color w:val="2F5496"/>
    </w:rPr>
  </w:style>
  <w:style w:type="paragraph" w:styleId="Ttulo5">
    <w:name w:val="heading 5"/>
    <w:basedOn w:val="Normal"/>
    <w:next w:val="Normal"/>
    <w:uiPriority w:val="9"/>
    <w:semiHidden/>
    <w:unhideWhenUsed/>
    <w:qFormat/>
    <w:pPr>
      <w:keepNext/>
      <w:keepLines/>
      <w:spacing w:before="80" w:after="40"/>
      <w:outlineLvl w:val="4"/>
    </w:pPr>
    <w:rPr>
      <w:rFonts w:ascii="Calibri" w:eastAsia="Calibri" w:hAnsi="Calibri" w:cs="Calibri"/>
      <w:color w:val="2F5496"/>
    </w:rPr>
  </w:style>
  <w:style w:type="paragraph" w:styleId="Ttulo6">
    <w:name w:val="heading 6"/>
    <w:basedOn w:val="Normal"/>
    <w:next w:val="Normal"/>
    <w:uiPriority w:val="9"/>
    <w:semiHidden/>
    <w:unhideWhenUsed/>
    <w:qFormat/>
    <w:pPr>
      <w:keepNext/>
      <w:keepLines/>
      <w:spacing w:before="40" w:after="0"/>
      <w:outlineLvl w:val="5"/>
    </w:pPr>
    <w:rPr>
      <w:rFonts w:ascii="Calibri" w:eastAsia="Calibri" w:hAnsi="Calibri" w:cs="Calibri"/>
      <w:i/>
      <w:color w:val="595959"/>
    </w:rPr>
  </w:style>
  <w:style w:type="paragraph" w:styleId="Ttulo7">
    <w:name w:val="heading 7"/>
    <w:basedOn w:val="Normal"/>
    <w:next w:val="Normal"/>
    <w:link w:val="Ttulo7Carter"/>
    <w:uiPriority w:val="9"/>
    <w:semiHidden/>
    <w:unhideWhenUsed/>
    <w:qFormat/>
    <w:rsid w:val="000D0E7B"/>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ter"/>
    <w:uiPriority w:val="9"/>
    <w:semiHidden/>
    <w:unhideWhenUsed/>
    <w:qFormat/>
    <w:rsid w:val="000D0E7B"/>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ter"/>
    <w:uiPriority w:val="9"/>
    <w:semiHidden/>
    <w:unhideWhenUsed/>
    <w:qFormat/>
    <w:rsid w:val="000D0E7B"/>
    <w:pPr>
      <w:keepNext/>
      <w:keepLines/>
      <w:spacing w:after="0"/>
      <w:outlineLvl w:val="8"/>
    </w:pPr>
    <w:rPr>
      <w:rFonts w:asciiTheme="minorHAnsi" w:eastAsiaTheme="majorEastAsia" w:hAnsiTheme="minorHAnsi"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spacing w:after="80" w:line="240" w:lineRule="auto"/>
    </w:pPr>
    <w:rPr>
      <w:rFonts w:ascii="Calibri" w:eastAsia="Calibri" w:hAnsi="Calibri" w:cs="Calibri"/>
      <w:sz w:val="56"/>
      <w:szCs w:val="56"/>
    </w:rPr>
  </w:style>
  <w:style w:type="character" w:customStyle="1" w:styleId="Ttulo1Carter">
    <w:name w:val="Título 1 Caráter"/>
    <w:basedOn w:val="Tipodeletrapredefinidodopargrafo"/>
    <w:uiPriority w:val="9"/>
    <w:rsid w:val="000D0E7B"/>
    <w:rPr>
      <w:rFonts w:asciiTheme="majorHAnsi" w:eastAsiaTheme="majorEastAsia" w:hAnsiTheme="majorHAnsi" w:cstheme="majorBidi"/>
      <w:color w:val="2F5496" w:themeColor="accent1" w:themeShade="BF"/>
      <w:sz w:val="40"/>
      <w:szCs w:val="40"/>
    </w:rPr>
  </w:style>
  <w:style w:type="character" w:customStyle="1" w:styleId="Ttulo2Carter">
    <w:name w:val="Título 2 Caráter"/>
    <w:basedOn w:val="Tipodeletrapredefinidodopargrafo"/>
    <w:uiPriority w:val="9"/>
    <w:semiHidden/>
    <w:rsid w:val="000D0E7B"/>
    <w:rPr>
      <w:rFonts w:asciiTheme="majorHAnsi" w:eastAsiaTheme="majorEastAsia" w:hAnsiTheme="majorHAnsi" w:cstheme="majorBidi"/>
      <w:color w:val="2F5496" w:themeColor="accent1" w:themeShade="BF"/>
      <w:sz w:val="32"/>
      <w:szCs w:val="32"/>
    </w:rPr>
  </w:style>
  <w:style w:type="character" w:customStyle="1" w:styleId="Ttulo3Carter">
    <w:name w:val="Título 3 Caráter"/>
    <w:basedOn w:val="Tipodeletrapredefinidodopargrafo"/>
    <w:uiPriority w:val="9"/>
    <w:rsid w:val="000D0E7B"/>
    <w:rPr>
      <w:rFonts w:asciiTheme="minorHAnsi" w:eastAsiaTheme="majorEastAsia" w:hAnsiTheme="minorHAnsi" w:cstheme="majorBidi"/>
      <w:color w:val="2F5496" w:themeColor="accent1" w:themeShade="BF"/>
      <w:sz w:val="28"/>
      <w:szCs w:val="28"/>
    </w:rPr>
  </w:style>
  <w:style w:type="character" w:customStyle="1" w:styleId="Ttulo4Carter">
    <w:name w:val="Título 4 Caráter"/>
    <w:basedOn w:val="Tipodeletrapredefinidodopargrafo"/>
    <w:uiPriority w:val="9"/>
    <w:rsid w:val="000D0E7B"/>
    <w:rPr>
      <w:rFonts w:asciiTheme="minorHAnsi" w:eastAsiaTheme="majorEastAsia" w:hAnsiTheme="minorHAnsi" w:cstheme="majorBidi"/>
      <w:i/>
      <w:iCs/>
      <w:color w:val="2F5496" w:themeColor="accent1" w:themeShade="BF"/>
    </w:rPr>
  </w:style>
  <w:style w:type="character" w:customStyle="1" w:styleId="Ttulo5Carter">
    <w:name w:val="Título 5 Caráter"/>
    <w:basedOn w:val="Tipodeletrapredefinidodopargrafo"/>
    <w:uiPriority w:val="9"/>
    <w:semiHidden/>
    <w:rsid w:val="000D0E7B"/>
    <w:rPr>
      <w:rFonts w:asciiTheme="minorHAnsi" w:eastAsiaTheme="majorEastAsia" w:hAnsiTheme="minorHAnsi" w:cstheme="majorBidi"/>
      <w:color w:val="2F5496" w:themeColor="accent1" w:themeShade="BF"/>
    </w:rPr>
  </w:style>
  <w:style w:type="character" w:customStyle="1" w:styleId="Ttulo6Carter">
    <w:name w:val="Título 6 Caráter"/>
    <w:basedOn w:val="Tipodeletrapredefinidodopargrafo"/>
    <w:uiPriority w:val="9"/>
    <w:semiHidden/>
    <w:rsid w:val="000D0E7B"/>
    <w:rPr>
      <w:rFonts w:asciiTheme="minorHAnsi" w:eastAsiaTheme="majorEastAsia" w:hAnsiTheme="minorHAnsi" w:cstheme="majorBidi"/>
      <w:i/>
      <w:iCs/>
      <w:color w:val="595959" w:themeColor="text1" w:themeTint="A6"/>
    </w:rPr>
  </w:style>
  <w:style w:type="character" w:customStyle="1" w:styleId="Ttulo7Carter">
    <w:name w:val="Título 7 Caráter"/>
    <w:basedOn w:val="Tipodeletrapredefinidodopargrafo"/>
    <w:link w:val="Ttulo7"/>
    <w:uiPriority w:val="9"/>
    <w:semiHidden/>
    <w:rsid w:val="000D0E7B"/>
    <w:rPr>
      <w:rFonts w:asciiTheme="minorHAnsi" w:eastAsiaTheme="majorEastAsia" w:hAnsiTheme="minorHAnsi" w:cstheme="majorBidi"/>
      <w:color w:val="595959" w:themeColor="text1" w:themeTint="A6"/>
    </w:rPr>
  </w:style>
  <w:style w:type="character" w:customStyle="1" w:styleId="Ttulo8Carter">
    <w:name w:val="Título 8 Caráter"/>
    <w:basedOn w:val="Tipodeletrapredefinidodopargrafo"/>
    <w:link w:val="Ttulo8"/>
    <w:uiPriority w:val="9"/>
    <w:semiHidden/>
    <w:rsid w:val="000D0E7B"/>
    <w:rPr>
      <w:rFonts w:asciiTheme="minorHAnsi" w:eastAsiaTheme="majorEastAsia" w:hAnsiTheme="minorHAnsi" w:cstheme="majorBidi"/>
      <w:i/>
      <w:iCs/>
      <w:color w:val="272727" w:themeColor="text1" w:themeTint="D8"/>
    </w:rPr>
  </w:style>
  <w:style w:type="character" w:customStyle="1" w:styleId="Ttulo9Carter">
    <w:name w:val="Título 9 Caráter"/>
    <w:basedOn w:val="Tipodeletrapredefinidodopargrafo"/>
    <w:link w:val="Ttulo9"/>
    <w:uiPriority w:val="9"/>
    <w:semiHidden/>
    <w:rsid w:val="000D0E7B"/>
    <w:rPr>
      <w:rFonts w:asciiTheme="minorHAnsi" w:eastAsiaTheme="majorEastAsia" w:hAnsiTheme="minorHAnsi" w:cstheme="majorBidi"/>
      <w:color w:val="272727" w:themeColor="text1" w:themeTint="D8"/>
    </w:rPr>
  </w:style>
  <w:style w:type="character" w:customStyle="1" w:styleId="TtuloCarter">
    <w:name w:val="Título Caráter"/>
    <w:basedOn w:val="Tipodeletrapredefinidodopargrafo"/>
    <w:uiPriority w:val="10"/>
    <w:rsid w:val="000D0E7B"/>
    <w:rPr>
      <w:rFonts w:asciiTheme="majorHAnsi" w:eastAsiaTheme="majorEastAsia" w:hAnsiTheme="majorHAnsi" w:cstheme="majorBidi"/>
      <w:spacing w:val="-10"/>
      <w:kern w:val="28"/>
      <w:sz w:val="56"/>
      <w:szCs w:val="56"/>
    </w:rPr>
  </w:style>
  <w:style w:type="character" w:customStyle="1" w:styleId="SubttuloCarter">
    <w:name w:val="Subtítulo Caráter"/>
    <w:basedOn w:val="Tipodeletrapredefinidodopargrafo"/>
    <w:uiPriority w:val="11"/>
    <w:rsid w:val="000D0E7B"/>
    <w:rPr>
      <w:rFonts w:asciiTheme="minorHAnsi" w:eastAsiaTheme="majorEastAsia" w:hAnsiTheme="minorHAnsi" w:cstheme="majorBidi"/>
      <w:color w:val="595959" w:themeColor="text1" w:themeTint="A6"/>
      <w:spacing w:val="15"/>
      <w:sz w:val="28"/>
      <w:szCs w:val="28"/>
    </w:rPr>
  </w:style>
  <w:style w:type="paragraph" w:styleId="Citao">
    <w:name w:val="Quote"/>
    <w:basedOn w:val="Normal"/>
    <w:next w:val="Normal"/>
    <w:link w:val="CitaoCarter"/>
    <w:uiPriority w:val="29"/>
    <w:qFormat/>
    <w:rsid w:val="000D0E7B"/>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0D0E7B"/>
    <w:rPr>
      <w:i/>
      <w:iCs/>
      <w:color w:val="404040" w:themeColor="text1" w:themeTint="BF"/>
    </w:rPr>
  </w:style>
  <w:style w:type="paragraph" w:styleId="PargrafodaLista">
    <w:name w:val="List Paragraph"/>
    <w:basedOn w:val="Normal"/>
    <w:uiPriority w:val="34"/>
    <w:qFormat/>
    <w:rsid w:val="000D0E7B"/>
    <w:pPr>
      <w:ind w:left="720"/>
      <w:contextualSpacing/>
    </w:pPr>
  </w:style>
  <w:style w:type="character" w:styleId="nfaseIntensa">
    <w:name w:val="Intense Emphasis"/>
    <w:basedOn w:val="Tipodeletrapredefinidodopargrafo"/>
    <w:uiPriority w:val="21"/>
    <w:qFormat/>
    <w:rsid w:val="000D0E7B"/>
    <w:rPr>
      <w:i/>
      <w:iCs/>
      <w:color w:val="2F5496" w:themeColor="accent1" w:themeShade="BF"/>
    </w:rPr>
  </w:style>
  <w:style w:type="paragraph" w:styleId="CitaoIntensa">
    <w:name w:val="Intense Quote"/>
    <w:basedOn w:val="Normal"/>
    <w:next w:val="Normal"/>
    <w:link w:val="CitaoIntensaCarter"/>
    <w:uiPriority w:val="30"/>
    <w:qFormat/>
    <w:rsid w:val="000D0E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arter">
    <w:name w:val="Citação Intensa Caráter"/>
    <w:basedOn w:val="Tipodeletrapredefinidodopargrafo"/>
    <w:link w:val="CitaoIntensa"/>
    <w:uiPriority w:val="30"/>
    <w:rsid w:val="000D0E7B"/>
    <w:rPr>
      <w:i/>
      <w:iCs/>
      <w:color w:val="2F5496" w:themeColor="accent1" w:themeShade="BF"/>
    </w:rPr>
  </w:style>
  <w:style w:type="character" w:styleId="RefernciaIntensa">
    <w:name w:val="Intense Reference"/>
    <w:basedOn w:val="Tipodeletrapredefinidodopargrafo"/>
    <w:uiPriority w:val="32"/>
    <w:qFormat/>
    <w:rsid w:val="000D0E7B"/>
    <w:rPr>
      <w:b/>
      <w:bCs/>
      <w:smallCaps/>
      <w:color w:val="2F5496" w:themeColor="accent1" w:themeShade="BF"/>
      <w:spacing w:val="5"/>
    </w:rPr>
  </w:style>
  <w:style w:type="character" w:styleId="Forte">
    <w:name w:val="Strong"/>
    <w:basedOn w:val="Tipodeletrapredefinidodopargrafo"/>
    <w:uiPriority w:val="22"/>
    <w:qFormat/>
    <w:rsid w:val="00F102F4"/>
    <w:rPr>
      <w:b/>
      <w:bCs/>
    </w:rPr>
  </w:style>
  <w:style w:type="paragraph" w:styleId="NormalWeb">
    <w:name w:val="Normal (Web)"/>
    <w:basedOn w:val="Normal"/>
    <w:uiPriority w:val="99"/>
    <w:unhideWhenUsed/>
    <w:rsid w:val="00F102F4"/>
    <w:pPr>
      <w:spacing w:before="100" w:beforeAutospacing="1" w:after="100" w:afterAutospacing="1" w:line="240" w:lineRule="auto"/>
    </w:pPr>
    <w:rPr>
      <w:rFonts w:ascii="Times New Roman" w:eastAsia="Times New Roman" w:hAnsi="Times New Roman" w:cs="Times New Roman"/>
      <w:sz w:val="24"/>
      <w:szCs w:val="24"/>
    </w:rPr>
  </w:style>
  <w:style w:type="table" w:styleId="TabelacomGrelha">
    <w:name w:val="Table Grid"/>
    <w:basedOn w:val="Tabelanormal"/>
    <w:uiPriority w:val="39"/>
    <w:rsid w:val="00F133CF"/>
    <w:pPr>
      <w:spacing w:after="0" w:line="240" w:lineRule="auto"/>
    </w:pPr>
    <w:rPr>
      <w:rFonts w:asciiTheme="minorHAnsi" w:hAnsiTheme="minorHAnsi" w:cstheme="minorBidi"/>
      <w:kern w:val="2"/>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uiPriority w:val="99"/>
    <w:semiHidden/>
    <w:unhideWhenUsed/>
    <w:rsid w:val="00F133CF"/>
    <w:rPr>
      <w:sz w:val="16"/>
      <w:szCs w:val="16"/>
    </w:rPr>
  </w:style>
  <w:style w:type="character" w:styleId="Hiperligao">
    <w:name w:val="Hyperlink"/>
    <w:basedOn w:val="Tipodeletrapredefinidodopargrafo"/>
    <w:uiPriority w:val="99"/>
    <w:unhideWhenUsed/>
    <w:rsid w:val="00F133CF"/>
    <w:rPr>
      <w:color w:val="0563C1" w:themeColor="hyperlink"/>
      <w:u w:val="single"/>
    </w:rPr>
  </w:style>
  <w:style w:type="character" w:customStyle="1" w:styleId="MenoNoResolvida1">
    <w:name w:val="Menção Não Resolvida1"/>
    <w:basedOn w:val="Tipodeletrapredefinidodopargrafo"/>
    <w:uiPriority w:val="99"/>
    <w:semiHidden/>
    <w:unhideWhenUsed/>
    <w:rsid w:val="00F133CF"/>
    <w:rPr>
      <w:color w:val="605E5C"/>
      <w:shd w:val="clear" w:color="auto" w:fill="E1DFDD"/>
    </w:rPr>
  </w:style>
  <w:style w:type="character" w:styleId="CdigoHTML">
    <w:name w:val="HTML Code"/>
    <w:uiPriority w:val="99"/>
    <w:semiHidden/>
    <w:unhideWhenUsed/>
    <w:rsid w:val="00F133CF"/>
    <w:rPr>
      <w:rFonts w:ascii="Courier New" w:eastAsia="Times New Roman" w:hAnsi="Courier New" w:cs="Courier New"/>
      <w:sz w:val="20"/>
      <w:szCs w:val="20"/>
    </w:rPr>
  </w:style>
  <w:style w:type="paragraph" w:styleId="Textodecomentrio">
    <w:name w:val="annotation text"/>
    <w:basedOn w:val="Normal"/>
    <w:link w:val="TextodecomentrioCarter"/>
    <w:uiPriority w:val="99"/>
    <w:unhideWhenUsed/>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Pr>
      <w:sz w:val="20"/>
      <w:szCs w:val="20"/>
    </w:rPr>
  </w:style>
  <w:style w:type="paragraph" w:styleId="Reviso">
    <w:name w:val="Revision"/>
    <w:hidden/>
    <w:uiPriority w:val="99"/>
    <w:semiHidden/>
    <w:rsid w:val="004B12AF"/>
    <w:pPr>
      <w:spacing w:after="0" w:line="240" w:lineRule="auto"/>
    </w:pPr>
  </w:style>
  <w:style w:type="paragraph" w:styleId="Assuntodecomentrio">
    <w:name w:val="annotation subject"/>
    <w:basedOn w:val="Textodecomentrio"/>
    <w:next w:val="Textodecomentrio"/>
    <w:link w:val="AssuntodecomentrioCarter"/>
    <w:uiPriority w:val="99"/>
    <w:semiHidden/>
    <w:unhideWhenUsed/>
    <w:rsid w:val="00345C18"/>
    <w:rPr>
      <w:b/>
      <w:bCs/>
    </w:rPr>
  </w:style>
  <w:style w:type="character" w:customStyle="1" w:styleId="AssuntodecomentrioCarter">
    <w:name w:val="Assunto de comentário Caráter"/>
    <w:basedOn w:val="TextodecomentrioCarter"/>
    <w:link w:val="Assuntodecomentrio"/>
    <w:uiPriority w:val="99"/>
    <w:semiHidden/>
    <w:rsid w:val="00345C18"/>
    <w:rPr>
      <w:b/>
      <w:bCs/>
      <w:sz w:val="20"/>
      <w:szCs w:val="20"/>
    </w:rPr>
  </w:style>
  <w:style w:type="paragraph" w:styleId="Subttulo">
    <w:name w:val="Subtitle"/>
    <w:basedOn w:val="Normal"/>
    <w:next w:val="Normal"/>
    <w:uiPriority w:val="11"/>
    <w:qFormat/>
    <w:rPr>
      <w:rFonts w:ascii="Calibri" w:eastAsia="Calibri" w:hAnsi="Calibri" w:cs="Calibri"/>
      <w:color w:val="595959"/>
      <w:sz w:val="28"/>
      <w:szCs w:val="28"/>
    </w:rPr>
  </w:style>
  <w:style w:type="table" w:customStyle="1" w:styleId="a">
    <w:basedOn w:val="TableNormal"/>
    <w:pPr>
      <w:spacing w:after="0" w:line="240" w:lineRule="auto"/>
    </w:pPr>
    <w:rPr>
      <w:rFonts w:ascii="Calibri" w:eastAsia="Calibri" w:hAnsi="Calibri" w:cs="Calibri"/>
    </w:rPr>
    <w:tblPr>
      <w:tblStyleRowBandSize w:val="1"/>
      <w:tblStyleColBandSize w:val="1"/>
      <w:tblCellMar>
        <w:left w:w="108" w:type="dxa"/>
        <w:right w:w="108" w:type="dxa"/>
      </w:tblCellMar>
    </w:tblPr>
  </w:style>
  <w:style w:type="character" w:styleId="Nmerodelinha">
    <w:name w:val="line number"/>
    <w:basedOn w:val="Tipodeletrapredefinidodopargrafo"/>
    <w:uiPriority w:val="99"/>
    <w:semiHidden/>
    <w:unhideWhenUsed/>
    <w:rsid w:val="00926B3C"/>
  </w:style>
  <w:style w:type="character" w:styleId="Hiperligaovisitada">
    <w:name w:val="FollowedHyperlink"/>
    <w:basedOn w:val="Tipodeletrapredefinidodopargrafo"/>
    <w:uiPriority w:val="99"/>
    <w:semiHidden/>
    <w:unhideWhenUsed/>
    <w:rsid w:val="00C84D81"/>
    <w:rPr>
      <w:color w:val="954F72" w:themeColor="followedHyperlink"/>
      <w:u w:val="single"/>
    </w:rPr>
  </w:style>
  <w:style w:type="paragraph" w:styleId="Bibliografia">
    <w:name w:val="Bibliography"/>
    <w:basedOn w:val="Normal"/>
    <w:next w:val="Normal"/>
    <w:uiPriority w:val="37"/>
    <w:unhideWhenUsed/>
    <w:rsid w:val="00A52D19"/>
    <w:pPr>
      <w:tabs>
        <w:tab w:val="left" w:pos="384"/>
      </w:tabs>
      <w:spacing w:after="0" w:line="240" w:lineRule="auto"/>
      <w:ind w:left="384" w:hanging="384"/>
    </w:pPr>
  </w:style>
  <w:style w:type="paragraph" w:styleId="Textodebalo">
    <w:name w:val="Balloon Text"/>
    <w:basedOn w:val="Normal"/>
    <w:link w:val="TextodebaloCarter"/>
    <w:uiPriority w:val="99"/>
    <w:semiHidden/>
    <w:unhideWhenUsed/>
    <w:rsid w:val="008F70D8"/>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8F70D8"/>
    <w:rPr>
      <w:rFonts w:ascii="Segoe UI" w:hAnsi="Segoe UI" w:cs="Segoe UI"/>
      <w:sz w:val="18"/>
      <w:szCs w:val="18"/>
      <w:lang w:val="en-US"/>
    </w:rPr>
  </w:style>
  <w:style w:type="character" w:styleId="MenoNoResolvida">
    <w:name w:val="Unresolved Mention"/>
    <w:basedOn w:val="Tipodeletrapredefinidodopargrafo"/>
    <w:uiPriority w:val="99"/>
    <w:semiHidden/>
    <w:unhideWhenUsed/>
    <w:rsid w:val="00D969C6"/>
    <w:rPr>
      <w:color w:val="605E5C"/>
      <w:shd w:val="clear" w:color="auto" w:fill="E1DFDD"/>
    </w:rPr>
  </w:style>
  <w:style w:type="paragraph" w:styleId="Cabealho">
    <w:name w:val="header"/>
    <w:basedOn w:val="Normal"/>
    <w:link w:val="CabealhoCarter"/>
    <w:uiPriority w:val="99"/>
    <w:unhideWhenUsed/>
    <w:rsid w:val="006D352C"/>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6D352C"/>
    <w:rPr>
      <w:lang w:val="en-US"/>
    </w:rPr>
  </w:style>
  <w:style w:type="paragraph" w:styleId="Rodap">
    <w:name w:val="footer"/>
    <w:basedOn w:val="Normal"/>
    <w:link w:val="RodapCarter"/>
    <w:uiPriority w:val="99"/>
    <w:unhideWhenUsed/>
    <w:rsid w:val="006D352C"/>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6D352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f8ec3d6-555b-416c-a334-817797b2ab1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84C6A0A28A5C9409FD97CE9CECC9EF5" ma:contentTypeVersion="17" ma:contentTypeDescription="Criar um novo documento." ma:contentTypeScope="" ma:versionID="c4454deb73e1bce576f7473c98cea3a9">
  <xsd:schema xmlns:xsd="http://www.w3.org/2001/XMLSchema" xmlns:xs="http://www.w3.org/2001/XMLSchema" xmlns:p="http://schemas.microsoft.com/office/2006/metadata/properties" xmlns:ns3="cf8ec3d6-555b-416c-a334-817797b2ab14" xmlns:ns4="c1aeb898-5626-4efe-930b-52ffa8520149" targetNamespace="http://schemas.microsoft.com/office/2006/metadata/properties" ma:root="true" ma:fieldsID="c3ba4e01892b121c14416c44f1580eb4" ns3:_="" ns4:_="">
    <xsd:import namespace="cf8ec3d6-555b-416c-a334-817797b2ab14"/>
    <xsd:import namespace="c1aeb898-5626-4efe-930b-52ffa852014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SearchProperties"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ec3d6-555b-416c-a334-817797b2a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aeb898-5626-4efe-930b-52ffa8520149" elementFormDefault="qualified">
    <xsd:import namespace="http://schemas.microsoft.com/office/2006/documentManagement/types"/>
    <xsd:import namespace="http://schemas.microsoft.com/office/infopath/2007/PartnerControls"/>
    <xsd:element name="SharedWithUsers" ma:index="18"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hes de Partilhado Com" ma:internalName="SharedWithDetails" ma:readOnly="true">
      <xsd:simpleType>
        <xsd:restriction base="dms:Note">
          <xsd:maxLength value="255"/>
        </xsd:restriction>
      </xsd:simpleType>
    </xsd:element>
    <xsd:element name="SharingHintHash" ma:index="20" nillable="true" ma:displayName="Hash de Sugestão de Partilh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lWoM1/XYV47An6dxTr4jVFu+Uw==">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</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51D29-6268-4957-B5C6-E8C170624F24}">
  <ds:schemaRefs>
    <ds:schemaRef ds:uri="http://schemas.microsoft.com/office/2006/metadata/properties"/>
    <ds:schemaRef ds:uri="http://schemas.microsoft.com/office/infopath/2007/PartnerControls"/>
    <ds:schemaRef ds:uri="cf8ec3d6-555b-416c-a334-817797b2ab14"/>
  </ds:schemaRefs>
</ds:datastoreItem>
</file>

<file path=customXml/itemProps2.xml><?xml version="1.0" encoding="utf-8"?>
<ds:datastoreItem xmlns:ds="http://schemas.openxmlformats.org/officeDocument/2006/customXml" ds:itemID="{2C5FCA54-CABF-4F12-81D4-0FBC72C33C96}">
  <ds:schemaRefs>
    <ds:schemaRef ds:uri="http://schemas.microsoft.com/sharepoint/v3/contenttype/forms"/>
  </ds:schemaRefs>
</ds:datastoreItem>
</file>

<file path=customXml/itemProps3.xml><?xml version="1.0" encoding="utf-8"?>
<ds:datastoreItem xmlns:ds="http://schemas.openxmlformats.org/officeDocument/2006/customXml" ds:itemID="{37FB71E4-23C4-4ECE-A18E-EAAD840FB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8ec3d6-555b-416c-a334-817797b2ab14"/>
    <ds:schemaRef ds:uri="c1aeb898-5626-4efe-930b-52ffa85201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670BEF1B-E55F-46EF-9FDB-00CFF25B3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25148</Words>
  <Characters>144858</Characters>
  <Application>Microsoft Office Word</Application>
  <DocSecurity>0</DocSecurity>
  <Lines>2785</Lines>
  <Paragraphs>890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2026-02-11T16:15:00Z</dcterms:created>
  <dcterms:modified xsi:type="dcterms:W3CDTF">2026-02-27T10:59:00Z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cb87ad9c-0190-418b-a865-cf5ccee79984</vt:lpwstr>
  </property>
  <property fmtid="{D5CDD505-2E9C-101B-9397-08002B2CF9AE}" pid="3" name="ZOTERO_PREF_1">
    <vt:lpwstr>&lt;data data-version="3" zotero-version="7.0.32"&gt;&lt;session id="zzkfByv9"/&gt;&lt;style id="http://www.zotero.org/styles/journal-of-visualized-experiments" hasBibliography="1" bibliographyStyleHasBeenSet="1"/&gt;&lt;prefs&gt;&lt;pref name="fieldType" value="Field"/&gt;&lt;/prefs&gt;&lt;/d</vt:lpwstr>
  </property>
  <property fmtid="{D5CDD505-2E9C-101B-9397-08002B2CF9AE}" pid="4" name="ZOTERO_PREF_2">
    <vt:lpwstr>ata&gt;</vt:lpwstr>
  </property>
  <property fmtid="{D5CDD505-2E9C-101B-9397-08002B2CF9AE}" pid="5" name="ContentTypeId">
    <vt:lpwstr>0x010100884C6A0A28A5C9409FD97CE9CECC9EF5</vt:lpwstr>
  </property>
</Properties>
</file>