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61120C8D" w:rsidR="006E4797" w:rsidRPr="00B15551" w:rsidRDefault="00551D82" w:rsidP="00B86D54">
      <w:pPr>
        <w:pBdr>
          <w:top w:val="nil"/>
          <w:left w:val="nil"/>
          <w:bottom w:val="nil"/>
          <w:right w:val="nil"/>
          <w:between w:val="nil"/>
        </w:pBdr>
      </w:pPr>
      <w:r w:rsidRPr="00B15551">
        <w:rPr>
          <w:b/>
        </w:rPr>
        <w:t>TITLE:</w:t>
      </w:r>
      <w:r w:rsidRPr="00B15551">
        <w:t xml:space="preserve"> </w:t>
      </w:r>
    </w:p>
    <w:p w14:paraId="06C0C87E" w14:textId="2E6A652A" w:rsidR="006E4797" w:rsidRPr="00B15551" w:rsidRDefault="00C91A33" w:rsidP="00B86D54">
      <w:r w:rsidRPr="00B15551">
        <w:t xml:space="preserve">Development and Standardization of an </w:t>
      </w:r>
      <w:r w:rsidRPr="00B15551">
        <w:rPr>
          <w:i/>
          <w:iCs/>
        </w:rPr>
        <w:t>Ex Vivo</w:t>
      </w:r>
      <w:r w:rsidRPr="00B15551">
        <w:t xml:space="preserve"> </w:t>
      </w:r>
      <w:proofErr w:type="spellStart"/>
      <w:r w:rsidRPr="00B15551">
        <w:t>Micromethod</w:t>
      </w:r>
      <w:proofErr w:type="spellEnd"/>
      <w:r w:rsidRPr="00B15551">
        <w:t xml:space="preserve"> for Intracellular Quantification of Vincristine in Primary ALL Cells by LC-MS/M</w:t>
      </w:r>
      <w:r w:rsidR="002B16CE">
        <w:t>S</w:t>
      </w:r>
    </w:p>
    <w:p w14:paraId="13868ED6" w14:textId="77777777" w:rsidR="00C91A33" w:rsidRPr="00B15551" w:rsidRDefault="00C91A33" w:rsidP="00B86D54">
      <w:pPr>
        <w:rPr>
          <w:b/>
        </w:rPr>
      </w:pPr>
    </w:p>
    <w:p w14:paraId="2CD8481E" w14:textId="0FB1C6FD" w:rsidR="006E4797" w:rsidRPr="00B15551" w:rsidRDefault="00551D82" w:rsidP="00B86D54">
      <w:pPr>
        <w:rPr>
          <w:lang w:val="pt-BR"/>
        </w:rPr>
      </w:pPr>
      <w:r w:rsidRPr="00B15551">
        <w:rPr>
          <w:b/>
          <w:lang w:val="pt-BR"/>
        </w:rPr>
        <w:t xml:space="preserve">AUTHORS AND AFFILIATIONS: </w:t>
      </w:r>
    </w:p>
    <w:p w14:paraId="6F535C28" w14:textId="4A1E7CD0" w:rsidR="00C91A33" w:rsidRPr="00B15551" w:rsidRDefault="00C91A33" w:rsidP="00B86D54">
      <w:pPr>
        <w:pBdr>
          <w:top w:val="nil"/>
          <w:left w:val="nil"/>
          <w:bottom w:val="nil"/>
          <w:right w:val="nil"/>
          <w:between w:val="nil"/>
        </w:pBdr>
        <w:rPr>
          <w:lang w:val="pt-BR"/>
        </w:rPr>
      </w:pPr>
      <w:proofErr w:type="spellStart"/>
      <w:r w:rsidRPr="00B15551">
        <w:rPr>
          <w:lang w:val="pt-BR"/>
        </w:rPr>
        <w:t>Adrielli</w:t>
      </w:r>
      <w:proofErr w:type="spellEnd"/>
      <w:r w:rsidRPr="00B15551">
        <w:rPr>
          <w:lang w:val="pt-BR"/>
        </w:rPr>
        <w:t xml:space="preserve"> Caroline Soares</w:t>
      </w:r>
      <w:r w:rsidRPr="00B15551">
        <w:rPr>
          <w:vertAlign w:val="superscript"/>
          <w:lang w:val="pt-BR"/>
        </w:rPr>
        <w:t>1</w:t>
      </w:r>
      <w:r w:rsidRPr="00B15551">
        <w:rPr>
          <w:lang w:val="pt-BR"/>
        </w:rPr>
        <w:t>, Guilherme Reis-de-Oliveira</w:t>
      </w:r>
      <w:r w:rsidRPr="00B15551">
        <w:rPr>
          <w:vertAlign w:val="superscript"/>
          <w:lang w:val="pt-BR"/>
        </w:rPr>
        <w:t>2</w:t>
      </w:r>
      <w:r w:rsidRPr="00B15551">
        <w:rPr>
          <w:lang w:val="pt-BR"/>
        </w:rPr>
        <w:t>, Samara de Sousa Mariano</w:t>
      </w:r>
      <w:r w:rsidRPr="00B15551">
        <w:rPr>
          <w:vertAlign w:val="superscript"/>
          <w:lang w:val="pt-BR"/>
        </w:rPr>
        <w:t>1*</w:t>
      </w:r>
      <w:r w:rsidRPr="00B15551">
        <w:rPr>
          <w:lang w:val="pt-BR"/>
        </w:rPr>
        <w:t xml:space="preserve">, Juliana </w:t>
      </w:r>
      <w:proofErr w:type="spellStart"/>
      <w:r w:rsidRPr="00B15551">
        <w:rPr>
          <w:lang w:val="pt-BR"/>
        </w:rPr>
        <w:t>Ronchi</w:t>
      </w:r>
      <w:proofErr w:type="spellEnd"/>
      <w:r w:rsidRPr="00B15551">
        <w:rPr>
          <w:lang w:val="pt-BR"/>
        </w:rPr>
        <w:t xml:space="preserve"> Corrêa</w:t>
      </w:r>
      <w:r w:rsidRPr="00B15551">
        <w:rPr>
          <w:vertAlign w:val="superscript"/>
          <w:lang w:val="pt-BR"/>
        </w:rPr>
        <w:t>1*</w:t>
      </w:r>
      <w:r w:rsidRPr="00B15551">
        <w:rPr>
          <w:lang w:val="pt-BR"/>
        </w:rPr>
        <w:t xml:space="preserve">, </w:t>
      </w:r>
      <w:proofErr w:type="spellStart"/>
      <w:r w:rsidRPr="00B15551">
        <w:rPr>
          <w:lang w:val="pt-BR"/>
        </w:rPr>
        <w:t>Amilcar</w:t>
      </w:r>
      <w:proofErr w:type="spellEnd"/>
      <w:r w:rsidRPr="00B15551">
        <w:rPr>
          <w:lang w:val="pt-BR"/>
        </w:rPr>
        <w:t xml:space="preserve"> Cardoso</w:t>
      </w:r>
      <w:r w:rsidR="00973EAF" w:rsidRPr="00B15551">
        <w:rPr>
          <w:lang w:val="pt-BR"/>
        </w:rPr>
        <w:t xml:space="preserve"> de Azevedo</w:t>
      </w:r>
      <w:r w:rsidRPr="00B15551">
        <w:rPr>
          <w:vertAlign w:val="superscript"/>
          <w:lang w:val="pt-BR"/>
        </w:rPr>
        <w:t>3</w:t>
      </w:r>
      <w:r w:rsidRPr="00B15551">
        <w:rPr>
          <w:lang w:val="pt-BR"/>
        </w:rPr>
        <w:t xml:space="preserve">, </w:t>
      </w:r>
      <w:r w:rsidR="00973EAF" w:rsidRPr="00B15551">
        <w:rPr>
          <w:lang w:val="pt-BR"/>
        </w:rPr>
        <w:t>Fabio Gozzo</w:t>
      </w:r>
      <w:r w:rsidR="00973EAF" w:rsidRPr="00B15551">
        <w:rPr>
          <w:vertAlign w:val="superscript"/>
          <w:lang w:val="pt-BR"/>
        </w:rPr>
        <w:t>2</w:t>
      </w:r>
      <w:r w:rsidR="00973EAF" w:rsidRPr="00B15551">
        <w:rPr>
          <w:lang w:val="pt-BR"/>
        </w:rPr>
        <w:t xml:space="preserve">, </w:t>
      </w:r>
      <w:r w:rsidRPr="00B15551">
        <w:rPr>
          <w:lang w:val="pt-BR"/>
        </w:rPr>
        <w:t>José Andrés Yunes</w:t>
      </w:r>
      <w:r w:rsidRPr="00B15551">
        <w:rPr>
          <w:vertAlign w:val="superscript"/>
          <w:lang w:val="pt-BR"/>
        </w:rPr>
        <w:t>1</w:t>
      </w:r>
    </w:p>
    <w:p w14:paraId="6C03676F" w14:textId="77777777" w:rsidR="00C91A33" w:rsidRPr="00B15551" w:rsidRDefault="00C91A33" w:rsidP="00B86D54">
      <w:pPr>
        <w:pBdr>
          <w:top w:val="nil"/>
          <w:left w:val="nil"/>
          <w:bottom w:val="nil"/>
          <w:right w:val="nil"/>
          <w:between w:val="nil"/>
        </w:pBdr>
        <w:rPr>
          <w:lang w:val="pt-BR"/>
        </w:rPr>
      </w:pPr>
    </w:p>
    <w:p w14:paraId="59A405BC" w14:textId="76BA687E" w:rsidR="00C91A33" w:rsidRPr="00B15551" w:rsidRDefault="00C91A33" w:rsidP="00B86D54">
      <w:pPr>
        <w:pBdr>
          <w:top w:val="nil"/>
          <w:left w:val="nil"/>
          <w:bottom w:val="nil"/>
          <w:right w:val="nil"/>
          <w:between w:val="nil"/>
        </w:pBdr>
      </w:pPr>
      <w:r w:rsidRPr="00B15551">
        <w:rPr>
          <w:vertAlign w:val="superscript"/>
        </w:rPr>
        <w:t>1</w:t>
      </w:r>
      <w:r w:rsidRPr="00B15551">
        <w:t>Leukemia Biology Laboratory, Boldrini Children's Center, Campinas, Brazil</w:t>
      </w:r>
      <w:r w:rsidRPr="00B15551">
        <w:br/>
      </w:r>
      <w:r w:rsidRPr="00B15551">
        <w:rPr>
          <w:vertAlign w:val="superscript"/>
        </w:rPr>
        <w:t>2</w:t>
      </w:r>
      <w:r w:rsidRPr="00B15551">
        <w:t>Mass Spectrometry Laboratory, Boldrini Children's Center, Campinas, Brazil</w:t>
      </w:r>
    </w:p>
    <w:p w14:paraId="047CD33E" w14:textId="77777777" w:rsidR="00C91A33" w:rsidRPr="00B15551" w:rsidRDefault="00C91A33" w:rsidP="00B86D54">
      <w:pPr>
        <w:pBdr>
          <w:top w:val="nil"/>
          <w:left w:val="nil"/>
          <w:bottom w:val="nil"/>
          <w:right w:val="nil"/>
          <w:between w:val="nil"/>
        </w:pBdr>
        <w:rPr>
          <w:lang w:val="pt-BR"/>
        </w:rPr>
      </w:pPr>
      <w:r w:rsidRPr="00B15551">
        <w:rPr>
          <w:vertAlign w:val="superscript"/>
          <w:lang w:val="pt-BR"/>
        </w:rPr>
        <w:t>3</w:t>
      </w:r>
      <w:r w:rsidRPr="00B15551">
        <w:rPr>
          <w:lang w:val="pt-BR"/>
        </w:rPr>
        <w:t xml:space="preserve">Boldrini </w:t>
      </w:r>
      <w:proofErr w:type="spellStart"/>
      <w:r w:rsidRPr="00B15551">
        <w:rPr>
          <w:lang w:val="pt-BR"/>
        </w:rPr>
        <w:t>Children's</w:t>
      </w:r>
      <w:proofErr w:type="spellEnd"/>
      <w:r w:rsidRPr="00B15551">
        <w:rPr>
          <w:lang w:val="pt-BR"/>
        </w:rPr>
        <w:t xml:space="preserve"> Center, Campinas, São Paulo, </w:t>
      </w:r>
      <w:proofErr w:type="spellStart"/>
      <w:r w:rsidRPr="00B15551">
        <w:rPr>
          <w:lang w:val="pt-BR"/>
        </w:rPr>
        <w:t>Brazil</w:t>
      </w:r>
      <w:proofErr w:type="spellEnd"/>
    </w:p>
    <w:p w14:paraId="43C0B21D" w14:textId="77777777" w:rsidR="00C91A33" w:rsidRPr="00B15551" w:rsidRDefault="00C91A33" w:rsidP="00B86D54">
      <w:pPr>
        <w:pBdr>
          <w:top w:val="nil"/>
          <w:left w:val="nil"/>
          <w:bottom w:val="nil"/>
          <w:right w:val="nil"/>
          <w:between w:val="nil"/>
        </w:pBdr>
        <w:rPr>
          <w:lang w:val="pt-BR"/>
        </w:rPr>
      </w:pPr>
    </w:p>
    <w:p w14:paraId="527DCC0A" w14:textId="77777777" w:rsidR="00C91A33" w:rsidRPr="00B15551" w:rsidRDefault="00C91A33" w:rsidP="00B86D54">
      <w:pPr>
        <w:pBdr>
          <w:top w:val="nil"/>
          <w:left w:val="nil"/>
          <w:bottom w:val="nil"/>
          <w:right w:val="nil"/>
          <w:between w:val="nil"/>
        </w:pBdr>
      </w:pPr>
      <w:r w:rsidRPr="00B15551">
        <w:t>E-mail addresses of the co-authors:</w:t>
      </w:r>
    </w:p>
    <w:p w14:paraId="6A034815" w14:textId="77777777" w:rsidR="00C91A33" w:rsidRPr="00B15551" w:rsidRDefault="00C91A33" w:rsidP="00B86D54">
      <w:pPr>
        <w:pBdr>
          <w:top w:val="nil"/>
          <w:left w:val="nil"/>
          <w:bottom w:val="nil"/>
          <w:right w:val="nil"/>
          <w:between w:val="nil"/>
        </w:pBdr>
        <w:rPr>
          <w:lang w:val="pt-BR"/>
        </w:rPr>
      </w:pPr>
      <w:r w:rsidRPr="00B15551">
        <w:rPr>
          <w:lang w:val="pt-BR"/>
        </w:rPr>
        <w:t>Guilherme Reis-de-Oliveira</w:t>
      </w:r>
      <w:r w:rsidRPr="00B15551">
        <w:rPr>
          <w:lang w:val="pt-BR"/>
        </w:rPr>
        <w:tab/>
      </w:r>
      <w:r w:rsidRPr="00B15551">
        <w:rPr>
          <w:lang w:val="pt-BR"/>
        </w:rPr>
        <w:tab/>
        <w:t>(guioliveirareis@gmail.com)</w:t>
      </w:r>
    </w:p>
    <w:p w14:paraId="1AF13D46" w14:textId="77777777" w:rsidR="00C91A33" w:rsidRPr="00B15551" w:rsidRDefault="00C91A33" w:rsidP="00B86D54">
      <w:pPr>
        <w:pBdr>
          <w:top w:val="nil"/>
          <w:left w:val="nil"/>
          <w:bottom w:val="nil"/>
          <w:right w:val="nil"/>
          <w:between w:val="nil"/>
        </w:pBdr>
        <w:rPr>
          <w:lang w:val="pt-BR"/>
        </w:rPr>
      </w:pPr>
      <w:r w:rsidRPr="00B15551">
        <w:rPr>
          <w:lang w:val="pt-BR"/>
        </w:rPr>
        <w:t>Samara de Sousa Mariano</w:t>
      </w:r>
      <w:r w:rsidRPr="00B15551">
        <w:rPr>
          <w:lang w:val="pt-BR"/>
        </w:rPr>
        <w:tab/>
      </w:r>
      <w:r w:rsidRPr="00B15551">
        <w:rPr>
          <w:lang w:val="pt-BR"/>
        </w:rPr>
        <w:tab/>
        <w:t>(samarasouzama@gmail.com)</w:t>
      </w:r>
    </w:p>
    <w:p w14:paraId="33C872A2" w14:textId="77777777" w:rsidR="00C91A33" w:rsidRPr="00B15551" w:rsidRDefault="00C91A33" w:rsidP="00B86D54">
      <w:pPr>
        <w:pBdr>
          <w:top w:val="nil"/>
          <w:left w:val="nil"/>
          <w:bottom w:val="nil"/>
          <w:right w:val="nil"/>
          <w:between w:val="nil"/>
        </w:pBdr>
        <w:rPr>
          <w:lang w:val="pt-BR"/>
        </w:rPr>
      </w:pPr>
      <w:r w:rsidRPr="00B15551">
        <w:rPr>
          <w:lang w:val="pt-BR"/>
        </w:rPr>
        <w:t xml:space="preserve">Juliana </w:t>
      </w:r>
      <w:proofErr w:type="spellStart"/>
      <w:r w:rsidRPr="00B15551">
        <w:rPr>
          <w:lang w:val="pt-BR"/>
        </w:rPr>
        <w:t>Ronchi</w:t>
      </w:r>
      <w:proofErr w:type="spellEnd"/>
      <w:r w:rsidRPr="00B15551">
        <w:rPr>
          <w:lang w:val="pt-BR"/>
        </w:rPr>
        <w:t xml:space="preserve"> Corrêa</w:t>
      </w:r>
      <w:r w:rsidRPr="00B15551">
        <w:rPr>
          <w:lang w:val="pt-BR"/>
        </w:rPr>
        <w:tab/>
      </w:r>
      <w:r w:rsidRPr="00B15551">
        <w:rPr>
          <w:lang w:val="pt-BR"/>
        </w:rPr>
        <w:tab/>
      </w:r>
      <w:r w:rsidRPr="00B15551">
        <w:rPr>
          <w:lang w:val="pt-BR"/>
        </w:rPr>
        <w:tab/>
        <w:t>(juliana.ronchi@gmail.com)</w:t>
      </w:r>
    </w:p>
    <w:p w14:paraId="2BE28047" w14:textId="64864786" w:rsidR="00C91A33" w:rsidRPr="00B15551" w:rsidRDefault="00C91A33" w:rsidP="00B86D54">
      <w:pPr>
        <w:pBdr>
          <w:top w:val="nil"/>
          <w:left w:val="nil"/>
          <w:bottom w:val="nil"/>
          <w:right w:val="nil"/>
          <w:between w:val="nil"/>
        </w:pBdr>
        <w:rPr>
          <w:lang w:val="pt-BR"/>
        </w:rPr>
      </w:pPr>
      <w:proofErr w:type="spellStart"/>
      <w:r w:rsidRPr="00B15551">
        <w:rPr>
          <w:lang w:val="pt-BR"/>
        </w:rPr>
        <w:t>Amilcar</w:t>
      </w:r>
      <w:proofErr w:type="spellEnd"/>
      <w:r w:rsidRPr="00B15551">
        <w:rPr>
          <w:lang w:val="pt-BR"/>
        </w:rPr>
        <w:t xml:space="preserve"> Cardoso</w:t>
      </w:r>
      <w:r w:rsidR="00973EAF" w:rsidRPr="00B15551">
        <w:rPr>
          <w:lang w:val="pt-BR"/>
        </w:rPr>
        <w:t xml:space="preserve"> de Azevedo</w:t>
      </w:r>
      <w:r w:rsidRPr="00B15551">
        <w:rPr>
          <w:lang w:val="pt-BR"/>
        </w:rPr>
        <w:tab/>
      </w:r>
      <w:r w:rsidRPr="00B15551">
        <w:rPr>
          <w:lang w:val="pt-BR"/>
        </w:rPr>
        <w:tab/>
        <w:t>(amicar.cardoso@boldrini.org.br)</w:t>
      </w:r>
    </w:p>
    <w:p w14:paraId="6A33E24A" w14:textId="431E6019" w:rsidR="00982DDF" w:rsidRPr="00B15551" w:rsidRDefault="00982DDF" w:rsidP="00B86D54">
      <w:pPr>
        <w:pBdr>
          <w:top w:val="nil"/>
          <w:left w:val="nil"/>
          <w:bottom w:val="nil"/>
          <w:right w:val="nil"/>
          <w:between w:val="nil"/>
        </w:pBdr>
        <w:rPr>
          <w:lang w:val="pt-BR"/>
        </w:rPr>
      </w:pPr>
      <w:r w:rsidRPr="00B15551">
        <w:rPr>
          <w:lang w:val="pt-BR"/>
        </w:rPr>
        <w:t xml:space="preserve">Fabio </w:t>
      </w:r>
      <w:proofErr w:type="spellStart"/>
      <w:r w:rsidRPr="00B15551">
        <w:rPr>
          <w:lang w:val="pt-BR"/>
        </w:rPr>
        <w:t>Gozzo</w:t>
      </w:r>
      <w:proofErr w:type="spellEnd"/>
      <w:r w:rsidRPr="00B15551">
        <w:rPr>
          <w:lang w:val="pt-BR"/>
        </w:rPr>
        <w:tab/>
      </w:r>
      <w:r w:rsidRPr="00B15551">
        <w:rPr>
          <w:lang w:val="pt-BR"/>
        </w:rPr>
        <w:tab/>
      </w:r>
      <w:r w:rsidRPr="00B15551">
        <w:rPr>
          <w:lang w:val="pt-BR"/>
        </w:rPr>
        <w:tab/>
      </w:r>
      <w:r w:rsidRPr="00B15551">
        <w:rPr>
          <w:lang w:val="pt-BR"/>
        </w:rPr>
        <w:tab/>
        <w:t>(fgozzo@gmail.com)</w:t>
      </w:r>
    </w:p>
    <w:p w14:paraId="19EBA00C" w14:textId="77777777" w:rsidR="00C91A33" w:rsidRPr="00B15551" w:rsidRDefault="00C91A33" w:rsidP="00B86D54">
      <w:pPr>
        <w:pBdr>
          <w:top w:val="nil"/>
          <w:left w:val="nil"/>
          <w:bottom w:val="nil"/>
          <w:right w:val="nil"/>
          <w:between w:val="nil"/>
        </w:pBdr>
        <w:rPr>
          <w:lang w:val="pt-BR"/>
        </w:rPr>
      </w:pPr>
      <w:r w:rsidRPr="00B15551">
        <w:rPr>
          <w:lang w:val="pt-BR"/>
        </w:rPr>
        <w:t>José Andrés Yunes</w:t>
      </w:r>
      <w:r w:rsidRPr="00B15551">
        <w:rPr>
          <w:lang w:val="pt-BR"/>
        </w:rPr>
        <w:tab/>
      </w:r>
      <w:r w:rsidRPr="00B15551">
        <w:rPr>
          <w:lang w:val="pt-BR"/>
        </w:rPr>
        <w:tab/>
      </w:r>
      <w:r w:rsidRPr="00B15551">
        <w:rPr>
          <w:lang w:val="pt-BR"/>
        </w:rPr>
        <w:tab/>
        <w:t>(andres@boldrini.org.br)</w:t>
      </w:r>
    </w:p>
    <w:p w14:paraId="7F67ACDE" w14:textId="77777777" w:rsidR="00C91A33" w:rsidRPr="00B15551" w:rsidRDefault="00C91A33" w:rsidP="00B86D54">
      <w:pPr>
        <w:pBdr>
          <w:top w:val="nil"/>
          <w:left w:val="nil"/>
          <w:bottom w:val="nil"/>
          <w:right w:val="nil"/>
          <w:between w:val="nil"/>
        </w:pBdr>
        <w:rPr>
          <w:lang w:val="pt-BR"/>
        </w:rPr>
      </w:pPr>
    </w:p>
    <w:p w14:paraId="475FCFE9" w14:textId="60144F03" w:rsidR="00C91A33" w:rsidRPr="00B15551" w:rsidRDefault="00C91A33" w:rsidP="00B86D54">
      <w:pPr>
        <w:pBdr>
          <w:top w:val="nil"/>
          <w:left w:val="nil"/>
          <w:bottom w:val="nil"/>
          <w:right w:val="nil"/>
          <w:between w:val="nil"/>
        </w:pBdr>
      </w:pPr>
      <w:r w:rsidRPr="00B15551">
        <w:t>Corresponding author:</w:t>
      </w:r>
    </w:p>
    <w:p w14:paraId="141ABDE5" w14:textId="7BA6BE0E" w:rsidR="006E4797" w:rsidRPr="00B15551" w:rsidRDefault="00C91A33" w:rsidP="00B86D54">
      <w:pPr>
        <w:pBdr>
          <w:top w:val="nil"/>
          <w:left w:val="nil"/>
          <w:bottom w:val="nil"/>
          <w:right w:val="nil"/>
          <w:between w:val="nil"/>
        </w:pBdr>
      </w:pPr>
      <w:proofErr w:type="spellStart"/>
      <w:r w:rsidRPr="00B15551">
        <w:t>Adrielli</w:t>
      </w:r>
      <w:proofErr w:type="spellEnd"/>
      <w:r w:rsidRPr="00B15551">
        <w:t xml:space="preserve"> Caroline Soares</w:t>
      </w:r>
      <w:r w:rsidRPr="00B15551">
        <w:tab/>
      </w:r>
      <w:r w:rsidRPr="00B15551">
        <w:tab/>
        <w:t>(</w:t>
      </w:r>
      <w:hyperlink r:id="rId7" w:history="1">
        <w:r w:rsidRPr="00B15551">
          <w:rPr>
            <w:rStyle w:val="Hyperlink"/>
            <w:color w:val="auto"/>
            <w:u w:val="none"/>
          </w:rPr>
          <w:t>dricaroline8@gmail.com</w:t>
        </w:r>
      </w:hyperlink>
      <w:r w:rsidRPr="00B15551">
        <w:t>)</w:t>
      </w:r>
    </w:p>
    <w:p w14:paraId="1630141E" w14:textId="77777777" w:rsidR="00C91A33" w:rsidRPr="00B15551" w:rsidRDefault="00C91A33" w:rsidP="00B86D54">
      <w:pPr>
        <w:pBdr>
          <w:top w:val="nil"/>
          <w:left w:val="nil"/>
          <w:bottom w:val="nil"/>
          <w:right w:val="nil"/>
          <w:between w:val="nil"/>
        </w:pBdr>
      </w:pPr>
    </w:p>
    <w:p w14:paraId="60F3B8D4" w14:textId="6E1ADCC8" w:rsidR="006E4797" w:rsidRPr="00B15551" w:rsidRDefault="00551D82" w:rsidP="00B86D54">
      <w:r w:rsidRPr="00B15551">
        <w:rPr>
          <w:b/>
        </w:rPr>
        <w:t>SUMMARY:</w:t>
      </w:r>
      <w:r w:rsidRPr="00B15551">
        <w:t xml:space="preserve"> </w:t>
      </w:r>
    </w:p>
    <w:p w14:paraId="74EFC8D7" w14:textId="3DE3BC12" w:rsidR="006E4797" w:rsidRPr="00B15551" w:rsidRDefault="00C91A33" w:rsidP="00B86D54">
      <w:r w:rsidRPr="00B15551">
        <w:t>This protocol aimed to establish and optimize an LC-MS/MS method for the relative quantification of vincristine accumulation in primary pediatric ALL cells</w:t>
      </w:r>
      <w:r w:rsidR="00444217" w:rsidRPr="00B15551">
        <w:t>.</w:t>
      </w:r>
    </w:p>
    <w:p w14:paraId="18FF61F4" w14:textId="77777777" w:rsidR="00C91A33" w:rsidRPr="00B15551" w:rsidRDefault="00C91A33" w:rsidP="00B86D54"/>
    <w:p w14:paraId="2DF8E628" w14:textId="6B17EF84" w:rsidR="006E4797" w:rsidRPr="00B15551" w:rsidRDefault="00551D82" w:rsidP="00B86D54">
      <w:r w:rsidRPr="00B15551">
        <w:rPr>
          <w:b/>
        </w:rPr>
        <w:t>ABSTRACT:</w:t>
      </w:r>
      <w:r w:rsidRPr="00B15551">
        <w:t xml:space="preserve"> </w:t>
      </w:r>
    </w:p>
    <w:p w14:paraId="1DF493E0" w14:textId="53EB7F15" w:rsidR="005E2F24" w:rsidRPr="00B15551" w:rsidRDefault="005E2F24" w:rsidP="00B86D54">
      <w:r w:rsidRPr="00B15551">
        <w:t xml:space="preserve">Quantifying intracellular vincristine in primary pediatric acute lymphoblastic leukemia (ALL) cells is essential for understanding sample-specific differences in drug uptake and for supporting experimental studies using scarce patient material. Here, we present a streamlined LC–MS/MS </w:t>
      </w:r>
      <w:proofErr w:type="spellStart"/>
      <w:r w:rsidRPr="00B15551">
        <w:t>micromethod</w:t>
      </w:r>
      <w:proofErr w:type="spellEnd"/>
      <w:r w:rsidRPr="00B15551">
        <w:t xml:space="preserve"> specifically optimized for primary lymphoblasts, addressing key challenges such as limited cell availability, small cell size, and the need for reproducible recovery after multiple washing steps. Time-course assays ranging from 1 to 5 h demonstrated that a 3 h incubation period yields the highest and most consistent intracellular vincristine levels, with lower variability across replicates. Method optimization also established that using 2.5 × 10⁶ cells per condition improves analytical robustness compared with 1 × 10⁶ cells, which showed greater dispersion in repeated experiments. Additional critical refinements included the use of cold methanol to enhance protein precipitation efficiency and </w:t>
      </w:r>
      <w:r w:rsidR="00CD3231" w:rsidRPr="00B15551">
        <w:t xml:space="preserve">the </w:t>
      </w:r>
      <w:r w:rsidRPr="00B15551">
        <w:t xml:space="preserve">incorporation of an internal standard to monitor and minimize procedural variation. The method enables sensitive and precise quantification of intracellular vincristine across relevant concentration ranges, although the lowest tested dose (0.01 </w:t>
      </w:r>
      <w:r w:rsidRPr="00B15551">
        <w:rPr>
          <w:bCs/>
        </w:rPr>
        <w:t>µM</w:t>
      </w:r>
      <w:r w:rsidRPr="00B15551">
        <w:t xml:space="preserve">) was not quantifiable after the 3 h incubation. Overall, this </w:t>
      </w:r>
      <w:proofErr w:type="spellStart"/>
      <w:r w:rsidRPr="00B15551">
        <w:t>micromethod</w:t>
      </w:r>
      <w:proofErr w:type="spellEnd"/>
      <w:r w:rsidRPr="00B15551">
        <w:t xml:space="preserve"> provides a practical, reproducible, and scalable approach for measuring intracellular vincristine in primary ALL samples. Its design supports comparative analyses, validation of </w:t>
      </w:r>
      <w:r w:rsidRPr="00B15551">
        <w:rPr>
          <w:i/>
          <w:iCs/>
        </w:rPr>
        <w:t>ex vivo</w:t>
      </w:r>
      <w:r w:rsidRPr="00B15551">
        <w:t xml:space="preserve"> models, and future </w:t>
      </w:r>
      <w:r w:rsidRPr="00B15551">
        <w:lastRenderedPageBreak/>
        <w:t>methodological applications aimed at integrating intracellular drug quantification into broader pharmacological assessments.</w:t>
      </w:r>
    </w:p>
    <w:p w14:paraId="2CF9CD54" w14:textId="77777777" w:rsidR="006E4797" w:rsidRPr="00B15551" w:rsidRDefault="006E4797" w:rsidP="00B86D54"/>
    <w:p w14:paraId="0646E204" w14:textId="7E779310" w:rsidR="006E4797" w:rsidRPr="00B15551" w:rsidRDefault="00551D82" w:rsidP="00B86D54">
      <w:r w:rsidRPr="00B15551">
        <w:rPr>
          <w:b/>
        </w:rPr>
        <w:t>INTRODUCTION:</w:t>
      </w:r>
      <w:r w:rsidRPr="00B15551">
        <w:t xml:space="preserve"> </w:t>
      </w:r>
    </w:p>
    <w:p w14:paraId="16B4A6A9" w14:textId="76944F04" w:rsidR="00D16620" w:rsidRPr="00B15551" w:rsidRDefault="00D16620" w:rsidP="00B86D54">
      <w:r w:rsidRPr="00B15551">
        <w:t>Acute lymphoblastic leukemia (ALL) accounts for approximately 25% of all childhood cancers and remains the most common pediatric malignancy</w:t>
      </w:r>
      <w:r w:rsidR="00CD3231" w:rsidRPr="00B15551">
        <w:rPr>
          <w:vertAlign w:val="superscript"/>
        </w:rPr>
        <w:t>1,2</w:t>
      </w:r>
      <w:r w:rsidRPr="00B15551">
        <w:t xml:space="preserve">. Although advances in therapy have markedly </w:t>
      </w:r>
      <w:proofErr w:type="gramStart"/>
      <w:r w:rsidRPr="00B15551">
        <w:t>improved</w:t>
      </w:r>
      <w:proofErr w:type="gramEnd"/>
      <w:r w:rsidRPr="00B15551">
        <w:t xml:space="preserve"> survival rates—now exceeding 90%</w:t>
      </w:r>
      <w:proofErr w:type="gramStart"/>
      <w:r w:rsidRPr="00B15551">
        <w:t>—the</w:t>
      </w:r>
      <w:proofErr w:type="gramEnd"/>
      <w:r w:rsidRPr="00B15551">
        <w:t xml:space="preserve"> biological complexity of ALL continues to drive efforts to develop tools that better characterize the disease at the cellular level</w:t>
      </w:r>
      <w:r w:rsidR="00CD3231" w:rsidRPr="00B15551">
        <w:rPr>
          <w:vertAlign w:val="superscript"/>
        </w:rPr>
        <w:t>3</w:t>
      </w:r>
      <w:r w:rsidR="00CD3231" w:rsidRPr="00B15551">
        <w:t>.</w:t>
      </w:r>
    </w:p>
    <w:p w14:paraId="16073EA6" w14:textId="77777777" w:rsidR="00D16620" w:rsidRPr="00B15551" w:rsidRDefault="00D16620" w:rsidP="00B86D54"/>
    <w:p w14:paraId="2B6A5FA9" w14:textId="32A85054" w:rsidR="00D16620" w:rsidRPr="00B15551" w:rsidRDefault="00D16620" w:rsidP="00B86D54">
      <w:r w:rsidRPr="00B15551">
        <w:t>Vinca alkaloids, particularly vincristine (VCR), are key components of ALL treatment protocols</w:t>
      </w:r>
      <w:r w:rsidRPr="00B15551">
        <w:rPr>
          <w:vertAlign w:val="superscript"/>
        </w:rPr>
        <w:t>4</w:t>
      </w:r>
      <w:r w:rsidRPr="00B15551">
        <w:t xml:space="preserve">. Because VCR exerts its cytotoxic effects intracellularly, understanding its uptake and accumulation in leukemic cells is fundamental for studies involving drug response, pharmacodynamics, and cellular behavior in </w:t>
      </w:r>
      <w:r w:rsidRPr="00B15551">
        <w:rPr>
          <w:i/>
          <w:iCs/>
        </w:rPr>
        <w:t>ex vivo</w:t>
      </w:r>
      <w:r w:rsidRPr="00B15551">
        <w:t xml:space="preserve"> systems. However, most available approaches for assessing intracellular drug levels rely on indirect measurements or semi-quantitative methods, limiting reproducibility and sensitivity</w:t>
      </w:r>
      <w:r w:rsidR="008262F2" w:rsidRPr="00B15551">
        <w:rPr>
          <w:vertAlign w:val="superscript"/>
        </w:rPr>
        <w:t>5</w:t>
      </w:r>
      <w:r w:rsidR="00CD3231" w:rsidRPr="00B15551">
        <w:rPr>
          <w:vertAlign w:val="superscript"/>
        </w:rPr>
        <w:t>-</w:t>
      </w:r>
      <w:r w:rsidR="008262F2" w:rsidRPr="00B15551">
        <w:rPr>
          <w:vertAlign w:val="superscript"/>
        </w:rPr>
        <w:t>7</w:t>
      </w:r>
      <w:r w:rsidRPr="00B15551">
        <w:t>.</w:t>
      </w:r>
    </w:p>
    <w:p w14:paraId="7794286A" w14:textId="77777777" w:rsidR="00D16620" w:rsidRPr="00B15551" w:rsidRDefault="00D16620" w:rsidP="00B86D54"/>
    <w:p w14:paraId="2AE4AE10" w14:textId="01489103" w:rsidR="00D16620" w:rsidRPr="00B15551" w:rsidRDefault="00D16620" w:rsidP="00B86D54">
      <w:r w:rsidRPr="00B15551">
        <w:t>In parallel, many investigations still depend heavily on leukemia cell lines, which lack the biological heterogeneity and clinical relevance of patient-derived primary cells. Primary samples often present challenges such as limited cell numbers, variable sample quality, and the need for highly sensitive analytical techniques capable of detecting low-abundance intracellular compounds</w:t>
      </w:r>
      <w:r w:rsidR="005F0355" w:rsidRPr="00B15551">
        <w:rPr>
          <w:vertAlign w:val="superscript"/>
        </w:rPr>
        <w:t>8</w:t>
      </w:r>
      <w:r w:rsidRPr="00B15551">
        <w:t>.</w:t>
      </w:r>
    </w:p>
    <w:p w14:paraId="5D2E40A1" w14:textId="77777777" w:rsidR="00D16620" w:rsidRPr="00B15551" w:rsidRDefault="00D16620" w:rsidP="00B86D54"/>
    <w:p w14:paraId="21F66339" w14:textId="77777777" w:rsidR="00D16620" w:rsidRPr="00B15551" w:rsidRDefault="00D16620" w:rsidP="00B86D54">
      <w:r w:rsidRPr="00B15551">
        <w:t xml:space="preserve">Liquid chromatography–tandem mass spectrometry (LC-MS/MS) provides the specificity and sensitivity required for precise quantification of chemotherapeutic agents, yet standardized protocols for measuring intracellular VCR directly in primary leukemic cells remain scarce. Establishing robust </w:t>
      </w:r>
      <w:proofErr w:type="spellStart"/>
      <w:r w:rsidRPr="00B15551">
        <w:t>micromethods</w:t>
      </w:r>
      <w:proofErr w:type="spellEnd"/>
      <w:r w:rsidRPr="00B15551">
        <w:t xml:space="preserve"> compatible with limited patient material may facilitate a broad range of applications, including pharmacological profiling, evaluation of drug–cell interactions, and comparative studies across disease subtypes or therapeutic conditions.</w:t>
      </w:r>
    </w:p>
    <w:p w14:paraId="1B1D7A1E" w14:textId="77777777" w:rsidR="00D16620" w:rsidRPr="00B15551" w:rsidRDefault="00D16620" w:rsidP="00B86D54"/>
    <w:p w14:paraId="04493928" w14:textId="1CE11127" w:rsidR="00D16620" w:rsidRPr="00B15551" w:rsidRDefault="00D16620" w:rsidP="00B86D54">
      <w:r w:rsidRPr="00B15551">
        <w:t>Here</w:t>
      </w:r>
      <w:r w:rsidR="005F0355" w:rsidRPr="00B15551">
        <w:t xml:space="preserve"> in this protocol</w:t>
      </w:r>
      <w:r w:rsidRPr="00B15551">
        <w:t xml:space="preserve">, we describe the development and optimization of a </w:t>
      </w:r>
      <w:proofErr w:type="spellStart"/>
      <w:r w:rsidRPr="00B15551">
        <w:t>micromethod</w:t>
      </w:r>
      <w:proofErr w:type="spellEnd"/>
      <w:r w:rsidRPr="00B15551">
        <w:t xml:space="preserve"> for </w:t>
      </w:r>
      <w:r w:rsidRPr="00B15551">
        <w:rPr>
          <w:i/>
          <w:iCs/>
        </w:rPr>
        <w:t>ex vivo</w:t>
      </w:r>
      <w:r w:rsidRPr="00B15551">
        <w:t xml:space="preserve"> quantification of intracellular VCR in primary leukemic cells using LC-MS/MS. To obtain sufficient material for method development, patient samples were transplanted into immunodeficient NSG mice to generate patient-derived xenograft (PDX) models</w:t>
      </w:r>
      <w:r w:rsidR="005F0355" w:rsidRPr="00B15551">
        <w:rPr>
          <w:vertAlign w:val="superscript"/>
        </w:rPr>
        <w:t>9</w:t>
      </w:r>
      <w:r w:rsidRPr="00B15551">
        <w:t xml:space="preserve">. After </w:t>
      </w:r>
      <w:r w:rsidRPr="00B15551">
        <w:rPr>
          <w:i/>
          <w:iCs/>
        </w:rPr>
        <w:t>in vivo</w:t>
      </w:r>
      <w:r w:rsidRPr="00B15551">
        <w:t xml:space="preserve"> expansion, human leukemic cells were isolated</w:t>
      </w:r>
      <w:r w:rsidR="005F0355" w:rsidRPr="00B15551">
        <w:t xml:space="preserve"> and</w:t>
      </w:r>
      <w:r w:rsidRPr="00B15551">
        <w:t xml:space="preserve"> cryopreserved</w:t>
      </w:r>
      <w:r w:rsidR="005F0355" w:rsidRPr="00B15551">
        <w:rPr>
          <w:vertAlign w:val="superscript"/>
        </w:rPr>
        <w:t>10</w:t>
      </w:r>
      <w:r w:rsidR="005F0355" w:rsidRPr="00B15551">
        <w:t xml:space="preserve">. After, they were </w:t>
      </w:r>
      <w:r w:rsidRPr="00B15551">
        <w:t>thawed</w:t>
      </w:r>
      <w:r w:rsidR="005F0355" w:rsidRPr="00B15551">
        <w:t xml:space="preserve">, </w:t>
      </w:r>
      <w:r w:rsidRPr="00B15551">
        <w:t>incubated with VCR, washed, lysed, and analyzed by LC-MS/MS to determine intracellular drug levels.</w:t>
      </w:r>
    </w:p>
    <w:p w14:paraId="3EB75DF0" w14:textId="77777777" w:rsidR="00D16620" w:rsidRPr="00B15551" w:rsidRDefault="00D16620" w:rsidP="00B86D54"/>
    <w:p w14:paraId="082276E5" w14:textId="77777777" w:rsidR="00D16620" w:rsidRPr="00B15551" w:rsidRDefault="00D16620" w:rsidP="00B86D54">
      <w:r w:rsidRPr="00B15551">
        <w:t>This method offers several advantages: it requires a small number of cells (2.5 million), is sensitive and rapid, and is compatible with clinically relevant primary samples. Because it directly measures intracellular drug content, it provides a reliable quantitative tool for researchers investigating drug uptake, cellular responses to chemotherapeutics, or other pharmacological questions in hematologic malignancies.</w:t>
      </w:r>
    </w:p>
    <w:p w14:paraId="7781101F" w14:textId="77777777" w:rsidR="00D16620" w:rsidRPr="00B15551" w:rsidRDefault="00D16620" w:rsidP="00B86D54"/>
    <w:p w14:paraId="2D37EDFC" w14:textId="77777777" w:rsidR="00D16620" w:rsidRPr="00B15551" w:rsidRDefault="00D16620" w:rsidP="00B86D54">
      <w:r w:rsidRPr="00B15551">
        <w:t xml:space="preserve">Overall, this protocol expands the analytical toolkit available for studying pediatric ALL and can </w:t>
      </w:r>
      <w:r w:rsidRPr="00B15551">
        <w:lastRenderedPageBreak/>
        <w:t>be readily adapted for other drugs or sample types, supporting future investigations into leukemia biology, drug behavior, and precision pharmacology.</w:t>
      </w:r>
    </w:p>
    <w:p w14:paraId="48BA6B0A" w14:textId="77777777" w:rsidR="006E4797" w:rsidRPr="00B15551" w:rsidRDefault="006E4797" w:rsidP="00B86D54">
      <w:pPr>
        <w:rPr>
          <w:b/>
        </w:rPr>
      </w:pPr>
    </w:p>
    <w:p w14:paraId="32A92E82" w14:textId="284CA534" w:rsidR="006E4797" w:rsidRPr="00B15551" w:rsidRDefault="00551D82" w:rsidP="00B15551">
      <w:r w:rsidRPr="00B15551">
        <w:rPr>
          <w:b/>
        </w:rPr>
        <w:t>PROTOCOL:</w:t>
      </w:r>
      <w:r w:rsidRPr="00B15551">
        <w:t xml:space="preserve"> </w:t>
      </w:r>
    </w:p>
    <w:p w14:paraId="63400F31" w14:textId="56A923C6" w:rsidR="006244A9" w:rsidRPr="00B15551" w:rsidRDefault="006244A9" w:rsidP="00B15551">
      <w:pPr>
        <w:widowControl/>
        <w:rPr>
          <w:rFonts w:eastAsia="Arial"/>
        </w:rPr>
      </w:pPr>
      <w:r w:rsidRPr="00B15551">
        <w:rPr>
          <w:rFonts w:eastAsia="Arial"/>
        </w:rPr>
        <w:t xml:space="preserve">The leukemia samples used in this study were obtained from bio-banked vials of patients treated at Centro </w:t>
      </w:r>
      <w:proofErr w:type="spellStart"/>
      <w:r w:rsidRPr="00B15551">
        <w:rPr>
          <w:rFonts w:eastAsia="Arial"/>
        </w:rPr>
        <w:t>Infantil</w:t>
      </w:r>
      <w:proofErr w:type="spellEnd"/>
      <w:r w:rsidRPr="00B15551">
        <w:rPr>
          <w:rFonts w:eastAsia="Arial"/>
        </w:rPr>
        <w:t xml:space="preserve"> Boldrini, who allowed the use of their cells through an informed consent form. The </w:t>
      </w:r>
      <w:proofErr w:type="spellStart"/>
      <w:r w:rsidRPr="00B15551">
        <w:rPr>
          <w:rFonts w:eastAsia="Arial"/>
        </w:rPr>
        <w:t>projet</w:t>
      </w:r>
      <w:proofErr w:type="spellEnd"/>
      <w:r w:rsidRPr="00B15551">
        <w:rPr>
          <w:rFonts w:eastAsia="Arial"/>
        </w:rPr>
        <w:t xml:space="preserve"> was approved by the Institutional Ethics Committee (CAAE 34601120.7.0000.5376). he protocols for the generation of patient-derived xenografts (PDX) in animals were carried out in accordance with the regulations and ethical guidelines of the Animal Ethics Committee (</w:t>
      </w:r>
      <w:proofErr w:type="spellStart"/>
      <w:r w:rsidRPr="00B15551">
        <w:rPr>
          <w:rFonts w:eastAsia="Arial"/>
        </w:rPr>
        <w:t>Comissão</w:t>
      </w:r>
      <w:proofErr w:type="spellEnd"/>
      <w:r w:rsidRPr="00B15551">
        <w:rPr>
          <w:rFonts w:eastAsia="Arial"/>
        </w:rPr>
        <w:t xml:space="preserve"> de </w:t>
      </w:r>
      <w:proofErr w:type="spellStart"/>
      <w:r w:rsidRPr="00B15551">
        <w:rPr>
          <w:rFonts w:eastAsia="Arial"/>
        </w:rPr>
        <w:t>Ética</w:t>
      </w:r>
      <w:proofErr w:type="spellEnd"/>
      <w:r w:rsidRPr="00B15551">
        <w:rPr>
          <w:rFonts w:eastAsia="Arial"/>
        </w:rPr>
        <w:t xml:space="preserve"> no Uso de </w:t>
      </w:r>
      <w:proofErr w:type="spellStart"/>
      <w:r w:rsidRPr="00B15551">
        <w:rPr>
          <w:rFonts w:eastAsia="Arial"/>
        </w:rPr>
        <w:t>Animais</w:t>
      </w:r>
      <w:proofErr w:type="spellEnd"/>
      <w:r w:rsidRPr="00B15551">
        <w:rPr>
          <w:rFonts w:eastAsia="Arial"/>
        </w:rPr>
        <w:t xml:space="preserve">) of Centro </w:t>
      </w:r>
      <w:proofErr w:type="spellStart"/>
      <w:r w:rsidRPr="00B15551">
        <w:rPr>
          <w:rFonts w:eastAsia="Arial"/>
        </w:rPr>
        <w:t>Infantil</w:t>
      </w:r>
      <w:proofErr w:type="spellEnd"/>
      <w:r w:rsidRPr="00B15551">
        <w:rPr>
          <w:rFonts w:eastAsia="Arial"/>
        </w:rPr>
        <w:t xml:space="preserve"> Boldrini (CEUA/Boldrini 0011-2020).</w:t>
      </w:r>
    </w:p>
    <w:p w14:paraId="5B2C3DFB" w14:textId="77777777" w:rsidR="00CD3231" w:rsidRPr="00B15551" w:rsidRDefault="00CD3231" w:rsidP="00B15551"/>
    <w:p w14:paraId="3EEE15BA" w14:textId="0617EF96" w:rsidR="0036730A" w:rsidRPr="00B15551" w:rsidRDefault="0036730A" w:rsidP="00B86D54">
      <w:pPr>
        <w:pStyle w:val="PargrafodaLista"/>
        <w:numPr>
          <w:ilvl w:val="0"/>
          <w:numId w:val="23"/>
        </w:numPr>
        <w:pBdr>
          <w:top w:val="nil"/>
          <w:left w:val="nil"/>
          <w:bottom w:val="nil"/>
          <w:right w:val="nil"/>
          <w:between w:val="nil"/>
        </w:pBdr>
        <w:spacing w:after="0" w:line="240" w:lineRule="auto"/>
        <w:ind w:left="0" w:firstLine="0"/>
        <w:rPr>
          <w:rFonts w:ascii="Calibri" w:hAnsi="Calibri" w:cs="Calibri"/>
          <w:b/>
          <w:sz w:val="24"/>
          <w:szCs w:val="24"/>
        </w:rPr>
      </w:pPr>
      <w:r w:rsidRPr="00B15551">
        <w:rPr>
          <w:rFonts w:ascii="Calibri" w:hAnsi="Calibri" w:cs="Calibri"/>
          <w:b/>
          <w:sz w:val="24"/>
          <w:szCs w:val="24"/>
        </w:rPr>
        <w:t>Sample preparation and drug incubation (Day 1)</w:t>
      </w:r>
    </w:p>
    <w:p w14:paraId="08E09E53" w14:textId="77777777" w:rsidR="00F22A4B" w:rsidRPr="00B15551" w:rsidRDefault="00F22A4B" w:rsidP="00B86D54">
      <w:pPr>
        <w:pStyle w:val="PargrafodaLista"/>
        <w:pBdr>
          <w:top w:val="nil"/>
          <w:left w:val="nil"/>
          <w:bottom w:val="nil"/>
          <w:right w:val="nil"/>
          <w:between w:val="nil"/>
        </w:pBdr>
        <w:spacing w:after="0" w:line="240" w:lineRule="auto"/>
        <w:ind w:left="0"/>
        <w:rPr>
          <w:rFonts w:ascii="Calibri" w:hAnsi="Calibri" w:cs="Calibri"/>
          <w:b/>
          <w:sz w:val="24"/>
          <w:szCs w:val="24"/>
        </w:rPr>
      </w:pPr>
    </w:p>
    <w:p w14:paraId="307AE855" w14:textId="3C3EFCAD" w:rsidR="0036730A" w:rsidRPr="00B15551" w:rsidRDefault="0036730A" w:rsidP="00B86D54">
      <w:pPr>
        <w:pStyle w:val="PargrafodaLista"/>
        <w:numPr>
          <w:ilvl w:val="1"/>
          <w:numId w:val="24"/>
        </w:numPr>
        <w:pBdr>
          <w:top w:val="nil"/>
          <w:left w:val="nil"/>
          <w:bottom w:val="nil"/>
          <w:right w:val="nil"/>
          <w:between w:val="nil"/>
        </w:pBdr>
        <w:spacing w:after="0" w:line="240" w:lineRule="auto"/>
        <w:ind w:left="0" w:firstLine="0"/>
        <w:rPr>
          <w:rFonts w:ascii="Calibri" w:hAnsi="Calibri" w:cs="Calibri"/>
          <w:bCs/>
          <w:sz w:val="24"/>
          <w:szCs w:val="24"/>
        </w:rPr>
      </w:pPr>
      <w:r w:rsidRPr="00B15551">
        <w:rPr>
          <w:rFonts w:ascii="Calibri" w:hAnsi="Calibri" w:cs="Calibri"/>
          <w:bCs/>
          <w:sz w:val="24"/>
          <w:szCs w:val="24"/>
        </w:rPr>
        <w:t>Preparation of stock and working solutions</w:t>
      </w:r>
    </w:p>
    <w:p w14:paraId="6EC7F5F8" w14:textId="77777777" w:rsidR="00F22A4B" w:rsidRPr="00B15551" w:rsidRDefault="00F22A4B" w:rsidP="00B86D54">
      <w:pPr>
        <w:pStyle w:val="PargrafodaLista"/>
        <w:pBdr>
          <w:top w:val="nil"/>
          <w:left w:val="nil"/>
          <w:bottom w:val="nil"/>
          <w:right w:val="nil"/>
          <w:between w:val="nil"/>
        </w:pBdr>
        <w:spacing w:after="0" w:line="240" w:lineRule="auto"/>
        <w:ind w:left="0"/>
        <w:rPr>
          <w:rFonts w:ascii="Calibri" w:hAnsi="Calibri" w:cs="Calibri"/>
          <w:bCs/>
          <w:sz w:val="24"/>
          <w:szCs w:val="24"/>
        </w:rPr>
      </w:pPr>
    </w:p>
    <w:p w14:paraId="352FCEA5" w14:textId="6F03D036" w:rsidR="0036730A" w:rsidRPr="00B15551" w:rsidRDefault="0036730A"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bCs/>
          <w:sz w:val="24"/>
          <w:szCs w:val="24"/>
        </w:rPr>
      </w:pPr>
      <w:r w:rsidRPr="00B15551">
        <w:rPr>
          <w:rFonts w:ascii="Calibri" w:hAnsi="Calibri" w:cs="Calibri"/>
          <w:bCs/>
          <w:sz w:val="24"/>
          <w:szCs w:val="24"/>
        </w:rPr>
        <w:t>Weigh 2.5 mg of V</w:t>
      </w:r>
      <w:r w:rsidR="004B69C1" w:rsidRPr="00B15551">
        <w:rPr>
          <w:rFonts w:ascii="Calibri" w:hAnsi="Calibri" w:cs="Calibri"/>
          <w:bCs/>
          <w:sz w:val="24"/>
          <w:szCs w:val="24"/>
        </w:rPr>
        <w:t>incristine sulfate (</w:t>
      </w:r>
      <w:r w:rsidR="005A26A9" w:rsidRPr="00B15551">
        <w:rPr>
          <w:rFonts w:ascii="Calibri" w:hAnsi="Calibri" w:cs="Calibri"/>
          <w:bCs/>
          <w:sz w:val="24"/>
          <w:szCs w:val="24"/>
        </w:rPr>
        <w:t>molecular weight</w:t>
      </w:r>
      <w:r w:rsidR="004B69C1" w:rsidRPr="00B15551">
        <w:rPr>
          <w:rFonts w:ascii="Calibri" w:hAnsi="Calibri" w:cs="Calibri"/>
          <w:bCs/>
          <w:sz w:val="24"/>
          <w:szCs w:val="24"/>
        </w:rPr>
        <w:t>: 923 g/mol)</w:t>
      </w:r>
      <w:r w:rsidRPr="00B15551">
        <w:rPr>
          <w:rFonts w:ascii="Calibri" w:hAnsi="Calibri" w:cs="Calibri"/>
          <w:bCs/>
          <w:sz w:val="24"/>
          <w:szCs w:val="24"/>
        </w:rPr>
        <w:t xml:space="preserve"> and dissolve it in 2</w:t>
      </w:r>
      <w:r w:rsidR="005A26A9" w:rsidRPr="00B15551">
        <w:rPr>
          <w:rFonts w:ascii="Calibri" w:hAnsi="Calibri" w:cs="Calibri"/>
          <w:bCs/>
          <w:sz w:val="24"/>
          <w:szCs w:val="24"/>
        </w:rPr>
        <w:t>.0</w:t>
      </w:r>
      <w:r w:rsidRPr="00B15551">
        <w:rPr>
          <w:rFonts w:ascii="Calibri" w:hAnsi="Calibri" w:cs="Calibri"/>
          <w:bCs/>
          <w:sz w:val="24"/>
          <w:szCs w:val="24"/>
        </w:rPr>
        <w:t xml:space="preserve"> mL of </w:t>
      </w:r>
      <w:r w:rsidR="00CD3231" w:rsidRPr="00B15551">
        <w:rPr>
          <w:rFonts w:ascii="Calibri" w:hAnsi="Calibri" w:cs="Calibri"/>
          <w:bCs/>
          <w:sz w:val="24"/>
          <w:szCs w:val="24"/>
        </w:rPr>
        <w:t>dimethyl sulfoxide (</w:t>
      </w:r>
      <w:r w:rsidRPr="00B15551">
        <w:rPr>
          <w:rFonts w:ascii="Calibri" w:hAnsi="Calibri" w:cs="Calibri"/>
          <w:bCs/>
          <w:sz w:val="24"/>
          <w:szCs w:val="24"/>
        </w:rPr>
        <w:t>DMSO</w:t>
      </w:r>
      <w:r w:rsidR="00CD3231" w:rsidRPr="00B15551">
        <w:rPr>
          <w:rFonts w:ascii="Calibri" w:hAnsi="Calibri" w:cs="Calibri"/>
          <w:bCs/>
          <w:sz w:val="24"/>
          <w:szCs w:val="24"/>
        </w:rPr>
        <w:t>)</w:t>
      </w:r>
      <w:r w:rsidR="005A26A9" w:rsidRPr="00B15551">
        <w:rPr>
          <w:rFonts w:ascii="Calibri" w:hAnsi="Calibri" w:cs="Calibri"/>
          <w:bCs/>
          <w:sz w:val="24"/>
          <w:szCs w:val="24"/>
        </w:rPr>
        <w:t xml:space="preserve"> in a 2.0 mL microtube to prepare a 1.354 mM </w:t>
      </w:r>
      <w:r w:rsidR="008D0413" w:rsidRPr="00B15551">
        <w:rPr>
          <w:rFonts w:ascii="Calibri" w:hAnsi="Calibri" w:cs="Calibri"/>
          <w:bCs/>
          <w:sz w:val="24"/>
          <w:szCs w:val="24"/>
        </w:rPr>
        <w:t xml:space="preserve">stock </w:t>
      </w:r>
      <w:r w:rsidR="005A26A9" w:rsidRPr="00B15551">
        <w:rPr>
          <w:rFonts w:ascii="Calibri" w:hAnsi="Calibri" w:cs="Calibri"/>
          <w:bCs/>
          <w:sz w:val="24"/>
          <w:szCs w:val="24"/>
        </w:rPr>
        <w:t>solution</w:t>
      </w:r>
      <w:r w:rsidRPr="00B15551">
        <w:rPr>
          <w:rFonts w:ascii="Calibri" w:hAnsi="Calibri" w:cs="Calibri"/>
          <w:bCs/>
          <w:sz w:val="24"/>
          <w:szCs w:val="24"/>
        </w:rPr>
        <w:t>. Vortex until fully dissolved.</w:t>
      </w:r>
    </w:p>
    <w:p w14:paraId="5358998A" w14:textId="77777777" w:rsidR="00F22A4B" w:rsidRPr="00B15551" w:rsidRDefault="00F22A4B" w:rsidP="00B86D54">
      <w:pPr>
        <w:pStyle w:val="PargrafodaLista"/>
        <w:pBdr>
          <w:top w:val="nil"/>
          <w:left w:val="nil"/>
          <w:bottom w:val="nil"/>
          <w:right w:val="nil"/>
          <w:between w:val="nil"/>
        </w:pBdr>
        <w:spacing w:after="0" w:line="240" w:lineRule="auto"/>
        <w:ind w:left="0"/>
        <w:rPr>
          <w:rFonts w:ascii="Calibri" w:hAnsi="Calibri" w:cs="Calibri"/>
          <w:bCs/>
          <w:sz w:val="24"/>
          <w:szCs w:val="24"/>
        </w:rPr>
      </w:pPr>
    </w:p>
    <w:p w14:paraId="1A59E2D2" w14:textId="07C4D1FD" w:rsidR="0036730A" w:rsidRPr="00B15551" w:rsidRDefault="0036730A" w:rsidP="00B86D54">
      <w:pPr>
        <w:pBdr>
          <w:top w:val="nil"/>
          <w:left w:val="nil"/>
          <w:bottom w:val="nil"/>
          <w:right w:val="nil"/>
          <w:between w:val="nil"/>
        </w:pBdr>
        <w:rPr>
          <w:bCs/>
        </w:rPr>
      </w:pPr>
      <w:r w:rsidRPr="00B15551">
        <w:rPr>
          <w:bCs/>
        </w:rPr>
        <w:t>CAUTION: DMSO is an irritant; wear gloves and handle it in a chemical fume hood.</w:t>
      </w:r>
    </w:p>
    <w:p w14:paraId="57685655" w14:textId="41B5E67A" w:rsidR="000C47EF" w:rsidRPr="00B15551" w:rsidRDefault="000C47EF" w:rsidP="00B86D54">
      <w:pPr>
        <w:pBdr>
          <w:top w:val="nil"/>
          <w:left w:val="nil"/>
          <w:bottom w:val="nil"/>
          <w:right w:val="nil"/>
          <w:between w:val="nil"/>
        </w:pBdr>
        <w:rPr>
          <w:bCs/>
        </w:rPr>
      </w:pPr>
    </w:p>
    <w:p w14:paraId="4F30A352" w14:textId="62706A42" w:rsidR="0036730A" w:rsidRPr="00B15551" w:rsidRDefault="0036730A"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bCs/>
          <w:sz w:val="24"/>
          <w:szCs w:val="24"/>
        </w:rPr>
      </w:pPr>
      <w:r w:rsidRPr="00B15551">
        <w:rPr>
          <w:rFonts w:ascii="Calibri" w:hAnsi="Calibri" w:cs="Calibri"/>
          <w:bCs/>
          <w:sz w:val="24"/>
          <w:szCs w:val="24"/>
        </w:rPr>
        <w:t>Prepare the 100 µM working solution by mixing 147.</w:t>
      </w:r>
      <w:r w:rsidR="005A26A9" w:rsidRPr="00B15551">
        <w:rPr>
          <w:rFonts w:ascii="Calibri" w:hAnsi="Calibri" w:cs="Calibri"/>
          <w:bCs/>
          <w:sz w:val="24"/>
          <w:szCs w:val="24"/>
        </w:rPr>
        <w:t>71</w:t>
      </w:r>
      <w:r w:rsidRPr="00B15551">
        <w:rPr>
          <w:rFonts w:ascii="Calibri" w:hAnsi="Calibri" w:cs="Calibri"/>
          <w:bCs/>
          <w:sz w:val="24"/>
          <w:szCs w:val="24"/>
        </w:rPr>
        <w:t xml:space="preserve"> µL of the VCR stock </w:t>
      </w:r>
      <w:r w:rsidR="008D0413" w:rsidRPr="00B15551">
        <w:rPr>
          <w:rFonts w:ascii="Calibri" w:hAnsi="Calibri" w:cs="Calibri"/>
          <w:bCs/>
          <w:sz w:val="24"/>
          <w:szCs w:val="24"/>
        </w:rPr>
        <w:t xml:space="preserve">solution </w:t>
      </w:r>
      <w:r w:rsidRPr="00B15551">
        <w:rPr>
          <w:rFonts w:ascii="Calibri" w:hAnsi="Calibri" w:cs="Calibri"/>
          <w:bCs/>
          <w:sz w:val="24"/>
          <w:szCs w:val="24"/>
        </w:rPr>
        <w:t>with 1</w:t>
      </w:r>
      <w:r w:rsidR="00F24298" w:rsidRPr="00B15551">
        <w:rPr>
          <w:rFonts w:ascii="Calibri" w:hAnsi="Calibri" w:cs="Calibri"/>
          <w:bCs/>
          <w:sz w:val="24"/>
          <w:szCs w:val="24"/>
        </w:rPr>
        <w:t>,</w:t>
      </w:r>
      <w:r w:rsidRPr="00B15551">
        <w:rPr>
          <w:rFonts w:ascii="Calibri" w:hAnsi="Calibri" w:cs="Calibri"/>
          <w:bCs/>
          <w:sz w:val="24"/>
          <w:szCs w:val="24"/>
        </w:rPr>
        <w:t>852.</w:t>
      </w:r>
      <w:r w:rsidR="005A26A9" w:rsidRPr="00B15551">
        <w:rPr>
          <w:rFonts w:ascii="Calibri" w:hAnsi="Calibri" w:cs="Calibri"/>
          <w:bCs/>
          <w:sz w:val="24"/>
          <w:szCs w:val="24"/>
        </w:rPr>
        <w:t>28</w:t>
      </w:r>
      <w:r w:rsidRPr="00B15551">
        <w:rPr>
          <w:rFonts w:ascii="Calibri" w:hAnsi="Calibri" w:cs="Calibri"/>
          <w:bCs/>
          <w:sz w:val="24"/>
          <w:szCs w:val="24"/>
        </w:rPr>
        <w:t xml:space="preserve"> µL of DMSO in a 2.0 mL microtube. Vortex thoroughly.</w:t>
      </w:r>
    </w:p>
    <w:p w14:paraId="1F308ED8" w14:textId="77777777" w:rsidR="00F22A4B" w:rsidRPr="00B15551" w:rsidRDefault="00F22A4B" w:rsidP="00B86D54">
      <w:pPr>
        <w:pStyle w:val="PargrafodaLista"/>
        <w:pBdr>
          <w:top w:val="nil"/>
          <w:left w:val="nil"/>
          <w:bottom w:val="nil"/>
          <w:right w:val="nil"/>
          <w:between w:val="nil"/>
        </w:pBdr>
        <w:spacing w:after="0" w:line="240" w:lineRule="auto"/>
        <w:ind w:left="0"/>
        <w:rPr>
          <w:rFonts w:ascii="Calibri" w:hAnsi="Calibri" w:cs="Calibri"/>
          <w:bCs/>
          <w:sz w:val="24"/>
          <w:szCs w:val="24"/>
        </w:rPr>
      </w:pPr>
    </w:p>
    <w:p w14:paraId="5E1C0CE3" w14:textId="471397D0" w:rsidR="000C47EF" w:rsidRPr="00B15551" w:rsidRDefault="000C47EF"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bCs/>
          <w:sz w:val="24"/>
          <w:szCs w:val="24"/>
        </w:rPr>
      </w:pPr>
      <w:r w:rsidRPr="00B15551">
        <w:rPr>
          <w:rFonts w:ascii="Calibri" w:hAnsi="Calibri" w:cs="Calibri"/>
          <w:bCs/>
          <w:sz w:val="24"/>
          <w:szCs w:val="24"/>
        </w:rPr>
        <w:t xml:space="preserve">Distribute 500 µL of the working solution into four 0.6 mL microtubes </w:t>
      </w:r>
      <w:r w:rsidR="00F24298" w:rsidRPr="00B15551">
        <w:rPr>
          <w:rFonts w:ascii="Calibri" w:hAnsi="Calibri" w:cs="Calibri"/>
          <w:bCs/>
          <w:sz w:val="24"/>
          <w:szCs w:val="24"/>
        </w:rPr>
        <w:t>and store</w:t>
      </w:r>
      <w:r w:rsidRPr="00B15551">
        <w:rPr>
          <w:rFonts w:ascii="Calibri" w:hAnsi="Calibri" w:cs="Calibri"/>
          <w:bCs/>
          <w:sz w:val="24"/>
          <w:szCs w:val="24"/>
        </w:rPr>
        <w:t xml:space="preserve"> at -20 °C for up to several months. </w:t>
      </w:r>
      <w:r w:rsidR="00F24298" w:rsidRPr="00B15551">
        <w:rPr>
          <w:rFonts w:ascii="Calibri" w:hAnsi="Calibri" w:cs="Calibri"/>
          <w:bCs/>
          <w:sz w:val="24"/>
          <w:szCs w:val="24"/>
        </w:rPr>
        <w:t>Avoid thawing</w:t>
      </w:r>
      <w:r w:rsidRPr="00B15551">
        <w:rPr>
          <w:rFonts w:ascii="Calibri" w:hAnsi="Calibri" w:cs="Calibri"/>
          <w:bCs/>
          <w:sz w:val="24"/>
          <w:szCs w:val="24"/>
        </w:rPr>
        <w:t xml:space="preserve"> the aliquots more than </w:t>
      </w:r>
      <w:r w:rsidR="00F24298" w:rsidRPr="00B15551">
        <w:rPr>
          <w:rFonts w:ascii="Calibri" w:hAnsi="Calibri" w:cs="Calibri"/>
          <w:bCs/>
          <w:sz w:val="24"/>
          <w:szCs w:val="24"/>
        </w:rPr>
        <w:t>three</w:t>
      </w:r>
      <w:r w:rsidRPr="00B15551">
        <w:rPr>
          <w:rFonts w:ascii="Calibri" w:hAnsi="Calibri" w:cs="Calibri"/>
          <w:bCs/>
          <w:sz w:val="24"/>
          <w:szCs w:val="24"/>
        </w:rPr>
        <w:t xml:space="preserve"> times.</w:t>
      </w:r>
    </w:p>
    <w:p w14:paraId="67108CD1" w14:textId="77777777" w:rsidR="00F22A4B" w:rsidRPr="00B15551" w:rsidRDefault="00F22A4B" w:rsidP="00B86D54">
      <w:pPr>
        <w:pStyle w:val="PargrafodaLista"/>
        <w:pBdr>
          <w:top w:val="nil"/>
          <w:left w:val="nil"/>
          <w:bottom w:val="nil"/>
          <w:right w:val="nil"/>
          <w:between w:val="nil"/>
        </w:pBdr>
        <w:spacing w:after="0" w:line="240" w:lineRule="auto"/>
        <w:ind w:left="0"/>
        <w:rPr>
          <w:rFonts w:ascii="Calibri" w:hAnsi="Calibri" w:cs="Calibri"/>
          <w:bCs/>
          <w:sz w:val="24"/>
          <w:szCs w:val="24"/>
        </w:rPr>
      </w:pPr>
    </w:p>
    <w:p w14:paraId="16B50FAD" w14:textId="70868C2A" w:rsidR="0036730A" w:rsidRPr="00B15551" w:rsidRDefault="0036730A"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bCs/>
          <w:sz w:val="24"/>
          <w:szCs w:val="24"/>
        </w:rPr>
      </w:pPr>
      <w:r w:rsidRPr="00B15551">
        <w:rPr>
          <w:rFonts w:ascii="Calibri" w:hAnsi="Calibri" w:cs="Calibri"/>
          <w:bCs/>
          <w:sz w:val="24"/>
          <w:szCs w:val="24"/>
        </w:rPr>
        <w:t>Prepare a 100 µM vinblastine (VINB) working solution by mixing 181.81 µL of a 1.1 mM stock solution</w:t>
      </w:r>
      <w:r w:rsidR="00F24298" w:rsidRPr="00B15551">
        <w:rPr>
          <w:rFonts w:ascii="Calibri" w:hAnsi="Calibri" w:cs="Calibri"/>
          <w:bCs/>
          <w:sz w:val="24"/>
          <w:szCs w:val="24"/>
        </w:rPr>
        <w:t xml:space="preserve"> (Vinblastine sulfate 1 mg/mL, molecular weight:</w:t>
      </w:r>
      <w:r w:rsidRPr="00B15551">
        <w:rPr>
          <w:rFonts w:ascii="Calibri" w:hAnsi="Calibri" w:cs="Calibri"/>
          <w:bCs/>
          <w:sz w:val="24"/>
          <w:szCs w:val="24"/>
        </w:rPr>
        <w:t xml:space="preserve"> </w:t>
      </w:r>
      <w:r w:rsidR="00F24298" w:rsidRPr="00B15551">
        <w:rPr>
          <w:rFonts w:ascii="Calibri" w:hAnsi="Calibri" w:cs="Calibri"/>
          <w:bCs/>
          <w:sz w:val="24"/>
          <w:szCs w:val="24"/>
        </w:rPr>
        <w:t xml:space="preserve">909.07 g/mol) </w:t>
      </w:r>
      <w:r w:rsidRPr="00B15551">
        <w:rPr>
          <w:rFonts w:ascii="Calibri" w:hAnsi="Calibri" w:cs="Calibri"/>
          <w:bCs/>
          <w:sz w:val="24"/>
          <w:szCs w:val="24"/>
        </w:rPr>
        <w:t>with 1,818.19 µL of sterile ultrapure water</w:t>
      </w:r>
      <w:r w:rsidR="00EC4F9A" w:rsidRPr="00B15551">
        <w:rPr>
          <w:rFonts w:ascii="Calibri" w:hAnsi="Calibri" w:cs="Calibri"/>
          <w:bCs/>
          <w:sz w:val="24"/>
          <w:szCs w:val="24"/>
        </w:rPr>
        <w:t xml:space="preserve"> in a 2.0 mL microtube</w:t>
      </w:r>
      <w:r w:rsidRPr="00B15551">
        <w:rPr>
          <w:rFonts w:ascii="Calibri" w:hAnsi="Calibri" w:cs="Calibri"/>
          <w:bCs/>
          <w:sz w:val="24"/>
          <w:szCs w:val="24"/>
        </w:rPr>
        <w:t>. Vortex until homogeneous.</w:t>
      </w:r>
    </w:p>
    <w:p w14:paraId="3B1AA85E" w14:textId="77777777" w:rsidR="00F22A4B" w:rsidRPr="00B15551" w:rsidRDefault="00F22A4B" w:rsidP="00B86D54">
      <w:pPr>
        <w:pStyle w:val="PargrafodaLista"/>
        <w:pBdr>
          <w:top w:val="nil"/>
          <w:left w:val="nil"/>
          <w:bottom w:val="nil"/>
          <w:right w:val="nil"/>
          <w:between w:val="nil"/>
        </w:pBdr>
        <w:spacing w:after="0" w:line="240" w:lineRule="auto"/>
        <w:ind w:left="0"/>
        <w:rPr>
          <w:rFonts w:ascii="Calibri" w:hAnsi="Calibri" w:cs="Calibri"/>
          <w:bCs/>
          <w:sz w:val="24"/>
          <w:szCs w:val="24"/>
        </w:rPr>
      </w:pPr>
    </w:p>
    <w:p w14:paraId="02938B8B" w14:textId="41EB6A29" w:rsidR="00F24298" w:rsidRPr="00B15551" w:rsidRDefault="00C05308"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bCs/>
          <w:sz w:val="24"/>
          <w:szCs w:val="24"/>
        </w:rPr>
      </w:pPr>
      <w:r w:rsidRPr="00B15551">
        <w:rPr>
          <w:rFonts w:ascii="Calibri" w:hAnsi="Calibri" w:cs="Calibri"/>
          <w:bCs/>
          <w:sz w:val="24"/>
          <w:szCs w:val="24"/>
        </w:rPr>
        <w:t>Aliquot</w:t>
      </w:r>
      <w:r w:rsidR="00F24298" w:rsidRPr="00B15551">
        <w:rPr>
          <w:rFonts w:ascii="Calibri" w:hAnsi="Calibri" w:cs="Calibri"/>
          <w:bCs/>
          <w:sz w:val="24"/>
          <w:szCs w:val="24"/>
        </w:rPr>
        <w:t xml:space="preserve"> the VINB working solution the same way </w:t>
      </w:r>
      <w:r w:rsidR="00CD3231" w:rsidRPr="00B15551">
        <w:rPr>
          <w:rFonts w:ascii="Calibri" w:hAnsi="Calibri" w:cs="Calibri"/>
          <w:bCs/>
          <w:sz w:val="24"/>
          <w:szCs w:val="24"/>
        </w:rPr>
        <w:t xml:space="preserve">as </w:t>
      </w:r>
      <w:r w:rsidR="00F24298" w:rsidRPr="00B15551">
        <w:rPr>
          <w:rFonts w:ascii="Calibri" w:hAnsi="Calibri" w:cs="Calibri"/>
          <w:bCs/>
          <w:sz w:val="24"/>
          <w:szCs w:val="24"/>
        </w:rPr>
        <w:t>done for VCR</w:t>
      </w:r>
      <w:r w:rsidRPr="00B15551">
        <w:rPr>
          <w:rFonts w:ascii="Calibri" w:hAnsi="Calibri" w:cs="Calibri"/>
          <w:bCs/>
          <w:sz w:val="24"/>
          <w:szCs w:val="24"/>
        </w:rPr>
        <w:t>.</w:t>
      </w:r>
    </w:p>
    <w:p w14:paraId="7D3A1784" w14:textId="77777777" w:rsidR="00F22A4B" w:rsidRPr="00B15551" w:rsidRDefault="00F22A4B" w:rsidP="00B86D54">
      <w:pPr>
        <w:pStyle w:val="PargrafodaLista"/>
        <w:pBdr>
          <w:top w:val="nil"/>
          <w:left w:val="nil"/>
          <w:bottom w:val="nil"/>
          <w:right w:val="nil"/>
          <w:between w:val="nil"/>
        </w:pBdr>
        <w:spacing w:after="0" w:line="240" w:lineRule="auto"/>
        <w:ind w:left="0"/>
        <w:rPr>
          <w:rFonts w:ascii="Calibri" w:hAnsi="Calibri" w:cs="Calibri"/>
          <w:bCs/>
          <w:sz w:val="24"/>
          <w:szCs w:val="24"/>
        </w:rPr>
      </w:pPr>
    </w:p>
    <w:p w14:paraId="30D99617" w14:textId="1D3911DA" w:rsidR="0036730A" w:rsidRPr="00B15551" w:rsidRDefault="0036730A"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b/>
          <w:sz w:val="24"/>
          <w:szCs w:val="24"/>
        </w:rPr>
      </w:pPr>
      <w:r w:rsidRPr="00B15551">
        <w:rPr>
          <w:rFonts w:ascii="Calibri" w:hAnsi="Calibri" w:cs="Calibri"/>
          <w:bCs/>
          <w:sz w:val="24"/>
          <w:szCs w:val="24"/>
        </w:rPr>
        <w:t xml:space="preserve">Prepare methanol + 0.1 µM VINB solution by mixing 49.95 mL of methanol with 50 µL of the </w:t>
      </w:r>
      <w:r w:rsidRPr="00B15551">
        <w:rPr>
          <w:rFonts w:ascii="Calibri" w:hAnsi="Calibri" w:cs="Calibri"/>
          <w:sz w:val="24"/>
          <w:szCs w:val="24"/>
        </w:rPr>
        <w:t>VINB working solution</w:t>
      </w:r>
      <w:r w:rsidR="00DC5493" w:rsidRPr="00B15551">
        <w:rPr>
          <w:rFonts w:ascii="Calibri" w:hAnsi="Calibri" w:cs="Calibri"/>
          <w:sz w:val="24"/>
          <w:szCs w:val="24"/>
        </w:rPr>
        <w:t xml:space="preserve"> in a 50 mL tube</w:t>
      </w:r>
      <w:r w:rsidRPr="00B15551">
        <w:rPr>
          <w:rFonts w:ascii="Calibri" w:hAnsi="Calibri" w:cs="Calibri"/>
          <w:sz w:val="24"/>
          <w:szCs w:val="24"/>
        </w:rPr>
        <w:t>.</w:t>
      </w:r>
      <w:r w:rsidR="00093123" w:rsidRPr="00B15551">
        <w:rPr>
          <w:rFonts w:ascii="Calibri" w:hAnsi="Calibri" w:cs="Calibri"/>
          <w:sz w:val="24"/>
          <w:szCs w:val="24"/>
        </w:rPr>
        <w:t xml:space="preserve"> Vortex until homogeneous.</w:t>
      </w:r>
      <w:r w:rsidRPr="00B15551">
        <w:rPr>
          <w:rFonts w:ascii="Calibri" w:hAnsi="Calibri" w:cs="Calibri"/>
          <w:sz w:val="24"/>
          <w:szCs w:val="24"/>
        </w:rPr>
        <w:t xml:space="preserve"> Store it at -20 °C</w:t>
      </w:r>
      <w:r w:rsidR="00DC5493" w:rsidRPr="00B15551">
        <w:rPr>
          <w:rFonts w:ascii="Calibri" w:hAnsi="Calibri" w:cs="Calibri"/>
          <w:sz w:val="24"/>
          <w:szCs w:val="24"/>
        </w:rPr>
        <w:t xml:space="preserve"> up to 3 months. </w:t>
      </w:r>
      <w:r w:rsidR="00093123" w:rsidRPr="00B15551">
        <w:rPr>
          <w:rFonts w:ascii="Calibri" w:hAnsi="Calibri" w:cs="Calibri"/>
          <w:sz w:val="24"/>
          <w:szCs w:val="24"/>
        </w:rPr>
        <w:t xml:space="preserve"> </w:t>
      </w:r>
    </w:p>
    <w:p w14:paraId="4F29E754" w14:textId="77777777" w:rsidR="00F22A4B" w:rsidRPr="00B15551" w:rsidRDefault="00F22A4B" w:rsidP="00B86D54">
      <w:pPr>
        <w:pStyle w:val="PargrafodaLista"/>
        <w:pBdr>
          <w:top w:val="nil"/>
          <w:left w:val="nil"/>
          <w:bottom w:val="nil"/>
          <w:right w:val="nil"/>
          <w:between w:val="nil"/>
        </w:pBdr>
        <w:spacing w:after="0" w:line="240" w:lineRule="auto"/>
        <w:ind w:left="0"/>
        <w:rPr>
          <w:rFonts w:ascii="Calibri" w:hAnsi="Calibri" w:cs="Calibri"/>
          <w:b/>
          <w:sz w:val="24"/>
          <w:szCs w:val="24"/>
        </w:rPr>
      </w:pPr>
    </w:p>
    <w:p w14:paraId="060014F0" w14:textId="5378273E" w:rsidR="0036730A" w:rsidRPr="00B15551" w:rsidRDefault="0036730A" w:rsidP="00B86D54">
      <w:pPr>
        <w:pBdr>
          <w:top w:val="nil"/>
          <w:left w:val="nil"/>
          <w:bottom w:val="nil"/>
          <w:right w:val="nil"/>
          <w:between w:val="nil"/>
        </w:pBdr>
        <w:rPr>
          <w:bCs/>
        </w:rPr>
      </w:pPr>
      <w:r w:rsidRPr="00B15551">
        <w:rPr>
          <w:bCs/>
        </w:rPr>
        <w:t>CAUTION: Methanol is toxic and flammable; handle with appropriate PPE in a fume hood.</w:t>
      </w:r>
    </w:p>
    <w:p w14:paraId="1BFB7413" w14:textId="77777777" w:rsidR="00DC5493" w:rsidRPr="00B15551" w:rsidRDefault="00DC5493" w:rsidP="00B86D54">
      <w:pPr>
        <w:pBdr>
          <w:top w:val="nil"/>
          <w:left w:val="nil"/>
          <w:bottom w:val="nil"/>
          <w:right w:val="nil"/>
          <w:between w:val="nil"/>
        </w:pBdr>
        <w:rPr>
          <w:bCs/>
        </w:rPr>
      </w:pPr>
    </w:p>
    <w:p w14:paraId="7339EE22" w14:textId="2A86D376" w:rsidR="0036730A" w:rsidRPr="00B15551" w:rsidRDefault="0036730A"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bCs/>
          <w:sz w:val="24"/>
          <w:szCs w:val="24"/>
        </w:rPr>
      </w:pPr>
      <w:r w:rsidRPr="00B15551">
        <w:rPr>
          <w:rFonts w:ascii="Calibri" w:hAnsi="Calibri" w:cs="Calibri"/>
          <w:bCs/>
          <w:sz w:val="24"/>
          <w:szCs w:val="24"/>
        </w:rPr>
        <w:t>Prepare a water + 0.1% formic acid solution by mixing 49.95 mL of ultrapure water with 50 µL of formic acid</w:t>
      </w:r>
      <w:r w:rsidR="00DC5493" w:rsidRPr="00B15551">
        <w:rPr>
          <w:rFonts w:ascii="Calibri" w:hAnsi="Calibri" w:cs="Calibri"/>
          <w:bCs/>
          <w:sz w:val="24"/>
          <w:szCs w:val="24"/>
        </w:rPr>
        <w:t xml:space="preserve"> in a 50 mL tube</w:t>
      </w:r>
      <w:r w:rsidRPr="00B15551">
        <w:rPr>
          <w:rFonts w:ascii="Calibri" w:hAnsi="Calibri" w:cs="Calibri"/>
          <w:bCs/>
          <w:sz w:val="24"/>
          <w:szCs w:val="24"/>
        </w:rPr>
        <w:t>. Vortex well.</w:t>
      </w:r>
      <w:r w:rsidR="00DC5493" w:rsidRPr="00B15551">
        <w:rPr>
          <w:rFonts w:ascii="Calibri" w:hAnsi="Calibri" w:cs="Calibri"/>
          <w:bCs/>
          <w:sz w:val="24"/>
          <w:szCs w:val="24"/>
        </w:rPr>
        <w:t xml:space="preserve"> Store at </w:t>
      </w:r>
      <w:r w:rsidR="00D36857" w:rsidRPr="00B15551">
        <w:rPr>
          <w:rFonts w:ascii="Calibri" w:hAnsi="Calibri" w:cs="Calibri"/>
          <w:bCs/>
          <w:sz w:val="24"/>
          <w:szCs w:val="24"/>
        </w:rPr>
        <w:t>room</w:t>
      </w:r>
      <w:r w:rsidR="00DC5493" w:rsidRPr="00B15551">
        <w:rPr>
          <w:rFonts w:ascii="Calibri" w:hAnsi="Calibri" w:cs="Calibri"/>
          <w:bCs/>
          <w:sz w:val="24"/>
          <w:szCs w:val="24"/>
        </w:rPr>
        <w:t xml:space="preserve"> temperature</w:t>
      </w:r>
      <w:r w:rsidR="00FB4363" w:rsidRPr="00B15551">
        <w:rPr>
          <w:rFonts w:ascii="Calibri" w:hAnsi="Calibri" w:cs="Calibri"/>
          <w:bCs/>
          <w:sz w:val="24"/>
          <w:szCs w:val="24"/>
        </w:rPr>
        <w:t xml:space="preserve"> (RT)</w:t>
      </w:r>
      <w:r w:rsidR="00F22A4B" w:rsidRPr="00B15551">
        <w:rPr>
          <w:rFonts w:ascii="Calibri" w:hAnsi="Calibri" w:cs="Calibri"/>
          <w:bCs/>
          <w:sz w:val="24"/>
          <w:szCs w:val="24"/>
        </w:rPr>
        <w:t>.</w:t>
      </w:r>
    </w:p>
    <w:p w14:paraId="7EF2CFA0" w14:textId="77777777" w:rsidR="00F22A4B" w:rsidRPr="00B15551" w:rsidRDefault="00F22A4B" w:rsidP="00B86D54">
      <w:pPr>
        <w:pStyle w:val="PargrafodaLista"/>
        <w:pBdr>
          <w:top w:val="nil"/>
          <w:left w:val="nil"/>
          <w:bottom w:val="nil"/>
          <w:right w:val="nil"/>
          <w:between w:val="nil"/>
        </w:pBdr>
        <w:spacing w:after="0" w:line="240" w:lineRule="auto"/>
        <w:ind w:left="0"/>
        <w:rPr>
          <w:rFonts w:ascii="Calibri" w:hAnsi="Calibri" w:cs="Calibri"/>
          <w:bCs/>
          <w:sz w:val="24"/>
          <w:szCs w:val="24"/>
        </w:rPr>
      </w:pPr>
    </w:p>
    <w:p w14:paraId="65FEDCEB" w14:textId="5DE01AC0" w:rsidR="0036730A" w:rsidRPr="00B15551" w:rsidRDefault="0036730A" w:rsidP="00B86D54">
      <w:pPr>
        <w:pBdr>
          <w:top w:val="nil"/>
          <w:left w:val="nil"/>
          <w:bottom w:val="nil"/>
          <w:right w:val="nil"/>
          <w:between w:val="nil"/>
        </w:pBdr>
        <w:rPr>
          <w:bCs/>
        </w:rPr>
      </w:pPr>
      <w:r w:rsidRPr="00B15551">
        <w:rPr>
          <w:bCs/>
        </w:rPr>
        <w:t>CAUTION: Formic acid is corrosive; handle with gloves and eye protection.</w:t>
      </w:r>
    </w:p>
    <w:p w14:paraId="16130C31" w14:textId="77777777" w:rsidR="00DC5493" w:rsidRPr="00B15551" w:rsidRDefault="00DC5493" w:rsidP="00B86D54">
      <w:pPr>
        <w:pBdr>
          <w:top w:val="nil"/>
          <w:left w:val="nil"/>
          <w:bottom w:val="nil"/>
          <w:right w:val="nil"/>
          <w:between w:val="nil"/>
        </w:pBdr>
        <w:rPr>
          <w:bCs/>
        </w:rPr>
      </w:pPr>
    </w:p>
    <w:p w14:paraId="2B0881C3" w14:textId="31533CD8" w:rsidR="0036730A" w:rsidRPr="00091340" w:rsidRDefault="0036730A" w:rsidP="00B86D54">
      <w:pPr>
        <w:pStyle w:val="PargrafodaLista"/>
        <w:numPr>
          <w:ilvl w:val="1"/>
          <w:numId w:val="24"/>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091340">
        <w:rPr>
          <w:rFonts w:ascii="Calibri" w:hAnsi="Calibri" w:cs="Calibri"/>
          <w:sz w:val="24"/>
          <w:szCs w:val="24"/>
          <w:highlight w:val="yellow"/>
        </w:rPr>
        <w:lastRenderedPageBreak/>
        <w:t>Thawing and washing primary cells</w:t>
      </w:r>
    </w:p>
    <w:p w14:paraId="6DF7FEF8" w14:textId="77777777" w:rsidR="00F22A4B" w:rsidRPr="00091340"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highlight w:val="yellow"/>
        </w:rPr>
      </w:pPr>
    </w:p>
    <w:p w14:paraId="72F5ADF8" w14:textId="31FF9F06" w:rsidR="00C66165" w:rsidRPr="00091340" w:rsidRDefault="0036730A"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091340">
        <w:rPr>
          <w:rFonts w:ascii="Calibri" w:hAnsi="Calibri" w:cs="Calibri"/>
          <w:sz w:val="24"/>
          <w:szCs w:val="24"/>
          <w:highlight w:val="yellow"/>
        </w:rPr>
        <w:t xml:space="preserve">Thaw cryopreserved cell samples by gently swirling the vial in a </w:t>
      </w:r>
      <w:proofErr w:type="gramStart"/>
      <w:r w:rsidRPr="00091340">
        <w:rPr>
          <w:rFonts w:ascii="Calibri" w:hAnsi="Calibri" w:cs="Calibri"/>
          <w:sz w:val="24"/>
          <w:szCs w:val="24"/>
          <w:highlight w:val="yellow"/>
        </w:rPr>
        <w:t>beaker</w:t>
      </w:r>
      <w:proofErr w:type="gramEnd"/>
      <w:r w:rsidRPr="00091340">
        <w:rPr>
          <w:rFonts w:ascii="Calibri" w:hAnsi="Calibri" w:cs="Calibri"/>
          <w:sz w:val="24"/>
          <w:szCs w:val="24"/>
          <w:highlight w:val="yellow"/>
        </w:rPr>
        <w:t xml:space="preserve"> containing 15 mL of 37 °C distilled water until fully thawed.</w:t>
      </w:r>
    </w:p>
    <w:p w14:paraId="65C64281" w14:textId="77777777" w:rsidR="00964D09" w:rsidRPr="00B15551" w:rsidRDefault="00964D09" w:rsidP="00B86D54">
      <w:pPr>
        <w:pStyle w:val="PargrafodaLista"/>
        <w:pBdr>
          <w:top w:val="nil"/>
          <w:left w:val="nil"/>
          <w:bottom w:val="nil"/>
          <w:right w:val="nil"/>
          <w:between w:val="nil"/>
        </w:pBdr>
        <w:spacing w:after="0" w:line="240" w:lineRule="auto"/>
        <w:ind w:left="0"/>
        <w:rPr>
          <w:rFonts w:ascii="Calibri" w:hAnsi="Calibri" w:cs="Calibri"/>
          <w:sz w:val="24"/>
          <w:szCs w:val="24"/>
        </w:rPr>
      </w:pPr>
    </w:p>
    <w:p w14:paraId="04DB3B9D" w14:textId="7163096B" w:rsidR="00964D09" w:rsidRPr="00B15551" w:rsidRDefault="00964D09" w:rsidP="00B86D54">
      <w:pPr>
        <w:pStyle w:val="PargrafodaLista"/>
        <w:pBdr>
          <w:top w:val="nil"/>
          <w:left w:val="nil"/>
          <w:bottom w:val="nil"/>
          <w:right w:val="nil"/>
          <w:between w:val="nil"/>
        </w:pBdr>
        <w:spacing w:after="0" w:line="240" w:lineRule="auto"/>
        <w:ind w:left="0"/>
        <w:rPr>
          <w:rFonts w:ascii="Calibri" w:hAnsi="Calibri" w:cs="Calibri"/>
          <w:sz w:val="24"/>
          <w:szCs w:val="24"/>
        </w:rPr>
      </w:pPr>
      <w:r w:rsidRPr="00B15551">
        <w:rPr>
          <w:rFonts w:ascii="Calibri" w:hAnsi="Calibri" w:cs="Calibri"/>
          <w:sz w:val="24"/>
          <w:szCs w:val="24"/>
        </w:rPr>
        <w:t xml:space="preserve">NOTE: Information regarding the cell collection and freezing protocols can be found in </w:t>
      </w:r>
      <w:r w:rsidR="00CD3231" w:rsidRPr="00B15551">
        <w:rPr>
          <w:rFonts w:ascii="Calibri" w:hAnsi="Calibri" w:cs="Calibri"/>
          <w:sz w:val="24"/>
          <w:szCs w:val="24"/>
        </w:rPr>
        <w:t>previous publications</w:t>
      </w:r>
      <w:r w:rsidRPr="00B15551">
        <w:rPr>
          <w:rFonts w:ascii="Calibri" w:hAnsi="Calibri" w:cs="Calibri"/>
          <w:sz w:val="24"/>
          <w:szCs w:val="24"/>
          <w:vertAlign w:val="superscript"/>
        </w:rPr>
        <w:t>9</w:t>
      </w:r>
      <w:r w:rsidR="00CD3231" w:rsidRPr="00B15551">
        <w:rPr>
          <w:rFonts w:ascii="Calibri" w:hAnsi="Calibri" w:cs="Calibri"/>
          <w:sz w:val="24"/>
          <w:szCs w:val="24"/>
          <w:vertAlign w:val="superscript"/>
        </w:rPr>
        <w:t>,</w:t>
      </w:r>
      <w:r w:rsidRPr="00B15551">
        <w:rPr>
          <w:rFonts w:ascii="Calibri" w:hAnsi="Calibri" w:cs="Calibri"/>
          <w:sz w:val="24"/>
          <w:szCs w:val="24"/>
          <w:vertAlign w:val="superscript"/>
        </w:rPr>
        <w:t>10</w:t>
      </w:r>
      <w:r w:rsidRPr="00B15551">
        <w:rPr>
          <w:rFonts w:ascii="Calibri" w:hAnsi="Calibri" w:cs="Calibri"/>
          <w:sz w:val="24"/>
          <w:szCs w:val="24"/>
        </w:rPr>
        <w:t>.</w:t>
      </w:r>
    </w:p>
    <w:p w14:paraId="14819AD5" w14:textId="77777777" w:rsidR="00964D09" w:rsidRPr="00B15551" w:rsidRDefault="00964D09" w:rsidP="00B86D54">
      <w:pPr>
        <w:pStyle w:val="PargrafodaLista"/>
        <w:pBdr>
          <w:top w:val="nil"/>
          <w:left w:val="nil"/>
          <w:bottom w:val="nil"/>
          <w:right w:val="nil"/>
          <w:between w:val="nil"/>
        </w:pBdr>
        <w:spacing w:after="0" w:line="240" w:lineRule="auto"/>
        <w:ind w:left="0"/>
        <w:rPr>
          <w:rFonts w:ascii="Calibri" w:hAnsi="Calibri" w:cs="Calibri"/>
          <w:sz w:val="24"/>
          <w:szCs w:val="24"/>
        </w:rPr>
      </w:pPr>
    </w:p>
    <w:p w14:paraId="0D32B816" w14:textId="43065339" w:rsidR="0036730A" w:rsidRPr="00091340" w:rsidRDefault="0036730A"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091340">
        <w:rPr>
          <w:rFonts w:ascii="Calibri" w:hAnsi="Calibri" w:cs="Calibri"/>
          <w:sz w:val="24"/>
          <w:szCs w:val="24"/>
          <w:highlight w:val="yellow"/>
        </w:rPr>
        <w:t>Transfer the contents of the vial to a 50 mL conical tube containing 10–15 mL of sterile 1x PBS</w:t>
      </w:r>
      <w:r w:rsidR="00FC6DB6" w:rsidRPr="00091340">
        <w:rPr>
          <w:rFonts w:ascii="Calibri" w:hAnsi="Calibri" w:cs="Calibri"/>
          <w:sz w:val="24"/>
          <w:szCs w:val="24"/>
          <w:highlight w:val="yellow"/>
        </w:rPr>
        <w:t xml:space="preserve"> with a sterile disposable Pasteur pipette.</w:t>
      </w:r>
      <w:r w:rsidRPr="00091340">
        <w:rPr>
          <w:rFonts w:ascii="Calibri" w:hAnsi="Calibri" w:cs="Calibri"/>
          <w:sz w:val="24"/>
          <w:szCs w:val="24"/>
          <w:highlight w:val="yellow"/>
        </w:rPr>
        <w:t xml:space="preserve"> Centrifuge at 300 × </w:t>
      </w:r>
      <w:r w:rsidRPr="00091340">
        <w:rPr>
          <w:rFonts w:ascii="Calibri" w:hAnsi="Calibri" w:cs="Calibri"/>
          <w:i/>
          <w:iCs/>
          <w:sz w:val="24"/>
          <w:szCs w:val="24"/>
          <w:highlight w:val="yellow"/>
        </w:rPr>
        <w:t xml:space="preserve">g </w:t>
      </w:r>
      <w:r w:rsidRPr="00091340">
        <w:rPr>
          <w:rFonts w:ascii="Calibri" w:hAnsi="Calibri" w:cs="Calibri"/>
          <w:sz w:val="24"/>
          <w:szCs w:val="24"/>
          <w:highlight w:val="yellow"/>
        </w:rPr>
        <w:t>for 5 min at RT.</w:t>
      </w:r>
    </w:p>
    <w:p w14:paraId="69A88516" w14:textId="77777777" w:rsidR="00F22A4B" w:rsidRPr="00091340"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highlight w:val="yellow"/>
        </w:rPr>
      </w:pPr>
    </w:p>
    <w:p w14:paraId="7580A6A2" w14:textId="421D47CF" w:rsidR="00FC6DB6" w:rsidRPr="00091340" w:rsidRDefault="00FC6DB6"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091340">
        <w:rPr>
          <w:rFonts w:ascii="Calibri" w:hAnsi="Calibri" w:cs="Calibri"/>
          <w:sz w:val="24"/>
          <w:szCs w:val="24"/>
          <w:highlight w:val="yellow"/>
        </w:rPr>
        <w:t>D</w:t>
      </w:r>
      <w:r w:rsidR="0036730A" w:rsidRPr="00091340">
        <w:rPr>
          <w:rFonts w:ascii="Calibri" w:hAnsi="Calibri" w:cs="Calibri"/>
          <w:sz w:val="24"/>
          <w:szCs w:val="24"/>
          <w:highlight w:val="yellow"/>
        </w:rPr>
        <w:t xml:space="preserve">iscard the supernatant </w:t>
      </w:r>
      <w:r w:rsidRPr="00091340">
        <w:rPr>
          <w:rFonts w:ascii="Calibri" w:hAnsi="Calibri" w:cs="Calibri"/>
          <w:sz w:val="24"/>
          <w:szCs w:val="24"/>
          <w:highlight w:val="yellow"/>
        </w:rPr>
        <w:t>by inverting the tube.</w:t>
      </w:r>
    </w:p>
    <w:p w14:paraId="6EE95AD2" w14:textId="77777777" w:rsidR="00F22A4B" w:rsidRPr="00091340"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highlight w:val="yellow"/>
        </w:rPr>
      </w:pPr>
    </w:p>
    <w:p w14:paraId="40E90005" w14:textId="79E422D0" w:rsidR="0036730A" w:rsidRPr="00091340" w:rsidRDefault="00FC6DB6"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091340">
        <w:rPr>
          <w:rFonts w:ascii="Calibri" w:hAnsi="Calibri" w:cs="Calibri"/>
          <w:sz w:val="24"/>
          <w:szCs w:val="24"/>
          <w:highlight w:val="yellow"/>
        </w:rPr>
        <w:t>R</w:t>
      </w:r>
      <w:r w:rsidR="0036730A" w:rsidRPr="00091340">
        <w:rPr>
          <w:rFonts w:ascii="Calibri" w:hAnsi="Calibri" w:cs="Calibri"/>
          <w:sz w:val="24"/>
          <w:szCs w:val="24"/>
          <w:highlight w:val="yellow"/>
        </w:rPr>
        <w:t>esuspend the pellet in 10 mL of AIM V medium</w:t>
      </w:r>
      <w:r w:rsidRPr="00091340">
        <w:rPr>
          <w:rFonts w:ascii="Calibri" w:hAnsi="Calibri" w:cs="Calibri"/>
          <w:sz w:val="24"/>
          <w:szCs w:val="24"/>
          <w:highlight w:val="yellow"/>
        </w:rPr>
        <w:t xml:space="preserve"> with a disposable Pasteur pipette</w:t>
      </w:r>
      <w:r w:rsidR="0036730A" w:rsidRPr="00091340">
        <w:rPr>
          <w:rFonts w:ascii="Calibri" w:hAnsi="Calibri" w:cs="Calibri"/>
          <w:sz w:val="24"/>
          <w:szCs w:val="24"/>
          <w:highlight w:val="yellow"/>
        </w:rPr>
        <w:t>. Count viable cells and measure average cell size using an automated counter.</w:t>
      </w:r>
    </w:p>
    <w:p w14:paraId="157281A4" w14:textId="77777777" w:rsidR="00D36857" w:rsidRPr="00B15551" w:rsidRDefault="00D36857" w:rsidP="00B86D54">
      <w:pPr>
        <w:pStyle w:val="PargrafodaLista"/>
        <w:pBdr>
          <w:top w:val="nil"/>
          <w:left w:val="nil"/>
          <w:bottom w:val="nil"/>
          <w:right w:val="nil"/>
          <w:between w:val="nil"/>
        </w:pBdr>
        <w:spacing w:after="0" w:line="240" w:lineRule="auto"/>
        <w:ind w:left="0"/>
        <w:rPr>
          <w:rFonts w:ascii="Calibri" w:hAnsi="Calibri" w:cs="Calibri"/>
          <w:sz w:val="24"/>
          <w:szCs w:val="24"/>
        </w:rPr>
      </w:pPr>
    </w:p>
    <w:p w14:paraId="6C46E6E7" w14:textId="7F6D54F7" w:rsidR="00D36857" w:rsidRPr="00B15551" w:rsidRDefault="00D36857" w:rsidP="00B86D54">
      <w:pPr>
        <w:pStyle w:val="PargrafodaLista"/>
        <w:pBdr>
          <w:top w:val="nil"/>
          <w:left w:val="nil"/>
          <w:bottom w:val="nil"/>
          <w:right w:val="nil"/>
          <w:between w:val="nil"/>
        </w:pBdr>
        <w:spacing w:after="0" w:line="240" w:lineRule="auto"/>
        <w:ind w:left="0"/>
        <w:rPr>
          <w:rFonts w:ascii="Calibri" w:hAnsi="Calibri" w:cs="Calibri"/>
          <w:sz w:val="24"/>
          <w:szCs w:val="24"/>
        </w:rPr>
      </w:pPr>
      <w:r w:rsidRPr="00B15551">
        <w:rPr>
          <w:rFonts w:ascii="Calibri" w:hAnsi="Calibri" w:cs="Calibri"/>
          <w:sz w:val="24"/>
          <w:szCs w:val="24"/>
        </w:rPr>
        <w:t xml:space="preserve">NOTE: </w:t>
      </w:r>
      <w:r w:rsidR="00CD3231" w:rsidRPr="00B15551">
        <w:rPr>
          <w:rFonts w:ascii="Calibri" w:hAnsi="Calibri" w:cs="Calibri"/>
          <w:sz w:val="24"/>
          <w:szCs w:val="24"/>
        </w:rPr>
        <w:t>U</w:t>
      </w:r>
      <w:r w:rsidRPr="00B15551">
        <w:rPr>
          <w:rFonts w:ascii="Calibri" w:hAnsi="Calibri" w:cs="Calibri"/>
          <w:sz w:val="24"/>
          <w:szCs w:val="24"/>
        </w:rPr>
        <w:t>sing cells that exhibit at least 80% viability relative to the total number of cells collected</w:t>
      </w:r>
      <w:r w:rsidR="00CD3231" w:rsidRPr="00B15551">
        <w:rPr>
          <w:rFonts w:ascii="Calibri" w:hAnsi="Calibri" w:cs="Calibri"/>
          <w:sz w:val="24"/>
          <w:szCs w:val="24"/>
        </w:rPr>
        <w:t xml:space="preserve"> is recommended</w:t>
      </w:r>
      <w:r w:rsidRPr="00B15551">
        <w:rPr>
          <w:rFonts w:ascii="Calibri" w:hAnsi="Calibri" w:cs="Calibri"/>
          <w:sz w:val="24"/>
          <w:szCs w:val="24"/>
        </w:rPr>
        <w:t>.</w:t>
      </w:r>
    </w:p>
    <w:p w14:paraId="243A18A2" w14:textId="70D3112D" w:rsidR="00D36857" w:rsidRPr="00B15551" w:rsidRDefault="00D36857" w:rsidP="00B86D54">
      <w:pPr>
        <w:pStyle w:val="PargrafodaLista"/>
        <w:pBdr>
          <w:top w:val="nil"/>
          <w:left w:val="nil"/>
          <w:bottom w:val="nil"/>
          <w:right w:val="nil"/>
          <w:between w:val="nil"/>
        </w:pBdr>
        <w:spacing w:after="0" w:line="240" w:lineRule="auto"/>
        <w:ind w:left="0"/>
        <w:rPr>
          <w:rFonts w:ascii="Calibri" w:hAnsi="Calibri" w:cs="Calibri"/>
          <w:sz w:val="24"/>
          <w:szCs w:val="24"/>
        </w:rPr>
      </w:pPr>
      <w:r w:rsidRPr="00B15551">
        <w:rPr>
          <w:rFonts w:ascii="Calibri" w:hAnsi="Calibri" w:cs="Calibri"/>
          <w:sz w:val="24"/>
          <w:szCs w:val="24"/>
        </w:rPr>
        <w:t xml:space="preserve"> </w:t>
      </w:r>
    </w:p>
    <w:p w14:paraId="0D9ED87A" w14:textId="4759A2D7" w:rsidR="0036730A" w:rsidRPr="00091340" w:rsidRDefault="0036730A"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091340">
        <w:rPr>
          <w:rFonts w:ascii="Calibri" w:hAnsi="Calibri" w:cs="Calibri"/>
          <w:sz w:val="24"/>
          <w:szCs w:val="24"/>
          <w:highlight w:val="yellow"/>
        </w:rPr>
        <w:t xml:space="preserve">Calculate the volume needed to collect 2.5 × 10⁶ viable cells using a simple proportion based on the measured concentration. For example, if the concentration is 5 × 10⁶ cells/mL, the required volume is 0.5 </w:t>
      </w:r>
      <w:proofErr w:type="spellStart"/>
      <w:r w:rsidRPr="00091340">
        <w:rPr>
          <w:rFonts w:ascii="Calibri" w:hAnsi="Calibri" w:cs="Calibri"/>
          <w:sz w:val="24"/>
          <w:szCs w:val="24"/>
          <w:highlight w:val="yellow"/>
        </w:rPr>
        <w:t>mL.</w:t>
      </w:r>
      <w:proofErr w:type="spellEnd"/>
    </w:p>
    <w:p w14:paraId="72FC20EA" w14:textId="77777777" w:rsidR="00F22A4B" w:rsidRPr="00B15551"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rPr>
      </w:pPr>
    </w:p>
    <w:p w14:paraId="2BEC0215" w14:textId="13286D03" w:rsidR="0036730A" w:rsidRPr="00B15551" w:rsidRDefault="0036730A" w:rsidP="00B86D54">
      <w:pPr>
        <w:pBdr>
          <w:top w:val="nil"/>
          <w:left w:val="nil"/>
          <w:bottom w:val="nil"/>
          <w:right w:val="nil"/>
          <w:between w:val="nil"/>
        </w:pBdr>
      </w:pPr>
      <w:r w:rsidRPr="00B15551">
        <w:t>NOTE: Perform each treatment in triplicate for data reproducibility. Save the medium size of the cells provided in the automated cell counter; use it to calculate the volume of the cells.</w:t>
      </w:r>
    </w:p>
    <w:p w14:paraId="2C01744F" w14:textId="77777777" w:rsidR="00F435B8" w:rsidRPr="00B15551" w:rsidRDefault="00F435B8" w:rsidP="00B86D54">
      <w:pPr>
        <w:pBdr>
          <w:top w:val="nil"/>
          <w:left w:val="nil"/>
          <w:bottom w:val="nil"/>
          <w:right w:val="nil"/>
          <w:between w:val="nil"/>
        </w:pBdr>
      </w:pPr>
    </w:p>
    <w:p w14:paraId="51BD98FE" w14:textId="23968008" w:rsidR="0036730A" w:rsidRPr="00091340" w:rsidRDefault="0036730A" w:rsidP="00B86D54">
      <w:pPr>
        <w:pStyle w:val="PargrafodaLista"/>
        <w:numPr>
          <w:ilvl w:val="1"/>
          <w:numId w:val="24"/>
        </w:numPr>
        <w:pBdr>
          <w:top w:val="nil"/>
          <w:left w:val="nil"/>
          <w:bottom w:val="nil"/>
          <w:right w:val="nil"/>
          <w:between w:val="nil"/>
        </w:pBdr>
        <w:spacing w:after="0" w:line="240" w:lineRule="auto"/>
        <w:ind w:left="0" w:firstLine="0"/>
        <w:rPr>
          <w:rFonts w:ascii="Calibri" w:hAnsi="Calibri" w:cs="Calibri"/>
          <w:sz w:val="24"/>
          <w:szCs w:val="24"/>
          <w:highlight w:val="yellow"/>
          <w:lang w:val="pt-BR"/>
        </w:rPr>
      </w:pPr>
      <w:proofErr w:type="spellStart"/>
      <w:r w:rsidRPr="00091340">
        <w:rPr>
          <w:rFonts w:ascii="Calibri" w:hAnsi="Calibri" w:cs="Calibri"/>
          <w:sz w:val="24"/>
          <w:szCs w:val="24"/>
          <w:highlight w:val="yellow"/>
          <w:lang w:val="pt-BR"/>
        </w:rPr>
        <w:t>Drug</w:t>
      </w:r>
      <w:proofErr w:type="spellEnd"/>
      <w:r w:rsidRPr="00091340">
        <w:rPr>
          <w:rFonts w:ascii="Calibri" w:hAnsi="Calibri" w:cs="Calibri"/>
          <w:sz w:val="24"/>
          <w:szCs w:val="24"/>
          <w:highlight w:val="yellow"/>
          <w:lang w:val="pt-BR"/>
        </w:rPr>
        <w:t xml:space="preserve"> </w:t>
      </w:r>
      <w:proofErr w:type="spellStart"/>
      <w:r w:rsidRPr="00091340">
        <w:rPr>
          <w:rFonts w:ascii="Calibri" w:hAnsi="Calibri" w:cs="Calibri"/>
          <w:sz w:val="24"/>
          <w:szCs w:val="24"/>
          <w:highlight w:val="yellow"/>
          <w:lang w:val="pt-BR"/>
        </w:rPr>
        <w:t>treatment</w:t>
      </w:r>
      <w:proofErr w:type="spellEnd"/>
      <w:r w:rsidRPr="00091340">
        <w:rPr>
          <w:rFonts w:ascii="Calibri" w:hAnsi="Calibri" w:cs="Calibri"/>
          <w:sz w:val="24"/>
          <w:szCs w:val="24"/>
          <w:highlight w:val="yellow"/>
          <w:lang w:val="pt-BR"/>
        </w:rPr>
        <w:t xml:space="preserve"> setup</w:t>
      </w:r>
    </w:p>
    <w:p w14:paraId="14F1E51D" w14:textId="77777777" w:rsidR="00F22A4B" w:rsidRPr="00091340"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highlight w:val="yellow"/>
          <w:lang w:val="pt-BR"/>
        </w:rPr>
      </w:pPr>
    </w:p>
    <w:p w14:paraId="4996093F" w14:textId="427116ED" w:rsidR="0036730A" w:rsidRPr="00091340" w:rsidRDefault="0036730A"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highlight w:val="yellow"/>
          <w:lang w:val="pt-BR"/>
        </w:rPr>
      </w:pPr>
      <w:proofErr w:type="gramStart"/>
      <w:r w:rsidRPr="00091340">
        <w:rPr>
          <w:rFonts w:ascii="Calibri" w:hAnsi="Calibri" w:cs="Calibri"/>
          <w:sz w:val="24"/>
          <w:szCs w:val="24"/>
          <w:highlight w:val="yellow"/>
        </w:rPr>
        <w:t>Calculate</w:t>
      </w:r>
      <w:proofErr w:type="gramEnd"/>
      <w:r w:rsidRPr="00091340">
        <w:rPr>
          <w:rFonts w:ascii="Calibri" w:hAnsi="Calibri" w:cs="Calibri"/>
          <w:sz w:val="24"/>
          <w:szCs w:val="24"/>
          <w:highlight w:val="yellow"/>
        </w:rPr>
        <w:t xml:space="preserve"> the volume of VCR working solution </w:t>
      </w:r>
      <w:proofErr w:type="gramStart"/>
      <w:r w:rsidRPr="00091340">
        <w:rPr>
          <w:rFonts w:ascii="Calibri" w:hAnsi="Calibri" w:cs="Calibri"/>
          <w:sz w:val="24"/>
          <w:szCs w:val="24"/>
          <w:highlight w:val="yellow"/>
        </w:rPr>
        <w:t>required to reach</w:t>
      </w:r>
      <w:proofErr w:type="gramEnd"/>
      <w:r w:rsidRPr="00091340">
        <w:rPr>
          <w:rFonts w:ascii="Calibri" w:hAnsi="Calibri" w:cs="Calibri"/>
          <w:sz w:val="24"/>
          <w:szCs w:val="24"/>
          <w:highlight w:val="yellow"/>
        </w:rPr>
        <w:t xml:space="preserve"> a final concentration of 1 µM in a total volume of 2.0 </w:t>
      </w:r>
      <w:proofErr w:type="spellStart"/>
      <w:r w:rsidRPr="00091340">
        <w:rPr>
          <w:rFonts w:ascii="Calibri" w:hAnsi="Calibri" w:cs="Calibri"/>
          <w:sz w:val="24"/>
          <w:szCs w:val="24"/>
          <w:highlight w:val="yellow"/>
        </w:rPr>
        <w:t>mL.</w:t>
      </w:r>
      <w:proofErr w:type="spellEnd"/>
      <w:r w:rsidRPr="00091340">
        <w:rPr>
          <w:rFonts w:ascii="Calibri" w:hAnsi="Calibri" w:cs="Calibri"/>
          <w:sz w:val="24"/>
          <w:szCs w:val="24"/>
          <w:highlight w:val="yellow"/>
        </w:rPr>
        <w:t xml:space="preserve"> Vortex the stock solution before pipetting.</w:t>
      </w:r>
    </w:p>
    <w:p w14:paraId="6700EB15" w14:textId="77777777" w:rsidR="00F22A4B" w:rsidRPr="00091340"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highlight w:val="yellow"/>
          <w:lang w:val="pt-BR"/>
        </w:rPr>
      </w:pPr>
    </w:p>
    <w:p w14:paraId="5F387B44" w14:textId="163D8902" w:rsidR="0036730A" w:rsidRPr="00091340" w:rsidRDefault="0036730A"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091340">
        <w:rPr>
          <w:rFonts w:ascii="Calibri" w:hAnsi="Calibri" w:cs="Calibri"/>
          <w:sz w:val="24"/>
          <w:szCs w:val="24"/>
          <w:highlight w:val="yellow"/>
        </w:rPr>
        <w:t>Add AIM V medium, then 2.5 × 10⁶ cells, and finally the VCR solution to a 2.0 mL microtube. Vortex briefly and spin down lightly (5 s) to collect any liquid from the tube cap.</w:t>
      </w:r>
    </w:p>
    <w:p w14:paraId="4B665734" w14:textId="77777777" w:rsidR="00F22A4B" w:rsidRPr="00091340"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highlight w:val="yellow"/>
        </w:rPr>
      </w:pPr>
    </w:p>
    <w:p w14:paraId="03002EF9" w14:textId="62B158FB" w:rsidR="0036730A" w:rsidRPr="00091340" w:rsidRDefault="0036730A"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091340">
        <w:rPr>
          <w:rFonts w:ascii="Calibri" w:hAnsi="Calibri" w:cs="Calibri"/>
          <w:sz w:val="24"/>
          <w:szCs w:val="24"/>
          <w:highlight w:val="yellow"/>
        </w:rPr>
        <w:t>Incubate the open tubes at 37 °C, 5% CO₂ for 3 h.</w:t>
      </w:r>
    </w:p>
    <w:p w14:paraId="71044B98" w14:textId="77777777" w:rsidR="00F22A4B" w:rsidRPr="00091340"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highlight w:val="yellow"/>
        </w:rPr>
      </w:pPr>
    </w:p>
    <w:p w14:paraId="7594EF4C" w14:textId="77777777" w:rsidR="00C10ABB" w:rsidRPr="00091340" w:rsidRDefault="0036730A"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091340">
        <w:rPr>
          <w:rFonts w:ascii="Calibri" w:hAnsi="Calibri" w:cs="Calibri"/>
          <w:sz w:val="24"/>
          <w:szCs w:val="24"/>
          <w:highlight w:val="yellow"/>
        </w:rPr>
        <w:t xml:space="preserve">After incubation, </w:t>
      </w:r>
      <w:r w:rsidR="00C10ABB" w:rsidRPr="00091340">
        <w:rPr>
          <w:rFonts w:ascii="Calibri" w:hAnsi="Calibri" w:cs="Calibri"/>
          <w:sz w:val="24"/>
          <w:szCs w:val="24"/>
          <w:highlight w:val="yellow"/>
        </w:rPr>
        <w:t xml:space="preserve">close the lids and </w:t>
      </w:r>
      <w:r w:rsidRPr="00091340">
        <w:rPr>
          <w:rFonts w:ascii="Calibri" w:hAnsi="Calibri" w:cs="Calibri"/>
          <w:sz w:val="24"/>
          <w:szCs w:val="24"/>
          <w:highlight w:val="yellow"/>
        </w:rPr>
        <w:t xml:space="preserve">centrifuge </w:t>
      </w:r>
      <w:r w:rsidR="007922EB" w:rsidRPr="00091340">
        <w:rPr>
          <w:rFonts w:ascii="Calibri" w:hAnsi="Calibri" w:cs="Calibri"/>
          <w:sz w:val="24"/>
          <w:szCs w:val="24"/>
          <w:highlight w:val="yellow"/>
        </w:rPr>
        <w:t>the samples at</w:t>
      </w:r>
      <w:r w:rsidRPr="00091340">
        <w:rPr>
          <w:rFonts w:ascii="Calibri" w:hAnsi="Calibri" w:cs="Calibri"/>
          <w:sz w:val="24"/>
          <w:szCs w:val="24"/>
          <w:highlight w:val="yellow"/>
        </w:rPr>
        <w:t xml:space="preserve"> 300 × </w:t>
      </w:r>
      <w:r w:rsidRPr="00091340">
        <w:rPr>
          <w:rFonts w:ascii="Calibri" w:hAnsi="Calibri" w:cs="Calibri"/>
          <w:i/>
          <w:iCs/>
          <w:sz w:val="24"/>
          <w:szCs w:val="24"/>
          <w:highlight w:val="yellow"/>
        </w:rPr>
        <w:t>g</w:t>
      </w:r>
      <w:r w:rsidRPr="00091340">
        <w:rPr>
          <w:rFonts w:ascii="Calibri" w:hAnsi="Calibri" w:cs="Calibri"/>
          <w:sz w:val="24"/>
          <w:szCs w:val="24"/>
          <w:highlight w:val="yellow"/>
        </w:rPr>
        <w:t xml:space="preserve"> for 5 min at RT. </w:t>
      </w:r>
    </w:p>
    <w:p w14:paraId="2D5FBBBE" w14:textId="77777777" w:rsidR="00F22A4B" w:rsidRPr="00091340"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highlight w:val="yellow"/>
        </w:rPr>
      </w:pPr>
    </w:p>
    <w:p w14:paraId="22418677" w14:textId="206174C1" w:rsidR="0036730A" w:rsidRPr="00091340" w:rsidRDefault="007922EB"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091340">
        <w:rPr>
          <w:rFonts w:ascii="Calibri" w:hAnsi="Calibri" w:cs="Calibri"/>
          <w:sz w:val="24"/>
          <w:szCs w:val="24"/>
          <w:highlight w:val="yellow"/>
        </w:rPr>
        <w:t>Carefully d</w:t>
      </w:r>
      <w:r w:rsidR="0036730A" w:rsidRPr="00091340">
        <w:rPr>
          <w:rFonts w:ascii="Calibri" w:hAnsi="Calibri" w:cs="Calibri"/>
          <w:sz w:val="24"/>
          <w:szCs w:val="24"/>
          <w:highlight w:val="yellow"/>
        </w:rPr>
        <w:t xml:space="preserve">iscard the supernatant </w:t>
      </w:r>
      <w:r w:rsidRPr="00091340">
        <w:rPr>
          <w:rFonts w:ascii="Calibri" w:hAnsi="Calibri" w:cs="Calibri"/>
          <w:sz w:val="24"/>
          <w:szCs w:val="24"/>
          <w:highlight w:val="yellow"/>
        </w:rPr>
        <w:t>using a pipette, then add</w:t>
      </w:r>
      <w:r w:rsidR="0036730A" w:rsidRPr="00091340">
        <w:rPr>
          <w:rFonts w:ascii="Calibri" w:hAnsi="Calibri" w:cs="Calibri"/>
          <w:sz w:val="24"/>
          <w:szCs w:val="24"/>
          <w:highlight w:val="yellow"/>
        </w:rPr>
        <w:t xml:space="preserve"> 1 mL</w:t>
      </w:r>
      <w:r w:rsidRPr="00091340">
        <w:rPr>
          <w:rFonts w:ascii="Calibri" w:hAnsi="Calibri" w:cs="Calibri"/>
          <w:sz w:val="24"/>
          <w:szCs w:val="24"/>
          <w:highlight w:val="yellow"/>
        </w:rPr>
        <w:t xml:space="preserve"> of</w:t>
      </w:r>
      <w:r w:rsidR="0036730A" w:rsidRPr="00091340">
        <w:rPr>
          <w:rFonts w:ascii="Calibri" w:hAnsi="Calibri" w:cs="Calibri"/>
          <w:sz w:val="24"/>
          <w:szCs w:val="24"/>
          <w:highlight w:val="yellow"/>
        </w:rPr>
        <w:t xml:space="preserve"> PBS</w:t>
      </w:r>
      <w:r w:rsidRPr="00091340">
        <w:rPr>
          <w:rFonts w:ascii="Calibri" w:hAnsi="Calibri" w:cs="Calibri"/>
          <w:sz w:val="24"/>
          <w:szCs w:val="24"/>
          <w:highlight w:val="yellow"/>
        </w:rPr>
        <w:t xml:space="preserve"> </w:t>
      </w:r>
      <w:r w:rsidR="006B1A90" w:rsidRPr="00091340">
        <w:rPr>
          <w:rFonts w:ascii="Calibri" w:hAnsi="Calibri" w:cs="Calibri"/>
          <w:sz w:val="24"/>
          <w:szCs w:val="24"/>
          <w:highlight w:val="yellow"/>
        </w:rPr>
        <w:t xml:space="preserve">at RT </w:t>
      </w:r>
      <w:r w:rsidR="00CD3231" w:rsidRPr="00091340">
        <w:rPr>
          <w:rFonts w:ascii="Calibri" w:hAnsi="Calibri" w:cs="Calibri"/>
          <w:sz w:val="24"/>
          <w:szCs w:val="24"/>
          <w:highlight w:val="yellow"/>
        </w:rPr>
        <w:t xml:space="preserve">to </w:t>
      </w:r>
      <w:r w:rsidRPr="00091340">
        <w:rPr>
          <w:rFonts w:ascii="Calibri" w:hAnsi="Calibri" w:cs="Calibri"/>
          <w:sz w:val="24"/>
          <w:szCs w:val="24"/>
          <w:highlight w:val="yellow"/>
        </w:rPr>
        <w:t>the tube</w:t>
      </w:r>
      <w:r w:rsidR="006B1A90" w:rsidRPr="00091340">
        <w:rPr>
          <w:rFonts w:ascii="Calibri" w:hAnsi="Calibri" w:cs="Calibri"/>
          <w:sz w:val="24"/>
          <w:szCs w:val="24"/>
          <w:highlight w:val="yellow"/>
        </w:rPr>
        <w:t>.</w:t>
      </w:r>
    </w:p>
    <w:p w14:paraId="71D7E49E" w14:textId="77777777" w:rsidR="00F22A4B" w:rsidRPr="00091340"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highlight w:val="yellow"/>
        </w:rPr>
      </w:pPr>
    </w:p>
    <w:p w14:paraId="4B16C009" w14:textId="58F05071" w:rsidR="007922EB" w:rsidRPr="00091340" w:rsidRDefault="007922EB"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091340">
        <w:rPr>
          <w:rFonts w:ascii="Calibri" w:hAnsi="Calibri" w:cs="Calibri"/>
          <w:sz w:val="24"/>
          <w:szCs w:val="24"/>
          <w:highlight w:val="yellow"/>
        </w:rPr>
        <w:t>Repeat th</w:t>
      </w:r>
      <w:r w:rsidR="00C10ABB" w:rsidRPr="00091340">
        <w:rPr>
          <w:rFonts w:ascii="Calibri" w:hAnsi="Calibri" w:cs="Calibri"/>
          <w:sz w:val="24"/>
          <w:szCs w:val="24"/>
          <w:highlight w:val="yellow"/>
        </w:rPr>
        <w:t>e</w:t>
      </w:r>
      <w:r w:rsidRPr="00091340">
        <w:rPr>
          <w:rFonts w:ascii="Calibri" w:hAnsi="Calibri" w:cs="Calibri"/>
          <w:sz w:val="24"/>
          <w:szCs w:val="24"/>
          <w:highlight w:val="yellow"/>
        </w:rPr>
        <w:t xml:space="preserve"> centrifugation</w:t>
      </w:r>
      <w:r w:rsidR="00C10ABB" w:rsidRPr="00091340">
        <w:rPr>
          <w:rFonts w:ascii="Calibri" w:hAnsi="Calibri" w:cs="Calibri"/>
          <w:sz w:val="24"/>
          <w:szCs w:val="24"/>
          <w:highlight w:val="yellow"/>
        </w:rPr>
        <w:t xml:space="preserve"> at 300 × </w:t>
      </w:r>
      <w:r w:rsidR="00C10ABB" w:rsidRPr="00091340">
        <w:rPr>
          <w:rFonts w:ascii="Calibri" w:hAnsi="Calibri" w:cs="Calibri"/>
          <w:i/>
          <w:iCs/>
          <w:sz w:val="24"/>
          <w:szCs w:val="24"/>
          <w:highlight w:val="yellow"/>
        </w:rPr>
        <w:t>g</w:t>
      </w:r>
      <w:r w:rsidR="00C10ABB" w:rsidRPr="00091340">
        <w:rPr>
          <w:rFonts w:ascii="Calibri" w:hAnsi="Calibri" w:cs="Calibri"/>
          <w:sz w:val="24"/>
          <w:szCs w:val="24"/>
          <w:highlight w:val="yellow"/>
        </w:rPr>
        <w:t xml:space="preserve"> for 5 min at RT</w:t>
      </w:r>
      <w:r w:rsidRPr="00091340">
        <w:rPr>
          <w:rFonts w:ascii="Calibri" w:hAnsi="Calibri" w:cs="Calibri"/>
          <w:sz w:val="24"/>
          <w:szCs w:val="24"/>
          <w:highlight w:val="yellow"/>
        </w:rPr>
        <w:t>, supernatant removal, and PBS wash two additional times, for a total of three washes.</w:t>
      </w:r>
    </w:p>
    <w:p w14:paraId="08D61D00" w14:textId="77777777" w:rsidR="00F22A4B" w:rsidRPr="00B15551"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rPr>
      </w:pPr>
    </w:p>
    <w:p w14:paraId="1DAEBD8E" w14:textId="2C241432" w:rsidR="007922EB" w:rsidRPr="00091340" w:rsidRDefault="007922EB"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091340">
        <w:rPr>
          <w:rFonts w:ascii="Calibri" w:hAnsi="Calibri" w:cs="Calibri"/>
          <w:sz w:val="24"/>
          <w:szCs w:val="24"/>
          <w:highlight w:val="yellow"/>
        </w:rPr>
        <w:lastRenderedPageBreak/>
        <w:t>Carefully r</w:t>
      </w:r>
      <w:r w:rsidR="0036730A" w:rsidRPr="00091340">
        <w:rPr>
          <w:rFonts w:ascii="Calibri" w:hAnsi="Calibri" w:cs="Calibri"/>
          <w:sz w:val="24"/>
          <w:szCs w:val="24"/>
          <w:highlight w:val="yellow"/>
        </w:rPr>
        <w:t>emove all supernatant</w:t>
      </w:r>
      <w:r w:rsidRPr="00091340">
        <w:rPr>
          <w:rFonts w:ascii="Calibri" w:hAnsi="Calibri" w:cs="Calibri"/>
          <w:sz w:val="24"/>
          <w:szCs w:val="24"/>
          <w:highlight w:val="yellow"/>
        </w:rPr>
        <w:t xml:space="preserve"> using a pipette</w:t>
      </w:r>
      <w:r w:rsidR="0036730A" w:rsidRPr="00091340">
        <w:rPr>
          <w:rFonts w:ascii="Calibri" w:hAnsi="Calibri" w:cs="Calibri"/>
          <w:sz w:val="24"/>
          <w:szCs w:val="24"/>
          <w:highlight w:val="yellow"/>
        </w:rPr>
        <w:t>, resuspend the pellet in 100 µL of PBS, and vorte</w:t>
      </w:r>
      <w:r w:rsidRPr="00091340">
        <w:rPr>
          <w:rFonts w:ascii="Calibri" w:hAnsi="Calibri" w:cs="Calibri"/>
          <w:sz w:val="24"/>
          <w:szCs w:val="24"/>
          <w:highlight w:val="yellow"/>
        </w:rPr>
        <w:t>x until the pellet is fully resuspended.</w:t>
      </w:r>
      <w:r w:rsidR="0036730A" w:rsidRPr="00091340">
        <w:rPr>
          <w:rFonts w:ascii="Calibri" w:hAnsi="Calibri" w:cs="Calibri"/>
          <w:sz w:val="24"/>
          <w:szCs w:val="24"/>
          <w:highlight w:val="yellow"/>
        </w:rPr>
        <w:t xml:space="preserve"> </w:t>
      </w:r>
    </w:p>
    <w:p w14:paraId="7AA72022" w14:textId="77777777" w:rsidR="00F22A4B" w:rsidRPr="00091340"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highlight w:val="yellow"/>
        </w:rPr>
      </w:pPr>
    </w:p>
    <w:p w14:paraId="2A272D25" w14:textId="55C8CEAD" w:rsidR="007922EB" w:rsidRPr="00091340" w:rsidRDefault="0036730A"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091340">
        <w:rPr>
          <w:rFonts w:ascii="Calibri" w:hAnsi="Calibri" w:cs="Calibri"/>
          <w:sz w:val="24"/>
          <w:szCs w:val="24"/>
          <w:highlight w:val="yellow"/>
        </w:rPr>
        <w:t>Add 400 µL of cold methanol + 0.1 µM vinblastine</w:t>
      </w:r>
      <w:r w:rsidR="007922EB" w:rsidRPr="00091340">
        <w:rPr>
          <w:rFonts w:ascii="Calibri" w:hAnsi="Calibri" w:cs="Calibri"/>
          <w:sz w:val="24"/>
          <w:szCs w:val="24"/>
          <w:highlight w:val="yellow"/>
        </w:rPr>
        <w:t xml:space="preserve"> (-20 °C) directly </w:t>
      </w:r>
      <w:r w:rsidR="00CD3231" w:rsidRPr="00091340">
        <w:rPr>
          <w:rFonts w:ascii="Calibri" w:hAnsi="Calibri" w:cs="Calibri"/>
          <w:sz w:val="24"/>
          <w:szCs w:val="24"/>
          <w:highlight w:val="yellow"/>
        </w:rPr>
        <w:t xml:space="preserve">to </w:t>
      </w:r>
      <w:r w:rsidR="007922EB" w:rsidRPr="00091340">
        <w:rPr>
          <w:rFonts w:ascii="Calibri" w:hAnsi="Calibri" w:cs="Calibri"/>
          <w:sz w:val="24"/>
          <w:szCs w:val="24"/>
          <w:highlight w:val="yellow"/>
        </w:rPr>
        <w:t>the sample, avoiding contact with the tube walls.</w:t>
      </w:r>
    </w:p>
    <w:p w14:paraId="72306692" w14:textId="77777777" w:rsidR="00F22A4B" w:rsidRPr="00091340"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highlight w:val="yellow"/>
        </w:rPr>
      </w:pPr>
    </w:p>
    <w:p w14:paraId="784D8AE1" w14:textId="73A875F8" w:rsidR="0036730A" w:rsidRPr="00091340" w:rsidRDefault="0036730A"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091340">
        <w:rPr>
          <w:rFonts w:ascii="Calibri" w:hAnsi="Calibri" w:cs="Calibri"/>
          <w:sz w:val="24"/>
          <w:szCs w:val="24"/>
          <w:highlight w:val="yellow"/>
        </w:rPr>
        <w:t>Store the samples overnight at -80 °C.</w:t>
      </w:r>
    </w:p>
    <w:p w14:paraId="17C4B815" w14:textId="77777777" w:rsidR="00F928A6" w:rsidRPr="00B15551" w:rsidRDefault="00F928A6" w:rsidP="00B86D54">
      <w:pPr>
        <w:pStyle w:val="PargrafodaLista"/>
        <w:pBdr>
          <w:top w:val="nil"/>
          <w:left w:val="nil"/>
          <w:bottom w:val="nil"/>
          <w:right w:val="nil"/>
          <w:between w:val="nil"/>
        </w:pBdr>
        <w:spacing w:after="0" w:line="240" w:lineRule="auto"/>
        <w:ind w:left="0"/>
        <w:rPr>
          <w:rFonts w:ascii="Calibri" w:hAnsi="Calibri" w:cs="Calibri"/>
          <w:sz w:val="24"/>
          <w:szCs w:val="24"/>
        </w:rPr>
      </w:pPr>
    </w:p>
    <w:p w14:paraId="78ED5C45" w14:textId="2B8E93B1" w:rsidR="00F928A6" w:rsidRPr="00B15551" w:rsidRDefault="00F928A6" w:rsidP="00B86D54">
      <w:pPr>
        <w:pStyle w:val="PargrafodaLista"/>
        <w:pBdr>
          <w:top w:val="nil"/>
          <w:left w:val="nil"/>
          <w:bottom w:val="nil"/>
          <w:right w:val="nil"/>
          <w:between w:val="nil"/>
        </w:pBdr>
        <w:spacing w:after="0" w:line="240" w:lineRule="auto"/>
        <w:ind w:left="0"/>
        <w:rPr>
          <w:rFonts w:ascii="Calibri" w:hAnsi="Calibri" w:cs="Calibri"/>
          <w:sz w:val="24"/>
          <w:szCs w:val="24"/>
        </w:rPr>
      </w:pPr>
      <w:r w:rsidRPr="00B15551">
        <w:rPr>
          <w:rFonts w:ascii="Calibri" w:hAnsi="Calibri" w:cs="Calibri"/>
          <w:sz w:val="24"/>
          <w:szCs w:val="24"/>
        </w:rPr>
        <w:t>NOTE: Samples can be stored at -80 °C for a few weeks (safe stop).</w:t>
      </w:r>
    </w:p>
    <w:p w14:paraId="596A01A1" w14:textId="77777777" w:rsidR="00F928A6" w:rsidRPr="00B15551" w:rsidRDefault="00F928A6" w:rsidP="00B86D54">
      <w:pPr>
        <w:pStyle w:val="PargrafodaLista"/>
        <w:pBdr>
          <w:top w:val="nil"/>
          <w:left w:val="nil"/>
          <w:bottom w:val="nil"/>
          <w:right w:val="nil"/>
          <w:between w:val="nil"/>
        </w:pBdr>
        <w:spacing w:after="0" w:line="240" w:lineRule="auto"/>
        <w:ind w:left="0"/>
        <w:rPr>
          <w:rFonts w:ascii="Calibri" w:hAnsi="Calibri" w:cs="Calibri"/>
          <w:sz w:val="24"/>
          <w:szCs w:val="24"/>
        </w:rPr>
      </w:pPr>
    </w:p>
    <w:p w14:paraId="6AC6CFC6" w14:textId="5E24901D" w:rsidR="0036730A" w:rsidRPr="00091340" w:rsidRDefault="0036730A" w:rsidP="00B86D54">
      <w:pPr>
        <w:pStyle w:val="NormalWeb"/>
        <w:numPr>
          <w:ilvl w:val="0"/>
          <w:numId w:val="24"/>
        </w:numPr>
        <w:spacing w:before="0" w:beforeAutospacing="0" w:after="0" w:afterAutospacing="0"/>
        <w:ind w:left="0" w:firstLine="0"/>
        <w:textAlignment w:val="baseline"/>
        <w:rPr>
          <w:rFonts w:ascii="Calibri" w:hAnsi="Calibri" w:cs="Calibri"/>
          <w:b/>
          <w:bCs/>
          <w:highlight w:val="yellow"/>
          <w:lang w:val="en-US"/>
        </w:rPr>
      </w:pPr>
      <w:r w:rsidRPr="00091340">
        <w:rPr>
          <w:rFonts w:ascii="Calibri" w:hAnsi="Calibri" w:cs="Calibri"/>
          <w:b/>
          <w:bCs/>
          <w:highlight w:val="yellow"/>
          <w:lang w:val="en-US"/>
        </w:rPr>
        <w:t>Sample processing for LC-MS/MS</w:t>
      </w:r>
      <w:r w:rsidR="00F435B8" w:rsidRPr="00091340">
        <w:rPr>
          <w:rFonts w:ascii="Calibri" w:hAnsi="Calibri" w:cs="Calibri"/>
          <w:b/>
          <w:bCs/>
          <w:highlight w:val="yellow"/>
          <w:lang w:val="en-US"/>
        </w:rPr>
        <w:t xml:space="preserve"> (Day 2)</w:t>
      </w:r>
    </w:p>
    <w:p w14:paraId="48C084CC" w14:textId="77777777" w:rsidR="00F22A4B" w:rsidRPr="00091340" w:rsidRDefault="00F22A4B" w:rsidP="00B86D54">
      <w:pPr>
        <w:pStyle w:val="NormalWeb"/>
        <w:spacing w:before="0" w:beforeAutospacing="0" w:after="0" w:afterAutospacing="0"/>
        <w:textAlignment w:val="baseline"/>
        <w:rPr>
          <w:rFonts w:ascii="Calibri" w:hAnsi="Calibri" w:cs="Calibri"/>
          <w:b/>
          <w:bCs/>
          <w:highlight w:val="yellow"/>
          <w:lang w:val="en-US"/>
        </w:rPr>
      </w:pPr>
    </w:p>
    <w:p w14:paraId="52FF4FA4" w14:textId="0B7D06D4" w:rsidR="00C26D6F" w:rsidRPr="00091340" w:rsidRDefault="00C26D6F" w:rsidP="00B86D54">
      <w:pPr>
        <w:pStyle w:val="NormalWeb"/>
        <w:numPr>
          <w:ilvl w:val="1"/>
          <w:numId w:val="24"/>
        </w:numPr>
        <w:spacing w:before="0" w:beforeAutospacing="0" w:after="0" w:afterAutospacing="0"/>
        <w:ind w:left="0" w:firstLine="0"/>
        <w:textAlignment w:val="baseline"/>
        <w:rPr>
          <w:rFonts w:ascii="Calibri" w:hAnsi="Calibri" w:cs="Calibri"/>
          <w:highlight w:val="yellow"/>
          <w:lang w:val="en-US"/>
        </w:rPr>
      </w:pPr>
      <w:r w:rsidRPr="00091340">
        <w:rPr>
          <w:rFonts w:ascii="Calibri" w:hAnsi="Calibri" w:cs="Calibri"/>
          <w:highlight w:val="yellow"/>
          <w:lang w:val="en-US"/>
        </w:rPr>
        <w:t>Sample extraction</w:t>
      </w:r>
    </w:p>
    <w:p w14:paraId="6FD20071" w14:textId="77777777" w:rsidR="00F22A4B" w:rsidRPr="00091340" w:rsidRDefault="00F22A4B" w:rsidP="00B86D54">
      <w:pPr>
        <w:pStyle w:val="NormalWeb"/>
        <w:spacing w:before="0" w:beforeAutospacing="0" w:after="0" w:afterAutospacing="0"/>
        <w:textAlignment w:val="baseline"/>
        <w:rPr>
          <w:rFonts w:ascii="Calibri" w:hAnsi="Calibri" w:cs="Calibri"/>
          <w:highlight w:val="yellow"/>
          <w:lang w:val="en-US"/>
        </w:rPr>
      </w:pPr>
    </w:p>
    <w:p w14:paraId="477E9409" w14:textId="50C5F802" w:rsidR="00C26D6F" w:rsidRPr="00091340" w:rsidRDefault="00C26D6F" w:rsidP="00B86D54">
      <w:pPr>
        <w:pStyle w:val="NormalWeb"/>
        <w:numPr>
          <w:ilvl w:val="2"/>
          <w:numId w:val="24"/>
        </w:numPr>
        <w:spacing w:before="0" w:beforeAutospacing="0" w:after="0" w:afterAutospacing="0"/>
        <w:ind w:left="0" w:firstLine="0"/>
        <w:textAlignment w:val="baseline"/>
        <w:rPr>
          <w:rFonts w:ascii="Calibri" w:hAnsi="Calibri" w:cs="Calibri"/>
          <w:highlight w:val="yellow"/>
          <w:lang w:val="en-US"/>
        </w:rPr>
      </w:pPr>
      <w:r w:rsidRPr="00091340">
        <w:rPr>
          <w:rFonts w:ascii="Calibri" w:hAnsi="Calibri" w:cs="Calibri"/>
          <w:highlight w:val="yellow"/>
          <w:lang w:val="en-US"/>
        </w:rPr>
        <w:t>Pre-cool the centrifuge to 4 °C before removing samples from the -80 °C freezer.</w:t>
      </w:r>
    </w:p>
    <w:p w14:paraId="5391F101" w14:textId="77777777" w:rsidR="00F22A4B" w:rsidRPr="00091340" w:rsidRDefault="00F22A4B" w:rsidP="00B86D54">
      <w:pPr>
        <w:pStyle w:val="NormalWeb"/>
        <w:spacing w:before="0" w:beforeAutospacing="0" w:after="0" w:afterAutospacing="0"/>
        <w:textAlignment w:val="baseline"/>
        <w:rPr>
          <w:rFonts w:ascii="Calibri" w:hAnsi="Calibri" w:cs="Calibri"/>
          <w:highlight w:val="yellow"/>
          <w:lang w:val="en-US"/>
        </w:rPr>
      </w:pPr>
    </w:p>
    <w:p w14:paraId="2D2FD06E" w14:textId="77777777" w:rsidR="00F928A6" w:rsidRPr="00091340" w:rsidRDefault="00F928A6" w:rsidP="00B86D54">
      <w:pPr>
        <w:pStyle w:val="NormalWeb"/>
        <w:numPr>
          <w:ilvl w:val="2"/>
          <w:numId w:val="24"/>
        </w:numPr>
        <w:spacing w:before="0" w:beforeAutospacing="0" w:after="0" w:afterAutospacing="0"/>
        <w:ind w:left="0" w:firstLine="0"/>
        <w:textAlignment w:val="baseline"/>
        <w:rPr>
          <w:rFonts w:ascii="Calibri" w:hAnsi="Calibri" w:cs="Calibri"/>
          <w:highlight w:val="yellow"/>
          <w:lang w:val="en-US"/>
        </w:rPr>
      </w:pPr>
      <w:r w:rsidRPr="00091340">
        <w:rPr>
          <w:rFonts w:ascii="Calibri" w:hAnsi="Calibri" w:cs="Calibri"/>
          <w:highlight w:val="yellow"/>
          <w:lang w:val="en-US"/>
        </w:rPr>
        <w:t>Immediately after taking the samples from the freezer, c</w:t>
      </w:r>
      <w:r w:rsidR="00C26D6F" w:rsidRPr="00091340">
        <w:rPr>
          <w:rFonts w:ascii="Calibri" w:hAnsi="Calibri" w:cs="Calibri"/>
          <w:highlight w:val="yellow"/>
          <w:lang w:val="en-US"/>
        </w:rPr>
        <w:t xml:space="preserve">entrifuge </w:t>
      </w:r>
      <w:r w:rsidRPr="00091340">
        <w:rPr>
          <w:rFonts w:ascii="Calibri" w:hAnsi="Calibri" w:cs="Calibri"/>
          <w:highlight w:val="yellow"/>
          <w:lang w:val="en-US"/>
        </w:rPr>
        <w:t>them</w:t>
      </w:r>
      <w:r w:rsidR="00C26D6F" w:rsidRPr="00091340">
        <w:rPr>
          <w:rFonts w:ascii="Calibri" w:hAnsi="Calibri" w:cs="Calibri"/>
          <w:highlight w:val="yellow"/>
          <w:lang w:val="en-US"/>
        </w:rPr>
        <w:t xml:space="preserve"> at 13,000 × </w:t>
      </w:r>
      <w:r w:rsidR="00C26D6F" w:rsidRPr="00091340">
        <w:rPr>
          <w:rFonts w:ascii="Calibri" w:hAnsi="Calibri" w:cs="Calibri"/>
          <w:i/>
          <w:iCs/>
          <w:highlight w:val="yellow"/>
          <w:lang w:val="en-US"/>
        </w:rPr>
        <w:t>g</w:t>
      </w:r>
      <w:r w:rsidR="00C26D6F" w:rsidRPr="00091340">
        <w:rPr>
          <w:rFonts w:ascii="Calibri" w:hAnsi="Calibri" w:cs="Calibri"/>
          <w:highlight w:val="yellow"/>
          <w:lang w:val="en-US"/>
        </w:rPr>
        <w:t xml:space="preserve"> for 20 min at 4 °C. </w:t>
      </w:r>
    </w:p>
    <w:p w14:paraId="2C3B3362" w14:textId="77777777" w:rsidR="00F22A4B" w:rsidRPr="00091340" w:rsidRDefault="00F22A4B" w:rsidP="00B86D54">
      <w:pPr>
        <w:pStyle w:val="NormalWeb"/>
        <w:spacing w:before="0" w:beforeAutospacing="0" w:after="0" w:afterAutospacing="0"/>
        <w:textAlignment w:val="baseline"/>
        <w:rPr>
          <w:rFonts w:ascii="Calibri" w:hAnsi="Calibri" w:cs="Calibri"/>
          <w:highlight w:val="yellow"/>
          <w:lang w:val="en-US"/>
        </w:rPr>
      </w:pPr>
    </w:p>
    <w:p w14:paraId="3FEEB659" w14:textId="15710DEC" w:rsidR="00C26D6F" w:rsidRPr="00091340" w:rsidRDefault="00C26D6F" w:rsidP="00B86D54">
      <w:pPr>
        <w:pStyle w:val="NormalWeb"/>
        <w:numPr>
          <w:ilvl w:val="2"/>
          <w:numId w:val="24"/>
        </w:numPr>
        <w:spacing w:before="0" w:beforeAutospacing="0" w:after="0" w:afterAutospacing="0"/>
        <w:ind w:left="0" w:firstLine="0"/>
        <w:textAlignment w:val="baseline"/>
        <w:rPr>
          <w:rFonts w:ascii="Calibri" w:hAnsi="Calibri" w:cs="Calibri"/>
          <w:highlight w:val="yellow"/>
          <w:lang w:val="en-US"/>
        </w:rPr>
      </w:pPr>
      <w:r w:rsidRPr="00091340">
        <w:rPr>
          <w:rFonts w:ascii="Calibri" w:hAnsi="Calibri" w:cs="Calibri"/>
          <w:highlight w:val="yellow"/>
          <w:lang w:val="en-US"/>
        </w:rPr>
        <w:t>Transfer 300 µL of supernatant to a 1.5 mL microtube.</w:t>
      </w:r>
    </w:p>
    <w:p w14:paraId="7A80048F" w14:textId="77777777" w:rsidR="00F22A4B" w:rsidRPr="00091340" w:rsidRDefault="00F22A4B" w:rsidP="00B86D54">
      <w:pPr>
        <w:pStyle w:val="NormalWeb"/>
        <w:spacing w:before="0" w:beforeAutospacing="0" w:after="0" w:afterAutospacing="0"/>
        <w:textAlignment w:val="baseline"/>
        <w:rPr>
          <w:rFonts w:ascii="Calibri" w:hAnsi="Calibri" w:cs="Calibri"/>
          <w:highlight w:val="yellow"/>
          <w:lang w:val="en-US"/>
        </w:rPr>
      </w:pPr>
    </w:p>
    <w:p w14:paraId="6B5629B3" w14:textId="77777777" w:rsidR="00C26D6F" w:rsidRPr="00091340" w:rsidRDefault="00C26D6F" w:rsidP="00B86D54">
      <w:pPr>
        <w:pStyle w:val="NormalWeb"/>
        <w:numPr>
          <w:ilvl w:val="2"/>
          <w:numId w:val="24"/>
        </w:numPr>
        <w:spacing w:before="0" w:beforeAutospacing="0" w:after="0" w:afterAutospacing="0"/>
        <w:ind w:left="0" w:firstLine="0"/>
        <w:textAlignment w:val="baseline"/>
        <w:rPr>
          <w:rFonts w:ascii="Calibri" w:hAnsi="Calibri" w:cs="Calibri"/>
          <w:highlight w:val="yellow"/>
          <w:lang w:val="en-US"/>
        </w:rPr>
      </w:pPr>
      <w:r w:rsidRPr="00091340">
        <w:rPr>
          <w:rFonts w:ascii="Calibri" w:hAnsi="Calibri" w:cs="Calibri"/>
          <w:highlight w:val="yellow"/>
          <w:lang w:val="en-US"/>
        </w:rPr>
        <w:t>Dry the samples completely using a vacuum concentrator at 40–45 °C for 1 h and 40 min.</w:t>
      </w:r>
    </w:p>
    <w:p w14:paraId="7098F178" w14:textId="77777777" w:rsidR="00F22A4B" w:rsidRPr="00B15551" w:rsidRDefault="00F22A4B" w:rsidP="00B86D54">
      <w:pPr>
        <w:pStyle w:val="NormalWeb"/>
        <w:spacing w:before="0" w:beforeAutospacing="0" w:after="0" w:afterAutospacing="0"/>
        <w:textAlignment w:val="baseline"/>
        <w:rPr>
          <w:rFonts w:ascii="Calibri" w:hAnsi="Calibri" w:cs="Calibri"/>
          <w:lang w:val="en-US"/>
        </w:rPr>
      </w:pPr>
    </w:p>
    <w:p w14:paraId="6316171E" w14:textId="69B5A2DF" w:rsidR="00C26D6F" w:rsidRPr="00B15551" w:rsidRDefault="00C26D6F" w:rsidP="00B86D54">
      <w:pPr>
        <w:pStyle w:val="NormalWeb"/>
        <w:spacing w:before="0" w:beforeAutospacing="0" w:after="0" w:afterAutospacing="0"/>
        <w:textAlignment w:val="baseline"/>
        <w:rPr>
          <w:rFonts w:ascii="Calibri" w:hAnsi="Calibri" w:cs="Calibri"/>
          <w:lang w:val="en-US"/>
        </w:rPr>
      </w:pPr>
      <w:r w:rsidRPr="00B15551">
        <w:rPr>
          <w:rFonts w:ascii="Calibri" w:hAnsi="Calibri" w:cs="Calibri"/>
          <w:lang w:val="en-US"/>
        </w:rPr>
        <w:t xml:space="preserve">NOTE: Dried pellets can be stored at -20 °C for </w:t>
      </w:r>
      <w:r w:rsidR="00CD3231" w:rsidRPr="00B15551">
        <w:rPr>
          <w:rFonts w:ascii="Calibri" w:hAnsi="Calibri" w:cs="Calibri"/>
          <w:lang w:val="en-US"/>
        </w:rPr>
        <w:t xml:space="preserve">a </w:t>
      </w:r>
      <w:r w:rsidRPr="00B15551">
        <w:rPr>
          <w:rFonts w:ascii="Calibri" w:hAnsi="Calibri" w:cs="Calibri"/>
          <w:lang w:val="en-US"/>
        </w:rPr>
        <w:t>few weeks (safe stop).</w:t>
      </w:r>
    </w:p>
    <w:p w14:paraId="7B0C4F12" w14:textId="77777777" w:rsidR="00C26D6F" w:rsidRPr="00B15551" w:rsidRDefault="00C26D6F" w:rsidP="00B86D54">
      <w:pPr>
        <w:pStyle w:val="NormalWeb"/>
        <w:spacing w:before="0" w:beforeAutospacing="0" w:after="0" w:afterAutospacing="0"/>
        <w:textAlignment w:val="baseline"/>
        <w:rPr>
          <w:rFonts w:ascii="Calibri" w:hAnsi="Calibri" w:cs="Calibri"/>
          <w:lang w:val="en-US"/>
        </w:rPr>
      </w:pPr>
    </w:p>
    <w:p w14:paraId="0A4D957A" w14:textId="11B70778" w:rsidR="00C26D6F" w:rsidRPr="00091340" w:rsidRDefault="00C26D6F" w:rsidP="00B86D54">
      <w:pPr>
        <w:pStyle w:val="NormalWeb"/>
        <w:numPr>
          <w:ilvl w:val="2"/>
          <w:numId w:val="24"/>
        </w:numPr>
        <w:spacing w:before="0" w:beforeAutospacing="0" w:after="0" w:afterAutospacing="0"/>
        <w:ind w:left="0" w:firstLine="0"/>
        <w:textAlignment w:val="baseline"/>
        <w:rPr>
          <w:rFonts w:ascii="Calibri" w:hAnsi="Calibri" w:cs="Calibri"/>
          <w:highlight w:val="yellow"/>
          <w:lang w:val="en-US"/>
        </w:rPr>
      </w:pPr>
      <w:r w:rsidRPr="00091340">
        <w:rPr>
          <w:rFonts w:ascii="Calibri" w:hAnsi="Calibri" w:cs="Calibri"/>
          <w:highlight w:val="yellow"/>
          <w:lang w:val="en-US"/>
        </w:rPr>
        <w:t>Resuspend each pellet in 400 µL of water + 0.1% formic acid</w:t>
      </w:r>
      <w:r w:rsidR="00F928A6" w:rsidRPr="00091340">
        <w:rPr>
          <w:rFonts w:ascii="Calibri" w:hAnsi="Calibri" w:cs="Calibri"/>
          <w:highlight w:val="yellow"/>
          <w:lang w:val="en-US"/>
        </w:rPr>
        <w:t xml:space="preserve"> (previously prepared)</w:t>
      </w:r>
      <w:r w:rsidRPr="00091340">
        <w:rPr>
          <w:rFonts w:ascii="Calibri" w:hAnsi="Calibri" w:cs="Calibri"/>
          <w:highlight w:val="yellow"/>
          <w:lang w:val="en-US"/>
        </w:rPr>
        <w:t>. Vortex gently until</w:t>
      </w:r>
      <w:r w:rsidR="00F928A6" w:rsidRPr="00091340">
        <w:rPr>
          <w:rFonts w:ascii="Calibri" w:hAnsi="Calibri" w:cs="Calibri"/>
          <w:highlight w:val="yellow"/>
          <w:lang w:val="en-US"/>
        </w:rPr>
        <w:t xml:space="preserve"> the pellet is</w:t>
      </w:r>
      <w:r w:rsidRPr="00091340">
        <w:rPr>
          <w:rFonts w:ascii="Calibri" w:hAnsi="Calibri" w:cs="Calibri"/>
          <w:highlight w:val="yellow"/>
          <w:lang w:val="en-US"/>
        </w:rPr>
        <w:t xml:space="preserve"> fully dissolved.</w:t>
      </w:r>
    </w:p>
    <w:p w14:paraId="4922BF1A" w14:textId="77777777" w:rsidR="00F22A4B" w:rsidRPr="00091340" w:rsidRDefault="00F22A4B" w:rsidP="00B86D54">
      <w:pPr>
        <w:pStyle w:val="NormalWeb"/>
        <w:spacing w:before="0" w:beforeAutospacing="0" w:after="0" w:afterAutospacing="0"/>
        <w:textAlignment w:val="baseline"/>
        <w:rPr>
          <w:rFonts w:ascii="Calibri" w:hAnsi="Calibri" w:cs="Calibri"/>
          <w:highlight w:val="yellow"/>
          <w:lang w:val="en-US"/>
        </w:rPr>
      </w:pPr>
    </w:p>
    <w:p w14:paraId="56E48FAE" w14:textId="77777777" w:rsidR="00F928A6" w:rsidRPr="00091340" w:rsidRDefault="00C26D6F" w:rsidP="00B86D54">
      <w:pPr>
        <w:pStyle w:val="NormalWeb"/>
        <w:numPr>
          <w:ilvl w:val="2"/>
          <w:numId w:val="24"/>
        </w:numPr>
        <w:spacing w:before="0" w:beforeAutospacing="0" w:after="0" w:afterAutospacing="0"/>
        <w:ind w:left="0" w:firstLine="0"/>
        <w:textAlignment w:val="baseline"/>
        <w:rPr>
          <w:rFonts w:ascii="Calibri" w:hAnsi="Calibri" w:cs="Calibri"/>
          <w:highlight w:val="yellow"/>
          <w:lang w:val="en-US"/>
        </w:rPr>
      </w:pPr>
      <w:r w:rsidRPr="00091340">
        <w:rPr>
          <w:rFonts w:ascii="Calibri" w:hAnsi="Calibri" w:cs="Calibri"/>
          <w:highlight w:val="yellow"/>
          <w:lang w:val="en-US"/>
        </w:rPr>
        <w:t xml:space="preserve">Centrifuge </w:t>
      </w:r>
      <w:r w:rsidR="00F928A6" w:rsidRPr="00091340">
        <w:rPr>
          <w:rFonts w:ascii="Calibri" w:hAnsi="Calibri" w:cs="Calibri"/>
          <w:highlight w:val="yellow"/>
          <w:lang w:val="en-US"/>
        </w:rPr>
        <w:t xml:space="preserve">the samples </w:t>
      </w:r>
      <w:r w:rsidRPr="00091340">
        <w:rPr>
          <w:rFonts w:ascii="Calibri" w:hAnsi="Calibri" w:cs="Calibri"/>
          <w:highlight w:val="yellow"/>
          <w:lang w:val="en-US"/>
        </w:rPr>
        <w:t xml:space="preserve">again at 13,000 × </w:t>
      </w:r>
      <w:r w:rsidRPr="00091340">
        <w:rPr>
          <w:rFonts w:ascii="Calibri" w:hAnsi="Calibri" w:cs="Calibri"/>
          <w:i/>
          <w:iCs/>
          <w:highlight w:val="yellow"/>
          <w:lang w:val="en-US"/>
        </w:rPr>
        <w:t xml:space="preserve">g </w:t>
      </w:r>
      <w:r w:rsidRPr="00091340">
        <w:rPr>
          <w:rFonts w:ascii="Calibri" w:hAnsi="Calibri" w:cs="Calibri"/>
          <w:highlight w:val="yellow"/>
          <w:lang w:val="en-US"/>
        </w:rPr>
        <w:t xml:space="preserve">for 20 min at 4 °C. </w:t>
      </w:r>
    </w:p>
    <w:p w14:paraId="779DE23D" w14:textId="77777777" w:rsidR="00F22A4B" w:rsidRPr="00091340" w:rsidRDefault="00F22A4B" w:rsidP="00B86D54">
      <w:pPr>
        <w:pStyle w:val="NormalWeb"/>
        <w:spacing w:before="0" w:beforeAutospacing="0" w:after="0" w:afterAutospacing="0"/>
        <w:textAlignment w:val="baseline"/>
        <w:rPr>
          <w:rFonts w:ascii="Calibri" w:hAnsi="Calibri" w:cs="Calibri"/>
          <w:highlight w:val="yellow"/>
          <w:lang w:val="en-US"/>
        </w:rPr>
      </w:pPr>
    </w:p>
    <w:p w14:paraId="709EE057" w14:textId="4419A0AA" w:rsidR="00C26D6F" w:rsidRPr="00091340" w:rsidRDefault="00C26D6F" w:rsidP="00B86D54">
      <w:pPr>
        <w:pStyle w:val="NormalWeb"/>
        <w:numPr>
          <w:ilvl w:val="2"/>
          <w:numId w:val="24"/>
        </w:numPr>
        <w:spacing w:before="0" w:beforeAutospacing="0" w:after="0" w:afterAutospacing="0"/>
        <w:ind w:left="0" w:firstLine="0"/>
        <w:textAlignment w:val="baseline"/>
        <w:rPr>
          <w:rFonts w:ascii="Calibri" w:hAnsi="Calibri" w:cs="Calibri"/>
          <w:highlight w:val="yellow"/>
          <w:lang w:val="en-US"/>
        </w:rPr>
      </w:pPr>
      <w:r w:rsidRPr="00091340">
        <w:rPr>
          <w:rFonts w:ascii="Calibri" w:hAnsi="Calibri" w:cs="Calibri"/>
          <w:highlight w:val="yellow"/>
          <w:lang w:val="en-US"/>
        </w:rPr>
        <w:t>Transfer 300 µL of supernatant to a 2.0 mL screw-top vial for LC-MS</w:t>
      </w:r>
      <w:r w:rsidR="004579FF" w:rsidRPr="00091340">
        <w:rPr>
          <w:rFonts w:ascii="Calibri" w:hAnsi="Calibri" w:cs="Calibri"/>
          <w:highlight w:val="yellow"/>
          <w:lang w:val="en-US"/>
        </w:rPr>
        <w:t>/MS</w:t>
      </w:r>
      <w:r w:rsidRPr="00091340">
        <w:rPr>
          <w:rFonts w:ascii="Calibri" w:hAnsi="Calibri" w:cs="Calibri"/>
          <w:highlight w:val="yellow"/>
          <w:lang w:val="en-US"/>
        </w:rPr>
        <w:t xml:space="preserve"> analysis.</w:t>
      </w:r>
    </w:p>
    <w:p w14:paraId="7C188B6A" w14:textId="77777777" w:rsidR="005A2BC9" w:rsidRPr="00B15551" w:rsidRDefault="005A2BC9" w:rsidP="00B86D54">
      <w:pPr>
        <w:pStyle w:val="NormalWeb"/>
        <w:spacing w:before="0" w:beforeAutospacing="0" w:after="0" w:afterAutospacing="0"/>
        <w:textAlignment w:val="baseline"/>
        <w:rPr>
          <w:rFonts w:ascii="Calibri" w:hAnsi="Calibri" w:cs="Calibri"/>
          <w:lang w:val="en-US"/>
        </w:rPr>
      </w:pPr>
    </w:p>
    <w:p w14:paraId="78127011" w14:textId="77777777" w:rsidR="00C26D6F" w:rsidRPr="00B15551" w:rsidRDefault="00C26D6F" w:rsidP="00B86D54">
      <w:pPr>
        <w:pStyle w:val="NormalWeb"/>
        <w:numPr>
          <w:ilvl w:val="0"/>
          <w:numId w:val="24"/>
        </w:numPr>
        <w:spacing w:before="0" w:beforeAutospacing="0" w:after="0" w:afterAutospacing="0"/>
        <w:ind w:left="0" w:firstLine="0"/>
        <w:textAlignment w:val="baseline"/>
        <w:rPr>
          <w:rFonts w:ascii="Calibri" w:hAnsi="Calibri" w:cs="Calibri"/>
          <w:b/>
          <w:bCs/>
          <w:lang w:val="en-US"/>
        </w:rPr>
      </w:pPr>
      <w:r w:rsidRPr="00B15551">
        <w:rPr>
          <w:rFonts w:ascii="Calibri" w:hAnsi="Calibri" w:cs="Calibri"/>
          <w:b/>
          <w:bCs/>
          <w:lang w:val="en-US"/>
        </w:rPr>
        <w:t>LC-MS/MS setup and data acquisition</w:t>
      </w:r>
    </w:p>
    <w:p w14:paraId="3DF07606" w14:textId="77777777" w:rsidR="00F22A4B" w:rsidRPr="00B15551" w:rsidRDefault="00F22A4B" w:rsidP="00B86D54">
      <w:pPr>
        <w:pStyle w:val="NormalWeb"/>
        <w:spacing w:before="0" w:beforeAutospacing="0" w:after="0" w:afterAutospacing="0"/>
        <w:textAlignment w:val="baseline"/>
        <w:rPr>
          <w:rFonts w:ascii="Calibri" w:hAnsi="Calibri" w:cs="Calibri"/>
          <w:b/>
          <w:bCs/>
          <w:lang w:val="en-US"/>
        </w:rPr>
      </w:pPr>
    </w:p>
    <w:p w14:paraId="1CF6D6F3" w14:textId="77777777" w:rsidR="00C26D6F" w:rsidRPr="00B15551" w:rsidRDefault="00C26D6F" w:rsidP="00B86D54">
      <w:pPr>
        <w:pStyle w:val="NormalWeb"/>
        <w:numPr>
          <w:ilvl w:val="1"/>
          <w:numId w:val="24"/>
        </w:numPr>
        <w:spacing w:before="0" w:beforeAutospacing="0" w:after="0" w:afterAutospacing="0"/>
        <w:ind w:left="0" w:firstLine="0"/>
        <w:jc w:val="both"/>
        <w:textAlignment w:val="baseline"/>
        <w:rPr>
          <w:rFonts w:ascii="Calibri" w:hAnsi="Calibri" w:cs="Calibri"/>
          <w:lang w:val="en-US"/>
        </w:rPr>
      </w:pPr>
      <w:r w:rsidRPr="00B15551">
        <w:rPr>
          <w:rFonts w:ascii="Calibri" w:hAnsi="Calibri" w:cs="Calibri"/>
          <w:lang w:val="en-US"/>
        </w:rPr>
        <w:t>Mobile phase preparation and column conditioning</w:t>
      </w:r>
    </w:p>
    <w:p w14:paraId="4B263155" w14:textId="77777777" w:rsidR="00F22A4B" w:rsidRPr="00B15551" w:rsidRDefault="00F22A4B" w:rsidP="00B86D54">
      <w:pPr>
        <w:pStyle w:val="NormalWeb"/>
        <w:spacing w:before="0" w:beforeAutospacing="0" w:after="0" w:afterAutospacing="0"/>
        <w:jc w:val="both"/>
        <w:textAlignment w:val="baseline"/>
        <w:rPr>
          <w:rFonts w:ascii="Calibri" w:hAnsi="Calibri" w:cs="Calibri"/>
          <w:lang w:val="en-US"/>
        </w:rPr>
      </w:pPr>
    </w:p>
    <w:p w14:paraId="22E1A70F" w14:textId="77777777" w:rsidR="006E1864" w:rsidRPr="00B15551" w:rsidRDefault="00C26D6F"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rPr>
      </w:pPr>
      <w:r w:rsidRPr="00B15551">
        <w:rPr>
          <w:rFonts w:ascii="Calibri" w:hAnsi="Calibri" w:cs="Calibri"/>
          <w:sz w:val="24"/>
          <w:szCs w:val="24"/>
        </w:rPr>
        <w:t xml:space="preserve">Prepare Solvent A by mixing ultrapure water with 0.1% formic acid. </w:t>
      </w:r>
    </w:p>
    <w:p w14:paraId="51EF1ADC" w14:textId="77777777" w:rsidR="00F22A4B" w:rsidRPr="00B15551"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rPr>
      </w:pPr>
    </w:p>
    <w:p w14:paraId="7C1D0100" w14:textId="2950FC09" w:rsidR="00C26D6F" w:rsidRPr="00B15551" w:rsidRDefault="00C26D6F"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rPr>
      </w:pPr>
      <w:r w:rsidRPr="00B15551">
        <w:rPr>
          <w:rFonts w:ascii="Calibri" w:hAnsi="Calibri" w:cs="Calibri"/>
          <w:sz w:val="24"/>
          <w:szCs w:val="24"/>
        </w:rPr>
        <w:t>Prepare Solvent B by mixing acetonitrile with 0.1% formic acid.</w:t>
      </w:r>
    </w:p>
    <w:p w14:paraId="37DEB176" w14:textId="7DECAFB0" w:rsidR="00C26D6F" w:rsidRPr="00B15551" w:rsidRDefault="00C26D6F" w:rsidP="00B86D54">
      <w:pPr>
        <w:pStyle w:val="PargrafodaLista"/>
        <w:pBdr>
          <w:top w:val="nil"/>
          <w:left w:val="nil"/>
          <w:bottom w:val="nil"/>
          <w:right w:val="nil"/>
          <w:between w:val="nil"/>
        </w:pBdr>
        <w:spacing w:after="0" w:line="240" w:lineRule="auto"/>
        <w:ind w:left="0"/>
        <w:rPr>
          <w:rFonts w:ascii="Calibri" w:hAnsi="Calibri" w:cs="Calibri"/>
          <w:sz w:val="24"/>
          <w:szCs w:val="24"/>
        </w:rPr>
      </w:pPr>
      <w:r w:rsidRPr="00B15551">
        <w:rPr>
          <w:rFonts w:ascii="Calibri" w:hAnsi="Calibri" w:cs="Calibri"/>
          <w:sz w:val="24"/>
          <w:szCs w:val="24"/>
        </w:rPr>
        <w:br/>
        <w:t>CAUTION: Acetonitrile is toxic and flammable; handle in a chemical fume hood.</w:t>
      </w:r>
    </w:p>
    <w:p w14:paraId="204713EA" w14:textId="754AC06C" w:rsidR="00C26D6F" w:rsidRPr="00B15551" w:rsidRDefault="00C26D6F" w:rsidP="00B86D54">
      <w:pPr>
        <w:pStyle w:val="PargrafodaLista"/>
        <w:pBdr>
          <w:top w:val="nil"/>
          <w:left w:val="nil"/>
          <w:bottom w:val="nil"/>
          <w:right w:val="nil"/>
          <w:between w:val="nil"/>
        </w:pBdr>
        <w:spacing w:after="0" w:line="240" w:lineRule="auto"/>
        <w:ind w:left="0"/>
        <w:rPr>
          <w:rFonts w:ascii="Calibri" w:hAnsi="Calibri" w:cs="Calibri"/>
          <w:sz w:val="24"/>
          <w:szCs w:val="24"/>
        </w:rPr>
      </w:pPr>
    </w:p>
    <w:p w14:paraId="6FB226F9" w14:textId="062C1BBD" w:rsidR="00C26D6F" w:rsidRPr="00B15551" w:rsidRDefault="00C26D6F"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rPr>
      </w:pPr>
      <w:r w:rsidRPr="00B15551">
        <w:rPr>
          <w:rFonts w:ascii="Calibri" w:hAnsi="Calibri" w:cs="Calibri"/>
          <w:sz w:val="24"/>
          <w:szCs w:val="24"/>
        </w:rPr>
        <w:lastRenderedPageBreak/>
        <w:t>Sonicate each solvent in an ultrasonic bath for 5 min. Connect the bottles to the pump module and purge the system at high flow to remove contaminants.</w:t>
      </w:r>
    </w:p>
    <w:p w14:paraId="72DBAAC2" w14:textId="77777777" w:rsidR="00F22A4B" w:rsidRPr="00B15551"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rPr>
      </w:pPr>
    </w:p>
    <w:p w14:paraId="2B2DE2D2" w14:textId="74527895" w:rsidR="006E1864" w:rsidRPr="00B15551" w:rsidRDefault="00C26D6F"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rPr>
      </w:pPr>
      <w:r w:rsidRPr="00B15551">
        <w:rPr>
          <w:rFonts w:ascii="Calibri" w:hAnsi="Calibri" w:cs="Calibri"/>
          <w:sz w:val="24"/>
          <w:szCs w:val="24"/>
        </w:rPr>
        <w:t xml:space="preserve">Install a reversed-phase BEH C18 column (1.7 </w:t>
      </w:r>
      <w:proofErr w:type="spellStart"/>
      <w:r w:rsidRPr="00B15551">
        <w:rPr>
          <w:rFonts w:ascii="Calibri" w:hAnsi="Calibri" w:cs="Calibri"/>
          <w:sz w:val="24"/>
          <w:szCs w:val="24"/>
        </w:rPr>
        <w:t>μm</w:t>
      </w:r>
      <w:proofErr w:type="spellEnd"/>
      <w:r w:rsidRPr="00B15551">
        <w:rPr>
          <w:rFonts w:ascii="Calibri" w:hAnsi="Calibri" w:cs="Calibri"/>
          <w:sz w:val="24"/>
          <w:szCs w:val="24"/>
        </w:rPr>
        <w:t>, 2.1 mm × 50 mm)</w:t>
      </w:r>
      <w:r w:rsidR="00F22A4B" w:rsidRPr="00B15551">
        <w:rPr>
          <w:rFonts w:ascii="Calibri" w:hAnsi="Calibri" w:cs="Calibri"/>
          <w:sz w:val="24"/>
          <w:szCs w:val="24"/>
        </w:rPr>
        <w:t>.</w:t>
      </w:r>
    </w:p>
    <w:p w14:paraId="622D9E64" w14:textId="77777777" w:rsidR="00F22A4B" w:rsidRPr="00B15551"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rPr>
      </w:pPr>
    </w:p>
    <w:p w14:paraId="1513E5AA" w14:textId="2B4A4097" w:rsidR="004579FF" w:rsidRPr="00B15551" w:rsidRDefault="004579FF" w:rsidP="00B86D54">
      <w:pPr>
        <w:pBdr>
          <w:top w:val="nil"/>
          <w:left w:val="nil"/>
          <w:bottom w:val="nil"/>
          <w:right w:val="nil"/>
          <w:between w:val="nil"/>
        </w:pBdr>
      </w:pPr>
      <w:r w:rsidRPr="00B15551">
        <w:t xml:space="preserve">NOTE: To perform </w:t>
      </w:r>
      <w:r w:rsidR="00CD3231" w:rsidRPr="00B15551">
        <w:t xml:space="preserve">the </w:t>
      </w:r>
      <w:r w:rsidRPr="00B15551">
        <w:t xml:space="preserve">analysis, </w:t>
      </w:r>
      <w:r w:rsidR="00CD3231" w:rsidRPr="00B15551">
        <w:t>this study</w:t>
      </w:r>
      <w:r w:rsidRPr="00B15551">
        <w:t xml:space="preserve"> used an </w:t>
      </w:r>
      <w:proofErr w:type="spellStart"/>
      <w:r w:rsidRPr="00B15551">
        <w:t>Acquity</w:t>
      </w:r>
      <w:proofErr w:type="spellEnd"/>
      <w:r w:rsidRPr="00B15551">
        <w:t xml:space="preserve"> H-Class chromatographic system coupled to a </w:t>
      </w:r>
      <w:proofErr w:type="spellStart"/>
      <w:r w:rsidRPr="00B15551">
        <w:t>Xevo</w:t>
      </w:r>
      <w:proofErr w:type="spellEnd"/>
      <w:r w:rsidRPr="00B15551">
        <w:t xml:space="preserve"> TQS-Micro triple-quadrupole mass spectrometer</w:t>
      </w:r>
      <w:r w:rsidR="006B425E" w:rsidRPr="00B15551">
        <w:t>.</w:t>
      </w:r>
    </w:p>
    <w:p w14:paraId="1E0246FF" w14:textId="77777777" w:rsidR="006B425E" w:rsidRPr="00B15551" w:rsidRDefault="006B425E" w:rsidP="00B86D54">
      <w:pPr>
        <w:pBdr>
          <w:top w:val="nil"/>
          <w:left w:val="nil"/>
          <w:bottom w:val="nil"/>
          <w:right w:val="nil"/>
          <w:between w:val="nil"/>
        </w:pBdr>
      </w:pPr>
    </w:p>
    <w:p w14:paraId="34DF94C8" w14:textId="41389E33" w:rsidR="006E1864" w:rsidRPr="00B15551" w:rsidRDefault="006E1864"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rPr>
      </w:pPr>
      <w:r w:rsidRPr="00B15551">
        <w:rPr>
          <w:rFonts w:ascii="Calibri" w:hAnsi="Calibri" w:cs="Calibri"/>
          <w:sz w:val="24"/>
          <w:szCs w:val="24"/>
        </w:rPr>
        <w:t xml:space="preserve">Use a binary gradient composed </w:t>
      </w:r>
      <w:r w:rsidR="004579FF" w:rsidRPr="00B15551">
        <w:rPr>
          <w:rFonts w:ascii="Calibri" w:hAnsi="Calibri" w:cs="Calibri"/>
          <w:sz w:val="24"/>
          <w:szCs w:val="24"/>
        </w:rPr>
        <w:t>of</w:t>
      </w:r>
      <w:r w:rsidRPr="00B15551">
        <w:rPr>
          <w:rFonts w:ascii="Calibri" w:hAnsi="Calibri" w:cs="Calibri"/>
          <w:sz w:val="24"/>
          <w:szCs w:val="24"/>
        </w:rPr>
        <w:t xml:space="preserve"> </w:t>
      </w:r>
      <w:r w:rsidR="004579FF" w:rsidRPr="00B15551">
        <w:rPr>
          <w:rFonts w:ascii="Calibri" w:hAnsi="Calibri" w:cs="Calibri"/>
          <w:sz w:val="24"/>
          <w:szCs w:val="24"/>
        </w:rPr>
        <w:t>Solvents</w:t>
      </w:r>
      <w:r w:rsidRPr="00B15551">
        <w:rPr>
          <w:rFonts w:ascii="Calibri" w:hAnsi="Calibri" w:cs="Calibri"/>
          <w:sz w:val="24"/>
          <w:szCs w:val="24"/>
        </w:rPr>
        <w:t xml:space="preserve"> A and B, both previously prepared.</w:t>
      </w:r>
    </w:p>
    <w:p w14:paraId="68DCB9FC" w14:textId="77777777" w:rsidR="00F22A4B" w:rsidRPr="00B15551"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rPr>
      </w:pPr>
    </w:p>
    <w:p w14:paraId="37D1335B" w14:textId="3753CA6A" w:rsidR="006E1864" w:rsidRPr="00B15551" w:rsidRDefault="006E1864"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rPr>
      </w:pPr>
      <w:r w:rsidRPr="00B15551">
        <w:rPr>
          <w:rFonts w:ascii="Calibri" w:hAnsi="Calibri" w:cs="Calibri"/>
          <w:sz w:val="24"/>
          <w:szCs w:val="24"/>
        </w:rPr>
        <w:t xml:space="preserve">Run the chromatographic gradient from 5% to 95% </w:t>
      </w:r>
      <w:r w:rsidR="0030720E" w:rsidRPr="00B15551">
        <w:rPr>
          <w:rFonts w:ascii="Calibri" w:hAnsi="Calibri" w:cs="Calibri"/>
          <w:sz w:val="24"/>
          <w:szCs w:val="24"/>
        </w:rPr>
        <w:t xml:space="preserve">of Solvent </w:t>
      </w:r>
      <w:r w:rsidRPr="00B15551">
        <w:rPr>
          <w:rFonts w:ascii="Calibri" w:hAnsi="Calibri" w:cs="Calibri"/>
          <w:sz w:val="24"/>
          <w:szCs w:val="24"/>
        </w:rPr>
        <w:t xml:space="preserve">B over the first 2 min, followed by 2 min </w:t>
      </w:r>
      <w:r w:rsidR="0030720E" w:rsidRPr="00B15551">
        <w:rPr>
          <w:rFonts w:ascii="Calibri" w:hAnsi="Calibri" w:cs="Calibri"/>
          <w:sz w:val="24"/>
          <w:szCs w:val="24"/>
        </w:rPr>
        <w:t xml:space="preserve">of Solvent A </w:t>
      </w:r>
      <w:r w:rsidRPr="00B15551">
        <w:rPr>
          <w:rFonts w:ascii="Calibri" w:hAnsi="Calibri" w:cs="Calibri"/>
          <w:sz w:val="24"/>
          <w:szCs w:val="24"/>
        </w:rPr>
        <w:t>for column washing and re-equilibration.</w:t>
      </w:r>
    </w:p>
    <w:p w14:paraId="64476CC4" w14:textId="77777777" w:rsidR="00F22A4B" w:rsidRPr="00B15551"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rPr>
      </w:pPr>
    </w:p>
    <w:p w14:paraId="6DB25B17" w14:textId="24890878" w:rsidR="006E1864" w:rsidRPr="00B15551" w:rsidRDefault="006E1864"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rPr>
      </w:pPr>
      <w:r w:rsidRPr="00B15551">
        <w:rPr>
          <w:rFonts w:ascii="Calibri" w:hAnsi="Calibri" w:cs="Calibri"/>
          <w:sz w:val="24"/>
          <w:szCs w:val="24"/>
        </w:rPr>
        <w:t xml:space="preserve">Set the flow rate to 0.2 mL/min throughout the </w:t>
      </w:r>
      <w:r w:rsidR="004579FF" w:rsidRPr="00B15551">
        <w:rPr>
          <w:rFonts w:ascii="Calibri" w:hAnsi="Calibri" w:cs="Calibri"/>
          <w:sz w:val="24"/>
          <w:szCs w:val="24"/>
        </w:rPr>
        <w:t>4-min</w:t>
      </w:r>
      <w:r w:rsidRPr="00B15551">
        <w:rPr>
          <w:rFonts w:ascii="Calibri" w:hAnsi="Calibri" w:cs="Calibri"/>
          <w:sz w:val="24"/>
          <w:szCs w:val="24"/>
        </w:rPr>
        <w:t xml:space="preserve"> run. Maintain the column temperature at 40 °C and inject 10 </w:t>
      </w:r>
      <w:r w:rsidR="0030720E" w:rsidRPr="00B15551">
        <w:rPr>
          <w:rFonts w:ascii="Calibri" w:hAnsi="Calibri" w:cs="Calibri"/>
          <w:bCs/>
          <w:sz w:val="24"/>
          <w:szCs w:val="24"/>
        </w:rPr>
        <w:t>µ</w:t>
      </w:r>
      <w:r w:rsidRPr="00B15551">
        <w:rPr>
          <w:rFonts w:ascii="Calibri" w:hAnsi="Calibri" w:cs="Calibri"/>
          <w:sz w:val="24"/>
          <w:szCs w:val="24"/>
        </w:rPr>
        <w:t>L of each sample.</w:t>
      </w:r>
    </w:p>
    <w:p w14:paraId="1188ED62" w14:textId="77777777" w:rsidR="00F22A4B" w:rsidRPr="00B15551"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rPr>
      </w:pPr>
    </w:p>
    <w:p w14:paraId="0BD9B38F" w14:textId="7BF57FC1" w:rsidR="00C26D6F" w:rsidRPr="00B15551" w:rsidRDefault="00C26D6F" w:rsidP="00B86D54">
      <w:pPr>
        <w:pStyle w:val="PargrafodaLista"/>
        <w:numPr>
          <w:ilvl w:val="1"/>
          <w:numId w:val="24"/>
        </w:numPr>
        <w:pBdr>
          <w:top w:val="nil"/>
          <w:left w:val="nil"/>
          <w:bottom w:val="nil"/>
          <w:right w:val="nil"/>
          <w:between w:val="nil"/>
        </w:pBdr>
        <w:spacing w:after="0" w:line="240" w:lineRule="auto"/>
        <w:ind w:left="0" w:firstLine="0"/>
        <w:rPr>
          <w:rFonts w:ascii="Calibri" w:hAnsi="Calibri" w:cs="Calibri"/>
          <w:sz w:val="24"/>
          <w:szCs w:val="24"/>
        </w:rPr>
      </w:pPr>
      <w:r w:rsidRPr="00B15551">
        <w:rPr>
          <w:rFonts w:ascii="Calibri" w:hAnsi="Calibri" w:cs="Calibri"/>
          <w:sz w:val="24"/>
          <w:szCs w:val="24"/>
        </w:rPr>
        <w:t>LC-MS/MS method setup</w:t>
      </w:r>
    </w:p>
    <w:p w14:paraId="78AC8296" w14:textId="77777777" w:rsidR="00F22A4B" w:rsidRPr="00B15551"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rPr>
      </w:pPr>
    </w:p>
    <w:p w14:paraId="4F726EA7" w14:textId="49FF60BC" w:rsidR="00C26D6F" w:rsidRPr="00B15551" w:rsidRDefault="00C26D6F"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rPr>
      </w:pPr>
      <w:r w:rsidRPr="00B15551">
        <w:rPr>
          <w:rFonts w:ascii="Calibri" w:hAnsi="Calibri" w:cs="Calibri"/>
          <w:sz w:val="24"/>
          <w:szCs w:val="24"/>
        </w:rPr>
        <w:t>Open the LC-MS</w:t>
      </w:r>
      <w:r w:rsidR="004579FF" w:rsidRPr="00B15551">
        <w:rPr>
          <w:rFonts w:ascii="Calibri" w:hAnsi="Calibri" w:cs="Calibri"/>
          <w:sz w:val="24"/>
          <w:szCs w:val="24"/>
        </w:rPr>
        <w:t>/MS</w:t>
      </w:r>
      <w:r w:rsidRPr="00B15551">
        <w:rPr>
          <w:rFonts w:ascii="Calibri" w:hAnsi="Calibri" w:cs="Calibri"/>
          <w:sz w:val="24"/>
          <w:szCs w:val="24"/>
        </w:rPr>
        <w:t xml:space="preserve"> software. Click </w:t>
      </w:r>
      <w:r w:rsidRPr="00B15551">
        <w:rPr>
          <w:rFonts w:ascii="Calibri" w:hAnsi="Calibri" w:cs="Calibri"/>
          <w:b/>
          <w:bCs/>
          <w:sz w:val="24"/>
          <w:szCs w:val="24"/>
        </w:rPr>
        <w:t>File</w:t>
      </w:r>
      <w:r w:rsidRPr="00B15551">
        <w:rPr>
          <w:rFonts w:ascii="Calibri" w:hAnsi="Calibri" w:cs="Calibri"/>
          <w:sz w:val="24"/>
          <w:szCs w:val="24"/>
        </w:rPr>
        <w:t xml:space="preserve"> &gt; </w:t>
      </w:r>
      <w:r w:rsidRPr="00B15551">
        <w:rPr>
          <w:rFonts w:ascii="Calibri" w:hAnsi="Calibri" w:cs="Calibri"/>
          <w:b/>
          <w:bCs/>
          <w:sz w:val="24"/>
          <w:szCs w:val="24"/>
        </w:rPr>
        <w:t>New</w:t>
      </w:r>
      <w:r w:rsidRPr="00B15551">
        <w:rPr>
          <w:rFonts w:ascii="Calibri" w:hAnsi="Calibri" w:cs="Calibri"/>
          <w:sz w:val="24"/>
          <w:szCs w:val="24"/>
        </w:rPr>
        <w:t xml:space="preserve"> &gt; </w:t>
      </w:r>
      <w:r w:rsidRPr="00B15551">
        <w:rPr>
          <w:rFonts w:ascii="Calibri" w:hAnsi="Calibri" w:cs="Calibri"/>
          <w:b/>
          <w:bCs/>
          <w:sz w:val="24"/>
          <w:szCs w:val="24"/>
        </w:rPr>
        <w:t>MS Method</w:t>
      </w:r>
      <w:r w:rsidRPr="00B15551">
        <w:rPr>
          <w:rFonts w:ascii="Calibri" w:hAnsi="Calibri" w:cs="Calibri"/>
          <w:sz w:val="24"/>
          <w:szCs w:val="24"/>
        </w:rPr>
        <w:t xml:space="preserve"> to start a new method.</w:t>
      </w:r>
    </w:p>
    <w:p w14:paraId="2A53F4D3" w14:textId="77777777" w:rsidR="00F22A4B" w:rsidRPr="00B15551"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rPr>
      </w:pPr>
    </w:p>
    <w:p w14:paraId="49333838" w14:textId="59FB4DAE" w:rsidR="00C26D6F" w:rsidRPr="00B15551" w:rsidRDefault="00C26D6F"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rPr>
      </w:pPr>
      <w:r w:rsidRPr="00B15551">
        <w:rPr>
          <w:rFonts w:ascii="Calibri" w:hAnsi="Calibri" w:cs="Calibri"/>
          <w:sz w:val="24"/>
          <w:szCs w:val="24"/>
        </w:rPr>
        <w:t xml:space="preserve">Go to the </w:t>
      </w:r>
      <w:r w:rsidRPr="00B15551">
        <w:rPr>
          <w:rFonts w:ascii="Calibri" w:hAnsi="Calibri" w:cs="Calibri"/>
          <w:b/>
          <w:sz w:val="24"/>
          <w:szCs w:val="24"/>
        </w:rPr>
        <w:t>Function</w:t>
      </w:r>
      <w:r w:rsidRPr="00B15551">
        <w:rPr>
          <w:rFonts w:ascii="Calibri" w:hAnsi="Calibri" w:cs="Calibri"/>
          <w:sz w:val="24"/>
          <w:szCs w:val="24"/>
        </w:rPr>
        <w:t xml:space="preserve"> tab and set the </w:t>
      </w:r>
      <w:r w:rsidRPr="00B15551">
        <w:rPr>
          <w:rFonts w:ascii="Calibri" w:hAnsi="Calibri" w:cs="Calibri"/>
          <w:b/>
          <w:sz w:val="24"/>
          <w:szCs w:val="24"/>
        </w:rPr>
        <w:t xml:space="preserve">function type </w:t>
      </w:r>
      <w:r w:rsidRPr="00B15551">
        <w:rPr>
          <w:rFonts w:ascii="Calibri" w:hAnsi="Calibri" w:cs="Calibri"/>
          <w:sz w:val="24"/>
          <w:szCs w:val="24"/>
        </w:rPr>
        <w:t xml:space="preserve">to </w:t>
      </w:r>
      <w:r w:rsidR="00CD3231" w:rsidRPr="00B15551">
        <w:rPr>
          <w:rFonts w:ascii="Calibri" w:hAnsi="Calibri" w:cs="Calibri"/>
          <w:bCs/>
          <w:sz w:val="24"/>
          <w:szCs w:val="24"/>
        </w:rPr>
        <w:t>multiple reaction monitoring (</w:t>
      </w:r>
      <w:r w:rsidR="00CD3231" w:rsidRPr="00B15551">
        <w:rPr>
          <w:rFonts w:ascii="Calibri" w:hAnsi="Calibri" w:cs="Calibri"/>
          <w:sz w:val="24"/>
          <w:szCs w:val="24"/>
        </w:rPr>
        <w:t>MRM</w:t>
      </w:r>
      <w:r w:rsidRPr="00B15551">
        <w:rPr>
          <w:rFonts w:ascii="Calibri" w:hAnsi="Calibri" w:cs="Calibri"/>
          <w:bCs/>
          <w:sz w:val="24"/>
          <w:szCs w:val="24"/>
        </w:rPr>
        <w:t>)</w:t>
      </w:r>
      <w:r w:rsidRPr="00B15551">
        <w:rPr>
          <w:rFonts w:ascii="Calibri" w:hAnsi="Calibri" w:cs="Calibri"/>
          <w:sz w:val="24"/>
          <w:szCs w:val="24"/>
        </w:rPr>
        <w:t>. Enter ion transitions and parameters listed in</w:t>
      </w:r>
      <w:r w:rsidRPr="00B15551">
        <w:rPr>
          <w:rFonts w:ascii="Calibri" w:hAnsi="Calibri" w:cs="Calibri"/>
          <w:bCs/>
          <w:sz w:val="24"/>
          <w:szCs w:val="24"/>
        </w:rPr>
        <w:t xml:space="preserve"> </w:t>
      </w:r>
      <w:r w:rsidRPr="00B15551">
        <w:rPr>
          <w:rFonts w:ascii="Calibri" w:hAnsi="Calibri" w:cs="Calibri"/>
          <w:b/>
          <w:sz w:val="24"/>
          <w:szCs w:val="24"/>
        </w:rPr>
        <w:t>Table 1</w:t>
      </w:r>
      <w:r w:rsidRPr="00B15551">
        <w:rPr>
          <w:rFonts w:ascii="Calibri" w:hAnsi="Calibri" w:cs="Calibri"/>
          <w:sz w:val="24"/>
          <w:szCs w:val="24"/>
        </w:rPr>
        <w:t xml:space="preserve"> for VCR and VINB (internal standard).</w:t>
      </w:r>
    </w:p>
    <w:p w14:paraId="5346DF8E" w14:textId="77777777" w:rsidR="00F22A4B" w:rsidRPr="00B15551"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rPr>
      </w:pPr>
    </w:p>
    <w:p w14:paraId="4792A067" w14:textId="327711B9" w:rsidR="00C26D6F" w:rsidRPr="00B15551" w:rsidRDefault="00C26D6F"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rPr>
      </w:pPr>
      <w:r w:rsidRPr="00B15551">
        <w:rPr>
          <w:rFonts w:ascii="Calibri" w:hAnsi="Calibri" w:cs="Calibri"/>
          <w:sz w:val="24"/>
          <w:szCs w:val="24"/>
        </w:rPr>
        <w:t xml:space="preserve">Set the </w:t>
      </w:r>
      <w:r w:rsidRPr="00B15551">
        <w:rPr>
          <w:rFonts w:ascii="Calibri" w:hAnsi="Calibri" w:cs="Calibri"/>
          <w:b/>
          <w:sz w:val="24"/>
          <w:szCs w:val="24"/>
        </w:rPr>
        <w:t xml:space="preserve">Acquisition Time </w:t>
      </w:r>
      <w:r w:rsidRPr="00B15551">
        <w:rPr>
          <w:rFonts w:ascii="Calibri" w:hAnsi="Calibri" w:cs="Calibri"/>
          <w:sz w:val="24"/>
          <w:szCs w:val="24"/>
        </w:rPr>
        <w:t xml:space="preserve">to 4 min. Click </w:t>
      </w:r>
      <w:r w:rsidRPr="00B15551">
        <w:rPr>
          <w:rFonts w:ascii="Calibri" w:hAnsi="Calibri" w:cs="Calibri"/>
          <w:b/>
          <w:sz w:val="24"/>
          <w:szCs w:val="24"/>
        </w:rPr>
        <w:t>Apply</w:t>
      </w:r>
      <w:r w:rsidRPr="00B15551">
        <w:rPr>
          <w:rFonts w:ascii="Calibri" w:hAnsi="Calibri" w:cs="Calibri"/>
          <w:sz w:val="24"/>
          <w:szCs w:val="24"/>
        </w:rPr>
        <w:t xml:space="preserve"> to save.</w:t>
      </w:r>
    </w:p>
    <w:p w14:paraId="0AA39DEA" w14:textId="66F67598" w:rsidR="00C26D6F" w:rsidRPr="00B15551" w:rsidRDefault="00C26D6F" w:rsidP="00B86D54">
      <w:pPr>
        <w:pStyle w:val="PargrafodaLista"/>
        <w:pBdr>
          <w:top w:val="nil"/>
          <w:left w:val="nil"/>
          <w:bottom w:val="nil"/>
          <w:right w:val="nil"/>
          <w:between w:val="nil"/>
        </w:pBdr>
        <w:spacing w:after="0" w:line="240" w:lineRule="auto"/>
        <w:ind w:left="0"/>
        <w:rPr>
          <w:rFonts w:ascii="Calibri" w:hAnsi="Calibri" w:cs="Calibri"/>
          <w:sz w:val="24"/>
          <w:szCs w:val="24"/>
        </w:rPr>
      </w:pPr>
      <w:r w:rsidRPr="00B15551">
        <w:rPr>
          <w:rFonts w:ascii="Calibri" w:hAnsi="Calibri" w:cs="Calibri"/>
          <w:sz w:val="24"/>
          <w:szCs w:val="24"/>
        </w:rPr>
        <w:br/>
        <w:t xml:space="preserve"> NOTE:</w:t>
      </w:r>
      <w:r w:rsidRPr="00B15551">
        <w:rPr>
          <w:rFonts w:ascii="Calibri" w:hAnsi="Calibri" w:cs="Calibri"/>
          <w:bCs/>
          <w:sz w:val="24"/>
          <w:szCs w:val="24"/>
        </w:rPr>
        <w:t xml:space="preserve"> </w:t>
      </w:r>
      <w:r w:rsidRPr="00B15551">
        <w:rPr>
          <w:rFonts w:ascii="Calibri" w:hAnsi="Calibri" w:cs="Calibri"/>
          <w:sz w:val="24"/>
          <w:szCs w:val="24"/>
        </w:rPr>
        <w:t>Do not exceed 4 min to ensure column re-equilibration between injections.</w:t>
      </w:r>
    </w:p>
    <w:p w14:paraId="20F6D6C8" w14:textId="41EDD919" w:rsidR="00C26D6F" w:rsidRPr="00B15551" w:rsidRDefault="00C26D6F" w:rsidP="00B86D54">
      <w:pPr>
        <w:pStyle w:val="PargrafodaLista"/>
        <w:pBdr>
          <w:top w:val="nil"/>
          <w:left w:val="nil"/>
          <w:bottom w:val="nil"/>
          <w:right w:val="nil"/>
          <w:between w:val="nil"/>
        </w:pBdr>
        <w:spacing w:after="0" w:line="240" w:lineRule="auto"/>
        <w:ind w:left="0"/>
        <w:rPr>
          <w:rFonts w:ascii="Calibri" w:hAnsi="Calibri" w:cs="Calibri"/>
          <w:sz w:val="24"/>
          <w:szCs w:val="24"/>
        </w:rPr>
      </w:pPr>
    </w:p>
    <w:p w14:paraId="15CFBC60" w14:textId="77777777" w:rsidR="00C26D6F" w:rsidRPr="00B15551" w:rsidRDefault="00C26D6F"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rPr>
      </w:pPr>
      <w:r w:rsidRPr="00B15551">
        <w:rPr>
          <w:rFonts w:ascii="Calibri" w:hAnsi="Calibri" w:cs="Calibri"/>
          <w:sz w:val="24"/>
          <w:szCs w:val="24"/>
        </w:rPr>
        <w:t xml:space="preserve">Configure UHPLC parameters under </w:t>
      </w:r>
      <w:r w:rsidRPr="00B15551">
        <w:rPr>
          <w:rFonts w:ascii="Calibri" w:hAnsi="Calibri" w:cs="Calibri"/>
          <w:b/>
          <w:bCs/>
          <w:sz w:val="24"/>
          <w:szCs w:val="24"/>
        </w:rPr>
        <w:t>Inlet Method</w:t>
      </w:r>
      <w:r w:rsidRPr="00B15551">
        <w:rPr>
          <w:rFonts w:ascii="Calibri" w:hAnsi="Calibri" w:cs="Calibri"/>
          <w:sz w:val="24"/>
          <w:szCs w:val="24"/>
        </w:rPr>
        <w:t xml:space="preserve"> &gt; </w:t>
      </w:r>
      <w:r w:rsidRPr="00B15551">
        <w:rPr>
          <w:rFonts w:ascii="Calibri" w:hAnsi="Calibri" w:cs="Calibri"/>
          <w:b/>
          <w:bCs/>
          <w:sz w:val="24"/>
          <w:szCs w:val="24"/>
        </w:rPr>
        <w:t>Edit LC Method</w:t>
      </w:r>
      <w:r w:rsidRPr="00B15551">
        <w:rPr>
          <w:rFonts w:ascii="Calibri" w:hAnsi="Calibri" w:cs="Calibri"/>
          <w:sz w:val="24"/>
          <w:szCs w:val="24"/>
        </w:rPr>
        <w:t xml:space="preserve"> and save as a .</w:t>
      </w:r>
      <w:proofErr w:type="spellStart"/>
      <w:r w:rsidRPr="00B15551">
        <w:rPr>
          <w:rFonts w:ascii="Calibri" w:hAnsi="Calibri" w:cs="Calibri"/>
          <w:sz w:val="24"/>
          <w:szCs w:val="24"/>
        </w:rPr>
        <w:t>mth</w:t>
      </w:r>
      <w:proofErr w:type="spellEnd"/>
      <w:r w:rsidRPr="00B15551">
        <w:rPr>
          <w:rFonts w:ascii="Calibri" w:hAnsi="Calibri" w:cs="Calibri"/>
          <w:sz w:val="24"/>
          <w:szCs w:val="24"/>
        </w:rPr>
        <w:t xml:space="preserve"> file (</w:t>
      </w:r>
      <w:r w:rsidRPr="00B15551">
        <w:rPr>
          <w:rFonts w:ascii="Calibri" w:hAnsi="Calibri" w:cs="Calibri"/>
          <w:b/>
          <w:bCs/>
          <w:sz w:val="24"/>
          <w:szCs w:val="24"/>
        </w:rPr>
        <w:t>Table 2</w:t>
      </w:r>
      <w:r w:rsidRPr="00B15551">
        <w:rPr>
          <w:rFonts w:ascii="Calibri" w:hAnsi="Calibri" w:cs="Calibri"/>
          <w:sz w:val="24"/>
          <w:szCs w:val="24"/>
        </w:rPr>
        <w:t>).</w:t>
      </w:r>
    </w:p>
    <w:p w14:paraId="0304BAB9" w14:textId="77777777" w:rsidR="00F22A4B" w:rsidRPr="00B15551"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rPr>
      </w:pPr>
    </w:p>
    <w:p w14:paraId="37D4F390" w14:textId="77777777" w:rsidR="00C26D6F" w:rsidRPr="00B15551" w:rsidRDefault="00C26D6F"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rPr>
      </w:pPr>
      <w:r w:rsidRPr="00B15551">
        <w:rPr>
          <w:rFonts w:ascii="Calibri" w:hAnsi="Calibri" w:cs="Calibri"/>
          <w:sz w:val="24"/>
          <w:szCs w:val="24"/>
        </w:rPr>
        <w:t xml:space="preserve">Set source parameters under the </w:t>
      </w:r>
      <w:r w:rsidRPr="00B15551">
        <w:rPr>
          <w:rFonts w:ascii="Calibri" w:hAnsi="Calibri" w:cs="Calibri"/>
          <w:b/>
          <w:bCs/>
          <w:sz w:val="24"/>
          <w:szCs w:val="24"/>
        </w:rPr>
        <w:t>Tune</w:t>
      </w:r>
      <w:r w:rsidRPr="00B15551">
        <w:rPr>
          <w:rFonts w:ascii="Calibri" w:hAnsi="Calibri" w:cs="Calibri"/>
          <w:sz w:val="24"/>
          <w:szCs w:val="24"/>
        </w:rPr>
        <w:t xml:space="preserve"> tab according to </w:t>
      </w:r>
      <w:r w:rsidRPr="00B15551">
        <w:rPr>
          <w:rFonts w:ascii="Calibri" w:hAnsi="Calibri" w:cs="Calibri"/>
          <w:b/>
          <w:bCs/>
          <w:sz w:val="24"/>
          <w:szCs w:val="24"/>
        </w:rPr>
        <w:t>Table 3</w:t>
      </w:r>
      <w:r w:rsidRPr="00B15551">
        <w:rPr>
          <w:rFonts w:ascii="Calibri" w:hAnsi="Calibri" w:cs="Calibri"/>
          <w:sz w:val="24"/>
          <w:szCs w:val="24"/>
        </w:rPr>
        <w:t>. Save as a .tun file.</w:t>
      </w:r>
    </w:p>
    <w:p w14:paraId="2CA6ED14" w14:textId="77777777" w:rsidR="00F22A4B" w:rsidRPr="00B15551"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rPr>
      </w:pPr>
    </w:p>
    <w:p w14:paraId="0BE698BD" w14:textId="1899C998" w:rsidR="00C26D6F" w:rsidRPr="00B15551" w:rsidRDefault="00C26D6F"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rPr>
      </w:pPr>
      <w:r w:rsidRPr="00B15551">
        <w:rPr>
          <w:rFonts w:ascii="Calibri" w:hAnsi="Calibri" w:cs="Calibri"/>
          <w:sz w:val="24"/>
          <w:szCs w:val="24"/>
        </w:rPr>
        <w:t xml:space="preserve">Save the complete method: </w:t>
      </w:r>
      <w:r w:rsidRPr="00B15551">
        <w:rPr>
          <w:rFonts w:ascii="Calibri" w:hAnsi="Calibri" w:cs="Calibri"/>
          <w:b/>
          <w:bCs/>
          <w:sz w:val="24"/>
          <w:szCs w:val="24"/>
        </w:rPr>
        <w:t>File</w:t>
      </w:r>
      <w:r w:rsidRPr="00B15551">
        <w:rPr>
          <w:rFonts w:ascii="Calibri" w:hAnsi="Calibri" w:cs="Calibri"/>
          <w:sz w:val="24"/>
          <w:szCs w:val="24"/>
        </w:rPr>
        <w:t xml:space="preserve"> &gt; </w:t>
      </w:r>
      <w:r w:rsidRPr="00B15551">
        <w:rPr>
          <w:rFonts w:ascii="Calibri" w:hAnsi="Calibri" w:cs="Calibri"/>
          <w:b/>
          <w:bCs/>
          <w:sz w:val="24"/>
          <w:szCs w:val="24"/>
        </w:rPr>
        <w:t>Save As</w:t>
      </w:r>
      <w:r w:rsidRPr="00B15551">
        <w:rPr>
          <w:rFonts w:ascii="Calibri" w:hAnsi="Calibri" w:cs="Calibri"/>
          <w:sz w:val="24"/>
          <w:szCs w:val="24"/>
        </w:rPr>
        <w:t xml:space="preserve">, and </w:t>
      </w:r>
      <w:r w:rsidRPr="00B15551">
        <w:rPr>
          <w:rFonts w:ascii="Calibri" w:hAnsi="Calibri" w:cs="Calibri"/>
          <w:b/>
          <w:bCs/>
          <w:sz w:val="24"/>
          <w:szCs w:val="24"/>
        </w:rPr>
        <w:t>Export as</w:t>
      </w:r>
      <w:r w:rsidRPr="00B15551">
        <w:rPr>
          <w:rFonts w:ascii="Calibri" w:hAnsi="Calibri" w:cs="Calibri"/>
          <w:sz w:val="24"/>
          <w:szCs w:val="24"/>
        </w:rPr>
        <w:t xml:space="preserve"> a .</w:t>
      </w:r>
      <w:proofErr w:type="spellStart"/>
      <w:r w:rsidRPr="00B15551">
        <w:rPr>
          <w:rFonts w:ascii="Calibri" w:hAnsi="Calibri" w:cs="Calibri"/>
          <w:sz w:val="24"/>
          <w:szCs w:val="24"/>
        </w:rPr>
        <w:t>mth</w:t>
      </w:r>
      <w:proofErr w:type="spellEnd"/>
      <w:r w:rsidRPr="00B15551">
        <w:rPr>
          <w:rFonts w:ascii="Calibri" w:hAnsi="Calibri" w:cs="Calibri"/>
          <w:sz w:val="24"/>
          <w:szCs w:val="24"/>
        </w:rPr>
        <w:t xml:space="preserve"> file.</w:t>
      </w:r>
    </w:p>
    <w:p w14:paraId="2B88EA52" w14:textId="77777777" w:rsidR="00F22A4B" w:rsidRPr="00B15551"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rPr>
      </w:pPr>
    </w:p>
    <w:p w14:paraId="71ED427E" w14:textId="0EDA6216" w:rsidR="00C26D6F" w:rsidRPr="00091340" w:rsidRDefault="00C26D6F" w:rsidP="00B86D54">
      <w:pPr>
        <w:pStyle w:val="PargrafodaLista"/>
        <w:numPr>
          <w:ilvl w:val="1"/>
          <w:numId w:val="24"/>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091340">
        <w:rPr>
          <w:rFonts w:ascii="Calibri" w:hAnsi="Calibri" w:cs="Calibri"/>
          <w:sz w:val="24"/>
          <w:szCs w:val="24"/>
          <w:highlight w:val="yellow"/>
        </w:rPr>
        <w:t>Creating a sample list and starting the run</w:t>
      </w:r>
    </w:p>
    <w:p w14:paraId="5B17B174" w14:textId="77777777" w:rsidR="00F22A4B" w:rsidRPr="00091340"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highlight w:val="yellow"/>
        </w:rPr>
      </w:pPr>
    </w:p>
    <w:p w14:paraId="03511E8B" w14:textId="2892C780" w:rsidR="00C26D6F" w:rsidRPr="00091340" w:rsidRDefault="00C26D6F"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091340">
        <w:rPr>
          <w:rFonts w:ascii="Calibri" w:hAnsi="Calibri" w:cs="Calibri"/>
          <w:sz w:val="24"/>
          <w:szCs w:val="24"/>
          <w:highlight w:val="yellow"/>
        </w:rPr>
        <w:t xml:space="preserve">In the software's home screen, open </w:t>
      </w:r>
      <w:r w:rsidRPr="00091340">
        <w:rPr>
          <w:rFonts w:ascii="Calibri" w:hAnsi="Calibri" w:cs="Calibri"/>
          <w:b/>
          <w:sz w:val="24"/>
          <w:szCs w:val="24"/>
          <w:highlight w:val="yellow"/>
        </w:rPr>
        <w:t>Sample List</w:t>
      </w:r>
      <w:r w:rsidRPr="00091340">
        <w:rPr>
          <w:rFonts w:ascii="Calibri" w:hAnsi="Calibri" w:cs="Calibri"/>
          <w:sz w:val="24"/>
          <w:szCs w:val="24"/>
          <w:highlight w:val="yellow"/>
        </w:rPr>
        <w:t xml:space="preserve"> and create a list with the sample names, injection volumes, vial positions, and the method to be used.</w:t>
      </w:r>
    </w:p>
    <w:p w14:paraId="73AE54C8" w14:textId="77777777" w:rsidR="00F22A4B" w:rsidRPr="00091340"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highlight w:val="yellow"/>
        </w:rPr>
      </w:pPr>
    </w:p>
    <w:p w14:paraId="1B6FB6AC" w14:textId="70228E8B" w:rsidR="00C26D6F" w:rsidRPr="00091340" w:rsidRDefault="00C26D6F"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091340">
        <w:rPr>
          <w:rFonts w:ascii="Calibri" w:hAnsi="Calibri" w:cs="Calibri"/>
          <w:sz w:val="24"/>
          <w:szCs w:val="24"/>
          <w:highlight w:val="yellow"/>
        </w:rPr>
        <w:t>Place a vial with ultrapure water in the autosampler tray and designate it as a blank. Run the blank between every set of triplicate injections to avoid carryover.</w:t>
      </w:r>
    </w:p>
    <w:p w14:paraId="5550EADF" w14:textId="273019E7" w:rsidR="00C26D6F" w:rsidRPr="00B15551" w:rsidRDefault="00C26D6F" w:rsidP="00B86D54">
      <w:pPr>
        <w:pStyle w:val="PargrafodaLista"/>
        <w:pBdr>
          <w:top w:val="nil"/>
          <w:left w:val="nil"/>
          <w:bottom w:val="nil"/>
          <w:right w:val="nil"/>
          <w:between w:val="nil"/>
        </w:pBdr>
        <w:spacing w:after="0" w:line="240" w:lineRule="auto"/>
        <w:ind w:left="0"/>
        <w:rPr>
          <w:rFonts w:ascii="Calibri" w:hAnsi="Calibri" w:cs="Calibri"/>
          <w:sz w:val="24"/>
          <w:szCs w:val="24"/>
        </w:rPr>
      </w:pPr>
      <w:r w:rsidRPr="00B15551">
        <w:rPr>
          <w:rFonts w:ascii="Calibri" w:hAnsi="Calibri" w:cs="Calibri"/>
          <w:sz w:val="24"/>
          <w:szCs w:val="24"/>
        </w:rPr>
        <w:br/>
        <w:t>NOTE: Before starting the run, ensure the column pressure (</w:t>
      </w:r>
      <w:r w:rsidRPr="00B15551">
        <w:rPr>
          <w:rFonts w:ascii="Calibri" w:hAnsi="Calibri" w:cs="Calibri"/>
          <w:sz w:val="24"/>
          <w:szCs w:val="24"/>
          <w:lang w:val="pt-BR"/>
        </w:rPr>
        <w:t>Δ</w:t>
      </w:r>
      <w:r w:rsidRPr="00B15551">
        <w:rPr>
          <w:rFonts w:ascii="Calibri" w:hAnsi="Calibri" w:cs="Calibri"/>
          <w:sz w:val="24"/>
          <w:szCs w:val="24"/>
        </w:rPr>
        <w:t>P) is stable and less than 10 psi.</w:t>
      </w:r>
    </w:p>
    <w:p w14:paraId="2ED1D9F0" w14:textId="1C4F5C95" w:rsidR="00C26D6F" w:rsidRPr="00B15551" w:rsidRDefault="00C26D6F" w:rsidP="00B86D54">
      <w:pPr>
        <w:pStyle w:val="PargrafodaLista"/>
        <w:pBdr>
          <w:top w:val="nil"/>
          <w:left w:val="nil"/>
          <w:bottom w:val="nil"/>
          <w:right w:val="nil"/>
          <w:between w:val="nil"/>
        </w:pBdr>
        <w:spacing w:after="0" w:line="240" w:lineRule="auto"/>
        <w:ind w:left="0"/>
        <w:rPr>
          <w:rFonts w:ascii="Calibri" w:hAnsi="Calibri" w:cs="Calibri"/>
          <w:sz w:val="24"/>
          <w:szCs w:val="24"/>
        </w:rPr>
      </w:pPr>
    </w:p>
    <w:p w14:paraId="7206D526" w14:textId="491315C8" w:rsidR="00C26D6F" w:rsidRPr="00091340" w:rsidRDefault="00C26D6F" w:rsidP="00B86D54">
      <w:pPr>
        <w:pStyle w:val="PargrafodaLista"/>
        <w:numPr>
          <w:ilvl w:val="2"/>
          <w:numId w:val="24"/>
        </w:numPr>
        <w:pBdr>
          <w:top w:val="nil"/>
          <w:left w:val="nil"/>
          <w:bottom w:val="nil"/>
          <w:right w:val="nil"/>
          <w:between w:val="nil"/>
        </w:pBdr>
        <w:spacing w:after="0" w:line="240" w:lineRule="auto"/>
        <w:ind w:left="0" w:firstLine="0"/>
        <w:rPr>
          <w:rFonts w:ascii="Calibri" w:hAnsi="Calibri" w:cs="Calibri"/>
          <w:sz w:val="24"/>
          <w:szCs w:val="24"/>
          <w:highlight w:val="yellow"/>
        </w:rPr>
      </w:pPr>
      <w:r w:rsidRPr="00091340">
        <w:rPr>
          <w:rFonts w:ascii="Calibri" w:hAnsi="Calibri" w:cs="Calibri"/>
          <w:sz w:val="24"/>
          <w:szCs w:val="24"/>
          <w:highlight w:val="yellow"/>
        </w:rPr>
        <w:t xml:space="preserve">Select the desired rows in the </w:t>
      </w:r>
      <w:r w:rsidRPr="00091340">
        <w:rPr>
          <w:rFonts w:ascii="Calibri" w:hAnsi="Calibri" w:cs="Calibri"/>
          <w:b/>
          <w:sz w:val="24"/>
          <w:szCs w:val="24"/>
          <w:highlight w:val="yellow"/>
        </w:rPr>
        <w:t xml:space="preserve">Sample List </w:t>
      </w:r>
      <w:r w:rsidRPr="00091340">
        <w:rPr>
          <w:rFonts w:ascii="Calibri" w:hAnsi="Calibri" w:cs="Calibri"/>
          <w:sz w:val="24"/>
          <w:szCs w:val="24"/>
          <w:highlight w:val="yellow"/>
        </w:rPr>
        <w:t xml:space="preserve">and click </w:t>
      </w:r>
      <w:r w:rsidRPr="00091340">
        <w:rPr>
          <w:rFonts w:ascii="Calibri" w:hAnsi="Calibri" w:cs="Calibri"/>
          <w:b/>
          <w:sz w:val="24"/>
          <w:szCs w:val="24"/>
          <w:highlight w:val="yellow"/>
        </w:rPr>
        <w:t>Run</w:t>
      </w:r>
      <w:r w:rsidRPr="00091340">
        <w:rPr>
          <w:rFonts w:ascii="Calibri" w:hAnsi="Calibri" w:cs="Calibri"/>
          <w:sz w:val="24"/>
          <w:szCs w:val="24"/>
          <w:highlight w:val="yellow"/>
        </w:rPr>
        <w:t xml:space="preserve"> &gt; </w:t>
      </w:r>
      <w:r w:rsidRPr="00091340">
        <w:rPr>
          <w:rFonts w:ascii="Calibri" w:hAnsi="Calibri" w:cs="Calibri"/>
          <w:b/>
          <w:sz w:val="24"/>
          <w:szCs w:val="24"/>
          <w:highlight w:val="yellow"/>
        </w:rPr>
        <w:t>OK</w:t>
      </w:r>
      <w:r w:rsidRPr="00091340">
        <w:rPr>
          <w:rFonts w:ascii="Calibri" w:hAnsi="Calibri" w:cs="Calibri"/>
          <w:bCs/>
          <w:sz w:val="24"/>
          <w:szCs w:val="24"/>
          <w:highlight w:val="yellow"/>
        </w:rPr>
        <w:t xml:space="preserve"> </w:t>
      </w:r>
      <w:r w:rsidRPr="00091340">
        <w:rPr>
          <w:rFonts w:ascii="Calibri" w:hAnsi="Calibri" w:cs="Calibri"/>
          <w:sz w:val="24"/>
          <w:szCs w:val="24"/>
          <w:highlight w:val="yellow"/>
        </w:rPr>
        <w:t>to begin data acquisition.</w:t>
      </w:r>
    </w:p>
    <w:p w14:paraId="0DF6CD4F" w14:textId="77777777" w:rsidR="00F22A4B" w:rsidRPr="00B15551" w:rsidRDefault="00F22A4B" w:rsidP="00B86D54">
      <w:pPr>
        <w:pStyle w:val="PargrafodaLista"/>
        <w:pBdr>
          <w:top w:val="nil"/>
          <w:left w:val="nil"/>
          <w:bottom w:val="nil"/>
          <w:right w:val="nil"/>
          <w:between w:val="nil"/>
        </w:pBdr>
        <w:spacing w:after="0" w:line="240" w:lineRule="auto"/>
        <w:ind w:left="0"/>
        <w:rPr>
          <w:rFonts w:ascii="Calibri" w:hAnsi="Calibri" w:cs="Calibri"/>
          <w:sz w:val="24"/>
          <w:szCs w:val="24"/>
        </w:rPr>
      </w:pPr>
    </w:p>
    <w:p w14:paraId="42EC5C75" w14:textId="77777777" w:rsidR="00C26D6F" w:rsidRPr="00B15551" w:rsidRDefault="00C26D6F" w:rsidP="00B86D54">
      <w:pPr>
        <w:pStyle w:val="NormalWeb"/>
        <w:numPr>
          <w:ilvl w:val="0"/>
          <w:numId w:val="24"/>
        </w:numPr>
        <w:spacing w:before="0" w:beforeAutospacing="0" w:after="0" w:afterAutospacing="0"/>
        <w:ind w:left="0" w:firstLine="0"/>
        <w:textAlignment w:val="baseline"/>
        <w:rPr>
          <w:rFonts w:ascii="Calibri" w:hAnsi="Calibri" w:cs="Calibri"/>
          <w:b/>
          <w:bCs/>
        </w:rPr>
      </w:pPr>
      <w:r w:rsidRPr="00B15551">
        <w:rPr>
          <w:rFonts w:ascii="Calibri" w:hAnsi="Calibri" w:cs="Calibri"/>
          <w:b/>
          <w:bCs/>
        </w:rPr>
        <w:t xml:space="preserve">Data </w:t>
      </w:r>
      <w:proofErr w:type="spellStart"/>
      <w:r w:rsidRPr="00B15551">
        <w:rPr>
          <w:rFonts w:ascii="Calibri" w:hAnsi="Calibri" w:cs="Calibri"/>
          <w:b/>
          <w:bCs/>
        </w:rPr>
        <w:t>analysis</w:t>
      </w:r>
      <w:proofErr w:type="spellEnd"/>
    </w:p>
    <w:p w14:paraId="4B07359F" w14:textId="77777777" w:rsidR="00F22A4B" w:rsidRPr="00B15551" w:rsidRDefault="00F22A4B" w:rsidP="00B86D54">
      <w:pPr>
        <w:pStyle w:val="NormalWeb"/>
        <w:spacing w:before="0" w:beforeAutospacing="0" w:after="0" w:afterAutospacing="0"/>
        <w:textAlignment w:val="baseline"/>
        <w:rPr>
          <w:rFonts w:ascii="Calibri" w:hAnsi="Calibri" w:cs="Calibri"/>
          <w:b/>
          <w:bCs/>
        </w:rPr>
      </w:pPr>
    </w:p>
    <w:p w14:paraId="1F0C8317" w14:textId="049417D9" w:rsidR="00C26D6F" w:rsidRPr="00091340" w:rsidRDefault="00C26D6F" w:rsidP="00B86D54">
      <w:pPr>
        <w:pStyle w:val="NormalWeb"/>
        <w:numPr>
          <w:ilvl w:val="1"/>
          <w:numId w:val="24"/>
        </w:numPr>
        <w:spacing w:before="0" w:beforeAutospacing="0" w:after="0" w:afterAutospacing="0"/>
        <w:ind w:left="0" w:firstLine="0"/>
        <w:textAlignment w:val="baseline"/>
        <w:rPr>
          <w:rFonts w:ascii="Calibri" w:hAnsi="Calibri" w:cs="Calibri"/>
          <w:highlight w:val="yellow"/>
        </w:rPr>
      </w:pPr>
      <w:r w:rsidRPr="00091340">
        <w:rPr>
          <w:rFonts w:ascii="Calibri" w:hAnsi="Calibri" w:cs="Calibri"/>
          <w:highlight w:val="yellow"/>
        </w:rPr>
        <w:t xml:space="preserve">Data </w:t>
      </w:r>
      <w:proofErr w:type="spellStart"/>
      <w:r w:rsidRPr="00091340">
        <w:rPr>
          <w:rFonts w:ascii="Calibri" w:hAnsi="Calibri" w:cs="Calibri"/>
          <w:highlight w:val="yellow"/>
        </w:rPr>
        <w:t>visualization</w:t>
      </w:r>
      <w:proofErr w:type="spellEnd"/>
      <w:r w:rsidRPr="00091340">
        <w:rPr>
          <w:rFonts w:ascii="Calibri" w:hAnsi="Calibri" w:cs="Calibri"/>
          <w:highlight w:val="yellow"/>
        </w:rPr>
        <w:t xml:space="preserve"> </w:t>
      </w:r>
      <w:proofErr w:type="spellStart"/>
      <w:r w:rsidRPr="00091340">
        <w:rPr>
          <w:rFonts w:ascii="Calibri" w:hAnsi="Calibri" w:cs="Calibri"/>
          <w:highlight w:val="yellow"/>
        </w:rPr>
        <w:t>and</w:t>
      </w:r>
      <w:proofErr w:type="spellEnd"/>
      <w:r w:rsidRPr="00091340">
        <w:rPr>
          <w:rFonts w:ascii="Calibri" w:hAnsi="Calibri" w:cs="Calibri"/>
          <w:highlight w:val="yellow"/>
        </w:rPr>
        <w:t xml:space="preserve"> </w:t>
      </w:r>
      <w:proofErr w:type="spellStart"/>
      <w:r w:rsidRPr="00091340">
        <w:rPr>
          <w:rFonts w:ascii="Calibri" w:hAnsi="Calibri" w:cs="Calibri"/>
          <w:highlight w:val="yellow"/>
        </w:rPr>
        <w:t>export</w:t>
      </w:r>
      <w:proofErr w:type="spellEnd"/>
    </w:p>
    <w:p w14:paraId="29A69CB8" w14:textId="77777777" w:rsidR="00F22A4B" w:rsidRPr="00091340" w:rsidRDefault="00F22A4B" w:rsidP="00B86D54">
      <w:pPr>
        <w:pStyle w:val="NormalWeb"/>
        <w:spacing w:before="0" w:beforeAutospacing="0" w:after="0" w:afterAutospacing="0"/>
        <w:textAlignment w:val="baseline"/>
        <w:rPr>
          <w:rFonts w:ascii="Calibri" w:hAnsi="Calibri" w:cs="Calibri"/>
          <w:highlight w:val="yellow"/>
        </w:rPr>
      </w:pPr>
    </w:p>
    <w:p w14:paraId="72B51E9C" w14:textId="499816CB" w:rsidR="00C26D6F" w:rsidRPr="00091340" w:rsidRDefault="00C26D6F" w:rsidP="00B86D54">
      <w:pPr>
        <w:pStyle w:val="NormalWeb"/>
        <w:numPr>
          <w:ilvl w:val="2"/>
          <w:numId w:val="24"/>
        </w:numPr>
        <w:spacing w:before="0" w:beforeAutospacing="0" w:after="0" w:afterAutospacing="0"/>
        <w:ind w:left="0" w:firstLine="0"/>
        <w:textAlignment w:val="baseline"/>
        <w:rPr>
          <w:rFonts w:ascii="Calibri" w:hAnsi="Calibri" w:cs="Calibri"/>
          <w:highlight w:val="yellow"/>
          <w:lang w:val="en-US"/>
        </w:rPr>
      </w:pPr>
      <w:r w:rsidRPr="00091340">
        <w:rPr>
          <w:rFonts w:ascii="Calibri" w:hAnsi="Calibri" w:cs="Calibri"/>
          <w:highlight w:val="yellow"/>
          <w:lang w:val="en-US"/>
        </w:rPr>
        <w:t xml:space="preserve">After the run completes, view chromatograms by selecting a sample and clicking </w:t>
      </w:r>
      <w:r w:rsidRPr="00091340">
        <w:rPr>
          <w:rFonts w:ascii="Calibri" w:hAnsi="Calibri" w:cs="Calibri"/>
          <w:b/>
          <w:bCs/>
          <w:highlight w:val="yellow"/>
          <w:lang w:val="en-US"/>
        </w:rPr>
        <w:t>Chromatogram</w:t>
      </w:r>
      <w:r w:rsidRPr="00091340">
        <w:rPr>
          <w:rFonts w:ascii="Calibri" w:hAnsi="Calibri" w:cs="Calibri"/>
          <w:highlight w:val="yellow"/>
          <w:lang w:val="en-US"/>
        </w:rPr>
        <w:t xml:space="preserve"> in the top menu bar.</w:t>
      </w:r>
    </w:p>
    <w:p w14:paraId="1D05ABEA" w14:textId="77777777" w:rsidR="00F22A4B" w:rsidRPr="00091340" w:rsidRDefault="00F22A4B" w:rsidP="00B86D54">
      <w:pPr>
        <w:pStyle w:val="NormalWeb"/>
        <w:spacing w:before="0" w:beforeAutospacing="0" w:after="0" w:afterAutospacing="0"/>
        <w:textAlignment w:val="baseline"/>
        <w:rPr>
          <w:rFonts w:ascii="Calibri" w:hAnsi="Calibri" w:cs="Calibri"/>
          <w:highlight w:val="yellow"/>
          <w:lang w:val="en-US"/>
        </w:rPr>
      </w:pPr>
    </w:p>
    <w:p w14:paraId="4F10C8F0" w14:textId="33DE0F15" w:rsidR="00C26D6F" w:rsidRPr="00091340" w:rsidRDefault="00C26D6F" w:rsidP="00B86D54">
      <w:pPr>
        <w:pStyle w:val="NormalWeb"/>
        <w:numPr>
          <w:ilvl w:val="2"/>
          <w:numId w:val="24"/>
        </w:numPr>
        <w:spacing w:before="0" w:beforeAutospacing="0" w:after="0" w:afterAutospacing="0"/>
        <w:ind w:left="0" w:firstLine="0"/>
        <w:textAlignment w:val="baseline"/>
        <w:rPr>
          <w:rFonts w:ascii="Calibri" w:hAnsi="Calibri" w:cs="Calibri"/>
          <w:highlight w:val="yellow"/>
          <w:lang w:val="en-US"/>
        </w:rPr>
      </w:pPr>
      <w:r w:rsidRPr="00091340">
        <w:rPr>
          <w:rFonts w:ascii="Calibri" w:hAnsi="Calibri" w:cs="Calibri"/>
          <w:highlight w:val="yellow"/>
          <w:lang w:val="en-US"/>
        </w:rPr>
        <w:t xml:space="preserve">On the home screen, click </w:t>
      </w:r>
      <w:r w:rsidRPr="00091340">
        <w:rPr>
          <w:rFonts w:ascii="Calibri" w:hAnsi="Calibri" w:cs="Calibri"/>
          <w:b/>
          <w:bCs/>
          <w:highlight w:val="yellow"/>
          <w:lang w:val="en-US"/>
        </w:rPr>
        <w:t>Browse</w:t>
      </w:r>
      <w:r w:rsidRPr="00091340">
        <w:rPr>
          <w:rFonts w:ascii="Calibri" w:hAnsi="Calibri" w:cs="Calibri"/>
          <w:highlight w:val="yellow"/>
          <w:lang w:val="en-US"/>
        </w:rPr>
        <w:t xml:space="preserve"> and navigate to the folder where the </w:t>
      </w:r>
      <w:proofErr w:type="gramStart"/>
      <w:r w:rsidRPr="00091340">
        <w:rPr>
          <w:rFonts w:ascii="Calibri" w:hAnsi="Calibri" w:cs="Calibri"/>
          <w:highlight w:val="yellow"/>
          <w:lang w:val="en-US"/>
        </w:rPr>
        <w:t>".raw</w:t>
      </w:r>
      <w:proofErr w:type="gramEnd"/>
      <w:r w:rsidRPr="00091340">
        <w:rPr>
          <w:rFonts w:ascii="Calibri" w:hAnsi="Calibri" w:cs="Calibri"/>
          <w:highlight w:val="yellow"/>
          <w:lang w:val="en-US"/>
        </w:rPr>
        <w:t xml:space="preserve">" files are saved. Select the files and click </w:t>
      </w:r>
      <w:r w:rsidRPr="00091340">
        <w:rPr>
          <w:rFonts w:ascii="Calibri" w:hAnsi="Calibri" w:cs="Calibri"/>
          <w:b/>
          <w:bCs/>
          <w:highlight w:val="yellow"/>
          <w:lang w:val="en-US"/>
        </w:rPr>
        <w:t>Process</w:t>
      </w:r>
      <w:r w:rsidRPr="00091340">
        <w:rPr>
          <w:rFonts w:ascii="Calibri" w:hAnsi="Calibri" w:cs="Calibri"/>
          <w:i/>
          <w:iCs/>
          <w:highlight w:val="yellow"/>
          <w:lang w:val="en-US"/>
        </w:rPr>
        <w:t xml:space="preserve"> &gt; </w:t>
      </w:r>
      <w:r w:rsidRPr="00091340">
        <w:rPr>
          <w:rFonts w:ascii="Calibri" w:hAnsi="Calibri" w:cs="Calibri"/>
          <w:b/>
          <w:bCs/>
          <w:highlight w:val="yellow"/>
          <w:lang w:val="en-US"/>
        </w:rPr>
        <w:t>Process All</w:t>
      </w:r>
      <w:r w:rsidRPr="00091340">
        <w:rPr>
          <w:rFonts w:ascii="Calibri" w:hAnsi="Calibri" w:cs="Calibri"/>
          <w:highlight w:val="yellow"/>
          <w:lang w:val="en-US"/>
        </w:rPr>
        <w:t xml:space="preserve"> to generate output tables.</w:t>
      </w:r>
    </w:p>
    <w:p w14:paraId="1F13A89A" w14:textId="77777777" w:rsidR="00F22A4B" w:rsidRPr="00B15551" w:rsidRDefault="00F22A4B" w:rsidP="00B86D54">
      <w:pPr>
        <w:pStyle w:val="NormalWeb"/>
        <w:spacing w:before="0" w:beforeAutospacing="0" w:after="0" w:afterAutospacing="0"/>
        <w:textAlignment w:val="baseline"/>
        <w:rPr>
          <w:rFonts w:ascii="Calibri" w:hAnsi="Calibri" w:cs="Calibri"/>
          <w:lang w:val="en-US"/>
        </w:rPr>
      </w:pPr>
    </w:p>
    <w:p w14:paraId="2893F937" w14:textId="6A49AE92" w:rsidR="00C26D6F" w:rsidRPr="00B15551" w:rsidRDefault="00C26D6F" w:rsidP="00B86D54">
      <w:pPr>
        <w:pStyle w:val="NormalWeb"/>
        <w:numPr>
          <w:ilvl w:val="2"/>
          <w:numId w:val="24"/>
        </w:numPr>
        <w:spacing w:before="0" w:beforeAutospacing="0" w:after="0" w:afterAutospacing="0"/>
        <w:ind w:left="0" w:firstLine="0"/>
        <w:textAlignment w:val="baseline"/>
        <w:rPr>
          <w:rFonts w:ascii="Calibri" w:hAnsi="Calibri" w:cs="Calibri"/>
          <w:lang w:val="en-US"/>
        </w:rPr>
      </w:pPr>
      <w:r w:rsidRPr="00B15551">
        <w:rPr>
          <w:rFonts w:ascii="Calibri" w:hAnsi="Calibri" w:cs="Calibri"/>
          <w:lang w:val="en-US"/>
        </w:rPr>
        <w:t xml:space="preserve">Click </w:t>
      </w:r>
      <w:r w:rsidRPr="00B15551">
        <w:rPr>
          <w:rFonts w:ascii="Calibri" w:hAnsi="Calibri" w:cs="Calibri"/>
          <w:b/>
          <w:bCs/>
          <w:lang w:val="en-US"/>
        </w:rPr>
        <w:t>Report</w:t>
      </w:r>
      <w:r w:rsidRPr="00B15551">
        <w:rPr>
          <w:rFonts w:ascii="Calibri" w:hAnsi="Calibri" w:cs="Calibri"/>
          <w:lang w:val="en-US"/>
        </w:rPr>
        <w:t xml:space="preserve"> &gt; </w:t>
      </w:r>
      <w:r w:rsidRPr="00B15551">
        <w:rPr>
          <w:rFonts w:ascii="Calibri" w:hAnsi="Calibri" w:cs="Calibri"/>
          <w:b/>
          <w:bCs/>
          <w:lang w:val="en-US"/>
        </w:rPr>
        <w:t>Export Table</w:t>
      </w:r>
      <w:r w:rsidRPr="00B15551">
        <w:rPr>
          <w:rFonts w:ascii="Calibri" w:hAnsi="Calibri" w:cs="Calibri"/>
          <w:lang w:val="en-US"/>
        </w:rPr>
        <w:t xml:space="preserve"> and save the processed data as a .csv or .xlsx file.</w:t>
      </w:r>
    </w:p>
    <w:p w14:paraId="5519BD7F" w14:textId="77777777" w:rsidR="00F435B8" w:rsidRPr="00B15551" w:rsidRDefault="00F435B8" w:rsidP="00B86D54">
      <w:pPr>
        <w:pStyle w:val="NormalWeb"/>
        <w:spacing w:before="0" w:beforeAutospacing="0" w:after="0" w:afterAutospacing="0"/>
        <w:textAlignment w:val="baseline"/>
        <w:rPr>
          <w:rFonts w:ascii="Calibri" w:hAnsi="Calibri" w:cs="Calibri"/>
          <w:lang w:val="en-US"/>
        </w:rPr>
      </w:pPr>
    </w:p>
    <w:p w14:paraId="74EB4BD0" w14:textId="77777777" w:rsidR="00F435B8" w:rsidRPr="00B15551" w:rsidRDefault="00F435B8" w:rsidP="00B86D54">
      <w:pPr>
        <w:pStyle w:val="NormalWeb"/>
        <w:spacing w:before="0" w:beforeAutospacing="0" w:after="0" w:afterAutospacing="0"/>
        <w:jc w:val="both"/>
        <w:rPr>
          <w:rFonts w:ascii="Calibri" w:hAnsi="Calibri" w:cs="Calibri"/>
          <w:lang w:val="en-US"/>
        </w:rPr>
      </w:pPr>
      <w:r w:rsidRPr="00B15551">
        <w:rPr>
          <w:rFonts w:ascii="Calibri" w:hAnsi="Calibri" w:cs="Calibri"/>
          <w:lang w:val="en-US"/>
        </w:rPr>
        <w:t>NOTE: Export raw peak areas for both the analyte and internal standard.</w:t>
      </w:r>
    </w:p>
    <w:p w14:paraId="6C5138EE" w14:textId="77777777" w:rsidR="00F435B8" w:rsidRPr="00B15551" w:rsidRDefault="00F435B8" w:rsidP="00B86D54">
      <w:pPr>
        <w:pStyle w:val="NormalWeb"/>
        <w:spacing w:before="0" w:beforeAutospacing="0" w:after="0" w:afterAutospacing="0"/>
        <w:textAlignment w:val="baseline"/>
        <w:rPr>
          <w:rFonts w:ascii="Calibri" w:hAnsi="Calibri" w:cs="Calibri"/>
          <w:lang w:val="en-US"/>
        </w:rPr>
      </w:pPr>
    </w:p>
    <w:p w14:paraId="2950E7EA" w14:textId="6A8415F1" w:rsidR="00F435B8" w:rsidRPr="00B15551" w:rsidRDefault="00F435B8" w:rsidP="00B86D54">
      <w:pPr>
        <w:pStyle w:val="NormalWeb"/>
        <w:numPr>
          <w:ilvl w:val="1"/>
          <w:numId w:val="24"/>
        </w:numPr>
        <w:spacing w:before="0" w:beforeAutospacing="0" w:after="0" w:afterAutospacing="0"/>
        <w:ind w:left="0" w:firstLine="0"/>
        <w:textAlignment w:val="baseline"/>
        <w:rPr>
          <w:rFonts w:ascii="Calibri" w:hAnsi="Calibri" w:cs="Calibri"/>
          <w:lang w:val="en-US"/>
        </w:rPr>
      </w:pPr>
      <w:r w:rsidRPr="00B15551">
        <w:rPr>
          <w:rFonts w:ascii="Calibri" w:hAnsi="Calibri" w:cs="Calibri"/>
          <w:lang w:val="en-US"/>
        </w:rPr>
        <w:t>Data organization and ratio calculation</w:t>
      </w:r>
    </w:p>
    <w:p w14:paraId="035C0386" w14:textId="77777777" w:rsidR="00F22A4B" w:rsidRPr="00B15551" w:rsidRDefault="00F22A4B" w:rsidP="00B86D54">
      <w:pPr>
        <w:pStyle w:val="NormalWeb"/>
        <w:spacing w:before="0" w:beforeAutospacing="0" w:after="0" w:afterAutospacing="0"/>
        <w:textAlignment w:val="baseline"/>
        <w:rPr>
          <w:rFonts w:ascii="Calibri" w:hAnsi="Calibri" w:cs="Calibri"/>
          <w:lang w:val="en-US"/>
        </w:rPr>
      </w:pPr>
    </w:p>
    <w:p w14:paraId="5BF8D2CD" w14:textId="18FDB61C" w:rsidR="00C26D6F" w:rsidRPr="00B15551" w:rsidRDefault="00F435B8" w:rsidP="00B86D54">
      <w:pPr>
        <w:pStyle w:val="NormalWeb"/>
        <w:numPr>
          <w:ilvl w:val="2"/>
          <w:numId w:val="24"/>
        </w:numPr>
        <w:spacing w:before="0" w:beforeAutospacing="0" w:after="0" w:afterAutospacing="0"/>
        <w:ind w:left="0" w:firstLine="0"/>
        <w:textAlignment w:val="baseline"/>
        <w:rPr>
          <w:rFonts w:ascii="Calibri" w:hAnsi="Calibri" w:cs="Calibri"/>
          <w:lang w:val="en-US"/>
        </w:rPr>
      </w:pPr>
      <w:r w:rsidRPr="00B15551">
        <w:rPr>
          <w:rFonts w:ascii="Calibri" w:hAnsi="Calibri" w:cs="Calibri"/>
          <w:lang w:val="en-US"/>
        </w:rPr>
        <w:t>Open the exported file and create the following columns:</w:t>
      </w:r>
    </w:p>
    <w:p w14:paraId="3C299233" w14:textId="77777777" w:rsidR="00F22A4B" w:rsidRPr="00B15551" w:rsidRDefault="00F22A4B" w:rsidP="00B86D54">
      <w:pPr>
        <w:pStyle w:val="NormalWeb"/>
        <w:spacing w:before="0" w:beforeAutospacing="0" w:after="0" w:afterAutospacing="0"/>
        <w:textAlignment w:val="baseline"/>
        <w:rPr>
          <w:rFonts w:ascii="Calibri" w:hAnsi="Calibri" w:cs="Calibri"/>
          <w:lang w:val="en-US"/>
        </w:rPr>
      </w:pPr>
    </w:p>
    <w:p w14:paraId="0814CEEA" w14:textId="1A67108A" w:rsidR="00F435B8" w:rsidRPr="00B15551" w:rsidRDefault="00F435B8" w:rsidP="00B86D54">
      <w:pPr>
        <w:pStyle w:val="NormalWeb"/>
        <w:numPr>
          <w:ilvl w:val="3"/>
          <w:numId w:val="24"/>
        </w:numPr>
        <w:spacing w:before="0" w:beforeAutospacing="0" w:after="0" w:afterAutospacing="0"/>
        <w:ind w:left="0" w:firstLine="0"/>
        <w:textAlignment w:val="baseline"/>
        <w:rPr>
          <w:rFonts w:ascii="Calibri" w:hAnsi="Calibri" w:cs="Calibri"/>
          <w:lang w:val="en-US"/>
        </w:rPr>
      </w:pPr>
      <w:r w:rsidRPr="00B15551">
        <w:rPr>
          <w:rFonts w:ascii="Calibri" w:hAnsi="Calibri" w:cs="Calibri"/>
          <w:lang w:val="en-US"/>
        </w:rPr>
        <w:t>Sample: Add the sample or vial name.</w:t>
      </w:r>
    </w:p>
    <w:p w14:paraId="7C67DFBE" w14:textId="77777777" w:rsidR="00F22A4B" w:rsidRPr="00B15551" w:rsidRDefault="00F22A4B" w:rsidP="00B86D54">
      <w:pPr>
        <w:pStyle w:val="NormalWeb"/>
        <w:spacing w:before="0" w:beforeAutospacing="0" w:after="0" w:afterAutospacing="0"/>
        <w:textAlignment w:val="baseline"/>
        <w:rPr>
          <w:rFonts w:ascii="Calibri" w:hAnsi="Calibri" w:cs="Calibri"/>
          <w:lang w:val="en-US"/>
        </w:rPr>
      </w:pPr>
    </w:p>
    <w:p w14:paraId="68135165" w14:textId="6EB53EA9" w:rsidR="00F435B8" w:rsidRPr="00B15551" w:rsidRDefault="00F435B8" w:rsidP="00B86D54">
      <w:pPr>
        <w:pStyle w:val="NormalWeb"/>
        <w:numPr>
          <w:ilvl w:val="3"/>
          <w:numId w:val="24"/>
        </w:numPr>
        <w:spacing w:before="0" w:beforeAutospacing="0" w:after="0" w:afterAutospacing="0"/>
        <w:ind w:left="0" w:firstLine="0"/>
        <w:textAlignment w:val="baseline"/>
        <w:rPr>
          <w:rFonts w:ascii="Calibri" w:hAnsi="Calibri" w:cs="Calibri"/>
          <w:lang w:val="en-US"/>
        </w:rPr>
      </w:pPr>
      <w:r w:rsidRPr="00B15551">
        <w:rPr>
          <w:rFonts w:ascii="Calibri" w:hAnsi="Calibri" w:cs="Calibri"/>
          <w:lang w:val="en-US"/>
        </w:rPr>
        <w:t>Run: Indicate which replicate the value corresponds to.</w:t>
      </w:r>
    </w:p>
    <w:p w14:paraId="7276A0F9" w14:textId="77777777" w:rsidR="00F22A4B" w:rsidRPr="00B15551" w:rsidRDefault="00F22A4B" w:rsidP="00B86D54">
      <w:pPr>
        <w:pStyle w:val="NormalWeb"/>
        <w:spacing w:before="0" w:beforeAutospacing="0" w:after="0" w:afterAutospacing="0"/>
        <w:textAlignment w:val="baseline"/>
        <w:rPr>
          <w:rFonts w:ascii="Calibri" w:hAnsi="Calibri" w:cs="Calibri"/>
          <w:lang w:val="en-US"/>
        </w:rPr>
      </w:pPr>
    </w:p>
    <w:p w14:paraId="445BCF46" w14:textId="1F312CFB" w:rsidR="00F435B8" w:rsidRPr="00B15551" w:rsidRDefault="00F435B8" w:rsidP="00B86D54">
      <w:pPr>
        <w:pStyle w:val="NormalWeb"/>
        <w:numPr>
          <w:ilvl w:val="3"/>
          <w:numId w:val="24"/>
        </w:numPr>
        <w:spacing w:before="0" w:beforeAutospacing="0" w:after="0" w:afterAutospacing="0"/>
        <w:ind w:left="0" w:firstLine="0"/>
        <w:textAlignment w:val="baseline"/>
        <w:rPr>
          <w:rFonts w:ascii="Calibri" w:hAnsi="Calibri" w:cs="Calibri"/>
          <w:lang w:val="en-US"/>
        </w:rPr>
      </w:pPr>
      <w:r w:rsidRPr="00B15551">
        <w:rPr>
          <w:rFonts w:ascii="Calibri" w:hAnsi="Calibri" w:cs="Calibri"/>
          <w:lang w:val="en-US"/>
        </w:rPr>
        <w:t>VCR Area: Input the area under the peak for vincristine.</w:t>
      </w:r>
    </w:p>
    <w:p w14:paraId="65684B0B" w14:textId="77777777" w:rsidR="00F22A4B" w:rsidRPr="00B15551" w:rsidRDefault="00F22A4B" w:rsidP="00B86D54">
      <w:pPr>
        <w:pStyle w:val="NormalWeb"/>
        <w:spacing w:before="0" w:beforeAutospacing="0" w:after="0" w:afterAutospacing="0"/>
        <w:textAlignment w:val="baseline"/>
        <w:rPr>
          <w:rFonts w:ascii="Calibri" w:hAnsi="Calibri" w:cs="Calibri"/>
          <w:lang w:val="en-US"/>
        </w:rPr>
      </w:pPr>
    </w:p>
    <w:p w14:paraId="4CAF3259" w14:textId="4C127BC1" w:rsidR="00F435B8" w:rsidRPr="00B15551" w:rsidRDefault="00F435B8" w:rsidP="00B86D54">
      <w:pPr>
        <w:pStyle w:val="NormalWeb"/>
        <w:numPr>
          <w:ilvl w:val="3"/>
          <w:numId w:val="24"/>
        </w:numPr>
        <w:spacing w:before="0" w:beforeAutospacing="0" w:after="0" w:afterAutospacing="0"/>
        <w:ind w:left="0" w:firstLine="0"/>
        <w:textAlignment w:val="baseline"/>
        <w:rPr>
          <w:rFonts w:ascii="Calibri" w:hAnsi="Calibri" w:cs="Calibri"/>
          <w:lang w:val="en-US"/>
        </w:rPr>
      </w:pPr>
      <w:r w:rsidRPr="00B15551">
        <w:rPr>
          <w:rFonts w:ascii="Calibri" w:hAnsi="Calibri" w:cs="Calibri"/>
          <w:lang w:val="en-US"/>
        </w:rPr>
        <w:t>VINB Area: Input the area under the peak for vinblastine.</w:t>
      </w:r>
    </w:p>
    <w:p w14:paraId="00C2A487" w14:textId="77777777" w:rsidR="00F22A4B" w:rsidRPr="00B15551" w:rsidRDefault="00F22A4B" w:rsidP="00B86D54">
      <w:pPr>
        <w:pStyle w:val="NormalWeb"/>
        <w:spacing w:before="0" w:beforeAutospacing="0" w:after="0" w:afterAutospacing="0"/>
        <w:textAlignment w:val="baseline"/>
        <w:rPr>
          <w:rFonts w:ascii="Calibri" w:hAnsi="Calibri" w:cs="Calibri"/>
          <w:lang w:val="en-US"/>
        </w:rPr>
      </w:pPr>
    </w:p>
    <w:p w14:paraId="2C787E7C" w14:textId="6E5A35EF" w:rsidR="00F435B8" w:rsidRPr="00B15551" w:rsidRDefault="00F435B8" w:rsidP="00B86D54">
      <w:pPr>
        <w:pStyle w:val="NormalWeb"/>
        <w:numPr>
          <w:ilvl w:val="3"/>
          <w:numId w:val="24"/>
        </w:numPr>
        <w:spacing w:before="0" w:beforeAutospacing="0" w:after="0" w:afterAutospacing="0"/>
        <w:ind w:left="0" w:firstLine="0"/>
        <w:textAlignment w:val="baseline"/>
        <w:rPr>
          <w:rFonts w:ascii="Calibri" w:hAnsi="Calibri" w:cs="Calibri"/>
          <w:lang w:val="en-US"/>
        </w:rPr>
      </w:pPr>
      <w:r w:rsidRPr="00B15551">
        <w:rPr>
          <w:rFonts w:ascii="Calibri" w:hAnsi="Calibri" w:cs="Calibri"/>
          <w:lang w:val="en-US"/>
        </w:rPr>
        <w:t>VCR/VINB Ratio: Normalize each VCR value by dividing it by its corresponding VINB value.</w:t>
      </w:r>
    </w:p>
    <w:p w14:paraId="507AA6CD" w14:textId="77777777" w:rsidR="00F22A4B" w:rsidRPr="00B15551" w:rsidRDefault="00F22A4B" w:rsidP="00B86D54">
      <w:pPr>
        <w:pStyle w:val="NormalWeb"/>
        <w:spacing w:before="0" w:beforeAutospacing="0" w:after="0" w:afterAutospacing="0"/>
        <w:textAlignment w:val="baseline"/>
        <w:rPr>
          <w:rFonts w:ascii="Calibri" w:hAnsi="Calibri" w:cs="Calibri"/>
          <w:lang w:val="en-US"/>
        </w:rPr>
      </w:pPr>
    </w:p>
    <w:p w14:paraId="50DFB191" w14:textId="4ECC66F8" w:rsidR="00F435B8" w:rsidRPr="00B15551" w:rsidRDefault="00F435B8" w:rsidP="00B86D54">
      <w:pPr>
        <w:pStyle w:val="NormalWeb"/>
        <w:numPr>
          <w:ilvl w:val="2"/>
          <w:numId w:val="24"/>
        </w:numPr>
        <w:spacing w:before="0" w:beforeAutospacing="0" w:after="0" w:afterAutospacing="0"/>
        <w:ind w:left="0" w:firstLine="0"/>
        <w:textAlignment w:val="baseline"/>
        <w:rPr>
          <w:rFonts w:ascii="Calibri" w:hAnsi="Calibri" w:cs="Calibri"/>
          <w:lang w:val="en-US"/>
        </w:rPr>
      </w:pPr>
      <w:r w:rsidRPr="00B15551">
        <w:rPr>
          <w:rFonts w:ascii="Calibri" w:hAnsi="Calibri" w:cs="Calibri"/>
          <w:lang w:val="en-US"/>
        </w:rPr>
        <w:t>Add columns for standard deviation values of VCR area, VINB area, and VCR/VINB ratio for each triplicate set.</w:t>
      </w:r>
    </w:p>
    <w:p w14:paraId="00AEEDA6" w14:textId="77777777" w:rsidR="00F435B8" w:rsidRPr="00B15551" w:rsidRDefault="00F435B8" w:rsidP="00B86D54">
      <w:pPr>
        <w:pStyle w:val="NormalWeb"/>
        <w:spacing w:before="0" w:beforeAutospacing="0" w:after="0" w:afterAutospacing="0"/>
        <w:textAlignment w:val="baseline"/>
        <w:rPr>
          <w:rFonts w:ascii="Calibri" w:hAnsi="Calibri" w:cs="Calibri"/>
          <w:lang w:val="en-US"/>
        </w:rPr>
      </w:pPr>
    </w:p>
    <w:p w14:paraId="6371A6F6" w14:textId="00395C7B" w:rsidR="00F435B8" w:rsidRPr="00B15551" w:rsidRDefault="00F435B8" w:rsidP="00B86D54">
      <w:pPr>
        <w:pStyle w:val="NormalWeb"/>
        <w:spacing w:before="0" w:beforeAutospacing="0" w:after="0" w:afterAutospacing="0"/>
        <w:textAlignment w:val="baseline"/>
        <w:rPr>
          <w:rFonts w:ascii="Calibri" w:hAnsi="Calibri" w:cs="Calibri"/>
          <w:lang w:val="en-US"/>
        </w:rPr>
      </w:pPr>
      <w:r w:rsidRPr="00B15551">
        <w:rPr>
          <w:rFonts w:ascii="Calibri" w:hAnsi="Calibri" w:cs="Calibri"/>
          <w:lang w:val="en-US"/>
        </w:rPr>
        <w:t>NOTE: Normalization using the internal standard allows correction for variation in extraction or injection volume.</w:t>
      </w:r>
    </w:p>
    <w:p w14:paraId="124684C2" w14:textId="77777777" w:rsidR="00F435B8" w:rsidRPr="00B15551" w:rsidRDefault="00F435B8" w:rsidP="00B86D54">
      <w:pPr>
        <w:pStyle w:val="NormalWeb"/>
        <w:spacing w:before="0" w:beforeAutospacing="0" w:after="0" w:afterAutospacing="0"/>
        <w:textAlignment w:val="baseline"/>
        <w:rPr>
          <w:rFonts w:ascii="Calibri" w:hAnsi="Calibri" w:cs="Calibri"/>
          <w:lang w:val="en-US"/>
        </w:rPr>
      </w:pPr>
    </w:p>
    <w:p w14:paraId="4AAA07CD" w14:textId="1CDC5AB3" w:rsidR="00F435B8" w:rsidRPr="00B15551" w:rsidRDefault="00F435B8" w:rsidP="00B86D54">
      <w:pPr>
        <w:pStyle w:val="NormalWeb"/>
        <w:numPr>
          <w:ilvl w:val="1"/>
          <w:numId w:val="24"/>
        </w:numPr>
        <w:spacing w:before="0" w:beforeAutospacing="0" w:after="0" w:afterAutospacing="0"/>
        <w:ind w:left="0" w:firstLine="0"/>
        <w:textAlignment w:val="baseline"/>
        <w:rPr>
          <w:rFonts w:ascii="Calibri" w:hAnsi="Calibri" w:cs="Calibri"/>
        </w:rPr>
      </w:pPr>
      <w:proofErr w:type="spellStart"/>
      <w:r w:rsidRPr="00B15551">
        <w:rPr>
          <w:rFonts w:ascii="Calibri" w:hAnsi="Calibri" w:cs="Calibri"/>
        </w:rPr>
        <w:t>Plotting</w:t>
      </w:r>
      <w:proofErr w:type="spellEnd"/>
      <w:r w:rsidRPr="00B15551">
        <w:rPr>
          <w:rFonts w:ascii="Calibri" w:hAnsi="Calibri" w:cs="Calibri"/>
        </w:rPr>
        <w:t xml:space="preserve"> </w:t>
      </w:r>
      <w:proofErr w:type="spellStart"/>
      <w:r w:rsidRPr="00B15551">
        <w:rPr>
          <w:rFonts w:ascii="Calibri" w:hAnsi="Calibri" w:cs="Calibri"/>
        </w:rPr>
        <w:t>results</w:t>
      </w:r>
      <w:proofErr w:type="spellEnd"/>
    </w:p>
    <w:p w14:paraId="49926CF6" w14:textId="77777777" w:rsidR="00F22A4B" w:rsidRPr="00B15551" w:rsidRDefault="00F22A4B" w:rsidP="00B86D54">
      <w:pPr>
        <w:pStyle w:val="NormalWeb"/>
        <w:spacing w:before="0" w:beforeAutospacing="0" w:after="0" w:afterAutospacing="0"/>
        <w:textAlignment w:val="baseline"/>
        <w:rPr>
          <w:rFonts w:ascii="Calibri" w:hAnsi="Calibri" w:cs="Calibri"/>
        </w:rPr>
      </w:pPr>
    </w:p>
    <w:p w14:paraId="62CD79DB" w14:textId="7BDEA78B" w:rsidR="00F435B8" w:rsidRPr="00B15551" w:rsidRDefault="00F435B8" w:rsidP="00B86D54">
      <w:pPr>
        <w:pStyle w:val="NormalWeb"/>
        <w:numPr>
          <w:ilvl w:val="2"/>
          <w:numId w:val="24"/>
        </w:numPr>
        <w:spacing w:before="0" w:beforeAutospacing="0" w:after="0" w:afterAutospacing="0"/>
        <w:ind w:left="0" w:firstLine="0"/>
        <w:textAlignment w:val="baseline"/>
        <w:rPr>
          <w:rFonts w:ascii="Calibri" w:hAnsi="Calibri" w:cs="Calibri"/>
          <w:lang w:val="en-US"/>
        </w:rPr>
      </w:pPr>
      <w:r w:rsidRPr="00B15551">
        <w:rPr>
          <w:rFonts w:ascii="Calibri" w:hAnsi="Calibri" w:cs="Calibri"/>
          <w:lang w:val="en-US"/>
        </w:rPr>
        <w:t xml:space="preserve">Open the preferred graphing software and select the </w:t>
      </w:r>
      <w:r w:rsidRPr="00B15551">
        <w:rPr>
          <w:rFonts w:ascii="Calibri" w:hAnsi="Calibri" w:cs="Calibri"/>
          <w:b/>
          <w:lang w:val="en-US"/>
        </w:rPr>
        <w:t>Grouped Table</w:t>
      </w:r>
      <w:r w:rsidRPr="00B15551">
        <w:rPr>
          <w:rFonts w:ascii="Calibri" w:hAnsi="Calibri" w:cs="Calibri"/>
          <w:lang w:val="en-US"/>
        </w:rPr>
        <w:t xml:space="preserve"> format.</w:t>
      </w:r>
    </w:p>
    <w:p w14:paraId="55F45B30" w14:textId="77777777" w:rsidR="00F22A4B" w:rsidRPr="00B15551" w:rsidRDefault="00F22A4B" w:rsidP="00B86D54">
      <w:pPr>
        <w:pStyle w:val="NormalWeb"/>
        <w:spacing w:before="0" w:beforeAutospacing="0" w:after="0" w:afterAutospacing="0"/>
        <w:textAlignment w:val="baseline"/>
        <w:rPr>
          <w:rFonts w:ascii="Calibri" w:hAnsi="Calibri" w:cs="Calibri"/>
          <w:lang w:val="en-US"/>
        </w:rPr>
      </w:pPr>
    </w:p>
    <w:p w14:paraId="4FE5F957" w14:textId="7ED3725D" w:rsidR="00F435B8" w:rsidRPr="00B15551" w:rsidRDefault="00F435B8" w:rsidP="00B86D54">
      <w:pPr>
        <w:pStyle w:val="NormalWeb"/>
        <w:numPr>
          <w:ilvl w:val="2"/>
          <w:numId w:val="24"/>
        </w:numPr>
        <w:spacing w:before="0" w:beforeAutospacing="0" w:after="0" w:afterAutospacing="0"/>
        <w:ind w:left="0" w:firstLine="0"/>
        <w:textAlignment w:val="baseline"/>
        <w:rPr>
          <w:rFonts w:ascii="Calibri" w:hAnsi="Calibri" w:cs="Calibri"/>
          <w:lang w:val="en-US"/>
        </w:rPr>
      </w:pPr>
      <w:r w:rsidRPr="00B15551">
        <w:rPr>
          <w:rFonts w:ascii="Calibri" w:hAnsi="Calibri" w:cs="Calibri"/>
          <w:lang w:val="en-US"/>
        </w:rPr>
        <w:t xml:space="preserve">Choose </w:t>
      </w:r>
      <w:r w:rsidRPr="00B15551">
        <w:rPr>
          <w:rFonts w:ascii="Calibri" w:hAnsi="Calibri" w:cs="Calibri"/>
          <w:b/>
          <w:lang w:val="en-US"/>
        </w:rPr>
        <w:t xml:space="preserve">Enter </w:t>
      </w:r>
      <w:r w:rsidRPr="00B15551">
        <w:rPr>
          <w:rFonts w:ascii="Calibri" w:hAnsi="Calibri" w:cs="Calibri"/>
          <w:bCs/>
          <w:lang w:val="en-US"/>
        </w:rPr>
        <w:t xml:space="preserve">or </w:t>
      </w:r>
      <w:r w:rsidRPr="00B15551">
        <w:rPr>
          <w:rFonts w:ascii="Calibri" w:hAnsi="Calibri" w:cs="Calibri"/>
          <w:b/>
          <w:lang w:val="en-US"/>
        </w:rPr>
        <w:t xml:space="preserve">import data </w:t>
      </w:r>
      <w:r w:rsidRPr="00B15551">
        <w:rPr>
          <w:rFonts w:ascii="Calibri" w:hAnsi="Calibri" w:cs="Calibri"/>
          <w:bCs/>
          <w:lang w:val="en-US"/>
        </w:rPr>
        <w:t>into a new table</w:t>
      </w:r>
      <w:r w:rsidRPr="00B15551">
        <w:rPr>
          <w:rFonts w:ascii="Calibri" w:hAnsi="Calibri" w:cs="Calibri"/>
          <w:lang w:val="en-US"/>
        </w:rPr>
        <w:t xml:space="preserve">, and under </w:t>
      </w:r>
      <w:r w:rsidRPr="00B15551">
        <w:rPr>
          <w:rFonts w:ascii="Calibri" w:hAnsi="Calibri" w:cs="Calibri"/>
          <w:b/>
          <w:lang w:val="en-US"/>
        </w:rPr>
        <w:t>Options</w:t>
      </w:r>
      <w:r w:rsidRPr="00B15551">
        <w:rPr>
          <w:rFonts w:ascii="Calibri" w:hAnsi="Calibri" w:cs="Calibri"/>
          <w:lang w:val="en-US"/>
        </w:rPr>
        <w:t xml:space="preserve">, select </w:t>
      </w:r>
      <w:r w:rsidRPr="00B15551">
        <w:rPr>
          <w:rFonts w:ascii="Calibri" w:hAnsi="Calibri" w:cs="Calibri"/>
          <w:b/>
          <w:lang w:val="en-US"/>
        </w:rPr>
        <w:t>Enter</w:t>
      </w:r>
      <w:r w:rsidRPr="00B15551">
        <w:rPr>
          <w:rFonts w:ascii="Calibri" w:hAnsi="Calibri" w:cs="Calibri"/>
          <w:bCs/>
          <w:lang w:val="en-US"/>
        </w:rPr>
        <w:t xml:space="preserve"> 3 replicate values in side-by-side </w:t>
      </w:r>
      <w:proofErr w:type="spellStart"/>
      <w:r w:rsidRPr="00B15551">
        <w:rPr>
          <w:rFonts w:ascii="Calibri" w:hAnsi="Calibri" w:cs="Calibri"/>
          <w:bCs/>
          <w:lang w:val="en-US"/>
        </w:rPr>
        <w:t>subcolumns</w:t>
      </w:r>
      <w:proofErr w:type="spellEnd"/>
      <w:r w:rsidRPr="00B15551">
        <w:rPr>
          <w:rFonts w:ascii="Calibri" w:hAnsi="Calibri" w:cs="Calibri"/>
          <w:lang w:val="en-US"/>
        </w:rPr>
        <w:t>.</w:t>
      </w:r>
    </w:p>
    <w:p w14:paraId="421B1F80" w14:textId="77777777" w:rsidR="00F22A4B" w:rsidRPr="00B15551" w:rsidRDefault="00F22A4B" w:rsidP="00B86D54">
      <w:pPr>
        <w:pStyle w:val="NormalWeb"/>
        <w:spacing w:before="0" w:beforeAutospacing="0" w:after="0" w:afterAutospacing="0"/>
        <w:textAlignment w:val="baseline"/>
        <w:rPr>
          <w:rFonts w:ascii="Calibri" w:hAnsi="Calibri" w:cs="Calibri"/>
          <w:lang w:val="en-US"/>
        </w:rPr>
      </w:pPr>
    </w:p>
    <w:p w14:paraId="727E2EC6" w14:textId="660FA0DB" w:rsidR="0036730A" w:rsidRPr="00B15551" w:rsidRDefault="00F435B8" w:rsidP="00B86D54">
      <w:pPr>
        <w:pStyle w:val="NormalWeb"/>
        <w:numPr>
          <w:ilvl w:val="2"/>
          <w:numId w:val="24"/>
        </w:numPr>
        <w:spacing w:before="0" w:beforeAutospacing="0" w:after="0" w:afterAutospacing="0"/>
        <w:ind w:left="0" w:firstLine="0"/>
        <w:textAlignment w:val="baseline"/>
        <w:rPr>
          <w:rFonts w:ascii="Calibri" w:hAnsi="Calibri" w:cs="Calibri"/>
          <w:lang w:val="en-US"/>
        </w:rPr>
      </w:pPr>
      <w:r w:rsidRPr="00B15551">
        <w:rPr>
          <w:rFonts w:ascii="Calibri" w:hAnsi="Calibri" w:cs="Calibri"/>
          <w:lang w:val="en-US"/>
        </w:rPr>
        <w:t>Plot only the normalized VCR/VINB ratios for each sample, omitting raw area values.</w:t>
      </w:r>
    </w:p>
    <w:p w14:paraId="203F51B4" w14:textId="0DF9C4C4" w:rsidR="0036730A" w:rsidRPr="00B15551" w:rsidRDefault="0036730A" w:rsidP="00B86D54">
      <w:pPr>
        <w:pBdr>
          <w:top w:val="nil"/>
          <w:left w:val="nil"/>
          <w:bottom w:val="nil"/>
          <w:right w:val="nil"/>
          <w:between w:val="nil"/>
        </w:pBdr>
        <w:ind w:left="360"/>
        <w:rPr>
          <w:b/>
        </w:rPr>
      </w:pPr>
    </w:p>
    <w:p w14:paraId="08AF3300" w14:textId="6E52F917" w:rsidR="006E4797" w:rsidRPr="00B15551" w:rsidRDefault="009177AE" w:rsidP="00B86D54">
      <w:pPr>
        <w:pBdr>
          <w:top w:val="nil"/>
          <w:left w:val="nil"/>
          <w:bottom w:val="nil"/>
          <w:right w:val="nil"/>
          <w:between w:val="nil"/>
        </w:pBdr>
      </w:pPr>
      <w:r w:rsidRPr="00B15551">
        <w:rPr>
          <w:b/>
        </w:rPr>
        <w:t xml:space="preserve">REPRESENTATIVE </w:t>
      </w:r>
      <w:r w:rsidR="00551D82" w:rsidRPr="00B15551">
        <w:rPr>
          <w:b/>
        </w:rPr>
        <w:t xml:space="preserve">RESULTS: </w:t>
      </w:r>
    </w:p>
    <w:p w14:paraId="6A3D0DFF" w14:textId="77777777" w:rsidR="0036730A" w:rsidRPr="00B15551" w:rsidRDefault="0036730A" w:rsidP="00B86D54">
      <w:r w:rsidRPr="00B15551">
        <w:t xml:space="preserve">Representative chromatographic results obtained after intracellular accumulation assays using primary ALL PDX cells incubated with VCR and VINB are shown in </w:t>
      </w:r>
      <w:r w:rsidRPr="00B15551">
        <w:rPr>
          <w:b/>
          <w:bCs/>
        </w:rPr>
        <w:t>Figure 1</w:t>
      </w:r>
      <w:r w:rsidRPr="00B15551">
        <w:t>. Samples were prepared using 2.5 × 10⁶ cells per condition. Under the chromatographic conditions described, VCR was consistently retained at 2.85 min with minimal matrix effect, and peak shape was symmetrical and well-resolved. These profiles illustrate the expected chromatographic behavior of VCR and VINB when the protocol is executed correctly.</w:t>
      </w:r>
    </w:p>
    <w:p w14:paraId="434ED2FE" w14:textId="77777777" w:rsidR="0036730A" w:rsidRPr="00B15551" w:rsidRDefault="0036730A" w:rsidP="00B86D54"/>
    <w:p w14:paraId="42012E91" w14:textId="77777777" w:rsidR="0036730A" w:rsidRPr="00B15551" w:rsidRDefault="0036730A" w:rsidP="00B86D54">
      <w:r w:rsidRPr="00B15551">
        <w:t>Prior to applying this protocol to primary leukemia cells, preliminary assays were performed to determine the method's linearity, limit of detection (LOD), optimal cell number, and incubation time. These steps are not detailed in the present protocol, but representative results from the calibration curve are shown below as part of the method validation. </w:t>
      </w:r>
    </w:p>
    <w:p w14:paraId="426457C7" w14:textId="77777777" w:rsidR="0036730A" w:rsidRPr="00B15551" w:rsidRDefault="0036730A" w:rsidP="00B86D54"/>
    <w:p w14:paraId="1E8844BD" w14:textId="47A5C7B5" w:rsidR="0036730A" w:rsidRPr="00B15551" w:rsidRDefault="0036730A" w:rsidP="00B86D54">
      <w:r w:rsidRPr="00B15551">
        <w:t xml:space="preserve">To assess the sensitivity and linearity of the method, calibration curves for VCR were constructed under two experimental conditions. In AIM V media, concentrations ranging from 0.001 </w:t>
      </w:r>
      <w:r w:rsidR="00CD3231" w:rsidRPr="00B15551">
        <w:t xml:space="preserve">µM </w:t>
      </w:r>
      <w:r w:rsidRPr="00B15551">
        <w:t>to 10 µM showed excellent linearity after log₁₀-transformation (r² = 0.9986). When 2 × 10⁶ RS4;11 cells were added to the medium, the linear range was evaluated from 0.01 to 1 µM, also displaying a strong correlation (r² = 0.9967) (</w:t>
      </w:r>
      <w:r w:rsidRPr="00B15551">
        <w:rPr>
          <w:b/>
          <w:bCs/>
        </w:rPr>
        <w:t>Figure 2</w:t>
      </w:r>
      <w:r w:rsidRPr="00B15551">
        <w:t>). These results confirm that the method maintains accuracy and sensitivity both in cell-free media and in the presence of cells, supporting its applicability to intracellular quantification.</w:t>
      </w:r>
    </w:p>
    <w:p w14:paraId="6CC1B929" w14:textId="77777777" w:rsidR="0036730A" w:rsidRPr="00B15551" w:rsidRDefault="0036730A" w:rsidP="00B86D54"/>
    <w:p w14:paraId="2AFB0037" w14:textId="6DF8926A" w:rsidR="00F4088D" w:rsidRPr="00B15551" w:rsidRDefault="0036730A" w:rsidP="00B86D54">
      <w:r w:rsidRPr="00B15551">
        <w:rPr>
          <w:b/>
          <w:bCs/>
        </w:rPr>
        <w:t>Figure 3</w:t>
      </w:r>
      <w:r w:rsidRPr="00B15551">
        <w:t xml:space="preserve"> </w:t>
      </w:r>
      <w:r w:rsidR="00F4088D" w:rsidRPr="00B15551">
        <w:t>shows the incubation test to determine the time of incubation of the cells (lineage and PDX cells) with VCR</w:t>
      </w:r>
      <w:r w:rsidR="00CD3231" w:rsidRPr="00B15551">
        <w:t>,</w:t>
      </w:r>
      <w:r w:rsidR="00F4088D" w:rsidRPr="00B15551">
        <w:t xml:space="preserve"> </w:t>
      </w:r>
      <w:r w:rsidR="00CD3231" w:rsidRPr="00B15551">
        <w:t xml:space="preserve">which </w:t>
      </w:r>
      <w:r w:rsidR="00F4088D" w:rsidRPr="00B15551">
        <w:t>showed a</w:t>
      </w:r>
      <w:r w:rsidR="00CD3231" w:rsidRPr="00B15551">
        <w:t>n</w:t>
      </w:r>
      <w:r w:rsidR="00F4088D" w:rsidRPr="00B15551">
        <w:t xml:space="preserve"> equilibrium between influx and efflux. We incubated 1 x 10</w:t>
      </w:r>
      <w:r w:rsidR="00F4088D" w:rsidRPr="00B15551">
        <w:rPr>
          <w:vertAlign w:val="superscript"/>
        </w:rPr>
        <w:t xml:space="preserve">6 </w:t>
      </w:r>
      <w:r w:rsidR="00F4088D" w:rsidRPr="00B15551">
        <w:t>of lineage RS 4;11 and 2,5 x 10</w:t>
      </w:r>
      <w:r w:rsidR="00F4088D" w:rsidRPr="00B15551">
        <w:rPr>
          <w:vertAlign w:val="superscript"/>
        </w:rPr>
        <w:t>6</w:t>
      </w:r>
      <w:r w:rsidR="00F4088D" w:rsidRPr="00B15551">
        <w:t xml:space="preserve"> primary cells with VCR from 1 </w:t>
      </w:r>
      <w:r w:rsidR="00CD3231" w:rsidRPr="00B15551">
        <w:t xml:space="preserve">h </w:t>
      </w:r>
      <w:r w:rsidR="00F4088D" w:rsidRPr="00B15551">
        <w:t xml:space="preserve">to 5 h, in triplicate, and then analyzed the samples. Analysis of the VCR/VINB ratio in RS4;11 cells revealed a plateau in intracellular accumulation between 2 </w:t>
      </w:r>
      <w:r w:rsidR="00CD3231" w:rsidRPr="00B15551">
        <w:t xml:space="preserve">h </w:t>
      </w:r>
      <w:r w:rsidR="00F4088D" w:rsidRPr="00B15551">
        <w:t>and 3 h, followed by a slight increase at 4–5 h. In contrast, PDX-derived primary cells showed a peak at 2 h, with a progressive decline thereafter. These differences likely reflect intrinsic biological properties: immortalized RS4;11 cells maintain higher metabolic stability and tolerate longer drug exposure, whereas primary cells exhibit reduced proliferative capacity and are more susceptible to prolonged incubation. Although the 2-h time point yielded the highest uptake in primary cells, it also showed substantial variability across replicates. Therefore, 3 h was selected as the standard incubation period, representing a balanced condition with adequate accumulation, improved reproducibility, and preserved cell viability across models.</w:t>
      </w:r>
    </w:p>
    <w:p w14:paraId="5DE4B12C" w14:textId="7A441378" w:rsidR="00F4088D" w:rsidRPr="00B15551" w:rsidRDefault="00F4088D" w:rsidP="00B86D54">
      <w:r w:rsidRPr="00B15551">
        <w:t xml:space="preserve"> </w:t>
      </w:r>
    </w:p>
    <w:p w14:paraId="5EE94411" w14:textId="52C755F2" w:rsidR="0036730A" w:rsidRPr="00B15551" w:rsidRDefault="00F4088D" w:rsidP="00B86D54">
      <w:r w:rsidRPr="00B15551">
        <w:rPr>
          <w:b/>
          <w:bCs/>
        </w:rPr>
        <w:t>Figure 4</w:t>
      </w:r>
      <w:r w:rsidRPr="00B15551">
        <w:t xml:space="preserve"> </w:t>
      </w:r>
      <w:r w:rsidR="0036730A" w:rsidRPr="00B15551">
        <w:t xml:space="preserve">shows the results of intracellular accumulation of VCR in six different PDX patient samples. Quantification was based on the ratio of the peak area of VCR to that of VINB, used as an internal standard. To account for differences in cell size, this ratio was further normalized by the average cell volume of each patient sample. A positive correlation was observed between the unnormalized VCR/VINB ratios and cell volume (Spearman, one-tailed; </w:t>
      </w:r>
      <w:r w:rsidR="0036730A" w:rsidRPr="00B15551">
        <w:rPr>
          <w:i/>
          <w:iCs/>
        </w:rPr>
        <w:t>p</w:t>
      </w:r>
      <w:r w:rsidR="0036730A" w:rsidRPr="00B15551">
        <w:t xml:space="preserve"> = 0.0075), indicating that cell size may influence apparent drug accumulation. Therefore, the additional normalization </w:t>
      </w:r>
      <w:r w:rsidR="0036730A" w:rsidRPr="00B15551">
        <w:lastRenderedPageBreak/>
        <w:t>by cell volume was applied to minimize this confounding factor. These data illustrate inter-individual variability in VCR accumulation, which may reflect differences in ABC transporter activity, membrane composition, or intracellular compartmentalization across patient-derived samples.</w:t>
      </w:r>
    </w:p>
    <w:p w14:paraId="35E528DA" w14:textId="77777777" w:rsidR="0036730A" w:rsidRPr="00B15551" w:rsidRDefault="0036730A" w:rsidP="00B86D54"/>
    <w:p w14:paraId="54CA95B4" w14:textId="55FDB326" w:rsidR="007F489B" w:rsidRPr="00B15551" w:rsidRDefault="007F489B" w:rsidP="00B86D54">
      <w:r w:rsidRPr="00B15551">
        <w:t xml:space="preserve">The fragmentation patterns of VCR and VINB are presented in </w:t>
      </w:r>
      <w:r w:rsidRPr="00B15551">
        <w:rPr>
          <w:b/>
          <w:bCs/>
        </w:rPr>
        <w:t>Figure 5.</w:t>
      </w:r>
      <w:r w:rsidRPr="00B15551">
        <w:t xml:space="preserve"> For VCR, the base peak corresponds to the precursor ion at m/z 413.38, from which the quantification ion (m/z 392.47) and the confirmation ion (m/z 383.38) are generated using 40 V of cone energy and 16 V of collision energy (CE). For VINB, because the energies required to obtain the product ions differ, the spectra are shown separately. In both spectra, the precursor ion at m/z 406.51 is observed; however, the quantification ion (m/z 376.39) is obtained using 40 V of cone energy and 24 V of collision energy, whereas the confirmation ion (m/z 271.70) is generated using 2 V of cone energy and 18 V of CE.</w:t>
      </w:r>
    </w:p>
    <w:p w14:paraId="77624245" w14:textId="05B390E7" w:rsidR="00FC7078" w:rsidRPr="00B15551" w:rsidRDefault="00FC7078" w:rsidP="00B86D54">
      <w:r w:rsidRPr="00B15551">
        <w:t xml:space="preserve"> </w:t>
      </w:r>
    </w:p>
    <w:p w14:paraId="335D0385" w14:textId="301D9450" w:rsidR="0036730A" w:rsidRPr="00B15551" w:rsidRDefault="0036730A" w:rsidP="00B86D54">
      <w:r w:rsidRPr="00B15551">
        <w:t xml:space="preserve">An example of a poorly defined chromatographic peak is presented in </w:t>
      </w:r>
      <w:r w:rsidRPr="00B15551">
        <w:rPr>
          <w:b/>
          <w:bCs/>
        </w:rPr>
        <w:t xml:space="preserve">Figure </w:t>
      </w:r>
      <w:r w:rsidR="00FC7078" w:rsidRPr="00B15551">
        <w:rPr>
          <w:b/>
          <w:bCs/>
        </w:rPr>
        <w:t>6</w:t>
      </w:r>
      <w:r w:rsidRPr="00B15551">
        <w:t xml:space="preserve">, corresponding to VCR at </w:t>
      </w:r>
      <w:r w:rsidR="00CD3231" w:rsidRPr="00B15551">
        <w:t xml:space="preserve">a concentration of </w:t>
      </w:r>
      <w:r w:rsidRPr="00B15551">
        <w:t>0.001 µM. Under these conditions, the peak showed reduced intensity and broadening, likely due to limitations in</w:t>
      </w:r>
      <w:r w:rsidR="00DD4662" w:rsidRPr="00B15551">
        <w:t xml:space="preserve"> </w:t>
      </w:r>
      <w:r w:rsidR="00CD3231" w:rsidRPr="00B15551">
        <w:t xml:space="preserve">the </w:t>
      </w:r>
      <w:r w:rsidR="00DD4662" w:rsidRPr="00B15551">
        <w:t>quantification of the method after incubation in cells</w:t>
      </w:r>
      <w:r w:rsidRPr="00B15551">
        <w:t xml:space="preserve"> at low concentrations. This highlights the importance of using appropriate concentration ranges and reinforces the lower limit of quantification established by the method validation.</w:t>
      </w:r>
    </w:p>
    <w:p w14:paraId="079B5679" w14:textId="77777777" w:rsidR="006E4797" w:rsidRPr="00B15551" w:rsidRDefault="006E4797" w:rsidP="00B86D54"/>
    <w:p w14:paraId="6D510784" w14:textId="3749084C" w:rsidR="006E4797" w:rsidRPr="00B15551" w:rsidRDefault="00551D82" w:rsidP="00B86D54">
      <w:r w:rsidRPr="00B15551">
        <w:rPr>
          <w:b/>
        </w:rPr>
        <w:t>FIGURE AND TABLE LEGENDS:</w:t>
      </w:r>
      <w:r w:rsidRPr="00B15551">
        <w:t xml:space="preserve"> </w:t>
      </w:r>
    </w:p>
    <w:p w14:paraId="44B77A2D" w14:textId="1B27300F" w:rsidR="00C91A33" w:rsidRPr="00B15551" w:rsidRDefault="00C91A33" w:rsidP="00B86D54">
      <w:pPr>
        <w:rPr>
          <w:b/>
          <w:bCs/>
        </w:rPr>
      </w:pPr>
      <w:r w:rsidRPr="00B15551">
        <w:rPr>
          <w:b/>
          <w:bCs/>
        </w:rPr>
        <w:t xml:space="preserve">Figure 1: Representative chromatograms of vincristine (VCR) and vinblastine (VINB) after intracellular accumulation assay in primary ALL PDX cells. </w:t>
      </w:r>
      <w:r w:rsidRPr="00B15551">
        <w:t>Chromatographic profiles were obtained after incubation with 1 µM VCR for 3 h at 37 °C using 2.5 × 10⁶ cells per condition. VCR was consistently detected at 2.85 min with minimal matrix interference and adequate peak symmetry. VINB was used as an internal standard and was added in a solution with methanol after washing the cells. These peaks illustrate expected results when the extraction and chromatographic procedures are properly executed.</w:t>
      </w:r>
    </w:p>
    <w:p w14:paraId="4DD6E8C3" w14:textId="77777777" w:rsidR="00C91A33" w:rsidRPr="00B15551" w:rsidRDefault="00C91A33" w:rsidP="00B86D54"/>
    <w:p w14:paraId="48AC6791" w14:textId="7415EA76" w:rsidR="00C91A33" w:rsidRPr="00B15551" w:rsidRDefault="00C91A33" w:rsidP="00B86D54">
      <w:r w:rsidRPr="00B15551">
        <w:rPr>
          <w:b/>
          <w:bCs/>
        </w:rPr>
        <w:t>Figure 2: Calibration curve for VCR quantification by LC-MS/MS.</w:t>
      </w:r>
      <w:r w:rsidRPr="00B15551">
        <w:t xml:space="preserve"> (A) Standard curve generated in AIM V media using VCR concentrations from 0.001 to 10 µM. (B) Standard curve generated in AIM V media containing 2 × 10⁶ RS4;11 cells, using VCR concentrations from 0.01 to 1 µM. In both cases, data were log₁₀-transformed to account for exponential spacing, and the linear regression equation with correlation coefficient (r² = 0.9986 and r² = 0.9967, respectively) is shown. These curves illustrate the </w:t>
      </w:r>
      <w:r w:rsidR="00CD3231" w:rsidRPr="00B15551">
        <w:t xml:space="preserve">method's </w:t>
      </w:r>
      <w:r w:rsidRPr="00B15551">
        <w:t>dynamic range, sensitivity, and detection limits under the tested conditions.</w:t>
      </w:r>
    </w:p>
    <w:p w14:paraId="190E00A4" w14:textId="77777777" w:rsidR="00C91A33" w:rsidRPr="00B15551" w:rsidRDefault="00C91A33" w:rsidP="00B86D54"/>
    <w:p w14:paraId="4957C2B8" w14:textId="3211A8A4" w:rsidR="00DD4662" w:rsidRPr="00B15551" w:rsidRDefault="00C91A33" w:rsidP="00B86D54">
      <w:pPr>
        <w:jc w:val="left"/>
        <w:rPr>
          <w:b/>
          <w:bCs/>
        </w:rPr>
      </w:pPr>
      <w:r w:rsidRPr="00B15551">
        <w:rPr>
          <w:b/>
          <w:bCs/>
        </w:rPr>
        <w:t xml:space="preserve">Figure 3: </w:t>
      </w:r>
      <w:r w:rsidR="00DD4662" w:rsidRPr="00B15551">
        <w:rPr>
          <w:b/>
          <w:bCs/>
        </w:rPr>
        <w:t xml:space="preserve">Intracellular accumulation of VCR over time in RS4;11 and PDX-derived primary ALL cells. </w:t>
      </w:r>
      <w:r w:rsidR="00DD4662" w:rsidRPr="00B15551">
        <w:t>Time-course analysis (1–5 h) of the VCR/VINB ratio shows a 2–3 h plateau in RS4;11 cells, followed by a modest increase at later time points. Primary PDX-derived cells display a peak at 2 h, with decreasing accumulation at 4–5 h. The 3-h incubation was selected as the standard condition due to its balance between intracellular uptake, reproducibility, and cell viability across both models.</w:t>
      </w:r>
    </w:p>
    <w:p w14:paraId="4D83C7C1" w14:textId="77777777" w:rsidR="00DD4662" w:rsidRPr="00B15551" w:rsidRDefault="00DD4662" w:rsidP="00B86D54">
      <w:pPr>
        <w:rPr>
          <w:b/>
          <w:bCs/>
        </w:rPr>
      </w:pPr>
    </w:p>
    <w:p w14:paraId="493B5AAF" w14:textId="768AE238" w:rsidR="00C91A33" w:rsidRPr="00B15551" w:rsidRDefault="00DD4662" w:rsidP="00B86D54">
      <w:r w:rsidRPr="00B15551">
        <w:rPr>
          <w:b/>
          <w:bCs/>
        </w:rPr>
        <w:lastRenderedPageBreak/>
        <w:t xml:space="preserve">Figure 4: </w:t>
      </w:r>
      <w:r w:rsidR="00C91A33" w:rsidRPr="00B15551">
        <w:rPr>
          <w:b/>
          <w:bCs/>
        </w:rPr>
        <w:t xml:space="preserve">Intracellular accumulation of VCR in six different PDX patient samples. </w:t>
      </w:r>
      <w:r w:rsidR="00C91A33" w:rsidRPr="00B15551">
        <w:t xml:space="preserve">Data </w:t>
      </w:r>
      <w:proofErr w:type="gramStart"/>
      <w:r w:rsidR="00C91A33" w:rsidRPr="00B15551">
        <w:t>represent</w:t>
      </w:r>
      <w:proofErr w:type="gramEnd"/>
      <w:r w:rsidR="00C91A33" w:rsidRPr="00B15551">
        <w:t xml:space="preserve"> the ratio of VCR to VINB peak areas normalized by average cell volume for each patient. Values highlight inter-individual variability in vincristine accumulation across primary samples. Each sample was analyzed in triplicate, and error bars represent standard deviation.</w:t>
      </w:r>
    </w:p>
    <w:p w14:paraId="0880B2B3" w14:textId="77777777" w:rsidR="007F489B" w:rsidRPr="00B15551" w:rsidRDefault="007F489B" w:rsidP="00B86D54"/>
    <w:p w14:paraId="0512D3E1" w14:textId="27DB50EC" w:rsidR="00C91A33" w:rsidRPr="00B15551" w:rsidRDefault="007F489B" w:rsidP="00B86D54">
      <w:r w:rsidRPr="00B15551">
        <w:rPr>
          <w:b/>
          <w:bCs/>
        </w:rPr>
        <w:t xml:space="preserve">Figure 5: Fragmentation patterns of VCR and VINB. </w:t>
      </w:r>
      <w:r w:rsidRPr="00B15551">
        <w:t>(</w:t>
      </w:r>
      <w:r w:rsidRPr="00B15551">
        <w:rPr>
          <w:b/>
          <w:bCs/>
        </w:rPr>
        <w:t>A</w:t>
      </w:r>
      <w:r w:rsidRPr="00B15551">
        <w:t>) MS/MS fragmentation spectrum of VCR showing the precursor ion (base peak, m/z 413.38) and the product ions used for quantification (m/z 392.47) and confirmation (m/z 383.38), obtained with 40 V cone energy and 16 V collision energy. (</w:t>
      </w:r>
      <w:r w:rsidRPr="00B15551">
        <w:rPr>
          <w:b/>
          <w:bCs/>
        </w:rPr>
        <w:t>B</w:t>
      </w:r>
      <w:r w:rsidRPr="00B15551">
        <w:t>) MS/MS spectrum of VINB showing the precursor ion (m/z 406.51) and the quantification product ion (m/z 376.39), acquired with 40 V cone energy and 24 V collision energy. (</w:t>
      </w:r>
      <w:r w:rsidRPr="00B15551">
        <w:rPr>
          <w:b/>
          <w:bCs/>
        </w:rPr>
        <w:t>C</w:t>
      </w:r>
      <w:r w:rsidRPr="00B15551">
        <w:t>) MS/MS spectrum of VINB showing the precursor ion (m/z 406.51) and the confirmation product ion (m/z 271.70), acquired with 2 V cone energy and 18 V collision energy.</w:t>
      </w:r>
    </w:p>
    <w:p w14:paraId="7919B45D" w14:textId="77777777" w:rsidR="007F489B" w:rsidRPr="00B15551" w:rsidRDefault="007F489B" w:rsidP="00B86D54"/>
    <w:p w14:paraId="3E570C38" w14:textId="2A3DAA59" w:rsidR="00C91A33" w:rsidRPr="00B15551" w:rsidRDefault="00C91A33" w:rsidP="00B86D54">
      <w:r w:rsidRPr="00B15551">
        <w:rPr>
          <w:b/>
          <w:bCs/>
        </w:rPr>
        <w:t xml:space="preserve">Figure </w:t>
      </w:r>
      <w:r w:rsidR="007F489B" w:rsidRPr="00B15551">
        <w:rPr>
          <w:b/>
          <w:bCs/>
        </w:rPr>
        <w:t>6</w:t>
      </w:r>
      <w:r w:rsidRPr="00B15551">
        <w:rPr>
          <w:b/>
          <w:bCs/>
        </w:rPr>
        <w:t>: Chromatographic profile of VCR at low concentration in lineage cells (RS4;11)</w:t>
      </w:r>
      <w:r w:rsidR="00CD3231" w:rsidRPr="00B15551">
        <w:rPr>
          <w:b/>
          <w:bCs/>
        </w:rPr>
        <w:t>,</w:t>
      </w:r>
      <w:r w:rsidRPr="00B15551">
        <w:rPr>
          <w:b/>
          <w:bCs/>
        </w:rPr>
        <w:t xml:space="preserve"> illustrating poor peak definition.</w:t>
      </w:r>
      <w:r w:rsidRPr="00B15551">
        <w:t xml:space="preserve"> At 0.01 µM VCR in 1 × 10⁶ RS4;11 cells after 3 h of incubation, the chromatographic peak is broad, with low intensity and signal-to-noise ratio, illustrating the lower limit of the method's detection capability. These results emphasize the importance of working within validated concentration ranges for reliable quantification.</w:t>
      </w:r>
    </w:p>
    <w:p w14:paraId="2C7CA400" w14:textId="77777777" w:rsidR="00C91A33" w:rsidRPr="00B15551" w:rsidRDefault="00C91A33" w:rsidP="00B86D54"/>
    <w:p w14:paraId="44AC5DCE" w14:textId="77777777" w:rsidR="00C91A33" w:rsidRPr="00B15551" w:rsidRDefault="00C91A33" w:rsidP="00B86D54">
      <w:pPr>
        <w:rPr>
          <w:b/>
          <w:bCs/>
        </w:rPr>
      </w:pPr>
      <w:r w:rsidRPr="00B15551">
        <w:rPr>
          <w:b/>
          <w:bCs/>
        </w:rPr>
        <w:t xml:space="preserve">Table 1: LC-MS/MS acquisition parameters. </w:t>
      </w:r>
      <w:r w:rsidRPr="00B15551">
        <w:t>Mass spectrometry parameters for VCR (analyte) and VINB (internal standard), including precursor and product ion transitions, polarity mode, cone voltage, collision energy, and retention times used for MRM acquisition.</w:t>
      </w:r>
    </w:p>
    <w:p w14:paraId="23977E75" w14:textId="77777777" w:rsidR="00C91A33" w:rsidRPr="00B15551" w:rsidRDefault="00C91A33" w:rsidP="00B86D54"/>
    <w:p w14:paraId="05DB0116" w14:textId="77777777" w:rsidR="00C91A33" w:rsidRPr="00B15551" w:rsidRDefault="00C91A33" w:rsidP="00B86D54">
      <w:pPr>
        <w:rPr>
          <w:b/>
          <w:bCs/>
        </w:rPr>
      </w:pPr>
      <w:r w:rsidRPr="00B15551">
        <w:rPr>
          <w:b/>
          <w:bCs/>
        </w:rPr>
        <w:t xml:space="preserve">Table 2: UHPLC parameters. </w:t>
      </w:r>
      <w:r w:rsidRPr="00B15551">
        <w:t>Chromatographic conditions used for LC separation of vincristine and vinblastine, including column temperature, flow rate, gradient mode, mobile phases, and injection volume</w:t>
      </w:r>
      <w:r w:rsidRPr="00B15551">
        <w:rPr>
          <w:b/>
          <w:bCs/>
        </w:rPr>
        <w:t>.</w:t>
      </w:r>
    </w:p>
    <w:p w14:paraId="3DC54D68" w14:textId="77777777" w:rsidR="00C91A33" w:rsidRPr="00B15551" w:rsidRDefault="00C91A33" w:rsidP="00B86D54"/>
    <w:p w14:paraId="55377342" w14:textId="77777777" w:rsidR="00C91A33" w:rsidRPr="00B15551" w:rsidRDefault="00C91A33" w:rsidP="00B86D54">
      <w:pPr>
        <w:rPr>
          <w:b/>
          <w:bCs/>
        </w:rPr>
      </w:pPr>
      <w:r w:rsidRPr="00B15551">
        <w:rPr>
          <w:b/>
          <w:bCs/>
        </w:rPr>
        <w:t xml:space="preserve">Table 3: Ion source parameters. </w:t>
      </w:r>
      <w:r w:rsidRPr="00B15551">
        <w:t xml:space="preserve">Ionization source settings applied during LC-MS/MS analysis, including capillary voltage, source and </w:t>
      </w:r>
      <w:proofErr w:type="spellStart"/>
      <w:r w:rsidRPr="00B15551">
        <w:t>desolvation</w:t>
      </w:r>
      <w:proofErr w:type="spellEnd"/>
      <w:r w:rsidRPr="00B15551">
        <w:t xml:space="preserve"> temperatures, and gas flow rates.</w:t>
      </w:r>
    </w:p>
    <w:p w14:paraId="32EAFD7D" w14:textId="77777777" w:rsidR="006E4797" w:rsidRPr="00B15551" w:rsidRDefault="006E4797" w:rsidP="00B86D54"/>
    <w:p w14:paraId="7C0B6465" w14:textId="0169BCFC" w:rsidR="006E4797" w:rsidRPr="00B15551" w:rsidRDefault="00551D82" w:rsidP="00B86D54">
      <w:pPr>
        <w:rPr>
          <w:b/>
        </w:rPr>
      </w:pPr>
      <w:r w:rsidRPr="00B15551">
        <w:rPr>
          <w:b/>
        </w:rPr>
        <w:t xml:space="preserve">DISCUSSION: </w:t>
      </w:r>
    </w:p>
    <w:p w14:paraId="2D4B51FA" w14:textId="2949A01A" w:rsidR="00C91A33" w:rsidRPr="00B15551" w:rsidRDefault="00D427BB" w:rsidP="00B86D54">
      <w:r w:rsidRPr="00B15551">
        <w:t>Accurate assessment of intracellular drug levels in primary leukemic cells is essential for understanding drug handling at the cellular level and for supporting the development of functional assays that complement molecular profiling. Existing analytical approaches often require large numbers of cells, involve lengthy processing steps, or rely on indirect readouts that do not reflect the true intracellular availability of chemotherapeutic agents</w:t>
      </w:r>
      <w:r w:rsidR="004036CD" w:rsidRPr="00B15551">
        <w:rPr>
          <w:vertAlign w:val="superscript"/>
        </w:rPr>
        <w:t>5,6</w:t>
      </w:r>
      <w:r w:rsidRPr="00B15551">
        <w:t xml:space="preserve">. These limitations highlight the need for rapid, sensitive, and scalable methods capable of quantifying intracellular drug accumulation directly in patient-derived samples. </w:t>
      </w:r>
    </w:p>
    <w:p w14:paraId="3D94B68B" w14:textId="77777777" w:rsidR="00C91A33" w:rsidRPr="00B15551" w:rsidRDefault="00C91A33" w:rsidP="00B86D54"/>
    <w:p w14:paraId="6198EFF3" w14:textId="266ED880" w:rsidR="00C91A33" w:rsidRPr="00B15551" w:rsidRDefault="00C91A33" w:rsidP="00B86D54">
      <w:r w:rsidRPr="00B15551">
        <w:t xml:space="preserve">This protocol describes a </w:t>
      </w:r>
      <w:proofErr w:type="spellStart"/>
      <w:r w:rsidRPr="00B15551">
        <w:t>micromethod</w:t>
      </w:r>
      <w:proofErr w:type="spellEnd"/>
      <w:r w:rsidRPr="00B15551">
        <w:t xml:space="preserve"> for the relative quantification of intracellular</w:t>
      </w:r>
      <w:r w:rsidR="00D427BB" w:rsidRPr="00B15551">
        <w:t xml:space="preserve"> </w:t>
      </w:r>
      <w:r w:rsidRPr="00B15551">
        <w:t>VCR in primary pediatric acute lymphoblastic leukemia (ALL) cells using LC-MS/MS.</w:t>
      </w:r>
      <w:r w:rsidR="00D427BB" w:rsidRPr="00B15551">
        <w:t xml:space="preserve"> he method was developed to provide a direct and sensitive assessment of intracellular drug content, addressing the limitations of traditional analytical approaches that often depend on bulk cell material, semi-quantitative detection strategies, or indirect surrogate markers. By enabling the measurement </w:t>
      </w:r>
      <w:r w:rsidR="00D427BB" w:rsidRPr="00B15551">
        <w:lastRenderedPageBreak/>
        <w:t xml:space="preserve">of VCR within a small number of primary cells, this </w:t>
      </w:r>
      <w:proofErr w:type="spellStart"/>
      <w:r w:rsidR="00D427BB" w:rsidRPr="00B15551">
        <w:t>micromethod</w:t>
      </w:r>
      <w:proofErr w:type="spellEnd"/>
      <w:r w:rsidR="00D427BB" w:rsidRPr="00B15551">
        <w:t xml:space="preserve"> offers a practical and reproducible framework for investigating drug uptake, intracellular handling, and pharmacological behavior in </w:t>
      </w:r>
      <w:r w:rsidR="00D427BB" w:rsidRPr="00B15551">
        <w:rPr>
          <w:i/>
          <w:iCs/>
        </w:rPr>
        <w:t>ex vivo</w:t>
      </w:r>
      <w:r w:rsidR="00D427BB" w:rsidRPr="00B15551">
        <w:t xml:space="preserve"> leukemia models.</w:t>
      </w:r>
    </w:p>
    <w:p w14:paraId="73963458" w14:textId="77777777" w:rsidR="00D427BB" w:rsidRPr="00B15551" w:rsidRDefault="00D427BB" w:rsidP="00B86D54"/>
    <w:p w14:paraId="75D1D38A" w14:textId="5A77C1C2" w:rsidR="00937DFA" w:rsidRPr="00B15551" w:rsidRDefault="00937DFA" w:rsidP="00B86D54">
      <w:r w:rsidRPr="00B15551">
        <w:t>A critical aspect of this protocol is the number of cells used per condition. Based on optimization experiments, we standardized the use of 2.5 × 10⁶ primary ALL cells, as these cells are relatively small and the protocol involves several washing steps that may lead to cell loss</w:t>
      </w:r>
      <w:r w:rsidR="004036CD" w:rsidRPr="00B15551">
        <w:rPr>
          <w:vertAlign w:val="superscript"/>
        </w:rPr>
        <w:t>11</w:t>
      </w:r>
      <w:r w:rsidRPr="00B15551">
        <w:t>. Using 1 × 10⁶ cells resulted in higher variability and less consistent intracellular VCR measurements, making 2.5 × 10⁶ a more reliable input. Equally important is the use of samples with ≥80% viability, which helps ensure consistent uptake and reduces artifacts related to compromised cell membranes. Another key step is the addition of cold methanol (–20 °C), which improves protein precipitation efficiency and stabilizes the analytes during extraction</w:t>
      </w:r>
      <w:r w:rsidR="00EB7FCC" w:rsidRPr="00B15551">
        <w:rPr>
          <w:vertAlign w:val="superscript"/>
        </w:rPr>
        <w:t>1</w:t>
      </w:r>
      <w:r w:rsidR="004036CD" w:rsidRPr="00B15551">
        <w:rPr>
          <w:vertAlign w:val="superscript"/>
        </w:rPr>
        <w:t>2</w:t>
      </w:r>
      <w:r w:rsidRPr="00B15551">
        <w:t>. The inclusion of vinblastine as an internal standard is also essential, as it minimizes analytical variation across samples and enables accurate normalization throughout the workflow</w:t>
      </w:r>
      <w:r w:rsidR="00EB7FCC" w:rsidRPr="00B15551">
        <w:rPr>
          <w:vertAlign w:val="superscript"/>
        </w:rPr>
        <w:t>1</w:t>
      </w:r>
      <w:r w:rsidR="004036CD" w:rsidRPr="00B15551">
        <w:rPr>
          <w:vertAlign w:val="superscript"/>
        </w:rPr>
        <w:t>3</w:t>
      </w:r>
      <w:r w:rsidRPr="00B15551">
        <w:t>.</w:t>
      </w:r>
    </w:p>
    <w:p w14:paraId="143E681D" w14:textId="77777777" w:rsidR="00937DFA" w:rsidRPr="00B15551" w:rsidRDefault="00937DFA" w:rsidP="00B86D54"/>
    <w:p w14:paraId="215CD63F" w14:textId="1B51D1FD" w:rsidR="00FC744B" w:rsidRPr="00B15551" w:rsidRDefault="00FC744B" w:rsidP="00B86D54">
      <w:r w:rsidRPr="00B15551">
        <w:t xml:space="preserve">Time of incubation is one of the key parameters that may require adjustment depending on the cellular model. In </w:t>
      </w:r>
      <w:r w:rsidR="00B15551">
        <w:t>the</w:t>
      </w:r>
      <w:r w:rsidRPr="00B15551">
        <w:t xml:space="preserve"> optimization experiments using </w:t>
      </w:r>
      <w:proofErr w:type="gramStart"/>
      <w:r w:rsidRPr="00B15551">
        <w:t>RS4;</w:t>
      </w:r>
      <w:proofErr w:type="gramEnd"/>
      <w:r w:rsidRPr="00B15551">
        <w:t xml:space="preserve">11 cells and PDX-derived primary ALL cells, intracellular VCR accumulation showed distinct temporal profiles: RS4;11 cells exhibited a plateau between 2–3 h, whereas primary cells displayed a peak at 2 h followed by decreased accumulation at later time points. However, the 2-h condition showed substantial variability in primary samples, while the 3-h condition provided more consistent measurements across replicates. For this reason, 3 h was selected as the standard incubation time. Laboratories implementing this protocol may need to adjust the time course depending on cell type, viability, or metabolic stability, and we recommend performing a preliminary time-course assay (e.g., 1–5 h) to identify the optimal incubation period for each model. Furthermore, researchers working with larger or slower-growing cells may consider increasing the cell input or adjusting the washing steps to avoid </w:t>
      </w:r>
      <w:proofErr w:type="gramStart"/>
      <w:r w:rsidR="004036CD" w:rsidRPr="00B15551">
        <w:t>excessive</w:t>
      </w:r>
      <w:r w:rsidRPr="00B15551">
        <w:t xml:space="preserve"> </w:t>
      </w:r>
      <w:r w:rsidR="004036CD" w:rsidRPr="00B15551">
        <w:t>cell</w:t>
      </w:r>
      <w:proofErr w:type="gramEnd"/>
      <w:r w:rsidR="004036CD" w:rsidRPr="00B15551">
        <w:t xml:space="preserve"> </w:t>
      </w:r>
      <w:r w:rsidRPr="00B15551">
        <w:t>loss.</w:t>
      </w:r>
    </w:p>
    <w:p w14:paraId="3FEBD9C7" w14:textId="77777777" w:rsidR="00FC744B" w:rsidRPr="00B15551" w:rsidRDefault="00FC744B" w:rsidP="00B86D54"/>
    <w:p w14:paraId="118C8F14" w14:textId="19F10289" w:rsidR="00C91A33" w:rsidRPr="00B15551" w:rsidRDefault="00FC744B" w:rsidP="00B86D54">
      <w:r w:rsidRPr="00B15551">
        <w:t xml:space="preserve">This </w:t>
      </w:r>
      <w:proofErr w:type="spellStart"/>
      <w:r w:rsidRPr="00B15551">
        <w:t>micromethod</w:t>
      </w:r>
      <w:proofErr w:type="spellEnd"/>
      <w:r w:rsidRPr="00B15551">
        <w:t xml:space="preserve"> presents some limitations that should be considered when adapting it to different experimental contexts. First, extremely low extracellular VCR concentrations may fall below the </w:t>
      </w:r>
      <w:proofErr w:type="spellStart"/>
      <w:r w:rsidRPr="00B15551">
        <w:t>quantificable</w:t>
      </w:r>
      <w:proofErr w:type="spellEnd"/>
      <w:r w:rsidRPr="00B15551">
        <w:t xml:space="preserve"> range after incubation; for example, 0.01 µM VCR was not quantifiable in our experiments using 1 × 10⁶ RS4;11 cells after 3 h of incubation, indicating that detection sensitivity is constrained by both drug concentration and cell number. Additionally, because the method relies on relative quantification, variability in cell size or volume can influence raw VCR/VINB ratios, making volume normalization essential when comparing different models. The protocol also requires a minimum of 2.5 × 10⁶ small lymphoblast-like cells to ensure robust signal after multiple washing steps, which may pose challenges when working with limited patient samples. </w:t>
      </w:r>
    </w:p>
    <w:p w14:paraId="7DD7E6D7" w14:textId="77777777" w:rsidR="00FC744B" w:rsidRPr="00B15551" w:rsidRDefault="00FC744B" w:rsidP="00B86D54"/>
    <w:p w14:paraId="6C011CE2" w14:textId="07D097BF" w:rsidR="00EB7FCC" w:rsidRPr="00B15551" w:rsidRDefault="00EB7FCC" w:rsidP="00B86D54">
      <w:pPr>
        <w:pBdr>
          <w:top w:val="nil"/>
          <w:left w:val="nil"/>
          <w:bottom w:val="nil"/>
          <w:right w:val="nil"/>
          <w:between w:val="nil"/>
        </w:pBdr>
      </w:pPr>
      <w:r w:rsidRPr="00B15551">
        <w:t xml:space="preserve">The significance of this </w:t>
      </w:r>
      <w:proofErr w:type="spellStart"/>
      <w:r w:rsidRPr="00B15551">
        <w:t>micromethod</w:t>
      </w:r>
      <w:proofErr w:type="spellEnd"/>
      <w:r w:rsidRPr="00B15551">
        <w:t xml:space="preserve"> lies in its ability to provide a direct and sensitive measurement of intracellular vincristine in primary leukemic cells using a small number of cells and a rapid analytical workflow. Existing approaches for assessing intracellular drug levels in hematological samples often require larger cell inputs, extensive extraction procedures, or longer chromatographic runs, limiting their applicability in studies involving scarce patient-derived </w:t>
      </w:r>
      <w:r w:rsidRPr="00B15551">
        <w:lastRenderedPageBreak/>
        <w:t>material. By combining a short 4-min LC-MS/MS acquisition with efficient protein precipitation and a robust internal standard, this protocol enables reproducible quantification while maintaining compatibility with clinical or preclinical samples. The method therefore fills an important technical gap for researchers who aim to evaluate intracellular drug exposure in primary cells using a streamlined and scalable assay.</w:t>
      </w:r>
    </w:p>
    <w:p w14:paraId="2C17AED5" w14:textId="77777777" w:rsidR="00EB7FCC" w:rsidRPr="00B15551" w:rsidRDefault="00EB7FCC" w:rsidP="00B86D54">
      <w:pPr>
        <w:pBdr>
          <w:top w:val="nil"/>
          <w:left w:val="nil"/>
          <w:bottom w:val="nil"/>
          <w:right w:val="nil"/>
          <w:between w:val="nil"/>
        </w:pBdr>
      </w:pPr>
    </w:p>
    <w:p w14:paraId="20764C0E" w14:textId="66642CCD" w:rsidR="00EB7FCC" w:rsidRPr="00B15551" w:rsidRDefault="00EB7FCC" w:rsidP="00B86D54">
      <w:pPr>
        <w:pBdr>
          <w:top w:val="nil"/>
          <w:left w:val="nil"/>
          <w:bottom w:val="nil"/>
          <w:right w:val="nil"/>
          <w:between w:val="nil"/>
        </w:pBdr>
      </w:pPr>
      <w:r w:rsidRPr="00B15551">
        <w:t xml:space="preserve">This </w:t>
      </w:r>
      <w:proofErr w:type="spellStart"/>
      <w:r w:rsidRPr="00B15551">
        <w:t>micromethod</w:t>
      </w:r>
      <w:proofErr w:type="spellEnd"/>
      <w:r w:rsidRPr="00B15551">
        <w:t xml:space="preserve"> can be readily extended to additional applications beyond vincristine quantification. With appropriate optimization of MRM transitions and extraction parameters, the workflow can be adapted to measure other chemotherapeutic agents or small molecules of interest in hematologic models. Its low sample requirement makes it suitable for pharmacokinetic–pharmacodynamic studies in </w:t>
      </w:r>
      <w:r w:rsidRPr="00B15551">
        <w:rPr>
          <w:i/>
          <w:iCs/>
        </w:rPr>
        <w:t>ex vivo</w:t>
      </w:r>
      <w:r w:rsidRPr="00B15551">
        <w:t xml:space="preserve"> cultures, for testing drug uptake profiles in patient-derived xenografts, or for evaluating intracellular drug levels in limited clinical samples. The protocol may also support the development of multiplexed assays for simultaneous quantification of multiple compounds, provided that chromatographic separation and ionization conditions are optimized. As quantitative mass spectrometry continues to advance, this workflow provides a practical foundation for integrating intracellular drug measurements into broader analytical or translational research pipelines.</w:t>
      </w:r>
    </w:p>
    <w:p w14:paraId="564E3747" w14:textId="77777777" w:rsidR="00EB7FCC" w:rsidRPr="00B15551" w:rsidRDefault="00EB7FCC" w:rsidP="00B86D54">
      <w:pPr>
        <w:pBdr>
          <w:top w:val="nil"/>
          <w:left w:val="nil"/>
          <w:bottom w:val="nil"/>
          <w:right w:val="nil"/>
          <w:between w:val="nil"/>
        </w:pBdr>
      </w:pPr>
    </w:p>
    <w:p w14:paraId="59F37CC4" w14:textId="5ACA4141" w:rsidR="006E4797" w:rsidRPr="00B15551" w:rsidRDefault="00551D82" w:rsidP="00B86D54">
      <w:pPr>
        <w:pBdr>
          <w:top w:val="nil"/>
          <w:left w:val="nil"/>
          <w:bottom w:val="nil"/>
          <w:right w:val="nil"/>
          <w:between w:val="nil"/>
        </w:pBdr>
      </w:pPr>
      <w:r w:rsidRPr="00B15551">
        <w:rPr>
          <w:b/>
        </w:rPr>
        <w:t xml:space="preserve">ACKNOWLEDGMENTS: </w:t>
      </w:r>
    </w:p>
    <w:p w14:paraId="5AA75D63" w14:textId="68E2EED5" w:rsidR="00C91A33" w:rsidRPr="00B15551" w:rsidRDefault="00C91A33" w:rsidP="00B86D54">
      <w:pPr>
        <w:rPr>
          <w:b/>
        </w:rPr>
      </w:pPr>
      <w:r w:rsidRPr="00B15551">
        <w:t xml:space="preserve">We thank the Centro </w:t>
      </w:r>
      <w:proofErr w:type="spellStart"/>
      <w:r w:rsidRPr="00B15551">
        <w:t>Infantil</w:t>
      </w:r>
      <w:proofErr w:type="spellEnd"/>
      <w:r w:rsidRPr="00B15551">
        <w:t xml:space="preserve"> Boldrini and all the patients who donated their samples for the study.  </w:t>
      </w:r>
      <w:proofErr w:type="spellStart"/>
      <w:r w:rsidRPr="00B15551">
        <w:t>Adrielli</w:t>
      </w:r>
      <w:proofErr w:type="spellEnd"/>
      <w:r w:rsidRPr="00B15551">
        <w:t xml:space="preserve"> C. Soares received a fellowship </w:t>
      </w:r>
      <w:r w:rsidR="00CD3231" w:rsidRPr="00B15551">
        <w:t xml:space="preserve">from </w:t>
      </w:r>
      <w:r w:rsidRPr="00B15551">
        <w:t xml:space="preserve">the </w:t>
      </w:r>
      <w:proofErr w:type="spellStart"/>
      <w:r w:rsidRPr="00B15551">
        <w:t>Coordenação</w:t>
      </w:r>
      <w:proofErr w:type="spellEnd"/>
      <w:r w:rsidRPr="00B15551">
        <w:t xml:space="preserve"> de </w:t>
      </w:r>
      <w:proofErr w:type="spellStart"/>
      <w:r w:rsidRPr="00B15551">
        <w:t>Aperfeiçoamento</w:t>
      </w:r>
      <w:proofErr w:type="spellEnd"/>
      <w:r w:rsidRPr="00B15551">
        <w:t xml:space="preserve"> de </w:t>
      </w:r>
      <w:proofErr w:type="spellStart"/>
      <w:r w:rsidRPr="00B15551">
        <w:t>Pessoal</w:t>
      </w:r>
      <w:proofErr w:type="spellEnd"/>
      <w:r w:rsidRPr="00B15551">
        <w:t xml:space="preserve"> de </w:t>
      </w:r>
      <w:proofErr w:type="spellStart"/>
      <w:r w:rsidRPr="00B15551">
        <w:t>Nível</w:t>
      </w:r>
      <w:proofErr w:type="spellEnd"/>
      <w:r w:rsidRPr="00B15551">
        <w:t xml:space="preserve"> Superior—</w:t>
      </w:r>
      <w:proofErr w:type="spellStart"/>
      <w:r w:rsidRPr="00B15551">
        <w:t>Brasil</w:t>
      </w:r>
      <w:proofErr w:type="spellEnd"/>
      <w:r w:rsidRPr="00B15551">
        <w:t xml:space="preserve"> (CAPES) and from the São Paulo Research Foundation (FAPESP, </w:t>
      </w:r>
      <w:hyperlink r:id="rId8" w:history="1">
        <w:r w:rsidRPr="00B15551">
          <w:rPr>
            <w:rStyle w:val="Hyperlink"/>
            <w:color w:val="auto"/>
            <w:u w:val="none"/>
          </w:rPr>
          <w:t>2023/18389-3</w:t>
        </w:r>
      </w:hyperlink>
      <w:r w:rsidRPr="00B15551">
        <w:t>). José A. Yunes received a productivity fellowship from the National Counsel of Technological and Scientific Development (</w:t>
      </w:r>
      <w:proofErr w:type="spellStart"/>
      <w:r w:rsidRPr="00B15551">
        <w:t>CNPq</w:t>
      </w:r>
      <w:proofErr w:type="spellEnd"/>
      <w:r w:rsidRPr="00B15551">
        <w:t>, 308399/</w:t>
      </w:r>
      <w:proofErr w:type="gramStart"/>
      <w:r w:rsidRPr="00B15551">
        <w:t>2021‐8</w:t>
      </w:r>
      <w:proofErr w:type="gramEnd"/>
      <w:r w:rsidRPr="00B15551">
        <w:t>). This work was supported by research funding from the Brazilian Ministry of Health by the PRONON program (</w:t>
      </w:r>
      <w:proofErr w:type="spellStart"/>
      <w:r w:rsidRPr="00B15551">
        <w:t>Programa</w:t>
      </w:r>
      <w:proofErr w:type="spellEnd"/>
      <w:r w:rsidRPr="00B15551">
        <w:t xml:space="preserve"> Nacional de </w:t>
      </w:r>
      <w:proofErr w:type="spellStart"/>
      <w:r w:rsidRPr="00B15551">
        <w:t>Apoio</w:t>
      </w:r>
      <w:proofErr w:type="spellEnd"/>
      <w:r w:rsidRPr="00B15551">
        <w:t xml:space="preserve"> à </w:t>
      </w:r>
      <w:proofErr w:type="spellStart"/>
      <w:r w:rsidRPr="00B15551">
        <w:t>Atenção</w:t>
      </w:r>
      <w:proofErr w:type="spellEnd"/>
      <w:r w:rsidRPr="00B15551">
        <w:t xml:space="preserve"> </w:t>
      </w:r>
      <w:proofErr w:type="spellStart"/>
      <w:r w:rsidRPr="00B15551">
        <w:t>Oncológica</w:t>
      </w:r>
      <w:proofErr w:type="spellEnd"/>
      <w:r w:rsidRPr="00B15551">
        <w:t xml:space="preserve">, NUP 25000.211174/2019‐45). </w:t>
      </w:r>
    </w:p>
    <w:p w14:paraId="25B2FBBD" w14:textId="77777777" w:rsidR="006E4797" w:rsidRPr="00B15551" w:rsidRDefault="006E4797" w:rsidP="00B86D54">
      <w:pPr>
        <w:rPr>
          <w:b/>
        </w:rPr>
      </w:pPr>
    </w:p>
    <w:p w14:paraId="5E703EBA" w14:textId="6582B7C4" w:rsidR="006E4797" w:rsidRPr="00B15551" w:rsidRDefault="00551D82" w:rsidP="00B86D54">
      <w:pPr>
        <w:pBdr>
          <w:top w:val="nil"/>
          <w:left w:val="nil"/>
          <w:bottom w:val="nil"/>
          <w:right w:val="nil"/>
          <w:between w:val="nil"/>
        </w:pBdr>
      </w:pPr>
      <w:r w:rsidRPr="00B15551">
        <w:rPr>
          <w:b/>
        </w:rPr>
        <w:t xml:space="preserve">DISCLOSURES: </w:t>
      </w:r>
    </w:p>
    <w:p w14:paraId="48CDD0D8" w14:textId="77777777" w:rsidR="00C91A33" w:rsidRPr="00B15551" w:rsidRDefault="00C91A33" w:rsidP="00B86D54">
      <w:r w:rsidRPr="00B15551">
        <w:t>The authors declare no conflicts of interest.</w:t>
      </w:r>
    </w:p>
    <w:p w14:paraId="4A7B0E5C" w14:textId="77777777" w:rsidR="006E4797" w:rsidRPr="00B15551" w:rsidRDefault="006E4797" w:rsidP="00B86D54"/>
    <w:p w14:paraId="6DE2B73C" w14:textId="51C0AD1B" w:rsidR="006E4797" w:rsidRPr="00B15551" w:rsidRDefault="00551D82" w:rsidP="00B86D54">
      <w:pPr>
        <w:rPr>
          <w:b/>
        </w:rPr>
      </w:pPr>
      <w:proofErr w:type="gramStart"/>
      <w:r w:rsidRPr="00B15551">
        <w:rPr>
          <w:b/>
        </w:rPr>
        <w:t>REFERENCES</w:t>
      </w:r>
      <w:proofErr w:type="gramEnd"/>
      <w:r w:rsidRPr="00B15551">
        <w:rPr>
          <w:b/>
        </w:rPr>
        <w:t>:</w:t>
      </w:r>
      <w:r w:rsidRPr="00B15551">
        <w:t xml:space="preserve"> </w:t>
      </w:r>
    </w:p>
    <w:p w14:paraId="7C7D181C" w14:textId="25BB6BB6" w:rsidR="005E2F24" w:rsidRPr="00B15551" w:rsidRDefault="005E2F24" w:rsidP="00D45A60">
      <w:pPr>
        <w:pStyle w:val="PargrafodaLista"/>
        <w:numPr>
          <w:ilvl w:val="0"/>
          <w:numId w:val="54"/>
        </w:numPr>
        <w:spacing w:after="0" w:line="240" w:lineRule="auto"/>
        <w:ind w:left="0" w:firstLine="0"/>
        <w:jc w:val="both"/>
        <w:rPr>
          <w:rFonts w:ascii="Calibri" w:hAnsi="Calibri" w:cs="Calibri"/>
          <w:sz w:val="24"/>
          <w:szCs w:val="24"/>
        </w:rPr>
      </w:pPr>
      <w:r w:rsidRPr="00B15551">
        <w:rPr>
          <w:rFonts w:ascii="Calibri" w:hAnsi="Calibri" w:cs="Calibri"/>
          <w:bCs/>
          <w:sz w:val="24"/>
          <w:szCs w:val="24"/>
        </w:rPr>
        <w:t>Inaba, H., Pui, C.H.</w:t>
      </w:r>
      <w:r w:rsidRPr="00B15551">
        <w:rPr>
          <w:rFonts w:ascii="Calibri" w:hAnsi="Calibri" w:cs="Calibri"/>
          <w:sz w:val="24"/>
          <w:szCs w:val="24"/>
        </w:rPr>
        <w:t xml:space="preserve"> Advances in the diagnosis and treatment of pediatric acute lymphoblastic leukemia. </w:t>
      </w:r>
      <w:r w:rsidRPr="00B15551">
        <w:rPr>
          <w:rFonts w:ascii="Calibri" w:hAnsi="Calibri" w:cs="Calibri"/>
          <w:i/>
          <w:iCs/>
          <w:sz w:val="24"/>
          <w:szCs w:val="24"/>
        </w:rPr>
        <w:t>J Clin Med</w:t>
      </w:r>
      <w:r w:rsidRPr="00B15551">
        <w:rPr>
          <w:rFonts w:ascii="Calibri" w:hAnsi="Calibri" w:cs="Calibri"/>
          <w:sz w:val="24"/>
          <w:szCs w:val="24"/>
        </w:rPr>
        <w:t xml:space="preserve">. </w:t>
      </w:r>
      <w:r w:rsidRPr="00B15551">
        <w:rPr>
          <w:rFonts w:ascii="Calibri" w:hAnsi="Calibri" w:cs="Calibri"/>
          <w:b/>
          <w:bCs/>
          <w:sz w:val="24"/>
          <w:szCs w:val="24"/>
        </w:rPr>
        <w:t>10</w:t>
      </w:r>
      <w:r w:rsidRPr="00B15551">
        <w:rPr>
          <w:rFonts w:ascii="Calibri" w:hAnsi="Calibri" w:cs="Calibri"/>
          <w:sz w:val="24"/>
          <w:szCs w:val="24"/>
        </w:rPr>
        <w:t xml:space="preserve"> (9), 1926 (2021).</w:t>
      </w:r>
    </w:p>
    <w:p w14:paraId="590E8573" w14:textId="62642A2B" w:rsidR="005E2F24" w:rsidRPr="00B15551" w:rsidRDefault="005E2F24" w:rsidP="00D45A60">
      <w:pPr>
        <w:pStyle w:val="PargrafodaLista"/>
        <w:numPr>
          <w:ilvl w:val="0"/>
          <w:numId w:val="54"/>
        </w:numPr>
        <w:spacing w:after="0" w:line="240" w:lineRule="auto"/>
        <w:ind w:left="0" w:firstLine="0"/>
        <w:jc w:val="both"/>
        <w:rPr>
          <w:rFonts w:ascii="Calibri" w:hAnsi="Calibri" w:cs="Calibri"/>
          <w:sz w:val="24"/>
          <w:szCs w:val="24"/>
        </w:rPr>
      </w:pPr>
      <w:r w:rsidRPr="00B15551">
        <w:rPr>
          <w:rFonts w:ascii="Calibri" w:hAnsi="Calibri" w:cs="Calibri"/>
          <w:sz w:val="24"/>
          <w:szCs w:val="24"/>
        </w:rPr>
        <w:t xml:space="preserve">Pui, C.H. et al. Childhood acute lymphoblastic leukemia: progress through collaboration. </w:t>
      </w:r>
      <w:r w:rsidRPr="00B15551">
        <w:rPr>
          <w:rFonts w:ascii="Calibri" w:hAnsi="Calibri" w:cs="Calibri"/>
          <w:i/>
          <w:iCs/>
          <w:sz w:val="24"/>
          <w:szCs w:val="24"/>
        </w:rPr>
        <w:t>J Clin Oncol</w:t>
      </w:r>
      <w:r w:rsidRPr="00B15551">
        <w:rPr>
          <w:rFonts w:ascii="Calibri" w:hAnsi="Calibri" w:cs="Calibri"/>
          <w:sz w:val="24"/>
          <w:szCs w:val="24"/>
        </w:rPr>
        <w:t xml:space="preserve">. </w:t>
      </w:r>
      <w:r w:rsidRPr="00B15551">
        <w:rPr>
          <w:rFonts w:ascii="Calibri" w:hAnsi="Calibri" w:cs="Calibri"/>
          <w:b/>
          <w:bCs/>
          <w:sz w:val="24"/>
          <w:szCs w:val="24"/>
        </w:rPr>
        <w:t>33</w:t>
      </w:r>
      <w:r w:rsidRPr="00B15551">
        <w:rPr>
          <w:rFonts w:ascii="Calibri" w:hAnsi="Calibri" w:cs="Calibri"/>
          <w:sz w:val="24"/>
          <w:szCs w:val="24"/>
        </w:rPr>
        <w:t xml:space="preserve"> (27), 2938–2948 (2015).</w:t>
      </w:r>
    </w:p>
    <w:p w14:paraId="1C0718AE" w14:textId="37B2B1F3" w:rsidR="005E2F24" w:rsidRPr="00B15551" w:rsidRDefault="005E2F24" w:rsidP="00D45A60">
      <w:pPr>
        <w:pStyle w:val="PargrafodaLista"/>
        <w:numPr>
          <w:ilvl w:val="0"/>
          <w:numId w:val="54"/>
        </w:numPr>
        <w:spacing w:after="0" w:line="240" w:lineRule="auto"/>
        <w:ind w:left="0" w:firstLine="0"/>
        <w:jc w:val="both"/>
        <w:rPr>
          <w:rFonts w:ascii="Calibri" w:hAnsi="Calibri" w:cs="Calibri"/>
          <w:sz w:val="24"/>
          <w:szCs w:val="24"/>
        </w:rPr>
      </w:pPr>
      <w:proofErr w:type="spellStart"/>
      <w:r w:rsidRPr="00B15551">
        <w:rPr>
          <w:rFonts w:ascii="Calibri" w:hAnsi="Calibri" w:cs="Calibri"/>
          <w:sz w:val="24"/>
          <w:szCs w:val="24"/>
        </w:rPr>
        <w:t>Gaudichon</w:t>
      </w:r>
      <w:proofErr w:type="spellEnd"/>
      <w:r w:rsidRPr="00B15551">
        <w:rPr>
          <w:rFonts w:ascii="Calibri" w:hAnsi="Calibri" w:cs="Calibri"/>
          <w:sz w:val="24"/>
          <w:szCs w:val="24"/>
        </w:rPr>
        <w:t xml:space="preserve">, J. et al. Mechanisms of extramedullary </w:t>
      </w:r>
      <w:proofErr w:type="gramStart"/>
      <w:r w:rsidRPr="00B15551">
        <w:rPr>
          <w:rFonts w:ascii="Calibri" w:hAnsi="Calibri" w:cs="Calibri"/>
          <w:sz w:val="24"/>
          <w:szCs w:val="24"/>
        </w:rPr>
        <w:t>relapse</w:t>
      </w:r>
      <w:proofErr w:type="gramEnd"/>
      <w:r w:rsidRPr="00B15551">
        <w:rPr>
          <w:rFonts w:ascii="Calibri" w:hAnsi="Calibri" w:cs="Calibri"/>
          <w:sz w:val="24"/>
          <w:szCs w:val="24"/>
        </w:rPr>
        <w:t xml:space="preserve"> in acute lymphoblastic leukemia: reconciling biological concepts and clinical issues. </w:t>
      </w:r>
      <w:r w:rsidRPr="00B15551">
        <w:rPr>
          <w:rFonts w:ascii="Calibri" w:hAnsi="Calibri" w:cs="Calibri"/>
          <w:i/>
          <w:iCs/>
          <w:sz w:val="24"/>
          <w:szCs w:val="24"/>
        </w:rPr>
        <w:t>Blood Rev</w:t>
      </w:r>
      <w:r w:rsidRPr="00B15551">
        <w:rPr>
          <w:rFonts w:ascii="Calibri" w:hAnsi="Calibri" w:cs="Calibri"/>
          <w:sz w:val="24"/>
          <w:szCs w:val="24"/>
        </w:rPr>
        <w:t>.</w:t>
      </w:r>
      <w:r w:rsidRPr="00B15551">
        <w:rPr>
          <w:rFonts w:ascii="Calibri" w:hAnsi="Calibri" w:cs="Calibri"/>
          <w:b/>
          <w:bCs/>
          <w:sz w:val="24"/>
          <w:szCs w:val="24"/>
        </w:rPr>
        <w:t xml:space="preserve"> 36</w:t>
      </w:r>
      <w:r w:rsidRPr="00B15551">
        <w:rPr>
          <w:rFonts w:ascii="Calibri" w:hAnsi="Calibri" w:cs="Calibri"/>
          <w:sz w:val="24"/>
          <w:szCs w:val="24"/>
        </w:rPr>
        <w:t>, 40–56 (2019).</w:t>
      </w:r>
    </w:p>
    <w:p w14:paraId="612D1A28" w14:textId="04732D47" w:rsidR="005E2F24" w:rsidRPr="00B15551" w:rsidRDefault="005E2F24" w:rsidP="00D45A60">
      <w:pPr>
        <w:pStyle w:val="PargrafodaLista"/>
        <w:numPr>
          <w:ilvl w:val="0"/>
          <w:numId w:val="54"/>
        </w:numPr>
        <w:spacing w:after="0" w:line="240" w:lineRule="auto"/>
        <w:ind w:left="0" w:firstLine="0"/>
        <w:jc w:val="both"/>
        <w:rPr>
          <w:rFonts w:ascii="Calibri" w:hAnsi="Calibri" w:cs="Calibri"/>
          <w:sz w:val="24"/>
          <w:szCs w:val="24"/>
        </w:rPr>
      </w:pPr>
      <w:r w:rsidRPr="00B15551">
        <w:rPr>
          <w:rFonts w:ascii="Calibri" w:hAnsi="Calibri" w:cs="Calibri"/>
          <w:sz w:val="24"/>
          <w:szCs w:val="24"/>
        </w:rPr>
        <w:t>Dhyani, P.</w:t>
      </w:r>
      <w:r w:rsidR="00444217" w:rsidRPr="00B15551">
        <w:rPr>
          <w:rFonts w:ascii="Calibri" w:hAnsi="Calibri" w:cs="Calibri"/>
          <w:sz w:val="24"/>
          <w:szCs w:val="24"/>
        </w:rPr>
        <w:t xml:space="preserve"> </w:t>
      </w:r>
      <w:r w:rsidRPr="00B15551">
        <w:rPr>
          <w:rFonts w:ascii="Calibri" w:hAnsi="Calibri" w:cs="Calibri"/>
          <w:sz w:val="24"/>
          <w:szCs w:val="24"/>
        </w:rPr>
        <w:t xml:space="preserve">et al. Anticancer potential of alkaloids: a key emphasis on colchicine, vinblastine, vincristine, </w:t>
      </w:r>
      <w:proofErr w:type="spellStart"/>
      <w:r w:rsidRPr="00B15551">
        <w:rPr>
          <w:rFonts w:ascii="Calibri" w:hAnsi="Calibri" w:cs="Calibri"/>
          <w:sz w:val="24"/>
          <w:szCs w:val="24"/>
        </w:rPr>
        <w:t>vindesine</w:t>
      </w:r>
      <w:proofErr w:type="spellEnd"/>
      <w:r w:rsidRPr="00B15551">
        <w:rPr>
          <w:rFonts w:ascii="Calibri" w:hAnsi="Calibri" w:cs="Calibri"/>
          <w:sz w:val="24"/>
          <w:szCs w:val="24"/>
        </w:rPr>
        <w:t xml:space="preserve">, vinorelbine and vincamine. </w:t>
      </w:r>
      <w:r w:rsidRPr="00B15551">
        <w:rPr>
          <w:rFonts w:ascii="Calibri" w:hAnsi="Calibri" w:cs="Calibri"/>
          <w:i/>
          <w:iCs/>
          <w:sz w:val="24"/>
          <w:szCs w:val="24"/>
        </w:rPr>
        <w:t>Cancer Cell Int</w:t>
      </w:r>
      <w:r w:rsidRPr="00B15551">
        <w:rPr>
          <w:rFonts w:ascii="Calibri" w:hAnsi="Calibri" w:cs="Calibri"/>
          <w:sz w:val="24"/>
          <w:szCs w:val="24"/>
        </w:rPr>
        <w:t xml:space="preserve">. </w:t>
      </w:r>
      <w:r w:rsidRPr="00B15551">
        <w:rPr>
          <w:rFonts w:ascii="Calibri" w:hAnsi="Calibri" w:cs="Calibri"/>
          <w:b/>
          <w:bCs/>
          <w:sz w:val="24"/>
          <w:szCs w:val="24"/>
        </w:rPr>
        <w:t>22</w:t>
      </w:r>
      <w:r w:rsidRPr="00B15551">
        <w:rPr>
          <w:rFonts w:ascii="Calibri" w:hAnsi="Calibri" w:cs="Calibri"/>
          <w:sz w:val="24"/>
          <w:szCs w:val="24"/>
        </w:rPr>
        <w:t xml:space="preserve">, </w:t>
      </w:r>
      <w:r w:rsidR="00444217" w:rsidRPr="00B15551">
        <w:rPr>
          <w:rFonts w:ascii="Calibri" w:hAnsi="Calibri" w:cs="Calibri"/>
          <w:sz w:val="24"/>
          <w:szCs w:val="24"/>
        </w:rPr>
        <w:t xml:space="preserve">206 </w:t>
      </w:r>
      <w:r w:rsidRPr="00B15551">
        <w:rPr>
          <w:rFonts w:ascii="Calibri" w:hAnsi="Calibri" w:cs="Calibri"/>
          <w:sz w:val="24"/>
          <w:szCs w:val="24"/>
        </w:rPr>
        <w:t>(2022).</w:t>
      </w:r>
    </w:p>
    <w:p w14:paraId="2D7E2D82" w14:textId="77777777" w:rsidR="00964D09" w:rsidRPr="00B15551" w:rsidRDefault="00964D09" w:rsidP="00D45A60">
      <w:pPr>
        <w:pStyle w:val="PargrafodaLista"/>
        <w:numPr>
          <w:ilvl w:val="0"/>
          <w:numId w:val="54"/>
        </w:numPr>
        <w:spacing w:after="0" w:line="240" w:lineRule="auto"/>
        <w:ind w:left="0" w:firstLine="0"/>
        <w:jc w:val="both"/>
        <w:rPr>
          <w:rFonts w:ascii="Calibri" w:hAnsi="Calibri" w:cs="Calibri"/>
          <w:sz w:val="24"/>
          <w:szCs w:val="24"/>
        </w:rPr>
      </w:pPr>
      <w:r w:rsidRPr="00B15551">
        <w:rPr>
          <w:rFonts w:ascii="Calibri" w:hAnsi="Calibri" w:cs="Calibri"/>
          <w:sz w:val="24"/>
          <w:szCs w:val="24"/>
        </w:rPr>
        <w:t xml:space="preserve">Mateus, A., Matsson, P., Artursson, P. Rapid measurement of intracellular unbound drug concentrations. </w:t>
      </w:r>
      <w:r w:rsidRPr="00B15551">
        <w:rPr>
          <w:rFonts w:ascii="Calibri" w:hAnsi="Calibri" w:cs="Calibri"/>
          <w:i/>
          <w:iCs/>
          <w:sz w:val="24"/>
          <w:szCs w:val="24"/>
        </w:rPr>
        <w:t>Mol Pharmaceutics</w:t>
      </w:r>
      <w:r w:rsidRPr="00B15551">
        <w:rPr>
          <w:rFonts w:ascii="Calibri" w:hAnsi="Calibri" w:cs="Calibri"/>
          <w:sz w:val="24"/>
          <w:szCs w:val="24"/>
        </w:rPr>
        <w:t>. 1</w:t>
      </w:r>
      <w:r w:rsidRPr="00B15551">
        <w:rPr>
          <w:rFonts w:ascii="Calibri" w:hAnsi="Calibri" w:cs="Calibri"/>
          <w:b/>
          <w:bCs/>
          <w:sz w:val="24"/>
          <w:szCs w:val="24"/>
        </w:rPr>
        <w:t>0</w:t>
      </w:r>
      <w:r w:rsidRPr="00B15551">
        <w:rPr>
          <w:rFonts w:ascii="Calibri" w:hAnsi="Calibri" w:cs="Calibri"/>
          <w:sz w:val="24"/>
          <w:szCs w:val="24"/>
        </w:rPr>
        <w:t xml:space="preserve"> (6), 2467–2478 (2013).</w:t>
      </w:r>
    </w:p>
    <w:p w14:paraId="2A820EBB" w14:textId="77777777" w:rsidR="00964D09" w:rsidRPr="00B15551" w:rsidRDefault="00964D09" w:rsidP="00D45A60">
      <w:pPr>
        <w:pStyle w:val="PargrafodaLista"/>
        <w:numPr>
          <w:ilvl w:val="0"/>
          <w:numId w:val="54"/>
        </w:numPr>
        <w:spacing w:after="0" w:line="240" w:lineRule="auto"/>
        <w:ind w:left="0" w:firstLine="0"/>
        <w:jc w:val="both"/>
        <w:rPr>
          <w:rFonts w:ascii="Calibri" w:hAnsi="Calibri" w:cs="Calibri"/>
          <w:sz w:val="24"/>
          <w:szCs w:val="24"/>
        </w:rPr>
      </w:pPr>
      <w:r w:rsidRPr="00B15551">
        <w:rPr>
          <w:rFonts w:ascii="Calibri" w:hAnsi="Calibri" w:cs="Calibri"/>
          <w:sz w:val="24"/>
          <w:szCs w:val="24"/>
        </w:rPr>
        <w:t xml:space="preserve">Chien, H. C. et al. Rapid method to determine intracellular drug concentrations in cellular uptake assays: application to metformin in organic cation transporter 1-transfected human embryonic kidney 293 cells. </w:t>
      </w:r>
      <w:r w:rsidRPr="00B15551">
        <w:rPr>
          <w:rFonts w:ascii="Calibri" w:hAnsi="Calibri" w:cs="Calibri"/>
          <w:i/>
          <w:iCs/>
          <w:sz w:val="24"/>
          <w:szCs w:val="24"/>
        </w:rPr>
        <w:t xml:space="preserve">Drug </w:t>
      </w:r>
      <w:proofErr w:type="spellStart"/>
      <w:r w:rsidRPr="00B15551">
        <w:rPr>
          <w:rFonts w:ascii="Calibri" w:hAnsi="Calibri" w:cs="Calibri"/>
          <w:i/>
          <w:iCs/>
          <w:sz w:val="24"/>
          <w:szCs w:val="24"/>
        </w:rPr>
        <w:t>Metab</w:t>
      </w:r>
      <w:proofErr w:type="spellEnd"/>
      <w:r w:rsidRPr="00B15551">
        <w:rPr>
          <w:rFonts w:ascii="Calibri" w:hAnsi="Calibri" w:cs="Calibri"/>
          <w:i/>
          <w:iCs/>
          <w:sz w:val="24"/>
          <w:szCs w:val="24"/>
        </w:rPr>
        <w:t xml:space="preserve"> </w:t>
      </w:r>
      <w:proofErr w:type="spellStart"/>
      <w:r w:rsidRPr="00B15551">
        <w:rPr>
          <w:rFonts w:ascii="Calibri" w:hAnsi="Calibri" w:cs="Calibri"/>
          <w:i/>
          <w:iCs/>
          <w:sz w:val="24"/>
          <w:szCs w:val="24"/>
        </w:rPr>
        <w:t>Dispos</w:t>
      </w:r>
      <w:proofErr w:type="spellEnd"/>
      <w:r w:rsidRPr="00B15551">
        <w:rPr>
          <w:rFonts w:ascii="Calibri" w:hAnsi="Calibri" w:cs="Calibri"/>
          <w:sz w:val="24"/>
          <w:szCs w:val="24"/>
        </w:rPr>
        <w:t xml:space="preserve">. </w:t>
      </w:r>
      <w:r w:rsidRPr="00B15551">
        <w:rPr>
          <w:rFonts w:ascii="Calibri" w:hAnsi="Calibri" w:cs="Calibri"/>
          <w:b/>
          <w:bCs/>
          <w:sz w:val="24"/>
          <w:szCs w:val="24"/>
        </w:rPr>
        <w:t>44</w:t>
      </w:r>
      <w:r w:rsidRPr="00B15551">
        <w:rPr>
          <w:rFonts w:ascii="Calibri" w:hAnsi="Calibri" w:cs="Calibri"/>
          <w:sz w:val="24"/>
          <w:szCs w:val="24"/>
        </w:rPr>
        <w:t xml:space="preserve"> (3), 356–364 (2016).</w:t>
      </w:r>
    </w:p>
    <w:p w14:paraId="3BEF9890" w14:textId="4339DBD3" w:rsidR="005E2F24" w:rsidRPr="00B15551" w:rsidRDefault="005E2F24" w:rsidP="00D45A60">
      <w:pPr>
        <w:pStyle w:val="PargrafodaLista"/>
        <w:numPr>
          <w:ilvl w:val="0"/>
          <w:numId w:val="54"/>
        </w:numPr>
        <w:spacing w:after="0" w:line="240" w:lineRule="auto"/>
        <w:ind w:left="0" w:firstLine="0"/>
        <w:jc w:val="both"/>
        <w:rPr>
          <w:rFonts w:ascii="Calibri" w:hAnsi="Calibri" w:cs="Calibri"/>
          <w:sz w:val="24"/>
          <w:szCs w:val="24"/>
          <w:lang w:val="pt-BR"/>
        </w:rPr>
      </w:pPr>
      <w:r w:rsidRPr="00B15551">
        <w:rPr>
          <w:rFonts w:ascii="Calibri" w:hAnsi="Calibri" w:cs="Calibri"/>
          <w:sz w:val="24"/>
          <w:szCs w:val="24"/>
        </w:rPr>
        <w:lastRenderedPageBreak/>
        <w:t>Calcagno, A.</w:t>
      </w:r>
      <w:r w:rsidR="00444217" w:rsidRPr="00B15551">
        <w:rPr>
          <w:rFonts w:ascii="Calibri" w:hAnsi="Calibri" w:cs="Calibri"/>
          <w:sz w:val="24"/>
          <w:szCs w:val="24"/>
        </w:rPr>
        <w:t xml:space="preserve"> </w:t>
      </w:r>
      <w:r w:rsidRPr="00B15551">
        <w:rPr>
          <w:rFonts w:ascii="Calibri" w:hAnsi="Calibri" w:cs="Calibri"/>
          <w:sz w:val="24"/>
          <w:szCs w:val="24"/>
        </w:rPr>
        <w:t xml:space="preserve">M., Ambudkar, S.V. Analysis of expression of drug resistance-linked ABC transporters in cancer cells by quantitative RT-PCR. </w:t>
      </w:r>
      <w:r w:rsidRPr="00B15551">
        <w:rPr>
          <w:rFonts w:ascii="Calibri" w:hAnsi="Calibri" w:cs="Calibri"/>
          <w:i/>
          <w:iCs/>
          <w:sz w:val="24"/>
          <w:szCs w:val="24"/>
        </w:rPr>
        <w:t>Methods Mol Biol</w:t>
      </w:r>
      <w:r w:rsidRPr="00B15551">
        <w:rPr>
          <w:rFonts w:ascii="Calibri" w:hAnsi="Calibri" w:cs="Calibri"/>
          <w:sz w:val="24"/>
          <w:szCs w:val="24"/>
        </w:rPr>
        <w:t xml:space="preserve">. </w:t>
      </w:r>
      <w:r w:rsidRPr="00B15551">
        <w:rPr>
          <w:rFonts w:ascii="Calibri" w:hAnsi="Calibri" w:cs="Calibri"/>
          <w:b/>
          <w:bCs/>
          <w:sz w:val="24"/>
          <w:szCs w:val="24"/>
        </w:rPr>
        <w:t>637</w:t>
      </w:r>
      <w:r w:rsidRPr="00B15551">
        <w:rPr>
          <w:rFonts w:ascii="Calibri" w:hAnsi="Calibri" w:cs="Calibri"/>
          <w:sz w:val="24"/>
          <w:szCs w:val="24"/>
        </w:rPr>
        <w:t>, 121–132 (2010).</w:t>
      </w:r>
    </w:p>
    <w:p w14:paraId="3FD24BDE" w14:textId="519CC1A7" w:rsidR="005E2F24" w:rsidRPr="00B15551" w:rsidRDefault="005E2F24" w:rsidP="00D45A60">
      <w:pPr>
        <w:pStyle w:val="PargrafodaLista"/>
        <w:numPr>
          <w:ilvl w:val="0"/>
          <w:numId w:val="54"/>
        </w:numPr>
        <w:spacing w:after="0" w:line="240" w:lineRule="auto"/>
        <w:ind w:left="0" w:firstLine="0"/>
        <w:jc w:val="both"/>
        <w:rPr>
          <w:rFonts w:ascii="Calibri" w:hAnsi="Calibri" w:cs="Calibri"/>
          <w:sz w:val="24"/>
          <w:szCs w:val="24"/>
        </w:rPr>
      </w:pPr>
      <w:r w:rsidRPr="00B15551">
        <w:rPr>
          <w:rFonts w:ascii="Calibri" w:hAnsi="Calibri" w:cs="Calibri"/>
          <w:sz w:val="24"/>
          <w:szCs w:val="24"/>
        </w:rPr>
        <w:t xml:space="preserve">Richter, M. et al. From donor to the lab: a fascinating journey of primary cell lines. </w:t>
      </w:r>
      <w:r w:rsidRPr="00B15551">
        <w:rPr>
          <w:rFonts w:ascii="Calibri" w:hAnsi="Calibri" w:cs="Calibri"/>
          <w:i/>
          <w:iCs/>
          <w:sz w:val="24"/>
          <w:szCs w:val="24"/>
          <w:lang w:val="pt-BR"/>
        </w:rPr>
        <w:t xml:space="preserve">Front </w:t>
      </w:r>
      <w:proofErr w:type="spellStart"/>
      <w:r w:rsidRPr="00B15551">
        <w:rPr>
          <w:rFonts w:ascii="Calibri" w:hAnsi="Calibri" w:cs="Calibri"/>
          <w:i/>
          <w:iCs/>
          <w:sz w:val="24"/>
          <w:szCs w:val="24"/>
          <w:lang w:val="pt-BR"/>
        </w:rPr>
        <w:t>Cell</w:t>
      </w:r>
      <w:proofErr w:type="spellEnd"/>
      <w:r w:rsidRPr="00B15551">
        <w:rPr>
          <w:rFonts w:ascii="Calibri" w:hAnsi="Calibri" w:cs="Calibri"/>
          <w:i/>
          <w:iCs/>
          <w:sz w:val="24"/>
          <w:szCs w:val="24"/>
          <w:lang w:val="pt-BR"/>
        </w:rPr>
        <w:t xml:space="preserve"> </w:t>
      </w:r>
      <w:proofErr w:type="spellStart"/>
      <w:r w:rsidRPr="00B15551">
        <w:rPr>
          <w:rFonts w:ascii="Calibri" w:hAnsi="Calibri" w:cs="Calibri"/>
          <w:i/>
          <w:iCs/>
          <w:sz w:val="24"/>
          <w:szCs w:val="24"/>
          <w:lang w:val="pt-BR"/>
        </w:rPr>
        <w:t>Dev</w:t>
      </w:r>
      <w:proofErr w:type="spellEnd"/>
      <w:r w:rsidRPr="00B15551">
        <w:rPr>
          <w:rFonts w:ascii="Calibri" w:hAnsi="Calibri" w:cs="Calibri"/>
          <w:i/>
          <w:iCs/>
          <w:sz w:val="24"/>
          <w:szCs w:val="24"/>
          <w:lang w:val="pt-BR"/>
        </w:rPr>
        <w:t xml:space="preserve"> Biol</w:t>
      </w:r>
      <w:r w:rsidRPr="00B15551">
        <w:rPr>
          <w:rFonts w:ascii="Calibri" w:hAnsi="Calibri" w:cs="Calibri"/>
          <w:sz w:val="24"/>
          <w:szCs w:val="24"/>
          <w:lang w:val="pt-BR"/>
        </w:rPr>
        <w:t xml:space="preserve">. </w:t>
      </w:r>
      <w:r w:rsidRPr="00B15551">
        <w:rPr>
          <w:rFonts w:ascii="Calibri" w:hAnsi="Calibri" w:cs="Calibri"/>
          <w:b/>
          <w:bCs/>
          <w:sz w:val="24"/>
          <w:szCs w:val="24"/>
          <w:lang w:val="pt-BR"/>
        </w:rPr>
        <w:t>9</w:t>
      </w:r>
      <w:r w:rsidRPr="00B15551">
        <w:rPr>
          <w:rFonts w:ascii="Calibri" w:hAnsi="Calibri" w:cs="Calibri"/>
          <w:sz w:val="24"/>
          <w:szCs w:val="24"/>
          <w:lang w:val="pt-BR"/>
        </w:rPr>
        <w:t>, 648272 (2021).</w:t>
      </w:r>
    </w:p>
    <w:p w14:paraId="4F5F9D92" w14:textId="05BDFABD" w:rsidR="005E2F24" w:rsidRPr="00B15551" w:rsidRDefault="005E2F24" w:rsidP="00D45A60">
      <w:pPr>
        <w:pStyle w:val="PargrafodaLista"/>
        <w:numPr>
          <w:ilvl w:val="0"/>
          <w:numId w:val="54"/>
        </w:numPr>
        <w:spacing w:after="0" w:line="240" w:lineRule="auto"/>
        <w:ind w:left="0" w:firstLine="0"/>
        <w:jc w:val="both"/>
        <w:rPr>
          <w:rFonts w:ascii="Calibri" w:hAnsi="Calibri" w:cs="Calibri"/>
          <w:sz w:val="24"/>
          <w:szCs w:val="24"/>
        </w:rPr>
      </w:pPr>
      <w:r w:rsidRPr="00B15551">
        <w:rPr>
          <w:rFonts w:ascii="Calibri" w:hAnsi="Calibri" w:cs="Calibri"/>
          <w:sz w:val="24"/>
          <w:szCs w:val="24"/>
        </w:rPr>
        <w:t xml:space="preserve">Borgmann, A. et al. Childhood ALL blasts retain phenotypic and genotypic characteristics upon long-term serial passage in NOD/SCID mice. </w:t>
      </w:r>
      <w:proofErr w:type="spellStart"/>
      <w:r w:rsidRPr="00B15551">
        <w:rPr>
          <w:rFonts w:ascii="Calibri" w:hAnsi="Calibri" w:cs="Calibri"/>
          <w:i/>
          <w:iCs/>
          <w:sz w:val="24"/>
          <w:szCs w:val="24"/>
        </w:rPr>
        <w:t>Pediatr</w:t>
      </w:r>
      <w:proofErr w:type="spellEnd"/>
      <w:r w:rsidRPr="00B15551">
        <w:rPr>
          <w:rFonts w:ascii="Calibri" w:hAnsi="Calibri" w:cs="Calibri"/>
          <w:i/>
          <w:iCs/>
          <w:sz w:val="24"/>
          <w:szCs w:val="24"/>
        </w:rPr>
        <w:t xml:space="preserve"> </w:t>
      </w:r>
      <w:proofErr w:type="spellStart"/>
      <w:r w:rsidRPr="00B15551">
        <w:rPr>
          <w:rFonts w:ascii="Calibri" w:hAnsi="Calibri" w:cs="Calibri"/>
          <w:i/>
          <w:iCs/>
          <w:sz w:val="24"/>
          <w:szCs w:val="24"/>
        </w:rPr>
        <w:t>Hematol</w:t>
      </w:r>
      <w:proofErr w:type="spellEnd"/>
      <w:r w:rsidRPr="00B15551">
        <w:rPr>
          <w:rFonts w:ascii="Calibri" w:hAnsi="Calibri" w:cs="Calibri"/>
          <w:i/>
          <w:iCs/>
          <w:sz w:val="24"/>
          <w:szCs w:val="24"/>
        </w:rPr>
        <w:t xml:space="preserve"> Oncol</w:t>
      </w:r>
      <w:r w:rsidRPr="00B15551">
        <w:rPr>
          <w:rFonts w:ascii="Calibri" w:hAnsi="Calibri" w:cs="Calibri"/>
          <w:sz w:val="24"/>
          <w:szCs w:val="24"/>
        </w:rPr>
        <w:t xml:space="preserve">. </w:t>
      </w:r>
      <w:r w:rsidRPr="00B15551">
        <w:rPr>
          <w:rFonts w:ascii="Calibri" w:hAnsi="Calibri" w:cs="Calibri"/>
          <w:b/>
          <w:bCs/>
          <w:sz w:val="24"/>
          <w:szCs w:val="24"/>
        </w:rPr>
        <w:t>17</w:t>
      </w:r>
      <w:r w:rsidRPr="00B15551">
        <w:rPr>
          <w:rFonts w:ascii="Calibri" w:hAnsi="Calibri" w:cs="Calibri"/>
          <w:sz w:val="24"/>
          <w:szCs w:val="24"/>
        </w:rPr>
        <w:t xml:space="preserve"> (8), 635–650 (2000).</w:t>
      </w:r>
    </w:p>
    <w:p w14:paraId="023B203E" w14:textId="7A8E967D" w:rsidR="005E2F24" w:rsidRPr="00B15551" w:rsidRDefault="005E2F24" w:rsidP="00D45A60">
      <w:pPr>
        <w:pStyle w:val="PargrafodaLista"/>
        <w:numPr>
          <w:ilvl w:val="0"/>
          <w:numId w:val="54"/>
        </w:numPr>
        <w:spacing w:after="0" w:line="240" w:lineRule="auto"/>
        <w:ind w:left="0" w:firstLine="0"/>
        <w:jc w:val="both"/>
        <w:rPr>
          <w:rFonts w:ascii="Calibri" w:hAnsi="Calibri" w:cs="Calibri"/>
          <w:sz w:val="24"/>
          <w:szCs w:val="24"/>
        </w:rPr>
      </w:pPr>
      <w:r w:rsidRPr="00B15551">
        <w:rPr>
          <w:rFonts w:ascii="Calibri" w:hAnsi="Calibri" w:cs="Calibri"/>
          <w:sz w:val="24"/>
          <w:szCs w:val="24"/>
        </w:rPr>
        <w:t>Rosati, M.</w:t>
      </w:r>
      <w:r w:rsidR="00444217" w:rsidRPr="00B15551">
        <w:rPr>
          <w:rFonts w:ascii="Calibri" w:hAnsi="Calibri" w:cs="Calibri"/>
          <w:sz w:val="24"/>
          <w:szCs w:val="24"/>
        </w:rPr>
        <w:t xml:space="preserve"> </w:t>
      </w:r>
      <w:r w:rsidRPr="00B15551">
        <w:rPr>
          <w:rFonts w:ascii="Calibri" w:hAnsi="Calibri" w:cs="Calibri"/>
          <w:sz w:val="24"/>
          <w:szCs w:val="24"/>
        </w:rPr>
        <w:t>M., Corrêa, J.</w:t>
      </w:r>
      <w:r w:rsidR="00444217" w:rsidRPr="00B15551">
        <w:rPr>
          <w:rFonts w:ascii="Calibri" w:hAnsi="Calibri" w:cs="Calibri"/>
          <w:sz w:val="24"/>
          <w:szCs w:val="24"/>
        </w:rPr>
        <w:t xml:space="preserve"> </w:t>
      </w:r>
      <w:r w:rsidRPr="00B15551">
        <w:rPr>
          <w:rFonts w:ascii="Calibri" w:hAnsi="Calibri" w:cs="Calibri"/>
          <w:sz w:val="24"/>
          <w:szCs w:val="24"/>
        </w:rPr>
        <w:t xml:space="preserve">R., de Sousa Mariano, S., Cardoso, A., Andrés Yunes, J. Murine model of leukemia relapse to induction chemotherapy for acute lymphoblastic leukemia. </w:t>
      </w:r>
      <w:r w:rsidRPr="00B15551">
        <w:rPr>
          <w:rFonts w:ascii="Calibri" w:hAnsi="Calibri" w:cs="Calibri"/>
          <w:i/>
          <w:iCs/>
          <w:sz w:val="24"/>
          <w:szCs w:val="24"/>
        </w:rPr>
        <w:t>J Vis Exp</w:t>
      </w:r>
      <w:r w:rsidRPr="00B15551">
        <w:rPr>
          <w:rFonts w:ascii="Calibri" w:hAnsi="Calibri" w:cs="Calibri"/>
          <w:sz w:val="24"/>
          <w:szCs w:val="24"/>
        </w:rPr>
        <w:t xml:space="preserve">. </w:t>
      </w:r>
      <w:r w:rsidRPr="00B15551">
        <w:rPr>
          <w:rFonts w:ascii="Calibri" w:hAnsi="Calibri" w:cs="Calibri"/>
          <w:b/>
          <w:bCs/>
          <w:sz w:val="24"/>
          <w:szCs w:val="24"/>
        </w:rPr>
        <w:t>224</w:t>
      </w:r>
      <w:r w:rsidRPr="00B15551">
        <w:rPr>
          <w:rFonts w:ascii="Calibri" w:hAnsi="Calibri" w:cs="Calibri"/>
          <w:sz w:val="24"/>
          <w:szCs w:val="24"/>
        </w:rPr>
        <w:t>, e68797 (2025).</w:t>
      </w:r>
    </w:p>
    <w:p w14:paraId="491B3331" w14:textId="172632FB" w:rsidR="005E2F24" w:rsidRPr="00B15551" w:rsidRDefault="005E2F24" w:rsidP="00D45A60">
      <w:pPr>
        <w:pStyle w:val="PargrafodaLista"/>
        <w:numPr>
          <w:ilvl w:val="0"/>
          <w:numId w:val="54"/>
        </w:numPr>
        <w:spacing w:after="0" w:line="240" w:lineRule="auto"/>
        <w:ind w:left="0" w:firstLine="0"/>
        <w:jc w:val="both"/>
        <w:rPr>
          <w:rFonts w:ascii="Calibri" w:hAnsi="Calibri" w:cs="Calibri"/>
          <w:sz w:val="24"/>
          <w:szCs w:val="24"/>
        </w:rPr>
      </w:pPr>
      <w:r w:rsidRPr="00B15551">
        <w:rPr>
          <w:rFonts w:ascii="Calibri" w:hAnsi="Calibri" w:cs="Calibri"/>
          <w:sz w:val="24"/>
          <w:szCs w:val="24"/>
        </w:rPr>
        <w:t>Dams, R., Huestis, M.</w:t>
      </w:r>
      <w:r w:rsidR="00444217" w:rsidRPr="00B15551">
        <w:rPr>
          <w:rFonts w:ascii="Calibri" w:hAnsi="Calibri" w:cs="Calibri"/>
          <w:sz w:val="24"/>
          <w:szCs w:val="24"/>
        </w:rPr>
        <w:t xml:space="preserve"> </w:t>
      </w:r>
      <w:r w:rsidRPr="00B15551">
        <w:rPr>
          <w:rFonts w:ascii="Calibri" w:hAnsi="Calibri" w:cs="Calibri"/>
          <w:sz w:val="24"/>
          <w:szCs w:val="24"/>
        </w:rPr>
        <w:t>A., Lambert, W.</w:t>
      </w:r>
      <w:r w:rsidR="00444217" w:rsidRPr="00B15551">
        <w:rPr>
          <w:rFonts w:ascii="Calibri" w:hAnsi="Calibri" w:cs="Calibri"/>
          <w:sz w:val="24"/>
          <w:szCs w:val="24"/>
        </w:rPr>
        <w:t xml:space="preserve"> </w:t>
      </w:r>
      <w:r w:rsidRPr="00B15551">
        <w:rPr>
          <w:rFonts w:ascii="Calibri" w:hAnsi="Calibri" w:cs="Calibri"/>
          <w:sz w:val="24"/>
          <w:szCs w:val="24"/>
        </w:rPr>
        <w:t>E., Murphy, C.</w:t>
      </w:r>
      <w:r w:rsidR="00444217" w:rsidRPr="00B15551">
        <w:rPr>
          <w:rFonts w:ascii="Calibri" w:hAnsi="Calibri" w:cs="Calibri"/>
          <w:sz w:val="24"/>
          <w:szCs w:val="24"/>
        </w:rPr>
        <w:t xml:space="preserve"> </w:t>
      </w:r>
      <w:r w:rsidRPr="00B15551">
        <w:rPr>
          <w:rFonts w:ascii="Calibri" w:hAnsi="Calibri" w:cs="Calibri"/>
          <w:sz w:val="24"/>
          <w:szCs w:val="24"/>
        </w:rPr>
        <w:t xml:space="preserve">M. Matrix effect in bioanalysis of illicit drugs with LC–MS/MS: influence of ionization type, sample preparation, and biofluid. </w:t>
      </w:r>
      <w:r w:rsidRPr="00B15551">
        <w:rPr>
          <w:rFonts w:ascii="Calibri" w:hAnsi="Calibri" w:cs="Calibri"/>
          <w:i/>
          <w:iCs/>
          <w:sz w:val="24"/>
          <w:szCs w:val="24"/>
        </w:rPr>
        <w:t xml:space="preserve">J Am Soc Mass </w:t>
      </w:r>
      <w:proofErr w:type="spellStart"/>
      <w:r w:rsidRPr="00B15551">
        <w:rPr>
          <w:rFonts w:ascii="Calibri" w:hAnsi="Calibri" w:cs="Calibri"/>
          <w:i/>
          <w:iCs/>
          <w:sz w:val="24"/>
          <w:szCs w:val="24"/>
        </w:rPr>
        <w:t>Spectrom</w:t>
      </w:r>
      <w:proofErr w:type="spellEnd"/>
      <w:r w:rsidRPr="00B15551">
        <w:rPr>
          <w:rFonts w:ascii="Calibri" w:hAnsi="Calibri" w:cs="Calibri"/>
          <w:sz w:val="24"/>
          <w:szCs w:val="24"/>
        </w:rPr>
        <w:t xml:space="preserve">. </w:t>
      </w:r>
      <w:r w:rsidRPr="00B15551">
        <w:rPr>
          <w:rFonts w:ascii="Calibri" w:hAnsi="Calibri" w:cs="Calibri"/>
          <w:b/>
          <w:bCs/>
          <w:sz w:val="24"/>
          <w:szCs w:val="24"/>
        </w:rPr>
        <w:t>14</w:t>
      </w:r>
      <w:r w:rsidRPr="00B15551">
        <w:rPr>
          <w:rFonts w:ascii="Calibri" w:hAnsi="Calibri" w:cs="Calibri"/>
          <w:sz w:val="24"/>
          <w:szCs w:val="24"/>
        </w:rPr>
        <w:t xml:space="preserve"> (11), 1290–1294 (2003).</w:t>
      </w:r>
    </w:p>
    <w:p w14:paraId="0DD19A35" w14:textId="77777777" w:rsidR="005E2F24" w:rsidRPr="00B15551" w:rsidRDefault="005E2F24" w:rsidP="00D45A60">
      <w:pPr>
        <w:pStyle w:val="PargrafodaLista"/>
        <w:numPr>
          <w:ilvl w:val="0"/>
          <w:numId w:val="54"/>
        </w:numPr>
        <w:spacing w:after="0" w:line="240" w:lineRule="auto"/>
        <w:ind w:left="0" w:firstLine="0"/>
        <w:jc w:val="both"/>
        <w:rPr>
          <w:rFonts w:ascii="Calibri" w:hAnsi="Calibri" w:cs="Calibri"/>
          <w:sz w:val="24"/>
          <w:szCs w:val="24"/>
        </w:rPr>
      </w:pPr>
      <w:r w:rsidRPr="00B15551">
        <w:rPr>
          <w:rFonts w:ascii="Calibri" w:hAnsi="Calibri" w:cs="Calibri"/>
          <w:sz w:val="24"/>
          <w:szCs w:val="24"/>
        </w:rPr>
        <w:t xml:space="preserve">Yang, Y., Cruickshank, C., Armstrong, M., Mahaffey, S., Reisdorph, R., Reisdorph, N. New sample preparation approach for mass spectrometry-based profiling of plasma results in improved coverage of metabolome. </w:t>
      </w:r>
      <w:r w:rsidRPr="00B15551">
        <w:rPr>
          <w:rFonts w:ascii="Calibri" w:hAnsi="Calibri" w:cs="Calibri"/>
          <w:i/>
          <w:iCs/>
          <w:sz w:val="24"/>
          <w:szCs w:val="24"/>
        </w:rPr>
        <w:t xml:space="preserve">J </w:t>
      </w:r>
      <w:proofErr w:type="spellStart"/>
      <w:r w:rsidRPr="00B15551">
        <w:rPr>
          <w:rFonts w:ascii="Calibri" w:hAnsi="Calibri" w:cs="Calibri"/>
          <w:i/>
          <w:iCs/>
          <w:sz w:val="24"/>
          <w:szCs w:val="24"/>
        </w:rPr>
        <w:t>Chromatogr</w:t>
      </w:r>
      <w:proofErr w:type="spellEnd"/>
      <w:r w:rsidRPr="00B15551">
        <w:rPr>
          <w:rFonts w:ascii="Calibri" w:hAnsi="Calibri" w:cs="Calibri"/>
          <w:i/>
          <w:iCs/>
          <w:sz w:val="24"/>
          <w:szCs w:val="24"/>
        </w:rPr>
        <w:t xml:space="preserve"> A</w:t>
      </w:r>
      <w:r w:rsidRPr="00B15551">
        <w:rPr>
          <w:rFonts w:ascii="Calibri" w:hAnsi="Calibri" w:cs="Calibri"/>
          <w:sz w:val="24"/>
          <w:szCs w:val="24"/>
        </w:rPr>
        <w:t xml:space="preserve">. </w:t>
      </w:r>
      <w:r w:rsidRPr="00B15551">
        <w:rPr>
          <w:rFonts w:ascii="Calibri" w:hAnsi="Calibri" w:cs="Calibri"/>
          <w:b/>
          <w:bCs/>
          <w:sz w:val="24"/>
          <w:szCs w:val="24"/>
        </w:rPr>
        <w:t>1300</w:t>
      </w:r>
      <w:r w:rsidRPr="00B15551">
        <w:rPr>
          <w:rFonts w:ascii="Calibri" w:hAnsi="Calibri" w:cs="Calibri"/>
          <w:sz w:val="24"/>
          <w:szCs w:val="24"/>
        </w:rPr>
        <w:t>, 217–226 (2013).</w:t>
      </w:r>
    </w:p>
    <w:p w14:paraId="30099CE6" w14:textId="61AFF42B" w:rsidR="005E2F24" w:rsidRPr="00B15551" w:rsidRDefault="005E2F24" w:rsidP="00D45A60">
      <w:pPr>
        <w:pStyle w:val="PargrafodaLista"/>
        <w:numPr>
          <w:ilvl w:val="0"/>
          <w:numId w:val="54"/>
        </w:numPr>
        <w:spacing w:after="0" w:line="240" w:lineRule="auto"/>
        <w:ind w:left="0" w:firstLine="0"/>
        <w:jc w:val="both"/>
        <w:rPr>
          <w:rFonts w:ascii="Calibri" w:hAnsi="Calibri" w:cs="Calibri"/>
          <w:sz w:val="24"/>
          <w:szCs w:val="24"/>
        </w:rPr>
      </w:pPr>
      <w:r w:rsidRPr="00B15551">
        <w:rPr>
          <w:rFonts w:ascii="Calibri" w:hAnsi="Calibri" w:cs="Calibri"/>
          <w:sz w:val="24"/>
          <w:szCs w:val="24"/>
        </w:rPr>
        <w:t xml:space="preserve">Zhang, J., Dasgupta, A., Ayala, R., </w:t>
      </w:r>
      <w:proofErr w:type="spellStart"/>
      <w:r w:rsidRPr="00B15551">
        <w:rPr>
          <w:rFonts w:ascii="Calibri" w:hAnsi="Calibri" w:cs="Calibri"/>
          <w:sz w:val="24"/>
          <w:szCs w:val="24"/>
        </w:rPr>
        <w:t>Bonapace</w:t>
      </w:r>
      <w:proofErr w:type="spellEnd"/>
      <w:r w:rsidRPr="00B15551">
        <w:rPr>
          <w:rFonts w:ascii="Calibri" w:hAnsi="Calibri" w:cs="Calibri"/>
          <w:sz w:val="24"/>
          <w:szCs w:val="24"/>
        </w:rPr>
        <w:t xml:space="preserve">, C., Kassim, S., Faustino, P.J. Internal standard variability: root cause investigation, parallelism for evaluating trackability and practical considerations. </w:t>
      </w:r>
      <w:r w:rsidRPr="00B15551">
        <w:rPr>
          <w:rFonts w:ascii="Calibri" w:hAnsi="Calibri" w:cs="Calibri"/>
          <w:i/>
          <w:iCs/>
          <w:sz w:val="24"/>
          <w:szCs w:val="24"/>
        </w:rPr>
        <w:t>Bioanalysis</w:t>
      </w:r>
      <w:r w:rsidRPr="00B15551">
        <w:rPr>
          <w:rFonts w:ascii="Calibri" w:hAnsi="Calibri" w:cs="Calibri"/>
          <w:sz w:val="24"/>
          <w:szCs w:val="24"/>
        </w:rPr>
        <w:t xml:space="preserve">. </w:t>
      </w:r>
      <w:r w:rsidRPr="00B15551">
        <w:rPr>
          <w:rFonts w:ascii="Calibri" w:hAnsi="Calibri" w:cs="Calibri"/>
          <w:b/>
          <w:bCs/>
          <w:sz w:val="24"/>
          <w:szCs w:val="24"/>
        </w:rPr>
        <w:t>16</w:t>
      </w:r>
      <w:r w:rsidRPr="00B15551">
        <w:rPr>
          <w:rFonts w:ascii="Calibri" w:hAnsi="Calibri" w:cs="Calibri"/>
          <w:sz w:val="24"/>
          <w:szCs w:val="24"/>
        </w:rPr>
        <w:t xml:space="preserve"> (15), 771–776 (2024).</w:t>
      </w:r>
    </w:p>
    <w:sectPr w:rsidR="005E2F24" w:rsidRPr="00B15551" w:rsidSect="00147CBA">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F6939" w14:textId="77777777" w:rsidR="00CD5B8D" w:rsidRDefault="00CD5B8D">
      <w:r>
        <w:separator/>
      </w:r>
    </w:p>
  </w:endnote>
  <w:endnote w:type="continuationSeparator" w:id="0">
    <w:p w14:paraId="13BA26EE" w14:textId="77777777" w:rsidR="00CD5B8D" w:rsidRDefault="00CD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D26B7" w14:textId="77777777" w:rsidR="00CD5B8D" w:rsidRDefault="00CD5B8D">
      <w:r>
        <w:separator/>
      </w:r>
    </w:p>
  </w:footnote>
  <w:footnote w:type="continuationSeparator" w:id="0">
    <w:p w14:paraId="1DE1FD1E" w14:textId="77777777" w:rsidR="00CD5B8D" w:rsidRDefault="00CD5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3F27D444"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585"/>
    <w:multiLevelType w:val="multilevel"/>
    <w:tmpl w:val="8370F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7717E"/>
    <w:multiLevelType w:val="multilevel"/>
    <w:tmpl w:val="996EA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C44161"/>
    <w:multiLevelType w:val="multilevel"/>
    <w:tmpl w:val="ADF88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53002"/>
    <w:multiLevelType w:val="multilevel"/>
    <w:tmpl w:val="E93EA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834299"/>
    <w:multiLevelType w:val="multilevel"/>
    <w:tmpl w:val="4E70B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D66565"/>
    <w:multiLevelType w:val="multilevel"/>
    <w:tmpl w:val="39DE5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CD0AEB"/>
    <w:multiLevelType w:val="multilevel"/>
    <w:tmpl w:val="2AF45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271F3"/>
    <w:multiLevelType w:val="multilevel"/>
    <w:tmpl w:val="6A2A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26BF3012"/>
    <w:multiLevelType w:val="multilevel"/>
    <w:tmpl w:val="D45C5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B727ADF"/>
    <w:multiLevelType w:val="multilevel"/>
    <w:tmpl w:val="017A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E8C7EBB"/>
    <w:multiLevelType w:val="multilevel"/>
    <w:tmpl w:val="1D7CA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5747A8"/>
    <w:multiLevelType w:val="multilevel"/>
    <w:tmpl w:val="7264D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1B650B"/>
    <w:multiLevelType w:val="multilevel"/>
    <w:tmpl w:val="65C4A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661F49"/>
    <w:multiLevelType w:val="multilevel"/>
    <w:tmpl w:val="ED94E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5" w15:restartNumberingAfterBreak="0">
    <w:nsid w:val="34804D85"/>
    <w:multiLevelType w:val="hybridMultilevel"/>
    <w:tmpl w:val="8DA209A6"/>
    <w:lvl w:ilvl="0" w:tplc="4009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B380AE9"/>
    <w:multiLevelType w:val="multilevel"/>
    <w:tmpl w:val="565A1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741AB5"/>
    <w:multiLevelType w:val="multilevel"/>
    <w:tmpl w:val="B47EF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29519F"/>
    <w:multiLevelType w:val="multilevel"/>
    <w:tmpl w:val="2AEAD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FB078A1"/>
    <w:multiLevelType w:val="multilevel"/>
    <w:tmpl w:val="1CC65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4C1DDA"/>
    <w:multiLevelType w:val="multilevel"/>
    <w:tmpl w:val="EB222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EAA1512"/>
    <w:multiLevelType w:val="multilevel"/>
    <w:tmpl w:val="F3F46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173026D"/>
    <w:multiLevelType w:val="multilevel"/>
    <w:tmpl w:val="58647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8306D76"/>
    <w:multiLevelType w:val="multilevel"/>
    <w:tmpl w:val="27BCC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8F03A08"/>
    <w:multiLevelType w:val="multilevel"/>
    <w:tmpl w:val="2D48A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EDA1A90"/>
    <w:multiLevelType w:val="multilevel"/>
    <w:tmpl w:val="86305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F951329"/>
    <w:multiLevelType w:val="multilevel"/>
    <w:tmpl w:val="7B8AC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02A7358"/>
    <w:multiLevelType w:val="multilevel"/>
    <w:tmpl w:val="7DC6A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1954A0D"/>
    <w:multiLevelType w:val="multilevel"/>
    <w:tmpl w:val="626088F2"/>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68986B23"/>
    <w:multiLevelType w:val="hybridMultilevel"/>
    <w:tmpl w:val="CE68FF00"/>
    <w:lvl w:ilvl="0" w:tplc="6D62B1B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038520D"/>
    <w:multiLevelType w:val="multilevel"/>
    <w:tmpl w:val="28D82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959107B"/>
    <w:multiLevelType w:val="hybridMultilevel"/>
    <w:tmpl w:val="FF6C584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5F685F"/>
    <w:multiLevelType w:val="multilevel"/>
    <w:tmpl w:val="A66AA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2123839">
    <w:abstractNumId w:val="23"/>
  </w:num>
  <w:num w:numId="2" w16cid:durableId="1984042491">
    <w:abstractNumId w:val="33"/>
  </w:num>
  <w:num w:numId="3" w16cid:durableId="118914537">
    <w:abstractNumId w:val="48"/>
  </w:num>
  <w:num w:numId="4" w16cid:durableId="1932934919">
    <w:abstractNumId w:val="12"/>
  </w:num>
  <w:num w:numId="5" w16cid:durableId="584412448">
    <w:abstractNumId w:val="37"/>
  </w:num>
  <w:num w:numId="6" w16cid:durableId="1692337555">
    <w:abstractNumId w:val="47"/>
  </w:num>
  <w:num w:numId="7" w16cid:durableId="1668751632">
    <w:abstractNumId w:val="24"/>
  </w:num>
  <w:num w:numId="8" w16cid:durableId="1699504584">
    <w:abstractNumId w:val="31"/>
  </w:num>
  <w:num w:numId="9" w16cid:durableId="1471939920">
    <w:abstractNumId w:val="14"/>
  </w:num>
  <w:num w:numId="10" w16cid:durableId="1456294289">
    <w:abstractNumId w:val="26"/>
  </w:num>
  <w:num w:numId="11" w16cid:durableId="1090856223">
    <w:abstractNumId w:val="34"/>
  </w:num>
  <w:num w:numId="12" w16cid:durableId="347753210">
    <w:abstractNumId w:val="17"/>
  </w:num>
  <w:num w:numId="13" w16cid:durableId="62803357">
    <w:abstractNumId w:val="52"/>
  </w:num>
  <w:num w:numId="14" w16cid:durableId="571625102">
    <w:abstractNumId w:val="50"/>
  </w:num>
  <w:num w:numId="15" w16cid:durableId="1783526964">
    <w:abstractNumId w:val="22"/>
  </w:num>
  <w:num w:numId="16" w16cid:durableId="985014971">
    <w:abstractNumId w:val="11"/>
  </w:num>
  <w:num w:numId="17" w16cid:durableId="1511211528">
    <w:abstractNumId w:val="9"/>
  </w:num>
  <w:num w:numId="18" w16cid:durableId="1311205117">
    <w:abstractNumId w:val="32"/>
  </w:num>
  <w:num w:numId="19" w16cid:durableId="81266712">
    <w:abstractNumId w:val="16"/>
  </w:num>
  <w:num w:numId="20" w16cid:durableId="1802188761">
    <w:abstractNumId w:val="38"/>
  </w:num>
  <w:num w:numId="21" w16cid:durableId="225191431">
    <w:abstractNumId w:val="1"/>
  </w:num>
  <w:num w:numId="22" w16cid:durableId="475996718">
    <w:abstractNumId w:val="4"/>
  </w:num>
  <w:num w:numId="23" w16cid:durableId="1095396252">
    <w:abstractNumId w:val="51"/>
  </w:num>
  <w:num w:numId="24" w16cid:durableId="1649091209">
    <w:abstractNumId w:val="45"/>
  </w:num>
  <w:num w:numId="25" w16cid:durableId="1431314117">
    <w:abstractNumId w:val="18"/>
  </w:num>
  <w:num w:numId="26" w16cid:durableId="1549607604">
    <w:abstractNumId w:val="10"/>
  </w:num>
  <w:num w:numId="27" w16cid:durableId="365176031">
    <w:abstractNumId w:val="13"/>
  </w:num>
  <w:num w:numId="28" w16cid:durableId="1486244328">
    <w:abstractNumId w:val="49"/>
  </w:num>
  <w:num w:numId="29" w16cid:durableId="398477352">
    <w:abstractNumId w:val="30"/>
  </w:num>
  <w:num w:numId="30" w16cid:durableId="1712533509">
    <w:abstractNumId w:val="39"/>
  </w:num>
  <w:num w:numId="31" w16cid:durableId="1095395621">
    <w:abstractNumId w:val="20"/>
  </w:num>
  <w:num w:numId="32" w16cid:durableId="1398093006">
    <w:abstractNumId w:val="29"/>
  </w:num>
  <w:num w:numId="33" w16cid:durableId="743987421">
    <w:abstractNumId w:val="28"/>
  </w:num>
  <w:num w:numId="34" w16cid:durableId="177474537">
    <w:abstractNumId w:val="5"/>
  </w:num>
  <w:num w:numId="35" w16cid:durableId="321738258">
    <w:abstractNumId w:val="53"/>
  </w:num>
  <w:num w:numId="36" w16cid:durableId="1697340786">
    <w:abstractNumId w:val="36"/>
  </w:num>
  <w:num w:numId="37" w16cid:durableId="1032998979">
    <w:abstractNumId w:val="7"/>
  </w:num>
  <w:num w:numId="38" w16cid:durableId="225536871">
    <w:abstractNumId w:val="21"/>
  </w:num>
  <w:num w:numId="39" w16cid:durableId="168910674">
    <w:abstractNumId w:val="8"/>
  </w:num>
  <w:num w:numId="40" w16cid:durableId="981033338">
    <w:abstractNumId w:val="35"/>
  </w:num>
  <w:num w:numId="41" w16cid:durableId="445538797">
    <w:abstractNumId w:val="43"/>
  </w:num>
  <w:num w:numId="42" w16cid:durableId="501244471">
    <w:abstractNumId w:val="15"/>
  </w:num>
  <w:num w:numId="43" w16cid:durableId="1338533874">
    <w:abstractNumId w:val="3"/>
  </w:num>
  <w:num w:numId="44" w16cid:durableId="1121803020">
    <w:abstractNumId w:val="6"/>
  </w:num>
  <w:num w:numId="45" w16cid:durableId="1349987673">
    <w:abstractNumId w:val="2"/>
  </w:num>
  <w:num w:numId="46" w16cid:durableId="200361075">
    <w:abstractNumId w:val="19"/>
  </w:num>
  <w:num w:numId="47" w16cid:durableId="668947244">
    <w:abstractNumId w:val="40"/>
  </w:num>
  <w:num w:numId="48" w16cid:durableId="1154371243">
    <w:abstractNumId w:val="0"/>
  </w:num>
  <w:num w:numId="49" w16cid:durableId="1404989654">
    <w:abstractNumId w:val="41"/>
  </w:num>
  <w:num w:numId="50" w16cid:durableId="2071922895">
    <w:abstractNumId w:val="44"/>
  </w:num>
  <w:num w:numId="51" w16cid:durableId="1868785684">
    <w:abstractNumId w:val="42"/>
  </w:num>
  <w:num w:numId="52" w16cid:durableId="726993943">
    <w:abstractNumId w:val="27"/>
  </w:num>
  <w:num w:numId="53" w16cid:durableId="540822303">
    <w:abstractNumId w:val="46"/>
  </w:num>
  <w:num w:numId="54" w16cid:durableId="204416508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wFAAMi14QtAAAA"/>
  </w:docVars>
  <w:rsids>
    <w:rsidRoot w:val="006E4797"/>
    <w:rsid w:val="0000515B"/>
    <w:rsid w:val="00011457"/>
    <w:rsid w:val="00013652"/>
    <w:rsid w:val="000312B1"/>
    <w:rsid w:val="00034DD1"/>
    <w:rsid w:val="0004355D"/>
    <w:rsid w:val="00057B67"/>
    <w:rsid w:val="00061E0E"/>
    <w:rsid w:val="0007506F"/>
    <w:rsid w:val="00076815"/>
    <w:rsid w:val="00081F44"/>
    <w:rsid w:val="00082A5F"/>
    <w:rsid w:val="00083887"/>
    <w:rsid w:val="00091340"/>
    <w:rsid w:val="00093123"/>
    <w:rsid w:val="000B41B6"/>
    <w:rsid w:val="000C47EF"/>
    <w:rsid w:val="000E2ABF"/>
    <w:rsid w:val="000E3F21"/>
    <w:rsid w:val="000E4C51"/>
    <w:rsid w:val="000E6F0C"/>
    <w:rsid w:val="00122016"/>
    <w:rsid w:val="00147CBA"/>
    <w:rsid w:val="0015327B"/>
    <w:rsid w:val="001624E4"/>
    <w:rsid w:val="00181A81"/>
    <w:rsid w:val="0018412F"/>
    <w:rsid w:val="00194C04"/>
    <w:rsid w:val="00194CE8"/>
    <w:rsid w:val="001959A2"/>
    <w:rsid w:val="001A1CA1"/>
    <w:rsid w:val="001A3D0F"/>
    <w:rsid w:val="001A4910"/>
    <w:rsid w:val="001C2A89"/>
    <w:rsid w:val="001D1578"/>
    <w:rsid w:val="001F3109"/>
    <w:rsid w:val="00210DD6"/>
    <w:rsid w:val="00214319"/>
    <w:rsid w:val="00216774"/>
    <w:rsid w:val="0023296D"/>
    <w:rsid w:val="00232DDC"/>
    <w:rsid w:val="00247A03"/>
    <w:rsid w:val="00252077"/>
    <w:rsid w:val="00273EDD"/>
    <w:rsid w:val="0028601D"/>
    <w:rsid w:val="002B16CE"/>
    <w:rsid w:val="0030720E"/>
    <w:rsid w:val="0031658E"/>
    <w:rsid w:val="00345A90"/>
    <w:rsid w:val="00350D17"/>
    <w:rsid w:val="00351087"/>
    <w:rsid w:val="003548DA"/>
    <w:rsid w:val="00356228"/>
    <w:rsid w:val="00356880"/>
    <w:rsid w:val="0036730A"/>
    <w:rsid w:val="00374796"/>
    <w:rsid w:val="00387CDA"/>
    <w:rsid w:val="003A0473"/>
    <w:rsid w:val="003A5297"/>
    <w:rsid w:val="003D67E2"/>
    <w:rsid w:val="003E3CD1"/>
    <w:rsid w:val="004036CD"/>
    <w:rsid w:val="0040579A"/>
    <w:rsid w:val="00414ADE"/>
    <w:rsid w:val="004361C8"/>
    <w:rsid w:val="00436F4D"/>
    <w:rsid w:val="00444217"/>
    <w:rsid w:val="004579FF"/>
    <w:rsid w:val="004620C9"/>
    <w:rsid w:val="004939EE"/>
    <w:rsid w:val="004969D3"/>
    <w:rsid w:val="004B69C1"/>
    <w:rsid w:val="004C0985"/>
    <w:rsid w:val="004D011D"/>
    <w:rsid w:val="004D362E"/>
    <w:rsid w:val="004F6AD9"/>
    <w:rsid w:val="00513CCF"/>
    <w:rsid w:val="00516914"/>
    <w:rsid w:val="00551D82"/>
    <w:rsid w:val="0055344F"/>
    <w:rsid w:val="005734D7"/>
    <w:rsid w:val="00575E55"/>
    <w:rsid w:val="00585BF5"/>
    <w:rsid w:val="005A26A9"/>
    <w:rsid w:val="005A2BC9"/>
    <w:rsid w:val="005A637B"/>
    <w:rsid w:val="005E1EE7"/>
    <w:rsid w:val="005E2F24"/>
    <w:rsid w:val="005F0355"/>
    <w:rsid w:val="00600E2E"/>
    <w:rsid w:val="00604100"/>
    <w:rsid w:val="00615035"/>
    <w:rsid w:val="00620842"/>
    <w:rsid w:val="00622578"/>
    <w:rsid w:val="006239A1"/>
    <w:rsid w:val="006244A9"/>
    <w:rsid w:val="00634672"/>
    <w:rsid w:val="00647209"/>
    <w:rsid w:val="00663CFB"/>
    <w:rsid w:val="006755EE"/>
    <w:rsid w:val="006824BF"/>
    <w:rsid w:val="006A6821"/>
    <w:rsid w:val="006B1A90"/>
    <w:rsid w:val="006B425E"/>
    <w:rsid w:val="006E1864"/>
    <w:rsid w:val="006E4797"/>
    <w:rsid w:val="006E7C64"/>
    <w:rsid w:val="00702ADE"/>
    <w:rsid w:val="0070444F"/>
    <w:rsid w:val="00714BE0"/>
    <w:rsid w:val="00736371"/>
    <w:rsid w:val="00751D3D"/>
    <w:rsid w:val="007922EB"/>
    <w:rsid w:val="007A4BBA"/>
    <w:rsid w:val="007B488F"/>
    <w:rsid w:val="007B72A4"/>
    <w:rsid w:val="007D6BE0"/>
    <w:rsid w:val="007F13E9"/>
    <w:rsid w:val="007F2030"/>
    <w:rsid w:val="007F489B"/>
    <w:rsid w:val="007F5EB0"/>
    <w:rsid w:val="008262F2"/>
    <w:rsid w:val="0083136D"/>
    <w:rsid w:val="00833B96"/>
    <w:rsid w:val="008425A4"/>
    <w:rsid w:val="008461C6"/>
    <w:rsid w:val="0085421A"/>
    <w:rsid w:val="0085548D"/>
    <w:rsid w:val="008617E3"/>
    <w:rsid w:val="00866199"/>
    <w:rsid w:val="008A4859"/>
    <w:rsid w:val="008A4FCC"/>
    <w:rsid w:val="008A7A39"/>
    <w:rsid w:val="008B2D50"/>
    <w:rsid w:val="008B35D2"/>
    <w:rsid w:val="008D0413"/>
    <w:rsid w:val="008D293E"/>
    <w:rsid w:val="008E19AC"/>
    <w:rsid w:val="00901C81"/>
    <w:rsid w:val="00911EF7"/>
    <w:rsid w:val="009177AE"/>
    <w:rsid w:val="00933A56"/>
    <w:rsid w:val="00936E08"/>
    <w:rsid w:val="00937DFA"/>
    <w:rsid w:val="009409EA"/>
    <w:rsid w:val="00964D09"/>
    <w:rsid w:val="00973EAF"/>
    <w:rsid w:val="00982DDF"/>
    <w:rsid w:val="00994F50"/>
    <w:rsid w:val="00A05FCD"/>
    <w:rsid w:val="00A13209"/>
    <w:rsid w:val="00A1684A"/>
    <w:rsid w:val="00A35853"/>
    <w:rsid w:val="00A52209"/>
    <w:rsid w:val="00A61636"/>
    <w:rsid w:val="00A624BE"/>
    <w:rsid w:val="00A926D7"/>
    <w:rsid w:val="00AB4038"/>
    <w:rsid w:val="00AB7C71"/>
    <w:rsid w:val="00B15551"/>
    <w:rsid w:val="00B21745"/>
    <w:rsid w:val="00B66177"/>
    <w:rsid w:val="00B81064"/>
    <w:rsid w:val="00B86D54"/>
    <w:rsid w:val="00B87681"/>
    <w:rsid w:val="00BC6255"/>
    <w:rsid w:val="00BD3767"/>
    <w:rsid w:val="00BD61E2"/>
    <w:rsid w:val="00BE22A2"/>
    <w:rsid w:val="00BE2769"/>
    <w:rsid w:val="00BF37B8"/>
    <w:rsid w:val="00C05308"/>
    <w:rsid w:val="00C10ABB"/>
    <w:rsid w:val="00C11D93"/>
    <w:rsid w:val="00C214F2"/>
    <w:rsid w:val="00C24416"/>
    <w:rsid w:val="00C26D6F"/>
    <w:rsid w:val="00C27C71"/>
    <w:rsid w:val="00C30138"/>
    <w:rsid w:val="00C366E0"/>
    <w:rsid w:val="00C550F3"/>
    <w:rsid w:val="00C652D8"/>
    <w:rsid w:val="00C66165"/>
    <w:rsid w:val="00C875D1"/>
    <w:rsid w:val="00C91A33"/>
    <w:rsid w:val="00CA7616"/>
    <w:rsid w:val="00CB1713"/>
    <w:rsid w:val="00CB1783"/>
    <w:rsid w:val="00CC0A89"/>
    <w:rsid w:val="00CD3231"/>
    <w:rsid w:val="00CD5B8D"/>
    <w:rsid w:val="00D07A90"/>
    <w:rsid w:val="00D16620"/>
    <w:rsid w:val="00D2510B"/>
    <w:rsid w:val="00D36857"/>
    <w:rsid w:val="00D427BB"/>
    <w:rsid w:val="00D45A60"/>
    <w:rsid w:val="00D57417"/>
    <w:rsid w:val="00D57F1F"/>
    <w:rsid w:val="00D661BB"/>
    <w:rsid w:val="00D86D57"/>
    <w:rsid w:val="00D959E7"/>
    <w:rsid w:val="00DA154A"/>
    <w:rsid w:val="00DA3C5C"/>
    <w:rsid w:val="00DC0E61"/>
    <w:rsid w:val="00DC18A7"/>
    <w:rsid w:val="00DC5493"/>
    <w:rsid w:val="00DD0D2A"/>
    <w:rsid w:val="00DD4662"/>
    <w:rsid w:val="00E03054"/>
    <w:rsid w:val="00E401D5"/>
    <w:rsid w:val="00E50380"/>
    <w:rsid w:val="00E51576"/>
    <w:rsid w:val="00EB1E68"/>
    <w:rsid w:val="00EB7FCC"/>
    <w:rsid w:val="00EC0649"/>
    <w:rsid w:val="00EC4F9A"/>
    <w:rsid w:val="00EC57F0"/>
    <w:rsid w:val="00ED048C"/>
    <w:rsid w:val="00F22A4B"/>
    <w:rsid w:val="00F22FB1"/>
    <w:rsid w:val="00F24298"/>
    <w:rsid w:val="00F36869"/>
    <w:rsid w:val="00F4088D"/>
    <w:rsid w:val="00F41DE1"/>
    <w:rsid w:val="00F43191"/>
    <w:rsid w:val="00F435B8"/>
    <w:rsid w:val="00F511BF"/>
    <w:rsid w:val="00F61744"/>
    <w:rsid w:val="00F72213"/>
    <w:rsid w:val="00F77FF1"/>
    <w:rsid w:val="00F928A6"/>
    <w:rsid w:val="00FA3B53"/>
    <w:rsid w:val="00FA6C9C"/>
    <w:rsid w:val="00FB4363"/>
    <w:rsid w:val="00FC3A01"/>
    <w:rsid w:val="00FC6DB6"/>
    <w:rsid w:val="00FC7078"/>
    <w:rsid w:val="00FC744B"/>
    <w:rsid w:val="00FF4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b/>
      <w:sz w:val="28"/>
      <w:szCs w:val="28"/>
    </w:rPr>
  </w:style>
  <w:style w:type="paragraph" w:styleId="Ttulo2">
    <w:name w:val="heading 2"/>
    <w:basedOn w:val="Normal"/>
    <w:next w:val="Normal"/>
    <w:uiPriority w:val="9"/>
    <w:semiHidden/>
    <w:unhideWhenUsed/>
    <w:qFormat/>
    <w:pPr>
      <w:keepNext/>
      <w:outlineLvl w:val="1"/>
    </w:pPr>
    <w:rPr>
      <w:b/>
    </w:rPr>
  </w:style>
  <w:style w:type="paragraph" w:styleId="Ttulo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EB1E68"/>
    <w:rPr>
      <w:color w:val="0000FF" w:themeColor="hyperlink"/>
      <w:u w:val="single"/>
    </w:rPr>
  </w:style>
  <w:style w:type="character" w:styleId="MenoPendente">
    <w:name w:val="Unresolved Mention"/>
    <w:basedOn w:val="Fontepargpadro"/>
    <w:uiPriority w:val="99"/>
    <w:semiHidden/>
    <w:unhideWhenUsed/>
    <w:rsid w:val="00EB1E68"/>
    <w:rPr>
      <w:color w:val="605E5C"/>
      <w:shd w:val="clear" w:color="auto" w:fill="E1DFDD"/>
    </w:rPr>
  </w:style>
  <w:style w:type="paragraph" w:styleId="Rodap">
    <w:name w:val="footer"/>
    <w:basedOn w:val="Normal"/>
    <w:link w:val="RodapChar"/>
    <w:uiPriority w:val="99"/>
    <w:unhideWhenUsed/>
    <w:rsid w:val="00C11D93"/>
    <w:pPr>
      <w:tabs>
        <w:tab w:val="center" w:pos="4680"/>
        <w:tab w:val="right" w:pos="9360"/>
      </w:tabs>
    </w:pPr>
  </w:style>
  <w:style w:type="character" w:customStyle="1" w:styleId="RodapChar">
    <w:name w:val="Rodapé Char"/>
    <w:basedOn w:val="Fontepargpadro"/>
    <w:link w:val="Rodap"/>
    <w:uiPriority w:val="99"/>
    <w:rsid w:val="00C11D93"/>
  </w:style>
  <w:style w:type="paragraph" w:styleId="Reviso">
    <w:name w:val="Revision"/>
    <w:hidden/>
    <w:uiPriority w:val="99"/>
    <w:semiHidden/>
    <w:rsid w:val="000B41B6"/>
    <w:pPr>
      <w:widowControl/>
      <w:jc w:val="left"/>
    </w:pPr>
  </w:style>
  <w:style w:type="paragraph" w:styleId="PargrafodaLista">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HiperlinkVisitado">
    <w:name w:val="FollowedHyperlink"/>
    <w:basedOn w:val="Fontepargpadro"/>
    <w:uiPriority w:val="99"/>
    <w:semiHidden/>
    <w:unhideWhenUsed/>
    <w:rsid w:val="006755EE"/>
    <w:rPr>
      <w:color w:val="800080" w:themeColor="followedHyperlink"/>
      <w:u w:val="single"/>
    </w:rPr>
  </w:style>
  <w:style w:type="character" w:styleId="Nmerodelinha">
    <w:name w:val="line number"/>
    <w:basedOn w:val="Fontepargpadro"/>
    <w:uiPriority w:val="99"/>
    <w:semiHidden/>
    <w:unhideWhenUsed/>
    <w:rsid w:val="00147CBA"/>
  </w:style>
  <w:style w:type="character" w:styleId="Refdecomentrio">
    <w:name w:val="annotation reference"/>
    <w:basedOn w:val="Fontepargpadro"/>
    <w:uiPriority w:val="99"/>
    <w:semiHidden/>
    <w:unhideWhenUsed/>
    <w:rsid w:val="008B2D50"/>
    <w:rPr>
      <w:sz w:val="16"/>
      <w:szCs w:val="16"/>
    </w:rPr>
  </w:style>
  <w:style w:type="paragraph" w:styleId="Textodecomentrio">
    <w:name w:val="annotation text"/>
    <w:basedOn w:val="Normal"/>
    <w:link w:val="TextodecomentrioChar"/>
    <w:uiPriority w:val="99"/>
    <w:unhideWhenUsed/>
    <w:rsid w:val="008B2D50"/>
    <w:rPr>
      <w:sz w:val="20"/>
      <w:szCs w:val="20"/>
    </w:rPr>
  </w:style>
  <w:style w:type="character" w:customStyle="1" w:styleId="TextodecomentrioChar">
    <w:name w:val="Texto de comentário Char"/>
    <w:basedOn w:val="Fontepargpadro"/>
    <w:link w:val="Textodecomentrio"/>
    <w:uiPriority w:val="99"/>
    <w:rsid w:val="008B2D50"/>
    <w:rPr>
      <w:sz w:val="20"/>
      <w:szCs w:val="20"/>
    </w:rPr>
  </w:style>
  <w:style w:type="paragraph" w:styleId="Assuntodocomentrio">
    <w:name w:val="annotation subject"/>
    <w:basedOn w:val="Textodecomentrio"/>
    <w:next w:val="Textodecomentrio"/>
    <w:link w:val="AssuntodocomentrioChar"/>
    <w:uiPriority w:val="99"/>
    <w:semiHidden/>
    <w:unhideWhenUsed/>
    <w:rsid w:val="008B2D50"/>
    <w:rPr>
      <w:b/>
      <w:bCs/>
    </w:rPr>
  </w:style>
  <w:style w:type="character" w:customStyle="1" w:styleId="AssuntodocomentrioChar">
    <w:name w:val="Assunto do comentário Char"/>
    <w:basedOn w:val="TextodecomentrioChar"/>
    <w:link w:val="Assuntodocomentrio"/>
    <w:uiPriority w:val="99"/>
    <w:semiHidden/>
    <w:rsid w:val="008B2D50"/>
    <w:rPr>
      <w:b/>
      <w:bCs/>
      <w:sz w:val="20"/>
      <w:szCs w:val="20"/>
    </w:rPr>
  </w:style>
  <w:style w:type="character" w:customStyle="1" w:styleId="cf01">
    <w:name w:val="cf01"/>
    <w:basedOn w:val="Fontepargpadro"/>
    <w:rsid w:val="00516914"/>
    <w:rPr>
      <w:rFonts w:ascii="Segoe UI" w:hAnsi="Segoe UI" w:cs="Segoe UI" w:hint="default"/>
      <w:sz w:val="18"/>
      <w:szCs w:val="18"/>
    </w:rPr>
  </w:style>
  <w:style w:type="paragraph" w:styleId="NormalWeb">
    <w:name w:val="Normal (Web)"/>
    <w:basedOn w:val="Normal"/>
    <w:uiPriority w:val="99"/>
    <w:unhideWhenUsed/>
    <w:rsid w:val="0036730A"/>
    <w:pPr>
      <w:widowControl/>
      <w:spacing w:before="100" w:beforeAutospacing="1" w:after="100" w:afterAutospacing="1"/>
      <w:jc w:val="left"/>
    </w:pPr>
    <w:rPr>
      <w:rFonts w:ascii="Times New Roman" w:eastAsia="Times New Roman" w:hAnsi="Times New Roman" w:cs="Times New Roman"/>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Process('386801',%20'fal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ricaroline8@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13</Pages>
  <Words>5084</Words>
  <Characters>27455</Characters>
  <Application>Microsoft Office Word</Application>
  <DocSecurity>0</DocSecurity>
  <Lines>228</Lines>
  <Paragraphs>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dc:creator>
  <cp:lastModifiedBy>Victor Pipano</cp:lastModifiedBy>
  <cp:revision>2</cp:revision>
  <dcterms:created xsi:type="dcterms:W3CDTF">2025-12-04T13:44:00Z</dcterms:created>
  <dcterms:modified xsi:type="dcterms:W3CDTF">2025-12-04T13:44:00Z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