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TITLE:</w:t>
      </w:r>
      <w:r>
        <w:rPr/>
        <w:t xml:space="preserve"> </w:t>
      </w:r>
    </w:p>
    <w:p>
      <w:pPr>
        <w:pStyle w:val="Normal"/>
        <w:rPr/>
      </w:pPr>
      <w:r>
        <w:rPr/>
        <w:t>High-Throughput, In-Field Screening of Photosynthetic Efficiency in Crop Plants Using an Autonomous Robot</w:t>
      </w:r>
    </w:p>
    <w:p>
      <w:pPr>
        <w:pStyle w:val="Normal"/>
        <w:rPr>
          <w:b/>
        </w:rPr>
      </w:pPr>
      <w:r>
        <w:rPr>
          <w:b/>
        </w:rPr>
      </w:r>
    </w:p>
    <w:p>
      <w:pPr>
        <w:pStyle w:val="Normal"/>
        <w:rPr>
          <w:u w:val="single"/>
        </w:rPr>
      </w:pPr>
      <w:r>
        <w:rPr>
          <w:b/>
        </w:rPr>
        <w:t xml:space="preserve">AUTHORS AND AFFILIATIONS: </w:t>
      </w:r>
    </w:p>
    <w:p>
      <w:pPr>
        <w:pStyle w:val="Normal"/>
        <w:rPr/>
      </w:pPr>
      <w:r>
        <w:rPr/>
        <w:t>Nicolin Caflisch</w:t>
      </w:r>
      <w:r>
        <w:rPr>
          <w:vertAlign w:val="superscript"/>
        </w:rPr>
        <w:t>1</w:t>
      </w:r>
      <w:r>
        <w:rPr/>
        <w:t>, Andreas Hund</w:t>
      </w:r>
      <w:r>
        <w:rPr>
          <w:vertAlign w:val="superscript"/>
        </w:rPr>
        <w:t>1</w:t>
      </w:r>
      <w:r>
        <w:rPr/>
        <w:t>, Onno Müller</w:t>
      </w:r>
      <w:r>
        <w:rPr>
          <w:vertAlign w:val="superscript"/>
        </w:rPr>
        <w:t>2</w:t>
      </w:r>
      <w:r>
        <w:rPr/>
        <w:t>, Achim Walter</w:t>
      </w:r>
      <w:r>
        <w:rPr>
          <w:vertAlign w:val="superscript"/>
        </w:rPr>
        <w:t>1</w:t>
      </w:r>
      <w:r>
        <w:rPr/>
        <w:t>, Beat Keller</w:t>
      </w:r>
      <w:r>
        <w:rPr>
          <w:vertAlign w:val="superscript"/>
        </w:rPr>
        <w:t>1</w:t>
      </w:r>
      <w:r>
        <w:rPr/>
        <w:t>*</w:t>
      </w:r>
    </w:p>
    <w:p>
      <w:pPr>
        <w:pStyle w:val="Normal"/>
        <w:rPr/>
      </w:pPr>
      <w:r>
        <w:rPr/>
      </w:r>
    </w:p>
    <w:p>
      <w:pPr>
        <w:pStyle w:val="BodyText"/>
        <w:spacing w:before="0" w:after="0"/>
        <w:rPr/>
      </w:pPr>
      <w:r>
        <w:rPr>
          <w:vertAlign w:val="superscript"/>
        </w:rPr>
        <w:t>1</w:t>
      </w:r>
      <w:r>
        <w:rPr/>
        <w:t>Crop Science, Institute of Agricultural Sciences, Swiss Federal Institute of Technology Zurich, Zurich, Switzerland</w:t>
      </w:r>
    </w:p>
    <w:p>
      <w:pPr>
        <w:pStyle w:val="BodyText"/>
        <w:spacing w:before="0" w:after="0"/>
        <w:rPr/>
      </w:pPr>
      <w:r>
        <w:rPr>
          <w:vertAlign w:val="superscript"/>
        </w:rPr>
        <w:t>2</w:t>
      </w:r>
      <w:r>
        <w:rPr/>
        <w:t xml:space="preserve">Plant Sciences, Institute of Bio-and Geosciences, Forschungszentrum Jülich, Jülich, Germany </w:t>
      </w:r>
    </w:p>
    <w:p>
      <w:pPr>
        <w:pStyle w:val="BodyText"/>
        <w:spacing w:before="0" w:after="0"/>
        <w:rPr/>
      </w:pPr>
      <w:r>
        <w:rPr/>
      </w:r>
    </w:p>
    <w:p>
      <w:pPr>
        <w:pStyle w:val="BodyText"/>
        <w:spacing w:before="0" w:after="0"/>
        <w:rPr/>
      </w:pPr>
      <w:r>
        <w:rPr/>
        <w:t>Email addresses of co-authors:</w:t>
      </w:r>
    </w:p>
    <w:p>
      <w:pPr>
        <w:pStyle w:val="BodyText"/>
        <w:spacing w:before="0" w:after="0"/>
        <w:rPr/>
      </w:pPr>
      <w:r>
        <w:rPr/>
        <w:t>Nicolin Caflisch</w:t>
        <w:tab/>
        <w:t>(nicolin.caflisch@usys.ethz.ch)</w:t>
      </w:r>
    </w:p>
    <w:p>
      <w:pPr>
        <w:pStyle w:val="BodyText"/>
        <w:spacing w:before="0" w:after="0"/>
        <w:rPr/>
      </w:pPr>
      <w:r>
        <w:rPr/>
        <w:t>Andreas Hund</w:t>
      </w:r>
      <w:r>
        <w:rPr>
          <w:vertAlign w:val="superscript"/>
        </w:rPr>
        <w:tab/>
        <w:tab/>
      </w:r>
      <w:r>
        <w:rPr/>
        <w:t>(andreas.hund@usys.ethz.ch)</w:t>
      </w:r>
    </w:p>
    <w:p>
      <w:pPr>
        <w:pStyle w:val="BodyText"/>
        <w:spacing w:before="0" w:after="0"/>
        <w:rPr/>
      </w:pPr>
      <w:r>
        <w:rPr/>
        <w:t>Onno Müller</w:t>
        <w:tab/>
        <w:tab/>
        <w:t>(o.muller@fz-juelich.de)</w:t>
      </w:r>
    </w:p>
    <w:p>
      <w:pPr>
        <w:pStyle w:val="BodyText"/>
        <w:spacing w:before="0" w:after="0"/>
        <w:rPr/>
      </w:pPr>
      <w:r>
        <w:rPr/>
        <w:t>Achim Walter</w:t>
      </w:r>
      <w:r>
        <w:rPr>
          <w:vertAlign w:val="superscript"/>
        </w:rPr>
        <w:tab/>
        <w:tab/>
      </w:r>
      <w:r>
        <w:rPr/>
        <w:t>(achim.walter@usys.ethz.ch)</w:t>
      </w:r>
    </w:p>
    <w:p>
      <w:pPr>
        <w:pStyle w:val="BodyText"/>
        <w:spacing w:before="0" w:after="0"/>
        <w:rPr/>
      </w:pPr>
      <w:r>
        <w:rPr/>
      </w:r>
    </w:p>
    <w:p>
      <w:pPr>
        <w:pStyle w:val="BodyText"/>
        <w:spacing w:before="0" w:after="0"/>
        <w:rPr/>
      </w:pPr>
      <w:r>
        <w:rPr/>
        <w:t xml:space="preserve">Corresponding author: </w:t>
      </w:r>
    </w:p>
    <w:p>
      <w:pPr>
        <w:pStyle w:val="BodyText"/>
        <w:spacing w:before="0" w:after="0"/>
        <w:rPr/>
      </w:pPr>
      <w:r>
        <w:rPr/>
        <w:t>Beat Keller</w:t>
        <w:tab/>
        <w:tab/>
        <w:t>(beat.keller@usys.ethz.ch)</w:t>
      </w:r>
    </w:p>
    <w:p>
      <w:pPr>
        <w:pStyle w:val="BodyText"/>
        <w:spacing w:before="0" w:after="0"/>
        <w:rPr/>
      </w:pPr>
      <w:r>
        <w:rPr/>
      </w:r>
    </w:p>
    <w:p>
      <w:pPr>
        <w:pStyle w:val="Normal"/>
        <w:rPr/>
      </w:pPr>
      <w:r>
        <w:rPr>
          <w:b/>
        </w:rPr>
        <w:t>SUMMARY:</w:t>
      </w:r>
    </w:p>
    <w:p>
      <w:pPr>
        <w:pStyle w:val="FirstParagraph"/>
        <w:spacing w:before="0" w:after="0"/>
        <w:jc w:val="both"/>
        <w:rPr>
          <w:rFonts w:ascii="Calibri" w:hAnsi="Calibri" w:eastAsia="Calibri" w:cs="Calibri"/>
        </w:rPr>
      </w:pPr>
      <w:bookmarkStart w:id="0" w:name="summary"/>
      <w:r>
        <w:rPr>
          <w:rFonts w:eastAsia="Calibri" w:cs="Calibri" w:ascii="Calibri" w:hAnsi="Calibri"/>
        </w:rPr>
        <w:t>This manuscript describes a non-destructive, high-throughput approach for autonomous field measurements of photosystem II quantum efficiency, spectral reflectance, and plant architecture, enabling large-scale canopy photosynthesis phenotyping in agronomic and breeding field trials</w:t>
      </w:r>
      <w:bookmarkEnd w:id="0"/>
      <w:r>
        <w:rPr>
          <w:rFonts w:eastAsia="Calibri" w:cs="Calibri" w:ascii="Calibri" w:hAnsi="Calibri"/>
        </w:rPr>
        <w:t>.</w:t>
      </w:r>
    </w:p>
    <w:p>
      <w:pPr>
        <w:pStyle w:val="Normal"/>
        <w:rPr/>
      </w:pPr>
      <w:r>
        <w:rPr/>
      </w:r>
    </w:p>
    <w:p>
      <w:pPr>
        <w:pStyle w:val="Normal"/>
        <w:rPr/>
      </w:pPr>
      <w:r>
        <w:rPr>
          <w:b/>
        </w:rPr>
        <w:t>ABSTRACT:</w:t>
      </w:r>
    </w:p>
    <w:p>
      <w:pPr>
        <w:pStyle w:val="Normal"/>
        <w:rPr/>
      </w:pPr>
      <w:r>
        <w:rPr/>
        <w:t xml:space="preserve">Photosynthesis supplies energy not only for plant biomass production but also for symbiotic processes such as nitrogen (N) fixation. Whereas the potential for further genetic gains in productivity of major crops from improved light interception and harvest index has largely been exhausted, naturally occurring or induced genetic variation in photosynthetic traits still offers considerable potential for further yield improvement. However, since photosynthesis is highly dynamic under fluctuating field conditions, it is difficult to conduct a targeted selection for photosynthetic performance unless high spatial and temporal resolution data are available. </w:t>
      </w:r>
      <w:bookmarkStart w:id="1" w:name="_Hlk211616728"/>
      <w:r>
        <w:rPr/>
        <w:t xml:space="preserve">To bridge this gap, we installed a light-induced fluorescence transient (LIFT) device on an autonomous field robot to measure the </w:t>
      </w:r>
      <w:bookmarkStart w:id="2" w:name="__DdeLink__2511_1804197548"/>
      <w:r>
        <w:rPr/>
        <w:t>quantum efficiency of photosystem I</w:t>
      </w:r>
      <w:bookmarkEnd w:id="2"/>
      <w:r>
        <w:rPr/>
        <w:t>I (</w:t>
      </w:r>
      <w:r>
        <w:rPr>
          <w:i/>
          <w:iCs/>
        </w:rPr>
        <w:t>F</w:t>
      </w:r>
      <w:r>
        <w:rPr>
          <w:i/>
          <w:iCs/>
          <w:vertAlign w:val="subscript"/>
        </w:rPr>
        <w:t>q</w:t>
      </w:r>
      <w:r>
        <w:rPr/>
        <w:t>′/</w:t>
      </w:r>
      <w:r>
        <w:rPr>
          <w:i/>
          <w:iCs/>
        </w:rPr>
        <w:t>F</w:t>
      </w:r>
      <w:r>
        <w:rPr>
          <w:i/>
          <w:iCs/>
          <w:vertAlign w:val="subscript"/>
        </w:rPr>
        <w:t>m</w:t>
      </w:r>
      <w:r>
        <w:rPr/>
        <w:t>′), which has been shown to be well correlated with overall photosynthetic performa</w:t>
      </w:r>
      <w:bookmarkEnd w:id="1"/>
      <w:r>
        <w:rPr/>
        <w:t>nce. The LIFT method uses sub-saturating flashes at a fast repetition rate to induce maximum fluorescence, enabling measurements in less than 1 ms from a distance of up to 1 m. The robot moves at a speed of 0.5 m/s, autonomously navigating the entire field based on global navigation satellite system (GNSS) coordinates. Spectral measurements and stereo red, green, and blue (RGB) cameras provide additional information about three-dimensional (3D) plant architecture-related traits, such as leaf angle and light intensity on the target leaf. The resulting high spatiotemporal resolution maps of photosynthetic efficiency provide detailed information about the growth performance of plants in agronomic field trials or plant breeding nurseries.</w:t>
      </w:r>
    </w:p>
    <w:p>
      <w:pPr>
        <w:pStyle w:val="Normal"/>
        <w:rPr/>
      </w:pPr>
      <w:r>
        <w:rPr/>
      </w:r>
    </w:p>
    <w:p>
      <w:pPr>
        <w:pStyle w:val="Normal"/>
        <w:tabs>
          <w:tab w:val="clear" w:pos="720"/>
          <w:tab w:val="left" w:pos="3630" w:leader="none"/>
        </w:tabs>
        <w:rPr/>
      </w:pPr>
      <w:r>
        <w:rPr>
          <w:b/>
        </w:rPr>
        <w:t>INTRODUCTION:</w:t>
      </w:r>
      <w:r>
        <w:rPr/>
        <w:t xml:space="preserve"> </w:t>
      </w:r>
    </w:p>
    <w:p>
      <w:pPr>
        <w:pStyle w:val="Normal"/>
        <w:rPr/>
      </w:pPr>
      <w:r>
        <w:rPr/>
        <w:t>Photosynthesis provides plants not only with the energy basis for the production of biomass and the maintenance of their own metabolism, but also for nitrogen (N) fixation in legumes</w:t>
      </w:r>
      <w:r>
        <w:rPr>
          <w:vertAlign w:val="superscript"/>
        </w:rPr>
        <w:t>1</w:t>
      </w:r>
      <w:r>
        <w:rPr/>
        <w:t xml:space="preserve"> and other symbiotic processes</w:t>
      </w:r>
      <w:r>
        <w:rPr>
          <w:vertAlign w:val="superscript"/>
        </w:rPr>
        <w:t>2</w:t>
      </w:r>
      <w:r>
        <w:rPr/>
        <w:t>. The yield potential of any crop depends on the proportion of photosynthetic photon flux rate (PPFR) intercepted by the canopy (</w:t>
      </w:r>
      <w:r>
        <w:rPr>
          <w:i/>
          <w:iCs/>
        </w:rPr>
        <w:t>ε</w:t>
      </w:r>
      <w:r>
        <w:rPr>
          <w:i/>
          <w:iCs/>
          <w:vertAlign w:val="subscript"/>
        </w:rPr>
        <w:t>i</w:t>
      </w:r>
      <w:r>
        <w:rPr/>
        <w:t>), the proportion of this radiation that is actually used in photosynthesis and transformed into biomass (</w:t>
      </w:r>
      <w:r>
        <w:rPr>
          <w:i/>
          <w:iCs/>
        </w:rPr>
        <w:t>ε</w:t>
      </w:r>
      <w:r>
        <w:rPr>
          <w:vertAlign w:val="subscript"/>
        </w:rPr>
        <w:t>c</w:t>
      </w:r>
      <w:r>
        <w:rPr/>
        <w:t>), and the proportion of the biomass energy that is partitioned into the harvested product (</w:t>
      </w:r>
      <w:r>
        <w:rPr>
          <w:i/>
          <w:iCs/>
        </w:rPr>
        <w:t>ε</w:t>
      </w:r>
      <w:r>
        <w:rPr>
          <w:i/>
          <w:iCs/>
          <w:vertAlign w:val="subscript"/>
        </w:rPr>
        <w:t>p</w:t>
      </w:r>
      <w:r>
        <w:rPr/>
        <w:t>)</w:t>
      </w:r>
      <w:r>
        <w:rPr>
          <w:vertAlign w:val="superscript"/>
        </w:rPr>
        <w:t>3</w:t>
      </w:r>
      <w:r>
        <w:rPr/>
        <w:t xml:space="preserve">. The </w:t>
      </w:r>
      <w:r>
        <w:rPr>
          <w:i/>
          <w:iCs/>
        </w:rPr>
        <w:t>ε</w:t>
      </w:r>
      <w:r>
        <w:rPr>
          <w:i/>
          <w:iCs/>
          <w:vertAlign w:val="subscript"/>
        </w:rPr>
        <w:t>p</w:t>
      </w:r>
      <w:r>
        <w:rPr/>
        <w:t xml:space="preserve"> can be set equal to the harvest index (HI) if the latter is defined as the biomass of the harvested product divided by the total shoot and root biomass</w:t>
      </w:r>
      <w:r>
        <w:rPr>
          <w:vertAlign w:val="superscript"/>
        </w:rPr>
        <w:t>3</w:t>
      </w:r>
      <w:r>
        <w:rPr/>
        <w:t xml:space="preserve">. Past breeding efforts have mainly focused on increasing </w:t>
      </w:r>
      <w:r>
        <w:rPr>
          <w:i/>
          <w:iCs/>
        </w:rPr>
        <w:t>ε</w:t>
      </w:r>
      <w:r>
        <w:rPr>
          <w:i/>
          <w:iCs/>
          <w:vertAlign w:val="subscript"/>
        </w:rPr>
        <w:t>i</w:t>
      </w:r>
      <w:r>
        <w:rPr/>
        <w:t xml:space="preserve"> and </w:t>
      </w:r>
      <w:r>
        <w:rPr>
          <w:i/>
          <w:iCs/>
        </w:rPr>
        <w:t>ε</w:t>
      </w:r>
      <w:r>
        <w:rPr>
          <w:i/>
          <w:iCs/>
          <w:vertAlign w:val="subscript"/>
        </w:rPr>
        <w:t>c</w:t>
      </w:r>
      <w:r>
        <w:rPr/>
        <w:t xml:space="preserve"> and were highly successful in doing so</w:t>
      </w:r>
      <w:r>
        <w:rPr>
          <w:vertAlign w:val="superscript"/>
        </w:rPr>
        <w:t>3</w:t>
      </w:r>
      <w:r>
        <w:rPr/>
        <w:t xml:space="preserve">: For example, modern cereal and grain legume genotypes can reach an </w:t>
      </w:r>
      <w:r>
        <w:rPr>
          <w:i/>
          <w:iCs/>
        </w:rPr>
        <w:t>ε</w:t>
      </w:r>
      <w:r>
        <w:rPr>
          <w:i/>
          <w:iCs/>
          <w:vertAlign w:val="subscript"/>
        </w:rPr>
        <w:t>i</w:t>
      </w:r>
      <w:r>
        <w:rPr/>
        <w:t xml:space="preserve"> in the order of 90% and a HI in the order of 60%</w:t>
      </w:r>
      <w:r>
        <w:rPr>
          <w:vertAlign w:val="superscript"/>
        </w:rPr>
        <w:t>3,4</w:t>
      </w:r>
      <w:r>
        <w:rPr/>
        <w:t xml:space="preserve">, leaving little prospect to further increase </w:t>
      </w:r>
      <w:r>
        <w:rPr>
          <w:i/>
          <w:iCs/>
        </w:rPr>
        <w:t>ε</w:t>
      </w:r>
      <w:r>
        <w:rPr>
          <w:i/>
          <w:iCs/>
          <w:vertAlign w:val="subscript"/>
        </w:rPr>
        <w:t>i</w:t>
      </w:r>
      <w:r>
        <w:rPr/>
        <w:t xml:space="preserve"> and </w:t>
      </w:r>
      <w:r>
        <w:rPr>
          <w:i/>
          <w:iCs/>
        </w:rPr>
        <w:t>ε</w:t>
      </w:r>
      <w:r>
        <w:rPr>
          <w:i/>
          <w:iCs/>
          <w:vertAlign w:val="subscript"/>
        </w:rPr>
        <w:t>p</w:t>
      </w:r>
      <w:r>
        <w:rPr>
          <w:vertAlign w:val="superscript"/>
        </w:rPr>
        <w:t>3,5</w:t>
      </w:r>
      <w:r>
        <w:rPr/>
        <w:t xml:space="preserve">. By contrast, values of </w:t>
      </w:r>
      <w:r>
        <w:rPr>
          <w:i/>
          <w:iCs/>
        </w:rPr>
        <w:t>ε</w:t>
      </w:r>
      <w:r>
        <w:rPr>
          <w:i/>
          <w:iCs/>
          <w:vertAlign w:val="subscript"/>
        </w:rPr>
        <w:t>c</w:t>
      </w:r>
      <w:r>
        <w:rPr/>
        <w:t xml:space="preserve"> observed in C</w:t>
      </w:r>
      <w:r>
        <w:rPr>
          <w:vertAlign w:val="subscript"/>
        </w:rPr>
        <w:t>3</w:t>
      </w:r>
      <w:r>
        <w:rPr/>
        <w:t xml:space="preserve"> and C</w:t>
      </w:r>
      <w:r>
        <w:rPr>
          <w:vertAlign w:val="subscript"/>
        </w:rPr>
        <w:t>4</w:t>
      </w:r>
      <w:r>
        <w:rPr/>
        <w:t xml:space="preserve"> crops still rarely exceed 1/3</w:t>
      </w:r>
      <w:r>
        <w:rPr>
          <w:vertAlign w:val="superscript"/>
        </w:rPr>
        <w:t>rd</w:t>
      </w:r>
      <w:r>
        <w:rPr/>
        <w:t xml:space="preserve"> of the theoretical maximum of 9.4% and 12.3%, respectively. This indicates a large potential to further increase crop productivity if </w:t>
      </w:r>
      <w:r>
        <w:rPr>
          <w:i/>
          <w:iCs/>
        </w:rPr>
        <w:t>ε</w:t>
      </w:r>
      <w:r>
        <w:rPr>
          <w:i/>
          <w:iCs/>
          <w:vertAlign w:val="subscript"/>
        </w:rPr>
        <w:t>c</w:t>
      </w:r>
      <w:r>
        <w:rPr/>
        <w:t xml:space="preserve"> can be increased through selection based on natural genetic variation and/or targeted optimization of elements of the photosynthesis apparatus, such as the enzyme ribulose-1,5-bisphosphate carboxylase/oxygenase (RuBisCO), through genetic engineering</w:t>
      </w:r>
      <w:r>
        <w:rPr>
          <w:vertAlign w:val="superscript"/>
        </w:rPr>
        <w:t>3,5–7</w:t>
      </w:r>
      <w:r>
        <w:rPr/>
        <w:t xml:space="preserve">. </w:t>
      </w:r>
      <w:bookmarkStart w:id="3" w:name="_Hlk212449226"/>
      <w:bookmarkStart w:id="4" w:name="_Hlk211852374"/>
      <w:bookmarkStart w:id="5" w:name="_Hlk212039165"/>
      <w:r>
        <w:rPr/>
        <w:t xml:space="preserve">However, it has been shown that </w:t>
      </w:r>
      <w:r>
        <w:rPr/>
      </w:r>
      <m:oMath xmlns:m="http://schemas.openxmlformats.org/officeDocument/2006/math">
        <m:r>
          <w:rPr>
            <w:rFonts w:ascii="Cambria Math" w:hAnsi="Cambria Math"/>
          </w:rPr>
          <m:t xml:space="preserve">i</m:t>
        </m:r>
      </m:oMath>
      <w:r>
        <w:rPr/>
        <w:t>) photosynthetic efficiency is highly dynamic under field conditions as plants constantly adapt to changing light and other environmental covariates</w:t>
      </w:r>
      <w:r>
        <w:rPr>
          <w:vertAlign w:val="superscript"/>
        </w:rPr>
        <w:t>8,9</w:t>
      </w:r>
      <w:r>
        <w:rPr/>
        <w:t xml:space="preserve"> </w:t>
      </w:r>
      <w:r>
        <w:rPr/>
      </w:r>
      <m:oMath xmlns:m="http://schemas.openxmlformats.org/officeDocument/2006/math">
        <m:r>
          <w:rPr>
            <w:rFonts w:ascii="Cambria Math" w:hAnsi="Cambria Math"/>
          </w:rPr>
          <m:t xml:space="preserve">ii</m:t>
        </m:r>
      </m:oMath>
      <w:r>
        <w:rPr/>
        <w:t>) photosynthetic traits measured under steady-state conditions (e.g., in indoor growth chambers with artificial lighting</w:t>
      </w:r>
      <w:r>
        <w:rPr>
          <w:vertAlign w:val="superscript"/>
        </w:rPr>
        <w:t>10</w:t>
      </w:r>
      <w:r>
        <w:rPr/>
        <w:t>) show different patterns of heritability than the non-steady-state photosynthesis observed in the field</w:t>
      </w:r>
      <w:r>
        <w:rPr>
          <w:vertAlign w:val="superscript"/>
        </w:rPr>
        <w:t>11</w:t>
      </w:r>
      <w:bookmarkEnd w:id="5"/>
      <w:r>
        <w:rPr/>
        <w:t>, limiting the usefulness of indoor photosynthesis phenotyping for the selection of higher-yielding genotypes of staple food crops that in practice are generally grown outdoors in the fi</w:t>
      </w:r>
      <w:bookmarkEnd w:id="4"/>
      <w:r>
        <w:rPr/>
        <w:t>eld.</w:t>
      </w:r>
      <w:bookmarkEnd w:id="3"/>
      <w:r>
        <w:rPr/>
        <w:t xml:space="preserve"> As a result, it is difficult to conduct a targeted selection for photosynthetic traits unless high spatial and temporal resolution data from a large number of crop genotypes are available</w:t>
      </w:r>
      <w:r>
        <w:rPr>
          <w:vertAlign w:val="superscript"/>
        </w:rPr>
        <w:t>6,12</w:t>
      </w:r>
      <w:r>
        <w:rPr/>
        <w:t xml:space="preserve">. </w:t>
      </w:r>
    </w:p>
    <w:p>
      <w:pPr>
        <w:pStyle w:val="Normal"/>
        <w:rPr/>
      </w:pPr>
      <w:r>
        <w:rPr/>
      </w:r>
    </w:p>
    <w:p>
      <w:pPr>
        <w:pStyle w:val="Normal"/>
        <w:rPr/>
      </w:pPr>
      <w:r>
        <w:rPr/>
        <w:t>Past attempts to conduct non-destructive measurements of photosynthesis in the field have largely relied on handheld gas exchange</w:t>
      </w:r>
      <w:r>
        <w:rPr>
          <w:vertAlign w:val="superscript"/>
        </w:rPr>
        <w:t>13–15</w:t>
      </w:r>
      <w:r>
        <w:rPr/>
        <w:t xml:space="preserve"> or pulse-amplitude modulation (PAM)-type chlorophyll fluorescence (ChlF)</w:t>
      </w:r>
      <w:r>
        <w:rPr>
          <w:vertAlign w:val="superscript"/>
        </w:rPr>
        <w:t>16,17</w:t>
      </w:r>
      <w:r>
        <w:rPr/>
        <w:t xml:space="preserve"> measurement devices. These approaches have the shared disadvantage that leaves on which measurements should be performed need to be manually clipped or positioned into a measurement chamber</w:t>
      </w:r>
      <w:r>
        <w:rPr>
          <w:vertAlign w:val="superscript"/>
        </w:rPr>
        <w:t>18,19</w:t>
      </w:r>
      <w:r>
        <w:rPr/>
        <w:t>. Moreover, gas exchange measurements in the field take several minutes to ensure an equilibrium in the measuring chamber. This makes the measurements laborious and slow, resulting in great difficulties to achieve a sufficient throughput to study photosynthetic regulation under fluctuating conditions in general, and particularly for a meaningful screening of hundreds or even thousands of genotypes in breeding programs</w:t>
      </w:r>
      <w:r>
        <w:rPr>
          <w:vertAlign w:val="superscript"/>
        </w:rPr>
        <w:t>19</w:t>
      </w:r>
      <w:r>
        <w:rPr/>
        <w:t>. Like the aforementioned PAM ChlF measurement devices</w:t>
      </w:r>
      <w:r>
        <w:rPr>
          <w:vertAlign w:val="superscript"/>
        </w:rPr>
        <w:t>17</w:t>
      </w:r>
      <w:r>
        <w:rPr/>
        <w:t>, the light-induced fluorescence transient (LIFT) method</w:t>
      </w:r>
      <w:r>
        <w:rPr>
          <w:vertAlign w:val="superscript"/>
        </w:rPr>
        <w:t>20</w:t>
      </w:r>
      <w:r>
        <w:rPr/>
        <w:t xml:space="preserve"> makes use of the facts that </w:t>
      </w:r>
      <w:r>
        <w:rPr/>
      </w:r>
      <m:oMath xmlns:m="http://schemas.openxmlformats.org/officeDocument/2006/math">
        <m:r>
          <w:rPr>
            <w:rFonts w:ascii="Cambria Math" w:hAnsi="Cambria Math"/>
          </w:rPr>
          <m:t xml:space="preserve">i</m:t>
        </m:r>
      </m:oMath>
      <w:r>
        <w:rPr/>
        <w:t xml:space="preserve">) light energy that reaches the chlorophyll in photosystem II (PS II) can either be used for photosynthesis, dissipated as heat in a process called non-photochemical quenching (NPQ) or by ChlF and </w:t>
      </w:r>
      <w:r>
        <w:rPr/>
      </w:r>
      <m:oMath xmlns:m="http://schemas.openxmlformats.org/officeDocument/2006/math">
        <m:r>
          <w:rPr>
            <w:rFonts w:ascii="Cambria Math" w:hAnsi="Cambria Math"/>
          </w:rPr>
          <m:t xml:space="preserve">ii</m:t>
        </m:r>
      </m:oMath>
      <w:r>
        <w:rPr/>
        <w:t>) blocking the photosynthesis pathway by saturation from a strong light pulse resulting in reduction of electron acceptors downstream of PS II will result in a corresponding increase in ChlF. Based on this induced variable ChlF, we can calculate the photosynthetic quantum efficiency of PS II (</w:t>
      </w:r>
      <w:r>
        <w:rPr>
          <w:i/>
          <w:iCs/>
        </w:rPr>
        <w:t>F</w:t>
      </w:r>
      <w:r>
        <w:rPr>
          <w:i/>
          <w:iCs/>
          <w:vertAlign w:val="subscript"/>
        </w:rPr>
        <w:t>q</w:t>
      </w:r>
      <w:r>
        <w:rPr/>
        <w:t>′/</w:t>
      </w:r>
      <w:r>
        <w:rPr>
          <w:i/>
          <w:iCs/>
        </w:rPr>
        <w:t>Fₘ</w:t>
      </w:r>
      <w:r>
        <w:rPr/>
        <w:t>′) under ambient light conditions or the maximum quantum efficiency of PS II (</w:t>
      </w:r>
      <w:r>
        <w:rPr>
          <w:i/>
          <w:iCs/>
        </w:rPr>
        <w:t>F</w:t>
      </w:r>
      <w:r>
        <w:rPr>
          <w:i/>
          <w:iCs/>
          <w:vertAlign w:val="subscript"/>
        </w:rPr>
        <w:t>v</w:t>
      </w:r>
      <w:r>
        <w:rPr/>
        <w:t>/</w:t>
      </w:r>
      <w:r>
        <w:rPr>
          <w:i/>
          <w:iCs/>
        </w:rPr>
        <w:t>F</w:t>
      </w:r>
      <w:r>
        <w:rPr>
          <w:i/>
          <w:iCs/>
          <w:vertAlign w:val="subscript"/>
        </w:rPr>
        <w:t>m</w:t>
      </w:r>
      <w:r>
        <w:rPr/>
        <w:t>) if leaves were kept in the dark before the measurements.</w:t>
      </w:r>
      <w:bookmarkStart w:id="6" w:name="_Hlk211613509"/>
      <w:bookmarkStart w:id="7" w:name="_Hlk211615795"/>
    </w:p>
    <w:p>
      <w:pPr>
        <w:pStyle w:val="Normal"/>
        <w:rPr/>
      </w:pPr>
      <w:r>
        <w:rPr/>
      </w:r>
    </w:p>
    <w:p>
      <w:pPr>
        <w:pStyle w:val="Normal"/>
        <w:rPr/>
      </w:pPr>
      <w:bookmarkStart w:id="8" w:name="_Hlk212015065"/>
      <w:bookmarkStart w:id="9" w:name="_Hlk212446959"/>
      <w:r>
        <w:rPr/>
        <w:t xml:space="preserve">The parameter </w:t>
      </w:r>
      <w:r>
        <w:rPr>
          <w:i/>
          <w:iCs/>
        </w:rPr>
        <w:t>F</w:t>
      </w:r>
      <w:r>
        <w:rPr>
          <w:i/>
          <w:iCs/>
          <w:vertAlign w:val="subscript"/>
        </w:rPr>
        <w:t>v</w:t>
      </w:r>
      <w:r>
        <w:rPr/>
        <w:t>/</w:t>
      </w:r>
      <w:r>
        <w:rPr>
          <w:i/>
          <w:iCs/>
        </w:rPr>
        <w:t>F</w:t>
      </w:r>
      <w:r>
        <w:rPr>
          <w:i/>
          <w:iCs/>
          <w:vertAlign w:val="subscript"/>
        </w:rPr>
        <w:t>m</w:t>
      </w:r>
      <w:r>
        <w:rPr/>
        <w:t xml:space="preserve"> was established in the early 1980s by Kitajima and Butler</w:t>
      </w:r>
      <w:r>
        <w:rPr>
          <w:vertAlign w:val="superscript"/>
        </w:rPr>
        <w:t>21</w:t>
      </w:r>
      <w:r>
        <w:rPr/>
        <w:t>, Butler</w:t>
      </w:r>
      <w:r>
        <w:rPr>
          <w:vertAlign w:val="superscript"/>
        </w:rPr>
        <w:t>22</w:t>
      </w:r>
      <w:r>
        <w:rPr/>
        <w:t>, and Björkman and Demmig</w:t>
      </w:r>
      <w:r>
        <w:rPr>
          <w:vertAlign w:val="superscript"/>
        </w:rPr>
        <w:t>23</w:t>
      </w:r>
      <w:r>
        <w:rPr/>
        <w:t xml:space="preserve">, who reported an optimal value of ≈ 0.83 in non-stressed leaves across diverse species. The development of </w:t>
      </w:r>
      <w:r>
        <w:rPr>
          <w:i/>
          <w:iCs/>
        </w:rPr>
        <w:t>F</w:t>
      </w:r>
      <w:r>
        <w:rPr>
          <w:i/>
          <w:iCs/>
          <w:vertAlign w:val="subscript"/>
        </w:rPr>
        <w:t>q</w:t>
      </w:r>
      <w:r>
        <w:rPr/>
        <w:t>′/</w:t>
      </w:r>
      <w:r>
        <w:rPr>
          <w:i/>
          <w:iCs/>
        </w:rPr>
        <w:t>F</w:t>
      </w:r>
      <w:r>
        <w:rPr>
          <w:i/>
          <w:iCs/>
          <w:vertAlign w:val="subscript"/>
        </w:rPr>
        <w:t>m</w:t>
      </w:r>
      <w:r>
        <w:rPr/>
        <w:t>′ (Φ</w:t>
      </w:r>
      <w:r>
        <w:rPr>
          <w:vertAlign w:val="subscript"/>
        </w:rPr>
        <w:t>PS II</w:t>
      </w:r>
      <w:r>
        <w:rPr/>
        <w:t>) as a diagnostic of photosynthetic performance began with Genty et al.</w:t>
      </w:r>
      <w:r>
        <w:rPr>
          <w:vertAlign w:val="superscript"/>
        </w:rPr>
        <w:t>24</w:t>
      </w:r>
      <w:r>
        <w:rPr/>
        <w:t>, who showed its near-linear relationship with CO₂ assimilation under non-stressed conditions. Maxwell and Johnson</w:t>
      </w:r>
      <w:r>
        <w:rPr>
          <w:vertAlign w:val="superscript"/>
        </w:rPr>
        <w:t>25</w:t>
      </w:r>
      <w:r>
        <w:rPr/>
        <w:t xml:space="preserve"> and Baker</w:t>
      </w:r>
      <w:r>
        <w:rPr>
          <w:vertAlign w:val="superscript"/>
        </w:rPr>
        <w:t>26</w:t>
      </w:r>
      <w:r>
        <w:rPr/>
        <w:t xml:space="preserve"> later provided a practical framework for applying </w:t>
      </w:r>
      <w:r>
        <w:rPr>
          <w:i/>
          <w:iCs/>
        </w:rPr>
        <w:t>F</w:t>
      </w:r>
      <w:r>
        <w:rPr>
          <w:i/>
          <w:iCs/>
          <w:vertAlign w:val="subscript"/>
        </w:rPr>
        <w:t>q</w:t>
      </w:r>
      <w:r>
        <w:rPr/>
        <w:t>′/</w:t>
      </w:r>
      <w:r>
        <w:rPr>
          <w:i/>
          <w:iCs/>
        </w:rPr>
        <w:t>F</w:t>
      </w:r>
      <w:r>
        <w:rPr>
          <w:i/>
          <w:iCs/>
          <w:vertAlign w:val="subscript"/>
        </w:rPr>
        <w:t>m</w:t>
      </w:r>
      <w:r>
        <w:rPr/>
        <w:t xml:space="preserve">′, </w:t>
      </w:r>
      <w:r>
        <w:rPr>
          <w:i/>
          <w:iCs/>
        </w:rPr>
        <w:t>F</w:t>
      </w:r>
      <w:r>
        <w:rPr>
          <w:i/>
          <w:iCs/>
          <w:vertAlign w:val="subscript"/>
        </w:rPr>
        <w:t>v</w:t>
      </w:r>
      <w:r>
        <w:rPr/>
        <w:t>/</w:t>
      </w:r>
      <w:r>
        <w:rPr>
          <w:i/>
          <w:iCs/>
        </w:rPr>
        <w:t>F</w:t>
      </w:r>
      <w:r>
        <w:rPr>
          <w:i/>
          <w:iCs/>
          <w:vertAlign w:val="subscript"/>
        </w:rPr>
        <w:t>m,</w:t>
      </w:r>
      <w:r>
        <w:rPr/>
        <w:t xml:space="preserve"> and NPQ, emphasizing their sensitivity to environmental stress and their value in identifying damage symptoms such as photoinhibition. Murchie and Lawson</w:t>
      </w:r>
      <w:r>
        <w:rPr>
          <w:vertAlign w:val="superscript"/>
        </w:rPr>
        <w:t>27</w:t>
      </w:r>
      <w:r>
        <w:rPr/>
        <w:t xml:space="preserve"> highlighted the potential (and limitations) of </w:t>
      </w:r>
      <w:r>
        <w:rPr>
          <w:i/>
          <w:iCs/>
        </w:rPr>
        <w:t>F</w:t>
      </w:r>
      <w:r>
        <w:rPr>
          <w:i/>
          <w:iCs/>
          <w:vertAlign w:val="subscript"/>
        </w:rPr>
        <w:t>q</w:t>
      </w:r>
      <w:r>
        <w:rPr/>
        <w:t>′/</w:t>
      </w:r>
      <w:r>
        <w:rPr>
          <w:i/>
          <w:iCs/>
        </w:rPr>
        <w:t>F</w:t>
      </w:r>
      <w:r>
        <w:rPr>
          <w:i/>
          <w:iCs/>
          <w:vertAlign w:val="subscript"/>
        </w:rPr>
        <w:t>m</w:t>
      </w:r>
      <w:r>
        <w:rPr/>
        <w:t>′-for field phenotyping and crop improvement. More recently, Long et al.</w:t>
      </w:r>
      <w:r>
        <w:rPr>
          <w:vertAlign w:val="superscript"/>
        </w:rPr>
        <w:t>8</w:t>
      </w:r>
      <w:r>
        <w:rPr/>
        <w:t xml:space="preserve"> stressed that photosynthesis in crops occurs under fluctuating light, where dynamic changes in PS II efficiency and NPQ regulation strongly affect carbon gain, underscoring the need to interpret fluorescence parameters in relation to temporal environmental variability.</w:t>
      </w:r>
      <w:bookmarkEnd w:id="9"/>
    </w:p>
    <w:p>
      <w:pPr>
        <w:pStyle w:val="Normal"/>
        <w:rPr/>
      </w:pPr>
      <w:r>
        <w:rPr/>
      </w:r>
    </w:p>
    <w:p>
      <w:pPr>
        <w:pStyle w:val="Normal"/>
        <w:rPr/>
      </w:pPr>
      <w:bookmarkStart w:id="10" w:name="_Hlk212447375"/>
      <w:r>
        <w:rPr/>
        <w:t>As already stated in</w:t>
      </w:r>
      <w:r>
        <w:rPr>
          <w:vertAlign w:val="superscript"/>
        </w:rPr>
        <w:t>28</w:t>
      </w:r>
      <w:r>
        <w:rPr/>
        <w:t xml:space="preserve">, </w:t>
      </w:r>
      <w:r>
        <w:rPr>
          <w:i/>
          <w:iCs/>
        </w:rPr>
        <w:t>F</w:t>
      </w:r>
      <w:r>
        <w:rPr>
          <w:i/>
          <w:iCs/>
          <w:vertAlign w:val="subscript"/>
        </w:rPr>
        <w:t>q</w:t>
      </w:r>
      <w:r>
        <w:rPr/>
        <w:t>’/</w:t>
      </w:r>
      <w:r>
        <w:rPr>
          <w:i/>
          <w:iCs/>
        </w:rPr>
        <w:t>F</w:t>
      </w:r>
      <w:r>
        <w:rPr>
          <w:i/>
          <w:iCs/>
          <w:vertAlign w:val="subscript"/>
        </w:rPr>
        <w:t>m</w:t>
      </w:r>
      <w:r>
        <w:rPr/>
        <w:t>’ measured with a stationary LIFT sensor correlated well with PAM (R</w:t>
      </w:r>
      <w:r>
        <w:rPr>
          <w:vertAlign w:val="superscript"/>
        </w:rPr>
        <w:t>2</w:t>
      </w:r>
      <w:r>
        <w:rPr/>
        <w:t xml:space="preserve"> = 0.89) and CO</w:t>
      </w:r>
      <w:r>
        <w:rPr>
          <w:vertAlign w:val="subscript"/>
        </w:rPr>
        <w:t>2</w:t>
      </w:r>
      <w:r>
        <w:rPr/>
        <w:t xml:space="preserve"> assimilation rate measurements (R</w:t>
      </w:r>
      <w:r>
        <w:rPr>
          <w:vertAlign w:val="superscript"/>
        </w:rPr>
        <w:t>2</w:t>
      </w:r>
      <w:r>
        <w:rPr/>
        <w:t xml:space="preserve"> = 0.89)</w:t>
      </w:r>
      <w:bookmarkEnd w:id="8"/>
      <w:r>
        <w:rPr>
          <w:vertAlign w:val="superscript"/>
        </w:rPr>
        <w:t>29–31</w:t>
      </w:r>
      <w:r>
        <w:rPr/>
        <w:t xml:space="preserve">. In line with this, modelling </w:t>
      </w:r>
      <w:r>
        <w:rPr>
          <w:i/>
          <w:iCs/>
        </w:rPr>
        <w:t>F</w:t>
      </w:r>
      <w:r>
        <w:rPr>
          <w:i/>
          <w:iCs/>
          <w:vertAlign w:val="subscript"/>
        </w:rPr>
        <w:t>q</w:t>
      </w:r>
      <w:r>
        <w:rPr/>
        <w:t>′/</w:t>
      </w:r>
      <w:r>
        <w:rPr>
          <w:i/>
          <w:iCs/>
        </w:rPr>
        <w:t>Fₘ</w:t>
      </w:r>
      <w:r>
        <w:rPr/>
        <w:t xml:space="preserve">′ responses during field seasons has been shown to allow good predictions of </w:t>
      </w:r>
      <w:r>
        <w:rPr>
          <w:i/>
          <w:iCs/>
        </w:rPr>
        <w:t>ε</w:t>
      </w:r>
      <w:r>
        <w:rPr>
          <w:i/>
          <w:iCs/>
          <w:vertAlign w:val="subscript"/>
        </w:rPr>
        <w:t>c,</w:t>
      </w:r>
      <w:r>
        <w:rPr/>
        <w:t xml:space="preserve"> crop productivity</w:t>
      </w:r>
      <w:r>
        <w:rPr>
          <w:vertAlign w:val="superscript"/>
        </w:rPr>
        <w:t>12,32</w:t>
      </w:r>
      <w:r>
        <w:rPr/>
        <w:t xml:space="preserve"> and stress tolerance</w:t>
      </w:r>
      <w:bookmarkEnd w:id="6"/>
      <w:bookmarkEnd w:id="7"/>
      <w:r>
        <w:rPr>
          <w:vertAlign w:val="superscript"/>
        </w:rPr>
        <w:t>33</w:t>
      </w:r>
      <w:r>
        <w:rPr/>
        <w:t>.</w:t>
      </w:r>
      <w:bookmarkStart w:id="11" w:name="_Hlk211852881"/>
      <w:bookmarkEnd w:id="10"/>
      <w:r>
        <w:rPr/>
        <w:t xml:space="preserve"> However, the PAM-type ChlF measurement devices use a single flash of light (saturating pulse) to inhibit the photosynthesis pathway and weaker flashes to measure minimum and maximum ChlF (measuring pulse), which takes about 1 s in total and is thus not suitable for very high through</w:t>
      </w:r>
      <w:bookmarkEnd w:id="11"/>
      <w:r>
        <w:rPr/>
        <w:t xml:space="preserve">put. </w:t>
      </w:r>
      <w:bookmarkStart w:id="12" w:name="_Hlk211869945"/>
      <w:r>
        <w:rPr/>
        <w:t>In contrast, the LIFT sensor produces a fast sequence of 300 high-intensity flashlets (with 40,000 μmol photons m</w:t>
      </w:r>
      <w:r>
        <w:rPr>
          <w:vertAlign w:val="superscript"/>
        </w:rPr>
        <w:t>2</w:t>
      </w:r>
      <w:r>
        <w:rPr/>
        <w:t>/s) to achieve a gradual saturation of the photosynthesis pathway within 750 μs (= 0.00075 s) while the ChlF yield is continuously measured</w:t>
      </w:r>
      <w:r>
        <w:rPr>
          <w:vertAlign w:val="superscript"/>
        </w:rPr>
        <w:t>20</w:t>
      </w:r>
      <w:bookmarkEnd w:id="12"/>
      <w:r>
        <w:rPr/>
        <w:t>. This allows for a larger distance between the measuring device and the target leaf</w:t>
      </w:r>
      <w:r>
        <w:rPr>
          <w:vertAlign w:val="superscript"/>
        </w:rPr>
        <w:t>19</w:t>
      </w:r>
      <w:r>
        <w:rPr/>
        <w:t xml:space="preserve"> and enables rapid, high-throughput measurements using an autonomous carrier vehicle on which the sensor is rigidly mounted</w:t>
      </w:r>
      <w:r>
        <w:rPr>
          <w:vertAlign w:val="superscript"/>
        </w:rPr>
        <w:t>32</w:t>
      </w:r>
      <w:r>
        <w:rPr/>
        <w:t xml:space="preserve">. Previous studies (e.g., </w:t>
      </w:r>
      <w:r>
        <w:rPr>
          <w:vertAlign w:val="superscript"/>
        </w:rPr>
        <w:t>32</w:t>
      </w:r>
      <w:r>
        <w:rPr/>
        <w:t>) were often limited in throughput under field conditions or restricted to glasshouse experiments. Although these approaches were successful in identifying candidate genes for photosynthetic regulation</w:t>
      </w:r>
      <w:r>
        <w:rPr>
          <w:vertAlign w:val="superscript"/>
        </w:rPr>
        <w:t>12</w:t>
      </w:r>
      <w:r>
        <w:rPr/>
        <w:t xml:space="preserve">, they likely missed important regulatory processes occurring under field conditions. </w:t>
      </w:r>
      <w:bookmarkStart w:id="13" w:name="_Hlk211612637"/>
      <w:r>
        <w:rPr/>
        <w:t xml:space="preserve"> Therefore, we hypothesize that a LIFT sensor mounted on an autonomous robot constitutes a suitable tool to measure </w:t>
      </w:r>
      <w:r>
        <w:rPr>
          <w:i/>
          <w:iCs/>
        </w:rPr>
        <w:t>F</w:t>
      </w:r>
      <w:r>
        <w:rPr>
          <w:i/>
          <w:iCs/>
          <w:vertAlign w:val="subscript"/>
        </w:rPr>
        <w:t>q</w:t>
      </w:r>
      <w:r>
        <w:rPr/>
        <w:t>’/</w:t>
      </w:r>
      <w:r>
        <w:rPr>
          <w:i/>
          <w:iCs/>
        </w:rPr>
        <w:t>F</w:t>
      </w:r>
      <w:r>
        <w:rPr>
          <w:i/>
          <w:iCs/>
          <w:vertAlign w:val="subscript"/>
        </w:rPr>
        <w:t>m</w:t>
      </w:r>
      <w:r>
        <w:rPr/>
        <w:t>’ of large numbers of genotypes (several measurements per second on thousands of plants or plots per day) in the fi</w:t>
      </w:r>
      <w:bookmarkEnd w:id="13"/>
      <w:r>
        <w:rPr/>
        <w:t>eld.</w:t>
      </w:r>
    </w:p>
    <w:p>
      <w:pPr>
        <w:pStyle w:val="Normal"/>
        <w:rPr>
          <w:b/>
        </w:rPr>
      </w:pPr>
      <w:r>
        <w:rPr>
          <w:b/>
        </w:rPr>
      </w:r>
    </w:p>
    <w:p>
      <w:pPr>
        <w:pStyle w:val="Normal"/>
        <w:rPr>
          <w:b/>
        </w:rPr>
      </w:pPr>
      <w:r>
        <w:rPr>
          <w:b/>
        </w:rPr>
        <w:t>PROTOCOL:</w:t>
      </w:r>
    </w:p>
    <w:p>
      <w:pPr>
        <w:pStyle w:val="Normal"/>
        <w:rPr>
          <w:b/>
        </w:rPr>
      </w:pPr>
      <w:r>
        <w:rPr>
          <w:b/>
        </w:rPr>
      </w:r>
    </w:p>
    <w:p>
      <w:pPr>
        <w:pStyle w:val="Normal"/>
        <w:rPr>
          <w:b/>
          <w:bCs/>
        </w:rPr>
      </w:pPr>
      <w:r>
        <w:rPr/>
        <w:t xml:space="preserve">1. </w:t>
      </w:r>
      <w:r>
        <w:rPr>
          <w:b/>
          <w:bCs/>
        </w:rPr>
        <w:t>Setting up the PPFR sensor and data logger</w:t>
      </w:r>
    </w:p>
    <w:p>
      <w:pPr>
        <w:pStyle w:val="FirstParagraph"/>
        <w:spacing w:before="0" w:after="0"/>
        <w:jc w:val="both"/>
        <w:rPr>
          <w:rFonts w:ascii="Calibri" w:hAnsi="Calibri" w:cs="Calibri"/>
        </w:rPr>
      </w:pPr>
      <w:r>
        <w:rPr>
          <w:rFonts w:eastAsia="Calibri" w:cs="Calibri" w:ascii="Calibri" w:hAnsi="Calibri"/>
        </w:rPr>
        <w:br/>
        <w:t>1.1 Connect the PPFR sensor and the powerbank to the data logger.</w:t>
      </w:r>
      <w:r>
        <w:rPr>
          <w:rFonts w:cs="Calibri" w:ascii="Calibri" w:hAnsi="Calibri"/>
        </w:rPr>
        <w:t xml:space="preserve"> Connect the data logger to the laptop computer and start the data logger using the data logger desktop client.</w:t>
      </w:r>
    </w:p>
    <w:p>
      <w:pPr>
        <w:pStyle w:val="BodyText"/>
        <w:spacing w:before="0" w:after="0"/>
        <w:rPr/>
      </w:pPr>
      <w:r>
        <w:rPr/>
        <w:br/>
      </w:r>
      <w:r>
        <w:rPr>
          <w:shd w:fill="FFFF00" w:val="clear"/>
        </w:rPr>
        <w:t>1.2 Install the camera tripod next to the experimental field with the PPFR  sensor on top and the data logger and powerbank on the ground below</w:t>
      </w:r>
      <w:r>
        <w:rPr/>
        <w:t>.</w:t>
      </w:r>
      <w:bookmarkStart w:id="14" w:name="set-up-the-ppfr-sensor-and-data-logger"/>
      <w:r>
        <w:rPr/>
        <w:t xml:space="preserve"> Make sure that the PPFR sensor is in an upright position and not shaded or otherwise affected by any nearby object. The PPFR sensor would need a gimbal if mounted to the robot directly to measure accurate PPFR values.</w:t>
      </w:r>
      <w:bookmarkEnd w:id="14"/>
    </w:p>
    <w:p>
      <w:pPr>
        <w:pStyle w:val="BodyText"/>
        <w:spacing w:before="0" w:after="0"/>
        <w:rPr/>
      </w:pPr>
      <w:r>
        <w:rPr/>
        <w:br/>
        <w:t xml:space="preserve">2. </w:t>
      </w:r>
      <w:r>
        <w:rPr>
          <w:b/>
          <w:bCs/>
        </w:rPr>
        <w:t>Setting up the robot and LIFT sensor assembly</w:t>
      </w:r>
    </w:p>
    <w:p>
      <w:pPr>
        <w:pStyle w:val="FirstParagraph"/>
        <w:spacing w:before="0" w:after="0"/>
        <w:jc w:val="both"/>
        <w:rPr>
          <w:rFonts w:ascii="Calibri" w:hAnsi="Calibri" w:eastAsia="Calibri" w:cs="Calibri"/>
        </w:rPr>
      </w:pPr>
      <w:r>
        <w:rPr>
          <w:rFonts w:eastAsia="Calibri" w:cs="Calibri" w:ascii="Calibri" w:hAnsi="Calibri"/>
        </w:rPr>
        <w:br/>
        <w:t>2.1 Load the waypoint coordinates (.geojson format) for the measurement onto the robot. They can be the same as those used for GNSS-guided sowing of the trial.</w:t>
      </w:r>
    </w:p>
    <w:p>
      <w:pPr>
        <w:pStyle w:val="BodyText"/>
        <w:spacing w:before="0" w:after="0"/>
        <w:rPr/>
      </w:pPr>
      <w:r>
        <w:rPr/>
        <w:br/>
      </w:r>
      <w:r>
        <w:rPr>
          <w:shd w:fill="FFFF00" w:val="clear"/>
        </w:rPr>
        <w:t>2.2 Mount the LIFT sensor assembly on the front of the robot at a height of about 60 cm above the crop canopy.</w:t>
      </w:r>
    </w:p>
    <w:p>
      <w:pPr>
        <w:pStyle w:val="BodyText"/>
        <w:spacing w:before="0" w:after="0"/>
        <w:rPr/>
      </w:pPr>
      <w:r>
        <w:rPr/>
        <w:br/>
      </w:r>
      <w:r>
        <w:rPr>
          <w:shd w:fill="FFFF00" w:val="clear"/>
        </w:rPr>
        <w:t>2.3 Place the laptop computer, car battery, and power inverter on top of the robot and connect the power inverter to the car battery and to the LIFT sensor assembly.</w:t>
      </w:r>
    </w:p>
    <w:p>
      <w:pPr>
        <w:pStyle w:val="BodyText"/>
        <w:spacing w:before="0" w:after="0"/>
        <w:rPr/>
      </w:pPr>
      <w:r>
        <w:rPr/>
        <w:br/>
      </w:r>
      <w:r>
        <w:rPr>
          <w:shd w:fill="FFFF00" w:val="clear"/>
        </w:rPr>
        <w:t>2.4 Position the GNSS antenna kit on top of the robot, connect it to the laptop computer, and start the GNSS logger desktop client.</w:t>
      </w:r>
    </w:p>
    <w:p>
      <w:pPr>
        <w:pStyle w:val="BodyText"/>
        <w:spacing w:before="0" w:after="0"/>
        <w:rPr/>
      </w:pPr>
      <w:r>
        <w:rPr/>
        <w:br/>
        <w:t>2.5 Connect the LIFT sensor to the laptop computer and start the LIFT desktop client with the following settings:</w:t>
      </w:r>
    </w:p>
    <w:p>
      <w:pPr>
        <w:pStyle w:val="BodyText"/>
        <w:spacing w:before="0" w:after="0"/>
        <w:rPr/>
      </w:pPr>
      <w:r>
        <w:rPr/>
        <w:t>LIFT sensor: excitation power = 40,000 μmol m</w:t>
      </w:r>
      <w:r>
        <w:rPr>
          <w:vertAlign w:val="superscript"/>
        </w:rPr>
        <w:t>2</w:t>
      </w:r>
      <w:r>
        <w:rPr/>
        <w:t xml:space="preserve">/s; flashlet length = 1.6  μs; number of excitation flashlets per single measurement = 300; number of relaxation flashlets = 80; time between excitation flashlets = 2.5 μs; time between relaxation flashlets: </w:t>
      </w:r>
      <w:r>
        <w:rPr/>
      </w:r>
      <m:oMath xmlns:m="http://schemas.openxmlformats.org/officeDocument/2006/math">
        <m:sSub>
          <m:e>
            <m:r>
              <m:rPr>
                <m:lit/>
                <m:nor/>
              </m:rPr>
              <w:rPr>
                <w:rFonts w:ascii="Cambria Math" w:hAnsi="Cambria Math"/>
              </w:rPr>
              <m:t xml:space="preserve">j</m:t>
            </m:r>
          </m:e>
          <m:sub>
            <m:r>
              <m:rPr>
                <m:lit/>
                <m:nor/>
              </m:rPr>
              <w:rPr>
                <w:rFonts w:ascii="Cambria Math" w:hAnsi="Cambria Math"/>
              </w:rPr>
              <m:t xml:space="preserve">i</m:t>
            </m:r>
          </m:sub>
        </m:sSub>
        <m:r>
          <m:rPr>
            <m:lit/>
            <m:nor/>
          </m:rPr>
          <w:rPr>
            <w:rFonts w:ascii="Cambria Math" w:hAnsi="Cambria Math"/>
          </w:rPr>
          <m:t xml:space="preserve"> </m:t>
        </m:r>
        <m:r>
          <m:rPr>
            <m:lit/>
            <m:nor/>
          </m:rPr>
          <w:rPr>
            <w:rFonts w:ascii="Cambria Math" w:hAnsi="Cambria Math"/>
          </w:rPr>
          <m:t xml:space="preserve">=</m:t>
        </m:r>
        <m:sSup>
          <m:e>
            <m:r>
              <m:rPr>
                <m:lit/>
                <m:nor/>
              </m:rPr>
              <w:rPr>
                <w:rFonts w:ascii="Cambria Math" w:hAnsi="Cambria Math"/>
              </w:rPr>
              <m:t xml:space="preserve">10</m:t>
            </m:r>
          </m:e>
          <m:sup>
            <m:r>
              <m:rPr>
                <m:lit/>
                <m:nor/>
              </m:rPr>
              <w:rPr>
                <w:rFonts w:ascii="Cambria Math" w:hAnsi="Cambria Math"/>
              </w:rPr>
              <m:t xml:space="preserve">1.28</m:t>
            </m:r>
            <m:r>
              <m:rPr>
                <m:lit/>
                <m:nor/>
              </m:rPr>
              <w:rPr>
                <w:rFonts w:ascii="Cambria Math" w:hAnsi="Cambria Math"/>
              </w:rPr>
              <m:t xml:space="preserve">+</m:t>
            </m:r>
            <m:r>
              <m:rPr>
                <m:lit/>
                <m:nor/>
              </m:rPr>
              <w:rPr>
                <w:rFonts w:ascii="Cambria Math" w:hAnsi="Cambria Math"/>
              </w:rPr>
              <m:t xml:space="preserve"> 0.0215</m:t>
            </m:r>
            <m:r>
              <w:rPr>
                <w:rFonts w:ascii="Cambria Math" w:hAnsi="Cambria Math"/>
              </w:rPr>
              <m:t xml:space="preserve">×</m:t>
            </m:r>
            <m:r>
              <m:rPr>
                <m:lit/>
                <m:nor/>
              </m:rPr>
              <w:rPr>
                <w:rFonts w:ascii="Cambria Math" w:hAnsi="Cambria Math"/>
              </w:rPr>
              <m:t xml:space="preserve">i</m:t>
            </m:r>
          </m:sup>
        </m:sSup>
        <m:r>
          <m:rPr>
            <m:lit/>
            <m:nor/>
          </m:rPr>
          <w:rPr>
            <w:rFonts w:ascii="Cambria Math" w:hAnsi="Cambria Math"/>
          </w:rPr>
          <m:t xml:space="preserve"> μ</m:t>
        </m:r>
        <m:r>
          <m:rPr>
            <m:lit/>
            <m:nor/>
          </m:rPr>
          <w:rPr>
            <w:rFonts w:ascii="Cambria Math" w:hAnsi="Cambria Math"/>
          </w:rPr>
          <m:t xml:space="preserve">s</m:t>
        </m:r>
      </m:oMath>
      <w:r>
        <w:rPr/>
        <w:t xml:space="preserve">, where </w:t>
      </w:r>
      <w:r>
        <w:rPr/>
      </w:r>
      <m:oMath xmlns:m="http://schemas.openxmlformats.org/officeDocument/2006/math">
        <m:sSub>
          <m:e>
            <m:r>
              <m:rPr>
                <m:lit/>
                <m:nor/>
              </m:rPr>
              <w:rPr>
                <w:rFonts w:ascii="Cambria Math" w:hAnsi="Cambria Math"/>
              </w:rPr>
              <m:t xml:space="preserve">j</m:t>
            </m:r>
          </m:e>
          <m:sub>
            <m:r>
              <m:rPr>
                <m:lit/>
                <m:nor/>
              </m:rPr>
              <w:rPr>
                <w:rFonts w:ascii="Cambria Math" w:hAnsi="Cambria Math"/>
              </w:rPr>
              <m:t xml:space="preserve">i</m:t>
            </m:r>
          </m:sub>
        </m:sSub>
      </m:oMath>
      <w:r>
        <w:rPr/>
        <w:t xml:space="preserve"> is the interval length of the </w:t>
      </w:r>
      <w:r>
        <w:rPr/>
      </w:r>
      <m:oMath xmlns:m="http://schemas.openxmlformats.org/officeDocument/2006/math">
        <m:sSup>
          <m:e>
            <m:r>
              <m:rPr>
                <m:lit/>
                <m:nor/>
              </m:rPr>
              <w:rPr>
                <w:rFonts w:ascii="Cambria Math" w:hAnsi="Cambria Math"/>
              </w:rPr>
              <m:t xml:space="preserve">i</m:t>
            </m:r>
          </m:e>
          <m:sup>
            <m:r>
              <m:rPr>
                <m:lit/>
                <m:nor/>
              </m:rPr>
              <w:rPr>
                <w:rFonts w:ascii="Cambria Math" w:hAnsi="Cambria Math"/>
              </w:rPr>
              <m:t xml:space="preserve">t</m:t>
            </m:r>
            <m:r>
              <m:rPr>
                <m:lit/>
                <m:nor/>
              </m:rPr>
              <w:rPr>
                <w:rFonts w:ascii="Cambria Math" w:hAnsi="Cambria Math"/>
              </w:rPr>
              <m:t xml:space="preserve">h</m:t>
            </m:r>
          </m:sup>
        </m:sSup>
      </m:oMath>
      <w:r>
        <w:rPr/>
        <w:t xml:space="preserve"> flashlet; sensor gain = 10 or 25; measuring interval = 0 s</w:t>
      </w:r>
    </w:p>
    <w:p>
      <w:pPr>
        <w:pStyle w:val="FirstParagraph"/>
        <w:spacing w:before="0" w:after="0"/>
        <w:jc w:val="both"/>
        <w:rPr>
          <w:rFonts w:ascii="Calibri" w:hAnsi="Calibri" w:cs="Calibri"/>
        </w:rPr>
      </w:pPr>
      <w:r>
        <w:rPr>
          <w:rFonts w:eastAsia="Calibri" w:cs="Calibri" w:ascii="Calibri" w:hAnsi="Calibri"/>
        </w:rPr>
        <w:t xml:space="preserve">spectrometer: </w:t>
      </w:r>
      <w:r>
        <w:rPr>
          <w:rFonts w:cs="Calibri" w:ascii="Calibri" w:hAnsi="Calibri"/>
        </w:rPr>
        <w:t>spectral integration time = 100 ms, spectral range from 400 to 800 nm</w:t>
      </w:r>
    </w:p>
    <w:p>
      <w:pPr>
        <w:pStyle w:val="FirstParagraph"/>
        <w:spacing w:before="0" w:after="0"/>
        <w:jc w:val="both"/>
        <w:rPr>
          <w:rFonts w:ascii="Calibri" w:hAnsi="Calibri" w:cs="Calibri"/>
        </w:rPr>
      </w:pPr>
      <w:r>
        <w:rPr>
          <w:rFonts w:eastAsia="Calibri" w:cs="Calibri" w:ascii="Calibri" w:hAnsi="Calibri"/>
        </w:rPr>
        <w:t xml:space="preserve">RGB cameras: </w:t>
      </w:r>
      <w:r>
        <w:rPr>
          <w:rFonts w:cs="Calibri" w:ascii="Calibri" w:hAnsi="Calibri"/>
        </w:rPr>
        <w:t>exposure = automatic; shutter = automatic; gain = automatic; brightness = 0; frame rate = 20/s; triggering mode = allowed (triggers the camera at each LIFT measurement)</w:t>
      </w:r>
    </w:p>
    <w:p>
      <w:pPr>
        <w:pStyle w:val="FirstParagraph"/>
        <w:spacing w:before="0" w:after="0"/>
        <w:jc w:val="both"/>
        <w:rPr>
          <w:rFonts w:ascii="Calibri" w:hAnsi="Calibri" w:eastAsia="Calibri" w:cs="Calibri"/>
        </w:rPr>
      </w:pPr>
      <w:r>
        <w:rPr>
          <w:rFonts w:eastAsia="Calibri" w:cs="Calibri" w:ascii="Calibri" w:hAnsi="Calibri"/>
        </w:rPr>
        <w:br/>
        <w:t>2.6</w:t>
        <w:tab/>
      </w:r>
      <w:r>
        <w:rPr>
          <w:rFonts w:eastAsia="Calibri" w:cs="Calibri" w:ascii="Calibri" w:hAnsi="Calibri"/>
          <w:shd w:fill="FFFF00" w:val="clear"/>
        </w:rPr>
        <w:t>The quantity directly measured by the LIFT sensor is the ChlF yield (increase in total ChlF due to the excitation beam for each flashlet</w:t>
      </w:r>
      <w:r>
        <w:rPr>
          <w:rFonts w:cs="Calibri" w:ascii="Calibri" w:hAnsi="Calibri"/>
          <w:shd w:fill="FFFF00" w:val="clear"/>
          <w:vertAlign w:val="superscript"/>
        </w:rPr>
        <w:t>20</w:t>
      </w:r>
      <w:r>
        <w:rPr>
          <w:rFonts w:eastAsia="Calibri" w:cs="Calibri" w:ascii="Calibri" w:hAnsi="Calibri"/>
          <w:shd w:fill="FFFF00" w:val="clear"/>
        </w:rPr>
        <w:t xml:space="preserve">. Then, calculate </w:t>
      </w:r>
      <w:r>
        <w:rPr>
          <w:rFonts w:eastAsia="Calibri" w:cs="Calibri" w:ascii="Calibri" w:hAnsi="Calibri"/>
          <w:i/>
          <w:iCs/>
          <w:shd w:fill="FFFF00" w:val="clear"/>
        </w:rPr>
        <w:t>F</w:t>
      </w:r>
      <w:r>
        <w:rPr>
          <w:rFonts w:eastAsia="Calibri" w:cs="Calibri" w:ascii="Calibri" w:hAnsi="Calibri"/>
          <w:i/>
          <w:iCs/>
          <w:shd w:fill="FFFF00" w:val="clear"/>
          <w:vertAlign w:val="subscript"/>
        </w:rPr>
        <w:t>q</w:t>
      </w:r>
      <w:r>
        <w:rPr>
          <w:rFonts w:eastAsia="Calibri" w:cs="Calibri" w:ascii="Calibri" w:hAnsi="Calibri"/>
          <w:shd w:fill="FFFF00" w:val="clear"/>
        </w:rPr>
        <w:t>′/</w:t>
      </w:r>
      <w:r>
        <w:rPr>
          <w:rFonts w:eastAsia="Calibri" w:cs="Calibri" w:ascii="Calibri" w:hAnsi="Calibri"/>
          <w:i/>
          <w:iCs/>
          <w:shd w:fill="FFFF00" w:val="clear"/>
        </w:rPr>
        <w:t>F</w:t>
      </w:r>
      <w:r>
        <w:rPr>
          <w:rFonts w:eastAsia="Calibri" w:cs="Calibri" w:ascii="Calibri" w:hAnsi="Calibri"/>
          <w:i/>
          <w:iCs/>
          <w:shd w:fill="FFFF00" w:val="clear"/>
          <w:vertAlign w:val="subscript"/>
        </w:rPr>
        <w:t>m</w:t>
      </w:r>
      <w:r>
        <w:rPr>
          <w:rFonts w:eastAsia="Calibri" w:cs="Calibri" w:ascii="Calibri" w:hAnsi="Calibri"/>
          <w:shd w:fill="FFFF00" w:val="clear"/>
        </w:rPr>
        <w:t xml:space="preserve">′ as </w:t>
      </w:r>
    </w:p>
    <w:p>
      <w:pPr>
        <w:pStyle w:val="FirstParagraph"/>
        <w:spacing w:before="0" w:after="0"/>
        <w:jc w:val="center"/>
        <w:rPr>
          <w:highlight w:val="none"/>
          <w:shd w:fill="FFFF00" w:val="clear"/>
        </w:rPr>
      </w:pPr>
      <w:r>
        <w:rPr>
          <w:rFonts w:eastAsia="Calibri" w:cs="Calibri" w:ascii="Calibri" w:hAnsi="Calibri"/>
          <w:i/>
          <w:iCs/>
          <w:shd w:fill="FFFF00" w:val="clear"/>
        </w:rPr>
        <w:t>F</w:t>
      </w:r>
      <w:r>
        <w:rPr>
          <w:rFonts w:eastAsia="Calibri" w:cs="Calibri" w:ascii="Calibri" w:hAnsi="Calibri"/>
          <w:i/>
          <w:iCs/>
          <w:shd w:fill="FFFF00" w:val="clear"/>
          <w:vertAlign w:val="subscript"/>
        </w:rPr>
        <w:t>q</w:t>
      </w:r>
      <w:r>
        <w:rPr>
          <w:rFonts w:eastAsia="Calibri" w:cs="Calibri" w:ascii="Calibri" w:hAnsi="Calibri"/>
          <w:shd w:fill="FFFF00" w:val="clear"/>
        </w:rPr>
        <w:t>′/</w:t>
      </w:r>
      <w:r>
        <w:rPr>
          <w:rFonts w:eastAsia="Calibri" w:cs="Calibri" w:ascii="Calibri" w:hAnsi="Calibri"/>
          <w:i/>
          <w:iCs/>
          <w:shd w:fill="FFFF00" w:val="clear"/>
        </w:rPr>
        <w:t>F</w:t>
      </w:r>
      <w:r>
        <w:rPr>
          <w:rFonts w:eastAsia="Calibri" w:cs="Calibri" w:ascii="Calibri" w:hAnsi="Calibri"/>
          <w:i/>
          <w:iCs/>
          <w:shd w:fill="FFFF00" w:val="clear"/>
          <w:vertAlign w:val="subscript"/>
        </w:rPr>
        <w:t>m</w:t>
      </w:r>
      <w:r>
        <w:rPr>
          <w:rFonts w:eastAsia="Calibri" w:cs="Calibri" w:ascii="Calibri" w:hAnsi="Calibri"/>
          <w:shd w:fill="FFFF00" w:val="clear"/>
        </w:rPr>
        <w:t>′ = (</w:t>
      </w:r>
      <w:r>
        <w:rPr>
          <w:rFonts w:eastAsia="Calibri" w:cs="Calibri" w:ascii="Calibri" w:hAnsi="Calibri"/>
          <w:i/>
          <w:iCs/>
          <w:shd w:fill="FFFF00" w:val="clear"/>
        </w:rPr>
        <w:t>F</w:t>
      </w:r>
      <w:r>
        <w:rPr>
          <w:rFonts w:eastAsia="Calibri" w:cs="Calibri" w:ascii="Calibri" w:hAnsi="Calibri"/>
          <w:i/>
          <w:iCs/>
          <w:shd w:fill="FFFF00" w:val="clear"/>
          <w:vertAlign w:val="subscript"/>
        </w:rPr>
        <w:t>m</w:t>
      </w:r>
      <w:r>
        <w:rPr>
          <w:rFonts w:eastAsia="Calibri" w:cs="Calibri" w:ascii="Calibri" w:hAnsi="Calibri"/>
          <w:shd w:fill="FFFF00" w:val="clear"/>
        </w:rPr>
        <w:t xml:space="preserve">’ - </w:t>
      </w:r>
      <w:r>
        <w:rPr>
          <w:rFonts w:eastAsia="Calibri" w:cs="Calibri" w:ascii="Calibri" w:hAnsi="Calibri"/>
          <w:i/>
          <w:iCs/>
          <w:shd w:fill="FFFF00" w:val="clear"/>
        </w:rPr>
        <w:t>F</w:t>
      </w:r>
      <w:r>
        <w:rPr>
          <w:rFonts w:eastAsia="Calibri" w:cs="Calibri" w:ascii="Calibri" w:hAnsi="Calibri"/>
          <w:i/>
          <w:iCs/>
          <w:shd w:fill="FFFF00" w:val="clear"/>
          <w:vertAlign w:val="subscript"/>
        </w:rPr>
        <w:t>o</w:t>
      </w:r>
      <w:r>
        <w:rPr>
          <w:rFonts w:eastAsia="Calibri" w:cs="Calibri" w:ascii="Calibri" w:hAnsi="Calibri"/>
          <w:shd w:fill="FFFF00" w:val="clear"/>
        </w:rPr>
        <w:t xml:space="preserve">’) / </w:t>
      </w:r>
      <w:r>
        <w:rPr>
          <w:rFonts w:eastAsia="Calibri" w:cs="Calibri" w:ascii="Calibri" w:hAnsi="Calibri"/>
          <w:i/>
          <w:iCs/>
          <w:shd w:fill="FFFF00" w:val="clear"/>
        </w:rPr>
        <w:t>F</w:t>
      </w:r>
      <w:r>
        <w:rPr>
          <w:rFonts w:eastAsia="Calibri" w:cs="Calibri" w:ascii="Calibri" w:hAnsi="Calibri"/>
          <w:i/>
          <w:iCs/>
          <w:shd w:fill="FFFF00" w:val="clear"/>
          <w:vertAlign w:val="subscript"/>
        </w:rPr>
        <w:t>m</w:t>
      </w:r>
      <w:r>
        <w:rPr>
          <w:rFonts w:eastAsia="Calibri" w:cs="Calibri" w:ascii="Calibri" w:hAnsi="Calibri"/>
          <w:shd w:fill="FFFF00" w:val="clear"/>
        </w:rPr>
        <w:t xml:space="preserve">’ </w:t>
      </w:r>
      <w:r>
        <w:rPr>
          <w:rFonts w:cs="Calibri" w:ascii="Calibri" w:hAnsi="Calibri"/>
          <w:shd w:fill="FFFF00" w:val="clear"/>
          <w:vertAlign w:val="superscript"/>
        </w:rPr>
        <w:t>26</w:t>
      </w:r>
    </w:p>
    <w:p>
      <w:pPr>
        <w:pStyle w:val="FirstParagraph"/>
        <w:spacing w:before="0" w:after="0"/>
        <w:jc w:val="both"/>
        <w:rPr>
          <w:rFonts w:ascii="Calibri" w:hAnsi="Calibri" w:eastAsia="Calibri" w:cs="Calibri"/>
        </w:rPr>
      </w:pPr>
      <w:r>
        <w:rPr>
          <w:rFonts w:eastAsia="Calibri" w:cs="Calibri" w:ascii="Calibri" w:hAnsi="Calibri"/>
          <w:shd w:fill="FFFF00" w:val="clear"/>
        </w:rPr>
        <w:t xml:space="preserve">where </w:t>
      </w:r>
      <w:r>
        <w:rPr>
          <w:rFonts w:eastAsia="Calibri" w:cs="Calibri" w:ascii="Calibri" w:hAnsi="Calibri"/>
          <w:i/>
          <w:iCs/>
          <w:shd w:fill="FFFF00" w:val="clear"/>
        </w:rPr>
        <w:t>F</w:t>
      </w:r>
      <w:r>
        <w:rPr>
          <w:rFonts w:eastAsia="Calibri" w:cs="Calibri" w:ascii="Calibri" w:hAnsi="Calibri"/>
          <w:i/>
          <w:iCs/>
          <w:shd w:fill="FFFF00" w:val="clear"/>
          <w:vertAlign w:val="subscript"/>
        </w:rPr>
        <w:t>o</w:t>
      </w:r>
      <w:r>
        <w:rPr>
          <w:rFonts w:eastAsia="Calibri" w:cs="Calibri" w:ascii="Calibri" w:hAnsi="Calibri"/>
          <w:shd w:fill="FFFF00" w:val="clear"/>
        </w:rPr>
        <w:t>’ is defined as the ChlF yield of the 1</w:t>
      </w:r>
      <w:r>
        <w:rPr>
          <w:rFonts w:eastAsia="Calibri" w:cs="Calibri" w:ascii="Calibri" w:hAnsi="Calibri"/>
          <w:shd w:fill="FFFF00" w:val="clear"/>
          <w:vertAlign w:val="superscript"/>
        </w:rPr>
        <w:t>st</w:t>
      </w:r>
      <w:r>
        <w:rPr>
          <w:rFonts w:eastAsia="Calibri" w:cs="Calibri" w:ascii="Calibri" w:hAnsi="Calibri"/>
          <w:shd w:fill="FFFF00" w:val="clear"/>
        </w:rPr>
        <w:t xml:space="preserve"> flashlet and </w:t>
      </w:r>
      <w:r>
        <w:rPr>
          <w:rFonts w:eastAsia="Calibri" w:cs="Calibri" w:ascii="Calibri" w:hAnsi="Calibri"/>
          <w:i/>
          <w:iCs/>
          <w:shd w:fill="FFFF00" w:val="clear"/>
        </w:rPr>
        <w:t>F</w:t>
      </w:r>
      <w:r>
        <w:rPr>
          <w:rFonts w:eastAsia="Calibri" w:cs="Calibri" w:ascii="Calibri" w:hAnsi="Calibri"/>
          <w:i/>
          <w:iCs/>
          <w:shd w:fill="FFFF00" w:val="clear"/>
          <w:vertAlign w:val="subscript"/>
        </w:rPr>
        <w:t>m</w:t>
      </w:r>
      <w:r>
        <w:rPr>
          <w:rFonts w:eastAsia="Calibri" w:cs="Calibri" w:ascii="Calibri" w:hAnsi="Calibri"/>
          <w:shd w:fill="FFFF00" w:val="clear"/>
        </w:rPr>
        <w:t>’ as the average of the ChlF yields of the 301</w:t>
      </w:r>
      <w:r>
        <w:rPr>
          <w:rFonts w:eastAsia="Calibri" w:cs="Calibri" w:ascii="Calibri" w:hAnsi="Calibri"/>
          <w:shd w:fill="FFFF00" w:val="clear"/>
          <w:vertAlign w:val="superscript"/>
        </w:rPr>
        <w:t>st</w:t>
      </w:r>
      <w:r>
        <w:rPr>
          <w:rFonts w:eastAsia="Calibri" w:cs="Calibri" w:ascii="Calibri" w:hAnsi="Calibri"/>
          <w:shd w:fill="FFFF00" w:val="clear"/>
        </w:rPr>
        <w:t xml:space="preserve"> and the 302</w:t>
      </w:r>
      <w:r>
        <w:rPr>
          <w:rFonts w:eastAsia="Calibri" w:cs="Calibri" w:ascii="Calibri" w:hAnsi="Calibri"/>
          <w:shd w:fill="FFFF00" w:val="clear"/>
          <w:vertAlign w:val="superscript"/>
        </w:rPr>
        <w:t>nd</w:t>
      </w:r>
      <w:r>
        <w:rPr>
          <w:rFonts w:eastAsia="Calibri" w:cs="Calibri" w:ascii="Calibri" w:hAnsi="Calibri"/>
          <w:shd w:fill="FFFF00" w:val="clear"/>
        </w:rPr>
        <w:t xml:space="preserve"> flashlets</w:t>
      </w:r>
      <w:r>
        <w:rPr>
          <w:rFonts w:cs="Calibri" w:ascii="Calibri" w:hAnsi="Calibri"/>
          <w:shd w:fill="FFFF00" w:val="clear"/>
          <w:vertAlign w:val="superscript"/>
        </w:rPr>
        <w:t>28</w:t>
      </w:r>
      <w:r>
        <w:rPr>
          <w:rFonts w:eastAsia="Calibri" w:cs="Calibri" w:ascii="Calibri" w:hAnsi="Calibri"/>
          <w:shd w:fill="FFFF00" w:val="clear"/>
        </w:rPr>
        <w:t>.</w:t>
      </w:r>
      <w:r>
        <w:rPr>
          <w:rFonts w:eastAsia="Calibri" w:cs="Calibri" w:ascii="Calibri" w:hAnsi="Calibri"/>
        </w:rPr>
        <w:t xml:space="preserve"> </w:t>
      </w:r>
      <w:r>
        <w:rPr>
          <w:rFonts w:eastAsia="Calibri" w:cs="Calibri" w:ascii="Calibri" w:hAnsi="Calibri"/>
          <w:shd w:fill="FFFF00" w:val="clear"/>
        </w:rPr>
        <w:t>The total duration of one ChlF measurement (including the relaxation phase) is around 21 ms, but the duration of the crucial 300 flashlet excitation phase is only 750 μs.</w:t>
      </w:r>
    </w:p>
    <w:p>
      <w:pPr>
        <w:pStyle w:val="BodyText"/>
        <w:spacing w:before="0" w:after="0"/>
        <w:rPr/>
      </w:pPr>
      <w:bookmarkStart w:id="15" w:name="Xfb374e25571491eae57c3277dbb2e496d246443"/>
      <w:r>
        <w:rPr/>
        <w:br/>
        <w:t>CAUTION: The excitation beam of the LIFT sensor is dangerous to the eyes. Looking directly into the excitation beam has to be strictly avoided.</w:t>
      </w:r>
      <w:bookmarkEnd w:id="15"/>
    </w:p>
    <w:p>
      <w:pPr>
        <w:pStyle w:val="BodyText"/>
        <w:spacing w:before="0" w:after="0"/>
        <w:rPr>
          <w:b/>
          <w:bCs/>
        </w:rPr>
      </w:pPr>
      <w:r>
        <w:rPr/>
        <w:br/>
      </w:r>
      <w:r>
        <w:rPr>
          <w:b/>
          <w:bCs/>
          <w:shd w:fill="FFFF00" w:val="clear"/>
        </w:rPr>
        <w:t>3.</w:t>
        <w:tab/>
        <w:t>Conducting LIFT measurements</w:t>
      </w:r>
    </w:p>
    <w:p>
      <w:pPr>
        <w:pStyle w:val="FirstParagraph"/>
        <w:spacing w:before="0" w:after="0"/>
        <w:jc w:val="both"/>
        <w:rPr>
          <w:highlight w:val="none"/>
          <w:shd w:fill="FFFF00" w:val="clear"/>
        </w:rPr>
      </w:pPr>
      <w:r>
        <w:rPr>
          <w:rFonts w:eastAsia="Calibri" w:cs="Calibri" w:ascii="Calibri" w:hAnsi="Calibri"/>
          <w:shd w:fill="FFFF00" w:val="clear"/>
        </w:rPr>
        <w:br/>
        <w:t>3.1 Manually drive the robot to the beginning of the first row of plots in the experimental field using the remote controller.</w:t>
      </w:r>
    </w:p>
    <w:p>
      <w:pPr>
        <w:pStyle w:val="BodyText"/>
        <w:spacing w:before="0" w:after="0"/>
        <w:rPr>
          <w:highlight w:val="none"/>
          <w:shd w:fill="FFFF00" w:val="clear"/>
        </w:rPr>
      </w:pPr>
      <w:r>
        <w:rPr>
          <w:shd w:fill="FFFF00" w:val="clear"/>
        </w:rPr>
        <w:br/>
        <w:t>3.2 Activate the measuring script for the LIFT sensor and the spectrometer in continuous mode.</w:t>
      </w:r>
    </w:p>
    <w:p>
      <w:pPr>
        <w:pStyle w:val="BodyText"/>
        <w:spacing w:before="0" w:after="0"/>
        <w:rPr>
          <w:highlight w:val="none"/>
          <w:shd w:fill="FFFF00" w:val="clear"/>
        </w:rPr>
      </w:pPr>
      <w:r>
        <w:rPr>
          <w:shd w:fill="FFFF00" w:val="clear"/>
        </w:rPr>
        <w:br/>
        <w:t>3.3 Start the autonomous robot navigation at 0.5 m/s velocity using the robot control website.</w:t>
      </w:r>
    </w:p>
    <w:p>
      <w:pPr>
        <w:pStyle w:val="BodyText"/>
        <w:spacing w:before="0" w:after="0"/>
        <w:rPr>
          <w:highlight w:val="none"/>
          <w:shd w:fill="FFFF00" w:val="clear"/>
        </w:rPr>
      </w:pPr>
      <w:r>
        <w:rPr>
          <w:shd w:fill="FFFF00" w:val="clear"/>
        </w:rPr>
        <w:br/>
        <w:t xml:space="preserve">3.4 During measurement, periodically check the plot representing the ChlF yield over time in the LIFT sensor assembly desktop client to confirm that it has the expected shape (see </w:t>
      </w:r>
      <w:r>
        <w:rPr>
          <w:b/>
          <w:bCs/>
          <w:shd w:fill="FFFF00" w:val="clear"/>
        </w:rPr>
        <w:t>Figure 1B</w:t>
      </w:r>
      <w:r>
        <w:rPr>
          <w:shd w:fill="FFFF00" w:val="clear"/>
        </w:rPr>
        <w:t>). Adjust the sensor gain if signals are too weak.</w:t>
      </w:r>
    </w:p>
    <w:p>
      <w:pPr>
        <w:pStyle w:val="BodyText"/>
        <w:spacing w:before="0" w:after="0"/>
        <w:rPr>
          <w:highlight w:val="none"/>
          <w:shd w:fill="FFFF00" w:val="clear"/>
        </w:rPr>
      </w:pPr>
      <w:bookmarkStart w:id="16" w:name="conduct-lift-measurements"/>
      <w:r>
        <w:rPr>
          <w:shd w:fill="FFFF00" w:val="clear"/>
        </w:rPr>
        <w:br/>
        <w:t>3.5 Periodically hold the white reference panel under the excitation beam at the height of the crop canopy while the robot is turning at the field border.</w:t>
      </w:r>
      <w:bookmarkStart w:id="17" w:name="_Hlk211518331"/>
      <w:bookmarkEnd w:id="16"/>
      <w:bookmarkEnd w:id="17"/>
    </w:p>
    <w:p>
      <w:pPr>
        <w:pStyle w:val="BodyText"/>
        <w:spacing w:before="0" w:after="0"/>
        <w:rPr>
          <w:b/>
          <w:bCs/>
        </w:rPr>
      </w:pPr>
      <w:r>
        <w:rPr/>
        <w:br/>
      </w:r>
      <w:r>
        <w:rPr>
          <w:b/>
          <w:bCs/>
        </w:rPr>
        <w:t>4.</w:t>
        <w:tab/>
        <w:t>Data integration and preprocessing</w:t>
      </w:r>
    </w:p>
    <w:p>
      <w:pPr>
        <w:pStyle w:val="BodyText"/>
        <w:spacing w:before="0" w:after="0"/>
        <w:rPr>
          <w:b/>
          <w:bCs/>
        </w:rPr>
      </w:pPr>
      <w:r>
        <w:rPr>
          <w:b/>
          <w:bCs/>
        </w:rPr>
      </w:r>
    </w:p>
    <w:p>
      <w:pPr>
        <w:pStyle w:val="Normal"/>
        <w:rPr/>
      </w:pPr>
      <w:r>
        <w:rPr/>
        <w:t xml:space="preserve">NOTE: The R code is available on GitHub ( https://github.com/beat2keller/lift_data_processing) </w:t>
      </w:r>
    </w:p>
    <w:p>
      <w:pPr>
        <w:pStyle w:val="Normal"/>
        <w:rPr/>
      </w:pPr>
      <w:r>
        <w:rPr/>
        <w:br/>
      </w:r>
      <w:r>
        <w:rPr>
          <w:shd w:fill="FFFF00" w:val="clear"/>
        </w:rPr>
        <w:t>4.1 Read in the LIFT transient and spectral data from all *_data.csv and *_spectral.csv using R data.table package</w:t>
      </w:r>
      <w:r>
        <w:rPr>
          <w:shd w:fill="FFFF00" w:val="clear"/>
          <w:vertAlign w:val="superscript"/>
        </w:rPr>
        <w:t>34</w:t>
      </w:r>
      <w:r>
        <w:rPr>
          <w:shd w:fill="FFFF00" w:val="clear"/>
        </w:rPr>
        <w:t>.</w:t>
      </w:r>
    </w:p>
    <w:p>
      <w:pPr>
        <w:pStyle w:val="BodyText"/>
        <w:spacing w:before="0" w:after="0"/>
        <w:rPr/>
      </w:pPr>
      <w:r>
        <w:rPr/>
        <w:br/>
      </w:r>
      <w:r>
        <w:rPr>
          <w:shd w:fill="FFFF00" w:val="clear"/>
        </w:rPr>
        <w:t>4.2 Read in the GNSS and weather data together with the .geojson plot maps and the experimental design.</w:t>
      </w:r>
    </w:p>
    <w:p>
      <w:pPr>
        <w:pStyle w:val="BodyText"/>
        <w:spacing w:before="0" w:after="0"/>
        <w:rPr/>
      </w:pPr>
      <w:r>
        <w:rPr/>
        <w:br/>
        <w:t>4.3 Combine the datasets and perform statistical analysis, e.g., as described in</w:t>
      </w:r>
      <w:r>
        <w:rPr>
          <w:vertAlign w:val="superscript"/>
        </w:rPr>
        <w:t>12</w:t>
      </w:r>
      <w:r>
        <w:rPr/>
        <w:t>, as described below.</w:t>
      </w:r>
    </w:p>
    <w:p>
      <w:pPr>
        <w:pStyle w:val="BodyText"/>
        <w:spacing w:before="0" w:after="0"/>
        <w:rPr/>
      </w:pPr>
      <w:r>
        <w:rPr/>
        <w:br/>
      </w:r>
      <w:r>
        <w:rPr>
          <w:shd w:fill="FFFF00" w:val="clear"/>
        </w:rPr>
        <w:t xml:space="preserve">4.3.1 Extract </w:t>
      </w:r>
      <w:r>
        <w:rPr>
          <w:i/>
          <w:iCs/>
          <w:shd w:fill="FFFF00" w:val="clear"/>
        </w:rPr>
        <w:t>F</w:t>
      </w:r>
      <w:r>
        <w:rPr>
          <w:i/>
          <w:iCs/>
          <w:shd w:fill="FFFF00" w:val="clear"/>
          <w:vertAlign w:val="subscript"/>
        </w:rPr>
        <w:t>q</w:t>
      </w:r>
      <w:r>
        <w:rPr>
          <w:shd w:fill="FFFF00" w:val="clear"/>
        </w:rPr>
        <w:t>’/</w:t>
      </w:r>
      <w:r>
        <w:rPr>
          <w:i/>
          <w:iCs/>
          <w:shd w:fill="FFFF00" w:val="clear"/>
        </w:rPr>
        <w:t>F</w:t>
      </w:r>
      <w:r>
        <w:rPr>
          <w:i/>
          <w:iCs/>
          <w:shd w:fill="FFFF00" w:val="clear"/>
          <w:vertAlign w:val="subscript"/>
        </w:rPr>
        <w:t>m</w:t>
      </w:r>
      <w:r>
        <w:rPr>
          <w:shd w:fill="FFFF00" w:val="clear"/>
        </w:rPr>
        <w:t>’ from each recorded transient.</w:t>
      </w:r>
    </w:p>
    <w:p>
      <w:pPr>
        <w:pStyle w:val="BodyText"/>
        <w:spacing w:before="0" w:after="0"/>
        <w:rPr/>
      </w:pPr>
      <w:r>
        <w:rPr/>
        <w:br/>
        <w:t>4.3.2 Join each GNSS point to its corresponding plot based on .geojson polygons using spatial containment. Do not forget to account for the distance between the LIFT sensor assembly and the GNSS antenna on the robot.</w:t>
      </w:r>
    </w:p>
    <w:p>
      <w:pPr>
        <w:pStyle w:val="BodyText"/>
        <w:spacing w:before="0" w:after="0"/>
        <w:rPr/>
      </w:pPr>
      <w:r>
        <w:rPr/>
        <w:br/>
      </w:r>
      <w:r>
        <w:rPr>
          <w:shd w:fill="FFFF00" w:val="clear"/>
        </w:rPr>
        <w:t>4.3.3 Determine the heading of the robot from consecutive positions. Merge the experimental design with the GNSS data by the assigned plot identifiers.</w:t>
      </w:r>
    </w:p>
    <w:p>
      <w:pPr>
        <w:pStyle w:val="BodyText"/>
        <w:spacing w:before="0" w:after="0"/>
        <w:rPr/>
      </w:pPr>
      <w:r>
        <w:rPr/>
        <w:br/>
      </w:r>
      <w:r>
        <w:rPr>
          <w:shd w:fill="FFFF00" w:val="clear"/>
        </w:rPr>
        <w:t>NOTE: This step links each spatial position to the respective treatment (e.g., genotype) and replication (e.g., block) information.</w:t>
      </w:r>
    </w:p>
    <w:p>
      <w:pPr>
        <w:pStyle w:val="BodyText"/>
        <w:spacing w:before="0" w:after="0"/>
        <w:rPr/>
      </w:pPr>
      <w:r>
        <w:rPr/>
        <w:br/>
        <w:t>4.3.5 Combine the high-resolution data from the PPFR sensor with low-resolution PPFR data from the nearest weather station to produce a fused incident PPFR time series (optional).</w:t>
      </w:r>
    </w:p>
    <w:p>
      <w:pPr>
        <w:pStyle w:val="BodyText"/>
        <w:spacing w:before="0" w:after="0"/>
        <w:rPr/>
      </w:pPr>
      <w:r>
        <w:rPr/>
        <w:br/>
        <w:t xml:space="preserve">NOTE: Low-resolution meteorological data for Switzerland can be derived from the agrometeo.ch (https://agrometeo.ch/de) network as described </w:t>
      </w:r>
      <w:bookmarkStart w:id="18" w:name="_Hlk212448501"/>
      <w:r>
        <w:rPr/>
        <w:t>in</w:t>
      </w:r>
      <w:r>
        <w:rPr>
          <w:vertAlign w:val="superscript"/>
        </w:rPr>
        <w:t>35</w:t>
      </w:r>
      <w:r>
        <w:rPr/>
        <w:t>.</w:t>
      </w:r>
      <w:bookmarkEnd w:id="18"/>
    </w:p>
    <w:p>
      <w:pPr>
        <w:pStyle w:val="Normal"/>
        <w:rPr/>
      </w:pPr>
      <w:bookmarkStart w:id="19" w:name="_Hlk211520687"/>
      <w:r>
        <w:rPr/>
        <w:br/>
      </w:r>
      <w:r>
        <w:rPr>
          <w:shd w:fill="FFFF00" w:val="clear"/>
        </w:rPr>
        <w:t xml:space="preserve">4.3.6 </w:t>
      </w:r>
      <w:bookmarkStart w:id="20" w:name="_Hlk211867518"/>
      <w:bookmarkStart w:id="21" w:name="_Hlk211867551"/>
      <w:bookmarkEnd w:id="21"/>
      <w:r>
        <w:rPr>
          <w:shd w:fill="FFFF00" w:val="clear"/>
        </w:rPr>
        <w:t>Filter the white reference measurements from the spectral reflectance dataset and merge them with the PPFR data using time stamps to create a lookup table for the spectral reflectance under different incident light intensities as described in</w:t>
      </w:r>
      <w:r>
        <w:rPr>
          <w:shd w:fill="FFFF00" w:val="clear"/>
          <w:vertAlign w:val="superscript"/>
        </w:rPr>
        <w:t>28</w:t>
      </w:r>
      <w:r>
        <w:rPr>
          <w:shd w:fill="FFFF00" w:val="clear"/>
        </w:rPr>
        <w:t>.</w:t>
      </w:r>
    </w:p>
    <w:p>
      <w:pPr>
        <w:pStyle w:val="BodyText"/>
        <w:spacing w:before="0" w:after="0"/>
        <w:rPr>
          <w:highlight w:val="none"/>
          <w:shd w:fill="FFFF00" w:val="clear"/>
        </w:rPr>
      </w:pPr>
      <w:bookmarkStart w:id="22" w:name="_Hlk211520687"/>
      <w:r>
        <w:rPr>
          <w:shd w:fill="FFFF00" w:val="clear"/>
        </w:rPr>
        <w:br/>
        <w:t>4.3.7 Correct the raw spectral reflectance data based on the lookup table.</w:t>
      </w:r>
      <w:bookmarkEnd w:id="22"/>
      <w:bookmarkEnd w:id="20"/>
    </w:p>
    <w:p>
      <w:pPr>
        <w:pStyle w:val="BodyText"/>
        <w:spacing w:before="0" w:after="0"/>
        <w:rPr/>
      </w:pPr>
      <w:r>
        <w:rPr/>
        <w:br/>
        <w:t>4.3.8 Calculate the MERIS terrestrial chlorophyll index (MTCI) and the normalized difference vegetation index (NDVI) from the corrected spectral reflectance data using the formulas</w:t>
      </w:r>
    </w:p>
    <w:p>
      <w:pPr>
        <w:pStyle w:val="BodyText"/>
        <w:spacing w:before="0" w:after="0"/>
        <w:jc w:val="center"/>
        <w:rPr/>
      </w:pPr>
      <w:r>
        <w:rPr/>
      </w:r>
      <m:oMathPara xmlns:m="http://schemas.openxmlformats.org/officeDocument/2006/math">
        <m:oMathParaPr>
          <m:jc m:val="center"/>
        </m:oMathParaPr>
        <m:oMath>
          <m:r>
            <m:rPr>
              <m:lit/>
              <m:nor/>
            </m:rPr>
            <w:rPr>
              <w:rFonts w:ascii="Cambria Math" w:hAnsi="Cambria Math"/>
            </w:rPr>
            <m:t xml:space="preserve">MTCI</m:t>
          </m:r>
          <m:r>
            <w:rPr>
              <w:rFonts w:ascii="Cambria Math" w:hAnsi="Cambria Math"/>
            </w:rPr>
            <m:t xml:space="preserve">=</m:t>
          </m:r>
          <m:f>
            <m:num>
              <m:sSub>
                <m:e>
                  <m:r>
                    <m:rPr>
                      <m:lit/>
                      <m:nor/>
                    </m:rPr>
                    <w:rPr>
                      <w:rFonts w:ascii="Cambria Math" w:hAnsi="Cambria Math"/>
                    </w:rPr>
                    <m:t xml:space="preserve">R</m:t>
                  </m:r>
                </m:e>
                <m:sub>
                  <m:r>
                    <m:rPr>
                      <m:lit/>
                      <m:nor/>
                    </m:rPr>
                    <w:rPr>
                      <w:rFonts w:ascii="Cambria Math" w:hAnsi="Cambria Math"/>
                    </w:rPr>
                    <m:t xml:space="preserve">754</m:t>
                  </m:r>
                </m:sub>
              </m:sSub>
              <m:r>
                <w:rPr>
                  <w:rFonts w:ascii="Cambria Math" w:hAnsi="Cambria Math"/>
                </w:rPr>
                <m:t xml:space="preserve">−</m:t>
              </m:r>
              <m:sSub>
                <m:e>
                  <m:r>
                    <m:rPr>
                      <m:lit/>
                      <m:nor/>
                    </m:rPr>
                    <w:rPr>
                      <w:rFonts w:ascii="Cambria Math" w:hAnsi="Cambria Math"/>
                    </w:rPr>
                    <m:t xml:space="preserve">R</m:t>
                  </m:r>
                </m:e>
                <m:sub>
                  <m:r>
                    <m:rPr>
                      <m:lit/>
                      <m:nor/>
                    </m:rPr>
                    <w:rPr>
                      <w:rFonts w:ascii="Cambria Math" w:hAnsi="Cambria Math"/>
                    </w:rPr>
                    <m:t xml:space="preserve">710</m:t>
                  </m:r>
                </m:sub>
              </m:sSub>
            </m:num>
            <m:den>
              <m:sSub>
                <m:e>
                  <m:r>
                    <m:rPr>
                      <m:lit/>
                      <m:nor/>
                    </m:rPr>
                    <w:rPr>
                      <w:rFonts w:ascii="Cambria Math" w:hAnsi="Cambria Math"/>
                    </w:rPr>
                    <m:t xml:space="preserve">R</m:t>
                  </m:r>
                </m:e>
                <m:sub>
                  <m:r>
                    <m:rPr>
                      <m:lit/>
                      <m:nor/>
                    </m:rPr>
                    <w:rPr>
                      <w:rFonts w:ascii="Cambria Math" w:hAnsi="Cambria Math"/>
                    </w:rPr>
                    <m:t xml:space="preserve">710</m:t>
                  </m:r>
                </m:sub>
              </m:sSub>
              <m:r>
                <w:rPr>
                  <w:rFonts w:ascii="Cambria Math" w:hAnsi="Cambria Math"/>
                </w:rPr>
                <m:t xml:space="preserve">−</m:t>
              </m:r>
              <m:sSub>
                <m:e>
                  <m:r>
                    <m:rPr>
                      <m:lit/>
                      <m:nor/>
                    </m:rPr>
                    <w:rPr>
                      <w:rFonts w:ascii="Cambria Math" w:hAnsi="Cambria Math"/>
                    </w:rPr>
                    <m:t xml:space="preserve">R</m:t>
                  </m:r>
                </m:e>
                <m:sub>
                  <m:r>
                    <m:rPr>
                      <m:lit/>
                      <m:nor/>
                    </m:rPr>
                    <w:rPr>
                      <w:rFonts w:ascii="Cambria Math" w:hAnsi="Cambria Math"/>
                    </w:rPr>
                    <m:t xml:space="preserve">680</m:t>
                  </m:r>
                </m:sub>
              </m:sSub>
            </m:den>
          </m:f>
        </m:oMath>
      </m:oMathPara>
    </w:p>
    <w:p>
      <w:pPr>
        <w:pStyle w:val="BodyText"/>
        <w:spacing w:before="0" w:after="0"/>
        <w:jc w:val="center"/>
        <w:rPr/>
      </w:pPr>
      <w:r>
        <w:rPr/>
      </w:r>
      <m:oMathPara xmlns:m="http://schemas.openxmlformats.org/officeDocument/2006/math">
        <m:oMathParaPr>
          <m:jc m:val="center"/>
        </m:oMathParaPr>
        <m:oMath>
          <m:r>
            <m:rPr>
              <m:lit/>
              <m:nor/>
            </m:rPr>
            <w:rPr>
              <w:rFonts w:ascii="Cambria Math" w:hAnsi="Cambria Math"/>
            </w:rPr>
            <m:t xml:space="preserve">NDVI</m:t>
          </m:r>
          <m:r>
            <w:rPr>
              <w:rFonts w:ascii="Cambria Math" w:hAnsi="Cambria Math"/>
            </w:rPr>
            <m:t xml:space="preserve">=</m:t>
          </m:r>
          <m:f>
            <m:num>
              <m:sSub>
                <m:e>
                  <m:r>
                    <m:rPr>
                      <m:lit/>
                      <m:nor/>
                    </m:rPr>
                    <w:rPr>
                      <w:rFonts w:ascii="Cambria Math" w:hAnsi="Cambria Math"/>
                    </w:rPr>
                    <m:t xml:space="preserve">R</m:t>
                  </m:r>
                </m:e>
                <m:sub>
                  <m:r>
                    <m:rPr>
                      <m:lit/>
                      <m:nor/>
                    </m:rPr>
                    <w:rPr>
                      <w:rFonts w:ascii="Cambria Math" w:hAnsi="Cambria Math"/>
                    </w:rPr>
                    <m:t xml:space="preserve">750</m:t>
                  </m:r>
                </m:sub>
              </m:sSub>
              <m:r>
                <w:rPr>
                  <w:rFonts w:ascii="Cambria Math" w:hAnsi="Cambria Math"/>
                </w:rPr>
                <m:t xml:space="preserve">−</m:t>
              </m:r>
              <m:sSub>
                <m:e>
                  <m:r>
                    <m:rPr>
                      <m:lit/>
                      <m:nor/>
                    </m:rPr>
                    <w:rPr>
                      <w:rFonts w:ascii="Cambria Math" w:hAnsi="Cambria Math"/>
                    </w:rPr>
                    <m:t xml:space="preserve">R</m:t>
                  </m:r>
                </m:e>
                <m:sub>
                  <m:r>
                    <m:rPr>
                      <m:lit/>
                      <m:nor/>
                    </m:rPr>
                    <w:rPr>
                      <w:rFonts w:ascii="Cambria Math" w:hAnsi="Cambria Math"/>
                    </w:rPr>
                    <m:t xml:space="preserve">706</m:t>
                  </m:r>
                </m:sub>
              </m:sSub>
            </m:num>
            <m:den>
              <m:sSub>
                <m:e>
                  <m:r>
                    <m:rPr>
                      <m:lit/>
                      <m:nor/>
                    </m:rPr>
                    <w:rPr>
                      <w:rFonts w:ascii="Cambria Math" w:hAnsi="Cambria Math"/>
                    </w:rPr>
                    <m:t xml:space="preserve">R</m:t>
                  </m:r>
                </m:e>
                <m:sub>
                  <m:r>
                    <m:rPr>
                      <m:lit/>
                      <m:nor/>
                    </m:rPr>
                    <w:rPr>
                      <w:rFonts w:ascii="Cambria Math" w:hAnsi="Cambria Math"/>
                    </w:rPr>
                    <m:t xml:space="preserve">750</m:t>
                  </m:r>
                </m:sub>
              </m:sSub>
              <m:r>
                <w:rPr>
                  <w:rFonts w:ascii="Cambria Math" w:hAnsi="Cambria Math"/>
                </w:rPr>
                <m:t xml:space="preserve">+</m:t>
              </m:r>
              <m:sSub>
                <m:e>
                  <m:r>
                    <m:rPr>
                      <m:lit/>
                      <m:nor/>
                    </m:rPr>
                    <w:rPr>
                      <w:rFonts w:ascii="Cambria Math" w:hAnsi="Cambria Math"/>
                    </w:rPr>
                    <m:t xml:space="preserve">R</m:t>
                  </m:r>
                </m:e>
                <m:sub>
                  <m:r>
                    <m:rPr>
                      <m:lit/>
                      <m:nor/>
                    </m:rPr>
                    <w:rPr>
                      <w:rFonts w:ascii="Cambria Math" w:hAnsi="Cambria Math"/>
                    </w:rPr>
                    <m:t xml:space="preserve">706</m:t>
                  </m:r>
                </m:sub>
              </m:sSub>
            </m:den>
          </m:f>
        </m:oMath>
      </m:oMathPara>
    </w:p>
    <w:p>
      <w:pPr>
        <w:pStyle w:val="BodyText"/>
        <w:spacing w:before="0" w:after="0"/>
        <w:rPr/>
      </w:pPr>
      <w:r>
        <w:rPr/>
        <w:t xml:space="preserve">where </w:t>
      </w:r>
      <w:r>
        <w:rPr>
          <w:i/>
          <w:iCs/>
        </w:rPr>
        <w:t>R</w:t>
      </w:r>
      <w:r>
        <w:rPr>
          <w:i/>
          <w:iCs/>
          <w:vertAlign w:val="subscript"/>
        </w:rPr>
        <w:t>λ</w:t>
      </w:r>
      <w:r>
        <w:rPr/>
        <w:t xml:space="preserve"> denotes the mean reflection at wavelength </w:t>
      </w:r>
      <w:r>
        <w:rPr>
          <w:i/>
          <w:iCs/>
        </w:rPr>
        <w:t>λ</w:t>
      </w:r>
      <w:r>
        <w:rPr/>
        <w:t xml:space="preserve"> nm.</w:t>
      </w:r>
    </w:p>
    <w:p>
      <w:pPr>
        <w:pStyle w:val="BodyText"/>
        <w:spacing w:before="0" w:after="0"/>
        <w:rPr/>
      </w:pPr>
      <w:r>
        <w:rPr/>
        <w:br/>
        <w:t>4.3.9 Merge the ChlF, GNSS position/experimental design and PPFR/spectral reflectance data by performing a nearest neighbor join with a defined tolerance window (e.g., 1 ms) based on time stamps.</w:t>
      </w:r>
    </w:p>
    <w:p>
      <w:pPr>
        <w:pStyle w:val="BodyText"/>
        <w:spacing w:before="0" w:after="0"/>
        <w:rPr/>
      </w:pPr>
      <w:r>
        <w:rPr/>
        <w:br/>
        <w:t xml:space="preserve">4.3.10 Identify and remove rows with outliers in </w:t>
      </w:r>
      <w:r>
        <w:rPr>
          <w:i/>
          <w:iCs/>
        </w:rPr>
        <w:t>F</w:t>
      </w:r>
      <w:r>
        <w:rPr>
          <w:i/>
          <w:iCs/>
          <w:vertAlign w:val="subscript"/>
        </w:rPr>
        <w:t>q</w:t>
      </w:r>
      <w:r>
        <w:rPr/>
        <w:t>’/</w:t>
      </w:r>
      <w:r>
        <w:rPr>
          <w:i/>
          <w:iCs/>
        </w:rPr>
        <w:t>F</w:t>
      </w:r>
      <w:r>
        <w:rPr>
          <w:i/>
          <w:iCs/>
          <w:vertAlign w:val="subscript"/>
        </w:rPr>
        <w:t>m</w:t>
      </w:r>
      <w:r>
        <w:rPr/>
        <w:t>’ from the dataset.</w:t>
      </w:r>
    </w:p>
    <w:p>
      <w:pPr>
        <w:pStyle w:val="BodyText"/>
        <w:spacing w:before="0" w:after="0"/>
        <w:rPr/>
      </w:pPr>
      <w:r>
        <w:rPr/>
        <w:br/>
      </w:r>
      <w:r>
        <w:rPr>
          <w:shd w:fill="FFFF00" w:val="clear"/>
        </w:rPr>
        <w:t>4.3.11 Extract genotype-specific photosynthetic response trends (G: PPFR) from the outlier-corrected ChlF data by fitting the model</w:t>
      </w:r>
      <w:r>
        <w:rPr/>
        <w:t xml:space="preserve"> </w:t>
      </w:r>
    </w:p>
    <w:p>
      <w:pPr>
        <w:pStyle w:val="Normal"/>
        <w:widowControl/>
        <w:rPr/>
      </w:pPr>
      <w:r>
        <w:rPr/>
      </w:r>
    </w:p>
    <w:p>
      <w:pPr>
        <w:pStyle w:val="BodyText"/>
        <w:spacing w:before="0" w:after="0"/>
        <w:jc w:val="center"/>
        <w:rPr/>
      </w:pPr>
      <w:r>
        <w:rPr/>
      </w:r>
      <m:oMathPara xmlns:m="http://schemas.openxmlformats.org/officeDocument/2006/math">
        <m:oMathParaPr>
          <m:jc m:val="center"/>
        </m:oMathParaPr>
        <m:oMath>
          <m:sSubSup>
            <m:e>
              <m:r>
                <m:rPr>
                  <m:lit/>
                  <m:nor/>
                </m:rPr>
                <w:rPr>
                  <w:rFonts w:ascii="Cambria Math" w:hAnsi="Cambria Math"/>
                </w:rPr>
                <m:t xml:space="preserve">F</m:t>
              </m:r>
            </m:e>
            <m:sub>
              <m:r>
                <m:rPr>
                  <m:lit/>
                  <m:nor/>
                </m:rPr>
                <w:rPr>
                  <w:rFonts w:ascii="Cambria Math" w:hAnsi="Cambria Math"/>
                </w:rPr>
                <m:t xml:space="preserve">q</m:t>
              </m:r>
            </m:sub>
            <m:sup>
              <m:r>
                <m:rPr>
                  <m:lit/>
                  <m:nor/>
                </m:rPr>
                <w:rPr>
                  <w:rFonts w:ascii="Cambria Math" w:hAnsi="Cambria Math"/>
                </w:rPr>
                <m:t xml:space="preserve"> </m:t>
              </m:r>
              <m:r>
                <m:rPr>
                  <m:lit/>
                  <m:nor/>
                </m:rPr>
                <w:rPr>
                  <w:rFonts w:ascii="Cambria Math" w:hAnsi="Cambria Math"/>
                </w:rPr>
                <m:t xml:space="preserve">'</m:t>
              </m:r>
            </m:sup>
          </m:sSubSup>
          <m:r>
            <m:rPr>
              <m:lit/>
              <m:nor/>
            </m:rPr>
            <w:rPr>
              <w:rFonts w:ascii="Cambria Math" w:hAnsi="Cambria Math"/>
            </w:rPr>
            <m:t xml:space="preserve"> /</m:t>
          </m:r>
          <m:sSubSup>
            <m:e>
              <m:r>
                <m:rPr>
                  <m:lit/>
                  <m:nor/>
                </m:rPr>
                <w:rPr>
                  <w:rFonts w:ascii="Cambria Math" w:hAnsi="Cambria Math"/>
                </w:rPr>
                <m:t xml:space="preserve">F</m:t>
              </m:r>
            </m:e>
            <m:sub>
              <m:r>
                <m:rPr>
                  <m:lit/>
                  <m:nor/>
                </m:rPr>
                <w:rPr>
                  <w:rFonts w:ascii="Cambria Math" w:hAnsi="Cambria Math"/>
                </w:rPr>
                <m:t xml:space="preserve">m</m:t>
              </m:r>
            </m:sub>
            <m:sup>
              <m:r>
                <m:rPr>
                  <m:lit/>
                  <m:nor/>
                </m:rPr>
                <w:rPr>
                  <w:rFonts w:ascii="Cambria Math" w:hAnsi="Cambria Math"/>
                </w:rPr>
                <m:t xml:space="preserve"> </m:t>
              </m:r>
              <m:r>
                <m:rPr>
                  <m:lit/>
                  <m:nor/>
                </m:rPr>
                <w:rPr>
                  <w:rFonts w:ascii="Cambria Math" w:hAnsi="Cambria Math"/>
                </w:rPr>
                <m:t xml:space="preserve"> '</m:t>
              </m:r>
            </m:sup>
          </m:sSubSup>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w:rPr>
                  <w:rFonts w:ascii="Cambria Math" w:hAnsi="Cambria Math"/>
                </w:rPr>
                <m:t xml:space="preserve">β</m:t>
              </m:r>
            </m:e>
            <m:sub>
              <m:r>
                <w:rPr>
                  <w:rFonts w:ascii="Cambria Math" w:hAnsi="Cambria Math"/>
                </w:rPr>
                <m:t xml:space="preserve">0</m:t>
              </m:r>
            </m:sub>
          </m:sSub>
          <m:r>
            <m:rPr>
              <m:lit/>
              <m:nor/>
            </m:rPr>
            <w:rPr>
              <w:rFonts w:ascii="Cambria Math" w:hAnsi="Cambria Math"/>
            </w:rPr>
            <m:t xml:space="preserve"> </m:t>
          </m:r>
          <m:r>
            <m:rPr>
              <m:lit/>
              <m:nor/>
            </m:rPr>
            <w:rPr>
              <w:rFonts w:ascii="Cambria Math" w:hAnsi="Cambria Math"/>
            </w:rPr>
            <m:t xml:space="preserve">+</m:t>
          </m:r>
          <m:sSub>
            <m:e>
              <m:r>
                <w:rPr>
                  <w:rFonts w:ascii="Cambria Math" w:hAnsi="Cambria Math"/>
                </w:rPr>
                <m:t xml:space="preserve">β</m:t>
              </m:r>
            </m:e>
            <m:sub>
              <m:r>
                <w:rPr>
                  <w:rFonts w:ascii="Cambria Math" w:hAnsi="Cambria Math"/>
                </w:rPr>
                <m:t xml:space="preserve">1</m:t>
              </m:r>
            </m:sub>
          </m:sSub>
          <m:r>
            <m:rPr>
              <m:lit/>
              <m:nor/>
            </m:rPr>
            <w:rPr>
              <w:rFonts w:ascii="Cambria Math" w:hAnsi="Cambria Math"/>
            </w:rPr>
            <m:t xml:space="preserve">Date</m:t>
          </m:r>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w:rPr>
                  <w:rFonts w:ascii="Cambria Math" w:hAnsi="Cambria Math"/>
                </w:rPr>
                <m:t xml:space="preserve">β</m:t>
              </m:r>
            </m:e>
            <m:sub>
              <m:r>
                <w:rPr>
                  <w:rFonts w:ascii="Cambria Math" w:hAnsi="Cambria Math"/>
                </w:rPr>
                <m:t xml:space="preserve">2</m:t>
              </m:r>
            </m:sub>
          </m:sSub>
          <m:d>
            <m:dPr>
              <m:begChr m:val="("/>
              <m:endChr m:val=")"/>
            </m:dPr>
            <m:e>
              <m:r>
                <m:rPr>
                  <m:lit/>
                  <m:nor/>
                </m:rPr>
                <w:rPr>
                  <w:rFonts w:ascii="Cambria Math" w:hAnsi="Cambria Math"/>
                </w:rPr>
                <m:t xml:space="preserve">Heading</m:t>
              </m:r>
              <m:r>
                <w:rPr>
                  <w:rFonts w:ascii="Cambria Math" w:hAnsi="Cambria Math"/>
                </w:rPr>
                <m:t xml:space="preserve">×</m:t>
              </m:r>
              <m:r>
                <m:rPr>
                  <m:lit/>
                  <m:nor/>
                </m:rPr>
                <w:rPr>
                  <w:rFonts w:ascii="Cambria Math" w:hAnsi="Cambria Math"/>
                </w:rPr>
                <m:t xml:space="preserve">Hour</m:t>
              </m:r>
            </m:e>
          </m:d>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w:rPr>
                  <w:rFonts w:ascii="Cambria Math" w:hAnsi="Cambria Math"/>
                </w:rPr>
                <m:t xml:space="preserve">β</m:t>
              </m:r>
            </m:e>
            <m:sub>
              <m:r>
                <w:rPr>
                  <w:rFonts w:ascii="Cambria Math" w:hAnsi="Cambria Math"/>
                </w:rPr>
                <m:t xml:space="preserve">3</m:t>
              </m:r>
            </m:sub>
          </m:sSub>
          <m:d>
            <m:dPr>
              <m:begChr m:val="("/>
              <m:endChr m:val=")"/>
            </m:dPr>
            <m:e>
              <m:r>
                <m:rPr>
                  <m:lit/>
                  <m:nor/>
                </m:rPr>
                <w:rPr>
                  <w:rFonts w:ascii="Cambria Math" w:hAnsi="Cambria Math"/>
                </w:rPr>
                <m:t xml:space="preserve">Genotype</m:t>
              </m:r>
              <m:r>
                <w:rPr>
                  <w:rFonts w:ascii="Cambria Math" w:hAnsi="Cambria Math"/>
                </w:rPr>
                <m:t xml:space="preserve">×</m:t>
              </m:r>
              <m:r>
                <m:rPr>
                  <m:lit/>
                  <m:nor/>
                </m:rPr>
                <w:rPr>
                  <w:rFonts w:ascii="Cambria Math" w:hAnsi="Cambria Math"/>
                </w:rPr>
                <m:t xml:space="preserve">PPFR</m:t>
              </m:r>
            </m:e>
          </m:d>
          <m:r>
            <m:rPr>
              <m:lit/>
              <m:nor/>
            </m:rPr>
            <w:rPr>
              <w:rFonts w:ascii="Cambria Math" w:hAnsi="Cambria Math"/>
            </w:rPr>
            <m:t xml:space="preserve"> </m:t>
          </m:r>
          <m:r>
            <m:rPr>
              <m:lit/>
              <m:nor/>
            </m:rPr>
            <w:rPr>
              <w:rFonts w:ascii="Cambria Math" w:hAnsi="Cambria Math"/>
            </w:rPr>
            <m:t xml:space="preserve">+</m:t>
          </m:r>
          <m:sSub>
            <m:e>
              <m:r>
                <w:rPr>
                  <w:rFonts w:ascii="Cambria Math" w:hAnsi="Cambria Math"/>
                </w:rPr>
                <m:t xml:space="preserve">β</m:t>
              </m:r>
            </m:e>
            <m:sub>
              <m:r>
                <w:rPr>
                  <w:rFonts w:ascii="Cambria Math" w:hAnsi="Cambria Math"/>
                </w:rPr>
                <m:t xml:space="preserve">4</m:t>
              </m:r>
            </m:sub>
          </m:sSub>
          <m:r>
            <m:rPr>
              <m:lit/>
              <m:nor/>
            </m:rPr>
            <w:rPr>
              <w:rFonts w:ascii="Cambria Math" w:hAnsi="Cambria Math"/>
            </w:rPr>
            <m:t xml:space="preserve">MTCI</m:t>
          </m:r>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sSub>
            <m:e>
              <m:r>
                <w:rPr>
                  <w:rFonts w:ascii="Cambria Math" w:hAnsi="Cambria Math"/>
                </w:rPr>
                <m:t xml:space="preserve">β</m:t>
              </m:r>
            </m:e>
            <m:sub>
              <m:r>
                <w:rPr>
                  <w:rFonts w:ascii="Cambria Math" w:hAnsi="Cambria Math"/>
                </w:rPr>
                <m:t xml:space="preserve">5</m:t>
              </m:r>
            </m:sub>
          </m:sSub>
          <m:r>
            <m:rPr>
              <m:lit/>
              <m:nor/>
            </m:rPr>
            <w:rPr>
              <w:rFonts w:ascii="Cambria Math" w:hAnsi="Cambria Math"/>
            </w:rPr>
            <m:t xml:space="preserve">PPFR</m:t>
          </m:r>
          <m:r>
            <m:rPr>
              <m:lit/>
              <m:nor/>
            </m:rPr>
            <w:rPr>
              <w:rFonts w:ascii="Cambria Math" w:hAnsi="Cambria Math"/>
            </w:rPr>
            <m:t xml:space="preserve"> </m:t>
          </m:r>
          <m:r>
            <m:rPr>
              <m:lit/>
              <m:nor/>
            </m:rPr>
            <w:rPr>
              <w:rFonts w:ascii="Cambria Math" w:hAnsi="Cambria Math"/>
            </w:rPr>
            <m:t xml:space="preserve">+</m:t>
          </m:r>
          <m:r>
            <m:rPr>
              <m:lit/>
              <m:nor/>
            </m:rPr>
            <w:rPr>
              <w:rFonts w:ascii="Cambria Math" w:hAnsi="Cambria Math"/>
            </w:rPr>
            <m:t xml:space="preserve"> </m:t>
          </m:r>
          <m:r>
            <w:rPr>
              <w:rFonts w:ascii="Cambria Math" w:hAnsi="Cambria Math"/>
            </w:rPr>
            <m:t xml:space="preserve">ε</m:t>
          </m:r>
        </m:oMath>
      </m:oMathPara>
    </w:p>
    <w:p>
      <w:pPr>
        <w:pStyle w:val="Normal"/>
        <w:widowControl/>
        <w:rPr/>
      </w:pPr>
      <w:r>
        <w:rPr/>
        <w:t>to the outlier-filtered dataset.</w:t>
      </w:r>
    </w:p>
    <w:p>
      <w:pPr>
        <w:pStyle w:val="Normal"/>
        <w:widowControl/>
        <w:rPr/>
      </w:pPr>
      <w:r>
        <w:rPr/>
        <w:br/>
      </w:r>
      <w:r>
        <w:rPr>
          <w:shd w:fill="FFFF00" w:val="clear"/>
        </w:rPr>
        <w:t>4.3.12</w:t>
        <w:tab/>
        <w:t>Estimate the slope (</w:t>
      </w:r>
      <w:r>
        <w:rPr>
          <w:shd w:fill="FFFF00" w:val="clear"/>
        </w:rPr>
      </w:r>
      <m:oMath xmlns:m="http://schemas.openxmlformats.org/officeDocument/2006/math">
        <m:sSub>
          <m:e>
            <m:r>
              <w:rPr>
                <w:rFonts w:ascii="Cambria Math" w:hAnsi="Cambria Math"/>
              </w:rPr>
              <m:t xml:space="preserve">β</m:t>
            </m:r>
          </m:e>
          <m:sub>
            <m:r>
              <w:rPr>
                <w:rFonts w:ascii="Cambria Math" w:hAnsi="Cambria Math"/>
              </w:rPr>
              <m:t xml:space="preserve">3</m:t>
            </m:r>
          </m:sub>
        </m:sSub>
      </m:oMath>
      <w:r>
        <w:rPr>
          <w:shd w:fill="FFFF00" w:val="clear"/>
        </w:rPr>
        <w:t xml:space="preserve">) of the (Genotype PPFR) predictor term using estimated marginal trends (emtrends in R) to obtain a quantitative measure of the genotype-specific response to irradiance. Including the MTCI in the model accounts for differences in chlorophyll content and canopy status that influence </w:t>
      </w:r>
      <w:r>
        <w:rPr>
          <w:i/>
          <w:iCs/>
          <w:shd w:fill="FFFF00" w:val="clear"/>
        </w:rPr>
        <w:t>F</w:t>
      </w:r>
      <w:r>
        <w:rPr>
          <w:i/>
          <w:iCs/>
          <w:shd w:fill="FFFF00" w:val="clear"/>
          <w:vertAlign w:val="subscript"/>
        </w:rPr>
        <w:t>q</w:t>
      </w:r>
      <w:r>
        <w:rPr>
          <w:shd w:fill="FFFF00" w:val="clear"/>
        </w:rPr>
        <w:t>’/</w:t>
      </w:r>
      <w:r>
        <w:rPr>
          <w:i/>
          <w:iCs/>
          <w:shd w:fill="FFFF00" w:val="clear"/>
        </w:rPr>
        <w:t>F</w:t>
      </w:r>
      <w:r>
        <w:rPr>
          <w:i/>
          <w:iCs/>
          <w:shd w:fill="FFFF00" w:val="clear"/>
          <w:vertAlign w:val="subscript"/>
        </w:rPr>
        <w:t>m</w:t>
      </w:r>
      <w:r>
        <w:rPr>
          <w:shd w:fill="FFFF00" w:val="clear"/>
        </w:rPr>
        <w:t>’ as described previously</w:t>
      </w:r>
      <w:r>
        <w:rPr>
          <w:shd w:fill="FFFF00" w:val="clear"/>
          <w:vertAlign w:val="superscript"/>
        </w:rPr>
        <w:t>12</w:t>
      </w:r>
      <w:r>
        <w:rPr>
          <w:shd w:fill="FFFF00" w:val="clear"/>
        </w:rPr>
        <w:t>.</w:t>
      </w:r>
    </w:p>
    <w:p>
      <w:pPr>
        <w:pStyle w:val="Normal"/>
        <w:widowControl/>
        <w:rPr/>
      </w:pPr>
      <w:r>
        <w:rPr/>
      </w:r>
    </w:p>
    <w:p>
      <w:pPr>
        <w:pStyle w:val="Normal"/>
        <w:widowControl/>
        <w:rPr/>
      </w:pPr>
      <w:r>
        <w:rPr/>
        <w:t>NOTE: Heading denotes the driving direction of the robot (derived from GNSS bearings in step 4.3.3) to account for potential directional effects during measurements.</w:t>
      </w:r>
    </w:p>
    <w:p>
      <w:pPr>
        <w:pStyle w:val="Normal"/>
        <w:widowControl/>
        <w:numPr>
          <w:ilvl w:val="0"/>
          <w:numId w:val="1"/>
        </w:numPr>
        <w:ind w:hanging="482" w:left="0"/>
        <w:rPr/>
      </w:pPr>
      <w:r>
        <w:rPr/>
      </w:r>
    </w:p>
    <w:p>
      <w:pPr>
        <w:pStyle w:val="Normal"/>
        <w:rPr>
          <w:b/>
        </w:rPr>
      </w:pPr>
      <w:r>
        <w:rPr>
          <w:b/>
        </w:rPr>
        <w:t>RESULTS:</w:t>
      </w:r>
    </w:p>
    <w:p>
      <w:pPr>
        <w:pStyle w:val="Normal"/>
        <w:rPr/>
      </w:pPr>
      <w:r>
        <w:rPr/>
        <w:t>In total, 91,205 ChlF transient measurements were acquired of 36 soybean (</w:t>
      </w:r>
      <w:r>
        <w:rPr>
          <w:i/>
          <w:iCs/>
        </w:rPr>
        <w:t>Glycine max</w:t>
      </w:r>
      <w:r>
        <w:rPr/>
        <w:t xml:space="preserve"> (L.) Merr.) breeding lines in 7 measuring days from June 12 to 27, 2025. 74,927 data points could be georeferenced to plots, and 58,916 were filtered for data quality and successfully matched with spectral and weather data. An overview of the measurement setup and representative data is shown in </w:t>
      </w:r>
      <w:r>
        <w:rPr>
          <w:b/>
          <w:bCs/>
        </w:rPr>
        <w:t xml:space="preserve">Figure </w:t>
      </w:r>
      <w:hyperlink w:anchor="LIFT_Soybean_Method">
        <w:r>
          <w:rPr>
            <w:rStyle w:val="Style"/>
            <w:b/>
            <w:bCs/>
          </w:rPr>
          <w:t>1</w:t>
        </w:r>
      </w:hyperlink>
      <w:r>
        <w:rPr/>
        <w:t>, including an image of the instrument in operation (</w:t>
      </w:r>
      <w:r>
        <w:rPr>
          <w:b/>
          <w:bCs/>
        </w:rPr>
        <w:t xml:space="preserve">Figure </w:t>
      </w:r>
      <w:hyperlink w:anchor="LIFT_Soybean_Method">
        <w:r>
          <w:rPr>
            <w:rStyle w:val="Style"/>
            <w:b/>
            <w:bCs/>
          </w:rPr>
          <w:t>1</w:t>
        </w:r>
      </w:hyperlink>
      <w:r>
        <w:rPr>
          <w:b/>
          <w:bCs/>
        </w:rPr>
        <w:t>A</w:t>
      </w:r>
      <w:r>
        <w:rPr/>
        <w:t>), ChlF induction kinetics across 12 soybean genotypes (</w:t>
      </w:r>
      <w:r>
        <w:rPr>
          <w:b/>
          <w:bCs/>
        </w:rPr>
        <w:t xml:space="preserve">Figure </w:t>
      </w:r>
      <w:hyperlink w:anchor="LIFT_Soybean_Method">
        <w:r>
          <w:rPr>
            <w:rStyle w:val="Style"/>
            <w:b/>
            <w:bCs/>
          </w:rPr>
          <w:t>1</w:t>
        </w:r>
      </w:hyperlink>
      <w:r>
        <w:rPr>
          <w:b/>
          <w:bCs/>
        </w:rPr>
        <w:t>B</w:t>
      </w:r>
      <w:r>
        <w:rPr/>
        <w:t>), and corresponding spectral reflectance curves (</w:t>
      </w:r>
      <w:r>
        <w:rPr>
          <w:b/>
          <w:bCs/>
        </w:rPr>
        <w:t xml:space="preserve">Figure </w:t>
      </w:r>
      <w:hyperlink w:anchor="LIFT_Soybean_Method">
        <w:r>
          <w:rPr>
            <w:rStyle w:val="Style"/>
            <w:b/>
            <w:bCs/>
          </w:rPr>
          <w:t>1</w:t>
        </w:r>
      </w:hyperlink>
      <w:r>
        <w:rPr>
          <w:b/>
          <w:bCs/>
        </w:rPr>
        <w:t>C</w:t>
      </w:r>
      <w:r>
        <w:rPr/>
        <w:t>).</w:t>
      </w:r>
    </w:p>
    <w:p>
      <w:pPr>
        <w:pStyle w:val="Normal"/>
        <w:rPr/>
      </w:pPr>
      <w:r>
        <w:rPr/>
      </w:r>
    </w:p>
    <w:p>
      <w:pPr>
        <w:pStyle w:val="BodyText"/>
        <w:spacing w:before="0" w:after="0"/>
        <w:rPr/>
      </w:pPr>
      <w:r>
        <w:rPr/>
        <w:t xml:space="preserve">The georeferenced data revealed pronounced spatial variation in both </w:t>
      </w:r>
      <w:r>
        <w:rPr>
          <w:i/>
          <w:iCs/>
        </w:rPr>
        <w:t>F</w:t>
      </w:r>
      <w:r>
        <w:rPr>
          <w:i/>
          <w:iCs/>
          <w:vertAlign w:val="subscript"/>
        </w:rPr>
        <w:t>q</w:t>
      </w:r>
      <w:r>
        <w:rPr/>
        <w:t>′/</w:t>
      </w:r>
      <w:r>
        <w:rPr>
          <w:i/>
          <w:iCs/>
        </w:rPr>
        <w:t>F</w:t>
      </w:r>
      <w:r>
        <w:rPr>
          <w:i/>
          <w:iCs/>
          <w:vertAlign w:val="subscript"/>
        </w:rPr>
        <w:t>m</w:t>
      </w:r>
      <w:r>
        <w:rPr/>
        <w:t>′ and NDVI across the two experimental fields (</w:t>
      </w:r>
      <w:r>
        <w:rPr>
          <w:b/>
          <w:bCs/>
        </w:rPr>
        <w:t xml:space="preserve">Figure </w:t>
      </w:r>
      <w:hyperlink w:anchor="LIFT_GPS">
        <w:r>
          <w:rPr>
            <w:rStyle w:val="Style"/>
            <w:b/>
            <w:bCs/>
          </w:rPr>
          <w:t>2</w:t>
        </w:r>
      </w:hyperlink>
      <w:r>
        <w:rPr/>
        <w:t>). These spatial patterns were partly associated with the robot's driving direction (</w:t>
      </w:r>
      <w:r>
        <w:rPr>
          <w:b/>
          <w:bCs/>
        </w:rPr>
        <w:t>Figure 3</w:t>
      </w:r>
      <w:r>
        <w:rPr/>
        <w:t>), which was therefore accounted for in subsequent modeling to reduce the potential effects of shading on the target leaves.</w:t>
      </w:r>
    </w:p>
    <w:p>
      <w:pPr>
        <w:pStyle w:val="BodyText"/>
        <w:spacing w:before="0" w:after="0"/>
        <w:rPr/>
      </w:pPr>
      <w:r>
        <w:rPr/>
      </w:r>
    </w:p>
    <w:p>
      <w:pPr>
        <w:pStyle w:val="BodyText"/>
        <w:spacing w:before="0" w:after="0"/>
        <w:rPr/>
      </w:pPr>
      <w:r>
        <w:rPr/>
        <w:t xml:space="preserve">Linear mixed-effects modeling of </w:t>
      </w:r>
      <w:r>
        <w:rPr>
          <w:i/>
          <w:iCs/>
        </w:rPr>
        <w:t>F</w:t>
      </w:r>
      <w:r>
        <w:rPr>
          <w:i/>
          <w:iCs/>
          <w:vertAlign w:val="subscript"/>
        </w:rPr>
        <w:t>q</w:t>
      </w:r>
      <w:r>
        <w:rPr/>
        <w:t>′/</w:t>
      </w:r>
      <w:r>
        <w:rPr>
          <w:i/>
          <w:iCs/>
        </w:rPr>
        <w:t>F</w:t>
      </w:r>
      <w:r>
        <w:rPr>
          <w:i/>
          <w:iCs/>
          <w:vertAlign w:val="subscript"/>
        </w:rPr>
        <w:t>m</w:t>
      </w:r>
      <w:r>
        <w:rPr/>
        <w:t>′ responses to incident PPFR (</w:t>
      </w:r>
      <w:r>
        <w:rPr>
          <w:b/>
          <w:bCs/>
        </w:rPr>
        <w:t xml:space="preserve">Figure </w:t>
      </w:r>
      <w:hyperlink w:anchor="fig%252525252525253Alift_soybean_trends">
        <w:r>
          <w:rPr>
            <w:rStyle w:val="Style"/>
            <w:b/>
            <w:bCs/>
          </w:rPr>
          <w:t>4</w:t>
        </w:r>
      </w:hyperlink>
      <w:r>
        <w:rPr>
          <w:b/>
          <w:bCs/>
        </w:rPr>
        <w:t>A</w:t>
      </w:r>
      <w:r>
        <w:rPr/>
        <w:t>) explained a substantial proportion of the variance (</w:t>
      </w:r>
      <w:r>
        <w:rPr/>
      </w:r>
      <m:oMath xmlns:m="http://schemas.openxmlformats.org/officeDocument/2006/math">
        <m:sSubSup>
          <m:e>
            <m:r>
              <m:rPr>
                <m:lit/>
                <m:nor/>
              </m:rPr>
              <w:rPr>
                <w:rFonts w:ascii="Cambria Math" w:hAnsi="Cambria Math"/>
              </w:rPr>
              <m:t xml:space="preserve">R</m:t>
            </m:r>
          </m:e>
          <m:sub>
            <m:r>
              <m:rPr>
                <m:lit/>
                <m:nor/>
              </m:rPr>
              <w:rPr>
                <w:rFonts w:ascii="Cambria Math" w:hAnsi="Cambria Math"/>
              </w:rPr>
              <m:t xml:space="preserve">m</m:t>
            </m:r>
          </m:sub>
          <m:sup>
            <m:r>
              <m:rPr>
                <m:lit/>
                <m:nor/>
              </m:rPr>
              <w:rPr>
                <w:rFonts w:ascii="Cambria Math" w:hAnsi="Cambria Math"/>
              </w:rPr>
              <m:t xml:space="preserve">2</m:t>
            </m:r>
          </m:sup>
        </m:sSubSup>
        <m:r>
          <m:rPr>
            <m:lit/>
            <m:nor/>
          </m:rPr>
          <w:rPr>
            <w:rFonts w:ascii="Cambria Math" w:hAnsi="Cambria Math"/>
          </w:rPr>
          <m:t xml:space="preserve">=</m:t>
        </m:r>
        <m:r>
          <w:rPr>
            <w:rFonts w:ascii="Cambria Math" w:hAnsi="Cambria Math"/>
          </w:rPr>
          <m:t xml:space="preserve">0.45</m:t>
        </m:r>
      </m:oMath>
      <w:r>
        <w:rPr/>
        <w:t xml:space="preserve">, </w:t>
      </w:r>
      <w:r>
        <w:rPr/>
      </w:r>
      <m:oMath xmlns:m="http://schemas.openxmlformats.org/officeDocument/2006/math">
        <m:sSubSup>
          <m:e>
            <m:r>
              <m:rPr>
                <m:lit/>
                <m:nor/>
              </m:rPr>
              <w:rPr>
                <w:rFonts w:ascii="Cambria Math" w:hAnsi="Cambria Math"/>
              </w:rPr>
              <m:t xml:space="preserve">R</m:t>
            </m:r>
          </m:e>
          <m:sub>
            <m:r>
              <m:rPr>
                <m:lit/>
                <m:nor/>
              </m:rPr>
              <w:rPr>
                <w:rFonts w:ascii="Cambria Math" w:hAnsi="Cambria Math"/>
              </w:rPr>
              <m:t xml:space="preserve">c</m:t>
            </m:r>
          </m:sub>
          <m:sup>
            <m:r>
              <m:rPr>
                <m:lit/>
                <m:nor/>
              </m:rPr>
              <w:rPr>
                <w:rFonts w:ascii="Cambria Math" w:hAnsi="Cambria Math"/>
              </w:rPr>
              <m:t xml:space="preserve">2</m:t>
            </m:r>
          </m:sup>
        </m:sSubSup>
        <m:r>
          <m:rPr>
            <m:lit/>
            <m:nor/>
          </m:rPr>
          <w:rPr>
            <w:rFonts w:ascii="Cambria Math" w:hAnsi="Cambria Math"/>
          </w:rPr>
          <m:t xml:space="preserve">=</m:t>
        </m:r>
        <m:r>
          <m:rPr>
            <m:lit/>
            <m:nor/>
          </m:rPr>
          <w:rPr>
            <w:rFonts w:ascii="Cambria Math" w:hAnsi="Cambria Math"/>
          </w:rPr>
          <m:t xml:space="preserve">0.60</m:t>
        </m:r>
      </m:oMath>
      <w:r>
        <w:rPr/>
        <w:t>). The extracted genotype-specific slopes (Response G: PPFR) showed clear differences among breeding lines (</w:t>
      </w:r>
      <w:r>
        <w:rPr>
          <w:b/>
          <w:bCs/>
        </w:rPr>
        <w:t xml:space="preserve">Figure </w:t>
      </w:r>
      <w:hyperlink w:anchor="fig%252525252525253Alift_soybean_trends">
        <w:r>
          <w:rPr>
            <w:rStyle w:val="Style"/>
            <w:b/>
            <w:bCs/>
          </w:rPr>
          <w:t>4</w:t>
        </w:r>
      </w:hyperlink>
      <w:r>
        <w:rPr>
          <w:b/>
          <w:bCs/>
        </w:rPr>
        <w:t>B</w:t>
      </w:r>
      <w:r>
        <w:rPr/>
        <w:t>), with several lines exhibiting steeper or flatter response curves compared to the panel average (</w:t>
      </w:r>
      <w:r>
        <w:rPr>
          <w:b/>
          <w:bCs/>
        </w:rPr>
        <w:t xml:space="preserve">Figure </w:t>
      </w:r>
      <w:hyperlink w:anchor="fig%252525252525253Alift_soybean_trends">
        <w:r>
          <w:rPr>
            <w:rStyle w:val="Style"/>
            <w:b/>
            <w:bCs/>
          </w:rPr>
          <w:t>4</w:t>
        </w:r>
      </w:hyperlink>
      <w:r>
        <w:rPr>
          <w:b/>
          <w:bCs/>
        </w:rPr>
        <w:t>C</w:t>
      </w:r>
      <w:r>
        <w:rPr/>
        <w:t>).</w:t>
      </w:r>
    </w:p>
    <w:p>
      <w:pPr>
        <w:pStyle w:val="BodyText"/>
        <w:spacing w:before="0" w:after="0"/>
        <w:rPr/>
      </w:pPr>
      <w:r>
        <w:rPr/>
      </w:r>
    </w:p>
    <w:p>
      <w:pPr>
        <w:pStyle w:val="BodyText"/>
        <w:spacing w:before="0" w:after="0"/>
        <w:rPr/>
      </w:pPr>
      <w:r>
        <w:rPr/>
        <w:t>Finally, canopy-level 3D reconstructions derived from RGB imaging and the Matching And Stereo 3D Reconstruction (</w:t>
      </w:r>
      <w:r>
        <w:rPr>
          <w:rStyle w:val="Strong"/>
          <w:b w:val="false"/>
          <w:bCs w:val="false"/>
        </w:rPr>
        <w:t>MASt3R</w:t>
      </w:r>
      <w:r>
        <w:rPr/>
        <w:t>) algorithm</w:t>
      </w:r>
      <w:r>
        <w:rPr>
          <w:vertAlign w:val="superscript"/>
        </w:rPr>
        <w:t>36</w:t>
      </w:r>
      <w:r>
        <w:rPr/>
        <w:t xml:space="preserve"> (</w:t>
      </w:r>
      <w:r>
        <w:rPr>
          <w:b/>
          <w:bCs/>
        </w:rPr>
        <w:t xml:space="preserve">Figure </w:t>
      </w:r>
      <w:hyperlink w:anchor="fig%252525252525253A3d_canopy">
        <w:r>
          <w:rPr>
            <w:rStyle w:val="Style"/>
            <w:b/>
            <w:bCs/>
          </w:rPr>
          <w:t>5</w:t>
        </w:r>
      </w:hyperlink>
      <w:r>
        <w:rPr/>
        <w:t>) demonstrated the potential of integrating LIFT-based physiological measurements with structural phenotyping to capture canopy architecture in three dimensions.</w:t>
      </w:r>
    </w:p>
    <w:p>
      <w:pPr>
        <w:pStyle w:val="Normal"/>
        <w:rPr/>
      </w:pPr>
      <w:r>
        <w:rPr/>
      </w:r>
    </w:p>
    <w:p>
      <w:pPr>
        <w:pStyle w:val="Normal"/>
        <w:rPr>
          <w:u w:val="single"/>
        </w:rPr>
      </w:pPr>
      <w:r>
        <w:rPr>
          <w:b/>
        </w:rPr>
        <w:t>FIGURE AND TABLE LEGENDS:</w:t>
      </w:r>
    </w:p>
    <w:p>
      <w:pPr>
        <w:pStyle w:val="Normal"/>
        <w:rPr/>
      </w:pPr>
      <w:r>
        <w:rPr>
          <w:b/>
          <w:bCs/>
        </w:rPr>
        <w:t>Figure 1:</w:t>
      </w:r>
      <w:r>
        <w:rPr/>
        <w:t xml:space="preserve"> </w:t>
      </w:r>
      <w:r>
        <w:rPr>
          <w:b/>
          <w:bCs/>
        </w:rPr>
        <w:t>Overview of light-induced fluorescence transient (LIFT) and spectral reflectance measurements for soybean genotypes.</w:t>
      </w:r>
      <w:r>
        <w:rPr/>
        <w:t xml:space="preserve"> (</w:t>
      </w:r>
      <w:r>
        <w:rPr>
          <w:b/>
          <w:bCs/>
        </w:rPr>
        <w:t>A</w:t>
      </w:r>
      <w:r>
        <w:rPr/>
        <w:t>) Example image of the LIFT device in operation. The inlet shows the blue excitation beam to induce chlorophyll fluorescence (ChlF). (</w:t>
      </w:r>
      <w:r>
        <w:rPr>
          <w:b/>
          <w:bCs/>
        </w:rPr>
        <w:t>B</w:t>
      </w:r>
      <w:r>
        <w:rPr/>
        <w:t xml:space="preserve">) Transient ChlF induction curves measured on 27 June 2025 for 12 soybean genotypes </w:t>
      </w:r>
      <w:bookmarkStart w:id="23" w:name="_Hlk211497912"/>
      <w:r>
        <w:rPr/>
        <w:t>(mean ± SD</w:t>
      </w:r>
      <w:bookmarkStart w:id="24" w:name="_Hlk212451041"/>
      <w:r>
        <w:rPr/>
        <w:t>, n between 88 and 553 per genotype, n</w:t>
      </w:r>
      <w:r>
        <w:rPr>
          <w:vertAlign w:val="subscript"/>
        </w:rPr>
        <w:t>total</w:t>
      </w:r>
      <w:r>
        <w:rPr/>
        <w:t xml:space="preserve"> = </w:t>
      </w:r>
      <w:bookmarkEnd w:id="23"/>
      <w:r>
        <w:rPr/>
        <w:t>2,035</w:t>
      </w:r>
      <w:bookmarkEnd w:id="24"/>
      <w:r>
        <w:rPr/>
        <w:t>). (</w:t>
      </w:r>
      <w:r>
        <w:rPr>
          <w:b/>
          <w:bCs/>
        </w:rPr>
        <w:t>C</w:t>
      </w:r>
      <w:r>
        <w:rPr/>
        <w:t>) Corresponding leaf reflectance spectra measured on 25 June 2025 for the same genotypes (mean ± SE, n</w:t>
      </w:r>
      <w:r>
        <w:rPr>
          <w:vertAlign w:val="subscript"/>
        </w:rPr>
        <w:t>total</w:t>
      </w:r>
      <w:r>
        <w:rPr/>
        <w:t xml:space="preserve"> = 2,035). Colors indicate individual genotypes; error bars represent variation among replicate measurements. </w:t>
      </w:r>
    </w:p>
    <w:p>
      <w:pPr>
        <w:pStyle w:val="BodyText"/>
        <w:spacing w:before="0" w:after="0"/>
        <w:rPr>
          <w:b/>
          <w:bCs/>
        </w:rPr>
      </w:pPr>
      <w:r>
        <w:rPr>
          <w:b/>
          <w:bCs/>
        </w:rPr>
      </w:r>
    </w:p>
    <w:p>
      <w:pPr>
        <w:pStyle w:val="BodyText"/>
        <w:spacing w:before="0" w:after="0"/>
        <w:rPr/>
      </w:pPr>
      <w:r>
        <w:rPr>
          <w:b/>
          <w:bCs/>
        </w:rPr>
        <w:t>Figure 2:</w:t>
      </w:r>
      <w:r>
        <w:rPr/>
        <w:t xml:space="preserve"> </w:t>
      </w:r>
      <w:r>
        <w:rPr>
          <w:b/>
          <w:bCs/>
        </w:rPr>
        <w:t>Spatial distribution of quantum efficiency of photosystem II and normalized difference vegetation index (NDVI) values.</w:t>
      </w:r>
      <w:r>
        <w:rPr/>
        <w:t xml:space="preserve"> Spatial distribution of (top) quantum efficiency of photosystem II (</w:t>
      </w:r>
      <w:r>
        <w:rPr>
          <w:i/>
          <w:iCs/>
        </w:rPr>
        <w:t>F</w:t>
      </w:r>
      <w:r>
        <w:rPr>
          <w:i/>
          <w:iCs/>
          <w:vertAlign w:val="subscript"/>
        </w:rPr>
        <w:t>q</w:t>
      </w:r>
      <w:r>
        <w:rPr/>
        <w:t>′/</w:t>
      </w:r>
      <w:r>
        <w:rPr>
          <w:i/>
          <w:iCs/>
        </w:rPr>
        <w:t>F</w:t>
      </w:r>
      <w:r>
        <w:rPr>
          <w:i/>
          <w:iCs/>
          <w:vertAlign w:val="subscript"/>
        </w:rPr>
        <w:t>m</w:t>
      </w:r>
      <w:r>
        <w:rPr/>
        <w:t xml:space="preserve">′) and (bottom) normalized difference vegetation index (NDVI) values was measured across two experimental soybean fields comprising 120 plots and 36 breeding lines (n = 58,916). Points represent measurement locations, with colors indicating the observed value and shapes indicating the heading direction of the robot: northwest (NW), northeast (NE), southwest (SW), and southeast (SE)-ward. Black lines delineate field plot boundaries. Black dots represent the global navigation satellite system (GNSS) coordinates of the field robot. </w:t>
      </w:r>
    </w:p>
    <w:p>
      <w:pPr>
        <w:pStyle w:val="BodyText"/>
        <w:spacing w:before="0" w:after="0"/>
        <w:rPr>
          <w:b/>
          <w:bCs/>
        </w:rPr>
      </w:pPr>
      <w:r>
        <w:rPr>
          <w:b/>
          <w:bCs/>
        </w:rPr>
      </w:r>
    </w:p>
    <w:p>
      <w:pPr>
        <w:pStyle w:val="BodyText"/>
        <w:spacing w:before="0" w:after="0"/>
        <w:rPr/>
      </w:pPr>
      <w:r>
        <w:rPr>
          <w:b/>
          <w:bCs/>
        </w:rPr>
        <w:t>Figure 3:</w:t>
      </w:r>
      <w:r>
        <w:rPr/>
        <w:t xml:space="preserve"> </w:t>
      </w:r>
      <w:r>
        <w:rPr>
          <w:b/>
          <w:bCs/>
        </w:rPr>
        <w:t>Quantum efficiency of photosystem II.</w:t>
      </w:r>
      <w:r>
        <w:rPr/>
        <w:t xml:space="preserve"> Boxplots show the quantum efficiency of photosystem II (</w:t>
      </w:r>
      <w:r>
        <w:rPr>
          <w:rStyle w:val="Emphasis"/>
        </w:rPr>
        <w:t>F</w:t>
      </w:r>
      <w:r>
        <w:rPr>
          <w:rStyle w:val="Emphasis"/>
          <w:vertAlign w:val="subscript"/>
        </w:rPr>
        <w:t>q</w:t>
      </w:r>
      <w:r>
        <w:rPr>
          <w:rStyle w:val="Emphasis"/>
        </w:rPr>
        <w:t>′/F</w:t>
      </w:r>
      <w:r>
        <w:rPr>
          <w:rStyle w:val="Emphasis"/>
          <w:vertAlign w:val="subscript"/>
        </w:rPr>
        <w:t>m</w:t>
      </w:r>
      <w:r>
        <w:rPr>
          <w:rStyle w:val="Emphasis"/>
        </w:rPr>
        <w:t>′</w:t>
      </w:r>
      <w:r>
        <w:rPr/>
        <w:t xml:space="preserve">) and the logarithm of incident irradiance at 680 nm across measurement hours (9 – 15 h) for both </w:t>
      </w:r>
      <w:r>
        <w:rPr>
          <w:rStyle w:val="Strong"/>
          <w:b w:val="false"/>
          <w:bCs w:val="false"/>
        </w:rPr>
        <w:t>north-east (NE)</w:t>
      </w:r>
      <w:r>
        <w:rPr/>
        <w:t xml:space="preserve">-ward and </w:t>
      </w:r>
      <w:r>
        <w:rPr>
          <w:rStyle w:val="Strong"/>
          <w:b w:val="false"/>
          <w:bCs w:val="false"/>
        </w:rPr>
        <w:t>south-west (SW)</w:t>
      </w:r>
      <w:r>
        <w:rPr/>
        <w:t>-ward rover heading direction (n</w:t>
      </w:r>
      <w:r>
        <w:rPr>
          <w:vertAlign w:val="subscript"/>
        </w:rPr>
        <w:t>NE-ward</w:t>
      </w:r>
      <w:r>
        <w:rPr/>
        <w:t xml:space="preserve"> = 14,339, n</w:t>
      </w:r>
      <w:r>
        <w:rPr>
          <w:vertAlign w:val="subscript"/>
        </w:rPr>
        <w:t>SE-ward</w:t>
      </w:r>
      <w:r>
        <w:rPr/>
        <w:t xml:space="preserve"> = 25,669, n</w:t>
      </w:r>
      <w:r>
        <w:rPr>
          <w:vertAlign w:val="subscript"/>
        </w:rPr>
        <w:t>total</w:t>
      </w:r>
      <w:r>
        <w:rPr/>
        <w:t xml:space="preserve"> = 40,008). The robot was shading the measurement spot while heading SW-ward in the morning and NE-ward in the afternoon. Each box represents the interquartile range (IQR) with the horizontal line and whiskers indicating the median and 1.5 x IQR limits, respectively.</w:t>
      </w:r>
    </w:p>
    <w:p>
      <w:pPr>
        <w:pStyle w:val="BodyText"/>
        <w:spacing w:before="0" w:after="0"/>
        <w:rPr>
          <w:b/>
          <w:bCs/>
        </w:rPr>
      </w:pPr>
      <w:r>
        <w:rPr>
          <w:b/>
          <w:bCs/>
        </w:rPr>
      </w:r>
    </w:p>
    <w:p>
      <w:pPr>
        <w:pStyle w:val="BodyText"/>
        <w:spacing w:before="0" w:after="0"/>
        <w:rPr/>
      </w:pPr>
      <w:r>
        <w:rPr>
          <w:b/>
          <w:bCs/>
        </w:rPr>
        <w:t>Figure 4</w:t>
      </w:r>
      <w:r>
        <w:rPr/>
        <w:t xml:space="preserve">: </w:t>
      </w:r>
      <w:r>
        <w:rPr>
          <w:b/>
          <w:bCs/>
        </w:rPr>
        <w:t>Photosynthetic response slopes</w:t>
      </w:r>
      <w:r>
        <w:rPr/>
        <w:t>. (</w:t>
      </w:r>
      <w:r>
        <w:rPr>
          <w:b/>
          <w:bCs/>
        </w:rPr>
        <w:t>A</w:t>
      </w:r>
      <w:r>
        <w:rPr/>
        <w:t>) Spatial variation in estimated photosynthetic response slopes (interaction between genotype and photosynthetic photon flux rate (G: PPFR)) across two soybean experimental fields, derived from linear mixed-effects modeling. (</w:t>
      </w:r>
      <w:r>
        <w:rPr>
          <w:b/>
          <w:bCs/>
        </w:rPr>
        <w:t>B</w:t>
      </w:r>
      <w:r>
        <w:rPr/>
        <w:t>) Adjusted means and model-estimated photosynthetic response slopes for individual breeding lines, with highlighted genotypes of interest shown in color. (</w:t>
      </w:r>
      <w:r>
        <w:rPr>
          <w:b/>
          <w:bCs/>
        </w:rPr>
        <w:t>C</w:t>
      </w:r>
      <w:r>
        <w:rPr/>
        <w:t>) Relationship between incident PPFR and the quantum efficiency of photosystem II (</w:t>
      </w:r>
      <w:r>
        <w:rPr>
          <w:i/>
          <w:iCs/>
        </w:rPr>
        <w:t>F</w:t>
      </w:r>
      <w:r>
        <w:rPr>
          <w:i/>
          <w:iCs/>
          <w:vertAlign w:val="subscript"/>
        </w:rPr>
        <w:t>q</w:t>
      </w:r>
      <w:r>
        <w:rPr/>
        <w:t>′/</w:t>
      </w:r>
      <w:r>
        <w:rPr>
          <w:i/>
          <w:iCs/>
        </w:rPr>
        <w:t>F</w:t>
      </w:r>
      <w:r>
        <w:rPr>
          <w:i/>
          <w:iCs/>
          <w:vertAlign w:val="subscript"/>
        </w:rPr>
        <w:t>m</w:t>
      </w:r>
      <w:r>
        <w:rPr/>
        <w:t xml:space="preserve">′) for the highlighted genotypes, with fitted square-root regression curves. </w:t>
      </w:r>
    </w:p>
    <w:p>
      <w:pPr>
        <w:pStyle w:val="Normal"/>
        <w:rPr>
          <w:b/>
          <w:bCs/>
        </w:rPr>
      </w:pPr>
      <w:r>
        <w:rPr>
          <w:b/>
          <w:bCs/>
        </w:rPr>
      </w:r>
    </w:p>
    <w:p>
      <w:pPr>
        <w:pStyle w:val="Normal"/>
        <w:rPr/>
      </w:pPr>
      <w:r>
        <w:rPr>
          <w:b/>
          <w:bCs/>
        </w:rPr>
        <w:t>Figure 5</w:t>
      </w:r>
      <w:r>
        <w:rPr/>
        <w:t xml:space="preserve">: </w:t>
      </w:r>
      <w:r>
        <w:rPr>
          <w:b/>
          <w:bCs/>
        </w:rPr>
        <w:t>Canopy architecture measurement by LIFT</w:t>
      </w:r>
      <w:r>
        <w:rPr/>
        <w:t>. The canopy architecture of the soybean variety Gallec is shown. (</w:t>
      </w:r>
      <w:r>
        <w:rPr>
          <w:b/>
          <w:bCs/>
        </w:rPr>
        <w:t>A</w:t>
      </w:r>
      <w:r>
        <w:rPr/>
        <w:t>) The red, green, and blue (RGB) cameras of the light-induced fluorescence transient (LIFT) device acquired images while screening for photosynthesis. (</w:t>
      </w:r>
      <w:r>
        <w:rPr>
          <w:b/>
          <w:bCs/>
        </w:rPr>
        <w:t>B, C</w:t>
      </w:r>
      <w:r>
        <w:rPr/>
        <w:t>) The matching and stereo 3D reconstruction (</w:t>
      </w:r>
      <w:r>
        <w:rPr>
          <w:rStyle w:val="Strong"/>
          <w:b w:val="false"/>
          <w:bCs w:val="false"/>
        </w:rPr>
        <w:t>MASt3R</w:t>
      </w:r>
      <w:r>
        <w:rPr/>
        <w:t>) algorithm</w:t>
      </w:r>
      <w:r>
        <w:rPr>
          <w:vertAlign w:val="superscript"/>
        </w:rPr>
        <w:t>36</w:t>
      </w:r>
      <w:r>
        <w:rPr/>
        <w:t xml:space="preserve"> was used to reconstruct 3D canopy architecture. The pyramids indicate estimated camera positions.</w:t>
      </w:r>
    </w:p>
    <w:p>
      <w:pPr>
        <w:pStyle w:val="Normal"/>
        <w:rPr>
          <w:b/>
        </w:rPr>
      </w:pPr>
      <w:r>
        <w:rPr>
          <w:b/>
        </w:rPr>
      </w:r>
    </w:p>
    <w:p>
      <w:pPr>
        <w:pStyle w:val="Normal"/>
        <w:rPr>
          <w:b/>
        </w:rPr>
      </w:pPr>
      <w:r>
        <w:rPr>
          <w:rFonts w:eastAsia="Cambria" w:eastAsiaTheme="minorHAnsi"/>
          <w:b/>
        </w:rPr>
        <w:t>DISCUSSION:</w:t>
      </w:r>
    </w:p>
    <w:p>
      <w:pPr>
        <w:pStyle w:val="FirstParagraph"/>
        <w:spacing w:before="0" w:after="0"/>
        <w:jc w:val="both"/>
        <w:rPr>
          <w:rFonts w:ascii="Calibri" w:hAnsi="Calibri" w:eastAsia="Calibri" w:cs="Calibri"/>
          <w:b/>
          <w:bCs/>
        </w:rPr>
      </w:pPr>
      <w:r>
        <w:rPr>
          <w:rFonts w:cs="Calibri" w:ascii="Calibri" w:hAnsi="Calibri"/>
          <w:b/>
          <w:bCs/>
        </w:rPr>
        <w:t>Throughput of the method</w:t>
      </w:r>
    </w:p>
    <w:p>
      <w:pPr>
        <w:pStyle w:val="FirstParagraph"/>
        <w:spacing w:before="0" w:after="0"/>
        <w:jc w:val="both"/>
        <w:rPr>
          <w:rFonts w:ascii="Calibri" w:hAnsi="Calibri" w:eastAsia="Calibri" w:cs="Calibri"/>
        </w:rPr>
      </w:pPr>
      <w:r>
        <w:rPr>
          <w:rFonts w:eastAsia="Calibri" w:cs="Calibri" w:ascii="Calibri" w:hAnsi="Calibri"/>
        </w:rPr>
        <w:t>The LIFT method allows for a much greater measuring distance between the sensor and the target leaves than previous gas exchange and PAM-type ChlF measurement devices</w:t>
      </w:r>
      <w:r>
        <w:rPr>
          <w:rFonts w:cs="Calibri" w:ascii="Calibri" w:hAnsi="Calibri"/>
          <w:vertAlign w:val="superscript"/>
        </w:rPr>
        <w:t>18,19</w:t>
      </w:r>
      <w:r>
        <w:rPr>
          <w:rFonts w:eastAsia="Calibri" w:cs="Calibri" w:ascii="Calibri" w:hAnsi="Calibri"/>
        </w:rPr>
        <w:t>, which in turn enables automated high-throughput measurements being conducted both in the field and in indoor environments</w:t>
      </w:r>
      <w:r>
        <w:rPr>
          <w:rFonts w:cs="Calibri" w:ascii="Calibri" w:hAnsi="Calibri"/>
          <w:vertAlign w:val="superscript"/>
        </w:rPr>
        <w:t>12,32,37</w:t>
      </w:r>
      <w:r>
        <w:rPr>
          <w:rFonts w:eastAsia="Calibri" w:cs="Calibri" w:ascii="Calibri" w:hAnsi="Calibri"/>
        </w:rPr>
        <w:t xml:space="preserve"> by eliminating the need for physical interaction with the canopy. The throughput of the method increases with robot driving speed. To ensure accurate measurement of ChlF yield over time, the distance travelled during one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xml:space="preserve">′ measurement must remain negligible compared to the illuminated area diameter (20 mm for the LIFT sensor). When the robot moves during excitation, the illuminated spot also shifts, so that ChlF yield per flashlet decreases, ultimately causing erroneous estimates of </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xml:space="preserve">’ and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xml:space="preserve">′ at excessive speeds. </w:t>
      </w:r>
      <w:bookmarkStart w:id="25" w:name="_Hlk212447816"/>
      <w:bookmarkStart w:id="26" w:name="_Hlk211610392"/>
      <w:r>
        <w:rPr>
          <w:rFonts w:eastAsia="Calibri" w:cs="Calibri" w:ascii="Calibri" w:hAnsi="Calibri"/>
        </w:rPr>
        <w:t xml:space="preserve">At a robot speed of 0.5 m/s, only about 2.4% of the area illuminated by the last excitation flashlet was not already illuminated by the first excitation flashlet, meaning that the systematic measurement error on </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due to the motion of the robot will be numerically negligible</w:t>
      </w:r>
      <w:bookmarkEnd w:id="26"/>
      <w:r>
        <w:rPr>
          <w:rFonts w:eastAsia="Calibri" w:cs="Calibri" w:ascii="Calibri" w:hAnsi="Calibri"/>
        </w:rPr>
        <w:t xml:space="preserve"> (full calculation on GitHub, https://github.com/beat2keller/lift_data_processing).</w:t>
      </w:r>
      <w:bookmarkEnd w:id="25"/>
      <w:r>
        <w:rPr>
          <w:rFonts w:eastAsia="Calibri" w:cs="Calibri" w:ascii="Calibri" w:hAnsi="Calibri"/>
        </w:rPr>
        <w:t xml:space="preserve"> A high-speed optimized LIFT sensor should therefore illuminate a larger area, albeit at the cost of increasing the heterogeneity caused by varying canopy structure. At 0.5 m/s, we measured 300 plots (1.5</w:t>
      </w:r>
      <w:r>
        <w:rPr>
          <w:rFonts w:cs="Calibri" w:ascii="Calibri" w:hAnsi="Calibri"/>
        </w:rPr>
        <w:t xml:space="preserve"> x </w:t>
      </w:r>
      <w:r>
        <w:rPr>
          <w:rFonts w:eastAsia="Calibri" w:cs="Calibri" w:ascii="Calibri" w:hAnsi="Calibri"/>
        </w:rPr>
        <w:t>2 m) per hour on a 40 x 36 m field, corresponding to several thousand plots per day. Moreover, the relatively low total weight (200 kg) and compact dimensions of our measuring setup allow transport by light vehicles, facilitating multi-site trials to assess photosynthetic efficiency across environments</w:t>
      </w:r>
      <w:r>
        <w:rPr>
          <w:rFonts w:cs="Calibri" w:ascii="Calibri" w:hAnsi="Calibri"/>
          <w:vertAlign w:val="superscript"/>
        </w:rPr>
        <w:t>38</w:t>
      </w:r>
      <w:r>
        <w:rPr>
          <w:rFonts w:eastAsia="Calibri" w:cs="Calibri" w:ascii="Calibri" w:hAnsi="Calibri"/>
        </w:rPr>
        <w:t>.</w:t>
      </w:r>
    </w:p>
    <w:p>
      <w:pPr>
        <w:pStyle w:val="BodyText"/>
        <w:rPr/>
      </w:pPr>
      <w:r>
        <w:rPr/>
      </w:r>
    </w:p>
    <w:p>
      <w:pPr>
        <w:pStyle w:val="FirstParagraph"/>
        <w:spacing w:before="0" w:after="0"/>
        <w:jc w:val="both"/>
        <w:rPr>
          <w:rFonts w:ascii="Calibri" w:hAnsi="Calibri" w:eastAsia="Calibri" w:cs="Calibri"/>
        </w:rPr>
      </w:pPr>
      <w:bookmarkStart w:id="27" w:name="leaf-vs.-canopy-photosynthesis"/>
      <w:r>
        <w:rPr>
          <w:rFonts w:cs="Calibri" w:ascii="Calibri" w:hAnsi="Calibri"/>
          <w:b/>
          <w:bCs/>
        </w:rPr>
        <w:t>Leaf versus canopy photosynthesis</w:t>
      </w:r>
    </w:p>
    <w:p>
      <w:pPr>
        <w:pStyle w:val="FirstParagraph"/>
        <w:spacing w:before="0" w:after="0"/>
        <w:jc w:val="both"/>
        <w:rPr>
          <w:rFonts w:ascii="Calibri" w:hAnsi="Calibri" w:eastAsia="Calibri" w:cs="Calibri"/>
        </w:rPr>
      </w:pPr>
      <w:r>
        <w:rPr>
          <w:rFonts w:eastAsia="Calibri" w:cs="Calibri" w:ascii="Calibri" w:hAnsi="Calibri"/>
        </w:rPr>
        <w:t>The LIFT measurements in this method are spatially restricted to the uppermost, sunlit layer of the canopy, which is responsible for about 50% to 70% of total photosynthesis</w:t>
      </w:r>
      <w:r>
        <w:rPr>
          <w:rFonts w:cs="Calibri" w:ascii="Calibri" w:hAnsi="Calibri"/>
          <w:vertAlign w:val="superscript"/>
        </w:rPr>
        <w:t>39</w:t>
      </w:r>
      <w:r>
        <w:rPr>
          <w:rFonts w:eastAsia="Calibri" w:cs="Calibri" w:ascii="Calibri" w:hAnsi="Calibri"/>
        </w:rPr>
        <w:t>. Furthermore, the amount of light each leaf can absorb critically depends on its angle relative to the sun, with more vertical leaves generally increasing leaf area index, enhancing light penetration and canopy photosynthesis</w:t>
      </w:r>
      <w:r>
        <w:rPr>
          <w:rFonts w:cs="Calibri" w:ascii="Calibri" w:hAnsi="Calibri"/>
          <w:vertAlign w:val="superscript"/>
        </w:rPr>
        <w:t>40,41</w:t>
      </w:r>
      <w:r>
        <w:rPr>
          <w:rFonts w:eastAsia="Calibri" w:cs="Calibri" w:ascii="Calibri" w:hAnsi="Calibri"/>
        </w:rPr>
        <w:t>. With the LIFT sensor assembly used in this method, effects of 3D canopy architecture on single-leaf or whole-canopy photosynthesis can be modelled using the reflectance measurements from the spectrometer</w:t>
      </w:r>
      <w:r>
        <w:rPr>
          <w:rFonts w:cs="Calibri" w:ascii="Calibri" w:hAnsi="Calibri"/>
          <w:vertAlign w:val="superscript"/>
        </w:rPr>
        <w:t>28</w:t>
      </w:r>
      <w:r>
        <w:rPr>
          <w:rFonts w:eastAsia="Calibri" w:cs="Calibri" w:ascii="Calibri" w:hAnsi="Calibri"/>
        </w:rPr>
        <w:t xml:space="preserve"> and/or an explicit reconstruction of 3D canopy geometry</w:t>
      </w:r>
      <w:r>
        <w:rPr>
          <w:rFonts w:cs="Calibri" w:ascii="Calibri" w:hAnsi="Calibri"/>
          <w:vertAlign w:val="superscript"/>
        </w:rPr>
        <w:t>42</w:t>
      </w:r>
      <w:r>
        <w:rPr>
          <w:rFonts w:eastAsia="Calibri" w:cs="Calibri" w:ascii="Calibri" w:hAnsi="Calibri"/>
        </w:rPr>
        <w:t xml:space="preserve"> based on the images of the stereo RGB camera system. New algorithms, such as </w:t>
      </w:r>
      <w:r>
        <w:rPr>
          <w:rStyle w:val="Strong"/>
          <w:rFonts w:eastAsia="Calibri" w:cs="Calibri" w:ascii="Calibri" w:hAnsi="Calibri"/>
          <w:b w:val="false"/>
          <w:bCs w:val="false"/>
        </w:rPr>
        <w:t>MASt3R</w:t>
      </w:r>
      <w:r>
        <w:rPr>
          <w:rFonts w:cs="Calibri" w:ascii="Calibri" w:hAnsi="Calibri"/>
          <w:vertAlign w:val="superscript"/>
        </w:rPr>
        <w:t>36</w:t>
      </w:r>
      <w:r>
        <w:rPr>
          <w:rStyle w:val="Strong"/>
          <w:rFonts w:eastAsia="Calibri" w:cs="Calibri" w:ascii="Calibri" w:hAnsi="Calibri"/>
          <w:b w:val="false"/>
          <w:bCs w:val="false"/>
        </w:rPr>
        <w:t>,</w:t>
      </w:r>
      <w:r>
        <w:rPr>
          <w:rFonts w:eastAsia="Calibri" w:cs="Calibri" w:ascii="Calibri" w:hAnsi="Calibri"/>
        </w:rPr>
        <w:t xml:space="preserve"> learn </w:t>
      </w:r>
      <w:r>
        <w:rPr>
          <w:rStyle w:val="Strong"/>
          <w:rFonts w:eastAsia="Calibri" w:cs="Calibri" w:ascii="Calibri" w:hAnsi="Calibri"/>
          <w:b w:val="false"/>
          <w:bCs w:val="false"/>
        </w:rPr>
        <w:t>dense, geometry-aware feature correspondences</w:t>
      </w:r>
      <w:r>
        <w:rPr>
          <w:rFonts w:eastAsia="Calibri" w:cs="Calibri" w:ascii="Calibri" w:hAnsi="Calibri"/>
        </w:rPr>
        <w:t xml:space="preserve"> using deep transformers, enabling more robust and accurate 3D reconstruction across wide or repetitive regions. However, even without such additional corrections, the usefulness and further development of automated, high-throughput methods, such as the LIFT, to identify more productive and resilient crop varieties has been demonstrated</w:t>
      </w:r>
      <w:r>
        <w:rPr>
          <w:rFonts w:cs="Calibri" w:ascii="Calibri" w:hAnsi="Calibri"/>
          <w:vertAlign w:val="superscript"/>
        </w:rPr>
        <w:t>11,43</w:t>
      </w:r>
      <w:bookmarkEnd w:id="27"/>
      <w:r>
        <w:rPr>
          <w:rFonts w:eastAsia="Calibri" w:cs="Calibri" w:ascii="Calibri" w:hAnsi="Calibri"/>
        </w:rPr>
        <w:t>.</w:t>
      </w:r>
    </w:p>
    <w:p>
      <w:pPr>
        <w:pStyle w:val="BodyText"/>
        <w:rPr/>
      </w:pPr>
      <w:r>
        <w:rPr/>
      </w:r>
    </w:p>
    <w:p>
      <w:pPr>
        <w:pStyle w:val="FirstParagraph"/>
        <w:spacing w:before="0" w:after="0"/>
        <w:jc w:val="both"/>
        <w:rPr>
          <w:rFonts w:ascii="Calibri" w:hAnsi="Calibri" w:cs="Calibri"/>
          <w:b/>
          <w:bCs/>
        </w:rPr>
      </w:pPr>
      <w:r>
        <w:rPr>
          <w:rFonts w:cs="Calibri" w:ascii="Calibri" w:hAnsi="Calibri"/>
          <w:b/>
          <w:bCs/>
        </w:rPr>
        <w:t>Sink limitation</w:t>
      </w:r>
    </w:p>
    <w:p>
      <w:pPr>
        <w:pStyle w:val="FirstParagraph"/>
        <w:spacing w:before="0" w:after="0"/>
        <w:jc w:val="both"/>
        <w:rPr>
          <w:rFonts w:ascii="Calibri" w:hAnsi="Calibri" w:cs="Calibri"/>
        </w:rPr>
      </w:pPr>
      <w:r>
        <w:rPr>
          <w:rFonts w:cs="Calibri" w:ascii="Calibri" w:hAnsi="Calibri"/>
        </w:rPr>
        <w:t>Sink limitation, i.e., active downregulation of photosynthesis due to an inability of the plant to use the amount of photosynthates it could produce</w:t>
      </w:r>
      <w:r>
        <w:rPr>
          <w:rFonts w:cs="Calibri" w:ascii="Calibri" w:hAnsi="Calibri"/>
          <w:vertAlign w:val="superscript"/>
        </w:rPr>
        <w:t>44,45</w:t>
      </w:r>
      <w:r>
        <w:rPr>
          <w:rFonts w:cs="Calibri" w:ascii="Calibri" w:hAnsi="Calibri"/>
        </w:rPr>
        <w:t xml:space="preserve">, can mask differences in </w:t>
      </w:r>
      <w:r>
        <w:rPr>
          <w:rFonts w:cs="Calibri" w:ascii="Calibri" w:hAnsi="Calibri"/>
          <w:i/>
          <w:iCs/>
        </w:rPr>
        <w:t>ε</w:t>
      </w:r>
      <w:r>
        <w:rPr>
          <w:rFonts w:cs="Calibri" w:ascii="Calibri" w:hAnsi="Calibri"/>
          <w:i/>
          <w:iCs/>
          <w:vertAlign w:val="subscript"/>
        </w:rPr>
        <w:t>c</w:t>
      </w:r>
      <w:r>
        <w:rPr>
          <w:rFonts w:cs="Calibri" w:ascii="Calibri" w:hAnsi="Calibri"/>
          <w:i/>
          <w:iCs/>
        </w:rPr>
        <w:t xml:space="preserve"> </w:t>
      </w:r>
      <w:r>
        <w:rPr>
          <w:rFonts w:cs="Calibri" w:ascii="Calibri" w:hAnsi="Calibri"/>
        </w:rPr>
        <w:t>among genotypes. Sink-limited downregulation of photosynthesis likely accentuates with increasing CO</w:t>
      </w:r>
      <w:r>
        <w:rPr>
          <w:rFonts w:cs="Calibri" w:ascii="Calibri" w:hAnsi="Calibri"/>
          <w:vertAlign w:val="subscript"/>
        </w:rPr>
        <w:t>2</w:t>
      </w:r>
      <w:r>
        <w:rPr>
          <w:rFonts w:cs="Calibri" w:ascii="Calibri" w:hAnsi="Calibri"/>
        </w:rPr>
        <w:t xml:space="preserve"> concentration in the atmosphere</w:t>
      </w:r>
      <w:r>
        <w:rPr>
          <w:rFonts w:cs="Calibri" w:ascii="Calibri" w:hAnsi="Calibri"/>
          <w:vertAlign w:val="superscript"/>
        </w:rPr>
        <w:t>45</w:t>
      </w:r>
      <w:r>
        <w:rPr>
          <w:rFonts w:cs="Calibri" w:ascii="Calibri" w:hAnsi="Calibri"/>
        </w:rPr>
        <w:t xml:space="preserve">. This method can detect sink limitation only when it leads to a decrease also in </w:t>
      </w:r>
      <w:r>
        <w:rPr>
          <w:rFonts w:cs="Calibri" w:ascii="Calibri" w:hAnsi="Calibri"/>
          <w:i/>
          <w:iCs/>
        </w:rPr>
        <w:t>F</w:t>
      </w:r>
      <w:r>
        <w:rPr>
          <w:rFonts w:cs="Calibri" w:ascii="Calibri" w:hAnsi="Calibri"/>
          <w:i/>
          <w:iCs/>
          <w:vertAlign w:val="subscript"/>
        </w:rPr>
        <w:t>q</w:t>
      </w:r>
      <w:r>
        <w:rPr>
          <w:rFonts w:cs="Calibri" w:ascii="Calibri" w:hAnsi="Calibri"/>
        </w:rPr>
        <w:t>′/</w:t>
      </w:r>
      <w:r>
        <w:rPr>
          <w:rFonts w:cs="Calibri" w:ascii="Calibri" w:hAnsi="Calibri"/>
          <w:i/>
          <w:iCs/>
        </w:rPr>
        <w:t>F</w:t>
      </w:r>
      <w:r>
        <w:rPr>
          <w:rFonts w:cs="Calibri" w:ascii="Calibri" w:hAnsi="Calibri"/>
          <w:i/>
          <w:iCs/>
          <w:vertAlign w:val="subscript"/>
        </w:rPr>
        <w:t>m</w:t>
      </w:r>
      <w:r>
        <w:rPr>
          <w:rFonts w:cs="Calibri" w:ascii="Calibri" w:hAnsi="Calibri"/>
        </w:rPr>
        <w:t>′; there are indications that this can, in fact, occur</w:t>
      </w:r>
      <w:r>
        <w:rPr>
          <w:rFonts w:cs="Calibri" w:ascii="Calibri" w:hAnsi="Calibri"/>
          <w:vertAlign w:val="superscript"/>
        </w:rPr>
        <w:t>46</w:t>
      </w:r>
      <w:r>
        <w:rPr>
          <w:rFonts w:cs="Calibri" w:ascii="Calibri" w:hAnsi="Calibri"/>
        </w:rPr>
        <w:t>. In any case, the relevance of sink limitation appears to strongly depend on the crop and developmental stage, with wheat during grain filling being much more affected than grain legumes</w:t>
      </w:r>
      <w:r>
        <w:rPr>
          <w:rFonts w:cs="Calibri" w:ascii="Calibri" w:hAnsi="Calibri"/>
          <w:vertAlign w:val="superscript"/>
        </w:rPr>
        <w:t>45</w:t>
      </w:r>
      <w:r>
        <w:rPr>
          <w:rFonts w:cs="Calibri" w:ascii="Calibri" w:hAnsi="Calibri"/>
        </w:rPr>
        <w:t xml:space="preserve"> because the symbiotic N fixation of the latter constitutes a strong additional sink</w:t>
      </w:r>
      <w:r>
        <w:rPr>
          <w:rFonts w:cs="Calibri" w:ascii="Calibri" w:hAnsi="Calibri"/>
          <w:vertAlign w:val="superscript"/>
        </w:rPr>
        <w:t>1,44,46</w:t>
      </w:r>
      <w:r>
        <w:rPr>
          <w:rFonts w:cs="Calibri" w:ascii="Calibri" w:hAnsi="Calibri"/>
        </w:rPr>
        <w:t xml:space="preserve">. If sink limitation is expected to be of high relevance in a specific crop during the time period in which LIFT measurements are performed, further studies are needed to compare the resulting </w:t>
      </w:r>
      <w:r>
        <w:rPr>
          <w:rFonts w:cs="Calibri" w:ascii="Calibri" w:hAnsi="Calibri"/>
          <w:i/>
          <w:iCs/>
        </w:rPr>
        <w:t>F</w:t>
      </w:r>
      <w:r>
        <w:rPr>
          <w:rFonts w:cs="Calibri" w:ascii="Calibri" w:hAnsi="Calibri"/>
          <w:i/>
          <w:iCs/>
          <w:vertAlign w:val="subscript"/>
        </w:rPr>
        <w:t>q</w:t>
      </w:r>
      <w:r>
        <w:rPr>
          <w:rFonts w:cs="Calibri" w:ascii="Calibri" w:hAnsi="Calibri"/>
        </w:rPr>
        <w:t>′/</w:t>
      </w:r>
      <w:r>
        <w:rPr>
          <w:rFonts w:cs="Calibri" w:ascii="Calibri" w:hAnsi="Calibri"/>
          <w:i/>
          <w:iCs/>
        </w:rPr>
        <w:t>F</w:t>
      </w:r>
      <w:r>
        <w:rPr>
          <w:rFonts w:cs="Calibri" w:ascii="Calibri" w:hAnsi="Calibri"/>
          <w:i/>
          <w:iCs/>
          <w:vertAlign w:val="subscript"/>
        </w:rPr>
        <w:t>m</w:t>
      </w:r>
      <w:r>
        <w:rPr>
          <w:rFonts w:cs="Calibri" w:ascii="Calibri" w:hAnsi="Calibri"/>
        </w:rPr>
        <w:t xml:space="preserve">′ values to simultaneously collected gas exchange data and check the validity of the assumption that </w:t>
      </w:r>
      <w:r>
        <w:rPr>
          <w:rFonts w:cs="Calibri" w:ascii="Calibri" w:hAnsi="Calibri"/>
          <w:i/>
          <w:iCs/>
        </w:rPr>
        <w:t>F</w:t>
      </w:r>
      <w:r>
        <w:rPr>
          <w:rFonts w:cs="Calibri" w:ascii="Calibri" w:hAnsi="Calibri"/>
          <w:i/>
          <w:iCs/>
          <w:vertAlign w:val="subscript"/>
        </w:rPr>
        <w:t>q</w:t>
      </w:r>
      <w:r>
        <w:rPr>
          <w:rFonts w:cs="Calibri" w:ascii="Calibri" w:hAnsi="Calibri"/>
        </w:rPr>
        <w:t>′/</w:t>
      </w:r>
      <w:r>
        <w:rPr>
          <w:rFonts w:cs="Calibri" w:ascii="Calibri" w:hAnsi="Calibri"/>
          <w:i/>
          <w:iCs/>
        </w:rPr>
        <w:t>F</w:t>
      </w:r>
      <w:r>
        <w:rPr>
          <w:rFonts w:cs="Calibri" w:ascii="Calibri" w:hAnsi="Calibri"/>
          <w:i/>
          <w:iCs/>
          <w:vertAlign w:val="subscript"/>
        </w:rPr>
        <w:t>m</w:t>
      </w:r>
      <w:r>
        <w:rPr>
          <w:rFonts w:cs="Calibri" w:ascii="Calibri" w:hAnsi="Calibri"/>
        </w:rPr>
        <w:t xml:space="preserve">′ constitutes a good proxy for </w:t>
      </w:r>
      <w:r>
        <w:rPr>
          <w:rFonts w:cs="Calibri" w:ascii="Calibri" w:hAnsi="Calibri"/>
          <w:i/>
          <w:iCs/>
        </w:rPr>
        <w:t>ε</w:t>
      </w:r>
      <w:r>
        <w:rPr>
          <w:rFonts w:cs="Calibri" w:ascii="Calibri" w:hAnsi="Calibri"/>
          <w:i/>
          <w:iCs/>
          <w:vertAlign w:val="subscript"/>
        </w:rPr>
        <w:t>c</w:t>
      </w:r>
      <w:r>
        <w:rPr>
          <w:rFonts w:cs="Calibri" w:ascii="Calibri" w:hAnsi="Calibri"/>
        </w:rPr>
        <w:t>.</w:t>
      </w:r>
    </w:p>
    <w:p>
      <w:pPr>
        <w:pStyle w:val="FirstParagraph"/>
        <w:spacing w:before="0" w:after="0"/>
        <w:jc w:val="both"/>
        <w:rPr>
          <w:rFonts w:ascii="Calibri" w:hAnsi="Calibri" w:cs="Calibri"/>
        </w:rPr>
      </w:pPr>
      <w:r>
        <w:rPr>
          <w:rFonts w:cs="Calibri" w:ascii="Calibri" w:hAnsi="Calibri"/>
        </w:rPr>
      </w:r>
    </w:p>
    <w:p>
      <w:pPr>
        <w:pStyle w:val="FirstParagraph"/>
        <w:spacing w:before="0" w:after="0"/>
        <w:jc w:val="both"/>
        <w:rPr>
          <w:rFonts w:ascii="Calibri" w:hAnsi="Calibri" w:cs="Calibri"/>
          <w:b/>
          <w:bCs/>
        </w:rPr>
      </w:pPr>
      <w:r>
        <w:rPr>
          <w:rFonts w:cs="Calibri" w:ascii="Calibri" w:hAnsi="Calibri"/>
          <w:b/>
          <w:bCs/>
        </w:rPr>
        <w:t>Measurement distance and variability in canopy height</w:t>
      </w:r>
    </w:p>
    <w:p>
      <w:pPr>
        <w:pStyle w:val="FirstParagraph"/>
        <w:spacing w:before="0" w:after="0"/>
        <w:jc w:val="both"/>
        <w:rPr>
          <w:rFonts w:ascii="Calibri" w:hAnsi="Calibri" w:eastAsia="Calibri" w:cs="Calibri"/>
        </w:rPr>
      </w:pPr>
      <w:r>
        <w:rPr>
          <w:rFonts w:eastAsia="Calibri" w:cs="Calibri" w:ascii="Calibri" w:hAnsi="Calibri"/>
        </w:rPr>
        <w:t>The LIFT sensor assembly used in this method is designed to conduct measurements from a distance of approximately 60 cm to the crop canopy</w:t>
      </w:r>
      <w:r>
        <w:rPr>
          <w:rFonts w:cs="Calibri" w:ascii="Calibri" w:hAnsi="Calibri"/>
          <w:vertAlign w:val="superscript"/>
        </w:rPr>
        <w:t>32,47</w:t>
      </w:r>
      <w:r>
        <w:rPr>
          <w:rFonts w:eastAsia="Calibri" w:cs="Calibri" w:ascii="Calibri" w:hAnsi="Calibri"/>
        </w:rPr>
        <w:t xml:space="preserve">. The LIFT sensor used in the method is fairly robust against minor differences in measuring distance, but a larger measuring distance generally appears to result in somewhat smaller values of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w:t>
      </w:r>
      <w:r>
        <w:rPr>
          <w:rFonts w:cs="Calibri" w:ascii="Calibri" w:hAnsi="Calibri"/>
          <w:vertAlign w:val="superscript"/>
        </w:rPr>
        <w:t>47</w:t>
      </w:r>
      <w:r>
        <w:rPr>
          <w:rFonts w:eastAsia="Calibri" w:cs="Calibri" w:ascii="Calibri" w:hAnsi="Calibri"/>
        </w:rPr>
        <w:t xml:space="preserve">. To prevent such bias, we recommend using the response of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xml:space="preserve">′ to PPFR (which is more robust to changes in measurement distance) instead of the absolute values of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as in</w:t>
      </w:r>
      <w:r>
        <w:rPr>
          <w:rFonts w:cs="Calibri" w:ascii="Calibri" w:hAnsi="Calibri"/>
          <w:vertAlign w:val="superscript"/>
        </w:rPr>
        <w:t>12</w:t>
      </w:r>
      <w:r>
        <w:rPr>
          <w:rFonts w:eastAsia="Calibri" w:cs="Calibri" w:ascii="Calibri" w:hAnsi="Calibri"/>
        </w:rPr>
        <w:t xml:space="preserve"> and / or to explicitly account for differences in canopy height during data analysis.</w:t>
      </w:r>
    </w:p>
    <w:p>
      <w:pPr>
        <w:pStyle w:val="BodyText"/>
        <w:rPr/>
      </w:pPr>
      <w:r>
        <w:rPr/>
      </w:r>
    </w:p>
    <w:p>
      <w:pPr>
        <w:pStyle w:val="FirstParagraph"/>
        <w:spacing w:before="0" w:after="0"/>
        <w:jc w:val="both"/>
        <w:rPr>
          <w:rFonts w:ascii="Calibri" w:hAnsi="Calibri" w:cs="Calibri"/>
          <w:b/>
          <w:bCs/>
        </w:rPr>
      </w:pPr>
      <w:r>
        <w:rPr>
          <w:rFonts w:cs="Calibri" w:ascii="Calibri" w:hAnsi="Calibri"/>
          <w:b/>
          <w:bCs/>
        </w:rPr>
        <w:t>Unintended, artificial shading of leaves</w:t>
      </w:r>
    </w:p>
    <w:p>
      <w:pPr>
        <w:pStyle w:val="FirstParagraph"/>
        <w:spacing w:before="0" w:after="0"/>
        <w:jc w:val="both"/>
        <w:rPr>
          <w:rFonts w:ascii="Calibri" w:hAnsi="Calibri" w:eastAsia="Calibri" w:cs="Calibri"/>
        </w:rPr>
      </w:pPr>
      <w:r>
        <w:rPr>
          <w:rFonts w:eastAsia="Calibri" w:cs="Calibri" w:ascii="Calibri" w:hAnsi="Calibri"/>
        </w:rPr>
        <w:t xml:space="preserve">Increased light intensity generally decreases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w:t>
      </w:r>
      <w:r>
        <w:rPr>
          <w:rFonts w:cs="Calibri" w:ascii="Calibri" w:hAnsi="Calibri"/>
          <w:vertAlign w:val="superscript"/>
        </w:rPr>
        <w:t>3,8,12</w:t>
      </w:r>
      <w:r>
        <w:rPr>
          <w:rFonts w:eastAsia="Calibri" w:cs="Calibri" w:ascii="Calibri" w:hAnsi="Calibri"/>
        </w:rPr>
        <w:t>. Thus, unnecessary shading by operators or the measuring setup should be avoided</w:t>
      </w:r>
      <w:r>
        <w:rPr>
          <w:rFonts w:cs="Calibri" w:ascii="Calibri" w:hAnsi="Calibri"/>
          <w:vertAlign w:val="superscript"/>
        </w:rPr>
        <w:t>3, 8, 12</w:t>
      </w:r>
      <w:r>
        <w:rPr>
          <w:rFonts w:eastAsia="Calibri" w:cs="Calibri" w:ascii="Calibri" w:hAnsi="Calibri"/>
        </w:rPr>
        <w:t xml:space="preserve">. </w:t>
      </w:r>
      <w:bookmarkStart w:id="28" w:name="_Hlk211611986"/>
      <w:r>
        <w:rPr>
          <w:rFonts w:eastAsia="Calibri" w:cs="Calibri" w:ascii="Calibri" w:hAnsi="Calibri"/>
        </w:rPr>
        <w:t>To minimize shading from the robot, the driving direction can either be set to prevent it entirely</w:t>
      </w:r>
      <w:r>
        <w:rPr>
          <w:rFonts w:cs="Calibri" w:ascii="Calibri" w:hAnsi="Calibri"/>
          <w:vertAlign w:val="superscript"/>
        </w:rPr>
        <w:t>32</w:t>
      </w:r>
      <w:r>
        <w:rPr>
          <w:rFonts w:eastAsia="Calibri" w:cs="Calibri" w:ascii="Calibri" w:hAnsi="Calibri"/>
        </w:rPr>
        <w:t xml:space="preserve"> (at the cost of reduced throughput due to unproductive return trips), or measurements can be taken in alternating directions and then statistically corrected for shading effects. In this study, the term</w:t>
      </w:r>
      <w:r>
        <w:rPr>
          <w:rFonts w:cs="Calibri" w:ascii="Calibri" w:hAnsi="Calibri"/>
        </w:rPr>
        <w:t xml:space="preserve"> </w:t>
      </w:r>
      <w:r>
        <w:rPr/>
      </w:r>
      <m:oMath xmlns:m="http://schemas.openxmlformats.org/officeDocument/2006/math">
        <m:r>
          <m:rPr>
            <m:lit/>
            <m:nor/>
          </m:rPr>
          <w:rPr>
            <w:rFonts w:ascii="Cambria Math" w:hAnsi="Cambria Math"/>
          </w:rPr>
          <m:t xml:space="preserve">Heading</m:t>
        </m:r>
        <m:r>
          <w:rPr>
            <w:rFonts w:ascii="Cambria Math" w:hAnsi="Cambria Math"/>
          </w:rPr>
          <m:t xml:space="preserve">x</m:t>
        </m:r>
        <m:r>
          <m:rPr>
            <m:lit/>
            <m:nor/>
          </m:rPr>
          <w:rPr>
            <w:rFonts w:ascii="Cambria Math" w:hAnsi="Cambria Math"/>
          </w:rPr>
          <m:t xml:space="preserve">Hour</m:t>
        </m:r>
      </m:oMath>
      <w:r>
        <w:rPr>
          <w:rFonts w:eastAsia="Calibri" w:cs="Calibri" w:ascii="Calibri" w:hAnsi="Calibri"/>
        </w:rPr>
        <w:t xml:space="preserve"> within the statistical model of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(see step 4.3.11) ensures that shading of the target leaves by the robot is accounted for</w:t>
      </w:r>
      <w:bookmarkEnd w:id="28"/>
      <w:r>
        <w:rPr>
          <w:rFonts w:eastAsia="Calibri" w:cs="Calibri" w:ascii="Calibri" w:hAnsi="Calibri"/>
        </w:rPr>
        <w:t>.</w:t>
      </w:r>
    </w:p>
    <w:p>
      <w:pPr>
        <w:pStyle w:val="BodyText"/>
        <w:rPr/>
      </w:pPr>
      <w:r>
        <w:rPr/>
      </w:r>
    </w:p>
    <w:p>
      <w:pPr>
        <w:pStyle w:val="FirstParagraph"/>
        <w:spacing w:before="0" w:after="0"/>
        <w:jc w:val="both"/>
        <w:rPr>
          <w:rFonts w:ascii="Calibri" w:hAnsi="Calibri" w:eastAsia="Calibri" w:cs="Calibri"/>
        </w:rPr>
      </w:pPr>
      <w:bookmarkStart w:id="29" w:name="_Hlk211618611"/>
      <w:bookmarkStart w:id="30" w:name="conclusion"/>
      <w:bookmarkStart w:id="31" w:name="discussion"/>
      <w:r>
        <w:rPr>
          <w:rFonts w:eastAsia="Calibri" w:cs="Calibri" w:ascii="Calibri" w:hAnsi="Calibri"/>
          <w:b/>
          <w:bCs/>
        </w:rPr>
        <w:t>Conclusion</w:t>
      </w:r>
    </w:p>
    <w:p>
      <w:pPr>
        <w:pStyle w:val="FirstParagraph"/>
        <w:spacing w:before="0" w:after="0"/>
        <w:jc w:val="both"/>
        <w:rPr>
          <w:rFonts w:ascii="Calibri" w:hAnsi="Calibri" w:eastAsia="Calibri" w:cs="Calibri"/>
        </w:rPr>
      </w:pPr>
      <w:bookmarkStart w:id="32" w:name="conclusion"/>
      <w:bookmarkStart w:id="33" w:name="discussion"/>
      <w:r>
        <w:rPr>
          <w:rFonts w:eastAsia="Calibri" w:cs="Calibri" w:ascii="Calibri" w:hAnsi="Calibri"/>
        </w:rPr>
        <w:t>In summary, a LIFT sensor mounted on an autonomous robot enables fast and automated measurements of photosynthetic efficiency under field conditions, overcoming throughput limitations of previous approaches. Whereas factors such as canopy structure and sink limitation require careful consideration, our results demonstrate that reliable and scalable photosynthesis screenings in agronomic field trials and plant breeding nurseries are feasible.</w:t>
      </w:r>
      <w:bookmarkEnd w:id="32"/>
      <w:bookmarkEnd w:id="33"/>
      <w:r>
        <w:rPr>
          <w:rFonts w:eastAsia="Calibri" w:cs="Calibri" w:ascii="Calibri" w:hAnsi="Calibri"/>
        </w:rPr>
        <w:t xml:space="preserve"> The ensemble of a high-resolution stereo RGB camera system and the LIFT as a point sensor will allow for a further increase in precision: AI-driven 3D localization of leaves will enable sampling leaves with similar orientation towards the sun and taking genotype-specific leaf inclination into account. From a research perspective, it may be particularly interesting to compare the photosynthesis of genotypes with varying canopy architecture and conduct high-throughput LIFT measurements under free-air CO</w:t>
      </w:r>
      <w:r>
        <w:rPr>
          <w:rFonts w:eastAsia="Calibri" w:cs="Calibri" w:ascii="Calibri" w:hAnsi="Calibri"/>
          <w:vertAlign w:val="subscript"/>
        </w:rPr>
        <w:t>2</w:t>
      </w:r>
      <w:r>
        <w:rPr>
          <w:rFonts w:eastAsia="Calibri" w:cs="Calibri" w:ascii="Calibri" w:hAnsi="Calibri"/>
        </w:rPr>
        <w:t xml:space="preserve"> enrichment (FACE) to better understand how </w:t>
      </w:r>
      <w:r>
        <w:rPr>
          <w:rFonts w:eastAsia="Calibri" w:cs="Calibri" w:ascii="Calibri" w:hAnsi="Calibri"/>
          <w:i/>
          <w:iCs/>
        </w:rPr>
        <w:t>F</w:t>
      </w:r>
      <w:r>
        <w:rPr>
          <w:rFonts w:eastAsia="Calibri" w:cs="Calibri" w:ascii="Calibri" w:hAnsi="Calibri"/>
          <w:i/>
          <w:iCs/>
          <w:vertAlign w:val="subscript"/>
        </w:rPr>
        <w:t>q</w:t>
      </w:r>
      <w:r>
        <w:rPr>
          <w:rFonts w:eastAsia="Calibri" w:cs="Calibri" w:ascii="Calibri" w:hAnsi="Calibri"/>
        </w:rPr>
        <w:t>′/</w:t>
      </w:r>
      <w:r>
        <w:rPr>
          <w:rFonts w:eastAsia="Calibri" w:cs="Calibri" w:ascii="Calibri" w:hAnsi="Calibri"/>
          <w:i/>
          <w:iCs/>
        </w:rPr>
        <w:t>F</w:t>
      </w:r>
      <w:r>
        <w:rPr>
          <w:rFonts w:eastAsia="Calibri" w:cs="Calibri" w:ascii="Calibri" w:hAnsi="Calibri"/>
          <w:i/>
          <w:iCs/>
          <w:vertAlign w:val="subscript"/>
        </w:rPr>
        <w:t>m</w:t>
      </w:r>
      <w:r>
        <w:rPr>
          <w:rFonts w:eastAsia="Calibri" w:cs="Calibri" w:ascii="Calibri" w:hAnsi="Calibri"/>
        </w:rPr>
        <w:t>′ is affected by processes downstream of PS II under field conditi</w:t>
      </w:r>
      <w:bookmarkEnd w:id="29"/>
      <w:r>
        <w:rPr>
          <w:rFonts w:eastAsia="Calibri" w:cs="Calibri" w:ascii="Calibri" w:hAnsi="Calibri"/>
        </w:rPr>
        <w:t>ons and potential sink limitations. In practical application, screening for photosynthetic performance and stress tolerance in breeding nurseries up to the farmer’s field for precision farming applications has great potential.</w:t>
      </w:r>
    </w:p>
    <w:p>
      <w:pPr>
        <w:pStyle w:val="Normal"/>
        <w:rPr/>
      </w:pPr>
      <w:r>
        <w:rPr/>
      </w:r>
    </w:p>
    <w:p>
      <w:pPr>
        <w:pStyle w:val="Normal"/>
        <w:rPr/>
      </w:pPr>
      <w:r>
        <w:rPr>
          <w:b/>
        </w:rPr>
        <w:t xml:space="preserve">ACKNOWLEDGMENTS: </w:t>
      </w:r>
    </w:p>
    <w:p>
      <w:pPr>
        <w:pStyle w:val="FirstParagraph"/>
        <w:spacing w:before="0" w:after="0"/>
        <w:jc w:val="both"/>
        <w:rPr>
          <w:rFonts w:ascii="Calibri" w:hAnsi="Calibri" w:cs="Calibri"/>
        </w:rPr>
      </w:pPr>
      <w:bookmarkStart w:id="34" w:name="acknowledgments"/>
      <w:r>
        <w:rPr>
          <w:rFonts w:cs="Calibri" w:ascii="Calibri" w:hAnsi="Calibri"/>
        </w:rPr>
        <w:t>We thank Caterra AG for providing the robot chassis, associated technical support, and help with its conversion for our measurements. We thank Nicola Storni from the Crop Science research group of the Swiss Federal Institute of Technology Zurich for his support with setting up the GNSS position logging system on the robot. Special thanks are due to Christoph Barendregt from DSP Delley Seeds and Claude-Alain Bétrix from Agroscope for providing plant material from the Agroscope/DSP partnership for the trials within the PhenoSoy project, which was funded by the Federal Office for Agriculture (FOAG). The method was developed within the project Increasing sustainability and nitrogen use efficiency by improving peas for crop rotation (ECOPRot) funded by the ETH World Food System center through a donation from Bayer AG and an ETH Zurich Career Seed Award</w:t>
      </w:r>
      <w:bookmarkEnd w:id="34"/>
      <w:r>
        <w:rPr>
          <w:rFonts w:cs="Calibri" w:ascii="Calibri" w:hAnsi="Calibri"/>
        </w:rPr>
        <w:t>.</w:t>
      </w:r>
    </w:p>
    <w:p>
      <w:pPr>
        <w:pStyle w:val="BodyText"/>
        <w:rPr/>
      </w:pPr>
      <w:r>
        <w:rPr/>
      </w:r>
    </w:p>
    <w:p>
      <w:pPr>
        <w:pStyle w:val="Normal"/>
        <w:rPr/>
      </w:pPr>
      <w:r>
        <w:rPr>
          <w:b/>
        </w:rPr>
        <w:t xml:space="preserve">DISCLOSURES: </w:t>
      </w:r>
    </w:p>
    <w:p>
      <w:pPr>
        <w:pStyle w:val="Normal"/>
        <w:rPr/>
      </w:pPr>
      <w:bookmarkStart w:id="35" w:name="disclosures"/>
      <w:r>
        <w:rPr/>
        <w:t>The robot used in this study was developed by Caterra AG, a company that originated from the ETH Zurich Crop Science research group, to which most of the authors of the present paper are affiliated. The authors, however, are not directly involved in the development of the robot and declare no additional competing interests.</w:t>
      </w:r>
      <w:bookmarkEnd w:id="35"/>
    </w:p>
    <w:p>
      <w:pPr>
        <w:pStyle w:val="Normal"/>
        <w:rPr/>
      </w:pPr>
      <w:r>
        <w:rPr/>
      </w:r>
    </w:p>
    <w:p>
      <w:pPr>
        <w:pStyle w:val="Normal"/>
        <w:rPr>
          <w:b/>
        </w:rPr>
      </w:pPr>
      <w:r>
        <w:rPr>
          <w:b/>
        </w:rPr>
        <w:t>REFERENCES:</w:t>
      </w:r>
    </w:p>
    <w:p>
      <w:pPr>
        <w:pStyle w:val="Bibliography"/>
        <w:ind w:hanging="0" w:left="0"/>
        <w:rPr/>
      </w:pPr>
      <w:r>
        <w:rPr/>
        <w:t>1.</w:t>
        <w:tab/>
        <w:t>Lüscher, A., Hartwig, U. A., Suter, D., Nösberger, J. Direct evidence that symbiotic N</w:t>
      </w:r>
      <w:r>
        <w:rPr>
          <w:vertAlign w:val="subscript"/>
        </w:rPr>
        <w:t>2</w:t>
      </w:r>
      <w:r>
        <w:rPr/>
        <w:t xml:space="preserve"> fixation in fertile grassland is an important trait for a strong response of plants to elevated atmospheric CO2. </w:t>
      </w:r>
      <w:r>
        <w:rPr>
          <w:i/>
          <w:iCs/>
        </w:rPr>
        <w:t>Global Change Biol</w:t>
      </w:r>
      <w:r>
        <w:rPr/>
        <w:t xml:space="preserve">. </w:t>
      </w:r>
      <w:r>
        <w:rPr>
          <w:b/>
          <w:bCs/>
        </w:rPr>
        <w:t>6</w:t>
      </w:r>
      <w:r>
        <w:rPr/>
        <w:t xml:space="preserve"> (6), 655–662 (2000).</w:t>
      </w:r>
    </w:p>
    <w:p>
      <w:pPr>
        <w:pStyle w:val="Bibliography"/>
        <w:ind w:hanging="0" w:left="0"/>
        <w:rPr/>
      </w:pPr>
      <w:r>
        <w:rPr/>
        <w:t>2.</w:t>
        <w:tab/>
        <w:t>Dong, Y., Wang, Z., Sun, H., Yang, W., Xu, H. The Response Patterns of Arbuscular Mycorrhizal and Ectomycorrhizal Symbionts Under Elevated CO</w:t>
      </w:r>
      <w:r>
        <w:rPr>
          <w:vertAlign w:val="subscript"/>
        </w:rPr>
        <w:t>2</w:t>
      </w:r>
      <w:r>
        <w:rPr/>
        <w:t xml:space="preserve">: A Meta-Analysis. </w:t>
      </w:r>
      <w:r>
        <w:rPr>
          <w:i/>
          <w:iCs/>
        </w:rPr>
        <w:t>Front Microbiol</w:t>
      </w:r>
      <w:r>
        <w:rPr/>
        <w:t xml:space="preserve">. </w:t>
      </w:r>
      <w:r>
        <w:rPr>
          <w:b/>
          <w:bCs/>
        </w:rPr>
        <w:t>9</w:t>
      </w:r>
      <w:r>
        <w:rPr/>
        <w:t>, 1248 (2018).</w:t>
      </w:r>
    </w:p>
    <w:p>
      <w:pPr>
        <w:pStyle w:val="Bibliography"/>
        <w:ind w:hanging="0" w:left="0"/>
        <w:rPr/>
      </w:pPr>
      <w:r>
        <w:rPr/>
        <w:t>3.</w:t>
        <w:tab/>
        <w:t xml:space="preserve">Zhu, X. G., Long, S. P., Ort, D. R. Improving Photosynthetic Efficiency for Greater Yield. </w:t>
      </w:r>
      <w:r>
        <w:rPr>
          <w:i/>
          <w:iCs/>
        </w:rPr>
        <w:t>Ann Rev Plant Biol</w:t>
      </w:r>
      <w:r>
        <w:rPr/>
        <w:t xml:space="preserve">. </w:t>
      </w:r>
      <w:r>
        <w:rPr>
          <w:b/>
          <w:bCs/>
        </w:rPr>
        <w:t>61</w:t>
      </w:r>
      <w:r>
        <w:rPr/>
        <w:t xml:space="preserve"> (2010), 235–261 (2010).</w:t>
      </w:r>
    </w:p>
    <w:p>
      <w:pPr>
        <w:pStyle w:val="Bibliography"/>
        <w:ind w:hanging="0" w:left="0"/>
        <w:rPr/>
      </w:pPr>
      <w:r>
        <w:rPr/>
        <w:t>4.</w:t>
        <w:tab/>
        <w:t xml:space="preserve">Giunta, F., Pruneddu, G., Motzo, R. Radiation interception and biomass and nitrogen accumulation in different cereal and grain legume species. </w:t>
      </w:r>
      <w:r>
        <w:rPr>
          <w:i/>
          <w:iCs/>
        </w:rPr>
        <w:t>Field Crops Res</w:t>
      </w:r>
      <w:r>
        <w:rPr/>
        <w:t xml:space="preserve">. </w:t>
      </w:r>
      <w:r>
        <w:rPr>
          <w:b/>
          <w:bCs/>
        </w:rPr>
        <w:t>110</w:t>
      </w:r>
      <w:r>
        <w:rPr/>
        <w:t xml:space="preserve"> (1), 76–84 (2009).</w:t>
      </w:r>
    </w:p>
    <w:p>
      <w:pPr>
        <w:pStyle w:val="Bibliography"/>
        <w:ind w:hanging="0" w:left="0"/>
        <w:rPr/>
      </w:pPr>
      <w:r>
        <w:rPr/>
        <w:t>5.</w:t>
        <w:tab/>
        <w:t xml:space="preserve">Long, S. P., Zhu, X. G., Naidu, S. L., Ort, D. R. Can improvement in photosynthesis increase crop yields? </w:t>
      </w:r>
      <w:r>
        <w:rPr>
          <w:i/>
          <w:iCs/>
        </w:rPr>
        <w:t>Plant Cell Environ</w:t>
      </w:r>
      <w:r>
        <w:rPr/>
        <w:t xml:space="preserve">. </w:t>
      </w:r>
      <w:r>
        <w:rPr>
          <w:b/>
          <w:bCs/>
        </w:rPr>
        <w:t>29</w:t>
      </w:r>
      <w:r>
        <w:rPr/>
        <w:t xml:space="preserve"> (3), 315–330 (2006).</w:t>
      </w:r>
    </w:p>
    <w:p>
      <w:pPr>
        <w:pStyle w:val="Bibliography"/>
        <w:ind w:hanging="0" w:left="0"/>
        <w:rPr/>
      </w:pPr>
      <w:r>
        <w:rPr/>
        <w:t>6.</w:t>
        <w:tab/>
        <w:t xml:space="preserve">Furbank, R. T., Sharwood, R., Estavillo, G. M., Silva-Perez, V., Condon, A. G. Photons to food: genetic improvement of cereal crop photosynthesis. </w:t>
      </w:r>
      <w:r>
        <w:rPr>
          <w:i/>
          <w:iCs/>
        </w:rPr>
        <w:t>J Exp Botany</w:t>
      </w:r>
      <w:r>
        <w:rPr/>
        <w:t xml:space="preserve">. </w:t>
      </w:r>
      <w:r>
        <w:rPr>
          <w:b/>
          <w:bCs/>
        </w:rPr>
        <w:t>71</w:t>
      </w:r>
      <w:r>
        <w:rPr/>
        <w:t xml:space="preserve"> (7), 2226–2238 (2020).</w:t>
      </w:r>
    </w:p>
    <w:p>
      <w:pPr>
        <w:pStyle w:val="Bibliography"/>
        <w:ind w:hanging="0" w:left="0"/>
        <w:rPr/>
      </w:pPr>
      <w:r>
        <w:rPr/>
        <w:t>7.</w:t>
        <w:tab/>
        <w:t xml:space="preserve">Zhu, X. G., Long, S. P., Ort, D. R. What is the maximum efficiency with which photosynthesis can convert solar energy into biomass? </w:t>
      </w:r>
      <w:r>
        <w:rPr>
          <w:i/>
          <w:iCs/>
        </w:rPr>
        <w:t>Curr Opin Biotechnol</w:t>
      </w:r>
      <w:r>
        <w:rPr/>
        <w:t xml:space="preserve">. </w:t>
      </w:r>
      <w:r>
        <w:rPr>
          <w:b/>
          <w:bCs/>
        </w:rPr>
        <w:t>19</w:t>
      </w:r>
      <w:r>
        <w:rPr/>
        <w:t xml:space="preserve"> (2), 153–159 (2008).</w:t>
      </w:r>
    </w:p>
    <w:p>
      <w:pPr>
        <w:pStyle w:val="Bibliography"/>
        <w:ind w:hanging="0" w:left="0"/>
        <w:rPr/>
      </w:pPr>
      <w:r>
        <w:rPr/>
        <w:t>8.</w:t>
        <w:tab/>
        <w:t xml:space="preserve">Long, S. P. et al. Into the Shadows and Back into Sunlight: Photosynthesis in Fluctuating Light. </w:t>
      </w:r>
      <w:r>
        <w:rPr>
          <w:i/>
          <w:iCs/>
        </w:rPr>
        <w:t>Ann Rev Plant Biol</w:t>
      </w:r>
      <w:r>
        <w:rPr/>
        <w:t xml:space="preserve">. </w:t>
      </w:r>
      <w:r>
        <w:rPr>
          <w:b/>
          <w:bCs/>
        </w:rPr>
        <w:t>73</w:t>
      </w:r>
      <w:r>
        <w:rPr/>
        <w:t xml:space="preserve"> (2022), 617–648 (2022).</w:t>
      </w:r>
    </w:p>
    <w:p>
      <w:pPr>
        <w:pStyle w:val="Bibliography"/>
        <w:ind w:hanging="0" w:left="0"/>
        <w:rPr/>
      </w:pPr>
      <w:r>
        <w:rPr/>
        <w:t>9.</w:t>
        <w:tab/>
        <w:t xml:space="preserve">Zelitch, I. The Close Relationship Between Net Photosynthesis and Crop Yield. </w:t>
      </w:r>
      <w:r>
        <w:rPr>
          <w:i/>
          <w:iCs/>
        </w:rPr>
        <w:t>BioScience</w:t>
      </w:r>
      <w:r>
        <w:rPr/>
        <w:t xml:space="preserve">. </w:t>
      </w:r>
      <w:r>
        <w:rPr>
          <w:b/>
          <w:bCs/>
        </w:rPr>
        <w:t>32</w:t>
      </w:r>
      <w:r>
        <w:rPr/>
        <w:t xml:space="preserve"> (10), 796–802 (1982).</w:t>
      </w:r>
    </w:p>
    <w:p>
      <w:pPr>
        <w:pStyle w:val="Bibliography"/>
        <w:ind w:hanging="0" w:left="0"/>
        <w:rPr/>
      </w:pPr>
      <w:r>
        <w:rPr/>
        <w:t>10.</w:t>
        <w:tab/>
        <w:t>Poorter, H. et al</w:t>
      </w:r>
      <w:r>
        <w:rPr>
          <w:i/>
          <w:iCs/>
        </w:rPr>
        <w:t>.</w:t>
      </w:r>
      <w:r>
        <w:rPr/>
        <w:t xml:space="preserve"> Pampered inside, pestered outside? Differences and similarities between plants growing in controlled conditions and in the field. </w:t>
      </w:r>
      <w:r>
        <w:rPr>
          <w:i/>
          <w:iCs/>
        </w:rPr>
        <w:t>New Phytol</w:t>
      </w:r>
      <w:r>
        <w:rPr/>
        <w:t xml:space="preserve">. </w:t>
      </w:r>
      <w:r>
        <w:rPr>
          <w:b/>
          <w:bCs/>
        </w:rPr>
        <w:t>212</w:t>
      </w:r>
      <w:r>
        <w:rPr/>
        <w:t xml:space="preserve"> (4), 838–855 (2016).</w:t>
      </w:r>
    </w:p>
    <w:p>
      <w:pPr>
        <w:pStyle w:val="Bibliography"/>
        <w:ind w:hanging="0" w:left="0"/>
        <w:rPr/>
      </w:pPr>
      <w:r>
        <w:rPr/>
        <w:t>11.</w:t>
        <w:tab/>
        <w:t xml:space="preserve">Taylor, S. H. Phenotyping photosynthesis: yes we can. </w:t>
      </w:r>
      <w:r>
        <w:rPr>
          <w:i/>
          <w:iCs/>
        </w:rPr>
        <w:t>J Exp Botany</w:t>
      </w:r>
      <w:r>
        <w:rPr/>
        <w:t xml:space="preserve">. </w:t>
      </w:r>
      <w:r>
        <w:rPr>
          <w:b/>
          <w:bCs/>
        </w:rPr>
        <w:t>75</w:t>
      </w:r>
      <w:r>
        <w:rPr/>
        <w:t xml:space="preserve"> (3), 659–662 (2024).</w:t>
      </w:r>
    </w:p>
    <w:p>
      <w:pPr>
        <w:pStyle w:val="Bibliography"/>
        <w:ind w:hanging="0" w:left="0"/>
        <w:rPr/>
      </w:pPr>
      <w:r>
        <w:rPr/>
        <w:t>12.</w:t>
        <w:tab/>
        <w:t xml:space="preserve">Keller, B. et al. Linking photosynthesis and yield reveals a strategy to improve light use efficiency in a climbing bean breeding population. </w:t>
      </w:r>
      <w:r>
        <w:rPr>
          <w:i/>
          <w:iCs/>
        </w:rPr>
        <w:t>J Exp Botany</w:t>
      </w:r>
      <w:r>
        <w:rPr/>
        <w:t xml:space="preserve">. </w:t>
      </w:r>
      <w:r>
        <w:rPr>
          <w:b/>
          <w:bCs/>
        </w:rPr>
        <w:t>75</w:t>
      </w:r>
      <w:r>
        <w:rPr/>
        <w:t xml:space="preserve"> (3), 901–916 (2024).</w:t>
      </w:r>
    </w:p>
    <w:p>
      <w:pPr>
        <w:pStyle w:val="Bibliography"/>
        <w:ind w:hanging="0" w:left="0"/>
        <w:rPr/>
      </w:pPr>
      <w:r>
        <w:rPr/>
        <w:t>13.</w:t>
        <w:tab/>
        <w:t xml:space="preserve">Ashley, D. A., Boerma, H. R. Canopy Photosynthesis and its Association with Seed Yield in Advanced Generations of a Soybean Cross. </w:t>
      </w:r>
      <w:r>
        <w:rPr>
          <w:i/>
          <w:iCs/>
        </w:rPr>
        <w:t>Crop Sci</w:t>
      </w:r>
      <w:r>
        <w:rPr/>
        <w:t xml:space="preserve">. </w:t>
      </w:r>
      <w:r>
        <w:rPr>
          <w:b/>
          <w:bCs/>
        </w:rPr>
        <w:t>29</w:t>
      </w:r>
      <w:r>
        <w:rPr/>
        <w:t xml:space="preserve"> (4), cropsci1989.0011183X002900040044x (1989).</w:t>
      </w:r>
    </w:p>
    <w:p>
      <w:pPr>
        <w:pStyle w:val="Bibliography"/>
        <w:ind w:hanging="0" w:left="0"/>
        <w:rPr/>
      </w:pPr>
      <w:r>
        <w:rPr/>
        <w:t>14.</w:t>
        <w:tab/>
        <w:t xml:space="preserve">Carmo-Silva, E. et al. Phenotyping of field-grown wheat in the UK highlights contribution of light response of photosynthesis and flag leaf longevity to grain yield. </w:t>
      </w:r>
      <w:r>
        <w:rPr>
          <w:i/>
          <w:iCs/>
        </w:rPr>
        <w:t>J Exp Botany</w:t>
      </w:r>
      <w:r>
        <w:rPr/>
        <w:t xml:space="preserve">. </w:t>
      </w:r>
      <w:r>
        <w:rPr>
          <w:b/>
          <w:bCs/>
        </w:rPr>
        <w:t>68</w:t>
      </w:r>
      <w:r>
        <w:rPr/>
        <w:t xml:space="preserve"> (13), 3473–3486 (2017).</w:t>
      </w:r>
    </w:p>
    <w:p>
      <w:pPr>
        <w:pStyle w:val="Bibliography"/>
        <w:ind w:hanging="0" w:left="0"/>
        <w:rPr/>
      </w:pPr>
      <w:r>
        <w:rPr/>
        <w:t>15.</w:t>
        <w:tab/>
        <w:t xml:space="preserve">Gutiérrez-Rodrı́guez, M., Reynolds, M. P., Larqué-Saavedra, A. Photosynthesis of wheat in a warm, irrigated environment: II. Traits associated with genetic gains in yield. </w:t>
      </w:r>
      <w:r>
        <w:rPr>
          <w:i/>
          <w:iCs/>
        </w:rPr>
        <w:t>Field Crops Res</w:t>
      </w:r>
      <w:r>
        <w:rPr/>
        <w:t xml:space="preserve">. </w:t>
      </w:r>
      <w:r>
        <w:rPr>
          <w:b/>
          <w:bCs/>
        </w:rPr>
        <w:t>66</w:t>
      </w:r>
      <w:r>
        <w:rPr/>
        <w:t xml:space="preserve"> (1), 51–62 (2000).</w:t>
      </w:r>
    </w:p>
    <w:p>
      <w:pPr>
        <w:pStyle w:val="Bibliography"/>
        <w:ind w:hanging="0" w:left="0"/>
        <w:rPr/>
      </w:pPr>
      <w:r>
        <w:rPr/>
        <w:t>16.</w:t>
        <w:tab/>
        <w:t>Lopez, M. A., Xavier, A., Rainey, K. M. Phenotypic Variation and Genetic Architecture for Photosynthesis and Water Use Efficiency in Soybean (</w:t>
      </w:r>
      <w:r>
        <w:rPr>
          <w:i/>
          <w:iCs/>
        </w:rPr>
        <w:t>Glycine max</w:t>
      </w:r>
      <w:r>
        <w:rPr/>
        <w:t xml:space="preserve"> L. Merr). </w:t>
      </w:r>
      <w:r>
        <w:rPr>
          <w:i/>
          <w:iCs/>
        </w:rPr>
        <w:t>Front Plant Sci</w:t>
      </w:r>
      <w:r>
        <w:rPr/>
        <w:t xml:space="preserve">. </w:t>
      </w:r>
      <w:r>
        <w:rPr>
          <w:b/>
          <w:bCs/>
        </w:rPr>
        <w:t>10</w:t>
      </w:r>
      <w:r>
        <w:rPr/>
        <w:t>, 680 (2019).</w:t>
      </w:r>
    </w:p>
    <w:p>
      <w:pPr>
        <w:pStyle w:val="Bibliography"/>
        <w:ind w:hanging="0" w:left="0"/>
        <w:rPr/>
      </w:pPr>
      <w:r>
        <w:rPr/>
        <w:t>17.</w:t>
        <w:tab/>
        <w:t xml:space="preserve">Schreiber, U. Detection of rapid induction kinetics with a new type of high-frequency modulated chlorophyll fluorometer. </w:t>
      </w:r>
      <w:r>
        <w:rPr>
          <w:i/>
          <w:iCs/>
        </w:rPr>
        <w:t>Photosynth Res</w:t>
      </w:r>
      <w:r>
        <w:rPr/>
        <w:t xml:space="preserve">. </w:t>
      </w:r>
      <w:r>
        <w:rPr>
          <w:b/>
          <w:bCs/>
        </w:rPr>
        <w:t>9</w:t>
      </w:r>
      <w:r>
        <w:rPr/>
        <w:t xml:space="preserve"> (1), 261–272 (1986).</w:t>
      </w:r>
    </w:p>
    <w:p>
      <w:pPr>
        <w:pStyle w:val="Bibliography"/>
        <w:ind w:hanging="0" w:left="0"/>
        <w:rPr/>
      </w:pPr>
      <w:r>
        <w:rPr/>
        <w:t>18.</w:t>
        <w:tab/>
        <w:t xml:space="preserve">Kalaji, H. M. et al. Frequently asked questions about in vivo chlorophyll fluorescence: practical issues. </w:t>
      </w:r>
      <w:r>
        <w:rPr>
          <w:i/>
          <w:iCs/>
        </w:rPr>
        <w:t>Photosynth Res</w:t>
      </w:r>
      <w:r>
        <w:rPr/>
        <w:t xml:space="preserve">. </w:t>
      </w:r>
      <w:r>
        <w:rPr>
          <w:b/>
          <w:bCs/>
        </w:rPr>
        <w:t>122</w:t>
      </w:r>
      <w:r>
        <w:rPr/>
        <w:t xml:space="preserve"> (2), 121–158 (2014).</w:t>
      </w:r>
    </w:p>
    <w:p>
      <w:pPr>
        <w:pStyle w:val="Bibliography"/>
        <w:ind w:hanging="0" w:left="0"/>
        <w:rPr/>
      </w:pPr>
      <w:r>
        <w:rPr/>
        <w:t>19.</w:t>
        <w:tab/>
        <w:t xml:space="preserve">Murchie, E. H. et al. Measuring the dynamic photosynthome. </w:t>
      </w:r>
      <w:r>
        <w:rPr>
          <w:i/>
          <w:iCs/>
        </w:rPr>
        <w:t>Ann Botany</w:t>
      </w:r>
      <w:r>
        <w:rPr/>
        <w:t xml:space="preserve">. </w:t>
      </w:r>
      <w:r>
        <w:rPr>
          <w:b/>
          <w:bCs/>
        </w:rPr>
        <w:t>122</w:t>
      </w:r>
      <w:r>
        <w:rPr/>
        <w:t xml:space="preserve"> (2), 207–220 (2018).</w:t>
      </w:r>
    </w:p>
    <w:p>
      <w:pPr>
        <w:pStyle w:val="Bibliography"/>
        <w:ind w:hanging="0" w:left="0"/>
        <w:rPr/>
      </w:pPr>
      <w:r>
        <w:rPr/>
        <w:t>20.</w:t>
        <w:tab/>
        <w:t xml:space="preserve">Kolber, Z. S., Prášil, O., Falkowski, P. G. Measurements of variable chlorophyll fluorescence using fast repetition rate techniques: defining methodology and experimental protocols. </w:t>
      </w:r>
      <w:r>
        <w:rPr>
          <w:i/>
          <w:iCs/>
        </w:rPr>
        <w:t>Biochim Biophys Acta BBA Bioenergetics</w:t>
      </w:r>
      <w:r>
        <w:rPr/>
        <w:t xml:space="preserve">. </w:t>
      </w:r>
      <w:r>
        <w:rPr>
          <w:b/>
          <w:bCs/>
        </w:rPr>
        <w:t>1367</w:t>
      </w:r>
      <w:r>
        <w:rPr/>
        <w:t xml:space="preserve"> (1), 88–106 (1998).</w:t>
      </w:r>
    </w:p>
    <w:p>
      <w:pPr>
        <w:pStyle w:val="Bibliography"/>
        <w:ind w:hanging="0" w:left="0"/>
        <w:rPr/>
      </w:pPr>
      <w:r>
        <w:rPr/>
        <w:t>21.</w:t>
        <w:tab/>
        <w:t xml:space="preserve">Kitajima, M., Butler, W. L. Quenching of chlorophyll fluorescence and primary photochemistry in chloroplasts by dibromothymoquinone. </w:t>
      </w:r>
      <w:r>
        <w:rPr>
          <w:i/>
          <w:iCs/>
        </w:rPr>
        <w:t>Biochim Biophys Acta BBA Bioenergetics</w:t>
      </w:r>
      <w:r>
        <w:rPr/>
        <w:t xml:space="preserve">. </w:t>
      </w:r>
      <w:r>
        <w:rPr>
          <w:b/>
          <w:bCs/>
        </w:rPr>
        <w:t>376</w:t>
      </w:r>
      <w:r>
        <w:rPr/>
        <w:t xml:space="preserve"> (1), 105–115 (1975).</w:t>
      </w:r>
    </w:p>
    <w:p>
      <w:pPr>
        <w:pStyle w:val="Bibliography"/>
        <w:ind w:hanging="0" w:left="0"/>
        <w:rPr/>
      </w:pPr>
      <w:r>
        <w:rPr/>
        <w:t>22.</w:t>
        <w:tab/>
        <w:t xml:space="preserve">Butler, W. L. Energy Distribution in the Photochemical Apparatus of Photosynthesis. </w:t>
      </w:r>
      <w:r>
        <w:rPr>
          <w:i/>
          <w:iCs/>
        </w:rPr>
        <w:t>Ann Rev Plant Biol</w:t>
      </w:r>
      <w:r>
        <w:rPr/>
        <w:t xml:space="preserve">. </w:t>
      </w:r>
      <w:r>
        <w:rPr>
          <w:b/>
          <w:bCs/>
        </w:rPr>
        <w:t>29</w:t>
      </w:r>
      <w:r>
        <w:rPr/>
        <w:t>, 345–378 (1978).</w:t>
      </w:r>
    </w:p>
    <w:p>
      <w:pPr>
        <w:pStyle w:val="Bibliography"/>
        <w:ind w:hanging="0" w:left="0"/>
        <w:rPr/>
      </w:pPr>
      <w:r>
        <w:rPr/>
        <w:t>23.</w:t>
        <w:tab/>
        <w:t>Björkman, O., Demmig, B. Photon yield of O</w:t>
      </w:r>
      <w:r>
        <w:rPr>
          <w:vertAlign w:val="subscript"/>
        </w:rPr>
        <w:t>2</w:t>
      </w:r>
      <w:r>
        <w:rPr/>
        <w:t xml:space="preserve"> evolution and chlorophyll fluorescence characteristics at 77 K among vascular plants of diverse origins. </w:t>
      </w:r>
      <w:r>
        <w:rPr>
          <w:i/>
          <w:iCs/>
        </w:rPr>
        <w:t>Planta</w:t>
      </w:r>
      <w:r>
        <w:rPr/>
        <w:t xml:space="preserve">. </w:t>
      </w:r>
      <w:r>
        <w:rPr>
          <w:b/>
          <w:bCs/>
        </w:rPr>
        <w:t>170</w:t>
      </w:r>
      <w:r>
        <w:rPr/>
        <w:t xml:space="preserve"> (4), 489–504 (1987).</w:t>
      </w:r>
    </w:p>
    <w:p>
      <w:pPr>
        <w:pStyle w:val="Bibliography"/>
        <w:ind w:hanging="0" w:left="0"/>
        <w:rPr/>
      </w:pPr>
      <w:r>
        <w:rPr/>
        <w:t>24.</w:t>
        <w:tab/>
        <w:t xml:space="preserve">Genty, B., Briantais, J. M., Baker, N. R. The relationship between the quantum yield of photosynthetic electron transport and quenching of chlorophyll fluorescence. </w:t>
      </w:r>
      <w:r>
        <w:rPr>
          <w:i/>
          <w:iCs/>
        </w:rPr>
        <w:t>Biochim Biophys Acta BBA General Subjects</w:t>
      </w:r>
      <w:r>
        <w:rPr/>
        <w:t xml:space="preserve">. </w:t>
      </w:r>
      <w:r>
        <w:rPr>
          <w:b/>
          <w:bCs/>
        </w:rPr>
        <w:t>990</w:t>
      </w:r>
      <w:r>
        <w:rPr/>
        <w:t xml:space="preserve"> (1), 87–92 (1989).</w:t>
      </w:r>
    </w:p>
    <w:p>
      <w:pPr>
        <w:pStyle w:val="Bibliography"/>
        <w:ind w:hanging="0" w:left="0"/>
        <w:rPr/>
      </w:pPr>
      <w:r>
        <w:rPr/>
        <w:t>25.</w:t>
        <w:tab/>
        <w:t xml:space="preserve">Maxwell, K., Johnson, G. N. Chlorophyll fluorescence—a practical guide. </w:t>
      </w:r>
      <w:r>
        <w:rPr>
          <w:i/>
          <w:iCs/>
        </w:rPr>
        <w:t>J Exp Botany</w:t>
      </w:r>
      <w:r>
        <w:rPr/>
        <w:t xml:space="preserve">. </w:t>
      </w:r>
      <w:r>
        <w:rPr>
          <w:b/>
          <w:bCs/>
        </w:rPr>
        <w:t>51</w:t>
      </w:r>
      <w:r>
        <w:rPr/>
        <w:t xml:space="preserve"> (345), 659–668 (2000).</w:t>
      </w:r>
    </w:p>
    <w:p>
      <w:pPr>
        <w:pStyle w:val="Bibliography"/>
        <w:ind w:hanging="0" w:left="0"/>
        <w:rPr/>
      </w:pPr>
      <w:r>
        <w:rPr/>
        <w:t>26.</w:t>
        <w:tab/>
        <w:t xml:space="preserve">Baker, N. R. Chlorophyll Fluorescence: A Probe of Photosynthesis In Vivo. </w:t>
      </w:r>
      <w:r>
        <w:rPr>
          <w:i/>
          <w:iCs/>
        </w:rPr>
        <w:t>Ann Rev Plant Biol</w:t>
      </w:r>
      <w:r>
        <w:rPr/>
        <w:t xml:space="preserve">. </w:t>
      </w:r>
      <w:r>
        <w:rPr>
          <w:b/>
          <w:bCs/>
        </w:rPr>
        <w:t>59</w:t>
      </w:r>
      <w:r>
        <w:rPr/>
        <w:t xml:space="preserve"> (Volume 59, 2008), 89–113 (2008).</w:t>
      </w:r>
    </w:p>
    <w:p>
      <w:pPr>
        <w:pStyle w:val="Bibliography"/>
        <w:ind w:hanging="0" w:left="0"/>
        <w:rPr/>
      </w:pPr>
      <w:r>
        <w:rPr/>
        <w:t>27.</w:t>
        <w:tab/>
        <w:t xml:space="preserve">Murchie, E. H., Lawson, T. Chlorophyll fluorescence analysis: a guide to good practice and understanding some new applications. </w:t>
      </w:r>
      <w:r>
        <w:rPr>
          <w:i/>
          <w:iCs/>
        </w:rPr>
        <w:t>J Exp Botany</w:t>
      </w:r>
      <w:r>
        <w:rPr/>
        <w:t xml:space="preserve">. </w:t>
      </w:r>
      <w:r>
        <w:rPr>
          <w:b/>
          <w:bCs/>
        </w:rPr>
        <w:t>64</w:t>
      </w:r>
      <w:r>
        <w:rPr/>
        <w:t xml:space="preserve"> (13), 3983–3998 (2013).</w:t>
      </w:r>
    </w:p>
    <w:p>
      <w:pPr>
        <w:pStyle w:val="Bibliography"/>
        <w:ind w:hanging="0" w:left="0"/>
        <w:rPr/>
      </w:pPr>
      <w:r>
        <w:rPr/>
        <w:t>28.</w:t>
        <w:tab/>
        <w:t xml:space="preserve">Keller, B. et al. Maximum fluorescence and electron transport kinetics determined by light-induced fluorescence transients (LIFT) for photosynthesis phenotyping. </w:t>
      </w:r>
      <w:r>
        <w:rPr>
          <w:i/>
          <w:iCs/>
        </w:rPr>
        <w:t>Photosynth Res</w:t>
      </w:r>
      <w:r>
        <w:rPr/>
        <w:t xml:space="preserve">. </w:t>
      </w:r>
      <w:r>
        <w:rPr>
          <w:b/>
          <w:bCs/>
        </w:rPr>
        <w:t>140</w:t>
      </w:r>
      <w:r>
        <w:rPr/>
        <w:t xml:space="preserve"> (2), 221–233 (2019).</w:t>
      </w:r>
    </w:p>
    <w:p>
      <w:pPr>
        <w:pStyle w:val="Bibliography"/>
        <w:ind w:hanging="0" w:left="0"/>
        <w:rPr/>
      </w:pPr>
      <w:r>
        <w:rPr/>
        <w:t>29.</w:t>
        <w:tab/>
        <w:t xml:space="preserve">Ananyev, G. et al. Remote sensing of heterogeneity in photosynthetic efficiency, electron transport and dissipation of excess light in Populus deltoides stands under ambient and elevated CO2 concentrations, and in a tropical forest canopy, using a new laser-induced fluorescence transient device. </w:t>
      </w:r>
      <w:r>
        <w:rPr>
          <w:i/>
          <w:iCs/>
        </w:rPr>
        <w:t>Global Change Biol</w:t>
      </w:r>
      <w:r>
        <w:rPr/>
        <w:t xml:space="preserve">. </w:t>
      </w:r>
      <w:r>
        <w:rPr>
          <w:b/>
          <w:bCs/>
        </w:rPr>
        <w:t>11</w:t>
      </w:r>
      <w:r>
        <w:rPr/>
        <w:t xml:space="preserve"> (8), 1195–1206 (2005).</w:t>
      </w:r>
    </w:p>
    <w:p>
      <w:pPr>
        <w:pStyle w:val="Bibliography"/>
        <w:ind w:hanging="0" w:left="0"/>
        <w:rPr/>
      </w:pPr>
      <w:r>
        <w:rPr/>
        <w:t>30.</w:t>
        <w:tab/>
        <w:t xml:space="preserve">Pieruschka, R., Klimov, D., Kolber, Z. S., Berry, J. A. Monitoring of cold and light stress impact on photosynthesis by using the laser induced fluorescence transient (LIFT) approach. </w:t>
      </w:r>
      <w:r>
        <w:rPr>
          <w:i/>
          <w:iCs/>
        </w:rPr>
        <w:t>Funct Plant Biol</w:t>
      </w:r>
      <w:r>
        <w:rPr/>
        <w:t xml:space="preserve">. </w:t>
      </w:r>
      <w:r>
        <w:rPr>
          <w:b/>
          <w:bCs/>
        </w:rPr>
        <w:t>37</w:t>
      </w:r>
      <w:r>
        <w:rPr/>
        <w:t xml:space="preserve"> (5), 395–402 (2010).</w:t>
      </w:r>
    </w:p>
    <w:p>
      <w:pPr>
        <w:pStyle w:val="Bibliography"/>
        <w:ind w:hanging="0" w:left="0"/>
        <w:rPr/>
      </w:pPr>
      <w:r>
        <w:rPr/>
        <w:t>31.</w:t>
        <w:tab/>
        <w:t xml:space="preserve">Pieruschka, R. et al. Daily and seasonal dynamics of remotely sensed photosynthetic efficiency in tree canopies. </w:t>
      </w:r>
      <w:r>
        <w:rPr>
          <w:i/>
          <w:iCs/>
        </w:rPr>
        <w:t>Tree Physiol</w:t>
      </w:r>
      <w:r>
        <w:rPr/>
        <w:t xml:space="preserve">. </w:t>
      </w:r>
      <w:r>
        <w:rPr>
          <w:b/>
          <w:bCs/>
        </w:rPr>
        <w:t>34</w:t>
      </w:r>
      <w:r>
        <w:rPr/>
        <w:t xml:space="preserve"> (7), 674–685 (2014).</w:t>
      </w:r>
    </w:p>
    <w:p>
      <w:pPr>
        <w:pStyle w:val="Bibliography"/>
        <w:ind w:hanging="0" w:left="0"/>
        <w:rPr/>
      </w:pPr>
      <w:r>
        <w:rPr/>
        <w:t>32.</w:t>
        <w:tab/>
        <w:t xml:space="preserve">Keller, B. et al. Toward predicting photosynthetic efficiency and biomass gain in crop genotypes over a field season. </w:t>
      </w:r>
      <w:r>
        <w:rPr>
          <w:i/>
          <w:iCs/>
        </w:rPr>
        <w:t>Plant Physiol</w:t>
      </w:r>
      <w:r>
        <w:rPr/>
        <w:t xml:space="preserve">. </w:t>
      </w:r>
      <w:r>
        <w:rPr>
          <w:b/>
          <w:bCs/>
        </w:rPr>
        <w:t>188</w:t>
      </w:r>
      <w:r>
        <w:rPr/>
        <w:t xml:space="preserve"> (1), 301–317 (2022).</w:t>
      </w:r>
    </w:p>
    <w:p>
      <w:pPr>
        <w:pStyle w:val="Bibliography"/>
        <w:ind w:hanging="0" w:left="0"/>
        <w:rPr/>
      </w:pPr>
      <w:r>
        <w:rPr/>
        <w:t>33.</w:t>
        <w:tab/>
        <w:t xml:space="preserve">Zendonadi dos Santos, N. et al. High-throughput field phenotyping reveals genetic variation in photosynthetic traits in durum wheat under drought. </w:t>
      </w:r>
      <w:r>
        <w:rPr>
          <w:i/>
          <w:iCs/>
        </w:rPr>
        <w:t>Plant Cell Environ</w:t>
      </w:r>
      <w:r>
        <w:rPr/>
        <w:t xml:space="preserve">. </w:t>
      </w:r>
      <w:r>
        <w:rPr>
          <w:b/>
          <w:bCs/>
        </w:rPr>
        <w:t>44</w:t>
      </w:r>
      <w:r>
        <w:rPr/>
        <w:t xml:space="preserve"> (9), 2858–2878 (2021).</w:t>
      </w:r>
    </w:p>
    <w:p>
      <w:pPr>
        <w:pStyle w:val="Bibliography"/>
        <w:ind w:hanging="0" w:left="0"/>
        <w:rPr/>
      </w:pPr>
      <w:r>
        <w:rPr/>
        <w:t>34.</w:t>
        <w:tab/>
        <w:t>Barrett, T. et al. data.table: Extension of `data.frame`. 10.32614/CRAN.package.data.table (2025).</w:t>
      </w:r>
    </w:p>
    <w:p>
      <w:pPr>
        <w:pStyle w:val="Bibliography"/>
        <w:ind w:hanging="0" w:left="0"/>
        <w:rPr/>
      </w:pPr>
      <w:r>
        <w:rPr/>
        <w:t>35.</w:t>
        <w:tab/>
        <w:t xml:space="preserve">Roth, L. et al. The FIP 1.0 Data Set: Highly resolved annotated image time series of 4,000 wheat plots grown in 6 years. </w:t>
      </w:r>
      <w:r>
        <w:rPr>
          <w:i/>
          <w:iCs/>
        </w:rPr>
        <w:t>GigaScience</w:t>
      </w:r>
      <w:r>
        <w:rPr/>
        <w:t xml:space="preserve">. </w:t>
      </w:r>
      <w:r>
        <w:rPr>
          <w:b/>
          <w:bCs/>
        </w:rPr>
        <w:t>14</w:t>
      </w:r>
      <w:r>
        <w:rPr/>
        <w:t>, giaf051 (2025).</w:t>
      </w:r>
    </w:p>
    <w:p>
      <w:pPr>
        <w:pStyle w:val="Bibliography"/>
        <w:ind w:hanging="0" w:left="0"/>
        <w:rPr/>
      </w:pPr>
      <w:r>
        <w:rPr/>
        <w:t>36.</w:t>
        <w:tab/>
        <w:t xml:space="preserve">Leroy, V., Cabon, Y., Revaud, J. Grounding Image Matching in 3D with MASt3R. </w:t>
      </w:r>
      <w:r>
        <w:rPr>
          <w:i/>
          <w:iCs/>
        </w:rPr>
        <w:t>Comp Vision – ECCV 2024</w:t>
      </w:r>
      <w:r>
        <w:rPr/>
        <w:t>. 71–91 (2025).</w:t>
      </w:r>
    </w:p>
    <w:p>
      <w:pPr>
        <w:pStyle w:val="Bibliography"/>
        <w:ind w:hanging="0" w:left="0"/>
        <w:rPr/>
      </w:pPr>
      <w:r>
        <w:rPr/>
        <w:t>37.</w:t>
        <w:tab/>
        <w:t>Knopf, O. et al. Field phenotyping of ten wheat cultivars under elevated CO</w:t>
      </w:r>
      <w:r>
        <w:rPr>
          <w:vertAlign w:val="subscript"/>
        </w:rPr>
        <w:t>2</w:t>
      </w:r>
      <w:r>
        <w:rPr/>
        <w:t xml:space="preserve"> shows seasonal differences in chlorophyll fluorescence, plant height and vegetation indices. </w:t>
      </w:r>
      <w:r>
        <w:rPr>
          <w:i/>
          <w:iCs/>
        </w:rPr>
        <w:t>Front Plant Sci</w:t>
      </w:r>
      <w:r>
        <w:rPr/>
        <w:t xml:space="preserve">. </w:t>
      </w:r>
      <w:r>
        <w:rPr>
          <w:b/>
          <w:bCs/>
        </w:rPr>
        <w:t>14</w:t>
      </w:r>
      <w:r>
        <w:rPr/>
        <w:t>, 1304751 (2024).</w:t>
      </w:r>
    </w:p>
    <w:p>
      <w:pPr>
        <w:pStyle w:val="Bibliography"/>
        <w:ind w:hanging="0" w:left="0"/>
        <w:rPr/>
      </w:pPr>
      <w:r>
        <w:rPr/>
        <w:t>38.</w:t>
        <w:tab/>
        <w:t xml:space="preserve">Piepho, H. P. et al. One, two, three: Portable sample size in agricultural research. </w:t>
      </w:r>
      <w:r>
        <w:rPr>
          <w:i/>
          <w:iCs/>
        </w:rPr>
        <w:t>J Agri Sci</w:t>
      </w:r>
      <w:r>
        <w:rPr/>
        <w:t xml:space="preserve">. </w:t>
      </w:r>
      <w:r>
        <w:rPr>
          <w:b/>
          <w:bCs/>
        </w:rPr>
        <w:t>160</w:t>
      </w:r>
      <w:r>
        <w:rPr/>
        <w:t xml:space="preserve"> (6), 459–482 (2022).</w:t>
      </w:r>
    </w:p>
    <w:p>
      <w:pPr>
        <w:pStyle w:val="Bibliography"/>
        <w:ind w:hanging="0" w:left="0"/>
        <w:rPr/>
      </w:pPr>
      <w:r>
        <w:rPr/>
        <w:t>39.</w:t>
        <w:tab/>
        <w:t xml:space="preserve">Wu, A., Hammer, G. L., Doherty, A., von Caemmerer, S., Farquhar, G. D. Quantifying impacts of enhancing photosynthesis on crop yield. </w:t>
      </w:r>
      <w:r>
        <w:rPr>
          <w:i/>
          <w:iCs/>
        </w:rPr>
        <w:t>Nat Plants</w:t>
      </w:r>
      <w:r>
        <w:rPr/>
        <w:t xml:space="preserve">. </w:t>
      </w:r>
      <w:r>
        <w:rPr>
          <w:b/>
          <w:bCs/>
        </w:rPr>
        <w:t>5</w:t>
      </w:r>
      <w:r>
        <w:rPr/>
        <w:t xml:space="preserve"> (4), 380–388 (2019).</w:t>
      </w:r>
    </w:p>
    <w:p>
      <w:pPr>
        <w:pStyle w:val="Bibliography"/>
        <w:ind w:hanging="0" w:left="0"/>
        <w:rPr/>
      </w:pPr>
      <w:r>
        <w:rPr/>
        <w:t>40.</w:t>
        <w:tab/>
        <w:t xml:space="preserve">Duncan, W. G. Leaf Angles, Leaf Area, and Canopy Photosynthesis. </w:t>
      </w:r>
      <w:r>
        <w:rPr>
          <w:i/>
          <w:iCs/>
        </w:rPr>
        <w:t>Crop Sci</w:t>
      </w:r>
      <w:r>
        <w:rPr/>
        <w:t xml:space="preserve">. </w:t>
      </w:r>
      <w:r>
        <w:rPr>
          <w:b/>
          <w:bCs/>
        </w:rPr>
        <w:t>11</w:t>
      </w:r>
      <w:r>
        <w:rPr/>
        <w:t xml:space="preserve"> (4), cropsci1971.0011183X001100040006x (1971).</w:t>
      </w:r>
    </w:p>
    <w:p>
      <w:pPr>
        <w:pStyle w:val="Bibliography"/>
        <w:ind w:hanging="0" w:left="0"/>
        <w:rPr/>
      </w:pPr>
      <w:r>
        <w:rPr/>
        <w:t>41.</w:t>
        <w:tab/>
        <w:t xml:space="preserve">Stewart, D. W. et al. Canopy Structure, Light Interception, and Photosynthesis in Maize. </w:t>
      </w:r>
      <w:r>
        <w:rPr>
          <w:i/>
          <w:iCs/>
        </w:rPr>
        <w:t>Agronomy J</w:t>
      </w:r>
      <w:r>
        <w:rPr/>
        <w:t xml:space="preserve">. </w:t>
      </w:r>
      <w:r>
        <w:rPr>
          <w:b/>
          <w:bCs/>
        </w:rPr>
        <w:t>95</w:t>
      </w:r>
      <w:r>
        <w:rPr/>
        <w:t xml:space="preserve"> (6), 1465–1474 (2003).</w:t>
      </w:r>
    </w:p>
    <w:p>
      <w:pPr>
        <w:pStyle w:val="Bibliography"/>
        <w:ind w:hanging="0" w:left="0"/>
        <w:rPr/>
      </w:pPr>
      <w:r>
        <w:rPr/>
        <w:t>42.</w:t>
        <w:tab/>
        <w:t>Song, Q., Zhang, G., Zhu, X. G. Optimal crop canopy architecture to maximise canopy photosynthetic CO</w:t>
      </w:r>
      <w:r>
        <w:rPr>
          <w:vertAlign w:val="subscript"/>
        </w:rPr>
        <w:t>2</w:t>
      </w:r>
      <w:r>
        <w:rPr/>
        <w:t xml:space="preserve"> uptake under elevated CO</w:t>
      </w:r>
      <w:r>
        <w:rPr>
          <w:vertAlign w:val="subscript"/>
        </w:rPr>
        <w:t>2</w:t>
      </w:r>
      <w:r>
        <w:rPr/>
        <w:t xml:space="preserve"> – a theoretical study using a mechanistic model of canopy photosynthesis. </w:t>
      </w:r>
      <w:r>
        <w:rPr>
          <w:i/>
          <w:iCs/>
        </w:rPr>
        <w:t>Funct Plant Biol</w:t>
      </w:r>
      <w:r>
        <w:rPr/>
        <w:t xml:space="preserve">. </w:t>
      </w:r>
      <w:r>
        <w:rPr>
          <w:b/>
          <w:bCs/>
        </w:rPr>
        <w:t>40</w:t>
      </w:r>
      <w:r>
        <w:rPr/>
        <w:t xml:space="preserve"> (2), 108–124 (2013).</w:t>
      </w:r>
    </w:p>
    <w:p>
      <w:pPr>
        <w:pStyle w:val="Bibliography"/>
        <w:ind w:hanging="0" w:left="0"/>
        <w:rPr/>
      </w:pPr>
      <w:r>
        <w:rPr/>
        <w:t>43.</w:t>
        <w:tab/>
        <w:t xml:space="preserve">Ort, D. R. et al. Redesigning photosynthesis to sustainably meet global food and bioenergy demand. </w:t>
      </w:r>
      <w:r>
        <w:rPr>
          <w:i/>
          <w:iCs/>
        </w:rPr>
        <w:t>Proc Natl Acad Sci</w:t>
      </w:r>
      <w:r>
        <w:rPr/>
        <w:t xml:space="preserve">. </w:t>
      </w:r>
      <w:r>
        <w:rPr>
          <w:b/>
          <w:bCs/>
        </w:rPr>
        <w:t>112</w:t>
      </w:r>
      <w:r>
        <w:rPr/>
        <w:t xml:space="preserve"> (28), 8529–8536 (2015).</w:t>
      </w:r>
    </w:p>
    <w:p>
      <w:pPr>
        <w:pStyle w:val="Bibliography"/>
        <w:ind w:hanging="0" w:left="0"/>
        <w:rPr/>
      </w:pPr>
      <w:r>
        <w:rPr/>
        <w:t>44.</w:t>
        <w:tab/>
        <w:t>Ainsworth, E. A., Rogers, A., Nelson, R., Long, S. P. Testing the “source–sink” hypothesis of down-regulation of photosynthesis in elevated [CO</w:t>
      </w:r>
      <w:r>
        <w:rPr>
          <w:vertAlign w:val="subscript"/>
        </w:rPr>
        <w:t>2</w:t>
      </w:r>
      <w:r>
        <w:rPr/>
        <w:t xml:space="preserve">] in the field with single gene substitutions in </w:t>
      </w:r>
      <w:r>
        <w:rPr>
          <w:i/>
          <w:iCs/>
        </w:rPr>
        <w:t>Glycine max</w:t>
      </w:r>
      <w:r>
        <w:rPr/>
        <w:t xml:space="preserve">. </w:t>
      </w:r>
      <w:r>
        <w:rPr>
          <w:i/>
          <w:iCs/>
        </w:rPr>
        <w:t>Agri Forest Meteorol</w:t>
      </w:r>
      <w:r>
        <w:rPr/>
        <w:t xml:space="preserve">. </w:t>
      </w:r>
      <w:r>
        <w:rPr>
          <w:b/>
          <w:bCs/>
        </w:rPr>
        <w:t>122</w:t>
      </w:r>
      <w:r>
        <w:rPr/>
        <w:t xml:space="preserve"> (1), 85–94 (2004).</w:t>
      </w:r>
    </w:p>
    <w:p>
      <w:pPr>
        <w:pStyle w:val="Bibliography"/>
        <w:ind w:hanging="0" w:left="0"/>
        <w:rPr/>
      </w:pPr>
      <w:r>
        <w:rPr/>
        <w:t>45.</w:t>
        <w:tab/>
        <w:t xml:space="preserve">Ainsworth, E. A., Long, S. P. 30 years of free-air carbon dioxide enrichment (FACE): What have we learned about future crop productivity and its potential for adaptation? </w:t>
      </w:r>
      <w:r>
        <w:rPr>
          <w:i/>
          <w:iCs/>
        </w:rPr>
        <w:t>Global Change Biol</w:t>
      </w:r>
      <w:r>
        <w:rPr/>
        <w:t xml:space="preserve">. </w:t>
      </w:r>
      <w:r>
        <w:rPr>
          <w:b/>
          <w:bCs/>
        </w:rPr>
        <w:t>27</w:t>
      </w:r>
      <w:r>
        <w:rPr/>
        <w:t xml:space="preserve"> (1), 27–49 (2021).</w:t>
      </w:r>
    </w:p>
    <w:p>
      <w:pPr>
        <w:pStyle w:val="Bibliography"/>
        <w:ind w:hanging="0" w:left="0"/>
        <w:rPr/>
      </w:pPr>
      <w:r>
        <w:rPr/>
        <w:t>46.</w:t>
        <w:tab/>
        <w:t xml:space="preserve">Kaschuk, G., Hungria, M., Leffelaar, P. A., Giller, K. E., Kuyper, T. W. Differences in photosynthetic behaviour and leaf senescence of soybean (Glycine max [L.] Merrill) dependent on N2 fixation or nitrate supply. </w:t>
      </w:r>
      <w:r>
        <w:rPr>
          <w:i/>
          <w:iCs/>
        </w:rPr>
        <w:t>Plant Biol</w:t>
      </w:r>
      <w:r>
        <w:rPr/>
        <w:t xml:space="preserve">. </w:t>
      </w:r>
      <w:r>
        <w:rPr>
          <w:b/>
          <w:bCs/>
        </w:rPr>
        <w:t>12</w:t>
      </w:r>
      <w:r>
        <w:rPr/>
        <w:t xml:space="preserve"> (1), 60–69 (2010).</w:t>
      </w:r>
    </w:p>
    <w:p>
      <w:pPr>
        <w:pStyle w:val="Normal"/>
        <w:rPr>
          <w:bCs/>
        </w:rPr>
      </w:pPr>
      <w:r>
        <w:rPr/>
        <w:t>47.</w:t>
        <w:tab/>
        <w:t xml:space="preserve">Keller, B. et al. Genotype Specific Photosynthesis x Environment Interactions Captured by Automated Fluorescence Canopy Scans Over Two Fluctuating Growing Seasons. </w:t>
      </w:r>
      <w:r>
        <w:rPr>
          <w:i/>
          <w:iCs/>
        </w:rPr>
        <w:t>Front Plant Sci</w:t>
      </w:r>
      <w:r>
        <w:rPr/>
        <w:t xml:space="preserve">. </w:t>
      </w:r>
      <w:r>
        <w:rPr>
          <w:b/>
          <w:bCs/>
        </w:rPr>
        <w:t>10</w:t>
      </w:r>
      <w:r>
        <w:rPr/>
        <w:t>, 1482 (2019).</w:t>
      </w:r>
      <w:bookmarkStart w:id="36" w:name="3rdcrjn"/>
      <w:bookmarkStart w:id="37" w:name="17dp8vu"/>
      <w:bookmarkStart w:id="38" w:name="2s8eyo1"/>
      <w:bookmarkStart w:id="39" w:name="4d34og8"/>
      <w:bookmarkStart w:id="40" w:name="1t3h5sf"/>
      <w:bookmarkStart w:id="41" w:name="3dy6vkm"/>
      <w:bookmarkStart w:id="42" w:name="2et92p0"/>
      <w:bookmarkStart w:id="43" w:name="3znysh7"/>
      <w:bookmarkStart w:id="44" w:name="kix.dnstqay1kwjl"/>
      <w:bookmarkStart w:id="45" w:name="30j0zll"/>
      <w:bookmarkStart w:id="46" w:name="gjdgxs"/>
      <w:bookmarkEnd w:id="36"/>
      <w:bookmarkEnd w:id="37"/>
      <w:bookmarkEnd w:id="38"/>
      <w:bookmarkEnd w:id="39"/>
      <w:bookmarkEnd w:id="40"/>
      <w:bookmarkEnd w:id="41"/>
      <w:bookmarkEnd w:id="42"/>
      <w:bookmarkEnd w:id="43"/>
      <w:bookmarkEnd w:id="44"/>
      <w:bookmarkEnd w:id="45"/>
      <w:bookmarkEnd w:id="46"/>
    </w:p>
    <w:sectPr>
      <w:headerReference w:type="even" r:id="rId2"/>
      <w:headerReference w:type="default" r:id="rId3"/>
      <w:headerReference w:type="first" r:id="rId4"/>
      <w:type w:val="nextPage"/>
      <w:pgSz w:w="12240" w:h="15840"/>
      <w:pgMar w:left="1440" w:right="1440" w:gutter="0" w:header="720" w:top="1440" w:footer="0" w:bottom="1440"/>
      <w:lnNumType w:countBy="1" w:restart="continuous" w:distance="283"/>
      <w:pgNumType w:start="1"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Cambria">
    <w:charset w:val="01"/>
    <w:family w:val="roman"/>
    <w:pitch w:val="variable"/>
  </w:font>
  <w:font w:name="Segoe UI">
    <w:charset w:val="01"/>
    <w:family w:val="swiss"/>
    <w:pitch w:val="variable"/>
  </w:font>
  <w:font w:name="Consolas">
    <w:charset w:val="01"/>
    <w:family w:val="swiss"/>
    <w:pitch w:val="variable"/>
  </w:font>
  <w:font w:name="Liberation Mono">
    <w:altName w:val="Courier New"/>
    <w:charset w:val="01"/>
    <w:family w:val="swiss"/>
    <w:pitch w:val="variable"/>
  </w:font>
  <w:font w:name="Calibri Light">
    <w:charset w:val="01"/>
    <w:family w:val="swiss"/>
    <w:pitch w:val="variable"/>
  </w:font>
  <w:font w:name="Liberation Sans">
    <w:altName w:val="Arial"/>
    <w:charset w:val="01"/>
    <w:family w:val="swiss"/>
    <w:pitch w:val="variable"/>
  </w:font>
  <w:font w:name="Georgia">
    <w:charset w:val="01"/>
    <w:family w:val="roman"/>
    <w:pitch w:val="variable"/>
  </w:font>
  <w:font w:name="Cambria">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724" w:leader="none"/>
        <w:tab w:val="right" w:pos="9360" w:leader="none"/>
      </w:tabs>
      <w:rPr>
        <w:b/>
        <w:color w:val="1F497D"/>
        <w:sz w:val="28"/>
        <w:szCs w:val="28"/>
      </w:rPr>
    </w:pPr>
    <w:r>
      <w:rPr>
        <w:color w:val="000000"/>
        <w:sz w:val="22"/>
        <w:szCs w:val="22"/>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right"/>
      <w:rPr>
        <w:b/>
        <w:color w:val="1F497D"/>
        <w:sz w:val="32"/>
        <w:szCs w:val="32"/>
      </w:rPr>
    </w:pPr>
    <w:r>
      <w:rPr>
        <w:b/>
        <w:color w:val="1F497D"/>
        <w:sz w:val="32"/>
        <w:szCs w:val="32"/>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docVars>
    <w:docVar w:name="__Grammarly_42____i" w:val="H4sIAAAAAAAEAKtWckksSQxILCpxzi/NK1GyMqwFAAEhoTITAAAA"/>
    <w:docVar w:name="__Grammarly_42___1" w:val="H4sIAAAAAAAEAKtWcslP9kxRslIyNDY2MDc0MrcwNjQxtzA1tTBU0lEKTi0uzszPAykwNKgFAEITzJ0t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alibri" w:hAnsi="Calibri" w:eastAsia="Calibri" w:cs="Calibri"/>
      <w:color w:val="auto"/>
      <w:kern w:val="0"/>
      <w:sz w:val="24"/>
      <w:szCs w:val="24"/>
      <w:lang w:val="en-US" w:eastAsia="en-US" w:bidi="ar-SA"/>
    </w:rPr>
  </w:style>
  <w:style w:type="paragraph" w:styleId="Heading1">
    <w:name w:val="heading 1"/>
    <w:basedOn w:val="Normal"/>
    <w:next w:val="Normal"/>
    <w:uiPriority w:val="9"/>
    <w:qFormat/>
    <w:pPr>
      <w:keepNext w:val="true"/>
      <w:spacing w:before="240" w:after="60"/>
      <w:outlineLvl w:val="0"/>
    </w:pPr>
    <w:rPr>
      <w:b/>
      <w:sz w:val="28"/>
      <w:szCs w:val="28"/>
    </w:rPr>
  </w:style>
  <w:style w:type="paragraph" w:styleId="Heading2">
    <w:name w:val="heading 2"/>
    <w:basedOn w:val="Normal"/>
    <w:next w:val="Normal"/>
    <w:uiPriority w:val="9"/>
    <w:unhideWhenUsed/>
    <w:qFormat/>
    <w:pPr>
      <w:keepNext w:val="true"/>
      <w:outlineLvl w:val="1"/>
    </w:pPr>
    <w:rPr>
      <w:b/>
    </w:rPr>
  </w:style>
  <w:style w:type="paragraph" w:styleId="Heading3">
    <w:name w:val="heading 3"/>
    <w:basedOn w:val="Normal"/>
    <w:next w:val="Normal"/>
    <w:uiPriority w:val="9"/>
    <w:semiHidden/>
    <w:unhideWhenUsed/>
    <w:qFormat/>
    <w:pPr>
      <w:keepNext w:val="true"/>
      <w:keepLines/>
      <w:spacing w:before="200" w:after="0"/>
      <w:outlineLvl w:val="2"/>
    </w:pPr>
    <w:rPr>
      <w:rFonts w:ascii="Cambria" w:hAnsi="Cambria" w:eastAsia="Cambria" w:cs="Cambria"/>
      <w:b/>
      <w:color w:val="4F81BD"/>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paragraph" w:styleId="Heading7">
    <w:name w:val="heading 7"/>
    <w:basedOn w:val="Normal"/>
    <w:next w:val="Normal"/>
    <w:qFormat/>
    <w:pPr>
      <w:keepNext w:val="true"/>
      <w:keepLines/>
      <w:spacing w:before="40" w:after="0"/>
      <w:outlineLvl w:val="6"/>
    </w:pPr>
    <w:rPr>
      <w:color w:themeColor="dark1" w:themeTint="a6" w:val="595959"/>
    </w:rPr>
  </w:style>
  <w:style w:type="paragraph" w:styleId="Heading8">
    <w:name w:val="heading 8"/>
    <w:basedOn w:val="Normal"/>
    <w:next w:val="Normal"/>
    <w:qFormat/>
    <w:pPr>
      <w:keepNext w:val="true"/>
      <w:keepLines/>
      <w:outlineLvl w:val="7"/>
    </w:pPr>
    <w:rPr>
      <w:i/>
      <w:iCs/>
      <w:color w:themeColor="dark1" w:themeTint="d8" w:val="272727"/>
    </w:rPr>
  </w:style>
  <w:style w:type="paragraph" w:styleId="Heading9">
    <w:name w:val="heading 9"/>
    <w:basedOn w:val="Normal"/>
    <w:next w:val="Normal"/>
    <w:qFormat/>
    <w:pPr>
      <w:keepNext w:val="true"/>
      <w:keepLines/>
      <w:outlineLvl w:val="8"/>
    </w:pPr>
    <w:rPr>
      <w:color w:themeColor="dark1" w:themeTint="d8" w:val="272727"/>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eb1e68"/>
    <w:rPr>
      <w:color w:themeColor="hyperlink" w:val="0000FF"/>
      <w:u w:val="single"/>
    </w:rPr>
  </w:style>
  <w:style w:type="character" w:styleId="UnresolvedMention">
    <w:name w:val="Unresolved Mention"/>
    <w:basedOn w:val="DefaultParagraphFont"/>
    <w:uiPriority w:val="99"/>
    <w:semiHidden/>
    <w:unhideWhenUsed/>
    <w:qFormat/>
    <w:rsid w:val="00eb1e68"/>
    <w:rPr>
      <w:color w:val="605E5C"/>
      <w:shd w:fill="E1DFDD" w:val="clear"/>
    </w:rPr>
  </w:style>
  <w:style w:type="character" w:styleId="FooterChar" w:customStyle="1">
    <w:name w:val="Footer Char"/>
    <w:basedOn w:val="DefaultParagraphFont"/>
    <w:link w:val="Footer"/>
    <w:uiPriority w:val="99"/>
    <w:qFormat/>
    <w:rsid w:val="00c11d93"/>
    <w:rPr/>
  </w:style>
  <w:style w:type="character" w:styleId="FollowedHyperlink">
    <w:name w:val="FollowedHyperlink"/>
    <w:basedOn w:val="DefaultParagraphFont"/>
    <w:uiPriority w:val="99"/>
    <w:semiHidden/>
    <w:unhideWhenUsed/>
    <w:rsid w:val="006755ee"/>
    <w:rPr>
      <w:color w:themeColor="followedHyperlink" w:val="800080"/>
      <w:u w:val="single"/>
    </w:rPr>
  </w:style>
  <w:style w:type="character" w:styleId="LineNumber">
    <w:name w:val="line number"/>
    <w:basedOn w:val="DefaultParagraphFont"/>
    <w:uiPriority w:val="99"/>
    <w:semiHidden/>
    <w:unhideWhenUsed/>
    <w:rsid w:val="00147cba"/>
    <w:rPr/>
  </w:style>
  <w:style w:type="character" w:styleId="CommentReference">
    <w:name w:val="annotation reference"/>
    <w:basedOn w:val="DefaultParagraphFont"/>
    <w:uiPriority w:val="99"/>
    <w:semiHidden/>
    <w:unhideWhenUsed/>
    <w:qFormat/>
    <w:rsid w:val="008b2d50"/>
    <w:rPr>
      <w:sz w:val="16"/>
      <w:szCs w:val="16"/>
    </w:rPr>
  </w:style>
  <w:style w:type="character" w:styleId="CommentTextChar" w:customStyle="1">
    <w:name w:val="Comment Text Char"/>
    <w:basedOn w:val="DefaultParagraphFont"/>
    <w:link w:val="CommentText"/>
    <w:uiPriority w:val="99"/>
    <w:qFormat/>
    <w:rsid w:val="008b2d50"/>
    <w:rPr>
      <w:sz w:val="20"/>
      <w:szCs w:val="20"/>
    </w:rPr>
  </w:style>
  <w:style w:type="character" w:styleId="CommentSubjectChar" w:customStyle="1">
    <w:name w:val="Comment Subject Char"/>
    <w:basedOn w:val="CommentTextChar"/>
    <w:link w:val="annotationsubject"/>
    <w:uiPriority w:val="99"/>
    <w:semiHidden/>
    <w:qFormat/>
    <w:rsid w:val="008b2d50"/>
    <w:rPr>
      <w:b/>
      <w:bCs/>
      <w:sz w:val="20"/>
      <w:szCs w:val="20"/>
    </w:rPr>
  </w:style>
  <w:style w:type="character" w:styleId="cf01" w:customStyle="1">
    <w:name w:val="cf01"/>
    <w:basedOn w:val="DefaultParagraphFont"/>
    <w:qFormat/>
    <w:rsid w:val="00516914"/>
    <w:rPr>
      <w:rFonts w:ascii="Segoe UI" w:hAnsi="Segoe UI" w:cs="Segoe UI"/>
      <w:sz w:val="18"/>
      <w:szCs w:val="18"/>
    </w:rPr>
  </w:style>
  <w:style w:type="character" w:styleId="BodyTextChar" w:customStyle="1">
    <w:name w:val="Body Text Char"/>
    <w:basedOn w:val="DefaultParagraphFont"/>
    <w:uiPriority w:val="99"/>
    <w:qFormat/>
    <w:rsid w:val="00246f04"/>
    <w:rPr/>
  </w:style>
  <w:style w:type="character" w:styleId="VerbatimChar" w:customStyle="1">
    <w:name w:val="Verbatim Char"/>
    <w:basedOn w:val="DefaultParagraphFont"/>
    <w:link w:val="SourceCode"/>
    <w:qFormat/>
    <w:rsid w:val="00372b55"/>
    <w:rPr>
      <w:rFonts w:ascii="Consolas" w:hAnsi="Consolas"/>
      <w:sz w:val="22"/>
    </w:rPr>
  </w:style>
  <w:style w:type="character" w:styleId="PlaceholderText">
    <w:name w:val="Placeholder Text"/>
    <w:basedOn w:val="DefaultParagraphFont"/>
    <w:uiPriority w:val="99"/>
    <w:semiHidden/>
    <w:qFormat/>
    <w:rsid w:val="00656e8c"/>
    <w:rPr>
      <w:color w:val="666666"/>
    </w:rPr>
  </w:style>
  <w:style w:type="character" w:styleId="Emphasis">
    <w:name w:val="Emphasis"/>
    <w:qFormat/>
    <w:rPr>
      <w:i/>
      <w:iCs/>
    </w:rPr>
  </w:style>
  <w:style w:type="character" w:styleId="Strong">
    <w:name w:val="Strong"/>
    <w:qFormat/>
    <w:rPr>
      <w:b/>
      <w:bCs/>
    </w:rPr>
  </w:style>
  <w:style w:type="character" w:styleId="SourceText" w:customStyle="1">
    <w:name w:val="Source Text"/>
    <w:qFormat/>
    <w:rPr>
      <w:rFonts w:ascii="Liberation Mono" w:hAnsi="Liberation Mono" w:eastAsia="Liberation Mono" w:cs="Liberation Mono"/>
    </w:rPr>
  </w:style>
  <w:style w:type="character" w:styleId="IntenseReference">
    <w:name w:val="Intense Reference"/>
    <w:basedOn w:val="DefaultParagraphFont"/>
    <w:qFormat/>
    <w:rPr>
      <w:b/>
      <w:bCs/>
      <w:smallCaps/>
      <w:color w:themeColor="accent1" w:themeShade="bf" w:val="365F91"/>
      <w:spacing w:val="5"/>
    </w:rPr>
  </w:style>
  <w:style w:type="character" w:styleId="IntensivesZitatZchn" w:customStyle="1">
    <w:name w:val="Intensives Zitat Zchn"/>
    <w:basedOn w:val="DefaultParagraphFont"/>
    <w:qFormat/>
    <w:rPr>
      <w:i/>
      <w:iCs/>
      <w:color w:themeColor="accent1" w:themeShade="bf" w:val="365F91"/>
    </w:rPr>
  </w:style>
  <w:style w:type="character" w:styleId="IntenseEmphasis">
    <w:name w:val="Intense Emphasis"/>
    <w:basedOn w:val="DefaultParagraphFont"/>
    <w:qFormat/>
    <w:rPr>
      <w:i/>
      <w:iCs/>
      <w:color w:themeColor="accent1" w:themeShade="bf" w:val="365F91"/>
    </w:rPr>
  </w:style>
  <w:style w:type="character" w:styleId="ZitatZchn" w:customStyle="1">
    <w:name w:val="Zitat Zchn"/>
    <w:basedOn w:val="DefaultParagraphFont"/>
    <w:qFormat/>
    <w:rPr>
      <w:i/>
      <w:iCs/>
      <w:color w:themeColor="dark1" w:themeTint="bf" w:val="404040"/>
    </w:rPr>
  </w:style>
  <w:style w:type="character" w:styleId="UntertitelZchn" w:customStyle="1">
    <w:name w:val="Untertitel Zchn"/>
    <w:basedOn w:val="DefaultParagraphFont"/>
    <w:qFormat/>
    <w:rPr>
      <w:rFonts w:eastAsia="Calibri" w:cs="Calibri"/>
      <w:color w:themeColor="dark1" w:themeTint="a6" w:val="595959"/>
      <w:spacing w:val="15"/>
      <w:sz w:val="28"/>
      <w:szCs w:val="28"/>
    </w:rPr>
  </w:style>
  <w:style w:type="character" w:styleId="TitelZchn" w:customStyle="1">
    <w:name w:val="Titel Zchn"/>
    <w:basedOn w:val="DefaultParagraphFont"/>
    <w:qFormat/>
    <w:rPr>
      <w:rFonts w:ascii="Calibri Light" w:hAnsi="Calibri Light" w:eastAsia="Calibri" w:cs="Calibri"/>
      <w:spacing w:val="-10"/>
      <w:kern w:val="2"/>
      <w:sz w:val="56"/>
      <w:szCs w:val="56"/>
    </w:rPr>
  </w:style>
  <w:style w:type="character" w:styleId="berschrift9Zchn" w:customStyle="1">
    <w:name w:val="Überschrift 9 Zchn"/>
    <w:basedOn w:val="DefaultParagraphFont"/>
    <w:qFormat/>
    <w:rPr>
      <w:rFonts w:eastAsia="Calibri" w:cs="Calibri"/>
      <w:color w:themeColor="dark1" w:themeTint="d8" w:val="272727"/>
    </w:rPr>
  </w:style>
  <w:style w:type="character" w:styleId="berschrift8Zchn" w:customStyle="1">
    <w:name w:val="Überschrift 8 Zchn"/>
    <w:basedOn w:val="DefaultParagraphFont"/>
    <w:qFormat/>
    <w:rPr>
      <w:rFonts w:eastAsia="Calibri" w:cs="Calibri"/>
      <w:i/>
      <w:iCs/>
      <w:color w:themeColor="dark1" w:themeTint="d8" w:val="272727"/>
    </w:rPr>
  </w:style>
  <w:style w:type="character" w:styleId="berschrift7Zchn" w:customStyle="1">
    <w:name w:val="Überschrift 7 Zchn"/>
    <w:basedOn w:val="DefaultParagraphFont"/>
    <w:qFormat/>
    <w:rPr>
      <w:rFonts w:eastAsia="Calibri" w:cs="Calibri"/>
      <w:color w:themeColor="dark1" w:themeTint="a6" w:val="595959"/>
    </w:rPr>
  </w:style>
  <w:style w:type="character" w:styleId="berschrift6Zchn" w:customStyle="1">
    <w:name w:val="Überschrift 6 Zchn"/>
    <w:basedOn w:val="DefaultParagraphFont"/>
    <w:qFormat/>
    <w:rPr>
      <w:rFonts w:eastAsia="Calibri" w:cs="Calibri"/>
      <w:i/>
      <w:iCs/>
      <w:color w:themeColor="dark1" w:themeTint="a6" w:val="595959"/>
    </w:rPr>
  </w:style>
  <w:style w:type="character" w:styleId="berschrift5Zchn" w:customStyle="1">
    <w:name w:val="Überschrift 5 Zchn"/>
    <w:basedOn w:val="DefaultParagraphFont"/>
    <w:qFormat/>
    <w:rPr>
      <w:rFonts w:eastAsia="Calibri" w:cs="Calibri"/>
      <w:color w:themeColor="accent1" w:themeShade="bf" w:val="365F91"/>
    </w:rPr>
  </w:style>
  <w:style w:type="character" w:styleId="berschrift4Zchn" w:customStyle="1">
    <w:name w:val="Überschrift 4 Zchn"/>
    <w:basedOn w:val="DefaultParagraphFont"/>
    <w:qFormat/>
    <w:rPr>
      <w:rFonts w:eastAsia="Calibri" w:cs="Calibri"/>
      <w:i/>
      <w:iCs/>
      <w:color w:themeColor="accent1" w:themeShade="bf" w:val="365F91"/>
    </w:rPr>
  </w:style>
  <w:style w:type="character" w:styleId="berschrift3Zchn" w:customStyle="1">
    <w:name w:val="Überschrift 3 Zchn"/>
    <w:basedOn w:val="DefaultParagraphFont"/>
    <w:qFormat/>
    <w:rPr>
      <w:rFonts w:eastAsia="Calibri" w:cs="Calibri"/>
      <w:color w:themeColor="accent1" w:themeShade="bf" w:val="365F91"/>
      <w:sz w:val="28"/>
      <w:szCs w:val="28"/>
    </w:rPr>
  </w:style>
  <w:style w:type="character" w:styleId="berschrift2Zchn" w:customStyle="1">
    <w:name w:val="Überschrift 2 Zchn"/>
    <w:basedOn w:val="DefaultParagraphFont"/>
    <w:qFormat/>
    <w:rPr>
      <w:rFonts w:ascii="Calibri Light" w:hAnsi="Calibri Light" w:eastAsia="Calibri" w:cs="Calibri"/>
      <w:color w:themeColor="accent1" w:themeShade="bf" w:val="365F91"/>
      <w:sz w:val="32"/>
      <w:szCs w:val="32"/>
    </w:rPr>
  </w:style>
  <w:style w:type="character" w:styleId="berschrift1Zchn" w:customStyle="1">
    <w:name w:val="Überschrift 1 Zchn"/>
    <w:basedOn w:val="DefaultParagraphFont"/>
    <w:qFormat/>
    <w:rPr>
      <w:rFonts w:ascii="Calibri Light" w:hAnsi="Calibri Light" w:eastAsia="Calibri" w:cs="Calibri"/>
      <w:color w:themeColor="accent1" w:themeShade="bf" w:val="365F91"/>
      <w:sz w:val="40"/>
      <w:szCs w:val="40"/>
    </w:rPr>
  </w:style>
  <w:style w:type="character" w:styleId="FootnoteCharactersuser" w:customStyle="1">
    <w:name w:val="Footnote Characters (user)"/>
    <w:qFormat/>
    <w:rPr/>
  </w:style>
  <w:style w:type="character" w:styleId="EndnoteCharactersuser" w:customStyle="1">
    <w:name w:val="Endnote Characters (user)"/>
    <w:qFormat/>
    <w:rPr/>
  </w:style>
  <w:style w:type="paragraph" w:styleId="Heading" w:customStyle="1">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unhideWhenUsed/>
    <w:rsid w:val="00246f04"/>
    <w:pPr>
      <w:spacing w:before="0" w:after="12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rPr>
  </w:style>
  <w:style w:type="paragraph" w:styleId="Index" w:customStyle="1">
    <w:name w:val="Index"/>
    <w:basedOn w:val="Normal"/>
    <w:qFormat/>
    <w:pPr>
      <w:suppressLineNumbers/>
    </w:pPr>
    <w:rPr>
      <w:rFont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c11d93"/>
    <w:pPr>
      <w:suppressLineNumbers/>
      <w:tabs>
        <w:tab w:val="clear" w:pos="720"/>
        <w:tab w:val="center" w:pos="4680" w:leader="none"/>
        <w:tab w:val="right" w:pos="9360" w:leader="none"/>
      </w:tabs>
    </w:pPr>
    <w:rPr/>
  </w:style>
  <w:style w:type="paragraph" w:styleId="Revision">
    <w:name w:val="Revision"/>
    <w:uiPriority w:val="99"/>
    <w:semiHidden/>
    <w:qFormat/>
    <w:rsid w:val="000b41b6"/>
    <w:pPr>
      <w:widowControl/>
      <w:suppressAutoHyphens w:val="true"/>
      <w:bidi w:val="0"/>
      <w:spacing w:before="0" w:after="0"/>
      <w:jc w:val="left"/>
    </w:pPr>
    <w:rPr>
      <w:rFonts w:ascii="Calibri" w:hAnsi="Calibri" w:eastAsia="Calibri" w:cs="Calibri"/>
      <w:color w:val="auto"/>
      <w:kern w:val="0"/>
      <w:sz w:val="24"/>
      <w:szCs w:val="24"/>
      <w:lang w:val="en-US" w:eastAsia="en-US" w:bidi="ar-SA"/>
    </w:rPr>
  </w:style>
  <w:style w:type="paragraph" w:styleId="ListParagraph">
    <w:name w:val="List Paragraph"/>
    <w:basedOn w:val="Normal"/>
    <w:uiPriority w:val="34"/>
    <w:qFormat/>
    <w:rsid w:val="007d6be0"/>
    <w:pPr>
      <w:widowControl/>
      <w:spacing w:lineRule="auto" w:line="276" w:before="0" w:after="200"/>
      <w:ind w:left="720"/>
      <w:contextualSpacing/>
      <w:jc w:val="left"/>
    </w:pPr>
    <w:rPr>
      <w:rFonts w:ascii="Cambria" w:hAnsi="Cambria" w:eastAsia="Cambria" w:cs="" w:asciiTheme="minorHAnsi" w:cstheme="minorBidi" w:eastAsiaTheme="minorHAnsi" w:hAnsiTheme="minorHAnsi"/>
      <w:sz w:val="22"/>
      <w:szCs w:val="22"/>
    </w:rPr>
  </w:style>
  <w:style w:type="paragraph" w:styleId="CommentText">
    <w:name w:val="annotation text"/>
    <w:basedOn w:val="Normal"/>
    <w:link w:val="CommentTextChar"/>
    <w:uiPriority w:val="99"/>
    <w:unhideWhenUsed/>
    <w:rsid w:val="008b2d50"/>
    <w:pPr/>
    <w:rPr>
      <w:sz w:val="20"/>
      <w:szCs w:val="20"/>
    </w:rPr>
  </w:style>
  <w:style w:type="paragraph" w:styleId="annotationsubject">
    <w:name w:val="annotation subject"/>
    <w:basedOn w:val="CommentText"/>
    <w:next w:val="CommentText"/>
    <w:link w:val="CommentSubjectChar"/>
    <w:uiPriority w:val="99"/>
    <w:semiHidden/>
    <w:unhideWhenUsed/>
    <w:qFormat/>
    <w:rsid w:val="008b2d50"/>
    <w:pPr/>
    <w:rPr>
      <w:b/>
      <w:bCs/>
    </w:rPr>
  </w:style>
  <w:style w:type="paragraph" w:styleId="FirstParagraph" w:customStyle="1">
    <w:name w:val="First Paragraph"/>
    <w:basedOn w:val="BodyText"/>
    <w:next w:val="BodyText"/>
    <w:qFormat/>
    <w:rsid w:val="00246f04"/>
    <w:pPr>
      <w:widowControl/>
      <w:spacing w:before="180" w:after="180"/>
      <w:jc w:val="left"/>
    </w:pPr>
    <w:rPr>
      <w:rFonts w:ascii="Cambria" w:hAnsi="Cambria" w:eastAsia="Cambria" w:cs="" w:asciiTheme="minorHAnsi" w:cstheme="minorBidi" w:eastAsiaTheme="minorHAnsi" w:hAnsiTheme="minorHAnsi"/>
    </w:rPr>
  </w:style>
  <w:style w:type="paragraph" w:styleId="SourceCode" w:customStyle="1">
    <w:name w:val="Source Code"/>
    <w:basedOn w:val="Normal"/>
    <w:link w:val="VerbatimChar"/>
    <w:qFormat/>
    <w:rsid w:val="00372b55"/>
    <w:pPr>
      <w:widowControl/>
      <w:spacing w:before="0" w:after="200"/>
      <w:jc w:val="left"/>
    </w:pPr>
    <w:rPr>
      <w:rFonts w:ascii="Consolas" w:hAnsi="Consolas"/>
      <w:sz w:val="22"/>
    </w:rPr>
  </w:style>
  <w:style w:type="paragraph" w:styleId="Compact" w:customStyle="1">
    <w:name w:val="Compact"/>
    <w:basedOn w:val="BodyText"/>
    <w:qFormat/>
    <w:rsid w:val="00aa56f6"/>
    <w:pPr>
      <w:widowControl/>
      <w:spacing w:before="36" w:after="36"/>
      <w:jc w:val="left"/>
    </w:pPr>
    <w:rPr>
      <w:rFonts w:ascii="Cambria" w:hAnsi="Cambria" w:eastAsia="Cambria" w:cs="" w:asciiTheme="minorHAnsi" w:cstheme="minorBidi" w:eastAsiaTheme="minorHAnsi" w:hAnsiTheme="minorHAnsi"/>
    </w:rPr>
  </w:style>
  <w:style w:type="paragraph" w:styleId="Bibliography">
    <w:name w:val="Bibliography"/>
    <w:basedOn w:val="Normal"/>
    <w:next w:val="Normal"/>
    <w:uiPriority w:val="37"/>
    <w:unhideWhenUsed/>
    <w:qFormat/>
    <w:rsid w:val="002261b5"/>
    <w:pPr>
      <w:tabs>
        <w:tab w:val="clear" w:pos="720"/>
        <w:tab w:val="left" w:pos="384" w:leader="none"/>
      </w:tabs>
      <w:ind w:hanging="384" w:left="384"/>
    </w:pPr>
    <w:rPr/>
  </w:style>
  <w:style w:type="paragraph" w:styleId="Header">
    <w:name w:val="header"/>
    <w:basedOn w:val="HeaderandFooter"/>
    <w:pPr>
      <w:suppressLineNumbers/>
    </w:pPr>
    <w:rPr/>
  </w:style>
  <w:style w:type="paragraph" w:styleId="FrameContentsuser" w:customStyle="1">
    <w:name w:val="Frame Contents (user)"/>
    <w:basedOn w:val="Normal"/>
    <w:qFormat/>
    <w:pPr/>
    <w:rPr/>
  </w:style>
  <w:style w:type="paragraph" w:styleId="Comment" w:customStyle="1">
    <w:name w:val="Comment"/>
    <w:basedOn w:val="Normal"/>
    <w:qFormat/>
    <w:pPr>
      <w:spacing w:before="56" w:after="0"/>
      <w:ind w:left="57" w:right="57"/>
    </w:pPr>
    <w:rPr>
      <w:sz w:val="20"/>
      <w:szCs w:val="20"/>
    </w:rPr>
  </w:style>
  <w:style w:type="paragraph" w:styleId="PreformattedText" w:customStyle="1">
    <w:name w:val="Preformatted Text"/>
    <w:basedOn w:val="Normal"/>
    <w:qFormat/>
    <w:pPr/>
    <w:rPr>
      <w:rFonts w:ascii="Liberation Mono" w:hAnsi="Liberation Mono" w:eastAsia="Liberation Mono" w:cs="Liberation Mono"/>
      <w:sz w:val="20"/>
      <w:szCs w:val="20"/>
    </w:rPr>
  </w:style>
  <w:style w:type="paragraph" w:styleId="IntenseQuote">
    <w:name w:val="Intense Quote"/>
    <w:basedOn w:val="Normal"/>
    <w:next w:val="Normal"/>
    <w:qFormat/>
    <w:pPr>
      <w:pBdr>
        <w:top w:val="single" w:sz="4" w:space="10" w:color="2F5496"/>
        <w:bottom w:val="single" w:sz="4" w:space="10" w:color="2F5496"/>
      </w:pBdr>
      <w:spacing w:before="360" w:after="360"/>
      <w:ind w:left="864" w:right="864"/>
      <w:jc w:val="center"/>
    </w:pPr>
    <w:rPr>
      <w:i/>
      <w:iCs/>
      <w:color w:themeColor="accent1" w:themeShade="bf" w:val="365F91"/>
    </w:rPr>
  </w:style>
  <w:style w:type="paragraph" w:styleId="Quote">
    <w:name w:val="Quote"/>
    <w:basedOn w:val="Normal"/>
    <w:next w:val="Normal"/>
    <w:qFormat/>
    <w:pPr>
      <w:spacing w:before="160" w:after="160"/>
      <w:jc w:val="center"/>
    </w:pPr>
    <w:rPr>
      <w:i/>
      <w:iCs/>
      <w:color w:themeColor="dark1" w:themeTint="bf" w:val="404040"/>
    </w:rPr>
  </w:style>
  <w:style w:type="paragraph" w:styleId="ListContents" w:customStyle="1">
    <w:name w:val="List Contents"/>
    <w:basedOn w:val="Normal"/>
    <w:qFormat/>
    <w:pPr>
      <w:ind w:lef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aa56f6"/>
    <w:rPr>
      <w:rFonts w:asciiTheme="minorHAnsi" w:hAnsiTheme="minorHAnsi" w:eastAsiaTheme="minorHAnsi" w:cstheme="minorBidi"/>
      <w:lang w:val="en-GB" w:eastAsia="en-GB"/>
      <w:sz w:val="20"/>
      <w:szCs w:val="20"/>
    </w:rPr>
    <w:tblPr>
      <w:tblCellMar>
        <w:top w:w="0" w:type="dxa"/>
        <w:left w:w="108" w:type="dxa"/>
        <w:bottom w:w="0" w:type="dxa"/>
        <w:right w:w="108" w:type="dxa"/>
      </w:tblCellMar>
    </w:tblPr>
    <w:tblStylePr w:type="firstRow">
      <w:tblPr/>
      <w:tcPr>
        <w:tcBorders>
          <w:bottom w:val="single" w:color="auto" w:sz="0" w:space="0"/>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A2E3-77F4-4689-B54F-931A4C47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Application>LibreOffice/25.2.4.3$Linux_X86_64 LibreOffice_project/520$Build-3</Application>
  <AppVersion>15.0000</AppVersion>
  <Pages>13</Pages>
  <Words>5457</Words>
  <Characters>30976</Characters>
  <CharactersWithSpaces>36308</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2025-10-27T17:20:00Z</dcterms:created>
  <dc:creator>Keller  Beat</dc:creator>
  <dc:description/>
  <dc:language>en-US</dc:language>
  <cp:lastModifiedBy>Beat Keller</cp:lastModifiedBy>
  <cp:lastPrinted>2025-10-21T16:53:00Z</cp:lastPrinted>
  <dcterms:modified xsi:type="dcterms:W3CDTF">2025-11-07T09:28:06Z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zotero-version="6.0.5"&gt;&lt;session id="v1B68Dha"/&gt;&lt;style id="http://www.zotero.org/styles/journal-of-visualized-experiments" hasBibliography="1" bibliographyStyleHasBeenSet="1"/&gt;&lt;prefs&gt;&lt;pref name="fieldType" value="Field"/&gt;&lt;/prefs&gt;&lt;/da</vt:lpwstr>
  </property>
  <property fmtid="{D5CDD505-2E9C-101B-9397-08002B2CF9AE}" pid="4" name="ZOTERO_PREF_2">
    <vt:lpwstr>ta&gt;</vt:lpwstr>
  </property>
</Properties>
</file>