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3E1CE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765D7">
        <w:rPr>
          <w:rFonts w:eastAsia="Times New Roman" w:cstheme="minorHAnsi"/>
          <w:b/>
        </w:rPr>
        <w:t>69523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686768C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765D7" w:rsidRPr="00E31C57">
          <w:rPr>
            <w:rStyle w:val="Hyperlink"/>
            <w:rFonts w:eastAsia="Times New Roman" w:cstheme="minorHAnsi"/>
            <w:b/>
          </w:rPr>
          <w:t>https://review.jove.com/account/file-uploader?src=21204563</w:t>
        </w:r>
      </w:hyperlink>
    </w:p>
    <w:p w14:paraId="4F3354BF" w14:textId="77777777" w:rsidR="00F765D7" w:rsidRPr="00B07A3B" w:rsidRDefault="00F765D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3CCB74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41D28" w:rsidRPr="00C41D28">
        <w:rPr>
          <w:rStyle w:val="ArticleTitle"/>
          <w:rFonts w:cstheme="minorHAnsi"/>
        </w:rPr>
        <w:t>Experimental Approaches for Biochemical Analysis of Glial Fibrillary Acidic Protein and Its Disease-associated Variants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00A11A7" w14:textId="52F53BCF" w:rsidR="00C41D28" w:rsidRPr="00C41D28" w:rsidRDefault="00C41D28" w:rsidP="00C41D2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C41D28">
        <w:rPr>
          <w:rFonts w:eastAsia="Times New Roman" w:cstheme="minorHAnsi"/>
          <w:b/>
          <w:sz w:val="28"/>
          <w:szCs w:val="28"/>
        </w:rPr>
        <w:t>Ni-Hsuan Lin, Ming-Der Perng</w:t>
      </w:r>
    </w:p>
    <w:p w14:paraId="4D543658" w14:textId="77777777" w:rsidR="00C41D28" w:rsidRPr="00C41D28" w:rsidRDefault="00C41D28" w:rsidP="00C41D2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4BECA4C" w:rsidR="00D6314B" w:rsidRPr="00B07A3B" w:rsidRDefault="00C41D2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C41D28">
        <w:rPr>
          <w:rFonts w:eastAsia="Times New Roman" w:cstheme="minorHAnsi"/>
          <w:b/>
          <w:sz w:val="28"/>
          <w:szCs w:val="28"/>
        </w:rPr>
        <w:t>Institute of Molecular Medicine, College of Life Sciences and Medicine, National Tsing Hua University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D08EA60" w:rsidR="004E0C5A" w:rsidRPr="00B07A3B" w:rsidRDefault="00C41D28" w:rsidP="004E0C5A">
      <w:pPr>
        <w:outlineLvl w:val="0"/>
        <w:rPr>
          <w:rFonts w:eastAsia="Times New Roman" w:cstheme="minorHAnsi"/>
        </w:rPr>
      </w:pPr>
      <w:bookmarkStart w:id="0" w:name="_Hlk25233958"/>
      <w:r w:rsidRPr="000437B0">
        <w:rPr>
          <w:rFonts w:cstheme="minorHAnsi"/>
        </w:rPr>
        <w:t xml:space="preserve">Ming-Der Perng                                          </w:t>
      </w:r>
      <w:hyperlink r:id="rId8" w:history="1">
        <w:r w:rsidRPr="000437B0">
          <w:rPr>
            <w:rStyle w:val="Hyperlink"/>
            <w:rFonts w:cstheme="minorHAnsi"/>
          </w:rPr>
          <w:t>mdperng@life.nthu.edu.tw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4AC3DB83" w:rsidR="003B5E26" w:rsidRPr="00C41D28" w:rsidRDefault="00C41D28" w:rsidP="00C41D28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  <w:r w:rsidRPr="000437B0">
        <w:rPr>
          <w:rFonts w:cstheme="minorHAnsi"/>
        </w:rPr>
        <w:t xml:space="preserve">Ni-Hsuan Lin                                                </w:t>
      </w:r>
      <w:hyperlink r:id="rId9" w:history="1">
        <w:r w:rsidRPr="000437B0">
          <w:rPr>
            <w:rStyle w:val="Hyperlink"/>
            <w:rFonts w:cstheme="minorHAnsi"/>
          </w:rPr>
          <w:t>nancynihsuan@gapp.nthu.edu.tw</w:t>
        </w:r>
      </w:hyperlink>
      <w:r w:rsidRPr="000437B0">
        <w:rPr>
          <w:rFonts w:cstheme="minorHAnsi"/>
        </w:rPr>
        <w:t xml:space="preserve"> </w:t>
      </w:r>
    </w:p>
    <w:p w14:paraId="6F84F159" w14:textId="3A14574B" w:rsidR="003B5E26" w:rsidRPr="00B07A3B" w:rsidRDefault="00C41D28" w:rsidP="009A0E7C">
      <w:pPr>
        <w:outlineLvl w:val="0"/>
        <w:rPr>
          <w:rFonts w:cstheme="minorHAnsi"/>
          <w:b/>
          <w:sz w:val="22"/>
          <w:szCs w:val="22"/>
        </w:rPr>
      </w:pPr>
      <w:r w:rsidRPr="000437B0">
        <w:rPr>
          <w:rFonts w:cstheme="minorHAnsi"/>
        </w:rPr>
        <w:t xml:space="preserve">Ming-Der Perng                                          </w:t>
      </w:r>
      <w:hyperlink r:id="rId10" w:history="1">
        <w:r w:rsidRPr="000437B0">
          <w:rPr>
            <w:rStyle w:val="Hyperlink"/>
            <w:rFonts w:cstheme="minorHAnsi"/>
          </w:rPr>
          <w:t>mdperng@life.nthu.edu.tw</w:t>
        </w:r>
      </w:hyperlink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2BF178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A4DF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09F737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A4DF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817ACCD" w:rsidR="005F1ADF" w:rsidRPr="00B07A3B" w:rsidRDefault="009A2C33" w:rsidP="005F1ADF">
      <w:pPr>
        <w:spacing w:before="120"/>
        <w:rPr>
          <w:rFonts w:eastAsia="Times New Roman" w:cstheme="minorHAnsi"/>
          <w:b/>
          <w:bCs/>
          <w:lang w:eastAsia="zh-TW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A13599">
        <w:rPr>
          <w:rFonts w:eastAsia="Times New Roman" w:cstheme="minorHAnsi"/>
          <w:b/>
        </w:rPr>
        <w:t>Yes, 200 m apart</w:t>
      </w:r>
    </w:p>
    <w:p w14:paraId="63770740" w14:textId="69150CB8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D47DA6">
        <w:rPr>
          <w:rFonts w:eastAsia="Times New Roman" w:cstheme="minorHAnsi"/>
        </w:rPr>
        <w:t>Within 200 meters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52F2B8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A4DF6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136601">
        <w:rPr>
          <w:rFonts w:cstheme="minorHAnsi"/>
          <w:b/>
          <w:sz w:val="22"/>
          <w:szCs w:val="22"/>
        </w:rPr>
        <w:t>Protocol Length</w:t>
      </w:r>
    </w:p>
    <w:p w14:paraId="72F5C5E6" w14:textId="1564746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36601">
        <w:rPr>
          <w:rFonts w:cstheme="minorHAnsi"/>
          <w:bCs/>
          <w:sz w:val="22"/>
          <w:szCs w:val="22"/>
        </w:rPr>
        <w:t>11</w:t>
      </w:r>
    </w:p>
    <w:p w14:paraId="5AAC9C6C" w14:textId="0F54FD5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136601">
        <w:rPr>
          <w:rFonts w:cstheme="minorHAnsi"/>
          <w:bCs/>
          <w:sz w:val="22"/>
          <w:szCs w:val="22"/>
        </w:rPr>
        <w:t xml:space="preserve"> 22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Pr="00A13599" w:rsidRDefault="00A40CB9" w:rsidP="00A40CB9">
      <w:pPr>
        <w:rPr>
          <w:rFonts w:ascii="Calibri" w:hAnsi="Calibri" w:cs="Calibri"/>
          <w:b/>
          <w:bCs/>
          <w:color w:val="auto"/>
          <w:shd w:val="clear" w:color="auto" w:fill="FFFFFF"/>
        </w:rPr>
      </w:pPr>
    </w:p>
    <w:p w14:paraId="0F0D9777" w14:textId="77777777" w:rsidR="00A40CB9" w:rsidRPr="00A13599" w:rsidRDefault="00A40CB9" w:rsidP="00A40CB9">
      <w:pPr>
        <w:rPr>
          <w:rFonts w:ascii="Calibri" w:hAnsi="Calibri" w:cs="Calibri"/>
          <w:b/>
          <w:bCs/>
          <w:color w:val="auto"/>
          <w:shd w:val="clear" w:color="auto" w:fill="FFFFFF"/>
        </w:rPr>
      </w:pPr>
      <w:r w:rsidRPr="00A13599">
        <w:rPr>
          <w:rFonts w:ascii="Calibri" w:hAnsi="Calibri" w:cs="Calibri"/>
          <w:color w:val="auto"/>
          <w:shd w:val="clear" w:color="auto" w:fill="FFFFFF"/>
        </w:rPr>
        <w:t>What is the scope of your research? What questions are you trying to answer?</w:t>
      </w:r>
      <w:r w:rsidRPr="00A13599">
        <w:rPr>
          <w:rFonts w:ascii="Calibri" w:eastAsia="Times New Roman" w:hAnsi="Calibri" w:cs="Calibri"/>
          <w:color w:val="auto"/>
        </w:rPr>
        <w:t xml:space="preserve"> </w:t>
      </w:r>
    </w:p>
    <w:p w14:paraId="17786BBA" w14:textId="2FB60EEF" w:rsidR="00A40CB9" w:rsidRPr="00A13599" w:rsidRDefault="00D47DA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</w:rPr>
        <w:t>Ming-Der Perng</w:t>
      </w:r>
      <w:r w:rsidR="00A40CB9" w:rsidRPr="00A13599">
        <w:rPr>
          <w:rStyle w:val="AuthorName"/>
          <w:rFonts w:eastAsia="Times"/>
        </w:rPr>
        <w:t>:</w:t>
      </w:r>
      <w:r w:rsidR="00A40CB9" w:rsidRPr="00A13599">
        <w:rPr>
          <w:rFonts w:ascii="Calibri" w:hAnsi="Calibri" w:cs="Calibri"/>
        </w:rPr>
        <w:t xml:space="preserve"> </w:t>
      </w:r>
      <w:r w:rsidRPr="00A13599">
        <w:rPr>
          <w:rFonts w:ascii="Calibri" w:hAnsi="Calibri" w:cs="Calibri"/>
          <w:color w:val="262626"/>
          <w:shd w:val="clear" w:color="auto" w:fill="FFFFFF"/>
        </w:rPr>
        <w:t>My research focus</w:t>
      </w:r>
      <w:r w:rsidR="00A13599">
        <w:rPr>
          <w:rFonts w:ascii="Calibri" w:hAnsi="Calibri" w:cs="Calibri"/>
          <w:color w:val="262626"/>
          <w:shd w:val="clear" w:color="auto" w:fill="FFFFFF"/>
        </w:rPr>
        <w:t>es</w:t>
      </w:r>
      <w:r w:rsidRPr="00A13599">
        <w:rPr>
          <w:rFonts w:ascii="Calibri" w:hAnsi="Calibri" w:cs="Calibri"/>
          <w:color w:val="262626"/>
          <w:shd w:val="clear" w:color="auto" w:fill="FFFFFF"/>
        </w:rPr>
        <w:t xml:space="preserve"> on </w:t>
      </w:r>
      <w:r w:rsidR="00A13599">
        <w:rPr>
          <w:rFonts w:ascii="Calibri" w:hAnsi="Calibri" w:cs="Calibri"/>
          <w:color w:val="262626"/>
          <w:shd w:val="clear" w:color="auto" w:fill="FFFFFF"/>
        </w:rPr>
        <w:t>GFAP</w:t>
      </w:r>
      <w:r w:rsidRPr="00A13599">
        <w:rPr>
          <w:rFonts w:ascii="Calibri" w:hAnsi="Calibri" w:cs="Calibri"/>
          <w:color w:val="262626"/>
          <w:shd w:val="clear" w:color="auto" w:fill="FFFFFF"/>
        </w:rPr>
        <w:t xml:space="preserve"> changes in affect astrocytes and how their dysfunctions lead to Alexander disease. </w:t>
      </w:r>
      <w:r w:rsidR="00A13599">
        <w:rPr>
          <w:rFonts w:ascii="Calibri" w:hAnsi="Calibri" w:cs="Calibri"/>
          <w:color w:val="262626"/>
          <w:shd w:val="clear" w:color="auto" w:fill="FFFFFF"/>
        </w:rPr>
        <w:t>We</w:t>
      </w:r>
      <w:r w:rsidRPr="00A13599">
        <w:rPr>
          <w:rFonts w:ascii="Calibri" w:hAnsi="Calibri" w:cs="Calibri"/>
          <w:color w:val="262626"/>
          <w:shd w:val="clear" w:color="auto" w:fill="FFFFFF"/>
        </w:rPr>
        <w:t xml:space="preserve"> share easy-to-follow methods to study </w:t>
      </w:r>
      <w:r w:rsidR="00A13599" w:rsidRPr="00A13599">
        <w:rPr>
          <w:rFonts w:ascii="Calibri" w:hAnsi="Calibri" w:cs="Calibri"/>
          <w:color w:val="262626"/>
          <w:shd w:val="clear" w:color="auto" w:fill="FFFFFF"/>
        </w:rPr>
        <w:t>GFAP.</w:t>
      </w:r>
    </w:p>
    <w:p w14:paraId="349347D8" w14:textId="5C533D61" w:rsidR="00A13599" w:rsidRPr="00A13599" w:rsidRDefault="00A13599" w:rsidP="00D47DA6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b w:val="0"/>
          <w:u w:val="none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A13599">
        <w:rPr>
          <w:rStyle w:val="AuthorName"/>
          <w:rFonts w:eastAsia="Times"/>
          <w:b w:val="0"/>
          <w:bCs/>
          <w:u w:val="none"/>
        </w:rPr>
        <w:br/>
      </w:r>
    </w:p>
    <w:p w14:paraId="29154B37" w14:textId="4A774307" w:rsidR="00A13599" w:rsidRPr="00A13599" w:rsidRDefault="00A13599" w:rsidP="00A13599">
      <w:pPr>
        <w:spacing w:before="120"/>
        <w:rPr>
          <w:rStyle w:val="AuthorName"/>
          <w:b w:val="0"/>
          <w:u w:val="none"/>
        </w:rPr>
      </w:pPr>
      <w:r w:rsidRPr="00A13599">
        <w:rPr>
          <w:rFonts w:ascii="Calibri" w:hAnsi="Calibri" w:cs="Calibri"/>
          <w:color w:val="000000"/>
          <w:shd w:val="clear" w:color="auto" w:fill="FFFFFF"/>
        </w:rPr>
        <w:t>What are the current experimental challenges?</w:t>
      </w:r>
    </w:p>
    <w:p w14:paraId="656B1CBE" w14:textId="64D0AD3F" w:rsidR="00D47DA6" w:rsidRPr="00A13599" w:rsidRDefault="007D18FB" w:rsidP="00A1359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</w:rPr>
        <w:t>Ming-Der Perng</w:t>
      </w:r>
      <w:r w:rsidR="00A40CB9" w:rsidRPr="00A13599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13599">
        <w:rPr>
          <w:rFonts w:ascii="Calibri" w:eastAsia="Times New Roman" w:hAnsi="Calibri" w:cs="Calibri"/>
        </w:rPr>
        <w:t xml:space="preserve"> </w:t>
      </w:r>
      <w:r w:rsidR="00D47DA6" w:rsidRPr="00A13599">
        <w:rPr>
          <w:rFonts w:ascii="Calibri" w:hAnsi="Calibri" w:cs="Calibri"/>
          <w:color w:val="262626"/>
          <w:shd w:val="clear" w:color="auto" w:fill="FFFFFF"/>
        </w:rPr>
        <w:t>Disease-related versions of GFAP are harder to study because they don’t assemble properly, tend to clump together, and have unusual modifications.</w:t>
      </w:r>
    </w:p>
    <w:p w14:paraId="5B87FE84" w14:textId="0B3BE818" w:rsidR="00A13599" w:rsidRPr="00A13599" w:rsidRDefault="00A13599" w:rsidP="00A1359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B858F67" w14:textId="77777777" w:rsidR="00A40CB9" w:rsidRPr="00A13599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4DDB5459" w14:textId="77777777" w:rsidR="00A40CB9" w:rsidRPr="00A13599" w:rsidRDefault="00A40CB9" w:rsidP="00A40CB9">
      <w:pPr>
        <w:rPr>
          <w:rFonts w:ascii="Calibri" w:eastAsia="Times New Roman" w:hAnsi="Calibri" w:cs="Calibri"/>
          <w:b/>
          <w:bCs/>
        </w:rPr>
      </w:pPr>
      <w:r w:rsidRPr="00A13599">
        <w:rPr>
          <w:rFonts w:ascii="Calibri" w:eastAsia="Times New Roman" w:hAnsi="Calibri" w:cs="Calibri"/>
          <w:b/>
          <w:bCs/>
        </w:rPr>
        <w:t>CONCLUSION:</w:t>
      </w:r>
    </w:p>
    <w:p w14:paraId="723FA82E" w14:textId="77777777" w:rsidR="00A40CB9" w:rsidRPr="00A13599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56C5BFC2" w14:textId="77777777" w:rsidR="00A40CB9" w:rsidRPr="00A13599" w:rsidRDefault="00A40CB9" w:rsidP="00A40CB9">
      <w:pPr>
        <w:rPr>
          <w:rFonts w:ascii="Calibri" w:eastAsia="Times New Roman" w:hAnsi="Calibri" w:cs="Calibri"/>
        </w:rPr>
      </w:pPr>
    </w:p>
    <w:p w14:paraId="7B5A5382" w14:textId="77777777" w:rsidR="00A40CB9" w:rsidRPr="00A13599" w:rsidRDefault="00A40CB9" w:rsidP="00A40CB9">
      <w:pPr>
        <w:rPr>
          <w:rFonts w:ascii="Calibri" w:eastAsia="Times New Roman" w:hAnsi="Calibri" w:cs="Calibri"/>
        </w:rPr>
      </w:pPr>
      <w:r w:rsidRPr="00A13599">
        <w:rPr>
          <w:rFonts w:ascii="Calibri" w:hAnsi="Calibri" w:cs="Calibri"/>
          <w:color w:val="000000"/>
          <w:shd w:val="clear" w:color="auto" w:fill="FFFFFF"/>
        </w:rPr>
        <w:t>What research gap are you addressing with your protocol?</w:t>
      </w:r>
    </w:p>
    <w:p w14:paraId="5342A0DB" w14:textId="6FB920F8" w:rsidR="00A40CB9" w:rsidRPr="00A13599" w:rsidRDefault="00D47DA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</w:rPr>
        <w:t>Ming-Der Perng</w:t>
      </w:r>
      <w:r w:rsidR="00A40CB9" w:rsidRPr="00A13599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13599">
        <w:rPr>
          <w:rFonts w:ascii="Calibri" w:eastAsia="Times New Roman" w:hAnsi="Calibri" w:cs="Calibri"/>
        </w:rPr>
        <w:t xml:space="preserve"> </w:t>
      </w:r>
      <w:r w:rsidR="00BD2FCB" w:rsidRPr="00BD2FCB">
        <w:rPr>
          <w:rFonts w:ascii="Calibri" w:hAnsi="Calibri" w:cs="Calibri"/>
          <w:color w:val="262626"/>
          <w:shd w:val="clear" w:color="auto" w:fill="FFFFFF"/>
        </w:rPr>
        <w:t>We still lack a clear picture of how mutant GFAP alters filaments, drives aggregation, and impairs cells. Our protocol directly investigates these mechanisms.</w:t>
      </w:r>
    </w:p>
    <w:p w14:paraId="7EA0025A" w14:textId="5B87279C" w:rsidR="00A13599" w:rsidRPr="00A13599" w:rsidRDefault="00A13599" w:rsidP="00A1359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3E21CA80" w14:textId="77777777" w:rsidR="00A40CB9" w:rsidRPr="00A13599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31625B48" w14:textId="77777777" w:rsidR="00A40CB9" w:rsidRPr="00A13599" w:rsidRDefault="00A40CB9" w:rsidP="00A40CB9">
      <w:pPr>
        <w:rPr>
          <w:rFonts w:ascii="Calibri" w:eastAsia="Times New Roman" w:hAnsi="Calibri" w:cs="Calibri"/>
        </w:rPr>
      </w:pPr>
      <w:r w:rsidRPr="00A13599">
        <w:rPr>
          <w:rFonts w:ascii="Calibri" w:hAnsi="Calibri" w:cs="Calibri"/>
          <w:color w:val="000000"/>
          <w:shd w:val="clear" w:color="auto" w:fill="FFFFFF"/>
        </w:rPr>
        <w:t xml:space="preserve">What </w:t>
      </w:r>
      <w:proofErr w:type="gramStart"/>
      <w:r w:rsidRPr="00A13599">
        <w:rPr>
          <w:rFonts w:ascii="Calibri" w:hAnsi="Calibri" w:cs="Calibri"/>
          <w:color w:val="000000"/>
          <w:shd w:val="clear" w:color="auto" w:fill="FFFFFF"/>
        </w:rPr>
        <w:t>advantage</w:t>
      </w:r>
      <w:proofErr w:type="gramEnd"/>
      <w:r w:rsidRPr="00A13599">
        <w:rPr>
          <w:rFonts w:ascii="Calibri" w:hAnsi="Calibri" w:cs="Calibr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542A297B" w:rsidR="00A40CB9" w:rsidRPr="00A13599" w:rsidRDefault="00D47DA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</w:rPr>
        <w:t>Ming-Der Perng</w:t>
      </w:r>
      <w:r w:rsidR="00A40CB9" w:rsidRPr="00A13599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13599">
        <w:rPr>
          <w:rFonts w:ascii="Calibri" w:eastAsia="Times New Roman" w:hAnsi="Calibri" w:cs="Calibri"/>
        </w:rPr>
        <w:t xml:space="preserve"> </w:t>
      </w:r>
      <w:r w:rsidR="00BD2FCB">
        <w:rPr>
          <w:rFonts w:ascii="Calibri" w:hAnsi="Calibri" w:cs="Calibri"/>
          <w:color w:val="262626"/>
          <w:shd w:val="clear" w:color="auto" w:fill="FFFFFF"/>
        </w:rPr>
        <w:t>W</w:t>
      </w:r>
      <w:r w:rsidRPr="00A13599">
        <w:rPr>
          <w:rFonts w:ascii="Calibri" w:hAnsi="Calibri" w:cs="Calibri"/>
          <w:color w:val="262626"/>
          <w:shd w:val="clear" w:color="auto" w:fill="FFFFFF"/>
        </w:rPr>
        <w:t>e</w:t>
      </w:r>
      <w:r w:rsidR="00BD2FCB">
        <w:rPr>
          <w:rFonts w:ascii="Calibri" w:hAnsi="Calibri" w:cs="Calibri"/>
          <w:color w:val="262626"/>
          <w:shd w:val="clear" w:color="auto" w:fill="FFFFFF"/>
        </w:rPr>
        <w:t xml:space="preserve"> have</w:t>
      </w:r>
      <w:r w:rsidRPr="00A13599">
        <w:rPr>
          <w:rFonts w:ascii="Calibri" w:hAnsi="Calibri" w:cs="Calibri"/>
          <w:color w:val="262626"/>
          <w:shd w:val="clear" w:color="auto" w:fill="FFFFFF"/>
        </w:rPr>
        <w:t xml:space="preserve"> developed a standardized method to purify both normal and mutant GFAP, making it much easier to study the protein and its role in disease.</w:t>
      </w:r>
    </w:p>
    <w:p w14:paraId="0705CC05" w14:textId="04708F85" w:rsidR="00A13599" w:rsidRPr="00A13599" w:rsidRDefault="00A13599" w:rsidP="00A1359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393C2229" w14:textId="77777777" w:rsidR="00A40CB9" w:rsidRPr="00A13599" w:rsidRDefault="00A40CB9" w:rsidP="00A40CB9">
      <w:pPr>
        <w:spacing w:before="120"/>
        <w:rPr>
          <w:rFonts w:ascii="Calibri" w:eastAsia="Times New Roman" w:hAnsi="Calibri" w:cs="Calibri"/>
        </w:rPr>
      </w:pPr>
      <w:r w:rsidRPr="00A13599">
        <w:rPr>
          <w:rFonts w:ascii="Calibri" w:hAnsi="Calibri" w:cs="Calibri"/>
          <w:color w:val="000000"/>
          <w:shd w:val="clear" w:color="auto" w:fill="FFFFFF"/>
        </w:rPr>
        <w:t>How will your findings advance research in your field?</w:t>
      </w:r>
    </w:p>
    <w:p w14:paraId="52F74E8B" w14:textId="46EEA93F" w:rsidR="00A40CB9" w:rsidRPr="00A13599" w:rsidRDefault="00D47DA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</w:rPr>
        <w:lastRenderedPageBreak/>
        <w:t>Ming-Der Perng</w:t>
      </w:r>
      <w:r w:rsidR="00A40CB9" w:rsidRPr="00A13599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13599">
        <w:rPr>
          <w:rFonts w:ascii="Calibri" w:eastAsia="Times New Roman" w:hAnsi="Calibri" w:cs="Calibri"/>
        </w:rPr>
        <w:t xml:space="preserve"> </w:t>
      </w:r>
      <w:r w:rsidR="00BD2FCB" w:rsidRPr="00BD2FCB">
        <w:rPr>
          <w:rFonts w:ascii="Calibri" w:hAnsi="Calibri" w:cs="Calibri"/>
          <w:color w:val="262626"/>
          <w:shd w:val="clear" w:color="auto" w:fill="FFFFFF"/>
        </w:rPr>
        <w:t>This protocol streamlines preparing normal and mutant GFAP to clarify how filament assembly, aggregation, and modifications contribute to Alexander disease.</w:t>
      </w:r>
    </w:p>
    <w:p w14:paraId="077D0CEE" w14:textId="6365AA20" w:rsidR="00A13599" w:rsidRPr="00A13599" w:rsidRDefault="00A13599" w:rsidP="00A13599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1855BCE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C41D28">
        <w:rPr>
          <w:rFonts w:eastAsia="Times New Roman" w:cstheme="minorHAnsi"/>
        </w:rPr>
        <w:t xml:space="preserve">of </w:t>
      </w:r>
      <w:r w:rsidR="00C41D28" w:rsidRPr="00F061BE">
        <w:t>the College of Life Sciences and Medicine at the National Tsing Hua University</w:t>
      </w:r>
    </w:p>
    <w:p w14:paraId="067D8E40" w14:textId="77777777" w:rsidR="00C41D28" w:rsidRDefault="00C41D2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37BA7093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F2D2C3F" w:rsidR="00CE10F2" w:rsidRDefault="00C41D2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41D28">
        <w:rPr>
          <w:rFonts w:cstheme="minorHAnsi"/>
          <w:b/>
          <w:bCs/>
        </w:rPr>
        <w:t>Negative Staining and Transmission Electron Microscopy of Sample Assemblies</w:t>
      </w:r>
    </w:p>
    <w:p w14:paraId="314C5FBA" w14:textId="65B724B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B3B0B">
        <w:rPr>
          <w:rFonts w:cstheme="minorHAnsi"/>
        </w:rPr>
        <w:t>Ni-Hsuan Lin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A13599" w:rsidRDefault="00985FE6" w:rsidP="00A13599">
      <w:pPr>
        <w:spacing w:before="120"/>
        <w:rPr>
          <w:rFonts w:cstheme="minorHAnsi"/>
        </w:rPr>
      </w:pPr>
    </w:p>
    <w:p w14:paraId="7FC0BC70" w14:textId="0C285267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To begin, </w:t>
      </w:r>
      <w:r>
        <w:t xml:space="preserve">place </w:t>
      </w:r>
      <w:r w:rsidRPr="003A4BC5">
        <w:t xml:space="preserve">glow discharge Formvar and carbon-coated copper grids </w:t>
      </w:r>
      <w:r>
        <w:t xml:space="preserve">in a </w:t>
      </w:r>
      <w:r w:rsidRPr="003A4BC5">
        <w:t>Glow Discharge Cleaning system</w:t>
      </w:r>
      <w:r>
        <w:t xml:space="preserve"> </w:t>
      </w:r>
      <w:r>
        <w:rPr>
          <w:b/>
          <w:bCs/>
        </w:rPr>
        <w:t xml:space="preserve">[1]. </w:t>
      </w:r>
      <w:r>
        <w:t xml:space="preserve">Clean the grids </w:t>
      </w:r>
      <w:r w:rsidRPr="003A4BC5">
        <w:t xml:space="preserve">for 45 seconds at 20 milliamperes </w:t>
      </w:r>
      <w:r w:rsidRPr="003A4BC5">
        <w:rPr>
          <w:b/>
          <w:bCs/>
        </w:rPr>
        <w:t>[</w:t>
      </w:r>
      <w:r>
        <w:rPr>
          <w:b/>
          <w:bCs/>
        </w:rPr>
        <w:t>2</w:t>
      </w:r>
      <w:r w:rsidRPr="003A4BC5">
        <w:rPr>
          <w:b/>
          <w:bCs/>
        </w:rPr>
        <w:t>]</w:t>
      </w:r>
      <w:r w:rsidRPr="003A4BC5">
        <w:t>.</w:t>
      </w:r>
      <w:r w:rsidRPr="00C41D28">
        <w:t xml:space="preserve"> </w:t>
      </w:r>
      <w:r w:rsidRPr="003A4BC5">
        <w:t xml:space="preserve">Deliver the assembly mixtures onto the glow-discharged grid </w:t>
      </w:r>
      <w:r>
        <w:rPr>
          <w:b/>
          <w:bCs/>
        </w:rPr>
        <w:t xml:space="preserve">[3-TXT]. </w:t>
      </w:r>
    </w:p>
    <w:p w14:paraId="46E630CB" w14:textId="5CB6F9E8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WIDE: Talent placing copper grids into a Glow Discharge Cleaning system</w:t>
      </w:r>
      <w:r>
        <w:t xml:space="preserve">. </w:t>
      </w:r>
    </w:p>
    <w:p w14:paraId="200A138B" w14:textId="24457BB8" w:rsidR="00C41D28" w:rsidRPr="003A4BC5" w:rsidRDefault="00C41D28" w:rsidP="00C41D28">
      <w:pPr>
        <w:pStyle w:val="ShotDescription"/>
        <w:numPr>
          <w:ilvl w:val="2"/>
          <w:numId w:val="3"/>
        </w:numPr>
      </w:pPr>
      <w:r>
        <w:t xml:space="preserve">Talent </w:t>
      </w:r>
      <w:r w:rsidRPr="003A4BC5">
        <w:t>starting the discharge cycle.</w:t>
      </w:r>
    </w:p>
    <w:p w14:paraId="3856B5BB" w14:textId="3ABE2C4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pipetting the assembly mixture onto the prepared grid and letting it sit undisturbed.</w:t>
      </w:r>
      <w:r>
        <w:t xml:space="preserve"> </w:t>
      </w:r>
      <w:r>
        <w:rPr>
          <w:b/>
          <w:bCs/>
        </w:rPr>
        <w:t>TXT: Allow samples to bind to the support film for 60 s</w:t>
      </w:r>
    </w:p>
    <w:p w14:paraId="71868A4B" w14:textId="1696D911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Remove excess liquid by wicking the edge of the grid with a piece of blotting paper </w:t>
      </w:r>
      <w:r w:rsidRPr="003A4BC5">
        <w:rPr>
          <w:b/>
          <w:bCs/>
        </w:rPr>
        <w:t>[1]</w:t>
      </w:r>
      <w:r w:rsidRPr="003A4BC5">
        <w:t>.</w:t>
      </w:r>
      <w:r w:rsidRPr="00C41D28">
        <w:t xml:space="preserve"> </w:t>
      </w:r>
      <w:r>
        <w:t>Then w</w:t>
      </w:r>
      <w:r w:rsidRPr="003A4BC5">
        <w:t xml:space="preserve">ash the grids with distilled water </w:t>
      </w:r>
      <w:r w:rsidRPr="003A4BC5">
        <w:rPr>
          <w:b/>
          <w:bCs/>
        </w:rPr>
        <w:t>[</w:t>
      </w:r>
      <w:r>
        <w:rPr>
          <w:b/>
          <w:bCs/>
        </w:rPr>
        <w:t>2</w:t>
      </w:r>
      <w:r w:rsidRPr="003A4BC5">
        <w:rPr>
          <w:b/>
          <w:bCs/>
        </w:rPr>
        <w:t>]</w:t>
      </w:r>
      <w:r w:rsidRPr="003A4BC5">
        <w:t xml:space="preserve">. Stain the grid with 20 microliters of 1 percent uranyl acetate for 60 seconds </w:t>
      </w:r>
      <w:r w:rsidRPr="003A4BC5">
        <w:rPr>
          <w:b/>
          <w:bCs/>
        </w:rPr>
        <w:t>[</w:t>
      </w:r>
      <w:r>
        <w:rPr>
          <w:b/>
          <w:bCs/>
        </w:rPr>
        <w:t>3</w:t>
      </w:r>
      <w:r w:rsidRPr="003A4BC5">
        <w:rPr>
          <w:b/>
          <w:bCs/>
        </w:rPr>
        <w:t>]</w:t>
      </w:r>
      <w:r w:rsidRPr="003A4BC5">
        <w:t>.</w:t>
      </w:r>
    </w:p>
    <w:p w14:paraId="51744466" w14:textId="7777777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gently touching the edge of the grid with blotting paper to wick away the liquid.</w:t>
      </w:r>
    </w:p>
    <w:p w14:paraId="2932D261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washing the grid by gently pipetting distilled water over it and removing excess liquid.</w:t>
      </w:r>
    </w:p>
    <w:p w14:paraId="1DBDAB95" w14:textId="479899B9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 xml:space="preserve">Talent </w:t>
      </w:r>
      <w:r>
        <w:t>pipetting</w:t>
      </w:r>
      <w:r w:rsidRPr="003A4BC5">
        <w:t xml:space="preserve"> 20 microliters of 1 percent uranyl acetate to the grid and waiting.</w:t>
      </w:r>
    </w:p>
    <w:p w14:paraId="106C2C87" w14:textId="77777777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Remove the excess staining solution </w:t>
      </w:r>
      <w:r w:rsidRPr="003A4BC5">
        <w:rPr>
          <w:b/>
          <w:bCs/>
        </w:rPr>
        <w:t>[1]</w:t>
      </w:r>
      <w:r w:rsidRPr="003A4BC5">
        <w:t xml:space="preserve"> and allow the grid to air-dry for 30 seconds </w:t>
      </w:r>
      <w:r w:rsidRPr="003A4BC5">
        <w:rPr>
          <w:b/>
          <w:bCs/>
        </w:rPr>
        <w:t>[2]</w:t>
      </w:r>
      <w:r w:rsidRPr="003A4BC5">
        <w:t>.</w:t>
      </w:r>
    </w:p>
    <w:p w14:paraId="20F4EFC4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wicking away uranyl acetate using blotting paper.</w:t>
      </w:r>
    </w:p>
    <w:p w14:paraId="6F9EF8EF" w14:textId="7777777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leaving the grid on a clean bench surface to air-dry.</w:t>
      </w:r>
    </w:p>
    <w:p w14:paraId="40C0D4A5" w14:textId="1024B922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Examine the prepared grids using a transmission electron microscope in high-resolution mode at an accelerating voltage of 100 kilovolts </w:t>
      </w:r>
      <w:r w:rsidRPr="003A4BC5">
        <w:rPr>
          <w:b/>
          <w:bCs/>
        </w:rPr>
        <w:t>[1]</w:t>
      </w:r>
      <w:r w:rsidRPr="003A4BC5">
        <w:t>.</w:t>
      </w:r>
    </w:p>
    <w:p w14:paraId="40AAA677" w14:textId="681D9E5F" w:rsidR="00C41D28" w:rsidRPr="003A4BC5" w:rsidRDefault="00A13599" w:rsidP="00C41D28">
      <w:pPr>
        <w:pStyle w:val="ShotDescription"/>
        <w:numPr>
          <w:ilvl w:val="2"/>
          <w:numId w:val="3"/>
        </w:numPr>
      </w:pPr>
      <w:r>
        <w:t xml:space="preserve">Talent places the grid under a TEM and sets voltage. </w:t>
      </w:r>
    </w:p>
    <w:p w14:paraId="54B107DF" w14:textId="2417170B" w:rsidR="00C41D28" w:rsidRDefault="0040324E" w:rsidP="00C41D2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0324E">
        <w:rPr>
          <w:rFonts w:cstheme="minorHAnsi"/>
          <w:b/>
          <w:bCs/>
        </w:rPr>
        <w:t>Sequential Buffer Extraction and Ion Exchange Chromatography for GFAP Purification from Rat Brain Tissue</w:t>
      </w:r>
    </w:p>
    <w:p w14:paraId="761AE7F9" w14:textId="77777777" w:rsidR="00C41D28" w:rsidRDefault="00C41D28" w:rsidP="00C41D28">
      <w:pPr>
        <w:pStyle w:val="Narration"/>
        <w:ind w:left="360" w:firstLine="0"/>
      </w:pPr>
    </w:p>
    <w:p w14:paraId="6DC10BFA" w14:textId="3BD2125D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Extract brain tissues from Alexander disease rats using a Douce homogenizer </w:t>
      </w:r>
      <w:r>
        <w:t>containing</w:t>
      </w:r>
      <w:r w:rsidRPr="003A4BC5">
        <w:t xml:space="preserve"> 10 milliliters of TEN </w:t>
      </w:r>
      <w:r w:rsidRPr="00C41D28">
        <w:rPr>
          <w:i/>
          <w:iCs/>
          <w:color w:val="EE0000"/>
        </w:rPr>
        <w:t xml:space="preserve">(ten) </w:t>
      </w:r>
      <w:r w:rsidRPr="003A4BC5">
        <w:t xml:space="preserve">buffer </w:t>
      </w:r>
      <w:r w:rsidRPr="003A4BC5">
        <w:rPr>
          <w:b/>
          <w:bCs/>
        </w:rPr>
        <w:t>[1]</w:t>
      </w:r>
      <w:r w:rsidRPr="003A4BC5">
        <w:t>.</w:t>
      </w:r>
    </w:p>
    <w:p w14:paraId="21F5737A" w14:textId="667E2E4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lastRenderedPageBreak/>
        <w:t>WIDE: Talent placing brain tissues into a Douce homogenizer and adding 10 milliliters of TEN buffer.</w:t>
      </w:r>
      <w:r>
        <w:t xml:space="preserve"> </w:t>
      </w:r>
      <w:r>
        <w:rPr>
          <w:b/>
          <w:bCs/>
        </w:rPr>
        <w:t xml:space="preserve">TXT: TEN </w:t>
      </w:r>
      <w:proofErr w:type="gramStart"/>
      <w:r>
        <w:rPr>
          <w:b/>
          <w:bCs/>
        </w:rPr>
        <w:t>buffer</w:t>
      </w:r>
      <w:proofErr w:type="gramEnd"/>
      <w:r>
        <w:rPr>
          <w:b/>
          <w:bCs/>
        </w:rPr>
        <w:t xml:space="preserve">: </w:t>
      </w:r>
      <w:r w:rsidRPr="00C41D28">
        <w:rPr>
          <w:b/>
          <w:bCs/>
        </w:rPr>
        <w:t>10 mM Tris-HCl, pH 7.4, 100 mM NaCl, and 5 mM EDTA</w:t>
      </w:r>
    </w:p>
    <w:p w14:paraId="605BDA52" w14:textId="1E007F1B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Centrifuge the brain homogenates at 76,000 </w:t>
      </w:r>
      <w:r w:rsidRPr="00C41D28">
        <w:rPr>
          <w:i/>
          <w:iCs/>
        </w:rPr>
        <w:t>g</w:t>
      </w:r>
      <w:r w:rsidRPr="003A4BC5">
        <w:t xml:space="preserve"> at 4 degrees Celsius for 20 minutes </w:t>
      </w:r>
      <w:r w:rsidRPr="003A4BC5">
        <w:rPr>
          <w:b/>
          <w:bCs/>
        </w:rPr>
        <w:t>[1]</w:t>
      </w:r>
      <w:r w:rsidRPr="003A4BC5">
        <w:t xml:space="preserve">. </w:t>
      </w:r>
      <w:r>
        <w:t>Then sequentially e</w:t>
      </w:r>
      <w:r w:rsidRPr="003A4BC5">
        <w:t>xtract the resulting pellet with 10 milliliters of Triton X-100 buffer</w:t>
      </w:r>
      <w:r>
        <w:t xml:space="preserve">, sucrose buffer, high salt buffer and urea buffer </w:t>
      </w:r>
      <w:r w:rsidRPr="003A4BC5">
        <w:rPr>
          <w:b/>
          <w:bCs/>
        </w:rPr>
        <w:t>[2]</w:t>
      </w:r>
      <w:r w:rsidRPr="003A4BC5">
        <w:t>.</w:t>
      </w:r>
      <w:r w:rsidRPr="00C41D28">
        <w:t xml:space="preserve"> </w:t>
      </w:r>
    </w:p>
    <w:p w14:paraId="3ED3752C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placing the homogenate tubes into the ultracentrifuge.</w:t>
      </w:r>
    </w:p>
    <w:p w14:paraId="5142FCB7" w14:textId="29B65B5C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adding 10 milliliters of buffer to the pellet and mixing.</w:t>
      </w:r>
      <w:r>
        <w:t xml:space="preserve"> </w:t>
      </w:r>
      <w:r>
        <w:br/>
      </w:r>
      <w:r w:rsidRPr="00C41D28">
        <w:rPr>
          <w:b/>
          <w:bCs/>
          <w:highlight w:val="yellow"/>
        </w:rPr>
        <w:t>AUTHORS: Perform the addition of any 1 buffer. Keep the other buffers in labeled tubes in the background of the shot</w:t>
      </w:r>
      <w:r>
        <w:br/>
      </w:r>
      <w:r w:rsidRPr="00C41D28">
        <w:t>AND</w:t>
      </w:r>
      <w:r w:rsidRPr="00C41D28">
        <w:br/>
        <w:t xml:space="preserve">TEXT ON PLAIN BACKGROUND: </w:t>
      </w:r>
      <w:r w:rsidRPr="00C41D28">
        <w:br/>
        <w:t>Triton X-100 buffer: 1% (v/v) Triton X-100 in TEN buffer</w:t>
      </w:r>
      <w:r>
        <w:br/>
      </w:r>
      <w:r w:rsidRPr="00C41D28">
        <w:br/>
        <w:t>Sucrose buffer: 0.85 M sucrose and 0.5% (v/v) Triton X-100 in TEN buffer</w:t>
      </w:r>
      <w:r>
        <w:br/>
      </w:r>
      <w:r w:rsidRPr="00C41D28">
        <w:br/>
        <w:t>High salt buffer: 1.5 M KCl and 0.5% (v/v) Triton X-100 in TEN buffer</w:t>
      </w:r>
      <w:r>
        <w:br/>
      </w:r>
      <w:r w:rsidRPr="00C41D28">
        <w:br/>
        <w:t>Urea buffer: 8 M urea, 10 mM Tris-HCl, pH 7.4, and 5 mM EDTA</w:t>
      </w:r>
      <w:r>
        <w:br/>
      </w:r>
      <w:r w:rsidRPr="00C41D28">
        <w:rPr>
          <w:i/>
          <w:iCs/>
          <w:color w:val="3333FF"/>
        </w:rPr>
        <w:t>Video Editor: Please play both shots side by side in a split screen</w:t>
      </w:r>
    </w:p>
    <w:p w14:paraId="3EBF5419" w14:textId="47255FB5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Collect the supernatant fraction </w:t>
      </w:r>
      <w:r w:rsidRPr="003A4BC5">
        <w:rPr>
          <w:b/>
          <w:bCs/>
        </w:rPr>
        <w:t>[1]</w:t>
      </w:r>
      <w:r w:rsidRPr="003A4BC5">
        <w:t xml:space="preserve"> and dialyze it against Q column buffer </w:t>
      </w:r>
      <w:r w:rsidRPr="003A4BC5">
        <w:rPr>
          <w:b/>
          <w:bCs/>
        </w:rPr>
        <w:t>[2</w:t>
      </w:r>
      <w:r>
        <w:rPr>
          <w:b/>
          <w:bCs/>
        </w:rPr>
        <w:t>-TXT</w:t>
      </w:r>
      <w:r w:rsidRPr="003A4BC5">
        <w:rPr>
          <w:b/>
          <w:bCs/>
        </w:rPr>
        <w:t>]</w:t>
      </w:r>
      <w:r w:rsidRPr="003A4BC5">
        <w:t>.</w:t>
      </w:r>
    </w:p>
    <w:p w14:paraId="4D0A12E1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pipetting out the supernatant into a clean dialysis tubing.</w:t>
      </w:r>
    </w:p>
    <w:p w14:paraId="16832CBD" w14:textId="26C23D7A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immersing the dialysis tubing in Q column buffer and sealing it.</w:t>
      </w:r>
      <w:r>
        <w:t xml:space="preserve"> </w:t>
      </w:r>
      <w:r>
        <w:rPr>
          <w:b/>
          <w:bCs/>
        </w:rPr>
        <w:t xml:space="preserve">TXT: Q column buffer: </w:t>
      </w:r>
      <w:r w:rsidRPr="00C41D28">
        <w:rPr>
          <w:b/>
          <w:bCs/>
        </w:rPr>
        <w:t>6 M urea, 10 mM Tris-HCl, pH 8, 5 mM EDTA, and 14.4 mM β-</w:t>
      </w:r>
      <w:proofErr w:type="spellStart"/>
      <w:r w:rsidRPr="00C41D28">
        <w:rPr>
          <w:b/>
          <w:bCs/>
        </w:rPr>
        <w:t>mercaptoethanol</w:t>
      </w:r>
      <w:proofErr w:type="spellEnd"/>
    </w:p>
    <w:p w14:paraId="415810D2" w14:textId="16CFF96D" w:rsidR="00C41D28" w:rsidRPr="003A4BC5" w:rsidRDefault="00C41D28" w:rsidP="00C41D28">
      <w:pPr>
        <w:pStyle w:val="Narration"/>
        <w:numPr>
          <w:ilvl w:val="1"/>
          <w:numId w:val="3"/>
        </w:numPr>
      </w:pPr>
      <w:r>
        <w:t>Now, l</w:t>
      </w:r>
      <w:r w:rsidRPr="003A4BC5">
        <w:t xml:space="preserve">oad the dialyzed sample onto an anion exchange column in an NGC Chromatography System </w:t>
      </w:r>
      <w:r w:rsidRPr="003A4BC5">
        <w:rPr>
          <w:b/>
          <w:bCs/>
        </w:rPr>
        <w:t>[1]</w:t>
      </w:r>
      <w:r w:rsidRPr="003A4BC5">
        <w:t>.</w:t>
      </w:r>
      <w:r w:rsidRPr="00C41D28">
        <w:t xml:space="preserve"> </w:t>
      </w:r>
      <w:r w:rsidRPr="003A4BC5">
        <w:t xml:space="preserve">Elute the bound proteins using a linear gradient of 0 to 0.5 molar sodium chloride in Q buffer at a flow rate of 1 milliliter per minute </w:t>
      </w:r>
      <w:r w:rsidRPr="003A4BC5">
        <w:rPr>
          <w:b/>
          <w:bCs/>
        </w:rPr>
        <w:t>[</w:t>
      </w:r>
      <w:r>
        <w:rPr>
          <w:b/>
          <w:bCs/>
        </w:rPr>
        <w:t>2</w:t>
      </w:r>
      <w:r w:rsidRPr="003A4BC5">
        <w:rPr>
          <w:b/>
          <w:bCs/>
        </w:rPr>
        <w:t>]</w:t>
      </w:r>
      <w:r w:rsidRPr="003A4BC5">
        <w:t>.</w:t>
      </w:r>
    </w:p>
    <w:p w14:paraId="6A8A3109" w14:textId="7777777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attaching the dialysis sample to the NGC Chromatography System and loading it into the anion exchange column.</w:t>
      </w:r>
    </w:p>
    <w:p w14:paraId="4BD70607" w14:textId="170C8F52" w:rsidR="00C41D28" w:rsidRPr="003A4BC5" w:rsidRDefault="00A13599" w:rsidP="00C41D28">
      <w:pPr>
        <w:pStyle w:val="ShotDescription"/>
        <w:numPr>
          <w:ilvl w:val="2"/>
          <w:numId w:val="3"/>
        </w:numPr>
      </w:pPr>
      <w:r>
        <w:t>Shot of</w:t>
      </w:r>
      <w:r w:rsidR="00C41D28" w:rsidRPr="003A4BC5">
        <w:t xml:space="preserve"> the NGC system running the sodium chloride gradient from 0 to 0.5 molar at 1 milliliter per minute.</w:t>
      </w:r>
      <w:r>
        <w:br/>
      </w:r>
      <w:r w:rsidRPr="00A13599">
        <w:rPr>
          <w:i/>
          <w:iCs/>
          <w:color w:val="0000FF"/>
        </w:rPr>
        <w:t>Videographer: Please capture the screen of the instrument for this shot</w:t>
      </w:r>
    </w:p>
    <w:p w14:paraId="130F0699" w14:textId="6C3C1955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Pool the glial fibrillary acidic protein-containing fractions </w:t>
      </w:r>
      <w:r w:rsidRPr="003A4BC5">
        <w:rPr>
          <w:b/>
          <w:bCs/>
        </w:rPr>
        <w:t>[1]</w:t>
      </w:r>
      <w:r w:rsidRPr="003A4BC5">
        <w:t xml:space="preserve"> and dialyze them against S column buffer </w:t>
      </w:r>
      <w:r w:rsidRPr="003A4BC5">
        <w:rPr>
          <w:b/>
          <w:bCs/>
        </w:rPr>
        <w:t>[2</w:t>
      </w:r>
      <w:r>
        <w:rPr>
          <w:b/>
          <w:bCs/>
        </w:rPr>
        <w:t>-TXT</w:t>
      </w:r>
      <w:r w:rsidRPr="003A4BC5">
        <w:rPr>
          <w:b/>
          <w:bCs/>
        </w:rPr>
        <w:t>]</w:t>
      </w:r>
      <w:r w:rsidRPr="003A4BC5">
        <w:t>.</w:t>
      </w:r>
    </w:p>
    <w:p w14:paraId="427CDD12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combining the appropriate fractions into one container.</w:t>
      </w:r>
    </w:p>
    <w:p w14:paraId="4B39CBF0" w14:textId="5EEF6EA6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placing the combined fractions into dialysis tubing and submerging it in S column buffer.</w:t>
      </w:r>
      <w:r>
        <w:t xml:space="preserve"> </w:t>
      </w:r>
      <w:r>
        <w:rPr>
          <w:b/>
          <w:bCs/>
        </w:rPr>
        <w:t xml:space="preserve">TXT: S column buffer: </w:t>
      </w:r>
      <w:r w:rsidRPr="00C41D28">
        <w:rPr>
          <w:b/>
          <w:bCs/>
        </w:rPr>
        <w:t xml:space="preserve">6 M urea, 20 mM MES, pH 6, and 14.4 </w:t>
      </w:r>
      <w:r w:rsidRPr="00C41D28">
        <w:rPr>
          <w:b/>
          <w:bCs/>
        </w:rPr>
        <w:lastRenderedPageBreak/>
        <w:t>mM β-</w:t>
      </w:r>
      <w:proofErr w:type="spellStart"/>
      <w:r w:rsidRPr="00C41D28">
        <w:rPr>
          <w:b/>
          <w:bCs/>
        </w:rPr>
        <w:t>mercaptoethanol</w:t>
      </w:r>
      <w:proofErr w:type="spellEnd"/>
    </w:p>
    <w:p w14:paraId="03518C36" w14:textId="1A8EF93A" w:rsidR="00C41D28" w:rsidRPr="003A4BC5" w:rsidRDefault="00C41D28" w:rsidP="00C41D28">
      <w:pPr>
        <w:pStyle w:val="Narration"/>
        <w:numPr>
          <w:ilvl w:val="1"/>
          <w:numId w:val="3"/>
        </w:numPr>
      </w:pPr>
      <w:r>
        <w:t>Now a</w:t>
      </w:r>
      <w:r w:rsidRPr="003A4BC5">
        <w:t xml:space="preserve">pply the dialyzed sample to a cation exchange column </w:t>
      </w:r>
      <w:r w:rsidRPr="003A4BC5">
        <w:rPr>
          <w:b/>
          <w:bCs/>
        </w:rPr>
        <w:t>[1]</w:t>
      </w:r>
      <w:r w:rsidRPr="003A4BC5">
        <w:t xml:space="preserve"> and elute the bound proteins using a linear gradient of 0 to 1 molar sodium chloride in S buffer at a flow rate of 1 milliliter per minute </w:t>
      </w:r>
      <w:r w:rsidRPr="003A4BC5">
        <w:rPr>
          <w:b/>
          <w:bCs/>
        </w:rPr>
        <w:t>[2]</w:t>
      </w:r>
      <w:r w:rsidRPr="003A4BC5">
        <w:t>.</w:t>
      </w:r>
    </w:p>
    <w:p w14:paraId="6A7C94CF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connecting the dialysate to the cation exchange column on the NGC system.</w:t>
      </w:r>
    </w:p>
    <w:p w14:paraId="4865B4F3" w14:textId="46C157EC" w:rsidR="00C41D28" w:rsidRPr="003A4BC5" w:rsidRDefault="00A13599" w:rsidP="00C41D28">
      <w:pPr>
        <w:pStyle w:val="ShotDescription"/>
        <w:numPr>
          <w:ilvl w:val="2"/>
          <w:numId w:val="3"/>
        </w:numPr>
      </w:pPr>
      <w:r>
        <w:t>Shot of</w:t>
      </w:r>
      <w:r w:rsidR="00C41D28" w:rsidRPr="003A4BC5">
        <w:t xml:space="preserve"> the sodium chloride gradient being applied from 0 </w:t>
      </w:r>
      <w:proofErr w:type="gramStart"/>
      <w:r w:rsidR="00C41D28" w:rsidRPr="003A4BC5">
        <w:t>to 1 molar at</w:t>
      </w:r>
      <w:proofErr w:type="gramEnd"/>
      <w:r w:rsidR="00C41D28" w:rsidRPr="003A4BC5">
        <w:t xml:space="preserve"> 1 milliliter per minute in the S buffer.</w:t>
      </w:r>
      <w:r>
        <w:br/>
      </w:r>
      <w:r w:rsidRPr="00A13599">
        <w:rPr>
          <w:i/>
          <w:iCs/>
          <w:color w:val="0000FF"/>
        </w:rPr>
        <w:t>Videographer: Please capture the screen of the instrument for this shot</w:t>
      </w:r>
    </w:p>
    <w:p w14:paraId="00DBA067" w14:textId="77777777" w:rsidR="00C41D28" w:rsidRPr="003A4BC5" w:rsidRDefault="00C41D28" w:rsidP="00C41D28">
      <w:pPr>
        <w:pStyle w:val="Narration"/>
        <w:numPr>
          <w:ilvl w:val="1"/>
          <w:numId w:val="3"/>
        </w:numPr>
      </w:pPr>
      <w:proofErr w:type="spellStart"/>
      <w:r w:rsidRPr="003A4BC5">
        <w:t>Analyze</w:t>
      </w:r>
      <w:proofErr w:type="spellEnd"/>
      <w:r w:rsidRPr="003A4BC5">
        <w:t xml:space="preserve"> the eluted fractions by SDS-PAGE and Coomassie blue staining </w:t>
      </w:r>
      <w:r w:rsidRPr="003A4BC5">
        <w:rPr>
          <w:b/>
          <w:bCs/>
        </w:rPr>
        <w:t>[1]</w:t>
      </w:r>
      <w:r w:rsidRPr="003A4BC5">
        <w:t xml:space="preserve">. Collect those fractions containing purified glial fibrillary acidic protein </w:t>
      </w:r>
      <w:r w:rsidRPr="003A4BC5">
        <w:rPr>
          <w:b/>
          <w:bCs/>
        </w:rPr>
        <w:t>[2]</w:t>
      </w:r>
      <w:r w:rsidRPr="003A4BC5">
        <w:t>.</w:t>
      </w:r>
    </w:p>
    <w:p w14:paraId="04A545E5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loading eluted samples onto SDS-PAGE gel and staining with Coomassie blue.</w:t>
      </w:r>
    </w:p>
    <w:p w14:paraId="537717B1" w14:textId="7777777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identifying and collecting the purified glial fibrillary acidic protein bands from the gel.</w:t>
      </w:r>
    </w:p>
    <w:p w14:paraId="09689C4F" w14:textId="79FBD75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597962E" w14:textId="357E66DE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Wild-type GFAP </w:t>
      </w:r>
      <w:r w:rsidRPr="00401F15">
        <w:rPr>
          <w:i/>
          <w:iCs/>
          <w:color w:val="EE0000"/>
        </w:rPr>
        <w:t xml:space="preserve">(G-F-A-P) </w:t>
      </w:r>
      <w:r w:rsidRPr="000F57C8">
        <w:t xml:space="preserve">formed uniform 10-nanometer filaments </w:t>
      </w:r>
      <w:r w:rsidRPr="00401F15">
        <w:rPr>
          <w:i/>
          <w:iCs/>
        </w:rPr>
        <w:t>in vitro</w:t>
      </w:r>
      <w:r w:rsidRPr="000F57C8">
        <w:t xml:space="preserve"> </w:t>
      </w:r>
      <w:r w:rsidRPr="000F57C8">
        <w:rPr>
          <w:b/>
        </w:rPr>
        <w:t>[1]</w:t>
      </w:r>
      <w:r w:rsidRPr="000F57C8">
        <w:t xml:space="preserve">, whereas the R239H </w:t>
      </w:r>
      <w:r w:rsidRPr="00401F15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R-Two-Three-Nine-H) </w:t>
      </w:r>
      <w:r w:rsidRPr="000F57C8">
        <w:t xml:space="preserve">mutant produced dense, aggregated structures </w:t>
      </w:r>
      <w:r w:rsidRPr="000F57C8">
        <w:rPr>
          <w:b/>
        </w:rPr>
        <w:t>[2]</w:t>
      </w:r>
      <w:r w:rsidRPr="000F57C8">
        <w:t>.</w:t>
      </w:r>
    </w:p>
    <w:p w14:paraId="23690E3F" w14:textId="490FAF1B" w:rsidR="00401F15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2A. </w:t>
      </w:r>
    </w:p>
    <w:p w14:paraId="10544ED2" w14:textId="79BD7B91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2B. </w:t>
      </w:r>
    </w:p>
    <w:p w14:paraId="0D609028" w14:textId="508E2316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Under low-speed centrifugation, most wild-type GFAP remained in the supernatant </w:t>
      </w:r>
      <w:r w:rsidRPr="000F57C8">
        <w:rPr>
          <w:b/>
        </w:rPr>
        <w:t>[1]</w:t>
      </w:r>
      <w:r w:rsidRPr="000F57C8">
        <w:t xml:space="preserve">, while the majority of R239H GFAP was found in the pellet fraction </w:t>
      </w:r>
      <w:r w:rsidRPr="000F57C8">
        <w:rPr>
          <w:b/>
        </w:rPr>
        <w:t>[2]</w:t>
      </w:r>
      <w:r w:rsidRPr="000F57C8">
        <w:t>.</w:t>
      </w:r>
      <w:r w:rsidRPr="00401F15">
        <w:t xml:space="preserve"> </w:t>
      </w:r>
      <w:r w:rsidRPr="000F57C8">
        <w:t>Under high-speed centrifugation, nearly all wild-type GFAP and R239H GFAP were found in the pellet fractions, confirming efficient sedimentation</w:t>
      </w:r>
      <w:r>
        <w:t xml:space="preserve"> </w:t>
      </w:r>
      <w:r w:rsidRPr="000F57C8">
        <w:rPr>
          <w:b/>
        </w:rPr>
        <w:t>[</w:t>
      </w:r>
      <w:r>
        <w:rPr>
          <w:b/>
        </w:rPr>
        <w:t>3</w:t>
      </w:r>
      <w:r w:rsidRPr="000F57C8">
        <w:rPr>
          <w:b/>
        </w:rPr>
        <w:t>]</w:t>
      </w:r>
      <w:r w:rsidRPr="000F57C8">
        <w:t>.</w:t>
      </w:r>
    </w:p>
    <w:p w14:paraId="4C86F50B" w14:textId="56597A21" w:rsidR="00401F15" w:rsidRPr="00401F15" w:rsidRDefault="00401F15" w:rsidP="00401F15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0F57C8">
        <w:t xml:space="preserve">LAB MEDIA: Figure 2C. </w:t>
      </w:r>
      <w:r w:rsidRPr="00401F15">
        <w:rPr>
          <w:i/>
          <w:iCs/>
          <w:color w:val="3333FF"/>
        </w:rPr>
        <w:t>Video editor: Highlight lane 1 (S) and lane 2 (P) for “WT”</w:t>
      </w:r>
    </w:p>
    <w:p w14:paraId="70738EC5" w14:textId="76975EB1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2C. </w:t>
      </w:r>
      <w:r w:rsidRPr="00401F15">
        <w:rPr>
          <w:i/>
          <w:iCs/>
          <w:color w:val="3333FF"/>
        </w:rPr>
        <w:t>Video editor: Highlight lane 4 (P) for “R239H”</w:t>
      </w:r>
    </w:p>
    <w:p w14:paraId="5375A28F" w14:textId="77777777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2D. </w:t>
      </w:r>
      <w:r w:rsidRPr="00401F15">
        <w:rPr>
          <w:i/>
          <w:iCs/>
          <w:color w:val="3333FF"/>
        </w:rPr>
        <w:t>Video editor: Highlight lanes 2 and 4 labeled “P” for both WT and R239H.</w:t>
      </w:r>
    </w:p>
    <w:p w14:paraId="62EA357E" w14:textId="7F531FBB" w:rsidR="00401F15" w:rsidRDefault="00401F15" w:rsidP="00401F15">
      <w:pPr>
        <w:pStyle w:val="Narration"/>
        <w:numPr>
          <w:ilvl w:val="1"/>
          <w:numId w:val="3"/>
        </w:numPr>
      </w:pPr>
      <w:r>
        <w:t>Following</w:t>
      </w:r>
      <w:r w:rsidRPr="000F57C8">
        <w:t xml:space="preserve"> hydrogen peroxide treatment, wild-type GFAP formed multiple high molecular weight bands </w:t>
      </w:r>
      <w:r w:rsidRPr="000F57C8">
        <w:rPr>
          <w:b/>
        </w:rPr>
        <w:t>[1]</w:t>
      </w:r>
      <w:r w:rsidRPr="000F57C8">
        <w:t xml:space="preserve">, which were reduced to monomers by DTT </w:t>
      </w:r>
      <w:r w:rsidRPr="000F57C8">
        <w:rPr>
          <w:b/>
        </w:rPr>
        <w:t>[2]</w:t>
      </w:r>
      <w:r w:rsidRPr="000F57C8">
        <w:t>.</w:t>
      </w:r>
    </w:p>
    <w:p w14:paraId="4E13120B" w14:textId="32F54C36" w:rsidR="00401F15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3A. </w:t>
      </w:r>
      <w:r w:rsidRPr="00401F15">
        <w:rPr>
          <w:i/>
          <w:iCs/>
          <w:color w:val="3333FF"/>
        </w:rPr>
        <w:t>Video editor: Highlight lane 2 under “WT GFAP”</w:t>
      </w:r>
    </w:p>
    <w:p w14:paraId="4CA7FFB8" w14:textId="07797017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3A. </w:t>
      </w:r>
      <w:r w:rsidRPr="00401F15">
        <w:rPr>
          <w:i/>
          <w:iCs/>
          <w:color w:val="3333FF"/>
        </w:rPr>
        <w:t>Video editor: Highlight lanes 3 and 4 under “WT GFAP”</w:t>
      </w:r>
      <w:r w:rsidRPr="00401F15">
        <w:rPr>
          <w:color w:val="3333FF"/>
        </w:rPr>
        <w:t xml:space="preserve"> </w:t>
      </w:r>
    </w:p>
    <w:p w14:paraId="640A19DF" w14:textId="4A06BF60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In the absence of oxidative stress, R239H GFAP formed a high molecular weight band around 180 kilodaltons </w:t>
      </w:r>
      <w:r w:rsidRPr="000F57C8">
        <w:rPr>
          <w:b/>
        </w:rPr>
        <w:t>[1]</w:t>
      </w:r>
      <w:r w:rsidRPr="000F57C8">
        <w:t xml:space="preserve">, which required high concentrations of </w:t>
      </w:r>
      <w:r>
        <w:t xml:space="preserve">dithiothreitol </w:t>
      </w:r>
      <w:r w:rsidRPr="00401F15">
        <w:rPr>
          <w:i/>
          <w:iCs/>
          <w:color w:val="EE0000"/>
        </w:rPr>
        <w:t>(</w:t>
      </w:r>
      <w:r>
        <w:rPr>
          <w:i/>
          <w:iCs/>
          <w:color w:val="EE0000"/>
        </w:rPr>
        <w:t>D-T-</w:t>
      </w:r>
      <w:proofErr w:type="gramStart"/>
      <w:r>
        <w:rPr>
          <w:i/>
          <w:iCs/>
          <w:color w:val="EE0000"/>
        </w:rPr>
        <w:t xml:space="preserve">T) </w:t>
      </w:r>
      <w:r w:rsidRPr="000F57C8">
        <w:t xml:space="preserve"> to</w:t>
      </w:r>
      <w:proofErr w:type="gramEnd"/>
      <w:r w:rsidRPr="000F57C8">
        <w:t xml:space="preserve"> convert to a monomeric form </w:t>
      </w:r>
      <w:r w:rsidRPr="000F57C8">
        <w:rPr>
          <w:b/>
        </w:rPr>
        <w:t>[2]</w:t>
      </w:r>
      <w:r w:rsidRPr="000F57C8">
        <w:t>.</w:t>
      </w:r>
    </w:p>
    <w:p w14:paraId="728F6CA8" w14:textId="77777777" w:rsidR="00401F15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3A. </w:t>
      </w:r>
      <w:r w:rsidRPr="00401F15">
        <w:rPr>
          <w:i/>
          <w:iCs/>
          <w:color w:val="3333FF"/>
        </w:rPr>
        <w:t xml:space="preserve">Video editor: Highlight lane 5 under “R239H GFAP” showing a band near 180 </w:t>
      </w:r>
      <w:proofErr w:type="spellStart"/>
      <w:r w:rsidRPr="00401F15">
        <w:rPr>
          <w:i/>
          <w:iCs/>
          <w:color w:val="3333FF"/>
        </w:rPr>
        <w:t>kDa</w:t>
      </w:r>
      <w:proofErr w:type="spellEnd"/>
      <w:r w:rsidRPr="00401F15">
        <w:rPr>
          <w:i/>
          <w:iCs/>
          <w:color w:val="3333FF"/>
        </w:rPr>
        <w:t>.</w:t>
      </w:r>
    </w:p>
    <w:p w14:paraId="03485169" w14:textId="77777777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3A. </w:t>
      </w:r>
      <w:r w:rsidRPr="00401F15">
        <w:rPr>
          <w:i/>
          <w:iCs/>
          <w:color w:val="3333FF"/>
        </w:rPr>
        <w:t xml:space="preserve">Video editor: Highlight lane 8 showing a single prominent monomeric band at ~50 </w:t>
      </w:r>
      <w:proofErr w:type="spellStart"/>
      <w:r w:rsidRPr="00401F15">
        <w:rPr>
          <w:i/>
          <w:iCs/>
          <w:color w:val="3333FF"/>
        </w:rPr>
        <w:t>kDa</w:t>
      </w:r>
      <w:proofErr w:type="spellEnd"/>
      <w:r w:rsidRPr="00401F15">
        <w:rPr>
          <w:i/>
          <w:iCs/>
          <w:color w:val="3333FF"/>
        </w:rPr>
        <w:t>.</w:t>
      </w:r>
    </w:p>
    <w:p w14:paraId="0867DDAC" w14:textId="77777777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Quantification confirmed that a higher proportion of R239H GFAP remained in high molecular weight forms compared to wild-type GFAP </w:t>
      </w:r>
      <w:r w:rsidRPr="000F57C8">
        <w:rPr>
          <w:b/>
        </w:rPr>
        <w:t>[1]</w:t>
      </w:r>
      <w:r w:rsidRPr="000F57C8">
        <w:t>.</w:t>
      </w:r>
    </w:p>
    <w:p w14:paraId="13AFCFA1" w14:textId="43D64A13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3B. </w:t>
      </w:r>
      <w:r w:rsidRPr="00401F15">
        <w:rPr>
          <w:i/>
          <w:iCs/>
          <w:color w:val="3333FF"/>
        </w:rPr>
        <w:t>Video editor: Highlight the higher light gray bar values (HMG GFAP) for R239H lanes</w:t>
      </w:r>
      <w:r w:rsidRPr="00401F15">
        <w:rPr>
          <w:color w:val="3333FF"/>
        </w:rPr>
        <w:t xml:space="preserve"> </w:t>
      </w:r>
    </w:p>
    <w:p w14:paraId="6613A26B" w14:textId="77777777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Immunoblotting confirmed that native GFAP from R237H rat brain was ubiquitinated, as shown by overlapping signals for GFAP and ubiquitin </w:t>
      </w:r>
      <w:r w:rsidRPr="000F57C8">
        <w:rPr>
          <w:b/>
        </w:rPr>
        <w:t>[1]</w:t>
      </w:r>
      <w:r w:rsidRPr="000F57C8">
        <w:t>.</w:t>
      </w:r>
    </w:p>
    <w:p w14:paraId="1A4AC661" w14:textId="5EDA6136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4C. </w:t>
      </w:r>
      <w:r w:rsidRPr="00401F15">
        <w:rPr>
          <w:i/>
          <w:iCs/>
          <w:color w:val="3333FF"/>
        </w:rPr>
        <w:t xml:space="preserve">Video editor: Highlight the merged image (lane 3) </w:t>
      </w:r>
    </w:p>
    <w:p w14:paraId="41A9331B" w14:textId="294B8B91" w:rsidR="00401F15" w:rsidRDefault="00401F15" w:rsidP="00401F15">
      <w:pPr>
        <w:pStyle w:val="Narration"/>
        <w:numPr>
          <w:ilvl w:val="1"/>
          <w:numId w:val="3"/>
        </w:numPr>
      </w:pPr>
      <w:r w:rsidRPr="000F57C8">
        <w:lastRenderedPageBreak/>
        <w:t xml:space="preserve">Electron microscopy revealed that GFAP from </w:t>
      </w:r>
      <w:r>
        <w:t xml:space="preserve">Alexander </w:t>
      </w:r>
      <w:r w:rsidR="000D0176">
        <w:t>disease</w:t>
      </w:r>
      <w:r w:rsidRPr="000F57C8">
        <w:t xml:space="preserve"> rat brain failed to form filaments </w:t>
      </w:r>
      <w:r w:rsidRPr="000F57C8">
        <w:rPr>
          <w:b/>
        </w:rPr>
        <w:t>[1]</w:t>
      </w:r>
      <w:r w:rsidRPr="000F57C8">
        <w:t>.</w:t>
      </w:r>
    </w:p>
    <w:p w14:paraId="131A71AC" w14:textId="7AD03AF8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5A. </w:t>
      </w:r>
    </w:p>
    <w:p w14:paraId="7887854F" w14:textId="201CDCE9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In low-speed centrifugation, most GFAP from </w:t>
      </w:r>
      <w:r>
        <w:t xml:space="preserve">Alexander </w:t>
      </w:r>
      <w:r w:rsidR="000D0176">
        <w:t>disease</w:t>
      </w:r>
      <w:r w:rsidRPr="000F57C8">
        <w:t xml:space="preserve"> rat brains remained in the supernatant </w:t>
      </w:r>
      <w:r w:rsidRPr="000F57C8">
        <w:rPr>
          <w:b/>
        </w:rPr>
        <w:t>[1]</w:t>
      </w:r>
      <w:r w:rsidRPr="000F57C8">
        <w:t xml:space="preserve">, while under high-speed centrifugation it sedimented into the pellet fraction </w:t>
      </w:r>
      <w:r w:rsidRPr="000F57C8">
        <w:rPr>
          <w:b/>
        </w:rPr>
        <w:t>[2]</w:t>
      </w:r>
      <w:r w:rsidRPr="000F57C8">
        <w:t>.</w:t>
      </w:r>
    </w:p>
    <w:p w14:paraId="02121FE3" w14:textId="734E82BC" w:rsidR="00401F15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5B. </w:t>
      </w:r>
      <w:r w:rsidRPr="00401F15">
        <w:rPr>
          <w:i/>
          <w:iCs/>
          <w:color w:val="3333FF"/>
        </w:rPr>
        <w:t>Video editor: Highlight lane 1 (S) for LS and lane 2 (P)</w:t>
      </w:r>
      <w:r w:rsidRPr="00401F15">
        <w:rPr>
          <w:color w:val="3333FF"/>
        </w:rPr>
        <w:t xml:space="preserve"> </w:t>
      </w:r>
    </w:p>
    <w:p w14:paraId="0C5E086E" w14:textId="25FA569E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5B. </w:t>
      </w:r>
      <w:r w:rsidRPr="00401F15">
        <w:rPr>
          <w:i/>
          <w:iCs/>
          <w:color w:val="3333FF"/>
        </w:rPr>
        <w:t>Video editor: Highlight lane 4 (P) for HS</w:t>
      </w:r>
    </w:p>
    <w:p w14:paraId="0E7629F3" w14:textId="77777777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Quantification confirmed a shift in GFAP distribution from supernatant to pellet between low-speed and high-speed centrifugation </w:t>
      </w:r>
      <w:r w:rsidRPr="000F57C8">
        <w:rPr>
          <w:b/>
        </w:rPr>
        <w:t>[1]</w:t>
      </w:r>
      <w:r w:rsidRPr="000F57C8">
        <w:t>.</w:t>
      </w:r>
    </w:p>
    <w:p w14:paraId="66340C68" w14:textId="110BC057" w:rsidR="00401F15" w:rsidRPr="00401F15" w:rsidRDefault="00401F15" w:rsidP="00401F15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0F57C8">
        <w:t xml:space="preserve">LAB MEDIA: Figure 5C. </w:t>
      </w:r>
      <w:r w:rsidRPr="00401F15">
        <w:rPr>
          <w:i/>
          <w:iCs/>
          <w:color w:val="3333FF"/>
        </w:rPr>
        <w:t>Video editor: Highlight the black bars labeled “P” in lanes 2 and 4</w:t>
      </w:r>
    </w:p>
    <w:p w14:paraId="75CCEB20" w14:textId="77777777" w:rsidR="00401F15" w:rsidRPr="000F57C8" w:rsidRDefault="00401F15" w:rsidP="00401F15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31ED" w14:textId="77777777" w:rsidR="0084310C" w:rsidRDefault="0084310C">
      <w:r>
        <w:separator/>
      </w:r>
    </w:p>
    <w:p w14:paraId="333D15BC" w14:textId="77777777" w:rsidR="0084310C" w:rsidRDefault="0084310C"/>
  </w:endnote>
  <w:endnote w:type="continuationSeparator" w:id="0">
    <w:p w14:paraId="0AC76442" w14:textId="77777777" w:rsidR="0084310C" w:rsidRDefault="0084310C">
      <w:r>
        <w:continuationSeparator/>
      </w:r>
    </w:p>
    <w:p w14:paraId="1E5DE8E8" w14:textId="77777777" w:rsidR="0084310C" w:rsidRDefault="00843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E35B97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1359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13599">
      <w:rPr>
        <w:rFonts w:cstheme="minorHAnsi"/>
      </w:rPr>
      <w:t xml:space="preserve"> November 24, </w:t>
    </w:r>
    <w:proofErr w:type="gramStart"/>
    <w:r w:rsidR="00A1359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32D5" w14:textId="77777777" w:rsidR="0084310C" w:rsidRDefault="0084310C">
      <w:r>
        <w:separator/>
      </w:r>
    </w:p>
    <w:p w14:paraId="2CCAE7F4" w14:textId="77777777" w:rsidR="0084310C" w:rsidRDefault="0084310C"/>
  </w:footnote>
  <w:footnote w:type="continuationSeparator" w:id="0">
    <w:p w14:paraId="1DE09873" w14:textId="77777777" w:rsidR="0084310C" w:rsidRDefault="0084310C">
      <w:r>
        <w:continuationSeparator/>
      </w:r>
    </w:p>
    <w:p w14:paraId="4C454406" w14:textId="77777777" w:rsidR="0084310C" w:rsidRDefault="008431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7A19EE0" w:rsidR="00336C61" w:rsidRPr="006D3AC7" w:rsidRDefault="00336C61" w:rsidP="00A1359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599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1359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90C0AC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4956">
    <w:abstractNumId w:val="33"/>
  </w:num>
  <w:num w:numId="2" w16cid:durableId="1656911802">
    <w:abstractNumId w:val="35"/>
  </w:num>
  <w:num w:numId="3" w16cid:durableId="890650806">
    <w:abstractNumId w:val="34"/>
  </w:num>
  <w:num w:numId="4" w16cid:durableId="1008754015">
    <w:abstractNumId w:val="27"/>
  </w:num>
  <w:num w:numId="5" w16cid:durableId="1564439348">
    <w:abstractNumId w:val="13"/>
  </w:num>
  <w:num w:numId="6" w16cid:durableId="1677422276">
    <w:abstractNumId w:val="30"/>
  </w:num>
  <w:num w:numId="7" w16cid:durableId="1169102097">
    <w:abstractNumId w:val="37"/>
  </w:num>
  <w:num w:numId="8" w16cid:durableId="1028146282">
    <w:abstractNumId w:val="11"/>
  </w:num>
  <w:num w:numId="9" w16cid:durableId="1337420956">
    <w:abstractNumId w:val="16"/>
  </w:num>
  <w:num w:numId="10" w16cid:durableId="1461455873">
    <w:abstractNumId w:val="24"/>
  </w:num>
  <w:num w:numId="11" w16cid:durableId="10014657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73135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94847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87726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48452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98354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4185385">
    <w:abstractNumId w:val="32"/>
  </w:num>
  <w:num w:numId="18" w16cid:durableId="2016490043">
    <w:abstractNumId w:val="28"/>
  </w:num>
  <w:num w:numId="19" w16cid:durableId="352728258">
    <w:abstractNumId w:val="26"/>
  </w:num>
  <w:num w:numId="20" w16cid:durableId="214202555">
    <w:abstractNumId w:val="19"/>
  </w:num>
  <w:num w:numId="21" w16cid:durableId="1699113090">
    <w:abstractNumId w:val="18"/>
  </w:num>
  <w:num w:numId="22" w16cid:durableId="1393962535">
    <w:abstractNumId w:val="10"/>
  </w:num>
  <w:num w:numId="23" w16cid:durableId="862476435">
    <w:abstractNumId w:val="15"/>
  </w:num>
  <w:num w:numId="24" w16cid:durableId="307055363">
    <w:abstractNumId w:val="31"/>
  </w:num>
  <w:num w:numId="25" w16cid:durableId="723335033">
    <w:abstractNumId w:val="12"/>
  </w:num>
  <w:num w:numId="26" w16cid:durableId="1329821567">
    <w:abstractNumId w:val="25"/>
  </w:num>
  <w:num w:numId="27" w16cid:durableId="1088230632">
    <w:abstractNumId w:val="21"/>
  </w:num>
  <w:num w:numId="28" w16cid:durableId="1889874517">
    <w:abstractNumId w:val="9"/>
  </w:num>
  <w:num w:numId="29" w16cid:durableId="1339962041">
    <w:abstractNumId w:val="7"/>
  </w:num>
  <w:num w:numId="30" w16cid:durableId="900677510">
    <w:abstractNumId w:val="6"/>
  </w:num>
  <w:num w:numId="31" w16cid:durableId="1272783160">
    <w:abstractNumId w:val="5"/>
  </w:num>
  <w:num w:numId="32" w16cid:durableId="828207065">
    <w:abstractNumId w:val="4"/>
  </w:num>
  <w:num w:numId="33" w16cid:durableId="943733245">
    <w:abstractNumId w:val="8"/>
  </w:num>
  <w:num w:numId="34" w16cid:durableId="994378112">
    <w:abstractNumId w:val="3"/>
  </w:num>
  <w:num w:numId="35" w16cid:durableId="710305989">
    <w:abstractNumId w:val="2"/>
  </w:num>
  <w:num w:numId="36" w16cid:durableId="312879016">
    <w:abstractNumId w:val="1"/>
  </w:num>
  <w:num w:numId="37" w16cid:durableId="1538348980">
    <w:abstractNumId w:val="0"/>
  </w:num>
  <w:num w:numId="38" w16cid:durableId="542013069">
    <w:abstractNumId w:val="14"/>
  </w:num>
  <w:num w:numId="39" w16cid:durableId="76022149">
    <w:abstractNumId w:val="36"/>
  </w:num>
  <w:num w:numId="40" w16cid:durableId="513227509">
    <w:abstractNumId w:val="20"/>
  </w:num>
  <w:num w:numId="41" w16cid:durableId="20204119">
    <w:abstractNumId w:val="22"/>
  </w:num>
  <w:num w:numId="42" w16cid:durableId="2077703772">
    <w:abstractNumId w:val="29"/>
  </w:num>
  <w:num w:numId="43" w16cid:durableId="1889486967">
    <w:abstractNumId w:val="17"/>
  </w:num>
  <w:num w:numId="44" w16cid:durableId="790787268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637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176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36601"/>
    <w:rsid w:val="00142D32"/>
    <w:rsid w:val="00143557"/>
    <w:rsid w:val="001469E6"/>
    <w:rsid w:val="00151824"/>
    <w:rsid w:val="001528A5"/>
    <w:rsid w:val="00157C59"/>
    <w:rsid w:val="00162444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4DF6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0C6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1F15"/>
    <w:rsid w:val="0040324E"/>
    <w:rsid w:val="004034B6"/>
    <w:rsid w:val="004114EA"/>
    <w:rsid w:val="00414B4F"/>
    <w:rsid w:val="00420A1E"/>
    <w:rsid w:val="00421271"/>
    <w:rsid w:val="004232DB"/>
    <w:rsid w:val="00426350"/>
    <w:rsid w:val="00434E44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4345"/>
    <w:rsid w:val="006D7676"/>
    <w:rsid w:val="006E16D4"/>
    <w:rsid w:val="006F06AF"/>
    <w:rsid w:val="006F2681"/>
    <w:rsid w:val="0070584F"/>
    <w:rsid w:val="00707136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2784"/>
    <w:rsid w:val="00777388"/>
    <w:rsid w:val="00785075"/>
    <w:rsid w:val="00790E8C"/>
    <w:rsid w:val="007A149A"/>
    <w:rsid w:val="007A4E1D"/>
    <w:rsid w:val="007B0FBB"/>
    <w:rsid w:val="007B3E0E"/>
    <w:rsid w:val="007B72C5"/>
    <w:rsid w:val="007D18FB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310C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874D9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2126"/>
    <w:rsid w:val="00A13599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37D0E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2FCB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1D28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47DA6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3B0B"/>
    <w:rsid w:val="00DB7EBA"/>
    <w:rsid w:val="00DC058D"/>
    <w:rsid w:val="00DC0F13"/>
    <w:rsid w:val="00DC1E10"/>
    <w:rsid w:val="00DC2504"/>
    <w:rsid w:val="00DC311D"/>
    <w:rsid w:val="00DC788A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1A98"/>
    <w:rsid w:val="00F64FB6"/>
    <w:rsid w:val="00F728FB"/>
    <w:rsid w:val="00F734E7"/>
    <w:rsid w:val="00F7561F"/>
    <w:rsid w:val="00F765D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41D2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41D2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41D2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41D2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41D2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41D2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perng@life.nthu.edu.t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045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dperng@life.nth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ncynihsuan@gapp.nthu.edu.t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</cp:revision>
  <dcterms:created xsi:type="dcterms:W3CDTF">2025-11-21T13:16:00Z</dcterms:created>
  <dcterms:modified xsi:type="dcterms:W3CDTF">2025-11-24T03:44:00Z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