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C11ED7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D0F5B">
        <w:rPr>
          <w:rFonts w:eastAsia="Times New Roman" w:cstheme="minorHAnsi"/>
          <w:b/>
        </w:rPr>
        <w:t>79478</w:t>
      </w:r>
    </w:p>
    <w:p w14:paraId="2F6924E5" w14:textId="6012D5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D0F5B">
        <w:rPr>
          <w:rFonts w:eastAsia="Times New Roman" w:cstheme="minorHAnsi"/>
          <w:b/>
        </w:rPr>
        <w:t>Poornima G</w:t>
      </w:r>
    </w:p>
    <w:p w14:paraId="6FB9233B" w14:textId="35869E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6676D" w:rsidRPr="005A5D60">
          <w:rPr>
            <w:rStyle w:val="Hyperlink"/>
            <w:rFonts w:eastAsia="Times New Roman" w:cstheme="minorHAnsi"/>
            <w:b/>
          </w:rPr>
          <w:t>https://review.jove.com/account/file-uploader?src=21190838</w:t>
        </w:r>
      </w:hyperlink>
      <w:r w:rsidR="0046676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BB058C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D0F5B" w:rsidRPr="004D0F5B">
        <w:rPr>
          <w:rStyle w:val="ArticleTitle"/>
          <w:rFonts w:cstheme="minorHAnsi"/>
        </w:rPr>
        <w:t>A Neonatal Intravenous Transplant Model for Assessment of Early-Life Immune Activities Against Cancer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2EE17D" w14:textId="0CF26A2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sz w:val="28"/>
          <w:szCs w:val="28"/>
          <w:lang w:val="en-CA"/>
        </w:rPr>
        <w:t>Maryam Aletaha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Zahra Savoji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Nakaw Young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Gregor S. D. Reid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1,2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, Ali Farrokhi</w:t>
      </w: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1,2</w:t>
      </w:r>
    </w:p>
    <w:p w14:paraId="778D450F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019F49B0" w14:textId="7AE249E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iCs/>
          <w:sz w:val="28"/>
          <w:szCs w:val="28"/>
          <w:vertAlign w:val="superscript"/>
          <w:lang w:val="en-CA"/>
        </w:rPr>
        <w:t>1</w:t>
      </w:r>
      <w:r w:rsidRPr="004D0F5B">
        <w:rPr>
          <w:rFonts w:eastAsia="Times New Roman" w:cstheme="minorHAnsi"/>
          <w:b/>
          <w:iCs/>
          <w:sz w:val="28"/>
          <w:szCs w:val="28"/>
          <w:lang w:val="en-CA"/>
        </w:rPr>
        <w:t xml:space="preserve">Michael Cuccione Childhood Cancer Research Program, 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BC Children’s Hospital Research Institute</w:t>
      </w:r>
    </w:p>
    <w:p w14:paraId="56DA9484" w14:textId="563A12DC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4D0F5B">
        <w:rPr>
          <w:rFonts w:eastAsia="Times New Roman" w:cstheme="minorHAnsi"/>
          <w:b/>
          <w:sz w:val="28"/>
          <w:szCs w:val="28"/>
          <w:vertAlign w:val="superscript"/>
          <w:lang w:val="en-CA"/>
        </w:rPr>
        <w:t>2</w:t>
      </w:r>
      <w:r w:rsidRPr="004D0F5B">
        <w:rPr>
          <w:rFonts w:eastAsia="Times New Roman" w:cstheme="minorHAnsi"/>
          <w:b/>
          <w:sz w:val="28"/>
          <w:szCs w:val="28"/>
          <w:lang w:val="en-CA"/>
        </w:rPr>
        <w:t>Department of Pediatrics, University of British Columbia</w:t>
      </w:r>
    </w:p>
    <w:p w14:paraId="1A8072E9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4CC50340" w14:textId="77777777" w:rsidR="004D0F5B" w:rsidRPr="004D0F5B" w:rsidRDefault="004D0F5B" w:rsidP="004D0F5B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4BB1755" w:rsidR="004E0C5A" w:rsidRDefault="004D0F5B" w:rsidP="004E0C5A">
      <w:pPr>
        <w:outlineLvl w:val="0"/>
        <w:rPr>
          <w:rFonts w:eastAsia="Times New Roman" w:cstheme="minorHAnsi"/>
        </w:rPr>
      </w:pPr>
      <w:bookmarkStart w:id="0" w:name="_Hlk25233958"/>
      <w:r w:rsidRPr="004D0F5B">
        <w:rPr>
          <w:rFonts w:eastAsia="Times New Roman" w:cstheme="minorHAnsi"/>
        </w:rPr>
        <w:t>Ali Farrokhi</w:t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  <w:t>farrokhi@mail.ubc.ca;afarrokhi@bcchr.ca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E532A05" w14:textId="4ED9DFDA" w:rsidR="004D0F5B" w:rsidRPr="004D0F5B" w:rsidRDefault="004D0F5B" w:rsidP="004D0F5B">
      <w:pPr>
        <w:outlineLvl w:val="0"/>
        <w:rPr>
          <w:rFonts w:cstheme="minorHAnsi"/>
          <w:bCs/>
        </w:rPr>
      </w:pPr>
      <w:r w:rsidRPr="004D0F5B">
        <w:rPr>
          <w:rFonts w:cstheme="minorHAnsi"/>
          <w:bCs/>
        </w:rPr>
        <w:t>Maryam Aletaha</w:t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  <w:t>maletaha@student.ubc.ca</w:t>
      </w:r>
    </w:p>
    <w:p w14:paraId="477FC1F4" w14:textId="3DB4742E" w:rsidR="004D0F5B" w:rsidRPr="004D0F5B" w:rsidRDefault="004D0F5B" w:rsidP="004D0F5B">
      <w:pPr>
        <w:outlineLvl w:val="0"/>
        <w:rPr>
          <w:rFonts w:cstheme="minorHAnsi"/>
          <w:bCs/>
        </w:rPr>
      </w:pPr>
      <w:r w:rsidRPr="004D0F5B">
        <w:rPr>
          <w:rFonts w:cstheme="minorHAnsi"/>
          <w:bCs/>
        </w:rPr>
        <w:t>Zahra Savoji</w:t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  <w:t>zsavoji@student.ubc.ca</w:t>
      </w:r>
    </w:p>
    <w:p w14:paraId="0B409A11" w14:textId="3D108469" w:rsidR="004D0F5B" w:rsidRPr="004D0F5B" w:rsidRDefault="004D0F5B" w:rsidP="004D0F5B">
      <w:pPr>
        <w:outlineLvl w:val="0"/>
        <w:rPr>
          <w:rFonts w:cstheme="minorHAnsi"/>
          <w:bCs/>
        </w:rPr>
      </w:pPr>
      <w:r w:rsidRPr="004D0F5B">
        <w:rPr>
          <w:rFonts w:cstheme="minorHAnsi"/>
          <w:bCs/>
        </w:rPr>
        <w:t>Nakaw Young</w:t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  <w:t>nakawyoung@gmail.com</w:t>
      </w:r>
    </w:p>
    <w:p w14:paraId="12916965" w14:textId="78E8890D" w:rsidR="003B5E26" w:rsidRPr="004D0F5B" w:rsidRDefault="004D0F5B" w:rsidP="004D0F5B">
      <w:pPr>
        <w:outlineLvl w:val="0"/>
        <w:rPr>
          <w:rFonts w:cstheme="minorHAnsi"/>
          <w:bCs/>
        </w:rPr>
      </w:pPr>
      <w:r w:rsidRPr="004D0F5B">
        <w:rPr>
          <w:rFonts w:cstheme="minorHAnsi"/>
          <w:bCs/>
        </w:rPr>
        <w:t>Gregor S. D. Reid</w:t>
      </w:r>
      <w:r w:rsidRPr="004D0F5B">
        <w:rPr>
          <w:rFonts w:cstheme="minorHAnsi"/>
          <w:bCs/>
        </w:rPr>
        <w:tab/>
      </w:r>
      <w:r w:rsidRPr="004D0F5B">
        <w:rPr>
          <w:rFonts w:cstheme="minorHAnsi"/>
          <w:bCs/>
        </w:rPr>
        <w:tab/>
        <w:t>gregor.reid@ubc.c</w:t>
      </w:r>
      <w:r w:rsidRPr="004D0F5B">
        <w:rPr>
          <w:rFonts w:cstheme="minorHAnsi"/>
          <w:bCs/>
        </w:rPr>
        <w:t>a</w:t>
      </w:r>
    </w:p>
    <w:p w14:paraId="27859254" w14:textId="77777777" w:rsidR="004D0F5B" w:rsidRDefault="004D0F5B" w:rsidP="004D0F5B">
      <w:pPr>
        <w:outlineLvl w:val="0"/>
        <w:rPr>
          <w:rFonts w:eastAsia="Times New Roman" w:cstheme="minorHAnsi"/>
        </w:rPr>
      </w:pPr>
      <w:r w:rsidRPr="004D0F5B">
        <w:rPr>
          <w:rFonts w:eastAsia="Times New Roman" w:cstheme="minorHAnsi"/>
        </w:rPr>
        <w:t>Ali Farrokhi</w:t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</w:r>
      <w:r w:rsidRPr="004D0F5B">
        <w:rPr>
          <w:rFonts w:eastAsia="Times New Roman" w:cstheme="minorHAnsi"/>
        </w:rPr>
        <w:tab/>
        <w:t>farrokhi@mail.ubc.ca;afarrokhi@bcchr.ca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1C22D5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D0F5B">
        <w:rPr>
          <w:rFonts w:cstheme="minorHAnsi"/>
          <w:bCs/>
          <w:sz w:val="22"/>
          <w:szCs w:val="22"/>
        </w:rPr>
        <w:t>17</w:t>
      </w:r>
    </w:p>
    <w:p w14:paraId="5AAC9C6C" w14:textId="44F83ED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D0F5B">
        <w:rPr>
          <w:rFonts w:cstheme="minorHAnsi"/>
          <w:bCs/>
          <w:sz w:val="22"/>
          <w:szCs w:val="22"/>
        </w:rPr>
        <w:t>30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DCE50A8" w:rsidR="00A13CC3" w:rsidRDefault="00FF25E5" w:rsidP="004D0F5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4D0F5B" w:rsidRPr="004D0F5B">
        <w:rPr>
          <w:rFonts w:eastAsia="Times New Roman" w:cstheme="minorHAnsi"/>
        </w:rPr>
        <w:t>University of British Columbia Animal Care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2731F77" w14:textId="272F1EAE" w:rsidR="004D0F5B" w:rsidRPr="004D0F5B" w:rsidRDefault="004D0F5B" w:rsidP="004D0F5B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4D0F5B">
        <w:rPr>
          <w:rFonts w:ascii="Calibri" w:hAnsi="Calibri" w:cs="Calibri"/>
          <w:b/>
          <w:bCs/>
        </w:rPr>
        <w:t xml:space="preserve">Temporal </w:t>
      </w:r>
      <w:r w:rsidRPr="004D0F5B">
        <w:rPr>
          <w:rFonts w:ascii="Calibri" w:hAnsi="Calibri" w:cs="Calibri"/>
          <w:b/>
          <w:bCs/>
        </w:rPr>
        <w:t xml:space="preserve">Vein Injection </w:t>
      </w:r>
      <w:r>
        <w:rPr>
          <w:rFonts w:ascii="Calibri" w:hAnsi="Calibri" w:cs="Calibri"/>
          <w:b/>
          <w:bCs/>
        </w:rPr>
        <w:t xml:space="preserve">of Cancer Cells into </w:t>
      </w:r>
      <w:r w:rsidRPr="004D0F5B">
        <w:rPr>
          <w:rFonts w:ascii="Calibri" w:hAnsi="Calibri" w:cs="Calibri"/>
          <w:b/>
          <w:bCs/>
        </w:rPr>
        <w:t>P1</w:t>
      </w:r>
      <w:r>
        <w:rPr>
          <w:rFonts w:ascii="Calibri" w:hAnsi="Calibri" w:cs="Calibri"/>
          <w:b/>
          <w:bCs/>
        </w:rPr>
        <w:t>-</w:t>
      </w:r>
      <w:r w:rsidRPr="004D0F5B">
        <w:rPr>
          <w:rFonts w:ascii="Calibri" w:hAnsi="Calibri" w:cs="Calibri"/>
          <w:b/>
          <w:bCs/>
        </w:rPr>
        <w:t xml:space="preserve">P2 </w:t>
      </w:r>
      <w:r>
        <w:rPr>
          <w:rFonts w:ascii="Calibri" w:hAnsi="Calibri" w:cs="Calibri"/>
          <w:b/>
          <w:bCs/>
        </w:rPr>
        <w:t xml:space="preserve">Mouse </w:t>
      </w:r>
      <w:r w:rsidRPr="004D0F5B">
        <w:rPr>
          <w:rFonts w:ascii="Calibri" w:hAnsi="Calibri" w:cs="Calibri"/>
          <w:b/>
          <w:bCs/>
        </w:rPr>
        <w:t>Pups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57858F2" w14:textId="2052CC9A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To begin, </w:t>
      </w:r>
      <w:r>
        <w:rPr>
          <w:lang w:eastAsia="en-IN"/>
        </w:rPr>
        <w:t xml:space="preserve">obtain suspensions of </w:t>
      </w:r>
      <w:r w:rsidRPr="008E74BA">
        <w:rPr>
          <w:lang w:eastAsia="en-IN"/>
        </w:rPr>
        <w:t>luciferase-tagged leukemic cell</w:t>
      </w:r>
      <w:r>
        <w:rPr>
          <w:lang w:eastAsia="en-IN"/>
        </w:rPr>
        <w:t xml:space="preserve">s and </w:t>
      </w:r>
      <w:r w:rsidRPr="004C6F01">
        <w:rPr>
          <w:lang w:eastAsia="en-IN"/>
        </w:rPr>
        <w:t>neuroblastoma cell</w:t>
      </w:r>
      <w:r>
        <w:rPr>
          <w:lang w:eastAsia="en-IN"/>
        </w:rPr>
        <w:t xml:space="preserve">s </w:t>
      </w:r>
      <w:r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4C6F01">
        <w:rPr>
          <w:b/>
          <w:bCs/>
          <w:lang w:eastAsia="en-IN"/>
        </w:rPr>
        <w:t>]</w:t>
      </w:r>
      <w:r w:rsidRPr="004C6F01">
        <w:rPr>
          <w:lang w:eastAsia="en-IN"/>
        </w:rPr>
        <w:t>.</w:t>
      </w:r>
    </w:p>
    <w:p w14:paraId="55877EF8" w14:textId="7DF9643F" w:rsidR="008E74BA" w:rsidRPr="008E74BA" w:rsidRDefault="008E74BA" w:rsidP="009371F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8E74BA">
        <w:rPr>
          <w:lang w:val="en-IN" w:eastAsia="en-IN"/>
        </w:rPr>
        <w:t xml:space="preserve">WIDE: Talent placing </w:t>
      </w:r>
      <w:r w:rsidRPr="008E74BA">
        <w:rPr>
          <w:lang w:val="en-IN" w:eastAsia="en-IN"/>
        </w:rPr>
        <w:t>tube</w:t>
      </w:r>
      <w:r>
        <w:rPr>
          <w:lang w:val="en-IN" w:eastAsia="en-IN"/>
        </w:rPr>
        <w:t>s</w:t>
      </w:r>
      <w:r w:rsidRPr="008E74BA">
        <w:rPr>
          <w:lang w:val="en-IN" w:eastAsia="en-IN"/>
        </w:rPr>
        <w:t xml:space="preserve"> with cell suspension </w:t>
      </w:r>
      <w:r w:rsidRPr="008E74BA">
        <w:rPr>
          <w:lang w:val="en-IN" w:eastAsia="en-IN"/>
        </w:rPr>
        <w:t>on ice.</w:t>
      </w:r>
    </w:p>
    <w:p w14:paraId="4E04E91A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0611FAB" w14:textId="68ACAC34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>Load 20 microliters of the cell suspension into a 100</w:t>
      </w:r>
      <w:r>
        <w:rPr>
          <w:lang w:eastAsia="en-IN"/>
        </w:rPr>
        <w:t>-</w:t>
      </w:r>
      <w:r w:rsidRPr="004C6F01">
        <w:rPr>
          <w:lang w:eastAsia="en-IN"/>
        </w:rPr>
        <w:t>microliter glass syringe fitted with a 30</w:t>
      </w:r>
      <w:r>
        <w:rPr>
          <w:lang w:eastAsia="en-IN"/>
        </w:rPr>
        <w:t>-</w:t>
      </w:r>
      <w:r w:rsidRPr="004C6F01">
        <w:rPr>
          <w:lang w:eastAsia="en-IN"/>
        </w:rPr>
        <w:t xml:space="preserve">gauge needle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 xml:space="preserve">. Ensure that no air bubbles are present in the syringe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19089E18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loading cell suspension into a glass syringe with a needle.</w:t>
      </w:r>
    </w:p>
    <w:p w14:paraId="7AA5B051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Close-up of syringe being inspected to confirm absence of air bubbles.</w:t>
      </w:r>
    </w:p>
    <w:p w14:paraId="02C2DE43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416A1D12" w14:textId="7777777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Prepare a transilluminated stage by placing a cold light source beneath a plexiglass platform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EEA08F1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positioning a cold light source under a plexiglass platform.</w:t>
      </w:r>
    </w:p>
    <w:p w14:paraId="7D015EFE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1365D162" w14:textId="51C847D3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p</w:t>
      </w:r>
      <w:r w:rsidRPr="004C6F01">
        <w:rPr>
          <w:lang w:eastAsia="en-IN"/>
        </w:rPr>
        <w:t xml:space="preserve">lace a sterile napkin with a central hole on the stage </w:t>
      </w:r>
      <w:r w:rsidRPr="004C6F01">
        <w:rPr>
          <w:b/>
          <w:bCs/>
          <w:lang w:eastAsia="en-IN"/>
        </w:rPr>
        <w:t>[1]</w:t>
      </w:r>
      <w:r>
        <w:rPr>
          <w:lang w:eastAsia="en-IN"/>
        </w:rPr>
        <w:t xml:space="preserve"> and p</w:t>
      </w:r>
      <w:r w:rsidRPr="004C6F01">
        <w:rPr>
          <w:lang w:eastAsia="en-IN"/>
        </w:rPr>
        <w:t xml:space="preserve">osition the </w:t>
      </w:r>
      <w:r>
        <w:rPr>
          <w:lang w:eastAsia="en-IN"/>
        </w:rPr>
        <w:t xml:space="preserve">hypothermic immobilized </w:t>
      </w:r>
      <w:r w:rsidRPr="004C6F01">
        <w:rPr>
          <w:lang w:eastAsia="en-IN"/>
        </w:rPr>
        <w:t xml:space="preserve">pup so the temporal vein is visible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441E492F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a sterile napkin with a central hole onto the stage.</w:t>
      </w:r>
    </w:p>
    <w:p w14:paraId="58EA6CD6" w14:textId="77777777" w:rsidR="008E74BA" w:rsidRPr="004C6F01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positioning the pup to expose the temporal vein.</w:t>
      </w:r>
    </w:p>
    <w:p w14:paraId="345E22A3" w14:textId="7777777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Wear magnifying eyewear or use a stereomicroscope to visualize the injection site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A639957" w14:textId="4D4C43A2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lastRenderedPageBreak/>
        <w:t>Talent</w:t>
      </w:r>
      <w:r>
        <w:rPr>
          <w:lang w:val="en-IN" w:eastAsia="en-IN"/>
        </w:rPr>
        <w:t xml:space="preserve"> wearing and</w:t>
      </w:r>
      <w:r w:rsidRPr="004C6F01">
        <w:rPr>
          <w:lang w:val="en-IN" w:eastAsia="en-IN"/>
        </w:rPr>
        <w:t xml:space="preserve"> adjusting magnifying eyewear.</w:t>
      </w:r>
      <w:r>
        <w:rPr>
          <w:lang w:val="en-IN" w:eastAsia="en-IN"/>
        </w:rPr>
        <w:t xml:space="preserve"> </w:t>
      </w:r>
    </w:p>
    <w:p w14:paraId="748800CF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79FE5513" w14:textId="7777777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Place a small piece of modeling clay adjacent to the pup’s head to stabilize the needle during injection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2D12BC21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positioning modeling clay next to the pup’s head.</w:t>
      </w:r>
    </w:p>
    <w:p w14:paraId="66A66B70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42C80C23" w14:textId="4C0DFD16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Insert the needle bevel-up into the visible temporal vein and slowly inject the cell suspension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 xml:space="preserve">. Observe vascular filling to confirm successful intravenous delivery </w:t>
      </w:r>
      <w:r w:rsidRPr="004C6F01">
        <w:rPr>
          <w:b/>
          <w:bCs/>
          <w:lang w:eastAsia="en-IN"/>
        </w:rPr>
        <w:t>[2</w:t>
      </w:r>
      <w:r w:rsidR="00F5615D">
        <w:rPr>
          <w:b/>
          <w:bCs/>
          <w:lang w:eastAsia="en-IN"/>
        </w:rPr>
        <w:t>-TXT</w:t>
      </w:r>
      <w:r w:rsidRPr="004C6F01">
        <w:rPr>
          <w:b/>
          <w:bCs/>
          <w:lang w:eastAsia="en-IN"/>
        </w:rPr>
        <w:t>]</w:t>
      </w:r>
      <w:r w:rsidRPr="004C6F01">
        <w:rPr>
          <w:lang w:eastAsia="en-IN"/>
        </w:rPr>
        <w:t>.</w:t>
      </w:r>
    </w:p>
    <w:p w14:paraId="0F8685DE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inserting the needle into the temporal vein and performing the injection.</w:t>
      </w:r>
    </w:p>
    <w:p w14:paraId="36CA3F62" w14:textId="1557B1C5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Close-up of vascular filling indicating successful injection.</w:t>
      </w:r>
      <w:r w:rsidR="00F5615D">
        <w:rPr>
          <w:lang w:val="en-IN" w:eastAsia="en-IN"/>
        </w:rPr>
        <w:t xml:space="preserve"> </w:t>
      </w:r>
      <w:r w:rsidR="00F5615D" w:rsidRPr="00F5615D">
        <w:rPr>
          <w:b/>
          <w:bCs/>
          <w:lang w:val="en-IN" w:eastAsia="en-IN"/>
        </w:rPr>
        <w:t xml:space="preserve">TXT: </w:t>
      </w:r>
      <w:r w:rsidR="00F5615D" w:rsidRPr="00F5615D">
        <w:rPr>
          <w:b/>
          <w:bCs/>
          <w:lang w:val="en-IN" w:eastAsia="en-IN"/>
        </w:rPr>
        <w:t xml:space="preserve">BALB/c </w:t>
      </w:r>
      <w:r w:rsidR="00F5615D" w:rsidRPr="00F5615D">
        <w:rPr>
          <w:b/>
          <w:bCs/>
          <w:lang w:val="en-IN" w:eastAsia="en-IN"/>
        </w:rPr>
        <w:t>mouse: Leukemic cells ;</w:t>
      </w:r>
      <w:r w:rsidR="00F5615D" w:rsidRPr="00F5615D">
        <w:rPr>
          <w:b/>
          <w:bCs/>
          <w:lang w:val="en-IN" w:eastAsia="en-IN"/>
        </w:rPr>
        <w:t xml:space="preserve"> TH-MYCN m</w:t>
      </w:r>
      <w:r w:rsidR="00F5615D" w:rsidRPr="00F5615D">
        <w:rPr>
          <w:b/>
          <w:bCs/>
          <w:lang w:val="en-IN" w:eastAsia="en-IN"/>
        </w:rPr>
        <w:t>ouse:</w:t>
      </w:r>
      <w:r w:rsidR="00F5615D" w:rsidRPr="00F5615D">
        <w:rPr>
          <w:b/>
          <w:bCs/>
          <w:lang w:val="en-IN" w:eastAsia="en-IN"/>
        </w:rPr>
        <w:t xml:space="preserve"> </w:t>
      </w:r>
      <w:r w:rsidR="00F5615D" w:rsidRPr="00F5615D">
        <w:rPr>
          <w:b/>
          <w:bCs/>
          <w:lang w:val="en-IN" w:eastAsia="en-IN"/>
        </w:rPr>
        <w:t xml:space="preserve">Neuroblastoma </w:t>
      </w:r>
      <w:r w:rsidR="00F5615D" w:rsidRPr="00F5615D">
        <w:rPr>
          <w:b/>
          <w:bCs/>
          <w:lang w:val="en-IN" w:eastAsia="en-IN"/>
        </w:rPr>
        <w:t>cells</w:t>
      </w:r>
    </w:p>
    <w:p w14:paraId="27E72F34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07EE731D" w14:textId="2CBA969F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</w:t>
      </w:r>
      <w:r w:rsidRPr="004C6F01">
        <w:rPr>
          <w:lang w:eastAsia="en-IN"/>
        </w:rPr>
        <w:t xml:space="preserve">pply gentle pressure to the injection site using a sterile cotton swab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 xml:space="preserve">. Place the pup on a warmed recovery surface at approximately 37 degrees Celsius with a towel barrier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 xml:space="preserve">. Allow recovery until normal movement and pink coloration return </w:t>
      </w:r>
      <w:r w:rsidRPr="004C6F01">
        <w:rPr>
          <w:b/>
          <w:bCs/>
          <w:lang w:eastAsia="en-IN"/>
        </w:rPr>
        <w:t>[3]</w:t>
      </w:r>
      <w:r w:rsidRPr="004C6F01">
        <w:rPr>
          <w:lang w:eastAsia="en-IN"/>
        </w:rPr>
        <w:t>.</w:t>
      </w:r>
    </w:p>
    <w:p w14:paraId="61C2D136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applying gentle pressure to the injection site with a cotton swab.</w:t>
      </w:r>
    </w:p>
    <w:p w14:paraId="09E0EEDE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the pup onto a warmed recovery surface.</w:t>
      </w:r>
    </w:p>
    <w:p w14:paraId="153883DB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Shot of pup regaining normal movement and pink coloration.</w:t>
      </w:r>
    </w:p>
    <w:p w14:paraId="326B243B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4272DCB" w14:textId="58004051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Monitor the pup for 5 to 10 minutes after recovery </w:t>
      </w:r>
      <w:r w:rsidRPr="004C6F01">
        <w:rPr>
          <w:b/>
          <w:bCs/>
          <w:lang w:eastAsia="en-IN"/>
        </w:rPr>
        <w:t>[1]</w:t>
      </w:r>
      <w:r>
        <w:rPr>
          <w:lang w:eastAsia="en-IN"/>
        </w:rPr>
        <w:t xml:space="preserve"> and r</w:t>
      </w:r>
      <w:r w:rsidRPr="004C6F01">
        <w:rPr>
          <w:lang w:eastAsia="en-IN"/>
        </w:rPr>
        <w:t xml:space="preserve">eturn the pup to the dam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5E14984A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observing the pup during the monitoring period.</w:t>
      </w:r>
    </w:p>
    <w:p w14:paraId="57233D07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the pup back with the dam.</w:t>
      </w:r>
    </w:p>
    <w:p w14:paraId="305EE90C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7DE90FD4" w14:textId="7D011FAC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Rinse the syringe with </w:t>
      </w:r>
      <w:r>
        <w:rPr>
          <w:lang w:eastAsia="en-IN"/>
        </w:rPr>
        <w:t xml:space="preserve">PBS </w:t>
      </w:r>
      <w:r w:rsidRPr="004C6F01">
        <w:rPr>
          <w:lang w:eastAsia="en-IN"/>
        </w:rPr>
        <w:t xml:space="preserve">and then with a syringe cleaning solution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 xml:space="preserve">. Finish by rinsing with 70 percent ethanol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7111337F" w14:textId="2F28F934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rinsing the syringe sequentially with phosphate-buffered.</w:t>
      </w:r>
    </w:p>
    <w:p w14:paraId="3BF1762A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rinsing the syringe with 70 percent ethanol.</w:t>
      </w:r>
    </w:p>
    <w:p w14:paraId="52126EEA" w14:textId="77777777" w:rsidR="00DD5D4C" w:rsidRDefault="00DD5D4C" w:rsidP="00DD5D4C">
      <w:pPr>
        <w:pStyle w:val="ShotDescription"/>
        <w:ind w:firstLine="0"/>
        <w:rPr>
          <w:lang w:val="en-IN" w:eastAsia="en-IN"/>
        </w:rPr>
      </w:pPr>
    </w:p>
    <w:p w14:paraId="3CB3EB19" w14:textId="298DB766" w:rsidR="00DD5D4C" w:rsidRPr="00DD5D4C" w:rsidRDefault="00DD5D4C" w:rsidP="00DD5D4C">
      <w:pPr>
        <w:pStyle w:val="ListParagraph"/>
        <w:numPr>
          <w:ilvl w:val="1"/>
          <w:numId w:val="3"/>
        </w:numPr>
        <w:jc w:val="both"/>
        <w:rPr>
          <w:rFonts w:ascii="Calibri" w:hAnsi="Calibri" w:cs="Calibri"/>
          <w:color w:val="7030A0"/>
        </w:rPr>
      </w:pPr>
      <w:r w:rsidRPr="00DD5D4C">
        <w:rPr>
          <w:rFonts w:ascii="Calibri" w:hAnsi="Calibri" w:cs="Calibri"/>
          <w:color w:val="7030A0"/>
        </w:rPr>
        <w:t xml:space="preserve">Infect mice at P7, which is 5 to 6 days </w:t>
      </w:r>
      <w:r>
        <w:rPr>
          <w:rFonts w:ascii="Calibri" w:hAnsi="Calibri" w:cs="Calibri"/>
          <w:color w:val="7030A0"/>
        </w:rPr>
        <w:t>after temporal vein injection</w:t>
      </w:r>
      <w:r w:rsidRPr="00DD5D4C">
        <w:rPr>
          <w:rFonts w:ascii="Calibri" w:hAnsi="Calibri" w:cs="Calibri"/>
          <w:color w:val="7030A0"/>
        </w:rPr>
        <w:t xml:space="preserve"> </w:t>
      </w:r>
      <w:r>
        <w:rPr>
          <w:rFonts w:ascii="Calibri" w:hAnsi="Calibri" w:cs="Calibri"/>
          <w:color w:val="7030A0"/>
        </w:rPr>
        <w:t>of</w:t>
      </w:r>
      <w:r w:rsidRPr="00DD5D4C">
        <w:rPr>
          <w:rFonts w:ascii="Calibri" w:hAnsi="Calibri" w:cs="Calibri"/>
          <w:color w:val="7030A0"/>
        </w:rPr>
        <w:t xml:space="preserve"> leukemic cel</w:t>
      </w:r>
      <w:r>
        <w:rPr>
          <w:rFonts w:ascii="Calibri" w:hAnsi="Calibri" w:cs="Calibri"/>
          <w:color w:val="7030A0"/>
        </w:rPr>
        <w:t xml:space="preserve">ls with </w:t>
      </w:r>
      <w:r w:rsidRPr="00DD5D4C">
        <w:rPr>
          <w:rFonts w:ascii="Calibri" w:hAnsi="Calibri" w:cs="Calibri"/>
          <w:color w:val="7030A0"/>
        </w:rPr>
        <w:t>murine cytomegalovirus</w:t>
      </w:r>
      <w:r>
        <w:rPr>
          <w:rFonts w:ascii="Calibri" w:hAnsi="Calibri" w:cs="Calibri"/>
          <w:color w:val="7030A0"/>
        </w:rPr>
        <w:t xml:space="preserve"> </w:t>
      </w:r>
      <w:r w:rsidRPr="00DD5D4C">
        <w:rPr>
          <w:rFonts w:ascii="Calibri" w:hAnsi="Calibri" w:cs="Calibri"/>
          <w:b/>
          <w:bCs/>
          <w:color w:val="7030A0"/>
        </w:rPr>
        <w:t>[</w:t>
      </w:r>
      <w:r>
        <w:rPr>
          <w:rFonts w:ascii="Calibri" w:hAnsi="Calibri" w:cs="Calibri"/>
          <w:b/>
          <w:bCs/>
          <w:color w:val="7030A0"/>
        </w:rPr>
        <w:t>1</w:t>
      </w:r>
      <w:r w:rsidRPr="00DD5D4C">
        <w:rPr>
          <w:rFonts w:ascii="Calibri" w:hAnsi="Calibri" w:cs="Calibri"/>
          <w:b/>
          <w:bCs/>
          <w:color w:val="7030A0"/>
        </w:rPr>
        <w:t>]</w:t>
      </w:r>
      <w:r>
        <w:rPr>
          <w:rFonts w:ascii="Calibri" w:hAnsi="Calibri" w:cs="Calibri"/>
          <w:color w:val="7030A0"/>
        </w:rPr>
        <w:t>.</w:t>
      </w:r>
    </w:p>
    <w:p w14:paraId="17D76114" w14:textId="73C6A37F" w:rsidR="00DD5D4C" w:rsidRPr="004C6F01" w:rsidRDefault="00DD5D4C" w:rsidP="00DD5D4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injecting virus into a the pup.</w:t>
      </w:r>
    </w:p>
    <w:p w14:paraId="394EF9CE" w14:textId="77777777" w:rsidR="008E74BA" w:rsidRDefault="008E74BA" w:rsidP="008E74BA"/>
    <w:p w14:paraId="25D237CB" w14:textId="77777777" w:rsidR="008E74BA" w:rsidRDefault="008E74BA" w:rsidP="008E74BA"/>
    <w:p w14:paraId="0CB32610" w14:textId="77777777" w:rsidR="008E74BA" w:rsidRDefault="008E74BA" w:rsidP="008E74BA"/>
    <w:p w14:paraId="4FC7F9F2" w14:textId="77777777" w:rsidR="008E74BA" w:rsidRDefault="008E74BA" w:rsidP="008E74BA"/>
    <w:p w14:paraId="45CC935A" w14:textId="77777777" w:rsidR="008E74BA" w:rsidRDefault="008E74BA" w:rsidP="008E74BA"/>
    <w:p w14:paraId="2702C9E4" w14:textId="32ED8879" w:rsidR="00DD5D4C" w:rsidRPr="00DD5D4C" w:rsidRDefault="00DD5D4C" w:rsidP="00DD5D4C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DD5D4C">
        <w:rPr>
          <w:rFonts w:ascii="Calibri" w:hAnsi="Calibri" w:cs="Calibri"/>
          <w:b/>
          <w:bCs/>
        </w:rPr>
        <w:t xml:space="preserve">Bioluminescence </w:t>
      </w:r>
      <w:r w:rsidRPr="00DD5D4C">
        <w:rPr>
          <w:rFonts w:ascii="Calibri" w:hAnsi="Calibri" w:cs="Calibri"/>
          <w:b/>
          <w:bCs/>
        </w:rPr>
        <w:t xml:space="preserve">Imaging </w:t>
      </w:r>
      <w:r w:rsidRPr="00DD5D4C">
        <w:rPr>
          <w:rFonts w:ascii="Calibri" w:hAnsi="Calibri" w:cs="Calibri"/>
          <w:b/>
          <w:bCs/>
        </w:rPr>
        <w:t>(BLI)</w:t>
      </w:r>
      <w:r>
        <w:rPr>
          <w:rFonts w:ascii="Calibri" w:hAnsi="Calibri" w:cs="Calibri"/>
          <w:b/>
          <w:bCs/>
        </w:rPr>
        <w:t xml:space="preserve"> of Injected Pup</w:t>
      </w:r>
    </w:p>
    <w:p w14:paraId="2E65CCD2" w14:textId="30F432AD" w:rsidR="004D0F5B" w:rsidRPr="00DD5D4C" w:rsidRDefault="00DD5D4C" w:rsidP="00DD5D4C">
      <w:pPr>
        <w:pStyle w:val="Narration"/>
        <w:ind w:left="360" w:firstLine="0"/>
        <w:rPr>
          <w:color w:val="auto"/>
          <w:lang w:eastAsia="en-IN"/>
        </w:rPr>
      </w:pPr>
      <w:r w:rsidRPr="00DD5D4C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  <w:color w:val="auto"/>
          </w:rPr>
          <w:id w:val="-1131942399"/>
          <w:placeholder>
            <w:docPart w:val="A2B9506863904AF9B3A36962B5FEB3B2"/>
          </w:placeholder>
          <w:temporary/>
          <w:showingPlcHdr/>
          <w:text/>
        </w:sdtPr>
        <w:sdtContent>
          <w:r w:rsidRPr="00DD5D4C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</w:p>
    <w:p w14:paraId="4A4373CB" w14:textId="55B8D23A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Retrieve the pup to p</w:t>
      </w:r>
      <w:r w:rsidRPr="008E74BA">
        <w:rPr>
          <w:lang w:eastAsia="en-IN"/>
        </w:rPr>
        <w:t>erform BLI 5</w:t>
      </w:r>
      <w:r>
        <w:rPr>
          <w:lang w:eastAsia="en-IN"/>
        </w:rPr>
        <w:t xml:space="preserve"> to </w:t>
      </w:r>
      <w:r w:rsidRPr="008E74BA">
        <w:rPr>
          <w:lang w:eastAsia="en-IN"/>
        </w:rPr>
        <w:t>6 days after cell injection and prior to infection and at 10 days post-infection</w:t>
      </w:r>
      <w:r>
        <w:rPr>
          <w:lang w:eastAsia="en-IN"/>
        </w:rPr>
        <w:t xml:space="preserve"> </w:t>
      </w:r>
      <w:r w:rsidRPr="008E74BA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8E74BA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43B58F46" w14:textId="77777777" w:rsidR="008E74BA" w:rsidRPr="008E74BA" w:rsidRDefault="008E74BA" w:rsidP="008E74BA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8E74BA">
        <w:rPr>
          <w:color w:val="auto"/>
          <w:lang w:eastAsia="en-IN"/>
        </w:rPr>
        <w:t>Talent placing the pup on the work desk.</w:t>
      </w:r>
    </w:p>
    <w:p w14:paraId="63130AB1" w14:textId="383E28F2" w:rsidR="008E74BA" w:rsidRDefault="008E74BA" w:rsidP="008E74BA">
      <w:pPr>
        <w:pStyle w:val="Narration"/>
        <w:ind w:left="1627" w:firstLine="0"/>
        <w:rPr>
          <w:lang w:eastAsia="en-IN"/>
        </w:rPr>
      </w:pPr>
      <w:r>
        <w:rPr>
          <w:lang w:eastAsia="en-IN"/>
        </w:rPr>
        <w:t xml:space="preserve"> </w:t>
      </w:r>
    </w:p>
    <w:p w14:paraId="543DC6C0" w14:textId="78DBE3CB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Pr="004C6F01">
        <w:rPr>
          <w:lang w:eastAsia="en-IN"/>
        </w:rPr>
        <w:t xml:space="preserve">issolve </w:t>
      </w:r>
      <w:r w:rsidRPr="004C6F01">
        <w:rPr>
          <w:lang w:eastAsia="en-IN"/>
        </w:rPr>
        <w:t xml:space="preserve">D-Luciferin in </w:t>
      </w:r>
      <w:r>
        <w:rPr>
          <w:lang w:eastAsia="en-IN"/>
        </w:rPr>
        <w:t>PBS</w:t>
      </w:r>
      <w:r w:rsidRPr="004C6F01">
        <w:rPr>
          <w:lang w:eastAsia="en-IN"/>
        </w:rPr>
        <w:t xml:space="preserve"> </w:t>
      </w:r>
      <w:r w:rsidRPr="004C6F01">
        <w:rPr>
          <w:lang w:eastAsia="en-IN"/>
        </w:rPr>
        <w:t xml:space="preserve">at 10 micrograms per microliter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 xml:space="preserve">. Filter-sterilize the solution using a 0.22 micrometer filter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 xml:space="preserve">. Aliquot the solution </w:t>
      </w:r>
      <w:r w:rsidRPr="008E74BA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8E74BA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Pr="004C6F01">
        <w:rPr>
          <w:lang w:eastAsia="en-IN"/>
        </w:rPr>
        <w:t xml:space="preserve">and store at minus 20 degrees Celsius protected from light </w:t>
      </w:r>
      <w:r w:rsidRPr="004C6F01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4C6F01">
        <w:rPr>
          <w:b/>
          <w:bCs/>
          <w:lang w:eastAsia="en-IN"/>
        </w:rPr>
        <w:t>]</w:t>
      </w:r>
      <w:r w:rsidRPr="004C6F01">
        <w:rPr>
          <w:lang w:eastAsia="en-IN"/>
        </w:rPr>
        <w:t>.</w:t>
      </w:r>
    </w:p>
    <w:p w14:paraId="60FE9288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WIDE: Talent dissolving D-Luciferin powder in phosphate-buffered saline.</w:t>
      </w:r>
    </w:p>
    <w:p w14:paraId="214862FE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performing filter sterilization using a 0.22 micrometer filter.</w:t>
      </w:r>
    </w:p>
    <w:p w14:paraId="34DBB30E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aliquoting the solution into </w:t>
      </w:r>
      <w:r>
        <w:rPr>
          <w:lang w:val="en-IN" w:eastAsia="en-IN"/>
        </w:rPr>
        <w:t xml:space="preserve">aluminum foil covered </w:t>
      </w:r>
      <w:r w:rsidRPr="004C6F01">
        <w:rPr>
          <w:lang w:val="en-IN" w:eastAsia="en-IN"/>
        </w:rPr>
        <w:t>containers</w:t>
      </w:r>
      <w:r>
        <w:rPr>
          <w:lang w:val="en-IN" w:eastAsia="en-IN"/>
        </w:rPr>
        <w:t>.</w:t>
      </w:r>
    </w:p>
    <w:p w14:paraId="710A8037" w14:textId="0536E28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</w:t>
      </w:r>
      <w:r w:rsidRPr="004C6F01">
        <w:rPr>
          <w:lang w:val="en-IN" w:eastAsia="en-IN"/>
        </w:rPr>
        <w:t xml:space="preserve"> placing the</w:t>
      </w:r>
      <w:r>
        <w:rPr>
          <w:lang w:val="en-IN" w:eastAsia="en-IN"/>
        </w:rPr>
        <w:t xml:space="preserve"> aliquots in freezer.</w:t>
      </w:r>
    </w:p>
    <w:p w14:paraId="11CD457A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AE5A4EF" w14:textId="128DDFF8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>Inject D-Luciferin intraperitoneally at 50 microliters per pup using a 30</w:t>
      </w:r>
      <w:r>
        <w:rPr>
          <w:lang w:eastAsia="en-IN"/>
        </w:rPr>
        <w:t>-</w:t>
      </w:r>
      <w:r w:rsidRPr="004C6F01">
        <w:rPr>
          <w:lang w:eastAsia="en-IN"/>
        </w:rPr>
        <w:t xml:space="preserve">gauge needle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16F52E7B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performing intraperitoneal injection on a pup with a syringe.</w:t>
      </w:r>
    </w:p>
    <w:p w14:paraId="1650ED78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5704ED5D" w14:textId="1455BB05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place the anesthetized pup on </w:t>
      </w:r>
      <w:r w:rsidRPr="004C6F01">
        <w:rPr>
          <w:lang w:eastAsia="en-IN"/>
        </w:rPr>
        <w:t xml:space="preserve">a warmed imaging stage at approximately 37 degrees Celsius </w:t>
      </w:r>
      <w:r w:rsidRPr="004C6F01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Pr="004C6F01">
        <w:rPr>
          <w:b/>
          <w:bCs/>
          <w:lang w:eastAsia="en-IN"/>
        </w:rPr>
        <w:t>]</w:t>
      </w:r>
      <w:r w:rsidRPr="004C6F01">
        <w:rPr>
          <w:lang w:eastAsia="en-IN"/>
        </w:rPr>
        <w:t>.</w:t>
      </w:r>
    </w:p>
    <w:p w14:paraId="7312E9F7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placing pups into an anesthesia setup for isoflurane delivery.</w:t>
      </w:r>
    </w:p>
    <w:p w14:paraId="37A69920" w14:textId="1F639DA6" w:rsidR="008E74BA" w:rsidRP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Talent positioning pups on a warmed imaging stage.</w:t>
      </w:r>
      <w:r>
        <w:rPr>
          <w:lang w:val="en-IN" w:eastAsia="en-IN"/>
        </w:rPr>
        <w:t xml:space="preserve"> </w:t>
      </w:r>
      <w:r w:rsidRPr="008E74BA">
        <w:rPr>
          <w:b/>
          <w:bCs/>
          <w:lang w:val="en-IN" w:eastAsia="en-IN"/>
        </w:rPr>
        <w:t xml:space="preserve">TXT: </w:t>
      </w:r>
      <w:r w:rsidRPr="008E74BA">
        <w:rPr>
          <w:b/>
          <w:bCs/>
          <w:lang w:val="en-IN" w:eastAsia="en-IN"/>
        </w:rPr>
        <w:t>Anesthe</w:t>
      </w:r>
      <w:r w:rsidRPr="008E74BA">
        <w:rPr>
          <w:b/>
          <w:bCs/>
          <w:lang w:val="en-IN" w:eastAsia="en-IN"/>
        </w:rPr>
        <w:t>sia: I</w:t>
      </w:r>
      <w:r w:rsidRPr="008E74BA">
        <w:rPr>
          <w:b/>
          <w:bCs/>
          <w:lang w:val="en-IN" w:eastAsia="en-IN"/>
        </w:rPr>
        <w:t>soflurane</w:t>
      </w:r>
      <w:r w:rsidRPr="008E74BA">
        <w:rPr>
          <w:b/>
          <w:bCs/>
          <w:lang w:val="en-IN" w:eastAsia="en-IN"/>
        </w:rPr>
        <w:t>;</w:t>
      </w:r>
      <w:r w:rsidRPr="008E74BA">
        <w:rPr>
          <w:b/>
          <w:bCs/>
          <w:lang w:val="en-IN" w:eastAsia="en-IN"/>
        </w:rPr>
        <w:t xml:space="preserve"> </w:t>
      </w:r>
      <w:r w:rsidRPr="008E74BA">
        <w:rPr>
          <w:b/>
          <w:bCs/>
          <w:lang w:val="en-IN" w:eastAsia="en-IN"/>
        </w:rPr>
        <w:t xml:space="preserve">Induction: </w:t>
      </w:r>
      <w:r w:rsidRPr="008E74BA">
        <w:rPr>
          <w:b/>
          <w:bCs/>
          <w:lang w:val="en-IN" w:eastAsia="en-IN"/>
        </w:rPr>
        <w:t>3</w:t>
      </w:r>
      <w:r w:rsidRPr="008E74BA">
        <w:rPr>
          <w:b/>
          <w:bCs/>
          <w:lang w:val="en-IN" w:eastAsia="en-IN"/>
        </w:rPr>
        <w:t xml:space="preserve"> - </w:t>
      </w:r>
      <w:r w:rsidRPr="008E74BA">
        <w:rPr>
          <w:b/>
          <w:bCs/>
          <w:lang w:val="en-IN" w:eastAsia="en-IN"/>
        </w:rPr>
        <w:t>4%</w:t>
      </w:r>
      <w:r w:rsidRPr="008E74BA">
        <w:rPr>
          <w:b/>
          <w:bCs/>
          <w:lang w:val="en-IN" w:eastAsia="en-IN"/>
        </w:rPr>
        <w:t>;</w:t>
      </w:r>
      <w:r w:rsidRPr="008E74BA">
        <w:rPr>
          <w:b/>
          <w:bCs/>
          <w:lang w:val="en-IN" w:eastAsia="en-IN"/>
        </w:rPr>
        <w:t xml:space="preserve"> </w:t>
      </w:r>
      <w:r w:rsidRPr="008E74BA">
        <w:rPr>
          <w:b/>
          <w:bCs/>
          <w:lang w:val="en-IN" w:eastAsia="en-IN"/>
        </w:rPr>
        <w:t xml:space="preserve">Maintenance: </w:t>
      </w:r>
      <w:r w:rsidRPr="008E74BA">
        <w:rPr>
          <w:b/>
          <w:bCs/>
          <w:lang w:val="en-IN" w:eastAsia="en-IN"/>
        </w:rPr>
        <w:t>1.5</w:t>
      </w:r>
      <w:r w:rsidRPr="008E74BA">
        <w:rPr>
          <w:b/>
          <w:bCs/>
          <w:lang w:val="en-IN" w:eastAsia="en-IN"/>
        </w:rPr>
        <w:t xml:space="preserve"> - </w:t>
      </w:r>
      <w:r w:rsidRPr="008E74BA">
        <w:rPr>
          <w:b/>
          <w:bCs/>
          <w:lang w:val="en-IN" w:eastAsia="en-IN"/>
        </w:rPr>
        <w:t>2%</w:t>
      </w:r>
    </w:p>
    <w:p w14:paraId="34FB8DF6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5980257C" w14:textId="77777777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 w:rsidRPr="004C6F01">
        <w:rPr>
          <w:lang w:eastAsia="en-IN"/>
        </w:rPr>
        <w:t xml:space="preserve">Acquire bioluminescent and X-ray images 10 minutes after D-Luciferin injection using consistent exposure settings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 xml:space="preserve">. Set bioluminescence imaging exposure time to 120 seconds for postnatal day 7 images and 30 seconds for postnatal day 17 images, with binning B4, field of view 25, f-stop 1.2, and object height 1.5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 xml:space="preserve">. Set X-ray imaging to high resolution and high power </w:t>
      </w:r>
      <w:r w:rsidRPr="004C6F01">
        <w:rPr>
          <w:b/>
          <w:bCs/>
          <w:lang w:eastAsia="en-IN"/>
        </w:rPr>
        <w:t>[3]</w:t>
      </w:r>
      <w:r w:rsidRPr="004C6F01">
        <w:rPr>
          <w:lang w:eastAsia="en-IN"/>
        </w:rPr>
        <w:t>.</w:t>
      </w:r>
    </w:p>
    <w:p w14:paraId="242ADFF6" w14:textId="1A9919C2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 xml:space="preserve">Talent </w:t>
      </w:r>
      <w:r>
        <w:rPr>
          <w:lang w:val="en-IN" w:eastAsia="en-IN"/>
        </w:rPr>
        <w:t>opening the imaging software</w:t>
      </w:r>
      <w:r w:rsidRPr="004C6F01">
        <w:rPr>
          <w:lang w:val="en-IN" w:eastAsia="en-IN"/>
        </w:rPr>
        <w:t>.</w:t>
      </w:r>
    </w:p>
    <w:p w14:paraId="1BDEB903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lastRenderedPageBreak/>
        <w:t>SCREEN: Display bioluminescence imaging settings including exposure time, binning, field of view, f-stop, and object height being entered.</w:t>
      </w:r>
    </w:p>
    <w:p w14:paraId="4A6C56FF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SCREEN: Display X-ray imaging settings set to high resolution and high power.</w:t>
      </w:r>
    </w:p>
    <w:p w14:paraId="3EA44489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952433D" w14:textId="6FE8F26F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imaging, a</w:t>
      </w:r>
      <w:r w:rsidRPr="004C6F01">
        <w:rPr>
          <w:lang w:eastAsia="en-IN"/>
        </w:rPr>
        <w:t>nalyze</w:t>
      </w:r>
      <w:r>
        <w:rPr>
          <w:lang w:eastAsia="en-IN"/>
        </w:rPr>
        <w:t xml:space="preserve"> the</w:t>
      </w:r>
      <w:r w:rsidRPr="004C6F01">
        <w:rPr>
          <w:lang w:eastAsia="en-IN"/>
        </w:rPr>
        <w:t xml:space="preserve"> images using bioluminescence imaging software by defining regions of interest encompassing the whole body of each mouse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 xml:space="preserve">. Quantify emitted light as photons per second per square centimeter per steradian </w:t>
      </w:r>
      <w:r w:rsidRPr="004C6F01">
        <w:rPr>
          <w:b/>
          <w:bCs/>
          <w:lang w:eastAsia="en-IN"/>
        </w:rPr>
        <w:t>[2]</w:t>
      </w:r>
      <w:r w:rsidRPr="004C6F01">
        <w:rPr>
          <w:lang w:eastAsia="en-IN"/>
        </w:rPr>
        <w:t>.</w:t>
      </w:r>
    </w:p>
    <w:p w14:paraId="23EA4365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SCREEN: Display software interface while drawing regions of interest around each mouse.</w:t>
      </w:r>
    </w:p>
    <w:p w14:paraId="6D283110" w14:textId="77777777" w:rsidR="008E74BA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SCREEN: Display quantified photon emission values in the software.</w:t>
      </w:r>
    </w:p>
    <w:p w14:paraId="3FFCDA2D" w14:textId="77777777" w:rsidR="008E74BA" w:rsidRPr="004C6F01" w:rsidRDefault="008E74BA" w:rsidP="008E74BA">
      <w:pPr>
        <w:pStyle w:val="ShotDescription"/>
        <w:ind w:firstLine="0"/>
        <w:rPr>
          <w:lang w:val="en-IN" w:eastAsia="en-IN"/>
        </w:rPr>
      </w:pPr>
    </w:p>
    <w:p w14:paraId="39EF1592" w14:textId="1738730B" w:rsidR="008E74BA" w:rsidRDefault="008E74BA" w:rsidP="008E74BA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e</w:t>
      </w:r>
      <w:r w:rsidRPr="004C6F01">
        <w:rPr>
          <w:lang w:eastAsia="en-IN"/>
        </w:rPr>
        <w:t xml:space="preserve">xport quantified region of interest values for downstream statistical analysis </w:t>
      </w:r>
      <w:r w:rsidRPr="004C6F01">
        <w:rPr>
          <w:b/>
          <w:bCs/>
          <w:lang w:eastAsia="en-IN"/>
        </w:rPr>
        <w:t>[1]</w:t>
      </w:r>
      <w:r w:rsidRPr="004C6F01">
        <w:rPr>
          <w:lang w:eastAsia="en-IN"/>
        </w:rPr>
        <w:t>.</w:t>
      </w:r>
    </w:p>
    <w:p w14:paraId="241B451A" w14:textId="77777777" w:rsidR="008E74BA" w:rsidRPr="004C6F01" w:rsidRDefault="008E74BA" w:rsidP="008E74B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C6F01">
        <w:rPr>
          <w:lang w:val="en-IN" w:eastAsia="en-IN"/>
        </w:rPr>
        <w:t>SCREEN: Show exporting of region of interest data from the software.</w:t>
      </w:r>
    </w:p>
    <w:p w14:paraId="4536BFBA" w14:textId="77777777" w:rsidR="008E74BA" w:rsidRPr="004C6F01" w:rsidRDefault="008E74BA" w:rsidP="008E74BA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1CF2FD82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80C12B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0DDEF09" w14:textId="5FE77139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>Successful engraftment of leukemic cells</w:t>
      </w:r>
      <w:r>
        <w:rPr>
          <w:lang w:eastAsia="en-IN"/>
        </w:rPr>
        <w:t xml:space="preserve"> and </w:t>
      </w:r>
      <w:r w:rsidRPr="007D3039">
        <w:rPr>
          <w:lang w:eastAsia="en-IN"/>
        </w:rPr>
        <w:t xml:space="preserve">neuroblastoma cells at postnatal day 7 was confirmed using bioluminescence imaging combined with X-ray imaging </w:t>
      </w:r>
      <w:r w:rsidRPr="007D3039">
        <w:rPr>
          <w:b/>
          <w:lang w:eastAsia="en-IN"/>
        </w:rPr>
        <w:t>[1]</w:t>
      </w:r>
      <w:r w:rsidRPr="007D3039">
        <w:rPr>
          <w:lang w:eastAsia="en-IN"/>
        </w:rPr>
        <w:t>.</w:t>
      </w:r>
    </w:p>
    <w:p w14:paraId="1D2806DC" w14:textId="4264915C" w:rsidR="00F5615D" w:rsidRPr="007D3039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2A. </w:t>
      </w:r>
    </w:p>
    <w:p w14:paraId="306827C4" w14:textId="27295C07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 xml:space="preserve">LAB MEDIA: Figure 3A. </w:t>
      </w:r>
    </w:p>
    <w:p w14:paraId="67B1F950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26CA5C2D" w14:textId="77777777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 xml:space="preserve">mCMV-infected mice showed a significant reduction in leukemia burden at postnatal day 17 compared with control mice as assessed by imaging </w:t>
      </w:r>
      <w:r w:rsidRPr="007D3039">
        <w:rPr>
          <w:b/>
          <w:lang w:eastAsia="en-IN"/>
        </w:rPr>
        <w:t>[1]</w:t>
      </w:r>
      <w:r w:rsidRPr="007D3039">
        <w:rPr>
          <w:lang w:eastAsia="en-IN"/>
        </w:rPr>
        <w:t>.</w:t>
      </w:r>
    </w:p>
    <w:p w14:paraId="3C3EF93F" w14:textId="77777777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>LAB MEDIA: Figure 2B. Video editor: Compare the group labeled mCMV with the group labeled control, focusing on the visibly lower colored signal intensity in the mCMV mice</w:t>
      </w:r>
    </w:p>
    <w:p w14:paraId="3AE39F12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56ECC9FD" w14:textId="77777777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 xml:space="preserve">Quantification of bioluminescence signal demonstrated a significant reduction in leukemic burden in mCMV-infected mice compared with controls at postnatal day 17 </w:t>
      </w:r>
      <w:r w:rsidRPr="007D3039">
        <w:rPr>
          <w:b/>
          <w:lang w:eastAsia="en-IN"/>
        </w:rPr>
        <w:t>[1]</w:t>
      </w:r>
      <w:r w:rsidRPr="007D3039">
        <w:rPr>
          <w:lang w:eastAsia="en-IN"/>
        </w:rPr>
        <w:t>.</w:t>
      </w:r>
    </w:p>
    <w:p w14:paraId="550DE286" w14:textId="77777777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>LAB MEDIA: Figure 2C. Video editor: Highlight the red squares at postnatal day 17, which are positioned lower than the blue circles</w:t>
      </w:r>
    </w:p>
    <w:p w14:paraId="2933C772" w14:textId="77777777" w:rsidR="00F5615D" w:rsidRPr="007D3039" w:rsidRDefault="00F5615D" w:rsidP="00F5615D">
      <w:pPr>
        <w:pStyle w:val="ShotDescription"/>
        <w:ind w:firstLine="0"/>
        <w:rPr>
          <w:lang w:val="en-IN" w:eastAsia="en-IN"/>
        </w:rPr>
      </w:pPr>
    </w:p>
    <w:p w14:paraId="10B812F0" w14:textId="77777777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 xml:space="preserve">Flow cytometric quantification showed significantly fewer leukemic cells in the spleen of mCMV-treated mice compared with controls </w:t>
      </w:r>
      <w:r w:rsidRPr="007D3039">
        <w:rPr>
          <w:b/>
          <w:lang w:eastAsia="en-IN"/>
        </w:rPr>
        <w:t>[1]</w:t>
      </w:r>
      <w:r w:rsidRPr="007D3039">
        <w:rPr>
          <w:lang w:eastAsia="en-IN"/>
        </w:rPr>
        <w:t>.</w:t>
      </w:r>
    </w:p>
    <w:p w14:paraId="00BB3604" w14:textId="77777777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>LAB MEDIA: Figure 2E. Video editor: Highlight the red points in the spleen plot, which are lower than the blue points</w:t>
      </w:r>
    </w:p>
    <w:p w14:paraId="611FFDBF" w14:textId="77777777" w:rsidR="004D0F5B" w:rsidRPr="007D3039" w:rsidRDefault="004D0F5B" w:rsidP="004D0F5B">
      <w:pPr>
        <w:pStyle w:val="ShotDescription"/>
        <w:ind w:firstLine="0"/>
        <w:rPr>
          <w:lang w:val="en-IN" w:eastAsia="en-IN"/>
        </w:rPr>
      </w:pPr>
    </w:p>
    <w:p w14:paraId="2913ED1A" w14:textId="77777777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 xml:space="preserve">Flow cytometric quantification showed significantly fewer leukemic cells in the bone marrow of mCMV-treated mice compared with controls </w:t>
      </w:r>
      <w:r w:rsidRPr="007D3039">
        <w:rPr>
          <w:b/>
          <w:lang w:eastAsia="en-IN"/>
        </w:rPr>
        <w:t>[1]</w:t>
      </w:r>
      <w:r w:rsidRPr="007D3039">
        <w:rPr>
          <w:lang w:eastAsia="en-IN"/>
        </w:rPr>
        <w:t>.</w:t>
      </w:r>
    </w:p>
    <w:p w14:paraId="7C7BDA61" w14:textId="77777777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lastRenderedPageBreak/>
        <w:t>LAB MEDIA: Figure 2E. Video editor: Highlight the red points in the bone marrow plot, which are lower than the blue points</w:t>
      </w:r>
    </w:p>
    <w:p w14:paraId="447EB72E" w14:textId="77777777" w:rsidR="004D0F5B" w:rsidRPr="007D3039" w:rsidRDefault="004D0F5B" w:rsidP="004D0F5B">
      <w:pPr>
        <w:pStyle w:val="ShotDescription"/>
        <w:ind w:firstLine="0"/>
        <w:rPr>
          <w:lang w:val="en-IN" w:eastAsia="en-IN"/>
        </w:rPr>
      </w:pPr>
    </w:p>
    <w:p w14:paraId="3675C213" w14:textId="77777777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 xml:space="preserve">Neuroblastoma burden at postnatal day 17 was comparable between mCMV-infected mice and control mice based on imaging </w:t>
      </w:r>
      <w:r w:rsidRPr="007D3039">
        <w:rPr>
          <w:b/>
          <w:lang w:eastAsia="en-IN"/>
        </w:rPr>
        <w:t>[1]</w:t>
      </w:r>
      <w:r w:rsidRPr="007D3039">
        <w:rPr>
          <w:lang w:eastAsia="en-IN"/>
        </w:rPr>
        <w:t>.</w:t>
      </w:r>
    </w:p>
    <w:p w14:paraId="5EA31450" w14:textId="77777777" w:rsidR="00F5615D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>LAB MEDIA: Figure 3B. Video editor: Compare the mCMV and control groups, showing similar colored signal intensity across both groups</w:t>
      </w:r>
    </w:p>
    <w:p w14:paraId="3F39EF74" w14:textId="77777777" w:rsidR="004D0F5B" w:rsidRPr="007D3039" w:rsidRDefault="004D0F5B" w:rsidP="004D0F5B">
      <w:pPr>
        <w:pStyle w:val="ShotDescription"/>
        <w:ind w:firstLine="0"/>
        <w:rPr>
          <w:lang w:val="en-IN" w:eastAsia="en-IN"/>
        </w:rPr>
      </w:pPr>
    </w:p>
    <w:p w14:paraId="314F30DB" w14:textId="77777777" w:rsidR="00F5615D" w:rsidRDefault="00F5615D" w:rsidP="00F5615D">
      <w:pPr>
        <w:pStyle w:val="Narration"/>
        <w:numPr>
          <w:ilvl w:val="1"/>
          <w:numId w:val="3"/>
        </w:numPr>
        <w:rPr>
          <w:lang w:eastAsia="en-IN"/>
        </w:rPr>
      </w:pPr>
      <w:r w:rsidRPr="007D3039">
        <w:rPr>
          <w:lang w:eastAsia="en-IN"/>
        </w:rPr>
        <w:t xml:space="preserve">Quantification of bioluminescence signal showed no significant difference in neuroblastoma burden between mCMV-infected mice and controls at postnatal day 17 </w:t>
      </w:r>
      <w:r w:rsidRPr="007D3039">
        <w:rPr>
          <w:b/>
          <w:lang w:eastAsia="en-IN"/>
        </w:rPr>
        <w:t>[1]</w:t>
      </w:r>
      <w:r w:rsidRPr="007D3039">
        <w:rPr>
          <w:lang w:eastAsia="en-IN"/>
        </w:rPr>
        <w:t>.</w:t>
      </w:r>
    </w:p>
    <w:p w14:paraId="46121BB3" w14:textId="77777777" w:rsidR="00F5615D" w:rsidRPr="007D3039" w:rsidRDefault="00F5615D" w:rsidP="00F5615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D3039">
        <w:rPr>
          <w:lang w:val="en-IN" w:eastAsia="en-IN"/>
        </w:rPr>
        <w:t>LAB MEDIA: Figure 3C. Video editor: Highlight the red squares and blue circles at postnatal day 17, which are positioned at similar heights</w:t>
      </w:r>
    </w:p>
    <w:p w14:paraId="3FBD6936" w14:textId="77777777" w:rsidR="00F5615D" w:rsidRPr="007D3039" w:rsidRDefault="00F5615D" w:rsidP="00F5615D"/>
    <w:sectPr w:rsidR="00F5615D" w:rsidRPr="007D303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85F27" w14:textId="77777777" w:rsidR="00BB7311" w:rsidRDefault="00BB7311">
      <w:r>
        <w:separator/>
      </w:r>
    </w:p>
    <w:p w14:paraId="490738C1" w14:textId="77777777" w:rsidR="00BB7311" w:rsidRDefault="00BB7311"/>
  </w:endnote>
  <w:endnote w:type="continuationSeparator" w:id="0">
    <w:p w14:paraId="1EDE53FB" w14:textId="77777777" w:rsidR="00BB7311" w:rsidRDefault="00BB7311">
      <w:r>
        <w:continuationSeparator/>
      </w:r>
    </w:p>
    <w:p w14:paraId="52487EC7" w14:textId="77777777" w:rsidR="00BB7311" w:rsidRDefault="00BB73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3EF292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D42B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D0E48" w14:textId="77777777" w:rsidR="00BB7311" w:rsidRDefault="00BB7311">
      <w:r>
        <w:separator/>
      </w:r>
    </w:p>
    <w:p w14:paraId="3069A5EA" w14:textId="77777777" w:rsidR="00BB7311" w:rsidRDefault="00BB7311"/>
  </w:footnote>
  <w:footnote w:type="continuationSeparator" w:id="0">
    <w:p w14:paraId="35B2FE64" w14:textId="77777777" w:rsidR="00BB7311" w:rsidRDefault="00BB7311">
      <w:r>
        <w:continuationSeparator/>
      </w:r>
    </w:p>
    <w:p w14:paraId="2ED61F3E" w14:textId="77777777" w:rsidR="00BB7311" w:rsidRDefault="00BB73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942028792" name="Picture 19420287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EF72CC"/>
    <w:multiLevelType w:val="multilevel"/>
    <w:tmpl w:val="678A7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347604590">
    <w:abstractNumId w:val="20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76D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0F5B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A4C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42B6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BA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731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D4C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15D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E74B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E74B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E74B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E74B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E74B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E74B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9083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2B9506863904AF9B3A36962B5FEB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555F3-FED4-4FF1-B35E-7B57256D4B74}"/>
      </w:docPartPr>
      <w:docPartBody>
        <w:p w:rsidR="00000000" w:rsidRDefault="0058280E" w:rsidP="0058280E">
          <w:pPr>
            <w:pStyle w:val="A2B9506863904AF9B3A36962B5FEB3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07A4C"/>
    <w:rsid w:val="0051075A"/>
    <w:rsid w:val="00510F54"/>
    <w:rsid w:val="0054238C"/>
    <w:rsid w:val="00542F31"/>
    <w:rsid w:val="005611F3"/>
    <w:rsid w:val="00565A22"/>
    <w:rsid w:val="0058280E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25E25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2B9506863904AF9B3A36962B5FEB3B2">
    <w:name w:val="A2B9506863904AF9B3A36962B5FEB3B2"/>
    <w:rsid w:val="0058280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12</Pages>
  <Words>2334</Words>
  <Characters>12396</Characters>
  <Application>Microsoft Office Word</Application>
  <DocSecurity>0</DocSecurity>
  <Lines>344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14523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61</cp:revision>
  <dcterms:created xsi:type="dcterms:W3CDTF">2025-01-20T00:16:00Z</dcterms:created>
  <dcterms:modified xsi:type="dcterms:W3CDTF">2026-03-29T19:13:00Z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