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9241B" w14:textId="62C98577" w:rsidR="006E4797" w:rsidRPr="009464DC" w:rsidRDefault="00551D82" w:rsidP="004920E5">
      <w:pPr>
        <w:pBdr>
          <w:top w:val="nil"/>
          <w:left w:val="nil"/>
          <w:bottom w:val="nil"/>
          <w:right w:val="nil"/>
          <w:between w:val="nil"/>
        </w:pBdr>
      </w:pPr>
      <w:r w:rsidRPr="009464DC">
        <w:rPr>
          <w:b/>
        </w:rPr>
        <w:t>TITLE:</w:t>
      </w:r>
      <w:r w:rsidRPr="009464DC">
        <w:t xml:space="preserve"> </w:t>
      </w:r>
    </w:p>
    <w:p w14:paraId="06C0C87E" w14:textId="41D51F1B" w:rsidR="006E4797" w:rsidRPr="009464DC" w:rsidRDefault="009519E3" w:rsidP="004920E5">
      <w:r w:rsidRPr="009464DC">
        <w:t xml:space="preserve">Localization of </w:t>
      </w:r>
      <w:r w:rsidR="00E35164" w:rsidRPr="009464DC">
        <w:t xml:space="preserve">Plasma Membrane </w:t>
      </w:r>
      <w:r w:rsidRPr="009464DC">
        <w:t xml:space="preserve">and </w:t>
      </w:r>
      <w:r w:rsidR="00E35164" w:rsidRPr="009464DC">
        <w:t>Intracellular Neuronal Nicotinic Acetylcholine Rec</w:t>
      </w:r>
      <w:r w:rsidR="00C63587" w:rsidRPr="009464DC">
        <w:t>eptors</w:t>
      </w:r>
      <w:r w:rsidRPr="009464DC">
        <w:t xml:space="preserve"> </w:t>
      </w:r>
      <w:r w:rsidR="008B05F1" w:rsidRPr="009464DC">
        <w:t>U</w:t>
      </w:r>
      <w:r w:rsidRPr="009464DC">
        <w:t xml:space="preserve">sing </w:t>
      </w:r>
      <w:r w:rsidR="00E35164" w:rsidRPr="009464DC">
        <w:t xml:space="preserve">Quantitative Imaging </w:t>
      </w:r>
      <w:r w:rsidRPr="009464DC">
        <w:t xml:space="preserve">in </w:t>
      </w:r>
      <w:r w:rsidR="00E35164" w:rsidRPr="009464DC">
        <w:t>Mammalian C</w:t>
      </w:r>
      <w:r w:rsidRPr="009464DC">
        <w:t>ells</w:t>
      </w:r>
    </w:p>
    <w:p w14:paraId="378D7741" w14:textId="77777777" w:rsidR="009519E3" w:rsidRPr="009464DC" w:rsidRDefault="009519E3" w:rsidP="004920E5">
      <w:pPr>
        <w:rPr>
          <w:b/>
        </w:rPr>
      </w:pPr>
    </w:p>
    <w:p w14:paraId="2CD8481E" w14:textId="5E3D5119" w:rsidR="006E4797" w:rsidRPr="009464DC" w:rsidRDefault="00551D82" w:rsidP="004920E5">
      <w:r w:rsidRPr="009464DC">
        <w:rPr>
          <w:b/>
        </w:rPr>
        <w:t xml:space="preserve">AUTHORS AND AFFILIATIONS: </w:t>
      </w:r>
    </w:p>
    <w:p w14:paraId="021F07EF" w14:textId="6950E3F5" w:rsidR="008E21F5" w:rsidRPr="009464DC" w:rsidRDefault="008E21F5" w:rsidP="004920E5">
      <w:pPr>
        <w:pStyle w:val="NormalWeb"/>
        <w:spacing w:before="0" w:beforeAutospacing="0" w:after="0" w:afterAutospacing="0"/>
        <w:jc w:val="both"/>
        <w:rPr>
          <w:rFonts w:ascii="Calibri" w:hAnsi="Calibri" w:cs="Calibri"/>
          <w:vertAlign w:val="superscript"/>
          <w:lang w:val="en-US"/>
        </w:rPr>
      </w:pPr>
      <w:proofErr w:type="spellStart"/>
      <w:r w:rsidRPr="009464DC">
        <w:rPr>
          <w:rFonts w:ascii="Calibri" w:hAnsi="Calibri" w:cs="Calibri"/>
          <w:lang w:val="en-US"/>
        </w:rPr>
        <w:t>Lahra</w:t>
      </w:r>
      <w:proofErr w:type="spellEnd"/>
      <w:r w:rsidRPr="009464DC">
        <w:rPr>
          <w:rFonts w:ascii="Calibri" w:hAnsi="Calibri" w:cs="Calibri"/>
          <w:lang w:val="en-US"/>
        </w:rPr>
        <w:t xml:space="preserve"> Weber</w:t>
      </w:r>
      <w:r w:rsidRPr="009464DC">
        <w:rPr>
          <w:rFonts w:ascii="Calibri" w:hAnsi="Calibri" w:cs="Calibri"/>
          <w:vertAlign w:val="superscript"/>
          <w:lang w:val="en-US"/>
        </w:rPr>
        <w:t>1</w:t>
      </w:r>
      <w:r w:rsidRPr="009464DC">
        <w:rPr>
          <w:rFonts w:ascii="Calibri" w:hAnsi="Calibri" w:cs="Calibri"/>
          <w:lang w:val="en-US"/>
        </w:rPr>
        <w:t>, Sarah M</w:t>
      </w:r>
      <w:r w:rsidR="008B05F1" w:rsidRPr="009464DC">
        <w:rPr>
          <w:rFonts w:ascii="Calibri" w:hAnsi="Calibri" w:cs="Calibri"/>
          <w:lang w:val="en-US"/>
        </w:rPr>
        <w:t>.</w:t>
      </w:r>
      <w:r w:rsidRPr="009464DC">
        <w:rPr>
          <w:rFonts w:ascii="Calibri" w:hAnsi="Calibri" w:cs="Calibri"/>
          <w:lang w:val="en-US"/>
        </w:rPr>
        <w:t xml:space="preserve"> Suarez</w:t>
      </w:r>
      <w:r w:rsidRPr="009464DC">
        <w:rPr>
          <w:rFonts w:ascii="Calibri" w:hAnsi="Calibri" w:cs="Calibri"/>
          <w:vertAlign w:val="superscript"/>
          <w:lang w:val="en-US"/>
        </w:rPr>
        <w:t>1</w:t>
      </w:r>
      <w:r w:rsidRPr="009464DC">
        <w:rPr>
          <w:rFonts w:ascii="Calibri" w:hAnsi="Calibri" w:cs="Calibri"/>
          <w:lang w:val="en-US"/>
        </w:rPr>
        <w:t>, Maegan M. Weltzin</w:t>
      </w:r>
      <w:r w:rsidRPr="009464DC">
        <w:rPr>
          <w:rFonts w:ascii="Calibri" w:hAnsi="Calibri" w:cs="Calibri"/>
          <w:vertAlign w:val="superscript"/>
          <w:lang w:val="en-US"/>
        </w:rPr>
        <w:t>1</w:t>
      </w:r>
      <w:r w:rsidR="00A16A00" w:rsidRPr="009464DC">
        <w:rPr>
          <w:rFonts w:ascii="Calibri" w:hAnsi="Calibri" w:cs="Calibri"/>
          <w:vertAlign w:val="superscript"/>
          <w:lang w:val="en-US"/>
        </w:rPr>
        <w:t>, 2</w:t>
      </w:r>
    </w:p>
    <w:p w14:paraId="0DD7DFE1" w14:textId="77777777" w:rsidR="008E21F5" w:rsidRPr="009464DC" w:rsidRDefault="008E21F5" w:rsidP="004920E5">
      <w:pPr>
        <w:pStyle w:val="NormalWeb"/>
        <w:spacing w:before="0" w:beforeAutospacing="0" w:after="0" w:afterAutospacing="0"/>
        <w:jc w:val="both"/>
        <w:rPr>
          <w:rFonts w:ascii="Calibri" w:hAnsi="Calibri" w:cs="Calibri"/>
          <w:lang w:val="en-US"/>
        </w:rPr>
      </w:pPr>
    </w:p>
    <w:p w14:paraId="7B801A9C" w14:textId="743FF7C8" w:rsidR="008E21F5" w:rsidRPr="009464DC" w:rsidRDefault="008E21F5" w:rsidP="004920E5">
      <w:pPr>
        <w:pStyle w:val="NormalWeb"/>
        <w:spacing w:before="0" w:beforeAutospacing="0" w:after="0" w:afterAutospacing="0"/>
        <w:jc w:val="both"/>
        <w:rPr>
          <w:rFonts w:ascii="Calibri" w:hAnsi="Calibri" w:cs="Calibri"/>
          <w:lang w:val="en-US"/>
        </w:rPr>
      </w:pPr>
      <w:r w:rsidRPr="009464DC">
        <w:rPr>
          <w:rFonts w:ascii="Calibri" w:hAnsi="Calibri" w:cs="Calibri"/>
          <w:vertAlign w:val="superscript"/>
          <w:lang w:val="en-US"/>
        </w:rPr>
        <w:t>1</w:t>
      </w:r>
      <w:r w:rsidRPr="009464DC">
        <w:rPr>
          <w:rFonts w:ascii="Calibri" w:hAnsi="Calibri" w:cs="Calibri"/>
          <w:lang w:val="en-US"/>
        </w:rPr>
        <w:t>Department of Chemistry and Biochemistry, University of Alaska Fairbanks</w:t>
      </w:r>
      <w:r w:rsidR="00AE11FB" w:rsidRPr="009464DC">
        <w:rPr>
          <w:rFonts w:ascii="Calibri" w:hAnsi="Calibri" w:cs="Calibri"/>
          <w:lang w:val="en-US"/>
        </w:rPr>
        <w:t>, Fairbanks, AK, United States</w:t>
      </w:r>
    </w:p>
    <w:p w14:paraId="2A2CA154" w14:textId="61BD5DB8" w:rsidR="00A16A00" w:rsidRPr="009464DC" w:rsidRDefault="00A16A00" w:rsidP="004920E5">
      <w:pPr>
        <w:pStyle w:val="NormalWeb"/>
        <w:spacing w:before="0" w:beforeAutospacing="0" w:after="0" w:afterAutospacing="0"/>
        <w:jc w:val="both"/>
        <w:rPr>
          <w:rFonts w:ascii="Calibri" w:hAnsi="Calibri" w:cs="Calibri"/>
          <w:lang w:val="en-US"/>
        </w:rPr>
      </w:pPr>
      <w:r w:rsidRPr="009464DC">
        <w:rPr>
          <w:rFonts w:ascii="Calibri" w:hAnsi="Calibri" w:cs="Calibri"/>
          <w:vertAlign w:val="superscript"/>
          <w:lang w:val="en-US"/>
        </w:rPr>
        <w:t>2</w:t>
      </w:r>
      <w:r w:rsidRPr="009464DC">
        <w:rPr>
          <w:rFonts w:ascii="Calibri" w:hAnsi="Calibri" w:cs="Calibri"/>
          <w:lang w:val="en-US"/>
        </w:rPr>
        <w:t>Institute of Arctic Biology, University of Alaska Fairbanks</w:t>
      </w:r>
      <w:r w:rsidR="00AE11FB" w:rsidRPr="009464DC">
        <w:rPr>
          <w:rFonts w:ascii="Calibri" w:hAnsi="Calibri" w:cs="Calibri"/>
          <w:lang w:val="en-US"/>
        </w:rPr>
        <w:t>, Fairbanks, AK, United States</w:t>
      </w:r>
    </w:p>
    <w:p w14:paraId="5264AFBC" w14:textId="77777777" w:rsidR="00D2437F" w:rsidRPr="009464DC" w:rsidRDefault="00D2437F" w:rsidP="004920E5">
      <w:pPr>
        <w:pStyle w:val="NormalWeb"/>
        <w:spacing w:before="0" w:beforeAutospacing="0" w:after="0" w:afterAutospacing="0"/>
        <w:jc w:val="both"/>
        <w:rPr>
          <w:rFonts w:ascii="Calibri" w:hAnsi="Calibri" w:cs="Calibri"/>
          <w:lang w:val="en-US"/>
        </w:rPr>
      </w:pPr>
    </w:p>
    <w:p w14:paraId="26CE5EA2" w14:textId="2419F3A2" w:rsidR="00D2437F" w:rsidRPr="009464DC" w:rsidRDefault="00D2437F" w:rsidP="004920E5">
      <w:pPr>
        <w:pStyle w:val="NormalWeb"/>
        <w:spacing w:before="0" w:beforeAutospacing="0" w:after="0" w:afterAutospacing="0"/>
        <w:jc w:val="both"/>
        <w:rPr>
          <w:rFonts w:ascii="Calibri" w:hAnsi="Calibri" w:cs="Calibri"/>
          <w:lang w:val="en-US"/>
        </w:rPr>
      </w:pPr>
      <w:r w:rsidRPr="009464DC">
        <w:rPr>
          <w:rFonts w:ascii="Calibri" w:hAnsi="Calibri" w:cs="Calibri"/>
          <w:lang w:val="en-US"/>
        </w:rPr>
        <w:t xml:space="preserve">Email addresses of co-authors: </w:t>
      </w:r>
    </w:p>
    <w:p w14:paraId="3AEAF666" w14:textId="48AC78C3" w:rsidR="00735ABE" w:rsidRPr="009464DC" w:rsidRDefault="00735ABE" w:rsidP="00735ABE">
      <w:pPr>
        <w:pStyle w:val="NormalWeb"/>
        <w:spacing w:before="0" w:beforeAutospacing="0" w:after="0" w:afterAutospacing="0"/>
        <w:jc w:val="both"/>
        <w:rPr>
          <w:rFonts w:ascii="Calibri" w:hAnsi="Calibri" w:cs="Calibri"/>
          <w:lang w:val="en-US"/>
        </w:rPr>
      </w:pPr>
      <w:proofErr w:type="spellStart"/>
      <w:r w:rsidRPr="009464DC">
        <w:rPr>
          <w:rFonts w:ascii="Calibri" w:hAnsi="Calibri" w:cs="Calibri"/>
          <w:lang w:val="en-US"/>
        </w:rPr>
        <w:t>Lahra</w:t>
      </w:r>
      <w:proofErr w:type="spellEnd"/>
      <w:r w:rsidRPr="009464DC">
        <w:rPr>
          <w:rFonts w:ascii="Calibri" w:hAnsi="Calibri" w:cs="Calibri"/>
          <w:lang w:val="en-US"/>
        </w:rPr>
        <w:t xml:space="preserve"> Weber</w:t>
      </w:r>
      <w:r w:rsidRPr="009464DC">
        <w:rPr>
          <w:rFonts w:ascii="Calibri" w:hAnsi="Calibri" w:cs="Calibri"/>
          <w:vertAlign w:val="superscript"/>
          <w:lang w:val="en-US"/>
        </w:rPr>
        <w:tab/>
      </w:r>
      <w:r w:rsidRPr="009464DC">
        <w:rPr>
          <w:rFonts w:ascii="Calibri" w:hAnsi="Calibri" w:cs="Calibri"/>
          <w:vertAlign w:val="superscript"/>
          <w:lang w:val="en-US"/>
        </w:rPr>
        <w:tab/>
      </w:r>
      <w:r w:rsidRPr="009464DC">
        <w:rPr>
          <w:rFonts w:ascii="Calibri" w:hAnsi="Calibri" w:cs="Calibri"/>
          <w:vertAlign w:val="superscript"/>
          <w:lang w:val="en-US"/>
        </w:rPr>
        <w:tab/>
      </w:r>
      <w:r w:rsidR="00E40DC9">
        <w:rPr>
          <w:rFonts w:ascii="Calibri" w:hAnsi="Calibri" w:cs="Calibri"/>
          <w:lang w:val="en-US"/>
        </w:rPr>
        <w:t>(</w:t>
      </w:r>
      <w:r w:rsidRPr="009464DC">
        <w:rPr>
          <w:rFonts w:ascii="Calibri" w:hAnsi="Calibri" w:cs="Calibri"/>
          <w:lang w:val="en-US"/>
        </w:rPr>
        <w:t>lweber7@alaska.edu</w:t>
      </w:r>
      <w:r w:rsidR="00E40DC9">
        <w:rPr>
          <w:rFonts w:ascii="Calibri" w:hAnsi="Calibri" w:cs="Calibri"/>
          <w:lang w:val="en-US"/>
        </w:rPr>
        <w:t>)</w:t>
      </w:r>
    </w:p>
    <w:p w14:paraId="63FEA198" w14:textId="456D6F1F" w:rsidR="00735ABE" w:rsidRPr="009464DC" w:rsidRDefault="00735ABE" w:rsidP="00735ABE">
      <w:pPr>
        <w:pStyle w:val="NormalWeb"/>
        <w:spacing w:before="0" w:beforeAutospacing="0" w:after="0" w:afterAutospacing="0"/>
        <w:jc w:val="both"/>
        <w:rPr>
          <w:rFonts w:ascii="Calibri" w:hAnsi="Calibri" w:cs="Calibri"/>
          <w:lang w:val="en-US"/>
        </w:rPr>
      </w:pPr>
      <w:r w:rsidRPr="009464DC">
        <w:rPr>
          <w:rFonts w:ascii="Calibri" w:hAnsi="Calibri" w:cs="Calibri"/>
          <w:lang w:val="en-US"/>
        </w:rPr>
        <w:t>Sarah M. Suarez</w:t>
      </w:r>
      <w:r w:rsidRPr="009464DC">
        <w:rPr>
          <w:rFonts w:ascii="Calibri" w:hAnsi="Calibri" w:cs="Calibri"/>
          <w:vertAlign w:val="superscript"/>
          <w:lang w:val="en-US"/>
        </w:rPr>
        <w:tab/>
      </w:r>
      <w:r w:rsidRPr="009464DC">
        <w:rPr>
          <w:rFonts w:ascii="Calibri" w:hAnsi="Calibri" w:cs="Calibri"/>
          <w:vertAlign w:val="superscript"/>
          <w:lang w:val="en-US"/>
        </w:rPr>
        <w:tab/>
      </w:r>
      <w:r w:rsidR="00E40DC9" w:rsidRPr="00E40DC9">
        <w:rPr>
          <w:rFonts w:ascii="Calibri" w:hAnsi="Calibri" w:cs="Calibri"/>
          <w:lang w:val="en-US"/>
        </w:rPr>
        <w:t>(</w:t>
      </w:r>
      <w:r w:rsidRPr="009464DC">
        <w:rPr>
          <w:rFonts w:ascii="Calibri" w:hAnsi="Calibri" w:cs="Calibri"/>
          <w:lang w:val="en-US"/>
        </w:rPr>
        <w:t>smsuarez@alaska.edu</w:t>
      </w:r>
      <w:r w:rsidR="00E40DC9">
        <w:rPr>
          <w:rFonts w:ascii="Calibri" w:hAnsi="Calibri" w:cs="Calibri"/>
          <w:lang w:val="en-US"/>
        </w:rPr>
        <w:t>)</w:t>
      </w:r>
      <w:r w:rsidRPr="009464DC">
        <w:rPr>
          <w:rFonts w:ascii="Calibri" w:hAnsi="Calibri" w:cs="Calibri"/>
          <w:lang w:val="en-US"/>
        </w:rPr>
        <w:t xml:space="preserve"> </w:t>
      </w:r>
    </w:p>
    <w:p w14:paraId="3D9966D2" w14:textId="77777777" w:rsidR="00D2437F" w:rsidRPr="009464DC" w:rsidRDefault="00D2437F" w:rsidP="004920E5">
      <w:pPr>
        <w:pStyle w:val="NormalWeb"/>
        <w:spacing w:before="0" w:beforeAutospacing="0" w:after="0" w:afterAutospacing="0"/>
        <w:jc w:val="both"/>
        <w:rPr>
          <w:rFonts w:ascii="Calibri" w:hAnsi="Calibri" w:cs="Calibri"/>
          <w:lang w:val="en-US"/>
        </w:rPr>
      </w:pPr>
    </w:p>
    <w:p w14:paraId="43EF2969" w14:textId="2F35365D" w:rsidR="008E21F5" w:rsidRPr="009464DC" w:rsidRDefault="008E21F5" w:rsidP="004920E5">
      <w:pPr>
        <w:pStyle w:val="NormalWeb"/>
        <w:spacing w:before="0" w:beforeAutospacing="0" w:after="0" w:afterAutospacing="0"/>
        <w:jc w:val="both"/>
        <w:rPr>
          <w:rFonts w:ascii="Calibri" w:hAnsi="Calibri" w:cs="Calibri"/>
          <w:lang w:val="en-US"/>
        </w:rPr>
      </w:pPr>
      <w:r w:rsidRPr="009464DC">
        <w:rPr>
          <w:rFonts w:ascii="Calibri" w:hAnsi="Calibri" w:cs="Calibri"/>
          <w:lang w:val="en-US"/>
        </w:rPr>
        <w:t xml:space="preserve">Corresponding </w:t>
      </w:r>
      <w:r w:rsidR="00E40DC9">
        <w:rPr>
          <w:rFonts w:ascii="Calibri" w:hAnsi="Calibri" w:cs="Calibri"/>
          <w:lang w:val="en-US"/>
        </w:rPr>
        <w:t>a</w:t>
      </w:r>
      <w:r w:rsidRPr="009464DC">
        <w:rPr>
          <w:rFonts w:ascii="Calibri" w:hAnsi="Calibri" w:cs="Calibri"/>
          <w:lang w:val="en-US"/>
        </w:rPr>
        <w:t>uthor</w:t>
      </w:r>
      <w:r w:rsidR="00E40DC9">
        <w:rPr>
          <w:rFonts w:ascii="Calibri" w:hAnsi="Calibri" w:cs="Calibri"/>
          <w:lang w:val="en-US"/>
        </w:rPr>
        <w:t>:</w:t>
      </w:r>
    </w:p>
    <w:p w14:paraId="776ED486" w14:textId="56F3098E" w:rsidR="00D2437F" w:rsidRPr="009464DC" w:rsidRDefault="00D2437F" w:rsidP="00D2437F">
      <w:pPr>
        <w:pStyle w:val="NormalWeb"/>
        <w:spacing w:before="0" w:beforeAutospacing="0" w:after="0" w:afterAutospacing="0"/>
        <w:jc w:val="both"/>
        <w:rPr>
          <w:rFonts w:ascii="Calibri" w:hAnsi="Calibri" w:cs="Calibri"/>
          <w:lang w:val="en-US"/>
        </w:rPr>
      </w:pPr>
      <w:r w:rsidRPr="009464DC">
        <w:rPr>
          <w:rFonts w:ascii="Calibri" w:hAnsi="Calibri" w:cs="Calibri"/>
          <w:lang w:val="en-US"/>
        </w:rPr>
        <w:t>Maegan M. Weltzin</w:t>
      </w:r>
      <w:r w:rsidRPr="009464DC">
        <w:rPr>
          <w:rFonts w:ascii="Calibri" w:hAnsi="Calibri" w:cs="Calibri"/>
          <w:vertAlign w:val="superscript"/>
          <w:lang w:val="en-US"/>
        </w:rPr>
        <w:tab/>
      </w:r>
      <w:r w:rsidRPr="009464DC">
        <w:rPr>
          <w:rFonts w:ascii="Calibri" w:hAnsi="Calibri" w:cs="Calibri"/>
          <w:vertAlign w:val="superscript"/>
          <w:lang w:val="en-US"/>
        </w:rPr>
        <w:tab/>
      </w:r>
      <w:r w:rsidR="00E40DC9">
        <w:rPr>
          <w:rFonts w:ascii="Calibri" w:hAnsi="Calibri" w:cs="Calibri"/>
          <w:lang w:val="en-US"/>
        </w:rPr>
        <w:t>(</w:t>
      </w:r>
      <w:r w:rsidRPr="009464DC">
        <w:rPr>
          <w:rFonts w:ascii="Calibri" w:hAnsi="Calibri" w:cs="Calibri"/>
          <w:lang w:val="en-US"/>
        </w:rPr>
        <w:t>mmweltzin@alaska.edu</w:t>
      </w:r>
      <w:r w:rsidR="00E40DC9">
        <w:rPr>
          <w:rFonts w:ascii="Calibri" w:hAnsi="Calibri" w:cs="Calibri"/>
          <w:lang w:val="en-US"/>
        </w:rPr>
        <w:t>)</w:t>
      </w:r>
    </w:p>
    <w:p w14:paraId="0B9497C3" w14:textId="77777777" w:rsidR="00E35164" w:rsidRPr="009464DC" w:rsidRDefault="00E35164" w:rsidP="004920E5">
      <w:pPr>
        <w:pStyle w:val="NormalWeb"/>
        <w:spacing w:before="0" w:beforeAutospacing="0" w:after="0" w:afterAutospacing="0"/>
        <w:jc w:val="both"/>
        <w:rPr>
          <w:rFonts w:ascii="Calibri" w:hAnsi="Calibri" w:cs="Calibri"/>
          <w:lang w:val="en-US"/>
        </w:rPr>
      </w:pPr>
    </w:p>
    <w:p w14:paraId="60F3B8D4" w14:textId="3ADA9965" w:rsidR="006E4797" w:rsidRPr="009464DC" w:rsidRDefault="00551D82" w:rsidP="004920E5">
      <w:r w:rsidRPr="009464DC">
        <w:rPr>
          <w:b/>
        </w:rPr>
        <w:t>SUMMARY:</w:t>
      </w:r>
      <w:r w:rsidRPr="009464DC">
        <w:t xml:space="preserve"> </w:t>
      </w:r>
    </w:p>
    <w:p w14:paraId="74EFC8D7" w14:textId="700A6520" w:rsidR="006E4797" w:rsidRPr="009464DC" w:rsidRDefault="00B03451" w:rsidP="004920E5">
      <w:r w:rsidRPr="009464DC">
        <w:t xml:space="preserve">This protocol describes expression and quantification of neuronal </w:t>
      </w:r>
      <w:r w:rsidR="00E35164" w:rsidRPr="009464DC">
        <w:t>nicotinic acetylcholine receptors</w:t>
      </w:r>
      <w:r w:rsidRPr="009464DC">
        <w:t xml:space="preserve"> subunits using the mammalian N</w:t>
      </w:r>
      <w:r w:rsidR="00D66012" w:rsidRPr="009464DC">
        <w:t>euro-</w:t>
      </w:r>
      <w:r w:rsidRPr="009464DC">
        <w:t xml:space="preserve">2a cell line. pH-sensitive fluorescent tags and confocal microscopy enable precise evaluation of receptor localization at the plasma membrane versus </w:t>
      </w:r>
      <w:r w:rsidR="00F860C0" w:rsidRPr="009464DC">
        <w:t xml:space="preserve">those expressed in pH-neutral </w:t>
      </w:r>
      <w:r w:rsidRPr="009464DC">
        <w:t>intracellular compartments</w:t>
      </w:r>
      <w:r w:rsidR="00A16A00" w:rsidRPr="009464DC">
        <w:t>,</w:t>
      </w:r>
      <w:r w:rsidRPr="009464DC">
        <w:t xml:space="preserve"> </w:t>
      </w:r>
      <w:r w:rsidR="00A16A00" w:rsidRPr="009464DC">
        <w:t>facilitating</w:t>
      </w:r>
      <w:r w:rsidRPr="009464DC">
        <w:t xml:space="preserve"> </w:t>
      </w:r>
      <w:r w:rsidR="00A16A00" w:rsidRPr="009464DC">
        <w:t xml:space="preserve">the </w:t>
      </w:r>
      <w:r w:rsidRPr="009464DC">
        <w:t>stud</w:t>
      </w:r>
      <w:r w:rsidR="00A16A00" w:rsidRPr="009464DC">
        <w:t>y</w:t>
      </w:r>
      <w:r w:rsidRPr="009464DC">
        <w:t xml:space="preserve"> of nAChR trafficking and pharmacological modulation.</w:t>
      </w:r>
    </w:p>
    <w:p w14:paraId="0D121077" w14:textId="77777777" w:rsidR="00B03451" w:rsidRPr="009464DC" w:rsidRDefault="00B03451" w:rsidP="004920E5"/>
    <w:p w14:paraId="2DF8E628" w14:textId="1FA06F90" w:rsidR="006E4797" w:rsidRPr="009464DC" w:rsidRDefault="00551D82" w:rsidP="004920E5">
      <w:r w:rsidRPr="009464DC">
        <w:rPr>
          <w:b/>
        </w:rPr>
        <w:t>ABSTRACT:</w:t>
      </w:r>
      <w:r w:rsidRPr="009464DC">
        <w:t xml:space="preserve"> </w:t>
      </w:r>
    </w:p>
    <w:p w14:paraId="2CF9CD54" w14:textId="6497D82B" w:rsidR="006E4797" w:rsidRPr="009464DC" w:rsidRDefault="00D66012" w:rsidP="004920E5">
      <w:r w:rsidRPr="009464DC">
        <w:t xml:space="preserve">Quantification of neuronal nicotinic acetylcholine receptors (nAChRs) expressed on the plasma membrane of mammalian cells is important for the development of novel target-selective therapeutics and for studying chaperone proteins that modulate receptor trafficking. This study presents a robust set of methodologies to express both homomeric and heteromeric nAChRs in mammalian Neuro2a (N2a) cells and to quantify their surface versus intracellular localization using pH-sensitive fluorescent tags. </w:t>
      </w:r>
      <w:proofErr w:type="spellStart"/>
      <w:r w:rsidRPr="009464DC">
        <w:t>pHuji</w:t>
      </w:r>
      <w:proofErr w:type="spellEnd"/>
      <w:r w:rsidRPr="009464DC">
        <w:t xml:space="preserve"> and </w:t>
      </w:r>
      <w:proofErr w:type="spellStart"/>
      <w:r w:rsidRPr="009464DC">
        <w:t>superecliptic</w:t>
      </w:r>
      <w:proofErr w:type="spellEnd"/>
      <w:r w:rsidRPr="009464DC">
        <w:t xml:space="preserve"> </w:t>
      </w:r>
      <w:proofErr w:type="spellStart"/>
      <w:r w:rsidRPr="009464DC">
        <w:t>pHluorin</w:t>
      </w:r>
      <w:proofErr w:type="spellEnd"/>
      <w:r w:rsidRPr="009464DC">
        <w:t xml:space="preserve"> (SEP) are pH-sensitive proteins that can be engineered to tag recombinant proteins, allowing visualization of the spatial distribution of nAChR subunits. These fluorescent tags emit at neutral pH but are quenched in acidic environments. To track the relative internal versus plasma membrane localization of α7, α4, and β2 nAChR subunits, either </w:t>
      </w:r>
      <w:proofErr w:type="spellStart"/>
      <w:r w:rsidRPr="009464DC">
        <w:t>pHuji</w:t>
      </w:r>
      <w:proofErr w:type="spellEnd"/>
      <w:r w:rsidRPr="009464DC">
        <w:t xml:space="preserve"> or SEP is attached to the C-terminus of each DNA construct. To express α7-pHuji together with its chaperone NACHO, or (α4-SEP</w:t>
      </w:r>
      <w:r w:rsidR="00871998" w:rsidRPr="009464DC">
        <w:t xml:space="preserve">; </w:t>
      </w:r>
      <w:r w:rsidRPr="009464DC">
        <w:t xml:space="preserve">β2-pHuji) in N2a cells, a lipid-based DNA transfection reagent is used. The transfection reagent and plasmid DNA are incubated separately in reduced-serum medium at room temperature, then combined to form lipid–DNA complexes that facilitate plasmid delivery into cells. Following incubation, cells are imaged using live-cell confocal microscopy under both high- and low-pH conditions or in the presence of a subtype-selective fluorescent ligand. Images are analyzed using corrected total cell fluorescence in the relevant fluorophore channels, providing quantitative information on the distribution of fluorescently tagged nAChR subunits between the plasma membrane and </w:t>
      </w:r>
      <w:r w:rsidRPr="009464DC">
        <w:lastRenderedPageBreak/>
        <w:t>intracellular compartments. Live-cell confocal imaging enables real-time tracking of nAChR subunit localization to distinguish differences between internal and surface receptor populations. Robust plasma membrane expression of α7-pHuji or (α4-SEP</w:t>
      </w:r>
      <w:r w:rsidR="00275854">
        <w:t xml:space="preserve">; </w:t>
      </w:r>
      <w:r w:rsidRPr="009464DC">
        <w:t>β2-pHuji) is achieved within 24 h at 37 °C. This method can be adapted to include additional chaperones, auxiliary subunits, or fluorescent ligands for the study of nAChR trafficking, pharmacological modulation, and disease-related alterations in nAChR expression.</w:t>
      </w:r>
    </w:p>
    <w:p w14:paraId="40987745" w14:textId="77777777" w:rsidR="00D66012" w:rsidRPr="009464DC" w:rsidRDefault="00D66012" w:rsidP="004920E5"/>
    <w:p w14:paraId="0646E204" w14:textId="2790AB40" w:rsidR="006E4797" w:rsidRPr="009464DC" w:rsidRDefault="00551D82" w:rsidP="004920E5">
      <w:r w:rsidRPr="009464DC">
        <w:rPr>
          <w:b/>
        </w:rPr>
        <w:t>INTRODUCTION:</w:t>
      </w:r>
      <w:r w:rsidRPr="009464DC">
        <w:t xml:space="preserve"> </w:t>
      </w:r>
    </w:p>
    <w:p w14:paraId="23DD13F4" w14:textId="254E9252" w:rsidR="00D66012" w:rsidRPr="006D28C9" w:rsidRDefault="00F86DDE" w:rsidP="00871998">
      <w:pPr>
        <w:tabs>
          <w:tab w:val="left" w:pos="1260"/>
        </w:tabs>
      </w:pPr>
      <w:r w:rsidRPr="006D28C9">
        <w:t>Neuronal nicotinic acetylcholine receptors (</w:t>
      </w:r>
      <w:r w:rsidR="00D66012" w:rsidRPr="006D28C9">
        <w:t>nAChRs</w:t>
      </w:r>
      <w:r w:rsidRPr="006D28C9">
        <w:t>)</w:t>
      </w:r>
      <w:r w:rsidR="00D66012" w:rsidRPr="006D28C9">
        <w:t xml:space="preserve"> are ligand-gated transmembrane ion channels expressed on the plasma membrane of many cell types, including neurons, glial cells, and immune cells. These receptors are composed of α (α2–α10) or β (β2–β4) subunits that assemble to form homomeric or heteromeric subtypes, with α7 and α4β2 nAChRs being the most abundant within the brain¹</w:t>
      </w:r>
      <w:r w:rsidR="00D66012" w:rsidRPr="006D28C9">
        <w:rPr>
          <w:vertAlign w:val="superscript"/>
        </w:rPr>
        <w:t>,</w:t>
      </w:r>
      <w:r w:rsidR="00D66012" w:rsidRPr="006D28C9">
        <w:t xml:space="preserve">². Dysregulation of these subtypes has been associated with Alzheimer’s disease, nicotine use disorder, sleep-related </w:t>
      </w:r>
      <w:proofErr w:type="spellStart"/>
      <w:r w:rsidR="00D66012" w:rsidRPr="006D28C9">
        <w:t>hypermotor</w:t>
      </w:r>
      <w:proofErr w:type="spellEnd"/>
      <w:r w:rsidR="00D66012" w:rsidRPr="006D28C9">
        <w:t xml:space="preserve"> epilepsy, Parkinson’s disease, and major depressive disorder, among other neurological and psychiatric conditions³</w:t>
      </w:r>
      <w:r w:rsidR="00D66012" w:rsidRPr="006D28C9">
        <w:rPr>
          <w:vertAlign w:val="superscript"/>
        </w:rPr>
        <w:t>–</w:t>
      </w:r>
      <w:r w:rsidR="00D66012" w:rsidRPr="006D28C9">
        <w:t>¹². Rapid and reliable methods to express and quantify nAChRs are essential for understanding disease mechanisms and for developing target-selective therapeutics. However, achieving robust plasma membrane expression of these receptors is often challenging and time-consuming. The method described here enables strong surface expression of nAChRs within approximately 24 h after DNA transfection and can be combined with ligands or chaperone proteins that modulate receptor trafficking.</w:t>
      </w:r>
    </w:p>
    <w:p w14:paraId="73534C88" w14:textId="77777777" w:rsidR="00D66012" w:rsidRPr="009464DC" w:rsidRDefault="00D66012" w:rsidP="004920E5">
      <w:pPr>
        <w:tabs>
          <w:tab w:val="left" w:pos="1260"/>
        </w:tabs>
        <w:ind w:firstLine="360"/>
      </w:pPr>
    </w:p>
    <w:p w14:paraId="66EA4F44" w14:textId="2009B98C" w:rsidR="00D66012" w:rsidRPr="00645E5D" w:rsidRDefault="00D66012" w:rsidP="00871998">
      <w:pPr>
        <w:tabs>
          <w:tab w:val="left" w:pos="1260"/>
        </w:tabs>
      </w:pPr>
      <w:r w:rsidRPr="00645E5D">
        <w:t xml:space="preserve">Several approaches exist for expressing nAChRs, including transient DNA transfection or the generation of stable cell lines that express the desired subtype. Although creating stable cell lines </w:t>
      </w:r>
      <w:r w:rsidR="004C25D2" w:rsidRPr="00645E5D">
        <w:t>is</w:t>
      </w:r>
      <w:r w:rsidRPr="00645E5D">
        <w:t xml:space="preserve"> useful for long-term studies involving the same receptor subtype, the process is labor-intensive and can require several months. Once established, such cell lines may exhibit variable receptor expression across passages, loss of expression over time, or selection bias for clones with suboptimal receptor function or density¹³. A reduction in incubation temperature from 37 °C to 30 °C, the addition of molecular chaperones such as nicotine, or extended incubation time can promote surface expression¹³</w:t>
      </w:r>
      <w:r w:rsidRPr="00645E5D">
        <w:rPr>
          <w:vertAlign w:val="superscript"/>
        </w:rPr>
        <w:t>–</w:t>
      </w:r>
      <w:r w:rsidRPr="00645E5D">
        <w:t>¹⁵. These limitations are particularly pronounced for heteromeric nAChRs, which require proper subunit assembly and trafficking, and for studies focusing on chaperone-assisted receptor regulation. Therefore, routine validation of receptor subtype expression across passages is necessary when working with stable nAChR-expressing cell lines.</w:t>
      </w:r>
    </w:p>
    <w:p w14:paraId="5E7C050C" w14:textId="0491C2C9" w:rsidR="00B838EF" w:rsidRPr="00645E5D" w:rsidRDefault="00E120B5" w:rsidP="004920E5">
      <w:pPr>
        <w:tabs>
          <w:tab w:val="left" w:pos="1260"/>
        </w:tabs>
        <w:ind w:firstLine="360"/>
      </w:pPr>
      <w:r w:rsidRPr="00645E5D">
        <w:t xml:space="preserve"> </w:t>
      </w:r>
    </w:p>
    <w:p w14:paraId="52C10757" w14:textId="706AF478" w:rsidR="001878AB" w:rsidRPr="009464DC" w:rsidRDefault="001878AB" w:rsidP="00871998">
      <w:r w:rsidRPr="009464DC">
        <w:t>Often, researchers are interested in nAChR subunit variants and chaperone or auxiliary protein subunits and thus need to express a variety of DNAs in quick succession to allow for rapid flexibility in their assays. Transient expression of nAChRs is advantageous in this regard because the process can be completed rapidly, allowing the researcher to study multiple receptor subtypes or experimental conditions without waiting months to generate stable cell lines. A common occurrence, even with transient expression, is that many nAChRs remain inside the cell 24 h after induction at 37 °C, requiring additional incubation periods of &gt;</w:t>
      </w:r>
      <w:r w:rsidR="004C25D2" w:rsidRPr="009464DC">
        <w:t xml:space="preserve"> </w:t>
      </w:r>
      <w:r w:rsidRPr="009464DC">
        <w:t>48 h</w:t>
      </w:r>
      <w:r w:rsidRPr="00AD67FE">
        <w:t>¹⁶</w:t>
      </w:r>
      <w:r w:rsidRPr="00AD67FE">
        <w:rPr>
          <w:vertAlign w:val="superscript"/>
        </w:rPr>
        <w:t>,</w:t>
      </w:r>
      <w:r w:rsidRPr="00AD67FE">
        <w:t>¹⁷</w:t>
      </w:r>
      <w:r w:rsidRPr="009464DC">
        <w:t xml:space="preserve">. For example, without the chaperone protein resistant to inhibitors of cholinesterase (RIC)-3, only ~1% of α7 nAChRs are expressed on the plasma membrane of mammalian SHE-P cells¹⁸. With co-expression of RIC-3, approximately 20% of α7 nAChRs are detected on the surface. While this represents an </w:t>
      </w:r>
      <w:r w:rsidRPr="009464DC">
        <w:lastRenderedPageBreak/>
        <w:t>improvement, total receptor abundance remains low. Co-expression of α7 nAChRs with NACHO can further enhance surface expression, though still less than 40% of the total receptor population traffics to the plasma membrane¹⁹. Another approach involves incubating transfected cells at 30 °C to improve plasma membrane expression²⁰</w:t>
      </w:r>
      <w:r w:rsidRPr="009464DC">
        <w:rPr>
          <w:vertAlign w:val="superscript"/>
        </w:rPr>
        <w:t>,</w:t>
      </w:r>
      <w:r w:rsidRPr="009464DC">
        <w:t>²¹. For α4β2 nAChRs, this temperature reduction yields a fivefold upregulation in surface receptor density with no corresponding increase in total subunit protein²¹. However, this improvement requires at least one additional day and greater use of consumables, reagents, and instrumentation.</w:t>
      </w:r>
    </w:p>
    <w:p w14:paraId="52436A79" w14:textId="77777777" w:rsidR="001878AB" w:rsidRPr="009464DC" w:rsidRDefault="001878AB" w:rsidP="004920E5">
      <w:pPr>
        <w:ind w:firstLine="360"/>
      </w:pPr>
    </w:p>
    <w:p w14:paraId="3B90F217" w14:textId="1FDFFDE0" w:rsidR="00FD39FF" w:rsidRPr="009464DC" w:rsidRDefault="001878AB" w:rsidP="00871998">
      <w:r w:rsidRPr="009464DC">
        <w:t>Th</w:t>
      </w:r>
      <w:r w:rsidR="007B41DD" w:rsidRPr="009464DC">
        <w:t xml:space="preserve">e presented work </w:t>
      </w:r>
      <w:r w:rsidR="00574731" w:rsidRPr="009464DC">
        <w:t>offers</w:t>
      </w:r>
      <w:r w:rsidRPr="009464DC">
        <w:t xml:space="preserve"> a set of optimized methods to express and quantify specific nAChR subtypes within 24 h post-transfection in mammalian N2a cells, achieving approximately 83% for α7, 77% for α4, and 56% for β2 subunits localized to the plasma membrane. In the case of α7 nAChRs, plasma membrane expression can be quantified using α7-selective fluorescently labeled α-bungarotoxin (αBTX) or through recombinant fluorescent tagging. To label each subunit, the pH-sensitive fluorescent proteins </w:t>
      </w:r>
      <w:proofErr w:type="spellStart"/>
      <w:r w:rsidRPr="009464DC">
        <w:t>pHuji</w:t>
      </w:r>
      <w:proofErr w:type="spellEnd"/>
      <w:r w:rsidRPr="009464DC">
        <w:t xml:space="preserve"> and </w:t>
      </w:r>
      <w:proofErr w:type="spellStart"/>
      <w:r w:rsidRPr="009464DC">
        <w:t>superecliptic</w:t>
      </w:r>
      <w:proofErr w:type="spellEnd"/>
      <w:r w:rsidRPr="009464DC">
        <w:t xml:space="preserve"> </w:t>
      </w:r>
      <w:proofErr w:type="spellStart"/>
      <w:r w:rsidRPr="009464DC">
        <w:t>pHluorin</w:t>
      </w:r>
      <w:proofErr w:type="spellEnd"/>
      <w:r w:rsidRPr="009464DC">
        <w:t xml:space="preserve"> (SEP)²²</w:t>
      </w:r>
      <w:r w:rsidRPr="009464DC">
        <w:rPr>
          <w:vertAlign w:val="superscript"/>
        </w:rPr>
        <w:t>–</w:t>
      </w:r>
      <w:r w:rsidRPr="009464DC">
        <w:t>²⁴ are engineered onto the C-terminus of individual nAChR subunits²⁵</w:t>
      </w:r>
      <w:r w:rsidRPr="009464DC">
        <w:rPr>
          <w:vertAlign w:val="superscript"/>
        </w:rPr>
        <w:t>,</w:t>
      </w:r>
      <w:r w:rsidRPr="009464DC">
        <w:t xml:space="preserve">²⁶. </w:t>
      </w:r>
      <w:proofErr w:type="spellStart"/>
      <w:r w:rsidRPr="009464DC">
        <w:t>pHuji</w:t>
      </w:r>
      <w:proofErr w:type="spellEnd"/>
      <w:r w:rsidRPr="009464DC">
        <w:t xml:space="preserve"> and SEP are pH-sensitive variants of red and green fluorescent proteins, respectively, that fluoresce at pH 7.4 but are quenched under more acidic conditions²⁷</w:t>
      </w:r>
      <w:r w:rsidRPr="009464DC">
        <w:rPr>
          <w:vertAlign w:val="superscript"/>
        </w:rPr>
        <w:t>,</w:t>
      </w:r>
      <w:r w:rsidRPr="009464DC">
        <w:t xml:space="preserve">²⁸. As SEP and </w:t>
      </w:r>
      <w:proofErr w:type="spellStart"/>
      <w:r w:rsidRPr="009464DC">
        <w:t>pHuji</w:t>
      </w:r>
      <w:proofErr w:type="spellEnd"/>
      <w:r w:rsidRPr="009464DC">
        <w:t xml:space="preserve"> fluorescence is suppressed at pH &lt; 6, any observed intracellular signal reflects fluorophores located in acidic compartments rather than on the plasma membrane. It should be noted that some organelles, such as the Golgi apparatus, have an acidic lumen; thus, fluorophores attached to the C-terminal region of nAChR subunits are not detected while subunits transit through the secretory pathway²⁹. The difference between total fluorescence at pH 7.5 and that at pH &lt; 6 represents the signal generated by nAChRs located on the plasma membrane. Capturing images using live-cell confocal microscopy provides high spatial resolution, enabling precise quantification of subunit localization. Additionally, performing all experiments on live cells allows each cell to serve as its own control, accounting for variability in protein expression between cells within each treatment group³⁰. This method can be further adapted to include additional chaperone proteins, such as NACHO or others, to investigate nAChR trafficking. Additional applications include pharmacological modulation, incorporation of auxiliary subunits, and analysis of disease-associated changes in nAChR expression.</w:t>
      </w:r>
    </w:p>
    <w:p w14:paraId="780D6837" w14:textId="77777777" w:rsidR="001878AB" w:rsidRPr="009464DC" w:rsidRDefault="001878AB" w:rsidP="004920E5">
      <w:pPr>
        <w:ind w:firstLine="360"/>
      </w:pPr>
    </w:p>
    <w:p w14:paraId="32A92E82" w14:textId="211E7C94" w:rsidR="006E4797" w:rsidRPr="009464DC" w:rsidRDefault="00551D82" w:rsidP="004920E5">
      <w:r w:rsidRPr="009464DC">
        <w:rPr>
          <w:b/>
        </w:rPr>
        <w:t>PROTOCOL</w:t>
      </w:r>
      <w:r w:rsidR="00290B86" w:rsidRPr="009464DC">
        <w:rPr>
          <w:b/>
        </w:rPr>
        <w:t>:</w:t>
      </w:r>
    </w:p>
    <w:p w14:paraId="39378216" w14:textId="77777777" w:rsidR="009464DC" w:rsidRPr="009464DC" w:rsidRDefault="009464DC" w:rsidP="004920E5"/>
    <w:p w14:paraId="1CE90FCF" w14:textId="202DE810" w:rsidR="00D73548" w:rsidRPr="009464DC" w:rsidRDefault="009464DC" w:rsidP="004920E5">
      <w:r w:rsidRPr="009464DC">
        <w:t xml:space="preserve">NOTE: </w:t>
      </w:r>
      <w:r w:rsidR="00D73548" w:rsidRPr="009464DC">
        <w:t>The following procedure describe</w:t>
      </w:r>
      <w:r w:rsidR="001878AB" w:rsidRPr="009464DC">
        <w:t>s</w:t>
      </w:r>
      <w:r w:rsidR="00D73548" w:rsidRPr="009464DC">
        <w:t xml:space="preserve"> methods that have been used successfully to transiently transfect the N2a cell line with nAChR subunits (</w:t>
      </w:r>
      <w:r w:rsidR="00D73548" w:rsidRPr="009464DC">
        <w:rPr>
          <w:b/>
          <w:bCs/>
        </w:rPr>
        <w:t>Figure 1</w:t>
      </w:r>
      <w:r w:rsidR="00D73548" w:rsidRPr="009464DC">
        <w:t xml:space="preserve">). Robust plasma membrane expression is achieved within 24 h, as captured with live-cell confocal microscopy. </w:t>
      </w:r>
    </w:p>
    <w:p w14:paraId="377C7DF3" w14:textId="6B90464A" w:rsidR="00D73548" w:rsidRPr="009464DC" w:rsidRDefault="00D73548" w:rsidP="004920E5"/>
    <w:p w14:paraId="1F70066C" w14:textId="77777777" w:rsidR="00D73548" w:rsidRPr="009464DC" w:rsidRDefault="00D73548" w:rsidP="009464DC">
      <w:r w:rsidRPr="009464DC">
        <w:t xml:space="preserve">[Place </w:t>
      </w:r>
      <w:r w:rsidRPr="009464DC">
        <w:rPr>
          <w:b/>
        </w:rPr>
        <w:t>Figure 1</w:t>
      </w:r>
      <w:r w:rsidRPr="009464DC">
        <w:t xml:space="preserve"> here]</w:t>
      </w:r>
    </w:p>
    <w:p w14:paraId="18E587EF" w14:textId="0EBE7DF2" w:rsidR="00D73548" w:rsidRPr="009464DC" w:rsidRDefault="00D73548" w:rsidP="004920E5"/>
    <w:p w14:paraId="2CE01378" w14:textId="1ECE8767" w:rsidR="00130E45" w:rsidRPr="009464DC" w:rsidRDefault="00130E45" w:rsidP="009464DC">
      <w:pPr>
        <w:pStyle w:val="Heading3"/>
        <w:numPr>
          <w:ilvl w:val="0"/>
          <w:numId w:val="40"/>
        </w:numPr>
        <w:spacing w:before="0"/>
        <w:ind w:left="0" w:firstLine="0"/>
        <w:rPr>
          <w:rFonts w:ascii="Calibri" w:eastAsia="Times New Roman" w:hAnsi="Calibri" w:cs="Calibri"/>
          <w:bCs/>
          <w:color w:val="auto"/>
          <w:lang w:eastAsia="en-IN"/>
        </w:rPr>
      </w:pPr>
      <w:r w:rsidRPr="009464DC">
        <w:rPr>
          <w:rFonts w:ascii="Calibri" w:eastAsia="Times New Roman" w:hAnsi="Calibri" w:cs="Calibri"/>
          <w:bCs/>
          <w:color w:val="auto"/>
          <w:lang w:eastAsia="en-IN"/>
        </w:rPr>
        <w:t>N2a nAChR transient transfection</w:t>
      </w:r>
    </w:p>
    <w:p w14:paraId="63474F30" w14:textId="77777777" w:rsidR="009464DC" w:rsidRPr="009464DC" w:rsidRDefault="009464DC" w:rsidP="009464DC">
      <w:pPr>
        <w:rPr>
          <w:lang w:eastAsia="en-IN"/>
        </w:rPr>
      </w:pPr>
    </w:p>
    <w:p w14:paraId="5D977A82" w14:textId="4AE4AE39" w:rsidR="00130E45" w:rsidRPr="009464DC" w:rsidRDefault="00130E45" w:rsidP="004920E5">
      <w:pPr>
        <w:widowControl/>
        <w:rPr>
          <w:rFonts w:eastAsia="Times New Roman"/>
          <w:lang w:eastAsia="en-IN"/>
        </w:rPr>
      </w:pPr>
      <w:r w:rsidRPr="009464DC">
        <w:rPr>
          <w:rFonts w:eastAsia="Times New Roman"/>
          <w:lang w:eastAsia="en-IN"/>
        </w:rPr>
        <w:t xml:space="preserve">NOTE: The N2a cell line was chosen because it exhibits a neuronal phenotype and low endogenous expression of nAChRs. The α7-pHuji, α4-SEP, and β2-pHuji subunit genes are each housed individually in the mammalian pcDNA3.1(+) expression vector. The chaperone protein NACHO is expressed from pREP9 (generously gifted by Dr. R. Loring, Northeastern University). In </w:t>
      </w:r>
      <w:r w:rsidRPr="009464DC">
        <w:rPr>
          <w:rFonts w:eastAsia="Times New Roman"/>
          <w:lang w:eastAsia="en-IN"/>
        </w:rPr>
        <w:lastRenderedPageBreak/>
        <w:t xml:space="preserve">all steps, use sterile </w:t>
      </w:r>
      <w:r w:rsidR="00645834" w:rsidRPr="009464DC">
        <w:rPr>
          <w:rFonts w:eastAsia="Times New Roman"/>
          <w:lang w:eastAsia="en-IN"/>
        </w:rPr>
        <w:t>techniques</w:t>
      </w:r>
      <w:r w:rsidRPr="009464DC">
        <w:rPr>
          <w:rFonts w:eastAsia="Times New Roman"/>
          <w:lang w:eastAsia="en-IN"/>
        </w:rPr>
        <w:t xml:space="preserve"> and work inside a biosafety cabinet. Wear a clean laboratory coat, safety glasses, and gloves. Clean all materials entering or leaving the biosafety cabinet with 70% ethanol.</w:t>
      </w:r>
      <w:r w:rsidR="009464DC" w:rsidRPr="009464DC">
        <w:rPr>
          <w:rFonts w:eastAsia="Times New Roman"/>
          <w:lang w:eastAsia="en-IN"/>
        </w:rPr>
        <w:t xml:space="preserve"> </w:t>
      </w:r>
      <w:r w:rsidRPr="009464DC">
        <w:rPr>
          <w:rFonts w:eastAsia="Times New Roman"/>
          <w:lang w:eastAsia="en-IN"/>
        </w:rPr>
        <w:t>The following steps describe transfection in a 35</w:t>
      </w:r>
      <w:r w:rsidR="00645834">
        <w:rPr>
          <w:rFonts w:eastAsia="Times New Roman"/>
          <w:lang w:eastAsia="en-IN"/>
        </w:rPr>
        <w:t xml:space="preserve"> </w:t>
      </w:r>
      <w:r w:rsidRPr="009464DC">
        <w:rPr>
          <w:rFonts w:eastAsia="Times New Roman"/>
          <w:lang w:eastAsia="en-IN"/>
        </w:rPr>
        <w:t>mm poly-D-lysine–coated glass-bottom dish, which is suitable for imaging. Volumes may be adjusted as needed for different culture vessels.</w:t>
      </w:r>
    </w:p>
    <w:p w14:paraId="1743A771" w14:textId="02CB4CE9" w:rsidR="00130E45" w:rsidRPr="009464DC" w:rsidRDefault="00130E45" w:rsidP="004920E5">
      <w:pPr>
        <w:widowControl/>
        <w:rPr>
          <w:rFonts w:eastAsia="Times New Roman"/>
          <w:lang w:eastAsia="en-IN"/>
        </w:rPr>
      </w:pPr>
    </w:p>
    <w:p w14:paraId="197B6834" w14:textId="7F7357AE" w:rsidR="00130E45" w:rsidRPr="00995C72" w:rsidRDefault="00130E45" w:rsidP="009464DC">
      <w:pPr>
        <w:pStyle w:val="ListParagraph"/>
        <w:numPr>
          <w:ilvl w:val="1"/>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Culture N2a cells in a T25 (or similar) tissue culture flask containing Eagle’s Minimum Essential Medium (EMEM) supplemented with 10% fetal bovine serum (FBS) and, if required, 100 U/mL penicillin and 100 µg/mL streptomycin. Incubate at 37 °C, 5% CO₂ until cells reach ~90% confluency. Visualize using a 4</w:t>
      </w:r>
      <w:r w:rsidR="00645834" w:rsidRPr="00995C72">
        <w:rPr>
          <w:rFonts w:ascii="Calibri" w:eastAsia="Times New Roman" w:hAnsi="Calibri" w:cs="Calibri"/>
          <w:sz w:val="24"/>
          <w:szCs w:val="24"/>
          <w:highlight w:val="yellow"/>
          <w:lang w:eastAsia="en-IN"/>
        </w:rPr>
        <w:t>x</w:t>
      </w:r>
      <w:r w:rsidRPr="00995C72">
        <w:rPr>
          <w:rFonts w:ascii="Calibri" w:eastAsia="Times New Roman" w:hAnsi="Calibri" w:cs="Calibri"/>
          <w:sz w:val="24"/>
          <w:szCs w:val="24"/>
          <w:highlight w:val="yellow"/>
          <w:lang w:eastAsia="en-IN"/>
        </w:rPr>
        <w:t xml:space="preserve"> light-microscope objective.</w:t>
      </w:r>
    </w:p>
    <w:p w14:paraId="652DFCA2" w14:textId="77777777" w:rsidR="00130E45" w:rsidRPr="00995C72" w:rsidRDefault="00130E45" w:rsidP="009464DC">
      <w:pPr>
        <w:pStyle w:val="ListParagraph"/>
        <w:spacing w:after="0" w:line="240" w:lineRule="auto"/>
        <w:ind w:left="0"/>
        <w:contextualSpacing w:val="0"/>
        <w:jc w:val="both"/>
        <w:rPr>
          <w:rFonts w:ascii="Calibri" w:eastAsia="Times New Roman" w:hAnsi="Calibri" w:cs="Calibri"/>
          <w:sz w:val="24"/>
          <w:szCs w:val="24"/>
          <w:highlight w:val="yellow"/>
          <w:lang w:eastAsia="en-IN"/>
        </w:rPr>
      </w:pPr>
    </w:p>
    <w:p w14:paraId="2E5957AD" w14:textId="16409AA4" w:rsidR="00130E45" w:rsidRPr="00995C72" w:rsidRDefault="00130E45" w:rsidP="009464DC">
      <w:pPr>
        <w:pStyle w:val="ListParagraph"/>
        <w:numPr>
          <w:ilvl w:val="1"/>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 xml:space="preserve">Monitor confluency daily using a light </w:t>
      </w:r>
      <w:r w:rsidR="009464DC" w:rsidRPr="00995C72">
        <w:rPr>
          <w:rFonts w:ascii="Calibri" w:eastAsia="Times New Roman" w:hAnsi="Calibri" w:cs="Calibri"/>
          <w:sz w:val="24"/>
          <w:szCs w:val="24"/>
          <w:highlight w:val="yellow"/>
          <w:lang w:eastAsia="en-IN"/>
        </w:rPr>
        <w:t>microscope and</w:t>
      </w:r>
      <w:r w:rsidRPr="00995C72">
        <w:rPr>
          <w:rFonts w:ascii="Calibri" w:eastAsia="Times New Roman" w:hAnsi="Calibri" w:cs="Calibri"/>
          <w:sz w:val="24"/>
          <w:szCs w:val="24"/>
          <w:highlight w:val="yellow"/>
          <w:lang w:eastAsia="en-IN"/>
        </w:rPr>
        <w:t xml:space="preserve"> replace the growth medium every 1–2 days to maintain optimal conditions. When cells reach ~90% confluency, they are ready to be </w:t>
      </w:r>
      <w:proofErr w:type="spellStart"/>
      <w:r w:rsidRPr="00995C72">
        <w:rPr>
          <w:rFonts w:ascii="Calibri" w:eastAsia="Times New Roman" w:hAnsi="Calibri" w:cs="Calibri"/>
          <w:sz w:val="24"/>
          <w:szCs w:val="24"/>
          <w:highlight w:val="yellow"/>
          <w:lang w:eastAsia="en-IN"/>
        </w:rPr>
        <w:t>passaged</w:t>
      </w:r>
      <w:proofErr w:type="spellEnd"/>
      <w:r w:rsidRPr="00995C72">
        <w:rPr>
          <w:rFonts w:ascii="Calibri" w:eastAsia="Times New Roman" w:hAnsi="Calibri" w:cs="Calibri"/>
          <w:sz w:val="24"/>
          <w:szCs w:val="24"/>
          <w:highlight w:val="yellow"/>
          <w:lang w:eastAsia="en-IN"/>
        </w:rPr>
        <w:t xml:space="preserve"> into imaging dishes.</w:t>
      </w:r>
    </w:p>
    <w:p w14:paraId="36E269BF" w14:textId="77777777" w:rsidR="00130E45" w:rsidRPr="00995C72" w:rsidRDefault="00130E45" w:rsidP="009464DC">
      <w:pPr>
        <w:pStyle w:val="ListParagraph"/>
        <w:spacing w:after="0" w:line="240" w:lineRule="auto"/>
        <w:ind w:left="0"/>
        <w:contextualSpacing w:val="0"/>
        <w:jc w:val="both"/>
        <w:rPr>
          <w:rFonts w:ascii="Calibri" w:eastAsia="Times New Roman" w:hAnsi="Calibri" w:cs="Calibri"/>
          <w:sz w:val="24"/>
          <w:szCs w:val="24"/>
          <w:highlight w:val="yellow"/>
          <w:lang w:eastAsia="en-IN"/>
        </w:rPr>
      </w:pPr>
    </w:p>
    <w:p w14:paraId="348557F2" w14:textId="216CAF76" w:rsidR="00130E45" w:rsidRPr="00995C72" w:rsidRDefault="00130E45" w:rsidP="009464DC">
      <w:pPr>
        <w:pStyle w:val="ListParagraph"/>
        <w:numPr>
          <w:ilvl w:val="1"/>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Prewarm all reagents to 37 °C in a water bath. Clean the biosafety cabinet and all materials with 70% ethanol before beginning the procedure.</w:t>
      </w:r>
    </w:p>
    <w:p w14:paraId="29D14B87" w14:textId="77777777" w:rsidR="00130E45" w:rsidRPr="009464DC" w:rsidRDefault="00130E45" w:rsidP="004920E5">
      <w:pPr>
        <w:pStyle w:val="ListParagraph"/>
        <w:spacing w:after="0" w:line="240" w:lineRule="auto"/>
        <w:contextualSpacing w:val="0"/>
        <w:jc w:val="both"/>
        <w:rPr>
          <w:rFonts w:ascii="Calibri" w:eastAsia="Times New Roman" w:hAnsi="Calibri" w:cs="Calibri"/>
          <w:sz w:val="24"/>
          <w:szCs w:val="24"/>
          <w:lang w:eastAsia="en-IN"/>
        </w:rPr>
      </w:pPr>
    </w:p>
    <w:p w14:paraId="7A8BBF6B" w14:textId="38800E51" w:rsidR="00130E45" w:rsidRDefault="00130E45" w:rsidP="004920E5">
      <w:pPr>
        <w:widowControl/>
        <w:rPr>
          <w:rFonts w:eastAsia="Times New Roman"/>
          <w:lang w:eastAsia="en-IN"/>
        </w:rPr>
      </w:pPr>
      <w:r w:rsidRPr="009464DC">
        <w:rPr>
          <w:rFonts w:eastAsia="Times New Roman"/>
          <w:lang w:eastAsia="en-IN"/>
        </w:rPr>
        <w:t>CAUTION: 70% ethanol is a highly flammable liquid and vapor that can cause serious eye irritation. Keep away from heat, sparks, open flames, and other ignition sources. Store in a well-ventilated area with containers tightly closed. Wear protective gloves and eye/face protection when handling. In case of contact with skin or eyes, rinse immediately with water and seek medical attention if irritation persists. An alternative disinfectant, such as a 5</w:t>
      </w:r>
      <w:r w:rsidR="00645834">
        <w:rPr>
          <w:rFonts w:eastAsia="Times New Roman"/>
          <w:lang w:eastAsia="en-IN"/>
        </w:rPr>
        <w:t>%</w:t>
      </w:r>
      <w:r w:rsidRPr="009464DC">
        <w:rPr>
          <w:rFonts w:eastAsia="Times New Roman"/>
          <w:lang w:eastAsia="en-IN"/>
        </w:rPr>
        <w:t>–10% bleach solution.</w:t>
      </w:r>
    </w:p>
    <w:p w14:paraId="582A72FA" w14:textId="77777777" w:rsidR="009464DC" w:rsidRPr="009464DC" w:rsidRDefault="009464DC" w:rsidP="004920E5">
      <w:pPr>
        <w:widowControl/>
        <w:rPr>
          <w:rFonts w:eastAsia="Times New Roman"/>
          <w:lang w:eastAsia="en-IN"/>
        </w:rPr>
      </w:pPr>
    </w:p>
    <w:p w14:paraId="6872C490" w14:textId="5D79EEEF" w:rsidR="00130E45" w:rsidRPr="00995C72" w:rsidRDefault="00130E45" w:rsidP="00414BB4">
      <w:pPr>
        <w:pStyle w:val="ListParagraph"/>
        <w:numPr>
          <w:ilvl w:val="1"/>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Aspirate the old medium from the flask and wash cells with 5 mL of PBS.</w:t>
      </w:r>
      <w:r w:rsidR="00645834" w:rsidRPr="00995C72">
        <w:rPr>
          <w:rFonts w:ascii="Calibri" w:eastAsia="Times New Roman" w:hAnsi="Calibri" w:cs="Calibri"/>
          <w:sz w:val="24"/>
          <w:szCs w:val="24"/>
          <w:highlight w:val="yellow"/>
          <w:lang w:eastAsia="en-IN"/>
        </w:rPr>
        <w:t xml:space="preserve"> </w:t>
      </w:r>
      <w:r w:rsidRPr="00995C72">
        <w:rPr>
          <w:rFonts w:ascii="Calibri" w:eastAsia="Times New Roman" w:hAnsi="Calibri" w:cs="Calibri"/>
          <w:sz w:val="24"/>
          <w:szCs w:val="24"/>
          <w:highlight w:val="yellow"/>
          <w:lang w:eastAsia="en-IN"/>
        </w:rPr>
        <w:t>Add 1 mL of trypsin to the flask and gently swirl. Incubate until cells lift (&lt;5 min). To prevent over-digestion, immediately add 4 mL of EMEM growth medium and gently pipette to create a single-cell suspension.</w:t>
      </w:r>
    </w:p>
    <w:p w14:paraId="464FE9A5" w14:textId="77777777" w:rsidR="001D6317" w:rsidRPr="00995C72" w:rsidRDefault="001D6317" w:rsidP="009464DC">
      <w:pPr>
        <w:pStyle w:val="ListParagraph"/>
        <w:spacing w:after="0" w:line="240" w:lineRule="auto"/>
        <w:ind w:left="0"/>
        <w:contextualSpacing w:val="0"/>
        <w:jc w:val="both"/>
        <w:rPr>
          <w:rFonts w:ascii="Calibri" w:eastAsia="Times New Roman" w:hAnsi="Calibri" w:cs="Calibri"/>
          <w:sz w:val="24"/>
          <w:szCs w:val="24"/>
          <w:highlight w:val="yellow"/>
          <w:lang w:eastAsia="en-IN"/>
        </w:rPr>
      </w:pPr>
    </w:p>
    <w:p w14:paraId="5BDC6149" w14:textId="2AADA320" w:rsidR="00130E45" w:rsidRPr="00995C72" w:rsidRDefault="00130E45" w:rsidP="009464DC">
      <w:pPr>
        <w:pStyle w:val="ListParagraph"/>
        <w:numPr>
          <w:ilvl w:val="1"/>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 xml:space="preserve">Using a hemocytometer, determine the cell concentration and calculate the required volume of EMEM growth medium to adjust the suspension so that 1 mL contains 0.5–2 </w:t>
      </w:r>
      <w:r w:rsidR="00A12831" w:rsidRPr="00995C72">
        <w:rPr>
          <w:rFonts w:ascii="Calibri" w:eastAsia="Times New Roman" w:hAnsi="Calibri" w:cs="Calibri"/>
          <w:sz w:val="24"/>
          <w:szCs w:val="24"/>
          <w:highlight w:val="yellow"/>
          <w:lang w:eastAsia="en-IN"/>
        </w:rPr>
        <w:t>x</w:t>
      </w:r>
      <w:r w:rsidRPr="00995C72">
        <w:rPr>
          <w:rFonts w:ascii="Calibri" w:eastAsia="Times New Roman" w:hAnsi="Calibri" w:cs="Calibri"/>
          <w:sz w:val="24"/>
          <w:szCs w:val="24"/>
          <w:highlight w:val="yellow"/>
          <w:lang w:eastAsia="en-IN"/>
        </w:rPr>
        <w:t xml:space="preserve"> 10⁵ cells.</w:t>
      </w:r>
    </w:p>
    <w:p w14:paraId="1C57CC9F" w14:textId="77777777" w:rsidR="00130E45" w:rsidRPr="00995C72" w:rsidRDefault="00130E45" w:rsidP="009464DC">
      <w:pPr>
        <w:pStyle w:val="ListParagraph"/>
        <w:spacing w:after="0" w:line="240" w:lineRule="auto"/>
        <w:ind w:left="0"/>
        <w:contextualSpacing w:val="0"/>
        <w:jc w:val="both"/>
        <w:rPr>
          <w:rFonts w:ascii="Calibri" w:eastAsia="Times New Roman" w:hAnsi="Calibri" w:cs="Calibri"/>
          <w:sz w:val="24"/>
          <w:szCs w:val="24"/>
          <w:highlight w:val="yellow"/>
          <w:lang w:eastAsia="en-IN"/>
        </w:rPr>
      </w:pPr>
    </w:p>
    <w:p w14:paraId="308D14FF" w14:textId="715CBAAC" w:rsidR="00130E45" w:rsidRPr="00995C72" w:rsidRDefault="00130E45" w:rsidP="009464DC">
      <w:pPr>
        <w:pStyle w:val="ListParagraph"/>
        <w:numPr>
          <w:ilvl w:val="1"/>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Plate 1 mL of cell suspension per 35</w:t>
      </w:r>
      <w:r w:rsidR="00A12831" w:rsidRPr="00995C72">
        <w:rPr>
          <w:rFonts w:ascii="Calibri" w:eastAsia="Times New Roman" w:hAnsi="Calibri" w:cs="Calibri"/>
          <w:sz w:val="24"/>
          <w:szCs w:val="24"/>
          <w:highlight w:val="yellow"/>
          <w:lang w:eastAsia="en-IN"/>
        </w:rPr>
        <w:t xml:space="preserve"> </w:t>
      </w:r>
      <w:r w:rsidRPr="00995C72">
        <w:rPr>
          <w:rFonts w:ascii="Calibri" w:eastAsia="Times New Roman" w:hAnsi="Calibri" w:cs="Calibri"/>
          <w:sz w:val="24"/>
          <w:szCs w:val="24"/>
          <w:highlight w:val="yellow"/>
          <w:lang w:eastAsia="en-IN"/>
        </w:rPr>
        <w:t xml:space="preserve">mm dish and add enough EMEM growth medium to bring the total volume to 2 </w:t>
      </w:r>
      <w:proofErr w:type="spellStart"/>
      <w:r w:rsidRPr="00995C72">
        <w:rPr>
          <w:rFonts w:ascii="Calibri" w:eastAsia="Times New Roman" w:hAnsi="Calibri" w:cs="Calibri"/>
          <w:sz w:val="24"/>
          <w:szCs w:val="24"/>
          <w:highlight w:val="yellow"/>
          <w:lang w:eastAsia="en-IN"/>
        </w:rPr>
        <w:t>mL.</w:t>
      </w:r>
      <w:proofErr w:type="spellEnd"/>
      <w:r w:rsidRPr="00995C72">
        <w:rPr>
          <w:rFonts w:ascii="Calibri" w:eastAsia="Times New Roman" w:hAnsi="Calibri" w:cs="Calibri"/>
          <w:sz w:val="24"/>
          <w:szCs w:val="24"/>
          <w:highlight w:val="yellow"/>
          <w:lang w:eastAsia="en-IN"/>
        </w:rPr>
        <w:t xml:space="preserve"> Incubate overnight at 37 °C, 5% CO₂. Cells are ready for transfection at 70</w:t>
      </w:r>
      <w:r w:rsidR="00A12831" w:rsidRPr="00995C72">
        <w:rPr>
          <w:rFonts w:ascii="Calibri" w:eastAsia="Times New Roman" w:hAnsi="Calibri" w:cs="Calibri"/>
          <w:sz w:val="24"/>
          <w:szCs w:val="24"/>
          <w:highlight w:val="yellow"/>
          <w:lang w:eastAsia="en-IN"/>
        </w:rPr>
        <w:t>%</w:t>
      </w:r>
      <w:r w:rsidRPr="00995C72">
        <w:rPr>
          <w:rFonts w:ascii="Calibri" w:eastAsia="Times New Roman" w:hAnsi="Calibri" w:cs="Calibri"/>
          <w:sz w:val="24"/>
          <w:szCs w:val="24"/>
          <w:highlight w:val="yellow"/>
          <w:lang w:eastAsia="en-IN"/>
        </w:rPr>
        <w:t>–80% confluency.</w:t>
      </w:r>
    </w:p>
    <w:p w14:paraId="4EE2639B" w14:textId="77777777" w:rsidR="00130E45" w:rsidRPr="009464DC" w:rsidRDefault="00130E45" w:rsidP="009464DC">
      <w:pPr>
        <w:pStyle w:val="ListParagraph"/>
        <w:spacing w:after="0" w:line="240" w:lineRule="auto"/>
        <w:ind w:left="0"/>
        <w:contextualSpacing w:val="0"/>
        <w:jc w:val="both"/>
        <w:rPr>
          <w:rFonts w:ascii="Calibri" w:eastAsia="Times New Roman" w:hAnsi="Calibri" w:cs="Calibri"/>
          <w:sz w:val="24"/>
          <w:szCs w:val="24"/>
          <w:lang w:eastAsia="en-IN"/>
        </w:rPr>
      </w:pPr>
    </w:p>
    <w:p w14:paraId="2F6B4E8F" w14:textId="0B6B1B6E" w:rsidR="00130E45" w:rsidRPr="00995C72" w:rsidRDefault="00130E45" w:rsidP="009464DC">
      <w:pPr>
        <w:pStyle w:val="ListParagraph"/>
        <w:numPr>
          <w:ilvl w:val="1"/>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On the day of transfection, prewarm reagents to 37 °C, thaw nAChR subunit DNAs completely, and bring the transfection reagent to room temperature. Clean all reagents with 70% ethanol before placing them in the biosafety cabinet.</w:t>
      </w:r>
    </w:p>
    <w:p w14:paraId="5C27D1DC" w14:textId="77777777" w:rsidR="001D6317" w:rsidRPr="00995C72" w:rsidRDefault="001D6317" w:rsidP="009464DC">
      <w:pPr>
        <w:pStyle w:val="ListParagraph"/>
        <w:spacing w:after="0" w:line="240" w:lineRule="auto"/>
        <w:ind w:left="0"/>
        <w:contextualSpacing w:val="0"/>
        <w:jc w:val="both"/>
        <w:rPr>
          <w:rFonts w:ascii="Calibri" w:eastAsia="Times New Roman" w:hAnsi="Calibri" w:cs="Calibri"/>
          <w:sz w:val="24"/>
          <w:szCs w:val="24"/>
          <w:highlight w:val="yellow"/>
          <w:lang w:eastAsia="en-IN"/>
        </w:rPr>
      </w:pPr>
    </w:p>
    <w:p w14:paraId="42B18836" w14:textId="46294CBD" w:rsidR="00130E45" w:rsidRPr="00995C72" w:rsidRDefault="00130E45" w:rsidP="009464DC">
      <w:pPr>
        <w:pStyle w:val="ListParagraph"/>
        <w:numPr>
          <w:ilvl w:val="1"/>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 xml:space="preserve">To express α7 nAChRs: In a microcentrifuge tube, dilute 4 µg of α7 (1 µg/µL) and 1 µg of NACHO (1 µg/µL) plasmid DNAs dropwise into </w:t>
      </w:r>
      <w:r w:rsidR="00785DCF" w:rsidRPr="00995C72">
        <w:rPr>
          <w:rFonts w:ascii="Calibri" w:eastAsia="Times New Roman" w:hAnsi="Calibri" w:cs="Calibri"/>
          <w:sz w:val="24"/>
          <w:szCs w:val="24"/>
          <w:highlight w:val="yellow"/>
          <w:lang w:eastAsia="en-IN"/>
        </w:rPr>
        <w:t xml:space="preserve">reduced serum medium </w:t>
      </w:r>
      <w:r w:rsidRPr="00995C72">
        <w:rPr>
          <w:rFonts w:ascii="Calibri" w:eastAsia="Times New Roman" w:hAnsi="Calibri" w:cs="Calibri"/>
          <w:sz w:val="24"/>
          <w:szCs w:val="24"/>
          <w:highlight w:val="yellow"/>
          <w:lang w:eastAsia="en-IN"/>
        </w:rPr>
        <w:t>(no antibiotic) to a final volume of 250 µL. Mix gently by pipetting after DNA addition.</w:t>
      </w:r>
    </w:p>
    <w:p w14:paraId="146FFFF6" w14:textId="77777777" w:rsidR="00130E45" w:rsidRPr="00995C72" w:rsidRDefault="00130E45" w:rsidP="009464DC">
      <w:pPr>
        <w:pStyle w:val="ListParagraph"/>
        <w:spacing w:after="0" w:line="240" w:lineRule="auto"/>
        <w:ind w:left="0"/>
        <w:contextualSpacing w:val="0"/>
        <w:jc w:val="both"/>
        <w:rPr>
          <w:rFonts w:ascii="Calibri" w:eastAsia="Times New Roman" w:hAnsi="Calibri" w:cs="Calibri"/>
          <w:sz w:val="24"/>
          <w:szCs w:val="24"/>
          <w:highlight w:val="yellow"/>
          <w:lang w:eastAsia="en-IN"/>
        </w:rPr>
      </w:pPr>
    </w:p>
    <w:p w14:paraId="714671F6" w14:textId="516F5332" w:rsidR="00130E45" w:rsidRPr="00995C72" w:rsidRDefault="00130E45" w:rsidP="00DC417F">
      <w:pPr>
        <w:pStyle w:val="ListParagraph"/>
        <w:numPr>
          <w:ilvl w:val="2"/>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 xml:space="preserve">To express α4β2 nAChRs: Dilute 4 µg of each subunit DNA in a total of 250 µL </w:t>
      </w:r>
      <w:r w:rsidR="00052632" w:rsidRPr="00995C72">
        <w:rPr>
          <w:rFonts w:ascii="Calibri" w:eastAsia="Times New Roman" w:hAnsi="Calibri" w:cs="Calibri"/>
          <w:sz w:val="24"/>
          <w:szCs w:val="24"/>
          <w:highlight w:val="yellow"/>
          <w:lang w:eastAsia="en-IN"/>
        </w:rPr>
        <w:t>of reduced serum medium</w:t>
      </w:r>
      <w:r w:rsidRPr="00995C72">
        <w:rPr>
          <w:rFonts w:ascii="Calibri" w:eastAsia="Times New Roman" w:hAnsi="Calibri" w:cs="Calibri"/>
          <w:sz w:val="24"/>
          <w:szCs w:val="24"/>
          <w:highlight w:val="yellow"/>
          <w:lang w:eastAsia="en-IN"/>
        </w:rPr>
        <w:t>. Mix gently by pipetting.</w:t>
      </w:r>
      <w:r w:rsidR="00052632" w:rsidRPr="00995C72">
        <w:rPr>
          <w:rFonts w:ascii="Calibri" w:eastAsia="Times New Roman" w:hAnsi="Calibri" w:cs="Calibri"/>
          <w:sz w:val="24"/>
          <w:szCs w:val="24"/>
          <w:highlight w:val="yellow"/>
          <w:lang w:eastAsia="en-IN"/>
        </w:rPr>
        <w:t xml:space="preserve"> </w:t>
      </w:r>
      <w:r w:rsidRPr="00995C72">
        <w:rPr>
          <w:rFonts w:ascii="Calibri" w:eastAsia="Times New Roman" w:hAnsi="Calibri" w:cs="Calibri"/>
          <w:sz w:val="24"/>
          <w:szCs w:val="24"/>
          <w:highlight w:val="yellow"/>
          <w:lang w:eastAsia="en-IN"/>
        </w:rPr>
        <w:t>Adjust the ratio of each subunit to optimize expression of specific receptor isoforms.</w:t>
      </w:r>
    </w:p>
    <w:p w14:paraId="22FA7EE4" w14:textId="77777777" w:rsidR="00052632" w:rsidRPr="00052632" w:rsidRDefault="00052632" w:rsidP="00052632">
      <w:pPr>
        <w:pStyle w:val="ListParagraph"/>
        <w:spacing w:after="0" w:line="240" w:lineRule="auto"/>
        <w:ind w:left="0"/>
        <w:contextualSpacing w:val="0"/>
        <w:jc w:val="both"/>
        <w:rPr>
          <w:rFonts w:ascii="Calibri" w:eastAsia="Times New Roman" w:hAnsi="Calibri" w:cs="Calibri"/>
          <w:sz w:val="24"/>
          <w:szCs w:val="24"/>
          <w:lang w:eastAsia="en-IN"/>
        </w:rPr>
      </w:pPr>
    </w:p>
    <w:p w14:paraId="368EE626" w14:textId="13BAB5F9" w:rsidR="00130E45" w:rsidRPr="00995C72" w:rsidRDefault="00130E45" w:rsidP="009464DC">
      <w:pPr>
        <w:pStyle w:val="ListParagraph"/>
        <w:numPr>
          <w:ilvl w:val="2"/>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To express α4β2 nAChRs with an additional plasmid, add equal amounts of each plasmid DNA. The blue fluorescent protein mTagBFP2³¹ in pcDNA3.1(+) serves as a control plasmid and can be replaced with any α4β2 chaperone.</w:t>
      </w:r>
    </w:p>
    <w:p w14:paraId="1269E0E8" w14:textId="77777777" w:rsidR="00130E45" w:rsidRPr="00995C72" w:rsidRDefault="00130E45" w:rsidP="009464DC">
      <w:pPr>
        <w:pStyle w:val="ListParagraph"/>
        <w:spacing w:after="0" w:line="240" w:lineRule="auto"/>
        <w:ind w:left="0"/>
        <w:contextualSpacing w:val="0"/>
        <w:jc w:val="both"/>
        <w:rPr>
          <w:rFonts w:ascii="Calibri" w:eastAsia="Times New Roman" w:hAnsi="Calibri" w:cs="Calibri"/>
          <w:sz w:val="24"/>
          <w:szCs w:val="24"/>
          <w:highlight w:val="yellow"/>
          <w:lang w:eastAsia="en-IN"/>
        </w:rPr>
      </w:pPr>
    </w:p>
    <w:p w14:paraId="23201C58" w14:textId="6D27ADD2" w:rsidR="00130E45" w:rsidRPr="00995C72" w:rsidRDefault="00130E45" w:rsidP="009464DC">
      <w:pPr>
        <w:pStyle w:val="ListParagraph"/>
        <w:numPr>
          <w:ilvl w:val="1"/>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 xml:space="preserve">Gently mix the DNA transfection reagent before use. In a separate microcentrifuge tube, dilute 8 µL of transfection reagent dropwise in 250 µL of </w:t>
      </w:r>
      <w:r w:rsidR="00052632" w:rsidRPr="00995C72">
        <w:rPr>
          <w:rFonts w:ascii="Calibri" w:eastAsia="Times New Roman" w:hAnsi="Calibri" w:cs="Calibri"/>
          <w:sz w:val="24"/>
          <w:szCs w:val="24"/>
          <w:highlight w:val="yellow"/>
          <w:lang w:eastAsia="en-IN"/>
        </w:rPr>
        <w:t>reduced serum medium</w:t>
      </w:r>
      <w:r w:rsidRPr="00995C72">
        <w:rPr>
          <w:rFonts w:ascii="Calibri" w:eastAsia="Times New Roman" w:hAnsi="Calibri" w:cs="Calibri"/>
          <w:sz w:val="24"/>
          <w:szCs w:val="24"/>
          <w:highlight w:val="yellow"/>
          <w:lang w:eastAsia="en-IN"/>
        </w:rPr>
        <w:t>. Incubate for 5 min at room temperature. Proceed to the next step within 25 min.</w:t>
      </w:r>
    </w:p>
    <w:p w14:paraId="458436B9" w14:textId="77777777" w:rsidR="00130E45" w:rsidRPr="00995C72" w:rsidRDefault="00130E45" w:rsidP="009464DC">
      <w:pPr>
        <w:pStyle w:val="ListParagraph"/>
        <w:spacing w:after="0" w:line="240" w:lineRule="auto"/>
        <w:ind w:left="0"/>
        <w:contextualSpacing w:val="0"/>
        <w:jc w:val="both"/>
        <w:rPr>
          <w:rFonts w:ascii="Calibri" w:eastAsia="Times New Roman" w:hAnsi="Calibri" w:cs="Calibri"/>
          <w:sz w:val="24"/>
          <w:szCs w:val="24"/>
          <w:highlight w:val="yellow"/>
          <w:lang w:eastAsia="en-IN"/>
        </w:rPr>
      </w:pPr>
    </w:p>
    <w:p w14:paraId="21EC1BF6" w14:textId="54DC6B0D" w:rsidR="00130E45" w:rsidRPr="00995C72" w:rsidRDefault="00130E45" w:rsidP="009464DC">
      <w:pPr>
        <w:pStyle w:val="ListParagraph"/>
        <w:numPr>
          <w:ilvl w:val="1"/>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After 5 min, combine the diluted DNAs with the diluted transfection reagent (total = 500 µL) dropwise. Mix gently by pipetting and incubate for 20 min at room temperature. DNA–lipid complexes remain stable for up to 6 h.</w:t>
      </w:r>
    </w:p>
    <w:p w14:paraId="1FB0310C" w14:textId="77777777" w:rsidR="00130E45" w:rsidRPr="00995C72" w:rsidRDefault="00130E45" w:rsidP="009464DC">
      <w:pPr>
        <w:pStyle w:val="ListParagraph"/>
        <w:spacing w:after="0" w:line="240" w:lineRule="auto"/>
        <w:ind w:left="0"/>
        <w:contextualSpacing w:val="0"/>
        <w:jc w:val="both"/>
        <w:rPr>
          <w:rFonts w:ascii="Calibri" w:eastAsia="Times New Roman" w:hAnsi="Calibri" w:cs="Calibri"/>
          <w:sz w:val="24"/>
          <w:szCs w:val="24"/>
          <w:highlight w:val="yellow"/>
          <w:lang w:eastAsia="en-IN"/>
        </w:rPr>
      </w:pPr>
    </w:p>
    <w:p w14:paraId="79F9647C" w14:textId="1B1874F2" w:rsidR="00130E45" w:rsidRPr="00995C72" w:rsidRDefault="00130E45" w:rsidP="009464DC">
      <w:pPr>
        <w:pStyle w:val="ListParagraph"/>
        <w:numPr>
          <w:ilvl w:val="1"/>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While the complexes form, remove culture dishes from the incubator and replace the medium with 1 mL of serum-free EMEM (no antibiotics).</w:t>
      </w:r>
    </w:p>
    <w:p w14:paraId="4DA19C19" w14:textId="77777777" w:rsidR="00130E45" w:rsidRPr="00995C72" w:rsidRDefault="00130E45" w:rsidP="009464DC">
      <w:pPr>
        <w:pStyle w:val="ListParagraph"/>
        <w:spacing w:after="0" w:line="240" w:lineRule="auto"/>
        <w:ind w:left="0"/>
        <w:contextualSpacing w:val="0"/>
        <w:jc w:val="both"/>
        <w:rPr>
          <w:rFonts w:ascii="Calibri" w:eastAsia="Times New Roman" w:hAnsi="Calibri" w:cs="Calibri"/>
          <w:sz w:val="24"/>
          <w:szCs w:val="24"/>
          <w:highlight w:val="yellow"/>
          <w:lang w:eastAsia="en-IN"/>
        </w:rPr>
      </w:pPr>
    </w:p>
    <w:p w14:paraId="6F90EB1F" w14:textId="37F65CF4" w:rsidR="00130E45" w:rsidRPr="00995C72" w:rsidRDefault="00130E45" w:rsidP="009464DC">
      <w:pPr>
        <w:pStyle w:val="ListParagraph"/>
        <w:numPr>
          <w:ilvl w:val="1"/>
          <w:numId w:val="40"/>
        </w:numPr>
        <w:spacing w:after="0" w:line="240" w:lineRule="auto"/>
        <w:ind w:left="0" w:firstLine="0"/>
        <w:contextualSpacing w:val="0"/>
        <w:jc w:val="both"/>
        <w:rPr>
          <w:rFonts w:ascii="Calibri" w:eastAsia="Times New Roman" w:hAnsi="Calibri" w:cs="Calibri"/>
          <w:sz w:val="24"/>
          <w:szCs w:val="24"/>
          <w:highlight w:val="yellow"/>
          <w:lang w:eastAsia="en-IN"/>
        </w:rPr>
      </w:pPr>
      <w:r w:rsidRPr="00995C72">
        <w:rPr>
          <w:rFonts w:ascii="Calibri" w:eastAsia="Times New Roman" w:hAnsi="Calibri" w:cs="Calibri"/>
          <w:sz w:val="24"/>
          <w:szCs w:val="24"/>
          <w:highlight w:val="yellow"/>
          <w:lang w:eastAsia="en-IN"/>
        </w:rPr>
        <w:t xml:space="preserve">Add 500 µL of the </w:t>
      </w:r>
      <w:r w:rsidR="002A1450" w:rsidRPr="00995C72">
        <w:rPr>
          <w:rFonts w:ascii="Calibri" w:eastAsia="Times New Roman" w:hAnsi="Calibri" w:cs="Calibri"/>
          <w:sz w:val="24"/>
          <w:szCs w:val="24"/>
          <w:highlight w:val="yellow"/>
          <w:lang w:eastAsia="en-IN"/>
        </w:rPr>
        <w:t>DNA-transfection</w:t>
      </w:r>
      <w:r w:rsidRPr="00995C72">
        <w:rPr>
          <w:rFonts w:ascii="Calibri" w:eastAsia="Times New Roman" w:hAnsi="Calibri" w:cs="Calibri"/>
          <w:sz w:val="24"/>
          <w:szCs w:val="24"/>
          <w:highlight w:val="yellow"/>
          <w:lang w:eastAsia="en-IN"/>
        </w:rPr>
        <w:t xml:space="preserve"> reagent complex dropwise to each dish (final volume = 1.5 mL). Mix gently by rocking the plate to ensure even distribution across the dish, particularly over the glass-bottom surface. Incubate at 37 °C for 24 h, then replace the medium after 4–6 h to promote cell health.</w:t>
      </w:r>
    </w:p>
    <w:p w14:paraId="3CBF55B4" w14:textId="0B3A1A17" w:rsidR="00A61CCB" w:rsidRPr="009464DC" w:rsidRDefault="00A61CCB" w:rsidP="009464DC"/>
    <w:p w14:paraId="066DAA2C" w14:textId="6A2A35AB" w:rsidR="0098292B" w:rsidRDefault="002D596D" w:rsidP="009464DC">
      <w:pPr>
        <w:pStyle w:val="ListParagraph"/>
        <w:numPr>
          <w:ilvl w:val="0"/>
          <w:numId w:val="40"/>
        </w:numPr>
        <w:spacing w:after="0" w:line="240" w:lineRule="auto"/>
        <w:ind w:left="0" w:firstLine="0"/>
        <w:contextualSpacing w:val="0"/>
        <w:jc w:val="both"/>
        <w:rPr>
          <w:rFonts w:ascii="Calibri" w:hAnsi="Calibri" w:cs="Calibri"/>
          <w:b/>
          <w:sz w:val="24"/>
          <w:szCs w:val="24"/>
        </w:rPr>
      </w:pPr>
      <w:r w:rsidRPr="009464DC">
        <w:rPr>
          <w:rFonts w:ascii="Calibri" w:hAnsi="Calibri" w:cs="Calibri"/>
          <w:b/>
          <w:sz w:val="24"/>
          <w:szCs w:val="24"/>
        </w:rPr>
        <w:t>Live cell labeling of plasma membrane</w:t>
      </w:r>
      <w:r w:rsidR="00BF6ED3" w:rsidRPr="009464DC">
        <w:rPr>
          <w:rFonts w:ascii="Calibri" w:hAnsi="Calibri" w:cs="Calibri"/>
          <w:b/>
          <w:sz w:val="24"/>
          <w:szCs w:val="24"/>
        </w:rPr>
        <w:t>-</w:t>
      </w:r>
      <w:r w:rsidRPr="009464DC">
        <w:rPr>
          <w:rFonts w:ascii="Calibri" w:hAnsi="Calibri" w:cs="Calibri"/>
          <w:b/>
          <w:sz w:val="24"/>
          <w:szCs w:val="24"/>
        </w:rPr>
        <w:t>expressed</w:t>
      </w:r>
      <w:r w:rsidR="0098292B" w:rsidRPr="009464DC">
        <w:rPr>
          <w:rFonts w:ascii="Calibri" w:hAnsi="Calibri" w:cs="Calibri"/>
          <w:b/>
          <w:sz w:val="24"/>
          <w:szCs w:val="24"/>
        </w:rPr>
        <w:t xml:space="preserve"> α7 nAChRs using </w:t>
      </w:r>
      <w:r w:rsidR="004F2287" w:rsidRPr="009464DC">
        <w:rPr>
          <w:rFonts w:ascii="Calibri" w:hAnsi="Calibri" w:cs="Calibri"/>
          <w:b/>
          <w:sz w:val="24"/>
          <w:szCs w:val="24"/>
        </w:rPr>
        <w:t xml:space="preserve">αBTX </w:t>
      </w:r>
      <w:r w:rsidR="0098292B" w:rsidRPr="009464DC">
        <w:rPr>
          <w:rFonts w:ascii="Calibri" w:hAnsi="Calibri" w:cs="Calibri"/>
          <w:b/>
          <w:sz w:val="24"/>
          <w:szCs w:val="24"/>
        </w:rPr>
        <w:t>Alexa Fluor 647</w:t>
      </w:r>
    </w:p>
    <w:p w14:paraId="509C09D5" w14:textId="77777777" w:rsidR="002A1450" w:rsidRPr="009464DC" w:rsidRDefault="002A1450" w:rsidP="002A1450">
      <w:pPr>
        <w:pStyle w:val="ListParagraph"/>
        <w:spacing w:after="0" w:line="240" w:lineRule="auto"/>
        <w:ind w:left="0"/>
        <w:contextualSpacing w:val="0"/>
        <w:jc w:val="both"/>
        <w:rPr>
          <w:rFonts w:ascii="Calibri" w:hAnsi="Calibri" w:cs="Calibri"/>
          <w:b/>
          <w:sz w:val="24"/>
          <w:szCs w:val="24"/>
        </w:rPr>
      </w:pPr>
    </w:p>
    <w:p w14:paraId="694FEB12" w14:textId="35EA250F" w:rsidR="008367D0" w:rsidRDefault="008367D0" w:rsidP="009464DC">
      <w:pPr>
        <w:pBdr>
          <w:top w:val="nil"/>
          <w:left w:val="nil"/>
          <w:bottom w:val="nil"/>
          <w:right w:val="nil"/>
          <w:between w:val="nil"/>
        </w:pBdr>
      </w:pPr>
      <w:r w:rsidRPr="009464DC">
        <w:t xml:space="preserve">NOTE: The following procedure is generally performed 24 h after transfection. Protect αBTX Alexa Fluor 647 (αBTX-AF647) from light to prevent </w:t>
      </w:r>
      <w:proofErr w:type="spellStart"/>
      <w:r w:rsidRPr="009464DC">
        <w:t>photodestruction</w:t>
      </w:r>
      <w:proofErr w:type="spellEnd"/>
      <w:r w:rsidRPr="009464DC">
        <w:t xml:space="preserve"> of the fluorophore.</w:t>
      </w:r>
    </w:p>
    <w:p w14:paraId="60AD6598" w14:textId="77777777" w:rsidR="002A1450" w:rsidRPr="009464DC" w:rsidRDefault="002A1450" w:rsidP="009464DC">
      <w:pPr>
        <w:pBdr>
          <w:top w:val="nil"/>
          <w:left w:val="nil"/>
          <w:bottom w:val="nil"/>
          <w:right w:val="nil"/>
          <w:between w:val="nil"/>
        </w:pBdr>
      </w:pPr>
    </w:p>
    <w:p w14:paraId="49D51434" w14:textId="2976D60C" w:rsidR="008367D0" w:rsidRPr="009464DC" w:rsidRDefault="008367D0"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9464DC">
        <w:rPr>
          <w:rFonts w:ascii="Calibri" w:hAnsi="Calibri" w:cs="Calibri"/>
          <w:sz w:val="24"/>
          <w:szCs w:val="24"/>
        </w:rPr>
        <w:t>Prewarm all reagents to 37 °C and thaw</w:t>
      </w:r>
      <w:r w:rsidR="001D6317" w:rsidRPr="009464DC">
        <w:rPr>
          <w:rFonts w:ascii="Calibri" w:hAnsi="Calibri" w:cs="Calibri"/>
          <w:sz w:val="24"/>
          <w:szCs w:val="24"/>
        </w:rPr>
        <w:t xml:space="preserve"> the</w:t>
      </w:r>
      <w:r w:rsidRPr="009464DC">
        <w:rPr>
          <w:rFonts w:ascii="Calibri" w:hAnsi="Calibri" w:cs="Calibri"/>
          <w:sz w:val="24"/>
          <w:szCs w:val="24"/>
        </w:rPr>
        <w:t xml:space="preserve"> αBTX-AF647</w:t>
      </w:r>
      <w:r w:rsidR="001D6317" w:rsidRPr="009464DC">
        <w:rPr>
          <w:rFonts w:ascii="Calibri" w:hAnsi="Calibri" w:cs="Calibri"/>
          <w:sz w:val="24"/>
          <w:szCs w:val="24"/>
        </w:rPr>
        <w:t xml:space="preserve"> stock (2.3 µM) solution</w:t>
      </w:r>
      <w:r w:rsidRPr="009464DC">
        <w:rPr>
          <w:rFonts w:ascii="Calibri" w:hAnsi="Calibri" w:cs="Calibri"/>
          <w:sz w:val="24"/>
          <w:szCs w:val="24"/>
        </w:rPr>
        <w:t>. Clean with 70% ethanol and place in the biosafety cabinet.</w:t>
      </w:r>
    </w:p>
    <w:p w14:paraId="744E60D5" w14:textId="77777777" w:rsidR="008367D0" w:rsidRPr="009464DC" w:rsidRDefault="008367D0" w:rsidP="009464D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69279C9" w14:textId="57CAAC24" w:rsidR="008367D0" w:rsidRPr="009464DC" w:rsidRDefault="008367D0"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9464DC">
        <w:rPr>
          <w:rFonts w:ascii="Calibri" w:hAnsi="Calibri" w:cs="Calibri"/>
          <w:sz w:val="24"/>
          <w:szCs w:val="24"/>
        </w:rPr>
        <w:t>Retrieve the dish containing the cells transfected with α7 and NACHO DNAs from the incubator, clean the outside with 70% ethanol, and place it in the biosafety cabinet.</w:t>
      </w:r>
    </w:p>
    <w:p w14:paraId="4184385A" w14:textId="77777777" w:rsidR="008367D0" w:rsidRPr="009464DC" w:rsidRDefault="008367D0" w:rsidP="009464DC">
      <w:pPr>
        <w:pStyle w:val="ListParagraph"/>
        <w:spacing w:after="0" w:line="240" w:lineRule="auto"/>
        <w:ind w:left="0"/>
        <w:contextualSpacing w:val="0"/>
        <w:jc w:val="both"/>
        <w:rPr>
          <w:rFonts w:ascii="Calibri" w:hAnsi="Calibri" w:cs="Calibri"/>
          <w:sz w:val="24"/>
          <w:szCs w:val="24"/>
        </w:rPr>
      </w:pPr>
    </w:p>
    <w:p w14:paraId="7E9480E9" w14:textId="1B03EA20" w:rsidR="008367D0" w:rsidRPr="002A1450" w:rsidRDefault="008367D0" w:rsidP="002705CF">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450">
        <w:rPr>
          <w:rFonts w:ascii="Calibri" w:hAnsi="Calibri" w:cs="Calibri"/>
          <w:sz w:val="24"/>
          <w:szCs w:val="24"/>
        </w:rPr>
        <w:t>Discard the old medium by vacuum suction.</w:t>
      </w:r>
      <w:r w:rsidR="002A1450">
        <w:rPr>
          <w:rFonts w:ascii="Calibri" w:hAnsi="Calibri" w:cs="Calibri"/>
          <w:sz w:val="24"/>
          <w:szCs w:val="24"/>
        </w:rPr>
        <w:t xml:space="preserve"> </w:t>
      </w:r>
      <w:r w:rsidRPr="002A1450">
        <w:rPr>
          <w:rFonts w:ascii="Calibri" w:hAnsi="Calibri" w:cs="Calibri"/>
          <w:sz w:val="24"/>
          <w:szCs w:val="24"/>
        </w:rPr>
        <w:t>To wash the cells, add 2 mL of fresh EMEM growth medium.</w:t>
      </w:r>
    </w:p>
    <w:p w14:paraId="225441D8" w14:textId="77777777" w:rsidR="008367D0" w:rsidRPr="009464DC" w:rsidRDefault="008367D0" w:rsidP="009464DC">
      <w:pPr>
        <w:pStyle w:val="ListParagraph"/>
        <w:spacing w:after="0" w:line="240" w:lineRule="auto"/>
        <w:ind w:left="0"/>
        <w:contextualSpacing w:val="0"/>
        <w:jc w:val="both"/>
        <w:rPr>
          <w:rFonts w:ascii="Calibri" w:hAnsi="Calibri" w:cs="Calibri"/>
          <w:sz w:val="24"/>
          <w:szCs w:val="24"/>
        </w:rPr>
      </w:pPr>
    </w:p>
    <w:p w14:paraId="00DBC52A" w14:textId="642C8BF3" w:rsidR="008367D0" w:rsidRPr="002A1450" w:rsidRDefault="008367D0" w:rsidP="001C6C64">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450">
        <w:rPr>
          <w:rFonts w:ascii="Calibri" w:hAnsi="Calibri" w:cs="Calibri"/>
          <w:sz w:val="24"/>
          <w:szCs w:val="24"/>
        </w:rPr>
        <w:t>Remove the wash medium by vacuum suction.</w:t>
      </w:r>
      <w:r w:rsidR="002A1450">
        <w:rPr>
          <w:rFonts w:ascii="Calibri" w:hAnsi="Calibri" w:cs="Calibri"/>
          <w:sz w:val="24"/>
          <w:szCs w:val="24"/>
        </w:rPr>
        <w:t xml:space="preserve"> </w:t>
      </w:r>
      <w:r w:rsidRPr="002A1450">
        <w:rPr>
          <w:rFonts w:ascii="Calibri" w:hAnsi="Calibri" w:cs="Calibri"/>
          <w:sz w:val="24"/>
          <w:szCs w:val="24"/>
        </w:rPr>
        <w:t xml:space="preserve">Add 2 mL of EMEM growth medium to </w:t>
      </w:r>
      <w:r w:rsidR="004C2CB9">
        <w:rPr>
          <w:rFonts w:ascii="Calibri" w:hAnsi="Calibri" w:cs="Calibri"/>
          <w:sz w:val="24"/>
          <w:szCs w:val="24"/>
        </w:rPr>
        <w:t xml:space="preserve">the </w:t>
      </w:r>
      <w:r w:rsidRPr="002A1450">
        <w:rPr>
          <w:rFonts w:ascii="Calibri" w:hAnsi="Calibri" w:cs="Calibri"/>
          <w:sz w:val="24"/>
          <w:szCs w:val="24"/>
        </w:rPr>
        <w:t>dishes.</w:t>
      </w:r>
    </w:p>
    <w:p w14:paraId="38C96F4A" w14:textId="77777777" w:rsidR="008367D0" w:rsidRPr="009464DC" w:rsidRDefault="008367D0" w:rsidP="009464DC">
      <w:pPr>
        <w:pStyle w:val="ListParagraph"/>
        <w:spacing w:after="0" w:line="240" w:lineRule="auto"/>
        <w:ind w:left="0"/>
        <w:contextualSpacing w:val="0"/>
        <w:jc w:val="both"/>
        <w:rPr>
          <w:rFonts w:ascii="Calibri" w:hAnsi="Calibri" w:cs="Calibri"/>
          <w:sz w:val="24"/>
          <w:szCs w:val="24"/>
        </w:rPr>
      </w:pPr>
    </w:p>
    <w:p w14:paraId="383165D5" w14:textId="6039F2A3" w:rsidR="008367D0" w:rsidRPr="002A1450" w:rsidRDefault="008367D0" w:rsidP="002A1450">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9464DC">
        <w:rPr>
          <w:rFonts w:ascii="Calibri" w:hAnsi="Calibri" w:cs="Calibri"/>
          <w:sz w:val="24"/>
          <w:szCs w:val="24"/>
        </w:rPr>
        <w:t xml:space="preserve">Replace the appropriate amount of medium with αBTX-AF647 to achieve a final concentration of 80 </w:t>
      </w:r>
      <w:proofErr w:type="spellStart"/>
      <w:r w:rsidRPr="009464DC">
        <w:rPr>
          <w:rFonts w:ascii="Calibri" w:hAnsi="Calibri" w:cs="Calibri"/>
          <w:sz w:val="24"/>
          <w:szCs w:val="24"/>
        </w:rPr>
        <w:t>nM.</w:t>
      </w:r>
      <w:proofErr w:type="spellEnd"/>
      <w:r w:rsidR="002A1450">
        <w:rPr>
          <w:rFonts w:ascii="Calibri" w:hAnsi="Calibri" w:cs="Calibri"/>
          <w:sz w:val="24"/>
          <w:szCs w:val="24"/>
        </w:rPr>
        <w:t xml:space="preserve"> </w:t>
      </w:r>
      <w:r w:rsidRPr="002A1450">
        <w:rPr>
          <w:rFonts w:ascii="Calibri" w:hAnsi="Calibri" w:cs="Calibri"/>
          <w:sz w:val="24"/>
          <w:szCs w:val="24"/>
        </w:rPr>
        <w:t>Incubate overnight at 37 °C.</w:t>
      </w:r>
    </w:p>
    <w:p w14:paraId="24549031" w14:textId="77777777" w:rsidR="008367D0" w:rsidRPr="009464DC" w:rsidRDefault="008367D0" w:rsidP="009464DC">
      <w:pPr>
        <w:pStyle w:val="ListParagraph"/>
        <w:spacing w:after="0" w:line="240" w:lineRule="auto"/>
        <w:ind w:left="0"/>
        <w:contextualSpacing w:val="0"/>
        <w:jc w:val="both"/>
        <w:rPr>
          <w:rFonts w:ascii="Calibri" w:hAnsi="Calibri" w:cs="Calibri"/>
          <w:sz w:val="24"/>
          <w:szCs w:val="24"/>
        </w:rPr>
      </w:pPr>
    </w:p>
    <w:p w14:paraId="0E079584" w14:textId="56EE42FA" w:rsidR="008367D0" w:rsidRPr="009464DC" w:rsidRDefault="008367D0"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9464DC">
        <w:rPr>
          <w:rFonts w:ascii="Calibri" w:hAnsi="Calibri" w:cs="Calibri"/>
          <w:sz w:val="24"/>
          <w:szCs w:val="24"/>
        </w:rPr>
        <w:t xml:space="preserve">In the morning, prewarm PBS or </w:t>
      </w:r>
      <w:r w:rsidR="002A1450">
        <w:rPr>
          <w:rFonts w:ascii="Calibri" w:hAnsi="Calibri" w:cs="Calibri"/>
          <w:sz w:val="24"/>
          <w:szCs w:val="24"/>
        </w:rPr>
        <w:t xml:space="preserve">a </w:t>
      </w:r>
      <w:r w:rsidRPr="009464DC">
        <w:rPr>
          <w:rFonts w:ascii="Calibri" w:hAnsi="Calibri" w:cs="Calibri"/>
          <w:sz w:val="24"/>
          <w:szCs w:val="24"/>
        </w:rPr>
        <w:t>preferred imaging medium and clean with 70% ethanol. Transfer to the biosafety cabinet.</w:t>
      </w:r>
    </w:p>
    <w:p w14:paraId="508FA956" w14:textId="77777777" w:rsidR="008367D0" w:rsidRPr="009464DC" w:rsidRDefault="008367D0" w:rsidP="009464DC">
      <w:pPr>
        <w:pStyle w:val="ListParagraph"/>
        <w:spacing w:after="0" w:line="240" w:lineRule="auto"/>
        <w:ind w:left="0"/>
        <w:contextualSpacing w:val="0"/>
        <w:jc w:val="both"/>
        <w:rPr>
          <w:rFonts w:ascii="Calibri" w:hAnsi="Calibri" w:cs="Calibri"/>
          <w:sz w:val="24"/>
          <w:szCs w:val="24"/>
        </w:rPr>
      </w:pPr>
    </w:p>
    <w:p w14:paraId="2F8A0062" w14:textId="77777777" w:rsidR="008367D0" w:rsidRPr="009464DC" w:rsidRDefault="008367D0"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9464DC">
        <w:rPr>
          <w:rFonts w:ascii="Calibri" w:hAnsi="Calibri" w:cs="Calibri"/>
          <w:sz w:val="24"/>
          <w:szCs w:val="24"/>
        </w:rPr>
        <w:t>Remove transfected cells from the incubator, clean, and place them in the biosafety cabinet.</w:t>
      </w:r>
    </w:p>
    <w:p w14:paraId="3CCF1DFD" w14:textId="77777777" w:rsidR="008367D0" w:rsidRPr="009464DC" w:rsidRDefault="008367D0" w:rsidP="009464DC">
      <w:pPr>
        <w:pStyle w:val="ListParagraph"/>
        <w:spacing w:after="0" w:line="240" w:lineRule="auto"/>
        <w:ind w:left="0"/>
        <w:contextualSpacing w:val="0"/>
        <w:jc w:val="both"/>
        <w:rPr>
          <w:rFonts w:ascii="Calibri" w:hAnsi="Calibri" w:cs="Calibri"/>
          <w:sz w:val="24"/>
          <w:szCs w:val="24"/>
        </w:rPr>
      </w:pPr>
    </w:p>
    <w:p w14:paraId="0320D616" w14:textId="7C8C5AF2" w:rsidR="008367D0" w:rsidRPr="009464DC" w:rsidRDefault="008367D0"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9464DC">
        <w:rPr>
          <w:rFonts w:ascii="Calibri" w:hAnsi="Calibri" w:cs="Calibri"/>
          <w:sz w:val="24"/>
          <w:szCs w:val="24"/>
        </w:rPr>
        <w:t>Remove the old medium containing αBTX-AF647 and place it in an appropriate waste container.</w:t>
      </w:r>
    </w:p>
    <w:p w14:paraId="100708B8" w14:textId="77777777" w:rsidR="008367D0" w:rsidRPr="009464DC" w:rsidRDefault="008367D0" w:rsidP="009464DC">
      <w:pPr>
        <w:pStyle w:val="ListParagraph"/>
        <w:spacing w:after="0" w:line="240" w:lineRule="auto"/>
        <w:ind w:left="0"/>
        <w:contextualSpacing w:val="0"/>
        <w:jc w:val="both"/>
        <w:rPr>
          <w:rFonts w:ascii="Calibri" w:hAnsi="Calibri" w:cs="Calibri"/>
          <w:sz w:val="24"/>
          <w:szCs w:val="24"/>
        </w:rPr>
      </w:pPr>
    </w:p>
    <w:p w14:paraId="29E534EB" w14:textId="30192AF0" w:rsidR="008367D0" w:rsidRPr="009464DC" w:rsidRDefault="008367D0"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9464DC">
        <w:rPr>
          <w:rFonts w:ascii="Calibri" w:hAnsi="Calibri" w:cs="Calibri"/>
          <w:sz w:val="24"/>
          <w:szCs w:val="24"/>
        </w:rPr>
        <w:t xml:space="preserve">Wash cells with 2 mL of PBS </w:t>
      </w:r>
      <w:r w:rsidR="002A1450">
        <w:rPr>
          <w:rFonts w:ascii="Calibri" w:hAnsi="Calibri" w:cs="Calibri"/>
          <w:sz w:val="24"/>
          <w:szCs w:val="24"/>
        </w:rPr>
        <w:t xml:space="preserve">for </w:t>
      </w:r>
      <w:r w:rsidRPr="009464DC">
        <w:rPr>
          <w:rFonts w:ascii="Calibri" w:hAnsi="Calibri" w:cs="Calibri"/>
          <w:sz w:val="24"/>
          <w:szCs w:val="24"/>
        </w:rPr>
        <w:t>3</w:t>
      </w:r>
      <w:r w:rsidR="002A1450">
        <w:rPr>
          <w:rFonts w:ascii="Calibri" w:hAnsi="Calibri" w:cs="Calibri"/>
          <w:sz w:val="24"/>
          <w:szCs w:val="24"/>
        </w:rPr>
        <w:t>x</w:t>
      </w:r>
      <w:r w:rsidRPr="009464DC">
        <w:rPr>
          <w:rFonts w:ascii="Calibri" w:hAnsi="Calibri" w:cs="Calibri"/>
          <w:sz w:val="24"/>
          <w:szCs w:val="24"/>
        </w:rPr>
        <w:t>, 10 min each at room temperature. The rinses remove unbound ligand and debris, and the time can be modified to meet the researcher's needs. Remove PBS after each wash.</w:t>
      </w:r>
    </w:p>
    <w:p w14:paraId="5ABC9869" w14:textId="77777777" w:rsidR="008367D0" w:rsidRPr="009464DC" w:rsidRDefault="008367D0" w:rsidP="009464DC">
      <w:pPr>
        <w:pStyle w:val="ListParagraph"/>
        <w:spacing w:after="0" w:line="240" w:lineRule="auto"/>
        <w:ind w:left="0"/>
        <w:contextualSpacing w:val="0"/>
        <w:jc w:val="both"/>
        <w:rPr>
          <w:rFonts w:ascii="Calibri" w:hAnsi="Calibri" w:cs="Calibri"/>
          <w:sz w:val="24"/>
          <w:szCs w:val="24"/>
        </w:rPr>
      </w:pPr>
    </w:p>
    <w:p w14:paraId="28B290D2" w14:textId="4ECB3A8E" w:rsidR="0098292B" w:rsidRPr="009464DC" w:rsidRDefault="008367D0"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9464DC">
        <w:rPr>
          <w:rFonts w:ascii="Calibri" w:hAnsi="Calibri" w:cs="Calibri"/>
          <w:sz w:val="24"/>
          <w:szCs w:val="24"/>
        </w:rPr>
        <w:t xml:space="preserve">Add 2 mL of PBS or </w:t>
      </w:r>
      <w:r w:rsidR="00E7202D">
        <w:rPr>
          <w:rFonts w:ascii="Calibri" w:hAnsi="Calibri" w:cs="Calibri"/>
          <w:sz w:val="24"/>
          <w:szCs w:val="24"/>
        </w:rPr>
        <w:t xml:space="preserve">a </w:t>
      </w:r>
      <w:r w:rsidRPr="009464DC">
        <w:rPr>
          <w:rFonts w:ascii="Calibri" w:hAnsi="Calibri" w:cs="Calibri"/>
          <w:sz w:val="24"/>
          <w:szCs w:val="24"/>
        </w:rPr>
        <w:t xml:space="preserve">preferred imaging </w:t>
      </w:r>
      <w:r w:rsidR="00AD67FE" w:rsidRPr="009464DC">
        <w:rPr>
          <w:rFonts w:ascii="Calibri" w:hAnsi="Calibri" w:cs="Calibri"/>
          <w:sz w:val="24"/>
          <w:szCs w:val="24"/>
        </w:rPr>
        <w:t>medium and</w:t>
      </w:r>
      <w:r w:rsidRPr="009464DC">
        <w:rPr>
          <w:rFonts w:ascii="Calibri" w:hAnsi="Calibri" w:cs="Calibri"/>
          <w:sz w:val="24"/>
          <w:szCs w:val="24"/>
        </w:rPr>
        <w:t xml:space="preserve"> proceed to image cells using a confocal microscope.</w:t>
      </w:r>
    </w:p>
    <w:p w14:paraId="6E63B05E" w14:textId="77777777" w:rsidR="0065208A" w:rsidRPr="009464DC" w:rsidRDefault="0065208A" w:rsidP="009464DC"/>
    <w:p w14:paraId="773889C7" w14:textId="1107B0CB" w:rsidR="00CB4589" w:rsidRPr="009464DC" w:rsidRDefault="00CB4589" w:rsidP="009464DC">
      <w:pPr>
        <w:pStyle w:val="ListParagraph"/>
        <w:numPr>
          <w:ilvl w:val="0"/>
          <w:numId w:val="40"/>
        </w:numPr>
        <w:spacing w:after="0" w:line="240" w:lineRule="auto"/>
        <w:ind w:left="0" w:firstLine="0"/>
        <w:contextualSpacing w:val="0"/>
        <w:jc w:val="both"/>
        <w:rPr>
          <w:rFonts w:ascii="Calibri" w:hAnsi="Calibri" w:cs="Calibri"/>
          <w:b/>
          <w:bCs/>
          <w:sz w:val="24"/>
          <w:szCs w:val="24"/>
        </w:rPr>
      </w:pPr>
      <w:r w:rsidRPr="009464DC">
        <w:rPr>
          <w:rFonts w:ascii="Calibri" w:hAnsi="Calibri" w:cs="Calibri"/>
          <w:b/>
          <w:bCs/>
          <w:sz w:val="24"/>
          <w:szCs w:val="24"/>
        </w:rPr>
        <w:t>Live-cell imaging of total and internal α7-pHuji nAChRs</w:t>
      </w:r>
    </w:p>
    <w:p w14:paraId="4F0A9C71" w14:textId="77777777" w:rsidR="00CB4589" w:rsidRPr="009464DC" w:rsidRDefault="00CB4589" w:rsidP="009464DC"/>
    <w:p w14:paraId="65206C59" w14:textId="77777777" w:rsidR="00CB4589" w:rsidRPr="009464DC" w:rsidRDefault="00CB4589" w:rsidP="009464DC">
      <w:r w:rsidRPr="009464DC">
        <w:t xml:space="preserve">NOTE: The following procedure uses an in-house-made α7-pHuji pcDNA3.1 plasmid co-transfected with the NACHO chaperone. A similar protocol was used to express α4-SEP and β2-pHuji in pcDNA3.1 with the control plasmid mTagBFP2 pcDNA3.1, as described in the Results section. Protect samples from light throughout the procedure to prevent </w:t>
      </w:r>
      <w:proofErr w:type="spellStart"/>
      <w:r w:rsidRPr="009464DC">
        <w:t>photodestruction</w:t>
      </w:r>
      <w:proofErr w:type="spellEnd"/>
      <w:r w:rsidRPr="009464DC">
        <w:t xml:space="preserve"> of the fluorophore.</w:t>
      </w:r>
    </w:p>
    <w:p w14:paraId="27E96F3F" w14:textId="77777777" w:rsidR="00CB4589" w:rsidRPr="009464DC" w:rsidRDefault="00CB4589" w:rsidP="009464DC"/>
    <w:p w14:paraId="415D805B" w14:textId="14708D39"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Prepare pH 7.4 imaging buffer (</w:t>
      </w:r>
      <w:r w:rsidRPr="00995C72">
        <w:rPr>
          <w:rFonts w:ascii="Calibri" w:hAnsi="Calibri" w:cs="Calibri"/>
          <w:b/>
          <w:bCs/>
          <w:sz w:val="24"/>
          <w:szCs w:val="24"/>
          <w:highlight w:val="yellow"/>
        </w:rPr>
        <w:t>Table 1</w:t>
      </w:r>
      <w:r w:rsidRPr="00995C72">
        <w:rPr>
          <w:rFonts w:ascii="Calibri" w:hAnsi="Calibri" w:cs="Calibri"/>
          <w:sz w:val="24"/>
          <w:szCs w:val="24"/>
          <w:highlight w:val="yellow"/>
        </w:rPr>
        <w:t>) and pH 5.5 quenching buffer (</w:t>
      </w:r>
      <w:r w:rsidRPr="00995C72">
        <w:rPr>
          <w:rFonts w:ascii="Calibri" w:hAnsi="Calibri" w:cs="Calibri"/>
          <w:b/>
          <w:bCs/>
          <w:sz w:val="24"/>
          <w:szCs w:val="24"/>
          <w:highlight w:val="yellow"/>
        </w:rPr>
        <w:t>Table 2</w:t>
      </w:r>
      <w:r w:rsidRPr="00995C72">
        <w:rPr>
          <w:rFonts w:ascii="Calibri" w:hAnsi="Calibri" w:cs="Calibri"/>
          <w:sz w:val="24"/>
          <w:szCs w:val="24"/>
          <w:highlight w:val="yellow"/>
        </w:rPr>
        <w:t>) as described</w:t>
      </w:r>
      <w:r w:rsidRPr="00995C72">
        <w:rPr>
          <w:rFonts w:ascii="Calibri" w:hAnsi="Calibri" w:cs="Calibri"/>
          <w:sz w:val="24"/>
          <w:szCs w:val="24"/>
          <w:highlight w:val="yellow"/>
          <w:vertAlign w:val="superscript"/>
        </w:rPr>
        <w:t>23</w:t>
      </w:r>
      <w:r w:rsidRPr="00995C72">
        <w:rPr>
          <w:rFonts w:ascii="Calibri" w:hAnsi="Calibri" w:cs="Calibri"/>
          <w:sz w:val="24"/>
          <w:szCs w:val="24"/>
          <w:highlight w:val="yellow"/>
        </w:rPr>
        <w:t>.</w:t>
      </w:r>
    </w:p>
    <w:p w14:paraId="3B11ECF0" w14:textId="77777777" w:rsidR="00CB4589" w:rsidRPr="009464DC" w:rsidRDefault="00CB4589" w:rsidP="009464DC"/>
    <w:p w14:paraId="39BB90C6" w14:textId="77777777" w:rsidR="00CB4589" w:rsidRPr="009464DC" w:rsidRDefault="00CB4589" w:rsidP="009464DC">
      <w:pPr>
        <w:pStyle w:val="ListParagraph"/>
        <w:spacing w:after="0" w:line="240" w:lineRule="auto"/>
        <w:ind w:left="0"/>
        <w:contextualSpacing w:val="0"/>
        <w:jc w:val="both"/>
        <w:rPr>
          <w:rFonts w:ascii="Calibri" w:hAnsi="Calibri" w:cs="Calibri"/>
          <w:sz w:val="24"/>
          <w:szCs w:val="24"/>
        </w:rPr>
      </w:pPr>
      <w:r w:rsidRPr="009464DC">
        <w:rPr>
          <w:rFonts w:ascii="Calibri" w:hAnsi="Calibri" w:cs="Calibri"/>
          <w:sz w:val="24"/>
          <w:szCs w:val="24"/>
        </w:rPr>
        <w:t xml:space="preserve">[Place </w:t>
      </w:r>
      <w:r w:rsidRPr="00E7202D">
        <w:rPr>
          <w:rFonts w:ascii="Calibri" w:hAnsi="Calibri" w:cs="Calibri"/>
          <w:b/>
          <w:bCs/>
          <w:sz w:val="24"/>
          <w:szCs w:val="24"/>
        </w:rPr>
        <w:t>Table 1</w:t>
      </w:r>
      <w:r w:rsidRPr="009464DC">
        <w:rPr>
          <w:rFonts w:ascii="Calibri" w:hAnsi="Calibri" w:cs="Calibri"/>
          <w:sz w:val="24"/>
          <w:szCs w:val="24"/>
        </w:rPr>
        <w:t xml:space="preserve"> here]</w:t>
      </w:r>
    </w:p>
    <w:p w14:paraId="6BADD0BF" w14:textId="77777777" w:rsidR="00CB4589" w:rsidRPr="009464DC" w:rsidRDefault="00CB4589" w:rsidP="009464DC"/>
    <w:p w14:paraId="062E20E8" w14:textId="77777777" w:rsidR="00CB4589" w:rsidRPr="009464DC" w:rsidRDefault="00CB4589" w:rsidP="009464DC">
      <w:pPr>
        <w:pStyle w:val="ListParagraph"/>
        <w:spacing w:after="0" w:line="240" w:lineRule="auto"/>
        <w:ind w:left="0"/>
        <w:contextualSpacing w:val="0"/>
        <w:jc w:val="both"/>
        <w:rPr>
          <w:rFonts w:ascii="Calibri" w:hAnsi="Calibri" w:cs="Calibri"/>
          <w:sz w:val="24"/>
          <w:szCs w:val="24"/>
        </w:rPr>
      </w:pPr>
      <w:r w:rsidRPr="009464DC">
        <w:rPr>
          <w:rFonts w:ascii="Calibri" w:hAnsi="Calibri" w:cs="Calibri"/>
          <w:sz w:val="24"/>
          <w:szCs w:val="24"/>
        </w:rPr>
        <w:t xml:space="preserve">[Place </w:t>
      </w:r>
      <w:r w:rsidRPr="00E7202D">
        <w:rPr>
          <w:rFonts w:ascii="Calibri" w:hAnsi="Calibri" w:cs="Calibri"/>
          <w:b/>
          <w:bCs/>
          <w:sz w:val="24"/>
          <w:szCs w:val="24"/>
        </w:rPr>
        <w:t>Table 2</w:t>
      </w:r>
      <w:r w:rsidRPr="009464DC">
        <w:rPr>
          <w:rFonts w:ascii="Calibri" w:hAnsi="Calibri" w:cs="Calibri"/>
          <w:sz w:val="24"/>
          <w:szCs w:val="24"/>
        </w:rPr>
        <w:t xml:space="preserve"> here]</w:t>
      </w:r>
    </w:p>
    <w:p w14:paraId="32B11EF4" w14:textId="77777777" w:rsidR="00CB4589" w:rsidRPr="009464DC" w:rsidRDefault="00CB4589" w:rsidP="009464DC"/>
    <w:p w14:paraId="17B655DC" w14:textId="142ACE9F" w:rsidR="00CB4589" w:rsidRPr="00995C72" w:rsidRDefault="00CB4589" w:rsidP="002D0928">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Prewarm reagents to 37 °C, clean with 70% ethanol, and transfer to the biosafety cabinet.</w:t>
      </w:r>
      <w:r w:rsidR="00E7202D" w:rsidRPr="00995C72">
        <w:rPr>
          <w:rFonts w:ascii="Calibri" w:hAnsi="Calibri" w:cs="Calibri"/>
          <w:sz w:val="24"/>
          <w:szCs w:val="24"/>
          <w:highlight w:val="yellow"/>
        </w:rPr>
        <w:t xml:space="preserve"> </w:t>
      </w:r>
      <w:r w:rsidRPr="00995C72">
        <w:rPr>
          <w:rFonts w:ascii="Calibri" w:hAnsi="Calibri" w:cs="Calibri"/>
          <w:sz w:val="24"/>
          <w:szCs w:val="24"/>
          <w:highlight w:val="yellow"/>
        </w:rPr>
        <w:t>Remove the transfected cells from the incubator, clean with 70% ethanol, and place them in the biosafety cabinet.</w:t>
      </w:r>
    </w:p>
    <w:p w14:paraId="49088581" w14:textId="77777777" w:rsidR="00CB4589" w:rsidRPr="00995C72" w:rsidRDefault="00CB4589" w:rsidP="009464DC">
      <w:pPr>
        <w:rPr>
          <w:highlight w:val="yellow"/>
        </w:rPr>
      </w:pPr>
    </w:p>
    <w:p w14:paraId="6BC59891" w14:textId="77777777" w:rsidR="00E7202D" w:rsidRPr="00995C72" w:rsidRDefault="00CB4589" w:rsidP="00E7202D">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Remove the old medium by suction.</w:t>
      </w:r>
      <w:r w:rsidR="00E7202D" w:rsidRPr="00995C72">
        <w:rPr>
          <w:rFonts w:ascii="Calibri" w:hAnsi="Calibri" w:cs="Calibri"/>
          <w:sz w:val="24"/>
          <w:szCs w:val="24"/>
          <w:highlight w:val="yellow"/>
        </w:rPr>
        <w:t xml:space="preserve"> </w:t>
      </w:r>
      <w:r w:rsidRPr="00995C72">
        <w:rPr>
          <w:rFonts w:ascii="Calibri" w:hAnsi="Calibri" w:cs="Calibri"/>
          <w:sz w:val="24"/>
          <w:szCs w:val="24"/>
          <w:highlight w:val="yellow"/>
        </w:rPr>
        <w:t xml:space="preserve">Rinse the dish with 2 mL PBS </w:t>
      </w:r>
      <w:r w:rsidR="00E7202D" w:rsidRPr="00995C72">
        <w:rPr>
          <w:rFonts w:ascii="Calibri" w:hAnsi="Calibri" w:cs="Calibri"/>
          <w:sz w:val="24"/>
          <w:szCs w:val="24"/>
          <w:highlight w:val="yellow"/>
        </w:rPr>
        <w:t xml:space="preserve">for </w:t>
      </w:r>
      <w:r w:rsidRPr="00995C72">
        <w:rPr>
          <w:rFonts w:ascii="Calibri" w:hAnsi="Calibri" w:cs="Calibri"/>
          <w:sz w:val="24"/>
          <w:szCs w:val="24"/>
          <w:highlight w:val="yellow"/>
        </w:rPr>
        <w:t>3</w:t>
      </w:r>
      <w:r w:rsidR="00E7202D" w:rsidRPr="00995C72">
        <w:rPr>
          <w:rFonts w:ascii="Calibri" w:hAnsi="Calibri" w:cs="Calibri"/>
          <w:sz w:val="24"/>
          <w:szCs w:val="24"/>
          <w:highlight w:val="yellow"/>
        </w:rPr>
        <w:t>x</w:t>
      </w:r>
      <w:r w:rsidRPr="00995C72">
        <w:rPr>
          <w:rFonts w:ascii="Calibri" w:hAnsi="Calibri" w:cs="Calibri"/>
          <w:sz w:val="24"/>
          <w:szCs w:val="24"/>
          <w:highlight w:val="yellow"/>
        </w:rPr>
        <w:t>, 10 min each at room temperature.</w:t>
      </w:r>
      <w:r w:rsidR="00E7202D" w:rsidRPr="00995C72">
        <w:rPr>
          <w:rFonts w:ascii="Calibri" w:hAnsi="Calibri" w:cs="Calibri"/>
          <w:sz w:val="24"/>
          <w:szCs w:val="24"/>
          <w:highlight w:val="yellow"/>
        </w:rPr>
        <w:t xml:space="preserve"> </w:t>
      </w:r>
      <w:r w:rsidRPr="00995C72">
        <w:rPr>
          <w:rFonts w:ascii="Calibri" w:hAnsi="Calibri" w:cs="Calibri"/>
          <w:sz w:val="24"/>
          <w:szCs w:val="24"/>
          <w:highlight w:val="yellow"/>
        </w:rPr>
        <w:t>Add 2 mL of pH 7.4 imaging buffer.</w:t>
      </w:r>
      <w:r w:rsidR="00E7202D" w:rsidRPr="00995C72">
        <w:rPr>
          <w:rFonts w:ascii="Calibri" w:hAnsi="Calibri" w:cs="Calibri"/>
          <w:sz w:val="24"/>
          <w:szCs w:val="24"/>
          <w:highlight w:val="yellow"/>
        </w:rPr>
        <w:t xml:space="preserve"> </w:t>
      </w:r>
    </w:p>
    <w:p w14:paraId="00D02848" w14:textId="77777777" w:rsidR="00E7202D" w:rsidRPr="00995C72" w:rsidRDefault="00E7202D" w:rsidP="00E7202D">
      <w:pPr>
        <w:pStyle w:val="ListParagraph"/>
        <w:rPr>
          <w:rFonts w:ascii="Calibri" w:hAnsi="Calibri" w:cs="Calibri"/>
          <w:sz w:val="24"/>
          <w:szCs w:val="24"/>
          <w:highlight w:val="yellow"/>
        </w:rPr>
      </w:pPr>
    </w:p>
    <w:p w14:paraId="128BF6BF" w14:textId="7A6B5C20" w:rsidR="00CB4589" w:rsidRPr="00995C72" w:rsidRDefault="00CB4589" w:rsidP="00E7202D">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Bring the dish to the confocal microscope.</w:t>
      </w:r>
      <w:r w:rsidR="00E7202D" w:rsidRPr="00995C72">
        <w:rPr>
          <w:rFonts w:ascii="Calibri" w:hAnsi="Calibri" w:cs="Calibri"/>
          <w:sz w:val="24"/>
          <w:szCs w:val="24"/>
          <w:highlight w:val="yellow"/>
        </w:rPr>
        <w:t xml:space="preserve"> </w:t>
      </w:r>
      <w:r w:rsidRPr="00995C72">
        <w:rPr>
          <w:rFonts w:ascii="Calibri" w:hAnsi="Calibri" w:cs="Calibri"/>
          <w:sz w:val="24"/>
          <w:szCs w:val="24"/>
          <w:highlight w:val="yellow"/>
        </w:rPr>
        <w:t xml:space="preserve">Insert the imaging dish with pH 7.4 imaging buffer into the slide </w:t>
      </w:r>
      <w:r w:rsidR="00443F2B" w:rsidRPr="00995C72">
        <w:rPr>
          <w:rFonts w:ascii="Calibri" w:hAnsi="Calibri" w:cs="Calibri"/>
          <w:sz w:val="24"/>
          <w:szCs w:val="24"/>
          <w:highlight w:val="yellow"/>
        </w:rPr>
        <w:t>holder and</w:t>
      </w:r>
      <w:r w:rsidRPr="00995C72">
        <w:rPr>
          <w:rFonts w:ascii="Calibri" w:hAnsi="Calibri" w:cs="Calibri"/>
          <w:sz w:val="24"/>
          <w:szCs w:val="24"/>
          <w:highlight w:val="yellow"/>
        </w:rPr>
        <w:t xml:space="preserve"> place the holder into the prewarmed environmental chamber on the confocal microscope.</w:t>
      </w:r>
    </w:p>
    <w:p w14:paraId="1E85B642" w14:textId="77777777" w:rsidR="00CB4589" w:rsidRPr="00995C72" w:rsidRDefault="00CB4589" w:rsidP="009464DC">
      <w:pPr>
        <w:rPr>
          <w:highlight w:val="yellow"/>
        </w:rPr>
      </w:pPr>
    </w:p>
    <w:p w14:paraId="0AADD6A6" w14:textId="6EDBA387"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Connect the peristaltic pump tubing to the imaging dish holder and close the chamber.</w:t>
      </w:r>
    </w:p>
    <w:p w14:paraId="4A105B85" w14:textId="77777777" w:rsidR="00CB4589" w:rsidRPr="009464DC" w:rsidRDefault="00CB4589" w:rsidP="009464DC"/>
    <w:p w14:paraId="7093E683" w14:textId="541E1277"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Open the imaging software and select lasers for the fluorophores of interest (</w:t>
      </w:r>
      <w:proofErr w:type="spellStart"/>
      <w:r w:rsidRPr="00995C72">
        <w:rPr>
          <w:rFonts w:ascii="Calibri" w:hAnsi="Calibri" w:cs="Calibri"/>
          <w:sz w:val="24"/>
          <w:szCs w:val="24"/>
          <w:highlight w:val="yellow"/>
        </w:rPr>
        <w:t>pHuji</w:t>
      </w:r>
      <w:proofErr w:type="spellEnd"/>
      <w:r w:rsidRPr="00995C72">
        <w:rPr>
          <w:rFonts w:ascii="Calibri" w:hAnsi="Calibri" w:cs="Calibri"/>
          <w:sz w:val="24"/>
          <w:szCs w:val="24"/>
          <w:highlight w:val="yellow"/>
        </w:rPr>
        <w:t xml:space="preserve"> 566/598 nm, α4-SEP 499/520 nm, β2-pHuji 568/603 nm, and mTagBFP2 359/461 nm).</w:t>
      </w:r>
    </w:p>
    <w:p w14:paraId="74FF30B0" w14:textId="77777777" w:rsidR="00CB4589" w:rsidRPr="00995C72" w:rsidRDefault="00CB4589" w:rsidP="009464DC">
      <w:pPr>
        <w:rPr>
          <w:highlight w:val="yellow"/>
        </w:rPr>
      </w:pPr>
    </w:p>
    <w:p w14:paraId="7CFBCEF0" w14:textId="57F35D92"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Scan the dish to locate cells for imaging using a 10</w:t>
      </w:r>
      <w:r w:rsidR="00DB4069" w:rsidRPr="00995C72">
        <w:rPr>
          <w:rFonts w:ascii="Calibri" w:hAnsi="Calibri" w:cs="Calibri"/>
          <w:sz w:val="24"/>
          <w:szCs w:val="24"/>
          <w:highlight w:val="yellow"/>
        </w:rPr>
        <w:t>x</w:t>
      </w:r>
      <w:r w:rsidRPr="00995C72">
        <w:rPr>
          <w:rFonts w:ascii="Calibri" w:hAnsi="Calibri" w:cs="Calibri"/>
          <w:sz w:val="24"/>
          <w:szCs w:val="24"/>
          <w:highlight w:val="yellow"/>
        </w:rPr>
        <w:t>–60</w:t>
      </w:r>
      <w:r w:rsidR="00DB4069" w:rsidRPr="00995C72">
        <w:rPr>
          <w:rFonts w:ascii="Calibri" w:hAnsi="Calibri" w:cs="Calibri"/>
          <w:sz w:val="24"/>
          <w:szCs w:val="24"/>
          <w:highlight w:val="yellow"/>
        </w:rPr>
        <w:t>x</w:t>
      </w:r>
      <w:r w:rsidRPr="00995C72">
        <w:rPr>
          <w:rFonts w:ascii="Calibri" w:hAnsi="Calibri" w:cs="Calibri"/>
          <w:sz w:val="24"/>
          <w:szCs w:val="24"/>
          <w:highlight w:val="yellow"/>
        </w:rPr>
        <w:t xml:space="preserve"> objective. Increase magnification if desired and adjust focus depth as needed.</w:t>
      </w:r>
    </w:p>
    <w:p w14:paraId="633EC8E4" w14:textId="77777777" w:rsidR="00CB4589" w:rsidRPr="00995C72" w:rsidRDefault="00CB4589" w:rsidP="009464DC">
      <w:pPr>
        <w:rPr>
          <w:highlight w:val="yellow"/>
        </w:rPr>
      </w:pPr>
    </w:p>
    <w:p w14:paraId="78ACFC6D" w14:textId="7B86A66E" w:rsidR="00CB4589" w:rsidRPr="00995C72" w:rsidRDefault="00CB4589" w:rsidP="00DB4069">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 xml:space="preserve">Adjust laser intensity and detector sensitivity to visualize the fluorescence without </w:t>
      </w:r>
      <w:r w:rsidR="00DB4069" w:rsidRPr="00995C72">
        <w:rPr>
          <w:rFonts w:ascii="Calibri" w:hAnsi="Calibri" w:cs="Calibri"/>
          <w:sz w:val="24"/>
          <w:szCs w:val="24"/>
          <w:highlight w:val="yellow"/>
        </w:rPr>
        <w:t xml:space="preserve">a </w:t>
      </w:r>
      <w:r w:rsidRPr="00995C72">
        <w:rPr>
          <w:rFonts w:ascii="Calibri" w:hAnsi="Calibri" w:cs="Calibri"/>
          <w:sz w:val="24"/>
          <w:szCs w:val="24"/>
          <w:highlight w:val="yellow"/>
        </w:rPr>
        <w:t>background signal.</w:t>
      </w:r>
      <w:r w:rsidR="00DB4069" w:rsidRPr="00995C72">
        <w:rPr>
          <w:rFonts w:ascii="Calibri" w:hAnsi="Calibri" w:cs="Calibri"/>
          <w:sz w:val="24"/>
          <w:szCs w:val="24"/>
          <w:highlight w:val="yellow"/>
        </w:rPr>
        <w:t xml:space="preserve"> </w:t>
      </w:r>
      <w:r w:rsidRPr="00995C72">
        <w:rPr>
          <w:rFonts w:ascii="Calibri" w:hAnsi="Calibri" w:cs="Calibri"/>
          <w:sz w:val="24"/>
          <w:szCs w:val="24"/>
          <w:highlight w:val="yellow"/>
        </w:rPr>
        <w:t xml:space="preserve">Adjust the aperture to increase </w:t>
      </w:r>
      <w:r w:rsidR="00DB4069" w:rsidRPr="00995C72">
        <w:rPr>
          <w:rFonts w:ascii="Calibri" w:hAnsi="Calibri" w:cs="Calibri"/>
          <w:sz w:val="24"/>
          <w:szCs w:val="24"/>
          <w:highlight w:val="yellow"/>
        </w:rPr>
        <w:t xml:space="preserve">the </w:t>
      </w:r>
      <w:r w:rsidRPr="00995C72">
        <w:rPr>
          <w:rFonts w:ascii="Calibri" w:hAnsi="Calibri" w:cs="Calibri"/>
          <w:sz w:val="24"/>
          <w:szCs w:val="24"/>
          <w:highlight w:val="yellow"/>
        </w:rPr>
        <w:t>fluorescence signal, if required.</w:t>
      </w:r>
    </w:p>
    <w:p w14:paraId="1F5CCF38" w14:textId="77777777" w:rsidR="00CB4589" w:rsidRPr="00995C72" w:rsidRDefault="00CB4589" w:rsidP="009464DC">
      <w:pPr>
        <w:rPr>
          <w:highlight w:val="yellow"/>
        </w:rPr>
      </w:pPr>
    </w:p>
    <w:p w14:paraId="4686674B" w14:textId="797EE6B2"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Select the preferred resolution and capture the</w:t>
      </w:r>
      <w:r w:rsidR="00434122" w:rsidRPr="00995C72">
        <w:rPr>
          <w:rFonts w:ascii="Calibri" w:hAnsi="Calibri" w:cs="Calibri"/>
          <w:sz w:val="24"/>
          <w:szCs w:val="24"/>
          <w:highlight w:val="yellow"/>
        </w:rPr>
        <w:t xml:space="preserve"> single</w:t>
      </w:r>
      <w:r w:rsidRPr="00995C72">
        <w:rPr>
          <w:rFonts w:ascii="Calibri" w:hAnsi="Calibri" w:cs="Calibri"/>
          <w:sz w:val="24"/>
          <w:szCs w:val="24"/>
          <w:highlight w:val="yellow"/>
        </w:rPr>
        <w:t xml:space="preserve"> image using the desired objective (e.g., 60</w:t>
      </w:r>
      <w:r w:rsidR="00DB4069" w:rsidRPr="00995C72">
        <w:rPr>
          <w:rFonts w:ascii="Calibri" w:hAnsi="Calibri" w:cs="Calibri"/>
          <w:sz w:val="24"/>
          <w:szCs w:val="24"/>
          <w:highlight w:val="yellow"/>
        </w:rPr>
        <w:t>x</w:t>
      </w:r>
      <w:r w:rsidRPr="00995C72">
        <w:rPr>
          <w:rFonts w:ascii="Calibri" w:hAnsi="Calibri" w:cs="Calibri"/>
          <w:sz w:val="24"/>
          <w:szCs w:val="24"/>
          <w:highlight w:val="yellow"/>
        </w:rPr>
        <w:t>).</w:t>
      </w:r>
    </w:p>
    <w:p w14:paraId="2D357AD2" w14:textId="77777777" w:rsidR="00CB4589" w:rsidRPr="00995C72" w:rsidRDefault="00CB4589" w:rsidP="009464DC">
      <w:pPr>
        <w:rPr>
          <w:highlight w:val="yellow"/>
        </w:rPr>
      </w:pPr>
    </w:p>
    <w:p w14:paraId="77B58435" w14:textId="4A33600E"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Record the location on the dish map to relocate the same cells following the buffer change to pH 5.5 quenching buffer.</w:t>
      </w:r>
    </w:p>
    <w:p w14:paraId="099DCEC2" w14:textId="77777777" w:rsidR="00CB4589" w:rsidRPr="00995C72" w:rsidRDefault="00CB4589" w:rsidP="009464DC">
      <w:pPr>
        <w:rPr>
          <w:highlight w:val="yellow"/>
        </w:rPr>
      </w:pPr>
    </w:p>
    <w:p w14:paraId="15A23173" w14:textId="2FC48319"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Repeat the imaging process for several areas on the dish, recording each new location.</w:t>
      </w:r>
      <w:r w:rsidR="00DB4069" w:rsidRPr="00995C72">
        <w:rPr>
          <w:rFonts w:ascii="Calibri" w:hAnsi="Calibri" w:cs="Calibri"/>
          <w:sz w:val="24"/>
          <w:szCs w:val="24"/>
          <w:highlight w:val="yellow"/>
        </w:rPr>
        <w:t xml:space="preserve"> </w:t>
      </w:r>
      <w:r w:rsidRPr="00995C72">
        <w:rPr>
          <w:rFonts w:ascii="Calibri" w:hAnsi="Calibri" w:cs="Calibri"/>
          <w:sz w:val="24"/>
          <w:szCs w:val="24"/>
          <w:highlight w:val="yellow"/>
        </w:rPr>
        <w:t>Use the same capture settings for all images (experimental and control groups) to enable valid comparisons.</w:t>
      </w:r>
    </w:p>
    <w:p w14:paraId="0A4FCD7D" w14:textId="77777777" w:rsidR="00CB4589" w:rsidRPr="00995C72" w:rsidRDefault="00CB4589" w:rsidP="009464DC">
      <w:pPr>
        <w:rPr>
          <w:highlight w:val="yellow"/>
        </w:rPr>
      </w:pPr>
    </w:p>
    <w:p w14:paraId="328AFD8B" w14:textId="0DBC2842"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Keeping only the outlet line connected to the peristaltic pump, slowly suction out the pH 7.4 buffer from the dish into a waste container.</w:t>
      </w:r>
    </w:p>
    <w:p w14:paraId="192D7BC4" w14:textId="77777777" w:rsidR="00CB4589" w:rsidRPr="009464DC" w:rsidRDefault="00CB4589" w:rsidP="009464DC"/>
    <w:p w14:paraId="00F1BF83" w14:textId="00715733"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 xml:space="preserve">When most </w:t>
      </w:r>
      <w:r w:rsidR="002D398D" w:rsidRPr="00995C72">
        <w:rPr>
          <w:rFonts w:ascii="Calibri" w:hAnsi="Calibri" w:cs="Calibri"/>
          <w:sz w:val="24"/>
          <w:szCs w:val="24"/>
          <w:highlight w:val="yellow"/>
        </w:rPr>
        <w:t xml:space="preserve">of the </w:t>
      </w:r>
      <w:r w:rsidRPr="00995C72">
        <w:rPr>
          <w:rFonts w:ascii="Calibri" w:hAnsi="Calibri" w:cs="Calibri"/>
          <w:sz w:val="24"/>
          <w:szCs w:val="24"/>
          <w:highlight w:val="yellow"/>
        </w:rPr>
        <w:t>buffer is removed (without drying cells), transfer the inlet line to the pH 5.5 quenching buffer.</w:t>
      </w:r>
    </w:p>
    <w:p w14:paraId="554CA5A2" w14:textId="77777777" w:rsidR="00CB4589" w:rsidRPr="009464DC" w:rsidRDefault="00CB4589" w:rsidP="009464DC"/>
    <w:p w14:paraId="787B15A9" w14:textId="4C54E809"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 xml:space="preserve">Turn on the peristaltic pump to add pH 5.5 buffer slowly </w:t>
      </w:r>
      <w:r w:rsidR="003E648A" w:rsidRPr="00995C72">
        <w:rPr>
          <w:rFonts w:ascii="Calibri" w:hAnsi="Calibri" w:cs="Calibri"/>
          <w:sz w:val="24"/>
          <w:szCs w:val="24"/>
          <w:highlight w:val="yellow"/>
        </w:rPr>
        <w:t xml:space="preserve">(1.5 mL/min) </w:t>
      </w:r>
      <w:r w:rsidRPr="00995C72">
        <w:rPr>
          <w:rFonts w:ascii="Calibri" w:hAnsi="Calibri" w:cs="Calibri"/>
          <w:sz w:val="24"/>
          <w:szCs w:val="24"/>
          <w:highlight w:val="yellow"/>
        </w:rPr>
        <w:t>to the dish, ensuring cells remain attached.</w:t>
      </w:r>
    </w:p>
    <w:p w14:paraId="24FAE996" w14:textId="77777777" w:rsidR="00CB4589" w:rsidRPr="00995C72" w:rsidRDefault="00CB4589" w:rsidP="009464DC">
      <w:pPr>
        <w:rPr>
          <w:highlight w:val="yellow"/>
        </w:rPr>
      </w:pPr>
    </w:p>
    <w:p w14:paraId="48DFD644" w14:textId="2DC3DC53"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 xml:space="preserve">Run the pump for 20 min, observing that the buffer </w:t>
      </w:r>
      <w:r w:rsidR="002D398D" w:rsidRPr="00995C72">
        <w:rPr>
          <w:rFonts w:ascii="Calibri" w:hAnsi="Calibri" w:cs="Calibri"/>
          <w:sz w:val="24"/>
          <w:szCs w:val="24"/>
          <w:highlight w:val="yellow"/>
        </w:rPr>
        <w:t>flows</w:t>
      </w:r>
      <w:r w:rsidRPr="00995C72">
        <w:rPr>
          <w:rFonts w:ascii="Calibri" w:hAnsi="Calibri" w:cs="Calibri"/>
          <w:sz w:val="24"/>
          <w:szCs w:val="24"/>
          <w:highlight w:val="yellow"/>
        </w:rPr>
        <w:t xml:space="preserve"> correctly into and out of the dish.</w:t>
      </w:r>
    </w:p>
    <w:p w14:paraId="4E2BC013" w14:textId="77777777" w:rsidR="00CB4589" w:rsidRPr="00995C72" w:rsidRDefault="00CB4589" w:rsidP="009464DC">
      <w:pPr>
        <w:rPr>
          <w:highlight w:val="yellow"/>
        </w:rPr>
      </w:pPr>
    </w:p>
    <w:p w14:paraId="7F747CC7" w14:textId="55255696"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Turn off the pump and incubate the cells with the pH 5.5 quenching buffer for an additional 20 min to allow equilibration.</w:t>
      </w:r>
    </w:p>
    <w:p w14:paraId="32E3E35E" w14:textId="77777777" w:rsidR="00CB4589" w:rsidRPr="00995C72" w:rsidRDefault="00CB4589" w:rsidP="009464DC">
      <w:pPr>
        <w:rPr>
          <w:highlight w:val="yellow"/>
        </w:rPr>
      </w:pPr>
    </w:p>
    <w:p w14:paraId="6B965766" w14:textId="22B82FF4"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To repeat imaging, load the saved locations from the previous session to return to the same regions.</w:t>
      </w:r>
    </w:p>
    <w:p w14:paraId="01A3E47C" w14:textId="77777777" w:rsidR="00CB4589" w:rsidRPr="00995C72" w:rsidRDefault="00CB4589" w:rsidP="009464DC">
      <w:pPr>
        <w:rPr>
          <w:highlight w:val="yellow"/>
        </w:rPr>
      </w:pPr>
    </w:p>
    <w:p w14:paraId="0781296A" w14:textId="4213C83B" w:rsidR="00CB4589"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Confirm that focal depth and position are correct, as they may shift after buffer exchange.</w:t>
      </w:r>
    </w:p>
    <w:p w14:paraId="011E7C1D" w14:textId="77777777" w:rsidR="00CB4589" w:rsidRPr="00995C72" w:rsidRDefault="00CB4589" w:rsidP="009464DC">
      <w:pPr>
        <w:rPr>
          <w:highlight w:val="yellow"/>
        </w:rPr>
      </w:pPr>
    </w:p>
    <w:p w14:paraId="534F35C0" w14:textId="46882BF0" w:rsidR="001C3914" w:rsidRPr="00995C72" w:rsidRDefault="00CB4589" w:rsidP="009464DC">
      <w:pPr>
        <w:pStyle w:val="ListParagraph"/>
        <w:numPr>
          <w:ilvl w:val="1"/>
          <w:numId w:val="40"/>
        </w:numPr>
        <w:spacing w:after="0" w:line="240" w:lineRule="auto"/>
        <w:ind w:left="0" w:firstLine="0"/>
        <w:contextualSpacing w:val="0"/>
        <w:jc w:val="both"/>
        <w:rPr>
          <w:rFonts w:ascii="Calibri" w:hAnsi="Calibri" w:cs="Calibri"/>
          <w:sz w:val="24"/>
          <w:szCs w:val="24"/>
          <w:highlight w:val="yellow"/>
        </w:rPr>
      </w:pPr>
      <w:r w:rsidRPr="00995C72">
        <w:rPr>
          <w:rFonts w:ascii="Calibri" w:hAnsi="Calibri" w:cs="Calibri"/>
          <w:sz w:val="24"/>
          <w:szCs w:val="24"/>
          <w:highlight w:val="yellow"/>
        </w:rPr>
        <w:t>Repeat imaging at all saved locations using the pH-quenched condition.</w:t>
      </w:r>
    </w:p>
    <w:p w14:paraId="3C9174AD" w14:textId="77777777" w:rsidR="00CB4589" w:rsidRPr="00995C72" w:rsidRDefault="00CB4589" w:rsidP="009464DC">
      <w:pPr>
        <w:rPr>
          <w:highlight w:val="yellow"/>
        </w:rPr>
      </w:pPr>
    </w:p>
    <w:p w14:paraId="641B489F" w14:textId="69F8D72F" w:rsidR="00E82BC6" w:rsidRPr="00995C72" w:rsidRDefault="00E82BC6" w:rsidP="009464DC">
      <w:pPr>
        <w:pStyle w:val="ListParagraph"/>
        <w:numPr>
          <w:ilvl w:val="0"/>
          <w:numId w:val="40"/>
        </w:numPr>
        <w:spacing w:after="0" w:line="240" w:lineRule="auto"/>
        <w:ind w:left="0" w:firstLine="0"/>
        <w:contextualSpacing w:val="0"/>
        <w:jc w:val="both"/>
        <w:rPr>
          <w:rFonts w:ascii="Calibri" w:hAnsi="Calibri" w:cs="Calibri"/>
          <w:b/>
          <w:sz w:val="24"/>
          <w:szCs w:val="24"/>
          <w:highlight w:val="yellow"/>
        </w:rPr>
      </w:pPr>
      <w:r w:rsidRPr="00995C72">
        <w:rPr>
          <w:rFonts w:ascii="Calibri" w:hAnsi="Calibri" w:cs="Calibri"/>
          <w:b/>
          <w:sz w:val="24"/>
          <w:szCs w:val="24"/>
          <w:highlight w:val="yellow"/>
        </w:rPr>
        <w:t>Image quantification</w:t>
      </w:r>
    </w:p>
    <w:p w14:paraId="299CC0CC" w14:textId="77777777" w:rsidR="00746536" w:rsidRPr="009464DC" w:rsidRDefault="00746536" w:rsidP="009464DC">
      <w:pPr>
        <w:pBdr>
          <w:top w:val="nil"/>
          <w:left w:val="nil"/>
          <w:bottom w:val="nil"/>
          <w:right w:val="nil"/>
          <w:between w:val="nil"/>
        </w:pBdr>
        <w:rPr>
          <w:rFonts w:eastAsia="Arial"/>
        </w:rPr>
      </w:pPr>
    </w:p>
    <w:p w14:paraId="7D9D0CA0" w14:textId="77777777" w:rsidR="00746536" w:rsidRPr="009464DC" w:rsidRDefault="00746536" w:rsidP="009464DC">
      <w:pPr>
        <w:pBdr>
          <w:top w:val="nil"/>
          <w:left w:val="nil"/>
          <w:bottom w:val="nil"/>
          <w:right w:val="nil"/>
          <w:between w:val="nil"/>
        </w:pBdr>
        <w:rPr>
          <w:rFonts w:eastAsia="Arial"/>
        </w:rPr>
      </w:pPr>
      <w:r w:rsidRPr="009464DC">
        <w:rPr>
          <w:rFonts w:eastAsia="Arial"/>
        </w:rPr>
        <w:lastRenderedPageBreak/>
        <w:t>NOTE: This procedure explains how to analyze cell images using ImageJ (National Institutes of Health, Bethesda, MD) and the corrected total cell fluorescence (CTCF) method³².</w:t>
      </w:r>
    </w:p>
    <w:p w14:paraId="0CFA5103" w14:textId="77777777" w:rsidR="00746536" w:rsidRPr="009464DC" w:rsidRDefault="00746536" w:rsidP="009464DC">
      <w:pPr>
        <w:pBdr>
          <w:top w:val="nil"/>
          <w:left w:val="nil"/>
          <w:bottom w:val="nil"/>
          <w:right w:val="nil"/>
          <w:between w:val="nil"/>
        </w:pBdr>
        <w:rPr>
          <w:rFonts w:eastAsia="Arial"/>
        </w:rPr>
      </w:pPr>
    </w:p>
    <w:p w14:paraId="7A028F5E" w14:textId="3C2DF52C" w:rsidR="00746536" w:rsidRPr="00995C72" w:rsidRDefault="00746536"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eastAsia="Arial" w:hAnsi="Calibri" w:cs="Calibri"/>
          <w:sz w:val="24"/>
          <w:szCs w:val="24"/>
          <w:highlight w:val="yellow"/>
        </w:rPr>
      </w:pPr>
      <w:r w:rsidRPr="00995C72">
        <w:rPr>
          <w:rFonts w:ascii="Calibri" w:eastAsia="Arial" w:hAnsi="Calibri" w:cs="Calibri"/>
          <w:sz w:val="24"/>
          <w:szCs w:val="24"/>
          <w:highlight w:val="yellow"/>
        </w:rPr>
        <w:t xml:space="preserve">Open </w:t>
      </w:r>
      <w:r w:rsidRPr="00995C72">
        <w:rPr>
          <w:rFonts w:ascii="Calibri" w:eastAsia="Arial" w:hAnsi="Calibri" w:cs="Calibri"/>
          <w:b/>
          <w:bCs/>
          <w:sz w:val="24"/>
          <w:szCs w:val="24"/>
          <w:highlight w:val="yellow"/>
        </w:rPr>
        <w:t>ImageJ</w:t>
      </w:r>
      <w:r w:rsidRPr="00995C72">
        <w:rPr>
          <w:rFonts w:ascii="Calibri" w:eastAsia="Arial" w:hAnsi="Calibri" w:cs="Calibri"/>
          <w:sz w:val="24"/>
          <w:szCs w:val="24"/>
          <w:highlight w:val="yellow"/>
        </w:rPr>
        <w:t xml:space="preserve"> and open the image to be analyzed. The image will appear as a stack with each captured channel separated within the same frame.</w:t>
      </w:r>
    </w:p>
    <w:p w14:paraId="4F42FA97" w14:textId="77777777" w:rsidR="00746536" w:rsidRPr="00995C72" w:rsidRDefault="00746536" w:rsidP="009464DC">
      <w:pPr>
        <w:pBdr>
          <w:top w:val="nil"/>
          <w:left w:val="nil"/>
          <w:bottom w:val="nil"/>
          <w:right w:val="nil"/>
          <w:between w:val="nil"/>
        </w:pBdr>
        <w:rPr>
          <w:rFonts w:eastAsia="Arial"/>
          <w:highlight w:val="yellow"/>
        </w:rPr>
      </w:pPr>
    </w:p>
    <w:p w14:paraId="01CBD633" w14:textId="110FB9FE" w:rsidR="00746536" w:rsidRPr="00995C72" w:rsidRDefault="00746536" w:rsidP="002D398D">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eastAsia="Arial" w:hAnsi="Calibri" w:cs="Calibri"/>
          <w:sz w:val="24"/>
          <w:szCs w:val="24"/>
          <w:highlight w:val="yellow"/>
        </w:rPr>
      </w:pPr>
      <w:r w:rsidRPr="00995C72">
        <w:rPr>
          <w:rFonts w:ascii="Calibri" w:eastAsia="Arial" w:hAnsi="Calibri" w:cs="Calibri"/>
          <w:sz w:val="24"/>
          <w:szCs w:val="24"/>
          <w:highlight w:val="yellow"/>
        </w:rPr>
        <w:t xml:space="preserve">Navigate to the </w:t>
      </w:r>
      <w:r w:rsidRPr="00995C72">
        <w:rPr>
          <w:rFonts w:ascii="Calibri" w:eastAsia="Arial" w:hAnsi="Calibri" w:cs="Calibri"/>
          <w:b/>
          <w:bCs/>
          <w:sz w:val="24"/>
          <w:szCs w:val="24"/>
          <w:highlight w:val="yellow"/>
        </w:rPr>
        <w:t>Phase</w:t>
      </w:r>
      <w:r w:rsidRPr="00995C72">
        <w:rPr>
          <w:rFonts w:ascii="Calibri" w:eastAsia="Arial" w:hAnsi="Calibri" w:cs="Calibri"/>
          <w:sz w:val="24"/>
          <w:szCs w:val="24"/>
          <w:highlight w:val="yellow"/>
        </w:rPr>
        <w:t xml:space="preserve"> channel.</w:t>
      </w:r>
      <w:r w:rsidR="002D398D" w:rsidRPr="00995C72">
        <w:rPr>
          <w:rFonts w:ascii="Calibri" w:eastAsia="Arial" w:hAnsi="Calibri" w:cs="Calibri"/>
          <w:sz w:val="24"/>
          <w:szCs w:val="24"/>
          <w:highlight w:val="yellow"/>
        </w:rPr>
        <w:t xml:space="preserve"> </w:t>
      </w:r>
      <w:r w:rsidRPr="00995C72">
        <w:rPr>
          <w:rFonts w:ascii="Calibri" w:eastAsia="Arial" w:hAnsi="Calibri" w:cs="Calibri"/>
          <w:sz w:val="24"/>
          <w:szCs w:val="24"/>
          <w:highlight w:val="yellow"/>
        </w:rPr>
        <w:t xml:space="preserve">If the image is overly bright (common for blank or background regions), select </w:t>
      </w:r>
      <w:r w:rsidRPr="00995C72">
        <w:rPr>
          <w:rFonts w:ascii="Calibri" w:eastAsia="Arial" w:hAnsi="Calibri" w:cs="Calibri"/>
          <w:b/>
          <w:bCs/>
          <w:sz w:val="24"/>
          <w:szCs w:val="24"/>
          <w:highlight w:val="yellow"/>
        </w:rPr>
        <w:t>Process &gt; Enhance Contrast</w:t>
      </w:r>
      <w:r w:rsidRPr="00995C72">
        <w:rPr>
          <w:rFonts w:ascii="Calibri" w:eastAsia="Arial" w:hAnsi="Calibri" w:cs="Calibri"/>
          <w:sz w:val="24"/>
          <w:szCs w:val="24"/>
          <w:highlight w:val="yellow"/>
        </w:rPr>
        <w:t xml:space="preserve">, then click </w:t>
      </w:r>
      <w:r w:rsidRPr="00995C72">
        <w:rPr>
          <w:rFonts w:ascii="Calibri" w:eastAsia="Arial" w:hAnsi="Calibri" w:cs="Calibri"/>
          <w:b/>
          <w:bCs/>
          <w:sz w:val="24"/>
          <w:szCs w:val="24"/>
          <w:highlight w:val="yellow"/>
        </w:rPr>
        <w:t>OK</w:t>
      </w:r>
      <w:r w:rsidRPr="00995C72">
        <w:rPr>
          <w:rFonts w:ascii="Calibri" w:eastAsia="Arial" w:hAnsi="Calibri" w:cs="Calibri"/>
          <w:sz w:val="24"/>
          <w:szCs w:val="24"/>
          <w:highlight w:val="yellow"/>
        </w:rPr>
        <w:t>.</w:t>
      </w:r>
    </w:p>
    <w:p w14:paraId="03E50BF7" w14:textId="77777777" w:rsidR="00746536" w:rsidRPr="00995C72" w:rsidRDefault="00746536" w:rsidP="009464DC">
      <w:pPr>
        <w:pBdr>
          <w:top w:val="nil"/>
          <w:left w:val="nil"/>
          <w:bottom w:val="nil"/>
          <w:right w:val="nil"/>
          <w:between w:val="nil"/>
        </w:pBdr>
        <w:rPr>
          <w:rFonts w:eastAsia="Arial"/>
          <w:highlight w:val="yellow"/>
        </w:rPr>
      </w:pPr>
    </w:p>
    <w:p w14:paraId="5B2A92C3" w14:textId="3A8263A5" w:rsidR="00746536" w:rsidRPr="00995C72" w:rsidRDefault="00746536" w:rsidP="00DF346F">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eastAsia="Arial" w:hAnsi="Calibri" w:cs="Calibri"/>
          <w:sz w:val="24"/>
          <w:szCs w:val="24"/>
          <w:highlight w:val="yellow"/>
        </w:rPr>
      </w:pPr>
      <w:r w:rsidRPr="00995C72">
        <w:rPr>
          <w:rFonts w:ascii="Calibri" w:eastAsia="Arial" w:hAnsi="Calibri" w:cs="Calibri"/>
          <w:sz w:val="24"/>
          <w:szCs w:val="24"/>
          <w:highlight w:val="yellow"/>
        </w:rPr>
        <w:t xml:space="preserve">Using the </w:t>
      </w:r>
      <w:r w:rsidRPr="00995C72">
        <w:rPr>
          <w:rFonts w:ascii="Calibri" w:eastAsia="Arial" w:hAnsi="Calibri" w:cs="Calibri"/>
          <w:b/>
          <w:sz w:val="24"/>
          <w:szCs w:val="24"/>
          <w:highlight w:val="yellow"/>
        </w:rPr>
        <w:t>magnifying glass tool</w:t>
      </w:r>
      <w:r w:rsidRPr="00995C72">
        <w:rPr>
          <w:rFonts w:ascii="Calibri" w:eastAsia="Arial" w:hAnsi="Calibri" w:cs="Calibri"/>
          <w:sz w:val="24"/>
          <w:szCs w:val="24"/>
          <w:highlight w:val="yellow"/>
        </w:rPr>
        <w:t>, zoom in (</w:t>
      </w:r>
      <w:r w:rsidRPr="00995C72">
        <w:rPr>
          <w:rFonts w:ascii="Calibri" w:eastAsia="Arial" w:hAnsi="Calibri" w:cs="Calibri"/>
          <w:b/>
          <w:sz w:val="24"/>
          <w:szCs w:val="24"/>
          <w:highlight w:val="yellow"/>
        </w:rPr>
        <w:t>+</w:t>
      </w:r>
      <w:r w:rsidRPr="00995C72">
        <w:rPr>
          <w:rFonts w:ascii="Calibri" w:eastAsia="Arial" w:hAnsi="Calibri" w:cs="Calibri"/>
          <w:sz w:val="24"/>
          <w:szCs w:val="24"/>
          <w:highlight w:val="yellow"/>
        </w:rPr>
        <w:t>) on one cell.</w:t>
      </w:r>
      <w:r w:rsidR="002D398D" w:rsidRPr="00995C72">
        <w:rPr>
          <w:rFonts w:ascii="Calibri" w:eastAsia="Arial" w:hAnsi="Calibri" w:cs="Calibri"/>
          <w:sz w:val="24"/>
          <w:szCs w:val="24"/>
          <w:highlight w:val="yellow"/>
        </w:rPr>
        <w:t xml:space="preserve"> </w:t>
      </w:r>
      <w:r w:rsidRPr="00995C72">
        <w:rPr>
          <w:rFonts w:ascii="Calibri" w:eastAsia="Arial" w:hAnsi="Calibri" w:cs="Calibri"/>
          <w:sz w:val="24"/>
          <w:szCs w:val="24"/>
          <w:highlight w:val="yellow"/>
        </w:rPr>
        <w:t xml:space="preserve">Using the </w:t>
      </w:r>
      <w:r w:rsidRPr="00995C72">
        <w:rPr>
          <w:rFonts w:ascii="Calibri" w:eastAsia="Arial" w:hAnsi="Calibri" w:cs="Calibri"/>
          <w:b/>
          <w:sz w:val="24"/>
          <w:szCs w:val="24"/>
          <w:highlight w:val="yellow"/>
        </w:rPr>
        <w:t>Freehand selection t</w:t>
      </w:r>
      <w:bookmarkStart w:id="0" w:name="_GoBack"/>
      <w:bookmarkEnd w:id="0"/>
      <w:r w:rsidRPr="00995C72">
        <w:rPr>
          <w:rFonts w:ascii="Calibri" w:eastAsia="Arial" w:hAnsi="Calibri" w:cs="Calibri"/>
          <w:b/>
          <w:sz w:val="24"/>
          <w:szCs w:val="24"/>
          <w:highlight w:val="yellow"/>
        </w:rPr>
        <w:t>ool</w:t>
      </w:r>
      <w:r w:rsidRPr="00995C72">
        <w:rPr>
          <w:rFonts w:ascii="Calibri" w:eastAsia="Arial" w:hAnsi="Calibri" w:cs="Calibri"/>
          <w:sz w:val="24"/>
          <w:szCs w:val="24"/>
          <w:highlight w:val="yellow"/>
        </w:rPr>
        <w:t>, trace the outline of the cell in the Phase channel.</w:t>
      </w:r>
    </w:p>
    <w:p w14:paraId="0B4D2047" w14:textId="77777777" w:rsidR="00746536" w:rsidRPr="00995C72" w:rsidRDefault="00746536" w:rsidP="009464DC">
      <w:pPr>
        <w:pBdr>
          <w:top w:val="nil"/>
          <w:left w:val="nil"/>
          <w:bottom w:val="nil"/>
          <w:right w:val="nil"/>
          <w:between w:val="nil"/>
        </w:pBdr>
        <w:rPr>
          <w:rFonts w:eastAsia="Arial"/>
          <w:highlight w:val="yellow"/>
        </w:rPr>
      </w:pPr>
    </w:p>
    <w:p w14:paraId="36CFC4BB" w14:textId="048100B7" w:rsidR="00746536" w:rsidRPr="00995C72" w:rsidRDefault="00746536" w:rsidP="002D398D">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eastAsia="Arial" w:hAnsi="Calibri" w:cs="Calibri"/>
          <w:sz w:val="24"/>
          <w:szCs w:val="24"/>
          <w:highlight w:val="yellow"/>
        </w:rPr>
      </w:pPr>
      <w:r w:rsidRPr="00995C72">
        <w:rPr>
          <w:rFonts w:ascii="Calibri" w:eastAsia="Arial" w:hAnsi="Calibri" w:cs="Calibri"/>
          <w:sz w:val="24"/>
          <w:szCs w:val="24"/>
          <w:highlight w:val="yellow"/>
        </w:rPr>
        <w:t>Switch to the fluorescent channel corresponding to the fluorophore of interest.</w:t>
      </w:r>
      <w:r w:rsidR="002D398D" w:rsidRPr="00995C72">
        <w:rPr>
          <w:rFonts w:ascii="Calibri" w:eastAsia="Arial" w:hAnsi="Calibri" w:cs="Calibri"/>
          <w:sz w:val="24"/>
          <w:szCs w:val="24"/>
          <w:highlight w:val="yellow"/>
        </w:rPr>
        <w:t xml:space="preserve"> </w:t>
      </w:r>
      <w:r w:rsidRPr="00995C72">
        <w:rPr>
          <w:rFonts w:ascii="Calibri" w:eastAsia="Arial" w:hAnsi="Calibri" w:cs="Calibri"/>
          <w:sz w:val="24"/>
          <w:szCs w:val="24"/>
          <w:highlight w:val="yellow"/>
        </w:rPr>
        <w:t xml:space="preserve">Set up the desired measurements by selecting </w:t>
      </w:r>
      <w:r w:rsidRPr="00995C72">
        <w:rPr>
          <w:rFonts w:ascii="Calibri" w:eastAsia="Arial" w:hAnsi="Calibri" w:cs="Calibri"/>
          <w:b/>
          <w:sz w:val="24"/>
          <w:szCs w:val="24"/>
          <w:highlight w:val="yellow"/>
        </w:rPr>
        <w:t>Analyze &gt; Set Measurements</w:t>
      </w:r>
      <w:r w:rsidRPr="00995C72">
        <w:rPr>
          <w:rFonts w:ascii="Calibri" w:eastAsia="Arial" w:hAnsi="Calibri" w:cs="Calibri"/>
          <w:sz w:val="24"/>
          <w:szCs w:val="24"/>
          <w:highlight w:val="yellow"/>
        </w:rPr>
        <w:t xml:space="preserve">. Ensure that </w:t>
      </w:r>
      <w:r w:rsidRPr="00995C72">
        <w:rPr>
          <w:rFonts w:ascii="Calibri" w:eastAsia="Arial" w:hAnsi="Calibri" w:cs="Calibri"/>
          <w:b/>
          <w:sz w:val="24"/>
          <w:szCs w:val="24"/>
          <w:highlight w:val="yellow"/>
        </w:rPr>
        <w:t>Area</w:t>
      </w:r>
      <w:r w:rsidRPr="00995C72">
        <w:rPr>
          <w:rFonts w:ascii="Calibri" w:eastAsia="Arial" w:hAnsi="Calibri" w:cs="Calibri"/>
          <w:sz w:val="24"/>
          <w:szCs w:val="24"/>
          <w:highlight w:val="yellow"/>
        </w:rPr>
        <w:t xml:space="preserve">, </w:t>
      </w:r>
      <w:r w:rsidRPr="00995C72">
        <w:rPr>
          <w:rFonts w:ascii="Calibri" w:eastAsia="Arial" w:hAnsi="Calibri" w:cs="Calibri"/>
          <w:b/>
          <w:sz w:val="24"/>
          <w:szCs w:val="24"/>
          <w:highlight w:val="yellow"/>
        </w:rPr>
        <w:t>Mean</w:t>
      </w:r>
      <w:r w:rsidRPr="00995C72">
        <w:rPr>
          <w:rFonts w:ascii="Calibri" w:eastAsia="Arial" w:hAnsi="Calibri" w:cs="Calibri"/>
          <w:sz w:val="24"/>
          <w:szCs w:val="24"/>
          <w:highlight w:val="yellow"/>
        </w:rPr>
        <w:t xml:space="preserve"> </w:t>
      </w:r>
      <w:r w:rsidR="00434122" w:rsidRPr="00995C72">
        <w:rPr>
          <w:rFonts w:ascii="Calibri" w:eastAsia="Arial" w:hAnsi="Calibri" w:cs="Calibri"/>
          <w:b/>
          <w:sz w:val="24"/>
          <w:szCs w:val="24"/>
          <w:highlight w:val="yellow"/>
        </w:rPr>
        <w:t>G</w:t>
      </w:r>
      <w:r w:rsidRPr="00995C72">
        <w:rPr>
          <w:rFonts w:ascii="Calibri" w:eastAsia="Arial" w:hAnsi="Calibri" w:cs="Calibri"/>
          <w:b/>
          <w:sz w:val="24"/>
          <w:szCs w:val="24"/>
          <w:highlight w:val="yellow"/>
        </w:rPr>
        <w:t xml:space="preserve">ray </w:t>
      </w:r>
      <w:r w:rsidR="00434122" w:rsidRPr="00995C72">
        <w:rPr>
          <w:rFonts w:ascii="Calibri" w:eastAsia="Arial" w:hAnsi="Calibri" w:cs="Calibri"/>
          <w:b/>
          <w:sz w:val="24"/>
          <w:szCs w:val="24"/>
          <w:highlight w:val="yellow"/>
        </w:rPr>
        <w:t>V</w:t>
      </w:r>
      <w:r w:rsidRPr="00995C72">
        <w:rPr>
          <w:rFonts w:ascii="Calibri" w:eastAsia="Arial" w:hAnsi="Calibri" w:cs="Calibri"/>
          <w:b/>
          <w:sz w:val="24"/>
          <w:szCs w:val="24"/>
          <w:highlight w:val="yellow"/>
        </w:rPr>
        <w:t>alue</w:t>
      </w:r>
      <w:r w:rsidRPr="00995C72">
        <w:rPr>
          <w:rFonts w:ascii="Calibri" w:eastAsia="Arial" w:hAnsi="Calibri" w:cs="Calibri"/>
          <w:sz w:val="24"/>
          <w:szCs w:val="24"/>
          <w:highlight w:val="yellow"/>
        </w:rPr>
        <w:t xml:space="preserve">, and </w:t>
      </w:r>
      <w:r w:rsidRPr="00995C72">
        <w:rPr>
          <w:rFonts w:ascii="Calibri" w:eastAsia="Arial" w:hAnsi="Calibri" w:cs="Calibri"/>
          <w:b/>
          <w:sz w:val="24"/>
          <w:szCs w:val="24"/>
          <w:highlight w:val="yellow"/>
        </w:rPr>
        <w:t xml:space="preserve">Integrated </w:t>
      </w:r>
      <w:r w:rsidR="00434122" w:rsidRPr="00995C72">
        <w:rPr>
          <w:rFonts w:ascii="Calibri" w:eastAsia="Arial" w:hAnsi="Calibri" w:cs="Calibri"/>
          <w:b/>
          <w:sz w:val="24"/>
          <w:szCs w:val="24"/>
          <w:highlight w:val="yellow"/>
        </w:rPr>
        <w:t>D</w:t>
      </w:r>
      <w:r w:rsidRPr="00995C72">
        <w:rPr>
          <w:rFonts w:ascii="Calibri" w:eastAsia="Arial" w:hAnsi="Calibri" w:cs="Calibri"/>
          <w:b/>
          <w:sz w:val="24"/>
          <w:szCs w:val="24"/>
          <w:highlight w:val="yellow"/>
        </w:rPr>
        <w:t>ensity</w:t>
      </w:r>
      <w:r w:rsidRPr="00995C72">
        <w:rPr>
          <w:rFonts w:ascii="Calibri" w:eastAsia="Arial" w:hAnsi="Calibri" w:cs="Calibri"/>
          <w:sz w:val="24"/>
          <w:szCs w:val="24"/>
          <w:highlight w:val="yellow"/>
        </w:rPr>
        <w:t xml:space="preserve"> are checked.</w:t>
      </w:r>
    </w:p>
    <w:p w14:paraId="5BBB1C77" w14:textId="77777777" w:rsidR="00746536" w:rsidRPr="00995C72" w:rsidRDefault="00746536" w:rsidP="009464DC">
      <w:pPr>
        <w:pBdr>
          <w:top w:val="nil"/>
          <w:left w:val="nil"/>
          <w:bottom w:val="nil"/>
          <w:right w:val="nil"/>
          <w:between w:val="nil"/>
        </w:pBdr>
        <w:rPr>
          <w:rFonts w:eastAsia="Arial"/>
          <w:highlight w:val="yellow"/>
        </w:rPr>
      </w:pPr>
    </w:p>
    <w:p w14:paraId="343FD59A" w14:textId="3EDBF677" w:rsidR="00746536" w:rsidRPr="00995C72" w:rsidRDefault="00746536"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eastAsia="Arial" w:hAnsi="Calibri" w:cs="Calibri"/>
          <w:sz w:val="24"/>
          <w:szCs w:val="24"/>
          <w:highlight w:val="yellow"/>
        </w:rPr>
      </w:pPr>
      <w:r w:rsidRPr="00995C72">
        <w:rPr>
          <w:rFonts w:ascii="Calibri" w:eastAsia="Arial" w:hAnsi="Calibri" w:cs="Calibri"/>
          <w:sz w:val="24"/>
          <w:szCs w:val="24"/>
          <w:highlight w:val="yellow"/>
        </w:rPr>
        <w:t xml:space="preserve">To measure the selected region, choose </w:t>
      </w:r>
      <w:r w:rsidRPr="00995C72">
        <w:rPr>
          <w:rFonts w:ascii="Calibri" w:eastAsia="Arial" w:hAnsi="Calibri" w:cs="Calibri"/>
          <w:b/>
          <w:sz w:val="24"/>
          <w:szCs w:val="24"/>
          <w:highlight w:val="yellow"/>
        </w:rPr>
        <w:t>Analyze &gt; Measure</w:t>
      </w:r>
      <w:r w:rsidRPr="00995C72">
        <w:rPr>
          <w:rFonts w:ascii="Calibri" w:eastAsia="Arial" w:hAnsi="Calibri" w:cs="Calibri"/>
          <w:sz w:val="24"/>
          <w:szCs w:val="24"/>
          <w:highlight w:val="yellow"/>
        </w:rPr>
        <w:t xml:space="preserve"> or press </w:t>
      </w:r>
      <w:r w:rsidRPr="00995C72">
        <w:rPr>
          <w:rFonts w:ascii="Calibri" w:eastAsia="Arial" w:hAnsi="Calibri" w:cs="Calibri"/>
          <w:b/>
          <w:sz w:val="24"/>
          <w:szCs w:val="24"/>
          <w:highlight w:val="yellow"/>
        </w:rPr>
        <w:t xml:space="preserve">Command + M </w:t>
      </w:r>
      <w:r w:rsidRPr="00995C72">
        <w:rPr>
          <w:rFonts w:ascii="Calibri" w:eastAsia="Arial" w:hAnsi="Calibri" w:cs="Calibri"/>
          <w:sz w:val="24"/>
          <w:szCs w:val="24"/>
          <w:highlight w:val="yellow"/>
        </w:rPr>
        <w:t xml:space="preserve">(Mac) / </w:t>
      </w:r>
      <w:r w:rsidRPr="00995C72">
        <w:rPr>
          <w:rFonts w:ascii="Calibri" w:eastAsia="Arial" w:hAnsi="Calibri" w:cs="Calibri"/>
          <w:b/>
          <w:sz w:val="24"/>
          <w:szCs w:val="24"/>
          <w:highlight w:val="yellow"/>
        </w:rPr>
        <w:t>Ctrl + M</w:t>
      </w:r>
      <w:r w:rsidRPr="00995C72">
        <w:rPr>
          <w:rFonts w:ascii="Calibri" w:eastAsia="Arial" w:hAnsi="Calibri" w:cs="Calibri"/>
          <w:sz w:val="24"/>
          <w:szCs w:val="24"/>
          <w:highlight w:val="yellow"/>
        </w:rPr>
        <w:t xml:space="preserve"> (Windows).</w:t>
      </w:r>
    </w:p>
    <w:p w14:paraId="0FF23CA8" w14:textId="77777777" w:rsidR="00746536" w:rsidRPr="00995C72" w:rsidRDefault="00746536" w:rsidP="009464DC">
      <w:pPr>
        <w:pBdr>
          <w:top w:val="nil"/>
          <w:left w:val="nil"/>
          <w:bottom w:val="nil"/>
          <w:right w:val="nil"/>
          <w:between w:val="nil"/>
        </w:pBdr>
        <w:rPr>
          <w:rFonts w:eastAsia="Arial"/>
          <w:highlight w:val="yellow"/>
        </w:rPr>
      </w:pPr>
    </w:p>
    <w:p w14:paraId="30FCFC75" w14:textId="3A795FD0" w:rsidR="00746536" w:rsidRPr="00995C72" w:rsidRDefault="00746536" w:rsidP="002D398D">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eastAsia="Arial" w:hAnsi="Calibri" w:cs="Calibri"/>
          <w:sz w:val="24"/>
          <w:szCs w:val="24"/>
          <w:highlight w:val="yellow"/>
        </w:rPr>
      </w:pPr>
      <w:r w:rsidRPr="00995C72">
        <w:rPr>
          <w:rFonts w:ascii="Calibri" w:eastAsia="Arial" w:hAnsi="Calibri" w:cs="Calibri"/>
          <w:sz w:val="24"/>
          <w:szCs w:val="24"/>
          <w:highlight w:val="yellow"/>
        </w:rPr>
        <w:t>Take three background measurements by tracing empty areas near the cell.</w:t>
      </w:r>
      <w:r w:rsidR="002D398D" w:rsidRPr="00995C72">
        <w:rPr>
          <w:rFonts w:ascii="Calibri" w:eastAsia="Arial" w:hAnsi="Calibri" w:cs="Calibri"/>
          <w:sz w:val="24"/>
          <w:szCs w:val="24"/>
          <w:highlight w:val="yellow"/>
        </w:rPr>
        <w:t xml:space="preserve"> </w:t>
      </w:r>
      <w:r w:rsidRPr="00995C72">
        <w:rPr>
          <w:rFonts w:ascii="Calibri" w:eastAsia="Arial" w:hAnsi="Calibri" w:cs="Calibri"/>
          <w:sz w:val="24"/>
          <w:szCs w:val="24"/>
          <w:highlight w:val="yellow"/>
        </w:rPr>
        <w:t>Repeat steps for the desired number of cells.</w:t>
      </w:r>
    </w:p>
    <w:p w14:paraId="746DE87F" w14:textId="77777777" w:rsidR="00746536" w:rsidRPr="00995C72" w:rsidRDefault="00746536" w:rsidP="009464DC">
      <w:pPr>
        <w:pBdr>
          <w:top w:val="nil"/>
          <w:left w:val="nil"/>
          <w:bottom w:val="nil"/>
          <w:right w:val="nil"/>
          <w:between w:val="nil"/>
        </w:pBdr>
        <w:rPr>
          <w:rFonts w:eastAsia="Arial"/>
          <w:highlight w:val="yellow"/>
        </w:rPr>
      </w:pPr>
    </w:p>
    <w:p w14:paraId="377D41BB" w14:textId="6D0CB383" w:rsidR="00746536" w:rsidRPr="00995C72" w:rsidRDefault="00746536"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eastAsia="Arial" w:hAnsi="Calibri" w:cs="Calibri"/>
          <w:sz w:val="24"/>
          <w:szCs w:val="24"/>
          <w:highlight w:val="yellow"/>
        </w:rPr>
      </w:pPr>
      <w:r w:rsidRPr="00995C72">
        <w:rPr>
          <w:rFonts w:ascii="Calibri" w:eastAsia="Arial" w:hAnsi="Calibri" w:cs="Calibri"/>
          <w:sz w:val="24"/>
          <w:szCs w:val="24"/>
          <w:highlight w:val="yellow"/>
        </w:rPr>
        <w:t xml:space="preserve">Measurement data will appear in a separate Results window in ImageJ. </w:t>
      </w:r>
      <w:r w:rsidRPr="00995C72">
        <w:rPr>
          <w:rFonts w:ascii="Calibri" w:eastAsia="Arial" w:hAnsi="Calibri" w:cs="Calibri"/>
          <w:b/>
          <w:sz w:val="24"/>
          <w:szCs w:val="24"/>
          <w:highlight w:val="yellow"/>
        </w:rPr>
        <w:t>Copy</w:t>
      </w:r>
      <w:r w:rsidRPr="00995C72">
        <w:rPr>
          <w:rFonts w:ascii="Calibri" w:eastAsia="Arial" w:hAnsi="Calibri" w:cs="Calibri"/>
          <w:sz w:val="24"/>
          <w:szCs w:val="24"/>
          <w:highlight w:val="yellow"/>
        </w:rPr>
        <w:t xml:space="preserve"> and </w:t>
      </w:r>
      <w:r w:rsidRPr="00995C72">
        <w:rPr>
          <w:rFonts w:ascii="Calibri" w:eastAsia="Arial" w:hAnsi="Calibri" w:cs="Calibri"/>
          <w:b/>
          <w:sz w:val="24"/>
          <w:szCs w:val="24"/>
          <w:highlight w:val="yellow"/>
        </w:rPr>
        <w:t>paste</w:t>
      </w:r>
      <w:r w:rsidRPr="00995C72">
        <w:rPr>
          <w:rFonts w:ascii="Calibri" w:eastAsia="Arial" w:hAnsi="Calibri" w:cs="Calibri"/>
          <w:sz w:val="24"/>
          <w:szCs w:val="24"/>
          <w:highlight w:val="yellow"/>
        </w:rPr>
        <w:t xml:space="preserve"> these data into </w:t>
      </w:r>
      <w:r w:rsidRPr="00995C72">
        <w:rPr>
          <w:rFonts w:ascii="Calibri" w:eastAsia="Arial" w:hAnsi="Calibri" w:cs="Calibri"/>
          <w:b/>
          <w:sz w:val="24"/>
          <w:szCs w:val="24"/>
          <w:highlight w:val="yellow"/>
        </w:rPr>
        <w:t>Excel</w:t>
      </w:r>
      <w:r w:rsidRPr="00995C72">
        <w:rPr>
          <w:rFonts w:ascii="Calibri" w:eastAsia="Arial" w:hAnsi="Calibri" w:cs="Calibri"/>
          <w:sz w:val="24"/>
          <w:szCs w:val="24"/>
          <w:highlight w:val="yellow"/>
        </w:rPr>
        <w:t xml:space="preserve"> for analysis.</w:t>
      </w:r>
    </w:p>
    <w:p w14:paraId="5B4F647F" w14:textId="77777777" w:rsidR="00746536" w:rsidRPr="00995C72" w:rsidRDefault="00746536" w:rsidP="009464DC">
      <w:pPr>
        <w:pBdr>
          <w:top w:val="nil"/>
          <w:left w:val="nil"/>
          <w:bottom w:val="nil"/>
          <w:right w:val="nil"/>
          <w:between w:val="nil"/>
        </w:pBdr>
        <w:rPr>
          <w:rFonts w:eastAsia="Arial"/>
          <w:highlight w:val="yellow"/>
        </w:rPr>
      </w:pPr>
    </w:p>
    <w:p w14:paraId="0FCF3382" w14:textId="66BF957E" w:rsidR="00746536" w:rsidRPr="00995C72" w:rsidRDefault="00746536"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eastAsia="Arial" w:hAnsi="Calibri" w:cs="Calibri"/>
          <w:sz w:val="24"/>
          <w:szCs w:val="24"/>
          <w:highlight w:val="yellow"/>
        </w:rPr>
      </w:pPr>
      <w:r w:rsidRPr="00995C72">
        <w:rPr>
          <w:rFonts w:ascii="Calibri" w:eastAsia="Arial" w:hAnsi="Calibri" w:cs="Calibri"/>
          <w:sz w:val="24"/>
          <w:szCs w:val="24"/>
          <w:highlight w:val="yellow"/>
        </w:rPr>
        <w:t>Calculate the average background mean from the three background measurements.</w:t>
      </w:r>
    </w:p>
    <w:p w14:paraId="1AF7ADC3" w14:textId="77777777" w:rsidR="00746536" w:rsidRPr="00995C72" w:rsidRDefault="00746536" w:rsidP="009464DC">
      <w:pPr>
        <w:pBdr>
          <w:top w:val="nil"/>
          <w:left w:val="nil"/>
          <w:bottom w:val="nil"/>
          <w:right w:val="nil"/>
          <w:between w:val="nil"/>
        </w:pBdr>
        <w:rPr>
          <w:rFonts w:eastAsia="Arial"/>
          <w:highlight w:val="yellow"/>
        </w:rPr>
      </w:pPr>
    </w:p>
    <w:p w14:paraId="2AD1D9C6" w14:textId="6B560BD3" w:rsidR="00746536" w:rsidRPr="00995C72" w:rsidRDefault="00746536"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eastAsia="Arial" w:hAnsi="Calibri" w:cs="Calibri"/>
          <w:sz w:val="24"/>
          <w:szCs w:val="24"/>
          <w:highlight w:val="yellow"/>
        </w:rPr>
      </w:pPr>
      <w:r w:rsidRPr="00995C72">
        <w:rPr>
          <w:rFonts w:ascii="Calibri" w:eastAsia="Arial" w:hAnsi="Calibri" w:cs="Calibri"/>
          <w:sz w:val="24"/>
          <w:szCs w:val="24"/>
          <w:highlight w:val="yellow"/>
        </w:rPr>
        <w:t>Compute the CTCF value for each cell using the following formula:</w:t>
      </w:r>
    </w:p>
    <w:p w14:paraId="6E81BD22" w14:textId="4CE43DED" w:rsidR="00746536" w:rsidRPr="00995C72" w:rsidRDefault="00746536" w:rsidP="009464DC">
      <w:pPr>
        <w:pStyle w:val="ListParagraph"/>
        <w:pBdr>
          <w:top w:val="nil"/>
          <w:left w:val="nil"/>
          <w:bottom w:val="nil"/>
          <w:right w:val="nil"/>
          <w:between w:val="nil"/>
        </w:pBdr>
        <w:spacing w:after="0" w:line="240" w:lineRule="auto"/>
        <w:ind w:left="0"/>
        <w:contextualSpacing w:val="0"/>
        <w:jc w:val="both"/>
        <w:rPr>
          <w:rFonts w:ascii="Calibri" w:eastAsia="Arial" w:hAnsi="Calibri" w:cs="Calibri"/>
          <w:sz w:val="24"/>
          <w:szCs w:val="24"/>
          <w:highlight w:val="yellow"/>
        </w:rPr>
      </w:pPr>
      <w:r w:rsidRPr="00995C72">
        <w:rPr>
          <w:rFonts w:ascii="Calibri" w:eastAsia="Arial" w:hAnsi="Calibri" w:cs="Calibri"/>
          <w:sz w:val="24"/>
          <w:szCs w:val="24"/>
          <w:highlight w:val="yellow"/>
        </w:rPr>
        <w:t xml:space="preserve">CTCF=Integrated density−(Area of cell </w:t>
      </w:r>
      <w:r w:rsidR="009E3315" w:rsidRPr="00995C72">
        <w:rPr>
          <w:rFonts w:ascii="Calibri" w:eastAsia="Arial" w:hAnsi="Calibri" w:cs="Calibri"/>
          <w:sz w:val="24"/>
          <w:szCs w:val="24"/>
          <w:highlight w:val="yellow"/>
        </w:rPr>
        <w:t>x</w:t>
      </w:r>
      <w:r w:rsidRPr="00995C72">
        <w:rPr>
          <w:rFonts w:ascii="Calibri" w:eastAsia="Arial" w:hAnsi="Calibri" w:cs="Calibri"/>
          <w:sz w:val="24"/>
          <w:szCs w:val="24"/>
          <w:highlight w:val="yellow"/>
        </w:rPr>
        <w:t xml:space="preserve"> Mean background fluorescence)</w:t>
      </w:r>
    </w:p>
    <w:p w14:paraId="2D91AE71" w14:textId="77777777" w:rsidR="00746536" w:rsidRPr="00995C72" w:rsidRDefault="00746536" w:rsidP="009464DC">
      <w:pPr>
        <w:pBdr>
          <w:top w:val="nil"/>
          <w:left w:val="nil"/>
          <w:bottom w:val="nil"/>
          <w:right w:val="nil"/>
          <w:between w:val="nil"/>
        </w:pBdr>
        <w:rPr>
          <w:rFonts w:eastAsia="Arial"/>
          <w:highlight w:val="yellow"/>
        </w:rPr>
      </w:pPr>
    </w:p>
    <w:p w14:paraId="76F2E24C" w14:textId="15ACB8FF" w:rsidR="00746536" w:rsidRPr="00995C72" w:rsidRDefault="00746536" w:rsidP="009464DC">
      <w:pPr>
        <w:pStyle w:val="ListParagraph"/>
        <w:numPr>
          <w:ilvl w:val="1"/>
          <w:numId w:val="40"/>
        </w:numPr>
        <w:pBdr>
          <w:top w:val="nil"/>
          <w:left w:val="nil"/>
          <w:bottom w:val="nil"/>
          <w:right w:val="nil"/>
          <w:between w:val="nil"/>
        </w:pBdr>
        <w:spacing w:after="0" w:line="240" w:lineRule="auto"/>
        <w:ind w:left="0" w:firstLine="0"/>
        <w:contextualSpacing w:val="0"/>
        <w:jc w:val="both"/>
        <w:rPr>
          <w:rFonts w:ascii="Calibri" w:eastAsia="Arial" w:hAnsi="Calibri" w:cs="Calibri"/>
          <w:sz w:val="24"/>
          <w:szCs w:val="24"/>
          <w:highlight w:val="yellow"/>
        </w:rPr>
      </w:pPr>
      <w:r w:rsidRPr="00995C72">
        <w:rPr>
          <w:rFonts w:ascii="Calibri" w:eastAsia="Arial" w:hAnsi="Calibri" w:cs="Calibri"/>
          <w:sz w:val="24"/>
          <w:szCs w:val="24"/>
          <w:highlight w:val="yellow"/>
        </w:rPr>
        <w:t>Repeat this process for multiple cells and images for each experimental group (and pH condition, if applicable). Export all results to data analysis software for statistical processing.</w:t>
      </w:r>
    </w:p>
    <w:p w14:paraId="0FFC614B" w14:textId="77777777" w:rsidR="00746536" w:rsidRPr="009464DC" w:rsidRDefault="00746536" w:rsidP="004920E5">
      <w:pPr>
        <w:pBdr>
          <w:top w:val="nil"/>
          <w:left w:val="nil"/>
          <w:bottom w:val="nil"/>
          <w:right w:val="nil"/>
          <w:between w:val="nil"/>
        </w:pBdr>
        <w:rPr>
          <w:rFonts w:eastAsia="Arial"/>
        </w:rPr>
      </w:pPr>
    </w:p>
    <w:p w14:paraId="08AF3300" w14:textId="08C36D68" w:rsidR="006E4797" w:rsidRPr="009464DC" w:rsidRDefault="00551D82" w:rsidP="004920E5">
      <w:pPr>
        <w:pBdr>
          <w:top w:val="nil"/>
          <w:left w:val="nil"/>
          <w:bottom w:val="nil"/>
          <w:right w:val="nil"/>
          <w:between w:val="nil"/>
        </w:pBdr>
      </w:pPr>
      <w:r w:rsidRPr="009464DC">
        <w:rPr>
          <w:b/>
        </w:rPr>
        <w:t xml:space="preserve">RESULTS: </w:t>
      </w:r>
    </w:p>
    <w:p w14:paraId="0B909D22" w14:textId="464F44E0" w:rsidR="002B3548" w:rsidRPr="009464DC" w:rsidRDefault="002B3548" w:rsidP="009464DC">
      <w:r w:rsidRPr="009464DC">
        <w:t xml:space="preserve">Following the above transfection procedures, α7 nAChRs and the NACHO chaperone protein were co-expressed in N2a cells. Both </w:t>
      </w:r>
      <w:r w:rsidR="009E3315">
        <w:t>non-</w:t>
      </w:r>
      <w:r w:rsidRPr="009464DC">
        <w:t xml:space="preserve">transfected and transfected cells were labeled with αBTX-AF647 24 h post-DNA transfection. Because αBTX is not </w:t>
      </w:r>
      <w:r w:rsidR="009E3315">
        <w:t>membrane-permeable</w:t>
      </w:r>
      <w:r w:rsidRPr="009464DC">
        <w:t>, all fluorescence detected originates from receptors present on the plasma membrane.</w:t>
      </w:r>
    </w:p>
    <w:p w14:paraId="5E696516" w14:textId="77777777" w:rsidR="009464DC" w:rsidRDefault="009464DC" w:rsidP="009464DC"/>
    <w:p w14:paraId="45E8E6CF" w14:textId="6B30F239" w:rsidR="002B3548" w:rsidRPr="009464DC" w:rsidRDefault="002B3548" w:rsidP="009464DC">
      <w:r w:rsidRPr="009464DC">
        <w:t xml:space="preserve">In </w:t>
      </w:r>
      <w:r w:rsidRPr="009464DC">
        <w:rPr>
          <w:b/>
          <w:bCs/>
        </w:rPr>
        <w:t>Figure 2A</w:t>
      </w:r>
      <w:r w:rsidR="009E3315">
        <w:rPr>
          <w:b/>
          <w:bCs/>
        </w:rPr>
        <w:t>,</w:t>
      </w:r>
      <w:r w:rsidRPr="009464DC">
        <w:rPr>
          <w:b/>
          <w:bCs/>
        </w:rPr>
        <w:t>A′,</w:t>
      </w:r>
      <w:r w:rsidRPr="009464DC">
        <w:t xml:space="preserve"> weak αBTX-AF647 staining was observed in </w:t>
      </w:r>
      <w:r w:rsidR="009E3315">
        <w:t>non-</w:t>
      </w:r>
      <w:r w:rsidRPr="009464DC">
        <w:t>transfected N2a cells, as expected. N2a cells endogenously express a small amount of α7 nAChRs, accounting for this minimal labeling. In contrast, positively transfected cells showed robust αBTX-AF647 labeling (</w:t>
      </w:r>
      <w:r w:rsidRPr="009464DC">
        <w:rPr>
          <w:b/>
          <w:bCs/>
        </w:rPr>
        <w:t>Figure 2B</w:t>
      </w:r>
      <w:r w:rsidR="009E3315">
        <w:rPr>
          <w:b/>
          <w:bCs/>
        </w:rPr>
        <w:t>,</w:t>
      </w:r>
      <w:r w:rsidRPr="009464DC">
        <w:rPr>
          <w:b/>
          <w:bCs/>
        </w:rPr>
        <w:t>B′</w:t>
      </w:r>
      <w:r w:rsidRPr="009464DC">
        <w:t>). The fluorescent signal appears as discrete puncta often associated with plasma membrane expression²⁹.</w:t>
      </w:r>
    </w:p>
    <w:p w14:paraId="2B7E97A7" w14:textId="77777777" w:rsidR="009464DC" w:rsidRDefault="009464DC" w:rsidP="009464DC"/>
    <w:p w14:paraId="12EB7BA7" w14:textId="0E74A22F" w:rsidR="002B3548" w:rsidRPr="009464DC" w:rsidRDefault="002B3548" w:rsidP="009464DC">
      <w:r w:rsidRPr="009464DC">
        <w:t>It is well known that nAChRs, when bound to ligands, can undergo endocytosis into recycling endosomes. Therefore, some internal labeling likely represents receptors that were initially located on the plasma membrane and subsequently internalized.</w:t>
      </w:r>
    </w:p>
    <w:p w14:paraId="36419D37" w14:textId="77777777" w:rsidR="009464DC" w:rsidRDefault="009464DC" w:rsidP="009464DC"/>
    <w:p w14:paraId="6EF37115" w14:textId="24344434" w:rsidR="002B3548" w:rsidRPr="009464DC" w:rsidRDefault="002B3548" w:rsidP="009464DC">
      <w:r w:rsidRPr="009464DC">
        <w:t>Quantification using the CTCF method, as described in s</w:t>
      </w:r>
      <w:r w:rsidR="0087647F">
        <w:t>tep</w:t>
      </w:r>
      <w:r w:rsidRPr="009464DC">
        <w:t xml:space="preserve"> 4, confirmed that cells transfected with α7 nAChR DNA exhibited significantly higher plasma membrane expression compared with </w:t>
      </w:r>
      <w:proofErr w:type="spellStart"/>
      <w:r w:rsidRPr="009464DC">
        <w:t>untransfected</w:t>
      </w:r>
      <w:proofErr w:type="spellEnd"/>
      <w:r w:rsidRPr="009464DC">
        <w:t xml:space="preserve"> controls (</w:t>
      </w:r>
      <w:r w:rsidRPr="009464DC">
        <w:rPr>
          <w:b/>
          <w:bCs/>
        </w:rPr>
        <w:t>Figure 2C</w:t>
      </w:r>
      <w:r w:rsidRPr="009464DC">
        <w:t>).</w:t>
      </w:r>
    </w:p>
    <w:p w14:paraId="2531E046" w14:textId="77777777" w:rsidR="009464DC" w:rsidRDefault="009464DC" w:rsidP="009464DC"/>
    <w:p w14:paraId="550A0873" w14:textId="255767B2" w:rsidR="00B03451" w:rsidRPr="009464DC" w:rsidRDefault="00B03451" w:rsidP="009464DC">
      <w:r w:rsidRPr="009464DC">
        <w:t xml:space="preserve">[Place </w:t>
      </w:r>
      <w:r w:rsidRPr="009464DC">
        <w:rPr>
          <w:b/>
        </w:rPr>
        <w:t xml:space="preserve">Figure </w:t>
      </w:r>
      <w:r w:rsidR="00524493" w:rsidRPr="009464DC">
        <w:rPr>
          <w:b/>
        </w:rPr>
        <w:t>2</w:t>
      </w:r>
      <w:r w:rsidRPr="009464DC">
        <w:t xml:space="preserve"> here]</w:t>
      </w:r>
    </w:p>
    <w:p w14:paraId="7EB6DE08" w14:textId="77777777" w:rsidR="009464DC" w:rsidRDefault="009464DC" w:rsidP="009464DC"/>
    <w:p w14:paraId="30DE1552" w14:textId="1EEFC5FC" w:rsidR="00CF616B" w:rsidRPr="009464DC" w:rsidRDefault="00CF616B" w:rsidP="009464DC">
      <w:r w:rsidRPr="009464DC">
        <w:t>To help determine the relative distribution of cell-surface and internal receptors, an α7-pHuji recombinant construct was generated. This receptor shows strong plasma membrane expression when co-transfected with NACHO. To quantify the proportion of plasma membrane (external) receptors, N2a cells expressing α7-pHuji were imaged at pH 7.4 to measure the total fluorescence from all nAChRs (</w:t>
      </w:r>
      <w:r w:rsidRPr="009464DC">
        <w:rPr>
          <w:b/>
          <w:bCs/>
        </w:rPr>
        <w:t>Figure 3A</w:t>
      </w:r>
      <w:r w:rsidR="0087647F">
        <w:rPr>
          <w:b/>
          <w:bCs/>
        </w:rPr>
        <w:t>,</w:t>
      </w:r>
      <w:r w:rsidRPr="009464DC">
        <w:rPr>
          <w:b/>
          <w:bCs/>
        </w:rPr>
        <w:t>A′</w:t>
      </w:r>
      <w:r w:rsidRPr="009464DC">
        <w:t xml:space="preserve">). Because </w:t>
      </w:r>
      <w:proofErr w:type="spellStart"/>
      <w:r w:rsidRPr="009464DC">
        <w:t>pHuji</w:t>
      </w:r>
      <w:proofErr w:type="spellEnd"/>
      <w:r w:rsidRPr="009464DC">
        <w:t xml:space="preserve"> is a pH-sensitive fluorescent probe quenched at pH 5.5, this property was used to eliminate fluorescence from plasma membrane–expressed receptors, leaving only fluorescence from α7-pHuji subunits within the cells (</w:t>
      </w:r>
      <w:r w:rsidRPr="009464DC">
        <w:rPr>
          <w:b/>
          <w:bCs/>
        </w:rPr>
        <w:t>Figure 3B</w:t>
      </w:r>
      <w:r w:rsidR="00895BE0">
        <w:rPr>
          <w:b/>
          <w:bCs/>
        </w:rPr>
        <w:t>,</w:t>
      </w:r>
      <w:r w:rsidRPr="009464DC">
        <w:rPr>
          <w:b/>
          <w:bCs/>
        </w:rPr>
        <w:t>B′</w:t>
      </w:r>
      <w:r w:rsidRPr="009464DC">
        <w:t>).</w:t>
      </w:r>
    </w:p>
    <w:p w14:paraId="4DD8EEBF" w14:textId="77777777" w:rsidR="009464DC" w:rsidRDefault="009464DC" w:rsidP="009464DC"/>
    <w:p w14:paraId="52E4BEB5" w14:textId="78CDDACC" w:rsidR="00CF616B" w:rsidRPr="009464DC" w:rsidRDefault="00CF616B" w:rsidP="009464DC">
      <w:r w:rsidRPr="009464DC">
        <w:t>By calculating the difference between total and internal fluorescence, the signal corresponding to α7-pHuji receptors localized on the plasma membrane was determined (</w:t>
      </w:r>
      <w:r w:rsidRPr="009464DC">
        <w:rPr>
          <w:b/>
          <w:bCs/>
        </w:rPr>
        <w:t>Figure 3C</w:t>
      </w:r>
      <w:r w:rsidR="00895BE0">
        <w:rPr>
          <w:b/>
          <w:bCs/>
        </w:rPr>
        <w:t>,</w:t>
      </w:r>
      <w:r w:rsidRPr="009464DC">
        <w:rPr>
          <w:b/>
          <w:bCs/>
        </w:rPr>
        <w:t>C′</w:t>
      </w:r>
      <w:r w:rsidRPr="009464DC">
        <w:t>). Cells were analyzed using the CTCF method to quantify the proportion of internal and external receptors. Using this approach, 82.6</w:t>
      </w:r>
      <w:r w:rsidR="00895BE0">
        <w:t>%</w:t>
      </w:r>
      <w:r w:rsidRPr="009464DC">
        <w:t xml:space="preserve"> ± 3.6% of α7-pHuji receptors were localized on the plasma membrane, while 17.4</w:t>
      </w:r>
      <w:r w:rsidR="00895BE0">
        <w:t>%</w:t>
      </w:r>
      <w:r w:rsidRPr="009464DC">
        <w:t xml:space="preserve"> ± 3.6% remained intracellular (</w:t>
      </w:r>
      <w:r w:rsidRPr="009464DC">
        <w:rPr>
          <w:b/>
          <w:bCs/>
        </w:rPr>
        <w:t>Figure 3D</w:t>
      </w:r>
      <w:r w:rsidRPr="009464DC">
        <w:t xml:space="preserve">). Furthermore, </w:t>
      </w:r>
      <w:proofErr w:type="spellStart"/>
      <w:r w:rsidRPr="009464DC">
        <w:t>pHuji</w:t>
      </w:r>
      <w:proofErr w:type="spellEnd"/>
      <w:r w:rsidRPr="009464DC">
        <w:t xml:space="preserve"> fluorescence was restored after returning to the pH 7.4 imaging buffer, confirming reversible quenching of the fluorophore (</w:t>
      </w:r>
      <w:r w:rsidRPr="009464DC">
        <w:rPr>
          <w:b/>
          <w:bCs/>
        </w:rPr>
        <w:t>Figure 3E</w:t>
      </w:r>
      <w:r w:rsidR="00895BE0">
        <w:rPr>
          <w:b/>
          <w:bCs/>
        </w:rPr>
        <w:t>,</w:t>
      </w:r>
      <w:r w:rsidRPr="009464DC">
        <w:rPr>
          <w:b/>
          <w:bCs/>
        </w:rPr>
        <w:t>E′</w:t>
      </w:r>
      <w:r w:rsidRPr="009464DC">
        <w:t>).</w:t>
      </w:r>
    </w:p>
    <w:p w14:paraId="1C9184BF" w14:textId="77777777" w:rsidR="009464DC" w:rsidRDefault="009464DC" w:rsidP="009464DC"/>
    <w:p w14:paraId="738FF816" w14:textId="14FBD7C6" w:rsidR="00E209A8" w:rsidRPr="009464DC" w:rsidRDefault="00E209A8" w:rsidP="009464DC">
      <w:r w:rsidRPr="009464DC">
        <w:t xml:space="preserve">[Place </w:t>
      </w:r>
      <w:r w:rsidRPr="009464DC">
        <w:rPr>
          <w:b/>
        </w:rPr>
        <w:t xml:space="preserve">Figure </w:t>
      </w:r>
      <w:r w:rsidR="00524493" w:rsidRPr="009464DC">
        <w:rPr>
          <w:b/>
        </w:rPr>
        <w:t>3</w:t>
      </w:r>
      <w:r w:rsidRPr="009464DC">
        <w:t xml:space="preserve"> here]</w:t>
      </w:r>
    </w:p>
    <w:p w14:paraId="397D3FB3" w14:textId="77777777" w:rsidR="009464DC" w:rsidRDefault="009464DC" w:rsidP="009464DC"/>
    <w:p w14:paraId="1B2FBC83" w14:textId="5D24DE6F" w:rsidR="00E209A8" w:rsidRPr="009464DC" w:rsidRDefault="00DE0D37" w:rsidP="009464DC">
      <w:r w:rsidRPr="009464DC">
        <w:t>The</w:t>
      </w:r>
      <w:r w:rsidR="000627E2" w:rsidRPr="009464DC">
        <w:t xml:space="preserve"> α4</w:t>
      </w:r>
      <w:r w:rsidR="000C19A7" w:rsidRPr="009464DC">
        <w:t>β</w:t>
      </w:r>
      <w:r w:rsidR="000627E2" w:rsidRPr="009464DC">
        <w:t>2 nAChR</w:t>
      </w:r>
      <w:r w:rsidRPr="009464DC">
        <w:t xml:space="preserve"> subtype </w:t>
      </w:r>
      <w:r w:rsidR="00EA2E81" w:rsidRPr="009464DC">
        <w:t>is</w:t>
      </w:r>
      <w:r w:rsidRPr="009464DC">
        <w:t xml:space="preserve"> also readily expressed</w:t>
      </w:r>
      <w:r w:rsidR="000627E2" w:rsidRPr="009464DC">
        <w:t xml:space="preserve"> in N2a cells. </w:t>
      </w:r>
      <w:r w:rsidRPr="009464DC">
        <w:t>Using</w:t>
      </w:r>
      <w:r w:rsidR="000627E2" w:rsidRPr="009464DC">
        <w:t xml:space="preserve"> </w:t>
      </w:r>
      <w:r w:rsidRPr="009464DC">
        <w:t xml:space="preserve">the above protocol and </w:t>
      </w:r>
      <w:r w:rsidR="000627E2" w:rsidRPr="009464DC">
        <w:t xml:space="preserve">recombinant α4-SEP and β2-pHuji </w:t>
      </w:r>
      <w:r w:rsidR="003C79C6" w:rsidRPr="009464DC">
        <w:t>subunits</w:t>
      </w:r>
      <w:r w:rsidRPr="009464DC">
        <w:t>, the relative location of each protein can be determined.</w:t>
      </w:r>
      <w:r w:rsidR="004920E5" w:rsidRPr="009464DC">
        <w:t xml:space="preserve"> </w:t>
      </w:r>
      <w:r w:rsidR="000C19A7" w:rsidRPr="009464DC">
        <w:t xml:space="preserve"> Robust </w:t>
      </w:r>
      <w:r w:rsidR="00E361AD" w:rsidRPr="009464DC">
        <w:t>fluorescence</w:t>
      </w:r>
      <w:r w:rsidR="000C19A7" w:rsidRPr="009464DC">
        <w:t xml:space="preserve"> is seen for each </w:t>
      </w:r>
      <w:r w:rsidR="00E361AD" w:rsidRPr="009464DC">
        <w:t>tagged</w:t>
      </w:r>
      <w:r w:rsidR="000C19A7" w:rsidRPr="009464DC">
        <w:t xml:space="preserve"> subunit at a pH of 7.</w:t>
      </w:r>
      <w:r w:rsidR="000C0227" w:rsidRPr="009464DC">
        <w:t>4</w:t>
      </w:r>
      <w:r w:rsidR="000C19A7" w:rsidRPr="009464DC">
        <w:t xml:space="preserve"> (</w:t>
      </w:r>
      <w:r w:rsidR="000C19A7" w:rsidRPr="00927045">
        <w:rPr>
          <w:b/>
          <w:bCs/>
        </w:rPr>
        <w:t>Fig</w:t>
      </w:r>
      <w:r w:rsidR="00345FB8" w:rsidRPr="00927045">
        <w:rPr>
          <w:b/>
          <w:bCs/>
        </w:rPr>
        <w:t>ure</w:t>
      </w:r>
      <w:r w:rsidR="000C19A7" w:rsidRPr="00927045">
        <w:rPr>
          <w:b/>
          <w:bCs/>
        </w:rPr>
        <w:t xml:space="preserve"> </w:t>
      </w:r>
      <w:r w:rsidR="00524493" w:rsidRPr="00927045">
        <w:rPr>
          <w:b/>
          <w:bCs/>
        </w:rPr>
        <w:t>4</w:t>
      </w:r>
      <w:r w:rsidR="000C19A7" w:rsidRPr="00927045">
        <w:rPr>
          <w:b/>
          <w:bCs/>
        </w:rPr>
        <w:t>A -</w:t>
      </w:r>
      <w:r w:rsidR="00DD7D5A" w:rsidRPr="00927045">
        <w:rPr>
          <w:b/>
          <w:bCs/>
        </w:rPr>
        <w:t>D</w:t>
      </w:r>
      <w:r w:rsidR="000C19A7" w:rsidRPr="009464DC">
        <w:t>), and is largely quenched at pH 5.</w:t>
      </w:r>
      <w:r w:rsidR="000C0227" w:rsidRPr="009464DC">
        <w:t>5</w:t>
      </w:r>
      <w:r w:rsidR="000C19A7" w:rsidRPr="009464DC">
        <w:t xml:space="preserve"> (</w:t>
      </w:r>
      <w:r w:rsidR="000C19A7" w:rsidRPr="00927045">
        <w:rPr>
          <w:b/>
          <w:bCs/>
        </w:rPr>
        <w:t xml:space="preserve">Figure </w:t>
      </w:r>
      <w:r w:rsidR="00524493" w:rsidRPr="00927045">
        <w:rPr>
          <w:b/>
          <w:bCs/>
        </w:rPr>
        <w:t>4</w:t>
      </w:r>
      <w:r w:rsidR="00DD7D5A" w:rsidRPr="00927045">
        <w:rPr>
          <w:b/>
          <w:bCs/>
        </w:rPr>
        <w:t>E</w:t>
      </w:r>
      <w:r w:rsidR="000C19A7" w:rsidRPr="00927045">
        <w:rPr>
          <w:b/>
          <w:bCs/>
        </w:rPr>
        <w:t>-</w:t>
      </w:r>
      <w:r w:rsidR="00DD7D5A" w:rsidRPr="00927045">
        <w:rPr>
          <w:b/>
          <w:bCs/>
        </w:rPr>
        <w:t>H</w:t>
      </w:r>
      <w:r w:rsidR="000C19A7" w:rsidRPr="009464DC">
        <w:t>).</w:t>
      </w:r>
      <w:r w:rsidR="00E361AD" w:rsidRPr="009464DC">
        <w:t xml:space="preserve"> </w:t>
      </w:r>
      <w:r w:rsidR="003C79C6" w:rsidRPr="009464DC">
        <w:t>The remaining fluorescence observed at pH 5.</w:t>
      </w:r>
      <w:r w:rsidR="00FA7D05" w:rsidRPr="009464DC">
        <w:t>5</w:t>
      </w:r>
      <w:r w:rsidR="003C79C6" w:rsidRPr="009464DC">
        <w:t xml:space="preserve"> is from the tagged subunits </w:t>
      </w:r>
      <w:r w:rsidR="00FA7D05" w:rsidRPr="009464DC">
        <w:t xml:space="preserve">located </w:t>
      </w:r>
      <w:r w:rsidR="003C79C6" w:rsidRPr="009464DC">
        <w:t>inside the cell</w:t>
      </w:r>
      <w:r w:rsidR="001D4B4B" w:rsidRPr="009464DC">
        <w:t xml:space="preserve"> in neutral pH environments</w:t>
      </w:r>
      <w:r w:rsidR="003C79C6" w:rsidRPr="009464DC">
        <w:t>.</w:t>
      </w:r>
      <w:r w:rsidR="0050367F" w:rsidRPr="009464DC">
        <w:t xml:space="preserve"> Bleed-through from each fluorescent protein was not observed (data not shown).</w:t>
      </w:r>
      <w:r w:rsidR="003C79C6" w:rsidRPr="009464DC">
        <w:t xml:space="preserve"> </w:t>
      </w:r>
      <w:r w:rsidR="00E361AD" w:rsidRPr="009464DC">
        <w:t>Quantification of the fluorescence</w:t>
      </w:r>
      <w:r w:rsidR="000C19A7" w:rsidRPr="009464DC">
        <w:t xml:space="preserve"> </w:t>
      </w:r>
      <w:r w:rsidR="00E361AD" w:rsidRPr="009464DC">
        <w:t>for each fluorescent tag shows that 2</w:t>
      </w:r>
      <w:r w:rsidR="00B347B8" w:rsidRPr="009464DC">
        <w:t>3.4</w:t>
      </w:r>
      <w:r w:rsidR="00927045">
        <w:t>%</w:t>
      </w:r>
      <w:r w:rsidR="00E361AD" w:rsidRPr="009464DC">
        <w:t xml:space="preserve"> ±</w:t>
      </w:r>
      <w:r w:rsidR="003C79C6" w:rsidRPr="009464DC">
        <w:t xml:space="preserve"> </w:t>
      </w:r>
      <w:r w:rsidR="00B347B8" w:rsidRPr="009464DC">
        <w:t>2.4</w:t>
      </w:r>
      <w:r w:rsidR="00FA7D05" w:rsidRPr="009464DC">
        <w:t xml:space="preserve"> </w:t>
      </w:r>
      <w:r w:rsidR="00E361AD" w:rsidRPr="009464DC">
        <w:t>% of the α4-SEP are inside the cell, but the majority (</w:t>
      </w:r>
      <w:r w:rsidR="00DC08CC" w:rsidRPr="009464DC">
        <w:t>76.5</w:t>
      </w:r>
      <w:r w:rsidR="00927045">
        <w:t>%</w:t>
      </w:r>
      <w:r w:rsidR="00E361AD" w:rsidRPr="009464DC">
        <w:t xml:space="preserve"> ± </w:t>
      </w:r>
      <w:r w:rsidR="00DC08CC" w:rsidRPr="009464DC">
        <w:t>2.4</w:t>
      </w:r>
      <w:r w:rsidR="00FA7D05" w:rsidRPr="009464DC">
        <w:t xml:space="preserve"> </w:t>
      </w:r>
      <w:r w:rsidR="00E361AD" w:rsidRPr="009464DC">
        <w:t>%) of the subunits are located on the plasma membrane (</w:t>
      </w:r>
      <w:r w:rsidR="00E361AD" w:rsidRPr="00927045">
        <w:rPr>
          <w:b/>
          <w:bCs/>
        </w:rPr>
        <w:t xml:space="preserve">Figure </w:t>
      </w:r>
      <w:r w:rsidR="00524493" w:rsidRPr="00927045">
        <w:rPr>
          <w:b/>
          <w:bCs/>
        </w:rPr>
        <w:t>4</w:t>
      </w:r>
      <w:r w:rsidR="00DD7D5A" w:rsidRPr="00927045">
        <w:rPr>
          <w:b/>
          <w:bCs/>
        </w:rPr>
        <w:t>I</w:t>
      </w:r>
      <w:r w:rsidR="00E361AD" w:rsidRPr="009464DC">
        <w:t>). The β2 subunit is known to have an endoplasmic reticulum retention sequence</w:t>
      </w:r>
      <w:r w:rsidR="0050367F" w:rsidRPr="009464DC">
        <w:t>,</w:t>
      </w:r>
      <w:r w:rsidR="00E361AD" w:rsidRPr="009464DC">
        <w:t xml:space="preserve"> resulting in less surface expression </w:t>
      </w:r>
      <w:r w:rsidR="003C79C6" w:rsidRPr="009464DC">
        <w:t>than the α4 subunit</w:t>
      </w:r>
      <w:r w:rsidR="00141DAD" w:rsidRPr="009464DC">
        <w:fldChar w:fldCharType="begin"/>
      </w:r>
      <w:r w:rsidR="004F010D" w:rsidRPr="009464DC">
        <w:instrText xml:space="preserve"> ADDIN ZOTERO_ITEM CSL_CITATION {"citationID":"27qynNaM","properties":{"formattedCitation":"\\super 33\\nosupersub{}","plainCitation":"33","noteIndex":0},"citationItems":[{"id":145,"uris":["http://zotero.org/users/local/YuTw2027/items/I7ZB3KYT"],"itemData":{"id":145,"type":"article-journal","abstract":"The up-regulation of α4β2* nicotinic acetylcholine receptors (nAChRs) by chronic nicotine is a cell-delimited process and may be necessary and sufficient for the initial events of nicotine dependence. Clinical literature documents an inverse relationship between a person’s history of tobacco use and his or her susceptibility to Parkinson’s disease; this may also result from up-regulation. This study visualizes and quantifies the subcellular mechanisms involved in nicotine-induced nAChR up-regulation by using transfected fluorescent protein (FP)-tagged α4 nAChR subunits and an FP-tagged Sec24D endoplasmic reticulum (ER) exit site marker. Total internal reflection fluorescence microscopy shows that nicotine (0.1 µM for 48 h) up-regulates α4β2 nAChRs at the plasma membrane (PM), despite increasing the fraction of α4β2 nAChRs that remain in near-PM ER. Pixel-resolved normalized Förster resonance energy transfer microscopy between α4-FP subunits shows that nicotine stabilizes the (α4)2(β2)3 stoichiometry before the nAChRs reach the trans-Golgi apparatus. Nicotine also induces the formation of additional ER exit sites (ERES). To aid in the mechanistic analysis of these phenomena, we generated a β2enhanced-ER-export mutant subunit that mimics two regions of the β4 subunit sequence: the presence of an ER export motif and the absence of an ER retention/retrieval motif. The α4β2enhanced-ER-export nAChR resembles nicotine-exposed nAChRs with regard to stoichiometry, intracellular mobility, ERES enhancement, and PM localization. Nicotine produces only small additional PM up-regulation of α4β2enhanced-ER-export receptors. The experimental data are simulated with a model incorporating two mechanisms: (1) nicotine acts as a stabilizing pharmacological chaperone for nascent α4β2 nAChRs in the ER, eventually increasing PM receptors despite a bottleneck(s) in ER export; and (2) removal of the bottleneck (e.g., by expression of the β2enhanced-ER-export subunit) is sufficient to increase PM nAChR numbers, even without nicotine. The data also suggest that pharmacological chaperoning of nAChRs by nicotine can alter the physiology of ER processes.","container-title":"Journal of General Physiology","DOI":"10.1085/jgp.201010532","ISSN":"1540-7748, 0022-1295","issue":"1","language":"en","page":"59-79","source":"DOI.org (Crossref)","title":"Nicotine up-regulates α4β2 nicotinic receptors and ER exit sites via stoichiometry-dependent chaperoning","URL":"https://rupress.org/jgp/article/137/1/59/43827/Nicotine-up-regulates-4-2-nicotinic-receptors-and","volume":"137","author":[{"family":"Srinivasan","given":"Rahul"},{"family":"Pantoja","given":"Rigo"},{"family":"Moss","given":"Fraser J."},{"family":"Mackey","given":"Elisha D.W."},{"family":"Son","given":"Cagdas D."},{"family":"Miwa","given":"Julie"},{"family":"Lester","given":"Henry A."}],"accessed":{"date-parts":[["2025",7,30]]},"issued":{"date-parts":[["2011",1,1]]}}}],"schema":"https://github.com/citation-style-language/schema/raw/master/csl-citation.json"} </w:instrText>
      </w:r>
      <w:r w:rsidR="00141DAD" w:rsidRPr="009464DC">
        <w:fldChar w:fldCharType="separate"/>
      </w:r>
      <w:r w:rsidR="004F010D" w:rsidRPr="009464DC">
        <w:rPr>
          <w:vertAlign w:val="superscript"/>
        </w:rPr>
        <w:t>33</w:t>
      </w:r>
      <w:r w:rsidR="00141DAD" w:rsidRPr="009464DC">
        <w:fldChar w:fldCharType="end"/>
      </w:r>
      <w:r w:rsidR="00E361AD" w:rsidRPr="009464DC">
        <w:t xml:space="preserve">. </w:t>
      </w:r>
      <w:r w:rsidRPr="009464DC">
        <w:t xml:space="preserve">A similar expression pattern of β2-pHuji has been observed using the described </w:t>
      </w:r>
      <w:r w:rsidR="00927045" w:rsidRPr="009464DC">
        <w:t>procedures.</w:t>
      </w:r>
      <w:r w:rsidR="00E361AD" w:rsidRPr="009464DC">
        <w:t xml:space="preserve"> The β2-pHuji subunit </w:t>
      </w:r>
      <w:r w:rsidR="00DD7D5A" w:rsidRPr="009464DC">
        <w:t xml:space="preserve">exhibits reduced trafficking </w:t>
      </w:r>
      <w:r w:rsidR="00E361AD" w:rsidRPr="009464DC">
        <w:t xml:space="preserve">to the plasma membrane, as evident by </w:t>
      </w:r>
      <w:r w:rsidRPr="009464DC">
        <w:t xml:space="preserve">the </w:t>
      </w:r>
      <w:r w:rsidR="00E361AD" w:rsidRPr="009464DC">
        <w:t>data demonstrating that 4</w:t>
      </w:r>
      <w:r w:rsidR="00DC08CC" w:rsidRPr="009464DC">
        <w:t>3.5</w:t>
      </w:r>
      <w:r w:rsidR="00927045">
        <w:t>%</w:t>
      </w:r>
      <w:r w:rsidR="00E361AD" w:rsidRPr="009464DC">
        <w:t xml:space="preserve"> ±</w:t>
      </w:r>
      <w:r w:rsidR="005A3AC6" w:rsidRPr="009464DC">
        <w:t xml:space="preserve"> </w:t>
      </w:r>
      <w:r w:rsidR="00DC08CC" w:rsidRPr="009464DC">
        <w:t>1.7</w:t>
      </w:r>
      <w:r w:rsidR="00E361AD" w:rsidRPr="009464DC">
        <w:t xml:space="preserve">% remain inside, while </w:t>
      </w:r>
      <w:r w:rsidR="00A41227" w:rsidRPr="009464DC">
        <w:t>56.5</w:t>
      </w:r>
      <w:r w:rsidR="00927045">
        <w:t>%</w:t>
      </w:r>
      <w:r w:rsidR="00E361AD" w:rsidRPr="009464DC">
        <w:t xml:space="preserve"> ±</w:t>
      </w:r>
      <w:r w:rsidR="005A3AC6" w:rsidRPr="009464DC">
        <w:t xml:space="preserve"> </w:t>
      </w:r>
      <w:r w:rsidR="00A41227" w:rsidRPr="009464DC">
        <w:t>1.7</w:t>
      </w:r>
      <w:r w:rsidR="00E361AD" w:rsidRPr="009464DC">
        <w:t>% are expressed on the plasma membrane.</w:t>
      </w:r>
    </w:p>
    <w:p w14:paraId="578A66AF" w14:textId="70EEFEE7" w:rsidR="000627E2" w:rsidRPr="009464DC" w:rsidRDefault="004920E5" w:rsidP="004920E5">
      <w:pPr>
        <w:ind w:firstLine="720"/>
      </w:pPr>
      <w:r w:rsidRPr="009464DC">
        <w:t xml:space="preserve"> </w:t>
      </w:r>
    </w:p>
    <w:p w14:paraId="2A3E9F75" w14:textId="1C6E92A8" w:rsidR="00E209A8" w:rsidRPr="009464DC" w:rsidRDefault="00E209A8" w:rsidP="009464DC">
      <w:r w:rsidRPr="009464DC">
        <w:t xml:space="preserve">[Place </w:t>
      </w:r>
      <w:r w:rsidRPr="009464DC">
        <w:rPr>
          <w:b/>
        </w:rPr>
        <w:t xml:space="preserve">Figure </w:t>
      </w:r>
      <w:r w:rsidR="00524493" w:rsidRPr="009464DC">
        <w:rPr>
          <w:b/>
        </w:rPr>
        <w:t>4</w:t>
      </w:r>
      <w:r w:rsidRPr="009464DC">
        <w:t xml:space="preserve"> here]</w:t>
      </w:r>
    </w:p>
    <w:p w14:paraId="4C878C0C" w14:textId="2FB174F5" w:rsidR="00002AD2" w:rsidRPr="009464DC" w:rsidRDefault="00002AD2" w:rsidP="004920E5">
      <w:pPr>
        <w:ind w:firstLine="720"/>
      </w:pPr>
    </w:p>
    <w:p w14:paraId="40622EFC" w14:textId="5FC5751A" w:rsidR="00B07565" w:rsidRPr="009464DC" w:rsidRDefault="00B43E73" w:rsidP="009464DC">
      <w:r w:rsidRPr="009464DC">
        <w:t xml:space="preserve">To demonstrate that the presented protocol can be extended to include an additional plasmid, N2a cells were triple-transfected with α4-SEP, β2-pHuji, and the control mTagBFP2 DNAs. mTagBFP2 is a fluorescent protein that is brighter and more photostable than </w:t>
      </w:r>
      <w:proofErr w:type="spellStart"/>
      <w:r w:rsidRPr="009464DC">
        <w:t>mTagBFP</w:t>
      </w:r>
      <w:proofErr w:type="spellEnd"/>
      <w:r w:rsidRPr="009464DC">
        <w:t xml:space="preserve"> and is not pH-sensitive³⁴. Because mTagBFP2 was not fused to another gene sequence, the protein was localized to the cytosol of the transfected cells (</w:t>
      </w:r>
      <w:r w:rsidRPr="009464DC">
        <w:rPr>
          <w:b/>
          <w:bCs/>
        </w:rPr>
        <w:t>Figure 5B</w:t>
      </w:r>
      <w:r w:rsidR="00927045">
        <w:rPr>
          <w:b/>
          <w:bCs/>
        </w:rPr>
        <w:t>,</w:t>
      </w:r>
      <w:r w:rsidRPr="009464DC">
        <w:rPr>
          <w:b/>
          <w:bCs/>
        </w:rPr>
        <w:t>G</w:t>
      </w:r>
      <w:r w:rsidRPr="009464DC">
        <w:t>). Images were acquired 24 h post-transfection using both pH 7.4 and pH 5.5 imaging buffers to demonstrate that this method yields high transfection efficiencies and robust plasma membrane expression of nAChR subunits (</w:t>
      </w:r>
      <w:r w:rsidRPr="009464DC">
        <w:rPr>
          <w:b/>
          <w:bCs/>
        </w:rPr>
        <w:t>Figure 5A–E</w:t>
      </w:r>
      <w:r w:rsidRPr="009464DC">
        <w:t xml:space="preserve">). Quantification of individual cells that were triple-transfected showed results similar to those in </w:t>
      </w:r>
      <w:r w:rsidRPr="009464DC">
        <w:rPr>
          <w:b/>
          <w:bCs/>
        </w:rPr>
        <w:t>Figure 4</w:t>
      </w:r>
      <w:r w:rsidRPr="009464DC">
        <w:t>: 17.2</w:t>
      </w:r>
      <w:r w:rsidR="00927045">
        <w:t>%</w:t>
      </w:r>
      <w:r w:rsidRPr="009464DC">
        <w:t xml:space="preserve"> ± 3.7% of α4-SEP was localized internally, whereas 82.8</w:t>
      </w:r>
      <w:r w:rsidR="00927045">
        <w:t>%</w:t>
      </w:r>
      <w:r w:rsidRPr="009464DC">
        <w:t xml:space="preserve"> ± 3.7% was found on the plasma membrane (</w:t>
      </w:r>
      <w:r w:rsidRPr="009464DC">
        <w:rPr>
          <w:b/>
          <w:bCs/>
        </w:rPr>
        <w:t>Figure 5K</w:t>
      </w:r>
      <w:r w:rsidRPr="009464DC">
        <w:t>). As noted in the preceding paragraph, the β2 subunit traffics less efficiently to the cell surface, which was again observed in triple-transfected cells, with 36.6</w:t>
      </w:r>
      <w:r w:rsidR="00934CD2">
        <w:t>%</w:t>
      </w:r>
      <w:r w:rsidRPr="009464DC">
        <w:t xml:space="preserve"> ± 11.7% located intracellularly and 63.4</w:t>
      </w:r>
      <w:r w:rsidR="00934CD2">
        <w:t>%</w:t>
      </w:r>
      <w:r w:rsidRPr="009464DC">
        <w:t xml:space="preserve"> ± 11.7% on the plasma membrane.</w:t>
      </w:r>
      <w:r w:rsidR="003C79C6" w:rsidRPr="009464DC">
        <w:t xml:space="preserve"> </w:t>
      </w:r>
    </w:p>
    <w:p w14:paraId="05A8061C" w14:textId="08AE9233" w:rsidR="006A4059" w:rsidRPr="009464DC" w:rsidRDefault="006A4059" w:rsidP="004920E5"/>
    <w:p w14:paraId="59E0A936" w14:textId="629F0826" w:rsidR="00E209A8" w:rsidRPr="009464DC" w:rsidRDefault="00E209A8" w:rsidP="009464DC">
      <w:r w:rsidRPr="009464DC">
        <w:t xml:space="preserve">[Place </w:t>
      </w:r>
      <w:r w:rsidRPr="009464DC">
        <w:rPr>
          <w:b/>
        </w:rPr>
        <w:t xml:space="preserve">Figure </w:t>
      </w:r>
      <w:r w:rsidR="00524493" w:rsidRPr="009464DC">
        <w:rPr>
          <w:b/>
        </w:rPr>
        <w:t>5</w:t>
      </w:r>
      <w:r w:rsidRPr="009464DC">
        <w:t xml:space="preserve"> here]</w:t>
      </w:r>
    </w:p>
    <w:p w14:paraId="16F8BDB4" w14:textId="416E524E" w:rsidR="006A4059" w:rsidRPr="009464DC" w:rsidRDefault="006A4059" w:rsidP="004920E5">
      <w:pPr>
        <w:ind w:firstLine="720"/>
      </w:pPr>
    </w:p>
    <w:p w14:paraId="214F63AD" w14:textId="639B37A8" w:rsidR="00DC08CC" w:rsidRPr="009464DC" w:rsidRDefault="00551D82" w:rsidP="009464DC">
      <w:r w:rsidRPr="009464DC">
        <w:rPr>
          <w:b/>
        </w:rPr>
        <w:t>FIGURE AND TABLE LEGENDS:</w:t>
      </w:r>
      <w:r w:rsidRPr="009464DC">
        <w:t xml:space="preserve"> </w:t>
      </w:r>
    </w:p>
    <w:p w14:paraId="3CD9660C" w14:textId="6893253A" w:rsidR="00D73548" w:rsidRPr="009464DC" w:rsidRDefault="00D73548" w:rsidP="004920E5">
      <w:pPr>
        <w:pStyle w:val="NormalWeb"/>
        <w:spacing w:before="0" w:beforeAutospacing="0" w:after="0" w:afterAutospacing="0"/>
        <w:jc w:val="both"/>
        <w:rPr>
          <w:rFonts w:ascii="Calibri" w:hAnsi="Calibri" w:cs="Calibri"/>
          <w:bCs/>
          <w:lang w:val="en-US"/>
        </w:rPr>
      </w:pPr>
      <w:r w:rsidRPr="009464DC">
        <w:rPr>
          <w:rFonts w:ascii="Calibri" w:hAnsi="Calibri" w:cs="Calibri"/>
          <w:b/>
          <w:bCs/>
          <w:lang w:val="en-US"/>
        </w:rPr>
        <w:t>Figure 1</w:t>
      </w:r>
      <w:r w:rsidR="009464DC">
        <w:rPr>
          <w:rFonts w:ascii="Calibri" w:hAnsi="Calibri" w:cs="Calibri"/>
          <w:b/>
          <w:bCs/>
          <w:lang w:val="en-US"/>
        </w:rPr>
        <w:t>:</w:t>
      </w:r>
      <w:r w:rsidRPr="009464DC">
        <w:rPr>
          <w:rFonts w:ascii="Calibri" w:hAnsi="Calibri" w:cs="Calibri"/>
          <w:b/>
          <w:bCs/>
          <w:lang w:val="en-US"/>
        </w:rPr>
        <w:t xml:space="preserve"> Schematic presentation of the individual methods </w:t>
      </w:r>
      <w:r w:rsidR="002033CD" w:rsidRPr="009464DC">
        <w:rPr>
          <w:rFonts w:ascii="Calibri" w:hAnsi="Calibri" w:cs="Calibri"/>
          <w:b/>
          <w:bCs/>
          <w:lang w:val="en-US"/>
        </w:rPr>
        <w:t xml:space="preserve">presented </w:t>
      </w:r>
      <w:r w:rsidRPr="009464DC">
        <w:rPr>
          <w:rFonts w:ascii="Calibri" w:hAnsi="Calibri" w:cs="Calibri"/>
          <w:b/>
          <w:bCs/>
          <w:lang w:val="en-US"/>
        </w:rPr>
        <w:t xml:space="preserve">in the protocol. </w:t>
      </w:r>
      <w:r w:rsidRPr="009464DC">
        <w:rPr>
          <w:rFonts w:ascii="Calibri" w:hAnsi="Calibri" w:cs="Calibri"/>
          <w:bCs/>
          <w:lang w:val="en-US"/>
        </w:rPr>
        <w:t>Cells are grown until they are 70</w:t>
      </w:r>
      <w:r w:rsidR="00934CD2">
        <w:rPr>
          <w:rFonts w:ascii="Calibri" w:hAnsi="Calibri" w:cs="Calibri"/>
          <w:bCs/>
          <w:lang w:val="en-US"/>
        </w:rPr>
        <w:t>%</w:t>
      </w:r>
      <w:r w:rsidR="00112505" w:rsidRPr="009464DC">
        <w:rPr>
          <w:rFonts w:ascii="Calibri" w:hAnsi="Calibri" w:cs="Calibri"/>
          <w:bCs/>
          <w:lang w:val="en-US"/>
        </w:rPr>
        <w:t>-</w:t>
      </w:r>
      <w:r w:rsidRPr="009464DC">
        <w:rPr>
          <w:rFonts w:ascii="Calibri" w:hAnsi="Calibri" w:cs="Calibri"/>
          <w:bCs/>
          <w:lang w:val="en-US"/>
        </w:rPr>
        <w:t xml:space="preserve">80% confluent in imaging dishes. The cells are then treated with the transfection reagent and </w:t>
      </w:r>
      <w:r w:rsidR="00934CD2">
        <w:rPr>
          <w:rFonts w:ascii="Calibri" w:hAnsi="Calibri" w:cs="Calibri"/>
          <w:bCs/>
          <w:lang w:val="en-US"/>
        </w:rPr>
        <w:t xml:space="preserve">the </w:t>
      </w:r>
      <w:r w:rsidRPr="009464DC">
        <w:rPr>
          <w:rFonts w:ascii="Calibri" w:hAnsi="Calibri" w:cs="Calibri"/>
          <w:bCs/>
          <w:lang w:val="en-US"/>
        </w:rPr>
        <w:t xml:space="preserve">DNA complex. </w:t>
      </w:r>
      <w:r w:rsidRPr="009464DC">
        <w:rPr>
          <w:rFonts w:ascii="Calibri" w:hAnsi="Calibri" w:cs="Calibri"/>
          <w:b/>
          <w:bCs/>
          <w:lang w:val="en-US"/>
        </w:rPr>
        <w:t xml:space="preserve">(Top) </w:t>
      </w:r>
      <w:r w:rsidRPr="009464DC">
        <w:rPr>
          <w:rFonts w:ascii="Calibri" w:hAnsi="Calibri" w:cs="Calibri"/>
          <w:bCs/>
          <w:lang w:val="en-US"/>
        </w:rPr>
        <w:t xml:space="preserve">24 h later, cells can be treated with a </w:t>
      </w:r>
      <w:r w:rsidR="00524493" w:rsidRPr="009464DC">
        <w:rPr>
          <w:rFonts w:ascii="Calibri" w:hAnsi="Calibri" w:cs="Calibri"/>
          <w:bCs/>
          <w:lang w:val="en-US"/>
        </w:rPr>
        <w:t>fluorescently</w:t>
      </w:r>
      <w:r w:rsidRPr="009464DC">
        <w:rPr>
          <w:rFonts w:ascii="Calibri" w:hAnsi="Calibri" w:cs="Calibri"/>
          <w:bCs/>
          <w:lang w:val="en-US"/>
        </w:rPr>
        <w:t xml:space="preserve"> tagged ligand to</w:t>
      </w:r>
      <w:r w:rsidR="00FA7D05" w:rsidRPr="009464DC">
        <w:rPr>
          <w:rFonts w:ascii="Calibri" w:hAnsi="Calibri" w:cs="Calibri"/>
          <w:bCs/>
          <w:lang w:val="en-US"/>
        </w:rPr>
        <w:t xml:space="preserve"> label </w:t>
      </w:r>
      <w:r w:rsidRPr="009464DC">
        <w:rPr>
          <w:rFonts w:ascii="Calibri" w:hAnsi="Calibri" w:cs="Calibri"/>
          <w:bCs/>
          <w:lang w:val="en-US"/>
        </w:rPr>
        <w:t xml:space="preserve">subunits expressed on the plasma </w:t>
      </w:r>
      <w:r w:rsidR="00524493" w:rsidRPr="009464DC">
        <w:rPr>
          <w:rFonts w:ascii="Calibri" w:hAnsi="Calibri" w:cs="Calibri"/>
          <w:bCs/>
          <w:lang w:val="en-US"/>
        </w:rPr>
        <w:t>membrane</w:t>
      </w:r>
      <w:r w:rsidRPr="009464DC">
        <w:rPr>
          <w:rFonts w:ascii="Calibri" w:hAnsi="Calibri" w:cs="Calibri"/>
          <w:bCs/>
          <w:lang w:val="en-US"/>
        </w:rPr>
        <w:t xml:space="preserve"> and then imaged using a confocal microscope. </w:t>
      </w:r>
      <w:r w:rsidRPr="009464DC">
        <w:rPr>
          <w:rFonts w:ascii="Calibri" w:hAnsi="Calibri" w:cs="Calibri"/>
          <w:b/>
          <w:bCs/>
          <w:lang w:val="en-US"/>
        </w:rPr>
        <w:t xml:space="preserve">(Bottom) </w:t>
      </w:r>
      <w:r w:rsidR="00524493" w:rsidRPr="009464DC">
        <w:rPr>
          <w:rFonts w:ascii="Calibri" w:hAnsi="Calibri" w:cs="Calibri"/>
          <w:bCs/>
          <w:lang w:val="en-US"/>
        </w:rPr>
        <w:t>Alternatively</w:t>
      </w:r>
      <w:r w:rsidRPr="009464DC">
        <w:rPr>
          <w:rFonts w:ascii="Calibri" w:hAnsi="Calibri" w:cs="Calibri"/>
          <w:bCs/>
          <w:lang w:val="en-US"/>
        </w:rPr>
        <w:t xml:space="preserve">, for nAChR subunit genes that have been </w:t>
      </w:r>
      <w:r w:rsidR="00524493" w:rsidRPr="009464DC">
        <w:rPr>
          <w:rFonts w:ascii="Calibri" w:hAnsi="Calibri" w:cs="Calibri"/>
          <w:bCs/>
          <w:lang w:val="en-US"/>
        </w:rPr>
        <w:t>modified</w:t>
      </w:r>
      <w:r w:rsidRPr="009464DC">
        <w:rPr>
          <w:rFonts w:ascii="Calibri" w:hAnsi="Calibri" w:cs="Calibri"/>
          <w:bCs/>
          <w:lang w:val="en-US"/>
        </w:rPr>
        <w:t xml:space="preserve"> to be tagged with a </w:t>
      </w:r>
      <w:r w:rsidR="00524493" w:rsidRPr="009464DC">
        <w:rPr>
          <w:rFonts w:ascii="Calibri" w:hAnsi="Calibri" w:cs="Calibri"/>
          <w:bCs/>
          <w:lang w:val="en-US"/>
        </w:rPr>
        <w:t>pH-sensitive</w:t>
      </w:r>
      <w:r w:rsidRPr="009464DC">
        <w:rPr>
          <w:rFonts w:ascii="Calibri" w:hAnsi="Calibri" w:cs="Calibri"/>
          <w:bCs/>
          <w:lang w:val="en-US"/>
        </w:rPr>
        <w:t xml:space="preserve"> </w:t>
      </w:r>
      <w:r w:rsidR="00934CD2" w:rsidRPr="009464DC">
        <w:rPr>
          <w:rFonts w:ascii="Calibri" w:hAnsi="Calibri" w:cs="Calibri"/>
          <w:bCs/>
          <w:lang w:val="en-US"/>
        </w:rPr>
        <w:t>protein</w:t>
      </w:r>
      <w:r w:rsidRPr="009464DC">
        <w:rPr>
          <w:rFonts w:ascii="Calibri" w:hAnsi="Calibri" w:cs="Calibri"/>
          <w:bCs/>
          <w:lang w:val="en-US"/>
        </w:rPr>
        <w:t xml:space="preserve"> 24 h after transfection, ce</w:t>
      </w:r>
      <w:r w:rsidR="00524493" w:rsidRPr="009464DC">
        <w:rPr>
          <w:rFonts w:ascii="Calibri" w:hAnsi="Calibri" w:cs="Calibri"/>
          <w:bCs/>
          <w:lang w:val="en-US"/>
        </w:rPr>
        <w:t xml:space="preserve">lls can be imaged alive using a confocal microscope to capture the total fluorescence of the cells. The pH 7.4 imaging buffer is then changed to the pH 5.5 quenching buffer. This will stop the fluorescence of the pH-sensitive proteins tagged to the nAChR subunits located on the </w:t>
      </w:r>
      <w:r w:rsidR="00FA7D05" w:rsidRPr="009464DC">
        <w:rPr>
          <w:rFonts w:ascii="Calibri" w:hAnsi="Calibri" w:cs="Calibri"/>
          <w:bCs/>
          <w:lang w:val="en-US"/>
        </w:rPr>
        <w:t>plasma membrane</w:t>
      </w:r>
      <w:r w:rsidR="00524493" w:rsidRPr="009464DC">
        <w:rPr>
          <w:rFonts w:ascii="Calibri" w:hAnsi="Calibri" w:cs="Calibri"/>
          <w:bCs/>
          <w:lang w:val="en-US"/>
        </w:rPr>
        <w:t xml:space="preserve"> of the cell, allowing for only the internal subunits to remain fluorescent. The same cells are again imaged. Image analysis is performed using ImageJ to quantify the expression of internal and external subunits. These procedures can be modified to incorporate chaperone and auxiliary proteins. </w:t>
      </w:r>
      <w:r w:rsidR="003D4F1F" w:rsidRPr="009464DC">
        <w:rPr>
          <w:rFonts w:ascii="Calibri" w:hAnsi="Calibri" w:cs="Calibri"/>
          <w:bCs/>
          <w:lang w:val="en-US"/>
        </w:rPr>
        <w:t xml:space="preserve">Created in </w:t>
      </w:r>
      <w:proofErr w:type="spellStart"/>
      <w:r w:rsidR="003D4F1F" w:rsidRPr="009464DC">
        <w:rPr>
          <w:rFonts w:ascii="Calibri" w:hAnsi="Calibri" w:cs="Calibri"/>
          <w:bCs/>
          <w:lang w:val="en-US"/>
        </w:rPr>
        <w:t>BioRender</w:t>
      </w:r>
      <w:proofErr w:type="spellEnd"/>
      <w:r w:rsidR="003D4F1F" w:rsidRPr="009464DC">
        <w:rPr>
          <w:rFonts w:ascii="Calibri" w:hAnsi="Calibri" w:cs="Calibri"/>
          <w:bCs/>
          <w:lang w:val="en-US"/>
        </w:rPr>
        <w:t>.</w:t>
      </w:r>
    </w:p>
    <w:p w14:paraId="01400822" w14:textId="77777777" w:rsidR="00524493" w:rsidRPr="009464DC" w:rsidRDefault="00524493" w:rsidP="004920E5">
      <w:pPr>
        <w:pStyle w:val="NormalWeb"/>
        <w:spacing w:before="0" w:beforeAutospacing="0" w:after="0" w:afterAutospacing="0"/>
        <w:jc w:val="both"/>
        <w:rPr>
          <w:rFonts w:ascii="Calibri" w:hAnsi="Calibri" w:cs="Calibri"/>
          <w:bCs/>
          <w:lang w:val="en-US"/>
        </w:rPr>
      </w:pPr>
    </w:p>
    <w:p w14:paraId="32269145" w14:textId="7487FEE5" w:rsidR="00DC08CC" w:rsidRPr="009464DC" w:rsidRDefault="00DC08CC" w:rsidP="004920E5">
      <w:pPr>
        <w:pStyle w:val="NormalWeb"/>
        <w:spacing w:before="0" w:beforeAutospacing="0" w:after="0" w:afterAutospacing="0"/>
        <w:jc w:val="both"/>
        <w:rPr>
          <w:rFonts w:ascii="Calibri" w:hAnsi="Calibri" w:cs="Calibri"/>
          <w:lang w:val="en-US"/>
        </w:rPr>
      </w:pPr>
      <w:r w:rsidRPr="009464DC">
        <w:rPr>
          <w:rFonts w:ascii="Calibri" w:hAnsi="Calibri" w:cs="Calibri"/>
          <w:b/>
          <w:bCs/>
          <w:lang w:val="en-US"/>
        </w:rPr>
        <w:t xml:space="preserve">Figure </w:t>
      </w:r>
      <w:r w:rsidR="00524493" w:rsidRPr="009464DC">
        <w:rPr>
          <w:rFonts w:ascii="Calibri" w:hAnsi="Calibri" w:cs="Calibri"/>
          <w:b/>
          <w:bCs/>
          <w:lang w:val="en-US"/>
        </w:rPr>
        <w:t>2</w:t>
      </w:r>
      <w:r w:rsidR="009464DC">
        <w:rPr>
          <w:rFonts w:ascii="Calibri" w:hAnsi="Calibri" w:cs="Calibri"/>
          <w:b/>
          <w:bCs/>
          <w:lang w:val="en-US"/>
        </w:rPr>
        <w:t>:</w:t>
      </w:r>
      <w:r w:rsidRPr="009464DC">
        <w:rPr>
          <w:rFonts w:ascii="Calibri" w:hAnsi="Calibri" w:cs="Calibri"/>
          <w:b/>
          <w:bCs/>
          <w:lang w:val="en-US"/>
        </w:rPr>
        <w:t xml:space="preserve"> </w:t>
      </w:r>
      <w:r w:rsidRPr="009464DC">
        <w:rPr>
          <w:rFonts w:ascii="Calibri" w:hAnsi="Calibri" w:cs="Calibri"/>
          <w:b/>
          <w:bCs/>
          <w:shd w:val="clear" w:color="auto" w:fill="FFFFFF"/>
          <w:lang w:val="en-US"/>
        </w:rPr>
        <w:t>αBTX-AF647 primarily labels cells expressing the α7 nAChR</w:t>
      </w:r>
      <w:r w:rsidR="00FA7D05" w:rsidRPr="009464DC">
        <w:rPr>
          <w:rFonts w:ascii="Calibri" w:hAnsi="Calibri" w:cs="Calibri"/>
          <w:b/>
          <w:bCs/>
          <w:shd w:val="clear" w:color="auto" w:fill="FFFFFF"/>
          <w:lang w:val="en-US"/>
        </w:rPr>
        <w:t xml:space="preserve"> on the plasma membrane</w:t>
      </w:r>
      <w:r w:rsidRPr="009464DC">
        <w:rPr>
          <w:rFonts w:ascii="Calibri" w:hAnsi="Calibri" w:cs="Calibri"/>
          <w:b/>
          <w:bCs/>
          <w:shd w:val="clear" w:color="auto" w:fill="FFFFFF"/>
          <w:lang w:val="en-US"/>
        </w:rPr>
        <w:t xml:space="preserve">. </w:t>
      </w:r>
      <w:r w:rsidRPr="009464DC">
        <w:rPr>
          <w:rFonts w:ascii="Calibri" w:hAnsi="Calibri" w:cs="Calibri"/>
          <w:shd w:val="clear" w:color="auto" w:fill="FFFFFF"/>
          <w:lang w:val="en-US"/>
        </w:rPr>
        <w:t xml:space="preserve">Non-transfected and α7 nAChR-transfected N2a cells were treated with 80 </w:t>
      </w:r>
      <w:proofErr w:type="spellStart"/>
      <w:r w:rsidRPr="009464DC">
        <w:rPr>
          <w:rFonts w:ascii="Calibri" w:hAnsi="Calibri" w:cs="Calibri"/>
          <w:shd w:val="clear" w:color="auto" w:fill="FFFFFF"/>
          <w:lang w:val="en-US"/>
        </w:rPr>
        <w:t>nM</w:t>
      </w:r>
      <w:proofErr w:type="spellEnd"/>
      <w:r w:rsidRPr="009464DC">
        <w:rPr>
          <w:rFonts w:ascii="Calibri" w:hAnsi="Calibri" w:cs="Calibri"/>
          <w:shd w:val="clear" w:color="auto" w:fill="FFFFFF"/>
          <w:lang w:val="en-US"/>
        </w:rPr>
        <w:t xml:space="preserve"> αBTX-AF647 for 24</w:t>
      </w:r>
      <w:r w:rsidR="00FA7D05" w:rsidRPr="009464DC">
        <w:rPr>
          <w:rFonts w:ascii="Calibri" w:hAnsi="Calibri" w:cs="Calibri"/>
          <w:shd w:val="clear" w:color="auto" w:fill="FFFFFF"/>
          <w:lang w:val="en-US"/>
        </w:rPr>
        <w:t xml:space="preserve"> </w:t>
      </w:r>
      <w:r w:rsidRPr="009464DC">
        <w:rPr>
          <w:rFonts w:ascii="Calibri" w:hAnsi="Calibri" w:cs="Calibri"/>
          <w:shd w:val="clear" w:color="auto" w:fill="FFFFFF"/>
          <w:lang w:val="en-US"/>
        </w:rPr>
        <w:t xml:space="preserve">h prior to live-cell confocal imaging, according to </w:t>
      </w:r>
      <w:r w:rsidR="008550BF">
        <w:rPr>
          <w:rFonts w:ascii="Calibri" w:hAnsi="Calibri" w:cs="Calibri"/>
          <w:shd w:val="clear" w:color="auto" w:fill="FFFFFF"/>
          <w:lang w:val="en-US"/>
        </w:rPr>
        <w:t xml:space="preserve">steps </w:t>
      </w:r>
      <w:r w:rsidRPr="009464DC">
        <w:rPr>
          <w:rFonts w:ascii="Calibri" w:hAnsi="Calibri" w:cs="Calibri"/>
          <w:shd w:val="clear" w:color="auto" w:fill="FFFFFF"/>
          <w:lang w:val="en-US"/>
        </w:rPr>
        <w:t xml:space="preserve">1 and 2. </w:t>
      </w:r>
      <w:r w:rsidR="004F1B27" w:rsidRPr="009464DC">
        <w:rPr>
          <w:rFonts w:ascii="Calibri" w:hAnsi="Calibri" w:cs="Calibri"/>
          <w:lang w:val="en-US"/>
        </w:rPr>
        <w:t>Images were captured at 60</w:t>
      </w:r>
      <w:r w:rsidR="008550BF">
        <w:rPr>
          <w:rFonts w:ascii="Calibri" w:hAnsi="Calibri" w:cs="Calibri"/>
          <w:lang w:val="en-US"/>
        </w:rPr>
        <w:t>x</w:t>
      </w:r>
      <w:r w:rsidR="004F1B27" w:rsidRPr="009464DC">
        <w:rPr>
          <w:rFonts w:ascii="Calibri" w:hAnsi="Calibri" w:cs="Calibri"/>
          <w:lang w:val="en-US"/>
        </w:rPr>
        <w:t xml:space="preserve"> magnification with </w:t>
      </w:r>
      <w:r w:rsidR="00405BFE">
        <w:rPr>
          <w:rFonts w:ascii="Calibri" w:hAnsi="Calibri" w:cs="Calibri"/>
          <w:lang w:val="en-US"/>
        </w:rPr>
        <w:t>a</w:t>
      </w:r>
      <w:r w:rsidR="004F1B27" w:rsidRPr="009464DC">
        <w:rPr>
          <w:rFonts w:ascii="Calibri" w:hAnsi="Calibri" w:cs="Calibri"/>
          <w:lang w:val="en-US"/>
        </w:rPr>
        <w:t xml:space="preserve"> </w:t>
      </w:r>
      <w:r w:rsidR="008550BF">
        <w:rPr>
          <w:rFonts w:ascii="Calibri" w:hAnsi="Calibri" w:cs="Calibri"/>
          <w:lang w:val="en-US"/>
        </w:rPr>
        <w:t>l</w:t>
      </w:r>
      <w:r w:rsidR="004F1B27" w:rsidRPr="009464DC">
        <w:rPr>
          <w:rFonts w:ascii="Calibri" w:hAnsi="Calibri" w:cs="Calibri"/>
          <w:lang w:val="en-US"/>
        </w:rPr>
        <w:t xml:space="preserve">aser scanning confocal microscope. </w:t>
      </w:r>
      <w:r w:rsidRPr="009464DC">
        <w:rPr>
          <w:rFonts w:ascii="Calibri" w:hAnsi="Calibri" w:cs="Calibri"/>
          <w:b/>
          <w:bCs/>
          <w:shd w:val="clear" w:color="auto" w:fill="FFFFFF"/>
          <w:lang w:val="en-US"/>
        </w:rPr>
        <w:t>(A)</w:t>
      </w:r>
      <w:r w:rsidRPr="009464DC">
        <w:rPr>
          <w:rFonts w:ascii="Calibri" w:hAnsi="Calibri" w:cs="Calibri"/>
          <w:shd w:val="clear" w:color="auto" w:fill="FFFFFF"/>
          <w:lang w:val="en-US"/>
        </w:rPr>
        <w:t xml:space="preserve"> αBTX-AF647 staining of endogenous α7 nAChRs expressed in non-transfected N2a cells. </w:t>
      </w:r>
      <w:r w:rsidRPr="009464DC">
        <w:rPr>
          <w:rFonts w:ascii="Calibri" w:hAnsi="Calibri" w:cs="Calibri"/>
          <w:b/>
          <w:bCs/>
          <w:shd w:val="clear" w:color="auto" w:fill="FFFFFF"/>
          <w:lang w:val="en-US"/>
        </w:rPr>
        <w:t>(B)</w:t>
      </w:r>
      <w:r w:rsidRPr="009464DC">
        <w:rPr>
          <w:rFonts w:ascii="Calibri" w:hAnsi="Calibri" w:cs="Calibri"/>
          <w:shd w:val="clear" w:color="auto" w:fill="FFFFFF"/>
          <w:lang w:val="en-US"/>
        </w:rPr>
        <w:t xml:space="preserve"> α7 nAChR-transfected N2a cells labeled with αBTX-AF647. </w:t>
      </w:r>
      <w:r w:rsidRPr="009464DC">
        <w:rPr>
          <w:rFonts w:ascii="Calibri" w:hAnsi="Calibri" w:cs="Calibri"/>
          <w:b/>
          <w:bCs/>
          <w:shd w:val="clear" w:color="auto" w:fill="FFFFFF"/>
          <w:lang w:val="en-US"/>
        </w:rPr>
        <w:t>(A’, B’)</w:t>
      </w:r>
      <w:r w:rsidRPr="009464DC">
        <w:rPr>
          <w:rFonts w:ascii="Calibri" w:hAnsi="Calibri" w:cs="Calibri"/>
          <w:shd w:val="clear" w:color="auto" w:fill="FFFFFF"/>
          <w:lang w:val="en-US"/>
        </w:rPr>
        <w:t xml:space="preserve"> Same as A and B with </w:t>
      </w:r>
      <w:r w:rsidR="00141DAD" w:rsidRPr="009464DC">
        <w:rPr>
          <w:rFonts w:ascii="Calibri" w:hAnsi="Calibri" w:cs="Calibri"/>
          <w:shd w:val="clear" w:color="auto" w:fill="FFFFFF"/>
          <w:lang w:val="en-US"/>
        </w:rPr>
        <w:t xml:space="preserve">the </w:t>
      </w:r>
      <w:r w:rsidRPr="009464DC">
        <w:rPr>
          <w:rFonts w:ascii="Calibri" w:hAnsi="Calibri" w:cs="Calibri"/>
          <w:shd w:val="clear" w:color="auto" w:fill="FFFFFF"/>
          <w:lang w:val="en-US"/>
        </w:rPr>
        <w:t xml:space="preserve">removal of the phase channel. </w:t>
      </w:r>
      <w:r w:rsidRPr="009464DC">
        <w:rPr>
          <w:rFonts w:ascii="Calibri" w:hAnsi="Calibri" w:cs="Calibri"/>
          <w:b/>
          <w:bCs/>
          <w:shd w:val="clear" w:color="auto" w:fill="FFFFFF"/>
          <w:lang w:val="en-US"/>
        </w:rPr>
        <w:t>(C)</w:t>
      </w:r>
      <w:r w:rsidRPr="009464DC">
        <w:rPr>
          <w:rFonts w:ascii="Calibri" w:hAnsi="Calibri" w:cs="Calibri"/>
          <w:shd w:val="clear" w:color="auto" w:fill="FFFFFF"/>
          <w:lang w:val="en-US"/>
        </w:rPr>
        <w:t xml:space="preserve"> CTCF analysis of αBTX-AF647 labeling of transfected and non-transfected N2a cells, as described in </w:t>
      </w:r>
      <w:r w:rsidR="00405BFE">
        <w:rPr>
          <w:rFonts w:ascii="Calibri" w:hAnsi="Calibri" w:cs="Calibri"/>
          <w:shd w:val="clear" w:color="auto" w:fill="FFFFFF"/>
          <w:lang w:val="en-US"/>
        </w:rPr>
        <w:t>step</w:t>
      </w:r>
      <w:r w:rsidRPr="009464DC">
        <w:rPr>
          <w:rFonts w:ascii="Calibri" w:hAnsi="Calibri" w:cs="Calibri"/>
          <w:shd w:val="clear" w:color="auto" w:fill="FFFFFF"/>
          <w:lang w:val="en-US"/>
        </w:rPr>
        <w:t xml:space="preserve"> 4 (****</w:t>
      </w:r>
      <w:r w:rsidR="00405BFE">
        <w:rPr>
          <w:rFonts w:ascii="Calibri" w:hAnsi="Calibri" w:cs="Calibri"/>
          <w:shd w:val="clear" w:color="auto" w:fill="FFFFFF"/>
          <w:lang w:val="en-US"/>
        </w:rPr>
        <w:t>p</w:t>
      </w:r>
      <w:r w:rsidRPr="009464DC">
        <w:rPr>
          <w:rFonts w:ascii="Calibri" w:hAnsi="Calibri" w:cs="Calibri"/>
          <w:shd w:val="clear" w:color="auto" w:fill="FFFFFF"/>
          <w:lang w:val="en-US"/>
        </w:rPr>
        <w:t xml:space="preserve"> &lt; 0.0001, two-tailed unpaired </w:t>
      </w:r>
      <w:r w:rsidRPr="00405BFE">
        <w:rPr>
          <w:rFonts w:ascii="Calibri" w:hAnsi="Calibri" w:cs="Calibri"/>
          <w:iCs/>
          <w:shd w:val="clear" w:color="auto" w:fill="FFFFFF"/>
          <w:lang w:val="en-US"/>
        </w:rPr>
        <w:t>t-</w:t>
      </w:r>
      <w:r w:rsidRPr="009464DC">
        <w:rPr>
          <w:rFonts w:ascii="Calibri" w:hAnsi="Calibri" w:cs="Calibri"/>
          <w:shd w:val="clear" w:color="auto" w:fill="FFFFFF"/>
          <w:lang w:val="en-US"/>
        </w:rPr>
        <w:t>test). Images shown are representative of four separate experiments per group. CTCF data are mean ± S.D. (N = 4, n = 60</w:t>
      </w:r>
      <w:r w:rsidR="008E23FF" w:rsidRPr="009464DC">
        <w:rPr>
          <w:rFonts w:ascii="Calibri" w:hAnsi="Calibri" w:cs="Calibri"/>
          <w:shd w:val="clear" w:color="auto" w:fill="FFFFFF"/>
          <w:lang w:val="en-US"/>
        </w:rPr>
        <w:t xml:space="preserve"> for non-transfected cells, and</w:t>
      </w:r>
      <w:r w:rsidRPr="009464DC">
        <w:rPr>
          <w:rFonts w:ascii="Calibri" w:hAnsi="Calibri" w:cs="Calibri"/>
          <w:shd w:val="clear" w:color="auto" w:fill="FFFFFF"/>
          <w:lang w:val="en-US"/>
        </w:rPr>
        <w:t xml:space="preserve"> 120</w:t>
      </w:r>
      <w:r w:rsidR="00141DAD" w:rsidRPr="009464DC">
        <w:rPr>
          <w:rFonts w:ascii="Calibri" w:hAnsi="Calibri" w:cs="Calibri"/>
          <w:shd w:val="clear" w:color="auto" w:fill="FFFFFF"/>
          <w:lang w:val="en-US"/>
        </w:rPr>
        <w:t xml:space="preserve"> </w:t>
      </w:r>
      <w:r w:rsidR="008E23FF" w:rsidRPr="009464DC">
        <w:rPr>
          <w:rFonts w:ascii="Calibri" w:hAnsi="Calibri" w:cs="Calibri"/>
          <w:shd w:val="clear" w:color="auto" w:fill="FFFFFF"/>
          <w:lang w:val="en-US"/>
        </w:rPr>
        <w:t xml:space="preserve">for +α7 nAChR transfected </w:t>
      </w:r>
      <w:r w:rsidR="00141DAD" w:rsidRPr="009464DC">
        <w:rPr>
          <w:rFonts w:ascii="Calibri" w:hAnsi="Calibri" w:cs="Calibri"/>
          <w:shd w:val="clear" w:color="auto" w:fill="FFFFFF"/>
          <w:lang w:val="en-US"/>
        </w:rPr>
        <w:t>cells</w:t>
      </w:r>
      <w:r w:rsidRPr="009464DC">
        <w:rPr>
          <w:rFonts w:ascii="Calibri" w:hAnsi="Calibri" w:cs="Calibri"/>
          <w:shd w:val="clear" w:color="auto" w:fill="FFFFFF"/>
          <w:lang w:val="en-US"/>
        </w:rPr>
        <w:t xml:space="preserve">). </w:t>
      </w:r>
      <w:r w:rsidR="006B7BCA" w:rsidRPr="009464DC">
        <w:rPr>
          <w:rFonts w:ascii="Calibri" w:hAnsi="Calibri" w:cs="Calibri"/>
          <w:lang w:val="en-US"/>
        </w:rPr>
        <w:t>This figure has been modified from</w:t>
      </w:r>
      <w:r w:rsidR="000C0227" w:rsidRPr="009464DC">
        <w:rPr>
          <w:rFonts w:ascii="Calibri" w:hAnsi="Calibri" w:cs="Calibri"/>
          <w:lang w:val="en-US"/>
        </w:rPr>
        <w:fldChar w:fldCharType="begin"/>
      </w:r>
      <w:r w:rsidR="00AB75F0" w:rsidRPr="009464DC">
        <w:rPr>
          <w:rFonts w:ascii="Calibri" w:hAnsi="Calibri" w:cs="Calibri"/>
          <w:lang w:val="en-US"/>
        </w:rPr>
        <w:instrText xml:space="preserve"> ADDIN ZOTERO_ITEM CSL_CITATION {"citationID":"e0lCda2S","properties":{"formattedCitation":"\\super 26\\nosupersub{}","plainCitation":"26","noteIndex":0},"citationItems":[{"id":95,"uris":["http://zotero.org/users/local/YuTw2027/items/S624B862"],"itemData":{"id":95,"type":"article-journal","abstract":"The rabies virus enters the nervous system by interacting with several molecular targets on host cells to modify behavior and trigger receptor-mediated endocytosis of the virion by poorly understood mechanisms. The rabies virus glycoprotein (RVG) interacts with the muscle acetylcholine receptor and the neuronal α4β2 subtype of the nicotinic acetylcholine receptor (nAChR) family by the putative neurotoxin-like motif. Given that the neurotoxin-like motif is highly homologous to the α7 nAChR subtype selective snake toxin α-bungarotoxin (αBTX), other nAChR subtypes are likely involved. The purpose of this study is to determine the activity of the RVG neurotoxin-like motif on nAChR subtypes that are expressed in brain regions involved in rabid animal behavior. nAChRs were expressed in Xenopus laevis oocytes, and two-electrode voltage clamp electrophysiology was used to collect concentration-response data to measure the functional effects. The RVG peptide preferentially and completely inhibits α7 nAChR ACh-induced currents by a competitive antagonist mechanism. Tested heteromeric nAChRs are also inhibited, but to a lesser extent than the α7 subtype. Residues of the RVG peptide with high sequence homology to αBTX and other neurotoxins were substituted with alanine. Altered RVG neurotoxin-like peptides showed that residues phenylalanine 192, arginine 196, and arginine 199 are important determinants of RVG peptide apparent potency on α7 nAChRs, while serine 195 is not. The evaluation of the rabies ectodomain reaffirmed the observations made with the RVG peptide, illustrating a significant inhibitory impact on α7 nAChR with potency in the nanomolar range. In a mammalian cell culture model of neurons, we confirm that the RVG peptide binds preferentially to cells expressing the α7 nAChR. Defining the activity of the RVG peptide on nAChRs expands our understanding of basic mechanisms in host-pathogen interactions that result in neurological disorders.","container-title":"Frontiers in Cellular and Infection Microbiology","DOI":"10.3389/fcimb.2024.1394713","ISSN":"2235-2988","journalAbbreviation":"Front. Cell. Infect. Microbiol.","license":"https://creativecommons.org/licenses/by/4.0/","note":"publisher: Frontiers Media SA","source":"Crossref","title":"The human alpha7 nicotinic acetylcholine receptor is a host target for the rabies virus glycoprotein","URL":"https://www.frontiersin.org/articles/10.3389/fcimb.2024.1394713/full","volume":"14","author":[{"family":"O’Brien","given":"Brittany C. V."},{"family":"Thao","given":"Shelly"},{"family":"Weber","given":"Lahra"},{"family":"Danielson","given":"Helen L."},{"family":"Boldt","given":"Agatha D."},{"family":"Hueffer","given":"Karsten"},{"family":"Weltzin","given":"Maegan M."}],"accessed":{"date-parts":[["2025",7,25]]},"issued":{"date-parts":[["2024",5,21]]}}}],"schema":"https://github.com/citation-style-language/schema/raw/master/csl-citation.json"} </w:instrText>
      </w:r>
      <w:r w:rsidR="000C0227" w:rsidRPr="009464DC">
        <w:rPr>
          <w:rFonts w:ascii="Calibri" w:hAnsi="Calibri" w:cs="Calibri"/>
          <w:lang w:val="en-US"/>
        </w:rPr>
        <w:fldChar w:fldCharType="separate"/>
      </w:r>
      <w:r w:rsidR="00AB75F0" w:rsidRPr="009464DC">
        <w:rPr>
          <w:rFonts w:ascii="Calibri" w:hAnsi="Calibri" w:cs="Calibri"/>
          <w:vertAlign w:val="superscript"/>
          <w:lang w:val="en-US"/>
        </w:rPr>
        <w:t>26</w:t>
      </w:r>
      <w:r w:rsidR="000C0227" w:rsidRPr="009464DC">
        <w:rPr>
          <w:rFonts w:ascii="Calibri" w:hAnsi="Calibri" w:cs="Calibri"/>
          <w:lang w:val="en-US"/>
        </w:rPr>
        <w:fldChar w:fldCharType="end"/>
      </w:r>
      <w:r w:rsidR="00C573DD">
        <w:rPr>
          <w:rFonts w:ascii="Calibri" w:hAnsi="Calibri" w:cs="Calibri"/>
          <w:lang w:val="en-US"/>
        </w:rPr>
        <w:t>.</w:t>
      </w:r>
    </w:p>
    <w:p w14:paraId="79DBF061" w14:textId="77777777" w:rsidR="000C0227" w:rsidRPr="009464DC" w:rsidRDefault="000C0227" w:rsidP="004920E5">
      <w:pPr>
        <w:pStyle w:val="NormalWeb"/>
        <w:spacing w:before="0" w:beforeAutospacing="0" w:after="0" w:afterAutospacing="0"/>
        <w:jc w:val="both"/>
        <w:rPr>
          <w:rFonts w:ascii="Calibri" w:hAnsi="Calibri" w:cs="Calibri"/>
          <w:lang w:val="en-US"/>
        </w:rPr>
      </w:pPr>
    </w:p>
    <w:p w14:paraId="76748F7C" w14:textId="1E47137F" w:rsidR="003B1294" w:rsidRPr="009464DC" w:rsidRDefault="00492DCD" w:rsidP="004920E5">
      <w:pPr>
        <w:pStyle w:val="NormalWeb"/>
        <w:spacing w:before="0" w:beforeAutospacing="0" w:after="0" w:afterAutospacing="0"/>
        <w:jc w:val="both"/>
        <w:rPr>
          <w:rFonts w:ascii="Calibri" w:hAnsi="Calibri" w:cs="Calibri"/>
          <w:lang w:val="en-US"/>
        </w:rPr>
      </w:pPr>
      <w:r w:rsidRPr="009464DC">
        <w:rPr>
          <w:rFonts w:ascii="Calibri" w:hAnsi="Calibri" w:cs="Calibri"/>
          <w:b/>
          <w:bCs/>
          <w:lang w:val="en-US"/>
        </w:rPr>
        <w:t xml:space="preserve">Figure </w:t>
      </w:r>
      <w:r w:rsidR="00524493" w:rsidRPr="009464DC">
        <w:rPr>
          <w:rFonts w:ascii="Calibri" w:hAnsi="Calibri" w:cs="Calibri"/>
          <w:b/>
          <w:bCs/>
          <w:lang w:val="en-US"/>
        </w:rPr>
        <w:t>3</w:t>
      </w:r>
      <w:r w:rsidR="00C573DD">
        <w:rPr>
          <w:rFonts w:ascii="Calibri" w:hAnsi="Calibri" w:cs="Calibri"/>
          <w:b/>
          <w:bCs/>
          <w:lang w:val="en-US"/>
        </w:rPr>
        <w:t>:</w:t>
      </w:r>
      <w:r w:rsidRPr="009464DC">
        <w:rPr>
          <w:rFonts w:ascii="Calibri" w:hAnsi="Calibri" w:cs="Calibri"/>
          <w:b/>
          <w:bCs/>
          <w:lang w:val="en-US"/>
        </w:rPr>
        <w:t xml:space="preserve"> α7-pHuji nAChR transfection of N2a cells confirms localization of receptors at the cell plasma membrane. </w:t>
      </w:r>
      <w:r w:rsidRPr="009464DC">
        <w:rPr>
          <w:rFonts w:ascii="Calibri" w:hAnsi="Calibri" w:cs="Calibri"/>
          <w:lang w:val="en-US"/>
        </w:rPr>
        <w:t xml:space="preserve">N2a cells were transfected with α7-pHuji nAChR plasmid DNA as described </w:t>
      </w:r>
      <w:r w:rsidRPr="009464DC">
        <w:rPr>
          <w:rFonts w:ascii="Calibri" w:hAnsi="Calibri" w:cs="Calibri"/>
          <w:lang w:val="en-US"/>
        </w:rPr>
        <w:lastRenderedPageBreak/>
        <w:t xml:space="preserve">in </w:t>
      </w:r>
      <w:r w:rsidR="00405BFE">
        <w:rPr>
          <w:rFonts w:ascii="Calibri" w:hAnsi="Calibri" w:cs="Calibri"/>
          <w:lang w:val="en-US"/>
        </w:rPr>
        <w:t>step</w:t>
      </w:r>
      <w:r w:rsidRPr="009464DC">
        <w:rPr>
          <w:rFonts w:ascii="Calibri" w:hAnsi="Calibri" w:cs="Calibri"/>
          <w:lang w:val="en-US"/>
        </w:rPr>
        <w:t xml:space="preserve"> 1 and live-cell imaged with buffer changes as described </w:t>
      </w:r>
      <w:r w:rsidR="00405BFE">
        <w:rPr>
          <w:rFonts w:ascii="Calibri" w:hAnsi="Calibri" w:cs="Calibri"/>
          <w:lang w:val="en-US"/>
        </w:rPr>
        <w:t>in</w:t>
      </w:r>
      <w:r w:rsidRPr="009464DC">
        <w:rPr>
          <w:rFonts w:ascii="Calibri" w:hAnsi="Calibri" w:cs="Calibri"/>
          <w:lang w:val="en-US"/>
        </w:rPr>
        <w:t xml:space="preserve"> </w:t>
      </w:r>
      <w:r w:rsidR="00405BFE">
        <w:rPr>
          <w:rFonts w:ascii="Calibri" w:hAnsi="Calibri" w:cs="Calibri"/>
          <w:lang w:val="en-US"/>
        </w:rPr>
        <w:t>step</w:t>
      </w:r>
      <w:r w:rsidRPr="009464DC">
        <w:rPr>
          <w:rFonts w:ascii="Calibri" w:hAnsi="Calibri" w:cs="Calibri"/>
          <w:lang w:val="en-US"/>
        </w:rPr>
        <w:t xml:space="preserve"> 3, to observe the location of the tagged receptors. </w:t>
      </w:r>
      <w:r w:rsidR="00122467" w:rsidRPr="009464DC">
        <w:rPr>
          <w:rFonts w:ascii="Calibri" w:hAnsi="Calibri" w:cs="Calibri"/>
          <w:lang w:val="en-US"/>
        </w:rPr>
        <w:t>Please note that receptors in organelles where the probe is positioned in acidic (quenching) environments</w:t>
      </w:r>
      <w:r w:rsidR="009C5853" w:rsidRPr="009464DC">
        <w:rPr>
          <w:rFonts w:ascii="Calibri" w:hAnsi="Calibri" w:cs="Calibri"/>
          <w:lang w:val="en-US"/>
        </w:rPr>
        <w:t xml:space="preserve"> were not captured</w:t>
      </w:r>
      <w:r w:rsidR="00122467" w:rsidRPr="009464DC">
        <w:rPr>
          <w:rFonts w:ascii="Calibri" w:hAnsi="Calibri" w:cs="Calibri"/>
          <w:lang w:val="en-US"/>
        </w:rPr>
        <w:t xml:space="preserve">. </w:t>
      </w:r>
      <w:r w:rsidRPr="009464DC">
        <w:rPr>
          <w:rFonts w:ascii="Calibri" w:hAnsi="Calibri" w:cs="Calibri"/>
          <w:b/>
          <w:bCs/>
          <w:lang w:val="en-US"/>
        </w:rPr>
        <w:t>(A)</w:t>
      </w:r>
      <w:r w:rsidRPr="009464DC">
        <w:rPr>
          <w:rFonts w:ascii="Calibri" w:hAnsi="Calibri" w:cs="Calibri"/>
          <w:lang w:val="en-US"/>
        </w:rPr>
        <w:t xml:space="preserve"> N2a cells transfected with α7-pHuji</w:t>
      </w:r>
      <w:r w:rsidR="00FA7D05" w:rsidRPr="009464DC">
        <w:rPr>
          <w:rFonts w:ascii="Calibri" w:hAnsi="Calibri" w:cs="Calibri"/>
          <w:lang w:val="en-US"/>
        </w:rPr>
        <w:t xml:space="preserve"> and NACHO</w:t>
      </w:r>
      <w:r w:rsidRPr="009464DC">
        <w:rPr>
          <w:rFonts w:ascii="Calibri" w:hAnsi="Calibri" w:cs="Calibri"/>
          <w:lang w:val="en-US"/>
        </w:rPr>
        <w:t xml:space="preserve"> plasmid DNA</w:t>
      </w:r>
      <w:r w:rsidR="00FA7D05" w:rsidRPr="009464DC">
        <w:rPr>
          <w:rFonts w:ascii="Calibri" w:hAnsi="Calibri" w:cs="Calibri"/>
          <w:lang w:val="en-US"/>
        </w:rPr>
        <w:t>s</w:t>
      </w:r>
      <w:r w:rsidRPr="009464DC">
        <w:rPr>
          <w:rFonts w:ascii="Calibri" w:hAnsi="Calibri" w:cs="Calibri"/>
          <w:lang w:val="en-US"/>
        </w:rPr>
        <w:t xml:space="preserve"> </w:t>
      </w:r>
      <w:r w:rsidR="00FA7D05" w:rsidRPr="009464DC">
        <w:rPr>
          <w:rFonts w:ascii="Calibri" w:hAnsi="Calibri" w:cs="Calibri"/>
          <w:lang w:val="en-US"/>
        </w:rPr>
        <w:t xml:space="preserve">were </w:t>
      </w:r>
      <w:r w:rsidRPr="009464DC">
        <w:rPr>
          <w:rFonts w:ascii="Calibri" w:hAnsi="Calibri" w:cs="Calibri"/>
          <w:lang w:val="en-US"/>
        </w:rPr>
        <w:t xml:space="preserve">imaged in pH 7.4 buffer. </w:t>
      </w:r>
      <w:r w:rsidRPr="009464DC">
        <w:rPr>
          <w:rFonts w:ascii="Calibri" w:hAnsi="Calibri" w:cs="Calibri"/>
          <w:b/>
          <w:bCs/>
          <w:lang w:val="en-US"/>
        </w:rPr>
        <w:t>(B)</w:t>
      </w:r>
      <w:r w:rsidRPr="009464DC">
        <w:rPr>
          <w:rFonts w:ascii="Calibri" w:hAnsi="Calibri" w:cs="Calibri"/>
          <w:lang w:val="en-US"/>
        </w:rPr>
        <w:t xml:space="preserve"> The same N2a cells </w:t>
      </w:r>
      <w:r w:rsidR="00141DAD" w:rsidRPr="009464DC">
        <w:rPr>
          <w:rFonts w:ascii="Calibri" w:hAnsi="Calibri" w:cs="Calibri"/>
          <w:lang w:val="en-US"/>
        </w:rPr>
        <w:t xml:space="preserve">were </w:t>
      </w:r>
      <w:r w:rsidRPr="009464DC">
        <w:rPr>
          <w:rFonts w:ascii="Calibri" w:hAnsi="Calibri" w:cs="Calibri"/>
          <w:lang w:val="en-US"/>
        </w:rPr>
        <w:t xml:space="preserve">imaged in </w:t>
      </w:r>
      <w:r w:rsidR="00405BFE">
        <w:rPr>
          <w:rFonts w:ascii="Calibri" w:hAnsi="Calibri" w:cs="Calibri"/>
          <w:lang w:val="en-US"/>
        </w:rPr>
        <w:t xml:space="preserve">a </w:t>
      </w:r>
      <w:r w:rsidRPr="009464DC">
        <w:rPr>
          <w:rFonts w:ascii="Calibri" w:hAnsi="Calibri" w:cs="Calibri"/>
          <w:lang w:val="en-US"/>
        </w:rPr>
        <w:t>pH 5.</w:t>
      </w:r>
      <w:r w:rsidR="00141DAD" w:rsidRPr="009464DC">
        <w:rPr>
          <w:rFonts w:ascii="Calibri" w:hAnsi="Calibri" w:cs="Calibri"/>
          <w:lang w:val="en-US"/>
        </w:rPr>
        <w:t>5</w:t>
      </w:r>
      <w:r w:rsidRPr="009464DC">
        <w:rPr>
          <w:rFonts w:ascii="Calibri" w:hAnsi="Calibri" w:cs="Calibri"/>
          <w:lang w:val="en-US"/>
        </w:rPr>
        <w:t xml:space="preserve"> buffer, showing only intracellular receptors. </w:t>
      </w:r>
      <w:r w:rsidRPr="009464DC">
        <w:rPr>
          <w:rFonts w:ascii="Calibri" w:hAnsi="Calibri" w:cs="Calibri"/>
          <w:b/>
          <w:bCs/>
          <w:lang w:val="en-US"/>
        </w:rPr>
        <w:t>(C)</w:t>
      </w:r>
      <w:r w:rsidRPr="009464DC">
        <w:rPr>
          <w:rFonts w:ascii="Calibri" w:hAnsi="Calibri" w:cs="Calibri"/>
          <w:lang w:val="en-US"/>
        </w:rPr>
        <w:t xml:space="preserve"> Subtraction </w:t>
      </w:r>
      <w:r w:rsidR="00141DAD" w:rsidRPr="009464DC">
        <w:rPr>
          <w:rFonts w:ascii="Calibri" w:hAnsi="Calibri" w:cs="Calibri"/>
          <w:lang w:val="en-US"/>
        </w:rPr>
        <w:t>images</w:t>
      </w:r>
      <w:r w:rsidRPr="009464DC">
        <w:rPr>
          <w:rFonts w:ascii="Calibri" w:hAnsi="Calibri" w:cs="Calibri"/>
          <w:lang w:val="en-US"/>
        </w:rPr>
        <w:t xml:space="preserve"> of </w:t>
      </w:r>
      <w:r w:rsidR="00405BFE">
        <w:rPr>
          <w:rFonts w:ascii="Calibri" w:hAnsi="Calibri" w:cs="Calibri"/>
          <w:lang w:val="en-US"/>
        </w:rPr>
        <w:t>(</w:t>
      </w:r>
      <w:r w:rsidRPr="009464DC">
        <w:rPr>
          <w:rFonts w:ascii="Calibri" w:hAnsi="Calibri" w:cs="Calibri"/>
          <w:lang w:val="en-US"/>
        </w:rPr>
        <w:t xml:space="preserve">A) and </w:t>
      </w:r>
      <w:r w:rsidR="00405BFE">
        <w:rPr>
          <w:rFonts w:ascii="Calibri" w:hAnsi="Calibri" w:cs="Calibri"/>
          <w:lang w:val="en-US"/>
        </w:rPr>
        <w:t>(</w:t>
      </w:r>
      <w:r w:rsidRPr="009464DC">
        <w:rPr>
          <w:rFonts w:ascii="Calibri" w:hAnsi="Calibri" w:cs="Calibri"/>
          <w:lang w:val="en-US"/>
        </w:rPr>
        <w:t xml:space="preserve">B), representing α7-pHuji receptors expressed on the plasma membrane. </w:t>
      </w:r>
      <w:r w:rsidRPr="009464DC">
        <w:rPr>
          <w:rFonts w:ascii="Calibri" w:hAnsi="Calibri" w:cs="Calibri"/>
          <w:b/>
          <w:bCs/>
          <w:lang w:val="en-US"/>
        </w:rPr>
        <w:t xml:space="preserve">(D) </w:t>
      </w:r>
      <w:r w:rsidRPr="009464DC">
        <w:rPr>
          <w:rFonts w:ascii="Calibri" w:hAnsi="Calibri" w:cs="Calibri"/>
          <w:lang w:val="en-US"/>
        </w:rPr>
        <w:t xml:space="preserve">CTCF analysis of α7-pHuji </w:t>
      </w:r>
      <w:r w:rsidR="00D34C40">
        <w:rPr>
          <w:rFonts w:ascii="Calibri" w:hAnsi="Calibri" w:cs="Calibri"/>
          <w:lang w:val="en-US"/>
        </w:rPr>
        <w:t>nAChR-transfected N2a cells at pH 7.4 and pH 5.5, as described in step 4, shows that</w:t>
      </w:r>
      <w:r w:rsidRPr="009464DC">
        <w:rPr>
          <w:rFonts w:ascii="Calibri" w:hAnsi="Calibri" w:cs="Calibri"/>
          <w:lang w:val="en-US"/>
        </w:rPr>
        <w:t xml:space="preserve"> </w:t>
      </w:r>
      <w:r w:rsidR="00141DAD" w:rsidRPr="009464DC">
        <w:rPr>
          <w:rFonts w:ascii="Calibri" w:hAnsi="Calibri" w:cs="Calibri"/>
          <w:lang w:val="en-US"/>
        </w:rPr>
        <w:t xml:space="preserve">the </w:t>
      </w:r>
      <w:r w:rsidRPr="009464DC">
        <w:rPr>
          <w:rFonts w:ascii="Calibri" w:hAnsi="Calibri" w:cs="Calibri"/>
          <w:lang w:val="en-US"/>
        </w:rPr>
        <w:t>majority of α7-pHuji nAChRs are localized to the plasma membrane of N2a cells. Data are mean ± S.D. (N = 3, n = 90</w:t>
      </w:r>
      <w:r w:rsidR="00141DAD" w:rsidRPr="009464DC">
        <w:rPr>
          <w:rFonts w:ascii="Calibri" w:hAnsi="Calibri" w:cs="Calibri"/>
          <w:lang w:val="en-US"/>
        </w:rPr>
        <w:t xml:space="preserve"> cells</w:t>
      </w:r>
      <w:r w:rsidR="008E23FF" w:rsidRPr="009464DC">
        <w:rPr>
          <w:rFonts w:ascii="Calibri" w:hAnsi="Calibri" w:cs="Calibri"/>
          <w:lang w:val="en-US"/>
        </w:rPr>
        <w:t>,</w:t>
      </w:r>
      <w:r w:rsidRPr="009464DC">
        <w:rPr>
          <w:rFonts w:ascii="Calibri" w:hAnsi="Calibri" w:cs="Calibri"/>
          <w:lang w:val="en-US"/>
        </w:rPr>
        <w:t xml:space="preserve"> ****</w:t>
      </w:r>
      <w:r w:rsidR="00D34C40">
        <w:rPr>
          <w:rFonts w:ascii="Calibri" w:hAnsi="Calibri" w:cs="Calibri"/>
          <w:lang w:val="en-US"/>
        </w:rPr>
        <w:t>p</w:t>
      </w:r>
      <w:r w:rsidRPr="009464DC">
        <w:rPr>
          <w:rFonts w:ascii="Calibri" w:hAnsi="Calibri" w:cs="Calibri"/>
          <w:lang w:val="en-US"/>
        </w:rPr>
        <w:t xml:space="preserve"> &lt; 0.0001, unpaired two-tailed </w:t>
      </w:r>
      <w:r w:rsidRPr="00D34C40">
        <w:rPr>
          <w:rFonts w:ascii="Calibri" w:hAnsi="Calibri" w:cs="Calibri"/>
          <w:iCs/>
          <w:lang w:val="en-US"/>
        </w:rPr>
        <w:t>t</w:t>
      </w:r>
      <w:r w:rsidRPr="009464DC">
        <w:rPr>
          <w:rFonts w:ascii="Calibri" w:hAnsi="Calibri" w:cs="Calibri"/>
          <w:lang w:val="en-US"/>
        </w:rPr>
        <w:t xml:space="preserve">-test). </w:t>
      </w:r>
      <w:r w:rsidRPr="009464DC">
        <w:rPr>
          <w:rFonts w:ascii="Calibri" w:hAnsi="Calibri" w:cs="Calibri"/>
          <w:b/>
          <w:bCs/>
          <w:lang w:val="en-US"/>
        </w:rPr>
        <w:t xml:space="preserve">(E) </w:t>
      </w:r>
      <w:r w:rsidRPr="009464DC">
        <w:rPr>
          <w:rFonts w:ascii="Calibri" w:hAnsi="Calibri" w:cs="Calibri"/>
          <w:lang w:val="en-US"/>
        </w:rPr>
        <w:t xml:space="preserve">The same N2a cells </w:t>
      </w:r>
      <w:r w:rsidR="00141DAD" w:rsidRPr="009464DC">
        <w:rPr>
          <w:rFonts w:ascii="Calibri" w:hAnsi="Calibri" w:cs="Calibri"/>
          <w:lang w:val="en-US"/>
        </w:rPr>
        <w:t xml:space="preserve">were </w:t>
      </w:r>
      <w:r w:rsidRPr="009464DC">
        <w:rPr>
          <w:rFonts w:ascii="Calibri" w:hAnsi="Calibri" w:cs="Calibri"/>
          <w:lang w:val="en-US"/>
        </w:rPr>
        <w:t xml:space="preserve">imaged at a restored pH 7.4, verifying that changes in fluorescence are based on pH quenching. </w:t>
      </w:r>
      <w:r w:rsidRPr="009464DC">
        <w:rPr>
          <w:rFonts w:ascii="Calibri" w:hAnsi="Calibri" w:cs="Calibri"/>
          <w:b/>
          <w:bCs/>
          <w:lang w:val="en-US"/>
        </w:rPr>
        <w:t xml:space="preserve">(A’, B’, C’, </w:t>
      </w:r>
      <w:r w:rsidR="00FA7D05" w:rsidRPr="009464DC">
        <w:rPr>
          <w:rFonts w:ascii="Calibri" w:hAnsi="Calibri" w:cs="Calibri"/>
          <w:b/>
          <w:bCs/>
          <w:lang w:val="en-US"/>
        </w:rPr>
        <w:t xml:space="preserve">and </w:t>
      </w:r>
      <w:r w:rsidRPr="009464DC">
        <w:rPr>
          <w:rFonts w:ascii="Calibri" w:hAnsi="Calibri" w:cs="Calibri"/>
          <w:b/>
          <w:bCs/>
          <w:lang w:val="en-US"/>
        </w:rPr>
        <w:t>E’)</w:t>
      </w:r>
      <w:r w:rsidRPr="009464DC">
        <w:rPr>
          <w:rFonts w:ascii="Calibri" w:hAnsi="Calibri" w:cs="Calibri"/>
          <w:lang w:val="en-US"/>
        </w:rPr>
        <w:t xml:space="preserve"> Same as A, B, C</w:t>
      </w:r>
      <w:r w:rsidR="00141DAD" w:rsidRPr="009464DC">
        <w:rPr>
          <w:rFonts w:ascii="Calibri" w:hAnsi="Calibri" w:cs="Calibri"/>
          <w:lang w:val="en-US"/>
        </w:rPr>
        <w:t>,</w:t>
      </w:r>
      <w:r w:rsidRPr="009464DC">
        <w:rPr>
          <w:rFonts w:ascii="Calibri" w:hAnsi="Calibri" w:cs="Calibri"/>
          <w:lang w:val="en-US"/>
        </w:rPr>
        <w:t xml:space="preserve"> and E without the phase channel. </w:t>
      </w:r>
      <w:r w:rsidR="006B7BCA" w:rsidRPr="009464DC">
        <w:rPr>
          <w:rFonts w:ascii="Calibri" w:hAnsi="Calibri" w:cs="Calibri"/>
          <w:lang w:val="en-US"/>
        </w:rPr>
        <w:t>This figure has been modified from</w:t>
      </w:r>
      <w:r w:rsidR="000C0227" w:rsidRPr="009464DC">
        <w:rPr>
          <w:rFonts w:ascii="Calibri" w:hAnsi="Calibri" w:cs="Calibri"/>
          <w:lang w:val="en-US"/>
        </w:rPr>
        <w:fldChar w:fldCharType="begin"/>
      </w:r>
      <w:r w:rsidR="00AB75F0" w:rsidRPr="009464DC">
        <w:rPr>
          <w:rFonts w:ascii="Calibri" w:hAnsi="Calibri" w:cs="Calibri"/>
          <w:lang w:val="en-US"/>
        </w:rPr>
        <w:instrText xml:space="preserve"> ADDIN ZOTERO_ITEM CSL_CITATION {"citationID":"ApS6XTHQ","properties":{"formattedCitation":"\\super 26\\nosupersub{}","plainCitation":"26","noteIndex":0},"citationItems":[{"id":95,"uris":["http://zotero.org/users/local/YuTw2027/items/S624B862"],"itemData":{"id":95,"type":"article-journal","abstract":"The rabies virus enters the nervous system by interacting with several molecular targets on host cells to modify behavior and trigger receptor-mediated endocytosis of the virion by poorly understood mechanisms. The rabies virus glycoprotein (RVG) interacts with the muscle acetylcholine receptor and the neuronal α4β2 subtype of the nicotinic acetylcholine receptor (nAChR) family by the putative neurotoxin-like motif. Given that the neurotoxin-like motif is highly homologous to the α7 nAChR subtype selective snake toxin α-bungarotoxin (αBTX), other nAChR subtypes are likely involved. The purpose of this study is to determine the activity of the RVG neurotoxin-like motif on nAChR subtypes that are expressed in brain regions involved in rabid animal behavior. nAChRs were expressed in Xenopus laevis oocytes, and two-electrode voltage clamp electrophysiology was used to collect concentration-response data to measure the functional effects. The RVG peptide preferentially and completely inhibits α7 nAChR ACh-induced currents by a competitive antagonist mechanism. Tested heteromeric nAChRs are also inhibited, but to a lesser extent than the α7 subtype. Residues of the RVG peptide with high sequence homology to αBTX and other neurotoxins were substituted with alanine. Altered RVG neurotoxin-like peptides showed that residues phenylalanine 192, arginine 196, and arginine 199 are important determinants of RVG peptide apparent potency on α7 nAChRs, while serine 195 is not. The evaluation of the rabies ectodomain reaffirmed the observations made with the RVG peptide, illustrating a significant inhibitory impact on α7 nAChR with potency in the nanomolar range. In a mammalian cell culture model of neurons, we confirm that the RVG peptide binds preferentially to cells expressing the α7 nAChR. Defining the activity of the RVG peptide on nAChRs expands our understanding of basic mechanisms in host-pathogen interactions that result in neurological disorders.","container-title":"Frontiers in Cellular and Infection Microbiology","DOI":"10.3389/fcimb.2024.1394713","ISSN":"2235-2988","journalAbbreviation":"Front. Cell. Infect. Microbiol.","license":"https://creativecommons.org/licenses/by/4.0/","note":"publisher: Frontiers Media SA","source":"Crossref","title":"The human alpha7 nicotinic acetylcholine receptor is a host target for the rabies virus glycoprotein","URL":"https://www.frontiersin.org/articles/10.3389/fcimb.2024.1394713/full","volume":"14","author":[{"family":"O’Brien","given":"Brittany C. V."},{"family":"Thao","given":"Shelly"},{"family":"Weber","given":"Lahra"},{"family":"Danielson","given":"Helen L."},{"family":"Boldt","given":"Agatha D."},{"family":"Hueffer","given":"Karsten"},{"family":"Weltzin","given":"Maegan M."}],"accessed":{"date-parts":[["2025",7,25]]},"issued":{"date-parts":[["2024",5,21]]}}}],"schema":"https://github.com/citation-style-language/schema/raw/master/csl-citation.json"} </w:instrText>
      </w:r>
      <w:r w:rsidR="000C0227" w:rsidRPr="009464DC">
        <w:rPr>
          <w:rFonts w:ascii="Calibri" w:hAnsi="Calibri" w:cs="Calibri"/>
          <w:lang w:val="en-US"/>
        </w:rPr>
        <w:fldChar w:fldCharType="separate"/>
      </w:r>
      <w:r w:rsidR="00AB75F0" w:rsidRPr="009464DC">
        <w:rPr>
          <w:rFonts w:ascii="Calibri" w:hAnsi="Calibri" w:cs="Calibri"/>
          <w:vertAlign w:val="superscript"/>
          <w:lang w:val="en-US"/>
        </w:rPr>
        <w:t>26</w:t>
      </w:r>
      <w:r w:rsidR="000C0227" w:rsidRPr="009464DC">
        <w:rPr>
          <w:rFonts w:ascii="Calibri" w:hAnsi="Calibri" w:cs="Calibri"/>
          <w:lang w:val="en-US"/>
        </w:rPr>
        <w:fldChar w:fldCharType="end"/>
      </w:r>
      <w:r w:rsidR="00C573DD">
        <w:rPr>
          <w:rFonts w:ascii="Calibri" w:hAnsi="Calibri" w:cs="Calibri"/>
          <w:lang w:val="en-US"/>
        </w:rPr>
        <w:t>.</w:t>
      </w:r>
    </w:p>
    <w:p w14:paraId="411B2819" w14:textId="77777777" w:rsidR="005E1C99" w:rsidRPr="009464DC" w:rsidRDefault="005E1C99" w:rsidP="004920E5">
      <w:pPr>
        <w:pStyle w:val="NormalWeb"/>
        <w:spacing w:before="0" w:beforeAutospacing="0" w:after="0" w:afterAutospacing="0"/>
        <w:jc w:val="both"/>
        <w:rPr>
          <w:rFonts w:ascii="Calibri" w:hAnsi="Calibri" w:cs="Calibri"/>
          <w:b/>
          <w:bCs/>
          <w:lang w:val="en-US"/>
        </w:rPr>
      </w:pPr>
    </w:p>
    <w:p w14:paraId="7A6E6AFF" w14:textId="126A2E02" w:rsidR="003B1294" w:rsidRPr="009464DC" w:rsidRDefault="003B1294" w:rsidP="004920E5">
      <w:pPr>
        <w:rPr>
          <w:b/>
          <w:bCs/>
          <w:shd w:val="clear" w:color="auto" w:fill="FFFF00"/>
        </w:rPr>
      </w:pPr>
      <w:r w:rsidRPr="009464DC">
        <w:rPr>
          <w:b/>
          <w:bCs/>
        </w:rPr>
        <w:t xml:space="preserve">Figure </w:t>
      </w:r>
      <w:r w:rsidR="00524493" w:rsidRPr="009464DC">
        <w:rPr>
          <w:b/>
          <w:bCs/>
        </w:rPr>
        <w:t>4</w:t>
      </w:r>
      <w:r w:rsidR="00C573DD">
        <w:rPr>
          <w:b/>
          <w:bCs/>
        </w:rPr>
        <w:t>:</w:t>
      </w:r>
      <w:r w:rsidRPr="009464DC">
        <w:rPr>
          <w:b/>
          <w:bCs/>
        </w:rPr>
        <w:t xml:space="preserve"> Double transfection of α4</w:t>
      </w:r>
      <w:r w:rsidR="00FA7D05" w:rsidRPr="009464DC">
        <w:rPr>
          <w:b/>
          <w:bCs/>
        </w:rPr>
        <w:t>-SEP</w:t>
      </w:r>
      <w:r w:rsidRPr="009464DC">
        <w:rPr>
          <w:b/>
          <w:bCs/>
        </w:rPr>
        <w:t xml:space="preserve"> and β2</w:t>
      </w:r>
      <w:r w:rsidR="00FA7D05" w:rsidRPr="009464DC">
        <w:rPr>
          <w:b/>
          <w:bCs/>
        </w:rPr>
        <w:t>-pHuji</w:t>
      </w:r>
      <w:r w:rsidRPr="009464DC">
        <w:rPr>
          <w:b/>
          <w:bCs/>
        </w:rPr>
        <w:t xml:space="preserve"> subunit DNAs results in robust plasma membrane expression. </w:t>
      </w:r>
      <w:r w:rsidRPr="009464DC">
        <w:t xml:space="preserve">Cells were </w:t>
      </w:r>
      <w:proofErr w:type="spellStart"/>
      <w:r w:rsidRPr="009464DC">
        <w:t>subcultured</w:t>
      </w:r>
      <w:proofErr w:type="spellEnd"/>
      <w:r w:rsidRPr="009464DC">
        <w:t xml:space="preserve"> onto </w:t>
      </w:r>
      <w:r w:rsidR="00D34C40">
        <w:t>poly-D-lysine-coated</w:t>
      </w:r>
      <w:r w:rsidRPr="009464DC">
        <w:t xml:space="preserve"> plates and transiently transfected </w:t>
      </w:r>
      <w:r w:rsidR="00141DAD" w:rsidRPr="009464DC">
        <w:t xml:space="preserve">with α4-SEP and β2-pHuji as described in </w:t>
      </w:r>
      <w:r w:rsidR="00D34C40">
        <w:t>step</w:t>
      </w:r>
      <w:r w:rsidR="00141DAD" w:rsidRPr="009464DC">
        <w:t xml:space="preserve"> 1 and imaged following </w:t>
      </w:r>
      <w:r w:rsidR="00D34C40">
        <w:t>step</w:t>
      </w:r>
      <w:r w:rsidR="00141DAD" w:rsidRPr="009464DC">
        <w:t xml:space="preserve"> 3 procedures.</w:t>
      </w:r>
      <w:r w:rsidR="004920E5" w:rsidRPr="009464DC">
        <w:t xml:space="preserve"> </w:t>
      </w:r>
      <w:r w:rsidRPr="009464DC">
        <w:t xml:space="preserve">Images </w:t>
      </w:r>
      <w:r w:rsidR="004F1B27" w:rsidRPr="009464DC">
        <w:t>were acquired at</w:t>
      </w:r>
      <w:r w:rsidRPr="009464DC">
        <w:t xml:space="preserve"> 60</w:t>
      </w:r>
      <w:r w:rsidR="00D34C40">
        <w:t>x</w:t>
      </w:r>
      <w:r w:rsidRPr="009464DC">
        <w:t xml:space="preserve"> magnification </w:t>
      </w:r>
      <w:r w:rsidR="004F1B27" w:rsidRPr="009464DC">
        <w:t>using</w:t>
      </w:r>
      <w:r w:rsidRPr="009464DC">
        <w:t xml:space="preserve"> a </w:t>
      </w:r>
      <w:r w:rsidR="00D34C40">
        <w:t>l</w:t>
      </w:r>
      <w:r w:rsidRPr="009464DC">
        <w:t xml:space="preserve">aser scanning confocal microscope at excitation/emission wavelengths of 499/520 and 568/603 for α4-SEP and β2-pHuji, respectively. </w:t>
      </w:r>
      <w:r w:rsidR="00211282" w:rsidRPr="009464DC">
        <w:rPr>
          <w:b/>
        </w:rPr>
        <w:t>(</w:t>
      </w:r>
      <w:r w:rsidR="00211282" w:rsidRPr="009464DC">
        <w:rPr>
          <w:b/>
          <w:bCs/>
        </w:rPr>
        <w:t>A - E</w:t>
      </w:r>
      <w:r w:rsidR="00211282" w:rsidRPr="009464DC">
        <w:rPr>
          <w:b/>
        </w:rPr>
        <w:t>)</w:t>
      </w:r>
      <w:r w:rsidR="00211282" w:rsidRPr="009464DC">
        <w:t xml:space="preserve"> </w:t>
      </w:r>
      <w:r w:rsidRPr="009464DC">
        <w:t>Cells were imaged with an initial pH 7.4</w:t>
      </w:r>
      <w:r w:rsidR="004F1B27" w:rsidRPr="009464DC">
        <w:t xml:space="preserve"> imaging buffer</w:t>
      </w:r>
      <w:r w:rsidR="00211282" w:rsidRPr="009464DC">
        <w:t>.</w:t>
      </w:r>
      <w:r w:rsidR="004920E5" w:rsidRPr="009464DC">
        <w:t xml:space="preserve"> </w:t>
      </w:r>
      <w:r w:rsidR="00211282" w:rsidRPr="009464DC">
        <w:rPr>
          <w:b/>
        </w:rPr>
        <w:t xml:space="preserve">(F – J) </w:t>
      </w:r>
      <w:r w:rsidR="00211282" w:rsidRPr="009464DC">
        <w:t xml:space="preserve">Following, the buffer was exchanged to the </w:t>
      </w:r>
      <w:r w:rsidR="00492DCD" w:rsidRPr="009464DC">
        <w:t>5.</w:t>
      </w:r>
      <w:r w:rsidR="00211282" w:rsidRPr="009464DC">
        <w:t xml:space="preserve">5 quenching imaging buffer. </w:t>
      </w:r>
      <w:r w:rsidR="00211282" w:rsidRPr="009464DC">
        <w:rPr>
          <w:b/>
        </w:rPr>
        <w:t>(I</w:t>
      </w:r>
      <w:r w:rsidR="00492DCD" w:rsidRPr="009464DC">
        <w:rPr>
          <w:b/>
          <w:bCs/>
        </w:rPr>
        <w:t>)</w:t>
      </w:r>
      <w:r w:rsidR="00492DCD" w:rsidRPr="009464DC">
        <w:t xml:space="preserve"> Expression of internal and external α4-SEP and B2-pHuji subunits was quantified</w:t>
      </w:r>
      <w:r w:rsidR="00211282" w:rsidRPr="009464DC">
        <w:t>,</w:t>
      </w:r>
      <w:r w:rsidR="00492DCD" w:rsidRPr="009464DC">
        <w:rPr>
          <w:b/>
          <w:bCs/>
        </w:rPr>
        <w:t xml:space="preserve"> </w:t>
      </w:r>
      <w:r w:rsidR="00492DCD" w:rsidRPr="009464DC">
        <w:t>and</w:t>
      </w:r>
      <w:r w:rsidR="00211282" w:rsidRPr="009464DC">
        <w:t xml:space="preserve"> both α4-SEP and β2-pHuji subunits</w:t>
      </w:r>
      <w:r w:rsidR="00492DCD" w:rsidRPr="009464DC">
        <w:t xml:space="preserve"> </w:t>
      </w:r>
      <w:r w:rsidR="004F1B27" w:rsidRPr="009464DC">
        <w:t>exhibited</w:t>
      </w:r>
      <w:r w:rsidR="00492DCD" w:rsidRPr="009464DC">
        <w:t xml:space="preserve"> significantly more external than internal subunits </w:t>
      </w:r>
      <w:r w:rsidR="00492DCD" w:rsidRPr="009464DC">
        <w:rPr>
          <w:bCs/>
        </w:rPr>
        <w:t>(</w:t>
      </w:r>
      <w:r w:rsidR="00492DCD" w:rsidRPr="009464DC">
        <w:t>α4-SEP</w:t>
      </w:r>
      <w:r w:rsidR="00211282" w:rsidRPr="009464DC">
        <w:t>:</w:t>
      </w:r>
      <w:r w:rsidR="00492DCD" w:rsidRPr="009464DC">
        <w:t xml:space="preserve"> external</w:t>
      </w:r>
      <w:r w:rsidR="00A9517F" w:rsidRPr="009464DC">
        <w:t xml:space="preserve"> </w:t>
      </w:r>
      <w:r w:rsidR="00492DCD" w:rsidRPr="009464DC">
        <w:t>=</w:t>
      </w:r>
      <w:r w:rsidR="00A9517F" w:rsidRPr="009464DC">
        <w:t xml:space="preserve"> </w:t>
      </w:r>
      <w:r w:rsidR="00643C62" w:rsidRPr="009464DC">
        <w:t>76.5</w:t>
      </w:r>
      <w:r w:rsidR="00F74FC6">
        <w:t>%</w:t>
      </w:r>
      <w:r w:rsidR="00643C62" w:rsidRPr="009464DC">
        <w:t xml:space="preserve"> ±</w:t>
      </w:r>
      <w:r w:rsidR="00211282" w:rsidRPr="009464DC">
        <w:t xml:space="preserve"> </w:t>
      </w:r>
      <w:r w:rsidR="00643C62" w:rsidRPr="009464DC">
        <w:t>2.4%</w:t>
      </w:r>
      <w:r w:rsidR="00492DCD" w:rsidRPr="009464DC">
        <w:rPr>
          <w:shd w:val="clear" w:color="auto" w:fill="FFFFFF"/>
        </w:rPr>
        <w:t>, internal</w:t>
      </w:r>
      <w:r w:rsidR="00A9517F" w:rsidRPr="009464DC">
        <w:rPr>
          <w:shd w:val="clear" w:color="auto" w:fill="FFFFFF"/>
        </w:rPr>
        <w:t xml:space="preserve"> </w:t>
      </w:r>
      <w:r w:rsidR="00492DCD" w:rsidRPr="009464DC">
        <w:rPr>
          <w:shd w:val="clear" w:color="auto" w:fill="FFFFFF"/>
        </w:rPr>
        <w:t xml:space="preserve">= </w:t>
      </w:r>
      <w:r w:rsidR="00643C62" w:rsidRPr="009464DC">
        <w:t>23.8</w:t>
      </w:r>
      <w:r w:rsidR="00F74FC6">
        <w:t>%</w:t>
      </w:r>
      <w:r w:rsidR="00643C62" w:rsidRPr="009464DC">
        <w:t xml:space="preserve"> ± 2.4%</w:t>
      </w:r>
      <w:r w:rsidR="00A9517F" w:rsidRPr="009464DC">
        <w:rPr>
          <w:shd w:val="clear" w:color="auto" w:fill="FFFFFF"/>
        </w:rPr>
        <w:t>,</w:t>
      </w:r>
      <w:r w:rsidR="00492DCD" w:rsidRPr="009464DC">
        <w:rPr>
          <w:shd w:val="clear" w:color="auto" w:fill="FFFFFF"/>
        </w:rPr>
        <w:t xml:space="preserve"> </w:t>
      </w:r>
      <w:r w:rsidR="00492DCD" w:rsidRPr="009464DC">
        <w:t>β2-pHuji external</w:t>
      </w:r>
      <w:r w:rsidR="00A9517F" w:rsidRPr="009464DC">
        <w:t xml:space="preserve"> </w:t>
      </w:r>
      <w:r w:rsidR="00492DCD" w:rsidRPr="009464DC">
        <w:t>=</w:t>
      </w:r>
      <w:r w:rsidR="00A9517F" w:rsidRPr="009464DC">
        <w:t xml:space="preserve"> </w:t>
      </w:r>
      <w:r w:rsidR="00643C62" w:rsidRPr="009464DC">
        <w:t>56.5</w:t>
      </w:r>
      <w:r w:rsidR="00F74FC6">
        <w:t>%</w:t>
      </w:r>
      <w:r w:rsidR="00643C62" w:rsidRPr="009464DC">
        <w:t xml:space="preserve"> ± 1.7</w:t>
      </w:r>
      <w:r w:rsidR="00A9517F" w:rsidRPr="009464DC">
        <w:rPr>
          <w:shd w:val="clear" w:color="auto" w:fill="FFFFFF"/>
        </w:rPr>
        <w:t>%</w:t>
      </w:r>
      <w:r w:rsidR="00492DCD" w:rsidRPr="009464DC">
        <w:rPr>
          <w:shd w:val="clear" w:color="auto" w:fill="FFFFFF"/>
        </w:rPr>
        <w:t>, internal</w:t>
      </w:r>
      <w:r w:rsidR="00A9517F" w:rsidRPr="009464DC">
        <w:rPr>
          <w:shd w:val="clear" w:color="auto" w:fill="FFFFFF"/>
        </w:rPr>
        <w:t xml:space="preserve"> </w:t>
      </w:r>
      <w:r w:rsidR="00492DCD" w:rsidRPr="009464DC">
        <w:rPr>
          <w:shd w:val="clear" w:color="auto" w:fill="FFFFFF"/>
        </w:rPr>
        <w:t>=</w:t>
      </w:r>
      <w:r w:rsidR="00A9517F" w:rsidRPr="009464DC">
        <w:rPr>
          <w:shd w:val="clear" w:color="auto" w:fill="FFFFFF"/>
        </w:rPr>
        <w:t xml:space="preserve"> </w:t>
      </w:r>
      <w:r w:rsidR="00643C62" w:rsidRPr="009464DC">
        <w:t>43.5</w:t>
      </w:r>
      <w:r w:rsidR="00F74FC6">
        <w:t>%</w:t>
      </w:r>
      <w:r w:rsidR="00643C62" w:rsidRPr="009464DC">
        <w:t xml:space="preserve"> ± 1.7</w:t>
      </w:r>
      <w:r w:rsidR="00F74FC6">
        <w:t>%</w:t>
      </w:r>
      <w:r w:rsidR="00D86F82" w:rsidRPr="009464DC">
        <w:t>,</w:t>
      </w:r>
      <w:r w:rsidR="00643C62" w:rsidRPr="009464DC">
        <w:t xml:space="preserve"> </w:t>
      </w:r>
      <w:r w:rsidR="00492DCD" w:rsidRPr="009464DC">
        <w:rPr>
          <w:bCs/>
        </w:rPr>
        <w:t>N</w:t>
      </w:r>
      <w:r w:rsidR="00A9517F" w:rsidRPr="009464DC">
        <w:rPr>
          <w:bCs/>
        </w:rPr>
        <w:t xml:space="preserve"> </w:t>
      </w:r>
      <w:r w:rsidR="00492DCD" w:rsidRPr="009464DC">
        <w:rPr>
          <w:bCs/>
        </w:rPr>
        <w:t>=</w:t>
      </w:r>
      <w:r w:rsidR="00A9517F" w:rsidRPr="009464DC">
        <w:rPr>
          <w:bCs/>
        </w:rPr>
        <w:t xml:space="preserve"> </w:t>
      </w:r>
      <w:r w:rsidR="00492DCD" w:rsidRPr="009464DC">
        <w:rPr>
          <w:bCs/>
        </w:rPr>
        <w:t>3, n</w:t>
      </w:r>
      <w:r w:rsidR="00A9517F" w:rsidRPr="009464DC">
        <w:rPr>
          <w:bCs/>
        </w:rPr>
        <w:t xml:space="preserve"> </w:t>
      </w:r>
      <w:r w:rsidR="00492DCD" w:rsidRPr="009464DC">
        <w:rPr>
          <w:bCs/>
        </w:rPr>
        <w:t>=</w:t>
      </w:r>
      <w:r w:rsidR="00A9517F" w:rsidRPr="009464DC">
        <w:rPr>
          <w:bCs/>
        </w:rPr>
        <w:t xml:space="preserve"> </w:t>
      </w:r>
      <w:r w:rsidR="00492DCD" w:rsidRPr="009464DC">
        <w:rPr>
          <w:bCs/>
        </w:rPr>
        <w:t>51</w:t>
      </w:r>
      <w:r w:rsidR="009542C9" w:rsidRPr="009464DC">
        <w:rPr>
          <w:bCs/>
        </w:rPr>
        <w:t xml:space="preserve"> </w:t>
      </w:r>
      <w:r w:rsidR="00A9517F" w:rsidRPr="009464DC">
        <w:rPr>
          <w:bCs/>
        </w:rPr>
        <w:t>cells</w:t>
      </w:r>
      <w:r w:rsidR="00492DCD" w:rsidRPr="009464DC">
        <w:rPr>
          <w:bCs/>
        </w:rPr>
        <w:t>.</w:t>
      </w:r>
      <w:r w:rsidR="00492DCD" w:rsidRPr="009464DC">
        <w:rPr>
          <w:shd w:val="clear" w:color="auto" w:fill="FFFFFF"/>
        </w:rPr>
        <w:t> </w:t>
      </w:r>
      <w:r w:rsidR="00492DCD" w:rsidRPr="009464DC">
        <w:rPr>
          <w:bCs/>
        </w:rPr>
        <w:t>One-way ANOVA,</w:t>
      </w:r>
      <w:r w:rsidR="00A9517F" w:rsidRPr="009464DC">
        <w:rPr>
          <w:bCs/>
        </w:rPr>
        <w:t xml:space="preserve"> Tukey’s post-hoc analysis</w:t>
      </w:r>
      <w:r w:rsidR="00492DCD" w:rsidRPr="009464DC">
        <w:rPr>
          <w:bCs/>
        </w:rPr>
        <w:t xml:space="preserve"> ****</w:t>
      </w:r>
      <w:r w:rsidR="00F74FC6">
        <w:rPr>
          <w:bCs/>
        </w:rPr>
        <w:t>p</w:t>
      </w:r>
      <w:r w:rsidR="00A9517F" w:rsidRPr="009464DC">
        <w:rPr>
          <w:bCs/>
        </w:rPr>
        <w:t xml:space="preserve"> </w:t>
      </w:r>
      <w:r w:rsidR="00492DCD" w:rsidRPr="009464DC">
        <w:rPr>
          <w:bCs/>
        </w:rPr>
        <w:t>&lt;</w:t>
      </w:r>
      <w:r w:rsidR="00A9517F" w:rsidRPr="009464DC">
        <w:rPr>
          <w:bCs/>
        </w:rPr>
        <w:t xml:space="preserve"> </w:t>
      </w:r>
      <w:r w:rsidR="00492DCD" w:rsidRPr="009464DC">
        <w:rPr>
          <w:bCs/>
        </w:rPr>
        <w:t>0.0001 and ***</w:t>
      </w:r>
      <w:r w:rsidR="00A9517F" w:rsidRPr="009464DC">
        <w:rPr>
          <w:bCs/>
        </w:rPr>
        <w:t xml:space="preserve"> </w:t>
      </w:r>
      <w:r w:rsidR="00F74FC6">
        <w:rPr>
          <w:bCs/>
        </w:rPr>
        <w:t>p</w:t>
      </w:r>
      <w:r w:rsidR="00A9517F" w:rsidRPr="009464DC">
        <w:rPr>
          <w:bCs/>
        </w:rPr>
        <w:t xml:space="preserve"> </w:t>
      </w:r>
      <w:r w:rsidR="00211282" w:rsidRPr="009464DC">
        <w:rPr>
          <w:bCs/>
        </w:rPr>
        <w:t>=</w:t>
      </w:r>
      <w:r w:rsidR="00A9517F" w:rsidRPr="009464DC">
        <w:rPr>
          <w:bCs/>
        </w:rPr>
        <w:t xml:space="preserve"> </w:t>
      </w:r>
      <w:r w:rsidR="00492DCD" w:rsidRPr="009464DC">
        <w:rPr>
          <w:bCs/>
        </w:rPr>
        <w:t>0.00</w:t>
      </w:r>
      <w:r w:rsidR="00211282" w:rsidRPr="009464DC">
        <w:rPr>
          <w:bCs/>
        </w:rPr>
        <w:t>03</w:t>
      </w:r>
      <w:r w:rsidR="004F1B27" w:rsidRPr="009464DC">
        <w:rPr>
          <w:bCs/>
        </w:rPr>
        <w:t xml:space="preserve">). </w:t>
      </w:r>
    </w:p>
    <w:p w14:paraId="5BDB07FA" w14:textId="77777777" w:rsidR="00492DCD" w:rsidRPr="009464DC" w:rsidRDefault="00492DCD" w:rsidP="004920E5"/>
    <w:p w14:paraId="6290C03B" w14:textId="64C59322" w:rsidR="00D86F82" w:rsidRPr="009464DC" w:rsidRDefault="003B1294" w:rsidP="004920E5">
      <w:pPr>
        <w:rPr>
          <w:b/>
          <w:bCs/>
          <w:shd w:val="clear" w:color="auto" w:fill="FFFF00"/>
        </w:rPr>
      </w:pPr>
      <w:r w:rsidRPr="009464DC">
        <w:rPr>
          <w:b/>
          <w:bCs/>
        </w:rPr>
        <w:t xml:space="preserve">Figure </w:t>
      </w:r>
      <w:r w:rsidR="00524493" w:rsidRPr="009464DC">
        <w:rPr>
          <w:b/>
          <w:bCs/>
        </w:rPr>
        <w:t>5</w:t>
      </w:r>
      <w:r w:rsidR="00F74FC6">
        <w:rPr>
          <w:b/>
          <w:bCs/>
        </w:rPr>
        <w:t>:</w:t>
      </w:r>
      <w:r w:rsidRPr="009464DC">
        <w:rPr>
          <w:b/>
          <w:bCs/>
        </w:rPr>
        <w:t xml:space="preserve"> </w:t>
      </w:r>
      <w:r w:rsidR="00846981" w:rsidRPr="009464DC">
        <w:rPr>
          <w:b/>
          <w:bCs/>
        </w:rPr>
        <w:t xml:space="preserve">α4β2 nAChRs express well on the plasma membrane when </w:t>
      </w:r>
      <w:r w:rsidR="00F92CC3" w:rsidRPr="009464DC">
        <w:rPr>
          <w:b/>
          <w:bCs/>
        </w:rPr>
        <w:t>co</w:t>
      </w:r>
      <w:r w:rsidR="004F2197" w:rsidRPr="009464DC">
        <w:rPr>
          <w:b/>
          <w:bCs/>
        </w:rPr>
        <w:t>-</w:t>
      </w:r>
      <w:r w:rsidR="00846981" w:rsidRPr="009464DC">
        <w:rPr>
          <w:b/>
          <w:bCs/>
        </w:rPr>
        <w:t>transfected with a chaperone mimic</w:t>
      </w:r>
      <w:r w:rsidR="004F2197" w:rsidRPr="009464DC">
        <w:rPr>
          <w:b/>
          <w:bCs/>
        </w:rPr>
        <w:t>,</w:t>
      </w:r>
      <w:r w:rsidR="00846981" w:rsidRPr="009464DC">
        <w:rPr>
          <w:b/>
          <w:bCs/>
        </w:rPr>
        <w:t xml:space="preserve"> </w:t>
      </w:r>
      <w:r w:rsidRPr="009464DC">
        <w:rPr>
          <w:b/>
          <w:bCs/>
        </w:rPr>
        <w:t>mTAGBFP2</w:t>
      </w:r>
      <w:r w:rsidR="004F2197" w:rsidRPr="009464DC">
        <w:rPr>
          <w:b/>
          <w:bCs/>
        </w:rPr>
        <w:t>,</w:t>
      </w:r>
      <w:r w:rsidR="00846981" w:rsidRPr="009464DC">
        <w:rPr>
          <w:b/>
          <w:bCs/>
        </w:rPr>
        <w:t xml:space="preserve"> DNA</w:t>
      </w:r>
      <w:r w:rsidRPr="009464DC">
        <w:rPr>
          <w:b/>
          <w:bCs/>
        </w:rPr>
        <w:t xml:space="preserve">. </w:t>
      </w:r>
      <w:r w:rsidRPr="009464DC">
        <w:t xml:space="preserve">Cells were </w:t>
      </w:r>
      <w:proofErr w:type="spellStart"/>
      <w:r w:rsidRPr="009464DC">
        <w:t>subcultured</w:t>
      </w:r>
      <w:proofErr w:type="spellEnd"/>
      <w:r w:rsidRPr="009464DC">
        <w:t xml:space="preserve"> using the same protocol as </w:t>
      </w:r>
      <w:r w:rsidRPr="00F74FC6">
        <w:rPr>
          <w:b/>
          <w:bCs/>
        </w:rPr>
        <w:t xml:space="preserve">Figure </w:t>
      </w:r>
      <w:r w:rsidR="00F74FC6" w:rsidRPr="00F74FC6">
        <w:rPr>
          <w:b/>
          <w:bCs/>
        </w:rPr>
        <w:t>4</w:t>
      </w:r>
      <w:r w:rsidR="00F74FC6" w:rsidRPr="009464DC">
        <w:t xml:space="preserve"> and</w:t>
      </w:r>
      <w:r w:rsidR="00A9517F" w:rsidRPr="009464DC">
        <w:t xml:space="preserve"> transiently transfected using e</w:t>
      </w:r>
      <w:r w:rsidRPr="009464DC">
        <w:t>qual amounts of endotoxin</w:t>
      </w:r>
      <w:r w:rsidR="00C050D1" w:rsidRPr="009464DC">
        <w:t>-</w:t>
      </w:r>
      <w:r w:rsidRPr="009464DC">
        <w:t>free α4-SEP, β2-pHuji, and mTAGBFP2 DNA</w:t>
      </w:r>
      <w:r w:rsidR="00C050D1" w:rsidRPr="009464DC">
        <w:t>s</w:t>
      </w:r>
      <w:r w:rsidRPr="009464DC">
        <w:t xml:space="preserve"> 24h prior to imaging. Images were captured at 60</w:t>
      </w:r>
      <w:r w:rsidR="00F74FC6">
        <w:t>x</w:t>
      </w:r>
      <w:r w:rsidRPr="009464DC">
        <w:t xml:space="preserve"> magnification with a</w:t>
      </w:r>
      <w:r w:rsidR="00F74FC6">
        <w:t xml:space="preserve"> l</w:t>
      </w:r>
      <w:r w:rsidRPr="009464DC">
        <w:t xml:space="preserve">aser scanning confocal microscope at excitation/emission wavelengths of 499/520, 568/603, and 359/461, for α4-SEP, β2-pHuji, and mTAGBFP2, respectively. </w:t>
      </w:r>
      <w:r w:rsidR="00C050D1" w:rsidRPr="009464DC">
        <w:t>C</w:t>
      </w:r>
      <w:r w:rsidRPr="009464DC">
        <w:t>ells were imaged in photoimaging buffer at</w:t>
      </w:r>
      <w:r w:rsidR="009542C9" w:rsidRPr="009464DC">
        <w:t xml:space="preserve"> </w:t>
      </w:r>
      <w:r w:rsidR="009542C9" w:rsidRPr="009464DC">
        <w:rPr>
          <w:b/>
        </w:rPr>
        <w:t>(</w:t>
      </w:r>
      <w:r w:rsidR="009542C9" w:rsidRPr="009464DC">
        <w:rPr>
          <w:b/>
          <w:bCs/>
        </w:rPr>
        <w:t>A-E</w:t>
      </w:r>
      <w:r w:rsidR="009542C9" w:rsidRPr="009464DC">
        <w:rPr>
          <w:b/>
        </w:rPr>
        <w:t>)</w:t>
      </w:r>
      <w:r w:rsidRPr="009464DC">
        <w:t xml:space="preserve"> </w:t>
      </w:r>
      <w:r w:rsidR="00F74FC6">
        <w:t xml:space="preserve">pH </w:t>
      </w:r>
      <w:r w:rsidRPr="009464DC">
        <w:t>7.4</w:t>
      </w:r>
      <w:r w:rsidR="004920E5" w:rsidRPr="009464DC">
        <w:t xml:space="preserve"> </w:t>
      </w:r>
      <w:r w:rsidRPr="009464DC">
        <w:t xml:space="preserve">and </w:t>
      </w:r>
      <w:r w:rsidR="009542C9" w:rsidRPr="009464DC">
        <w:rPr>
          <w:b/>
        </w:rPr>
        <w:t>(</w:t>
      </w:r>
      <w:r w:rsidR="009542C9" w:rsidRPr="009464DC">
        <w:rPr>
          <w:b/>
          <w:bCs/>
        </w:rPr>
        <w:t>F-J</w:t>
      </w:r>
      <w:r w:rsidR="009542C9" w:rsidRPr="009464DC">
        <w:rPr>
          <w:b/>
        </w:rPr>
        <w:t xml:space="preserve">) </w:t>
      </w:r>
      <w:r w:rsidR="00F74FC6" w:rsidRPr="00F74FC6">
        <w:rPr>
          <w:bCs/>
        </w:rPr>
        <w:t>pH</w:t>
      </w:r>
      <w:r w:rsidR="00F74FC6">
        <w:rPr>
          <w:b/>
        </w:rPr>
        <w:t xml:space="preserve"> </w:t>
      </w:r>
      <w:r w:rsidRPr="009464DC">
        <w:t>5.</w:t>
      </w:r>
      <w:r w:rsidR="009542C9" w:rsidRPr="009464DC">
        <w:t>5</w:t>
      </w:r>
      <w:r w:rsidRPr="009464DC">
        <w:t xml:space="preserve">. </w:t>
      </w:r>
      <w:r w:rsidR="009542C9" w:rsidRPr="009464DC">
        <w:rPr>
          <w:b/>
          <w:bCs/>
        </w:rPr>
        <w:t xml:space="preserve">(I) </w:t>
      </w:r>
      <w:r w:rsidRPr="009464DC">
        <w:t xml:space="preserve">Expression </w:t>
      </w:r>
      <w:r w:rsidR="00F74FC6">
        <w:t xml:space="preserve">of </w:t>
      </w:r>
      <w:r w:rsidRPr="009464DC">
        <w:t>α4-SEP and β2-pHuji subunits w</w:t>
      </w:r>
      <w:r w:rsidR="00C050D1" w:rsidRPr="009464DC">
        <w:t>ere</w:t>
      </w:r>
      <w:r w:rsidRPr="009464DC">
        <w:t xml:space="preserve"> quantified</w:t>
      </w:r>
      <w:r w:rsidRPr="009464DC">
        <w:rPr>
          <w:b/>
          <w:bCs/>
        </w:rPr>
        <w:t xml:space="preserve"> </w:t>
      </w:r>
      <w:r w:rsidRPr="009464DC">
        <w:t xml:space="preserve">and </w:t>
      </w:r>
      <w:r w:rsidR="009542C9" w:rsidRPr="009464DC">
        <w:t xml:space="preserve">were </w:t>
      </w:r>
      <w:r w:rsidRPr="009464DC">
        <w:t xml:space="preserve">found to have significantly more </w:t>
      </w:r>
      <w:r w:rsidR="009542C9" w:rsidRPr="009464DC">
        <w:t xml:space="preserve">subunits expressed on the plasma membrane than those that remained intracellularly </w:t>
      </w:r>
      <w:r w:rsidR="00D86F82" w:rsidRPr="009464DC">
        <w:rPr>
          <w:bCs/>
        </w:rPr>
        <w:t>(</w:t>
      </w:r>
      <w:r w:rsidR="00D86F82" w:rsidRPr="009464DC">
        <w:t>α4-SEP</w:t>
      </w:r>
      <w:r w:rsidR="009542C9" w:rsidRPr="009464DC">
        <w:t>:</w:t>
      </w:r>
      <w:r w:rsidR="00D86F82" w:rsidRPr="009464DC">
        <w:t xml:space="preserve"> external = 82.8</w:t>
      </w:r>
      <w:r w:rsidR="00F74FC6">
        <w:t>%</w:t>
      </w:r>
      <w:r w:rsidR="00D86F82" w:rsidRPr="009464DC">
        <w:t xml:space="preserve"> ± 3.7%</w:t>
      </w:r>
      <w:r w:rsidR="00D86F82" w:rsidRPr="009464DC">
        <w:rPr>
          <w:shd w:val="clear" w:color="auto" w:fill="FFFFFF"/>
        </w:rPr>
        <w:t xml:space="preserve">, internal = </w:t>
      </w:r>
      <w:r w:rsidR="00D86F82" w:rsidRPr="009464DC">
        <w:t>17.2</w:t>
      </w:r>
      <w:r w:rsidR="00F74FC6">
        <w:t>%</w:t>
      </w:r>
      <w:r w:rsidR="00D86F82" w:rsidRPr="009464DC">
        <w:t xml:space="preserve"> ± 3.7%</w:t>
      </w:r>
      <w:r w:rsidR="00D86F82" w:rsidRPr="009464DC">
        <w:rPr>
          <w:shd w:val="clear" w:color="auto" w:fill="FFFFFF"/>
        </w:rPr>
        <w:t xml:space="preserve">, </w:t>
      </w:r>
      <w:r w:rsidR="00D86F82" w:rsidRPr="009464DC">
        <w:t>β2-pHuji</w:t>
      </w:r>
      <w:r w:rsidR="009542C9" w:rsidRPr="009464DC">
        <w:t>:</w:t>
      </w:r>
      <w:r w:rsidR="00D86F82" w:rsidRPr="009464DC">
        <w:t xml:space="preserve"> external = 63.4</w:t>
      </w:r>
      <w:r w:rsidR="00F74FC6">
        <w:t>%</w:t>
      </w:r>
      <w:r w:rsidR="00D86F82" w:rsidRPr="009464DC">
        <w:t xml:space="preserve"> ± 11.7</w:t>
      </w:r>
      <w:r w:rsidR="00D86F82" w:rsidRPr="009464DC">
        <w:rPr>
          <w:shd w:val="clear" w:color="auto" w:fill="FFFFFF"/>
        </w:rPr>
        <w:t xml:space="preserve">%, internal = </w:t>
      </w:r>
      <w:r w:rsidR="00D86F82" w:rsidRPr="009464DC">
        <w:t>36.6</w:t>
      </w:r>
      <w:r w:rsidR="00F74FC6">
        <w:t>%</w:t>
      </w:r>
      <w:r w:rsidR="00D86F82" w:rsidRPr="009464DC">
        <w:t xml:space="preserve"> ± 11.7</w:t>
      </w:r>
      <w:r w:rsidR="009542C9" w:rsidRPr="009464DC">
        <w:t>%</w:t>
      </w:r>
      <w:r w:rsidR="00D86F82" w:rsidRPr="009464DC">
        <w:t xml:space="preserve">, </w:t>
      </w:r>
      <w:r w:rsidR="00D86F82" w:rsidRPr="009464DC">
        <w:rPr>
          <w:bCs/>
        </w:rPr>
        <w:t>N = 3, n = 71 cells.</w:t>
      </w:r>
      <w:r w:rsidR="00D86F82" w:rsidRPr="009464DC">
        <w:rPr>
          <w:shd w:val="clear" w:color="auto" w:fill="FFFFFF"/>
        </w:rPr>
        <w:t> </w:t>
      </w:r>
      <w:r w:rsidR="00D86F82" w:rsidRPr="009464DC">
        <w:rPr>
          <w:bCs/>
        </w:rPr>
        <w:t>One-way ANOVA, Tukey’s post-hoc analysis ****</w:t>
      </w:r>
      <w:r w:rsidR="00F74FC6">
        <w:rPr>
          <w:bCs/>
        </w:rPr>
        <w:t>p</w:t>
      </w:r>
      <w:r w:rsidR="00D86F82" w:rsidRPr="009464DC">
        <w:rPr>
          <w:bCs/>
        </w:rPr>
        <w:t xml:space="preserve"> &lt; 0.0001 and *</w:t>
      </w:r>
      <w:r w:rsidR="00F74FC6">
        <w:rPr>
          <w:bCs/>
        </w:rPr>
        <w:t>p</w:t>
      </w:r>
      <w:r w:rsidR="00D86F82" w:rsidRPr="009464DC">
        <w:rPr>
          <w:bCs/>
        </w:rPr>
        <w:t xml:space="preserve"> </w:t>
      </w:r>
      <w:r w:rsidR="00211282" w:rsidRPr="009464DC">
        <w:rPr>
          <w:bCs/>
        </w:rPr>
        <w:t>=</w:t>
      </w:r>
      <w:r w:rsidR="00D86F82" w:rsidRPr="009464DC">
        <w:rPr>
          <w:bCs/>
        </w:rPr>
        <w:t xml:space="preserve"> 0.0</w:t>
      </w:r>
      <w:r w:rsidR="00211282" w:rsidRPr="009464DC">
        <w:rPr>
          <w:bCs/>
        </w:rPr>
        <w:t>219</w:t>
      </w:r>
      <w:r w:rsidR="00D86F82" w:rsidRPr="009464DC">
        <w:rPr>
          <w:bCs/>
        </w:rPr>
        <w:t xml:space="preserve">). </w:t>
      </w:r>
    </w:p>
    <w:p w14:paraId="0C6CBDB7" w14:textId="0C16DFEF" w:rsidR="00C050D1" w:rsidRPr="009464DC" w:rsidRDefault="00C050D1" w:rsidP="004920E5">
      <w:pPr>
        <w:rPr>
          <w:b/>
        </w:rPr>
      </w:pPr>
    </w:p>
    <w:p w14:paraId="6B788EC8" w14:textId="0C74598A" w:rsidR="00F20534" w:rsidRPr="00C573DD" w:rsidRDefault="00F20534" w:rsidP="004920E5">
      <w:r w:rsidRPr="00C573DD">
        <w:rPr>
          <w:b/>
        </w:rPr>
        <w:t>Table 1</w:t>
      </w:r>
      <w:r w:rsidR="00C573DD" w:rsidRPr="00C573DD">
        <w:rPr>
          <w:b/>
        </w:rPr>
        <w:t>:</w:t>
      </w:r>
      <w:r w:rsidRPr="00C573DD">
        <w:rPr>
          <w:b/>
        </w:rPr>
        <w:t xml:space="preserve"> Imaging </w:t>
      </w:r>
      <w:r w:rsidR="00C573DD">
        <w:rPr>
          <w:b/>
        </w:rPr>
        <w:t>b</w:t>
      </w:r>
      <w:r w:rsidRPr="00C573DD">
        <w:rPr>
          <w:b/>
        </w:rPr>
        <w:t>uffer</w:t>
      </w:r>
      <w:r w:rsidR="00EA2E81" w:rsidRPr="00C573DD">
        <w:rPr>
          <w:b/>
        </w:rPr>
        <w:t xml:space="preserve"> </w:t>
      </w:r>
      <w:r w:rsidR="00C573DD">
        <w:rPr>
          <w:b/>
        </w:rPr>
        <w:t>r</w:t>
      </w:r>
      <w:r w:rsidR="00EA2E81" w:rsidRPr="00C573DD">
        <w:rPr>
          <w:b/>
        </w:rPr>
        <w:t>ecipe</w:t>
      </w:r>
      <w:r w:rsidR="00C573DD" w:rsidRPr="00C573DD">
        <w:rPr>
          <w:b/>
        </w:rPr>
        <w:t xml:space="preserve">. </w:t>
      </w:r>
      <w:r w:rsidRPr="00C573DD">
        <w:t>The following reagents were added together</w:t>
      </w:r>
      <w:r w:rsidR="00F74FC6">
        <w:t xml:space="preserve">, and the </w:t>
      </w:r>
      <w:r w:rsidRPr="00C573DD">
        <w:t xml:space="preserve">solution </w:t>
      </w:r>
      <w:r w:rsidR="00E35164" w:rsidRPr="00C573DD">
        <w:t xml:space="preserve">was </w:t>
      </w:r>
      <w:r w:rsidRPr="00C573DD">
        <w:t>adjusted to pH 7.4.</w:t>
      </w:r>
    </w:p>
    <w:p w14:paraId="2DB8AF73" w14:textId="77777777" w:rsidR="00F20534" w:rsidRPr="00C573DD" w:rsidRDefault="00F20534" w:rsidP="004920E5"/>
    <w:p w14:paraId="2793217F" w14:textId="1B3D8DF1" w:rsidR="00F20534" w:rsidRPr="00C573DD" w:rsidRDefault="00F20534" w:rsidP="004920E5">
      <w:r w:rsidRPr="00C573DD">
        <w:rPr>
          <w:b/>
        </w:rPr>
        <w:t>Table 2</w:t>
      </w:r>
      <w:r w:rsidR="00C573DD" w:rsidRPr="00C573DD">
        <w:rPr>
          <w:b/>
        </w:rPr>
        <w:t>:</w:t>
      </w:r>
      <w:r w:rsidRPr="00C573DD">
        <w:rPr>
          <w:b/>
        </w:rPr>
        <w:t xml:space="preserve"> Quenching </w:t>
      </w:r>
      <w:r w:rsidR="00C573DD">
        <w:rPr>
          <w:b/>
        </w:rPr>
        <w:t>b</w:t>
      </w:r>
      <w:r w:rsidRPr="00C573DD">
        <w:rPr>
          <w:b/>
        </w:rPr>
        <w:t>uffer</w:t>
      </w:r>
      <w:r w:rsidR="00EA2E81" w:rsidRPr="00C573DD">
        <w:rPr>
          <w:b/>
        </w:rPr>
        <w:t xml:space="preserve"> </w:t>
      </w:r>
      <w:r w:rsidR="00C573DD">
        <w:rPr>
          <w:b/>
        </w:rPr>
        <w:t>r</w:t>
      </w:r>
      <w:r w:rsidR="00EA2E81" w:rsidRPr="00C573DD">
        <w:rPr>
          <w:b/>
        </w:rPr>
        <w:t>ecipe</w:t>
      </w:r>
      <w:r w:rsidR="00C573DD" w:rsidRPr="00C573DD">
        <w:rPr>
          <w:b/>
        </w:rPr>
        <w:t xml:space="preserve">. </w:t>
      </w:r>
      <w:r w:rsidRPr="00C573DD">
        <w:t xml:space="preserve">The following reagents were mixed together, and the </w:t>
      </w:r>
      <w:r w:rsidR="00F74FC6">
        <w:t xml:space="preserve">resulting solution was adjusted to a pH of </w:t>
      </w:r>
      <w:r w:rsidRPr="00C573DD">
        <w:t>5.5.</w:t>
      </w:r>
      <w:r w:rsidR="004920E5" w:rsidRPr="00C573DD">
        <w:t xml:space="preserve"> </w:t>
      </w:r>
    </w:p>
    <w:p w14:paraId="514B517E" w14:textId="77777777" w:rsidR="00F20534" w:rsidRPr="009464DC" w:rsidRDefault="00F20534" w:rsidP="004920E5">
      <w:pPr>
        <w:rPr>
          <w:b/>
        </w:rPr>
      </w:pPr>
    </w:p>
    <w:p w14:paraId="7C0B6465" w14:textId="0C873B3E" w:rsidR="006E4797" w:rsidRPr="009464DC" w:rsidRDefault="00551D82" w:rsidP="004920E5">
      <w:pPr>
        <w:rPr>
          <w:b/>
        </w:rPr>
      </w:pPr>
      <w:r w:rsidRPr="009464DC">
        <w:rPr>
          <w:b/>
        </w:rPr>
        <w:t>DISCUSSION</w:t>
      </w:r>
      <w:r w:rsidR="00A9517F" w:rsidRPr="009464DC">
        <w:rPr>
          <w:b/>
        </w:rPr>
        <w:t>:</w:t>
      </w:r>
    </w:p>
    <w:p w14:paraId="2EDA1643" w14:textId="451382F7" w:rsidR="00D218F6" w:rsidRPr="009464DC" w:rsidRDefault="00AA0D96" w:rsidP="00C573DD">
      <w:r w:rsidRPr="009464DC">
        <w:lastRenderedPageBreak/>
        <w:t xml:space="preserve">The methodologies presented for expressing and quantifying nAChR subunits in mammalian N2a cells address long-standing challenges in </w:t>
      </w:r>
      <w:r w:rsidR="004E68CB" w:rsidRPr="009464DC">
        <w:t>achieving</w:t>
      </w:r>
      <w:r w:rsidR="00866B09" w:rsidRPr="009464DC">
        <w:t xml:space="preserve"> rapid </w:t>
      </w:r>
      <w:r w:rsidR="00DC0742" w:rsidRPr="009464DC">
        <w:t xml:space="preserve">(~24 </w:t>
      </w:r>
      <w:r w:rsidR="00820E11" w:rsidRPr="009464DC">
        <w:t>h</w:t>
      </w:r>
      <w:r w:rsidR="00DC0742" w:rsidRPr="009464DC">
        <w:t xml:space="preserve">) </w:t>
      </w:r>
      <w:r w:rsidR="00866B09" w:rsidRPr="009464DC">
        <w:t xml:space="preserve">and abundant </w:t>
      </w:r>
      <w:r w:rsidR="004E68CB" w:rsidRPr="009464DC">
        <w:t xml:space="preserve">nAChR </w:t>
      </w:r>
      <w:r w:rsidR="00DC0742" w:rsidRPr="009464DC">
        <w:t>(&gt;</w:t>
      </w:r>
      <w:r w:rsidR="009542C9" w:rsidRPr="009464DC">
        <w:t xml:space="preserve"> </w:t>
      </w:r>
      <w:r w:rsidR="00DC0742" w:rsidRPr="009464DC">
        <w:t xml:space="preserve">60%) plasma membrane </w:t>
      </w:r>
      <w:r w:rsidR="004E68CB" w:rsidRPr="009464DC">
        <w:t xml:space="preserve">expression for drug discovery, </w:t>
      </w:r>
      <w:r w:rsidRPr="009464DC">
        <w:t>localization</w:t>
      </w:r>
      <w:r w:rsidR="004E68CB" w:rsidRPr="009464DC">
        <w:t>,</w:t>
      </w:r>
      <w:r w:rsidRPr="009464DC">
        <w:t xml:space="preserve"> and trafficking studies. </w:t>
      </w:r>
      <w:r w:rsidR="00D218F6" w:rsidRPr="009464DC">
        <w:t>A key strength of this</w:t>
      </w:r>
      <w:r w:rsidR="00DC0742" w:rsidRPr="009464DC">
        <w:t xml:space="preserve"> set of</w:t>
      </w:r>
      <w:r w:rsidR="00D218F6" w:rsidRPr="009464DC">
        <w:t xml:space="preserve"> protocol</w:t>
      </w:r>
      <w:r w:rsidR="00DC0742" w:rsidRPr="009464DC">
        <w:t>s is</w:t>
      </w:r>
      <w:r w:rsidR="00D218F6" w:rsidRPr="009464DC">
        <w:t xml:space="preserve"> its adaptability for both homomeric (α7) and heteromeric (α4β2) nAChRs, and</w:t>
      </w:r>
      <w:r w:rsidR="00DA54A6" w:rsidRPr="009464DC">
        <w:t xml:space="preserve"> </w:t>
      </w:r>
      <w:r w:rsidR="00E94871">
        <w:t xml:space="preserve">it </w:t>
      </w:r>
      <w:r w:rsidR="00DA54A6" w:rsidRPr="009464DC">
        <w:t>is</w:t>
      </w:r>
      <w:r w:rsidR="00D218F6" w:rsidRPr="009464DC">
        <w:t xml:space="preserve"> likely</w:t>
      </w:r>
      <w:r w:rsidR="00DA54A6" w:rsidRPr="009464DC">
        <w:t xml:space="preserve"> applicable to</w:t>
      </w:r>
      <w:r w:rsidR="00D218F6" w:rsidRPr="009464DC">
        <w:t xml:space="preserve"> other nAChR subtypes, along with the co-expression of chaperone proteins. </w:t>
      </w:r>
      <w:r w:rsidRPr="009464DC">
        <w:t xml:space="preserve">By leveraging pH-sensitive tags such as SEP and </w:t>
      </w:r>
      <w:proofErr w:type="spellStart"/>
      <w:r w:rsidRPr="009464DC">
        <w:t>pHuji</w:t>
      </w:r>
      <w:proofErr w:type="spellEnd"/>
      <w:r w:rsidRPr="009464DC">
        <w:t xml:space="preserve">, the approach enables </w:t>
      </w:r>
      <w:r w:rsidR="00D218F6" w:rsidRPr="009464DC">
        <w:t>live-cell</w:t>
      </w:r>
      <w:r w:rsidRPr="009464DC">
        <w:t xml:space="preserve"> discrimination </w:t>
      </w:r>
      <w:r w:rsidR="00D218F6" w:rsidRPr="009464DC">
        <w:t xml:space="preserve">and quantification </w:t>
      </w:r>
      <w:r w:rsidRPr="009464DC">
        <w:t xml:space="preserve">between plasma membrane and intracellular populations of nAChRs. </w:t>
      </w:r>
      <w:r w:rsidR="00D218F6" w:rsidRPr="009464DC">
        <w:t xml:space="preserve">This distinction is crucial given that nAChR subtypes are trafficked by a variety of chaperone and </w:t>
      </w:r>
      <w:r w:rsidR="008608E0" w:rsidRPr="009464DC">
        <w:t>auxiliary</w:t>
      </w:r>
      <w:r w:rsidR="00D218F6" w:rsidRPr="009464DC">
        <w:t xml:space="preserve"> proteins</w:t>
      </w:r>
      <w:r w:rsidR="008608E0" w:rsidRPr="009464DC">
        <w:t>,</w:t>
      </w:r>
      <w:r w:rsidR="00D218F6" w:rsidRPr="009464DC">
        <w:t xml:space="preserve"> including 14-3-3, NACHO, RIC-3</w:t>
      </w:r>
      <w:r w:rsidR="00CA7CF8" w:rsidRPr="009464DC">
        <w:t>,</w:t>
      </w:r>
      <w:r w:rsidR="00D218F6" w:rsidRPr="009464DC">
        <w:t xml:space="preserve"> and lynx-1 proteins, and by ligands, like nicotine</w:t>
      </w:r>
      <w:r w:rsidR="008608E0" w:rsidRPr="009464DC">
        <w:fldChar w:fldCharType="begin"/>
      </w:r>
      <w:r w:rsidR="004F010D" w:rsidRPr="009464DC">
        <w:instrText xml:space="preserve"> ADDIN ZOTERO_ITEM CSL_CITATION {"citationID":"T9np57QM","properties":{"formattedCitation":"\\super 17, 18, 35\\uc0\\u8211{}39\\nosupersub{}","plainCitation":"17, 18, 35–39","noteIndex":0},"citationItems":[{"id":80,"uris":["http://zotero.org/users/local/YuTw2027/items/PITFRAP3"],"itemData":{"id":80,"type":"article-journal","abstract":"AbstractSmall molecule polyamines are abundant in all life forms and participate in diverse aspects of cell growth and differentiation. Spermidine/spermine acetyltransferase (SAT1) is the rate-limiting enzyme in polyamine catabolism and a primary genetic risk factor for suicidality. Here, using genome-wide screening, we find that SAT1 selectively controls nicotinic acetylcholine receptor (nAChR) biogenesis. SAT1 specifically augments assembly of nAChRs containing α7 or α4β2, but not α6 subunits. Polyamines are classically studied as regulators of ion channel gating that engage the nAChR channel pore. In contrast, we find polyamine effects on assembly involve the nAChR cytosolic loop. Neurological studies link brain polyamines with neurodegenerative conditions. Our pharmacological and transgenic animal studies find that reducing polyamines enhances cortical neuron nAChR expression and augments nicotine-mediated neuroprotection. Taken together, we describe a most unexpected role for polyamines in regulating ion channel assembly, which provides a new avenue for nAChR neuropharmacology.","container-title":"Nature Communications","DOI":"10.1038/s41467-020-16629-3","ISSN":"2041-1723","issue":"1","journalAbbreviation":"Nat Commun","language":"en","license":"https://creativecommons.org/licenses/by/4.0","note":"publisher: Springer Science and Business Media LLC","source":"Crossref","title":"Polyamine regulation of ion channel assembly and implications for nicotinic acetylcholine receptor pharmacology","URL":"https://www.nature.com/articles/s41467-020-16629-3","volume":"11","author":[{"family":"Dhara","given":"Madhurima"},{"family":"Matta","given":"Jose A."},{"family":"Lei","given":"Min"},{"family":"Knowland","given":"Daniel"},{"family":"Yu","given":"Hong"},{"family":"Gu","given":"Shenyan"},{"family":"Bredt","given":"David S."}],"accessed":{"date-parts":[["2025",7,25]]},"issued":{"date-parts":[["2020",6,3]]}}},{"id":83,"uris":["http://zotero.org/users/local/YuTw2027/items/XCLK75XJ"],"itemData":{"id":83,"type":"article-journal","container-title":"Acta Pharmacologica Sinica","DOI":"10.1038/aps.2009.54","ISSN":"1671-4083, 1745-7254","issue":"6","journalAbbreviation":"Acta Pharmacol Sin","language":"en","license":"http://www.springer.com/tdm","note":"publisher: Springer Science and Business Media LLC","page":"818-827","source":"Crossref","title":"Ric-3 chaperone-mediated stable cell-surface expression of the neuronal α7 nicotinic acetylcholine receptor in mammalian cells","URL":"https://www.nature.com/articles/aps200954","volume":"30","author":[{"family":"Vallés","given":"Ana Sofía"},{"family":"Roccamo","given":"Ana M"},{"family":"Barrantes","given":"Francisco J"}],"accessed":{"date-parts":[["2025",7,25]]},"issued":{"date-parts":[["2009",6]]}}},{"id":108,"uris":["http://zotero.org/users/local/YuTw2027/items/FK7ENU4R"],"itemData":{"id":108,"type":"article-journal","container-title":"Cell Reports","DOI":"10.1016/j.celrep.2017.04.008","ISSN":"2211-1247","issue":"4","language":"en","license":"https://www.elsevier.com/tdm/userlicense/1.0/","note":"publisher: Elsevier BV","page":"688-696","source":"Crossref","title":"NACHO Mediates Nicotinic Acetylcholine Receptor Function throughout the Brain","URL":"https://linkinghub.elsevier.com/retrieve/pii/S2211124717304837","volume":"19","author":[{"family":"Matta","given":"Jose A."},{"family":"Gu","given":"Shenyan"},{"family":"Davini","given":"Weston B."},{"family":"Lord","given":"Brian"},{"family":"Siuda","given":"Edward R."},{"family":"Harrington","given":"Anthony W."},{"family":"Bredt","given":"David S."}],"accessed":{"date-parts":[["2025",7,25]]},"issued":{"date-parts":[["2017",4]]}}},{"id":101,"uris":["http://zotero.org/users/local/YuTw2027/items/J3ASMBPN"],"itemData":{"id":101,"type":"article-journal","abstract":"The subunit composition and pharmacological regulation of rat neuronal nicotinic cholinergic receptors were assessed. Specific immunoprecipitation was determined in solubilized rat brain homogenates using [3H]cytisine, a high affinity agonist at nicotinic receptors, in conjunction with polyclonal antisera generated against nonhomologous domains of the various subunits comprising this receptor class. In all brain regions tested, only antisera generated against the alpha 4 and beta 2 subunits were able to immunoprecipitate specifically receptors labeled by [3H]cytisine. Thus, these sera were further characterized in order to validate and optimize their use in the immunoprecipitation protocol. Preincubation of solubilized receptors from rat forebrain with antisera generated against the alpha 2, alpha 3, alpha 5, beta 3, or beta 4 subunits did not decrease the amount of precipitable alpha 4 or beta 2 subunit. On the other hand, when either anti-alpha 4 or anti-beta 2 serum was used to immunoprecipitate solubilized receptors from rat forebrain, the supernatants contained little if any remaining receptors that could be specifically precipitated by either antibody. Because these antisera do not cross-react, the data indicate that alpha 4 and beta 2 subunits are associated with each other in at least one neuronal nicotinic receptor subtype that has high affinity for agonists. Moreover, these results imply that all alpha 4 subunits that are labeled by [3H]cystisine are coupled to beta 2 subunits. We also present evidence that the alpha 4/beta 2 subtype characterized in this report is significantly increased in the cortex of rats chronically treated with nicotine.","container-title":"Molecular Pharmacology","ISSN":"0026-895X","issue":"1","journalAbbreviation":"Mol Pharmacol","language":"eng","note":"PMID: 1732720","page":"31-37","source":"PubMed","title":"A subtype of nicotinic cholinergic receptor in rat brain is composed of alpha 4 and beta 2 subunits and is up-regulated by chronic nicotine treatment","volume":"41","author":[{"family":"Flores","given":"C. M."},{"family":"Rogers","given":"S. W."},{"family":"Pabreza","given":"L. A."},{"family":"Wolfe","given":"B. B."},{"family":"Kellar","given":"K. J."}],"issued":{"date-parts":[["1992",1]]}}},{"id":103,"uris":["http://zotero.org/users/local/YuTw2027/items/WTNAPH9J"],"itemData":{"id":103,"type":"article-journal","container-title":"Cellular and Molecular Life Sciences","DOI":"10.1007/s00018-020-03592-x","ISSN":"1420-682X, 1420-9071","issue":"4","journalAbbreviation":"Cell. Mol. Life Sci.","language":"en","license":"https://www.springer.com/tdm","note":"publisher: Springer Science and Business Media LLC","page":"1565-1575","source":"Crossref","title":"NACHO and 14-3-3 promote expression of distinct subunit stoichiometries of the α4β2 acetylcholine receptor","URL":"https://link.springer.com/10.1007/s00018-020-03592-x","volume":"78","author":[{"family":"Mazzaferro","given":"Simone"},{"family":"Whiteman","given":"Sara T."},{"family":"Alcaino","given":"Constanza"},{"family":"Beyder","given":"Arthur"},{"family":"Sine","given":"Steven M."}],"accessed":{"date-parts":[["2025",7,25]]},"issued":{"date-parts":[["2021",2]]}}},{"id":104,"uris":["http://zotero.org/users/local/YuTw2027/items/CRRZ9HPA"],"itemData":{"id":104,"type":"article-journal","container-title":"Journal of Biological Chemistry","DOI":"10.1074/jbc.m114.573667","ISSN":"0021-9258","issue":"45","language":"en","license":"https://www.elsevier.com/tdm/userlicense/1.0/","note":"publisher: Elsevier BV","page":"31423-31432","source":"Crossref","title":"Lynx1 Shifts α4β2 Nicotinic Receptor Subunit Stoichiometry by Affecting Assembly in the Endoplasmic Reticulum","URL":"https://linkinghub.elsevier.com/retrieve/pii/S0021925820333688","volume":"289","author":[{"family":"Nichols","given":"Weston A."},{"family":"Henderson","given":"Brandon J."},{"family":"Yu","given":"Caroline"},{"family":"Parker","given":"Rell L."},{"family":"Richards","given":"Christopher I."},{"family":"Lester","given":"Henry A."},{"family":"Miwa","given":"Julie M."}],"accessed":{"date-parts":[["2025",7,25]]},"issued":{"date-parts":[["2014",11]]}}},{"id":19,"uris":["http://zotero.org/users/local/YuTw2027/items/JRFS57R4"],"itemData":{"id":19,"type":"article-journal","container-title":"Neuropharmacology","DOI":"10.1016/j.neuropharm.2016.04.048","ISSN":"00283908","journalAbbreviation":"Neuropharmacology","language":"en","page":"324-331","source":"DOI.org (Crossref)","title":"In vivo chronic nicotine exposure differentially and reversibly affects upregulation and stoichiometry of α4β2 nicotinic receptors in cortex and thalamus","URL":"https://linkinghub.elsevier.com/retrieve/pii/S0028390816301976","volume":"108","author":[{"family":"Fasoli","given":"F."},{"family":"Moretti","given":"M."},{"family":"Zoli","given":"M."},{"family":"Pistillo","given":"F."},{"family":"Crespi","given":"A."},{"family":"Clementi","given":"F."},{"family":"Mc Clure-Begley","given":"T."},{"family":"Marks","given":"M.J."},{"family":"Gotti","given":"C."}],"accessed":{"date-parts":[["2024",5,13]]},"issued":{"date-parts":[["2016",9]]}}}],"schema":"https://github.com/citation-style-language/schema/raw/master/csl-citation.json"} </w:instrText>
      </w:r>
      <w:r w:rsidR="008608E0" w:rsidRPr="009464DC">
        <w:fldChar w:fldCharType="separate"/>
      </w:r>
      <w:r w:rsidR="004F010D" w:rsidRPr="009464DC">
        <w:rPr>
          <w:vertAlign w:val="superscript"/>
        </w:rPr>
        <w:t>17,18,35–39</w:t>
      </w:r>
      <w:r w:rsidR="008608E0" w:rsidRPr="009464DC">
        <w:fldChar w:fldCharType="end"/>
      </w:r>
      <w:r w:rsidR="008608E0" w:rsidRPr="009464DC">
        <w:t>.</w:t>
      </w:r>
      <w:r w:rsidR="00D218F6" w:rsidRPr="009464DC">
        <w:t xml:space="preserve"> The use of pH-sensitive fluorescent reporters allows for </w:t>
      </w:r>
      <w:r w:rsidR="00314A0A" w:rsidRPr="009464DC">
        <w:t xml:space="preserve">the </w:t>
      </w:r>
      <w:r w:rsidR="00D218F6" w:rsidRPr="009464DC">
        <w:t xml:space="preserve">identification of receptor location without the need for chemical fixation, </w:t>
      </w:r>
      <w:r w:rsidR="00314A0A" w:rsidRPr="009464DC">
        <w:t>in live cells under different imaging conditions</w:t>
      </w:r>
      <w:r w:rsidR="00D218F6" w:rsidRPr="009464DC">
        <w:t xml:space="preserve">. </w:t>
      </w:r>
      <w:r w:rsidR="008E23FF" w:rsidRPr="009464DC">
        <w:t>C</w:t>
      </w:r>
      <w:r w:rsidR="00D218F6" w:rsidRPr="009464DC">
        <w:t>TCF analysis adds quantitative rigor, enabling reliable comparison of surface and internal receptor expression under various experimental conditions</w:t>
      </w:r>
      <w:r w:rsidR="00A9517F" w:rsidRPr="009464DC">
        <w:fldChar w:fldCharType="begin"/>
      </w:r>
      <w:r w:rsidR="007E6D20" w:rsidRPr="009464DC">
        <w:instrText xml:space="preserve"> ADDIN ZOTERO_ITEM CSL_CITATION {"citationID":"vzy7sIjv","properties":{"formattedCitation":"\\super 32\\nosupersub{}","plainCitation":"32","noteIndex":0},"citationItems":[{"id":142,"uris":["http://zotero.org/users/local/YuTw2027/items/FK3RVS4V"],"itemData":{"id":142,"type":"post","title":"Measuring cell fluorescence using ImageJ","URL":"http://theolb.readthedocs.io/en/latest/imaging/measuring-cell-fluorescence-using-imagej.html#measuring-cell-fluorescence-using-imagej","author":[{"family":"Fitzpatrick","given":"M"}]}}],"schema":"https://github.com/citation-style-language/schema/raw/master/csl-citation.json"} </w:instrText>
      </w:r>
      <w:r w:rsidR="00A9517F" w:rsidRPr="009464DC">
        <w:fldChar w:fldCharType="separate"/>
      </w:r>
      <w:r w:rsidR="007E6D20" w:rsidRPr="009464DC">
        <w:rPr>
          <w:vertAlign w:val="superscript"/>
        </w:rPr>
        <w:t>32</w:t>
      </w:r>
      <w:r w:rsidR="00A9517F" w:rsidRPr="009464DC">
        <w:fldChar w:fldCharType="end"/>
      </w:r>
      <w:r w:rsidR="00A9517F" w:rsidRPr="009464DC">
        <w:t>.</w:t>
      </w:r>
      <w:r w:rsidR="004920E5" w:rsidRPr="009464DC">
        <w:t xml:space="preserve"> </w:t>
      </w:r>
    </w:p>
    <w:p w14:paraId="0D513127" w14:textId="77777777" w:rsidR="00C573DD" w:rsidRDefault="00C573DD" w:rsidP="00C573DD"/>
    <w:p w14:paraId="556B4AAC" w14:textId="1338C58B" w:rsidR="00AA0D96" w:rsidRPr="009464DC" w:rsidRDefault="00AA0D96" w:rsidP="00C573DD">
      <w:r w:rsidRPr="009464DC">
        <w:t>The protocol's transfection strategy, which relies on</w:t>
      </w:r>
      <w:r w:rsidR="00457B51" w:rsidRPr="009464DC">
        <w:t xml:space="preserve"> a</w:t>
      </w:r>
      <w:r w:rsidRPr="009464DC">
        <w:t xml:space="preserve"> </w:t>
      </w:r>
      <w:r w:rsidR="00457B51" w:rsidRPr="009464DC">
        <w:t>DNA transfection</w:t>
      </w:r>
      <w:r w:rsidRPr="009464DC">
        <w:t xml:space="preserve"> </w:t>
      </w:r>
      <w:r w:rsidR="00457B51" w:rsidRPr="009464DC">
        <w:t xml:space="preserve">reagent </w:t>
      </w:r>
      <w:r w:rsidRPr="009464DC">
        <w:t xml:space="preserve">for lipid-based DNA delivery, provides high efficiency in N2a cells and can be easily adapted for additional </w:t>
      </w:r>
      <w:r w:rsidR="00D218F6" w:rsidRPr="009464DC">
        <w:t>subunits</w:t>
      </w:r>
      <w:r w:rsidRPr="009464DC">
        <w:t xml:space="preserve"> or accessory proteins. </w:t>
      </w:r>
      <w:r w:rsidR="00D218F6" w:rsidRPr="009464DC">
        <w:t xml:space="preserve">There is much to learn about how chaperone and auxiliary proteins traffic </w:t>
      </w:r>
      <w:r w:rsidR="00CA7CF8" w:rsidRPr="009464DC">
        <w:t xml:space="preserve">heteromeric nAChRs, including the </w:t>
      </w:r>
      <w:r w:rsidR="00D218F6" w:rsidRPr="009464DC">
        <w:t xml:space="preserve">α4β2 </w:t>
      </w:r>
      <w:r w:rsidR="00CA7CF8" w:rsidRPr="009464DC">
        <w:t>subtype,</w:t>
      </w:r>
      <w:r w:rsidR="00D218F6" w:rsidRPr="009464DC">
        <w:t xml:space="preserve"> to the plasma membrane. α4β2 nAChRs are the majority of expressed central nervous system (CNS) nAChRs</w:t>
      </w:r>
      <w:r w:rsidR="008608E0" w:rsidRPr="009464DC">
        <w:fldChar w:fldCharType="begin"/>
      </w:r>
      <w:r w:rsidR="004F010D" w:rsidRPr="009464DC">
        <w:instrText xml:space="preserve"> ADDIN ZOTERO_ITEM CSL_CITATION {"citationID":"fS7PxRRu","properties":{"formattedCitation":"\\super 40, 41\\nosupersub{}","plainCitation":"40, 41","noteIndex":0},"citationItems":[{"id":5,"uris":["http://zotero.org/users/local/YuTw2027/items/9PLH6QLE"],"itemData":{"id":5,"type":"article-journal","abstract":"Abstract\n            \n              Previous studies have revealed the existence of a gene family that encodes a group of neuronal nicotinic acetylcholine receptor (nAChR) subunits. Four members of this family have been characterized thus far; three of these subunits (alpha2, alpha3, and alpha4) are structurally related to the ligand binding subunit expressed in muscle and form functional nAChRs when combined with the beta2 gene product in\n              Xenopus\n              oocytes. In addition, the alpha4 gene appears to encode two different products (alpha4‐1 and alpha4‐2) that have been proposed to arise by alternative mRNA splicing. Nine different [\n              35\n              S]‐complementary ribonucleic acid (cRNA) probes were used in the present study to map the distribution of these nAChR subunit mRNAs throughout the central nervous system (CNS) of the rat.\n            \n            It was found that the beta2 gene is expressed in most regions of the CNS, as are the alpha subunit genes as a group. However, each alpha gene is expressed in a unique, although partly overlapping, set of neuronal structures. Alpha4 is the most widely expressed alpha gene, and the evidence suggests that mRNAs for the alpha4‐1 and alpha4‐2 products are virtually always found in the same regions, in approximately the same ratios (alpha4‐2 greater than alpha4‐1). In addition, there are several examples of cell groups that express beta2 but none of the alpha subunit mRNAs examined here (particularly in the hypothalamus), as well as all groups that express the converse, thus suggesting that additional neuronal nAChR subunits remain to be characterized. Finally, the extensive expression of multiple alpha subunits in certain regions, particularly for alpha3 and alpha4 in the thalamus, suggests that there is microheterogeneity in a small population of cells or that some neurons may express more than one alpha subunit. This problem needs to be examined directly with double labeling methods but raises the possibility that some neuronal nAChRs may be composed of more than one kind of alpha subunit. The wide expression of these receptor genes suggests that nAChRs constitute major excitatory systems in the CNS.","container-title":"Journal of Comparative Neurology","DOI":"10.1002/cne.902840212","ISSN":"0021-9967, 1096-9861","issue":"2","journalAbbreviation":"J of Comparative Neurology","language":"en","license":"http://onlinelibrary.wiley.com/termsAndConditions#vor","page":"314-335","source":"DOI.org (Crossref)","title":"Distribution of alpha2, alpha3, alpha4, and beta2 neuronal nicotinic receptor subunit mRNAs in the central nervous system: A hybridization histochemical study in the rat","title-short":"Distribution of alpha2, alpha3, alpha4, and beta2 neuronal nicotinic receptor subunit mRNAs in the central nervous system","URL":"https://onlinelibrary.wiley.com/doi/10.1002/cne.902840212","volume":"284","author":[{"family":"Wada","given":"Etsuko"},{"family":"Wada","given":"Keiji"},{"family":"Boulter","given":"Jim"},{"family":"Deneris","given":"Evan"},{"family":"Heinemann","given":"Steve"},{"family":"Patrick","given":"Jim"},{"family":"Swanson","given":"Larry W."}],"accessed":{"date-parts":[["2024",5,13]]},"issued":{"date-parts":[["1989",6,8]]}}},{"id":111,"uris":["http://zotero.org/users/local/YuTw2027/items/2GLY8V4T"],"itemData":{"id":111,"type":"article-journal","container-title":"The Journal of Neuroscience","DOI":"10.1523/jneurosci.18-12-04461.1998","ISSN":"0270-6474, 1529-2401","issue":"12","journalAbbreviation":"J. Neurosci.","language":"en","note":"publisher: Society for Neuroscience","page":"4461-4472","source":"Crossref","title":"Identification of Four Classes of Brain Nicotinic Receptors Using β2 Mutant Mice","URL":"https://www.jneurosci.org/lookup/doi/10.1523/JNEUROSCI.18-12-04461.1998","volume":"18","author":[{"family":"Zoli","given":"Michele"},{"family":"Léna","given":"Clément"},{"family":"Picciotto","given":"Marina R."},{"family":"Changeux","given":"Jean-Pierre"}],"accessed":{"date-parts":[["2025",7,25]]},"issued":{"date-parts":[["1998",6,15]]}}}],"schema":"https://github.com/citation-style-language/schema/raw/master/csl-citation.json"} </w:instrText>
      </w:r>
      <w:r w:rsidR="008608E0" w:rsidRPr="009464DC">
        <w:fldChar w:fldCharType="separate"/>
      </w:r>
      <w:r w:rsidR="004F010D" w:rsidRPr="009464DC">
        <w:rPr>
          <w:vertAlign w:val="superscript"/>
        </w:rPr>
        <w:t>40,41</w:t>
      </w:r>
      <w:r w:rsidR="008608E0" w:rsidRPr="009464DC">
        <w:fldChar w:fldCharType="end"/>
      </w:r>
      <w:r w:rsidR="008608E0" w:rsidRPr="009464DC">
        <w:t>,</w:t>
      </w:r>
      <w:r w:rsidR="00D218F6" w:rsidRPr="009464DC">
        <w:t xml:space="preserve"> and occur in two distinct stoichiometric isoforms, (α4β2)</w:t>
      </w:r>
      <w:r w:rsidR="00D218F6" w:rsidRPr="009464DC">
        <w:rPr>
          <w:vertAlign w:val="subscript"/>
        </w:rPr>
        <w:t>2</w:t>
      </w:r>
      <w:r w:rsidR="00D218F6" w:rsidRPr="009464DC">
        <w:t>β2 and (α4β2)</w:t>
      </w:r>
      <w:r w:rsidR="00D218F6" w:rsidRPr="009464DC">
        <w:rPr>
          <w:vertAlign w:val="subscript"/>
        </w:rPr>
        <w:t>2</w:t>
      </w:r>
      <w:r w:rsidR="00D218F6" w:rsidRPr="009464DC">
        <w:t>α4, with high and low sensitivity to agonist (HS and LS, respectively)</w:t>
      </w:r>
      <w:r w:rsidR="0056684E" w:rsidRPr="009464DC">
        <w:fldChar w:fldCharType="begin"/>
      </w:r>
      <w:r w:rsidR="004F010D" w:rsidRPr="009464DC">
        <w:instrText xml:space="preserve"> ADDIN ZOTERO_ITEM CSL_CITATION {"citationID":"zREah9dD","properties":{"formattedCitation":"\\super 42\\uc0\\u8211{}48\\nosupersub{}","plainCitation":"42–48","noteIndex":0},"citationItems":[{"id":8,"uris":["http://zotero.org/users/local/YuTw2027/items/HX6NPJ35"],"itemData":{"id":8,"type":"article-journal","container-title":"Journal of Molecular Neuroscience","DOI":"10.1385/JMN:30:1:11","ISSN":"0895-8696","issue":"1-2","journalAbbreviation":"JMN","language":"en","page":"11-12","source":"DOI.org (Crossref)","title":"High- and Low-Sensitivity Subforms of α4β2 and α3β2 nAChRs","URL":"http://link.springer.com/10.1385/JMN:30:1:11","volume":"30","author":[{"family":"Briggs","given":"Clark A."},{"family":"Gubbins","given":"Earl J."},{"family":"Putman","given":"C. Brent"},{"family":"Thimmapaya","given":"Rama"},{"family":"Meyer","given":"Michael D."},{"family":"Surowy","given":"Carol S."}],"accessed":{"date-parts":[["2024",5,13]]},"issued":{"date-parts":[["2006"]]}}},{"id":121,"uris":["http://zotero.org/users/local/YuTw2027/items/7DAWYEWL"],"itemData":{"id":121,"type":"article-journal","container-title":"PLOS ONE","DOI":"10.1371/journal.pone.0213143","ISSN":"1932-6203","issue":"3","journalAbbreviation":"PLoS ONE","language":"en","license":"http://creativecommons.org/licenses/by/4.0/","note":"publisher: Public Library of Science (PLoS)","page":"e0213143","source":"Crossref","title":"Distinctive single-channel properties of α4β2-nicotinic acetylcholine receptor isoforms","URL":"https://dx.plos.org/10.1371/journal.pone.0213143","volume":"14","author":[{"family":"Weltzin","given":"Maegan M."},{"family":"George","given":"Andrew A."},{"family":"Lukas","given":"Ronald J."},{"family":"Whiteaker","given":"Paul"}],"editor":[{"family":"Ulrich","given":"Henning"}],"accessed":{"date-parts":[["2025",7,25]]},"issued":{"date-parts":[["2019",3,7]]}}},{"id":9,"uris":["http://zotero.org/users/local/YuTw2027/items/LFQM496Q"],"itemData":{"id":9,"type":"article-journal","container-title":"Journal of Molecular Neuroscience","DOI":"10.1385/JMN:30:1:95","ISSN":"0895-8696","issue":"1-2","journalAbbreviation":"JMN","language":"en","page":"95-96","source":"DOI.org (Crossref)","title":"Stoichiometry and Pharmacology of Two Human α4β2 Nicotinic Receptor Types","URL":"http://link.springer.com/10.1385/JMN:30:1:95","volume":"30","author":[{"family":"Moroni","given":"Mirko"},{"family":"Bermudez","given":"Isabel"}],"accessed":{"date-parts":[["2024",5,13]]},"issued":{"date-parts":[["2006"]]}}},{"id":10,"uris":["http://zotero.org/users/local/YuTw2027/items/LYF9VK24"],"itemData":{"id":10,"type":"article-journal","container-title":"Molecular Pharmacology","DOI":"10.1124/mol.63.2.332","ISSN":"0026-895X, 1521-0111","issue":"2","journalAbbreviation":"Mol Pharmacol","language":"en","page":"332-341","source":"DOI.org (Crossref)","title":"Alternate Stoichiometries of α4β2 Nicotinic Acetylcholine Receptors","URL":"http://molpharm.aspetjournals.org/lookup/doi/10.1124/mol.63.2.332","volume":"63","author":[{"family":"Nelson","given":"Mark E."},{"family":"Kuryatov","given":"Alexander"},{"family":"Choi","given":"Catherine H."},{"family":"Zhou","given":"Yan"},{"family":"Lindstrom","given":"Jon"}],"accessed":{"date-parts":[["2024",5,13]]},"issued":{"date-parts":[["2003",2,1]]}}},{"id":116,"uris":["http://zotero.org/users/local/YuTw2027/items/VXLBH9EW"],"itemData":{"id":116,"type":"article-journal","container-title":"Molecular Pharmacology","DOI":"10.1124/mol.106.030445","ISSN":"0026-895X","issue":"3","language":"en","license":"https://www.elsevier.com/tdm/userlicense/1.0/","note":"publisher: Elsevier BV","page":"769-776","source":"Crossref","title":"Ca2+ Permeability of the (α4)3(β2)2 Stoichiometry Greatly Exceeds That of (α4)2(β2)3 Human Acetylcholine Receptors","URL":"https://linkinghub.elsevier.com/retrieve/pii/S0026895X24043669","volume":"71","author":[{"family":"Tapia","given":"L."},{"family":"Kuryatov","given":"A."},{"family":"Lindstrom","given":"J."}],"accessed":{"date-parts":[["2025",7,25]]},"issued":{"date-parts":[["2007",3]]}}},{"id":117,"uris":["http://zotero.org/users/local/YuTw2027/items/PMA6YGNC"],"itemData":{"id":117,"type":"article-journal","container-title":"The Journal of Pharmacology and Experimental Therapeutics","DOI":"10.1124/jpet.113.208389","ISSN":"0022-3565","issue":"1","language":"en","license":"https://www.elsevier.com/tdm/userlicense/1.0/","note":"publisher: Elsevier BV","page":"46-58","source":"Crossref","title":"The Unique α4(+)/(−)α4 Agonist Binding Site in (α4)3(β2)2 Subtype Nicotinic Acetylcholine Receptors Permits Differential Agonist Desensitization Pharmacology versus the (α4)2(β2)3 Subtype","URL":"https://linkinghub.elsevier.com/retrieve/pii/S0022356524272001","volume":"348","author":[{"family":"Eaton","given":"J. Brek"},{"family":"Lucero","given":"Linda M."},{"family":"Stratton","given":"Harrison"},{"family":"Chang","given":"Yongchang"},{"family":"Cooper","given":"John F."},{"family":"Lindstrom","given":"Jon M."},{"family":"Lukas","given":"Ronald J."},{"family":"Whiteaker","given":"Paul"}],"accessed":{"date-parts":[["2025",7,25]]},"issued":{"date-parts":[["2014",1]]}}},{"id":15,"uris":["http://zotero.org/users/local/YuTw2027/items/H5MHGUAS"],"itemData":{"id":15,"type":"article-journal","container-title":"Journal of Biological Chemistry","DOI":"10.1074/jbc.M111.262014","ISSN":"00219258","issue":"35","journalAbbreviation":"Journal of Biological Chemistry","language":"en","license":"https://www.elsevier.com/tdm/userlicense/1.0/","page":"31043-31054","source":"DOI.org (Crossref)","title":"Additional Acetylcholine (ACh) Binding Site at α4/α4 Interface of (α4β2)2α4 Nicotinic Receptor Influences Agonist Sensitivity","URL":"https://linkinghub.elsevier.com/retrieve/pii/S0021925820723859","volume":"286","author":[{"family":"Mazzaferro","given":"Simone"},{"family":"Benallegue","given":"Naïl"},{"family":"Carbone","given":"Anna"},{"family":"Gasparri","given":"Federica"},{"family":"Vijayan","given":"Ranjit"},{"family":"Biggin","given":"Philip C."},{"family":"Moroni","given":"Mirko"},{"family":"Bermudez","given":"Isabel"}],"accessed":{"date-parts":[["2024",5,13]]},"issued":{"date-parts":[["2011",9]]}}}],"schema":"https://github.com/citation-style-language/schema/raw/master/csl-citation.json"} </w:instrText>
      </w:r>
      <w:r w:rsidR="0056684E" w:rsidRPr="009464DC">
        <w:fldChar w:fldCharType="separate"/>
      </w:r>
      <w:r w:rsidR="004F010D" w:rsidRPr="009464DC">
        <w:rPr>
          <w:vertAlign w:val="superscript"/>
        </w:rPr>
        <w:t>42–48</w:t>
      </w:r>
      <w:r w:rsidR="0056684E" w:rsidRPr="009464DC">
        <w:fldChar w:fldCharType="end"/>
      </w:r>
      <w:r w:rsidR="00D218F6" w:rsidRPr="009464DC">
        <w:t>. Endogenous proteins, like 14-3-3 and lynx1, regulate isoform expression by altering receptor trafficking or reducing PM receptor turnover</w:t>
      </w:r>
      <w:r w:rsidR="0056684E" w:rsidRPr="009464DC">
        <w:fldChar w:fldCharType="begin"/>
      </w:r>
      <w:r w:rsidR="004F010D" w:rsidRPr="009464DC">
        <w:instrText xml:space="preserve"> ADDIN ZOTERO_ITEM CSL_CITATION {"citationID":"Yqu7lb0f","properties":{"formattedCitation":"\\super 37, 38\\nosupersub{}","plainCitation":"37, 38","noteIndex":0},"citationItems":[{"id":103,"uris":["http://zotero.org/users/local/YuTw2027/items/WTNAPH9J"],"itemData":{"id":103,"type":"article-journal","container-title":"Cellular and Molecular Life Sciences","DOI":"10.1007/s00018-020-03592-x","ISSN":"1420-682X, 1420-9071","issue":"4","journalAbbreviation":"Cell. Mol. Life Sci.","language":"en","license":"https://www.springer.com/tdm","note":"publisher: Springer Science and Business Media LLC","page":"1565-1575","source":"Crossref","title":"NACHO and 14-3-3 promote expression of distinct subunit stoichiometries of the α4β2 acetylcholine receptor","URL":"https://link.springer.com/10.1007/s00018-020-03592-x","volume":"78","author":[{"family":"Mazzaferro","given":"Simone"},{"family":"Whiteman","given":"Sara T."},{"family":"Alcaino","given":"Constanza"},{"family":"Beyder","given":"Arthur"},{"family":"Sine","given":"Steven M."}],"accessed":{"date-parts":[["2025",7,25]]},"issued":{"date-parts":[["2021",2]]}}},{"id":104,"uris":["http://zotero.org/users/local/YuTw2027/items/CRRZ9HPA"],"itemData":{"id":104,"type":"article-journal","container-title":"Journal of Biological Chemistry","DOI":"10.1074/jbc.m114.573667","ISSN":"0021-9258","issue":"45","language":"en","license":"https://www.elsevier.com/tdm/userlicense/1.0/","note":"publisher: Elsevier BV","page":"31423-31432","source":"Crossref","title":"Lynx1 Shifts α4β2 Nicotinic Receptor Subunit Stoichiometry by Affecting Assembly in the Endoplasmic Reticulum","URL":"https://linkinghub.elsevier.com/retrieve/pii/S0021925820333688","volume":"289","author":[{"family":"Nichols","given":"Weston A."},{"family":"Henderson","given":"Brandon J."},{"family":"Yu","given":"Caroline"},{"family":"Parker","given":"Rell L."},{"family":"Richards","given":"Christopher I."},{"family":"Lester","given":"Henry A."},{"family":"Miwa","given":"Julie M."}],"accessed":{"date-parts":[["2025",7,25]]},"issued":{"date-parts":[["2014",11]]}}}],"schema":"https://github.com/citation-style-language/schema/raw/master/csl-citation.json"} </w:instrText>
      </w:r>
      <w:r w:rsidR="0056684E" w:rsidRPr="009464DC">
        <w:fldChar w:fldCharType="separate"/>
      </w:r>
      <w:r w:rsidR="004F010D" w:rsidRPr="009464DC">
        <w:rPr>
          <w:vertAlign w:val="superscript"/>
        </w:rPr>
        <w:t>37,38</w:t>
      </w:r>
      <w:r w:rsidR="0056684E" w:rsidRPr="009464DC">
        <w:fldChar w:fldCharType="end"/>
      </w:r>
      <w:r w:rsidR="0056684E" w:rsidRPr="009464DC">
        <w:t>.</w:t>
      </w:r>
      <w:r w:rsidR="00D218F6" w:rsidRPr="009464DC">
        <w:t xml:space="preserve"> As additional chaperone and auxiliary proteins that target nAChRs are identified, it will be advantageous to express these proteins in mammalian </w:t>
      </w:r>
      <w:r w:rsidR="00A9517F" w:rsidRPr="009464DC">
        <w:t>cell</w:t>
      </w:r>
      <w:r w:rsidR="00D218F6" w:rsidRPr="009464DC">
        <w:t xml:space="preserve"> lines for the study of dynamic nAChR trafficking events. </w:t>
      </w:r>
      <w:r w:rsidR="006D5AB1" w:rsidRPr="009464DC">
        <w:t xml:space="preserve">These </w:t>
      </w:r>
      <w:r w:rsidR="00D218F6" w:rsidRPr="009464DC">
        <w:t xml:space="preserve">procedures are also applicable </w:t>
      </w:r>
      <w:r w:rsidR="00492DCD" w:rsidRPr="009464DC">
        <w:t>to</w:t>
      </w:r>
      <w:r w:rsidR="00D218F6" w:rsidRPr="009464DC">
        <w:t xml:space="preserve"> current or new </w:t>
      </w:r>
      <w:r w:rsidR="00314A0A" w:rsidRPr="009464DC">
        <w:t>existing</w:t>
      </w:r>
      <w:r w:rsidR="00D218F6" w:rsidRPr="009464DC">
        <w:t xml:space="preserve"> pharmacological agents</w:t>
      </w:r>
      <w:r w:rsidR="00CA7CF8" w:rsidRPr="009464DC">
        <w:t>,</w:t>
      </w:r>
      <w:r w:rsidR="00D218F6" w:rsidRPr="009464DC">
        <w:t xml:space="preserve"> </w:t>
      </w:r>
      <w:r w:rsidR="00492DCD" w:rsidRPr="009464DC">
        <w:t>as well as</w:t>
      </w:r>
      <w:r w:rsidRPr="009464DC">
        <w:t xml:space="preserve"> disease-relevant mutations on nAChR localization and turnover</w:t>
      </w:r>
      <w:r w:rsidR="00C0732A" w:rsidRPr="009464DC">
        <w:t>. By means of live-cell imaging, receptor locations can be tracked in real time, allowing for val</w:t>
      </w:r>
      <w:r w:rsidR="00FE665B" w:rsidRPr="009464DC">
        <w:t>uable insights into trafficking pathways.</w:t>
      </w:r>
    </w:p>
    <w:p w14:paraId="0E13B447" w14:textId="77777777" w:rsidR="00C573DD" w:rsidRDefault="00C573DD" w:rsidP="00C573DD"/>
    <w:p w14:paraId="2F63B295" w14:textId="74EAE03F" w:rsidR="00D218F6" w:rsidRPr="009464DC" w:rsidRDefault="00AA0D96" w:rsidP="00C573DD">
      <w:r w:rsidRPr="009464DC">
        <w:t>Potential limitations include the reliance on overexpression systems, which may not fully recapitulate endogenous receptor regulation or trafficking dynamics found in neurons</w:t>
      </w:r>
      <w:r w:rsidR="00A9517F" w:rsidRPr="009464DC">
        <w:t xml:space="preserve"> or other cells</w:t>
      </w:r>
      <w:r w:rsidRPr="009464DC">
        <w:t xml:space="preserve"> </w:t>
      </w:r>
      <w:r w:rsidRPr="009464DC">
        <w:rPr>
          <w:i/>
        </w:rPr>
        <w:t>in vivo</w:t>
      </w:r>
      <w:r w:rsidRPr="009464DC">
        <w:t>. The addition of C-terminal fluorescent tags, while highly informative, could potentially affect receptor folding, assembly, or interactions with cellular partners</w:t>
      </w:r>
      <w:r w:rsidR="00D218F6" w:rsidRPr="009464DC">
        <w:t>. However, adding these types of tags to nAChR subunits has previously been demonstrated</w:t>
      </w:r>
      <w:r w:rsidR="00771A2B" w:rsidRPr="009464DC">
        <w:t xml:space="preserve"> </w:t>
      </w:r>
      <w:r w:rsidR="00C64A22">
        <w:t xml:space="preserve">to show </w:t>
      </w:r>
      <w:r w:rsidR="00771A2B" w:rsidRPr="009464DC">
        <w:t>that the receptors still respond to</w:t>
      </w:r>
      <w:r w:rsidR="004920E5" w:rsidRPr="009464DC">
        <w:t xml:space="preserve"> </w:t>
      </w:r>
      <w:r w:rsidR="00CA7CF8" w:rsidRPr="009464DC">
        <w:t>acetylcholine</w:t>
      </w:r>
      <w:r w:rsidR="006C6936" w:rsidRPr="009464DC">
        <w:fldChar w:fldCharType="begin"/>
      </w:r>
      <w:r w:rsidR="00771A2B" w:rsidRPr="009464DC">
        <w:instrText xml:space="preserve"> ADDIN ZOTERO_ITEM CSL_CITATION {"citationID":"g5gBwLcL","properties":{"formattedCitation":"\\super 29, 49\\nosupersub{}","plainCitation":"29, 49","noteIndex":0},"citationItems":[{"id":166,"uris":["http://zotero.org/users/local/YuTw2027/items/ETZ4P32Q"],"itemData":{"id":166,"type":"article-journal","abstract":"Chronic exposure to nicotine up-regulates high sensitivity nicotinic acetylcholine receptors (nAChRs) in the brain. This up-regulation partially underlies addiction and may also contribute to protection against Parkinson’s disease. nAChRs containing the α6 subunit (α6* nAChRs) are expressed in neurons in several brain regions, but comparatively little is known about the effect of chronic nicotine on these nAChRs. We report here that nicotine up-regulates α6* nAChRs in several mouse brain regions (substantia nigra pars compacta, ventral tegmental area, medial habenula, and superior colliculus) and in neuroblastoma 2a cells. We present evidence that a coat protein complex I (COPI)-mediated process mediates this up-regulation of α6* or α4* nAChRs but does not participate in basal trafficking. We show that α6β2β3 nAChR up-regulation is prevented by mutating a putative COPI-binding motif in the β3 subunit or by inhibiting COPI. Similarly, a COPI-dependent process is required for up-regulation of α4β2 nAChRs by chronic nicotine but not for basal trafficking. Mutation of the putative COPI-binding motif or inhibition of COPI also results in reduced normalized Förster resonance energy transfer between α6β2β3 nAChRs and εCOP subunits. The discovery that nicotine exploits a COPI-dependent process to chaperone high sensitivity nAChRs is novel and suggests that this may be a common mechanism in the up-regulation of nAChRs in response to chronic nicotine.","container-title":"Journal of General Physiology","DOI":"10.1085/jgp.201311102","ISSN":"0022-1295","issue":"1","journalAbbreviation":"J Gen Physiol","page":"51-66","source":"Silverchair","title":"Nicotine exploits a COPI-mediated process for chaperone-mediated up-regulation of its receptors","URL":"https://doi.org/10.1085/jgp.201311102","volume":"143","author":[{"family":"Henderson","given":"Brandon J."},{"family":"Srinivasan","given":"Rahul"},{"family":"Nichols","given":"Weston A."},{"family":"Dilworth","given":"Crystal N."},{"family":"Gutierrez","given":"Diana F."},{"family":"Mackey","given":"Elisha D.W."},{"family":"McKinney","given":"Sheri"},{"family":"Drenan","given":"Ryan M."},{"family":"Richards","given":"Christopher I."},{"family":"Lester","given":"Henry A."}],"accessed":{"date-parts":[["2025",9,17]]},"issued":{"date-parts":[["2013",12,30]]}}},{"id":180,"uris":["http://zotero.org/users/local/YuTw2027/items/HGS7WIXJ"],"itemData":{"id":180,"type":"article-journal","container-title":"Journal of Biological Chemistry","DOI":"10.1074/jbc.M111.256024","ISSN":"00219258","issue":"36","journalAbbreviation":"Journal of Biological Chemistry","language":"en","license":"https://www.elsevier.com/tdm/userlicense/1.0/","page":"31241-31249","source":"DOI.org (Crossref)","title":"Trafficking of α4* Nicotinic Receptors Revealed by Superecliptic Phluorin","URL":"https://linkinghub.elsevier.com/retrieve/pii/S0021925820722349","volume":"286","author":[{"family":"Richards","given":"Christopher I."},{"family":"Srinivasan","given":"Rahul"},{"family":"Xiao","given":"Cheng"},{"family":"Mackey","given":"Elisha D.W."},{"family":"Miwa","given":"Julie M."},{"family":"Lester","given":"Henry A."}],"accessed":{"date-parts":[["2025",9,17]]},"issued":{"date-parts":[["2011",9]]}}}],"schema":"https://github.com/citation-style-language/schema/raw/master/csl-citation.json"} </w:instrText>
      </w:r>
      <w:r w:rsidR="006C6936" w:rsidRPr="009464DC">
        <w:fldChar w:fldCharType="separate"/>
      </w:r>
      <w:r w:rsidR="00771A2B" w:rsidRPr="009464DC">
        <w:rPr>
          <w:vertAlign w:val="superscript"/>
        </w:rPr>
        <w:t>29,49</w:t>
      </w:r>
      <w:r w:rsidR="006C6936" w:rsidRPr="009464DC">
        <w:fldChar w:fldCharType="end"/>
      </w:r>
      <w:r w:rsidR="006C6936" w:rsidRPr="009464DC">
        <w:t>.</w:t>
      </w:r>
      <w:r w:rsidR="00CA7CF8" w:rsidRPr="009464DC">
        <w:t xml:space="preserve"> </w:t>
      </w:r>
      <w:r w:rsidR="00314A0A" w:rsidRPr="009464DC">
        <w:t>An alternative to using pH-sensitive prob</w:t>
      </w:r>
      <w:r w:rsidR="0060656A" w:rsidRPr="009464DC">
        <w:t>e</w:t>
      </w:r>
      <w:r w:rsidR="00314A0A" w:rsidRPr="009464DC">
        <w:t>s is to use HA tags and antibod</w:t>
      </w:r>
      <w:r w:rsidR="00A9517F" w:rsidRPr="009464DC">
        <w:t>ies to only label</w:t>
      </w:r>
      <w:r w:rsidR="00314A0A" w:rsidRPr="009464DC">
        <w:t xml:space="preserve"> nAChRs on the plasma membrane</w:t>
      </w:r>
      <w:r w:rsidR="006C6936" w:rsidRPr="009464DC">
        <w:fldChar w:fldCharType="begin"/>
      </w:r>
      <w:r w:rsidR="00AB75F0" w:rsidRPr="009464DC">
        <w:instrText xml:space="preserve"> ADDIN ZOTERO_ITEM CSL_CITATION {"citationID":"O0zrbXnE","properties":{"formattedCitation":"\\super 17\\nosupersub{}","plainCitation":"17","noteIndex":0},"citationItems":[{"id":80,"uris":["http://zotero.org/users/local/YuTw2027/items/PITFRAP3"],"itemData":{"id":80,"type":"article-journal","abstract":"AbstractSmall molecule polyamines are abundant in all life forms and participate in diverse aspects of cell growth and differentiation. Spermidine/spermine acetyltransferase (SAT1) is the rate-limiting enzyme in polyamine catabolism and a primary genetic risk factor for suicidality. Here, using genome-wide screening, we find that SAT1 selectively controls nicotinic acetylcholine receptor (nAChR) biogenesis. SAT1 specifically augments assembly of nAChRs containing α7 or α4β2, but not α6 subunits. Polyamines are classically studied as regulators of ion channel gating that engage the nAChR channel pore. In contrast, we find polyamine effects on assembly involve the nAChR cytosolic loop. Neurological studies link brain polyamines with neurodegenerative conditions. Our pharmacological and transgenic animal studies find that reducing polyamines enhances cortical neuron nAChR expression and augments nicotine-mediated neuroprotection. Taken together, we describe a most unexpected role for polyamines in regulating ion channel assembly, which provides a new avenue for nAChR neuropharmacology.","container-title":"Nature Communications","DOI":"10.1038/s41467-020-16629-3","ISSN":"2041-1723","issue":"1","journalAbbreviation":"Nat Commun","language":"en","license":"https://creativecommons.org/licenses/by/4.0","note":"publisher: Springer Science and Business Media LLC","source":"Crossref","title":"Polyamine regulation of ion channel assembly and implications for nicotinic acetylcholine receptor pharmacology","URL":"https://www.nature.com/articles/s41467-020-16629-3","volume":"11","author":[{"family":"Dhara","given":"Madhurima"},{"family":"Matta","given":"Jose A."},{"family":"Lei","given":"Min"},{"family":"Knowland","given":"Daniel"},{"family":"Yu","given":"Hong"},{"family":"Gu","given":"Shenyan"},{"family":"Bredt","given":"David S."}],"accessed":{"date-parts":[["2025",7,25]]},"issued":{"date-parts":[["2020",6,3]]}}}],"schema":"https://github.com/citation-style-language/schema/raw/master/csl-citation.json"} </w:instrText>
      </w:r>
      <w:r w:rsidR="006C6936" w:rsidRPr="009464DC">
        <w:fldChar w:fldCharType="separate"/>
      </w:r>
      <w:r w:rsidR="00AB75F0" w:rsidRPr="009464DC">
        <w:rPr>
          <w:vertAlign w:val="superscript"/>
        </w:rPr>
        <w:t>17</w:t>
      </w:r>
      <w:r w:rsidR="006C6936" w:rsidRPr="009464DC">
        <w:fldChar w:fldCharType="end"/>
      </w:r>
      <w:r w:rsidR="006C6936" w:rsidRPr="009464DC">
        <w:t>.</w:t>
      </w:r>
      <w:r w:rsidR="00314A0A" w:rsidRPr="009464DC">
        <w:t xml:space="preserve"> However, using this approach</w:t>
      </w:r>
      <w:r w:rsidR="00FA0502" w:rsidRPr="009464DC">
        <w:t>,</w:t>
      </w:r>
      <w:r w:rsidR="00314A0A" w:rsidRPr="009464DC">
        <w:t xml:space="preserve"> </w:t>
      </w:r>
      <w:r w:rsidR="00EA2E81" w:rsidRPr="009464DC">
        <w:t xml:space="preserve">receptors that are internalized during the incubation time will be labeled, and </w:t>
      </w:r>
      <w:r w:rsidR="00314A0A" w:rsidRPr="009464DC">
        <w:t>information regarding the internal receptor population is lost</w:t>
      </w:r>
      <w:r w:rsidR="009840C3" w:rsidRPr="009464DC">
        <w:t>.</w:t>
      </w:r>
      <w:r w:rsidR="00314A0A" w:rsidRPr="009464DC">
        <w:t xml:space="preserve"> </w:t>
      </w:r>
      <w:r w:rsidR="009840C3" w:rsidRPr="009464DC">
        <w:t>A</w:t>
      </w:r>
      <w:r w:rsidR="00314A0A" w:rsidRPr="009464DC">
        <w:t>dditional time is</w:t>
      </w:r>
      <w:r w:rsidR="009840C3" w:rsidRPr="009464DC">
        <w:t xml:space="preserve"> also</w:t>
      </w:r>
      <w:r w:rsidR="00314A0A" w:rsidRPr="009464DC">
        <w:t xml:space="preserve"> needed to fix and stain the cells before imaging</w:t>
      </w:r>
      <w:r w:rsidR="004A65B4" w:rsidRPr="009464DC">
        <w:t>.</w:t>
      </w:r>
      <w:r w:rsidR="00CA7CF8" w:rsidRPr="009464DC">
        <w:t xml:space="preserve"> </w:t>
      </w:r>
      <w:r w:rsidR="00BD65BF" w:rsidRPr="009464DC">
        <w:t xml:space="preserve">Another limitation is that information regarding the location of nAChRs in organelles with an acidic pH (&lt; 7.0) cannot be quantified using pH-sensitive probes attached to the C-terminal of the subunits. nAChR subunits are oriented in the endoplasmic reticulum (ER) and Golgi apparatus membranes with the extracellular domain and C-terminal positioned </w:t>
      </w:r>
      <w:r w:rsidR="00DF63F2" w:rsidRPr="009464DC">
        <w:t xml:space="preserve">on the luminal side of the organelles. </w:t>
      </w:r>
      <w:r w:rsidR="00BD65BF" w:rsidRPr="009464DC">
        <w:t>The ER pH is neutral (7.2 –7.4), while the Golgi intracellular pH is more acidic (</w:t>
      </w:r>
      <w:r w:rsidR="000D5CE0" w:rsidRPr="009464DC">
        <w:t>≤</w:t>
      </w:r>
      <w:r w:rsidR="00BD65BF" w:rsidRPr="009464DC">
        <w:t xml:space="preserve"> 6.7)</w:t>
      </w:r>
      <w:r w:rsidR="00170E99" w:rsidRPr="009464DC">
        <w:rPr>
          <w:vertAlign w:val="superscript"/>
        </w:rPr>
        <w:t>50</w:t>
      </w:r>
      <w:r w:rsidR="00BD65BF" w:rsidRPr="009464DC">
        <w:t xml:space="preserve">. For </w:t>
      </w:r>
      <w:r w:rsidR="00ED6275" w:rsidRPr="009464DC">
        <w:t>experiments</w:t>
      </w:r>
      <w:r w:rsidR="00BD65BF" w:rsidRPr="009464DC">
        <w:t xml:space="preserve"> that desire to capture </w:t>
      </w:r>
      <w:r w:rsidR="00ED6275" w:rsidRPr="009464DC">
        <w:t xml:space="preserve">the </w:t>
      </w:r>
      <w:r w:rsidR="00BD65BF" w:rsidRPr="009464DC">
        <w:lastRenderedPageBreak/>
        <w:t>movement of the nAChRs through the Golgi</w:t>
      </w:r>
      <w:r w:rsidR="00ED6275" w:rsidRPr="009464DC">
        <w:t>,</w:t>
      </w:r>
      <w:r w:rsidR="00BD65BF" w:rsidRPr="009464DC">
        <w:t xml:space="preserve"> the pH-sensitive probe </w:t>
      </w:r>
      <w:r w:rsidR="00473967" w:rsidRPr="009464DC">
        <w:t xml:space="preserve">could be added </w:t>
      </w:r>
      <w:r w:rsidR="00BD65BF" w:rsidRPr="009464DC">
        <w:t xml:space="preserve">to the </w:t>
      </w:r>
      <w:r w:rsidR="00ED6275" w:rsidRPr="009464DC">
        <w:t>intracellular</w:t>
      </w:r>
      <w:r w:rsidR="00BD65BF" w:rsidRPr="009464DC">
        <w:t xml:space="preserve"> M3-M4 loop. However</w:t>
      </w:r>
      <w:r w:rsidR="00ED6275" w:rsidRPr="009464DC">
        <w:t xml:space="preserve">, </w:t>
      </w:r>
      <w:r w:rsidR="00473967" w:rsidRPr="009464DC">
        <w:t xml:space="preserve">as many </w:t>
      </w:r>
      <w:r w:rsidR="00ED6275" w:rsidRPr="009464DC">
        <w:t>chaperone or auxiliary protein</w:t>
      </w:r>
      <w:r w:rsidR="00473967" w:rsidRPr="009464DC">
        <w:t xml:space="preserve">s interact within the intracellular loop, the addition of a bulky fluorescent protein may cripple these interactions. </w:t>
      </w:r>
      <w:r w:rsidR="00ED6275" w:rsidRPr="009464DC">
        <w:t>Alternative approaches could also be t</w:t>
      </w:r>
      <w:r w:rsidR="000B48B7" w:rsidRPr="009464DC">
        <w:t>he</w:t>
      </w:r>
      <w:r w:rsidR="00ED6275" w:rsidRPr="009464DC">
        <w:t xml:space="preserve"> use</w:t>
      </w:r>
      <w:r w:rsidR="000B48B7" w:rsidRPr="009464DC">
        <w:t xml:space="preserve"> of</w:t>
      </w:r>
      <w:r w:rsidR="00ED6275" w:rsidRPr="009464DC">
        <w:t xml:space="preserve"> a non-pH sensitive probe (attached to the C-terminal) </w:t>
      </w:r>
      <w:r w:rsidR="006F174F" w:rsidRPr="009464DC">
        <w:t xml:space="preserve">coupled with organelle-specific labels </w:t>
      </w:r>
      <w:r w:rsidR="00ED6275" w:rsidRPr="009464DC">
        <w:t>to detect changes in nAChR movement through intracellular acidic compartments</w:t>
      </w:r>
      <w:r w:rsidR="00ED6275" w:rsidRPr="009464DC">
        <w:fldChar w:fldCharType="begin"/>
      </w:r>
      <w:r w:rsidR="007E6D20" w:rsidRPr="009464DC">
        <w:instrText xml:space="preserve"> ADDIN ZOTERO_ITEM CSL_CITATION {"citationID":"9B7ZkeSN","properties":{"formattedCitation":"\\super 29, 38\\nosupersub{}","plainCitation":"29, 38","noteIndex":0},"citationItems":[{"id":104,"uris":["http://zotero.org/users/local/YuTw2027/items/CRRZ9HPA"],"itemData":{"id":104,"type":"article-journal","container-title":"Journal of Biological Chemistry","DOI":"10.1074/jbc.m114.573667","ISSN":"0021-9258","issue":"45","language":"en","license":"https://www.elsevier.com/tdm/userlicense/1.0/","note":"publisher: Elsevier BV","page":"31423-31432","source":"Crossref","title":"Lynx1 Shifts α4β2 Nicotinic Receptor Subunit Stoichiometry by Affecting Assembly in the Endoplasmic Reticulum","URL":"https://linkinghub.elsevier.com/retrieve/pii/S0021925820333688","volume":"289","author":[{"family":"Nichols","given":"Weston A."},{"family":"Henderson","given":"Brandon J."},{"family":"Yu","given":"Caroline"},{"family":"Parker","given":"Rell L."},{"family":"Richards","given":"Christopher I."},{"family":"Lester","given":"Henry A."},{"family":"Miwa","given":"Julie M."}],"accessed":{"date-parts":[["2025",7,25]]},"issued":{"date-parts":[["2014",11]]}}},{"id":166,"uris":["http://zotero.org/users/local/YuTw2027/items/ETZ4P32Q"],"itemData":{"id":166,"type":"article-journal","abstract":"Chronic exposure to nicotine up-regulates high sensitivity nicotinic acetylcholine receptors (nAChRs) in the brain. This up-regulation partially underlies addiction and may also contribute to protection against Parkinson’s disease. nAChRs containing the α6 subunit (α6* nAChRs) are expressed in neurons in several brain regions, but comparatively little is known about the effect of chronic nicotine on these nAChRs. We report here that nicotine up-regulates α6* nAChRs in several mouse brain regions (substantia nigra pars compacta, ventral tegmental area, medial habenula, and superior colliculus) and in neuroblastoma 2a cells. We present evidence that a coat protein complex I (COPI)-mediated process mediates this up-regulation of α6* or α4* nAChRs but does not participate in basal trafficking. We show that α6β2β3 nAChR up-regulation is prevented by mutating a putative COPI-binding motif in the β3 subunit or by inhibiting COPI. Similarly, a COPI-dependent process is required for up-regulation of α4β2 nAChRs by chronic nicotine but not for basal trafficking. Mutation of the putative COPI-binding motif or inhibition of COPI also results in reduced normalized Förster resonance energy transfer between α6β2β3 nAChRs and εCOP subunits. The discovery that nicotine exploits a COPI-dependent process to chaperone high sensitivity nAChRs is novel and suggests that this may be a common mechanism in the up-regulation of nAChRs in response to chronic nicotine.","container-title":"Journal of General Physiology","DOI":"10.1085/jgp.201311102","ISSN":"0022-1295","issue":"1","journalAbbreviation":"J Gen Physiol","page":"51-66","source":"Silverchair","title":"Nicotine exploits a COPI-mediated process for chaperone-mediated up-regulation of its receptors","URL":"https://doi.org/10.1085/jgp.201311102","volume":"143","author":[{"family":"Henderson","given":"Brandon J."},{"family":"Srinivasan","given":"Rahul"},{"family":"Nichols","given":"Weston A."},{"family":"Dilworth","given":"Crystal N."},{"family":"Gutierrez","given":"Diana F."},{"family":"Mackey","given":"Elisha D.W."},{"family":"McKinney","given":"Sheri"},{"family":"Drenan","given":"Ryan M."},{"family":"Richards","given":"Christopher I."},{"family":"Lester","given":"Henry A."}],"accessed":{"date-parts":[["2025",9,17]]},"issued":{"date-parts":[["2013",12,30]]}}}],"schema":"https://github.com/citation-style-language/schema/raw/master/csl-citation.json"} </w:instrText>
      </w:r>
      <w:r w:rsidR="00ED6275" w:rsidRPr="009464DC">
        <w:fldChar w:fldCharType="separate"/>
      </w:r>
      <w:r w:rsidR="007E6D20" w:rsidRPr="009464DC">
        <w:rPr>
          <w:vertAlign w:val="superscript"/>
        </w:rPr>
        <w:t>29,38</w:t>
      </w:r>
      <w:r w:rsidR="00ED6275" w:rsidRPr="009464DC">
        <w:fldChar w:fldCharType="end"/>
      </w:r>
      <w:r w:rsidR="00ED6275" w:rsidRPr="009464DC">
        <w:t xml:space="preserve">. </w:t>
      </w:r>
    </w:p>
    <w:p w14:paraId="561261F8" w14:textId="77777777" w:rsidR="00C573DD" w:rsidRDefault="00C573DD" w:rsidP="00C573DD"/>
    <w:p w14:paraId="6447B52C" w14:textId="478F0DD4" w:rsidR="00AA0D96" w:rsidRPr="009464DC" w:rsidRDefault="00DC0742" w:rsidP="00C573DD">
      <w:r w:rsidRPr="009464DC">
        <w:t xml:space="preserve">The presented protocols are </w:t>
      </w:r>
      <w:r w:rsidR="00AA0D96" w:rsidRPr="009464DC">
        <w:t xml:space="preserve">positioned to advance investigations into the molecular mechanisms underlying nAChR </w:t>
      </w:r>
      <w:r w:rsidR="006F174F" w:rsidRPr="009464DC">
        <w:t>expression on the plasma membrane</w:t>
      </w:r>
      <w:r w:rsidR="00AA0D96" w:rsidRPr="009464DC">
        <w:t xml:space="preserve"> and pharmacological modulation. Its flexibility supports the incorporation of auxiliary proteins, implementation of disease-relevant mutations, and application of labeled ligands or live-cell pharmacology</w:t>
      </w:r>
      <w:r w:rsidR="00D218F6" w:rsidRPr="009464DC">
        <w:t xml:space="preserve">. </w:t>
      </w:r>
      <w:r w:rsidR="00AA0D96" w:rsidRPr="009464DC">
        <w:t xml:space="preserve">Overall, the described workflow offers a robust platform for dissecting the cell biology of nAChRs and their modulation by chaperones, drugs, and disease processes. By enabling </w:t>
      </w:r>
      <w:r w:rsidR="004A65B4" w:rsidRPr="009464DC">
        <w:t>precise</w:t>
      </w:r>
      <w:r w:rsidR="00AA0D96" w:rsidRPr="009464DC">
        <w:t xml:space="preserve"> quantification of receptor localization at the plasma membrane versus internal </w:t>
      </w:r>
      <w:r w:rsidR="006F174F" w:rsidRPr="009464DC">
        <w:t xml:space="preserve">(non-acidic) </w:t>
      </w:r>
      <w:r w:rsidR="00AA0D96" w:rsidRPr="009464DC">
        <w:t>compartments, this method provides critical insights for both basic neuroscience research and the development of therapeutics targeting nAChRs</w:t>
      </w:r>
      <w:r w:rsidR="00A16840" w:rsidRPr="009464DC">
        <w:t>.</w:t>
      </w:r>
    </w:p>
    <w:p w14:paraId="0BEB38EC" w14:textId="77777777" w:rsidR="006E4797" w:rsidRPr="009464DC" w:rsidRDefault="006E4797" w:rsidP="004920E5"/>
    <w:p w14:paraId="59F37CC4" w14:textId="1E6D6C5F" w:rsidR="006E4797" w:rsidRPr="009464DC" w:rsidRDefault="00551D82" w:rsidP="004920E5">
      <w:pPr>
        <w:pBdr>
          <w:top w:val="nil"/>
          <w:left w:val="nil"/>
          <w:bottom w:val="nil"/>
          <w:right w:val="nil"/>
          <w:between w:val="nil"/>
        </w:pBdr>
      </w:pPr>
      <w:r w:rsidRPr="009464DC">
        <w:rPr>
          <w:b/>
        </w:rPr>
        <w:t>ACKNOWLEDGMENTS:</w:t>
      </w:r>
    </w:p>
    <w:p w14:paraId="08F9FE29" w14:textId="563401F7" w:rsidR="00FA0502" w:rsidRPr="009464DC" w:rsidRDefault="00FA0502" w:rsidP="00C573DD">
      <w:pPr>
        <w:rPr>
          <w:rFonts w:eastAsia="Arial"/>
        </w:rPr>
      </w:pPr>
      <w:r w:rsidRPr="009464DC">
        <w:rPr>
          <w:rFonts w:eastAsia="Arial"/>
        </w:rPr>
        <w:t xml:space="preserve">The authors would like to thank James </w:t>
      </w:r>
      <w:proofErr w:type="spellStart"/>
      <w:r w:rsidRPr="009464DC">
        <w:rPr>
          <w:rFonts w:eastAsia="Arial"/>
        </w:rPr>
        <w:t>Janoso</w:t>
      </w:r>
      <w:proofErr w:type="spellEnd"/>
      <w:r w:rsidRPr="009464DC">
        <w:rPr>
          <w:rFonts w:eastAsia="Arial"/>
        </w:rPr>
        <w:t xml:space="preserve"> for his technical microscopy expertise and the Center for Transformative Research in Metabolism (National Institute of General Medical Sciences of the National Institutes of Health under Award Number P20GM130443) for supporting the Microscopy Core at the University of Alaska Fairbanks. </w:t>
      </w:r>
      <w:r w:rsidR="004A65B4" w:rsidRPr="009464DC">
        <w:rPr>
          <w:rFonts w:eastAsia="Arial"/>
        </w:rPr>
        <w:t xml:space="preserve">LW’s efforts were partially supported by funding from the Higher Education Investment Fund, provided by the state of Alaska through the University of Alaska. SMS’s efforts were supported by the </w:t>
      </w:r>
      <w:r w:rsidR="004A65B4" w:rsidRPr="009464DC">
        <w:rPr>
          <w:rFonts w:eastAsia="Arial"/>
          <w:iCs/>
        </w:rPr>
        <w:t>Institutional Development Award (</w:t>
      </w:r>
      <w:proofErr w:type="spellStart"/>
      <w:r w:rsidR="004A65B4" w:rsidRPr="009464DC">
        <w:rPr>
          <w:rFonts w:eastAsia="Arial"/>
          <w:iCs/>
        </w:rPr>
        <w:t>IDeA</w:t>
      </w:r>
      <w:proofErr w:type="spellEnd"/>
      <w:r w:rsidR="004A65B4" w:rsidRPr="009464DC">
        <w:rPr>
          <w:rFonts w:eastAsia="Arial"/>
          <w:iCs/>
        </w:rPr>
        <w:t>) from the National Institute of General Medical Sciences of the National Institutes of Health under grant number P20GM103395</w:t>
      </w:r>
      <w:r w:rsidR="004A65B4" w:rsidRPr="009464DC">
        <w:rPr>
          <w:rFonts w:eastAsia="Arial"/>
        </w:rPr>
        <w:t>.</w:t>
      </w:r>
      <w:r w:rsidR="004920E5" w:rsidRPr="009464DC">
        <w:rPr>
          <w:rFonts w:eastAsia="Arial"/>
        </w:rPr>
        <w:t xml:space="preserve"> </w:t>
      </w:r>
      <w:r w:rsidRPr="009464DC">
        <w:rPr>
          <w:rFonts w:eastAsia="Arial"/>
        </w:rPr>
        <w:t xml:space="preserve">Research reported in this publication was supported by the National Institute of Mental Health of the National Institutes of Health (MMW by award number R03MH135358) and the National Institute of General Medical Sciences (MMW by award number R16GM150455) of the National </w:t>
      </w:r>
      <w:r w:rsidR="00C63587" w:rsidRPr="009464DC">
        <w:rPr>
          <w:rFonts w:eastAsia="Arial"/>
        </w:rPr>
        <w:t>Institutes</w:t>
      </w:r>
      <w:r w:rsidRPr="009464DC">
        <w:rPr>
          <w:rFonts w:eastAsia="Arial"/>
        </w:rPr>
        <w:t xml:space="preserve"> of Health.</w:t>
      </w:r>
      <w:r w:rsidR="004920E5" w:rsidRPr="009464DC">
        <w:rPr>
          <w:rFonts w:eastAsia="Arial"/>
        </w:rPr>
        <w:t xml:space="preserve"> </w:t>
      </w:r>
    </w:p>
    <w:p w14:paraId="25B2FBBD" w14:textId="77777777" w:rsidR="006E4797" w:rsidRPr="009464DC" w:rsidRDefault="006E4797" w:rsidP="004920E5">
      <w:pPr>
        <w:rPr>
          <w:b/>
        </w:rPr>
      </w:pPr>
    </w:p>
    <w:p w14:paraId="5E703EBA" w14:textId="5E4950C4" w:rsidR="006E4797" w:rsidRPr="009464DC" w:rsidRDefault="00551D82" w:rsidP="004920E5">
      <w:pPr>
        <w:pBdr>
          <w:top w:val="nil"/>
          <w:left w:val="nil"/>
          <w:bottom w:val="nil"/>
          <w:right w:val="nil"/>
          <w:between w:val="nil"/>
        </w:pBdr>
      </w:pPr>
      <w:r w:rsidRPr="009464DC">
        <w:rPr>
          <w:b/>
        </w:rPr>
        <w:t>DISCLOSURES:</w:t>
      </w:r>
    </w:p>
    <w:p w14:paraId="73B4646C" w14:textId="7A4B88A4" w:rsidR="00B03451" w:rsidRDefault="00B03451" w:rsidP="004920E5">
      <w:pPr>
        <w:rPr>
          <w:rFonts w:eastAsia="Arial"/>
        </w:rPr>
      </w:pPr>
      <w:r w:rsidRPr="009464DC">
        <w:rPr>
          <w:rFonts w:eastAsia="Arial"/>
        </w:rPr>
        <w:t xml:space="preserve">The authors </w:t>
      </w:r>
      <w:r w:rsidR="00B43E73" w:rsidRPr="009464DC">
        <w:rPr>
          <w:rFonts w:eastAsia="Arial"/>
        </w:rPr>
        <w:t>have nothing to disclose</w:t>
      </w:r>
      <w:r w:rsidRPr="009464DC">
        <w:rPr>
          <w:rFonts w:eastAsia="Arial"/>
        </w:rPr>
        <w:t xml:space="preserve">. </w:t>
      </w:r>
    </w:p>
    <w:p w14:paraId="57A64474" w14:textId="77777777" w:rsidR="00F12413" w:rsidRPr="009464DC" w:rsidRDefault="00F12413" w:rsidP="004920E5">
      <w:pPr>
        <w:rPr>
          <w:rFonts w:eastAsia="Arial"/>
        </w:rPr>
      </w:pPr>
    </w:p>
    <w:p w14:paraId="6DE2B73C" w14:textId="5F190572" w:rsidR="006E4797" w:rsidRPr="009464DC" w:rsidRDefault="00551D82" w:rsidP="004920E5">
      <w:pPr>
        <w:rPr>
          <w:b/>
        </w:rPr>
      </w:pPr>
      <w:r w:rsidRPr="009464DC">
        <w:rPr>
          <w:b/>
        </w:rPr>
        <w:t>REFERENCES:</w:t>
      </w:r>
      <w:r w:rsidRPr="009464DC">
        <w:t xml:space="preserve"> </w:t>
      </w:r>
    </w:p>
    <w:p w14:paraId="7587D010" w14:textId="6A0D5D7E" w:rsidR="00771A2B" w:rsidRPr="009464DC" w:rsidRDefault="00EE5F4F" w:rsidP="004920E5">
      <w:pPr>
        <w:pStyle w:val="Bibliography"/>
      </w:pPr>
      <w:r w:rsidRPr="009464DC">
        <w:fldChar w:fldCharType="begin"/>
      </w:r>
      <w:r w:rsidR="00BB0827" w:rsidRPr="009464DC">
        <w:instrText xml:space="preserve"> ADDIN ZOTERO_BIBL {"uncited":[],"omitted":[],"custom":[]} CSL_BIBLIOGRAPHY </w:instrText>
      </w:r>
      <w:r w:rsidRPr="009464DC">
        <w:fldChar w:fldCharType="separate"/>
      </w:r>
      <w:r w:rsidR="00771A2B" w:rsidRPr="009464DC">
        <w:t>1.</w:t>
      </w:r>
      <w:r w:rsidR="00771A2B" w:rsidRPr="009464DC">
        <w:tab/>
        <w:t>Whiting, P.</w:t>
      </w:r>
      <w:r w:rsidR="008F1819">
        <w:t xml:space="preserve"> </w:t>
      </w:r>
      <w:r w:rsidR="00771A2B" w:rsidRPr="009464DC">
        <w:t xml:space="preserve">J. </w:t>
      </w:r>
      <w:r w:rsidR="00771A2B" w:rsidRPr="008F1819">
        <w:t>et al</w:t>
      </w:r>
      <w:r w:rsidR="00771A2B" w:rsidRPr="009464DC">
        <w:rPr>
          <w:i/>
          <w:iCs/>
        </w:rPr>
        <w:t>.</w:t>
      </w:r>
      <w:r w:rsidR="00771A2B" w:rsidRPr="009464DC">
        <w:t xml:space="preserve"> Expression of nicotinic acetylcholine receptor subtypes in brain and retina. </w:t>
      </w:r>
      <w:r w:rsidR="00771A2B" w:rsidRPr="009464DC">
        <w:rPr>
          <w:i/>
          <w:iCs/>
        </w:rPr>
        <w:t>Mol Brain Res</w:t>
      </w:r>
      <w:r w:rsidR="00771A2B" w:rsidRPr="009464DC">
        <w:t xml:space="preserve">. </w:t>
      </w:r>
      <w:r w:rsidR="00771A2B" w:rsidRPr="009464DC">
        <w:rPr>
          <w:b/>
          <w:bCs/>
        </w:rPr>
        <w:t>10</w:t>
      </w:r>
      <w:r w:rsidR="00771A2B" w:rsidRPr="009464DC">
        <w:t xml:space="preserve"> (1), 61–70 (1991).</w:t>
      </w:r>
    </w:p>
    <w:p w14:paraId="7645F75C" w14:textId="368C49CC" w:rsidR="00771A2B" w:rsidRPr="009464DC" w:rsidRDefault="00771A2B" w:rsidP="004920E5">
      <w:pPr>
        <w:pStyle w:val="Bibliography"/>
      </w:pPr>
      <w:r w:rsidRPr="009464DC">
        <w:t>2.</w:t>
      </w:r>
      <w:r w:rsidRPr="009464DC">
        <w:tab/>
        <w:t>Albuquerque, E.</w:t>
      </w:r>
      <w:r w:rsidR="008F1819">
        <w:t xml:space="preserve"> </w:t>
      </w:r>
      <w:r w:rsidRPr="009464DC">
        <w:t xml:space="preserve">X. </w:t>
      </w:r>
      <w:r w:rsidRPr="008F1819">
        <w:t xml:space="preserve">et al. </w:t>
      </w:r>
      <w:r w:rsidRPr="009464DC">
        <w:t xml:space="preserve">Nicotinic Receptor Function in the Mammalian Central Nervous System. </w:t>
      </w:r>
      <w:r w:rsidRPr="009464DC">
        <w:rPr>
          <w:i/>
          <w:iCs/>
        </w:rPr>
        <w:t>Ann New York Acad Sci</w:t>
      </w:r>
      <w:r w:rsidRPr="009464DC">
        <w:t xml:space="preserve">. </w:t>
      </w:r>
      <w:r w:rsidRPr="009464DC">
        <w:rPr>
          <w:b/>
          <w:bCs/>
        </w:rPr>
        <w:t>757</w:t>
      </w:r>
      <w:r w:rsidRPr="009464DC">
        <w:t xml:space="preserve"> (1), 48–72</w:t>
      </w:r>
      <w:r w:rsidR="008F1819">
        <w:t xml:space="preserve"> </w:t>
      </w:r>
      <w:r w:rsidRPr="009464DC">
        <w:t>(1995).</w:t>
      </w:r>
    </w:p>
    <w:p w14:paraId="752F86DE" w14:textId="50C4A06E" w:rsidR="00771A2B" w:rsidRPr="009464DC" w:rsidRDefault="00771A2B" w:rsidP="004920E5">
      <w:pPr>
        <w:pStyle w:val="Bibliography"/>
      </w:pPr>
      <w:r w:rsidRPr="009464DC">
        <w:t>3.</w:t>
      </w:r>
      <w:r w:rsidRPr="009464DC">
        <w:tab/>
        <w:t xml:space="preserve">Picard, F. </w:t>
      </w:r>
      <w:r w:rsidRPr="008F1819">
        <w:t xml:space="preserve">et al. </w:t>
      </w:r>
      <w:r w:rsidRPr="009464DC">
        <w:t xml:space="preserve">Alteration of the in vivo nicotinic receptor density in ADNFLE patients: a PET study. </w:t>
      </w:r>
      <w:r w:rsidRPr="009464DC">
        <w:rPr>
          <w:i/>
          <w:iCs/>
        </w:rPr>
        <w:t>Brain</w:t>
      </w:r>
      <w:r w:rsidRPr="009464DC">
        <w:t xml:space="preserve">. </w:t>
      </w:r>
      <w:r w:rsidRPr="009464DC">
        <w:rPr>
          <w:b/>
          <w:bCs/>
        </w:rPr>
        <w:t>129</w:t>
      </w:r>
      <w:r w:rsidRPr="009464DC">
        <w:t xml:space="preserve"> (8), 2047–2060 (2006).</w:t>
      </w:r>
    </w:p>
    <w:p w14:paraId="3B55FBFE" w14:textId="612AD770" w:rsidR="00771A2B" w:rsidRPr="009464DC" w:rsidRDefault="00771A2B" w:rsidP="004920E5">
      <w:pPr>
        <w:pStyle w:val="Bibliography"/>
      </w:pPr>
      <w:r w:rsidRPr="009464DC">
        <w:t>4.</w:t>
      </w:r>
      <w:r w:rsidRPr="009464DC">
        <w:tab/>
        <w:t xml:space="preserve">Breese, C. Abnormal Regulation of High Affinity Nicotinic Receptors in Subjects with Schizophrenia. </w:t>
      </w:r>
      <w:r w:rsidRPr="009464DC">
        <w:rPr>
          <w:i/>
          <w:iCs/>
        </w:rPr>
        <w:t>Neuropsychopharmacology</w:t>
      </w:r>
      <w:r w:rsidRPr="009464DC">
        <w:t xml:space="preserve">. </w:t>
      </w:r>
      <w:r w:rsidRPr="009464DC">
        <w:rPr>
          <w:b/>
          <w:bCs/>
        </w:rPr>
        <w:t>23</w:t>
      </w:r>
      <w:r w:rsidRPr="009464DC">
        <w:t xml:space="preserve"> (4), 351–364</w:t>
      </w:r>
      <w:r w:rsidR="008F1819">
        <w:t xml:space="preserve"> (</w:t>
      </w:r>
      <w:r w:rsidRPr="009464DC">
        <w:t>2000).</w:t>
      </w:r>
    </w:p>
    <w:p w14:paraId="6CB11729" w14:textId="118E7CB3" w:rsidR="00771A2B" w:rsidRPr="009464DC" w:rsidRDefault="00771A2B" w:rsidP="004920E5">
      <w:pPr>
        <w:pStyle w:val="Bibliography"/>
      </w:pPr>
      <w:r w:rsidRPr="009464DC">
        <w:t>5.</w:t>
      </w:r>
      <w:r w:rsidRPr="009464DC">
        <w:tab/>
        <w:t>De Luca, V., Voineskos, S., Wong, G., Kennedy, J.</w:t>
      </w:r>
      <w:r w:rsidR="008F1819">
        <w:t xml:space="preserve"> </w:t>
      </w:r>
      <w:r w:rsidRPr="009464DC">
        <w:t xml:space="preserve">L. Genetic interaction between α4 and β2 subunits of high affinity nicotinic receptor: analysis in schizophrenia. </w:t>
      </w:r>
      <w:r w:rsidRPr="009464DC">
        <w:rPr>
          <w:i/>
          <w:iCs/>
        </w:rPr>
        <w:t>Exp Brain Res</w:t>
      </w:r>
      <w:r w:rsidRPr="009464DC">
        <w:t xml:space="preserve">. </w:t>
      </w:r>
      <w:r w:rsidRPr="009464DC">
        <w:rPr>
          <w:b/>
          <w:bCs/>
        </w:rPr>
        <w:t>174</w:t>
      </w:r>
      <w:r w:rsidRPr="009464DC">
        <w:t xml:space="preserve"> (2), </w:t>
      </w:r>
      <w:r w:rsidRPr="009464DC">
        <w:lastRenderedPageBreak/>
        <w:t>292–296 (2006).</w:t>
      </w:r>
    </w:p>
    <w:p w14:paraId="60D28291" w14:textId="6B2A2B90" w:rsidR="00771A2B" w:rsidRPr="009464DC" w:rsidRDefault="00771A2B" w:rsidP="004920E5">
      <w:pPr>
        <w:pStyle w:val="Bibliography"/>
      </w:pPr>
      <w:r w:rsidRPr="009464DC">
        <w:t>6.</w:t>
      </w:r>
      <w:r w:rsidRPr="009464DC">
        <w:tab/>
        <w:t xml:space="preserve">Maskos, U. </w:t>
      </w:r>
      <w:r w:rsidRPr="008F1819">
        <w:t xml:space="preserve">et al. </w:t>
      </w:r>
      <w:r w:rsidRPr="009464DC">
        <w:t xml:space="preserve">Nicotine reinforcement and cognition restored by targeted expression of nicotinic receptors. </w:t>
      </w:r>
      <w:r w:rsidRPr="009464DC">
        <w:rPr>
          <w:i/>
          <w:iCs/>
        </w:rPr>
        <w:t>Nature</w:t>
      </w:r>
      <w:r w:rsidRPr="009464DC">
        <w:t xml:space="preserve">. </w:t>
      </w:r>
      <w:r w:rsidRPr="009464DC">
        <w:rPr>
          <w:b/>
          <w:bCs/>
        </w:rPr>
        <w:t>436</w:t>
      </w:r>
      <w:r w:rsidRPr="009464DC">
        <w:t xml:space="preserve"> (7047), 103–107</w:t>
      </w:r>
      <w:r w:rsidR="008F1819">
        <w:t xml:space="preserve"> </w:t>
      </w:r>
      <w:r w:rsidRPr="009464DC">
        <w:t>(2005).</w:t>
      </w:r>
    </w:p>
    <w:p w14:paraId="06E7EC7D" w14:textId="267C1021" w:rsidR="00771A2B" w:rsidRPr="009464DC" w:rsidRDefault="00771A2B" w:rsidP="004920E5">
      <w:pPr>
        <w:pStyle w:val="Bibliography"/>
      </w:pPr>
      <w:r w:rsidRPr="009464DC">
        <w:t>7.</w:t>
      </w:r>
      <w:r w:rsidRPr="009464DC">
        <w:tab/>
        <w:t>Picciotto, M.</w:t>
      </w:r>
      <w:r w:rsidR="008F1819">
        <w:t xml:space="preserve"> </w:t>
      </w:r>
      <w:r w:rsidRPr="009464DC">
        <w:t xml:space="preserve">R. </w:t>
      </w:r>
      <w:r w:rsidRPr="008F1819">
        <w:t xml:space="preserve">et al. </w:t>
      </w:r>
      <w:r w:rsidRPr="009464DC">
        <w:t xml:space="preserve">Acetylcholine receptors containing the β2 subunit are involved in the reinforcing properties of nicotine. </w:t>
      </w:r>
      <w:r w:rsidRPr="009464DC">
        <w:rPr>
          <w:i/>
          <w:iCs/>
        </w:rPr>
        <w:t>Nature</w:t>
      </w:r>
      <w:r w:rsidRPr="009464DC">
        <w:t xml:space="preserve">. </w:t>
      </w:r>
      <w:r w:rsidRPr="009464DC">
        <w:rPr>
          <w:b/>
          <w:bCs/>
        </w:rPr>
        <w:t>391</w:t>
      </w:r>
      <w:r w:rsidRPr="009464DC">
        <w:t xml:space="preserve"> (6663), 173–177 (1998).</w:t>
      </w:r>
    </w:p>
    <w:p w14:paraId="0A683BE6" w14:textId="53C846E6" w:rsidR="00771A2B" w:rsidRPr="009464DC" w:rsidRDefault="00771A2B" w:rsidP="004920E5">
      <w:pPr>
        <w:pStyle w:val="Bibliography"/>
      </w:pPr>
      <w:r w:rsidRPr="009464DC">
        <w:t>8.</w:t>
      </w:r>
      <w:r w:rsidRPr="009464DC">
        <w:tab/>
        <w:t>Staley, J.</w:t>
      </w:r>
      <w:r w:rsidR="008F1819">
        <w:t xml:space="preserve"> </w:t>
      </w:r>
      <w:r w:rsidRPr="009464DC">
        <w:t xml:space="preserve">K. </w:t>
      </w:r>
      <w:r w:rsidRPr="008F1819">
        <w:t>et al</w:t>
      </w:r>
      <w:r w:rsidRPr="009464DC">
        <w:rPr>
          <w:i/>
          <w:iCs/>
        </w:rPr>
        <w:t>.</w:t>
      </w:r>
      <w:r w:rsidRPr="009464DC">
        <w:t xml:space="preserve"> Human Tobacco Smokers in Early Abstinence Have Higher Levels of β</w:t>
      </w:r>
      <w:r w:rsidRPr="009464DC">
        <w:rPr>
          <w:vertAlign w:val="subscript"/>
        </w:rPr>
        <w:t>2</w:t>
      </w:r>
      <w:r w:rsidRPr="009464DC">
        <w:t xml:space="preserve"> * Nicotinic Acetylcholine Receptors than Nonsmokers. </w:t>
      </w:r>
      <w:r w:rsidRPr="009464DC">
        <w:rPr>
          <w:i/>
          <w:iCs/>
        </w:rPr>
        <w:t>J Neurosci</w:t>
      </w:r>
      <w:r w:rsidRPr="009464DC">
        <w:t xml:space="preserve">. </w:t>
      </w:r>
      <w:r w:rsidRPr="009464DC">
        <w:rPr>
          <w:b/>
          <w:bCs/>
        </w:rPr>
        <w:t>26</w:t>
      </w:r>
      <w:r w:rsidRPr="009464DC">
        <w:t xml:space="preserve"> (34), 8707–8714 (2006).</w:t>
      </w:r>
    </w:p>
    <w:p w14:paraId="5BCE9AC7" w14:textId="1FA62A8C" w:rsidR="00771A2B" w:rsidRPr="009464DC" w:rsidRDefault="00771A2B" w:rsidP="004920E5">
      <w:pPr>
        <w:pStyle w:val="Bibliography"/>
      </w:pPr>
      <w:r w:rsidRPr="009464DC">
        <w:t>9.</w:t>
      </w:r>
      <w:r w:rsidRPr="009464DC">
        <w:tab/>
        <w:t xml:space="preserve">Gotti, C., Zoli, M., Clementi, F. Brain nicotinic acetylcholine receptors: native subtypes and their relevance. </w:t>
      </w:r>
      <w:r w:rsidRPr="009464DC">
        <w:rPr>
          <w:i/>
          <w:iCs/>
        </w:rPr>
        <w:t>Trends Pharmacol Sci</w:t>
      </w:r>
      <w:r w:rsidRPr="009464DC">
        <w:t xml:space="preserve">. </w:t>
      </w:r>
      <w:r w:rsidRPr="009464DC">
        <w:rPr>
          <w:b/>
          <w:bCs/>
        </w:rPr>
        <w:t>27</w:t>
      </w:r>
      <w:r w:rsidRPr="009464DC">
        <w:t xml:space="preserve"> (9), 482–491 (2006).</w:t>
      </w:r>
    </w:p>
    <w:p w14:paraId="2014B549" w14:textId="71D4EB0E" w:rsidR="00771A2B" w:rsidRPr="009464DC" w:rsidRDefault="00771A2B" w:rsidP="004920E5">
      <w:pPr>
        <w:pStyle w:val="Bibliography"/>
      </w:pPr>
      <w:r w:rsidRPr="009464DC">
        <w:t>10.</w:t>
      </w:r>
      <w:r w:rsidRPr="009464DC">
        <w:tab/>
        <w:t>Mineur, Y.</w:t>
      </w:r>
      <w:r w:rsidR="008F1819">
        <w:t xml:space="preserve"> </w:t>
      </w:r>
      <w:r w:rsidRPr="009464DC">
        <w:t>S., Mose, T.</w:t>
      </w:r>
      <w:r w:rsidR="008F1819">
        <w:t xml:space="preserve"> </w:t>
      </w:r>
      <w:r w:rsidRPr="009464DC">
        <w:t>N., Blakeman, S., Picciotto, M.</w:t>
      </w:r>
      <w:r w:rsidR="008F1819">
        <w:t xml:space="preserve"> </w:t>
      </w:r>
      <w:r w:rsidRPr="009464DC">
        <w:t xml:space="preserve">R. Hippocampal α7 nicotinic ACh receptors contribute to modulation of depression‐like behaviour in C57BL/6J mice. </w:t>
      </w:r>
      <w:r w:rsidRPr="009464DC">
        <w:rPr>
          <w:i/>
          <w:iCs/>
        </w:rPr>
        <w:t>British J Pharmacol</w:t>
      </w:r>
      <w:r w:rsidRPr="009464DC">
        <w:t xml:space="preserve">. </w:t>
      </w:r>
      <w:r w:rsidRPr="009464DC">
        <w:rPr>
          <w:b/>
          <w:bCs/>
        </w:rPr>
        <w:t>175</w:t>
      </w:r>
      <w:r w:rsidRPr="009464DC">
        <w:t xml:space="preserve"> (11), 1903–1914 (2018).</w:t>
      </w:r>
    </w:p>
    <w:p w14:paraId="557B8810" w14:textId="2D34BD17" w:rsidR="00771A2B" w:rsidRPr="009464DC" w:rsidRDefault="00771A2B" w:rsidP="004920E5">
      <w:pPr>
        <w:pStyle w:val="Bibliography"/>
      </w:pPr>
      <w:r w:rsidRPr="009464DC">
        <w:t>11.</w:t>
      </w:r>
      <w:r w:rsidRPr="009464DC">
        <w:tab/>
        <w:t>Fernandes, S.</w:t>
      </w:r>
      <w:r w:rsidR="008F1819">
        <w:t xml:space="preserve"> </w:t>
      </w:r>
      <w:r w:rsidRPr="009464DC">
        <w:t xml:space="preserve">S. </w:t>
      </w:r>
      <w:r w:rsidRPr="008F1819">
        <w:t xml:space="preserve">et al. </w:t>
      </w:r>
      <w:r w:rsidRPr="009464DC">
        <w:t xml:space="preserve">Enhanced cholinergic-tone during the stress induce a depressive-like state in mice. </w:t>
      </w:r>
      <w:r w:rsidRPr="009464DC">
        <w:rPr>
          <w:i/>
          <w:iCs/>
        </w:rPr>
        <w:t>Behav Brain Res</w:t>
      </w:r>
      <w:r w:rsidRPr="009464DC">
        <w:t xml:space="preserve">. </w:t>
      </w:r>
      <w:r w:rsidRPr="009464DC">
        <w:rPr>
          <w:b/>
          <w:bCs/>
        </w:rPr>
        <w:t>347</w:t>
      </w:r>
      <w:r w:rsidRPr="009464DC">
        <w:t>, 17–25 (2018).</w:t>
      </w:r>
    </w:p>
    <w:p w14:paraId="7F1F9FC8" w14:textId="43EFCAAB" w:rsidR="00771A2B" w:rsidRPr="009464DC" w:rsidRDefault="00771A2B" w:rsidP="004920E5">
      <w:pPr>
        <w:pStyle w:val="Bibliography"/>
      </w:pPr>
      <w:r w:rsidRPr="009464DC">
        <w:t>12.</w:t>
      </w:r>
      <w:r w:rsidRPr="009464DC">
        <w:tab/>
        <w:t>Ren, J.</w:t>
      </w:r>
      <w:r w:rsidR="008F1819">
        <w:t xml:space="preserve"> </w:t>
      </w:r>
      <w:r w:rsidRPr="009464DC">
        <w:t>M., Zhang, S.</w:t>
      </w:r>
      <w:r w:rsidR="008F1819">
        <w:t xml:space="preserve"> </w:t>
      </w:r>
      <w:r w:rsidRPr="009464DC">
        <w:t>L., Wang, X</w:t>
      </w:r>
      <w:r w:rsidR="008F1819">
        <w:t xml:space="preserve">. </w:t>
      </w:r>
      <w:r w:rsidRPr="009464DC">
        <w:t>L., Guan, Z.</w:t>
      </w:r>
      <w:r w:rsidR="008F1819">
        <w:t xml:space="preserve"> </w:t>
      </w:r>
      <w:r w:rsidRPr="009464DC">
        <w:t>Z., Qi, X</w:t>
      </w:r>
      <w:r w:rsidR="008F1819">
        <w:t xml:space="preserve">. </w:t>
      </w:r>
      <w:r w:rsidRPr="009464DC">
        <w:t xml:space="preserve">L. Expression levels of the α7 nicotinic acetylcholine receptor in the brains of patients with Alzheimer’s disease and their effect on synaptic proteins in SH-SY5Y cells. </w:t>
      </w:r>
      <w:r w:rsidRPr="009464DC">
        <w:rPr>
          <w:i/>
          <w:iCs/>
        </w:rPr>
        <w:t>Mol Med Rep</w:t>
      </w:r>
      <w:r w:rsidRPr="009464DC">
        <w:t xml:space="preserve">. </w:t>
      </w:r>
      <w:r w:rsidRPr="009464DC">
        <w:rPr>
          <w:b/>
          <w:bCs/>
        </w:rPr>
        <w:t>22</w:t>
      </w:r>
      <w:r w:rsidRPr="009464DC">
        <w:t xml:space="preserve"> (3), 2063–2075 (2020).</w:t>
      </w:r>
    </w:p>
    <w:p w14:paraId="7B41B0EA" w14:textId="5D0D3ED5" w:rsidR="00771A2B" w:rsidRPr="009464DC" w:rsidRDefault="00771A2B" w:rsidP="004920E5">
      <w:pPr>
        <w:pStyle w:val="Bibliography"/>
      </w:pPr>
      <w:r w:rsidRPr="009464DC">
        <w:t>13.</w:t>
      </w:r>
      <w:r w:rsidRPr="009464DC">
        <w:tab/>
        <w:t>Letchworth, S.</w:t>
      </w:r>
      <w:r w:rsidR="008F1819">
        <w:t xml:space="preserve"> </w:t>
      </w:r>
      <w:r w:rsidRPr="009464DC">
        <w:t xml:space="preserve">R., Whiteaker, P. Progress and Challenges in the Study of α6-Containing Nicotinic Acetylcholine Receptors. </w:t>
      </w:r>
      <w:r w:rsidRPr="009464DC">
        <w:rPr>
          <w:i/>
          <w:iCs/>
        </w:rPr>
        <w:t xml:space="preserve">Biochem </w:t>
      </w:r>
      <w:r w:rsidR="008F1819">
        <w:rPr>
          <w:i/>
          <w:iCs/>
        </w:rPr>
        <w:t>P</w:t>
      </w:r>
      <w:r w:rsidRPr="009464DC">
        <w:rPr>
          <w:i/>
          <w:iCs/>
        </w:rPr>
        <w:t>harmacol</w:t>
      </w:r>
      <w:r w:rsidRPr="009464DC">
        <w:t xml:space="preserve">. </w:t>
      </w:r>
      <w:r w:rsidRPr="009464DC">
        <w:rPr>
          <w:b/>
          <w:bCs/>
        </w:rPr>
        <w:t>82</w:t>
      </w:r>
      <w:r w:rsidRPr="009464DC">
        <w:t xml:space="preserve"> (8), 862–872 (2011).</w:t>
      </w:r>
    </w:p>
    <w:p w14:paraId="222D0B8D" w14:textId="0C6A1E75" w:rsidR="00771A2B" w:rsidRPr="009464DC" w:rsidRDefault="00771A2B" w:rsidP="004920E5">
      <w:pPr>
        <w:pStyle w:val="Bibliography"/>
      </w:pPr>
      <w:r w:rsidRPr="009464DC">
        <w:t>14.</w:t>
      </w:r>
      <w:r w:rsidRPr="009464DC">
        <w:tab/>
        <w:t>Nelson, M.</w:t>
      </w:r>
      <w:r w:rsidR="008F1819">
        <w:t xml:space="preserve"> </w:t>
      </w:r>
      <w:r w:rsidRPr="009464DC">
        <w:t>E.</w:t>
      </w:r>
      <w:r w:rsidR="008F1819">
        <w:t xml:space="preserve"> et al.</w:t>
      </w:r>
      <w:r w:rsidRPr="009464DC">
        <w:t xml:space="preserve"> Functional Properties of Human Nicotinic Achrs Expressed by Imr-32 Neuroblastoma Cells Resemble Those of α3β4 Achrs Expressed in Permanently Transfected Hek Cells. </w:t>
      </w:r>
      <w:r w:rsidRPr="009464DC">
        <w:rPr>
          <w:i/>
          <w:iCs/>
        </w:rPr>
        <w:t>J General Physiol</w:t>
      </w:r>
      <w:r w:rsidRPr="009464DC">
        <w:t xml:space="preserve">. </w:t>
      </w:r>
      <w:r w:rsidRPr="009464DC">
        <w:rPr>
          <w:b/>
          <w:bCs/>
        </w:rPr>
        <w:t>118</w:t>
      </w:r>
      <w:r w:rsidRPr="009464DC">
        <w:t xml:space="preserve"> (5), 563–582 (2001).</w:t>
      </w:r>
    </w:p>
    <w:p w14:paraId="3520F485" w14:textId="079DBA02" w:rsidR="00771A2B" w:rsidRPr="009464DC" w:rsidRDefault="00771A2B" w:rsidP="004920E5">
      <w:pPr>
        <w:pStyle w:val="Bibliography"/>
      </w:pPr>
      <w:r w:rsidRPr="009464DC">
        <w:t>15.</w:t>
      </w:r>
      <w:r w:rsidRPr="009464DC">
        <w:tab/>
        <w:t>Cooper, S.</w:t>
      </w:r>
      <w:r w:rsidR="008F1819">
        <w:t xml:space="preserve"> </w:t>
      </w:r>
      <w:r w:rsidRPr="009464DC">
        <w:t>T., Harkness, P.</w:t>
      </w:r>
      <w:r w:rsidR="008F1819">
        <w:t xml:space="preserve"> </w:t>
      </w:r>
      <w:r w:rsidRPr="009464DC">
        <w:t>C., Baker, E.</w:t>
      </w:r>
      <w:r w:rsidR="008F1819">
        <w:t xml:space="preserve"> </w:t>
      </w:r>
      <w:r w:rsidRPr="009464DC">
        <w:t>R., Millar, N.</w:t>
      </w:r>
      <w:r w:rsidR="008F1819">
        <w:t xml:space="preserve"> </w:t>
      </w:r>
      <w:r w:rsidRPr="009464DC">
        <w:t xml:space="preserve">S. Up-regulation of Cell-surface α4β2 Neuronal Nicotinic Receptors by Lower Temperature and Expression of Chimeric Subunits *. </w:t>
      </w:r>
      <w:r w:rsidRPr="009464DC">
        <w:rPr>
          <w:i/>
          <w:iCs/>
        </w:rPr>
        <w:t>J Biol Chem</w:t>
      </w:r>
      <w:r w:rsidRPr="009464DC">
        <w:t xml:space="preserve">. </w:t>
      </w:r>
      <w:r w:rsidRPr="009464DC">
        <w:rPr>
          <w:b/>
          <w:bCs/>
        </w:rPr>
        <w:t>274</w:t>
      </w:r>
      <w:r w:rsidRPr="009464DC">
        <w:t xml:space="preserve"> (38), 27145–27152</w:t>
      </w:r>
      <w:r w:rsidR="008F1819">
        <w:t xml:space="preserve"> (</w:t>
      </w:r>
      <w:r w:rsidRPr="009464DC">
        <w:t>1999).</w:t>
      </w:r>
    </w:p>
    <w:p w14:paraId="4C51530E" w14:textId="156A40D4" w:rsidR="00771A2B" w:rsidRPr="009464DC" w:rsidRDefault="00771A2B" w:rsidP="004920E5">
      <w:pPr>
        <w:pStyle w:val="Bibliography"/>
      </w:pPr>
      <w:r w:rsidRPr="009464DC">
        <w:t>16.</w:t>
      </w:r>
      <w:r w:rsidRPr="009464DC">
        <w:tab/>
        <w:t>Harkness, P.</w:t>
      </w:r>
      <w:r w:rsidR="008F1819">
        <w:t xml:space="preserve"> </w:t>
      </w:r>
      <w:r w:rsidRPr="009464DC">
        <w:t>C., Millar, N.</w:t>
      </w:r>
      <w:r w:rsidR="008F1819">
        <w:t xml:space="preserve"> </w:t>
      </w:r>
      <w:r w:rsidRPr="009464DC">
        <w:t xml:space="preserve">S. Inefficient cell-surface expression of hybrid complexes formed by the co-assembly of neuronal nicotinic acetylcholine receptor and serotonin receptor subunits. </w:t>
      </w:r>
      <w:r w:rsidRPr="009464DC">
        <w:rPr>
          <w:i/>
          <w:iCs/>
        </w:rPr>
        <w:t>Neuropharmacology</w:t>
      </w:r>
      <w:r w:rsidRPr="009464DC">
        <w:t xml:space="preserve">. </w:t>
      </w:r>
      <w:r w:rsidRPr="009464DC">
        <w:rPr>
          <w:b/>
          <w:bCs/>
        </w:rPr>
        <w:t>41</w:t>
      </w:r>
      <w:r w:rsidRPr="009464DC">
        <w:t xml:space="preserve"> (1), 79–87 (2001).</w:t>
      </w:r>
    </w:p>
    <w:p w14:paraId="66EC1786" w14:textId="04FDFAED" w:rsidR="00771A2B" w:rsidRPr="009464DC" w:rsidRDefault="00771A2B" w:rsidP="004920E5">
      <w:pPr>
        <w:pStyle w:val="Bibliography"/>
      </w:pPr>
      <w:r w:rsidRPr="009464DC">
        <w:t>17.</w:t>
      </w:r>
      <w:r w:rsidRPr="009464DC">
        <w:tab/>
        <w:t xml:space="preserve">Dhara, M. </w:t>
      </w:r>
      <w:r w:rsidRPr="00036338">
        <w:t>et al.</w:t>
      </w:r>
      <w:r w:rsidRPr="009464DC">
        <w:t xml:space="preserve"> Polyamine regulation of ion channel assembly and implications for nicotinic acetylcholine receptor pharmacology. </w:t>
      </w:r>
      <w:r w:rsidRPr="009464DC">
        <w:rPr>
          <w:i/>
          <w:iCs/>
        </w:rPr>
        <w:t>Na</w:t>
      </w:r>
      <w:r w:rsidR="00036338">
        <w:rPr>
          <w:i/>
          <w:iCs/>
        </w:rPr>
        <w:t>t</w:t>
      </w:r>
      <w:r w:rsidRPr="009464DC">
        <w:rPr>
          <w:i/>
          <w:iCs/>
        </w:rPr>
        <w:t xml:space="preserve"> Commun</w:t>
      </w:r>
      <w:r w:rsidRPr="009464DC">
        <w:t xml:space="preserve">. </w:t>
      </w:r>
      <w:r w:rsidRPr="009464DC">
        <w:rPr>
          <w:b/>
          <w:bCs/>
        </w:rPr>
        <w:t>11</w:t>
      </w:r>
      <w:r w:rsidRPr="009464DC">
        <w:t xml:space="preserve"> (1), 10.1038/s41467-020-16629-3 (2020).</w:t>
      </w:r>
    </w:p>
    <w:p w14:paraId="0A4F6EE9" w14:textId="03E7F15B" w:rsidR="00771A2B" w:rsidRPr="009464DC" w:rsidRDefault="00771A2B" w:rsidP="004920E5">
      <w:pPr>
        <w:pStyle w:val="Bibliography"/>
      </w:pPr>
      <w:r w:rsidRPr="009464DC">
        <w:t>18.</w:t>
      </w:r>
      <w:r w:rsidRPr="009464DC">
        <w:tab/>
        <w:t>Vallés, A.</w:t>
      </w:r>
      <w:r w:rsidR="00036338">
        <w:t xml:space="preserve"> </w:t>
      </w:r>
      <w:r w:rsidRPr="009464DC">
        <w:t>S., Roccamo, A.</w:t>
      </w:r>
      <w:r w:rsidR="00036338">
        <w:t xml:space="preserve"> </w:t>
      </w:r>
      <w:r w:rsidRPr="009464DC">
        <w:t>M., Barrantes, F.</w:t>
      </w:r>
      <w:r w:rsidR="00036338">
        <w:t xml:space="preserve"> </w:t>
      </w:r>
      <w:r w:rsidRPr="009464DC">
        <w:t xml:space="preserve">J. Ric-3 chaperone-mediated stable cell-surface expression of the neuronal α7 nicotinic acetylcholine receptor in mammalian cells. </w:t>
      </w:r>
      <w:r w:rsidRPr="009464DC">
        <w:rPr>
          <w:i/>
          <w:iCs/>
        </w:rPr>
        <w:t>Acta Pharmacol Sinica</w:t>
      </w:r>
      <w:r w:rsidRPr="009464DC">
        <w:t xml:space="preserve">. </w:t>
      </w:r>
      <w:r w:rsidRPr="009464DC">
        <w:rPr>
          <w:b/>
          <w:bCs/>
        </w:rPr>
        <w:t>30</w:t>
      </w:r>
      <w:r w:rsidRPr="009464DC">
        <w:t xml:space="preserve"> (6), 818–827 (2009).</w:t>
      </w:r>
    </w:p>
    <w:p w14:paraId="245EA475" w14:textId="0C80E5BC" w:rsidR="00771A2B" w:rsidRPr="009464DC" w:rsidRDefault="00771A2B" w:rsidP="004920E5">
      <w:pPr>
        <w:pStyle w:val="Bibliography"/>
      </w:pPr>
      <w:r w:rsidRPr="009464DC">
        <w:t>19.</w:t>
      </w:r>
      <w:r w:rsidRPr="009464DC">
        <w:tab/>
        <w:t>Dawe, G.</w:t>
      </w:r>
      <w:r w:rsidR="00036338">
        <w:t xml:space="preserve"> </w:t>
      </w:r>
      <w:r w:rsidRPr="009464DC">
        <w:t xml:space="preserve">B. </w:t>
      </w:r>
      <w:r w:rsidRPr="00036338">
        <w:t>et al. α</w:t>
      </w:r>
      <w:r w:rsidRPr="009464DC">
        <w:t xml:space="preserve">7 nicotinic acetylcholine receptor upregulation by anti-apoptotic Bcl-2 proteins. </w:t>
      </w:r>
      <w:r w:rsidRPr="009464DC">
        <w:rPr>
          <w:i/>
          <w:iCs/>
        </w:rPr>
        <w:t>Nat Comm</w:t>
      </w:r>
      <w:r w:rsidRPr="009464DC">
        <w:t xml:space="preserve">. </w:t>
      </w:r>
      <w:r w:rsidRPr="009464DC">
        <w:rPr>
          <w:b/>
          <w:bCs/>
        </w:rPr>
        <w:t>10</w:t>
      </w:r>
      <w:r w:rsidRPr="009464DC">
        <w:t xml:space="preserve"> (1), 10.1038/s41467-019-10723-x (2019).</w:t>
      </w:r>
    </w:p>
    <w:p w14:paraId="5DD7DEBD" w14:textId="10F93C45" w:rsidR="00771A2B" w:rsidRPr="009464DC" w:rsidRDefault="00771A2B" w:rsidP="004920E5">
      <w:pPr>
        <w:pStyle w:val="Bibliography"/>
      </w:pPr>
      <w:r w:rsidRPr="009464DC">
        <w:t>20.</w:t>
      </w:r>
      <w:r w:rsidRPr="009464DC">
        <w:tab/>
        <w:t>Peng, J.</w:t>
      </w:r>
      <w:r w:rsidR="00036338">
        <w:t xml:space="preserve"> </w:t>
      </w:r>
      <w:r w:rsidRPr="009464DC">
        <w:t>H.</w:t>
      </w:r>
      <w:r w:rsidR="00036338">
        <w:t xml:space="preserve"> et al.</w:t>
      </w:r>
      <w:r w:rsidRPr="009464DC">
        <w:t xml:space="preserve"> Inducible, heterologous expression of human α7-nicotinic acetylcholine receptors in a native nicotinic receptor-null human clonal line. </w:t>
      </w:r>
      <w:r w:rsidRPr="009464DC">
        <w:rPr>
          <w:i/>
          <w:iCs/>
        </w:rPr>
        <w:t>Brain Res</w:t>
      </w:r>
      <w:r w:rsidRPr="009464DC">
        <w:t xml:space="preserve">. </w:t>
      </w:r>
      <w:r w:rsidRPr="009464DC">
        <w:rPr>
          <w:b/>
          <w:bCs/>
        </w:rPr>
        <w:t>825</w:t>
      </w:r>
      <w:r w:rsidRPr="009464DC">
        <w:t xml:space="preserve"> (1–2), 172–179</w:t>
      </w:r>
      <w:r w:rsidR="00036338">
        <w:t xml:space="preserve"> </w:t>
      </w:r>
      <w:r w:rsidRPr="009464DC">
        <w:t>(1999).</w:t>
      </w:r>
    </w:p>
    <w:p w14:paraId="3D88E861" w14:textId="658E5F73" w:rsidR="00771A2B" w:rsidRPr="009464DC" w:rsidRDefault="00771A2B" w:rsidP="004920E5">
      <w:pPr>
        <w:pStyle w:val="Bibliography"/>
      </w:pPr>
      <w:r w:rsidRPr="009464DC">
        <w:t>21.</w:t>
      </w:r>
      <w:r w:rsidRPr="009464DC">
        <w:tab/>
        <w:t>Cooper, S.</w:t>
      </w:r>
      <w:r w:rsidR="00036338">
        <w:t xml:space="preserve"> </w:t>
      </w:r>
      <w:r w:rsidRPr="009464DC">
        <w:t>T., Harkness, P.</w:t>
      </w:r>
      <w:r w:rsidR="00036338">
        <w:t xml:space="preserve"> </w:t>
      </w:r>
      <w:r w:rsidRPr="009464DC">
        <w:t>C., Baker, E.</w:t>
      </w:r>
      <w:r w:rsidR="00036338">
        <w:t xml:space="preserve"> </w:t>
      </w:r>
      <w:r w:rsidRPr="009464DC">
        <w:t>R., Millar, N.</w:t>
      </w:r>
      <w:r w:rsidR="00036338">
        <w:t xml:space="preserve"> </w:t>
      </w:r>
      <w:r w:rsidRPr="009464DC">
        <w:t xml:space="preserve">S. Up-regulation of Cell-surface α4β2 Neuronal Nicotinic Receptors by Lower Temperature and Expression of Chimeric Subunits. </w:t>
      </w:r>
      <w:r w:rsidRPr="009464DC">
        <w:rPr>
          <w:i/>
          <w:iCs/>
        </w:rPr>
        <w:t>J Biol Chem</w:t>
      </w:r>
      <w:r w:rsidRPr="009464DC">
        <w:t xml:space="preserve">. </w:t>
      </w:r>
      <w:r w:rsidRPr="009464DC">
        <w:rPr>
          <w:b/>
          <w:bCs/>
        </w:rPr>
        <w:t>274</w:t>
      </w:r>
      <w:r w:rsidRPr="009464DC">
        <w:t xml:space="preserve"> (38), 27145–27152 (1999).</w:t>
      </w:r>
    </w:p>
    <w:p w14:paraId="4847A469" w14:textId="181C5A46" w:rsidR="00771A2B" w:rsidRPr="009464DC" w:rsidRDefault="00771A2B" w:rsidP="004920E5">
      <w:pPr>
        <w:pStyle w:val="Bibliography"/>
      </w:pPr>
      <w:r w:rsidRPr="009464DC">
        <w:t>22.</w:t>
      </w:r>
      <w:r w:rsidRPr="009464DC">
        <w:tab/>
        <w:t>Richards, C.</w:t>
      </w:r>
      <w:r w:rsidR="00036338">
        <w:t xml:space="preserve"> </w:t>
      </w:r>
      <w:r w:rsidRPr="009464DC">
        <w:t>I.</w:t>
      </w:r>
      <w:r w:rsidR="00036338">
        <w:t xml:space="preserve"> et al</w:t>
      </w:r>
      <w:r w:rsidRPr="009464DC">
        <w:t xml:space="preserve">. Trafficking of α4* Nicotinic Receptors Revealed by Superecliptic Phluorin. </w:t>
      </w:r>
      <w:r w:rsidRPr="009464DC">
        <w:rPr>
          <w:i/>
          <w:iCs/>
        </w:rPr>
        <w:t>J Biol Chem</w:t>
      </w:r>
      <w:r w:rsidRPr="009464DC">
        <w:t xml:space="preserve">. </w:t>
      </w:r>
      <w:r w:rsidRPr="009464DC">
        <w:rPr>
          <w:b/>
          <w:bCs/>
        </w:rPr>
        <w:t>286</w:t>
      </w:r>
      <w:r w:rsidRPr="009464DC">
        <w:t xml:space="preserve"> (36), 31241–31249</w:t>
      </w:r>
      <w:r w:rsidR="00036338">
        <w:t xml:space="preserve"> </w:t>
      </w:r>
      <w:r w:rsidRPr="009464DC">
        <w:t>(2011).</w:t>
      </w:r>
    </w:p>
    <w:p w14:paraId="7F7B1B72" w14:textId="3515F69B" w:rsidR="00771A2B" w:rsidRPr="009464DC" w:rsidRDefault="00771A2B" w:rsidP="004920E5">
      <w:pPr>
        <w:pStyle w:val="Bibliography"/>
      </w:pPr>
      <w:r w:rsidRPr="009464DC">
        <w:lastRenderedPageBreak/>
        <w:t>23.</w:t>
      </w:r>
      <w:r w:rsidRPr="009464DC">
        <w:tab/>
        <w:t>Shen, Y., Rosendale, M., Campbell, R.</w:t>
      </w:r>
      <w:r w:rsidR="00036338">
        <w:t xml:space="preserve"> </w:t>
      </w:r>
      <w:r w:rsidRPr="009464DC">
        <w:t xml:space="preserve">E., Perrais, D. pHuji, a pH-sensitive red fluorescent protein for imaging of exo- and endocytosis. </w:t>
      </w:r>
      <w:r w:rsidRPr="009464DC">
        <w:rPr>
          <w:i/>
          <w:iCs/>
        </w:rPr>
        <w:t>J Cell Biol</w:t>
      </w:r>
      <w:r w:rsidRPr="009464DC">
        <w:t xml:space="preserve">. </w:t>
      </w:r>
      <w:r w:rsidRPr="009464DC">
        <w:rPr>
          <w:b/>
          <w:bCs/>
        </w:rPr>
        <w:t>207</w:t>
      </w:r>
      <w:r w:rsidRPr="009464DC">
        <w:t xml:space="preserve"> (3), 419–432 (2014).</w:t>
      </w:r>
    </w:p>
    <w:p w14:paraId="30D8D34F" w14:textId="63AD40B2" w:rsidR="00771A2B" w:rsidRPr="009464DC" w:rsidRDefault="00771A2B" w:rsidP="004920E5">
      <w:pPr>
        <w:pStyle w:val="Bibliography"/>
      </w:pPr>
      <w:r w:rsidRPr="009464DC">
        <w:t>24.</w:t>
      </w:r>
      <w:r w:rsidRPr="009464DC">
        <w:tab/>
        <w:t>Miesenböck, G., De Angelis, D.</w:t>
      </w:r>
      <w:r w:rsidR="00036338">
        <w:t xml:space="preserve"> </w:t>
      </w:r>
      <w:r w:rsidRPr="009464DC">
        <w:t>A., Rothman, J.</w:t>
      </w:r>
      <w:r w:rsidR="00036338">
        <w:t xml:space="preserve"> </w:t>
      </w:r>
      <w:r w:rsidRPr="009464DC">
        <w:t xml:space="preserve">E. Visualizing secretion and synaptic transmission with pH-sensitive green fluorescent proteins. </w:t>
      </w:r>
      <w:r w:rsidRPr="009464DC">
        <w:rPr>
          <w:i/>
          <w:iCs/>
        </w:rPr>
        <w:t>Nature</w:t>
      </w:r>
      <w:r w:rsidRPr="009464DC">
        <w:t xml:space="preserve">. </w:t>
      </w:r>
      <w:r w:rsidRPr="009464DC">
        <w:rPr>
          <w:b/>
          <w:bCs/>
        </w:rPr>
        <w:t>394</w:t>
      </w:r>
      <w:r w:rsidRPr="009464DC">
        <w:t xml:space="preserve"> (6689), 192–195 (1998).</w:t>
      </w:r>
    </w:p>
    <w:p w14:paraId="092F50F3" w14:textId="6A03AFD7" w:rsidR="00771A2B" w:rsidRPr="009464DC" w:rsidRDefault="00771A2B" w:rsidP="004920E5">
      <w:pPr>
        <w:pStyle w:val="Bibliography"/>
      </w:pPr>
      <w:r w:rsidRPr="009464DC">
        <w:t>25.</w:t>
      </w:r>
      <w:r w:rsidRPr="009464DC">
        <w:tab/>
        <w:t>O’Brien, B.</w:t>
      </w:r>
      <w:r w:rsidR="00036338">
        <w:t xml:space="preserve"> </w:t>
      </w:r>
      <w:r w:rsidRPr="009464DC">
        <w:t>C.</w:t>
      </w:r>
      <w:r w:rsidR="00036338">
        <w:t xml:space="preserve"> </w:t>
      </w:r>
      <w:r w:rsidRPr="009464DC">
        <w:t>V., Weber, L., Hueffer, K., Weltzin, M.</w:t>
      </w:r>
      <w:r w:rsidR="00036338">
        <w:t xml:space="preserve"> </w:t>
      </w:r>
      <w:r w:rsidRPr="009464DC">
        <w:t xml:space="preserve">M. SARS-CoV-2 spike ectodomain targets α7 nicotinic acetylcholine receptors. </w:t>
      </w:r>
      <w:r w:rsidRPr="009464DC">
        <w:rPr>
          <w:i/>
          <w:iCs/>
        </w:rPr>
        <w:t>J Biol Chem</w:t>
      </w:r>
      <w:r w:rsidRPr="009464DC">
        <w:t xml:space="preserve">. </w:t>
      </w:r>
      <w:r w:rsidRPr="009464DC">
        <w:rPr>
          <w:b/>
          <w:bCs/>
        </w:rPr>
        <w:t>299</w:t>
      </w:r>
      <w:r w:rsidRPr="009464DC">
        <w:t xml:space="preserve"> (5), 104707</w:t>
      </w:r>
      <w:r w:rsidR="00036338">
        <w:t xml:space="preserve"> </w:t>
      </w:r>
      <w:r w:rsidRPr="009464DC">
        <w:t>(2023).</w:t>
      </w:r>
    </w:p>
    <w:p w14:paraId="7741262F" w14:textId="4A2F1763" w:rsidR="00771A2B" w:rsidRPr="009464DC" w:rsidRDefault="00771A2B" w:rsidP="004920E5">
      <w:pPr>
        <w:pStyle w:val="Bibliography"/>
      </w:pPr>
      <w:r w:rsidRPr="009464DC">
        <w:t>26.</w:t>
      </w:r>
      <w:r w:rsidRPr="009464DC">
        <w:tab/>
        <w:t>O’Brien, B.</w:t>
      </w:r>
      <w:r w:rsidR="00036338">
        <w:t xml:space="preserve"> </w:t>
      </w:r>
      <w:r w:rsidRPr="009464DC">
        <w:t>C.</w:t>
      </w:r>
      <w:r w:rsidR="00036338">
        <w:t xml:space="preserve"> </w:t>
      </w:r>
      <w:r w:rsidRPr="009464DC">
        <w:t>V.</w:t>
      </w:r>
      <w:r w:rsidRPr="00036338">
        <w:t xml:space="preserve"> et al</w:t>
      </w:r>
      <w:r w:rsidRPr="009464DC">
        <w:rPr>
          <w:i/>
          <w:iCs/>
        </w:rPr>
        <w:t>.</w:t>
      </w:r>
      <w:r w:rsidRPr="009464DC">
        <w:t xml:space="preserve"> The human alpha7 nicotinic acetylcholine receptor is a host target for the rabies virus glycoprotein. </w:t>
      </w:r>
      <w:r w:rsidRPr="009464DC">
        <w:rPr>
          <w:i/>
          <w:iCs/>
        </w:rPr>
        <w:t>Front Cell Infect Microbiol</w:t>
      </w:r>
      <w:r w:rsidRPr="009464DC">
        <w:t xml:space="preserve">. </w:t>
      </w:r>
      <w:r w:rsidRPr="009464DC">
        <w:rPr>
          <w:b/>
          <w:bCs/>
        </w:rPr>
        <w:t>14</w:t>
      </w:r>
      <w:r w:rsidRPr="009464DC">
        <w:t>, 10.3389/fcimb.2024.1394713 (2024).</w:t>
      </w:r>
    </w:p>
    <w:p w14:paraId="1962C3DA" w14:textId="3632F183" w:rsidR="00771A2B" w:rsidRPr="009464DC" w:rsidRDefault="00771A2B" w:rsidP="004920E5">
      <w:pPr>
        <w:pStyle w:val="Bibliography"/>
      </w:pPr>
      <w:r w:rsidRPr="009464DC">
        <w:t>27.</w:t>
      </w:r>
      <w:r w:rsidRPr="009464DC">
        <w:tab/>
        <w:t>Shen, Y., Rosendale, M., Campbell, R.</w:t>
      </w:r>
      <w:r w:rsidR="00036338">
        <w:t xml:space="preserve"> </w:t>
      </w:r>
      <w:r w:rsidRPr="009464DC">
        <w:t xml:space="preserve">E., Perrais, D. pHuji, a pH-sensitive red fluorescent protein for imaging of exo- and endocytosis. </w:t>
      </w:r>
      <w:r w:rsidRPr="009464DC">
        <w:rPr>
          <w:i/>
          <w:iCs/>
        </w:rPr>
        <w:t>J Cell Biol</w:t>
      </w:r>
      <w:r w:rsidRPr="009464DC">
        <w:t xml:space="preserve">. </w:t>
      </w:r>
      <w:r w:rsidRPr="009464DC">
        <w:rPr>
          <w:b/>
          <w:bCs/>
        </w:rPr>
        <w:t>207</w:t>
      </w:r>
      <w:r w:rsidRPr="009464DC">
        <w:t xml:space="preserve"> (3), 419–432</w:t>
      </w:r>
      <w:r w:rsidR="00036338">
        <w:t xml:space="preserve"> </w:t>
      </w:r>
      <w:r w:rsidRPr="009464DC">
        <w:t>(2014).</w:t>
      </w:r>
    </w:p>
    <w:p w14:paraId="7D002F86" w14:textId="3D64A3CB" w:rsidR="00771A2B" w:rsidRPr="009464DC" w:rsidRDefault="00771A2B" w:rsidP="004920E5">
      <w:pPr>
        <w:pStyle w:val="Bibliography"/>
      </w:pPr>
      <w:r w:rsidRPr="009464DC">
        <w:t>28.</w:t>
      </w:r>
      <w:r w:rsidRPr="009464DC">
        <w:tab/>
        <w:t>Sankaranarayanan, S., Angelis, D.</w:t>
      </w:r>
      <w:r w:rsidR="00036338">
        <w:t xml:space="preserve"> </w:t>
      </w:r>
      <w:r w:rsidRPr="009464DC">
        <w:t>D., Rothman, J.</w:t>
      </w:r>
      <w:r w:rsidR="00036338">
        <w:t xml:space="preserve"> </w:t>
      </w:r>
      <w:r w:rsidRPr="009464DC">
        <w:t>E., Ryan, T.</w:t>
      </w:r>
      <w:r w:rsidR="00036338">
        <w:t xml:space="preserve"> </w:t>
      </w:r>
      <w:r w:rsidRPr="009464DC">
        <w:t xml:space="preserve">A. The Use of pHluorins for Optical Measurements of Presynaptic Activity. </w:t>
      </w:r>
      <w:r w:rsidRPr="009464DC">
        <w:rPr>
          <w:i/>
          <w:iCs/>
        </w:rPr>
        <w:t>Biophy J</w:t>
      </w:r>
      <w:r w:rsidRPr="009464DC">
        <w:t xml:space="preserve">. </w:t>
      </w:r>
      <w:r w:rsidRPr="009464DC">
        <w:rPr>
          <w:b/>
          <w:bCs/>
        </w:rPr>
        <w:t>79</w:t>
      </w:r>
      <w:r w:rsidRPr="009464DC">
        <w:t xml:space="preserve"> (4), 2199–2208 (2000).</w:t>
      </w:r>
    </w:p>
    <w:p w14:paraId="0B2C23C4" w14:textId="57C41916" w:rsidR="00771A2B" w:rsidRPr="009464DC" w:rsidRDefault="00771A2B" w:rsidP="004920E5">
      <w:pPr>
        <w:pStyle w:val="Bibliography"/>
      </w:pPr>
      <w:r w:rsidRPr="009464DC">
        <w:t>29.</w:t>
      </w:r>
      <w:r w:rsidRPr="009464DC">
        <w:tab/>
        <w:t>Henderson, B.</w:t>
      </w:r>
      <w:r w:rsidR="00036338">
        <w:t xml:space="preserve"> </w:t>
      </w:r>
      <w:r w:rsidRPr="009464DC">
        <w:t xml:space="preserve">J. </w:t>
      </w:r>
      <w:r w:rsidRPr="00036338">
        <w:t>et al.</w:t>
      </w:r>
      <w:r w:rsidRPr="009464DC">
        <w:t xml:space="preserve"> Nicotine exploits a COPI-mediated process for chaperone-mediated up-regulation of its receptors. </w:t>
      </w:r>
      <w:r w:rsidRPr="009464DC">
        <w:rPr>
          <w:i/>
          <w:iCs/>
        </w:rPr>
        <w:t>J General Physiol</w:t>
      </w:r>
      <w:r w:rsidRPr="009464DC">
        <w:t xml:space="preserve">. </w:t>
      </w:r>
      <w:r w:rsidRPr="009464DC">
        <w:rPr>
          <w:b/>
          <w:bCs/>
        </w:rPr>
        <w:t>143</w:t>
      </w:r>
      <w:r w:rsidRPr="009464DC">
        <w:t xml:space="preserve"> (1), 51–66 (2013).</w:t>
      </w:r>
    </w:p>
    <w:p w14:paraId="3764C1E3" w14:textId="354CDD40" w:rsidR="00771A2B" w:rsidRPr="009464DC" w:rsidRDefault="00771A2B" w:rsidP="004920E5">
      <w:pPr>
        <w:pStyle w:val="Bibliography"/>
      </w:pPr>
      <w:r w:rsidRPr="009464DC">
        <w:t>30.</w:t>
      </w:r>
      <w:r w:rsidRPr="009464DC">
        <w:tab/>
        <w:t>Nichols, W.</w:t>
      </w:r>
      <w:r w:rsidR="00104A38">
        <w:t xml:space="preserve"> </w:t>
      </w:r>
      <w:r w:rsidRPr="009464DC">
        <w:t xml:space="preserve">A. </w:t>
      </w:r>
      <w:r w:rsidRPr="00104A38">
        <w:t>et al.</w:t>
      </w:r>
      <w:r w:rsidRPr="009464DC">
        <w:t xml:space="preserve"> Lynx1 Shifts α4β2 Nicotinic Receptor Subunit Stoichiometry by Affecting Assembly in the Endoplasmic Reticulum.</w:t>
      </w:r>
      <w:r w:rsidR="00104A38">
        <w:t xml:space="preserve"> </w:t>
      </w:r>
      <w:r w:rsidRPr="009464DC">
        <w:rPr>
          <w:i/>
          <w:iCs/>
        </w:rPr>
        <w:t>J Biol Chem</w:t>
      </w:r>
      <w:r w:rsidRPr="009464DC">
        <w:t xml:space="preserve">. </w:t>
      </w:r>
      <w:r w:rsidRPr="009464DC">
        <w:rPr>
          <w:b/>
          <w:bCs/>
        </w:rPr>
        <w:t>289</w:t>
      </w:r>
      <w:r w:rsidRPr="009464DC">
        <w:t xml:space="preserve"> (45), 31423–31432 (2014).</w:t>
      </w:r>
    </w:p>
    <w:p w14:paraId="2F6EF756" w14:textId="7A39844E" w:rsidR="00771A2B" w:rsidRPr="009464DC" w:rsidRDefault="00771A2B" w:rsidP="004920E5">
      <w:pPr>
        <w:pStyle w:val="Bibliography"/>
      </w:pPr>
      <w:r w:rsidRPr="009464DC">
        <w:t>31.</w:t>
      </w:r>
      <w:r w:rsidRPr="009464DC">
        <w:tab/>
        <w:t>Subach, O.</w:t>
      </w:r>
      <w:r w:rsidR="00104A38">
        <w:t xml:space="preserve"> </w:t>
      </w:r>
      <w:r w:rsidRPr="009464DC">
        <w:t>M., Cranfill, P.</w:t>
      </w:r>
      <w:r w:rsidR="00104A38">
        <w:t xml:space="preserve"> </w:t>
      </w:r>
      <w:r w:rsidRPr="009464DC">
        <w:t>J., Davidson, M.</w:t>
      </w:r>
      <w:r w:rsidR="00104A38">
        <w:t xml:space="preserve"> </w:t>
      </w:r>
      <w:r w:rsidRPr="009464DC">
        <w:t>W., Verkhusha, V.</w:t>
      </w:r>
      <w:r w:rsidR="00104A38">
        <w:t xml:space="preserve"> </w:t>
      </w:r>
      <w:r w:rsidRPr="009464DC">
        <w:t xml:space="preserve">V. An Enhanced Monomeric Blue Fluorescent Protein with the High Chemical Stability of the Chromophore. </w:t>
      </w:r>
      <w:r w:rsidRPr="009464DC">
        <w:rPr>
          <w:i/>
          <w:iCs/>
        </w:rPr>
        <w:t>PLoS O</w:t>
      </w:r>
      <w:r w:rsidR="00104A38">
        <w:rPr>
          <w:i/>
          <w:iCs/>
        </w:rPr>
        <w:t>ne</w:t>
      </w:r>
      <w:r w:rsidRPr="009464DC">
        <w:t xml:space="preserve">. </w:t>
      </w:r>
      <w:r w:rsidRPr="009464DC">
        <w:rPr>
          <w:b/>
          <w:bCs/>
        </w:rPr>
        <w:t>6</w:t>
      </w:r>
      <w:r w:rsidRPr="009464DC">
        <w:t xml:space="preserve"> (12), e28674 (2011).</w:t>
      </w:r>
    </w:p>
    <w:p w14:paraId="4F1357DD" w14:textId="79FEE1DA" w:rsidR="00771A2B" w:rsidRPr="009464DC" w:rsidRDefault="00771A2B" w:rsidP="004920E5">
      <w:pPr>
        <w:pStyle w:val="Bibliography"/>
      </w:pPr>
      <w:r w:rsidRPr="009464DC">
        <w:t>32.</w:t>
      </w:r>
      <w:r w:rsidRPr="009464DC">
        <w:tab/>
        <w:t>Fitzpatrick, M. Measuring cell fluorescence using ImageJ. http://theolb.readthedocs.io/en/latest/imaging/measuring-cell-fluorescence-using-imagej.html#measuring-cell-fluorescence-using-imagej.</w:t>
      </w:r>
    </w:p>
    <w:p w14:paraId="341E86E9" w14:textId="51FE6338" w:rsidR="00771A2B" w:rsidRPr="009464DC" w:rsidRDefault="00771A2B" w:rsidP="004920E5">
      <w:pPr>
        <w:pStyle w:val="Bibliography"/>
      </w:pPr>
      <w:r w:rsidRPr="009464DC">
        <w:t>33.</w:t>
      </w:r>
      <w:r w:rsidRPr="009464DC">
        <w:tab/>
        <w:t xml:space="preserve">Srinivasan, R. </w:t>
      </w:r>
      <w:r w:rsidRPr="00104A38">
        <w:t>et al</w:t>
      </w:r>
      <w:r w:rsidRPr="009464DC">
        <w:rPr>
          <w:i/>
          <w:iCs/>
        </w:rPr>
        <w:t>.</w:t>
      </w:r>
      <w:r w:rsidRPr="009464DC">
        <w:t xml:space="preserve"> Nicotine up-regulates α4β2 nicotinic receptors and ER exit sites via stoichiometry-dependent chaperoning. </w:t>
      </w:r>
      <w:r w:rsidRPr="009464DC">
        <w:rPr>
          <w:i/>
          <w:iCs/>
        </w:rPr>
        <w:t>J Gen Physiol</w:t>
      </w:r>
      <w:r w:rsidRPr="009464DC">
        <w:t xml:space="preserve">. </w:t>
      </w:r>
      <w:r w:rsidRPr="009464DC">
        <w:rPr>
          <w:b/>
          <w:bCs/>
        </w:rPr>
        <w:t>137</w:t>
      </w:r>
      <w:r w:rsidRPr="009464DC">
        <w:t xml:space="preserve"> (1), 59–79 (2011).</w:t>
      </w:r>
    </w:p>
    <w:p w14:paraId="122A7961" w14:textId="0570395A" w:rsidR="00771A2B" w:rsidRPr="009464DC" w:rsidRDefault="00771A2B" w:rsidP="004920E5">
      <w:pPr>
        <w:pStyle w:val="Bibliography"/>
      </w:pPr>
      <w:r w:rsidRPr="009464DC">
        <w:t>34.</w:t>
      </w:r>
      <w:r w:rsidRPr="009464DC">
        <w:tab/>
        <w:t>Subach, O.</w:t>
      </w:r>
      <w:r w:rsidR="00104A38">
        <w:t xml:space="preserve"> </w:t>
      </w:r>
      <w:r w:rsidRPr="009464DC">
        <w:t>M., Cranfill, P.</w:t>
      </w:r>
      <w:r w:rsidR="00104A38">
        <w:t xml:space="preserve"> </w:t>
      </w:r>
      <w:r w:rsidRPr="009464DC">
        <w:t>J., Davidson, M.</w:t>
      </w:r>
      <w:r w:rsidR="00104A38">
        <w:t xml:space="preserve"> </w:t>
      </w:r>
      <w:r w:rsidRPr="009464DC">
        <w:t>W., Verkhusha, V.</w:t>
      </w:r>
      <w:r w:rsidR="00104A38">
        <w:t xml:space="preserve"> </w:t>
      </w:r>
      <w:r w:rsidRPr="009464DC">
        <w:t xml:space="preserve">V. An Enhanced Monomeric Blue Fluorescent Protein with the High Chemical Stability of the Chromophore. </w:t>
      </w:r>
      <w:r w:rsidRPr="009464DC">
        <w:rPr>
          <w:i/>
          <w:iCs/>
        </w:rPr>
        <w:t>PLoS O</w:t>
      </w:r>
      <w:r w:rsidR="00104A38">
        <w:rPr>
          <w:i/>
          <w:iCs/>
        </w:rPr>
        <w:t>ne</w:t>
      </w:r>
      <w:r w:rsidRPr="009464DC">
        <w:t xml:space="preserve">. </w:t>
      </w:r>
      <w:r w:rsidRPr="009464DC">
        <w:rPr>
          <w:b/>
          <w:bCs/>
        </w:rPr>
        <w:t>6</w:t>
      </w:r>
      <w:r w:rsidRPr="009464DC">
        <w:t xml:space="preserve"> (12), e28674 (2011).</w:t>
      </w:r>
    </w:p>
    <w:p w14:paraId="027F44D3" w14:textId="1D3A25BE" w:rsidR="00771A2B" w:rsidRPr="009464DC" w:rsidRDefault="00771A2B" w:rsidP="004920E5">
      <w:pPr>
        <w:pStyle w:val="Bibliography"/>
      </w:pPr>
      <w:r w:rsidRPr="009464DC">
        <w:t>35.</w:t>
      </w:r>
      <w:r w:rsidRPr="009464DC">
        <w:tab/>
        <w:t>Matta, J.</w:t>
      </w:r>
      <w:r w:rsidR="00C3603A">
        <w:t xml:space="preserve"> </w:t>
      </w:r>
      <w:r w:rsidRPr="009464DC">
        <w:t xml:space="preserve">A. </w:t>
      </w:r>
      <w:r w:rsidRPr="00C3603A">
        <w:t>et al</w:t>
      </w:r>
      <w:r w:rsidRPr="009464DC">
        <w:rPr>
          <w:i/>
          <w:iCs/>
        </w:rPr>
        <w:t>.</w:t>
      </w:r>
      <w:r w:rsidRPr="009464DC">
        <w:t xml:space="preserve"> NACHO Mediates Nicotinic Acetylcholine Receptor Function throughout the Brain. </w:t>
      </w:r>
      <w:r w:rsidRPr="009464DC">
        <w:rPr>
          <w:i/>
          <w:iCs/>
        </w:rPr>
        <w:t>Cell Rep</w:t>
      </w:r>
      <w:r w:rsidRPr="009464DC">
        <w:t xml:space="preserve">. </w:t>
      </w:r>
      <w:r w:rsidRPr="009464DC">
        <w:rPr>
          <w:b/>
          <w:bCs/>
        </w:rPr>
        <w:t>19</w:t>
      </w:r>
      <w:r w:rsidRPr="009464DC">
        <w:t xml:space="preserve"> (4), 688–696 (2017).</w:t>
      </w:r>
    </w:p>
    <w:p w14:paraId="67800A2C" w14:textId="03B77787" w:rsidR="00771A2B" w:rsidRPr="009464DC" w:rsidRDefault="00771A2B" w:rsidP="004920E5">
      <w:pPr>
        <w:pStyle w:val="Bibliography"/>
      </w:pPr>
      <w:r w:rsidRPr="009464DC">
        <w:t>36.</w:t>
      </w:r>
      <w:r w:rsidRPr="009464DC">
        <w:tab/>
        <w:t>Flores, C.</w:t>
      </w:r>
      <w:r w:rsidR="00C3603A">
        <w:t xml:space="preserve"> </w:t>
      </w:r>
      <w:r w:rsidRPr="009464DC">
        <w:t>M., Rogers, S.</w:t>
      </w:r>
      <w:r w:rsidR="00C3603A">
        <w:t xml:space="preserve"> </w:t>
      </w:r>
      <w:r w:rsidRPr="009464DC">
        <w:t>W., Pabreza, L.</w:t>
      </w:r>
      <w:r w:rsidR="00C3603A">
        <w:t xml:space="preserve"> </w:t>
      </w:r>
      <w:r w:rsidRPr="009464DC">
        <w:t>A., Wolfe, B.</w:t>
      </w:r>
      <w:r w:rsidR="00C3603A">
        <w:t xml:space="preserve"> </w:t>
      </w:r>
      <w:r w:rsidRPr="009464DC">
        <w:t>B., Kellar, K.</w:t>
      </w:r>
      <w:r w:rsidR="00C3603A">
        <w:t xml:space="preserve"> </w:t>
      </w:r>
      <w:r w:rsidRPr="009464DC">
        <w:t xml:space="preserve">J. A subtype of nicotinic cholinergic receptor in rat brain is composed of alpha 4 and beta 2 subunits and is up-regulated by chronic nicotine treatment. </w:t>
      </w:r>
      <w:r w:rsidRPr="009464DC">
        <w:rPr>
          <w:i/>
          <w:iCs/>
        </w:rPr>
        <w:t>Mol Pharmacol</w:t>
      </w:r>
      <w:r w:rsidRPr="009464DC">
        <w:t xml:space="preserve">. </w:t>
      </w:r>
      <w:r w:rsidRPr="009464DC">
        <w:rPr>
          <w:b/>
          <w:bCs/>
        </w:rPr>
        <w:t>41</w:t>
      </w:r>
      <w:r w:rsidRPr="009464DC">
        <w:t xml:space="preserve"> (1), 31–37 (1992).</w:t>
      </w:r>
    </w:p>
    <w:p w14:paraId="36132AAE" w14:textId="7B977D58" w:rsidR="00771A2B" w:rsidRPr="009464DC" w:rsidRDefault="00771A2B" w:rsidP="004920E5">
      <w:pPr>
        <w:pStyle w:val="Bibliography"/>
      </w:pPr>
      <w:r w:rsidRPr="009464DC">
        <w:t>37.</w:t>
      </w:r>
      <w:r w:rsidRPr="009464DC">
        <w:tab/>
        <w:t>Mazzaferro, S., Whiteman, S.</w:t>
      </w:r>
      <w:r w:rsidR="00C3603A">
        <w:t xml:space="preserve"> </w:t>
      </w:r>
      <w:r w:rsidRPr="009464DC">
        <w:t>T., Alcaino, C., Beyder, A., Sine, S.</w:t>
      </w:r>
      <w:r w:rsidR="00C3603A">
        <w:t xml:space="preserve"> </w:t>
      </w:r>
      <w:r w:rsidRPr="009464DC">
        <w:t xml:space="preserve">M. NACHO and 14-3-3 promote expression of distinct subunit stoichiometries of the α4β2 acetylcholine receptor. </w:t>
      </w:r>
      <w:r w:rsidRPr="009464DC">
        <w:rPr>
          <w:i/>
          <w:iCs/>
        </w:rPr>
        <w:t>Cell Mol Life Sci</w:t>
      </w:r>
      <w:r w:rsidRPr="009464DC">
        <w:t xml:space="preserve">. </w:t>
      </w:r>
      <w:r w:rsidRPr="009464DC">
        <w:rPr>
          <w:b/>
          <w:bCs/>
        </w:rPr>
        <w:t>78</w:t>
      </w:r>
      <w:r w:rsidRPr="009464DC">
        <w:t xml:space="preserve"> (4), 1565–1575 (2021).</w:t>
      </w:r>
    </w:p>
    <w:p w14:paraId="185926E3" w14:textId="765062C8" w:rsidR="00771A2B" w:rsidRPr="009464DC" w:rsidRDefault="00771A2B" w:rsidP="004920E5">
      <w:pPr>
        <w:pStyle w:val="Bibliography"/>
      </w:pPr>
      <w:r w:rsidRPr="009464DC">
        <w:t>38.</w:t>
      </w:r>
      <w:r w:rsidRPr="009464DC">
        <w:tab/>
        <w:t>Nichols, W.</w:t>
      </w:r>
      <w:r w:rsidR="00C3603A">
        <w:t xml:space="preserve"> </w:t>
      </w:r>
      <w:r w:rsidRPr="009464DC">
        <w:t xml:space="preserve">A. </w:t>
      </w:r>
      <w:r w:rsidRPr="00C3603A">
        <w:t>et al.</w:t>
      </w:r>
      <w:r w:rsidRPr="009464DC">
        <w:t xml:space="preserve"> Lynx1 Shifts α4β2 Nicotinic Receptor Subunit Stoichiometry by Affecting Assembly in the Endoplasmic Reticulum. </w:t>
      </w:r>
      <w:r w:rsidRPr="009464DC">
        <w:rPr>
          <w:i/>
          <w:iCs/>
        </w:rPr>
        <w:t>J Biol Chem</w:t>
      </w:r>
      <w:r w:rsidRPr="009464DC">
        <w:t xml:space="preserve">. </w:t>
      </w:r>
      <w:r w:rsidRPr="009464DC">
        <w:rPr>
          <w:b/>
          <w:bCs/>
        </w:rPr>
        <w:t>289</w:t>
      </w:r>
      <w:r w:rsidRPr="009464DC">
        <w:t xml:space="preserve"> (45), 31423–31432 (2014).</w:t>
      </w:r>
    </w:p>
    <w:p w14:paraId="2F35857E" w14:textId="4C1625BE" w:rsidR="00771A2B" w:rsidRPr="009464DC" w:rsidRDefault="00771A2B" w:rsidP="004920E5">
      <w:pPr>
        <w:pStyle w:val="Bibliography"/>
      </w:pPr>
      <w:r w:rsidRPr="009464DC">
        <w:t>39.</w:t>
      </w:r>
      <w:r w:rsidRPr="009464DC">
        <w:tab/>
        <w:t xml:space="preserve">Fasoli, F. </w:t>
      </w:r>
      <w:r w:rsidRPr="00C3603A">
        <w:t xml:space="preserve">et al. </w:t>
      </w:r>
      <w:r w:rsidRPr="009464DC">
        <w:t xml:space="preserve">In vivo chronic nicotine exposure differentially and reversibly affects upregulation and stoichiometry of α4β2 nicotinic receptors in cortex and thalamus. </w:t>
      </w:r>
      <w:r w:rsidRPr="009464DC">
        <w:rPr>
          <w:i/>
          <w:iCs/>
        </w:rPr>
        <w:t>Neuropharmacology</w:t>
      </w:r>
      <w:r w:rsidRPr="009464DC">
        <w:t xml:space="preserve">. </w:t>
      </w:r>
      <w:r w:rsidRPr="009464DC">
        <w:rPr>
          <w:b/>
          <w:bCs/>
        </w:rPr>
        <w:t>108</w:t>
      </w:r>
      <w:r w:rsidRPr="009464DC">
        <w:t>, 324–331 (2016).</w:t>
      </w:r>
    </w:p>
    <w:p w14:paraId="334F0100" w14:textId="341B6E93" w:rsidR="00771A2B" w:rsidRPr="009464DC" w:rsidRDefault="00771A2B" w:rsidP="004920E5">
      <w:pPr>
        <w:pStyle w:val="Bibliography"/>
      </w:pPr>
      <w:r w:rsidRPr="009464DC">
        <w:t>40.</w:t>
      </w:r>
      <w:r w:rsidRPr="009464DC">
        <w:tab/>
        <w:t xml:space="preserve">Wada, E. </w:t>
      </w:r>
      <w:r w:rsidRPr="00C3603A">
        <w:t>et al.</w:t>
      </w:r>
      <w:r w:rsidRPr="009464DC">
        <w:t xml:space="preserve"> Distribution of alpha2, alpha3, alpha4, and beta2 neuronal nicotinic receptor subunit mRNAs in the central nervous system: A hybridization histochemical study in the rat. </w:t>
      </w:r>
      <w:r w:rsidRPr="009464DC">
        <w:rPr>
          <w:i/>
          <w:iCs/>
        </w:rPr>
        <w:lastRenderedPageBreak/>
        <w:t>J Comparat</w:t>
      </w:r>
      <w:r w:rsidR="00C3603A">
        <w:rPr>
          <w:i/>
          <w:iCs/>
        </w:rPr>
        <w:t>ive</w:t>
      </w:r>
      <w:r w:rsidRPr="009464DC">
        <w:rPr>
          <w:i/>
          <w:iCs/>
        </w:rPr>
        <w:t xml:space="preserve"> Neurol</w:t>
      </w:r>
      <w:r w:rsidRPr="009464DC">
        <w:t xml:space="preserve">. </w:t>
      </w:r>
      <w:r w:rsidRPr="009464DC">
        <w:rPr>
          <w:b/>
          <w:bCs/>
        </w:rPr>
        <w:t>284</w:t>
      </w:r>
      <w:r w:rsidRPr="009464DC">
        <w:t xml:space="preserve"> (2), 314–335 (1989).</w:t>
      </w:r>
    </w:p>
    <w:p w14:paraId="78E628C0" w14:textId="6DB095CD" w:rsidR="00771A2B" w:rsidRPr="009464DC" w:rsidRDefault="00771A2B" w:rsidP="004920E5">
      <w:pPr>
        <w:pStyle w:val="Bibliography"/>
      </w:pPr>
      <w:r w:rsidRPr="009464DC">
        <w:t>41.</w:t>
      </w:r>
      <w:r w:rsidRPr="009464DC">
        <w:tab/>
        <w:t>Zoli, M., Léna, C., Picciotto, M.</w:t>
      </w:r>
      <w:r w:rsidR="00C3603A">
        <w:t xml:space="preserve"> </w:t>
      </w:r>
      <w:r w:rsidRPr="009464DC">
        <w:t>R., Changeux, J.</w:t>
      </w:r>
      <w:r w:rsidR="00C3603A">
        <w:t xml:space="preserve"> </w:t>
      </w:r>
      <w:r w:rsidRPr="009464DC">
        <w:t xml:space="preserve">P. Identification of Four Classes of Brain Nicotinic Receptors Using β2 Mutant Mice. </w:t>
      </w:r>
      <w:r w:rsidRPr="009464DC">
        <w:rPr>
          <w:i/>
          <w:iCs/>
        </w:rPr>
        <w:t>J Neurosci</w:t>
      </w:r>
      <w:r w:rsidRPr="009464DC">
        <w:t xml:space="preserve">. </w:t>
      </w:r>
      <w:r w:rsidRPr="009464DC">
        <w:rPr>
          <w:b/>
          <w:bCs/>
        </w:rPr>
        <w:t>18</w:t>
      </w:r>
      <w:r w:rsidRPr="009464DC">
        <w:t xml:space="preserve"> (12), 4461–4472</w:t>
      </w:r>
      <w:r w:rsidR="00C3603A">
        <w:t xml:space="preserve"> </w:t>
      </w:r>
      <w:r w:rsidRPr="009464DC">
        <w:t>(1998).</w:t>
      </w:r>
    </w:p>
    <w:p w14:paraId="30B64018" w14:textId="2020F2AB" w:rsidR="00771A2B" w:rsidRPr="009464DC" w:rsidRDefault="00771A2B" w:rsidP="004920E5">
      <w:pPr>
        <w:pStyle w:val="Bibliography"/>
      </w:pPr>
      <w:r w:rsidRPr="009464DC">
        <w:t>42.</w:t>
      </w:r>
      <w:r w:rsidRPr="009464DC">
        <w:tab/>
        <w:t>Briggs, C.</w:t>
      </w:r>
      <w:r w:rsidR="00C3603A">
        <w:t xml:space="preserve"> </w:t>
      </w:r>
      <w:r w:rsidRPr="009464DC">
        <w:t>A.</w:t>
      </w:r>
      <w:r w:rsidR="00C3603A">
        <w:t xml:space="preserve"> et al</w:t>
      </w:r>
      <w:r w:rsidRPr="009464DC">
        <w:t xml:space="preserve">. High- and Low-Sensitivity Subforms of α4β2 and α3β2 nAChRs. </w:t>
      </w:r>
      <w:r w:rsidRPr="009464DC">
        <w:rPr>
          <w:i/>
          <w:iCs/>
        </w:rPr>
        <w:t>J Mol Neurosci</w:t>
      </w:r>
      <w:r w:rsidRPr="009464DC">
        <w:t xml:space="preserve">. </w:t>
      </w:r>
      <w:r w:rsidRPr="009464DC">
        <w:rPr>
          <w:b/>
          <w:bCs/>
        </w:rPr>
        <w:t>30</w:t>
      </w:r>
      <w:r w:rsidRPr="009464DC">
        <w:t xml:space="preserve"> (1–2), 11–12 (2006).</w:t>
      </w:r>
    </w:p>
    <w:p w14:paraId="5AC59363" w14:textId="5806C164" w:rsidR="00771A2B" w:rsidRPr="009464DC" w:rsidRDefault="00771A2B" w:rsidP="004920E5">
      <w:pPr>
        <w:pStyle w:val="Bibliography"/>
      </w:pPr>
      <w:r w:rsidRPr="009464DC">
        <w:t>43.</w:t>
      </w:r>
      <w:r w:rsidRPr="009464DC">
        <w:tab/>
        <w:t>Weltzin, M.</w:t>
      </w:r>
      <w:r w:rsidR="00C3603A">
        <w:t xml:space="preserve"> </w:t>
      </w:r>
      <w:r w:rsidRPr="009464DC">
        <w:t>M., George, A.</w:t>
      </w:r>
      <w:r w:rsidR="00C3603A">
        <w:t xml:space="preserve"> </w:t>
      </w:r>
      <w:r w:rsidRPr="009464DC">
        <w:t>A., Lukas, R.</w:t>
      </w:r>
      <w:r w:rsidR="00C3603A">
        <w:t xml:space="preserve"> </w:t>
      </w:r>
      <w:r w:rsidRPr="009464DC">
        <w:t xml:space="preserve">J., Whiteaker, P. Distinctive single-channel properties of α4β2-nicotinic acetylcholine receptor isoforms. </w:t>
      </w:r>
      <w:r w:rsidRPr="009464DC">
        <w:rPr>
          <w:i/>
          <w:iCs/>
        </w:rPr>
        <w:t>PL</w:t>
      </w:r>
      <w:r w:rsidR="00C3603A">
        <w:rPr>
          <w:i/>
          <w:iCs/>
        </w:rPr>
        <w:t>o</w:t>
      </w:r>
      <w:r w:rsidRPr="009464DC">
        <w:rPr>
          <w:i/>
          <w:iCs/>
        </w:rPr>
        <w:t>S O</w:t>
      </w:r>
      <w:r w:rsidR="00C3603A">
        <w:rPr>
          <w:i/>
          <w:iCs/>
        </w:rPr>
        <w:t>ne</w:t>
      </w:r>
      <w:r w:rsidRPr="009464DC">
        <w:t xml:space="preserve">. </w:t>
      </w:r>
      <w:r w:rsidRPr="009464DC">
        <w:rPr>
          <w:b/>
          <w:bCs/>
        </w:rPr>
        <w:t>14</w:t>
      </w:r>
      <w:r w:rsidRPr="009464DC">
        <w:t xml:space="preserve"> (3), e0213143 (2019).</w:t>
      </w:r>
    </w:p>
    <w:p w14:paraId="68B41F6B" w14:textId="57FABBCA" w:rsidR="00771A2B" w:rsidRPr="009464DC" w:rsidRDefault="00771A2B" w:rsidP="004920E5">
      <w:pPr>
        <w:pStyle w:val="Bibliography"/>
      </w:pPr>
      <w:r w:rsidRPr="009464DC">
        <w:t>44.</w:t>
      </w:r>
      <w:r w:rsidRPr="009464DC">
        <w:tab/>
        <w:t xml:space="preserve">Moroni, M., Bermudez, I. Stoichiometry and Pharmacology of Two Human α4β2 Nicotinic Receptor Types. </w:t>
      </w:r>
      <w:r w:rsidRPr="009464DC">
        <w:rPr>
          <w:i/>
          <w:iCs/>
        </w:rPr>
        <w:t>J Mol Neurosci</w:t>
      </w:r>
      <w:r w:rsidRPr="009464DC">
        <w:t xml:space="preserve">. </w:t>
      </w:r>
      <w:r w:rsidRPr="009464DC">
        <w:rPr>
          <w:b/>
          <w:bCs/>
        </w:rPr>
        <w:t>30</w:t>
      </w:r>
      <w:r w:rsidRPr="009464DC">
        <w:t xml:space="preserve"> (1–2), 95–96 (2006).</w:t>
      </w:r>
    </w:p>
    <w:p w14:paraId="61263FA2" w14:textId="55CFF8B0" w:rsidR="00771A2B" w:rsidRPr="009464DC" w:rsidRDefault="00771A2B" w:rsidP="004920E5">
      <w:pPr>
        <w:pStyle w:val="Bibliography"/>
      </w:pPr>
      <w:r w:rsidRPr="009464DC">
        <w:t>45.</w:t>
      </w:r>
      <w:r w:rsidRPr="009464DC">
        <w:tab/>
        <w:t>Nelson, M.</w:t>
      </w:r>
      <w:r w:rsidR="00C3603A">
        <w:t xml:space="preserve"> </w:t>
      </w:r>
      <w:r w:rsidRPr="009464DC">
        <w:t>E., Kuryatov, A., Choi, C.</w:t>
      </w:r>
      <w:r w:rsidR="00C3603A">
        <w:t xml:space="preserve"> </w:t>
      </w:r>
      <w:r w:rsidRPr="009464DC">
        <w:t xml:space="preserve">H., Zhou, Y., Lindstrom, J. Alternate Stoichiometries of α4β2 Nicotinic Acetylcholine Receptors. </w:t>
      </w:r>
      <w:r w:rsidRPr="009464DC">
        <w:rPr>
          <w:i/>
          <w:iCs/>
        </w:rPr>
        <w:t>Mol Pharmacol</w:t>
      </w:r>
      <w:r w:rsidRPr="009464DC">
        <w:t xml:space="preserve">. </w:t>
      </w:r>
      <w:r w:rsidRPr="009464DC">
        <w:rPr>
          <w:b/>
          <w:bCs/>
        </w:rPr>
        <w:t>63</w:t>
      </w:r>
      <w:r w:rsidRPr="009464DC">
        <w:t xml:space="preserve"> (2), 332–341 (2003).</w:t>
      </w:r>
    </w:p>
    <w:p w14:paraId="13641C0C" w14:textId="022112FF" w:rsidR="00771A2B" w:rsidRPr="009464DC" w:rsidRDefault="00771A2B" w:rsidP="004920E5">
      <w:pPr>
        <w:pStyle w:val="Bibliography"/>
      </w:pPr>
      <w:r w:rsidRPr="009464DC">
        <w:t>46.</w:t>
      </w:r>
      <w:r w:rsidRPr="009464DC">
        <w:tab/>
        <w:t xml:space="preserve">Tapia, L., Kuryatov, A., Lindstrom, J. Ca2+ Permeability of the (α4)3(β2)2 Stoichiometry Greatly Exceeds That of (α4)2(β2)3 Human Acetylcholine Receptors. </w:t>
      </w:r>
      <w:r w:rsidRPr="009464DC">
        <w:rPr>
          <w:i/>
          <w:iCs/>
        </w:rPr>
        <w:t>Mol Pharmacol</w:t>
      </w:r>
      <w:r w:rsidRPr="009464DC">
        <w:t xml:space="preserve">. </w:t>
      </w:r>
      <w:r w:rsidRPr="009464DC">
        <w:rPr>
          <w:b/>
          <w:bCs/>
        </w:rPr>
        <w:t>71</w:t>
      </w:r>
      <w:r w:rsidRPr="009464DC">
        <w:t xml:space="preserve"> (3), 769–776 (2007).</w:t>
      </w:r>
    </w:p>
    <w:p w14:paraId="0294A4F2" w14:textId="5EDB8200" w:rsidR="00771A2B" w:rsidRPr="009464DC" w:rsidRDefault="00771A2B" w:rsidP="004920E5">
      <w:pPr>
        <w:pStyle w:val="Bibliography"/>
      </w:pPr>
      <w:r w:rsidRPr="009464DC">
        <w:t>47.</w:t>
      </w:r>
      <w:r w:rsidRPr="009464DC">
        <w:tab/>
        <w:t>Eaton, J.</w:t>
      </w:r>
      <w:r w:rsidR="002E1398">
        <w:t xml:space="preserve"> </w:t>
      </w:r>
      <w:r w:rsidRPr="009464DC">
        <w:t xml:space="preserve">B. </w:t>
      </w:r>
      <w:r w:rsidRPr="002E1398">
        <w:t xml:space="preserve">et al. </w:t>
      </w:r>
      <w:r w:rsidRPr="009464DC">
        <w:t xml:space="preserve">The Unique α4(+)/(−)α4 Agonist Binding Site in (α4)3(β2)2 Subtype Nicotinic Acetylcholine Receptors Permits Differential Agonist Desensitization Pharmacology versus the (α4)2(β2)3 Subtype. </w:t>
      </w:r>
      <w:r w:rsidRPr="009464DC">
        <w:rPr>
          <w:i/>
          <w:iCs/>
        </w:rPr>
        <w:t>J Pharmacol Exp Ther</w:t>
      </w:r>
      <w:r w:rsidRPr="009464DC">
        <w:t xml:space="preserve">. </w:t>
      </w:r>
      <w:r w:rsidRPr="009464DC">
        <w:rPr>
          <w:b/>
          <w:bCs/>
        </w:rPr>
        <w:t>348</w:t>
      </w:r>
      <w:r w:rsidRPr="009464DC">
        <w:t xml:space="preserve"> (1), 46–58 (2014).</w:t>
      </w:r>
    </w:p>
    <w:p w14:paraId="1B888E51" w14:textId="51ADBCEE" w:rsidR="00771A2B" w:rsidRPr="009464DC" w:rsidRDefault="00771A2B" w:rsidP="004920E5">
      <w:pPr>
        <w:pStyle w:val="Bibliography"/>
      </w:pPr>
      <w:r w:rsidRPr="009464DC">
        <w:t>48.</w:t>
      </w:r>
      <w:r w:rsidRPr="009464DC">
        <w:tab/>
        <w:t xml:space="preserve">Mazzaferro, S. </w:t>
      </w:r>
      <w:r w:rsidRPr="002E1398">
        <w:t>et al.</w:t>
      </w:r>
      <w:r w:rsidRPr="009464DC">
        <w:t xml:space="preserve"> Additional Acetylcholine (ACh) Binding Site at α4/α4 Interface of (α4β2)2α4 Nicotinic Receptor Influences Agonist Sensitivity. </w:t>
      </w:r>
      <w:r w:rsidRPr="009464DC">
        <w:rPr>
          <w:i/>
          <w:iCs/>
        </w:rPr>
        <w:t>J Biol Chem</w:t>
      </w:r>
      <w:r w:rsidRPr="009464DC">
        <w:t xml:space="preserve">. </w:t>
      </w:r>
      <w:r w:rsidRPr="009464DC">
        <w:rPr>
          <w:b/>
          <w:bCs/>
        </w:rPr>
        <w:t>286</w:t>
      </w:r>
      <w:r w:rsidRPr="009464DC">
        <w:t xml:space="preserve"> (35), 31043–31054</w:t>
      </w:r>
      <w:r w:rsidR="002E1398">
        <w:t xml:space="preserve"> </w:t>
      </w:r>
      <w:r w:rsidRPr="009464DC">
        <w:t>(2011).</w:t>
      </w:r>
    </w:p>
    <w:p w14:paraId="60C867F5" w14:textId="0CFD687E" w:rsidR="00771A2B" w:rsidRPr="009464DC" w:rsidRDefault="00771A2B" w:rsidP="004920E5">
      <w:pPr>
        <w:pStyle w:val="Bibliography"/>
      </w:pPr>
      <w:r w:rsidRPr="009464DC">
        <w:t>49.</w:t>
      </w:r>
      <w:r w:rsidRPr="009464DC">
        <w:tab/>
        <w:t>Richards, C.</w:t>
      </w:r>
      <w:r w:rsidR="002E1398">
        <w:t xml:space="preserve"> </w:t>
      </w:r>
      <w:r w:rsidRPr="009464DC">
        <w:t>I.</w:t>
      </w:r>
      <w:r w:rsidR="002E1398">
        <w:t xml:space="preserve"> et al</w:t>
      </w:r>
      <w:r w:rsidRPr="009464DC">
        <w:t xml:space="preserve">. Trafficking of α4* Nicotinic Receptors Revealed by Superecliptic Phluorin. </w:t>
      </w:r>
      <w:r w:rsidRPr="009464DC">
        <w:rPr>
          <w:i/>
          <w:iCs/>
        </w:rPr>
        <w:t>J Bio Chem</w:t>
      </w:r>
      <w:r w:rsidRPr="009464DC">
        <w:t xml:space="preserve">. </w:t>
      </w:r>
      <w:r w:rsidRPr="009464DC">
        <w:rPr>
          <w:b/>
          <w:bCs/>
        </w:rPr>
        <w:t>286</w:t>
      </w:r>
      <w:r w:rsidRPr="009464DC">
        <w:t xml:space="preserve"> (36), 31241–3124 (2011).</w:t>
      </w:r>
    </w:p>
    <w:p w14:paraId="4C84ABF8" w14:textId="276F3604" w:rsidR="00170E99" w:rsidRPr="009464DC" w:rsidRDefault="00170E99" w:rsidP="004920E5">
      <w:pPr>
        <w:ind w:left="360" w:hanging="360"/>
      </w:pPr>
      <w:r w:rsidRPr="009464DC">
        <w:t>50. Asokan, A., Cho M.</w:t>
      </w:r>
      <w:r w:rsidR="002E1398">
        <w:t xml:space="preserve"> </w:t>
      </w:r>
      <w:r w:rsidRPr="009464DC">
        <w:t xml:space="preserve">J. Exploitation of Intracellular pH Gradients in the Cellular Delivery of Macromolecules. </w:t>
      </w:r>
      <w:r w:rsidRPr="009464DC">
        <w:rPr>
          <w:i/>
        </w:rPr>
        <w:t>J Pharma Sci</w:t>
      </w:r>
      <w:r w:rsidRPr="009464DC">
        <w:t xml:space="preserve">. </w:t>
      </w:r>
      <w:r w:rsidRPr="009464DC">
        <w:rPr>
          <w:b/>
        </w:rPr>
        <w:t xml:space="preserve">91 </w:t>
      </w:r>
      <w:r w:rsidRPr="009464DC">
        <w:t>(4), 903-913</w:t>
      </w:r>
      <w:r w:rsidR="002E1398">
        <w:t xml:space="preserve"> </w:t>
      </w:r>
      <w:r w:rsidRPr="009464DC">
        <w:t>(2002).</w:t>
      </w:r>
    </w:p>
    <w:p w14:paraId="039C561C" w14:textId="03490B22" w:rsidR="00516914" w:rsidRPr="004920E5" w:rsidRDefault="00EE5F4F" w:rsidP="004920E5">
      <w:pPr>
        <w:rPr>
          <w:bCs/>
        </w:rPr>
      </w:pPr>
      <w:r w:rsidRPr="009464DC">
        <w:fldChar w:fldCharType="end"/>
      </w:r>
      <w:bookmarkStart w:id="1" w:name="gjdgxs" w:colFirst="0" w:colLast="0"/>
      <w:bookmarkStart w:id="2" w:name="kix.dnstqay1kwjl" w:colFirst="0" w:colLast="0"/>
      <w:bookmarkEnd w:id="1"/>
      <w:bookmarkEnd w:id="2"/>
    </w:p>
    <w:sectPr w:rsidR="00516914" w:rsidRPr="004920E5" w:rsidSect="004920E5">
      <w:headerReference w:type="even" r:id="rId8"/>
      <w:headerReference w:type="default" r:id="rId9"/>
      <w:footerReference w:type="even" r:id="rId1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FE9CA" w14:textId="77777777" w:rsidR="00CD296D" w:rsidRDefault="00CD296D">
      <w:r>
        <w:separator/>
      </w:r>
    </w:p>
  </w:endnote>
  <w:endnote w:type="continuationSeparator" w:id="0">
    <w:p w14:paraId="6177C524" w14:textId="77777777" w:rsidR="00CD296D" w:rsidRDefault="00CD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172E" w14:textId="77777777" w:rsidR="00F7513C" w:rsidRDefault="00F7513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691E4" w14:textId="77777777" w:rsidR="00CD296D" w:rsidRDefault="00CD296D">
      <w:r>
        <w:separator/>
      </w:r>
    </w:p>
  </w:footnote>
  <w:footnote w:type="continuationSeparator" w:id="0">
    <w:p w14:paraId="6680B9D3" w14:textId="77777777" w:rsidR="00CD296D" w:rsidRDefault="00CD2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47F0" w14:textId="77777777" w:rsidR="00F7513C" w:rsidRDefault="00F7513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15" w14:textId="77777777" w:rsidR="00F7513C" w:rsidRDefault="00F7513C">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C16"/>
    <w:multiLevelType w:val="multilevel"/>
    <w:tmpl w:val="B8CC22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EB6FB7"/>
    <w:multiLevelType w:val="multilevel"/>
    <w:tmpl w:val="1E8E8084"/>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 w15:restartNumberingAfterBreak="0">
    <w:nsid w:val="06411192"/>
    <w:multiLevelType w:val="multilevel"/>
    <w:tmpl w:val="7F7A008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256241"/>
    <w:multiLevelType w:val="multilevel"/>
    <w:tmpl w:val="676AE2B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83C0D"/>
    <w:multiLevelType w:val="hybridMultilevel"/>
    <w:tmpl w:val="10A00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5B34C5"/>
    <w:multiLevelType w:val="multilevel"/>
    <w:tmpl w:val="7F7A008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4FD0B12"/>
    <w:multiLevelType w:val="multilevel"/>
    <w:tmpl w:val="A43033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F34C29"/>
    <w:multiLevelType w:val="hybridMultilevel"/>
    <w:tmpl w:val="CF70AB28"/>
    <w:lvl w:ilvl="0" w:tplc="83BA1214">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1C5D06"/>
    <w:multiLevelType w:val="multilevel"/>
    <w:tmpl w:val="111CCF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FD3710"/>
    <w:multiLevelType w:val="multilevel"/>
    <w:tmpl w:val="63C4B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51A47C1"/>
    <w:multiLevelType w:val="multilevel"/>
    <w:tmpl w:val="04EE83B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F7D2AB0"/>
    <w:multiLevelType w:val="multilevel"/>
    <w:tmpl w:val="B8CC22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4649CB"/>
    <w:multiLevelType w:val="hybridMultilevel"/>
    <w:tmpl w:val="735E4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642499"/>
    <w:multiLevelType w:val="multilevel"/>
    <w:tmpl w:val="B8CC22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6D3163A"/>
    <w:multiLevelType w:val="hybridMultilevel"/>
    <w:tmpl w:val="A1A234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A3F5C1E"/>
    <w:multiLevelType w:val="multilevel"/>
    <w:tmpl w:val="BF92B9E8"/>
    <w:lvl w:ilvl="0">
      <w:start w:val="1"/>
      <w:numFmt w:val="decimal"/>
      <w:lvlText w:val="%1"/>
      <w:lvlJc w:val="left"/>
      <w:pPr>
        <w:ind w:left="390" w:hanging="390"/>
      </w:pPr>
      <w:rPr>
        <w:rFonts w:ascii="Arial" w:hAnsi="Arial" w:cs="Arial" w:hint="default"/>
      </w:rPr>
    </w:lvl>
    <w:lvl w:ilvl="1">
      <w:start w:val="1"/>
      <w:numFmt w:val="decimal"/>
      <w:lvlText w:val="%1.%2"/>
      <w:lvlJc w:val="left"/>
      <w:pPr>
        <w:ind w:left="390" w:hanging="390"/>
      </w:pPr>
      <w:rPr>
        <w:rFonts w:ascii="Calibri" w:hAnsi="Calibri" w:cs="Calibri"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4" w15:restartNumberingAfterBreak="0">
    <w:nsid w:val="5C613632"/>
    <w:multiLevelType w:val="hybridMultilevel"/>
    <w:tmpl w:val="2A0208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611E22"/>
    <w:multiLevelType w:val="multilevel"/>
    <w:tmpl w:val="73261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2A6020"/>
    <w:multiLevelType w:val="hybridMultilevel"/>
    <w:tmpl w:val="D33890A2"/>
    <w:lvl w:ilvl="0" w:tplc="DB969D60">
      <w:start w:val="7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2BB44DB"/>
    <w:multiLevelType w:val="hybridMultilevel"/>
    <w:tmpl w:val="A042A1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16373"/>
    <w:multiLevelType w:val="hybridMultilevel"/>
    <w:tmpl w:val="175C6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FF41767"/>
    <w:multiLevelType w:val="multilevel"/>
    <w:tmpl w:val="B8CC22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24"/>
  </w:num>
  <w:num w:numId="3">
    <w:abstractNumId w:val="38"/>
  </w:num>
  <w:num w:numId="4">
    <w:abstractNumId w:val="10"/>
  </w:num>
  <w:num w:numId="5">
    <w:abstractNumId w:val="27"/>
  </w:num>
  <w:num w:numId="6">
    <w:abstractNumId w:val="37"/>
  </w:num>
  <w:num w:numId="7">
    <w:abstractNumId w:val="16"/>
  </w:num>
  <w:num w:numId="8">
    <w:abstractNumId w:val="22"/>
  </w:num>
  <w:num w:numId="9">
    <w:abstractNumId w:val="11"/>
  </w:num>
  <w:num w:numId="10">
    <w:abstractNumId w:val="20"/>
  </w:num>
  <w:num w:numId="11">
    <w:abstractNumId w:val="26"/>
  </w:num>
  <w:num w:numId="12">
    <w:abstractNumId w:val="13"/>
  </w:num>
  <w:num w:numId="13">
    <w:abstractNumId w:val="41"/>
  </w:num>
  <w:num w:numId="14">
    <w:abstractNumId w:val="40"/>
  </w:num>
  <w:num w:numId="15">
    <w:abstractNumId w:val="14"/>
  </w:num>
  <w:num w:numId="16">
    <w:abstractNumId w:val="9"/>
  </w:num>
  <w:num w:numId="17">
    <w:abstractNumId w:val="8"/>
  </w:num>
  <w:num w:numId="18">
    <w:abstractNumId w:val="23"/>
  </w:num>
  <w:num w:numId="19">
    <w:abstractNumId w:val="12"/>
  </w:num>
  <w:num w:numId="20">
    <w:abstractNumId w:val="30"/>
  </w:num>
  <w:num w:numId="21">
    <w:abstractNumId w:val="4"/>
  </w:num>
  <w:num w:numId="22">
    <w:abstractNumId w:val="5"/>
  </w:num>
  <w:num w:numId="23">
    <w:abstractNumId w:val="33"/>
  </w:num>
  <w:num w:numId="24">
    <w:abstractNumId w:val="35"/>
  </w:num>
  <w:num w:numId="25">
    <w:abstractNumId w:val="17"/>
  </w:num>
  <w:num w:numId="26">
    <w:abstractNumId w:val="34"/>
  </w:num>
  <w:num w:numId="27">
    <w:abstractNumId w:val="39"/>
  </w:num>
  <w:num w:numId="28">
    <w:abstractNumId w:val="18"/>
  </w:num>
  <w:num w:numId="29">
    <w:abstractNumId w:val="36"/>
  </w:num>
  <w:num w:numId="30">
    <w:abstractNumId w:val="2"/>
  </w:num>
  <w:num w:numId="31">
    <w:abstractNumId w:val="6"/>
  </w:num>
  <w:num w:numId="32">
    <w:abstractNumId w:val="29"/>
  </w:num>
  <w:num w:numId="33">
    <w:abstractNumId w:val="25"/>
  </w:num>
  <w:num w:numId="34">
    <w:abstractNumId w:val="21"/>
  </w:num>
  <w:num w:numId="35">
    <w:abstractNumId w:val="19"/>
  </w:num>
  <w:num w:numId="36">
    <w:abstractNumId w:val="1"/>
  </w:num>
  <w:num w:numId="37">
    <w:abstractNumId w:val="3"/>
  </w:num>
  <w:num w:numId="38">
    <w:abstractNumId w:val="7"/>
  </w:num>
  <w:num w:numId="39">
    <w:abstractNumId w:val="32"/>
  </w:num>
  <w:num w:numId="40">
    <w:abstractNumId w:val="43"/>
  </w:num>
  <w:num w:numId="41">
    <w:abstractNumId w:val="42"/>
  </w:num>
  <w:num w:numId="42">
    <w:abstractNumId w:val="31"/>
  </w:num>
  <w:num w:numId="43">
    <w:abstractNumId w:val="28"/>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2AD2"/>
    <w:rsid w:val="0000515B"/>
    <w:rsid w:val="00011457"/>
    <w:rsid w:val="00013652"/>
    <w:rsid w:val="00021FE2"/>
    <w:rsid w:val="00030E23"/>
    <w:rsid w:val="00033B4E"/>
    <w:rsid w:val="00034DD1"/>
    <w:rsid w:val="00036338"/>
    <w:rsid w:val="0004355D"/>
    <w:rsid w:val="00044377"/>
    <w:rsid w:val="00047042"/>
    <w:rsid w:val="00052632"/>
    <w:rsid w:val="00057B67"/>
    <w:rsid w:val="00061E0E"/>
    <w:rsid w:val="000627E2"/>
    <w:rsid w:val="0007228C"/>
    <w:rsid w:val="00072E6A"/>
    <w:rsid w:val="000738B1"/>
    <w:rsid w:val="00074113"/>
    <w:rsid w:val="0007506F"/>
    <w:rsid w:val="00076815"/>
    <w:rsid w:val="00081F44"/>
    <w:rsid w:val="00082A5F"/>
    <w:rsid w:val="00085DD5"/>
    <w:rsid w:val="00091DEA"/>
    <w:rsid w:val="00094484"/>
    <w:rsid w:val="000B1276"/>
    <w:rsid w:val="000B41B6"/>
    <w:rsid w:val="000B48B7"/>
    <w:rsid w:val="000C0227"/>
    <w:rsid w:val="000C19A7"/>
    <w:rsid w:val="000C690B"/>
    <w:rsid w:val="000C7609"/>
    <w:rsid w:val="000D5CE0"/>
    <w:rsid w:val="000E2ABF"/>
    <w:rsid w:val="000E3F21"/>
    <w:rsid w:val="000E4C51"/>
    <w:rsid w:val="000E4C6D"/>
    <w:rsid w:val="00104A38"/>
    <w:rsid w:val="00104F85"/>
    <w:rsid w:val="00112505"/>
    <w:rsid w:val="00122467"/>
    <w:rsid w:val="00125A45"/>
    <w:rsid w:val="00130E45"/>
    <w:rsid w:val="00132538"/>
    <w:rsid w:val="001404CE"/>
    <w:rsid w:val="00141DAD"/>
    <w:rsid w:val="00147CBA"/>
    <w:rsid w:val="0015327B"/>
    <w:rsid w:val="00154C17"/>
    <w:rsid w:val="00155381"/>
    <w:rsid w:val="001624E4"/>
    <w:rsid w:val="00170E99"/>
    <w:rsid w:val="00181A81"/>
    <w:rsid w:val="001878AB"/>
    <w:rsid w:val="00194C04"/>
    <w:rsid w:val="00194CE8"/>
    <w:rsid w:val="001959A2"/>
    <w:rsid w:val="001A1CA1"/>
    <w:rsid w:val="001C3914"/>
    <w:rsid w:val="001D3DE4"/>
    <w:rsid w:val="001D4B4B"/>
    <w:rsid w:val="001D6317"/>
    <w:rsid w:val="001E0EE3"/>
    <w:rsid w:val="001F3109"/>
    <w:rsid w:val="001F71D9"/>
    <w:rsid w:val="002033CD"/>
    <w:rsid w:val="00203F0E"/>
    <w:rsid w:val="00210DD6"/>
    <w:rsid w:val="00211282"/>
    <w:rsid w:val="00214319"/>
    <w:rsid w:val="00225EB5"/>
    <w:rsid w:val="0023296D"/>
    <w:rsid w:val="00232DDC"/>
    <w:rsid w:val="00252077"/>
    <w:rsid w:val="00270AF8"/>
    <w:rsid w:val="00271DA5"/>
    <w:rsid w:val="00273EDD"/>
    <w:rsid w:val="00275449"/>
    <w:rsid w:val="00275854"/>
    <w:rsid w:val="00287501"/>
    <w:rsid w:val="00290B86"/>
    <w:rsid w:val="00297980"/>
    <w:rsid w:val="002A1450"/>
    <w:rsid w:val="002B3548"/>
    <w:rsid w:val="002D398D"/>
    <w:rsid w:val="002D3CE6"/>
    <w:rsid w:val="002D596D"/>
    <w:rsid w:val="002E1398"/>
    <w:rsid w:val="002F2E92"/>
    <w:rsid w:val="002F783F"/>
    <w:rsid w:val="0030195C"/>
    <w:rsid w:val="00312E56"/>
    <w:rsid w:val="00314A0A"/>
    <w:rsid w:val="00314F79"/>
    <w:rsid w:val="0031658E"/>
    <w:rsid w:val="00332368"/>
    <w:rsid w:val="00333E28"/>
    <w:rsid w:val="00337587"/>
    <w:rsid w:val="00337660"/>
    <w:rsid w:val="00345FB8"/>
    <w:rsid w:val="00351087"/>
    <w:rsid w:val="00351171"/>
    <w:rsid w:val="003548DA"/>
    <w:rsid w:val="00355DC3"/>
    <w:rsid w:val="003645FC"/>
    <w:rsid w:val="00374876"/>
    <w:rsid w:val="003821C9"/>
    <w:rsid w:val="00387CDA"/>
    <w:rsid w:val="00397BAD"/>
    <w:rsid w:val="003A5297"/>
    <w:rsid w:val="003B112C"/>
    <w:rsid w:val="003B1294"/>
    <w:rsid w:val="003C79C6"/>
    <w:rsid w:val="003D4F1F"/>
    <w:rsid w:val="003D5F3B"/>
    <w:rsid w:val="003D67E2"/>
    <w:rsid w:val="003E17B9"/>
    <w:rsid w:val="003E2207"/>
    <w:rsid w:val="003E3E7F"/>
    <w:rsid w:val="003E648A"/>
    <w:rsid w:val="003F443D"/>
    <w:rsid w:val="0040579A"/>
    <w:rsid w:val="00405BFE"/>
    <w:rsid w:val="00407369"/>
    <w:rsid w:val="00414ADE"/>
    <w:rsid w:val="00416FDE"/>
    <w:rsid w:val="00424AC3"/>
    <w:rsid w:val="00434122"/>
    <w:rsid w:val="004361C8"/>
    <w:rsid w:val="00436F4D"/>
    <w:rsid w:val="00440BBB"/>
    <w:rsid w:val="00443F2B"/>
    <w:rsid w:val="00457B51"/>
    <w:rsid w:val="004620C9"/>
    <w:rsid w:val="00473967"/>
    <w:rsid w:val="004920E5"/>
    <w:rsid w:val="00492DCD"/>
    <w:rsid w:val="00492FAF"/>
    <w:rsid w:val="004939EE"/>
    <w:rsid w:val="00495CCE"/>
    <w:rsid w:val="004969D3"/>
    <w:rsid w:val="004A658C"/>
    <w:rsid w:val="004A65B4"/>
    <w:rsid w:val="004B60FA"/>
    <w:rsid w:val="004C0985"/>
    <w:rsid w:val="004C1927"/>
    <w:rsid w:val="004C25D2"/>
    <w:rsid w:val="004C2CB9"/>
    <w:rsid w:val="004D362E"/>
    <w:rsid w:val="004D4166"/>
    <w:rsid w:val="004D7761"/>
    <w:rsid w:val="004E68CB"/>
    <w:rsid w:val="004E71D6"/>
    <w:rsid w:val="004F010D"/>
    <w:rsid w:val="004F1B27"/>
    <w:rsid w:val="004F2197"/>
    <w:rsid w:val="004F2287"/>
    <w:rsid w:val="004F6AD9"/>
    <w:rsid w:val="004F7932"/>
    <w:rsid w:val="0050367F"/>
    <w:rsid w:val="00513CCF"/>
    <w:rsid w:val="00516914"/>
    <w:rsid w:val="0051767E"/>
    <w:rsid w:val="00524493"/>
    <w:rsid w:val="00536BAB"/>
    <w:rsid w:val="0054536F"/>
    <w:rsid w:val="00551D82"/>
    <w:rsid w:val="0055384A"/>
    <w:rsid w:val="0056684E"/>
    <w:rsid w:val="00570221"/>
    <w:rsid w:val="005729E5"/>
    <w:rsid w:val="005734D7"/>
    <w:rsid w:val="00574731"/>
    <w:rsid w:val="00575E55"/>
    <w:rsid w:val="00585BF5"/>
    <w:rsid w:val="00586AB8"/>
    <w:rsid w:val="0059543B"/>
    <w:rsid w:val="005A3A39"/>
    <w:rsid w:val="005A3AC6"/>
    <w:rsid w:val="005A5C48"/>
    <w:rsid w:val="005A637B"/>
    <w:rsid w:val="005B2316"/>
    <w:rsid w:val="005E0AA1"/>
    <w:rsid w:val="005E1C99"/>
    <w:rsid w:val="005E1EE7"/>
    <w:rsid w:val="005E53BC"/>
    <w:rsid w:val="005F13E6"/>
    <w:rsid w:val="005F60E4"/>
    <w:rsid w:val="00601662"/>
    <w:rsid w:val="00601792"/>
    <w:rsid w:val="00603C45"/>
    <w:rsid w:val="00604100"/>
    <w:rsid w:val="0060656A"/>
    <w:rsid w:val="00615035"/>
    <w:rsid w:val="00622578"/>
    <w:rsid w:val="006239A1"/>
    <w:rsid w:val="006274B9"/>
    <w:rsid w:val="00634672"/>
    <w:rsid w:val="00643C62"/>
    <w:rsid w:val="00644E25"/>
    <w:rsid w:val="00645834"/>
    <w:rsid w:val="00645E5D"/>
    <w:rsid w:val="0065208A"/>
    <w:rsid w:val="00657C4C"/>
    <w:rsid w:val="006755EE"/>
    <w:rsid w:val="006769DC"/>
    <w:rsid w:val="006824BF"/>
    <w:rsid w:val="0069280A"/>
    <w:rsid w:val="006A4059"/>
    <w:rsid w:val="006B3C20"/>
    <w:rsid w:val="006B7BCA"/>
    <w:rsid w:val="006B7ED2"/>
    <w:rsid w:val="006C1D98"/>
    <w:rsid w:val="006C3DD7"/>
    <w:rsid w:val="006C6936"/>
    <w:rsid w:val="006D28C9"/>
    <w:rsid w:val="006D5AB1"/>
    <w:rsid w:val="006E1A15"/>
    <w:rsid w:val="006E4797"/>
    <w:rsid w:val="006E73B0"/>
    <w:rsid w:val="006E7C64"/>
    <w:rsid w:val="006F174F"/>
    <w:rsid w:val="00702ADE"/>
    <w:rsid w:val="0070444F"/>
    <w:rsid w:val="00711ADA"/>
    <w:rsid w:val="00714BE0"/>
    <w:rsid w:val="007277CF"/>
    <w:rsid w:val="007309FF"/>
    <w:rsid w:val="00731AB7"/>
    <w:rsid w:val="00735ABE"/>
    <w:rsid w:val="00736371"/>
    <w:rsid w:val="00736BE6"/>
    <w:rsid w:val="00746536"/>
    <w:rsid w:val="0075127A"/>
    <w:rsid w:val="00751D3D"/>
    <w:rsid w:val="00756A56"/>
    <w:rsid w:val="00767A3A"/>
    <w:rsid w:val="00770930"/>
    <w:rsid w:val="00771A2B"/>
    <w:rsid w:val="00785DCF"/>
    <w:rsid w:val="00796E15"/>
    <w:rsid w:val="007A4BBA"/>
    <w:rsid w:val="007B41DD"/>
    <w:rsid w:val="007B488F"/>
    <w:rsid w:val="007B64E6"/>
    <w:rsid w:val="007B72A4"/>
    <w:rsid w:val="007D4DC9"/>
    <w:rsid w:val="007D5920"/>
    <w:rsid w:val="007D6BE0"/>
    <w:rsid w:val="007E6D20"/>
    <w:rsid w:val="007F13E9"/>
    <w:rsid w:val="007F2030"/>
    <w:rsid w:val="00802A8A"/>
    <w:rsid w:val="008203F3"/>
    <w:rsid w:val="00820E11"/>
    <w:rsid w:val="0083203B"/>
    <w:rsid w:val="00833B96"/>
    <w:rsid w:val="008367D0"/>
    <w:rsid w:val="008425A4"/>
    <w:rsid w:val="008461C6"/>
    <w:rsid w:val="00846981"/>
    <w:rsid w:val="00847F30"/>
    <w:rsid w:val="00850563"/>
    <w:rsid w:val="0085421A"/>
    <w:rsid w:val="008550BF"/>
    <w:rsid w:val="0085548D"/>
    <w:rsid w:val="008608E0"/>
    <w:rsid w:val="00862D06"/>
    <w:rsid w:val="00866B09"/>
    <w:rsid w:val="00871998"/>
    <w:rsid w:val="00872204"/>
    <w:rsid w:val="0087647F"/>
    <w:rsid w:val="008822E7"/>
    <w:rsid w:val="008835BD"/>
    <w:rsid w:val="008900CC"/>
    <w:rsid w:val="008918C0"/>
    <w:rsid w:val="00895BE0"/>
    <w:rsid w:val="008A4859"/>
    <w:rsid w:val="008B05F1"/>
    <w:rsid w:val="008B2D50"/>
    <w:rsid w:val="008B35D2"/>
    <w:rsid w:val="008B6071"/>
    <w:rsid w:val="008D293E"/>
    <w:rsid w:val="008E0762"/>
    <w:rsid w:val="008E19AC"/>
    <w:rsid w:val="008E21F5"/>
    <w:rsid w:val="008E23FF"/>
    <w:rsid w:val="008E2CF1"/>
    <w:rsid w:val="008F1819"/>
    <w:rsid w:val="008F4701"/>
    <w:rsid w:val="008F4FDA"/>
    <w:rsid w:val="009029F4"/>
    <w:rsid w:val="0090573C"/>
    <w:rsid w:val="009205B8"/>
    <w:rsid w:val="00927045"/>
    <w:rsid w:val="00932C0A"/>
    <w:rsid w:val="00934CD2"/>
    <w:rsid w:val="009374C2"/>
    <w:rsid w:val="009409EA"/>
    <w:rsid w:val="0094116A"/>
    <w:rsid w:val="009464DC"/>
    <w:rsid w:val="009503AB"/>
    <w:rsid w:val="009510A0"/>
    <w:rsid w:val="009519E3"/>
    <w:rsid w:val="009542C9"/>
    <w:rsid w:val="0098292B"/>
    <w:rsid w:val="009840C3"/>
    <w:rsid w:val="00984431"/>
    <w:rsid w:val="00994F50"/>
    <w:rsid w:val="00995C72"/>
    <w:rsid w:val="009A60DD"/>
    <w:rsid w:val="009B69CF"/>
    <w:rsid w:val="009C2813"/>
    <w:rsid w:val="009C5853"/>
    <w:rsid w:val="009E3315"/>
    <w:rsid w:val="00A02224"/>
    <w:rsid w:val="00A07509"/>
    <w:rsid w:val="00A12831"/>
    <w:rsid w:val="00A16840"/>
    <w:rsid w:val="00A1684A"/>
    <w:rsid w:val="00A16A00"/>
    <w:rsid w:val="00A41227"/>
    <w:rsid w:val="00A443A3"/>
    <w:rsid w:val="00A61636"/>
    <w:rsid w:val="00A61CCB"/>
    <w:rsid w:val="00A624BE"/>
    <w:rsid w:val="00A87751"/>
    <w:rsid w:val="00A9517F"/>
    <w:rsid w:val="00AA0D96"/>
    <w:rsid w:val="00AB4038"/>
    <w:rsid w:val="00AB6841"/>
    <w:rsid w:val="00AB75F0"/>
    <w:rsid w:val="00AC6A6B"/>
    <w:rsid w:val="00AD67FE"/>
    <w:rsid w:val="00AD6D35"/>
    <w:rsid w:val="00AE11FB"/>
    <w:rsid w:val="00AF7A49"/>
    <w:rsid w:val="00B016C4"/>
    <w:rsid w:val="00B03451"/>
    <w:rsid w:val="00B048BE"/>
    <w:rsid w:val="00B068F6"/>
    <w:rsid w:val="00B07565"/>
    <w:rsid w:val="00B209BD"/>
    <w:rsid w:val="00B347B8"/>
    <w:rsid w:val="00B43E73"/>
    <w:rsid w:val="00B56D98"/>
    <w:rsid w:val="00B57F9A"/>
    <w:rsid w:val="00B66177"/>
    <w:rsid w:val="00B6710F"/>
    <w:rsid w:val="00B72BB3"/>
    <w:rsid w:val="00B81064"/>
    <w:rsid w:val="00B838EF"/>
    <w:rsid w:val="00B84EBC"/>
    <w:rsid w:val="00B87681"/>
    <w:rsid w:val="00BA0AA3"/>
    <w:rsid w:val="00BA5E67"/>
    <w:rsid w:val="00BB0827"/>
    <w:rsid w:val="00BB4066"/>
    <w:rsid w:val="00BB71DC"/>
    <w:rsid w:val="00BC6D47"/>
    <w:rsid w:val="00BD3767"/>
    <w:rsid w:val="00BD65BF"/>
    <w:rsid w:val="00BE22A2"/>
    <w:rsid w:val="00BE2769"/>
    <w:rsid w:val="00BE4392"/>
    <w:rsid w:val="00BF08B8"/>
    <w:rsid w:val="00BF6ED3"/>
    <w:rsid w:val="00C050D1"/>
    <w:rsid w:val="00C0732A"/>
    <w:rsid w:val="00C11D93"/>
    <w:rsid w:val="00C15C18"/>
    <w:rsid w:val="00C215CA"/>
    <w:rsid w:val="00C27C71"/>
    <w:rsid w:val="00C3603A"/>
    <w:rsid w:val="00C366E0"/>
    <w:rsid w:val="00C370FD"/>
    <w:rsid w:val="00C406C7"/>
    <w:rsid w:val="00C4222F"/>
    <w:rsid w:val="00C4230A"/>
    <w:rsid w:val="00C550F3"/>
    <w:rsid w:val="00C573DD"/>
    <w:rsid w:val="00C63587"/>
    <w:rsid w:val="00C64A22"/>
    <w:rsid w:val="00C652D8"/>
    <w:rsid w:val="00C82915"/>
    <w:rsid w:val="00C875D1"/>
    <w:rsid w:val="00CA7CF8"/>
    <w:rsid w:val="00CB08F4"/>
    <w:rsid w:val="00CB1713"/>
    <w:rsid w:val="00CB1783"/>
    <w:rsid w:val="00CB4589"/>
    <w:rsid w:val="00CB48F8"/>
    <w:rsid w:val="00CC2A92"/>
    <w:rsid w:val="00CD296D"/>
    <w:rsid w:val="00CF616B"/>
    <w:rsid w:val="00D07A90"/>
    <w:rsid w:val="00D1504C"/>
    <w:rsid w:val="00D218F6"/>
    <w:rsid w:val="00D2437F"/>
    <w:rsid w:val="00D2510B"/>
    <w:rsid w:val="00D34C40"/>
    <w:rsid w:val="00D431A3"/>
    <w:rsid w:val="00D505B1"/>
    <w:rsid w:val="00D57F1F"/>
    <w:rsid w:val="00D609A8"/>
    <w:rsid w:val="00D66012"/>
    <w:rsid w:val="00D661BB"/>
    <w:rsid w:val="00D73548"/>
    <w:rsid w:val="00D822BA"/>
    <w:rsid w:val="00D83EA8"/>
    <w:rsid w:val="00D86D57"/>
    <w:rsid w:val="00D86F82"/>
    <w:rsid w:val="00D959E7"/>
    <w:rsid w:val="00DA154A"/>
    <w:rsid w:val="00DA3C5C"/>
    <w:rsid w:val="00DA54A6"/>
    <w:rsid w:val="00DB4069"/>
    <w:rsid w:val="00DB6830"/>
    <w:rsid w:val="00DC0742"/>
    <w:rsid w:val="00DC08CC"/>
    <w:rsid w:val="00DC0E61"/>
    <w:rsid w:val="00DC18A7"/>
    <w:rsid w:val="00DD0D2A"/>
    <w:rsid w:val="00DD7D5A"/>
    <w:rsid w:val="00DE0D37"/>
    <w:rsid w:val="00DE27BB"/>
    <w:rsid w:val="00DE5935"/>
    <w:rsid w:val="00DF5AA2"/>
    <w:rsid w:val="00DF63F2"/>
    <w:rsid w:val="00E0144A"/>
    <w:rsid w:val="00E03054"/>
    <w:rsid w:val="00E120B5"/>
    <w:rsid w:val="00E20061"/>
    <w:rsid w:val="00E209A8"/>
    <w:rsid w:val="00E31697"/>
    <w:rsid w:val="00E35164"/>
    <w:rsid w:val="00E361AD"/>
    <w:rsid w:val="00E401D5"/>
    <w:rsid w:val="00E40DC9"/>
    <w:rsid w:val="00E421DC"/>
    <w:rsid w:val="00E42F9C"/>
    <w:rsid w:val="00E46A48"/>
    <w:rsid w:val="00E52357"/>
    <w:rsid w:val="00E534F9"/>
    <w:rsid w:val="00E7202D"/>
    <w:rsid w:val="00E73925"/>
    <w:rsid w:val="00E826EF"/>
    <w:rsid w:val="00E82BC6"/>
    <w:rsid w:val="00E85C5A"/>
    <w:rsid w:val="00E9184D"/>
    <w:rsid w:val="00E943BE"/>
    <w:rsid w:val="00E94871"/>
    <w:rsid w:val="00E9499C"/>
    <w:rsid w:val="00E96529"/>
    <w:rsid w:val="00EA2E81"/>
    <w:rsid w:val="00EB1E68"/>
    <w:rsid w:val="00EC0649"/>
    <w:rsid w:val="00EC57F0"/>
    <w:rsid w:val="00ED6275"/>
    <w:rsid w:val="00ED676A"/>
    <w:rsid w:val="00ED7731"/>
    <w:rsid w:val="00EE5988"/>
    <w:rsid w:val="00EE5F4F"/>
    <w:rsid w:val="00EE7912"/>
    <w:rsid w:val="00EF31DD"/>
    <w:rsid w:val="00F029D4"/>
    <w:rsid w:val="00F12413"/>
    <w:rsid w:val="00F1698D"/>
    <w:rsid w:val="00F20534"/>
    <w:rsid w:val="00F2256A"/>
    <w:rsid w:val="00F22FB1"/>
    <w:rsid w:val="00F36869"/>
    <w:rsid w:val="00F41DE1"/>
    <w:rsid w:val="00F601CB"/>
    <w:rsid w:val="00F70BD0"/>
    <w:rsid w:val="00F72213"/>
    <w:rsid w:val="00F7388A"/>
    <w:rsid w:val="00F74FC6"/>
    <w:rsid w:val="00F7513C"/>
    <w:rsid w:val="00F75275"/>
    <w:rsid w:val="00F8266F"/>
    <w:rsid w:val="00F860C0"/>
    <w:rsid w:val="00F86DDE"/>
    <w:rsid w:val="00F92CC3"/>
    <w:rsid w:val="00F9610B"/>
    <w:rsid w:val="00FA0502"/>
    <w:rsid w:val="00FA2B4E"/>
    <w:rsid w:val="00FA3B53"/>
    <w:rsid w:val="00FA4212"/>
    <w:rsid w:val="00FA4E03"/>
    <w:rsid w:val="00FA6C9C"/>
    <w:rsid w:val="00FA7D05"/>
    <w:rsid w:val="00FB008C"/>
    <w:rsid w:val="00FB1014"/>
    <w:rsid w:val="00FC0337"/>
    <w:rsid w:val="00FC3C69"/>
    <w:rsid w:val="00FC4346"/>
    <w:rsid w:val="00FD39FF"/>
    <w:rsid w:val="00FD3C83"/>
    <w:rsid w:val="00FE6590"/>
    <w:rsid w:val="00FE665B"/>
    <w:rsid w:val="00FF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BalloonText">
    <w:name w:val="Balloon Text"/>
    <w:basedOn w:val="Normal"/>
    <w:link w:val="BalloonTextChar"/>
    <w:uiPriority w:val="99"/>
    <w:semiHidden/>
    <w:unhideWhenUsed/>
    <w:rsid w:val="00756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A56"/>
    <w:rPr>
      <w:rFonts w:ascii="Segoe UI" w:hAnsi="Segoe UI" w:cs="Segoe UI"/>
      <w:sz w:val="18"/>
      <w:szCs w:val="18"/>
    </w:rPr>
  </w:style>
  <w:style w:type="table" w:styleId="TableGrid">
    <w:name w:val="Table Grid"/>
    <w:basedOn w:val="TableNormal"/>
    <w:uiPriority w:val="39"/>
    <w:rsid w:val="0040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21F5"/>
    <w:pPr>
      <w:widowControl/>
      <w:spacing w:before="100" w:beforeAutospacing="1" w:after="100" w:afterAutospacing="1"/>
      <w:jc w:val="left"/>
    </w:pPr>
    <w:rPr>
      <w:rFonts w:ascii="Times New Roman" w:eastAsia="Times New Roman" w:hAnsi="Times New Roman" w:cs="Times New Roman"/>
      <w:lang w:val="de-DE" w:eastAsia="de-DE"/>
    </w:rPr>
  </w:style>
  <w:style w:type="paragraph" w:customStyle="1" w:styleId="EndNoteBibliography">
    <w:name w:val="EndNote Bibliography"/>
    <w:basedOn w:val="Normal"/>
    <w:link w:val="EndNoteBibliographyChar"/>
    <w:rsid w:val="004D4166"/>
    <w:pPr>
      <w:widowControl/>
      <w:autoSpaceDE w:val="0"/>
      <w:autoSpaceDN w:val="0"/>
      <w:jc w:val="left"/>
    </w:pPr>
    <w:rPr>
      <w:rFonts w:ascii="Arial" w:eastAsia="Times New Roman" w:hAnsi="Arial" w:cs="Arial"/>
      <w:noProof/>
      <w:sz w:val="22"/>
    </w:rPr>
  </w:style>
  <w:style w:type="character" w:customStyle="1" w:styleId="EndNoteBibliographyChar">
    <w:name w:val="EndNote Bibliography Char"/>
    <w:basedOn w:val="DefaultParagraphFont"/>
    <w:link w:val="EndNoteBibliography"/>
    <w:rsid w:val="004D4166"/>
    <w:rPr>
      <w:rFonts w:ascii="Arial" w:eastAsia="Times New Roman" w:hAnsi="Arial" w:cs="Arial"/>
      <w:noProof/>
      <w:sz w:val="22"/>
    </w:rPr>
  </w:style>
  <w:style w:type="character" w:customStyle="1" w:styleId="whitespace-nowrap">
    <w:name w:val="whitespace-nowrap"/>
    <w:basedOn w:val="DefaultParagraphFont"/>
    <w:rsid w:val="00AA0D96"/>
  </w:style>
  <w:style w:type="character" w:styleId="Emphasis">
    <w:name w:val="Emphasis"/>
    <w:basedOn w:val="DefaultParagraphFont"/>
    <w:uiPriority w:val="20"/>
    <w:qFormat/>
    <w:rsid w:val="004A65B4"/>
    <w:rPr>
      <w:i/>
      <w:iCs/>
    </w:rPr>
  </w:style>
  <w:style w:type="paragraph" w:styleId="Bibliography">
    <w:name w:val="Bibliography"/>
    <w:basedOn w:val="Normal"/>
    <w:next w:val="Normal"/>
    <w:uiPriority w:val="37"/>
    <w:unhideWhenUsed/>
    <w:rsid w:val="00EE5F4F"/>
    <w:pPr>
      <w:tabs>
        <w:tab w:val="left" w:pos="384"/>
      </w:tabs>
      <w:ind w:left="384" w:hanging="384"/>
    </w:pPr>
  </w:style>
  <w:style w:type="character" w:styleId="Strong">
    <w:name w:val="Strong"/>
    <w:basedOn w:val="DefaultParagraphFont"/>
    <w:uiPriority w:val="22"/>
    <w:qFormat/>
    <w:rsid w:val="00E31697"/>
    <w:rPr>
      <w:b/>
      <w:bCs/>
    </w:rPr>
  </w:style>
  <w:style w:type="character" w:styleId="UnresolvedMention">
    <w:name w:val="Unresolved Mention"/>
    <w:basedOn w:val="DefaultParagraphFont"/>
    <w:uiPriority w:val="99"/>
    <w:semiHidden/>
    <w:unhideWhenUsed/>
    <w:rsid w:val="008B05F1"/>
    <w:rPr>
      <w:color w:val="605E5C"/>
      <w:shd w:val="clear" w:color="auto" w:fill="E1DFDD"/>
    </w:rPr>
  </w:style>
  <w:style w:type="paragraph" w:styleId="Header">
    <w:name w:val="header"/>
    <w:basedOn w:val="Normal"/>
    <w:link w:val="HeaderChar"/>
    <w:uiPriority w:val="99"/>
    <w:semiHidden/>
    <w:unhideWhenUsed/>
    <w:rsid w:val="00D2437F"/>
    <w:pPr>
      <w:tabs>
        <w:tab w:val="center" w:pos="4513"/>
        <w:tab w:val="right" w:pos="9026"/>
      </w:tabs>
    </w:pPr>
  </w:style>
  <w:style w:type="character" w:customStyle="1" w:styleId="HeaderChar">
    <w:name w:val="Header Char"/>
    <w:basedOn w:val="DefaultParagraphFont"/>
    <w:link w:val="Header"/>
    <w:uiPriority w:val="99"/>
    <w:semiHidden/>
    <w:rsid w:val="00D2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9364">
      <w:bodyDiv w:val="1"/>
      <w:marLeft w:val="0"/>
      <w:marRight w:val="0"/>
      <w:marTop w:val="0"/>
      <w:marBottom w:val="0"/>
      <w:divBdr>
        <w:top w:val="none" w:sz="0" w:space="0" w:color="auto"/>
        <w:left w:val="none" w:sz="0" w:space="0" w:color="auto"/>
        <w:bottom w:val="none" w:sz="0" w:space="0" w:color="auto"/>
        <w:right w:val="none" w:sz="0" w:space="0" w:color="auto"/>
      </w:divBdr>
      <w:divsChild>
        <w:div w:id="2107382729">
          <w:marLeft w:val="0"/>
          <w:marRight w:val="0"/>
          <w:marTop w:val="0"/>
          <w:marBottom w:val="0"/>
          <w:divBdr>
            <w:top w:val="none" w:sz="0" w:space="0" w:color="auto"/>
            <w:left w:val="none" w:sz="0" w:space="0" w:color="auto"/>
            <w:bottom w:val="none" w:sz="0" w:space="0" w:color="auto"/>
            <w:right w:val="none" w:sz="0" w:space="0" w:color="auto"/>
          </w:divBdr>
          <w:divsChild>
            <w:div w:id="15480294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47325967">
      <w:bodyDiv w:val="1"/>
      <w:marLeft w:val="0"/>
      <w:marRight w:val="0"/>
      <w:marTop w:val="0"/>
      <w:marBottom w:val="0"/>
      <w:divBdr>
        <w:top w:val="none" w:sz="0" w:space="0" w:color="auto"/>
        <w:left w:val="none" w:sz="0" w:space="0" w:color="auto"/>
        <w:bottom w:val="none" w:sz="0" w:space="0" w:color="auto"/>
        <w:right w:val="none" w:sz="0" w:space="0" w:color="auto"/>
      </w:divBdr>
    </w:div>
    <w:div w:id="1120495982">
      <w:bodyDiv w:val="1"/>
      <w:marLeft w:val="0"/>
      <w:marRight w:val="0"/>
      <w:marTop w:val="0"/>
      <w:marBottom w:val="0"/>
      <w:divBdr>
        <w:top w:val="none" w:sz="0" w:space="0" w:color="auto"/>
        <w:left w:val="none" w:sz="0" w:space="0" w:color="auto"/>
        <w:bottom w:val="none" w:sz="0" w:space="0" w:color="auto"/>
        <w:right w:val="none" w:sz="0" w:space="0" w:color="auto"/>
      </w:divBdr>
    </w:div>
    <w:div w:id="1614441516">
      <w:bodyDiv w:val="1"/>
      <w:marLeft w:val="0"/>
      <w:marRight w:val="0"/>
      <w:marTop w:val="0"/>
      <w:marBottom w:val="0"/>
      <w:divBdr>
        <w:top w:val="none" w:sz="0" w:space="0" w:color="auto"/>
        <w:left w:val="none" w:sz="0" w:space="0" w:color="auto"/>
        <w:bottom w:val="none" w:sz="0" w:space="0" w:color="auto"/>
        <w:right w:val="none" w:sz="0" w:space="0" w:color="auto"/>
      </w:divBdr>
    </w:div>
    <w:div w:id="213878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487D-C6E2-4736-9D7C-31D21C2C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13197</Words>
  <Characters>75223</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2025-10-28T22:43:00Z</dcterms:created>
  <dcterms:modified xsi:type="dcterms:W3CDTF">2025-12-01T23:41:00Z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zotero-version="7.0.27"&gt;&lt;session id="H1XwTbdk"/&gt;&lt;style id="http://www.zotero.org/styles/journal-of-visualized-experiments" hasBibliography="1" bibliographyStyleHasBeenSet="1"/&gt;&lt;prefs&gt;&lt;pref name="fieldType" value="Field"/&gt;&lt;/prefs&gt;&lt;/d</vt:lpwstr>
  </property>
  <property fmtid="{D5CDD505-2E9C-101B-9397-08002B2CF9AE}" pid="4" name="ZOTERO_PREF_2">
    <vt:lpwstr>ata&gt;</vt:lpwstr>
  </property>
</Properties>
</file>