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1C65B">
      <w:r>
        <w:rPr>
          <w:b/>
        </w:rPr>
        <w:t>TITLE:</w:t>
      </w:r>
      <w:r>
        <w:t xml:space="preserve"> </w:t>
      </w:r>
    </w:p>
    <w:p w14:paraId="55D354DE">
      <w:pPr>
        <w:rPr>
          <w:lang w:eastAsia="zh-CN"/>
        </w:rPr>
      </w:pPr>
      <w:bookmarkStart w:id="0" w:name="OLE_LINK10"/>
      <w:r>
        <w:rPr>
          <w:lang w:eastAsia="zh-CN"/>
        </w:rPr>
        <w:t>Half-segmental Diaphyseal Bone Defect Model in Rats for Evaluating Bone Substitute Performance in Load-bearing Regions</w:t>
      </w:r>
      <w:bookmarkEnd w:id="0"/>
    </w:p>
    <w:p w14:paraId="276BB140">
      <w:pPr>
        <w:rPr>
          <w:b/>
        </w:rPr>
      </w:pPr>
    </w:p>
    <w:p w14:paraId="697BAD9A">
      <w:r>
        <w:rPr>
          <w:b/>
        </w:rPr>
        <w:t>AUTHORS AND AFFILIATIONS:</w:t>
      </w:r>
    </w:p>
    <w:p w14:paraId="48BFE67B">
      <w:pPr>
        <w:rPr>
          <w:lang w:eastAsia="zh-CN"/>
        </w:rPr>
      </w:pPr>
      <w:r>
        <w:rPr>
          <w:lang w:eastAsia="zh-CN"/>
        </w:rPr>
        <w:t>Shuhan Liu</w:t>
      </w:r>
      <w:r>
        <w:rPr>
          <w:vertAlign w:val="superscript"/>
        </w:rPr>
        <w:t>1,</w:t>
      </w:r>
      <w:r>
        <w:rPr>
          <w:vertAlign w:val="superscript"/>
          <w:lang w:eastAsia="zh-CN"/>
        </w:rPr>
        <w:t>2</w:t>
      </w:r>
      <w:r>
        <w:t xml:space="preserve">, </w:t>
      </w:r>
      <w:r>
        <w:rPr>
          <w:lang w:eastAsia="zh-CN"/>
        </w:rPr>
        <w:t>Peng</w:t>
      </w:r>
      <w:r>
        <w:t xml:space="preserve"> Yu</w:t>
      </w:r>
      <w:bookmarkStart w:id="1" w:name="OLE_LINK8"/>
      <w:r>
        <w:rPr>
          <w:vertAlign w:val="superscript"/>
        </w:rPr>
        <w:t>1</w:t>
      </w:r>
      <w:bookmarkEnd w:id="1"/>
      <w:r>
        <w:rPr>
          <w:lang w:eastAsia="zh-CN"/>
        </w:rPr>
        <w:t>, Jialu Jin</w:t>
      </w:r>
      <w:r>
        <w:rPr>
          <w:vertAlign w:val="superscript"/>
        </w:rPr>
        <w:t>1,</w:t>
      </w:r>
      <w:r>
        <w:rPr>
          <w:vertAlign w:val="superscript"/>
          <w:lang w:eastAsia="zh-CN"/>
        </w:rPr>
        <w:t>2</w:t>
      </w:r>
      <w:r>
        <w:rPr>
          <w:lang w:eastAsia="zh-CN"/>
        </w:rPr>
        <w:t>, Yuchuan Luo</w:t>
      </w:r>
      <w:r>
        <w:rPr>
          <w:vertAlign w:val="superscript"/>
        </w:rPr>
        <w:t>1,</w:t>
      </w:r>
      <w:r>
        <w:rPr>
          <w:vertAlign w:val="superscript"/>
          <w:lang w:eastAsia="zh-CN"/>
        </w:rPr>
        <w:t>2</w:t>
      </w:r>
      <w:r>
        <w:rPr>
          <w:lang w:eastAsia="zh-CN"/>
        </w:rPr>
        <w:t>, Yiyun Chen</w:t>
      </w:r>
      <w:r>
        <w:rPr>
          <w:vertAlign w:val="superscript"/>
        </w:rPr>
        <w:t>1,</w:t>
      </w:r>
      <w:r>
        <w:rPr>
          <w:vertAlign w:val="superscript"/>
          <w:lang w:eastAsia="zh-CN"/>
        </w:rPr>
        <w:t>2</w:t>
      </w:r>
      <w:r>
        <w:rPr>
          <w:lang w:eastAsia="zh-CN"/>
        </w:rPr>
        <w:t>, Feifei Li</w:t>
      </w:r>
      <w:r>
        <w:rPr>
          <w:vertAlign w:val="superscript"/>
        </w:rPr>
        <w:t>1</w:t>
      </w:r>
      <w:r>
        <w:rPr>
          <w:lang w:eastAsia="zh-CN"/>
        </w:rPr>
        <w:t>, Yitian Wang</w:t>
      </w:r>
      <w:r>
        <w:rPr>
          <w:vertAlign w:val="superscript"/>
        </w:rPr>
        <w:t>1</w:t>
      </w:r>
      <w:r>
        <w:rPr>
          <w:lang w:eastAsia="zh-CN"/>
        </w:rPr>
        <w:t>, Ling Ye</w:t>
      </w:r>
      <w:bookmarkStart w:id="2" w:name="OLE_LINK7"/>
      <w:r>
        <w:rPr>
          <w:vertAlign w:val="superscript"/>
        </w:rPr>
        <w:t>1,</w:t>
      </w:r>
      <w:r>
        <w:rPr>
          <w:vertAlign w:val="superscript"/>
          <w:lang w:eastAsia="zh-CN"/>
        </w:rPr>
        <w:t>2</w:t>
      </w:r>
      <w:bookmarkEnd w:id="2"/>
      <w:r>
        <w:rPr>
          <w:lang w:eastAsia="zh-CN"/>
        </w:rPr>
        <w:t>*</w:t>
      </w:r>
      <w:r>
        <w:t>, Jiayi Wu</w:t>
      </w:r>
      <w:r>
        <w:rPr>
          <w:vertAlign w:val="superscript"/>
        </w:rPr>
        <w:t>1,</w:t>
      </w:r>
      <w:r>
        <w:rPr>
          <w:vertAlign w:val="superscript"/>
          <w:lang w:eastAsia="zh-CN"/>
        </w:rPr>
        <w:t>3</w:t>
      </w:r>
      <w:r>
        <w:rPr>
          <w:lang w:eastAsia="zh-CN"/>
        </w:rPr>
        <w:t>*</w:t>
      </w:r>
    </w:p>
    <w:p w14:paraId="195DE200">
      <w:pPr>
        <w:rPr>
          <w:lang w:eastAsia="zh-CN"/>
        </w:rPr>
      </w:pPr>
    </w:p>
    <w:p w14:paraId="04F9C7FE">
      <w:r>
        <w:rPr>
          <w:vertAlign w:val="superscript"/>
        </w:rPr>
        <w:t>1</w:t>
      </w:r>
      <w:r>
        <w:t>State Key Laboratory of Oral Diseases &amp; National Center for Stomatology &amp; National Clinical Research Center for Oral Diseases, West China Hospital of Stomatology, Sichuan University, Chengdu, Sichuan, China</w:t>
      </w:r>
    </w:p>
    <w:p w14:paraId="7D79FD70">
      <w:r>
        <w:rPr>
          <w:vertAlign w:val="superscript"/>
          <w:lang w:eastAsia="zh-CN"/>
        </w:rPr>
        <w:t>2</w:t>
      </w:r>
      <w:r>
        <w:t>Department of Cariology and Endodontics, West China Hospital of Stomatology, Sichuan University, Chengdu, China</w:t>
      </w:r>
    </w:p>
    <w:p w14:paraId="4BFCAB4C">
      <w:r>
        <w:rPr>
          <w:vertAlign w:val="superscript"/>
          <w:lang w:eastAsia="zh-CN"/>
        </w:rPr>
        <w:t>3</w:t>
      </w:r>
      <w:r>
        <w:t xml:space="preserve">Department of </w:t>
      </w:r>
      <w:r>
        <w:rPr>
          <w:lang w:eastAsia="zh-CN"/>
        </w:rPr>
        <w:t>Jinjiang Outpatient</w:t>
      </w:r>
      <w:r>
        <w:t>, West China Hospital of Stomatology, Sichuan University, Chengdu, China</w:t>
      </w:r>
    </w:p>
    <w:p w14:paraId="374454F5">
      <w:pPr>
        <w:rPr>
          <w:lang w:eastAsia="zh-CN"/>
        </w:rPr>
      </w:pPr>
    </w:p>
    <w:p w14:paraId="537C0662">
      <w:pPr>
        <w:rPr>
          <w:lang w:eastAsia="zh-CN"/>
        </w:rPr>
      </w:pPr>
      <w:r>
        <w:rPr>
          <w:lang w:eastAsia="zh-CN"/>
        </w:rPr>
        <w:t>Email addresses of the co-authors:</w:t>
      </w:r>
    </w:p>
    <w:p w14:paraId="580DAD19">
      <w:pPr>
        <w:rPr>
          <w:lang w:eastAsia="zh-CN"/>
        </w:rPr>
      </w:pPr>
      <w:r>
        <w:rPr>
          <w:lang w:eastAsia="zh-CN"/>
        </w:rPr>
        <w:t xml:space="preserve">Shuhan Liu </w:t>
      </w:r>
      <w:r>
        <w:rPr>
          <w:lang w:eastAsia="zh-CN"/>
        </w:rPr>
        <w:tab/>
      </w:r>
      <w:r>
        <w:rPr>
          <w:lang w:eastAsia="zh-CN"/>
        </w:rPr>
        <w:tab/>
      </w:r>
      <w:r>
        <w:rPr>
          <w:lang w:eastAsia="zh-CN"/>
        </w:rPr>
        <w:t>(</w:t>
      </w:r>
      <w:r>
        <w:fldChar w:fldCharType="begin"/>
      </w:r>
      <w:r>
        <w:instrText xml:space="preserve"> HYPERLINK "mailto:2023224035056@stu.scu.edu.cn" </w:instrText>
      </w:r>
      <w:r>
        <w:fldChar w:fldCharType="separate"/>
      </w:r>
      <w:r>
        <w:rPr>
          <w:rStyle w:val="20"/>
          <w:lang w:eastAsia="zh-CN"/>
        </w:rPr>
        <w:t>2023224035056@stu.scu.edu.cn</w:t>
      </w:r>
      <w:r>
        <w:rPr>
          <w:rStyle w:val="20"/>
          <w:lang w:eastAsia="zh-CN"/>
        </w:rPr>
        <w:fldChar w:fldCharType="end"/>
      </w:r>
      <w:r>
        <w:rPr>
          <w:lang w:eastAsia="zh-CN"/>
        </w:rPr>
        <w:t>)</w:t>
      </w:r>
    </w:p>
    <w:p w14:paraId="1FB68D92">
      <w:pPr>
        <w:rPr>
          <w:lang w:eastAsia="zh-CN"/>
        </w:rPr>
      </w:pPr>
      <w:r>
        <w:rPr>
          <w:lang w:eastAsia="zh-CN"/>
        </w:rPr>
        <w:t xml:space="preserve">Peng Yu </w:t>
      </w:r>
      <w:r>
        <w:rPr>
          <w:lang w:eastAsia="zh-CN"/>
        </w:rPr>
        <w:tab/>
      </w:r>
      <w:r>
        <w:rPr>
          <w:lang w:eastAsia="zh-CN"/>
        </w:rPr>
        <w:tab/>
      </w:r>
      <w:r>
        <w:rPr>
          <w:lang w:eastAsia="zh-CN"/>
        </w:rPr>
        <w:t>(</w:t>
      </w:r>
      <w:bookmarkStart w:id="3" w:name="_Hlk201343366"/>
      <w:r>
        <w:rPr>
          <w:lang w:eastAsia="zh-CN"/>
        </w:rPr>
        <w:fldChar w:fldCharType="begin"/>
      </w:r>
      <w:r>
        <w:rPr>
          <w:lang w:eastAsia="zh-CN"/>
        </w:rPr>
        <w:instrText xml:space="preserve">HYPERLINK "mailto:yupeng@scu.edu.cn"</w:instrText>
      </w:r>
      <w:r>
        <w:rPr>
          <w:lang w:eastAsia="zh-CN"/>
        </w:rPr>
        <w:fldChar w:fldCharType="separate"/>
      </w:r>
      <w:r>
        <w:rPr>
          <w:rStyle w:val="20"/>
          <w:lang w:eastAsia="zh-CN"/>
        </w:rPr>
        <w:t>yupeng@scu.edu.cn</w:t>
      </w:r>
      <w:r>
        <w:rPr>
          <w:lang w:eastAsia="zh-CN"/>
        </w:rPr>
        <w:fldChar w:fldCharType="end"/>
      </w:r>
      <w:r>
        <w:rPr>
          <w:lang w:eastAsia="zh-CN"/>
        </w:rPr>
        <w:t>)</w:t>
      </w:r>
      <w:bookmarkEnd w:id="3"/>
    </w:p>
    <w:p w14:paraId="3961ECB0">
      <w:pPr>
        <w:rPr>
          <w:lang w:eastAsia="zh-CN"/>
        </w:rPr>
      </w:pPr>
      <w:r>
        <w:rPr>
          <w:lang w:eastAsia="zh-CN"/>
        </w:rPr>
        <w:t xml:space="preserve">Jialu Jin </w:t>
      </w:r>
      <w:r>
        <w:rPr>
          <w:lang w:eastAsia="zh-CN"/>
        </w:rPr>
        <w:tab/>
      </w:r>
      <w:r>
        <w:rPr>
          <w:lang w:eastAsia="zh-CN"/>
        </w:rPr>
        <w:tab/>
      </w:r>
      <w:r>
        <w:rPr>
          <w:lang w:eastAsia="zh-CN"/>
        </w:rPr>
        <w:t>(</w:t>
      </w:r>
      <w:r>
        <w:fldChar w:fldCharType="begin"/>
      </w:r>
      <w:r>
        <w:instrText xml:space="preserve"> HYPERLINK "mailto:jinjialu@stu.scu.edu.cn" </w:instrText>
      </w:r>
      <w:r>
        <w:fldChar w:fldCharType="separate"/>
      </w:r>
      <w:r>
        <w:rPr>
          <w:rStyle w:val="20"/>
          <w:lang w:eastAsia="zh-CN"/>
        </w:rPr>
        <w:t>jinjialu@stu.scu.edu.cn</w:t>
      </w:r>
      <w:r>
        <w:rPr>
          <w:rStyle w:val="20"/>
          <w:lang w:eastAsia="zh-CN"/>
        </w:rPr>
        <w:fldChar w:fldCharType="end"/>
      </w:r>
      <w:r>
        <w:rPr>
          <w:lang w:eastAsia="zh-CN"/>
        </w:rPr>
        <w:t>)</w:t>
      </w:r>
    </w:p>
    <w:p w14:paraId="7CC1DCD2">
      <w:pPr>
        <w:rPr>
          <w:lang w:eastAsia="zh-CN"/>
        </w:rPr>
      </w:pPr>
      <w:r>
        <w:rPr>
          <w:lang w:eastAsia="zh-CN"/>
        </w:rPr>
        <w:t xml:space="preserve">Yuchuan Luo </w:t>
      </w:r>
      <w:r>
        <w:rPr>
          <w:lang w:eastAsia="zh-CN"/>
        </w:rPr>
        <w:tab/>
      </w:r>
      <w:r>
        <w:rPr>
          <w:lang w:eastAsia="zh-CN"/>
        </w:rPr>
        <w:tab/>
      </w:r>
      <w:r>
        <w:rPr>
          <w:lang w:eastAsia="zh-CN"/>
        </w:rPr>
        <w:t>(</w:t>
      </w:r>
      <w:r>
        <w:fldChar w:fldCharType="begin"/>
      </w:r>
      <w:r>
        <w:instrText xml:space="preserve"> HYPERLINK "mailto:2024324035006@stu.scu.edu.cn" </w:instrText>
      </w:r>
      <w:r>
        <w:fldChar w:fldCharType="separate"/>
      </w:r>
      <w:r>
        <w:rPr>
          <w:rStyle w:val="20"/>
          <w:lang w:eastAsia="zh-CN"/>
        </w:rPr>
        <w:t>2024324035006@stu.scu.edu.cn</w:t>
      </w:r>
      <w:r>
        <w:rPr>
          <w:rStyle w:val="20"/>
          <w:lang w:eastAsia="zh-CN"/>
        </w:rPr>
        <w:fldChar w:fldCharType="end"/>
      </w:r>
      <w:r>
        <w:rPr>
          <w:lang w:eastAsia="zh-CN"/>
        </w:rPr>
        <w:t>)</w:t>
      </w:r>
    </w:p>
    <w:p w14:paraId="34417008">
      <w:pPr>
        <w:rPr>
          <w:lang w:eastAsia="zh-CN"/>
        </w:rPr>
      </w:pPr>
      <w:r>
        <w:rPr>
          <w:lang w:eastAsia="zh-CN"/>
        </w:rPr>
        <w:t xml:space="preserve">Yiyun Chen </w:t>
      </w:r>
      <w:r>
        <w:rPr>
          <w:lang w:eastAsia="zh-CN"/>
        </w:rPr>
        <w:tab/>
      </w:r>
      <w:r>
        <w:rPr>
          <w:lang w:eastAsia="zh-CN"/>
        </w:rPr>
        <w:tab/>
      </w:r>
      <w:r>
        <w:rPr>
          <w:lang w:eastAsia="zh-CN"/>
        </w:rPr>
        <w:t>(</w:t>
      </w:r>
      <w:r>
        <w:fldChar w:fldCharType="begin"/>
      </w:r>
      <w:r>
        <w:instrText xml:space="preserve"> HYPERLINK "mailto:chenyiyun1@stu.scu.edu.cn" </w:instrText>
      </w:r>
      <w:r>
        <w:fldChar w:fldCharType="separate"/>
      </w:r>
      <w:r>
        <w:rPr>
          <w:rStyle w:val="20"/>
          <w:lang w:eastAsia="zh-CN"/>
        </w:rPr>
        <w:t>chenyiyun1@stu.scu.edu.cn</w:t>
      </w:r>
      <w:r>
        <w:rPr>
          <w:rStyle w:val="20"/>
          <w:lang w:eastAsia="zh-CN"/>
        </w:rPr>
        <w:fldChar w:fldCharType="end"/>
      </w:r>
      <w:r>
        <w:rPr>
          <w:lang w:eastAsia="zh-CN"/>
        </w:rPr>
        <w:t>)</w:t>
      </w:r>
    </w:p>
    <w:p w14:paraId="4D73B39B">
      <w:pPr>
        <w:rPr>
          <w:lang w:eastAsia="zh-CN"/>
        </w:rPr>
      </w:pPr>
      <w:r>
        <w:rPr>
          <w:lang w:eastAsia="zh-CN"/>
        </w:rPr>
        <w:t>Feifei Li</w:t>
      </w:r>
      <w:r>
        <w:t xml:space="preserve"> </w:t>
      </w:r>
      <w:r>
        <w:tab/>
      </w:r>
      <w:r>
        <w:tab/>
      </w:r>
      <w:r>
        <w:rPr>
          <w:lang w:eastAsia="zh-CN"/>
        </w:rPr>
        <w:t>(</w:t>
      </w:r>
      <w:r>
        <w:fldChar w:fldCharType="begin"/>
      </w:r>
      <w:r>
        <w:instrText xml:space="preserve"> HYPERLINK "mailto:li2017@outlook.com" </w:instrText>
      </w:r>
      <w:r>
        <w:fldChar w:fldCharType="separate"/>
      </w:r>
      <w:r>
        <w:rPr>
          <w:rStyle w:val="20"/>
          <w:lang w:eastAsia="zh-CN"/>
        </w:rPr>
        <w:t>li2017@outlook.com</w:t>
      </w:r>
      <w:r>
        <w:rPr>
          <w:rStyle w:val="20"/>
          <w:lang w:eastAsia="zh-CN"/>
        </w:rPr>
        <w:fldChar w:fldCharType="end"/>
      </w:r>
      <w:r>
        <w:rPr>
          <w:lang w:eastAsia="zh-CN"/>
        </w:rPr>
        <w:t>)</w:t>
      </w:r>
    </w:p>
    <w:p w14:paraId="6ABE0CD6">
      <w:pPr>
        <w:rPr>
          <w:lang w:eastAsia="zh-CN"/>
        </w:rPr>
      </w:pPr>
      <w:r>
        <w:rPr>
          <w:lang w:eastAsia="zh-CN"/>
        </w:rPr>
        <w:t>Yitian Wang</w:t>
      </w:r>
      <w:r>
        <w:t xml:space="preserve"> </w:t>
      </w:r>
      <w:r>
        <w:tab/>
      </w:r>
      <w:r>
        <w:tab/>
      </w:r>
      <w:r>
        <w:rPr>
          <w:lang w:eastAsia="zh-CN"/>
        </w:rPr>
        <w:t>(</w:t>
      </w:r>
      <w:r>
        <w:fldChar w:fldCharType="begin"/>
      </w:r>
      <w:r>
        <w:instrText xml:space="preserve"> HYPERLINK "mailto:yitian_iasmina@outlook.com" </w:instrText>
      </w:r>
      <w:r>
        <w:fldChar w:fldCharType="separate"/>
      </w:r>
      <w:r>
        <w:rPr>
          <w:rStyle w:val="20"/>
          <w:lang w:eastAsia="zh-CN"/>
        </w:rPr>
        <w:t>yitian_iasmina@outlook.com</w:t>
      </w:r>
      <w:r>
        <w:rPr>
          <w:rStyle w:val="20"/>
          <w:lang w:eastAsia="zh-CN"/>
        </w:rPr>
        <w:fldChar w:fldCharType="end"/>
      </w:r>
      <w:r>
        <w:rPr>
          <w:lang w:eastAsia="zh-CN"/>
        </w:rPr>
        <w:t>)</w:t>
      </w:r>
    </w:p>
    <w:p w14:paraId="17FF4B2E">
      <w:pPr>
        <w:rPr>
          <w:lang w:eastAsia="zh-CN"/>
        </w:rPr>
      </w:pPr>
    </w:p>
    <w:p w14:paraId="37F3EA98">
      <w:pPr>
        <w:rPr>
          <w:lang w:eastAsia="zh-CN"/>
        </w:rPr>
      </w:pPr>
      <w:r>
        <w:t xml:space="preserve">*Email addresses of the corresponding authors: </w:t>
      </w:r>
    </w:p>
    <w:p w14:paraId="237B9C9E">
      <w:pPr>
        <w:rPr>
          <w:lang w:eastAsia="zh-CN"/>
        </w:rPr>
      </w:pPr>
      <w:r>
        <w:rPr>
          <w:lang w:eastAsia="zh-CN"/>
        </w:rPr>
        <w:t xml:space="preserve">Ling Ye </w:t>
      </w:r>
      <w:r>
        <w:rPr>
          <w:lang w:eastAsia="zh-CN"/>
        </w:rPr>
        <w:tab/>
      </w:r>
      <w:r>
        <w:rPr>
          <w:lang w:eastAsia="zh-CN"/>
        </w:rPr>
        <w:tab/>
      </w:r>
      <w:r>
        <w:rPr>
          <w:lang w:eastAsia="zh-CN"/>
        </w:rPr>
        <w:t>(</w:t>
      </w:r>
      <w:r>
        <w:fldChar w:fldCharType="begin"/>
      </w:r>
      <w:r>
        <w:instrText xml:space="preserve"> HYPERLINK "mailto:yeling@scu.edu.cn" </w:instrText>
      </w:r>
      <w:r>
        <w:fldChar w:fldCharType="separate"/>
      </w:r>
      <w:r>
        <w:rPr>
          <w:rStyle w:val="20"/>
          <w:lang w:eastAsia="zh-CN"/>
        </w:rPr>
        <w:t>yeling@scu.edu.cn</w:t>
      </w:r>
      <w:r>
        <w:rPr>
          <w:rStyle w:val="20"/>
          <w:lang w:eastAsia="zh-CN"/>
        </w:rPr>
        <w:fldChar w:fldCharType="end"/>
      </w:r>
      <w:r>
        <w:rPr>
          <w:lang w:eastAsia="zh-CN"/>
        </w:rPr>
        <w:t>)</w:t>
      </w:r>
    </w:p>
    <w:p w14:paraId="5834133E">
      <w:pPr>
        <w:rPr>
          <w:lang w:eastAsia="zh-CN"/>
        </w:rPr>
      </w:pPr>
      <w:r>
        <w:rPr>
          <w:lang w:eastAsia="zh-CN"/>
        </w:rPr>
        <w:t>Jiayi Wu</w:t>
      </w:r>
      <w:r>
        <w:rPr>
          <w:lang w:eastAsia="zh-CN"/>
        </w:rPr>
        <w:tab/>
      </w:r>
      <w:r>
        <w:rPr>
          <w:lang w:eastAsia="zh-CN"/>
        </w:rPr>
        <w:tab/>
      </w:r>
      <w:r>
        <w:rPr>
          <w:lang w:eastAsia="zh-CN"/>
        </w:rPr>
        <w:t>(</w:t>
      </w:r>
      <w:r>
        <w:fldChar w:fldCharType="begin"/>
      </w:r>
      <w:r>
        <w:instrText xml:space="preserve"> HYPERLINK "mailto:wujoeypaper@outlook.com" </w:instrText>
      </w:r>
      <w:r>
        <w:fldChar w:fldCharType="separate"/>
      </w:r>
      <w:r>
        <w:rPr>
          <w:rStyle w:val="20"/>
          <w:lang w:eastAsia="zh-CN"/>
        </w:rPr>
        <w:t>wujoeypaper@outlook.com</w:t>
      </w:r>
      <w:r>
        <w:rPr>
          <w:rStyle w:val="20"/>
          <w:lang w:eastAsia="zh-CN"/>
        </w:rPr>
        <w:fldChar w:fldCharType="end"/>
      </w:r>
      <w:r>
        <w:rPr>
          <w:lang w:eastAsia="zh-CN"/>
        </w:rPr>
        <w:t>)</w:t>
      </w:r>
    </w:p>
    <w:p w14:paraId="39FB9B50"/>
    <w:p w14:paraId="60D3140D">
      <w:r>
        <w:rPr>
          <w:b/>
        </w:rPr>
        <w:t>SUMMARY:</w:t>
      </w:r>
      <w:r>
        <w:t xml:space="preserve"> </w:t>
      </w:r>
    </w:p>
    <w:p w14:paraId="1CB53175">
      <w:pPr>
        <w:rPr>
          <w:lang w:eastAsia="zh-CN"/>
        </w:rPr>
      </w:pPr>
      <w:r>
        <w:rPr>
          <w:lang w:eastAsia="zh-CN"/>
        </w:rPr>
        <w:t>This study established a rat femoral half-segmental defect model to evaluate the mechanical and osteogenic performance of bone substitute materials under load-bearing conditions without the use of internal or external fixation.</w:t>
      </w:r>
    </w:p>
    <w:p w14:paraId="6E371D35"/>
    <w:p w14:paraId="536873F0">
      <w:r>
        <w:rPr>
          <w:b/>
        </w:rPr>
        <w:t>ABSTRACT:</w:t>
      </w:r>
      <w:r>
        <w:t xml:space="preserve"> </w:t>
      </w:r>
    </w:p>
    <w:p w14:paraId="6934976D">
      <w:pPr>
        <w:rPr>
          <w:lang w:eastAsia="zh-CN"/>
        </w:rPr>
      </w:pPr>
      <w:bookmarkStart w:id="4" w:name="_Hlk201359524"/>
      <w:r>
        <w:rPr>
          <w:lang w:eastAsia="zh-CN"/>
        </w:rPr>
        <w:t>Accurate preclinical evaluation of bone substitute materials demands models that not only support tissue regeneration but also reflect the mechanical challenges of physiological load-bearing conditions.</w:t>
      </w:r>
      <w:bookmarkEnd w:id="4"/>
      <w:r>
        <w:t xml:space="preserve"> </w:t>
      </w:r>
      <w:r>
        <w:rPr>
          <w:lang w:eastAsia="zh-CN"/>
        </w:rPr>
        <w:t xml:space="preserve">However, most conventional animal bone defect models fall short in this regard. For example, calvarial defect models, though widely used, are created in non-load-bearing regions. Similarly, drill-hole or partial defects in long bones primarily focus on localized healing, lacking sufficient load transfer to assess mechanical support. This study established a standardized half-segmental </w:t>
      </w:r>
      <w:bookmarkStart w:id="5" w:name="OLE_LINK9"/>
      <w:r>
        <w:rPr>
          <w:lang w:eastAsia="zh-CN"/>
        </w:rPr>
        <w:t>diaphyseal</w:t>
      </w:r>
      <w:bookmarkEnd w:id="5"/>
      <w:r>
        <w:rPr>
          <w:lang w:eastAsia="zh-CN"/>
        </w:rPr>
        <w:t xml:space="preserve"> bone defect model in the rat femur to assess both the mechanical and biological performance of bone substitute materials in a load-bearing context without the use of fixation devices.</w:t>
      </w:r>
      <w:bookmarkStart w:id="6" w:name="OLE_LINK16"/>
      <w:r>
        <w:rPr>
          <w:lang w:eastAsia="zh-CN"/>
        </w:rPr>
        <w:t xml:space="preserve"> </w:t>
      </w:r>
      <w:r>
        <w:t xml:space="preserve">Using a high-speed handpiece and a </w:t>
      </w:r>
      <w:bookmarkStart w:id="7" w:name="_Hlk201408674"/>
      <w:r>
        <w:rPr>
          <w:lang w:eastAsia="zh-CN"/>
        </w:rPr>
        <w:t>specialized</w:t>
      </w:r>
      <w:r>
        <w:t xml:space="preserve"> cylindrical dental bur</w:t>
      </w:r>
      <w:bookmarkEnd w:id="7"/>
      <w:r>
        <w:t xml:space="preserve">, a semi-cylindrical defect measuring 4 mm in length and 1.5 mm in radius was created in the lateral midshaft of the femur. Two representative materials with distinct properties—Gelatin methacryloyl (GelMA) hydrogel and </w:t>
      </w:r>
      <w:bookmarkStart w:id="8" w:name="_Hlk201681995"/>
      <w:r>
        <w:t>3D-printed polymethyl methacrylate (3DP-PMMA)</w:t>
      </w:r>
      <w:bookmarkEnd w:id="8"/>
      <w:r>
        <w:t xml:space="preserve">—were implanted to validate the model's capacity to differentiate the mechanical properties of materials. </w:t>
      </w:r>
      <w:bookmarkEnd w:id="6"/>
      <w:r>
        <w:t>Radiographic, histological, and immunofluorescen</w:t>
      </w:r>
      <w:r>
        <w:rPr>
          <w:lang w:eastAsia="zh-CN"/>
        </w:rPr>
        <w:t>t</w:t>
      </w:r>
      <w:r>
        <w:t xml:space="preserve"> analyses performed at 4 weeks post-implantation revealed that, due to inadequate mechanical support, GelMA implantation led to malunion with fibrous tissue predominance and limited bone integration.</w:t>
      </w:r>
      <w:r>
        <w:rPr>
          <w:lang w:eastAsia="zh-CN"/>
        </w:rPr>
        <w:t xml:space="preserve"> </w:t>
      </w:r>
      <w:r>
        <w:t>In contrast,</w:t>
      </w:r>
      <w:r>
        <w:rPr>
          <w:lang w:eastAsia="zh-CN"/>
        </w:rPr>
        <w:t xml:space="preserve"> </w:t>
      </w:r>
      <w:r>
        <w:t xml:space="preserve">3DP-PMMA facilitated the organization of new bone formation, periosteal continuity, and the recruitment of </w:t>
      </w:r>
      <w:r>
        <w:rPr>
          <w:lang w:eastAsia="zh-CN"/>
        </w:rPr>
        <w:t>Piezo type mechanosensitive ion channel component 1-expressing (</w:t>
      </w:r>
      <w:r>
        <w:t>Piezo1</w:t>
      </w:r>
      <w:r>
        <w:rPr>
          <w:vertAlign w:val="superscript"/>
          <w:lang w:eastAsia="zh-CN"/>
        </w:rPr>
        <w:t>+</w:t>
      </w:r>
      <w:r>
        <w:rPr>
          <w:lang w:eastAsia="zh-CN"/>
        </w:rPr>
        <w:t>)</w:t>
      </w:r>
      <w:r>
        <w:t xml:space="preserve"> and leptin receptor-expressing (LepR</w:t>
      </w:r>
      <w:r>
        <w:rPr>
          <w:vertAlign w:val="superscript"/>
          <w:lang w:eastAsia="zh-CN"/>
        </w:rPr>
        <w:t>+</w:t>
      </w:r>
      <w:r>
        <w:rPr>
          <w:lang w:eastAsia="zh-CN"/>
        </w:rPr>
        <w:t>)</w:t>
      </w:r>
      <w:r>
        <w:t xml:space="preserve"> cells.</w:t>
      </w:r>
      <w:r>
        <w:rPr>
          <w:lang w:eastAsia="zh-CN"/>
        </w:rPr>
        <w:t xml:space="preserve"> </w:t>
      </w:r>
      <w:r>
        <w:t>This model provides a practical and reproducible platform for assessing the load-bearing capacity, osteoinductivity, and osseointegration potential of biomaterials. It can serve as a valuable tool for screening candidate materials for orthopedic applications, such as long bone reconstruction or fracture repair.</w:t>
      </w:r>
    </w:p>
    <w:p w14:paraId="21A21740"/>
    <w:p w14:paraId="6262C63E">
      <w:pPr>
        <w:rPr>
          <w:lang w:eastAsia="zh-CN"/>
        </w:rPr>
      </w:pPr>
      <w:r>
        <w:rPr>
          <w:b/>
        </w:rPr>
        <w:t>INTRODUCTION:</w:t>
      </w:r>
    </w:p>
    <w:p w14:paraId="025C2A1E">
      <w:pPr>
        <w:rPr>
          <w:bCs/>
          <w:lang w:eastAsia="zh-CN"/>
        </w:rPr>
      </w:pPr>
      <w:r>
        <w:rPr>
          <w:bCs/>
          <w:lang w:eastAsia="zh-CN"/>
        </w:rPr>
        <w:t>Under physiological conditions, bone plays a central role in maintaining the structural integrity and mechanical function of the body. It supports body weight, enables movement, and protects internal organs. When bone is damaged due to trauma, tumor resection, or infection, especially in load-bearing regions, the mechanical continuity is interrupted. This disruption often leads to complications such as bone deformity, reduced mobility, limb instability, chronic pain, and even life-threatening issues from severe fractures and hemorrhage</w:t>
      </w:r>
      <w:r>
        <w:rPr>
          <w:vertAlign w:val="superscript"/>
        </w:rPr>
        <w:t>1,2</w:t>
      </w:r>
      <w:r>
        <w:rPr>
          <w:bCs/>
          <w:lang w:eastAsia="zh-CN"/>
        </w:rPr>
        <w:t>. Nowadays, bone substitutes such as bone grafting and biomaterials have been clinically applied to replace severely damaged bone tissue or restore large-scale bone defects. Similarly, for the implanted bone substitutes, their compromised mechanical performance can lead to implant failure, resulting in non-union or even catastrophic fractures at the defect site</w:t>
      </w:r>
      <w:r>
        <w:rPr>
          <w:vertAlign w:val="superscript"/>
        </w:rPr>
        <w:t>3,4</w:t>
      </w:r>
      <w:r>
        <w:rPr>
          <w:bCs/>
          <w:lang w:eastAsia="zh-CN"/>
        </w:rPr>
        <w:t>. To restore both structure and function, bone substitute materials must not only promote bone regeneration but also possess sufficient mechanical strength to withstand physiological loading</w:t>
      </w:r>
      <w:r>
        <w:rPr>
          <w:vertAlign w:val="superscript"/>
        </w:rPr>
        <w:t>5</w:t>
      </w:r>
      <w:r>
        <w:rPr>
          <w:bCs/>
          <w:lang w:eastAsia="zh-CN"/>
        </w:rPr>
        <w:t xml:space="preserve">. </w:t>
      </w:r>
    </w:p>
    <w:p w14:paraId="24C88276">
      <w:pPr>
        <w:rPr>
          <w:bCs/>
          <w:lang w:eastAsia="zh-CN"/>
        </w:rPr>
      </w:pPr>
    </w:p>
    <w:p w14:paraId="3B41C03D">
      <w:pPr>
        <w:rPr>
          <w:bCs/>
          <w:lang w:eastAsia="zh-CN"/>
        </w:rPr>
      </w:pPr>
      <w:r>
        <w:rPr>
          <w:bCs/>
          <w:lang w:eastAsia="zh-CN"/>
        </w:rPr>
        <w:t xml:space="preserve">A critical step prior to clinical translation is the realistic assessment of whether a biomaterial, once implanted </w:t>
      </w:r>
      <w:r>
        <w:rPr>
          <w:bCs/>
          <w:i/>
          <w:iCs/>
          <w:lang w:eastAsia="zh-CN"/>
        </w:rPr>
        <w:t>in vivo</w:t>
      </w:r>
      <w:r>
        <w:rPr>
          <w:bCs/>
          <w:lang w:eastAsia="zh-CN"/>
        </w:rPr>
        <w:t xml:space="preserve">, can meet the mechanical demands required for structural support in load-bearing bone regions. Although many biomaterials have shown promise </w:t>
      </w:r>
      <w:r>
        <w:rPr>
          <w:bCs/>
          <w:i/>
          <w:iCs/>
          <w:lang w:eastAsia="zh-CN"/>
        </w:rPr>
        <w:t>in vitro</w:t>
      </w:r>
      <w:r>
        <w:rPr>
          <w:bCs/>
          <w:lang w:eastAsia="zh-CN"/>
        </w:rPr>
        <w:t xml:space="preserve"> or in small, non-load-bearing models, their translation to clinical practice is often hindered by the lack of reliable preclinical models that simulate </w:t>
      </w:r>
      <w:r>
        <w:rPr>
          <w:bCs/>
          <w:i/>
          <w:iCs/>
          <w:lang w:eastAsia="zh-CN"/>
        </w:rPr>
        <w:t>in vivo</w:t>
      </w:r>
      <w:r>
        <w:rPr>
          <w:bCs/>
          <w:lang w:eastAsia="zh-CN"/>
        </w:rPr>
        <w:t xml:space="preserve"> mechanical conditions. Currently used animal models for bone defect studies include mandibular defects</w:t>
      </w:r>
      <w:r>
        <w:rPr>
          <w:vertAlign w:val="superscript"/>
        </w:rPr>
        <w:t>6</w:t>
      </w:r>
      <w:r>
        <w:rPr>
          <w:bCs/>
          <w:lang w:eastAsia="zh-CN"/>
        </w:rPr>
        <w:t>, calvarial defects</w:t>
      </w:r>
      <w:r>
        <w:rPr>
          <w:vertAlign w:val="superscript"/>
        </w:rPr>
        <w:t>7</w:t>
      </w:r>
      <w:r>
        <w:rPr>
          <w:bCs/>
          <w:lang w:eastAsia="zh-CN"/>
        </w:rPr>
        <w:t>, drill-hole/partial defects in long bones</w:t>
      </w:r>
      <w:r>
        <w:rPr>
          <w:vertAlign w:val="superscript"/>
        </w:rPr>
        <w:t>8</w:t>
      </w:r>
      <w:r>
        <w:rPr>
          <w:bCs/>
          <w:lang w:eastAsia="zh-CN"/>
        </w:rPr>
        <w:t>, post-extraction sockets</w:t>
      </w:r>
      <w:r>
        <w:rPr>
          <w:vertAlign w:val="superscript"/>
        </w:rPr>
        <w:t>9</w:t>
      </w:r>
      <w:r>
        <w:rPr>
          <w:bCs/>
          <w:lang w:eastAsia="zh-CN"/>
        </w:rPr>
        <w:t>, and so on. These models primarily evaluate a material’s osteogenic capacity and focus on histological or radiographic regeneration endpoints</w:t>
      </w:r>
      <w:r>
        <w:rPr>
          <w:vertAlign w:val="superscript"/>
        </w:rPr>
        <w:t>10,11</w:t>
      </w:r>
      <w:r>
        <w:rPr>
          <w:bCs/>
          <w:lang w:eastAsia="zh-CN"/>
        </w:rPr>
        <w:t>. However, considering that these sites are either non-load-bearing or mechanically protected, they fail to replicate the dynamic stress conditions encountered in long bones</w:t>
      </w:r>
      <w:r>
        <w:rPr>
          <w:vertAlign w:val="superscript"/>
        </w:rPr>
        <w:t>12</w:t>
      </w:r>
      <w:r>
        <w:rPr>
          <w:bCs/>
          <w:lang w:eastAsia="zh-CN"/>
        </w:rPr>
        <w:t xml:space="preserve">. Even when mechanical properties are tested by </w:t>
      </w:r>
      <w:r>
        <w:rPr>
          <w:bCs/>
          <w:i/>
          <w:iCs/>
          <w:lang w:eastAsia="zh-CN"/>
        </w:rPr>
        <w:t>in vitro</w:t>
      </w:r>
      <w:r>
        <w:rPr>
          <w:bCs/>
          <w:lang w:eastAsia="zh-CN"/>
        </w:rPr>
        <w:t xml:space="preserve"> techniques such as compressive or tensile strength assays, these fail to replicate the dynamic loading and host tissue interactions inherent to in vivo environments</w:t>
      </w:r>
      <w:r>
        <w:rPr>
          <w:vertAlign w:val="superscript"/>
        </w:rPr>
        <w:t>13</w:t>
      </w:r>
      <w:r>
        <w:rPr>
          <w:bCs/>
          <w:lang w:eastAsia="zh-CN"/>
        </w:rPr>
        <w:t>.</w:t>
      </w:r>
    </w:p>
    <w:p w14:paraId="6478A6B2">
      <w:pPr>
        <w:rPr>
          <w:lang w:eastAsia="zh-CN"/>
        </w:rPr>
      </w:pPr>
    </w:p>
    <w:p w14:paraId="039FDFE5">
      <w:pPr>
        <w:rPr>
          <w:bCs/>
          <w:lang w:eastAsia="zh-CN"/>
        </w:rPr>
      </w:pPr>
      <w:r>
        <w:rPr>
          <w:bCs/>
          <w:lang w:eastAsia="zh-CN"/>
        </w:rPr>
        <w:t>A major gap in preclinical research remains the lack of a standardized, reproducible animal model that allows in vivo mechanical assessment of bone substitutes under load-bearing conditions. To address this, the current study established a half-segmental diaphyseal bone defect model in rats. This model provides a stable and reproducible defect site in a load-bearing region, enabling direct evaluation of the mechanical support capacity of bone substitute materials under physiological loading, while concurrently allowing assessment of osteogenic outcomes. Moreover, the model can be applied across various animal species, with defect size and location adjusted according to the specific animal used. Nevertheless, it does not fully replicate the complex biomechanical environment of human bones, and for studies focused solely on non-load-bearing defects, cranial bone healing, or very large structural implants, alternative models may be more appropriate.</w:t>
      </w:r>
    </w:p>
    <w:p w14:paraId="275D16E1">
      <w:pPr>
        <w:rPr>
          <w:bCs/>
          <w:lang w:eastAsia="zh-CN"/>
        </w:rPr>
      </w:pPr>
    </w:p>
    <w:p w14:paraId="3943828A">
      <w:r>
        <w:rPr>
          <w:b/>
        </w:rPr>
        <w:t>PROTOCOL:</w:t>
      </w:r>
      <w:r>
        <w:t xml:space="preserve"> </w:t>
      </w:r>
    </w:p>
    <w:p w14:paraId="020A153B">
      <w:pPr>
        <w:widowControl/>
        <w:rPr>
          <w:rFonts w:eastAsia="宋体"/>
          <w:lang w:eastAsia="zh-CN"/>
        </w:rPr>
      </w:pPr>
      <w:r>
        <w:rPr>
          <w:rFonts w:eastAsia="宋体"/>
          <w:lang w:eastAsia="zh-CN"/>
        </w:rPr>
        <w:t xml:space="preserve">All animal procedures conducted in this study received approval from the Ethical Committee of the West China School of Stomatology, Sichuan University (WCHSIRB-AT-2025-342). </w:t>
      </w:r>
      <w:bookmarkStart w:id="9" w:name="_Hlk211022761"/>
      <w:r>
        <w:rPr>
          <w:rFonts w:eastAsia="宋体"/>
          <w:lang w:eastAsia="zh-CN"/>
        </w:rPr>
        <w:t xml:space="preserve">Male Sprague-Dawley rats (180 g each) were obtained from a commercial source and randomly assigned to two groups (n = 6 per group) according to the implanted material. </w:t>
      </w:r>
      <w:bookmarkEnd w:id="9"/>
      <w:r>
        <w:rPr>
          <w:rFonts w:eastAsia="宋体"/>
          <w:lang w:eastAsia="zh-CN"/>
        </w:rPr>
        <w:t xml:space="preserve">The reagents and the equipment used are listed in the </w:t>
      </w:r>
      <w:r>
        <w:rPr>
          <w:rFonts w:eastAsia="宋体"/>
          <w:b/>
          <w:bCs/>
          <w:lang w:eastAsia="zh-CN"/>
        </w:rPr>
        <w:t>Table of Materials</w:t>
      </w:r>
      <w:r>
        <w:rPr>
          <w:rFonts w:eastAsia="宋体"/>
          <w:lang w:eastAsia="zh-CN"/>
        </w:rPr>
        <w:t>.</w:t>
      </w:r>
    </w:p>
    <w:p w14:paraId="42D9C9D7">
      <w:pPr>
        <w:widowControl/>
      </w:pPr>
    </w:p>
    <w:p w14:paraId="45C82649">
      <w:pPr>
        <w:keepNext/>
        <w:keepLines/>
        <w:widowControl/>
        <w:numPr>
          <w:ilvl w:val="0"/>
          <w:numId w:val="1"/>
        </w:numPr>
        <w:ind w:left="0" w:firstLine="0"/>
        <w:contextualSpacing/>
        <w:outlineLvl w:val="2"/>
        <w:rPr>
          <w:rFonts w:eastAsiaTheme="majorEastAsia"/>
          <w:b/>
          <w:bCs/>
        </w:rPr>
      </w:pPr>
      <w:r>
        <w:rPr>
          <w:rFonts w:eastAsiaTheme="majorEastAsia"/>
          <w:b/>
          <w:bCs/>
        </w:rPr>
        <w:t>Pre-operative preparation</w:t>
      </w:r>
    </w:p>
    <w:p w14:paraId="2A719031">
      <w:pPr>
        <w:keepNext/>
        <w:keepLines/>
        <w:widowControl/>
        <w:contextualSpacing/>
        <w:outlineLvl w:val="2"/>
        <w:rPr>
          <w:rFonts w:eastAsiaTheme="majorEastAsia"/>
          <w:b/>
          <w:bCs/>
        </w:rPr>
      </w:pPr>
    </w:p>
    <w:p w14:paraId="61B58130">
      <w:pPr>
        <w:widowControl/>
        <w:numPr>
          <w:ilvl w:val="1"/>
          <w:numId w:val="1"/>
        </w:numPr>
        <w:ind w:left="0" w:firstLine="0"/>
        <w:contextualSpacing/>
        <w:rPr>
          <w:rFonts w:eastAsia="宋体"/>
          <w:lang w:eastAsia="zh-CN"/>
        </w:rPr>
      </w:pPr>
      <w:r>
        <w:rPr>
          <w:rFonts w:eastAsia="宋体"/>
          <w:lang w:eastAsia="zh-CN"/>
        </w:rPr>
        <w:t>Surgical items</w:t>
      </w:r>
    </w:p>
    <w:p w14:paraId="0B2A0308">
      <w:pPr>
        <w:widowControl/>
        <w:contextualSpacing/>
        <w:rPr>
          <w:rFonts w:eastAsia="宋体"/>
          <w:lang w:eastAsia="zh-CN"/>
        </w:rPr>
      </w:pPr>
    </w:p>
    <w:p w14:paraId="65C2EF4B">
      <w:pPr>
        <w:widowControl/>
        <w:numPr>
          <w:ilvl w:val="2"/>
          <w:numId w:val="1"/>
        </w:numPr>
        <w:ind w:left="0" w:firstLine="0"/>
        <w:contextualSpacing/>
        <w:rPr>
          <w:rFonts w:eastAsia="宋体"/>
          <w:lang w:eastAsia="zh-CN"/>
        </w:rPr>
      </w:pPr>
      <w:r>
        <w:rPr>
          <w:rFonts w:eastAsia="宋体"/>
          <w:lang w:eastAsia="zh-CN"/>
        </w:rPr>
        <w:t xml:space="preserve">Prepare surgical instruments referring to </w:t>
      </w:r>
      <w:r>
        <w:rPr>
          <w:rFonts w:eastAsia="宋体"/>
          <w:b/>
          <w:bCs/>
          <w:lang w:eastAsia="zh-CN"/>
        </w:rPr>
        <w:t>Figure 1A</w:t>
      </w:r>
      <w:r>
        <w:rPr>
          <w:rFonts w:eastAsia="宋体"/>
          <w:lang w:eastAsia="zh-CN"/>
        </w:rPr>
        <w:t xml:space="preserve">, corresponding to the numbered labels in the figure, in the following order: curved forceps, disposable sterile scalpel, straight scissors, periosteal elevator, irrigation needle, a specific dental diamond bur (see the enlarged view in </w:t>
      </w:r>
      <w:r>
        <w:rPr>
          <w:rFonts w:eastAsia="宋体"/>
          <w:b/>
          <w:bCs/>
          <w:lang w:eastAsia="zh-CN"/>
        </w:rPr>
        <w:t>Figure 1B</w:t>
      </w:r>
      <w:r>
        <w:rPr>
          <w:rFonts w:eastAsia="宋体"/>
          <w:lang w:eastAsia="zh-CN"/>
        </w:rPr>
        <w:t>), high-speed handpiece, vernier caliper, surgical motor, monofilament suture (4-0), and needle holder.</w:t>
      </w:r>
    </w:p>
    <w:p w14:paraId="02630297">
      <w:pPr>
        <w:widowControl/>
        <w:contextualSpacing/>
        <w:rPr>
          <w:rFonts w:eastAsia="宋体"/>
          <w:lang w:eastAsia="zh-CN"/>
        </w:rPr>
      </w:pPr>
    </w:p>
    <w:p w14:paraId="2B671560">
      <w:pPr>
        <w:widowControl/>
        <w:numPr>
          <w:ilvl w:val="2"/>
          <w:numId w:val="1"/>
        </w:numPr>
        <w:ind w:left="0" w:firstLine="0"/>
        <w:contextualSpacing/>
        <w:rPr>
          <w:rFonts w:eastAsia="宋体"/>
          <w:lang w:eastAsia="zh-CN"/>
        </w:rPr>
      </w:pPr>
      <w:r>
        <w:rPr>
          <w:rFonts w:eastAsia="宋体"/>
          <w:lang w:eastAsia="zh-CN"/>
        </w:rPr>
        <w:t>Prepare 0.9% sterile saline solution for irrigation.</w:t>
      </w:r>
    </w:p>
    <w:p w14:paraId="2CABD866">
      <w:pPr>
        <w:widowControl/>
        <w:contextualSpacing/>
        <w:rPr>
          <w:lang w:eastAsia="zh-CN"/>
        </w:rPr>
      </w:pPr>
    </w:p>
    <w:p w14:paraId="57998756">
      <w:pPr>
        <w:widowControl/>
        <w:numPr>
          <w:ilvl w:val="1"/>
          <w:numId w:val="1"/>
        </w:numPr>
        <w:ind w:left="0" w:firstLine="0"/>
        <w:contextualSpacing/>
        <w:rPr>
          <w:rFonts w:eastAsia="宋体"/>
          <w:lang w:eastAsia="zh-CN"/>
        </w:rPr>
      </w:pPr>
      <w:r>
        <w:rPr>
          <w:rFonts w:eastAsia="宋体"/>
          <w:lang w:eastAsia="zh-CN"/>
        </w:rPr>
        <w:t>Sterilization and disinfection</w:t>
      </w:r>
    </w:p>
    <w:p w14:paraId="37E9D69E">
      <w:pPr>
        <w:widowControl/>
        <w:contextualSpacing/>
      </w:pPr>
    </w:p>
    <w:p w14:paraId="20DB4637">
      <w:pPr>
        <w:widowControl/>
        <w:numPr>
          <w:ilvl w:val="2"/>
          <w:numId w:val="1"/>
        </w:numPr>
        <w:ind w:left="0" w:firstLine="0"/>
        <w:contextualSpacing/>
        <w:rPr>
          <w:rFonts w:eastAsia="宋体"/>
          <w:lang w:eastAsia="zh-CN"/>
        </w:rPr>
      </w:pPr>
      <w:r>
        <w:rPr>
          <w:rFonts w:eastAsia="宋体"/>
          <w:lang w:eastAsia="zh-CN"/>
        </w:rPr>
        <w:t>Sterilize surgical instruments that can withstand autoclaving, including curved forceps, scissors, periosteal elevator, dental diamond bur, high-speed handpiece, and needle holder.</w:t>
      </w:r>
    </w:p>
    <w:p w14:paraId="17216527">
      <w:pPr>
        <w:widowControl/>
        <w:contextualSpacing/>
        <w:rPr>
          <w:lang w:eastAsia="zh-CN"/>
        </w:rPr>
      </w:pPr>
    </w:p>
    <w:p w14:paraId="77325358">
      <w:pPr>
        <w:widowControl/>
        <w:contextualSpacing/>
      </w:pPr>
      <w:r>
        <w:rPr>
          <w:rFonts w:eastAsia="宋体"/>
          <w:lang w:eastAsia="zh-CN"/>
        </w:rPr>
        <w:t xml:space="preserve">NOTE: </w:t>
      </w:r>
      <w:r>
        <w:t xml:space="preserve">Instruments should be wrapped in </w:t>
      </w:r>
      <w:r>
        <w:rPr>
          <w:rFonts w:eastAsia="宋体"/>
          <w:lang w:eastAsia="zh-CN"/>
        </w:rPr>
        <w:t xml:space="preserve">medical </w:t>
      </w:r>
      <w:r>
        <w:t>non-woven fabric</w:t>
      </w:r>
      <w:r>
        <w:rPr>
          <w:rFonts w:eastAsia="宋体"/>
          <w:lang w:eastAsia="zh-CN"/>
        </w:rPr>
        <w:t>s</w:t>
      </w:r>
      <w:r>
        <w:t xml:space="preserve"> and</w:t>
      </w:r>
      <w:r>
        <w:rPr>
          <w:rFonts w:eastAsia="宋体"/>
          <w:lang w:eastAsia="zh-CN"/>
        </w:rPr>
        <w:t xml:space="preserve"> </w:t>
      </w:r>
      <w:r>
        <w:t>seal</w:t>
      </w:r>
      <w:r>
        <w:rPr>
          <w:rFonts w:eastAsia="宋体"/>
          <w:lang w:eastAsia="zh-CN"/>
        </w:rPr>
        <w:t>ed</w:t>
      </w:r>
      <w:r>
        <w:t xml:space="preserve"> with autoclave tape </w:t>
      </w:r>
      <w:r>
        <w:rPr>
          <w:rFonts w:eastAsia="宋体"/>
          <w:lang w:eastAsia="zh-CN"/>
        </w:rPr>
        <w:t xml:space="preserve">for steam </w:t>
      </w:r>
      <w:r>
        <w:t>steriliz</w:t>
      </w:r>
      <w:r>
        <w:rPr>
          <w:rFonts w:eastAsia="宋体"/>
          <w:lang w:eastAsia="zh-CN"/>
        </w:rPr>
        <w:t>ation</w:t>
      </w:r>
      <w:r>
        <w:t xml:space="preserve"> at 12</w:t>
      </w:r>
      <w:r>
        <w:rPr>
          <w:rFonts w:eastAsia="宋体"/>
          <w:lang w:eastAsia="zh-CN"/>
        </w:rPr>
        <w:t>1</w:t>
      </w:r>
      <w:r>
        <w:t>–13</w:t>
      </w:r>
      <w:r>
        <w:rPr>
          <w:rFonts w:eastAsia="宋体"/>
          <w:lang w:eastAsia="zh-CN"/>
        </w:rPr>
        <w:t>4 °C</w:t>
      </w:r>
      <w:r>
        <w:t xml:space="preserve"> for 20–25 min.</w:t>
      </w:r>
    </w:p>
    <w:p w14:paraId="60B4506D">
      <w:pPr>
        <w:widowControl/>
        <w:contextualSpacing/>
        <w:rPr>
          <w:rFonts w:eastAsia="宋体"/>
          <w:lang w:eastAsia="zh-CN"/>
        </w:rPr>
      </w:pPr>
    </w:p>
    <w:p w14:paraId="4C83871A">
      <w:pPr>
        <w:widowControl/>
        <w:numPr>
          <w:ilvl w:val="2"/>
          <w:numId w:val="1"/>
        </w:numPr>
        <w:ind w:left="0" w:firstLine="0"/>
        <w:contextualSpacing/>
        <w:rPr>
          <w:rFonts w:eastAsia="宋体"/>
          <w:lang w:eastAsia="zh-CN"/>
        </w:rPr>
      </w:pPr>
      <w:r>
        <w:rPr>
          <w:rFonts w:eastAsia="宋体"/>
          <w:lang w:eastAsia="zh-CN"/>
        </w:rPr>
        <w:t>For heat-sensitive instruments, such as vernier calipers and surgical motor, expose them to ultraviolet light for at least 30 min for disinfection. Disposable items, such as the disposable sterile scalpel, irrigation needle, and sutures, should remain sealed in their original sterile packaging until use.</w:t>
      </w:r>
    </w:p>
    <w:p w14:paraId="6CE2D21D">
      <w:pPr>
        <w:widowControl/>
        <w:contextualSpacing/>
        <w:rPr>
          <w:rFonts w:eastAsia="宋体"/>
          <w:lang w:eastAsia="zh-CN"/>
        </w:rPr>
      </w:pPr>
    </w:p>
    <w:p w14:paraId="20710ED5">
      <w:pPr>
        <w:widowControl/>
        <w:numPr>
          <w:ilvl w:val="2"/>
          <w:numId w:val="1"/>
        </w:numPr>
        <w:ind w:left="0" w:firstLine="0"/>
        <w:contextualSpacing/>
        <w:rPr>
          <w:rFonts w:eastAsia="宋体"/>
          <w:lang w:eastAsia="zh-CN"/>
        </w:rPr>
      </w:pPr>
      <w:r>
        <w:rPr>
          <w:rFonts w:eastAsia="宋体"/>
          <w:lang w:eastAsia="zh-CN"/>
        </w:rPr>
        <w:t>Ensure the surgical environment is sterile and temperature-controlled. Wipe down the surgical bench and surrounding surfaces with 75% ethanol. Use sterile, medical-grade non-woven fabrics to cover the operating table.</w:t>
      </w:r>
    </w:p>
    <w:p w14:paraId="2C52BF45">
      <w:pPr>
        <w:widowControl/>
        <w:contextualSpacing/>
        <w:rPr>
          <w:rFonts w:eastAsia="宋体"/>
          <w:lang w:eastAsia="zh-CN"/>
        </w:rPr>
      </w:pPr>
    </w:p>
    <w:p w14:paraId="7D809540">
      <w:pPr>
        <w:widowControl/>
        <w:contextualSpacing/>
        <w:rPr>
          <w:rFonts w:eastAsia="宋体"/>
          <w:lang w:eastAsia="zh-CN"/>
        </w:rPr>
      </w:pPr>
      <w:r>
        <w:rPr>
          <w:rFonts w:eastAsia="宋体"/>
          <w:lang w:eastAsia="zh-CN"/>
        </w:rPr>
        <w:t xml:space="preserve">CAUTION: Ethanol is flammable; handle away from ignition sources and store in closed containers. Collect ethanol waste in designated chemical waste containers for proper disposal. Wear appropriate personal protective equipment, including gloves, a lab coat, and safety goggles. </w:t>
      </w:r>
    </w:p>
    <w:p w14:paraId="48EABAA0">
      <w:pPr>
        <w:widowControl/>
        <w:contextualSpacing/>
      </w:pPr>
    </w:p>
    <w:p w14:paraId="7006680F">
      <w:pPr>
        <w:widowControl/>
        <w:numPr>
          <w:ilvl w:val="1"/>
          <w:numId w:val="1"/>
        </w:numPr>
        <w:ind w:left="0" w:firstLine="0"/>
        <w:contextualSpacing/>
        <w:rPr>
          <w:rFonts w:eastAsia="宋体"/>
          <w:lang w:eastAsia="zh-CN"/>
        </w:rPr>
      </w:pPr>
      <w:r>
        <w:rPr>
          <w:rFonts w:eastAsia="宋体"/>
          <w:lang w:eastAsia="zh-CN"/>
        </w:rPr>
        <w:t>Anesthesia</w:t>
      </w:r>
    </w:p>
    <w:p w14:paraId="40D302C8">
      <w:pPr>
        <w:widowControl/>
        <w:contextualSpacing/>
      </w:pPr>
    </w:p>
    <w:p w14:paraId="7A1E8BE5">
      <w:pPr>
        <w:widowControl/>
        <w:numPr>
          <w:ilvl w:val="2"/>
          <w:numId w:val="1"/>
        </w:numPr>
        <w:ind w:left="0" w:firstLine="0"/>
        <w:contextualSpacing/>
        <w:rPr>
          <w:rFonts w:eastAsia="宋体"/>
          <w:lang w:eastAsia="zh-CN"/>
        </w:rPr>
      </w:pPr>
      <w:r>
        <w:rPr>
          <w:rFonts w:eastAsia="宋体"/>
          <w:lang w:eastAsia="zh-CN"/>
        </w:rPr>
        <w:t>Weigh the rat and calculate the anesthetic dosage (100 mg/kg of ketamine and 10 mg/kg of xylazine, intraperitoneally).</w:t>
      </w:r>
    </w:p>
    <w:p w14:paraId="00E9B6D9">
      <w:pPr>
        <w:widowControl/>
        <w:contextualSpacing/>
        <w:rPr>
          <w:rFonts w:eastAsia="宋体"/>
          <w:lang w:eastAsia="zh-CN"/>
        </w:rPr>
      </w:pPr>
    </w:p>
    <w:p w14:paraId="2118509E">
      <w:pPr>
        <w:widowControl/>
        <w:numPr>
          <w:ilvl w:val="2"/>
          <w:numId w:val="1"/>
        </w:numPr>
        <w:ind w:left="0" w:firstLine="0"/>
        <w:contextualSpacing/>
        <w:rPr>
          <w:rFonts w:eastAsia="宋体"/>
          <w:lang w:eastAsia="zh-CN"/>
        </w:rPr>
      </w:pPr>
      <w:r>
        <w:rPr>
          <w:rFonts w:eastAsia="宋体"/>
          <w:lang w:eastAsia="zh-CN"/>
        </w:rPr>
        <w:t>Induce anesthesia 20 min before surgery (following institutionally approved protocols) and confirm its depth by checking for the absence of response to toe pinch and the loss of the righting reflex.</w:t>
      </w:r>
    </w:p>
    <w:p w14:paraId="3CD97034">
      <w:pPr>
        <w:widowControl/>
        <w:contextualSpacing/>
        <w:rPr>
          <w:rFonts w:eastAsia="宋体"/>
          <w:lang w:eastAsia="zh-CN"/>
        </w:rPr>
      </w:pPr>
    </w:p>
    <w:p w14:paraId="7CB23FB5">
      <w:pPr>
        <w:widowControl/>
        <w:numPr>
          <w:ilvl w:val="2"/>
          <w:numId w:val="1"/>
        </w:numPr>
        <w:ind w:left="0" w:firstLine="0"/>
        <w:contextualSpacing/>
        <w:rPr>
          <w:rFonts w:eastAsia="宋体"/>
          <w:lang w:eastAsia="zh-CN"/>
        </w:rPr>
      </w:pPr>
      <w:r>
        <w:rPr>
          <w:rFonts w:eastAsia="宋体"/>
          <w:lang w:eastAsia="zh-CN"/>
        </w:rPr>
        <w:t>Apply ophthalmic ointment to both eyes to prevent corneal drying during the procedure.</w:t>
      </w:r>
    </w:p>
    <w:p w14:paraId="5D430FEB">
      <w:pPr>
        <w:widowControl/>
        <w:contextualSpacing/>
      </w:pPr>
    </w:p>
    <w:p w14:paraId="70C68C4D">
      <w:pPr>
        <w:keepNext/>
        <w:keepLines/>
        <w:widowControl/>
        <w:numPr>
          <w:ilvl w:val="0"/>
          <w:numId w:val="1"/>
        </w:numPr>
        <w:ind w:left="0" w:firstLine="0"/>
        <w:contextualSpacing/>
        <w:outlineLvl w:val="2"/>
        <w:rPr>
          <w:rFonts w:eastAsiaTheme="majorEastAsia"/>
          <w:b/>
          <w:bCs/>
        </w:rPr>
      </w:pPr>
      <w:r>
        <w:rPr>
          <w:rFonts w:eastAsiaTheme="majorEastAsia"/>
          <w:b/>
          <w:bCs/>
        </w:rPr>
        <w:t>Surgical procedure</w:t>
      </w:r>
    </w:p>
    <w:p w14:paraId="0C014F53">
      <w:pPr>
        <w:keepNext/>
        <w:keepLines/>
        <w:widowControl/>
        <w:contextualSpacing/>
        <w:outlineLvl w:val="2"/>
        <w:rPr>
          <w:rFonts w:eastAsiaTheme="majorEastAsia"/>
          <w:b/>
          <w:bCs/>
        </w:rPr>
      </w:pPr>
    </w:p>
    <w:p w14:paraId="294CE59E">
      <w:pPr>
        <w:widowControl/>
        <w:numPr>
          <w:ilvl w:val="1"/>
          <w:numId w:val="1"/>
        </w:numPr>
        <w:ind w:left="0" w:firstLine="0"/>
        <w:contextualSpacing/>
        <w:rPr>
          <w:rFonts w:eastAsia="宋体"/>
          <w:lang w:eastAsia="zh-CN"/>
        </w:rPr>
      </w:pPr>
      <w:r>
        <w:rPr>
          <w:rFonts w:eastAsia="宋体"/>
          <w:lang w:eastAsia="zh-CN"/>
        </w:rPr>
        <w:t>Site preparation</w:t>
      </w:r>
    </w:p>
    <w:p w14:paraId="0611964C">
      <w:pPr>
        <w:widowControl/>
        <w:contextualSpacing/>
      </w:pPr>
    </w:p>
    <w:p w14:paraId="6BBFA86A">
      <w:pPr>
        <w:widowControl/>
        <w:numPr>
          <w:ilvl w:val="2"/>
          <w:numId w:val="1"/>
        </w:numPr>
        <w:ind w:left="0" w:firstLine="0"/>
        <w:contextualSpacing/>
        <w:rPr>
          <w:rFonts w:eastAsia="宋体"/>
          <w:highlight w:val="yellow"/>
          <w:lang w:eastAsia="zh-CN"/>
        </w:rPr>
      </w:pPr>
      <w:r>
        <w:rPr>
          <w:rFonts w:eastAsia="宋体"/>
          <w:highlight w:val="yellow"/>
          <w:lang w:eastAsia="zh-CN"/>
        </w:rPr>
        <w:t>Place the rat in a lateral recumbent position on the sterile surgical bench. Shave the lateral thigh area corresponding to the femur projection and disinfect the skin using 2% iodine tincture, followed by 75% ethanol (</w:t>
      </w:r>
      <w:r>
        <w:rPr>
          <w:rFonts w:eastAsia="宋体"/>
          <w:b/>
          <w:bCs/>
          <w:highlight w:val="yellow"/>
          <w:lang w:eastAsia="zh-CN"/>
        </w:rPr>
        <w:t>Figure 2Ba</w:t>
      </w:r>
      <w:r>
        <w:rPr>
          <w:rFonts w:eastAsia="宋体"/>
          <w:highlight w:val="yellow"/>
          <w:lang w:eastAsia="zh-CN"/>
        </w:rPr>
        <w:t>).</w:t>
      </w:r>
    </w:p>
    <w:p w14:paraId="32ACDD4D">
      <w:pPr>
        <w:widowControl/>
        <w:contextualSpacing/>
        <w:rPr>
          <w:rFonts w:eastAsia="宋体"/>
          <w:lang w:eastAsia="zh-CN"/>
        </w:rPr>
      </w:pPr>
    </w:p>
    <w:p w14:paraId="2CB290F1">
      <w:pPr>
        <w:widowControl/>
        <w:contextualSpacing/>
        <w:rPr>
          <w:rFonts w:eastAsia="宋体"/>
          <w:lang w:eastAsia="zh-CN"/>
        </w:rPr>
      </w:pPr>
      <w:r>
        <w:rPr>
          <w:rFonts w:eastAsia="宋体"/>
          <w:lang w:eastAsia="zh-CN"/>
        </w:rPr>
        <w:t>CAUTION: Iodine tincture is flammable and irritant. Handle in a well-ventilated area while wearing gloves, a lab coat, and safety goggles. Dispose of used wipes and solutions in designated chemical waste containers according to institutional safety regulations.</w:t>
      </w:r>
    </w:p>
    <w:p w14:paraId="596F2958">
      <w:pPr>
        <w:widowControl/>
        <w:contextualSpacing/>
        <w:rPr>
          <w:lang w:eastAsia="zh-CN"/>
        </w:rPr>
      </w:pPr>
    </w:p>
    <w:p w14:paraId="1891ECDD">
      <w:pPr>
        <w:widowControl/>
        <w:numPr>
          <w:ilvl w:val="2"/>
          <w:numId w:val="1"/>
        </w:numPr>
        <w:ind w:left="0" w:firstLine="0"/>
        <w:contextualSpacing/>
        <w:rPr>
          <w:rFonts w:eastAsia="宋体"/>
          <w:highlight w:val="yellow"/>
          <w:lang w:eastAsia="zh-CN"/>
        </w:rPr>
      </w:pPr>
      <w:bookmarkStart w:id="10" w:name="OLE_LINK17"/>
      <w:bookmarkStart w:id="11" w:name="OLE_LINK2"/>
      <w:r>
        <w:rPr>
          <w:rFonts w:eastAsia="宋体"/>
          <w:highlight w:val="yellow"/>
          <w:lang w:eastAsia="zh-CN"/>
        </w:rPr>
        <w:t>Drape the surgical site with the sterile fenestrated sheet to maintain asepsis.</w:t>
      </w:r>
    </w:p>
    <w:bookmarkEnd w:id="10"/>
    <w:p w14:paraId="3138903C">
      <w:pPr>
        <w:widowControl/>
        <w:contextualSpacing/>
        <w:rPr>
          <w:rFonts w:eastAsia="宋体"/>
          <w:lang w:eastAsia="zh-CN"/>
        </w:rPr>
      </w:pPr>
    </w:p>
    <w:bookmarkEnd w:id="11"/>
    <w:p w14:paraId="62021F3E">
      <w:pPr>
        <w:widowControl/>
        <w:numPr>
          <w:ilvl w:val="1"/>
          <w:numId w:val="1"/>
        </w:numPr>
        <w:ind w:left="0" w:firstLine="0"/>
        <w:contextualSpacing/>
        <w:rPr>
          <w:rFonts w:eastAsia="宋体"/>
          <w:highlight w:val="none"/>
          <w:lang w:eastAsia="zh-CN"/>
        </w:rPr>
      </w:pPr>
      <w:r>
        <w:rPr>
          <w:rFonts w:eastAsia="宋体"/>
          <w:highlight w:val="none"/>
          <w:lang w:eastAsia="zh-CN"/>
        </w:rPr>
        <w:t>Surgical site opening</w:t>
      </w:r>
    </w:p>
    <w:p w14:paraId="06757860">
      <w:pPr>
        <w:widowControl/>
        <w:contextualSpacing/>
        <w:rPr>
          <w:rFonts w:eastAsia="宋体"/>
          <w:highlight w:val="none"/>
          <w:lang w:eastAsia="zh-CN"/>
        </w:rPr>
      </w:pPr>
    </w:p>
    <w:p w14:paraId="6397AF19">
      <w:pPr>
        <w:widowControl/>
        <w:numPr>
          <w:ilvl w:val="2"/>
          <w:numId w:val="1"/>
        </w:numPr>
        <w:ind w:left="0" w:firstLine="0"/>
        <w:contextualSpacing/>
        <w:rPr>
          <w:rFonts w:eastAsia="宋体"/>
          <w:highlight w:val="none"/>
          <w:lang w:eastAsia="zh-CN"/>
        </w:rPr>
      </w:pPr>
      <w:r>
        <w:rPr>
          <w:rFonts w:eastAsia="宋体"/>
          <w:highlight w:val="none"/>
          <w:lang w:eastAsia="zh-CN"/>
        </w:rPr>
        <w:t>Use curved forceps to assist in stabilizing the tissues, holding the muscles, and gently securing the femur throughout the surgical procedure (</w:t>
      </w:r>
      <w:r>
        <w:rPr>
          <w:rFonts w:eastAsia="宋体"/>
          <w:b/>
          <w:bCs/>
          <w:highlight w:val="none"/>
          <w:lang w:eastAsia="zh-CN"/>
        </w:rPr>
        <w:t>Figure 2Bb-h</w:t>
      </w:r>
      <w:r>
        <w:rPr>
          <w:rFonts w:eastAsia="宋体"/>
          <w:highlight w:val="none"/>
          <w:lang w:eastAsia="zh-CN"/>
        </w:rPr>
        <w:t>).</w:t>
      </w:r>
    </w:p>
    <w:p w14:paraId="4D254313">
      <w:pPr>
        <w:widowControl/>
        <w:contextualSpacing/>
        <w:rPr>
          <w:rFonts w:eastAsia="宋体"/>
          <w:lang w:eastAsia="zh-CN"/>
        </w:rPr>
      </w:pPr>
    </w:p>
    <w:p w14:paraId="298B0672">
      <w:pPr>
        <w:widowControl/>
        <w:numPr>
          <w:ilvl w:val="2"/>
          <w:numId w:val="1"/>
        </w:numPr>
        <w:ind w:left="0" w:firstLine="0"/>
        <w:contextualSpacing/>
        <w:rPr>
          <w:rFonts w:eastAsia="宋体"/>
          <w:highlight w:val="yellow"/>
          <w:lang w:eastAsia="zh-CN"/>
        </w:rPr>
      </w:pPr>
      <w:r>
        <w:rPr>
          <w:rFonts w:eastAsia="宋体"/>
          <w:highlight w:val="yellow"/>
          <w:lang w:eastAsia="zh-CN"/>
        </w:rPr>
        <w:t>Make a 2–3 cm longitudinal skin incision over the lateral aspect of the thigh with a straight scissor to expose the underlying muscles (</w:t>
      </w:r>
      <w:r>
        <w:rPr>
          <w:rFonts w:eastAsia="宋体"/>
          <w:b/>
          <w:bCs/>
          <w:highlight w:val="yellow"/>
          <w:lang w:eastAsia="zh-CN"/>
        </w:rPr>
        <w:t>Figure 2Bb</w:t>
      </w:r>
      <w:r>
        <w:rPr>
          <w:rFonts w:eastAsia="宋体"/>
          <w:highlight w:val="yellow"/>
          <w:lang w:eastAsia="zh-CN"/>
        </w:rPr>
        <w:t>).</w:t>
      </w:r>
    </w:p>
    <w:p w14:paraId="55831562">
      <w:pPr>
        <w:widowControl/>
        <w:contextualSpacing/>
        <w:rPr>
          <w:rFonts w:eastAsia="宋体"/>
          <w:lang w:eastAsia="zh-CN"/>
        </w:rPr>
      </w:pPr>
    </w:p>
    <w:p w14:paraId="20D845DE">
      <w:pPr>
        <w:widowControl/>
        <w:numPr>
          <w:ilvl w:val="2"/>
          <w:numId w:val="1"/>
        </w:numPr>
        <w:ind w:left="0" w:firstLine="0"/>
        <w:contextualSpacing/>
        <w:rPr>
          <w:rFonts w:eastAsia="宋体"/>
          <w:highlight w:val="yellow"/>
          <w:lang w:eastAsia="zh-CN"/>
        </w:rPr>
      </w:pPr>
      <w:r>
        <w:rPr>
          <w:rFonts w:eastAsia="宋体"/>
          <w:highlight w:val="yellow"/>
          <w:lang w:eastAsia="zh-CN"/>
        </w:rPr>
        <w:t xml:space="preserve">Identify the rectus femoris and vastus lateralis muscles, and carefully separate them along the visible white fascia (indicated by the yellow arrow in </w:t>
      </w:r>
      <w:r>
        <w:rPr>
          <w:rFonts w:eastAsia="宋体"/>
          <w:b/>
          <w:bCs/>
          <w:highlight w:val="yellow"/>
          <w:lang w:eastAsia="zh-CN"/>
        </w:rPr>
        <w:t>Figure 2Bb</w:t>
      </w:r>
      <w:r>
        <w:rPr>
          <w:rFonts w:eastAsia="宋体"/>
          <w:highlight w:val="yellow"/>
          <w:lang w:eastAsia="zh-CN"/>
        </w:rPr>
        <w:t>) using a straight scissor (</w:t>
      </w:r>
      <w:r>
        <w:rPr>
          <w:rFonts w:eastAsia="宋体"/>
          <w:b/>
          <w:bCs/>
          <w:highlight w:val="yellow"/>
          <w:lang w:eastAsia="zh-CN"/>
        </w:rPr>
        <w:t>Figure 2</w:t>
      </w:r>
      <w:bookmarkStart w:id="12" w:name="_Hlk210659140"/>
      <w:r>
        <w:rPr>
          <w:rFonts w:eastAsia="宋体"/>
          <w:b/>
          <w:bCs/>
          <w:highlight w:val="yellow"/>
          <w:lang w:eastAsia="zh-CN"/>
        </w:rPr>
        <w:t>Bc</w:t>
      </w:r>
      <w:bookmarkEnd w:id="12"/>
      <w:r>
        <w:rPr>
          <w:rFonts w:eastAsia="宋体"/>
          <w:highlight w:val="yellow"/>
          <w:lang w:eastAsia="zh-CN"/>
        </w:rPr>
        <w:t>).</w:t>
      </w:r>
    </w:p>
    <w:p w14:paraId="23FD1364">
      <w:pPr>
        <w:widowControl/>
        <w:contextualSpacing/>
        <w:rPr>
          <w:rFonts w:eastAsia="宋体"/>
          <w:lang w:eastAsia="zh-CN"/>
        </w:rPr>
      </w:pPr>
    </w:p>
    <w:p w14:paraId="3EDDB094">
      <w:pPr>
        <w:widowControl/>
        <w:numPr>
          <w:ilvl w:val="2"/>
          <w:numId w:val="1"/>
        </w:numPr>
        <w:ind w:left="0" w:firstLine="0"/>
        <w:contextualSpacing/>
        <w:rPr>
          <w:rFonts w:eastAsia="宋体"/>
          <w:highlight w:val="none"/>
          <w:lang w:eastAsia="zh-CN"/>
        </w:rPr>
      </w:pPr>
      <w:bookmarkStart w:id="13" w:name="OLE_LINK3"/>
      <w:r>
        <w:rPr>
          <w:rFonts w:eastAsia="宋体"/>
          <w:highlight w:val="none"/>
          <w:lang w:eastAsia="zh-CN"/>
        </w:rPr>
        <w:t>Locate and expose the muscle attachments on the lateral surface of the femur</w:t>
      </w:r>
      <w:bookmarkEnd w:id="13"/>
      <w:r>
        <w:rPr>
          <w:rFonts w:eastAsia="宋体"/>
          <w:highlight w:val="none"/>
          <w:lang w:eastAsia="zh-CN"/>
        </w:rPr>
        <w:t xml:space="preserve"> (</w:t>
      </w:r>
      <w:r>
        <w:rPr>
          <w:rFonts w:eastAsia="宋体"/>
          <w:b/>
          <w:bCs/>
          <w:highlight w:val="none"/>
          <w:lang w:eastAsia="zh-CN"/>
        </w:rPr>
        <w:t>Figure 2Bd</w:t>
      </w:r>
      <w:r>
        <w:rPr>
          <w:rFonts w:eastAsia="宋体"/>
          <w:highlight w:val="none"/>
          <w:lang w:eastAsia="zh-CN"/>
        </w:rPr>
        <w:t>).</w:t>
      </w:r>
    </w:p>
    <w:p w14:paraId="59CC0205">
      <w:pPr>
        <w:widowControl/>
        <w:contextualSpacing/>
        <w:rPr>
          <w:highlight w:val="yellow"/>
        </w:rPr>
      </w:pPr>
    </w:p>
    <w:p w14:paraId="02765502">
      <w:pPr>
        <w:widowControl/>
        <w:numPr>
          <w:ilvl w:val="2"/>
          <w:numId w:val="1"/>
        </w:numPr>
        <w:ind w:left="0" w:firstLine="0"/>
        <w:contextualSpacing/>
        <w:rPr>
          <w:rFonts w:eastAsia="宋体"/>
          <w:highlight w:val="yellow"/>
          <w:lang w:eastAsia="zh-CN"/>
        </w:rPr>
      </w:pPr>
      <w:r>
        <w:rPr>
          <w:rFonts w:eastAsia="宋体"/>
          <w:highlight w:val="yellow"/>
          <w:lang w:eastAsia="zh-CN"/>
        </w:rPr>
        <w:t>Make a longitudinal incision along the muscle attachments with a disposable sterile scalpel to gain access to the femoral surface (</w:t>
      </w:r>
      <w:r>
        <w:rPr>
          <w:rFonts w:eastAsia="宋体"/>
          <w:b/>
          <w:bCs/>
          <w:highlight w:val="yellow"/>
          <w:lang w:eastAsia="zh-CN"/>
        </w:rPr>
        <w:t>Figure 2Be</w:t>
      </w:r>
      <w:r>
        <w:rPr>
          <w:rFonts w:eastAsia="宋体"/>
          <w:highlight w:val="yellow"/>
          <w:lang w:eastAsia="zh-CN"/>
        </w:rPr>
        <w:t>).</w:t>
      </w:r>
    </w:p>
    <w:p w14:paraId="10A7E361">
      <w:pPr>
        <w:widowControl/>
        <w:contextualSpacing/>
      </w:pPr>
    </w:p>
    <w:p w14:paraId="13CAB5D1">
      <w:pPr>
        <w:widowControl/>
        <w:contextualSpacing/>
        <w:rPr>
          <w:rFonts w:eastAsia="宋体"/>
          <w:lang w:eastAsia="zh-CN"/>
        </w:rPr>
      </w:pPr>
      <w:bookmarkStart w:id="14" w:name="OLE_LINK1"/>
      <w:r>
        <w:rPr>
          <w:rFonts w:eastAsia="宋体"/>
          <w:lang w:eastAsia="zh-CN"/>
        </w:rPr>
        <w:t xml:space="preserve">NOTE: </w:t>
      </w:r>
      <w:bookmarkEnd w:id="14"/>
      <w:r>
        <w:rPr>
          <w:rFonts w:eastAsia="宋体"/>
          <w:lang w:eastAsia="zh-CN"/>
        </w:rPr>
        <w:t xml:space="preserve">When performing sharp dissection (using a </w:t>
      </w:r>
      <w:r>
        <w:rPr>
          <w:lang w:eastAsia="zh-CN"/>
        </w:rPr>
        <w:t>scissor or</w:t>
      </w:r>
      <w:r>
        <w:t xml:space="preserve"> scalpel</w:t>
      </w:r>
      <w:r>
        <w:rPr>
          <w:rFonts w:eastAsia="宋体"/>
          <w:lang w:eastAsia="zh-CN"/>
        </w:rPr>
        <w:t>) for soft tissue separation, take care not to damage the underlying blood vessels and nerves. If unfamiliar with the anatomical structures, use fine-tipped forceps and a periosteal elevator to perform blunt dissection.</w:t>
      </w:r>
    </w:p>
    <w:p w14:paraId="62ADD888">
      <w:pPr>
        <w:widowControl/>
        <w:contextualSpacing/>
        <w:rPr>
          <w:rFonts w:eastAsia="宋体"/>
          <w:lang w:eastAsia="zh-CN"/>
        </w:rPr>
      </w:pPr>
    </w:p>
    <w:p w14:paraId="4258CFCB">
      <w:pPr>
        <w:widowControl/>
        <w:numPr>
          <w:ilvl w:val="2"/>
          <w:numId w:val="1"/>
        </w:numPr>
        <w:ind w:left="0" w:firstLine="0"/>
        <w:contextualSpacing/>
        <w:rPr>
          <w:rFonts w:eastAsia="宋体"/>
          <w:highlight w:val="yellow"/>
          <w:lang w:eastAsia="zh-CN"/>
        </w:rPr>
      </w:pPr>
      <w:r>
        <w:rPr>
          <w:rFonts w:eastAsia="宋体"/>
          <w:highlight w:val="yellow"/>
          <w:lang w:eastAsia="zh-CN"/>
        </w:rPr>
        <w:t>Perform blunt dissection using a periosteal elevator to detach muscle attachments and fully expose the mid-diaphysis of the femur (</w:t>
      </w:r>
      <w:r>
        <w:rPr>
          <w:rFonts w:eastAsia="宋体"/>
          <w:b/>
          <w:bCs/>
          <w:highlight w:val="yellow"/>
          <w:lang w:eastAsia="zh-CN"/>
        </w:rPr>
        <w:t>Figure 2Bf</w:t>
      </w:r>
      <w:r>
        <w:rPr>
          <w:rFonts w:eastAsia="宋体"/>
          <w:highlight w:val="yellow"/>
          <w:lang w:eastAsia="zh-CN"/>
        </w:rPr>
        <w:t>).</w:t>
      </w:r>
    </w:p>
    <w:p w14:paraId="64287849">
      <w:pPr>
        <w:widowControl/>
        <w:contextualSpacing/>
        <w:rPr>
          <w:rFonts w:eastAsia="宋体"/>
          <w:lang w:eastAsia="zh-CN"/>
        </w:rPr>
      </w:pPr>
    </w:p>
    <w:p w14:paraId="7F9B64AE">
      <w:pPr>
        <w:widowControl/>
        <w:numPr>
          <w:ilvl w:val="2"/>
          <w:numId w:val="1"/>
        </w:numPr>
        <w:ind w:left="0" w:firstLine="0"/>
        <w:contextualSpacing/>
        <w:rPr>
          <w:rFonts w:eastAsia="宋体"/>
          <w:highlight w:val="none"/>
          <w:lang w:eastAsia="zh-CN"/>
        </w:rPr>
      </w:pPr>
      <w:r>
        <w:rPr>
          <w:rFonts w:eastAsia="宋体"/>
          <w:highlight w:val="none"/>
          <w:lang w:eastAsia="zh-CN"/>
        </w:rPr>
        <w:t>Further separate the femur from the surrounding muscles and hold the midshaft of the femur using curved forceps (</w:t>
      </w:r>
      <w:r>
        <w:rPr>
          <w:rFonts w:eastAsia="宋体"/>
          <w:b/>
          <w:bCs/>
          <w:highlight w:val="none"/>
          <w:lang w:eastAsia="zh-CN"/>
        </w:rPr>
        <w:t>Figure 2Bg</w:t>
      </w:r>
      <w:r>
        <w:rPr>
          <w:rFonts w:eastAsia="宋体"/>
          <w:highlight w:val="none"/>
          <w:lang w:eastAsia="zh-CN"/>
        </w:rPr>
        <w:t>).</w:t>
      </w:r>
    </w:p>
    <w:p w14:paraId="07725117">
      <w:pPr>
        <w:widowControl/>
        <w:contextualSpacing/>
        <w:rPr>
          <w:highlight w:val="none"/>
        </w:rPr>
      </w:pPr>
    </w:p>
    <w:p w14:paraId="479D85CB">
      <w:pPr>
        <w:widowControl/>
        <w:numPr>
          <w:ilvl w:val="1"/>
          <w:numId w:val="1"/>
        </w:numPr>
        <w:ind w:left="0" w:firstLine="0"/>
        <w:contextualSpacing/>
        <w:rPr>
          <w:rFonts w:eastAsia="宋体"/>
          <w:highlight w:val="none"/>
          <w:lang w:eastAsia="zh-CN"/>
        </w:rPr>
      </w:pPr>
      <w:r>
        <w:rPr>
          <w:rFonts w:eastAsia="宋体"/>
          <w:highlight w:val="none"/>
          <w:lang w:eastAsia="zh-CN"/>
        </w:rPr>
        <w:t>Half-segmental diaphyseal bone defect model establishment</w:t>
      </w:r>
    </w:p>
    <w:p w14:paraId="01229D8F">
      <w:pPr>
        <w:widowControl/>
        <w:contextualSpacing/>
        <w:rPr>
          <w:rFonts w:eastAsia="宋体"/>
          <w:highlight w:val="yellow"/>
          <w:lang w:eastAsia="zh-CN"/>
        </w:rPr>
      </w:pPr>
    </w:p>
    <w:p w14:paraId="28031E23">
      <w:pPr>
        <w:widowControl/>
        <w:numPr>
          <w:ilvl w:val="2"/>
          <w:numId w:val="1"/>
        </w:numPr>
        <w:ind w:left="0" w:firstLine="0"/>
        <w:contextualSpacing/>
        <w:rPr>
          <w:rFonts w:eastAsia="宋体"/>
          <w:highlight w:val="none"/>
          <w:lang w:eastAsia="zh-CN"/>
        </w:rPr>
      </w:pPr>
      <w:r>
        <w:rPr>
          <w:rFonts w:eastAsia="宋体"/>
          <w:highlight w:val="none"/>
          <w:lang w:eastAsia="zh-CN"/>
        </w:rPr>
        <w:t>Attach the flat-ended cylindrical specific dental diamond (</w:t>
      </w:r>
      <w:r>
        <w:rPr>
          <w:rFonts w:eastAsia="宋体"/>
          <w:b/>
          <w:bCs/>
          <w:highlight w:val="none"/>
          <w:lang w:eastAsia="zh-CN"/>
        </w:rPr>
        <w:t>Figure 1B</w:t>
      </w:r>
      <w:r>
        <w:rPr>
          <w:rFonts w:eastAsia="宋体"/>
          <w:highlight w:val="none"/>
          <w:lang w:eastAsia="zh-CN"/>
        </w:rPr>
        <w:t>) bur to the high-speed handpiece, powered by the surgical motor. Set the surgical motor to 35,000 rpm.</w:t>
      </w:r>
    </w:p>
    <w:p w14:paraId="1AA7FE7C">
      <w:pPr>
        <w:widowControl/>
        <w:contextualSpacing/>
        <w:rPr>
          <w:rFonts w:eastAsia="宋体"/>
          <w:lang w:eastAsia="zh-CN"/>
        </w:rPr>
      </w:pPr>
    </w:p>
    <w:p w14:paraId="39DA8AE4">
      <w:pPr>
        <w:widowControl/>
        <w:numPr>
          <w:ilvl w:val="2"/>
          <w:numId w:val="1"/>
        </w:numPr>
        <w:ind w:left="0" w:firstLine="0"/>
        <w:contextualSpacing/>
        <w:rPr>
          <w:rFonts w:eastAsia="宋体"/>
          <w:highlight w:val="none"/>
          <w:lang w:eastAsia="zh-CN"/>
        </w:rPr>
      </w:pPr>
      <w:bookmarkStart w:id="15" w:name="OLE_LINK18"/>
      <w:r>
        <w:rPr>
          <w:rFonts w:eastAsia="宋体"/>
          <w:highlight w:val="none"/>
          <w:lang w:eastAsia="zh-CN"/>
        </w:rPr>
        <w:t xml:space="preserve">Under direct visualization, identify the highest point of the femoral midshaft as the anatomical center for defect creation. </w:t>
      </w:r>
      <w:r>
        <w:rPr>
          <w:rFonts w:eastAsia="宋体"/>
          <w:highlight w:val="yellow"/>
          <w:lang w:eastAsia="zh-CN"/>
        </w:rPr>
        <w:t>Drill vertically downward at this point using the bur until a sudden loss of resistance is observed</w:t>
      </w:r>
      <w:r>
        <w:rPr>
          <w:rFonts w:eastAsia="宋体"/>
          <w:highlight w:val="none"/>
          <w:lang w:eastAsia="zh-CN"/>
        </w:rPr>
        <w:t xml:space="preserve">, accompanied by the appearance of blood effusion within the defect, which indicates full cortical penetration and access to the medullary cavity </w:t>
      </w:r>
      <w:bookmarkEnd w:id="15"/>
      <w:r>
        <w:rPr>
          <w:rFonts w:eastAsia="宋体"/>
          <w:highlight w:val="none"/>
          <w:lang w:eastAsia="zh-CN"/>
        </w:rPr>
        <w:t>(</w:t>
      </w:r>
      <w:r>
        <w:rPr>
          <w:rFonts w:eastAsia="宋体"/>
          <w:b/>
          <w:bCs/>
          <w:highlight w:val="none"/>
          <w:lang w:eastAsia="zh-CN"/>
        </w:rPr>
        <w:t>Figure 2Bh</w:t>
      </w:r>
      <w:r>
        <w:rPr>
          <w:rFonts w:eastAsia="宋体"/>
          <w:highlight w:val="none"/>
          <w:lang w:eastAsia="zh-CN"/>
        </w:rPr>
        <w:t>).</w:t>
      </w:r>
    </w:p>
    <w:p w14:paraId="100F12A1">
      <w:pPr>
        <w:widowControl/>
        <w:contextualSpacing/>
        <w:rPr>
          <w:rFonts w:eastAsia="宋体"/>
          <w:lang w:eastAsia="zh-CN"/>
        </w:rPr>
      </w:pPr>
    </w:p>
    <w:p w14:paraId="2D4A525A">
      <w:pPr>
        <w:widowControl/>
        <w:contextualSpacing/>
        <w:rPr>
          <w:rFonts w:eastAsia="宋体"/>
          <w:lang w:eastAsia="zh-CN"/>
        </w:rPr>
      </w:pPr>
      <w:r>
        <w:rPr>
          <w:rFonts w:eastAsia="宋体"/>
          <w:lang w:eastAsia="zh-CN"/>
        </w:rPr>
        <w:t>NOTE: Given inter-animal variability in cortical thickness, operators are advised to familiarize themselves with femoral anatomy and to perform pre-experimental training to standardize this step.</w:t>
      </w:r>
    </w:p>
    <w:p w14:paraId="17461273">
      <w:pPr>
        <w:widowControl/>
        <w:contextualSpacing/>
        <w:rPr>
          <w:rFonts w:eastAsia="宋体"/>
          <w:lang w:eastAsia="zh-CN"/>
        </w:rPr>
      </w:pPr>
    </w:p>
    <w:p w14:paraId="763E91C0">
      <w:pPr>
        <w:widowControl/>
        <w:numPr>
          <w:ilvl w:val="2"/>
          <w:numId w:val="1"/>
        </w:numPr>
        <w:ind w:left="0" w:firstLine="0"/>
        <w:contextualSpacing/>
        <w:rPr>
          <w:rFonts w:eastAsia="宋体"/>
          <w:highlight w:val="none"/>
          <w:lang w:eastAsia="zh-CN"/>
        </w:rPr>
      </w:pPr>
      <w:bookmarkStart w:id="16" w:name="OLE_LINK4"/>
      <w:r>
        <w:rPr>
          <w:rFonts w:eastAsia="宋体"/>
          <w:highlight w:val="yellow"/>
          <w:lang w:eastAsia="zh-CN"/>
        </w:rPr>
        <w:t xml:space="preserve">Enlarge the defect by applying controlled horizontal push-pull motions centered around the initial penetration point. Extend the defect longitudinally (along the femoral axis) and laterally (along the femoral diameter) to gradually form a standardized semi-cylindrical defect measuring 4 mm in length and 1.5 mm in radius </w:t>
      </w:r>
      <w:bookmarkEnd w:id="16"/>
      <w:r>
        <w:rPr>
          <w:rFonts w:eastAsia="宋体"/>
          <w:highlight w:val="none"/>
          <w:lang w:eastAsia="zh-CN"/>
        </w:rPr>
        <w:t>(</w:t>
      </w:r>
      <w:r>
        <w:rPr>
          <w:rFonts w:eastAsia="宋体"/>
          <w:b/>
          <w:bCs/>
          <w:highlight w:val="none"/>
          <w:lang w:eastAsia="zh-CN"/>
        </w:rPr>
        <w:t>Figure 2Bi</w:t>
      </w:r>
      <w:r>
        <w:rPr>
          <w:rFonts w:eastAsia="宋体"/>
          <w:highlight w:val="none"/>
          <w:lang w:eastAsia="zh-CN"/>
        </w:rPr>
        <w:t>, see</w:t>
      </w:r>
      <w:r>
        <w:rPr>
          <w:rFonts w:eastAsia="宋体"/>
          <w:b/>
          <w:bCs/>
          <w:highlight w:val="none"/>
          <w:lang w:eastAsia="zh-CN"/>
        </w:rPr>
        <w:t xml:space="preserve"> Figure 2A </w:t>
      </w:r>
      <w:r>
        <w:rPr>
          <w:rFonts w:eastAsia="宋体"/>
          <w:highlight w:val="none"/>
          <w:lang w:eastAsia="zh-CN"/>
        </w:rPr>
        <w:t>for the morphology and position of the defect).</w:t>
      </w:r>
    </w:p>
    <w:p w14:paraId="596A79FF">
      <w:pPr>
        <w:widowControl/>
        <w:contextualSpacing/>
      </w:pPr>
    </w:p>
    <w:p w14:paraId="64D7003B">
      <w:pPr>
        <w:widowControl/>
        <w:contextualSpacing/>
        <w:rPr>
          <w:rFonts w:eastAsia="宋体"/>
          <w:lang w:eastAsia="zh-CN" w:bidi="ar"/>
        </w:rPr>
      </w:pPr>
      <w:r>
        <w:rPr>
          <w:rFonts w:eastAsia="宋体"/>
          <w:lang w:eastAsia="zh-CN"/>
        </w:rPr>
        <w:t xml:space="preserve">NOTE: </w:t>
      </w:r>
      <w:bookmarkStart w:id="17" w:name="OLE_LINK19"/>
      <w:r>
        <w:rPr>
          <w:rFonts w:eastAsia="MS Mincho"/>
          <w:lang w:bidi="ar"/>
        </w:rPr>
        <w:t>Once the center point is established, use a vernier caliper to assist in stepwise defect enlargement, ensuring uniform dimensions across all specimens. The flat-end cylindrical design of the specialized dental bur matches the semi-cylindrical defect, allowing efficient and reproducible preparation</w:t>
      </w:r>
      <w:r>
        <w:rPr>
          <w:rFonts w:eastAsia="宋体"/>
          <w:lang w:eastAsia="zh-CN" w:bidi="ar"/>
        </w:rPr>
        <w:t xml:space="preserve">. </w:t>
      </w:r>
      <w:bookmarkEnd w:id="17"/>
    </w:p>
    <w:p w14:paraId="2730B40C">
      <w:pPr>
        <w:widowControl/>
        <w:contextualSpacing/>
        <w:rPr>
          <w:rFonts w:eastAsia="宋体"/>
          <w:lang w:eastAsia="zh-CN" w:bidi="ar"/>
        </w:rPr>
      </w:pPr>
    </w:p>
    <w:p w14:paraId="1277F752">
      <w:pPr>
        <w:widowControl/>
        <w:numPr>
          <w:ilvl w:val="2"/>
          <w:numId w:val="1"/>
        </w:numPr>
        <w:ind w:left="0" w:firstLine="0"/>
        <w:contextualSpacing/>
        <w:rPr>
          <w:rFonts w:eastAsia="宋体"/>
          <w:highlight w:val="none"/>
          <w:lang w:eastAsia="zh-CN"/>
        </w:rPr>
      </w:pPr>
      <w:bookmarkStart w:id="18" w:name="OLE_LINK5"/>
      <w:r>
        <w:rPr>
          <w:rFonts w:eastAsia="宋体"/>
          <w:highlight w:val="none"/>
          <w:lang w:eastAsia="zh-CN"/>
        </w:rPr>
        <w:t>Continuously irrigate the surgical site with sterile saline using the irrigation needle to prevent thermal necrosis during bone cutting.</w:t>
      </w:r>
    </w:p>
    <w:p w14:paraId="1F57B8CB">
      <w:pPr>
        <w:widowControl/>
        <w:contextualSpacing/>
        <w:rPr>
          <w:highlight w:val="none"/>
          <w:lang w:eastAsia="zh-CN"/>
        </w:rPr>
      </w:pPr>
    </w:p>
    <w:bookmarkEnd w:id="18"/>
    <w:p w14:paraId="0358F979">
      <w:pPr>
        <w:widowControl/>
        <w:numPr>
          <w:ilvl w:val="1"/>
          <w:numId w:val="1"/>
        </w:numPr>
        <w:ind w:left="0" w:firstLine="0"/>
        <w:contextualSpacing/>
        <w:rPr>
          <w:rFonts w:eastAsia="宋体"/>
          <w:highlight w:val="none"/>
          <w:lang w:eastAsia="zh-CN"/>
        </w:rPr>
      </w:pPr>
      <w:r>
        <w:rPr>
          <w:rFonts w:eastAsia="宋体"/>
          <w:highlight w:val="none"/>
          <w:lang w:eastAsia="zh-CN"/>
        </w:rPr>
        <w:t>Bone substitute implantation</w:t>
      </w:r>
    </w:p>
    <w:p w14:paraId="07675381">
      <w:pPr>
        <w:widowControl/>
        <w:contextualSpacing/>
        <w:rPr>
          <w:rFonts w:eastAsia="宋体"/>
          <w:highlight w:val="yellow"/>
          <w:lang w:eastAsia="zh-CN"/>
        </w:rPr>
      </w:pPr>
    </w:p>
    <w:p w14:paraId="21FB265A">
      <w:pPr>
        <w:widowControl/>
        <w:numPr>
          <w:ilvl w:val="2"/>
          <w:numId w:val="1"/>
        </w:numPr>
        <w:ind w:left="0" w:firstLine="0"/>
        <w:contextualSpacing/>
        <w:rPr>
          <w:rFonts w:eastAsia="宋体"/>
          <w:highlight w:val="none"/>
          <w:lang w:eastAsia="zh-CN"/>
        </w:rPr>
      </w:pPr>
      <w:r>
        <w:rPr>
          <w:rFonts w:eastAsia="宋体"/>
          <w:highlight w:val="none"/>
          <w:lang w:eastAsia="zh-CN"/>
        </w:rPr>
        <w:t>Gently remove bone debris and irrigate the site to clear residual particles.</w:t>
      </w:r>
    </w:p>
    <w:p w14:paraId="3AFAFDCC">
      <w:pPr>
        <w:widowControl/>
        <w:contextualSpacing/>
        <w:rPr>
          <w:rFonts w:eastAsia="宋体"/>
          <w:highlight w:val="yellow"/>
          <w:lang w:eastAsia="zh-CN"/>
        </w:rPr>
      </w:pPr>
    </w:p>
    <w:p w14:paraId="49E7504D">
      <w:pPr>
        <w:widowControl/>
        <w:numPr>
          <w:ilvl w:val="2"/>
          <w:numId w:val="1"/>
        </w:numPr>
        <w:ind w:left="0" w:firstLine="0"/>
        <w:contextualSpacing/>
        <w:rPr>
          <w:rFonts w:eastAsia="宋体"/>
          <w:highlight w:val="yellow"/>
          <w:lang w:eastAsia="zh-CN"/>
        </w:rPr>
      </w:pPr>
      <w:r>
        <w:rPr>
          <w:rFonts w:eastAsia="宋体"/>
          <w:highlight w:val="yellow"/>
          <w:lang w:eastAsia="zh-CN"/>
        </w:rPr>
        <w:t xml:space="preserve">Implant </w:t>
      </w:r>
      <w:r>
        <w:rPr>
          <w:rFonts w:eastAsia="宋体"/>
          <w:highlight w:val="none"/>
          <w:lang w:eastAsia="zh-CN"/>
        </w:rPr>
        <w:t xml:space="preserve">non-load-bearing </w:t>
      </w:r>
      <w:bookmarkStart w:id="19" w:name="OLE_LINK15"/>
      <w:r>
        <w:rPr>
          <w:rFonts w:eastAsia="宋体"/>
          <w:highlight w:val="none"/>
          <w:lang w:eastAsia="zh-CN"/>
        </w:rPr>
        <w:t xml:space="preserve">Gelatin methacryloyl (GelMA) hydrogels </w:t>
      </w:r>
      <w:bookmarkEnd w:id="19"/>
      <w:r>
        <w:rPr>
          <w:rFonts w:eastAsia="宋体"/>
          <w:highlight w:val="none"/>
          <w:lang w:eastAsia="zh-CN"/>
        </w:rPr>
        <w:t xml:space="preserve">(see </w:t>
      </w:r>
      <w:r>
        <w:rPr>
          <w:rFonts w:eastAsia="宋体"/>
          <w:b/>
          <w:bCs/>
          <w:highlight w:val="none"/>
          <w:lang w:eastAsia="zh-CN"/>
        </w:rPr>
        <w:t>Table of Materials</w:t>
      </w:r>
      <w:r>
        <w:rPr>
          <w:rFonts w:eastAsia="宋体"/>
          <w:highlight w:val="none"/>
          <w:lang w:eastAsia="zh-CN"/>
        </w:rPr>
        <w:t xml:space="preserve">) or </w:t>
      </w:r>
      <w:r>
        <w:rPr>
          <w:rFonts w:eastAsia="宋体"/>
          <w:highlight w:val="yellow"/>
          <w:lang w:eastAsia="zh-CN"/>
        </w:rPr>
        <w:t>load-bearing 3D-printed polymethyl methacrylate (3DP-PMMA) intended for mechanical performance testing into the defect site, ensuring a snug fit (</w:t>
      </w:r>
      <w:r>
        <w:rPr>
          <w:rFonts w:eastAsia="宋体"/>
          <w:b/>
          <w:bCs/>
          <w:highlight w:val="yellow"/>
          <w:lang w:eastAsia="zh-CN"/>
        </w:rPr>
        <w:t>Figure 2Bj</w:t>
      </w:r>
      <w:r>
        <w:rPr>
          <w:rFonts w:eastAsia="宋体"/>
          <w:highlight w:val="yellow"/>
          <w:lang w:eastAsia="zh-CN"/>
        </w:rPr>
        <w:t>).</w:t>
      </w:r>
    </w:p>
    <w:p w14:paraId="4A0087F8">
      <w:pPr>
        <w:widowControl/>
        <w:contextualSpacing/>
        <w:rPr>
          <w:lang w:eastAsia="zh-CN"/>
        </w:rPr>
      </w:pPr>
    </w:p>
    <w:p w14:paraId="116D0173">
      <w:pPr>
        <w:widowControl/>
        <w:contextualSpacing/>
        <w:rPr>
          <w:lang w:eastAsia="zh-CN"/>
        </w:rPr>
      </w:pPr>
      <w:bookmarkStart w:id="20" w:name="_Hlk211483229"/>
      <w:r>
        <w:rPr>
          <w:lang w:eastAsia="zh-CN"/>
        </w:rPr>
        <w:t>NOTE: The two biomaterials used here were deliberately selected to represent contrasting mechanical and biological properties: GelMA hydrogel serves as a soft, non-load-bearing material with limited osteogenic potential, whereas 3DP-PMMA acts as a rigid, load-bearing scaffold capable of effective stress transmission and supporting bone formation</w:t>
      </w:r>
      <w:r>
        <w:rPr>
          <w:vertAlign w:val="superscript"/>
        </w:rPr>
        <w:t>14</w:t>
      </w:r>
      <w:r>
        <w:rPr>
          <w:lang w:eastAsia="zh-CN"/>
        </w:rPr>
        <w:t xml:space="preserve"> </w:t>
      </w:r>
      <w:bookmarkStart w:id="21" w:name="_Hlk211029937"/>
      <w:r>
        <w:rPr>
          <w:lang w:eastAsia="zh-CN"/>
        </w:rPr>
        <w:t>(</w:t>
      </w:r>
      <w:r>
        <w:rPr>
          <w:b/>
          <w:bCs/>
          <w:lang w:eastAsia="zh-CN"/>
        </w:rPr>
        <w:t>Figure 2A</w:t>
      </w:r>
      <w:r>
        <w:rPr>
          <w:lang w:eastAsia="zh-CN"/>
        </w:rPr>
        <w:t>).</w:t>
      </w:r>
      <w:bookmarkEnd w:id="21"/>
      <w:r>
        <w:rPr>
          <w:lang w:eastAsia="zh-CN"/>
        </w:rPr>
        <w:t xml:space="preserve"> This contrast highlights the model’s ability to evaluate implants with a wide range of mechanical strength and biological performance, and in practice, the defect model can be applied to test other candidate materials with mechanical properties.</w:t>
      </w:r>
    </w:p>
    <w:bookmarkEnd w:id="20"/>
    <w:p w14:paraId="1DDD4FC7">
      <w:pPr>
        <w:widowControl/>
        <w:contextualSpacing/>
        <w:rPr>
          <w:lang w:eastAsia="zh-CN"/>
        </w:rPr>
      </w:pPr>
    </w:p>
    <w:p w14:paraId="4E4A4535">
      <w:pPr>
        <w:widowControl/>
        <w:numPr>
          <w:ilvl w:val="1"/>
          <w:numId w:val="1"/>
        </w:numPr>
        <w:ind w:left="0" w:firstLine="0"/>
        <w:contextualSpacing/>
        <w:rPr>
          <w:rFonts w:eastAsia="宋体"/>
          <w:highlight w:val="none"/>
          <w:lang w:eastAsia="zh-CN"/>
        </w:rPr>
      </w:pPr>
      <w:r>
        <w:rPr>
          <w:rFonts w:eastAsia="宋体"/>
          <w:highlight w:val="none"/>
          <w:lang w:eastAsia="zh-CN"/>
        </w:rPr>
        <w:t>Surgical site closure</w:t>
      </w:r>
    </w:p>
    <w:p w14:paraId="124DD9C6">
      <w:pPr>
        <w:widowControl/>
        <w:contextualSpacing/>
        <w:rPr>
          <w:rFonts w:eastAsia="宋体"/>
          <w:highlight w:val="yellow"/>
          <w:lang w:eastAsia="zh-CN"/>
        </w:rPr>
      </w:pPr>
    </w:p>
    <w:p w14:paraId="4FA83A66">
      <w:pPr>
        <w:widowControl/>
        <w:numPr>
          <w:ilvl w:val="2"/>
          <w:numId w:val="1"/>
        </w:numPr>
        <w:ind w:left="0" w:firstLine="0"/>
        <w:contextualSpacing/>
        <w:rPr>
          <w:rFonts w:eastAsia="宋体"/>
          <w:highlight w:val="yellow"/>
          <w:lang w:eastAsia="zh-CN"/>
        </w:rPr>
      </w:pPr>
      <w:r>
        <w:rPr>
          <w:rFonts w:eastAsia="宋体"/>
          <w:highlight w:val="yellow"/>
          <w:lang w:eastAsia="zh-CN"/>
        </w:rPr>
        <w:t>Suture the muscle layers using 4-0 monofilament sutures and a needle holder, taking care to avoid excessive tension (</w:t>
      </w:r>
      <w:r>
        <w:rPr>
          <w:rFonts w:eastAsia="宋体"/>
          <w:b/>
          <w:bCs/>
          <w:highlight w:val="yellow"/>
          <w:lang w:eastAsia="zh-CN"/>
        </w:rPr>
        <w:t>Figure 2Bk</w:t>
      </w:r>
      <w:r>
        <w:rPr>
          <w:rFonts w:eastAsia="宋体"/>
          <w:highlight w:val="yellow"/>
          <w:lang w:eastAsia="zh-CN"/>
        </w:rPr>
        <w:t>).</w:t>
      </w:r>
    </w:p>
    <w:p w14:paraId="03D5411C">
      <w:pPr>
        <w:widowControl/>
        <w:contextualSpacing/>
        <w:rPr>
          <w:rFonts w:eastAsia="宋体"/>
          <w:highlight w:val="yellow"/>
          <w:lang w:eastAsia="zh-CN"/>
        </w:rPr>
      </w:pPr>
    </w:p>
    <w:p w14:paraId="272F91C9">
      <w:pPr>
        <w:widowControl/>
        <w:numPr>
          <w:ilvl w:val="2"/>
          <w:numId w:val="1"/>
        </w:numPr>
        <w:ind w:left="0" w:firstLine="0"/>
        <w:contextualSpacing/>
        <w:rPr>
          <w:rFonts w:eastAsia="宋体"/>
          <w:highlight w:val="yellow"/>
          <w:lang w:eastAsia="zh-CN"/>
        </w:rPr>
      </w:pPr>
      <w:bookmarkStart w:id="22" w:name="OLE_LINK6"/>
      <w:r>
        <w:rPr>
          <w:rFonts w:eastAsia="宋体"/>
          <w:highlight w:val="yellow"/>
          <w:lang w:eastAsia="zh-CN"/>
        </w:rPr>
        <w:t xml:space="preserve">Perform skin closure with interrupted sutures and disinfect the surgical site using 2% iodophor solution </w:t>
      </w:r>
      <w:bookmarkEnd w:id="22"/>
      <w:r>
        <w:rPr>
          <w:rFonts w:eastAsia="宋体"/>
          <w:highlight w:val="yellow"/>
          <w:lang w:eastAsia="zh-CN"/>
        </w:rPr>
        <w:t>(</w:t>
      </w:r>
      <w:r>
        <w:rPr>
          <w:rFonts w:eastAsia="宋体"/>
          <w:b/>
          <w:bCs/>
          <w:highlight w:val="yellow"/>
          <w:lang w:eastAsia="zh-CN"/>
        </w:rPr>
        <w:t>Figure 2Bl</w:t>
      </w:r>
      <w:r>
        <w:rPr>
          <w:rFonts w:eastAsia="宋体"/>
          <w:highlight w:val="yellow"/>
          <w:lang w:eastAsia="zh-CN"/>
        </w:rPr>
        <w:t>).</w:t>
      </w:r>
    </w:p>
    <w:p w14:paraId="4935C1CD">
      <w:pPr>
        <w:widowControl/>
        <w:contextualSpacing/>
        <w:rPr>
          <w:lang w:eastAsia="zh-CN"/>
        </w:rPr>
      </w:pPr>
    </w:p>
    <w:p w14:paraId="2E58B2C3">
      <w:pPr>
        <w:keepNext/>
        <w:keepLines/>
        <w:widowControl/>
        <w:numPr>
          <w:ilvl w:val="0"/>
          <w:numId w:val="1"/>
        </w:numPr>
        <w:ind w:left="0" w:firstLine="0"/>
        <w:contextualSpacing/>
        <w:outlineLvl w:val="2"/>
        <w:rPr>
          <w:rFonts w:eastAsiaTheme="majorEastAsia"/>
          <w:b/>
          <w:bCs/>
        </w:rPr>
      </w:pPr>
      <w:r>
        <w:rPr>
          <w:rFonts w:eastAsiaTheme="majorEastAsia"/>
          <w:b/>
          <w:bCs/>
        </w:rPr>
        <w:t>Post-operative care</w:t>
      </w:r>
    </w:p>
    <w:p w14:paraId="1BCE9BCA">
      <w:pPr>
        <w:keepNext/>
        <w:keepLines/>
        <w:widowControl/>
        <w:contextualSpacing/>
        <w:outlineLvl w:val="2"/>
        <w:rPr>
          <w:rFonts w:eastAsiaTheme="majorEastAsia"/>
          <w:b/>
          <w:bCs/>
        </w:rPr>
      </w:pPr>
    </w:p>
    <w:p w14:paraId="603B49A8">
      <w:pPr>
        <w:widowControl/>
        <w:numPr>
          <w:ilvl w:val="1"/>
          <w:numId w:val="1"/>
        </w:numPr>
        <w:ind w:left="0" w:firstLine="0"/>
        <w:contextualSpacing/>
        <w:rPr>
          <w:rFonts w:eastAsia="宋体"/>
          <w:lang w:eastAsia="zh-CN"/>
        </w:rPr>
      </w:pPr>
      <w:r>
        <w:rPr>
          <w:rFonts w:eastAsia="宋体"/>
          <w:lang w:eastAsia="zh-CN"/>
        </w:rPr>
        <w:t>Transfer the rats onto a disinfected, con</w:t>
      </w:r>
      <w:bookmarkStart w:id="49" w:name="_GoBack"/>
      <w:bookmarkEnd w:id="49"/>
      <w:r>
        <w:rPr>
          <w:rFonts w:eastAsia="宋体"/>
          <w:lang w:eastAsia="zh-CN"/>
        </w:rPr>
        <w:t>stant heating pad (37 °C) to allow post-operative recovery.</w:t>
      </w:r>
    </w:p>
    <w:p w14:paraId="5D85917D">
      <w:pPr>
        <w:widowControl/>
        <w:contextualSpacing/>
        <w:rPr>
          <w:rFonts w:eastAsia="宋体"/>
          <w:lang w:eastAsia="zh-CN"/>
        </w:rPr>
      </w:pPr>
    </w:p>
    <w:p w14:paraId="682B51FB">
      <w:pPr>
        <w:widowControl/>
        <w:numPr>
          <w:ilvl w:val="1"/>
          <w:numId w:val="1"/>
        </w:numPr>
        <w:ind w:left="0" w:firstLine="0"/>
        <w:contextualSpacing/>
        <w:rPr>
          <w:rFonts w:eastAsia="宋体"/>
          <w:lang w:eastAsia="zh-CN"/>
        </w:rPr>
      </w:pPr>
      <w:r>
        <w:rPr>
          <w:rFonts w:eastAsia="宋体"/>
          <w:lang w:eastAsia="zh-CN"/>
        </w:rPr>
        <w:t>Administer appropriate post-operative analgesia (e.g., buprenorphine at 0.03 mg/kg subcutaneously every 12 h for 48–72 h).</w:t>
      </w:r>
    </w:p>
    <w:p w14:paraId="60F507C3">
      <w:pPr>
        <w:widowControl/>
        <w:contextualSpacing/>
        <w:rPr>
          <w:rFonts w:eastAsia="宋体"/>
          <w:lang w:eastAsia="zh-CN"/>
        </w:rPr>
      </w:pPr>
    </w:p>
    <w:p w14:paraId="3337AE2A">
      <w:pPr>
        <w:widowControl/>
        <w:numPr>
          <w:ilvl w:val="1"/>
          <w:numId w:val="1"/>
        </w:numPr>
        <w:ind w:left="0" w:firstLine="0"/>
        <w:contextualSpacing/>
        <w:rPr>
          <w:rFonts w:eastAsia="宋体"/>
          <w:lang w:eastAsia="zh-CN"/>
        </w:rPr>
      </w:pPr>
      <w:r>
        <w:rPr>
          <w:rFonts w:eastAsia="宋体"/>
          <w:lang w:eastAsia="zh-CN"/>
        </w:rPr>
        <w:t>Once the rats regain consciousness, place them in clean cages with soft bedding and easy access to food and water.</w:t>
      </w:r>
    </w:p>
    <w:p w14:paraId="7A21516E">
      <w:pPr>
        <w:widowControl/>
        <w:contextualSpacing/>
        <w:rPr>
          <w:rFonts w:eastAsia="宋体"/>
          <w:lang w:eastAsia="zh-CN"/>
        </w:rPr>
      </w:pPr>
    </w:p>
    <w:p w14:paraId="6B3DD06F">
      <w:pPr>
        <w:widowControl/>
        <w:numPr>
          <w:ilvl w:val="1"/>
          <w:numId w:val="1"/>
        </w:numPr>
        <w:ind w:left="0" w:firstLine="0"/>
        <w:contextualSpacing/>
        <w:rPr>
          <w:rFonts w:eastAsia="宋体"/>
          <w:lang w:eastAsia="zh-CN"/>
        </w:rPr>
      </w:pPr>
      <w:r>
        <w:rPr>
          <w:rFonts w:eastAsia="宋体"/>
          <w:lang w:eastAsia="zh-CN"/>
        </w:rPr>
        <w:t>Monitor the surgical site daily for signs of infection, dehiscence, or abnormal swelling. Observe the rats’ behavior, weight, and mobility for at least 7 days post-surgery to ensure recovery and assess welfare.</w:t>
      </w:r>
    </w:p>
    <w:p w14:paraId="3D722CAF">
      <w:pPr>
        <w:widowControl/>
        <w:contextualSpacing/>
        <w:rPr>
          <w:rFonts w:eastAsia="宋体"/>
          <w:lang w:eastAsia="zh-CN"/>
        </w:rPr>
      </w:pPr>
    </w:p>
    <w:p w14:paraId="602900E0">
      <w:pPr>
        <w:keepNext/>
        <w:keepLines/>
        <w:widowControl/>
        <w:numPr>
          <w:ilvl w:val="0"/>
          <w:numId w:val="1"/>
        </w:numPr>
        <w:ind w:left="0" w:firstLine="0"/>
        <w:contextualSpacing/>
        <w:outlineLvl w:val="2"/>
        <w:rPr>
          <w:rFonts w:eastAsiaTheme="majorEastAsia"/>
          <w:b/>
          <w:bCs/>
        </w:rPr>
      </w:pPr>
      <w:r>
        <w:rPr>
          <w:rFonts w:eastAsiaTheme="majorEastAsia"/>
          <w:b/>
          <w:bCs/>
        </w:rPr>
        <w:t xml:space="preserve">Sample </w:t>
      </w:r>
      <w:r>
        <w:rPr>
          <w:rFonts w:eastAsiaTheme="majorEastAsia"/>
          <w:b/>
          <w:bCs/>
          <w:lang w:eastAsia="zh-CN"/>
        </w:rPr>
        <w:t>h</w:t>
      </w:r>
      <w:r>
        <w:rPr>
          <w:rFonts w:eastAsiaTheme="majorEastAsia"/>
          <w:b/>
          <w:bCs/>
        </w:rPr>
        <w:t xml:space="preserve">arvesting and </w:t>
      </w:r>
      <w:r>
        <w:rPr>
          <w:rFonts w:eastAsiaTheme="majorEastAsia"/>
          <w:b/>
          <w:bCs/>
          <w:lang w:eastAsia="zh-CN"/>
        </w:rPr>
        <w:t>d</w:t>
      </w:r>
      <w:r>
        <w:rPr>
          <w:rFonts w:eastAsiaTheme="majorEastAsia"/>
          <w:b/>
          <w:bCs/>
        </w:rPr>
        <w:t xml:space="preserve">ata </w:t>
      </w:r>
      <w:r>
        <w:rPr>
          <w:rFonts w:eastAsiaTheme="majorEastAsia"/>
          <w:b/>
          <w:bCs/>
          <w:lang w:eastAsia="zh-CN"/>
        </w:rPr>
        <w:t>c</w:t>
      </w:r>
      <w:r>
        <w:rPr>
          <w:rFonts w:eastAsiaTheme="majorEastAsia"/>
          <w:b/>
          <w:bCs/>
        </w:rPr>
        <w:t>ollection</w:t>
      </w:r>
    </w:p>
    <w:p w14:paraId="20138045">
      <w:pPr>
        <w:keepNext/>
        <w:keepLines/>
        <w:widowControl/>
        <w:contextualSpacing/>
        <w:outlineLvl w:val="2"/>
        <w:rPr>
          <w:rFonts w:eastAsiaTheme="majorEastAsia"/>
          <w:b/>
          <w:bCs/>
        </w:rPr>
      </w:pPr>
    </w:p>
    <w:p w14:paraId="272CAA50">
      <w:pPr>
        <w:widowControl/>
        <w:numPr>
          <w:ilvl w:val="1"/>
          <w:numId w:val="1"/>
        </w:numPr>
        <w:ind w:left="0" w:firstLine="0"/>
        <w:contextualSpacing/>
        <w:rPr>
          <w:rFonts w:eastAsia="宋体"/>
          <w:lang w:eastAsia="zh-CN"/>
        </w:rPr>
      </w:pPr>
      <w:r>
        <w:rPr>
          <w:rFonts w:eastAsia="宋体"/>
          <w:lang w:eastAsia="zh-CN"/>
        </w:rPr>
        <w:t>Sample collection</w:t>
      </w:r>
    </w:p>
    <w:p w14:paraId="778E9155">
      <w:pPr>
        <w:widowControl/>
        <w:contextualSpacing/>
        <w:rPr>
          <w:rFonts w:eastAsia="宋体"/>
          <w:lang w:eastAsia="zh-CN"/>
        </w:rPr>
      </w:pPr>
    </w:p>
    <w:p w14:paraId="336A54A7">
      <w:pPr>
        <w:widowControl/>
        <w:numPr>
          <w:ilvl w:val="2"/>
          <w:numId w:val="1"/>
        </w:numPr>
        <w:ind w:left="0" w:firstLine="0"/>
        <w:contextualSpacing/>
        <w:rPr>
          <w:rFonts w:eastAsia="宋体"/>
          <w:lang w:eastAsia="zh-CN"/>
        </w:rPr>
      </w:pPr>
      <w:r>
        <w:rPr>
          <w:rFonts w:eastAsia="宋体"/>
          <w:lang w:eastAsia="zh-CN"/>
        </w:rPr>
        <w:t xml:space="preserve">Euthanize the rats with carbon dioxide inhalation followed by secondary confirmation (following institutionally approved protocols). </w:t>
      </w:r>
    </w:p>
    <w:p w14:paraId="113E5E5E">
      <w:pPr>
        <w:widowControl/>
        <w:contextualSpacing/>
        <w:rPr>
          <w:rFonts w:eastAsia="宋体"/>
          <w:lang w:eastAsia="zh-CN"/>
        </w:rPr>
      </w:pPr>
    </w:p>
    <w:p w14:paraId="20B6EB81">
      <w:pPr>
        <w:widowControl/>
        <w:numPr>
          <w:ilvl w:val="2"/>
          <w:numId w:val="1"/>
        </w:numPr>
        <w:ind w:left="0" w:firstLine="0"/>
        <w:contextualSpacing/>
        <w:rPr>
          <w:rFonts w:eastAsia="宋体"/>
          <w:lang w:eastAsia="zh-CN"/>
        </w:rPr>
      </w:pPr>
      <w:r>
        <w:rPr>
          <w:rFonts w:eastAsia="宋体"/>
          <w:lang w:eastAsia="zh-CN"/>
        </w:rPr>
        <w:t>Harvest the femur specimens at 4 weeks post-implantation with animals initially randomized into two material groups (n = 6 per group) to assess the materials’ mechanical performance.</w:t>
      </w:r>
    </w:p>
    <w:p w14:paraId="4AFDAC45">
      <w:pPr>
        <w:widowControl/>
        <w:contextualSpacing/>
        <w:rPr>
          <w:rFonts w:eastAsia="宋体"/>
          <w:lang w:eastAsia="zh-CN"/>
        </w:rPr>
      </w:pPr>
    </w:p>
    <w:p w14:paraId="13EBF1C7">
      <w:pPr>
        <w:widowControl/>
        <w:contextualSpacing/>
        <w:rPr>
          <w:rFonts w:eastAsia="宋体"/>
          <w:lang w:eastAsia="zh-CN"/>
        </w:rPr>
      </w:pPr>
      <w:r>
        <w:rPr>
          <w:rFonts w:eastAsia="宋体"/>
          <w:lang w:eastAsia="zh-CN"/>
        </w:rPr>
        <w:t>NOTE: In the GelMA group, three animals developed complete fractures shortly after surgery and were excluded, leaving three specimens available for subsequent analyses.</w:t>
      </w:r>
    </w:p>
    <w:p w14:paraId="247585E9">
      <w:pPr>
        <w:widowControl/>
        <w:contextualSpacing/>
        <w:rPr>
          <w:rFonts w:eastAsia="宋体"/>
          <w:lang w:eastAsia="zh-CN"/>
        </w:rPr>
      </w:pPr>
    </w:p>
    <w:p w14:paraId="4B9F1183">
      <w:pPr>
        <w:widowControl/>
        <w:numPr>
          <w:ilvl w:val="2"/>
          <w:numId w:val="1"/>
        </w:numPr>
        <w:ind w:left="0" w:firstLine="0"/>
        <w:contextualSpacing/>
        <w:rPr>
          <w:rFonts w:eastAsia="宋体"/>
          <w:lang w:eastAsia="zh-CN"/>
        </w:rPr>
      </w:pPr>
      <w:r>
        <w:rPr>
          <w:rFonts w:eastAsia="宋体"/>
          <w:lang w:eastAsia="zh-CN"/>
        </w:rPr>
        <w:t>Fix the femoral specimens in 4% paraformaldehyde for 48 h at 4 °C.</w:t>
      </w:r>
    </w:p>
    <w:p w14:paraId="306FAE93">
      <w:pPr>
        <w:widowControl/>
        <w:contextualSpacing/>
        <w:rPr>
          <w:rFonts w:eastAsia="宋体"/>
          <w:lang w:eastAsia="zh-CN"/>
        </w:rPr>
      </w:pPr>
    </w:p>
    <w:p w14:paraId="47890B07">
      <w:pPr>
        <w:widowControl/>
        <w:contextualSpacing/>
        <w:rPr>
          <w:rFonts w:eastAsia="宋体"/>
          <w:lang w:eastAsia="zh-CN"/>
        </w:rPr>
      </w:pPr>
      <w:r>
        <w:rPr>
          <w:rFonts w:eastAsia="宋体"/>
          <w:lang w:eastAsia="zh-CN"/>
        </w:rPr>
        <w:t>CAUTION: Paraformaldehyde is toxic and should be handled in a certified fume hood. Wear gloves, a lab coat, and safety goggles or a face shield. Collect waste solutions in labeled hazardous chemical waste containers for disposal.</w:t>
      </w:r>
    </w:p>
    <w:p w14:paraId="6F78EC46">
      <w:pPr>
        <w:widowControl/>
        <w:contextualSpacing/>
      </w:pPr>
    </w:p>
    <w:p w14:paraId="0D0D2661">
      <w:pPr>
        <w:widowControl/>
        <w:numPr>
          <w:ilvl w:val="1"/>
          <w:numId w:val="1"/>
        </w:numPr>
        <w:ind w:left="0" w:firstLine="0"/>
        <w:contextualSpacing/>
        <w:rPr>
          <w:rFonts w:eastAsia="宋体"/>
          <w:lang w:eastAsia="zh-CN"/>
        </w:rPr>
      </w:pPr>
      <w:r>
        <w:rPr>
          <w:bCs/>
          <w:lang w:eastAsia="zh-CN"/>
        </w:rPr>
        <w:t>Micro-computed tomography (μ</w:t>
      </w:r>
      <w:r>
        <w:rPr>
          <w:rFonts w:eastAsia="宋体"/>
          <w:lang w:eastAsia="zh-CN"/>
        </w:rPr>
        <w:t>CT) evaluation</w:t>
      </w:r>
    </w:p>
    <w:p w14:paraId="4C860EE9">
      <w:pPr>
        <w:widowControl/>
        <w:contextualSpacing/>
        <w:rPr>
          <w:rFonts w:eastAsia="宋体"/>
          <w:lang w:eastAsia="zh-CN"/>
        </w:rPr>
      </w:pPr>
    </w:p>
    <w:p w14:paraId="4DF6D8E9">
      <w:pPr>
        <w:widowControl/>
        <w:numPr>
          <w:ilvl w:val="2"/>
          <w:numId w:val="1"/>
        </w:numPr>
        <w:ind w:left="0" w:firstLine="0"/>
        <w:contextualSpacing/>
        <w:rPr>
          <w:rFonts w:eastAsia="宋体"/>
          <w:lang w:eastAsia="zh-CN"/>
        </w:rPr>
      </w:pPr>
      <w:r>
        <w:rPr>
          <w:rFonts w:eastAsia="宋体"/>
          <w:lang w:eastAsia="zh-CN"/>
        </w:rPr>
        <w:t xml:space="preserve">Perform </w:t>
      </w:r>
      <w:r>
        <w:rPr>
          <w:bCs/>
          <w:lang w:eastAsia="zh-CN"/>
        </w:rPr>
        <w:t>μ</w:t>
      </w:r>
      <w:r>
        <w:rPr>
          <w:rFonts w:eastAsia="宋体"/>
          <w:lang w:eastAsia="zh-CN"/>
        </w:rPr>
        <w:t xml:space="preserve">CT scanning on femoral specimens collected at 4 weeks post-implantation with the following scanning parameters: X-ray tube potential, 70 kVp; X-ray intensity, 0.2 mA; filter, AL 0.5 mm; integration time, 1 x 300 ms; and voxel size, 17 </w:t>
      </w:r>
      <w:r>
        <w:rPr>
          <w:bCs/>
          <w:lang w:eastAsia="zh-CN"/>
        </w:rPr>
        <w:t>μ</w:t>
      </w:r>
      <w:r>
        <w:rPr>
          <w:rFonts w:eastAsia="宋体"/>
          <w:lang w:eastAsia="zh-CN"/>
        </w:rPr>
        <w:t>m.</w:t>
      </w:r>
    </w:p>
    <w:p w14:paraId="11EC3B70">
      <w:pPr>
        <w:widowControl/>
        <w:contextualSpacing/>
        <w:rPr>
          <w:rFonts w:eastAsia="宋体"/>
          <w:lang w:eastAsia="zh-CN"/>
        </w:rPr>
      </w:pPr>
    </w:p>
    <w:p w14:paraId="2EB0F488">
      <w:pPr>
        <w:widowControl/>
        <w:numPr>
          <w:ilvl w:val="2"/>
          <w:numId w:val="1"/>
        </w:numPr>
        <w:ind w:left="0" w:firstLine="0"/>
        <w:contextualSpacing/>
        <w:rPr>
          <w:rFonts w:eastAsia="宋体"/>
          <w:lang w:eastAsia="zh-CN"/>
        </w:rPr>
      </w:pPr>
      <w:r>
        <w:rPr>
          <w:rFonts w:eastAsia="宋体"/>
          <w:lang w:eastAsia="zh-CN"/>
        </w:rPr>
        <w:t xml:space="preserve">Perform 3D reconstruction using the predefined scripts provided in the </w:t>
      </w:r>
      <w:r>
        <w:rPr>
          <w:bCs/>
          <w:lang w:eastAsia="zh-CN"/>
        </w:rPr>
        <w:t>μ</w:t>
      </w:r>
      <w:r>
        <w:rPr>
          <w:rFonts w:eastAsia="宋体"/>
          <w:lang w:eastAsia="zh-CN"/>
        </w:rPr>
        <w:t>CT machine software. Generate cross-sectional images of the defect site using the reslice function of dedicated image-processing software. Follow the standard workflows as described in the respective software manuals.</w:t>
      </w:r>
    </w:p>
    <w:p w14:paraId="55A1CBC3">
      <w:pPr>
        <w:widowControl/>
        <w:contextualSpacing/>
      </w:pPr>
    </w:p>
    <w:p w14:paraId="3B12E72F">
      <w:pPr>
        <w:widowControl/>
        <w:numPr>
          <w:ilvl w:val="1"/>
          <w:numId w:val="1"/>
        </w:numPr>
        <w:ind w:left="0" w:firstLine="0"/>
        <w:contextualSpacing/>
        <w:rPr>
          <w:rFonts w:eastAsia="宋体"/>
          <w:lang w:eastAsia="zh-CN"/>
        </w:rPr>
      </w:pPr>
      <w:r>
        <w:rPr>
          <w:rFonts w:eastAsia="宋体"/>
          <w:lang w:eastAsia="zh-CN"/>
        </w:rPr>
        <w:t>Histological staining</w:t>
      </w:r>
    </w:p>
    <w:p w14:paraId="5F3BCCC4">
      <w:pPr>
        <w:widowControl/>
        <w:contextualSpacing/>
        <w:rPr>
          <w:rFonts w:eastAsia="宋体"/>
          <w:lang w:eastAsia="zh-CN"/>
        </w:rPr>
      </w:pPr>
    </w:p>
    <w:p w14:paraId="142B5B1D">
      <w:pPr>
        <w:widowControl/>
        <w:numPr>
          <w:ilvl w:val="2"/>
          <w:numId w:val="1"/>
        </w:numPr>
        <w:ind w:left="0" w:firstLine="0"/>
        <w:contextualSpacing/>
        <w:rPr>
          <w:rFonts w:eastAsia="宋体"/>
          <w:lang w:eastAsia="zh-CN"/>
        </w:rPr>
      </w:pPr>
      <w:r>
        <w:rPr>
          <w:rFonts w:eastAsia="宋体"/>
          <w:lang w:eastAsia="zh-CN"/>
        </w:rPr>
        <w:t>Decalcify the samples at 4 °C using 12% ethylenediaminetetraacetic acid (EDTA) (pH 7.2) for 6 weeks on a shaker.</w:t>
      </w:r>
    </w:p>
    <w:p w14:paraId="5E532E31">
      <w:pPr>
        <w:widowControl/>
        <w:contextualSpacing/>
        <w:rPr>
          <w:lang w:eastAsia="zh-CN"/>
        </w:rPr>
      </w:pPr>
    </w:p>
    <w:p w14:paraId="01DC152F">
      <w:pPr>
        <w:widowControl/>
        <w:contextualSpacing/>
      </w:pPr>
      <w:r>
        <w:t>N</w:t>
      </w:r>
      <w:r>
        <w:rPr>
          <w:rFonts w:eastAsia="宋体"/>
          <w:lang w:eastAsia="zh-CN"/>
        </w:rPr>
        <w:t>OTE</w:t>
      </w:r>
      <w:r>
        <w:t xml:space="preserve">: Replace the EDTA solution every 2 days. Verify decalcification progress regularly. Decalcification is complete when the sample is pliable under pressure or passes a needle. </w:t>
      </w:r>
    </w:p>
    <w:p w14:paraId="599DAAD4">
      <w:pPr>
        <w:widowControl/>
        <w:contextualSpacing/>
        <w:rPr>
          <w:lang w:eastAsia="zh-CN"/>
        </w:rPr>
      </w:pPr>
    </w:p>
    <w:p w14:paraId="381FF2A8">
      <w:pPr>
        <w:widowControl/>
        <w:contextualSpacing/>
        <w:rPr>
          <w:lang w:eastAsia="zh-CN"/>
        </w:rPr>
      </w:pPr>
      <w:r>
        <w:rPr>
          <w:lang w:eastAsia="zh-CN"/>
        </w:rPr>
        <w:t xml:space="preserve">CAUTION: </w:t>
      </w:r>
      <w:r>
        <w:t>Dispose of EDTA solutions according to institutional guidelines for aqueous chemical waste. Contaminated biological material should be treated as biohazardous waste.</w:t>
      </w:r>
    </w:p>
    <w:p w14:paraId="3CACDD3D">
      <w:pPr>
        <w:widowControl/>
        <w:contextualSpacing/>
        <w:rPr>
          <w:lang w:eastAsia="zh-CN"/>
        </w:rPr>
      </w:pPr>
    </w:p>
    <w:p w14:paraId="4EB04E91">
      <w:pPr>
        <w:widowControl/>
        <w:numPr>
          <w:ilvl w:val="2"/>
          <w:numId w:val="1"/>
        </w:numPr>
        <w:ind w:left="0" w:firstLine="0"/>
        <w:contextualSpacing/>
        <w:rPr>
          <w:rFonts w:eastAsia="宋体"/>
          <w:lang w:eastAsia="zh-CN"/>
        </w:rPr>
      </w:pPr>
      <w:r>
        <w:rPr>
          <w:rFonts w:eastAsia="宋体"/>
          <w:lang w:eastAsia="zh-CN"/>
        </w:rPr>
        <w:t>Dehydrate the samples in a graded series of ethanol dilutions and then embed them in paraffin.</w:t>
      </w:r>
    </w:p>
    <w:p w14:paraId="69324314">
      <w:pPr>
        <w:widowControl/>
        <w:contextualSpacing/>
        <w:rPr>
          <w:rFonts w:eastAsia="宋体"/>
          <w:lang w:eastAsia="zh-CN"/>
        </w:rPr>
      </w:pPr>
    </w:p>
    <w:p w14:paraId="48443DF7">
      <w:pPr>
        <w:widowControl/>
        <w:numPr>
          <w:ilvl w:val="2"/>
          <w:numId w:val="1"/>
        </w:numPr>
        <w:ind w:left="0" w:firstLine="0"/>
        <w:contextualSpacing/>
        <w:rPr>
          <w:rFonts w:eastAsia="宋体"/>
          <w:lang w:eastAsia="zh-CN"/>
        </w:rPr>
      </w:pPr>
      <w:r>
        <w:rPr>
          <w:rFonts w:eastAsia="宋体"/>
          <w:lang w:eastAsia="zh-CN"/>
        </w:rPr>
        <w:t xml:space="preserve">Cut the paraffin-embedded samples sagittally into 6 </w:t>
      </w:r>
      <w:r>
        <w:rPr>
          <w:bCs/>
          <w:lang w:eastAsia="zh-CN"/>
        </w:rPr>
        <w:t>μ</w:t>
      </w:r>
      <w:r>
        <w:rPr>
          <w:rFonts w:eastAsia="宋体"/>
          <w:lang w:eastAsia="zh-CN"/>
        </w:rPr>
        <w:t>m-thick slices.</w:t>
      </w:r>
    </w:p>
    <w:p w14:paraId="7D0A158D">
      <w:pPr>
        <w:widowControl/>
        <w:contextualSpacing/>
      </w:pPr>
    </w:p>
    <w:p w14:paraId="06E9C6D9">
      <w:pPr>
        <w:widowControl/>
        <w:contextualSpacing/>
      </w:pPr>
      <w:r>
        <w:t>N</w:t>
      </w:r>
      <w:r>
        <w:rPr>
          <w:rFonts w:eastAsia="宋体"/>
          <w:lang w:eastAsia="zh-CN"/>
        </w:rPr>
        <w:t>OTE</w:t>
      </w:r>
      <w:r>
        <w:t>: Ensure sections include the interface between the implanted material and host tissue.</w:t>
      </w:r>
    </w:p>
    <w:p w14:paraId="517E39CA">
      <w:pPr>
        <w:widowControl/>
        <w:contextualSpacing/>
      </w:pPr>
    </w:p>
    <w:p w14:paraId="727BD4BE">
      <w:pPr>
        <w:widowControl/>
        <w:numPr>
          <w:ilvl w:val="2"/>
          <w:numId w:val="1"/>
        </w:numPr>
        <w:ind w:left="0" w:firstLine="0"/>
        <w:contextualSpacing/>
        <w:rPr>
          <w:rFonts w:eastAsia="宋体"/>
          <w:lang w:eastAsia="zh-CN"/>
        </w:rPr>
      </w:pPr>
      <w:r>
        <w:rPr>
          <w:rFonts w:eastAsia="宋体"/>
          <w:lang w:eastAsia="zh-CN"/>
        </w:rPr>
        <w:t xml:space="preserve">Perform hematoxylin-eosin (H&amp;E) and Masson’s trichrome staining using commercially available kits (see </w:t>
      </w:r>
      <w:r>
        <w:rPr>
          <w:rFonts w:eastAsia="宋体"/>
          <w:b/>
          <w:bCs/>
          <w:lang w:eastAsia="zh-CN"/>
        </w:rPr>
        <w:t>Table of Materials</w:t>
      </w:r>
      <w:r>
        <w:rPr>
          <w:rFonts w:eastAsia="宋体"/>
          <w:lang w:eastAsia="zh-CN"/>
        </w:rPr>
        <w:t>). Carry out all procedures strictly according to the manufacturer’s standard protocols without any deviations. Observe defect site healing by histopathology.</w:t>
      </w:r>
    </w:p>
    <w:p w14:paraId="139D7F7A">
      <w:pPr>
        <w:widowControl/>
        <w:contextualSpacing/>
        <w:rPr>
          <w:rFonts w:eastAsia="宋体"/>
          <w:lang w:eastAsia="zh-CN"/>
        </w:rPr>
      </w:pPr>
    </w:p>
    <w:p w14:paraId="1C3027F1">
      <w:pPr>
        <w:widowControl/>
        <w:contextualSpacing/>
        <w:rPr>
          <w:rFonts w:eastAsia="宋体"/>
          <w:lang w:eastAsia="zh-CN"/>
        </w:rPr>
      </w:pPr>
      <w:r>
        <w:rPr>
          <w:rFonts w:eastAsia="宋体"/>
          <w:lang w:eastAsia="zh-CN"/>
        </w:rPr>
        <w:t>CAUTION: Dispose of staining solutions and contaminated consumables in accordance with institutional biosafety and hazardous waste disposal protocols.</w:t>
      </w:r>
    </w:p>
    <w:p w14:paraId="7E78FA00">
      <w:pPr>
        <w:widowControl/>
        <w:contextualSpacing/>
      </w:pPr>
    </w:p>
    <w:p w14:paraId="021BCDB6">
      <w:pPr>
        <w:widowControl/>
        <w:numPr>
          <w:ilvl w:val="1"/>
          <w:numId w:val="1"/>
        </w:numPr>
        <w:ind w:left="0" w:firstLine="0"/>
        <w:contextualSpacing/>
        <w:rPr>
          <w:rFonts w:eastAsia="宋体"/>
          <w:lang w:eastAsia="zh-CN"/>
        </w:rPr>
      </w:pPr>
      <w:r>
        <w:rPr>
          <w:rFonts w:eastAsia="宋体"/>
          <w:lang w:eastAsia="zh-CN"/>
        </w:rPr>
        <w:t xml:space="preserve">Immunofluorescent (IF) staining </w:t>
      </w:r>
    </w:p>
    <w:p w14:paraId="7FAF6E65">
      <w:pPr>
        <w:widowControl/>
        <w:contextualSpacing/>
        <w:rPr>
          <w:rFonts w:eastAsia="宋体"/>
          <w:lang w:eastAsia="zh-CN"/>
        </w:rPr>
      </w:pPr>
    </w:p>
    <w:p w14:paraId="082B0A24">
      <w:pPr>
        <w:widowControl/>
        <w:numPr>
          <w:ilvl w:val="2"/>
          <w:numId w:val="1"/>
        </w:numPr>
        <w:ind w:left="0" w:firstLine="0"/>
        <w:contextualSpacing/>
        <w:rPr>
          <w:rFonts w:eastAsia="宋体"/>
          <w:lang w:eastAsia="zh-CN"/>
        </w:rPr>
      </w:pPr>
      <w:r>
        <w:rPr>
          <w:rFonts w:eastAsia="宋体"/>
          <w:lang w:eastAsia="zh-CN"/>
        </w:rPr>
        <w:t xml:space="preserve">Deparaffinize and rehydrate 6 </w:t>
      </w:r>
      <w:r>
        <w:rPr>
          <w:bCs/>
          <w:lang w:eastAsia="zh-CN"/>
        </w:rPr>
        <w:t>μ</w:t>
      </w:r>
      <w:r>
        <w:rPr>
          <w:rFonts w:eastAsia="宋体"/>
          <w:lang w:eastAsia="zh-CN"/>
        </w:rPr>
        <w:t>m-thick paraffin sections using a series of xylene and graded ethanol solutions.</w:t>
      </w:r>
    </w:p>
    <w:p w14:paraId="7630AB6A">
      <w:pPr>
        <w:widowControl/>
        <w:contextualSpacing/>
        <w:rPr>
          <w:rFonts w:eastAsia="宋体"/>
          <w:lang w:eastAsia="zh-CN"/>
        </w:rPr>
      </w:pPr>
    </w:p>
    <w:p w14:paraId="442D0562">
      <w:pPr>
        <w:widowControl/>
        <w:contextualSpacing/>
        <w:rPr>
          <w:rFonts w:eastAsia="宋体"/>
          <w:lang w:eastAsia="zh-CN"/>
        </w:rPr>
      </w:pPr>
      <w:r>
        <w:rPr>
          <w:rFonts w:eastAsia="宋体"/>
          <w:lang w:eastAsia="zh-CN"/>
        </w:rPr>
        <w:t>CAUTION: Xylene is flammable and toxic. Handle xylene in a fume hood while wearing gloves, a lab coat, and safety goggles. Collect waste solvents separately in chemical waste containers for appropriate disposal.</w:t>
      </w:r>
    </w:p>
    <w:p w14:paraId="0E344E75">
      <w:pPr>
        <w:widowControl/>
        <w:contextualSpacing/>
        <w:rPr>
          <w:rFonts w:eastAsia="宋体"/>
          <w:lang w:eastAsia="zh-CN"/>
        </w:rPr>
      </w:pPr>
    </w:p>
    <w:p w14:paraId="07B2876B">
      <w:pPr>
        <w:widowControl/>
        <w:numPr>
          <w:ilvl w:val="2"/>
          <w:numId w:val="1"/>
        </w:numPr>
        <w:ind w:left="0" w:firstLine="0"/>
        <w:contextualSpacing/>
        <w:rPr>
          <w:rFonts w:eastAsia="宋体"/>
          <w:lang w:eastAsia="zh-CN"/>
        </w:rPr>
      </w:pPr>
      <w:r>
        <w:rPr>
          <w:rFonts w:eastAsia="宋体"/>
          <w:lang w:eastAsia="zh-CN"/>
        </w:rPr>
        <w:t>Perform antigen retrieval by incubating the slides in citrate buffer (pH 6.0) at 95–100 °C for 15–20 min. Allow the slides to cool naturally to room temperature.</w:t>
      </w:r>
    </w:p>
    <w:p w14:paraId="6701CE17">
      <w:pPr>
        <w:widowControl/>
        <w:contextualSpacing/>
        <w:rPr>
          <w:rFonts w:eastAsia="宋体"/>
          <w:lang w:eastAsia="zh-CN"/>
        </w:rPr>
      </w:pPr>
    </w:p>
    <w:p w14:paraId="4B4C275D">
      <w:pPr>
        <w:widowControl/>
        <w:numPr>
          <w:ilvl w:val="2"/>
          <w:numId w:val="1"/>
        </w:numPr>
        <w:ind w:left="0" w:firstLine="0"/>
        <w:contextualSpacing/>
        <w:rPr>
          <w:rFonts w:eastAsia="宋体"/>
          <w:lang w:eastAsia="zh-CN"/>
        </w:rPr>
      </w:pPr>
      <w:r>
        <w:rPr>
          <w:rFonts w:eastAsia="宋体"/>
          <w:lang w:eastAsia="zh-CN"/>
        </w:rPr>
        <w:t>Wash the sections with phosphate-buffered saline (PBS) for 5 min and treat the sections with 0.1% Triton X-100 in PBS for 20 min to facilitate antibody penetration. Then block non-specific binding sites with 5% bovine serum albumin (BSA) in PBS for 1 h at room temperature.</w:t>
      </w:r>
    </w:p>
    <w:p w14:paraId="438F00EA">
      <w:pPr>
        <w:widowControl/>
        <w:contextualSpacing/>
        <w:rPr>
          <w:rFonts w:eastAsia="宋体"/>
          <w:lang w:eastAsia="zh-CN"/>
        </w:rPr>
      </w:pPr>
    </w:p>
    <w:p w14:paraId="6022DA96">
      <w:pPr>
        <w:widowControl/>
        <w:contextualSpacing/>
        <w:rPr>
          <w:rFonts w:eastAsia="宋体"/>
          <w:lang w:eastAsia="zh-CN"/>
        </w:rPr>
      </w:pPr>
      <w:r>
        <w:rPr>
          <w:rFonts w:eastAsia="宋体"/>
          <w:lang w:eastAsia="zh-CN"/>
        </w:rPr>
        <w:t>CAUTION: Triton X-100 is an irritant; handle with gloves, a lab coat, and safety goggles in a ventilated area. Dispose of Triton X-100 solutions as chemical waste in designated containers. For all procedures, solutions that have come into contact with tissue sections, such as BSA and PBS, should be regarded as biological waste and must be collected and disposed of in accordance with institutional biosafety protocols.</w:t>
      </w:r>
    </w:p>
    <w:p w14:paraId="34289492">
      <w:pPr>
        <w:widowControl/>
        <w:contextualSpacing/>
        <w:rPr>
          <w:rFonts w:eastAsia="宋体"/>
          <w:lang w:eastAsia="zh-CN"/>
        </w:rPr>
      </w:pPr>
    </w:p>
    <w:p w14:paraId="13D863FB">
      <w:pPr>
        <w:widowControl/>
        <w:numPr>
          <w:ilvl w:val="2"/>
          <w:numId w:val="1"/>
        </w:numPr>
        <w:ind w:left="0" w:firstLine="0"/>
        <w:contextualSpacing/>
        <w:rPr>
          <w:rFonts w:eastAsia="宋体"/>
          <w:lang w:eastAsia="zh-CN"/>
        </w:rPr>
      </w:pPr>
      <w:r>
        <w:rPr>
          <w:rFonts w:eastAsia="宋体"/>
          <w:lang w:eastAsia="zh-CN"/>
        </w:rPr>
        <w:t>Incubate the sections with primary antibodies</w:t>
      </w:r>
      <w:bookmarkStart w:id="23" w:name="_Hlk211023666"/>
      <w:r>
        <w:rPr>
          <w:rFonts w:eastAsia="宋体"/>
          <w:lang w:eastAsia="zh-CN"/>
        </w:rPr>
        <w:t xml:space="preserve"> (anti-</w:t>
      </w:r>
      <w:bookmarkStart w:id="24" w:name="_Hlk211023698"/>
      <w:r>
        <w:rPr>
          <w:rFonts w:eastAsia="宋体"/>
          <w:lang w:eastAsia="zh-CN"/>
        </w:rPr>
        <w:t>Piezo type mechanosensitive ion channel component 1 (Piezo1)</w:t>
      </w:r>
      <w:bookmarkEnd w:id="24"/>
      <w:r>
        <w:rPr>
          <w:rFonts w:eastAsia="宋体"/>
          <w:lang w:eastAsia="zh-CN"/>
        </w:rPr>
        <w:t>, diluted 1:200; anti-leptin receptor (LepR), diluted 1:50) in antibody dilution buffer. Apply 50 µL of diluted antibody solution to each section and incubate for 12–18 h at 4 °C in the dark in a humidified chamber.</w:t>
      </w:r>
      <w:bookmarkEnd w:id="23"/>
    </w:p>
    <w:p w14:paraId="6F805DD6">
      <w:pPr>
        <w:widowControl/>
        <w:contextualSpacing/>
        <w:rPr>
          <w:rFonts w:eastAsia="宋体"/>
          <w:lang w:eastAsia="zh-CN"/>
        </w:rPr>
      </w:pPr>
    </w:p>
    <w:p w14:paraId="2A9CC9CA">
      <w:pPr>
        <w:widowControl/>
        <w:numPr>
          <w:ilvl w:val="2"/>
          <w:numId w:val="1"/>
        </w:numPr>
        <w:ind w:left="0" w:firstLine="0"/>
        <w:contextualSpacing/>
        <w:rPr>
          <w:rFonts w:eastAsia="宋体"/>
          <w:lang w:eastAsia="zh-CN"/>
        </w:rPr>
      </w:pPr>
      <w:r>
        <w:rPr>
          <w:rFonts w:eastAsia="宋体"/>
          <w:lang w:eastAsia="zh-CN"/>
        </w:rPr>
        <w:t>Wash the slides with PBS (3 × 5 min), then incubate them with fluorophore-conjugated secondary antibodies (diluted 1:200). Apply 50 µL of diluted antibody solution to each section and incubate for 2 h at room temperature in the dark in a humidified chamber.</w:t>
      </w:r>
    </w:p>
    <w:p w14:paraId="5BF6055A">
      <w:pPr>
        <w:widowControl/>
        <w:contextualSpacing/>
        <w:rPr>
          <w:rFonts w:eastAsia="宋体"/>
          <w:lang w:eastAsia="zh-CN"/>
        </w:rPr>
      </w:pPr>
    </w:p>
    <w:p w14:paraId="083825AA">
      <w:pPr>
        <w:widowControl/>
        <w:numPr>
          <w:ilvl w:val="2"/>
          <w:numId w:val="1"/>
        </w:numPr>
        <w:ind w:left="0" w:firstLine="0"/>
        <w:contextualSpacing/>
        <w:rPr>
          <w:rFonts w:eastAsia="宋体"/>
          <w:lang w:eastAsia="zh-CN"/>
        </w:rPr>
      </w:pPr>
      <w:r>
        <w:rPr>
          <w:rFonts w:eastAsia="宋体"/>
          <w:lang w:eastAsia="zh-CN"/>
        </w:rPr>
        <w:t>Rinse the slides again in PBS (3 × 5 min), then counterstain nuclei with 4’,6-diamidino-2-phenylindole (DAPI) (diluted 1:50) for 5 min.</w:t>
      </w:r>
    </w:p>
    <w:p w14:paraId="6D09A7AC">
      <w:pPr>
        <w:widowControl/>
        <w:contextualSpacing/>
        <w:rPr>
          <w:rFonts w:eastAsia="宋体"/>
          <w:lang w:eastAsia="zh-CN"/>
        </w:rPr>
      </w:pPr>
    </w:p>
    <w:p w14:paraId="2672652D">
      <w:pPr>
        <w:widowControl/>
        <w:numPr>
          <w:ilvl w:val="2"/>
          <w:numId w:val="1"/>
        </w:numPr>
        <w:ind w:left="0" w:firstLine="0"/>
        <w:contextualSpacing/>
        <w:rPr>
          <w:rFonts w:eastAsia="宋体"/>
          <w:lang w:eastAsia="zh-CN"/>
        </w:rPr>
      </w:pPr>
      <w:bookmarkStart w:id="25" w:name="OLE_LINK11"/>
      <w:r>
        <w:rPr>
          <w:rFonts w:eastAsia="宋体"/>
          <w:lang w:eastAsia="zh-CN"/>
        </w:rPr>
        <w:t>Mount the sections with antifade mounting medium and cover with a coverslip.</w:t>
      </w:r>
    </w:p>
    <w:p w14:paraId="0DA03436">
      <w:pPr>
        <w:widowControl/>
        <w:contextualSpacing/>
        <w:rPr>
          <w:rFonts w:eastAsia="宋体"/>
          <w:lang w:eastAsia="zh-CN"/>
        </w:rPr>
      </w:pPr>
    </w:p>
    <w:p w14:paraId="55FFAC52">
      <w:pPr>
        <w:widowControl/>
        <w:numPr>
          <w:ilvl w:val="2"/>
          <w:numId w:val="1"/>
        </w:numPr>
        <w:ind w:left="0" w:firstLine="0"/>
        <w:contextualSpacing/>
        <w:rPr>
          <w:rFonts w:eastAsia="宋体"/>
          <w:lang w:eastAsia="zh-CN"/>
        </w:rPr>
      </w:pPr>
      <w:bookmarkStart w:id="26" w:name="OLE_LINK20"/>
      <w:r>
        <w:rPr>
          <w:rFonts w:eastAsia="宋体"/>
          <w:lang w:eastAsia="zh-CN"/>
        </w:rPr>
        <w:t>Visualize and capture images using a laser scanning confocal microscope with appropriate filter settings.</w:t>
      </w:r>
    </w:p>
    <w:bookmarkEnd w:id="25"/>
    <w:bookmarkEnd w:id="26"/>
    <w:p w14:paraId="4C82A22D">
      <w:pPr>
        <w:rPr>
          <w:b/>
          <w:lang w:eastAsia="zh-CN"/>
        </w:rPr>
      </w:pPr>
    </w:p>
    <w:p w14:paraId="4A9470C3">
      <w:r>
        <w:rPr>
          <w:b/>
        </w:rPr>
        <w:t xml:space="preserve">REPRESENTATIVE RESULTS: </w:t>
      </w:r>
    </w:p>
    <w:p w14:paraId="3BB6CF91">
      <w:pPr>
        <w:rPr>
          <w:lang w:eastAsia="zh-CN"/>
        </w:rPr>
      </w:pPr>
      <w:r>
        <w:rPr>
          <w:lang w:eastAsia="zh-CN"/>
        </w:rPr>
        <w:t xml:space="preserve">In this study, the </w:t>
      </w:r>
      <w:r>
        <w:rPr>
          <w:bCs/>
          <w:lang w:eastAsia="zh-CN"/>
        </w:rPr>
        <w:t>half-segmental diaphyseal bone defect model in rats was established through drilling a defect measuring 4 mm in length and 1.5 mm in radius at the femoral midshaft with a flat-ended cylindrical specific dental diamond bur (</w:t>
      </w:r>
      <w:r>
        <w:rPr>
          <w:rFonts w:eastAsia="宋体"/>
          <w:b/>
          <w:bCs/>
          <w:lang w:eastAsia="zh-CN"/>
        </w:rPr>
        <w:t>Figure 2A</w:t>
      </w:r>
      <w:r>
        <w:rPr>
          <w:bCs/>
          <w:lang w:eastAsia="zh-CN"/>
        </w:rPr>
        <w:t>). To demonstrate the model’s capability of testing materials’ mechanical and biological performance, we set two comparison groups, with defects implanted with either GelMA hydrogels or 3DP-PMMA (</w:t>
      </w:r>
      <w:r>
        <w:rPr>
          <w:b/>
          <w:lang w:eastAsia="zh-CN"/>
        </w:rPr>
        <w:t xml:space="preserve">Figure 3, Figure 4, </w:t>
      </w:r>
      <w:r>
        <w:rPr>
          <w:bCs/>
          <w:lang w:eastAsia="zh-CN"/>
        </w:rPr>
        <w:t xml:space="preserve">and </w:t>
      </w:r>
      <w:r>
        <w:rPr>
          <w:b/>
          <w:lang w:eastAsia="zh-CN"/>
        </w:rPr>
        <w:t>Figure 5</w:t>
      </w:r>
      <w:r>
        <w:rPr>
          <w:bCs/>
          <w:lang w:eastAsia="zh-CN"/>
        </w:rPr>
        <w:t>).</w:t>
      </w:r>
      <w:r>
        <w:rPr>
          <w:lang w:eastAsia="zh-CN"/>
        </w:rPr>
        <w:t xml:space="preserve"> The GelMA hydrogel is characterized by poor mechanical strength and suboptimal osteogenic capacity, while </w:t>
      </w:r>
      <w:r>
        <w:t>3DP-PMMA</w:t>
      </w:r>
      <w:r>
        <w:rPr>
          <w:lang w:eastAsia="zh-CN"/>
        </w:rPr>
        <w:t xml:space="preserve"> is hypothesized to possess reliable</w:t>
      </w:r>
      <w:r>
        <w:t xml:space="preserve"> load-bearing </w:t>
      </w:r>
      <w:r>
        <w:rPr>
          <w:lang w:eastAsia="zh-CN"/>
        </w:rPr>
        <w:t xml:space="preserve">capacity </w:t>
      </w:r>
      <w:r>
        <w:t>and</w:t>
      </w:r>
      <w:r>
        <w:rPr>
          <w:lang w:eastAsia="zh-CN"/>
        </w:rPr>
        <w:t xml:space="preserve"> effective</w:t>
      </w:r>
      <w:r>
        <w:t xml:space="preserve"> stress-transmitting </w:t>
      </w:r>
      <w:r>
        <w:rPr>
          <w:lang w:eastAsia="zh-CN"/>
        </w:rPr>
        <w:t>properties</w:t>
      </w:r>
      <w:r>
        <w:rPr>
          <w:vertAlign w:val="superscript"/>
        </w:rPr>
        <w:t>15,16</w:t>
      </w:r>
      <w:r>
        <w:t>.</w:t>
      </w:r>
      <w:r>
        <w:rPr>
          <w:lang w:eastAsia="zh-CN"/>
        </w:rPr>
        <w:t xml:space="preserve"> In the GelMA group, half of the animals developed complete fractures shortly after surgery and were excluded from further analysis, while the remaining three consistently exhibited malunion without normal bone healing. By contrast, all six animals in the 3D-printed PMMA group survived and achieved stable union, with no fractures or malunions observed.</w:t>
      </w:r>
    </w:p>
    <w:p w14:paraId="6F45C8A3">
      <w:pPr>
        <w:rPr>
          <w:lang w:eastAsia="zh-CN"/>
        </w:rPr>
      </w:pPr>
    </w:p>
    <w:p w14:paraId="632F02AF">
      <w:pPr>
        <w:rPr>
          <w:bCs/>
          <w:lang w:eastAsia="zh-CN"/>
        </w:rPr>
      </w:pPr>
      <w:bookmarkStart w:id="27" w:name="OLE_LINK21"/>
      <w:r>
        <w:rPr>
          <w:bCs/>
          <w:lang w:eastAsia="zh-CN"/>
        </w:rPr>
        <w:t xml:space="preserve">Samples were collected 4 weeks after material implantation to track the progression of bone healing. </w:t>
      </w:r>
      <w:bookmarkStart w:id="28" w:name="OLE_LINK12"/>
      <w:r>
        <w:rPr>
          <w:bCs/>
          <w:lang w:eastAsia="zh-CN"/>
        </w:rPr>
        <w:t>By week 4, organized lamellar bone with enhanced mechanical strength begins to replace the initial, disorganized woven bone</w:t>
      </w:r>
      <w:r>
        <w:rPr>
          <w:vertAlign w:val="superscript"/>
        </w:rPr>
        <w:t>17</w:t>
      </w:r>
      <w:r>
        <w:rPr>
          <w:bCs/>
          <w:lang w:eastAsia="zh-CN"/>
        </w:rPr>
        <w:t>. For implanted bone substitutes, this time point corresponds to the peak anabolic phase, characterized by the highest osteoblast activity and bone matrix deposition</w:t>
      </w:r>
      <w:r>
        <w:rPr>
          <w:vertAlign w:val="superscript"/>
        </w:rPr>
        <w:t>18</w:t>
      </w:r>
      <w:r>
        <w:rPr>
          <w:bCs/>
          <w:lang w:eastAsia="zh-CN"/>
        </w:rPr>
        <w:t xml:space="preserve">. </w:t>
      </w:r>
      <w:bookmarkEnd w:id="28"/>
      <w:r>
        <w:rPr>
          <w:bCs/>
          <w:lang w:eastAsia="zh-CN"/>
        </w:rPr>
        <w:t>This stage is critical for evaluating the materials’ biomechanical load-bearing capacity, biocompatibility, osteogenic potential, and integration with host bone. Thus, we primarily demonstrated representative reconstructed 3D models, X-ray projection images, and longitudinal and cross-sectional views collected at week 4 post-operatively (</w:t>
      </w:r>
      <w:r>
        <w:rPr>
          <w:b/>
          <w:lang w:eastAsia="zh-CN"/>
        </w:rPr>
        <w:t>Figure 3</w:t>
      </w:r>
      <w:r>
        <w:rPr>
          <w:bCs/>
          <w:lang w:eastAsia="zh-CN"/>
        </w:rPr>
        <w:t>). Results of μCT suggested that the femur with GelMA hydrogel implantation showed unsatisfactory morphological restoration.</w:t>
      </w:r>
      <w:r>
        <w:t xml:space="preserve"> </w:t>
      </w:r>
      <w:r>
        <w:rPr>
          <w:bCs/>
          <w:lang w:eastAsia="zh-CN"/>
        </w:rPr>
        <w:t>The defect area remained concave and failed to regain the original contour of the femoral surface (</w:t>
      </w:r>
      <w:r>
        <w:rPr>
          <w:b/>
          <w:lang w:eastAsia="zh-CN"/>
        </w:rPr>
        <w:t>Figure 3A1–3</w:t>
      </w:r>
      <w:r>
        <w:rPr>
          <w:bCs/>
          <w:lang w:eastAsia="zh-CN"/>
        </w:rPr>
        <w:t>). Extensive ectopic ossification within the medullary cavity was observed in both the longitudinal and cross-sectional views (</w:t>
      </w:r>
      <w:r>
        <w:rPr>
          <w:b/>
          <w:lang w:eastAsia="zh-CN"/>
        </w:rPr>
        <w:t>Figure 3A4–5</w:t>
      </w:r>
      <w:r>
        <w:rPr>
          <w:bCs/>
          <w:lang w:eastAsia="zh-CN"/>
        </w:rPr>
        <w:t>). The femur in the 3DP-PMMA implantation group exhibited a healing morphology resembling a normal bone. The defect area was supported by newly formed bone, which aligned well with the cortical bone on both sides of the defect. There was relatively little extensive ectopic ossification observed with 3DP-PMMA implantation (</w:t>
      </w:r>
      <w:r>
        <w:rPr>
          <w:b/>
          <w:lang w:eastAsia="zh-CN"/>
        </w:rPr>
        <w:t>Figure 3B</w:t>
      </w:r>
      <w:r>
        <w:rPr>
          <w:bCs/>
          <w:lang w:eastAsia="zh-CN"/>
        </w:rPr>
        <w:t>).</w:t>
      </w:r>
    </w:p>
    <w:bookmarkEnd w:id="27"/>
    <w:p w14:paraId="1D86DBF4">
      <w:pPr>
        <w:rPr>
          <w:bCs/>
          <w:lang w:eastAsia="zh-CN"/>
        </w:rPr>
      </w:pPr>
    </w:p>
    <w:p w14:paraId="59B0D417">
      <w:pPr>
        <w:rPr>
          <w:bCs/>
          <w:lang w:eastAsia="zh-CN"/>
        </w:rPr>
      </w:pPr>
      <w:r>
        <w:rPr>
          <w:bCs/>
          <w:lang w:eastAsia="zh-CN"/>
        </w:rPr>
        <w:t>Moreover, histological analysis of samples collected at 4 weeks post-operation, including H&amp;E and Masson's trichrome staining, revealed the morphology and tissue composition of the defect sites (</w:t>
      </w:r>
      <w:r>
        <w:rPr>
          <w:b/>
          <w:lang w:eastAsia="zh-CN"/>
        </w:rPr>
        <w:t>Figure 4</w:t>
      </w:r>
      <w:r>
        <w:rPr>
          <w:bCs/>
          <w:lang w:eastAsia="zh-CN"/>
        </w:rPr>
        <w:t>).</w:t>
      </w:r>
      <w:r>
        <w:t xml:space="preserve"> </w:t>
      </w:r>
      <w:r>
        <w:rPr>
          <w:bCs/>
          <w:lang w:eastAsia="zh-CN"/>
        </w:rPr>
        <w:t>In the GelMA hydrogel group, abundant fibrous tissue was observed within the defect (</w:t>
      </w:r>
      <w:r>
        <w:rPr>
          <w:b/>
          <w:lang w:eastAsia="zh-CN"/>
        </w:rPr>
        <w:t>Figure 4A</w:t>
      </w:r>
      <w:r>
        <w:rPr>
          <w:bCs/>
          <w:lang w:eastAsia="zh-CN"/>
        </w:rPr>
        <w:t>), and dense ectopic bone formation was noted beneath it, adjacent to the medullary cavity. This ectopic bone, which nearly occluded the medullary space, appeared dark blue in Masson's trichrome staining, while the lighter blue regions corresponded to fibrous connective tissue (</w:t>
      </w:r>
      <w:r>
        <w:rPr>
          <w:b/>
          <w:lang w:eastAsia="zh-CN"/>
        </w:rPr>
        <w:t>Figure 4B</w:t>
      </w:r>
      <w:r>
        <w:rPr>
          <w:bCs/>
          <w:lang w:eastAsia="zh-CN"/>
        </w:rPr>
        <w:t xml:space="preserve">). Due to the malunion pattern in the GelMA group, the original defect boundaries could not be clearly delineated, and the space that was initially filled with hydrogel was largely replaced by </w:t>
      </w:r>
      <w:bookmarkStart w:id="29" w:name="_Hlk210653415"/>
      <w:r>
        <w:rPr>
          <w:bCs/>
          <w:lang w:eastAsia="zh-CN"/>
        </w:rPr>
        <w:t xml:space="preserve">inflammatory tissue, </w:t>
      </w:r>
      <w:bookmarkEnd w:id="29"/>
      <w:r>
        <w:rPr>
          <w:bCs/>
          <w:lang w:eastAsia="zh-CN"/>
        </w:rPr>
        <w:t>disorganized fibrous tissue, and ectopic bone tissues. No formation or continuity of periosteum was detected on the outer surface of the implanted material, and no newly formed cortical bone was observed along the defect margins or the fibrous healing surface. In contrast, the 3DP-PMMA group exhibited more favorable healing outcomes. Newly formed bone was found growing along the blank space originally occupied by the 3D-printed scaffold, showing a tendency to connect with the original cortical bone on both sides of the defect. Continuous light blue mineralized fibers were present on the outer surface of the implanted material, indicating periosteal bone formation covering the defect surface. A thin layer of blue-stained new bone was also seen on the inner surface of the implant, beneath which normal bone marrow tissue was observed, suggesting the absence of significant ectopic ossification in the medullary cavity (</w:t>
      </w:r>
      <w:r>
        <w:rPr>
          <w:b/>
          <w:lang w:eastAsia="zh-CN"/>
        </w:rPr>
        <w:t>Figure 4B</w:t>
      </w:r>
      <w:r>
        <w:rPr>
          <w:bCs/>
          <w:lang w:eastAsia="zh-CN"/>
        </w:rPr>
        <w:t>).</w:t>
      </w:r>
    </w:p>
    <w:p w14:paraId="6FC555E3">
      <w:pPr>
        <w:rPr>
          <w:bCs/>
          <w:lang w:eastAsia="zh-CN"/>
        </w:rPr>
      </w:pPr>
    </w:p>
    <w:p w14:paraId="007CD603">
      <w:pPr>
        <w:rPr>
          <w:bCs/>
          <w:lang w:eastAsia="zh-CN"/>
        </w:rPr>
      </w:pPr>
      <w:r>
        <w:rPr>
          <w:bCs/>
          <w:lang w:eastAsia="zh-CN"/>
        </w:rPr>
        <w:t>Piezo1 plays a pivotal role in translating mechanical stimuli into biochemical signals, thereby regulating bone formation</w:t>
      </w:r>
      <w:r>
        <w:rPr>
          <w:vertAlign w:val="superscript"/>
        </w:rPr>
        <w:t>19</w:t>
      </w:r>
      <w:r>
        <w:rPr>
          <w:bCs/>
          <w:lang w:eastAsia="zh-CN"/>
        </w:rPr>
        <w:t>. The expression of Piezo1 in cells adjacent to implanted biomaterials indicates the material's capacity to transmit mechanical loads and stimulate mechanotransduction pathways</w:t>
      </w:r>
      <w:r>
        <w:rPr>
          <w:vertAlign w:val="superscript"/>
        </w:rPr>
        <w:t>20</w:t>
      </w:r>
      <w:r>
        <w:rPr>
          <w:bCs/>
          <w:lang w:eastAsia="zh-CN"/>
        </w:rPr>
        <w:t>. LepR marks a subset of bone marrow-derived mesenchymal stromal cells (BMSCs) that serve as primary progenitors for osteoblasts in adult bone</w:t>
      </w:r>
      <w:r>
        <w:rPr>
          <w:vertAlign w:val="superscript"/>
        </w:rPr>
        <w:t>21</w:t>
      </w:r>
      <w:r>
        <w:rPr>
          <w:bCs/>
          <w:lang w:eastAsia="zh-CN"/>
        </w:rPr>
        <w:t>. The recruitment and differentiation of LepR⁺ BMSCs at the implantation site reflect the material's ability to attract endogenous stem cells, highlighting its osteoinductive potential and biocompatibility. At week 4, IF staining for Piezo1</w:t>
      </w:r>
      <w:r>
        <w:rPr>
          <w:bCs/>
          <w:vertAlign w:val="superscript"/>
          <w:lang w:eastAsia="zh-CN"/>
        </w:rPr>
        <w:t>+</w:t>
      </w:r>
      <w:r>
        <w:rPr>
          <w:bCs/>
          <w:lang w:eastAsia="zh-CN"/>
        </w:rPr>
        <w:t xml:space="preserve"> and LepR</w:t>
      </w:r>
      <w:r>
        <w:rPr>
          <w:bCs/>
          <w:vertAlign w:val="superscript"/>
          <w:lang w:eastAsia="zh-CN"/>
        </w:rPr>
        <w:t>+</w:t>
      </w:r>
      <w:r>
        <w:rPr>
          <w:bCs/>
          <w:lang w:eastAsia="zh-CN"/>
        </w:rPr>
        <w:t xml:space="preserve"> cells at the defect sites illustrated the healing process, highlighting distinct cellular responses elicited by the two materials (</w:t>
      </w:r>
      <w:r>
        <w:rPr>
          <w:b/>
          <w:lang w:eastAsia="zh-CN"/>
        </w:rPr>
        <w:t>Figure 5A</w:t>
      </w:r>
      <w:r>
        <w:rPr>
          <w:bCs/>
          <w:lang w:eastAsia="zh-CN"/>
        </w:rPr>
        <w:t xml:space="preserve">). After four weeks of GelMA implantation, only a few </w:t>
      </w:r>
      <w:bookmarkStart w:id="30" w:name="OLE_LINK13"/>
      <w:r>
        <w:rPr>
          <w:bCs/>
          <w:lang w:eastAsia="zh-CN"/>
        </w:rPr>
        <w:t>Piezo1</w:t>
      </w:r>
      <w:r>
        <w:rPr>
          <w:bCs/>
          <w:vertAlign w:val="superscript"/>
          <w:lang w:eastAsia="zh-CN"/>
        </w:rPr>
        <w:t>+</w:t>
      </w:r>
      <w:r>
        <w:rPr>
          <w:bCs/>
          <w:lang w:eastAsia="zh-CN"/>
        </w:rPr>
        <w:t xml:space="preserve"> and LepR</w:t>
      </w:r>
      <w:bookmarkEnd w:id="30"/>
      <w:r>
        <w:rPr>
          <w:bCs/>
          <w:vertAlign w:val="superscript"/>
          <w:lang w:eastAsia="zh-CN"/>
        </w:rPr>
        <w:t>+</w:t>
      </w:r>
      <w:r>
        <w:rPr>
          <w:bCs/>
          <w:lang w:eastAsia="zh-CN"/>
        </w:rPr>
        <w:t xml:space="preserve"> cells were detected within the regenerated bone tissue near the defect area. In contrast, in the 3DP-PMMA group, numerous Piezo1</w:t>
      </w:r>
      <w:r>
        <w:rPr>
          <w:bCs/>
          <w:vertAlign w:val="superscript"/>
          <w:lang w:eastAsia="zh-CN"/>
        </w:rPr>
        <w:t>+</w:t>
      </w:r>
      <w:r>
        <w:rPr>
          <w:bCs/>
          <w:lang w:eastAsia="zh-CN"/>
        </w:rPr>
        <w:t xml:space="preserve"> cells responding to mechanical cues were observed within the newly formed bone, along with a substantial number of recruited LepR</w:t>
      </w:r>
      <w:r>
        <w:rPr>
          <w:bCs/>
          <w:vertAlign w:val="superscript"/>
          <w:lang w:eastAsia="zh-CN"/>
        </w:rPr>
        <w:t>+</w:t>
      </w:r>
      <w:r>
        <w:rPr>
          <w:bCs/>
          <w:lang w:eastAsia="zh-CN"/>
        </w:rPr>
        <w:t xml:space="preserve"> BMSCs actively participating in defect repair. Quantitative analysis further confirmed significant differences between the two groups (</w:t>
      </w:r>
      <w:r>
        <w:rPr>
          <w:b/>
          <w:lang w:eastAsia="zh-CN"/>
        </w:rPr>
        <w:t>Figure 5B</w:t>
      </w:r>
      <w:r>
        <w:rPr>
          <w:bCs/>
          <w:lang w:eastAsia="zh-CN"/>
        </w:rPr>
        <w:t>). The number of Piezo1</w:t>
      </w:r>
      <w:r>
        <w:rPr>
          <w:bCs/>
          <w:vertAlign w:val="superscript"/>
          <w:lang w:eastAsia="zh-CN"/>
        </w:rPr>
        <w:t>+</w:t>
      </w:r>
      <w:r>
        <w:rPr>
          <w:bCs/>
          <w:lang w:eastAsia="zh-CN"/>
        </w:rPr>
        <w:t xml:space="preserve"> and LepR</w:t>
      </w:r>
      <w:r>
        <w:rPr>
          <w:bCs/>
          <w:vertAlign w:val="superscript"/>
          <w:lang w:eastAsia="zh-CN"/>
        </w:rPr>
        <w:t>+</w:t>
      </w:r>
      <w:r>
        <w:rPr>
          <w:bCs/>
          <w:lang w:eastAsia="zh-CN"/>
        </w:rPr>
        <w:t xml:space="preserve"> cells was markedly higher in the 3DP-PMMA group compared with the GelMA group (p &lt; 0.0001, two-way ANOVA followed by Tukey’s post hoc tests). </w:t>
      </w:r>
    </w:p>
    <w:p w14:paraId="502ADDF9">
      <w:pPr>
        <w:rPr>
          <w:bCs/>
          <w:lang w:eastAsia="zh-CN"/>
        </w:rPr>
      </w:pPr>
    </w:p>
    <w:p w14:paraId="17926BBB">
      <w:r>
        <w:rPr>
          <w:b/>
        </w:rPr>
        <w:t>FIGURE LEGENDS:</w:t>
      </w:r>
      <w:r>
        <w:t xml:space="preserve"> </w:t>
      </w:r>
    </w:p>
    <w:p w14:paraId="2754B601">
      <w:pPr>
        <w:rPr>
          <w:lang w:eastAsia="zh-CN"/>
        </w:rPr>
      </w:pPr>
    </w:p>
    <w:p w14:paraId="673BB4CE">
      <w:pPr>
        <w:rPr>
          <w:lang w:eastAsia="zh-CN"/>
        </w:rPr>
      </w:pPr>
      <w:r>
        <w:rPr>
          <w:b/>
          <w:bCs/>
          <w:lang w:eastAsia="zh-CN"/>
        </w:rPr>
        <w:t>Figure 1: Surgical instruments.</w:t>
      </w:r>
      <w:r>
        <w:rPr>
          <w:lang w:eastAsia="zh-CN"/>
        </w:rPr>
        <w:t xml:space="preserve"> (</w:t>
      </w:r>
      <w:r>
        <w:rPr>
          <w:b/>
          <w:bCs/>
          <w:lang w:eastAsia="zh-CN"/>
        </w:rPr>
        <w:t>A</w:t>
      </w:r>
      <w:r>
        <w:rPr>
          <w:lang w:eastAsia="zh-CN"/>
        </w:rPr>
        <w:t xml:space="preserve">) The surgical items include: (1) curved forceps, (2) disposable sterile scalpel, (3) straight scissor, (4) periosteal elevator, (5) irrigation needle, (6) </w:t>
      </w:r>
      <w:r>
        <w:rPr>
          <w:bCs/>
          <w:lang w:eastAsia="zh-CN"/>
        </w:rPr>
        <w:t>flat-ended cylindrical specific dental diamond bur</w:t>
      </w:r>
      <w:r>
        <w:rPr>
          <w:lang w:eastAsia="zh-CN"/>
        </w:rPr>
        <w:t>, (7) high-speed handpiece, (8) vernier caliper, (9) surgical motor, (10) 4-0 monofilament suture, and (11) needle holder. (</w:t>
      </w:r>
      <w:r>
        <w:rPr>
          <w:b/>
          <w:bCs/>
          <w:lang w:eastAsia="zh-CN"/>
        </w:rPr>
        <w:t>B</w:t>
      </w:r>
      <w:r>
        <w:rPr>
          <w:lang w:eastAsia="zh-CN"/>
        </w:rPr>
        <w:t>) Enlarged view of the flat-ended cylindrical specific dental diamond bur.</w:t>
      </w:r>
    </w:p>
    <w:p w14:paraId="789434CC">
      <w:pPr>
        <w:rPr>
          <w:lang w:eastAsia="zh-CN"/>
        </w:rPr>
      </w:pPr>
    </w:p>
    <w:p w14:paraId="68BA80E0">
      <w:pPr>
        <w:rPr>
          <w:lang w:eastAsia="zh-CN"/>
        </w:rPr>
      </w:pPr>
      <w:r>
        <w:rPr>
          <w:b/>
          <w:bCs/>
          <w:lang w:eastAsia="zh-CN"/>
        </w:rPr>
        <w:t>Figure 2:</w:t>
      </w:r>
      <w:r>
        <w:rPr>
          <w:lang w:eastAsia="zh-CN"/>
        </w:rPr>
        <w:t xml:space="preserve"> </w:t>
      </w:r>
      <w:r>
        <w:rPr>
          <w:b/>
          <w:bCs/>
          <w:lang w:eastAsia="zh-CN"/>
        </w:rPr>
        <w:t>Establishment of the standardized load-bearing femoral defect model.</w:t>
      </w:r>
      <w:r>
        <w:rPr>
          <w:lang w:eastAsia="zh-CN"/>
        </w:rPr>
        <w:t xml:space="preserve"> (</w:t>
      </w:r>
      <w:r>
        <w:rPr>
          <w:b/>
          <w:bCs/>
          <w:lang w:eastAsia="zh-CN"/>
        </w:rPr>
        <w:t>A</w:t>
      </w:r>
      <w:r>
        <w:rPr>
          <w:lang w:eastAsia="zh-CN"/>
        </w:rPr>
        <w:t>) Schematic illustration of the semi-cylindrical femoral defect (4 mm in length and 1.5 mm in radius) and its anatomical location. The two implant materials are shown: GelMA hydrogel and 3D-printed PMMA scaffold. Pink arrows indicate relative osteogenic potential, and green columns indicate mechanical load-bearing strength. (</w:t>
      </w:r>
      <w:r>
        <w:rPr>
          <w:b/>
          <w:bCs/>
          <w:lang w:eastAsia="zh-CN"/>
        </w:rPr>
        <w:t>B</w:t>
      </w:r>
      <w:r>
        <w:rPr>
          <w:lang w:eastAsia="zh-CN"/>
        </w:rPr>
        <w:t>) Surgical procedure. (</w:t>
      </w:r>
      <w:r>
        <w:rPr>
          <w:b/>
          <w:bCs/>
          <w:lang w:eastAsia="zh-CN"/>
        </w:rPr>
        <w:t>a</w:t>
      </w:r>
      <w:r>
        <w:rPr>
          <w:lang w:eastAsia="zh-CN"/>
        </w:rPr>
        <w:t>) Position the rat in a lateral position. (</w:t>
      </w:r>
      <w:r>
        <w:rPr>
          <w:b/>
          <w:bCs/>
          <w:lang w:eastAsia="zh-CN"/>
        </w:rPr>
        <w:t>b</w:t>
      </w:r>
      <w:r>
        <w:rPr>
          <w:lang w:eastAsia="zh-CN"/>
        </w:rPr>
        <w:t>) Incise the skin overlying the femur. (</w:t>
      </w:r>
      <w:r>
        <w:rPr>
          <w:b/>
          <w:bCs/>
          <w:lang w:eastAsia="zh-CN"/>
        </w:rPr>
        <w:t>c</w:t>
      </w:r>
      <w:r>
        <w:rPr>
          <w:lang w:eastAsia="zh-CN"/>
        </w:rPr>
        <w:t xml:space="preserve">) Separate the rectus femoris and vastus lateralis muscles along the white fascia (yellow arrow in </w:t>
      </w:r>
      <w:r>
        <w:rPr>
          <w:b/>
          <w:bCs/>
          <w:lang w:eastAsia="zh-CN"/>
        </w:rPr>
        <w:t>b</w:t>
      </w:r>
      <w:r>
        <w:rPr>
          <w:lang w:eastAsia="zh-CN"/>
        </w:rPr>
        <w:t>). (</w:t>
      </w:r>
      <w:r>
        <w:rPr>
          <w:b/>
          <w:bCs/>
          <w:lang w:eastAsia="zh-CN"/>
        </w:rPr>
        <w:t>d</w:t>
      </w:r>
      <w:r>
        <w:rPr>
          <w:lang w:eastAsia="zh-CN"/>
        </w:rPr>
        <w:t>) Expose the attachment tendon (green arrow) on the lateral surface of the femur. (</w:t>
      </w:r>
      <w:r>
        <w:rPr>
          <w:b/>
          <w:bCs/>
          <w:lang w:eastAsia="zh-CN"/>
        </w:rPr>
        <w:t>e</w:t>
      </w:r>
      <w:r>
        <w:rPr>
          <w:lang w:eastAsia="zh-CN"/>
        </w:rPr>
        <w:t>) Incise the tendon. (</w:t>
      </w:r>
      <w:r>
        <w:rPr>
          <w:b/>
          <w:bCs/>
          <w:lang w:eastAsia="zh-CN"/>
        </w:rPr>
        <w:t>f</w:t>
      </w:r>
      <w:r>
        <w:rPr>
          <w:lang w:eastAsia="zh-CN"/>
        </w:rPr>
        <w:t>) Perform a blunt dissection of the muscle to reach the femoral surface with a periosteal elevator. (</w:t>
      </w:r>
      <w:r>
        <w:rPr>
          <w:b/>
          <w:bCs/>
          <w:lang w:eastAsia="zh-CN"/>
        </w:rPr>
        <w:t>g</w:t>
      </w:r>
      <w:r>
        <w:rPr>
          <w:lang w:eastAsia="zh-CN"/>
        </w:rPr>
        <w:t>) Expose the midshaft of the femur and stabilize it with forceps. (</w:t>
      </w:r>
      <w:r>
        <w:rPr>
          <w:b/>
          <w:bCs/>
          <w:lang w:eastAsia="zh-CN"/>
        </w:rPr>
        <w:t>h</w:t>
      </w:r>
      <w:r>
        <w:rPr>
          <w:lang w:eastAsia="zh-CN"/>
        </w:rPr>
        <w:t>) Create the defect with a flat-tipped cylindrical diamond bur. (</w:t>
      </w:r>
      <w:r>
        <w:rPr>
          <w:b/>
          <w:bCs/>
          <w:lang w:eastAsia="zh-CN"/>
        </w:rPr>
        <w:t>i</w:t>
      </w:r>
      <w:r>
        <w:rPr>
          <w:lang w:eastAsia="zh-CN"/>
        </w:rPr>
        <w:t>) Create a defect measuring 4 mm in length and 1.5 mm in radius. (</w:t>
      </w:r>
      <w:r>
        <w:rPr>
          <w:b/>
          <w:bCs/>
          <w:lang w:eastAsia="zh-CN"/>
        </w:rPr>
        <w:t>j</w:t>
      </w:r>
      <w:r>
        <w:rPr>
          <w:lang w:eastAsia="zh-CN"/>
        </w:rPr>
        <w:t>) Implant bone substitute material (exemplified here by 3DP-PMMA). (</w:t>
      </w:r>
      <w:r>
        <w:rPr>
          <w:b/>
          <w:bCs/>
          <w:lang w:eastAsia="zh-CN"/>
        </w:rPr>
        <w:t>k</w:t>
      </w:r>
      <w:r>
        <w:rPr>
          <w:lang w:eastAsia="zh-CN"/>
        </w:rPr>
        <w:t>) Suture the muscular layer with 4-0 sutures in an interrupted pattern. (</w:t>
      </w:r>
      <w:r>
        <w:rPr>
          <w:b/>
          <w:bCs/>
          <w:lang w:eastAsia="zh-CN"/>
        </w:rPr>
        <w:t>l</w:t>
      </w:r>
      <w:r>
        <w:rPr>
          <w:lang w:eastAsia="zh-CN"/>
        </w:rPr>
        <w:t>) Close the skin using 4-0 sutures.</w:t>
      </w:r>
    </w:p>
    <w:p w14:paraId="55EEFA80">
      <w:pPr>
        <w:rPr>
          <w:lang w:eastAsia="zh-CN"/>
        </w:rPr>
      </w:pPr>
    </w:p>
    <w:p w14:paraId="4C0CD445">
      <w:pPr>
        <w:rPr>
          <w:lang w:eastAsia="zh-CN"/>
        </w:rPr>
      </w:pPr>
      <w:bookmarkStart w:id="31" w:name="_Hlk211484582"/>
      <w:r>
        <w:rPr>
          <w:b/>
          <w:bCs/>
          <w:lang w:eastAsia="zh-CN"/>
        </w:rPr>
        <w:t>Figure 3: μCT</w:t>
      </w:r>
      <w:r>
        <w:t xml:space="preserve"> </w:t>
      </w:r>
      <w:r>
        <w:rPr>
          <w:b/>
          <w:bCs/>
          <w:lang w:eastAsia="zh-CN"/>
        </w:rPr>
        <w:t xml:space="preserve">evaluation of femoral defect healing at post-operative 4 weeks. </w:t>
      </w:r>
      <w:r>
        <w:rPr>
          <w:lang w:eastAsia="zh-CN"/>
        </w:rPr>
        <w:t>Representative reconstructed 3D models (</w:t>
      </w:r>
      <w:r>
        <w:rPr>
          <w:b/>
          <w:bCs/>
          <w:lang w:eastAsia="zh-CN"/>
        </w:rPr>
        <w:t>a1, a3, b1, b3</w:t>
      </w:r>
      <w:r>
        <w:rPr>
          <w:lang w:eastAsia="zh-CN"/>
        </w:rPr>
        <w:t>), X-ray projection images (</w:t>
      </w:r>
      <w:r>
        <w:rPr>
          <w:b/>
          <w:bCs/>
          <w:lang w:eastAsia="zh-CN"/>
        </w:rPr>
        <w:t>a2, b2</w:t>
      </w:r>
      <w:r>
        <w:rPr>
          <w:lang w:eastAsia="zh-CN"/>
        </w:rPr>
        <w:t>), and longitudinal (</w:t>
      </w:r>
      <w:r>
        <w:rPr>
          <w:b/>
          <w:bCs/>
          <w:lang w:eastAsia="zh-CN"/>
        </w:rPr>
        <w:t>a4, b4</w:t>
      </w:r>
      <w:r>
        <w:rPr>
          <w:lang w:eastAsia="zh-CN"/>
        </w:rPr>
        <w:t>) and cross-sectional (</w:t>
      </w:r>
      <w:r>
        <w:rPr>
          <w:b/>
          <w:bCs/>
          <w:lang w:eastAsia="zh-CN"/>
        </w:rPr>
        <w:t>a5, b5</w:t>
      </w:r>
      <w:r>
        <w:rPr>
          <w:lang w:eastAsia="zh-CN"/>
        </w:rPr>
        <w:t>) views of the defect site following implantation of GelMA hydrogel (</w:t>
      </w:r>
      <w:r>
        <w:rPr>
          <w:b/>
          <w:bCs/>
          <w:lang w:eastAsia="zh-CN"/>
        </w:rPr>
        <w:t>A</w:t>
      </w:r>
      <w:r>
        <w:rPr>
          <w:lang w:eastAsia="zh-CN"/>
        </w:rPr>
        <w:t>) and 3DP-PMMA (</w:t>
      </w:r>
      <w:r>
        <w:rPr>
          <w:b/>
          <w:bCs/>
          <w:lang w:eastAsia="zh-CN"/>
        </w:rPr>
        <w:t>B</w:t>
      </w:r>
      <w:r>
        <w:rPr>
          <w:lang w:eastAsia="zh-CN"/>
        </w:rPr>
        <w:t>). Scale bars: 1.5 mm.</w:t>
      </w:r>
    </w:p>
    <w:bookmarkEnd w:id="31"/>
    <w:p w14:paraId="233837C1">
      <w:pPr>
        <w:rPr>
          <w:lang w:eastAsia="zh-CN"/>
        </w:rPr>
      </w:pPr>
    </w:p>
    <w:p w14:paraId="3EBFB50A">
      <w:pPr>
        <w:rPr>
          <w:lang w:eastAsia="zh-CN"/>
        </w:rPr>
      </w:pPr>
      <w:bookmarkStart w:id="32" w:name="_Hlk211480984"/>
      <w:r>
        <w:rPr>
          <w:b/>
          <w:bCs/>
          <w:lang w:eastAsia="zh-CN"/>
        </w:rPr>
        <w:t xml:space="preserve">Figure 4: Histological analysis of femoral defects at 4 weeks post-implantation. </w:t>
      </w:r>
      <w:r>
        <w:rPr>
          <w:lang w:eastAsia="zh-CN"/>
        </w:rPr>
        <w:t>(</w:t>
      </w:r>
      <w:r>
        <w:rPr>
          <w:b/>
          <w:bCs/>
          <w:lang w:eastAsia="zh-CN"/>
        </w:rPr>
        <w:t>A</w:t>
      </w:r>
      <w:r>
        <w:rPr>
          <w:lang w:eastAsia="zh-CN"/>
        </w:rPr>
        <w:t>) H&amp;E and (</w:t>
      </w:r>
      <w:r>
        <w:rPr>
          <w:b/>
          <w:bCs/>
          <w:lang w:eastAsia="zh-CN"/>
        </w:rPr>
        <w:t>B</w:t>
      </w:r>
      <w:r>
        <w:rPr>
          <w:lang w:eastAsia="zh-CN"/>
        </w:rPr>
        <w:t>) Masson's trichrome staining of the defect sites following implantation of (</w:t>
      </w:r>
      <w:r>
        <w:rPr>
          <w:b/>
          <w:bCs/>
          <w:lang w:eastAsia="zh-CN"/>
        </w:rPr>
        <w:t>a</w:t>
      </w:r>
      <w:r>
        <w:rPr>
          <w:lang w:eastAsia="zh-CN"/>
        </w:rPr>
        <w:t>) GelMA or (</w:t>
      </w:r>
      <w:r>
        <w:rPr>
          <w:b/>
          <w:bCs/>
          <w:lang w:eastAsia="zh-CN"/>
        </w:rPr>
        <w:t>b</w:t>
      </w:r>
      <w:r>
        <w:rPr>
          <w:lang w:eastAsia="zh-CN"/>
        </w:rPr>
        <w:t>) 3DP-PMMA. For each group, two representative regions (i, ii) are shown at higher magnification. The red square frame indicates the direct contact region between the material and the cortical bone. The black square frame highlights the junction zone between the material and the bone marrow cavity. In both panels, newly formed bone tissue is marked with asterisks (*), fibrous tissue with arrows (</w:t>
      </w:r>
      <w:r>
        <w:rPr>
          <w:b/>
          <w:bCs/>
          <w:lang w:eastAsia="zh-CN"/>
        </w:rPr>
        <w:t>→</w:t>
      </w:r>
      <w:r>
        <w:rPr>
          <w:lang w:eastAsia="zh-CN"/>
        </w:rPr>
        <w:t>), periosteum with dots (●), and the original material location with triangles (</w:t>
      </w:r>
      <w:r>
        <w:rPr>
          <w:rFonts w:ascii="Arial" w:hAnsi="Arial" w:cs="Arial"/>
          <w:lang w:eastAsia="zh-CN"/>
        </w:rPr>
        <w:t>▲</w:t>
      </w:r>
      <w:r>
        <w:rPr>
          <w:lang w:eastAsia="zh-CN"/>
        </w:rPr>
        <w:t>). Scale bars: 1 mm in low magnification and 200 µm in high magnification. Abbreviations: H&amp;E = hematoxylin and eosin.</w:t>
      </w:r>
    </w:p>
    <w:bookmarkEnd w:id="32"/>
    <w:p w14:paraId="5B9116E0">
      <w:pPr>
        <w:rPr>
          <w:lang w:eastAsia="zh-CN"/>
        </w:rPr>
      </w:pPr>
    </w:p>
    <w:p w14:paraId="68276BD6">
      <w:pPr>
        <w:rPr>
          <w:lang w:eastAsia="zh-CN"/>
        </w:rPr>
      </w:pPr>
      <w:r>
        <w:rPr>
          <w:b/>
          <w:bCs/>
          <w:lang w:eastAsia="zh-CN"/>
        </w:rPr>
        <w:t>Figure 5: Immunofluorescence detection of Piezo1</w:t>
      </w:r>
      <w:r>
        <w:rPr>
          <w:b/>
          <w:bCs/>
          <w:vertAlign w:val="superscript"/>
          <w:lang w:eastAsia="zh-CN"/>
        </w:rPr>
        <w:t>+</w:t>
      </w:r>
      <w:r>
        <w:rPr>
          <w:b/>
          <w:bCs/>
          <w:lang w:eastAsia="zh-CN"/>
        </w:rPr>
        <w:t xml:space="preserve"> and LepR</w:t>
      </w:r>
      <w:r>
        <w:rPr>
          <w:b/>
          <w:bCs/>
          <w:vertAlign w:val="superscript"/>
          <w:lang w:eastAsia="zh-CN"/>
        </w:rPr>
        <w:t>+</w:t>
      </w:r>
      <w:r>
        <w:rPr>
          <w:b/>
          <w:bCs/>
          <w:lang w:eastAsia="zh-CN"/>
        </w:rPr>
        <w:t xml:space="preserve"> cells at 4 weeks post-implantation. </w:t>
      </w:r>
      <w:r>
        <w:rPr>
          <w:lang w:eastAsia="zh-CN"/>
        </w:rPr>
        <w:t>(</w:t>
      </w:r>
      <w:r>
        <w:rPr>
          <w:b/>
          <w:bCs/>
          <w:lang w:eastAsia="zh-CN"/>
        </w:rPr>
        <w:t>A</w:t>
      </w:r>
      <w:r>
        <w:rPr>
          <w:lang w:eastAsia="zh-CN"/>
        </w:rPr>
        <w:t>) Representative images showing the distribution of Piezo1⁺ cells (green) and LepR⁺ cells (red) in the regenerated bone tissue of GelMA hydrogel and 3DP-PMMA groups. Nuclei were counterstained with DAPI (blue). Scale bars: 100 µm. (</w:t>
      </w:r>
      <w:r>
        <w:rPr>
          <w:b/>
          <w:bCs/>
          <w:lang w:eastAsia="zh-CN"/>
        </w:rPr>
        <w:t>B</w:t>
      </w:r>
      <w:r>
        <w:rPr>
          <w:lang w:eastAsia="zh-CN"/>
        </w:rPr>
        <w:t>) Quantitative analysis of Piezo1</w:t>
      </w:r>
      <w:r>
        <w:rPr>
          <w:vertAlign w:val="superscript"/>
          <w:lang w:eastAsia="zh-CN"/>
        </w:rPr>
        <w:t>+</w:t>
      </w:r>
      <w:r>
        <w:rPr>
          <w:lang w:eastAsia="zh-CN"/>
        </w:rPr>
        <w:t xml:space="preserve"> and LepR</w:t>
      </w:r>
      <w:r>
        <w:rPr>
          <w:vertAlign w:val="superscript"/>
          <w:lang w:eastAsia="zh-CN"/>
        </w:rPr>
        <w:t>+</w:t>
      </w:r>
      <w:r>
        <w:rPr>
          <w:lang w:eastAsia="zh-CN"/>
        </w:rPr>
        <w:t xml:space="preserve"> cells between the two groups. </w:t>
      </w:r>
      <w:bookmarkStart w:id="33" w:name="_Hlk211024397"/>
      <w:r>
        <w:rPr>
          <w:lang w:eastAsia="zh-CN"/>
        </w:rPr>
        <w:t>Five regions of interest (ROIs)</w:t>
      </w:r>
      <w:bookmarkEnd w:id="33"/>
      <w:r>
        <w:rPr>
          <w:lang w:eastAsia="zh-CN"/>
        </w:rPr>
        <w:t xml:space="preserve"> (200 × 200 µm each) per group per marker were </w:t>
      </w:r>
      <w:bookmarkStart w:id="34" w:name="_Hlk210414367"/>
      <w:r>
        <w:rPr>
          <w:lang w:eastAsia="zh-CN"/>
        </w:rPr>
        <w:t>randomly</w:t>
      </w:r>
      <w:bookmarkEnd w:id="34"/>
      <w:r>
        <w:rPr>
          <w:lang w:eastAsia="zh-CN"/>
        </w:rPr>
        <w:t xml:space="preserve"> selected for quantification. Data are </w:t>
      </w:r>
      <w:bookmarkStart w:id="35" w:name="_Hlk211026631"/>
      <w:r>
        <w:rPr>
          <w:lang w:eastAsia="zh-CN"/>
        </w:rPr>
        <w:t>presented</w:t>
      </w:r>
      <w:bookmarkEnd w:id="35"/>
      <w:r>
        <w:rPr>
          <w:lang w:eastAsia="zh-CN"/>
        </w:rPr>
        <w:t xml:space="preserve"> as mean ± SD, with individual ROI values shown as scatter points. Statistical comparisons were performed using two-way ANOVA with Group (GelMA vs 3DP-PMMA) and Marker (Piezo1 vs LepR) as factors; post hoc Tukey’s tests were applied for pairwise comparisons. Significance is indicated by asterisks: **** p &lt; 0.0001.</w:t>
      </w:r>
    </w:p>
    <w:p w14:paraId="4B60D020">
      <w:pPr>
        <w:rPr>
          <w:b/>
          <w:bCs/>
          <w:lang w:eastAsia="zh-CN"/>
        </w:rPr>
      </w:pPr>
    </w:p>
    <w:p w14:paraId="5C1D3E3B">
      <w:pPr>
        <w:rPr>
          <w:b/>
          <w:lang w:eastAsia="zh-CN"/>
        </w:rPr>
      </w:pPr>
      <w:r>
        <w:rPr>
          <w:b/>
        </w:rPr>
        <w:t xml:space="preserve">DISCUSSION: </w:t>
      </w:r>
      <w:r>
        <w:rPr>
          <w:lang w:eastAsia="zh-CN"/>
        </w:rPr>
        <w:t xml:space="preserve"> </w:t>
      </w:r>
    </w:p>
    <w:p w14:paraId="68E938C5">
      <w:pPr>
        <w:rPr>
          <w:lang w:eastAsia="zh-CN"/>
        </w:rPr>
      </w:pPr>
      <w:r>
        <w:rPr>
          <w:lang w:eastAsia="zh-CN"/>
        </w:rPr>
        <w:t>Apart from the widely emphasized properties of osteoinductivity, osteointegration, and biocompatibility</w:t>
      </w:r>
      <w:r>
        <w:rPr>
          <w:vertAlign w:val="superscript"/>
        </w:rPr>
        <w:t>5</w:t>
      </w:r>
      <w:r>
        <w:rPr>
          <w:lang w:eastAsia="zh-CN"/>
        </w:rPr>
        <w:t>, the mechanical responsiveness and load-bearing capacity of bone substitutes are equally vital, particularly for repairing defects in weight-bearing bones</w:t>
      </w:r>
      <w:r>
        <w:rPr>
          <w:vertAlign w:val="superscript"/>
        </w:rPr>
        <w:t>22</w:t>
      </w:r>
      <w:r>
        <w:rPr>
          <w:lang w:eastAsia="zh-CN"/>
        </w:rPr>
        <w:t xml:space="preserve">. Conventional assessments of mechanical performance typically rely on </w:t>
      </w:r>
      <w:r>
        <w:rPr>
          <w:i/>
          <w:iCs/>
          <w:lang w:eastAsia="zh-CN"/>
        </w:rPr>
        <w:t>in vitro</w:t>
      </w:r>
      <w:r>
        <w:rPr>
          <w:lang w:eastAsia="zh-CN"/>
        </w:rPr>
        <w:t xml:space="preserve"> methods, such as universal testing machines, compression testing, or tensile strength analysis</w:t>
      </w:r>
      <w:r>
        <w:rPr>
          <w:vertAlign w:val="superscript"/>
        </w:rPr>
        <w:t>23–25</w:t>
      </w:r>
      <w:r>
        <w:rPr>
          <w:lang w:eastAsia="zh-CN"/>
        </w:rPr>
        <w:t>. While informative, these approaches fail to capture the complex mechanical interactions between the implanted material and host tissue under physiological conditions</w:t>
      </w:r>
      <w:r>
        <w:rPr>
          <w:vertAlign w:val="superscript"/>
        </w:rPr>
        <w:t>26</w:t>
      </w:r>
      <w:r>
        <w:rPr>
          <w:lang w:eastAsia="zh-CN"/>
        </w:rPr>
        <w:t xml:space="preserve">. To bridge this gap, </w:t>
      </w:r>
      <w:r>
        <w:rPr>
          <w:i/>
          <w:iCs/>
          <w:lang w:eastAsia="zh-CN"/>
        </w:rPr>
        <w:t>in vivo</w:t>
      </w:r>
      <w:r>
        <w:rPr>
          <w:lang w:eastAsia="zh-CN"/>
        </w:rPr>
        <w:t xml:space="preserve"> models that mimic mechanical stimuli within load-bearing environments are essential for evaluating the true structural performance of bone substitutes. Among prevailing bone defect models, the calvarial defect is designed to study intramembranous ossification, offering a predictable cellular environment suitable for examining osteogenic factors and cell populations</w:t>
      </w:r>
      <w:r>
        <w:rPr>
          <w:vertAlign w:val="superscript"/>
        </w:rPr>
        <w:t>27</w:t>
      </w:r>
      <w:r>
        <w:rPr>
          <w:lang w:eastAsia="zh-CN"/>
        </w:rPr>
        <w:t xml:space="preserve">. However, as a non-load-bearing model, it is inherently limited in evaluating a material’s mechanical performance </w:t>
      </w:r>
      <w:r>
        <w:rPr>
          <w:i/>
          <w:iCs/>
          <w:lang w:eastAsia="zh-CN"/>
        </w:rPr>
        <w:t>in vivo</w:t>
      </w:r>
      <w:r>
        <w:rPr>
          <w:lang w:eastAsia="zh-CN"/>
        </w:rPr>
        <w:t>. Similarly, other commonly used models, including mandibular defects and drill-hole defects in long bones, do not adequately simulate physiological loading or mechanical stress.</w:t>
      </w:r>
    </w:p>
    <w:p w14:paraId="5633C784">
      <w:pPr>
        <w:rPr>
          <w:lang w:eastAsia="zh-CN"/>
        </w:rPr>
      </w:pPr>
    </w:p>
    <w:p w14:paraId="1B79E6A7">
      <w:r>
        <w:rPr>
          <w:lang w:eastAsia="zh-CN"/>
        </w:rPr>
        <w:t xml:space="preserve">Given these limitations, there is a pressing need for a defect model capable of assessing mechanical support under true load-bearing conditions within a living system. In order to address this need, this study developed a standardized half-segmental femoral defect model in rats. By incorporating 3DP-PMMA and GelMA with distinct physicochemical properties, we demonstrated that this defect model allows for the evaluation of material-specific effects on osteogenesis and mechanical integration. This highlights the model’s utility in discriminating between the biological and structural performance of different bone substitute materials. </w:t>
      </w:r>
      <w:r>
        <w:rPr>
          <w:bCs/>
          <w:lang w:eastAsia="zh-CN"/>
        </w:rPr>
        <w:t>GelMA hydrogels have been widely used in tissue engineering due to their excellent biocompatibility</w:t>
      </w:r>
      <w:r>
        <w:rPr>
          <w:vertAlign w:val="superscript"/>
        </w:rPr>
        <w:t>28</w:t>
      </w:r>
      <w:r>
        <w:rPr>
          <w:bCs/>
          <w:lang w:eastAsia="zh-CN"/>
        </w:rPr>
        <w:t>. However, they exhibit relatively low mechanical strength, which limits their application in load-bearing bone repair</w:t>
      </w:r>
      <w:r>
        <w:rPr>
          <w:vertAlign w:val="superscript"/>
        </w:rPr>
        <w:t>15,29</w:t>
      </w:r>
      <w:r>
        <w:rPr>
          <w:bCs/>
          <w:lang w:eastAsia="zh-CN"/>
        </w:rPr>
        <w:t>. In comparison, 3DP-PMMA exhibits excellent mechanical strength, good biocompatibility, and can support osteogenic cell attachment and proliferation, making it a well-established material for load-bearing applications</w:t>
      </w:r>
      <w:r>
        <w:rPr>
          <w:vertAlign w:val="superscript"/>
        </w:rPr>
        <w:t>16,30–32</w:t>
      </w:r>
      <w:r>
        <w:rPr>
          <w:bCs/>
          <w:lang w:eastAsia="zh-CN"/>
        </w:rPr>
        <w:t xml:space="preserve">. </w:t>
      </w:r>
      <w:r>
        <w:rPr>
          <w:lang w:eastAsia="zh-CN"/>
        </w:rPr>
        <w:t xml:space="preserve">The results of </w:t>
      </w:r>
      <w:bookmarkStart w:id="36" w:name="_Hlk210076727"/>
      <w:r>
        <w:rPr>
          <w:bCs/>
          <w:lang w:eastAsia="zh-CN"/>
        </w:rPr>
        <w:t>μ</w:t>
      </w:r>
      <w:bookmarkEnd w:id="36"/>
      <w:r>
        <w:rPr>
          <w:bCs/>
          <w:lang w:eastAsia="zh-CN"/>
        </w:rPr>
        <w:t>CT, histopathological</w:t>
      </w:r>
      <w:r>
        <w:rPr>
          <w:lang w:eastAsia="zh-CN"/>
        </w:rPr>
        <w:t xml:space="preserve"> staining, and IF staining i</w:t>
      </w:r>
      <w:r>
        <w:t>n this model</w:t>
      </w:r>
      <w:r>
        <w:rPr>
          <w:lang w:eastAsia="zh-CN"/>
        </w:rPr>
        <w:t xml:space="preserve"> suggested that </w:t>
      </w:r>
      <w:r>
        <w:t>the GelMA hydrogel</w:t>
      </w:r>
      <w:r>
        <w:rPr>
          <w:lang w:eastAsia="zh-CN"/>
        </w:rPr>
        <w:t xml:space="preserve"> </w:t>
      </w:r>
      <w:r>
        <w:t>result</w:t>
      </w:r>
      <w:r>
        <w:rPr>
          <w:lang w:eastAsia="zh-CN"/>
        </w:rPr>
        <w:t>ed</w:t>
      </w:r>
      <w:r>
        <w:t xml:space="preserve"> in fibro</w:t>
      </w:r>
      <w:r>
        <w:rPr>
          <w:lang w:eastAsia="zh-CN"/>
        </w:rPr>
        <w:t>sis</w:t>
      </w:r>
      <w:r>
        <w:t xml:space="preserve"> and poor bone integration</w:t>
      </w:r>
      <w:r>
        <w:rPr>
          <w:lang w:eastAsia="zh-CN"/>
        </w:rPr>
        <w:t xml:space="preserve"> (</w:t>
      </w:r>
      <w:r>
        <w:rPr>
          <w:b/>
          <w:bCs/>
          <w:lang w:eastAsia="zh-CN"/>
        </w:rPr>
        <w:t xml:space="preserve">Figure 3A,  Figure 4, </w:t>
      </w:r>
      <w:r>
        <w:rPr>
          <w:lang w:eastAsia="zh-CN"/>
        </w:rPr>
        <w:t>and</w:t>
      </w:r>
      <w:r>
        <w:rPr>
          <w:b/>
          <w:bCs/>
          <w:lang w:eastAsia="zh-CN"/>
        </w:rPr>
        <w:t xml:space="preserve"> Figure 5A</w:t>
      </w:r>
      <w:r>
        <w:rPr>
          <w:lang w:eastAsia="zh-CN"/>
        </w:rPr>
        <w:t>)</w:t>
      </w:r>
      <w:r>
        <w:t>. In contrast, 3DP-PMMA</w:t>
      </w:r>
      <w:r>
        <w:rPr>
          <w:lang w:eastAsia="zh-CN"/>
        </w:rPr>
        <w:t xml:space="preserve"> </w:t>
      </w:r>
      <w:r>
        <w:t>facilitate</w:t>
      </w:r>
      <w:r>
        <w:rPr>
          <w:lang w:eastAsia="zh-CN"/>
        </w:rPr>
        <w:t>d</w:t>
      </w:r>
      <w:r>
        <w:t xml:space="preserve"> near-normal femoral morphology at the macroscopic level, and at the cellular level, it recruit</w:t>
      </w:r>
      <w:r>
        <w:rPr>
          <w:lang w:eastAsia="zh-CN"/>
        </w:rPr>
        <w:t>ed</w:t>
      </w:r>
      <w:r>
        <w:t xml:space="preserve"> abundant Piezo1</w:t>
      </w:r>
      <w:r>
        <w:rPr>
          <w:vertAlign w:val="superscript"/>
          <w:lang w:eastAsia="zh-CN"/>
        </w:rPr>
        <w:t>+</w:t>
      </w:r>
      <w:r>
        <w:t xml:space="preserve"> mechanosensitive cells and LepR</w:t>
      </w:r>
      <w:r>
        <w:rPr>
          <w:vertAlign w:val="superscript"/>
          <w:lang w:eastAsia="zh-CN"/>
        </w:rPr>
        <w:t>+</w:t>
      </w:r>
      <w:r>
        <w:t xml:space="preserve"> BMSCs to generate functionally organized bone</w:t>
      </w:r>
      <w:r>
        <w:rPr>
          <w:lang w:eastAsia="zh-CN"/>
        </w:rPr>
        <w:t xml:space="preserve"> (</w:t>
      </w:r>
      <w:r>
        <w:rPr>
          <w:b/>
          <w:bCs/>
          <w:lang w:eastAsia="zh-CN"/>
        </w:rPr>
        <w:t xml:space="preserve">Figure 3B, </w:t>
      </w:r>
      <w:r>
        <w:rPr>
          <w:lang w:eastAsia="zh-CN"/>
        </w:rPr>
        <w:t>and</w:t>
      </w:r>
      <w:r>
        <w:rPr>
          <w:b/>
          <w:bCs/>
          <w:lang w:eastAsia="zh-CN"/>
        </w:rPr>
        <w:t xml:space="preserve"> Figure 5B</w:t>
      </w:r>
      <w:r>
        <w:rPr>
          <w:lang w:eastAsia="zh-CN"/>
        </w:rPr>
        <w:t>)</w:t>
      </w:r>
      <w:r>
        <w:t>.</w:t>
      </w:r>
    </w:p>
    <w:p w14:paraId="2E924406">
      <w:pPr>
        <w:rPr>
          <w:lang w:eastAsia="zh-CN"/>
        </w:rPr>
      </w:pPr>
    </w:p>
    <w:p w14:paraId="3C486C3A">
      <w:pPr>
        <w:rPr>
          <w:lang w:eastAsia="zh-CN"/>
        </w:rPr>
      </w:pPr>
      <w:r>
        <w:rPr>
          <w:lang w:eastAsia="zh-CN"/>
        </w:rPr>
        <w:t>Interestingly, extensive ectopic ossification within the medullary cavity was observed in the GelMA group (</w:t>
      </w:r>
      <w:r>
        <w:rPr>
          <w:b/>
          <w:bCs/>
          <w:lang w:eastAsia="zh-CN"/>
        </w:rPr>
        <w:t>Figure 3A</w:t>
      </w:r>
      <w:r>
        <w:rPr>
          <w:lang w:eastAsia="zh-CN"/>
        </w:rPr>
        <w:t>). This ectopic bone formation may be associated with the local microenvironment established after hydrogel implantation. In our previous study using GelMA hydrogels implanted in non-load-bearing cranial defects, a similar phenomenon was observed</w:t>
      </w:r>
      <w:r>
        <w:rPr>
          <w:vertAlign w:val="superscript"/>
        </w:rPr>
        <w:t>33</w:t>
      </w:r>
      <w:r>
        <w:rPr>
          <w:lang w:eastAsia="zh-CN"/>
        </w:rPr>
        <w:t xml:space="preserve">. Moreover, other studies have reported that, beyond the intrinsic effects of hydrogel materials, local concentrations of cytokines such as </w:t>
      </w:r>
      <w:bookmarkStart w:id="37" w:name="_Hlk211024594"/>
      <w:r>
        <w:rPr>
          <w:lang w:eastAsia="zh-CN"/>
        </w:rPr>
        <w:t>vascular endothelial growth factor and bone morphogenetic protein</w:t>
      </w:r>
      <w:bookmarkEnd w:id="37"/>
      <w:r>
        <w:rPr>
          <w:lang w:eastAsia="zh-CN"/>
        </w:rPr>
        <w:t xml:space="preserve"> after implantation can also influence ectopic ossification</w:t>
      </w:r>
      <w:r>
        <w:rPr>
          <w:vertAlign w:val="superscript"/>
        </w:rPr>
        <w:t>34,35</w:t>
      </w:r>
      <w:r>
        <w:rPr>
          <w:lang w:eastAsia="zh-CN"/>
        </w:rPr>
        <w:t>. Given the load-bearing nature of the model, we propose an additional explanation that links this phenomenon to mechanical factors: insufficient mechanical stability in the defect region may alter local signaling within the marrow and defect microenvironment, thereby promoting aberrant osteogenic activity. To our knowledge, there have been no previous reports describing such medullary ectopic ossification following GelMA hydrogel implantation in load-bearing bone defects, making this an intriguing hypothesis that warrants further investigation. Overall, this phenomenon underscores the sensitivity of the present load-bearing model to mechanical cues and highlights its potential utility for studying instability-related ossification mechanisms in bone repair.</w:t>
      </w:r>
    </w:p>
    <w:p w14:paraId="416CC2F0">
      <w:pPr>
        <w:rPr>
          <w:lang w:eastAsia="zh-CN"/>
        </w:rPr>
      </w:pPr>
    </w:p>
    <w:p w14:paraId="047F512D">
      <w:pPr>
        <w:rPr>
          <w:lang w:eastAsia="zh-CN"/>
        </w:rPr>
      </w:pPr>
      <w:r>
        <w:rPr>
          <w:lang w:eastAsia="zh-CN"/>
        </w:rPr>
        <w:t xml:space="preserve">To ensure reproducibility and accuracy in such assessments, several procedural steps are particularly critical: (1) A thorough understanding of the femur and its surrounding anatomical structures facilitates the rapid dissection of the midshaft femur while avoiding damage to adjacent tissues. (2) Due to the anatomical curvature of the femur, achieving uniform defect orientation can be technically challenging. To ensure consistency in defect shape and size across samples, we used a specialized flat-tipped cylindrical diamond bur, commonly employed in dentistry. Its geometry facilitates efficient trimming of the bone edges, helping to create clean 90-degree corners at the defect interface and aiding in forming a precise semi-cylindrical bone defect. Repeated verification of the dimensions with a vernier caliper is equally important. (3) During the drilling process, stabilizing the operational fulcrum and avoiding applying excessive vertical pressure helps prevent accidental complete fractures and excessive resection of bone tissue. </w:t>
      </w:r>
      <w:bookmarkStart w:id="38" w:name="_Hlk210085969"/>
      <w:r>
        <w:rPr>
          <w:lang w:eastAsia="zh-CN"/>
        </w:rPr>
        <w:t>Practical troubleshooting includes stabilizing the limb position to reduce vibration and, if bleeding occurs, promptly applying sterile gauze compression to achieve hemostasis.</w:t>
      </w:r>
      <w:bookmarkEnd w:id="38"/>
    </w:p>
    <w:p w14:paraId="2359D29D">
      <w:pPr>
        <w:rPr>
          <w:lang w:eastAsia="zh-CN"/>
        </w:rPr>
      </w:pPr>
    </w:p>
    <w:p w14:paraId="47F18B67">
      <w:pPr>
        <w:rPr>
          <w:lang w:eastAsia="zh-CN"/>
        </w:rPr>
      </w:pPr>
      <w:bookmarkStart w:id="39" w:name="OLE_LINK14"/>
      <w:bookmarkStart w:id="40" w:name="_Hlk210656239"/>
      <w:r>
        <w:rPr>
          <w:lang w:eastAsia="zh-CN"/>
        </w:rPr>
        <w:t xml:space="preserve">Despite these precautions, certain limitations remain inherent to the model. As quadrupeds, rodents distribute mechanical loads differently than bipeds, making it difficult to fully replicate human lower-limb biomechanics. While the femoral diaphysis is inherently load-bearing and the concave deformity on CT suggests compressive stress at the defect, particularly with soft implants, the </w:t>
      </w:r>
      <w:r>
        <w:rPr>
          <w:i/>
          <w:iCs/>
          <w:lang w:eastAsia="zh-CN"/>
        </w:rPr>
        <w:t>in vivo</w:t>
      </w:r>
      <w:r>
        <w:rPr>
          <w:lang w:eastAsia="zh-CN"/>
        </w:rPr>
        <w:t xml:space="preserve"> load magnitude in this model cannot be accurately quantified. Furthermore, the model does not mimic complex clinical scenarios such as multi-fragmentary fractures or systemic bone disease. </w:t>
      </w:r>
      <w:bookmarkStart w:id="41" w:name="_Hlk210085638"/>
      <w:r>
        <w:rPr>
          <w:lang w:eastAsia="zh-CN"/>
        </w:rPr>
        <w:t>The defect dimensions proposed in this study have been experimentally optimized for rat models. While proportional scaling may apply to larger animal species, the appropriateness of such adaptations remains to be systematically evaluated.</w:t>
      </w:r>
      <w:bookmarkEnd w:id="41"/>
      <w:r>
        <w:rPr>
          <w:lang w:eastAsia="zh-CN"/>
        </w:rPr>
        <w:t xml:space="preserve"> Anatomical inexperience or excessive bony removal may result in damage to adjacent vessels or nerves, or unintended femoral fracture, leading to bleeding, shock, or death. To minimize these complications, animals should be closely monitored post-operatively for signs of pain, limb dysfunction, or wound issues. Appropriate analgesics, supportive care, and timely interventions are recommended, and repeated complications should prompt a review of surgical technique and defect dimensions. </w:t>
      </w:r>
      <w:bookmarkStart w:id="42" w:name="_Hlk210658056"/>
      <w:r>
        <w:rPr>
          <w:lang w:eastAsia="zh-CN"/>
        </w:rPr>
        <w:t>Nevertheless, its simplicity and reproducibility offer a practical balance between relevance and technical feasibility</w:t>
      </w:r>
      <w:bookmarkEnd w:id="39"/>
      <w:bookmarkStart w:id="43" w:name="_Hlk210657946"/>
      <w:r>
        <w:rPr>
          <w:lang w:eastAsia="zh-CN"/>
        </w:rPr>
        <w:t>, and the procedure is easy to perform without the need for additional fixation devices or complex external apparatus, which further enhances its applicability as a load-bearing defect model.</w:t>
      </w:r>
    </w:p>
    <w:bookmarkEnd w:id="40"/>
    <w:bookmarkEnd w:id="42"/>
    <w:bookmarkEnd w:id="43"/>
    <w:p w14:paraId="187DDB5E">
      <w:pPr>
        <w:rPr>
          <w:lang w:eastAsia="zh-CN"/>
        </w:rPr>
      </w:pPr>
      <w:bookmarkStart w:id="44" w:name="OLE_LINK22"/>
    </w:p>
    <w:p w14:paraId="659A571E">
      <w:pPr>
        <w:rPr>
          <w:lang w:eastAsia="zh-CN"/>
        </w:rPr>
      </w:pPr>
      <w:bookmarkStart w:id="45" w:name="_Hlk211483911"/>
      <w:r>
        <w:rPr>
          <w:lang w:eastAsia="zh-CN"/>
        </w:rPr>
        <w:t>Beyond these considerations, the model also allows for protocol modifications tailored to different experimental needs. It can be applied to animals of different ages to examine how implants with distinct mechanical properties perform across developmental stages. Observation periods may also be adjusted: while the present study focused on 4 weeks post-implantation to capture ongoing healing, sampling at 2 weeks can highlight early vascular ingrowth, and follow-up at 3 months can provide insights into long-term integration and remodeling. Moreover, the half-segmental defect model has been successfully adapted to larger species, such as pigs</w:t>
      </w:r>
      <w:r>
        <w:rPr>
          <w:vertAlign w:val="superscript"/>
        </w:rPr>
        <w:t>14</w:t>
      </w:r>
      <w:r>
        <w:rPr>
          <w:lang w:eastAsia="zh-CN"/>
        </w:rPr>
        <w:t>, by adjusting defect location, size, and shape according to species-specific bone anatomy. Collectively, these potential modifications enable flexible application of the protocol across diverse scientific contexts, provided they are supported by prior literature and validated through pilot experiments.</w:t>
      </w:r>
      <w:bookmarkStart w:id="46" w:name="_Hlk210087208"/>
      <w:bookmarkStart w:id="47" w:name="_Hlk210657577"/>
      <w:r>
        <w:rPr>
          <w:lang w:eastAsia="zh-CN"/>
        </w:rPr>
        <w:t xml:space="preserve"> </w:t>
      </w:r>
      <w:bookmarkStart w:id="48" w:name="_Hlk211484045"/>
      <w:r>
        <w:rPr>
          <w:lang w:eastAsia="zh-CN"/>
        </w:rPr>
        <w:t xml:space="preserve">In addition to its methodological flexibilities, this model provides a platform for evaluating the mechanical and biological performance of biomaterials under load-bearing conditions. By replicating physiological loading environments, it facilitates the investigation of host-implant interactions and informs the design of next-generation load-bearing implants. With appropriate adaptations, </w:t>
      </w:r>
      <w:bookmarkEnd w:id="46"/>
      <w:r>
        <w:rPr>
          <w:lang w:eastAsia="zh-CN"/>
        </w:rPr>
        <w:t>the model can bridge preclinical and translational research by supporting large-animal studies or serving as an intermediate step before clinical evaluation</w:t>
      </w:r>
      <w:bookmarkEnd w:id="48"/>
      <w:r>
        <w:rPr>
          <w:lang w:eastAsia="zh-CN"/>
        </w:rPr>
        <w:t>.</w:t>
      </w:r>
      <w:bookmarkEnd w:id="45"/>
      <w:bookmarkEnd w:id="47"/>
      <w:r>
        <w:rPr>
          <w:lang w:eastAsia="zh-CN"/>
        </w:rPr>
        <w:t xml:space="preserve"> In summary, this protocol establishes a half-segmental diaphyseal defect model in the rat femur, enabling the concurrent evaluation of the mechanical integrity and osteogenic performance of bone substitute materials under physiological loading conditions. By incorporating dynamic load-bearing assessment in a weight-bearing context, this model overcomes key limitations of traditional defect models and provides a rigorous preclinical platform with strong translational relevance for load-bearing bone reconstruction.</w:t>
      </w:r>
    </w:p>
    <w:bookmarkEnd w:id="44"/>
    <w:p w14:paraId="6D0D07F7">
      <w:pPr>
        <w:rPr>
          <w:lang w:eastAsia="zh-CN"/>
        </w:rPr>
      </w:pPr>
    </w:p>
    <w:p w14:paraId="27F7886A">
      <w:r>
        <w:rPr>
          <w:b/>
        </w:rPr>
        <w:t xml:space="preserve">ACKNOWLEDGMENTS: </w:t>
      </w:r>
    </w:p>
    <w:p w14:paraId="5E3923BF">
      <w:pPr>
        <w:rPr>
          <w:lang w:eastAsia="zh-CN"/>
        </w:rPr>
      </w:pPr>
      <w:r>
        <w:t>This study was supported by</w:t>
      </w:r>
      <w:r>
        <w:rPr>
          <w:lang w:eastAsia="zh-CN"/>
        </w:rPr>
        <w:t xml:space="preserve"> the Natural Science Foundation of Sichuan Province (2025ZNSFSC0754).</w:t>
      </w:r>
    </w:p>
    <w:p w14:paraId="511D3D0A">
      <w:pPr>
        <w:rPr>
          <w:b/>
          <w:lang w:eastAsia="zh-CN"/>
        </w:rPr>
      </w:pPr>
    </w:p>
    <w:p w14:paraId="69BB7CA0">
      <w:r>
        <w:rPr>
          <w:b/>
        </w:rPr>
        <w:t xml:space="preserve">DISCLOSURES: </w:t>
      </w:r>
    </w:p>
    <w:p w14:paraId="58A8F7B7">
      <w:pPr>
        <w:rPr>
          <w:lang w:eastAsia="zh-CN"/>
        </w:rPr>
      </w:pPr>
      <w:r>
        <w:t>All the original data and images are included in this paper. The authors declare no conflicts of interest.</w:t>
      </w:r>
    </w:p>
    <w:p w14:paraId="65340F67">
      <w:pPr>
        <w:rPr>
          <w:lang w:eastAsia="zh-CN"/>
        </w:rPr>
      </w:pPr>
    </w:p>
    <w:p w14:paraId="193FE026">
      <w:pPr>
        <w:rPr>
          <w:lang w:eastAsia="zh-CN"/>
        </w:rPr>
      </w:pPr>
      <w:r>
        <w:rPr>
          <w:b/>
        </w:rPr>
        <w:t>REFERENCES:</w:t>
      </w:r>
      <w:r>
        <w:t xml:space="preserve"> </w:t>
      </w:r>
    </w:p>
    <w:p w14:paraId="193757F8">
      <w:pPr>
        <w:pStyle w:val="11"/>
        <w:numPr>
          <w:ilvl w:val="0"/>
          <w:numId w:val="2"/>
        </w:numPr>
        <w:spacing w:before="0" w:beforeAutospacing="0" w:after="0" w:afterAutospacing="0"/>
        <w:ind w:left="0" w:firstLine="0"/>
        <w:jc w:val="both"/>
        <w:rPr>
          <w:rFonts w:ascii="Calibri" w:hAnsi="Calibri" w:cs="Calibri"/>
        </w:rPr>
      </w:pPr>
      <w:r>
        <w:rPr>
          <w:rFonts w:ascii="Calibri" w:hAnsi="Calibri" w:cs="Calibri"/>
        </w:rPr>
        <w:t xml:space="preserve">Mitchnik, I. Y. et al. Femur fractures and hemorrhagic shock: Implications for point of injury treatment. </w:t>
      </w:r>
      <w:r>
        <w:rPr>
          <w:rStyle w:val="18"/>
          <w:rFonts w:ascii="Calibri" w:hAnsi="Calibri" w:cs="Calibri"/>
        </w:rPr>
        <w:t>Injury.</w:t>
      </w:r>
      <w:r>
        <w:rPr>
          <w:rFonts w:ascii="Calibri" w:hAnsi="Calibri" w:cs="Calibri"/>
        </w:rPr>
        <w:t xml:space="preserve"> </w:t>
      </w:r>
      <w:r>
        <w:rPr>
          <w:rStyle w:val="16"/>
          <w:rFonts w:ascii="Calibri" w:hAnsi="Calibri" w:cs="Calibri"/>
        </w:rPr>
        <w:t>53</w:t>
      </w:r>
      <w:r>
        <w:rPr>
          <w:rFonts w:ascii="Calibri" w:hAnsi="Calibri" w:cs="Calibri"/>
        </w:rPr>
        <w:t xml:space="preserve"> (10), 3416–3422 (2022).</w:t>
      </w:r>
    </w:p>
    <w:p w14:paraId="7B36793E">
      <w:pPr>
        <w:pStyle w:val="11"/>
        <w:numPr>
          <w:ilvl w:val="0"/>
          <w:numId w:val="2"/>
        </w:numPr>
        <w:spacing w:before="0" w:beforeAutospacing="0" w:after="0" w:afterAutospacing="0"/>
        <w:ind w:left="0" w:firstLine="0"/>
        <w:jc w:val="both"/>
        <w:rPr>
          <w:rFonts w:ascii="Calibri" w:hAnsi="Calibri" w:cs="Calibri"/>
        </w:rPr>
      </w:pPr>
      <w:r>
        <w:rPr>
          <w:rFonts w:ascii="Calibri" w:hAnsi="Calibri" w:cs="Calibri"/>
        </w:rPr>
        <w:t xml:space="preserve">Mitchell, S. A. T., Majuta, L. A., Mantyh, P. W. New insights in understanding and treating bone fracture pain. </w:t>
      </w:r>
      <w:r>
        <w:rPr>
          <w:rStyle w:val="18"/>
          <w:rFonts w:ascii="Calibri" w:hAnsi="Calibri" w:cs="Calibri"/>
        </w:rPr>
        <w:t>Curr Osteoporos Rep.</w:t>
      </w:r>
      <w:r>
        <w:rPr>
          <w:rFonts w:ascii="Calibri" w:hAnsi="Calibri" w:cs="Calibri"/>
        </w:rPr>
        <w:t xml:space="preserve"> </w:t>
      </w:r>
      <w:r>
        <w:rPr>
          <w:rStyle w:val="16"/>
          <w:rFonts w:ascii="Calibri" w:hAnsi="Calibri" w:cs="Calibri"/>
        </w:rPr>
        <w:t>16</w:t>
      </w:r>
      <w:r>
        <w:rPr>
          <w:rFonts w:ascii="Calibri" w:hAnsi="Calibri" w:cs="Calibri"/>
        </w:rPr>
        <w:t xml:space="preserve"> (4), 325–332 (2018).</w:t>
      </w:r>
    </w:p>
    <w:p w14:paraId="73D6298B">
      <w:pPr>
        <w:pStyle w:val="11"/>
        <w:numPr>
          <w:ilvl w:val="0"/>
          <w:numId w:val="2"/>
        </w:numPr>
        <w:spacing w:before="0" w:beforeAutospacing="0" w:after="0" w:afterAutospacing="0"/>
        <w:ind w:left="0" w:firstLine="0"/>
        <w:jc w:val="both"/>
        <w:rPr>
          <w:rFonts w:ascii="Calibri" w:hAnsi="Calibri" w:cs="Calibri"/>
        </w:rPr>
      </w:pPr>
      <w:r>
        <w:rPr>
          <w:rFonts w:ascii="Calibri" w:hAnsi="Calibri" w:cs="Calibri"/>
        </w:rPr>
        <w:t xml:space="preserve">Ritchie, R. O. The conflicts between strength and toughness. </w:t>
      </w:r>
      <w:r>
        <w:rPr>
          <w:rStyle w:val="18"/>
          <w:rFonts w:ascii="Calibri" w:hAnsi="Calibri" w:cs="Calibri"/>
        </w:rPr>
        <w:t>Nat Mater.</w:t>
      </w:r>
      <w:r>
        <w:rPr>
          <w:rFonts w:ascii="Calibri" w:hAnsi="Calibri" w:cs="Calibri"/>
        </w:rPr>
        <w:t xml:space="preserve"> </w:t>
      </w:r>
      <w:r>
        <w:rPr>
          <w:rStyle w:val="16"/>
          <w:rFonts w:ascii="Calibri" w:hAnsi="Calibri" w:cs="Calibri"/>
        </w:rPr>
        <w:t>10</w:t>
      </w:r>
      <w:r>
        <w:rPr>
          <w:rFonts w:ascii="Calibri" w:hAnsi="Calibri" w:cs="Calibri"/>
        </w:rPr>
        <w:t xml:space="preserve"> (11), 817–822 (2011).</w:t>
      </w:r>
    </w:p>
    <w:p w14:paraId="7A04BA98">
      <w:pPr>
        <w:pStyle w:val="11"/>
        <w:numPr>
          <w:ilvl w:val="0"/>
          <w:numId w:val="2"/>
        </w:numPr>
        <w:spacing w:before="0" w:beforeAutospacing="0" w:after="0" w:afterAutospacing="0"/>
        <w:ind w:left="0" w:firstLine="0"/>
        <w:jc w:val="both"/>
        <w:rPr>
          <w:rFonts w:ascii="Calibri" w:hAnsi="Calibri" w:cs="Calibri"/>
        </w:rPr>
      </w:pPr>
      <w:r>
        <w:rPr>
          <w:rFonts w:ascii="Calibri" w:hAnsi="Calibri" w:cs="Calibri"/>
        </w:rPr>
        <w:t xml:space="preserve">Carson, J. S., Bostrom, M. P. G. Synthetic bone scaffolds and fracture repair. </w:t>
      </w:r>
      <w:r>
        <w:rPr>
          <w:rStyle w:val="18"/>
          <w:rFonts w:ascii="Calibri" w:hAnsi="Calibri" w:cs="Calibri"/>
        </w:rPr>
        <w:t>Injury.</w:t>
      </w:r>
      <w:r>
        <w:rPr>
          <w:rFonts w:ascii="Calibri" w:hAnsi="Calibri" w:cs="Calibri"/>
        </w:rPr>
        <w:t xml:space="preserve"> </w:t>
      </w:r>
      <w:r>
        <w:rPr>
          <w:rStyle w:val="16"/>
          <w:rFonts w:ascii="Calibri" w:hAnsi="Calibri" w:cs="Calibri"/>
        </w:rPr>
        <w:t>38</w:t>
      </w:r>
      <w:r>
        <w:rPr>
          <w:rFonts w:ascii="Calibri" w:hAnsi="Calibri" w:cs="Calibri"/>
        </w:rPr>
        <w:t xml:space="preserve"> (1 Suppl), S33–S37 (2007).</w:t>
      </w:r>
    </w:p>
    <w:p w14:paraId="22775839">
      <w:pPr>
        <w:pStyle w:val="11"/>
        <w:numPr>
          <w:ilvl w:val="0"/>
          <w:numId w:val="2"/>
        </w:numPr>
        <w:spacing w:before="0" w:beforeAutospacing="0" w:after="0" w:afterAutospacing="0"/>
        <w:ind w:left="0" w:firstLine="0"/>
        <w:jc w:val="both"/>
        <w:rPr>
          <w:rFonts w:ascii="Calibri" w:hAnsi="Calibri" w:cs="Calibri"/>
        </w:rPr>
      </w:pPr>
      <w:r>
        <w:rPr>
          <w:rFonts w:ascii="Calibri" w:hAnsi="Calibri" w:cs="Calibri"/>
        </w:rPr>
        <w:t xml:space="preserve">Janicki, P., Schmidmaier, G. What should be the characteristics of the ideal bone graft substitute? Combining scaffolds with growth factors and/or stem cells. </w:t>
      </w:r>
      <w:r>
        <w:rPr>
          <w:rStyle w:val="18"/>
          <w:rFonts w:ascii="Calibri" w:hAnsi="Calibri" w:cs="Calibri"/>
        </w:rPr>
        <w:t>Injury.</w:t>
      </w:r>
      <w:r>
        <w:rPr>
          <w:rFonts w:ascii="Calibri" w:hAnsi="Calibri" w:cs="Calibri"/>
        </w:rPr>
        <w:t xml:space="preserve"> </w:t>
      </w:r>
      <w:r>
        <w:rPr>
          <w:rStyle w:val="16"/>
          <w:rFonts w:ascii="Calibri" w:hAnsi="Calibri" w:cs="Calibri"/>
        </w:rPr>
        <w:t>42</w:t>
      </w:r>
      <w:r>
        <w:rPr>
          <w:rFonts w:ascii="Calibri" w:hAnsi="Calibri" w:cs="Calibri"/>
        </w:rPr>
        <w:t>, S77–S81 (2011).</w:t>
      </w:r>
    </w:p>
    <w:p w14:paraId="5780580D">
      <w:pPr>
        <w:pStyle w:val="11"/>
        <w:numPr>
          <w:ilvl w:val="0"/>
          <w:numId w:val="2"/>
        </w:numPr>
        <w:spacing w:before="0" w:beforeAutospacing="0" w:after="0" w:afterAutospacing="0"/>
        <w:ind w:left="0" w:firstLine="0"/>
        <w:jc w:val="both"/>
        <w:rPr>
          <w:rFonts w:ascii="Calibri" w:hAnsi="Calibri" w:cs="Calibri"/>
        </w:rPr>
      </w:pPr>
      <w:r>
        <w:rPr>
          <w:rFonts w:ascii="Calibri" w:hAnsi="Calibri" w:cs="Calibri"/>
        </w:rPr>
        <w:t xml:space="preserve">Zandi, M., Dehghan, A., Talimkhani, I., Rezaeian, L., Mohammad Gholi Mezerji, N. Histological evaluation of the healing process of autografted mandibular bone defects in rats under treatment with zoledronate. </w:t>
      </w:r>
      <w:r>
        <w:rPr>
          <w:rStyle w:val="18"/>
          <w:rFonts w:ascii="Calibri" w:hAnsi="Calibri" w:cs="Calibri"/>
        </w:rPr>
        <w:t>J Cranio Maxillofac Surg.</w:t>
      </w:r>
      <w:r>
        <w:rPr>
          <w:rFonts w:ascii="Calibri" w:hAnsi="Calibri" w:cs="Calibri"/>
        </w:rPr>
        <w:t xml:space="preserve"> </w:t>
      </w:r>
      <w:r>
        <w:rPr>
          <w:rStyle w:val="16"/>
          <w:rFonts w:ascii="Calibri" w:hAnsi="Calibri" w:cs="Calibri"/>
        </w:rPr>
        <w:t>47</w:t>
      </w:r>
      <w:r>
        <w:rPr>
          <w:rFonts w:ascii="Calibri" w:hAnsi="Calibri" w:cs="Calibri"/>
        </w:rPr>
        <w:t xml:space="preserve"> (11), 1779–1786 (2019).</w:t>
      </w:r>
    </w:p>
    <w:p w14:paraId="71BEC04A">
      <w:pPr>
        <w:pStyle w:val="11"/>
        <w:numPr>
          <w:ilvl w:val="0"/>
          <w:numId w:val="2"/>
        </w:numPr>
        <w:spacing w:before="0" w:beforeAutospacing="0" w:after="0" w:afterAutospacing="0"/>
        <w:ind w:left="0" w:firstLine="0"/>
        <w:jc w:val="both"/>
        <w:rPr>
          <w:rFonts w:ascii="Calibri" w:hAnsi="Calibri" w:cs="Calibri"/>
        </w:rPr>
      </w:pPr>
      <w:r>
        <w:rPr>
          <w:rFonts w:ascii="Calibri" w:hAnsi="Calibri" w:cs="Calibri"/>
        </w:rPr>
        <w:t xml:space="preserve">Wu, J. et al. The establishment of calvarial suture-bony composite defects in rats: A standardized model for suture-regenerative therapy investigation. </w:t>
      </w:r>
      <w:r>
        <w:rPr>
          <w:rStyle w:val="18"/>
          <w:rFonts w:ascii="Calibri" w:hAnsi="Calibri" w:cs="Calibri"/>
        </w:rPr>
        <w:t>J Vis Exp.</w:t>
      </w:r>
      <w:r>
        <w:rPr>
          <w:rFonts w:ascii="Calibri" w:hAnsi="Calibri" w:cs="Calibri"/>
        </w:rPr>
        <w:t xml:space="preserve"> </w:t>
      </w:r>
      <w:r>
        <w:rPr>
          <w:rFonts w:ascii="Calibri" w:hAnsi="Calibri" w:cs="Calibri"/>
          <w:b/>
          <w:bCs/>
        </w:rPr>
        <w:t>207</w:t>
      </w:r>
      <w:r>
        <w:rPr>
          <w:rFonts w:ascii="Calibri" w:hAnsi="Calibri" w:cs="Calibri"/>
        </w:rPr>
        <w:t>, e66417 (2024).</w:t>
      </w:r>
    </w:p>
    <w:p w14:paraId="3DE3C15B">
      <w:pPr>
        <w:pStyle w:val="11"/>
        <w:numPr>
          <w:ilvl w:val="0"/>
          <w:numId w:val="2"/>
        </w:numPr>
        <w:spacing w:before="0" w:beforeAutospacing="0" w:after="0" w:afterAutospacing="0"/>
        <w:ind w:left="0" w:firstLine="0"/>
        <w:jc w:val="both"/>
        <w:rPr>
          <w:rFonts w:ascii="Calibri" w:hAnsi="Calibri" w:cs="Calibri"/>
        </w:rPr>
      </w:pPr>
      <w:r>
        <w:rPr>
          <w:rFonts w:ascii="Calibri" w:hAnsi="Calibri" w:cs="Calibri"/>
        </w:rPr>
        <w:t xml:space="preserve">Chen, Y., Wu, J., Li, F., Ye, L., Wang, H. Creating a box-cavity defect model in the cortical bone of rat femora. </w:t>
      </w:r>
      <w:r>
        <w:rPr>
          <w:rStyle w:val="18"/>
          <w:rFonts w:ascii="Calibri" w:hAnsi="Calibri" w:cs="Calibri"/>
        </w:rPr>
        <w:t>J Vis Exp.</w:t>
      </w:r>
      <w:r>
        <w:rPr>
          <w:rFonts w:ascii="Calibri" w:hAnsi="Calibri" w:cs="Calibri"/>
        </w:rPr>
        <w:t xml:space="preserve"> </w:t>
      </w:r>
      <w:r>
        <w:rPr>
          <w:rFonts w:ascii="Calibri" w:hAnsi="Calibri" w:cs="Calibri"/>
          <w:b/>
          <w:bCs/>
        </w:rPr>
        <w:t>201</w:t>
      </w:r>
      <w:r>
        <w:rPr>
          <w:rFonts w:ascii="Calibri" w:hAnsi="Calibri" w:cs="Calibri"/>
        </w:rPr>
        <w:t>, e66068 (2023).</w:t>
      </w:r>
    </w:p>
    <w:p w14:paraId="657D9E3E">
      <w:pPr>
        <w:pStyle w:val="11"/>
        <w:numPr>
          <w:ilvl w:val="0"/>
          <w:numId w:val="2"/>
        </w:numPr>
        <w:spacing w:before="0" w:beforeAutospacing="0" w:after="0" w:afterAutospacing="0"/>
        <w:ind w:left="0" w:firstLine="0"/>
        <w:jc w:val="both"/>
        <w:rPr>
          <w:rFonts w:ascii="Calibri" w:hAnsi="Calibri" w:cs="Calibri"/>
        </w:rPr>
      </w:pPr>
      <w:r>
        <w:rPr>
          <w:rFonts w:ascii="Calibri" w:hAnsi="Calibri" w:cs="Calibri"/>
        </w:rPr>
        <w:t xml:space="preserve">Yu, C., Yu, F., Li, F., Ye, L. The establishment of a murine mandibular molar extraction socket healing model. </w:t>
      </w:r>
      <w:r>
        <w:rPr>
          <w:rStyle w:val="18"/>
          <w:rFonts w:ascii="Calibri" w:hAnsi="Calibri" w:cs="Calibri"/>
        </w:rPr>
        <w:t>J Vis Exp.</w:t>
      </w:r>
      <w:r>
        <w:rPr>
          <w:rFonts w:ascii="Calibri" w:hAnsi="Calibri" w:cs="Calibri"/>
        </w:rPr>
        <w:t xml:space="preserve"> </w:t>
      </w:r>
      <w:r>
        <w:rPr>
          <w:rFonts w:ascii="Calibri" w:hAnsi="Calibri" w:cs="Calibri"/>
          <w:b/>
          <w:bCs/>
        </w:rPr>
        <w:t>191</w:t>
      </w:r>
      <w:r>
        <w:rPr>
          <w:rFonts w:ascii="Calibri" w:hAnsi="Calibri" w:cs="Calibri"/>
        </w:rPr>
        <w:t>, e64855 (2023).</w:t>
      </w:r>
    </w:p>
    <w:p w14:paraId="1F2C96BA">
      <w:pPr>
        <w:pStyle w:val="11"/>
        <w:numPr>
          <w:ilvl w:val="0"/>
          <w:numId w:val="2"/>
        </w:numPr>
        <w:spacing w:before="0" w:beforeAutospacing="0" w:after="0" w:afterAutospacing="0"/>
        <w:ind w:left="0" w:firstLine="0"/>
        <w:jc w:val="both"/>
        <w:rPr>
          <w:rFonts w:ascii="Calibri" w:hAnsi="Calibri" w:cs="Calibri"/>
        </w:rPr>
      </w:pPr>
      <w:r>
        <w:rPr>
          <w:rFonts w:ascii="Calibri" w:hAnsi="Calibri" w:cs="Calibri"/>
        </w:rPr>
        <w:t xml:space="preserve">Han, L. et al. 3D magnetic nanocomposite scaffolds enhanced the osteogenic capacities of rat bone mesenchymal stem cells in vitro and in a rat calvarial bone defect model by promoting cell adhesion. </w:t>
      </w:r>
      <w:r>
        <w:rPr>
          <w:rStyle w:val="18"/>
          <w:rFonts w:ascii="Calibri" w:hAnsi="Calibri" w:cs="Calibri"/>
        </w:rPr>
        <w:t>J Biomed Mater Res A.</w:t>
      </w:r>
      <w:r>
        <w:rPr>
          <w:rFonts w:ascii="Calibri" w:hAnsi="Calibri" w:cs="Calibri"/>
        </w:rPr>
        <w:t xml:space="preserve"> </w:t>
      </w:r>
      <w:r>
        <w:rPr>
          <w:rStyle w:val="16"/>
          <w:rFonts w:ascii="Calibri" w:hAnsi="Calibri" w:cs="Calibri"/>
        </w:rPr>
        <w:t>109</w:t>
      </w:r>
      <w:r>
        <w:rPr>
          <w:rFonts w:ascii="Calibri" w:hAnsi="Calibri" w:cs="Calibri"/>
        </w:rPr>
        <w:t xml:space="preserve"> (9), 1670–1680 (2021).</w:t>
      </w:r>
    </w:p>
    <w:p w14:paraId="0C9F2E1F">
      <w:pPr>
        <w:pStyle w:val="11"/>
        <w:numPr>
          <w:ilvl w:val="0"/>
          <w:numId w:val="2"/>
        </w:numPr>
        <w:spacing w:before="0" w:beforeAutospacing="0" w:after="0" w:afterAutospacing="0"/>
        <w:ind w:left="0" w:firstLine="0"/>
        <w:jc w:val="both"/>
        <w:rPr>
          <w:rFonts w:ascii="Calibri" w:hAnsi="Calibri" w:cs="Calibri"/>
        </w:rPr>
      </w:pPr>
      <w:r>
        <w:rPr>
          <w:rFonts w:ascii="Calibri" w:hAnsi="Calibri" w:cs="Calibri"/>
        </w:rPr>
        <w:t xml:space="preserve">Han, Z., Bhavsar, M., Leppik, L., Oliveira, K. M. C., Barker, J. H. Histological scoring method to assess bone healing in critical size bone defect models. </w:t>
      </w:r>
      <w:r>
        <w:rPr>
          <w:rStyle w:val="18"/>
          <w:rFonts w:ascii="Calibri" w:hAnsi="Calibri" w:cs="Calibri"/>
        </w:rPr>
        <w:t>Tissue Eng Part C Methods.</w:t>
      </w:r>
      <w:r>
        <w:rPr>
          <w:rFonts w:ascii="Calibri" w:hAnsi="Calibri" w:cs="Calibri"/>
        </w:rPr>
        <w:t xml:space="preserve"> </w:t>
      </w:r>
      <w:r>
        <w:rPr>
          <w:rStyle w:val="16"/>
          <w:rFonts w:ascii="Calibri" w:hAnsi="Calibri" w:cs="Calibri"/>
        </w:rPr>
        <w:t>24</w:t>
      </w:r>
      <w:r>
        <w:rPr>
          <w:rFonts w:ascii="Calibri" w:hAnsi="Calibri" w:cs="Calibri"/>
        </w:rPr>
        <w:t xml:space="preserve"> (5), 272–279 (2018).</w:t>
      </w:r>
    </w:p>
    <w:p w14:paraId="51B918DA">
      <w:pPr>
        <w:pStyle w:val="11"/>
        <w:numPr>
          <w:ilvl w:val="0"/>
          <w:numId w:val="2"/>
        </w:numPr>
        <w:spacing w:before="0" w:beforeAutospacing="0" w:after="0" w:afterAutospacing="0"/>
        <w:ind w:left="0" w:firstLine="0"/>
        <w:jc w:val="both"/>
        <w:rPr>
          <w:rFonts w:ascii="Calibri" w:hAnsi="Calibri" w:cs="Calibri"/>
        </w:rPr>
      </w:pPr>
      <w:r>
        <w:rPr>
          <w:rFonts w:ascii="Calibri" w:hAnsi="Calibri" w:cs="Calibri"/>
        </w:rPr>
        <w:t xml:space="preserve">Gomes, P. S., Fernandes, M. H. Rodent models in bone-related research: the relevance of calvarial defects in the assessment of bone regeneration strategies. </w:t>
      </w:r>
      <w:r>
        <w:rPr>
          <w:rStyle w:val="18"/>
          <w:rFonts w:ascii="Calibri" w:hAnsi="Calibri" w:cs="Calibri"/>
        </w:rPr>
        <w:t>Lab Anim.</w:t>
      </w:r>
      <w:r>
        <w:rPr>
          <w:rFonts w:ascii="Calibri" w:hAnsi="Calibri" w:cs="Calibri"/>
        </w:rPr>
        <w:t xml:space="preserve"> </w:t>
      </w:r>
      <w:r>
        <w:rPr>
          <w:rStyle w:val="16"/>
          <w:rFonts w:ascii="Calibri" w:hAnsi="Calibri" w:cs="Calibri"/>
        </w:rPr>
        <w:t>45</w:t>
      </w:r>
      <w:r>
        <w:rPr>
          <w:rFonts w:ascii="Calibri" w:hAnsi="Calibri" w:cs="Calibri"/>
        </w:rPr>
        <w:t xml:space="preserve"> (1), 14–24 (2011).</w:t>
      </w:r>
    </w:p>
    <w:p w14:paraId="44FB48DF">
      <w:pPr>
        <w:pStyle w:val="11"/>
        <w:numPr>
          <w:ilvl w:val="0"/>
          <w:numId w:val="2"/>
        </w:numPr>
        <w:spacing w:before="0" w:beforeAutospacing="0" w:after="0" w:afterAutospacing="0"/>
        <w:ind w:left="0" w:firstLine="0"/>
        <w:jc w:val="both"/>
        <w:rPr>
          <w:rFonts w:ascii="Calibri" w:hAnsi="Calibri" w:cs="Calibri"/>
        </w:rPr>
      </w:pPr>
      <w:r>
        <w:rPr>
          <w:rFonts w:ascii="Calibri" w:hAnsi="Calibri" w:cs="Calibri"/>
        </w:rPr>
        <w:t xml:space="preserve">Tsiklin, I. L., Shabunin, A. V., Kolsanov, A. V., Volova, L. T. </w:t>
      </w:r>
      <w:r>
        <w:rPr>
          <w:rFonts w:ascii="Calibri" w:hAnsi="Calibri" w:cs="Calibri"/>
          <w:i/>
          <w:iCs/>
        </w:rPr>
        <w:t>In vivo</w:t>
      </w:r>
      <w:r>
        <w:rPr>
          <w:rFonts w:ascii="Calibri" w:hAnsi="Calibri" w:cs="Calibri"/>
        </w:rPr>
        <w:t xml:space="preserve"> bone tissue engineering strategies: advances and prospects. </w:t>
      </w:r>
      <w:r>
        <w:rPr>
          <w:rStyle w:val="18"/>
          <w:rFonts w:ascii="Calibri" w:hAnsi="Calibri" w:cs="Calibri"/>
        </w:rPr>
        <w:t>Polymers.</w:t>
      </w:r>
      <w:r>
        <w:rPr>
          <w:rFonts w:ascii="Calibri" w:hAnsi="Calibri" w:cs="Calibri"/>
        </w:rPr>
        <w:t xml:space="preserve"> </w:t>
      </w:r>
      <w:r>
        <w:rPr>
          <w:rStyle w:val="16"/>
          <w:rFonts w:ascii="Calibri" w:hAnsi="Calibri" w:cs="Calibri"/>
        </w:rPr>
        <w:t>14</w:t>
      </w:r>
      <w:r>
        <w:rPr>
          <w:rFonts w:ascii="Calibri" w:hAnsi="Calibri" w:cs="Calibri"/>
        </w:rPr>
        <w:t xml:space="preserve"> (15), 3222 (2022).</w:t>
      </w:r>
    </w:p>
    <w:p w14:paraId="77277F81">
      <w:pPr>
        <w:pStyle w:val="11"/>
        <w:numPr>
          <w:ilvl w:val="0"/>
          <w:numId w:val="2"/>
        </w:numPr>
        <w:spacing w:before="0" w:beforeAutospacing="0" w:after="0" w:afterAutospacing="0"/>
        <w:ind w:left="0" w:firstLine="0"/>
        <w:jc w:val="both"/>
        <w:rPr>
          <w:rFonts w:ascii="Calibri" w:hAnsi="Calibri" w:cs="Calibri"/>
        </w:rPr>
      </w:pPr>
      <w:r>
        <w:rPr>
          <w:rFonts w:ascii="Calibri" w:hAnsi="Calibri" w:cs="Calibri"/>
        </w:rPr>
        <w:t xml:space="preserve">Long, S. et al. Architecture mechanics mediated osteogenic progression in bone regeneration of artificial scaffolds. </w:t>
      </w:r>
      <w:r>
        <w:rPr>
          <w:rStyle w:val="18"/>
          <w:rFonts w:ascii="Calibri" w:hAnsi="Calibri" w:cs="Calibri"/>
        </w:rPr>
        <w:t>Sci Adv.</w:t>
      </w:r>
      <w:r>
        <w:rPr>
          <w:rFonts w:ascii="Calibri" w:hAnsi="Calibri" w:cs="Calibri"/>
        </w:rPr>
        <w:t xml:space="preserve"> </w:t>
      </w:r>
      <w:r>
        <w:rPr>
          <w:rStyle w:val="16"/>
          <w:rFonts w:ascii="Calibri" w:hAnsi="Calibri" w:cs="Calibri"/>
        </w:rPr>
        <w:t>11</w:t>
      </w:r>
      <w:r>
        <w:rPr>
          <w:rFonts w:ascii="Calibri" w:hAnsi="Calibri" w:cs="Calibri"/>
        </w:rPr>
        <w:t xml:space="preserve"> (29), eadv8804 (2025).</w:t>
      </w:r>
    </w:p>
    <w:p w14:paraId="415378AA">
      <w:pPr>
        <w:pStyle w:val="11"/>
        <w:numPr>
          <w:ilvl w:val="0"/>
          <w:numId w:val="2"/>
        </w:numPr>
        <w:spacing w:before="0" w:beforeAutospacing="0" w:after="0" w:afterAutospacing="0"/>
        <w:ind w:left="0" w:firstLine="0"/>
        <w:jc w:val="both"/>
        <w:rPr>
          <w:rFonts w:ascii="Calibri" w:hAnsi="Calibri" w:cs="Calibri"/>
        </w:rPr>
      </w:pPr>
      <w:r>
        <w:rPr>
          <w:rFonts w:ascii="Calibri" w:hAnsi="Calibri" w:cs="Calibri"/>
        </w:rPr>
        <w:t xml:space="preserve">Man, K. et al. GelMA hydrogel reinforced with 3D printed PEGT/PBT scaffolds for supporting epigenetically-activated human bone marrow stromal cells for bone repair. </w:t>
      </w:r>
      <w:r>
        <w:rPr>
          <w:rStyle w:val="18"/>
          <w:rFonts w:ascii="Calibri" w:hAnsi="Calibri" w:cs="Calibri"/>
        </w:rPr>
        <w:t>J Funct Biomater.</w:t>
      </w:r>
      <w:r>
        <w:rPr>
          <w:rFonts w:ascii="Calibri" w:hAnsi="Calibri" w:cs="Calibri"/>
        </w:rPr>
        <w:t xml:space="preserve"> </w:t>
      </w:r>
      <w:r>
        <w:rPr>
          <w:rStyle w:val="16"/>
          <w:rFonts w:ascii="Calibri" w:hAnsi="Calibri" w:cs="Calibri"/>
        </w:rPr>
        <w:t>13</w:t>
      </w:r>
      <w:r>
        <w:rPr>
          <w:rFonts w:ascii="Calibri" w:hAnsi="Calibri" w:cs="Calibri"/>
        </w:rPr>
        <w:t xml:space="preserve"> (2), 41 (2022).</w:t>
      </w:r>
    </w:p>
    <w:p w14:paraId="3A48F4E3">
      <w:pPr>
        <w:pStyle w:val="11"/>
        <w:numPr>
          <w:ilvl w:val="0"/>
          <w:numId w:val="2"/>
        </w:numPr>
        <w:spacing w:before="0" w:beforeAutospacing="0" w:after="0" w:afterAutospacing="0"/>
        <w:ind w:left="0" w:firstLine="0"/>
        <w:jc w:val="both"/>
        <w:rPr>
          <w:rFonts w:ascii="Calibri" w:hAnsi="Calibri" w:cs="Calibri"/>
        </w:rPr>
      </w:pPr>
      <w:r>
        <w:rPr>
          <w:rFonts w:ascii="Calibri" w:hAnsi="Calibri" w:cs="Calibri"/>
        </w:rPr>
        <w:t xml:space="preserve">Chen, N. Embedded 3D printing and pressurized thermo-curing of PMMA for medical implants. </w:t>
      </w:r>
      <w:r>
        <w:rPr>
          <w:rStyle w:val="18"/>
          <w:rFonts w:ascii="Calibri" w:hAnsi="Calibri" w:cs="Calibri"/>
        </w:rPr>
        <w:t>J Mech Behav Biomed Mater.</w:t>
      </w:r>
      <w:r>
        <w:rPr>
          <w:rFonts w:ascii="Calibri" w:hAnsi="Calibri" w:cs="Calibri"/>
        </w:rPr>
        <w:t xml:space="preserve"> </w:t>
      </w:r>
      <w:r>
        <w:rPr>
          <w:rStyle w:val="16"/>
          <w:rFonts w:ascii="Calibri" w:hAnsi="Calibri" w:cs="Calibri"/>
        </w:rPr>
        <w:t>146</w:t>
      </w:r>
      <w:r>
        <w:rPr>
          <w:rFonts w:ascii="Calibri" w:hAnsi="Calibri" w:cs="Calibri"/>
        </w:rPr>
        <w:t>, 106083 (2023).</w:t>
      </w:r>
    </w:p>
    <w:p w14:paraId="1BE78E38">
      <w:pPr>
        <w:pStyle w:val="11"/>
        <w:numPr>
          <w:ilvl w:val="0"/>
          <w:numId w:val="2"/>
        </w:numPr>
        <w:spacing w:before="0" w:beforeAutospacing="0" w:after="0" w:afterAutospacing="0"/>
        <w:ind w:left="0" w:firstLine="0"/>
        <w:jc w:val="both"/>
        <w:rPr>
          <w:rFonts w:ascii="Calibri" w:hAnsi="Calibri" w:cs="Calibri"/>
        </w:rPr>
      </w:pPr>
      <w:r>
        <w:rPr>
          <w:rFonts w:ascii="Calibri" w:hAnsi="Calibri" w:cs="Calibri"/>
        </w:rPr>
        <w:t xml:space="preserve">Einhorn, T. A., Gerstenfeld, L. C. Fracture healing: mechanisms and interventions. </w:t>
      </w:r>
      <w:r>
        <w:rPr>
          <w:rStyle w:val="18"/>
          <w:rFonts w:ascii="Calibri" w:hAnsi="Calibri" w:cs="Calibri"/>
        </w:rPr>
        <w:t>Nat Rev Rheumatol.</w:t>
      </w:r>
      <w:r>
        <w:rPr>
          <w:rFonts w:ascii="Calibri" w:hAnsi="Calibri" w:cs="Calibri"/>
        </w:rPr>
        <w:t xml:space="preserve"> </w:t>
      </w:r>
      <w:r>
        <w:rPr>
          <w:rStyle w:val="16"/>
          <w:rFonts w:ascii="Calibri" w:hAnsi="Calibri" w:cs="Calibri"/>
        </w:rPr>
        <w:t>11</w:t>
      </w:r>
      <w:r>
        <w:rPr>
          <w:rFonts w:ascii="Calibri" w:hAnsi="Calibri" w:cs="Calibri"/>
        </w:rPr>
        <w:t xml:space="preserve"> (1), 45–54 (2015).</w:t>
      </w:r>
    </w:p>
    <w:p w14:paraId="1D47C773">
      <w:pPr>
        <w:pStyle w:val="11"/>
        <w:numPr>
          <w:ilvl w:val="0"/>
          <w:numId w:val="2"/>
        </w:numPr>
        <w:spacing w:before="0" w:beforeAutospacing="0" w:after="0" w:afterAutospacing="0"/>
        <w:ind w:left="0" w:firstLine="0"/>
        <w:jc w:val="both"/>
        <w:rPr>
          <w:rFonts w:ascii="Calibri" w:hAnsi="Calibri" w:cs="Calibri"/>
        </w:rPr>
      </w:pPr>
      <w:r>
        <w:rPr>
          <w:rFonts w:ascii="Calibri" w:hAnsi="Calibri" w:cs="Calibri"/>
        </w:rPr>
        <w:t xml:space="preserve">Ikeda, T. et al. Stimulation of osteogenesis in bone defects implanted with biodegradable hydroxyapatite composed of rod-shaped particles under mechanical unloading. </w:t>
      </w:r>
      <w:r>
        <w:rPr>
          <w:rStyle w:val="18"/>
          <w:rFonts w:ascii="Calibri" w:hAnsi="Calibri" w:cs="Calibri"/>
        </w:rPr>
        <w:t>Acta Histochem Cytochem.</w:t>
      </w:r>
      <w:r>
        <w:rPr>
          <w:rFonts w:ascii="Calibri" w:hAnsi="Calibri" w:cs="Calibri"/>
        </w:rPr>
        <w:t xml:space="preserve"> </w:t>
      </w:r>
      <w:r>
        <w:rPr>
          <w:rStyle w:val="16"/>
          <w:rFonts w:ascii="Calibri" w:hAnsi="Calibri" w:cs="Calibri"/>
        </w:rPr>
        <w:t>45</w:t>
      </w:r>
      <w:r>
        <w:rPr>
          <w:rFonts w:ascii="Calibri" w:hAnsi="Calibri" w:cs="Calibri"/>
        </w:rPr>
        <w:t xml:space="preserve"> (5), 283–292 (2012).</w:t>
      </w:r>
    </w:p>
    <w:p w14:paraId="65BB36BB">
      <w:pPr>
        <w:pStyle w:val="11"/>
        <w:numPr>
          <w:ilvl w:val="0"/>
          <w:numId w:val="2"/>
        </w:numPr>
        <w:spacing w:before="0" w:beforeAutospacing="0" w:after="0" w:afterAutospacing="0"/>
        <w:ind w:left="0" w:firstLine="0"/>
        <w:jc w:val="both"/>
        <w:rPr>
          <w:rFonts w:ascii="Calibri" w:hAnsi="Calibri" w:cs="Calibri"/>
        </w:rPr>
      </w:pPr>
      <w:r>
        <w:rPr>
          <w:rFonts w:ascii="Calibri" w:hAnsi="Calibri" w:cs="Calibri"/>
        </w:rPr>
        <w:t xml:space="preserve">Du, Y., Xu, B., Li, Q., Peng, C., Yang, K. The role of mechanically sensitive ion channel Piezo1 in bone remodeling. </w:t>
      </w:r>
      <w:r>
        <w:rPr>
          <w:rStyle w:val="18"/>
          <w:rFonts w:ascii="Calibri" w:hAnsi="Calibri" w:cs="Calibri"/>
        </w:rPr>
        <w:t>Front Bioeng Biotechnol.</w:t>
      </w:r>
      <w:r>
        <w:rPr>
          <w:rFonts w:ascii="Calibri" w:hAnsi="Calibri" w:cs="Calibri"/>
        </w:rPr>
        <w:t xml:space="preserve"> </w:t>
      </w:r>
      <w:r>
        <w:rPr>
          <w:rStyle w:val="16"/>
          <w:rFonts w:ascii="Calibri" w:hAnsi="Calibri" w:cs="Calibri"/>
        </w:rPr>
        <w:t>12</w:t>
      </w:r>
      <w:r>
        <w:rPr>
          <w:rFonts w:ascii="Calibri" w:hAnsi="Calibri" w:cs="Calibri"/>
        </w:rPr>
        <w:t>, 1342149 (2024).</w:t>
      </w:r>
    </w:p>
    <w:p w14:paraId="5A2F875D">
      <w:pPr>
        <w:pStyle w:val="11"/>
        <w:numPr>
          <w:ilvl w:val="0"/>
          <w:numId w:val="2"/>
        </w:numPr>
        <w:spacing w:before="0" w:beforeAutospacing="0" w:after="0" w:afterAutospacing="0"/>
        <w:ind w:left="0" w:firstLine="0"/>
        <w:jc w:val="both"/>
        <w:rPr>
          <w:rFonts w:ascii="Calibri" w:hAnsi="Calibri" w:cs="Calibri"/>
        </w:rPr>
      </w:pPr>
      <w:r>
        <w:rPr>
          <w:rFonts w:ascii="Calibri" w:hAnsi="Calibri" w:cs="Calibri"/>
        </w:rPr>
        <w:t xml:space="preserve">Tadge, T. et al. The role of Piezo1 and Piezo2 proteins in tissue engineering: a comprehensive review. </w:t>
      </w:r>
      <w:r>
        <w:rPr>
          <w:rStyle w:val="18"/>
          <w:rFonts w:ascii="Calibri" w:hAnsi="Calibri" w:cs="Calibri"/>
        </w:rPr>
        <w:t>Eng Regen.</w:t>
      </w:r>
      <w:r>
        <w:rPr>
          <w:rFonts w:ascii="Calibri" w:hAnsi="Calibri" w:cs="Calibri"/>
        </w:rPr>
        <w:t xml:space="preserve"> </w:t>
      </w:r>
      <w:r>
        <w:rPr>
          <w:rStyle w:val="16"/>
          <w:rFonts w:ascii="Calibri" w:hAnsi="Calibri" w:cs="Calibri"/>
        </w:rPr>
        <w:t>5</w:t>
      </w:r>
      <w:r>
        <w:rPr>
          <w:rFonts w:ascii="Calibri" w:hAnsi="Calibri" w:cs="Calibri"/>
        </w:rPr>
        <w:t xml:space="preserve"> (2), 170–185 (2024).</w:t>
      </w:r>
    </w:p>
    <w:p w14:paraId="6C68D60C">
      <w:pPr>
        <w:pStyle w:val="11"/>
        <w:numPr>
          <w:ilvl w:val="0"/>
          <w:numId w:val="2"/>
        </w:numPr>
        <w:spacing w:before="0" w:beforeAutospacing="0" w:after="0" w:afterAutospacing="0"/>
        <w:ind w:left="0" w:firstLine="0"/>
        <w:jc w:val="both"/>
        <w:rPr>
          <w:rFonts w:ascii="Calibri" w:hAnsi="Calibri" w:cs="Calibri"/>
        </w:rPr>
      </w:pPr>
      <w:r>
        <w:rPr>
          <w:rFonts w:ascii="Calibri" w:hAnsi="Calibri" w:cs="Calibri"/>
        </w:rPr>
        <w:t xml:space="preserve">Prasad, P., Cancelas, J. A. From marrow to bone and fat: exploring the multifaceted roles of Leptin receptor positive bone marrow mesenchymal stromal cells. </w:t>
      </w:r>
      <w:r>
        <w:rPr>
          <w:rStyle w:val="18"/>
          <w:rFonts w:ascii="Calibri" w:hAnsi="Calibri" w:cs="Calibri"/>
        </w:rPr>
        <w:t>Cells.</w:t>
      </w:r>
      <w:r>
        <w:rPr>
          <w:rFonts w:ascii="Calibri" w:hAnsi="Calibri" w:cs="Calibri"/>
        </w:rPr>
        <w:t xml:space="preserve"> </w:t>
      </w:r>
      <w:r>
        <w:rPr>
          <w:rStyle w:val="16"/>
          <w:rFonts w:ascii="Calibri" w:hAnsi="Calibri" w:cs="Calibri"/>
        </w:rPr>
        <w:t>13</w:t>
      </w:r>
      <w:r>
        <w:rPr>
          <w:rFonts w:ascii="Calibri" w:hAnsi="Calibri" w:cs="Calibri"/>
        </w:rPr>
        <w:t xml:space="preserve"> (11), 910 (2024).</w:t>
      </w:r>
    </w:p>
    <w:p w14:paraId="0CE86D58">
      <w:pPr>
        <w:pStyle w:val="11"/>
        <w:numPr>
          <w:ilvl w:val="0"/>
          <w:numId w:val="2"/>
        </w:numPr>
        <w:spacing w:before="0" w:beforeAutospacing="0" w:after="0" w:afterAutospacing="0"/>
        <w:ind w:left="0" w:firstLine="0"/>
        <w:jc w:val="both"/>
        <w:rPr>
          <w:rFonts w:ascii="Calibri" w:hAnsi="Calibri" w:cs="Calibri"/>
        </w:rPr>
      </w:pPr>
      <w:r>
        <w:rPr>
          <w:rFonts w:ascii="Calibri" w:hAnsi="Calibri" w:cs="Calibri"/>
        </w:rPr>
        <w:t xml:space="preserve">Hart, N. H. et al. Mechanical basis of bone strength: influence of bone material, bone structure and muscle action. </w:t>
      </w:r>
      <w:r>
        <w:rPr>
          <w:rStyle w:val="18"/>
          <w:rFonts w:ascii="Calibri" w:hAnsi="Calibri" w:cs="Calibri"/>
        </w:rPr>
        <w:t>J Musculoskelet Neuronal Interact.</w:t>
      </w:r>
      <w:r>
        <w:rPr>
          <w:rFonts w:ascii="Calibri" w:hAnsi="Calibri" w:cs="Calibri"/>
        </w:rPr>
        <w:t xml:space="preserve"> </w:t>
      </w:r>
      <w:r>
        <w:rPr>
          <w:rStyle w:val="16"/>
          <w:rFonts w:ascii="Calibri" w:hAnsi="Calibri" w:cs="Calibri"/>
        </w:rPr>
        <w:t>17</w:t>
      </w:r>
      <w:r>
        <w:rPr>
          <w:rFonts w:ascii="Calibri" w:hAnsi="Calibri" w:cs="Calibri"/>
        </w:rPr>
        <w:t xml:space="preserve"> (3), 114–139 (2017).</w:t>
      </w:r>
    </w:p>
    <w:p w14:paraId="4BB77A7F">
      <w:pPr>
        <w:pStyle w:val="11"/>
        <w:numPr>
          <w:ilvl w:val="0"/>
          <w:numId w:val="2"/>
        </w:numPr>
        <w:spacing w:before="0" w:beforeAutospacing="0" w:after="0" w:afterAutospacing="0"/>
        <w:ind w:left="0" w:firstLine="0"/>
        <w:jc w:val="both"/>
        <w:rPr>
          <w:rFonts w:ascii="Calibri" w:hAnsi="Calibri" w:cs="Calibri"/>
        </w:rPr>
      </w:pPr>
      <w:r>
        <w:rPr>
          <w:rFonts w:ascii="Calibri" w:hAnsi="Calibri" w:cs="Calibri"/>
        </w:rPr>
        <w:t xml:space="preserve">Zhong, J., He, D. Combination of universal mechanical testing machine with atomic force microscope for materials research. </w:t>
      </w:r>
      <w:r>
        <w:rPr>
          <w:rStyle w:val="18"/>
          <w:rFonts w:ascii="Calibri" w:hAnsi="Calibri" w:cs="Calibri"/>
        </w:rPr>
        <w:t>Sci Rep.</w:t>
      </w:r>
      <w:r>
        <w:rPr>
          <w:rFonts w:ascii="Calibri" w:hAnsi="Calibri" w:cs="Calibri"/>
        </w:rPr>
        <w:t xml:space="preserve"> </w:t>
      </w:r>
      <w:r>
        <w:rPr>
          <w:rStyle w:val="16"/>
          <w:rFonts w:ascii="Calibri" w:hAnsi="Calibri" w:cs="Calibri"/>
        </w:rPr>
        <w:t>5</w:t>
      </w:r>
      <w:r>
        <w:rPr>
          <w:rFonts w:ascii="Calibri" w:hAnsi="Calibri" w:cs="Calibri"/>
        </w:rPr>
        <w:t xml:space="preserve"> (1), 12998 (2015).</w:t>
      </w:r>
    </w:p>
    <w:p w14:paraId="58E33672">
      <w:pPr>
        <w:pStyle w:val="11"/>
        <w:numPr>
          <w:ilvl w:val="0"/>
          <w:numId w:val="2"/>
        </w:numPr>
        <w:spacing w:before="0" w:beforeAutospacing="0" w:after="0" w:afterAutospacing="0"/>
        <w:ind w:left="0" w:firstLine="0"/>
        <w:jc w:val="both"/>
        <w:rPr>
          <w:rFonts w:ascii="Calibri" w:hAnsi="Calibri" w:cs="Calibri"/>
        </w:rPr>
      </w:pPr>
      <w:r>
        <w:rPr>
          <w:rFonts w:ascii="Calibri" w:hAnsi="Calibri" w:cs="Calibri"/>
        </w:rPr>
        <w:t xml:space="preserve">El Kommos, A., Jackson, A. R., Andreopoulos, F., Travascio, F. Development of improved confined compression testing setups for use in stress relaxation testing of viscoelastic biomaterials. </w:t>
      </w:r>
      <w:r>
        <w:rPr>
          <w:rStyle w:val="18"/>
          <w:rFonts w:ascii="Calibri" w:hAnsi="Calibri" w:cs="Calibri"/>
        </w:rPr>
        <w:t>Gels.</w:t>
      </w:r>
      <w:r>
        <w:rPr>
          <w:rFonts w:ascii="Calibri" w:hAnsi="Calibri" w:cs="Calibri"/>
        </w:rPr>
        <w:t xml:space="preserve"> </w:t>
      </w:r>
      <w:r>
        <w:rPr>
          <w:rStyle w:val="16"/>
          <w:rFonts w:ascii="Calibri" w:hAnsi="Calibri" w:cs="Calibri"/>
        </w:rPr>
        <w:t>10</w:t>
      </w:r>
      <w:r>
        <w:rPr>
          <w:rFonts w:ascii="Calibri" w:hAnsi="Calibri" w:cs="Calibri"/>
        </w:rPr>
        <w:t xml:space="preserve"> (5), 329 (2024).</w:t>
      </w:r>
    </w:p>
    <w:p w14:paraId="1FACAB3A">
      <w:pPr>
        <w:pStyle w:val="11"/>
        <w:numPr>
          <w:ilvl w:val="0"/>
          <w:numId w:val="2"/>
        </w:numPr>
        <w:spacing w:before="0" w:beforeAutospacing="0" w:after="0" w:afterAutospacing="0"/>
        <w:ind w:left="0" w:firstLine="0"/>
        <w:jc w:val="both"/>
        <w:rPr>
          <w:rFonts w:ascii="Calibri" w:hAnsi="Calibri" w:cs="Calibri"/>
        </w:rPr>
      </w:pPr>
      <w:r>
        <w:rPr>
          <w:rFonts w:ascii="Calibri" w:hAnsi="Calibri" w:cs="Calibri"/>
        </w:rPr>
        <w:t xml:space="preserve">Lietaert, K., Cutolo, A., Boey, D., Van Hooreweder, B. Fatigue life of additively manufactured Ti6Al4V scaffolds under tension-tension, tension-compression and compression-compression fatigue load. </w:t>
      </w:r>
      <w:r>
        <w:rPr>
          <w:rStyle w:val="18"/>
          <w:rFonts w:ascii="Calibri" w:hAnsi="Calibri" w:cs="Calibri"/>
        </w:rPr>
        <w:t>Sci Rep.</w:t>
      </w:r>
      <w:r>
        <w:rPr>
          <w:rFonts w:ascii="Calibri" w:hAnsi="Calibri" w:cs="Calibri"/>
        </w:rPr>
        <w:t xml:space="preserve"> </w:t>
      </w:r>
      <w:r>
        <w:rPr>
          <w:rStyle w:val="16"/>
          <w:rFonts w:ascii="Calibri" w:hAnsi="Calibri" w:cs="Calibri"/>
        </w:rPr>
        <w:t>8</w:t>
      </w:r>
      <w:r>
        <w:rPr>
          <w:rFonts w:ascii="Calibri" w:hAnsi="Calibri" w:cs="Calibri"/>
        </w:rPr>
        <w:t xml:space="preserve"> (1), 4957 (2018).</w:t>
      </w:r>
    </w:p>
    <w:p w14:paraId="3E31948E">
      <w:pPr>
        <w:pStyle w:val="11"/>
        <w:numPr>
          <w:ilvl w:val="0"/>
          <w:numId w:val="2"/>
        </w:numPr>
        <w:spacing w:before="0" w:beforeAutospacing="0" w:after="0" w:afterAutospacing="0"/>
        <w:ind w:left="0" w:firstLine="0"/>
        <w:jc w:val="both"/>
        <w:rPr>
          <w:rFonts w:ascii="Calibri" w:hAnsi="Calibri" w:cs="Calibri"/>
        </w:rPr>
      </w:pPr>
      <w:r>
        <w:rPr>
          <w:rFonts w:ascii="Calibri" w:hAnsi="Calibri" w:cs="Calibri"/>
        </w:rPr>
        <w:t xml:space="preserve">Bignardi, C., Terzini, M. Novel load systems for in vitro testing of biomaterials and medical devices. </w:t>
      </w:r>
      <w:r>
        <w:rPr>
          <w:rStyle w:val="18"/>
          <w:rFonts w:ascii="Calibri" w:hAnsi="Calibri" w:cs="Calibri"/>
        </w:rPr>
        <w:t>Materials.</w:t>
      </w:r>
      <w:r>
        <w:rPr>
          <w:rFonts w:ascii="Calibri" w:hAnsi="Calibri" w:cs="Calibri"/>
        </w:rPr>
        <w:t xml:space="preserve"> </w:t>
      </w:r>
      <w:r>
        <w:rPr>
          <w:rStyle w:val="16"/>
          <w:rFonts w:ascii="Calibri" w:hAnsi="Calibri" w:cs="Calibri"/>
        </w:rPr>
        <w:t>16</w:t>
      </w:r>
      <w:r>
        <w:rPr>
          <w:rFonts w:ascii="Calibri" w:hAnsi="Calibri" w:cs="Calibri"/>
        </w:rPr>
        <w:t xml:space="preserve"> (2), 465 (2023).</w:t>
      </w:r>
    </w:p>
    <w:p w14:paraId="0F1CE62D">
      <w:pPr>
        <w:pStyle w:val="11"/>
        <w:numPr>
          <w:ilvl w:val="0"/>
          <w:numId w:val="2"/>
        </w:numPr>
        <w:spacing w:before="0" w:beforeAutospacing="0" w:after="0" w:afterAutospacing="0"/>
        <w:ind w:left="0" w:firstLine="0"/>
        <w:jc w:val="both"/>
        <w:rPr>
          <w:rFonts w:ascii="Calibri" w:hAnsi="Calibri" w:cs="Calibri"/>
        </w:rPr>
      </w:pPr>
      <w:r>
        <w:rPr>
          <w:rFonts w:ascii="Calibri" w:hAnsi="Calibri" w:cs="Calibri"/>
        </w:rPr>
        <w:t xml:space="preserve">Teti, A. Bone development: overview of bone cells and signaling. </w:t>
      </w:r>
      <w:r>
        <w:rPr>
          <w:rStyle w:val="18"/>
          <w:rFonts w:ascii="Calibri" w:hAnsi="Calibri" w:cs="Calibri"/>
        </w:rPr>
        <w:t>Curr Osteoporos Rep.</w:t>
      </w:r>
      <w:r>
        <w:rPr>
          <w:rFonts w:ascii="Calibri" w:hAnsi="Calibri" w:cs="Calibri"/>
        </w:rPr>
        <w:t xml:space="preserve"> </w:t>
      </w:r>
      <w:r>
        <w:rPr>
          <w:rStyle w:val="16"/>
          <w:rFonts w:ascii="Calibri" w:hAnsi="Calibri" w:cs="Calibri"/>
        </w:rPr>
        <w:t>9</w:t>
      </w:r>
      <w:r>
        <w:rPr>
          <w:rFonts w:ascii="Calibri" w:hAnsi="Calibri" w:cs="Calibri"/>
        </w:rPr>
        <w:t xml:space="preserve"> (4), 264–273 (2011).</w:t>
      </w:r>
    </w:p>
    <w:p w14:paraId="62B716F9">
      <w:pPr>
        <w:pStyle w:val="11"/>
        <w:numPr>
          <w:ilvl w:val="0"/>
          <w:numId w:val="2"/>
        </w:numPr>
        <w:spacing w:before="0" w:beforeAutospacing="0" w:after="0" w:afterAutospacing="0"/>
        <w:ind w:left="0" w:firstLine="0"/>
        <w:jc w:val="both"/>
        <w:rPr>
          <w:rFonts w:ascii="Calibri" w:hAnsi="Calibri" w:cs="Calibri"/>
        </w:rPr>
      </w:pPr>
      <w:r>
        <w:rPr>
          <w:rFonts w:ascii="Calibri" w:hAnsi="Calibri" w:cs="Calibri"/>
        </w:rPr>
        <w:t xml:space="preserve">McGovern, J. A., Griffin, M., Hutmacher, D. W. Animal models for bone tissue engineering and modelling disease. </w:t>
      </w:r>
      <w:r>
        <w:rPr>
          <w:rStyle w:val="18"/>
          <w:rFonts w:ascii="Calibri" w:hAnsi="Calibri" w:cs="Calibri"/>
        </w:rPr>
        <w:t>Dis Model Mech.</w:t>
      </w:r>
      <w:r>
        <w:rPr>
          <w:rFonts w:ascii="Calibri" w:hAnsi="Calibri" w:cs="Calibri"/>
        </w:rPr>
        <w:t xml:space="preserve"> </w:t>
      </w:r>
      <w:r>
        <w:rPr>
          <w:rStyle w:val="16"/>
          <w:rFonts w:ascii="Calibri" w:hAnsi="Calibri" w:cs="Calibri"/>
        </w:rPr>
        <w:t>11</w:t>
      </w:r>
      <w:r>
        <w:rPr>
          <w:rFonts w:ascii="Calibri" w:hAnsi="Calibri" w:cs="Calibri"/>
        </w:rPr>
        <w:t xml:space="preserve"> (4), dmm033084 (2018).</w:t>
      </w:r>
    </w:p>
    <w:p w14:paraId="24F94B5D">
      <w:pPr>
        <w:pStyle w:val="11"/>
        <w:numPr>
          <w:ilvl w:val="0"/>
          <w:numId w:val="2"/>
        </w:numPr>
        <w:spacing w:before="0" w:beforeAutospacing="0" w:after="0" w:afterAutospacing="0"/>
        <w:ind w:left="0" w:firstLine="0"/>
        <w:jc w:val="both"/>
        <w:rPr>
          <w:rFonts w:ascii="Calibri" w:hAnsi="Calibri" w:cs="Calibri"/>
        </w:rPr>
      </w:pPr>
      <w:r>
        <w:rPr>
          <w:rFonts w:ascii="Calibri" w:hAnsi="Calibri" w:cs="Calibri"/>
        </w:rPr>
        <w:t xml:space="preserve">Malda, J. et al. 25th anniversary article: engineering hydrogels for biofabrication. </w:t>
      </w:r>
      <w:r>
        <w:rPr>
          <w:rStyle w:val="18"/>
          <w:rFonts w:ascii="Calibri" w:hAnsi="Calibri" w:cs="Calibri"/>
        </w:rPr>
        <w:t>Adv Mater.</w:t>
      </w:r>
      <w:r>
        <w:rPr>
          <w:rFonts w:ascii="Calibri" w:hAnsi="Calibri" w:cs="Calibri"/>
        </w:rPr>
        <w:t xml:space="preserve"> </w:t>
      </w:r>
      <w:r>
        <w:rPr>
          <w:rStyle w:val="16"/>
          <w:rFonts w:ascii="Calibri" w:hAnsi="Calibri" w:cs="Calibri"/>
        </w:rPr>
        <w:t>25</w:t>
      </w:r>
      <w:r>
        <w:rPr>
          <w:rFonts w:ascii="Calibri" w:hAnsi="Calibri" w:cs="Calibri"/>
        </w:rPr>
        <w:t xml:space="preserve"> (36), 5011–5028 (2013).</w:t>
      </w:r>
    </w:p>
    <w:p w14:paraId="0ACD00C3">
      <w:pPr>
        <w:pStyle w:val="11"/>
        <w:numPr>
          <w:ilvl w:val="0"/>
          <w:numId w:val="2"/>
        </w:numPr>
        <w:spacing w:before="0" w:beforeAutospacing="0" w:after="0" w:afterAutospacing="0"/>
        <w:ind w:left="0" w:firstLine="0"/>
        <w:jc w:val="both"/>
        <w:rPr>
          <w:rFonts w:ascii="Calibri" w:hAnsi="Calibri" w:cs="Calibri"/>
        </w:rPr>
      </w:pPr>
      <w:r>
        <w:rPr>
          <w:rFonts w:ascii="Calibri" w:hAnsi="Calibri" w:cs="Calibri"/>
        </w:rPr>
        <w:t xml:space="preserve">Altmann, B. et al. Promotion of osteoblast differentiation in 3D biomaterial micro-chip arrays comprising fibronectin-coated poly(methyl methacrylate) polycarbonate. </w:t>
      </w:r>
      <w:r>
        <w:rPr>
          <w:rStyle w:val="18"/>
          <w:rFonts w:ascii="Calibri" w:hAnsi="Calibri" w:cs="Calibri"/>
        </w:rPr>
        <w:t>Biomaterials.</w:t>
      </w:r>
      <w:r>
        <w:rPr>
          <w:rFonts w:ascii="Calibri" w:hAnsi="Calibri" w:cs="Calibri"/>
        </w:rPr>
        <w:t xml:space="preserve"> </w:t>
      </w:r>
      <w:r>
        <w:rPr>
          <w:rStyle w:val="16"/>
          <w:rFonts w:ascii="Calibri" w:hAnsi="Calibri" w:cs="Calibri"/>
        </w:rPr>
        <w:t>32</w:t>
      </w:r>
      <w:r>
        <w:rPr>
          <w:rFonts w:ascii="Calibri" w:hAnsi="Calibri" w:cs="Calibri"/>
        </w:rPr>
        <w:t xml:space="preserve"> (34), 8947–8956 (2011).</w:t>
      </w:r>
    </w:p>
    <w:p w14:paraId="75A2E160">
      <w:pPr>
        <w:pStyle w:val="11"/>
        <w:numPr>
          <w:ilvl w:val="0"/>
          <w:numId w:val="2"/>
        </w:numPr>
        <w:spacing w:before="0" w:beforeAutospacing="0" w:after="0" w:afterAutospacing="0"/>
        <w:ind w:left="0" w:firstLine="0"/>
        <w:jc w:val="both"/>
        <w:rPr>
          <w:rFonts w:ascii="Calibri" w:hAnsi="Calibri" w:cs="Calibri"/>
        </w:rPr>
      </w:pPr>
      <w:r>
        <w:rPr>
          <w:rFonts w:ascii="Calibri" w:hAnsi="Calibri" w:cs="Calibri"/>
        </w:rPr>
        <w:t xml:space="preserve">Bastidas-Coral, A. P. et al. Polymethyl methacrylate does not adversely affect the osteogenic potential of human adipose stem cells or primary osteoblasts. </w:t>
      </w:r>
      <w:r>
        <w:rPr>
          <w:rStyle w:val="18"/>
          <w:rFonts w:ascii="Calibri" w:hAnsi="Calibri" w:cs="Calibri"/>
        </w:rPr>
        <w:t>J Biomed Mater Res B Appl Biomater.</w:t>
      </w:r>
      <w:r>
        <w:rPr>
          <w:rFonts w:ascii="Calibri" w:hAnsi="Calibri" w:cs="Calibri"/>
        </w:rPr>
        <w:t xml:space="preserve"> </w:t>
      </w:r>
      <w:r>
        <w:rPr>
          <w:rStyle w:val="16"/>
          <w:rFonts w:ascii="Calibri" w:hAnsi="Calibri" w:cs="Calibri"/>
        </w:rPr>
        <w:t>108</w:t>
      </w:r>
      <w:r>
        <w:rPr>
          <w:rFonts w:ascii="Calibri" w:hAnsi="Calibri" w:cs="Calibri"/>
        </w:rPr>
        <w:t xml:space="preserve"> (4), 1536–1545 (2020).</w:t>
      </w:r>
    </w:p>
    <w:p w14:paraId="04AD03FC">
      <w:pPr>
        <w:pStyle w:val="11"/>
        <w:numPr>
          <w:ilvl w:val="0"/>
          <w:numId w:val="2"/>
        </w:numPr>
        <w:spacing w:before="0" w:beforeAutospacing="0" w:after="0" w:afterAutospacing="0"/>
        <w:ind w:left="0" w:firstLine="0"/>
        <w:jc w:val="both"/>
        <w:rPr>
          <w:rFonts w:ascii="Calibri" w:hAnsi="Calibri" w:cs="Calibri"/>
        </w:rPr>
      </w:pPr>
      <w:r>
        <w:rPr>
          <w:rFonts w:ascii="Calibri" w:hAnsi="Calibri" w:cs="Calibri"/>
        </w:rPr>
        <w:t xml:space="preserve">Öztürk, Z., Tosun, B. Comparison of 3D printed and conventional denture base materials in terms of durability and performance characteristics. </w:t>
      </w:r>
      <w:r>
        <w:rPr>
          <w:rStyle w:val="18"/>
          <w:rFonts w:ascii="Calibri" w:hAnsi="Calibri" w:cs="Calibri"/>
        </w:rPr>
        <w:t>Sci Rep.</w:t>
      </w:r>
      <w:r>
        <w:rPr>
          <w:rFonts w:ascii="Calibri" w:hAnsi="Calibri" w:cs="Calibri"/>
        </w:rPr>
        <w:t xml:space="preserve"> </w:t>
      </w:r>
      <w:r>
        <w:rPr>
          <w:rStyle w:val="16"/>
          <w:rFonts w:ascii="Calibri" w:hAnsi="Calibri" w:cs="Calibri"/>
        </w:rPr>
        <w:t>15</w:t>
      </w:r>
      <w:r>
        <w:rPr>
          <w:rFonts w:ascii="Calibri" w:hAnsi="Calibri" w:cs="Calibri"/>
        </w:rPr>
        <w:t>, 18234 (2025).</w:t>
      </w:r>
    </w:p>
    <w:p w14:paraId="7C7E816E">
      <w:pPr>
        <w:pStyle w:val="11"/>
        <w:numPr>
          <w:ilvl w:val="0"/>
          <w:numId w:val="2"/>
        </w:numPr>
        <w:spacing w:before="0" w:beforeAutospacing="0" w:after="0" w:afterAutospacing="0"/>
        <w:ind w:left="0" w:firstLine="0"/>
        <w:jc w:val="both"/>
        <w:rPr>
          <w:rFonts w:ascii="Calibri" w:hAnsi="Calibri" w:cs="Calibri"/>
        </w:rPr>
      </w:pPr>
      <w:r>
        <w:rPr>
          <w:rFonts w:ascii="Calibri" w:hAnsi="Calibri" w:cs="Calibri"/>
        </w:rPr>
        <w:t xml:space="preserve">Wu, J. et al. Transcriptomic and cellular decoding of scaffolds-induced suture mesenchyme regeneration. </w:t>
      </w:r>
      <w:r>
        <w:rPr>
          <w:rStyle w:val="18"/>
          <w:rFonts w:ascii="Calibri" w:hAnsi="Calibri" w:cs="Calibri"/>
        </w:rPr>
        <w:t>Int J Oral Sci.</w:t>
      </w:r>
      <w:r>
        <w:rPr>
          <w:rFonts w:ascii="Calibri" w:hAnsi="Calibri" w:cs="Calibri"/>
        </w:rPr>
        <w:t xml:space="preserve"> </w:t>
      </w:r>
      <w:r>
        <w:rPr>
          <w:rStyle w:val="16"/>
          <w:rFonts w:ascii="Calibri" w:hAnsi="Calibri" w:cs="Calibri"/>
        </w:rPr>
        <w:t>16</w:t>
      </w:r>
      <w:r>
        <w:rPr>
          <w:rFonts w:ascii="Calibri" w:hAnsi="Calibri" w:cs="Calibri"/>
        </w:rPr>
        <w:t xml:space="preserve"> (1), 33 (2024).</w:t>
      </w:r>
    </w:p>
    <w:p w14:paraId="1C386395">
      <w:pPr>
        <w:pStyle w:val="11"/>
        <w:numPr>
          <w:ilvl w:val="0"/>
          <w:numId w:val="2"/>
        </w:numPr>
        <w:spacing w:before="0" w:beforeAutospacing="0" w:after="0" w:afterAutospacing="0"/>
        <w:ind w:left="0" w:firstLine="0"/>
        <w:jc w:val="both"/>
        <w:rPr>
          <w:rFonts w:ascii="Calibri" w:hAnsi="Calibri" w:cs="Calibri"/>
        </w:rPr>
      </w:pPr>
      <w:r>
        <w:rPr>
          <w:rFonts w:ascii="Calibri" w:hAnsi="Calibri" w:cs="Calibri"/>
        </w:rPr>
        <w:t xml:space="preserve">Kan, C. et al. BMP-dependent, injury-induced stem cell niche as a mechanism of heterotopic ossification. </w:t>
      </w:r>
      <w:r>
        <w:rPr>
          <w:rStyle w:val="18"/>
          <w:rFonts w:ascii="Calibri" w:hAnsi="Calibri" w:cs="Calibri"/>
        </w:rPr>
        <w:t>Stem Cell Res Ther.</w:t>
      </w:r>
      <w:r>
        <w:rPr>
          <w:rFonts w:ascii="Calibri" w:hAnsi="Calibri" w:cs="Calibri"/>
        </w:rPr>
        <w:t xml:space="preserve"> </w:t>
      </w:r>
      <w:r>
        <w:rPr>
          <w:rStyle w:val="16"/>
          <w:rFonts w:ascii="Calibri" w:hAnsi="Calibri" w:cs="Calibri"/>
        </w:rPr>
        <w:t>10</w:t>
      </w:r>
      <w:r>
        <w:rPr>
          <w:rFonts w:ascii="Calibri" w:hAnsi="Calibri" w:cs="Calibri"/>
        </w:rPr>
        <w:t xml:space="preserve"> (1), 14 (2019).</w:t>
      </w:r>
    </w:p>
    <w:p w14:paraId="686BBF95">
      <w:pPr>
        <w:pStyle w:val="11"/>
        <w:numPr>
          <w:ilvl w:val="0"/>
          <w:numId w:val="2"/>
        </w:numPr>
        <w:spacing w:before="0" w:beforeAutospacing="0" w:after="0" w:afterAutospacing="0"/>
        <w:ind w:left="0" w:firstLine="0"/>
        <w:jc w:val="both"/>
        <w:rPr>
          <w:rFonts w:ascii="Calibri" w:hAnsi="Calibri" w:cs="Calibri"/>
          <w:lang w:eastAsia="zh-CN"/>
        </w:rPr>
      </w:pPr>
      <w:r>
        <w:rPr>
          <w:rFonts w:ascii="Calibri" w:hAnsi="Calibri" w:cs="Calibri"/>
        </w:rPr>
        <w:t xml:space="preserve">Bao, X. et al. 3D biomimetic artificial bone scaffolds with dual-cytokines spatiotemporal delivery for large weight-bearing bone defect repair. </w:t>
      </w:r>
      <w:r>
        <w:rPr>
          <w:rStyle w:val="18"/>
          <w:rFonts w:ascii="Calibri" w:hAnsi="Calibri" w:cs="Calibri"/>
        </w:rPr>
        <w:t>Sci Rep.</w:t>
      </w:r>
      <w:r>
        <w:rPr>
          <w:rFonts w:ascii="Calibri" w:hAnsi="Calibri" w:cs="Calibri"/>
        </w:rPr>
        <w:t xml:space="preserve"> </w:t>
      </w:r>
      <w:r>
        <w:rPr>
          <w:rStyle w:val="16"/>
          <w:rFonts w:ascii="Calibri" w:hAnsi="Calibri" w:cs="Calibri"/>
        </w:rPr>
        <w:t>7</w:t>
      </w:r>
      <w:r>
        <w:rPr>
          <w:rFonts w:ascii="Calibri" w:hAnsi="Calibri" w:cs="Calibri"/>
        </w:rPr>
        <w:t xml:space="preserve"> (1), 7814 (2017).</w:t>
      </w:r>
    </w:p>
    <w:sectPr>
      <w:headerReference r:id="rId5" w:type="first"/>
      <w:headerReference r:id="rId3" w:type="default"/>
      <w:headerReference r:id="rId4" w:type="even"/>
      <w:footerReference r:id="rId6" w:type="even"/>
      <w:pgSz w:w="12240" w:h="15840"/>
      <w:pgMar w:top="1440" w:right="1440" w:bottom="1440" w:left="1440" w:header="720" w:footer="607" w:gutter="0"/>
      <w:lnNumType w:countBy="1" w:restart="continuous"/>
      <w:pgNumType w:start="1"/>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Georgia">
    <w:panose1 w:val="02040502050405020303"/>
    <w:charset w:val="00"/>
    <w:family w:val="roman"/>
    <w:pitch w:val="default"/>
    <w:sig w:usb0="00000287" w:usb1="00000000" w:usb2="00000000" w:usb3="00000000" w:csb0="2000009F" w:csb1="00000000"/>
  </w:font>
  <w:font w:name="MS Mincho">
    <w:altName w:val="Kozuka Mincho Pr6N R"/>
    <w:panose1 w:val="02020609040205080304"/>
    <w:charset w:val="80"/>
    <w:family w:val="modern"/>
    <w:pitch w:val="default"/>
    <w:sig w:usb0="00000000" w:usb1="00000000" w:usb2="08000012" w:usb3="00000000" w:csb0="0002009F" w:csb1="00000000"/>
  </w:font>
  <w:font w:name="ＭＳ 明朝">
    <w:altName w:val="SWAstro"/>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Kozuka Mincho Pr6N R">
    <w:panose1 w:val="02020400000000000000"/>
    <w:charset w:val="80"/>
    <w:family w:val="auto"/>
    <w:pitch w:val="default"/>
    <w:sig w:usb0="000002D7" w:usb1="2AC71C11" w:usb2="00000012" w:usb3="00000000" w:csb0="2002009F" w:csb1="00000000"/>
  </w:font>
  <w:font w:name="SWAstro">
    <w:panose1 w:val="02000400000000000000"/>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FAF56">
    <w:pPr>
      <w:tabs>
        <w:tab w:val="center" w:pos="4680"/>
        <w:tab w:val="right" w:pos="9360"/>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C895B">
    <w:pPr>
      <w:tabs>
        <w:tab w:val="center" w:pos="4680"/>
        <w:tab w:val="left" w:pos="5724"/>
        <w:tab w:val="right" w:pos="9360"/>
      </w:tabs>
      <w:rPr>
        <w:b/>
        <w:color w:val="1F497D"/>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73E89">
    <w:pPr>
      <w:tabs>
        <w:tab w:val="center" w:pos="4680"/>
        <w:tab w:val="right" w:pos="936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5A8FC">
    <w:pPr>
      <w:tabs>
        <w:tab w:val="center" w:pos="4680"/>
        <w:tab w:val="right" w:pos="9360"/>
      </w:tabs>
      <w:jc w:val="right"/>
      <w:rPr>
        <w:b/>
        <w:color w:val="1F497D"/>
        <w:sz w:val="32"/>
        <w:szCs w:val="32"/>
      </w:rPr>
    </w:pPr>
    <w:r>
      <w:rPr>
        <w:b/>
        <w:color w:val="1F497D"/>
        <w:sz w:val="32"/>
        <w:szCs w:val="32"/>
      </w:rPr>
      <w:br w:type="textWrapp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346A5F"/>
    <w:multiLevelType w:val="multilevel"/>
    <w:tmpl w:val="BE346A5F"/>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1B1A59FC"/>
    <w:multiLevelType w:val="multilevel"/>
    <w:tmpl w:val="1B1A59FC"/>
    <w:lvl w:ilvl="0" w:tentative="0">
      <w:start w:val="1"/>
      <w:numFmt w:val="decimal"/>
      <w:lvlText w:val="%1."/>
      <w:lvlJc w:val="left"/>
      <w:pPr>
        <w:ind w:left="720" w:hanging="360"/>
      </w:pPr>
      <w:rPr>
        <w:rFonts w:hint="default" w:ascii="Calibri" w:hAnsi="Calibri" w:cs="Calibr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hideGrammaticalErrors/>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c0MrcwNjQxtzA1tTBU0lEKTi0uzszPAymwqAUAuhuhyCwAAAA="/>
  </w:docVars>
  <w:rsids>
    <w:rsidRoot w:val="006E4797"/>
    <w:rsid w:val="0000263D"/>
    <w:rsid w:val="000056C3"/>
    <w:rsid w:val="00006A1A"/>
    <w:rsid w:val="00007192"/>
    <w:rsid w:val="00007431"/>
    <w:rsid w:val="00007632"/>
    <w:rsid w:val="00012CC2"/>
    <w:rsid w:val="00013E31"/>
    <w:rsid w:val="00022A39"/>
    <w:rsid w:val="00023D5E"/>
    <w:rsid w:val="00026A79"/>
    <w:rsid w:val="00031030"/>
    <w:rsid w:val="0003266E"/>
    <w:rsid w:val="000337EB"/>
    <w:rsid w:val="00041D71"/>
    <w:rsid w:val="00042315"/>
    <w:rsid w:val="00042E95"/>
    <w:rsid w:val="0004355D"/>
    <w:rsid w:val="00046DB9"/>
    <w:rsid w:val="000515EE"/>
    <w:rsid w:val="00051F0E"/>
    <w:rsid w:val="0005588D"/>
    <w:rsid w:val="0005795C"/>
    <w:rsid w:val="00057E7F"/>
    <w:rsid w:val="00061E0E"/>
    <w:rsid w:val="000643E2"/>
    <w:rsid w:val="0007506F"/>
    <w:rsid w:val="000763CA"/>
    <w:rsid w:val="0007664E"/>
    <w:rsid w:val="00076815"/>
    <w:rsid w:val="000823EA"/>
    <w:rsid w:val="00082A5F"/>
    <w:rsid w:val="00085E52"/>
    <w:rsid w:val="00090A50"/>
    <w:rsid w:val="00091173"/>
    <w:rsid w:val="000927E9"/>
    <w:rsid w:val="000941E8"/>
    <w:rsid w:val="00094C20"/>
    <w:rsid w:val="00096D2D"/>
    <w:rsid w:val="000A21C0"/>
    <w:rsid w:val="000A527D"/>
    <w:rsid w:val="000A6691"/>
    <w:rsid w:val="000A6E7E"/>
    <w:rsid w:val="000B2065"/>
    <w:rsid w:val="000B23BA"/>
    <w:rsid w:val="000B2E45"/>
    <w:rsid w:val="000B3087"/>
    <w:rsid w:val="000B41B6"/>
    <w:rsid w:val="000B62FB"/>
    <w:rsid w:val="000B6784"/>
    <w:rsid w:val="000C054C"/>
    <w:rsid w:val="000C11C7"/>
    <w:rsid w:val="000C5312"/>
    <w:rsid w:val="000D03C5"/>
    <w:rsid w:val="000D3D48"/>
    <w:rsid w:val="000D3DFD"/>
    <w:rsid w:val="000E2ABF"/>
    <w:rsid w:val="000E3F21"/>
    <w:rsid w:val="000E4C51"/>
    <w:rsid w:val="000F1C7C"/>
    <w:rsid w:val="000F2440"/>
    <w:rsid w:val="000F263E"/>
    <w:rsid w:val="00100C3B"/>
    <w:rsid w:val="00101383"/>
    <w:rsid w:val="00110B22"/>
    <w:rsid w:val="001114AF"/>
    <w:rsid w:val="001115CF"/>
    <w:rsid w:val="00120BB8"/>
    <w:rsid w:val="0012342E"/>
    <w:rsid w:val="00123E72"/>
    <w:rsid w:val="00125458"/>
    <w:rsid w:val="00126A21"/>
    <w:rsid w:val="00130299"/>
    <w:rsid w:val="001323C7"/>
    <w:rsid w:val="001342C1"/>
    <w:rsid w:val="0013490C"/>
    <w:rsid w:val="00134A44"/>
    <w:rsid w:val="0013576D"/>
    <w:rsid w:val="00144B21"/>
    <w:rsid w:val="00145F2F"/>
    <w:rsid w:val="00147CBA"/>
    <w:rsid w:val="00152036"/>
    <w:rsid w:val="00152E58"/>
    <w:rsid w:val="00153785"/>
    <w:rsid w:val="001657A8"/>
    <w:rsid w:val="001670A8"/>
    <w:rsid w:val="0017540C"/>
    <w:rsid w:val="00176FCE"/>
    <w:rsid w:val="001800F7"/>
    <w:rsid w:val="00181623"/>
    <w:rsid w:val="0018179D"/>
    <w:rsid w:val="001819CE"/>
    <w:rsid w:val="001836A4"/>
    <w:rsid w:val="00186EA1"/>
    <w:rsid w:val="001871D7"/>
    <w:rsid w:val="00192EA5"/>
    <w:rsid w:val="00194C04"/>
    <w:rsid w:val="001959A2"/>
    <w:rsid w:val="001A26B1"/>
    <w:rsid w:val="001A4283"/>
    <w:rsid w:val="001A5937"/>
    <w:rsid w:val="001B1D88"/>
    <w:rsid w:val="001B38C0"/>
    <w:rsid w:val="001B719B"/>
    <w:rsid w:val="001B7535"/>
    <w:rsid w:val="001C073A"/>
    <w:rsid w:val="001C226D"/>
    <w:rsid w:val="001D1CC7"/>
    <w:rsid w:val="001D697D"/>
    <w:rsid w:val="001E044E"/>
    <w:rsid w:val="001E3CA5"/>
    <w:rsid w:val="001E6878"/>
    <w:rsid w:val="001E6D36"/>
    <w:rsid w:val="00200D7B"/>
    <w:rsid w:val="00210DD6"/>
    <w:rsid w:val="0021275E"/>
    <w:rsid w:val="00213226"/>
    <w:rsid w:val="0023296D"/>
    <w:rsid w:val="00233028"/>
    <w:rsid w:val="00233A48"/>
    <w:rsid w:val="00247B84"/>
    <w:rsid w:val="00251447"/>
    <w:rsid w:val="00252077"/>
    <w:rsid w:val="00253200"/>
    <w:rsid w:val="00254AD2"/>
    <w:rsid w:val="00256E10"/>
    <w:rsid w:val="002573FE"/>
    <w:rsid w:val="00257CFA"/>
    <w:rsid w:val="00266ECF"/>
    <w:rsid w:val="00266EEA"/>
    <w:rsid w:val="00280C09"/>
    <w:rsid w:val="00281986"/>
    <w:rsid w:val="002827C7"/>
    <w:rsid w:val="002840CD"/>
    <w:rsid w:val="002907E4"/>
    <w:rsid w:val="002917D6"/>
    <w:rsid w:val="00293E53"/>
    <w:rsid w:val="00294DD9"/>
    <w:rsid w:val="00295FCB"/>
    <w:rsid w:val="00297992"/>
    <w:rsid w:val="002B117D"/>
    <w:rsid w:val="002C286E"/>
    <w:rsid w:val="002C4D45"/>
    <w:rsid w:val="002C509D"/>
    <w:rsid w:val="002D29AF"/>
    <w:rsid w:val="002D328B"/>
    <w:rsid w:val="002D369D"/>
    <w:rsid w:val="002E361B"/>
    <w:rsid w:val="002E4061"/>
    <w:rsid w:val="002E753F"/>
    <w:rsid w:val="002F20A3"/>
    <w:rsid w:val="002F4C72"/>
    <w:rsid w:val="002F73DA"/>
    <w:rsid w:val="003015EF"/>
    <w:rsid w:val="00303DB6"/>
    <w:rsid w:val="00310A14"/>
    <w:rsid w:val="003140BF"/>
    <w:rsid w:val="0031411C"/>
    <w:rsid w:val="0031658E"/>
    <w:rsid w:val="003175D1"/>
    <w:rsid w:val="0032303C"/>
    <w:rsid w:val="00323775"/>
    <w:rsid w:val="00325AA3"/>
    <w:rsid w:val="00327CD7"/>
    <w:rsid w:val="00333EF1"/>
    <w:rsid w:val="00336C13"/>
    <w:rsid w:val="003432D0"/>
    <w:rsid w:val="003445A9"/>
    <w:rsid w:val="00344F1F"/>
    <w:rsid w:val="00346722"/>
    <w:rsid w:val="0035088A"/>
    <w:rsid w:val="00351087"/>
    <w:rsid w:val="00351703"/>
    <w:rsid w:val="003538BA"/>
    <w:rsid w:val="00354874"/>
    <w:rsid w:val="00360201"/>
    <w:rsid w:val="003651D1"/>
    <w:rsid w:val="00366FF9"/>
    <w:rsid w:val="003701E2"/>
    <w:rsid w:val="00370A24"/>
    <w:rsid w:val="00372EA9"/>
    <w:rsid w:val="00384A20"/>
    <w:rsid w:val="003859E9"/>
    <w:rsid w:val="00390040"/>
    <w:rsid w:val="0039018A"/>
    <w:rsid w:val="00393A83"/>
    <w:rsid w:val="003958E9"/>
    <w:rsid w:val="00397353"/>
    <w:rsid w:val="003A2611"/>
    <w:rsid w:val="003A3505"/>
    <w:rsid w:val="003A3742"/>
    <w:rsid w:val="003B307F"/>
    <w:rsid w:val="003B6DC2"/>
    <w:rsid w:val="003C01BD"/>
    <w:rsid w:val="003C281A"/>
    <w:rsid w:val="003D1457"/>
    <w:rsid w:val="003D6415"/>
    <w:rsid w:val="003D6C88"/>
    <w:rsid w:val="003D7CB6"/>
    <w:rsid w:val="003D7E2E"/>
    <w:rsid w:val="003E3119"/>
    <w:rsid w:val="003E58D9"/>
    <w:rsid w:val="003E67D6"/>
    <w:rsid w:val="003E7716"/>
    <w:rsid w:val="003F091C"/>
    <w:rsid w:val="003F5434"/>
    <w:rsid w:val="003F62CD"/>
    <w:rsid w:val="00400206"/>
    <w:rsid w:val="004023FB"/>
    <w:rsid w:val="004029CF"/>
    <w:rsid w:val="0040579A"/>
    <w:rsid w:val="00412A2F"/>
    <w:rsid w:val="00413A8F"/>
    <w:rsid w:val="00423025"/>
    <w:rsid w:val="00423944"/>
    <w:rsid w:val="00427CBB"/>
    <w:rsid w:val="004322A6"/>
    <w:rsid w:val="00442822"/>
    <w:rsid w:val="00443787"/>
    <w:rsid w:val="0044715A"/>
    <w:rsid w:val="004559CB"/>
    <w:rsid w:val="00457AEA"/>
    <w:rsid w:val="00461D44"/>
    <w:rsid w:val="0046292D"/>
    <w:rsid w:val="00464CD6"/>
    <w:rsid w:val="0046553A"/>
    <w:rsid w:val="00471FB8"/>
    <w:rsid w:val="00472B2B"/>
    <w:rsid w:val="0048054E"/>
    <w:rsid w:val="004806E0"/>
    <w:rsid w:val="00481507"/>
    <w:rsid w:val="00481645"/>
    <w:rsid w:val="004862FC"/>
    <w:rsid w:val="00494142"/>
    <w:rsid w:val="004B28AD"/>
    <w:rsid w:val="004B4019"/>
    <w:rsid w:val="004B5390"/>
    <w:rsid w:val="004B5DEE"/>
    <w:rsid w:val="004B6962"/>
    <w:rsid w:val="004C0985"/>
    <w:rsid w:val="004C1994"/>
    <w:rsid w:val="004D0F8C"/>
    <w:rsid w:val="004D32A5"/>
    <w:rsid w:val="004D362E"/>
    <w:rsid w:val="004D3B18"/>
    <w:rsid w:val="004E2D65"/>
    <w:rsid w:val="004E72F9"/>
    <w:rsid w:val="004F4D6C"/>
    <w:rsid w:val="004F5EA8"/>
    <w:rsid w:val="004F5F7A"/>
    <w:rsid w:val="0050017A"/>
    <w:rsid w:val="00505C6F"/>
    <w:rsid w:val="00513CCF"/>
    <w:rsid w:val="00515DB0"/>
    <w:rsid w:val="00517BFC"/>
    <w:rsid w:val="00521EEB"/>
    <w:rsid w:val="005250D9"/>
    <w:rsid w:val="005423AB"/>
    <w:rsid w:val="005459C4"/>
    <w:rsid w:val="00551D82"/>
    <w:rsid w:val="00553140"/>
    <w:rsid w:val="0055319F"/>
    <w:rsid w:val="00562E44"/>
    <w:rsid w:val="00567B1B"/>
    <w:rsid w:val="005704BD"/>
    <w:rsid w:val="005706E8"/>
    <w:rsid w:val="005731E1"/>
    <w:rsid w:val="0057508C"/>
    <w:rsid w:val="00575E55"/>
    <w:rsid w:val="00575ECA"/>
    <w:rsid w:val="00576D4F"/>
    <w:rsid w:val="00580D32"/>
    <w:rsid w:val="00584041"/>
    <w:rsid w:val="00590EEA"/>
    <w:rsid w:val="005935A8"/>
    <w:rsid w:val="005B0973"/>
    <w:rsid w:val="005B46C1"/>
    <w:rsid w:val="005B52F2"/>
    <w:rsid w:val="005B6F49"/>
    <w:rsid w:val="005C48A9"/>
    <w:rsid w:val="005C56DD"/>
    <w:rsid w:val="005D322F"/>
    <w:rsid w:val="005D560F"/>
    <w:rsid w:val="005E3E24"/>
    <w:rsid w:val="005E5E1E"/>
    <w:rsid w:val="005E7444"/>
    <w:rsid w:val="005E7A65"/>
    <w:rsid w:val="005F1C22"/>
    <w:rsid w:val="005F3395"/>
    <w:rsid w:val="005F3B30"/>
    <w:rsid w:val="005F3F83"/>
    <w:rsid w:val="005F4448"/>
    <w:rsid w:val="005F44BA"/>
    <w:rsid w:val="005F6702"/>
    <w:rsid w:val="0060063A"/>
    <w:rsid w:val="00611A38"/>
    <w:rsid w:val="00614274"/>
    <w:rsid w:val="00614C1E"/>
    <w:rsid w:val="00615035"/>
    <w:rsid w:val="00615161"/>
    <w:rsid w:val="00621B2D"/>
    <w:rsid w:val="00622578"/>
    <w:rsid w:val="00622917"/>
    <w:rsid w:val="0062481B"/>
    <w:rsid w:val="0062762E"/>
    <w:rsid w:val="00634672"/>
    <w:rsid w:val="00634EF6"/>
    <w:rsid w:val="00636542"/>
    <w:rsid w:val="00643086"/>
    <w:rsid w:val="00645F53"/>
    <w:rsid w:val="00655B8A"/>
    <w:rsid w:val="006566CA"/>
    <w:rsid w:val="006667CC"/>
    <w:rsid w:val="006747AE"/>
    <w:rsid w:val="00675328"/>
    <w:rsid w:val="006755EE"/>
    <w:rsid w:val="006762F5"/>
    <w:rsid w:val="0068229A"/>
    <w:rsid w:val="006824BF"/>
    <w:rsid w:val="006830A8"/>
    <w:rsid w:val="006871F3"/>
    <w:rsid w:val="00690754"/>
    <w:rsid w:val="006914DD"/>
    <w:rsid w:val="00691E53"/>
    <w:rsid w:val="006928AF"/>
    <w:rsid w:val="00695817"/>
    <w:rsid w:val="00697931"/>
    <w:rsid w:val="006A0AA6"/>
    <w:rsid w:val="006A2851"/>
    <w:rsid w:val="006A2952"/>
    <w:rsid w:val="006A6EAD"/>
    <w:rsid w:val="006A749E"/>
    <w:rsid w:val="006A7FE0"/>
    <w:rsid w:val="006B639A"/>
    <w:rsid w:val="006C1C75"/>
    <w:rsid w:val="006C265C"/>
    <w:rsid w:val="006D4C6E"/>
    <w:rsid w:val="006D77BA"/>
    <w:rsid w:val="006E4797"/>
    <w:rsid w:val="006E7E07"/>
    <w:rsid w:val="006F4115"/>
    <w:rsid w:val="00701DD7"/>
    <w:rsid w:val="007026AE"/>
    <w:rsid w:val="0070444F"/>
    <w:rsid w:val="00710318"/>
    <w:rsid w:val="00710FA9"/>
    <w:rsid w:val="00711E5E"/>
    <w:rsid w:val="00714BE0"/>
    <w:rsid w:val="007167D6"/>
    <w:rsid w:val="007178FA"/>
    <w:rsid w:val="00723B2C"/>
    <w:rsid w:val="00724E8C"/>
    <w:rsid w:val="00725407"/>
    <w:rsid w:val="00730A1E"/>
    <w:rsid w:val="00733ACE"/>
    <w:rsid w:val="00736371"/>
    <w:rsid w:val="007411AA"/>
    <w:rsid w:val="0074304A"/>
    <w:rsid w:val="007479DA"/>
    <w:rsid w:val="00747F24"/>
    <w:rsid w:val="00753CA8"/>
    <w:rsid w:val="007574F7"/>
    <w:rsid w:val="00757C62"/>
    <w:rsid w:val="007622E5"/>
    <w:rsid w:val="00767246"/>
    <w:rsid w:val="00767F16"/>
    <w:rsid w:val="007714A4"/>
    <w:rsid w:val="00771CFE"/>
    <w:rsid w:val="00773839"/>
    <w:rsid w:val="0077553C"/>
    <w:rsid w:val="00781C24"/>
    <w:rsid w:val="00786761"/>
    <w:rsid w:val="007A6D61"/>
    <w:rsid w:val="007A6FC1"/>
    <w:rsid w:val="007B1085"/>
    <w:rsid w:val="007B192F"/>
    <w:rsid w:val="007B1EF6"/>
    <w:rsid w:val="007B738F"/>
    <w:rsid w:val="007C1003"/>
    <w:rsid w:val="007D13B8"/>
    <w:rsid w:val="007D1D33"/>
    <w:rsid w:val="007D3606"/>
    <w:rsid w:val="007D565D"/>
    <w:rsid w:val="007D5AB1"/>
    <w:rsid w:val="007D5AE8"/>
    <w:rsid w:val="007D616C"/>
    <w:rsid w:val="007D6BE0"/>
    <w:rsid w:val="007E306F"/>
    <w:rsid w:val="007F04CA"/>
    <w:rsid w:val="007F2030"/>
    <w:rsid w:val="007F4B73"/>
    <w:rsid w:val="008006DA"/>
    <w:rsid w:val="00803037"/>
    <w:rsid w:val="00813A9B"/>
    <w:rsid w:val="0081419E"/>
    <w:rsid w:val="00817C39"/>
    <w:rsid w:val="008200D0"/>
    <w:rsid w:val="00820B5C"/>
    <w:rsid w:val="00821308"/>
    <w:rsid w:val="00826A28"/>
    <w:rsid w:val="00827E0C"/>
    <w:rsid w:val="0083060E"/>
    <w:rsid w:val="00830B6D"/>
    <w:rsid w:val="008318FC"/>
    <w:rsid w:val="0083356B"/>
    <w:rsid w:val="00834690"/>
    <w:rsid w:val="00837BA7"/>
    <w:rsid w:val="008461C6"/>
    <w:rsid w:val="0084657D"/>
    <w:rsid w:val="00850E89"/>
    <w:rsid w:val="008553A7"/>
    <w:rsid w:val="00860BC5"/>
    <w:rsid w:val="00861F4C"/>
    <w:rsid w:val="0086628F"/>
    <w:rsid w:val="008701D3"/>
    <w:rsid w:val="0089094C"/>
    <w:rsid w:val="00890D0E"/>
    <w:rsid w:val="00891B6F"/>
    <w:rsid w:val="0089398D"/>
    <w:rsid w:val="008A4859"/>
    <w:rsid w:val="008A5661"/>
    <w:rsid w:val="008A5CFA"/>
    <w:rsid w:val="008B0233"/>
    <w:rsid w:val="008B2D50"/>
    <w:rsid w:val="008B35D2"/>
    <w:rsid w:val="008B5AB9"/>
    <w:rsid w:val="008C7161"/>
    <w:rsid w:val="008E255B"/>
    <w:rsid w:val="008E4E42"/>
    <w:rsid w:val="008F1B02"/>
    <w:rsid w:val="008F398A"/>
    <w:rsid w:val="00905A88"/>
    <w:rsid w:val="00905D93"/>
    <w:rsid w:val="00910A2E"/>
    <w:rsid w:val="00916EDA"/>
    <w:rsid w:val="00917B82"/>
    <w:rsid w:val="009205BC"/>
    <w:rsid w:val="009224C1"/>
    <w:rsid w:val="00923060"/>
    <w:rsid w:val="009352C6"/>
    <w:rsid w:val="00943157"/>
    <w:rsid w:val="009476CC"/>
    <w:rsid w:val="00947C6C"/>
    <w:rsid w:val="0095158D"/>
    <w:rsid w:val="00951B41"/>
    <w:rsid w:val="00954216"/>
    <w:rsid w:val="009550EB"/>
    <w:rsid w:val="00957D95"/>
    <w:rsid w:val="00960BCD"/>
    <w:rsid w:val="00961064"/>
    <w:rsid w:val="00961DCD"/>
    <w:rsid w:val="00970AE6"/>
    <w:rsid w:val="00980257"/>
    <w:rsid w:val="00993803"/>
    <w:rsid w:val="00994F50"/>
    <w:rsid w:val="00995C8C"/>
    <w:rsid w:val="00997756"/>
    <w:rsid w:val="00997FFC"/>
    <w:rsid w:val="009A35FD"/>
    <w:rsid w:val="009A3EF5"/>
    <w:rsid w:val="009A490A"/>
    <w:rsid w:val="009B2DB9"/>
    <w:rsid w:val="009B5F94"/>
    <w:rsid w:val="009C0957"/>
    <w:rsid w:val="009C2B96"/>
    <w:rsid w:val="009C347D"/>
    <w:rsid w:val="009C34DD"/>
    <w:rsid w:val="009C5387"/>
    <w:rsid w:val="009C643C"/>
    <w:rsid w:val="009D1B66"/>
    <w:rsid w:val="009D6370"/>
    <w:rsid w:val="009D7797"/>
    <w:rsid w:val="009E331B"/>
    <w:rsid w:val="009E7A0E"/>
    <w:rsid w:val="009E7DFB"/>
    <w:rsid w:val="009F116A"/>
    <w:rsid w:val="009F5FFC"/>
    <w:rsid w:val="00A03D3D"/>
    <w:rsid w:val="00A07E1F"/>
    <w:rsid w:val="00A12EBB"/>
    <w:rsid w:val="00A141B9"/>
    <w:rsid w:val="00A1684A"/>
    <w:rsid w:val="00A17191"/>
    <w:rsid w:val="00A17AD3"/>
    <w:rsid w:val="00A31454"/>
    <w:rsid w:val="00A34C29"/>
    <w:rsid w:val="00A358BF"/>
    <w:rsid w:val="00A371B9"/>
    <w:rsid w:val="00A3793B"/>
    <w:rsid w:val="00A4095B"/>
    <w:rsid w:val="00A443E1"/>
    <w:rsid w:val="00A51250"/>
    <w:rsid w:val="00A56528"/>
    <w:rsid w:val="00A6273A"/>
    <w:rsid w:val="00A62D74"/>
    <w:rsid w:val="00A67B8C"/>
    <w:rsid w:val="00A710C7"/>
    <w:rsid w:val="00A74903"/>
    <w:rsid w:val="00A7597C"/>
    <w:rsid w:val="00A7772E"/>
    <w:rsid w:val="00A91F25"/>
    <w:rsid w:val="00A960D6"/>
    <w:rsid w:val="00AA1C94"/>
    <w:rsid w:val="00AA3743"/>
    <w:rsid w:val="00AA79D5"/>
    <w:rsid w:val="00AB34B1"/>
    <w:rsid w:val="00AB5A90"/>
    <w:rsid w:val="00AC4C13"/>
    <w:rsid w:val="00AC5E79"/>
    <w:rsid w:val="00AD1824"/>
    <w:rsid w:val="00AD3342"/>
    <w:rsid w:val="00AD60F8"/>
    <w:rsid w:val="00AE1D8A"/>
    <w:rsid w:val="00AE2598"/>
    <w:rsid w:val="00AE526D"/>
    <w:rsid w:val="00AE668C"/>
    <w:rsid w:val="00AE765C"/>
    <w:rsid w:val="00AF1281"/>
    <w:rsid w:val="00AF178B"/>
    <w:rsid w:val="00AF1AFE"/>
    <w:rsid w:val="00B00FE2"/>
    <w:rsid w:val="00B0119E"/>
    <w:rsid w:val="00B0617F"/>
    <w:rsid w:val="00B1372E"/>
    <w:rsid w:val="00B22D25"/>
    <w:rsid w:val="00B240C0"/>
    <w:rsid w:val="00B244C0"/>
    <w:rsid w:val="00B26BE7"/>
    <w:rsid w:val="00B2730F"/>
    <w:rsid w:val="00B27D9B"/>
    <w:rsid w:val="00B43E5E"/>
    <w:rsid w:val="00B4788E"/>
    <w:rsid w:val="00B501CB"/>
    <w:rsid w:val="00B51A77"/>
    <w:rsid w:val="00B62849"/>
    <w:rsid w:val="00B62A03"/>
    <w:rsid w:val="00B6653B"/>
    <w:rsid w:val="00B67E8C"/>
    <w:rsid w:val="00B70292"/>
    <w:rsid w:val="00B7251D"/>
    <w:rsid w:val="00B777F5"/>
    <w:rsid w:val="00B808E2"/>
    <w:rsid w:val="00B9262B"/>
    <w:rsid w:val="00B95ED6"/>
    <w:rsid w:val="00BA1A8F"/>
    <w:rsid w:val="00BA6712"/>
    <w:rsid w:val="00BA6FEC"/>
    <w:rsid w:val="00BB1F8C"/>
    <w:rsid w:val="00BB43E7"/>
    <w:rsid w:val="00BB4682"/>
    <w:rsid w:val="00BB5144"/>
    <w:rsid w:val="00BC330B"/>
    <w:rsid w:val="00BC4246"/>
    <w:rsid w:val="00BC5F9F"/>
    <w:rsid w:val="00BD183D"/>
    <w:rsid w:val="00BD1A07"/>
    <w:rsid w:val="00BD2413"/>
    <w:rsid w:val="00BE023C"/>
    <w:rsid w:val="00BE22A2"/>
    <w:rsid w:val="00BE3CC0"/>
    <w:rsid w:val="00BE62C3"/>
    <w:rsid w:val="00BE6D29"/>
    <w:rsid w:val="00BF3F7F"/>
    <w:rsid w:val="00BF40DB"/>
    <w:rsid w:val="00BF6296"/>
    <w:rsid w:val="00BF6C04"/>
    <w:rsid w:val="00C04689"/>
    <w:rsid w:val="00C07E35"/>
    <w:rsid w:val="00C11D93"/>
    <w:rsid w:val="00C12C3D"/>
    <w:rsid w:val="00C1615D"/>
    <w:rsid w:val="00C164E0"/>
    <w:rsid w:val="00C20171"/>
    <w:rsid w:val="00C216DF"/>
    <w:rsid w:val="00C27C71"/>
    <w:rsid w:val="00C32526"/>
    <w:rsid w:val="00C362D9"/>
    <w:rsid w:val="00C40D2E"/>
    <w:rsid w:val="00C4222D"/>
    <w:rsid w:val="00C42EF7"/>
    <w:rsid w:val="00C4367F"/>
    <w:rsid w:val="00C45415"/>
    <w:rsid w:val="00C456D4"/>
    <w:rsid w:val="00C45DCA"/>
    <w:rsid w:val="00C51AE8"/>
    <w:rsid w:val="00C53B8A"/>
    <w:rsid w:val="00C550F3"/>
    <w:rsid w:val="00C609D7"/>
    <w:rsid w:val="00C647EB"/>
    <w:rsid w:val="00C64A94"/>
    <w:rsid w:val="00C652D8"/>
    <w:rsid w:val="00C65D88"/>
    <w:rsid w:val="00C664C5"/>
    <w:rsid w:val="00C71AC6"/>
    <w:rsid w:val="00C745F9"/>
    <w:rsid w:val="00C74910"/>
    <w:rsid w:val="00C76730"/>
    <w:rsid w:val="00C81C8E"/>
    <w:rsid w:val="00C83F11"/>
    <w:rsid w:val="00C905E3"/>
    <w:rsid w:val="00C94063"/>
    <w:rsid w:val="00C954E2"/>
    <w:rsid w:val="00CA5349"/>
    <w:rsid w:val="00CA5A59"/>
    <w:rsid w:val="00CB1713"/>
    <w:rsid w:val="00CB2008"/>
    <w:rsid w:val="00CB5FF5"/>
    <w:rsid w:val="00CC3A6D"/>
    <w:rsid w:val="00CC4972"/>
    <w:rsid w:val="00CC54E4"/>
    <w:rsid w:val="00CD0903"/>
    <w:rsid w:val="00CD43EE"/>
    <w:rsid w:val="00CD6B09"/>
    <w:rsid w:val="00CE002A"/>
    <w:rsid w:val="00CE0417"/>
    <w:rsid w:val="00CE1D3A"/>
    <w:rsid w:val="00CE615C"/>
    <w:rsid w:val="00CE7538"/>
    <w:rsid w:val="00CF07E9"/>
    <w:rsid w:val="00CF37AD"/>
    <w:rsid w:val="00CF458D"/>
    <w:rsid w:val="00D00369"/>
    <w:rsid w:val="00D04B9E"/>
    <w:rsid w:val="00D07994"/>
    <w:rsid w:val="00D07A90"/>
    <w:rsid w:val="00D103DC"/>
    <w:rsid w:val="00D1510F"/>
    <w:rsid w:val="00D17C79"/>
    <w:rsid w:val="00D20849"/>
    <w:rsid w:val="00D221A3"/>
    <w:rsid w:val="00D23EC5"/>
    <w:rsid w:val="00D30352"/>
    <w:rsid w:val="00D31F0A"/>
    <w:rsid w:val="00D32095"/>
    <w:rsid w:val="00D374F0"/>
    <w:rsid w:val="00D4055B"/>
    <w:rsid w:val="00D412EF"/>
    <w:rsid w:val="00D41D0C"/>
    <w:rsid w:val="00D447D6"/>
    <w:rsid w:val="00D4509F"/>
    <w:rsid w:val="00D501C0"/>
    <w:rsid w:val="00D5460C"/>
    <w:rsid w:val="00D54959"/>
    <w:rsid w:val="00D56DD2"/>
    <w:rsid w:val="00D6000D"/>
    <w:rsid w:val="00D62A59"/>
    <w:rsid w:val="00D6372F"/>
    <w:rsid w:val="00D670B8"/>
    <w:rsid w:val="00D74569"/>
    <w:rsid w:val="00D75711"/>
    <w:rsid w:val="00D8553B"/>
    <w:rsid w:val="00D959E7"/>
    <w:rsid w:val="00DA60D5"/>
    <w:rsid w:val="00DC4CDA"/>
    <w:rsid w:val="00DC6631"/>
    <w:rsid w:val="00DC6B41"/>
    <w:rsid w:val="00DD0D2A"/>
    <w:rsid w:val="00DD49A6"/>
    <w:rsid w:val="00DD5D00"/>
    <w:rsid w:val="00DE18F0"/>
    <w:rsid w:val="00DE2AD4"/>
    <w:rsid w:val="00DF06EA"/>
    <w:rsid w:val="00DF5302"/>
    <w:rsid w:val="00E0094B"/>
    <w:rsid w:val="00E016D6"/>
    <w:rsid w:val="00E03911"/>
    <w:rsid w:val="00E03E58"/>
    <w:rsid w:val="00E04765"/>
    <w:rsid w:val="00E069AA"/>
    <w:rsid w:val="00E10FF4"/>
    <w:rsid w:val="00E1411F"/>
    <w:rsid w:val="00E258F7"/>
    <w:rsid w:val="00E3339F"/>
    <w:rsid w:val="00E34CE3"/>
    <w:rsid w:val="00E3519B"/>
    <w:rsid w:val="00E358C6"/>
    <w:rsid w:val="00E401D5"/>
    <w:rsid w:val="00E451E9"/>
    <w:rsid w:val="00E53067"/>
    <w:rsid w:val="00E56C4F"/>
    <w:rsid w:val="00E602ED"/>
    <w:rsid w:val="00E65E00"/>
    <w:rsid w:val="00E6667A"/>
    <w:rsid w:val="00E67C63"/>
    <w:rsid w:val="00E700A7"/>
    <w:rsid w:val="00E70FF6"/>
    <w:rsid w:val="00E82DC5"/>
    <w:rsid w:val="00E835F7"/>
    <w:rsid w:val="00E83B17"/>
    <w:rsid w:val="00E9128C"/>
    <w:rsid w:val="00E929AC"/>
    <w:rsid w:val="00EA215F"/>
    <w:rsid w:val="00EA562D"/>
    <w:rsid w:val="00EA5D8E"/>
    <w:rsid w:val="00EA69AF"/>
    <w:rsid w:val="00EB1E68"/>
    <w:rsid w:val="00EB3214"/>
    <w:rsid w:val="00EC0649"/>
    <w:rsid w:val="00EC26E0"/>
    <w:rsid w:val="00ED4C8D"/>
    <w:rsid w:val="00EE425F"/>
    <w:rsid w:val="00EF307A"/>
    <w:rsid w:val="00EF7970"/>
    <w:rsid w:val="00F052D8"/>
    <w:rsid w:val="00F057B6"/>
    <w:rsid w:val="00F06E61"/>
    <w:rsid w:val="00F07ED7"/>
    <w:rsid w:val="00F30F6B"/>
    <w:rsid w:val="00F33864"/>
    <w:rsid w:val="00F37142"/>
    <w:rsid w:val="00F40A9B"/>
    <w:rsid w:val="00F41C3F"/>
    <w:rsid w:val="00F46DF7"/>
    <w:rsid w:val="00F519AD"/>
    <w:rsid w:val="00F77836"/>
    <w:rsid w:val="00F85538"/>
    <w:rsid w:val="00F86BD9"/>
    <w:rsid w:val="00F86EC5"/>
    <w:rsid w:val="00F870DF"/>
    <w:rsid w:val="00F87570"/>
    <w:rsid w:val="00F91D81"/>
    <w:rsid w:val="00FA2489"/>
    <w:rsid w:val="00FA2702"/>
    <w:rsid w:val="00FA4E78"/>
    <w:rsid w:val="00FA6C9C"/>
    <w:rsid w:val="00FB7BE7"/>
    <w:rsid w:val="00FC27CF"/>
    <w:rsid w:val="00FC2B79"/>
    <w:rsid w:val="00FC4A05"/>
    <w:rsid w:val="00FC7270"/>
    <w:rsid w:val="00FC7C56"/>
    <w:rsid w:val="00FD2DF9"/>
    <w:rsid w:val="00FD59BC"/>
    <w:rsid w:val="00FD59D8"/>
    <w:rsid w:val="00FE2FAB"/>
    <w:rsid w:val="00FE428E"/>
    <w:rsid w:val="00FE42A4"/>
    <w:rsid w:val="00FF0E8D"/>
    <w:rsid w:val="00FF375E"/>
    <w:rsid w:val="00FF464E"/>
    <w:rsid w:val="08062E4D"/>
    <w:rsid w:val="086B25FD"/>
    <w:rsid w:val="0A790505"/>
    <w:rsid w:val="0A951FA8"/>
    <w:rsid w:val="0AC7123A"/>
    <w:rsid w:val="160D333B"/>
    <w:rsid w:val="1F8A2A98"/>
    <w:rsid w:val="214C05EC"/>
    <w:rsid w:val="2DF42B0E"/>
    <w:rsid w:val="42073343"/>
    <w:rsid w:val="52834497"/>
    <w:rsid w:val="58702CDA"/>
    <w:rsid w:val="5BB91F3C"/>
    <w:rsid w:val="77DE1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Calibri" w:eastAsiaTheme="minorEastAsia"/>
      <w:sz w:val="24"/>
      <w:szCs w:val="24"/>
      <w:lang w:val="en-US" w:eastAsia="en-US" w:bidi="ar-SA"/>
    </w:rPr>
  </w:style>
  <w:style w:type="paragraph" w:styleId="2">
    <w:name w:val="heading 1"/>
    <w:basedOn w:val="1"/>
    <w:next w:val="1"/>
    <w:qFormat/>
    <w:uiPriority w:val="9"/>
    <w:pPr>
      <w:keepNext/>
      <w:spacing w:before="240" w:after="60"/>
      <w:outlineLvl w:val="0"/>
    </w:pPr>
    <w:rPr>
      <w:b/>
      <w:sz w:val="28"/>
      <w:szCs w:val="28"/>
    </w:rPr>
  </w:style>
  <w:style w:type="paragraph" w:styleId="3">
    <w:name w:val="heading 2"/>
    <w:basedOn w:val="1"/>
    <w:next w:val="1"/>
    <w:semiHidden/>
    <w:unhideWhenUsed/>
    <w:qFormat/>
    <w:uiPriority w:val="9"/>
    <w:pPr>
      <w:keepNext/>
      <w:outlineLvl w:val="1"/>
    </w:pPr>
    <w:rPr>
      <w:b/>
    </w:rPr>
  </w:style>
  <w:style w:type="paragraph" w:styleId="4">
    <w:name w:val="heading 3"/>
    <w:basedOn w:val="1"/>
    <w:next w:val="1"/>
    <w:semiHidden/>
    <w:unhideWhenUsed/>
    <w:qFormat/>
    <w:uiPriority w:val="9"/>
    <w:pPr>
      <w:keepNext/>
      <w:keepLines/>
      <w:spacing w:before="200"/>
      <w:outlineLvl w:val="2"/>
    </w:pPr>
    <w:rPr>
      <w:rFonts w:ascii="Cambria" w:hAnsi="Cambria" w:eastAsia="Cambria" w:cs="Cambria"/>
      <w:b/>
      <w:color w:val="4F81BD"/>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8">
    <w:name w:val="annotation text"/>
    <w:basedOn w:val="1"/>
    <w:link w:val="26"/>
    <w:unhideWhenUsed/>
    <w:qFormat/>
    <w:uiPriority w:val="99"/>
    <w:rPr>
      <w:sz w:val="20"/>
      <w:szCs w:val="20"/>
    </w:rPr>
  </w:style>
  <w:style w:type="paragraph" w:styleId="9">
    <w:name w:val="footer"/>
    <w:basedOn w:val="1"/>
    <w:link w:val="23"/>
    <w:unhideWhenUsed/>
    <w:qFormat/>
    <w:uiPriority w:val="99"/>
    <w:pPr>
      <w:tabs>
        <w:tab w:val="center" w:pos="4680"/>
        <w:tab w:val="right" w:pos="9360"/>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Normal (Web)"/>
    <w:basedOn w:val="1"/>
    <w:unhideWhenUsed/>
    <w:uiPriority w:val="99"/>
    <w:pPr>
      <w:widowControl/>
      <w:spacing w:before="100" w:beforeAutospacing="1" w:after="100" w:afterAutospacing="1"/>
      <w:jc w:val="left"/>
    </w:pPr>
    <w:rPr>
      <w:rFonts w:ascii="Times New Roman" w:hAnsi="Times New Roman" w:eastAsia="Times New Roman" w:cs="Times New Roman"/>
      <w:lang w:val="en-IN" w:eastAsia="en-IN"/>
    </w:rPr>
  </w:style>
  <w:style w:type="paragraph" w:styleId="12">
    <w:name w:val="Title"/>
    <w:basedOn w:val="1"/>
    <w:next w:val="1"/>
    <w:qFormat/>
    <w:uiPriority w:val="10"/>
    <w:pPr>
      <w:keepNext/>
      <w:keepLines/>
      <w:spacing w:before="480" w:after="120"/>
    </w:pPr>
    <w:rPr>
      <w:b/>
      <w:sz w:val="72"/>
      <w:szCs w:val="72"/>
    </w:rPr>
  </w:style>
  <w:style w:type="paragraph" w:styleId="13">
    <w:name w:val="annotation subject"/>
    <w:basedOn w:val="8"/>
    <w:next w:val="8"/>
    <w:link w:val="27"/>
    <w:semiHidden/>
    <w:unhideWhenUsed/>
    <w:qFormat/>
    <w:uiPriority w:val="99"/>
    <w:rPr>
      <w:b/>
      <w:bCs/>
    </w:rPr>
  </w:style>
  <w:style w:type="character" w:styleId="16">
    <w:name w:val="Strong"/>
    <w:basedOn w:val="15"/>
    <w:qFormat/>
    <w:uiPriority w:val="22"/>
    <w:rPr>
      <w:b/>
      <w:bCs/>
    </w:rPr>
  </w:style>
  <w:style w:type="character" w:styleId="17">
    <w:name w:val="FollowedHyperlink"/>
    <w:basedOn w:val="15"/>
    <w:semiHidden/>
    <w:unhideWhenUsed/>
    <w:qFormat/>
    <w:uiPriority w:val="99"/>
    <w:rPr>
      <w:color w:val="800080" w:themeColor="followedHyperlink"/>
      <w:u w:val="single"/>
      <w14:textFill>
        <w14:solidFill>
          <w14:schemeClr w14:val="folHlink"/>
        </w14:solidFill>
      </w14:textFill>
    </w:rPr>
  </w:style>
  <w:style w:type="character" w:styleId="18">
    <w:name w:val="Emphasis"/>
    <w:basedOn w:val="15"/>
    <w:qFormat/>
    <w:uiPriority w:val="20"/>
    <w:rPr>
      <w:i/>
      <w:iCs/>
    </w:rPr>
  </w:style>
  <w:style w:type="character" w:styleId="19">
    <w:name w:val="line number"/>
    <w:basedOn w:val="15"/>
    <w:semiHidden/>
    <w:unhideWhenUsed/>
    <w:qFormat/>
    <w:uiPriority w:val="99"/>
  </w:style>
  <w:style w:type="character" w:styleId="20">
    <w:name w:val="Hyperlink"/>
    <w:basedOn w:val="15"/>
    <w:unhideWhenUsed/>
    <w:qFormat/>
    <w:uiPriority w:val="99"/>
    <w:rPr>
      <w:color w:val="0000FF" w:themeColor="hyperlink"/>
      <w:u w:val="single"/>
      <w14:textFill>
        <w14:solidFill>
          <w14:schemeClr w14:val="hlink"/>
        </w14:solidFill>
      </w14:textFill>
    </w:rPr>
  </w:style>
  <w:style w:type="character" w:styleId="21">
    <w:name w:val="annotation reference"/>
    <w:basedOn w:val="15"/>
    <w:semiHidden/>
    <w:unhideWhenUsed/>
    <w:qFormat/>
    <w:uiPriority w:val="99"/>
    <w:rPr>
      <w:sz w:val="16"/>
      <w:szCs w:val="16"/>
    </w:rPr>
  </w:style>
  <w:style w:type="character" w:customStyle="1" w:styleId="22">
    <w:name w:val="未处理的提及1"/>
    <w:basedOn w:val="15"/>
    <w:semiHidden/>
    <w:unhideWhenUsed/>
    <w:qFormat/>
    <w:uiPriority w:val="99"/>
    <w:rPr>
      <w:color w:val="605E5C"/>
      <w:shd w:val="clear" w:color="auto" w:fill="E1DFDD"/>
    </w:rPr>
  </w:style>
  <w:style w:type="character" w:customStyle="1" w:styleId="23">
    <w:name w:val="页脚 字符"/>
    <w:basedOn w:val="15"/>
    <w:link w:val="9"/>
    <w:qFormat/>
    <w:uiPriority w:val="99"/>
  </w:style>
  <w:style w:type="paragraph" w:customStyle="1" w:styleId="24">
    <w:name w:val="修订1"/>
    <w:hidden/>
    <w:semiHidden/>
    <w:qFormat/>
    <w:uiPriority w:val="99"/>
    <w:rPr>
      <w:rFonts w:ascii="Calibri" w:hAnsi="Calibri" w:cs="Calibri" w:eastAsiaTheme="minorEastAsia"/>
      <w:sz w:val="24"/>
      <w:szCs w:val="24"/>
      <w:lang w:val="en-US" w:eastAsia="en-US" w:bidi="ar-SA"/>
    </w:rPr>
  </w:style>
  <w:style w:type="paragraph" w:styleId="25">
    <w:name w:val="List Paragraph"/>
    <w:basedOn w:val="1"/>
    <w:qFormat/>
    <w:uiPriority w:val="34"/>
    <w:pPr>
      <w:widowControl/>
      <w:spacing w:after="200" w:line="276" w:lineRule="auto"/>
      <w:ind w:left="720"/>
      <w:contextualSpacing/>
      <w:jc w:val="left"/>
    </w:pPr>
    <w:rPr>
      <w:rFonts w:asciiTheme="minorHAnsi" w:hAnsiTheme="minorHAnsi" w:eastAsiaTheme="minorHAnsi" w:cstheme="minorBidi"/>
      <w:sz w:val="22"/>
      <w:szCs w:val="22"/>
    </w:rPr>
  </w:style>
  <w:style w:type="character" w:customStyle="1" w:styleId="26">
    <w:name w:val="批注文字 字符"/>
    <w:basedOn w:val="15"/>
    <w:link w:val="8"/>
    <w:qFormat/>
    <w:uiPriority w:val="99"/>
    <w:rPr>
      <w:sz w:val="20"/>
      <w:szCs w:val="20"/>
    </w:rPr>
  </w:style>
  <w:style w:type="character" w:customStyle="1" w:styleId="27">
    <w:name w:val="批注主题 字符"/>
    <w:basedOn w:val="26"/>
    <w:link w:val="13"/>
    <w:semiHidden/>
    <w:qFormat/>
    <w:uiPriority w:val="99"/>
    <w:rPr>
      <w:b/>
      <w:bCs/>
      <w:sz w:val="20"/>
      <w:szCs w:val="20"/>
    </w:rPr>
  </w:style>
  <w:style w:type="paragraph" w:customStyle="1" w:styleId="28">
    <w:name w:val="书目1"/>
    <w:basedOn w:val="1"/>
    <w:next w:val="1"/>
    <w:unhideWhenUsed/>
    <w:qFormat/>
    <w:uiPriority w:val="37"/>
    <w:pPr>
      <w:tabs>
        <w:tab w:val="left" w:pos="384"/>
      </w:tabs>
      <w:ind w:left="384" w:hanging="384"/>
    </w:pPr>
  </w:style>
  <w:style w:type="paragraph" w:customStyle="1" w:styleId="29">
    <w:name w:val="修订2"/>
    <w:hidden/>
    <w:unhideWhenUsed/>
    <w:qFormat/>
    <w:uiPriority w:val="99"/>
    <w:rPr>
      <w:rFonts w:ascii="Calibri" w:hAnsi="Calibri" w:cs="Calibri" w:eastAsiaTheme="minorEastAsia"/>
      <w:sz w:val="24"/>
      <w:szCs w:val="24"/>
      <w:lang w:val="en-US" w:eastAsia="en-US" w:bidi="ar-SA"/>
    </w:rPr>
  </w:style>
  <w:style w:type="character" w:customStyle="1" w:styleId="30">
    <w:name w:val="未处理的提及2"/>
    <w:basedOn w:val="15"/>
    <w:semiHidden/>
    <w:unhideWhenUsed/>
    <w:qFormat/>
    <w:uiPriority w:val="99"/>
    <w:rPr>
      <w:color w:val="605E5C"/>
      <w:shd w:val="clear" w:color="auto" w:fill="E1DFDD"/>
    </w:rPr>
  </w:style>
  <w:style w:type="paragraph" w:customStyle="1" w:styleId="31">
    <w:name w:val="修订3"/>
    <w:hidden/>
    <w:unhideWhenUsed/>
    <w:qFormat/>
    <w:uiPriority w:val="99"/>
    <w:rPr>
      <w:rFonts w:ascii="Calibri" w:hAnsi="Calibri" w:cs="Calibri" w:eastAsiaTheme="minorEastAsia"/>
      <w:sz w:val="24"/>
      <w:szCs w:val="24"/>
      <w:lang w:val="en-US" w:eastAsia="en-US" w:bidi="ar-SA"/>
    </w:rPr>
  </w:style>
  <w:style w:type="paragraph" w:customStyle="1" w:styleId="32">
    <w:name w:val="书目2"/>
    <w:basedOn w:val="1"/>
    <w:next w:val="1"/>
    <w:unhideWhenUsed/>
    <w:qFormat/>
    <w:uiPriority w:val="37"/>
  </w:style>
  <w:style w:type="paragraph" w:customStyle="1" w:styleId="33">
    <w:name w:val="书目3"/>
    <w:basedOn w:val="1"/>
    <w:next w:val="1"/>
    <w:unhideWhenUsed/>
    <w:qFormat/>
    <w:uiPriority w:val="37"/>
  </w:style>
  <w:style w:type="paragraph" w:customStyle="1" w:styleId="34">
    <w:name w:val="书目4"/>
    <w:basedOn w:val="1"/>
    <w:next w:val="1"/>
    <w:unhideWhenUsed/>
    <w:qFormat/>
    <w:uiPriority w:val="37"/>
  </w:style>
  <w:style w:type="paragraph" w:customStyle="1" w:styleId="35">
    <w:name w:val="修订4"/>
    <w:hidden/>
    <w:unhideWhenUsed/>
    <w:uiPriority w:val="99"/>
    <w:rPr>
      <w:rFonts w:ascii="Calibri" w:hAnsi="Calibri" w:cs="Calibri" w:eastAsiaTheme="minorEastAsia"/>
      <w:sz w:val="24"/>
      <w:szCs w:val="24"/>
      <w:lang w:val="en-US" w:eastAsia="en-US" w:bidi="ar-SA"/>
    </w:rPr>
  </w:style>
  <w:style w:type="character" w:customStyle="1" w:styleId="36">
    <w:name w:val="Unresolved Mention"/>
    <w:basedOn w:val="1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EB919-CACE-4A0F-84AB-862389333745}">
  <ds:schemaRefs/>
</ds:datastoreItem>
</file>

<file path=docProps/app.xml><?xml version="1.0" encoding="utf-8"?>
<Properties xmlns="http://schemas.openxmlformats.org/officeDocument/2006/extended-properties" xmlns:vt="http://schemas.openxmlformats.org/officeDocument/2006/docPropsVTypes">
  <Template>Normal</Template>
  <Pages>16</Pages>
  <Words>6213</Words>
  <Characters>37712</Characters>
  <Lines>315</Lines>
  <Paragraphs>88</Paragraphs>
  <TotalTime>273</TotalTime>
  <ScaleCrop>false</ScaleCrop>
  <LinksUpToDate>false</LinksUpToDate>
  <CharactersWithSpaces>43799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2025-11-28T08:32:00Z</dcterms:created>
  <dc:creator>Vineeta</dc:creator>
  <cp:lastModifiedBy>不眠之夜</cp:lastModifiedBy>
  <dcterms:modified xsi:type="dcterms:W3CDTF">2025-12-04T02:14:41Z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ZOTERO_PREF_1">
    <vt:lpwstr>&lt;data data-version="3" zotero-version="7.0.21"&gt;&lt;session id="9VGUvvgL"/&gt;&lt;style id="http://www.zotero.org/styles/journal-of-visualized-experiments" hasBibliography="1" bibliographyStyleHasBeenSet="1"/&gt;&lt;prefs&gt;&lt;pref name="fieldType" value="Field"/&gt;&lt;/prefs&gt;&lt;/d</vt:lpwstr>
  </property>
  <property fmtid="{D5CDD505-2E9C-101B-9397-08002B2CF9AE}" pid="4" name="ZOTERO_PREF_2">
    <vt:lpwstr>ata&gt;</vt:lpwstr>
  </property>
  <property fmtid="{D5CDD505-2E9C-101B-9397-08002B2CF9AE}" pid="5" name="KSOTemplateDocerSaveRecord">
    <vt:lpwstr>eyJoZGlkIjoiM2YwZWVmM2Y2YTIyZWNhZGQyYzAzMTA1ODRlMTdhYWUiLCJ1c2VySWQiOiIzMTYxMjE5NDYifQ==</vt:lpwstr>
  </property>
  <property fmtid="{D5CDD505-2E9C-101B-9397-08002B2CF9AE}" pid="6" name="KSOProductBuildVer">
    <vt:lpwstr>2052-12.1.0.23542</vt:lpwstr>
  </property>
  <property fmtid="{D5CDD505-2E9C-101B-9397-08002B2CF9AE}" pid="7" name="ICV">
    <vt:lpwstr>4914237C592E4132A07CACE39C3FCB25_13</vt:lpwstr>
  </property>
</Properties>
</file>