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8A4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7C12">
        <w:rPr>
          <w:rFonts w:eastAsia="Times New Roman" w:cstheme="minorHAnsi"/>
          <w:b/>
        </w:rPr>
        <w:t>69077</w:t>
      </w:r>
    </w:p>
    <w:p w14:paraId="2F6924E5" w14:textId="2B5B8C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7C12">
        <w:rPr>
          <w:rFonts w:eastAsia="Times New Roman" w:cstheme="minorHAnsi"/>
          <w:b/>
        </w:rPr>
        <w:t>Poornima G</w:t>
      </w:r>
    </w:p>
    <w:p w14:paraId="6FB9233B" w14:textId="16AD01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5713" w:rsidRPr="00CA39E1">
          <w:rPr>
            <w:rStyle w:val="Hyperlink"/>
            <w:rFonts w:eastAsia="Times New Roman" w:cstheme="minorHAnsi"/>
            <w:b/>
          </w:rPr>
          <w:t>https://review.jove.com/account/file-uploader?src=21068533</w:t>
        </w:r>
      </w:hyperlink>
      <w:r w:rsidR="007A571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04C15F43" w:rsidR="004E0C5A" w:rsidRDefault="004E0C5A" w:rsidP="004E0C5A">
      <w:pPr>
        <w:outlineLvl w:val="0"/>
        <w:rPr>
          <w:rStyle w:val="ArticleTitle"/>
          <w:rFonts w:cstheme="min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C7C12" w:rsidRPr="00BC7C12">
        <w:rPr>
          <w:rStyle w:val="ArticleTitle"/>
          <w:rFonts w:cstheme="minorHAnsi"/>
        </w:rPr>
        <w:t xml:space="preserve">Modeling Hypoxia/Reoxygenation Injury in Proximal Tubular Epithelial Cells </w:t>
      </w:r>
    </w:p>
    <w:p w14:paraId="302EBDB9" w14:textId="77777777" w:rsidR="00BC7C12" w:rsidRDefault="00BC7C1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830235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  <w:r w:rsidRPr="00BC7C12">
        <w:rPr>
          <w:rFonts w:eastAsia="Times New Roman" w:cstheme="minorHAnsi"/>
          <w:b/>
          <w:sz w:val="28"/>
          <w:szCs w:val="28"/>
        </w:rPr>
        <w:t>Mariano Marin-Blazquez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Alessandra Tammaro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/>
          <w:sz w:val="28"/>
          <w:szCs w:val="28"/>
        </w:rPr>
        <w:t>, Ruben Rabadan-Ros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Ruben Zapata-Perez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F86C5F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622611" w14:textId="0FE0EA31" w:rsidR="00BC7C12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Cs/>
          <w:sz w:val="28"/>
          <w:szCs w:val="28"/>
        </w:rPr>
        <w:t xml:space="preserve">Group of Metabolism and Gene Regulation, UCAM </w:t>
      </w:r>
      <w:proofErr w:type="spellStart"/>
      <w:r w:rsidRPr="00BC7C12">
        <w:rPr>
          <w:rFonts w:eastAsia="Times New Roman" w:cstheme="minorHAnsi"/>
          <w:bCs/>
          <w:sz w:val="28"/>
          <w:szCs w:val="28"/>
        </w:rPr>
        <w:t>HiTech</w:t>
      </w:r>
      <w:proofErr w:type="spellEnd"/>
      <w:r w:rsidRPr="00BC7C12">
        <w:rPr>
          <w:rFonts w:eastAsia="Times New Roman" w:cstheme="minorHAnsi"/>
          <w:bCs/>
          <w:sz w:val="28"/>
          <w:szCs w:val="28"/>
        </w:rPr>
        <w:t xml:space="preserve"> Sport &amp; Health Innovation Hub, Universidad Católica de Murcia</w:t>
      </w:r>
    </w:p>
    <w:p w14:paraId="33CD999C" w14:textId="0B5B44CD" w:rsidR="00D6314B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Cs/>
          <w:sz w:val="28"/>
          <w:szCs w:val="28"/>
        </w:rPr>
        <w:t>Department of Internal Medicine (Nephrology) and Pathology, Leiden University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082AFB2" w14:textId="111396EE" w:rsidR="00BC7C12" w:rsidRPr="00BC7C12" w:rsidRDefault="00BC7C12" w:rsidP="00BC7C12">
      <w:pPr>
        <w:outlineLvl w:val="0"/>
        <w:rPr>
          <w:rFonts w:eastAsia="Times New Roman" w:cstheme="minorHAnsi"/>
        </w:rPr>
      </w:pPr>
      <w:bookmarkStart w:id="0" w:name="_Hlk25233958"/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5196A52A" w14:textId="650878EA" w:rsidR="004E0C5A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Zapata-Perez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rzapata@ucam.edu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0625D7" w14:textId="1FA81673" w:rsidR="00BC7C12" w:rsidRPr="00BC7C12" w:rsidRDefault="00BC7C12" w:rsidP="00BC7C12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BC7C12">
        <w:rPr>
          <w:rFonts w:ascii="Calibri" w:eastAsia="Calibri" w:hAnsi="Calibri" w:cs="Calibri"/>
          <w:color w:val="auto"/>
        </w:rPr>
        <w:t>Mariano Marin-Blazquez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mpmarin-blazquez@ucam.edu</w:t>
      </w:r>
    </w:p>
    <w:p w14:paraId="12916965" w14:textId="791116E4" w:rsidR="003B5E26" w:rsidRPr="00B07A3B" w:rsidRDefault="00BC7C12" w:rsidP="00BC7C12">
      <w:pPr>
        <w:outlineLvl w:val="0"/>
        <w:rPr>
          <w:rFonts w:cstheme="minorHAnsi"/>
          <w:b/>
          <w:sz w:val="22"/>
          <w:szCs w:val="22"/>
        </w:rPr>
      </w:pPr>
      <w:r w:rsidRPr="00BC7C12">
        <w:rPr>
          <w:rFonts w:ascii="Calibri" w:eastAsia="Calibri" w:hAnsi="Calibri" w:cs="Calibri"/>
          <w:color w:val="auto"/>
        </w:rPr>
        <w:t>Alessandra Tammaro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a.tammaro@lumc.nl</w:t>
      </w:r>
    </w:p>
    <w:p w14:paraId="1D9BB2EC" w14:textId="77777777" w:rsidR="00BC7C12" w:rsidRPr="00BC7C12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792BD7FB" w14:textId="77777777" w:rsidR="00BC7C12" w:rsidRDefault="00BC7C12" w:rsidP="00BC7C12">
      <w:pPr>
        <w:outlineLvl w:val="0"/>
        <w:rPr>
          <w:rFonts w:eastAsia="Times New Roman" w:cstheme="minorHAnsi"/>
        </w:rPr>
      </w:pPr>
      <w:r w:rsidRPr="00BC7C12">
        <w:rPr>
          <w:rFonts w:eastAsia="Times New Roman" w:cstheme="minorHAnsi"/>
        </w:rPr>
        <w:t>Ruben Zapata-Perez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rzapata@ucam.edu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4107DA6" w14:textId="77777777" w:rsidR="0023745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22834088" w14:textId="020FD2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 </w:t>
      </w:r>
    </w:p>
    <w:p w14:paraId="4B20EAF0" w14:textId="53092D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7FF92D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Yes</w:t>
      </w:r>
    </w:p>
    <w:p w14:paraId="63770740" w14:textId="45E7615E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FA1E3E">
        <w:rPr>
          <w:rFonts w:eastAsia="Times New Roman" w:cstheme="minorHAnsi"/>
        </w:rPr>
        <w:t>14 km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93CC70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062E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EE06C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46BFD">
        <w:rPr>
          <w:rFonts w:cstheme="minorHAnsi"/>
          <w:bCs/>
          <w:sz w:val="22"/>
          <w:szCs w:val="22"/>
        </w:rPr>
        <w:t>17</w:t>
      </w:r>
    </w:p>
    <w:p w14:paraId="5AAC9C6C" w14:textId="673343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46BFD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6C7B3FB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Our research focuses on modeling renal ischemia–reperfusion injury in proximal tubular cells to understand damage mechanisms and explore therapeutic strategies.</w:t>
      </w:r>
    </w:p>
    <w:p w14:paraId="0057B04C" w14:textId="1D45CF9B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2.1.2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D8720E1" w:rsidR="00A40CB9" w:rsidRPr="00B42E7F" w:rsidRDefault="00FA1E3E" w:rsidP="00FA1E3E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t>Reproducing the complex ischemic environment of the kidney in vitro remains difficult, especially cold ischemia and immune interactions.</w:t>
      </w:r>
    </w:p>
    <w:p w14:paraId="30A19B53" w14:textId="04E72197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`</w:t>
      </w: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.2</w:t>
      </w:r>
    </w:p>
    <w:p w14:paraId="71DDF34F" w14:textId="42D0977E" w:rsidR="00B42E7F" w:rsidRPr="00FA1E3E" w:rsidRDefault="00B42E7F" w:rsidP="00B42E7F">
      <w:pPr>
        <w:pStyle w:val="ListParagraph"/>
        <w:spacing w:before="120"/>
        <w:ind w:left="907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836D03F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There is a lack of standardized, cell-based models to study kidney ischemia–reperfusion injury under controlled metabolic conditions.</w:t>
      </w:r>
    </w:p>
    <w:p w14:paraId="23291D30" w14:textId="7E9EF3EB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.1.2</w:t>
      </w:r>
    </w:p>
    <w:p w14:paraId="520072C1" w14:textId="750D880C" w:rsidR="00B42E7F" w:rsidRPr="00B07A3B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017A473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Our protocol is simple, cost-effective, and reproducible, requiring only standard laboratory equipment and a hypoxia incubator.</w:t>
      </w:r>
    </w:p>
    <w:p w14:paraId="5C11EC4E" w14:textId="66A945D6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</w:t>
      </w:r>
      <w:r>
        <w:rPr>
          <w:rFonts w:ascii="Calibri" w:hAnsi="Calibri" w:cs="Calibri"/>
          <w:i/>
          <w:iCs/>
          <w:color w:val="3333FF"/>
        </w:rPr>
        <w:t>4.2</w:t>
      </w:r>
    </w:p>
    <w:p w14:paraId="3269BD27" w14:textId="60594752" w:rsidR="00B42E7F" w:rsidRPr="00D75084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FA2F7FC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 xml:space="preserve">Identifying novel therapeutic targets and validating protective compounds using both in vitro and </w:t>
      </w:r>
      <w:r>
        <w:t>in</w:t>
      </w:r>
      <w:r w:rsidRPr="00FA1E3E">
        <w:t xml:space="preserve"> vivo kidney models.</w:t>
      </w:r>
    </w:p>
    <w:p w14:paraId="1C5F8CEB" w14:textId="67C73CA8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.1.</w:t>
      </w:r>
      <w:r>
        <w:rPr>
          <w:rFonts w:ascii="Calibri" w:hAnsi="Calibri" w:cs="Calibri"/>
          <w:i/>
          <w:iCs/>
          <w:color w:val="3333FF"/>
        </w:rPr>
        <w:t>1</w:t>
      </w:r>
    </w:p>
    <w:p w14:paraId="4D4CF4FE" w14:textId="77777777" w:rsidR="00B42E7F" w:rsidRPr="00B07A3B" w:rsidRDefault="00B42E7F" w:rsidP="00B42E7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A615D1" w:rsidR="00CE10F2" w:rsidRDefault="0099725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97258">
        <w:rPr>
          <w:rFonts w:cstheme="minorHAnsi"/>
          <w:b/>
          <w:bCs/>
        </w:rPr>
        <w:t>Hypoxia/Reoxygenation Procedure</w:t>
      </w:r>
      <w:r>
        <w:rPr>
          <w:rFonts w:cstheme="minorHAnsi"/>
          <w:b/>
          <w:bCs/>
        </w:rPr>
        <w:t xml:space="preserve"> and RT-qPCR</w:t>
      </w:r>
    </w:p>
    <w:p w14:paraId="314C5FBA" w14:textId="51424C0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A1E3E">
        <w:rPr>
          <w:rFonts w:cstheme="minorHAnsi"/>
        </w:rPr>
        <w:t>Mariano Marin-Blazquez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1A79C6" w14:textId="6CDF16DA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begin, remove the culture medium from the IM-PTECs to refresh the cells </w:t>
      </w:r>
      <w:r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Add </w:t>
      </w:r>
      <w:r w:rsidR="00B42E7F" w:rsidRPr="00B1498D">
        <w:rPr>
          <w:lang w:eastAsia="en-IN"/>
        </w:rPr>
        <w:t xml:space="preserve">2 milliliters </w:t>
      </w:r>
      <w:r w:rsidR="00B42E7F">
        <w:rPr>
          <w:lang w:eastAsia="en-IN"/>
        </w:rPr>
        <w:t xml:space="preserve">of </w:t>
      </w:r>
      <w:r w:rsidRPr="00B1498D">
        <w:rPr>
          <w:lang w:eastAsia="en-IN"/>
        </w:rPr>
        <w:t xml:space="preserve">fresh L3 medium without interferon gamma </w:t>
      </w:r>
      <w:r w:rsidR="00B42E7F">
        <w:rPr>
          <w:lang w:eastAsia="en-IN"/>
        </w:rPr>
        <w:t>into the wells of a</w:t>
      </w:r>
      <w:r w:rsidRPr="00B1498D">
        <w:rPr>
          <w:lang w:eastAsia="en-IN"/>
        </w:rPr>
        <w:t xml:space="preserve"> 6-well</w:t>
      </w:r>
      <w:r w:rsidR="00B42E7F">
        <w:rPr>
          <w:lang w:eastAsia="en-IN"/>
        </w:rPr>
        <w:t>ed</w:t>
      </w:r>
      <w:r w:rsidRPr="00B1498D">
        <w:rPr>
          <w:lang w:eastAsia="en-IN"/>
        </w:rPr>
        <w:t xml:space="preserve"> plate </w:t>
      </w:r>
      <w:r w:rsidRPr="00B1498D">
        <w:rPr>
          <w:b/>
          <w:bCs/>
          <w:lang w:eastAsia="en-IN"/>
        </w:rPr>
        <w:t>[2</w:t>
      </w:r>
      <w:r w:rsidR="00B42E7F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Place the cells in a hypoxia incubator set at 1 percent oxygen and 5 percent carbon dioxide at 37 degrees Celsius for 48 hours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030A5159" w14:textId="77777777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 xml:space="preserve">WIDE: Talent aspirating the spent culture medium from the IM-PTEC wells. </w:t>
      </w:r>
      <w:r w:rsidRPr="00BE5CD7">
        <w:rPr>
          <w:rFonts w:ascii="Calibri" w:hAnsi="Calibri" w:cs="Calibri"/>
          <w:b/>
          <w:bCs/>
          <w:lang w:val="en-IN" w:eastAsia="en-IN"/>
        </w:rPr>
        <w:t xml:space="preserve">TXT: IM-PTECs: Immortalized Murine Proximal Tubular Epithelial Cells </w:t>
      </w:r>
    </w:p>
    <w:p w14:paraId="28F6A105" w14:textId="5846610A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>Talent dispensing fresh L3 medium without interferon gamma into each well of the culture plate.</w:t>
      </w:r>
      <w:r w:rsidR="00B42E7F">
        <w:rPr>
          <w:lang w:val="en-IN" w:eastAsia="en-IN"/>
        </w:rPr>
        <w:t xml:space="preserve"> </w:t>
      </w:r>
      <w:r w:rsidR="00B42E7F" w:rsidRPr="00B42E7F">
        <w:rPr>
          <w:b/>
          <w:bCs/>
          <w:lang w:val="en-IN" w:eastAsia="en-IN"/>
        </w:rPr>
        <w:t xml:space="preserve">TXT: Add </w:t>
      </w:r>
      <w:r w:rsidR="00B42E7F" w:rsidRPr="00B42E7F">
        <w:rPr>
          <w:b/>
          <w:bCs/>
          <w:lang w:eastAsia="en-IN"/>
        </w:rPr>
        <w:t>0.1</w:t>
      </w:r>
      <w:r w:rsidR="00B42E7F" w:rsidRPr="00B42E7F">
        <w:rPr>
          <w:b/>
          <w:bCs/>
          <w:lang w:eastAsia="en-IN"/>
        </w:rPr>
        <w:t>mL/</w:t>
      </w:r>
      <w:r w:rsidR="00B42E7F" w:rsidRPr="00B42E7F">
        <w:rPr>
          <w:b/>
          <w:bCs/>
          <w:lang w:eastAsia="en-IN"/>
        </w:rPr>
        <w:t>well for 96-well plates</w:t>
      </w:r>
    </w:p>
    <w:p w14:paraId="188C068C" w14:textId="3CAFA0A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culture plates inside the hypoxia incubator.</w:t>
      </w:r>
    </w:p>
    <w:p w14:paraId="76390340" w14:textId="77777777" w:rsidR="00BE5CD7" w:rsidRPr="00B1498D" w:rsidRDefault="00BE5CD7" w:rsidP="00BE5CD7">
      <w:pPr>
        <w:pStyle w:val="ShotDescription"/>
        <w:ind w:firstLine="0"/>
        <w:rPr>
          <w:lang w:val="en-IN" w:eastAsia="en-IN"/>
        </w:rPr>
      </w:pPr>
    </w:p>
    <w:p w14:paraId="4EE3F882" w14:textId="39FDA1DC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BE5CD7" w:rsidRPr="00B1498D">
        <w:rPr>
          <w:lang w:eastAsia="en-IN"/>
        </w:rPr>
        <w:t xml:space="preserve">emove the IM-PTEC plates from the hypoxia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r</w:t>
      </w:r>
      <w:r w:rsidR="00BE5CD7" w:rsidRPr="00B1498D">
        <w:rPr>
          <w:lang w:eastAsia="en-IN"/>
        </w:rPr>
        <w:t xml:space="preserve">eplace the medium with fresh L3 medium without interferon gamma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. Place the cells into a standard cell culture incubator under normal oxygen conditions and 5 percent carbon dioxide at 37 degrees Celsius for 24 hours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1AC1704A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IM-PTEC culture plates from the hypoxia incubator.</w:t>
      </w:r>
    </w:p>
    <w:p w14:paraId="09FD914A" w14:textId="5237579A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adding fresh L3 medium without interferon gamma.</w:t>
      </w:r>
    </w:p>
    <w:p w14:paraId="5FBB8585" w14:textId="102F567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refreshed plates in the incubator and closing the door to start incubation.</w:t>
      </w:r>
    </w:p>
    <w:p w14:paraId="585398A2" w14:textId="77777777" w:rsidR="00B42E7F" w:rsidRDefault="00B42E7F" w:rsidP="00B42E7F">
      <w:pPr>
        <w:pStyle w:val="Narration"/>
        <w:ind w:firstLine="0"/>
        <w:rPr>
          <w:lang w:eastAsia="en-IN"/>
        </w:rPr>
      </w:pPr>
    </w:p>
    <w:p w14:paraId="4A41A6B8" w14:textId="457C9B0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</w:t>
      </w:r>
      <w:r w:rsidR="00997258">
        <w:rPr>
          <w:lang w:eastAsia="en-IN"/>
        </w:rPr>
        <w:t xml:space="preserve">perform RT-qPCR </w:t>
      </w:r>
      <w:r w:rsidR="00997258" w:rsidRPr="00997258">
        <w:rPr>
          <w:i/>
          <w:iCs/>
          <w:color w:val="EE0000"/>
          <w:lang w:eastAsia="en-IN"/>
        </w:rPr>
        <w:t>(</w:t>
      </w:r>
      <w:r w:rsidR="00997258">
        <w:rPr>
          <w:i/>
          <w:iCs/>
          <w:color w:val="EE0000"/>
          <w:lang w:eastAsia="en-IN"/>
        </w:rPr>
        <w:t>R-T-Q-P-C-R</w:t>
      </w:r>
      <w:r w:rsidR="00997258" w:rsidRPr="00997258">
        <w:rPr>
          <w:i/>
          <w:iCs/>
          <w:color w:val="EE0000"/>
          <w:lang w:eastAsia="en-IN"/>
        </w:rPr>
        <w:t>)</w:t>
      </w:r>
      <w:r w:rsidRPr="00B1498D">
        <w:rPr>
          <w:lang w:eastAsia="en-IN"/>
        </w:rPr>
        <w:t xml:space="preserve">, prepare the primer sets by mixing them to a final concentration of 10 micromolar </w:t>
      </w:r>
      <w:r w:rsidRPr="00B1498D">
        <w:rPr>
          <w:b/>
          <w:bCs/>
          <w:lang w:eastAsia="en-IN"/>
        </w:rPr>
        <w:t>[1</w:t>
      </w:r>
      <w:r w:rsidR="00997258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>.</w:t>
      </w:r>
    </w:p>
    <w:p w14:paraId="53A5C58C" w14:textId="6E6C918B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and mixing primer solutions in a microcentrifuge tube.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</w:t>
      </w:r>
      <w:r w:rsidR="00997258" w:rsidRPr="00997258">
        <w:rPr>
          <w:b/>
          <w:bCs/>
          <w:lang w:eastAsia="en-IN"/>
        </w:rPr>
        <w:t>RT-qPCR: Real-Time Quantitative Polymerase Chain Reaction</w:t>
      </w:r>
      <w:r w:rsidR="00997258" w:rsidRPr="00B1498D">
        <w:rPr>
          <w:lang w:eastAsia="en-IN"/>
        </w:rPr>
        <w:t xml:space="preserve"> </w:t>
      </w:r>
    </w:p>
    <w:p w14:paraId="6A017F22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19986A7F" w14:textId="0FE2613A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BE5CD7" w:rsidRPr="00B1498D">
        <w:rPr>
          <w:lang w:eastAsia="en-IN"/>
        </w:rPr>
        <w:t xml:space="preserve">repare </w:t>
      </w:r>
      <w:r>
        <w:rPr>
          <w:lang w:eastAsia="en-IN"/>
        </w:rPr>
        <w:t>the reaction</w:t>
      </w:r>
      <w:r w:rsidR="00BE5CD7" w:rsidRPr="00B1498D">
        <w:rPr>
          <w:lang w:eastAsia="en-IN"/>
        </w:rPr>
        <w:t xml:space="preserve"> mix by combining </w:t>
      </w:r>
      <w:r>
        <w:rPr>
          <w:lang w:eastAsia="en-IN"/>
        </w:rPr>
        <w:t xml:space="preserve">the required reagents along with primers and </w:t>
      </w:r>
      <w:r w:rsidR="00BE5CD7" w:rsidRPr="00B1498D">
        <w:rPr>
          <w:lang w:eastAsia="en-IN"/>
        </w:rPr>
        <w:t xml:space="preserve">nuclease-free water per well </w:t>
      </w:r>
      <w:r w:rsidR="00BE5CD7"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BE5CD7" w:rsidRPr="00B1498D">
        <w:rPr>
          <w:b/>
          <w:bCs/>
          <w:lang w:eastAsia="en-IN"/>
        </w:rPr>
        <w:t>]</w:t>
      </w:r>
      <w:r w:rsidR="00BE5CD7" w:rsidRPr="00B1498D">
        <w:rPr>
          <w:lang w:eastAsia="en-IN"/>
        </w:rPr>
        <w:t xml:space="preserve">. Mix gently to ensure homogeneity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073A4D6D" w14:textId="19AF998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pipetting reagents into a microcentrifuge tube </w:t>
      </w:r>
      <w:r w:rsidR="00997258">
        <w:rPr>
          <w:lang w:val="en-IN" w:eastAsia="en-IN"/>
        </w:rPr>
        <w:t>labeled</w:t>
      </w:r>
      <w:r w:rsidR="00997258" w:rsidRPr="00B1498D">
        <w:rPr>
          <w:lang w:val="en-IN" w:eastAsia="en-IN"/>
        </w:rPr>
        <w:t xml:space="preserve"> </w:t>
      </w:r>
      <w:r w:rsidRPr="00B1498D">
        <w:rPr>
          <w:lang w:val="en-IN" w:eastAsia="en-IN"/>
        </w:rPr>
        <w:t>RT-qPCR mix.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>TXT: 5 µL RT-qPCR Master Mix; 0.4 µL 10 µM forward primer; 0.4 µL 10 µM reverse primer; 2.2 µL nuclease-free H</w:t>
      </w:r>
      <w:r w:rsidR="00997258" w:rsidRPr="00B42E7F">
        <w:rPr>
          <w:b/>
          <w:bCs/>
          <w:vertAlign w:val="subscript"/>
          <w:lang w:val="en-IN" w:eastAsia="en-IN"/>
        </w:rPr>
        <w:t>2</w:t>
      </w:r>
      <w:r w:rsidR="00997258" w:rsidRPr="00997258">
        <w:rPr>
          <w:b/>
          <w:bCs/>
          <w:lang w:val="en-IN" w:eastAsia="en-IN"/>
        </w:rPr>
        <w:t>O</w:t>
      </w:r>
    </w:p>
    <w:p w14:paraId="62B9066B" w14:textId="6FB0500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flicking the tube to mix the solution uniformly.</w:t>
      </w:r>
    </w:p>
    <w:p w14:paraId="42D4B64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6F381D12" w14:textId="2D84D77A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Using a pipette, dispense 8 microliters of the RT-qPCR mix into each well of a 384-well PCR plate </w:t>
      </w:r>
      <w:r w:rsidRPr="00B1498D">
        <w:rPr>
          <w:b/>
          <w:bCs/>
          <w:lang w:eastAsia="en-IN"/>
        </w:rPr>
        <w:t>[1]</w:t>
      </w:r>
      <w:r w:rsidR="00997258">
        <w:rPr>
          <w:lang w:eastAsia="en-IN"/>
        </w:rPr>
        <w:t xml:space="preserve"> and a</w:t>
      </w:r>
      <w:r w:rsidRPr="00B1498D">
        <w:rPr>
          <w:lang w:eastAsia="en-IN"/>
        </w:rPr>
        <w:t xml:space="preserve">dd 2 microliters of complementary DNA sample to each well, allowing a small droplet to remain on the edge of the well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56C0327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8 microliters of RT-qPCR mix into each well of the PCR plate.</w:t>
      </w:r>
    </w:p>
    <w:p w14:paraId="265C49CF" w14:textId="2E02F1FE" w:rsidR="00BE5CD7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BE5CD7" w:rsidRPr="00B1498D">
        <w:rPr>
          <w:lang w:val="en-IN" w:eastAsia="en-IN"/>
        </w:rPr>
        <w:t>pipetting 2 microliters of complementary DNA sample into the same wells, showing a drop on the edge of each well.</w:t>
      </w:r>
    </w:p>
    <w:p w14:paraId="23946739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3D88507C" w14:textId="2FC510D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all samples have been added, tap the plate gently until all droplets fall completely into the wells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s</w:t>
      </w:r>
      <w:r w:rsidRPr="00B1498D">
        <w:rPr>
          <w:lang w:eastAsia="en-IN"/>
        </w:rPr>
        <w:t xml:space="preserve">eal the plate firmly with its membrane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 xml:space="preserve">. Spin the 384-well PCR plate to remove air bubbles and ensure even distribution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3184670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tapping the PCR plate to ensure liquid settles into each well.</w:t>
      </w:r>
    </w:p>
    <w:p w14:paraId="3F72854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sealing the 384-well plate with a transparent adhesive membrane.</w:t>
      </w:r>
    </w:p>
    <w:p w14:paraId="276F3AE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into a centrifuge and initiating the spin cycle.</w:t>
      </w:r>
    </w:p>
    <w:p w14:paraId="10763C1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1326D8D" w14:textId="3BEC9880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BE5CD7" w:rsidRPr="00B1498D">
        <w:rPr>
          <w:lang w:eastAsia="en-IN"/>
        </w:rPr>
        <w:t xml:space="preserve">lace the sealed plate into the </w:t>
      </w:r>
      <w:r>
        <w:rPr>
          <w:lang w:eastAsia="en-IN"/>
        </w:rPr>
        <w:t>RT-q</w:t>
      </w:r>
      <w:r w:rsidR="00BE5CD7" w:rsidRPr="00B1498D">
        <w:rPr>
          <w:lang w:eastAsia="en-IN"/>
        </w:rPr>
        <w:t xml:space="preserve">PCR System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Set the program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s</w:t>
      </w:r>
      <w:r w:rsidR="00BE5CD7" w:rsidRPr="00B1498D">
        <w:rPr>
          <w:lang w:eastAsia="en-IN"/>
        </w:rPr>
        <w:t xml:space="preserve">tart the measurement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36A1B3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loading the sealed 384-well plate into the RT-qPCR machine.</w:t>
      </w:r>
    </w:p>
    <w:p w14:paraId="30BC89A8" w14:textId="77777777" w:rsidR="00997258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5F08E728" w14:textId="0D536F19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98 °C for 30 s </w:t>
      </w:r>
    </w:p>
    <w:p w14:paraId="7896C02B" w14:textId="77777777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40 cycles of 98 °C for 10 s </w:t>
      </w:r>
    </w:p>
    <w:p w14:paraId="09028D5A" w14:textId="41E13ABA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60 °C for 30 s</w:t>
      </w:r>
    </w:p>
    <w:p w14:paraId="747704FB" w14:textId="42FF2FA2" w:rsidR="00BE5CD7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Melting curve at 95 °C</w:t>
      </w:r>
      <w:r w:rsidR="00BE5CD7" w:rsidRPr="00B1498D">
        <w:rPr>
          <w:lang w:val="en-IN" w:eastAsia="en-IN"/>
        </w:rPr>
        <w:t>.</w:t>
      </w:r>
    </w:p>
    <w:p w14:paraId="15070B2B" w14:textId="4D953648" w:rsidR="00BE5CD7" w:rsidRPr="00B1498D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BE5CD7" w:rsidRPr="00B1498D">
        <w:rPr>
          <w:lang w:val="en-IN" w:eastAsia="en-IN"/>
        </w:rPr>
        <w:t xml:space="preserve">clicking </w:t>
      </w:r>
      <w:r w:rsidR="00BE5CD7" w:rsidRPr="00997258">
        <w:rPr>
          <w:lang w:val="en-IN" w:eastAsia="en-IN"/>
        </w:rPr>
        <w:t>Start</w:t>
      </w:r>
      <w:r w:rsidR="00BE5CD7" w:rsidRPr="00B1498D">
        <w:rPr>
          <w:lang w:val="en-IN" w:eastAsia="en-IN"/>
        </w:rPr>
        <w:t xml:space="preserve"> to initiate the RT-qPCR run.</w:t>
      </w:r>
    </w:p>
    <w:p w14:paraId="4A443F5F" w14:textId="77777777" w:rsidR="00BE5CD7" w:rsidRPr="00B1498D" w:rsidRDefault="00BE5CD7" w:rsidP="00BE5CD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73FF5AE" w14:textId="77777777" w:rsidR="00BE5CD7" w:rsidRDefault="00BE5CD7" w:rsidP="00BE5CD7"/>
    <w:p w14:paraId="2BC0E9B5" w14:textId="77777777" w:rsidR="00BE5CD7" w:rsidRDefault="00BE5CD7" w:rsidP="00BE5CD7"/>
    <w:p w14:paraId="22D281E6" w14:textId="77777777" w:rsidR="00BE5CD7" w:rsidRDefault="00BE5CD7" w:rsidP="00BE5CD7"/>
    <w:p w14:paraId="00CE106D" w14:textId="219AC90C" w:rsidR="00BE5CD7" w:rsidRPr="00BC7C12" w:rsidRDefault="00997258" w:rsidP="00BC7C12">
      <w:pPr>
        <w:pStyle w:val="ListParagraph"/>
        <w:numPr>
          <w:ilvl w:val="0"/>
          <w:numId w:val="3"/>
        </w:numPr>
        <w:rPr>
          <w:b/>
          <w:bCs/>
        </w:rPr>
      </w:pPr>
      <w:r w:rsidRPr="00BC7C12">
        <w:rPr>
          <w:b/>
          <w:bCs/>
        </w:rPr>
        <w:t>Mitochondrial Respiratory Function Assessment</w:t>
      </w:r>
    </w:p>
    <w:p w14:paraId="7C58DE17" w14:textId="77777777" w:rsidR="00BE5CD7" w:rsidRDefault="00BE5CD7" w:rsidP="00BE5CD7"/>
    <w:p w14:paraId="784D16E8" w14:textId="53BC06AE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="00BE5CD7" w:rsidRPr="00B1498D">
        <w:rPr>
          <w:lang w:eastAsia="en-IN"/>
        </w:rPr>
        <w:t xml:space="preserve">urn on the oxygen consumption rate and extracellular acidification rate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</w:t>
      </w:r>
      <w:r>
        <w:rPr>
          <w:lang w:eastAsia="en-IN"/>
        </w:rPr>
        <w:t>to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let it</w:t>
      </w:r>
      <w:r w:rsidR="00BE5CD7" w:rsidRPr="00B1498D">
        <w:rPr>
          <w:lang w:eastAsia="en-IN"/>
        </w:rPr>
        <w:t xml:space="preserve"> warm up for at least 5 hours before starting the experiment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4074C615" w14:textId="361F2E9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switching on the OCR/ECAR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B8D20B0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5ADFDA96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Hydrate a sensor cartridge overnight at 37 degrees Celsius in a non–carbon dioxide incubator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58D186DB" w14:textId="197CB24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sensor cartridge into a hydration plate and transferring it into a</w:t>
      </w:r>
      <w:r w:rsidR="00997258">
        <w:rPr>
          <w:lang w:val="en-IN" w:eastAsia="en-IN"/>
        </w:rPr>
        <w:t>n incubator</w:t>
      </w:r>
      <w:r w:rsidRPr="00B1498D">
        <w:rPr>
          <w:lang w:val="en-IN" w:eastAsia="en-IN"/>
        </w:rPr>
        <w:t xml:space="preserve"> set at 37 degrees Celsius.</w:t>
      </w:r>
    </w:p>
    <w:p w14:paraId="3D1F5874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92F5BA4" w14:textId="162DAA5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 the </w:t>
      </w:r>
      <w:r w:rsidR="00997258">
        <w:rPr>
          <w:lang w:eastAsia="en-IN"/>
        </w:rPr>
        <w:t>next day</w:t>
      </w:r>
      <w:r w:rsidRPr="00B1498D">
        <w:rPr>
          <w:lang w:eastAsia="en-IN"/>
        </w:rPr>
        <w:t xml:space="preserve">, prepare the assay medium for one 96-well cell culture microplate by </w:t>
      </w:r>
      <w:r w:rsidR="00AE2D64">
        <w:rPr>
          <w:lang w:eastAsia="en-IN"/>
        </w:rPr>
        <w:t>adding</w:t>
      </w:r>
      <w:r w:rsidRPr="00B1498D">
        <w:rPr>
          <w:lang w:eastAsia="en-IN"/>
        </w:rPr>
        <w:t xml:space="preserve"> Dulbecco’s Modified Eagle Medium</w:t>
      </w:r>
      <w:r w:rsidR="00997258">
        <w:rPr>
          <w:lang w:eastAsia="en-IN"/>
        </w:rPr>
        <w:t xml:space="preserve"> with appropriate supplements</w:t>
      </w:r>
      <w:r w:rsidRPr="00B1498D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[1</w:t>
      </w:r>
      <w:r w:rsidR="00AE2D64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mixing</w:t>
      </w:r>
      <w:r w:rsidRPr="00B1498D">
        <w:rPr>
          <w:lang w:eastAsia="en-IN"/>
        </w:rPr>
        <w:t xml:space="preserve"> gently until homogeneous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28DBABD9" w14:textId="74625332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reagent</w:t>
      </w:r>
      <w:r w:rsidR="00AE2D64">
        <w:rPr>
          <w:lang w:val="en-IN" w:eastAsia="en-IN"/>
        </w:rPr>
        <w:t>s</w:t>
      </w:r>
      <w:r w:rsidRPr="00B1498D">
        <w:rPr>
          <w:lang w:val="en-IN" w:eastAsia="en-IN"/>
        </w:rPr>
        <w:t xml:space="preserve"> into a sterile tube labeled “Assay Medium.”</w:t>
      </w:r>
      <w:r w:rsidR="00AE2D64">
        <w:rPr>
          <w:lang w:val="en-IN" w:eastAsia="en-IN"/>
        </w:rPr>
        <w:t xml:space="preserve"> </w:t>
      </w:r>
      <w:r w:rsidR="00AE2D64" w:rsidRPr="00AE2D64">
        <w:rPr>
          <w:b/>
          <w:bCs/>
          <w:lang w:val="en-IN" w:eastAsia="en-IN"/>
        </w:rPr>
        <w:t>TXT: DMEM medium pH 7.4: 33.4 mL; 1 M Glucose: 0.875 mL; 100 mM Pyruvate: 0.35 mL;  200 mM: Glutamine: 0.35 mL</w:t>
      </w:r>
    </w:p>
    <w:p w14:paraId="0E5C74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inverting or pipetting the tube to mix the solution evenly.</w:t>
      </w:r>
    </w:p>
    <w:p w14:paraId="6144FE45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0BF510AE" w14:textId="29A9476C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BE5CD7" w:rsidRPr="00B1498D">
        <w:rPr>
          <w:lang w:eastAsia="en-IN"/>
        </w:rPr>
        <w:t xml:space="preserve">repare the inhibitor solutions </w:t>
      </w:r>
      <w:r>
        <w:rPr>
          <w:lang w:eastAsia="en-IN"/>
        </w:rPr>
        <w:t>by mixing the requires components</w:t>
      </w:r>
      <w:r w:rsidR="00BE5CD7" w:rsidRPr="00B1498D">
        <w:rPr>
          <w:lang w:eastAsia="en-IN"/>
        </w:rPr>
        <w:t xml:space="preserve">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538D920A" w14:textId="3375E7C5" w:rsidR="00BE5CD7" w:rsidRDefault="00AE2D64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Table 3</w:t>
      </w:r>
      <w:r w:rsidR="00BE5CD7" w:rsidRPr="00B1498D">
        <w:rPr>
          <w:lang w:val="en-IN" w:eastAsia="en-IN"/>
        </w:rPr>
        <w:t>.</w:t>
      </w:r>
    </w:p>
    <w:p w14:paraId="0FBB2954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792877A0" w14:textId="2CFBF02D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BE5CD7" w:rsidRPr="00B1498D">
        <w:rPr>
          <w:lang w:eastAsia="en-IN"/>
        </w:rPr>
        <w:t xml:space="preserve">emove the hydrated sensor cartridge from the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Using a multichannel pipette and a loading guide, load 25 microliters of each inhibitor into its corresponding port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208227D8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taking out the assembled sensor cartridge and placing it on a sterile bench.</w:t>
      </w:r>
    </w:p>
    <w:p w14:paraId="3C3F408B" w14:textId="4364260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using a multichannel pipette to dispense 25 microliters of inhibitor into </w:t>
      </w:r>
      <w:r w:rsidR="00AE2D64">
        <w:rPr>
          <w:lang w:val="en-IN" w:eastAsia="en-IN"/>
        </w:rPr>
        <w:t>a</w:t>
      </w:r>
      <w:r w:rsidRPr="00B1498D">
        <w:rPr>
          <w:lang w:val="en-IN" w:eastAsia="en-IN"/>
        </w:rPr>
        <w:t xml:space="preserve"> port.</w:t>
      </w:r>
    </w:p>
    <w:p w14:paraId="1B9852A9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619BDB60" w14:textId="62501F8A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BE5CD7" w:rsidRPr="00B1498D">
        <w:rPr>
          <w:lang w:eastAsia="en-IN"/>
        </w:rPr>
        <w:t xml:space="preserve">spirate the growth medium from the cell culture microplate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a</w:t>
      </w:r>
      <w:r w:rsidR="00BE5CD7" w:rsidRPr="00B1498D">
        <w:rPr>
          <w:lang w:eastAsia="en-IN"/>
        </w:rPr>
        <w:t xml:space="preserve">dd 175 microliters of assay medium </w:t>
      </w:r>
      <w:r>
        <w:rPr>
          <w:lang w:eastAsia="en-IN"/>
        </w:rPr>
        <w:t xml:space="preserve">tempered at </w:t>
      </w:r>
      <w:r w:rsidRPr="00B1498D">
        <w:rPr>
          <w:lang w:eastAsia="en-IN"/>
        </w:rPr>
        <w:t>37 degrees Celsius</w:t>
      </w:r>
      <w:r>
        <w:rPr>
          <w:lang w:eastAsia="en-IN"/>
        </w:rPr>
        <w:t xml:space="preserve"> </w:t>
      </w:r>
      <w:r w:rsidR="00BE5CD7" w:rsidRPr="00B1498D">
        <w:rPr>
          <w:lang w:eastAsia="en-IN"/>
        </w:rPr>
        <w:t xml:space="preserve">into each well using a multichannel pipette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333BEBA2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old growth medium from the 96-well plate using a multichannel pipette.</w:t>
      </w:r>
    </w:p>
    <w:p w14:paraId="1CCB861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175 microliters of the pre-warmed assay medium into each well.</w:t>
      </w:r>
    </w:p>
    <w:p w14:paraId="699FDF57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46E2CFFB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Place the cell culture microplate into </w:t>
      </w:r>
      <w:proofErr w:type="gramStart"/>
      <w:r w:rsidRPr="00B1498D">
        <w:rPr>
          <w:lang w:eastAsia="en-IN"/>
        </w:rPr>
        <w:t>a 37 degrees</w:t>
      </w:r>
      <w:proofErr w:type="gramEnd"/>
      <w:r w:rsidRPr="00B1498D">
        <w:rPr>
          <w:lang w:eastAsia="en-IN"/>
        </w:rPr>
        <w:t xml:space="preserve"> Celsius non–carbon dioxide incubator and incubate for 45 to 60 minutes prior to starting the assay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0651A48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lastRenderedPageBreak/>
        <w:t>Talent placing the plate inside the non–carbon dioxide incubator and closing the door.</w:t>
      </w:r>
    </w:p>
    <w:p w14:paraId="283451F8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0522A34C" w14:textId="7F713346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i</w:t>
      </w:r>
      <w:r w:rsidR="00BE5CD7" w:rsidRPr="00B1498D">
        <w:rPr>
          <w:lang w:eastAsia="en-IN"/>
        </w:rPr>
        <w:t xml:space="preserve">nsert the calibration plate containing the loaded sensor cartridge into the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for calibration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1CDF4792" w14:textId="1E75F00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loading the calibration plate with the sensor cartridge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A326D4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3CC95EEA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Once calibration is complete, place the cell culture microplate into the </w:t>
      </w:r>
      <w:proofErr w:type="spellStart"/>
      <w:r w:rsidRPr="00B1498D">
        <w:rPr>
          <w:lang w:eastAsia="en-IN"/>
        </w:rPr>
        <w:t>analyzer</w:t>
      </w:r>
      <w:proofErr w:type="spellEnd"/>
      <w:r w:rsidRPr="00B1498D">
        <w:rPr>
          <w:lang w:eastAsia="en-IN"/>
        </w:rPr>
        <w:t xml:space="preserve"> for measurement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144B1DAA" w14:textId="7B978DFD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inserting the prepared 96-well cell culture plate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C31D7F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20BDB064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the measurement run, remove and save the cell culture microplate for subsequent quantification of total protein for data normalization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2824B78F" w14:textId="0F372FA6" w:rsidR="00BE5CD7" w:rsidRPr="00B1498D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removing the plate from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3A2AA83" w14:textId="77777777" w:rsidR="00BE5CD7" w:rsidRPr="003F6E22" w:rsidRDefault="00BE5CD7" w:rsidP="00BE5CD7"/>
    <w:p w14:paraId="09689C4F" w14:textId="643FC8A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0BEA06" w14:textId="40A0170D" w:rsidR="00BC7C12" w:rsidRDefault="00BC7C12" w:rsidP="00BC7C12">
      <w:pPr>
        <w:pStyle w:val="Narration"/>
        <w:numPr>
          <w:ilvl w:val="1"/>
          <w:numId w:val="3"/>
        </w:numPr>
      </w:pPr>
      <w:r>
        <w:t xml:space="preserve">Forty-eight hours of hypoxia followed by twenty-four hours of reoxygenation produced the greatest increase in caspase-3 activity </w:t>
      </w:r>
      <w:r w:rsidRPr="00BC7C12">
        <w:rPr>
          <w:b/>
          <w:bCs/>
        </w:rPr>
        <w:t>[</w:t>
      </w:r>
      <w:r>
        <w:rPr>
          <w:b/>
          <w:bCs/>
        </w:rPr>
        <w:t>1</w:t>
      </w:r>
      <w:r w:rsidRPr="00BC7C12">
        <w:rPr>
          <w:b/>
          <w:bCs/>
        </w:rPr>
        <w:t>]</w:t>
      </w:r>
      <w:r>
        <w:t xml:space="preserve"> while maintaining cell viability comparable to that of normoxic controls </w:t>
      </w:r>
      <w:r w:rsidRPr="006F4910">
        <w:rPr>
          <w:b/>
        </w:rPr>
        <w:t>[</w:t>
      </w:r>
      <w:r>
        <w:rPr>
          <w:b/>
        </w:rPr>
        <w:t>2</w:t>
      </w:r>
      <w:r w:rsidRPr="006F4910">
        <w:rPr>
          <w:b/>
        </w:rPr>
        <w:t>]</w:t>
      </w:r>
      <w:r>
        <w:t>.</w:t>
      </w:r>
    </w:p>
    <w:p w14:paraId="4E1DEA1B" w14:textId="720A5B10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showing 48H 24R in graph A</w:t>
      </w:r>
      <w:r>
        <w:t>.</w:t>
      </w:r>
    </w:p>
    <w:p w14:paraId="6CAAE672" w14:textId="31C8739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for H/R in B graph</w:t>
      </w:r>
      <w:r>
        <w:t>.</w:t>
      </w:r>
    </w:p>
    <w:p w14:paraId="73579F0B" w14:textId="77777777" w:rsidR="00BC7C12" w:rsidRDefault="00BC7C12" w:rsidP="00BC7C12"/>
    <w:p w14:paraId="254043AB" w14:textId="76853408" w:rsidR="00BC7C12" w:rsidRDefault="00BC7C12" w:rsidP="00BC7C12">
      <w:pPr>
        <w:pStyle w:val="Narration"/>
        <w:numPr>
          <w:ilvl w:val="1"/>
          <w:numId w:val="3"/>
        </w:numPr>
      </w:pPr>
      <w:r>
        <w:t xml:space="preserve">After hypoxia and reoxygenation, there was a significant increase in the expression of the kidney injury markers Kim-1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Kim-1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</w:t>
      </w:r>
      <w:proofErr w:type="spellStart"/>
      <w:r>
        <w:t>Ngal</w:t>
      </w:r>
      <w:proofErr w:type="spellEnd"/>
      <w:r>
        <w:t xml:space="preserve">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N-G-A-L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6F4910">
        <w:rPr>
          <w:b/>
        </w:rPr>
        <w:t>[</w:t>
      </w:r>
      <w:r>
        <w:rPr>
          <w:b/>
        </w:rPr>
        <w:t>1</w:t>
      </w:r>
      <w:r w:rsidRPr="006F4910">
        <w:rPr>
          <w:b/>
        </w:rPr>
        <w:t>]</w:t>
      </w:r>
      <w:r>
        <w:t xml:space="preserve">, as well as in the expression of markers of renal partial epithelial-to-mesenchymal transition and fibrosis, Acta2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act-uh-2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Col1a1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col-1-A-1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BC7C12">
        <w:rPr>
          <w:b/>
          <w:bCs/>
        </w:rPr>
        <w:t>[</w:t>
      </w:r>
      <w:r>
        <w:rPr>
          <w:b/>
          <w:bCs/>
        </w:rPr>
        <w:t>2</w:t>
      </w:r>
      <w:r w:rsidRPr="00BC7C12">
        <w:rPr>
          <w:b/>
          <w:bCs/>
        </w:rPr>
        <w:t>]</w:t>
      </w:r>
      <w:r>
        <w:t>.</w:t>
      </w:r>
    </w:p>
    <w:p w14:paraId="2D70CA38" w14:textId="186ECAC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 xml:space="preserve">Video editor: Highlight the bars labelled “H/R” for Kim-1 and </w:t>
      </w:r>
      <w:proofErr w:type="spellStart"/>
      <w:r w:rsidRPr="007A5713">
        <w:rPr>
          <w:i/>
          <w:iCs/>
          <w:color w:val="3333FF"/>
        </w:rPr>
        <w:t>Ngal</w:t>
      </w:r>
      <w:proofErr w:type="spellEnd"/>
      <w:r w:rsidRPr="007A5713">
        <w:rPr>
          <w:i/>
          <w:iCs/>
          <w:color w:val="3333FF"/>
        </w:rPr>
        <w:t xml:space="preserve"> </w:t>
      </w:r>
    </w:p>
    <w:p w14:paraId="5B0A962E" w14:textId="3BE3AF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>Video editor: Highlight the bar labelled “H/R” for Acta2 and Col1a1</w:t>
      </w:r>
      <w:r>
        <w:t xml:space="preserve"> </w:t>
      </w:r>
    </w:p>
    <w:p w14:paraId="40303E03" w14:textId="77777777" w:rsidR="00BC7C12" w:rsidRDefault="00BC7C12" w:rsidP="00BC7C12"/>
    <w:p w14:paraId="15C7CC6A" w14:textId="451844A1" w:rsidR="00BC7C12" w:rsidRDefault="00BC7C12" w:rsidP="00BC7C12">
      <w:pPr>
        <w:pStyle w:val="Narration"/>
        <w:numPr>
          <w:ilvl w:val="1"/>
          <w:numId w:val="3"/>
        </w:numPr>
      </w:pPr>
      <w:r>
        <w:t xml:space="preserve">Mitochondrial respiration analysis showed that, after the ischemic challenge, all respiration parameters—including basal respiration </w:t>
      </w:r>
      <w:r w:rsidRPr="006F4910">
        <w:rPr>
          <w:b/>
        </w:rPr>
        <w:t>[1]</w:t>
      </w:r>
      <w:r>
        <w:t xml:space="preserve">, ATP production </w:t>
      </w:r>
      <w:r w:rsidRPr="006F4910">
        <w:rPr>
          <w:b/>
        </w:rPr>
        <w:t>[2]</w:t>
      </w:r>
      <w:r>
        <w:t xml:space="preserve">, proton leak </w:t>
      </w:r>
      <w:r w:rsidRPr="006F4910">
        <w:rPr>
          <w:b/>
        </w:rPr>
        <w:t>[3]</w:t>
      </w:r>
      <w:r>
        <w:t xml:space="preserve">, maximal respiration </w:t>
      </w:r>
      <w:r w:rsidRPr="006F4910">
        <w:rPr>
          <w:b/>
        </w:rPr>
        <w:t>[4]</w:t>
      </w:r>
      <w:r>
        <w:t xml:space="preserve">, and spare capacity were reduced, indicating hindered mitochondrial metabolism </w:t>
      </w:r>
      <w:r w:rsidR="007A5713" w:rsidRPr="006F4910">
        <w:rPr>
          <w:b/>
        </w:rPr>
        <w:t>[5]</w:t>
      </w:r>
      <w:r>
        <w:t>.</w:t>
      </w:r>
    </w:p>
    <w:p w14:paraId="2CF9B163" w14:textId="0EAE9A25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Focus on the “Basal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</w:t>
      </w:r>
      <w:r w:rsidR="007A5713" w:rsidRPr="007A5713">
        <w:rPr>
          <w:i/>
          <w:iCs/>
          <w:color w:val="3333FF"/>
        </w:rPr>
        <w:t xml:space="preserve">for </w:t>
      </w:r>
      <w:r w:rsidRPr="007A5713">
        <w:rPr>
          <w:i/>
          <w:iCs/>
          <w:color w:val="3333FF"/>
        </w:rPr>
        <w:t xml:space="preserve"> H/R</w:t>
      </w:r>
      <w:r>
        <w:t xml:space="preserve"> .</w:t>
      </w:r>
    </w:p>
    <w:p w14:paraId="0216E342" w14:textId="07EF067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“ATP production”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 xml:space="preserve"> .</w:t>
      </w:r>
    </w:p>
    <w:p w14:paraId="4319089C" w14:textId="70D4EAA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Show the “Proton leak” region </w:t>
      </w:r>
      <w:r w:rsidR="007A5713" w:rsidRPr="007A5713">
        <w:rPr>
          <w:i/>
          <w:iCs/>
          <w:color w:val="3333FF"/>
        </w:rPr>
        <w:t>under the pink H/R line</w:t>
      </w:r>
      <w:r>
        <w:t>.</w:t>
      </w:r>
    </w:p>
    <w:p w14:paraId="326C13E7" w14:textId="5C8422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“Maximal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>.</w:t>
      </w:r>
    </w:p>
    <w:p w14:paraId="77445D7B" w14:textId="67593298" w:rsidR="00BC7C12" w:rsidRPr="006F4910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Indicate the “Spare capacity” </w:t>
      </w:r>
      <w:r w:rsidR="007A5713" w:rsidRPr="007A5713">
        <w:rPr>
          <w:i/>
          <w:iCs/>
          <w:color w:val="3333FF"/>
        </w:rPr>
        <w:t>line for H/R</w:t>
      </w:r>
      <w:r>
        <w:t>.</w:t>
      </w:r>
    </w:p>
    <w:sectPr w:rsidR="00BC7C12" w:rsidRPr="006F4910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2302" w14:textId="77777777" w:rsidR="004935C0" w:rsidRDefault="004935C0">
      <w:r>
        <w:separator/>
      </w:r>
    </w:p>
    <w:p w14:paraId="5A88F0F9" w14:textId="77777777" w:rsidR="004935C0" w:rsidRDefault="004935C0"/>
  </w:endnote>
  <w:endnote w:type="continuationSeparator" w:id="0">
    <w:p w14:paraId="2C4AB268" w14:textId="77777777" w:rsidR="004935C0" w:rsidRDefault="004935C0">
      <w:r>
        <w:continuationSeparator/>
      </w:r>
    </w:p>
    <w:p w14:paraId="48AAFBF3" w14:textId="77777777" w:rsidR="004935C0" w:rsidRDefault="00493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6E9AA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2E7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42E7F">
      <w:rPr>
        <w:rFonts w:cstheme="minorHAnsi"/>
      </w:rPr>
      <w:t xml:space="preserve">                 November </w:t>
    </w:r>
    <w:r w:rsidR="00B42E7F">
      <w:rPr>
        <w:rFonts w:cstheme="minorHAnsi"/>
      </w:rPr>
      <w:t>04</w:t>
    </w:r>
    <w:r w:rsidR="00B42E7F">
      <w:rPr>
        <w:rFonts w:cstheme="minorHAnsi"/>
      </w:rPr>
      <w:t xml:space="preserve">, </w:t>
    </w:r>
    <w:proofErr w:type="gramStart"/>
    <w:r w:rsidR="00B42E7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3E62" w14:textId="77777777" w:rsidR="004935C0" w:rsidRDefault="004935C0">
      <w:r>
        <w:separator/>
      </w:r>
    </w:p>
    <w:p w14:paraId="53731C2D" w14:textId="77777777" w:rsidR="004935C0" w:rsidRDefault="004935C0"/>
  </w:footnote>
  <w:footnote w:type="continuationSeparator" w:id="0">
    <w:p w14:paraId="42A36B02" w14:textId="77777777" w:rsidR="004935C0" w:rsidRDefault="004935C0">
      <w:r>
        <w:continuationSeparator/>
      </w:r>
    </w:p>
    <w:p w14:paraId="124D1348" w14:textId="77777777" w:rsidR="004935C0" w:rsidRDefault="00493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68EC67" w:rsidR="00336C61" w:rsidRPr="006D3AC7" w:rsidRDefault="00336C61" w:rsidP="00B42E7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42E7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91E47"/>
    <w:multiLevelType w:val="hybridMultilevel"/>
    <w:tmpl w:val="E59A0866"/>
    <w:lvl w:ilvl="0" w:tplc="8660842A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75820647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39E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3745F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4139"/>
    <w:rsid w:val="00325A7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2E1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5C0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5CB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B0A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713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6BFD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25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2D64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2E7F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292"/>
    <w:rsid w:val="00BA0371"/>
    <w:rsid w:val="00BA2EF5"/>
    <w:rsid w:val="00BB27C1"/>
    <w:rsid w:val="00BC01E5"/>
    <w:rsid w:val="00BC1358"/>
    <w:rsid w:val="00BC3F28"/>
    <w:rsid w:val="00BC6DA7"/>
    <w:rsid w:val="00BC6EDF"/>
    <w:rsid w:val="00BC7C12"/>
    <w:rsid w:val="00BC7E90"/>
    <w:rsid w:val="00BD4346"/>
    <w:rsid w:val="00BE051D"/>
    <w:rsid w:val="00BE5CD7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D9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0D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E3E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E5CD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E5CD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E5CD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E5CD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E5CD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E5CD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8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1689</Words>
  <Characters>9591</Characters>
  <Application>Microsoft Office Word</Application>
  <DocSecurity>0</DocSecurity>
  <Lines>247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2025-11-04T17:39:00Z</dcterms:created>
  <dcterms:modified xsi:type="dcterms:W3CDTF">2025-11-04T17:39:00Z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