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31397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85927">
        <w:rPr>
          <w:rFonts w:eastAsia="Times New Roman" w:cstheme="minorHAnsi"/>
          <w:b/>
        </w:rPr>
        <w:t>68931</w:t>
      </w:r>
    </w:p>
    <w:p w14:paraId="2F6924E5" w14:textId="7256098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85927">
        <w:rPr>
          <w:rFonts w:eastAsia="Times New Roman" w:cstheme="minorHAnsi"/>
          <w:b/>
        </w:rPr>
        <w:t>Pallavi Sharma</w:t>
      </w:r>
    </w:p>
    <w:p w14:paraId="6FB9233B" w14:textId="314936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85927" w:rsidRPr="00585927">
          <w:rPr>
            <w:rStyle w:val="Hyperlink"/>
            <w:rFonts w:eastAsia="Times New Roman" w:cstheme="minorHAnsi"/>
            <w:b/>
          </w:rPr>
          <w:t>https://review.jove.com/files_upload.php?src=21024003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3AD3789" w14:textId="77777777" w:rsidR="00585927" w:rsidRPr="007904BA" w:rsidRDefault="004E0C5A" w:rsidP="00585927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85927" w:rsidRPr="00585927">
        <w:rPr>
          <w:b/>
          <w:bCs/>
          <w:sz w:val="32"/>
          <w:szCs w:val="32"/>
        </w:rPr>
        <w:t>Functional and Oncologic Outcomes Following Perinatal Tissue Allograft Placement During Nerve-Sparing Robotic-Assisted Radical Prostatectomy</w:t>
      </w:r>
    </w:p>
    <w:p w14:paraId="30BC7CCC" w14:textId="57386DD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4F3595E" w14:textId="77777777" w:rsidR="00585927" w:rsidRPr="00585927" w:rsidRDefault="00585927" w:rsidP="00585927">
      <w:pPr>
        <w:rPr>
          <w:sz w:val="28"/>
          <w:szCs w:val="28"/>
        </w:rPr>
      </w:pPr>
      <w:r w:rsidRPr="00585927">
        <w:rPr>
          <w:sz w:val="28"/>
          <w:szCs w:val="28"/>
        </w:rPr>
        <w:t>Ashley Foret</w:t>
      </w: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, Alan Perry</w:t>
      </w:r>
      <w:r w:rsidRPr="00585927">
        <w:rPr>
          <w:sz w:val="28"/>
          <w:szCs w:val="28"/>
          <w:vertAlign w:val="superscript"/>
        </w:rPr>
        <w:t>2</w:t>
      </w:r>
      <w:r w:rsidRPr="00585927">
        <w:rPr>
          <w:sz w:val="28"/>
          <w:szCs w:val="28"/>
        </w:rPr>
        <w:t>, Amanda Kahn</w:t>
      </w: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, Eric Qualkenbush</w:t>
      </w: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, Ray W. Pak</w:t>
      </w: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, Jeremy Mercuri</w:t>
      </w:r>
      <w:r w:rsidRPr="00585927">
        <w:rPr>
          <w:sz w:val="28"/>
          <w:szCs w:val="28"/>
          <w:vertAlign w:val="superscript"/>
        </w:rPr>
        <w:t>3</w:t>
      </w:r>
      <w:r w:rsidRPr="00585927">
        <w:rPr>
          <w:sz w:val="28"/>
          <w:szCs w:val="28"/>
        </w:rPr>
        <w:t>, Ram A. Pathak</w:t>
      </w:r>
      <w:r w:rsidRPr="00585927">
        <w:rPr>
          <w:sz w:val="28"/>
          <w:szCs w:val="28"/>
          <w:vertAlign w:val="superscript"/>
        </w:rPr>
        <w:t>1</w:t>
      </w:r>
    </w:p>
    <w:p w14:paraId="26B83A46" w14:textId="77777777" w:rsidR="00585927" w:rsidRPr="00585927" w:rsidRDefault="00585927" w:rsidP="00585927">
      <w:pPr>
        <w:rPr>
          <w:sz w:val="28"/>
          <w:szCs w:val="28"/>
        </w:rPr>
      </w:pPr>
    </w:p>
    <w:p w14:paraId="3004E30D" w14:textId="77777777" w:rsidR="00585927" w:rsidRDefault="00585927" w:rsidP="00585927">
      <w:pPr>
        <w:rPr>
          <w:sz w:val="28"/>
          <w:szCs w:val="28"/>
        </w:rPr>
      </w:pPr>
      <w:r w:rsidRPr="00585927">
        <w:rPr>
          <w:sz w:val="28"/>
          <w:szCs w:val="28"/>
          <w:vertAlign w:val="superscript"/>
        </w:rPr>
        <w:t>1</w:t>
      </w:r>
      <w:r w:rsidRPr="00585927">
        <w:rPr>
          <w:sz w:val="28"/>
          <w:szCs w:val="28"/>
        </w:rPr>
        <w:t>Department of Urology, Mayo Clinic</w:t>
      </w:r>
    </w:p>
    <w:p w14:paraId="17DF5A28" w14:textId="468747D5" w:rsidR="00585927" w:rsidRPr="00585927" w:rsidRDefault="00585927" w:rsidP="00585927">
      <w:pPr>
        <w:rPr>
          <w:sz w:val="28"/>
          <w:szCs w:val="28"/>
        </w:rPr>
      </w:pPr>
      <w:r w:rsidRPr="00585927">
        <w:rPr>
          <w:sz w:val="28"/>
          <w:szCs w:val="28"/>
          <w:vertAlign w:val="superscript"/>
        </w:rPr>
        <w:t>2</w:t>
      </w:r>
      <w:r w:rsidRPr="00585927">
        <w:rPr>
          <w:sz w:val="28"/>
          <w:szCs w:val="28"/>
        </w:rPr>
        <w:t>Department of Urology, Dartmouth Hitchcock Medical Center, and Dartmouth Hitchcock Clinics</w:t>
      </w:r>
    </w:p>
    <w:p w14:paraId="6E926F8B" w14:textId="4EDB959D" w:rsidR="00585927" w:rsidRPr="00585927" w:rsidRDefault="00585927" w:rsidP="00585927">
      <w:pPr>
        <w:rPr>
          <w:sz w:val="28"/>
          <w:szCs w:val="28"/>
        </w:rPr>
      </w:pPr>
      <w:r w:rsidRPr="00585927">
        <w:rPr>
          <w:sz w:val="28"/>
          <w:szCs w:val="28"/>
          <w:vertAlign w:val="superscript"/>
        </w:rPr>
        <w:t>3</w:t>
      </w:r>
      <w:r w:rsidRPr="00585927">
        <w:rPr>
          <w:sz w:val="28"/>
          <w:szCs w:val="28"/>
        </w:rPr>
        <w:t>Samaritan Biologics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AD794F6" w14:textId="77777777" w:rsidR="00585927" w:rsidRPr="007904BA" w:rsidRDefault="00585927" w:rsidP="00585927">
      <w:bookmarkStart w:id="0" w:name="_Hlk25233958"/>
      <w:r w:rsidRPr="007904BA">
        <w:t xml:space="preserve">Ram Pathak </w:t>
      </w:r>
      <w:r w:rsidRPr="007904BA">
        <w:tab/>
      </w:r>
      <w:r w:rsidRPr="007904BA">
        <w:tab/>
        <w:t xml:space="preserve">(pathak.ram@mayo.edu)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DDD26B" w14:textId="77777777" w:rsidR="00585927" w:rsidRPr="005D148E" w:rsidRDefault="00585927" w:rsidP="00585927">
      <w:pPr>
        <w:rPr>
          <w:lang w:val="es-ES"/>
        </w:rPr>
      </w:pPr>
      <w:r w:rsidRPr="005D148E">
        <w:rPr>
          <w:lang w:val="es-ES"/>
        </w:rPr>
        <w:t>Ashley Foret</w:t>
      </w:r>
      <w:r w:rsidRPr="005D148E">
        <w:rPr>
          <w:lang w:val="es-ES"/>
        </w:rPr>
        <w:tab/>
      </w:r>
      <w:r w:rsidRPr="005D148E">
        <w:rPr>
          <w:lang w:val="es-ES"/>
        </w:rPr>
        <w:tab/>
        <w:t>(Foret.ashley@mayo.edu)</w:t>
      </w:r>
    </w:p>
    <w:p w14:paraId="70DE55EB" w14:textId="77777777" w:rsidR="00585927" w:rsidRPr="005D148E" w:rsidRDefault="00585927" w:rsidP="00585927">
      <w:pPr>
        <w:rPr>
          <w:lang w:val="pt-BR"/>
        </w:rPr>
      </w:pPr>
      <w:r w:rsidRPr="005D148E">
        <w:rPr>
          <w:lang w:val="pt-BR"/>
        </w:rPr>
        <w:t>Alan Perry</w:t>
      </w:r>
      <w:r w:rsidRPr="005D148E">
        <w:rPr>
          <w:lang w:val="pt-BR"/>
        </w:rPr>
        <w:tab/>
      </w:r>
      <w:r w:rsidRPr="005D148E">
        <w:rPr>
          <w:lang w:val="pt-BR"/>
        </w:rPr>
        <w:tab/>
        <w:t>(Alan.G.Perry@hitchcock.org)</w:t>
      </w:r>
    </w:p>
    <w:p w14:paraId="1C930CBD" w14:textId="77777777" w:rsidR="00585927" w:rsidRPr="005D148E" w:rsidRDefault="00585927" w:rsidP="00585927">
      <w:pPr>
        <w:rPr>
          <w:lang w:val="pt-BR"/>
        </w:rPr>
      </w:pPr>
      <w:r w:rsidRPr="005D148E">
        <w:rPr>
          <w:lang w:val="pt-BR"/>
        </w:rPr>
        <w:t>Amanda Kahn</w:t>
      </w:r>
      <w:r w:rsidRPr="005D148E">
        <w:rPr>
          <w:lang w:val="pt-BR"/>
        </w:rPr>
        <w:tab/>
      </w:r>
      <w:r w:rsidRPr="005D148E">
        <w:rPr>
          <w:lang w:val="pt-BR"/>
        </w:rPr>
        <w:tab/>
        <w:t xml:space="preserve">(kahn.amanda@mayo.edu) </w:t>
      </w:r>
    </w:p>
    <w:p w14:paraId="505C6595" w14:textId="77777777" w:rsidR="00585927" w:rsidRPr="007904BA" w:rsidRDefault="00585927" w:rsidP="00585927">
      <w:r w:rsidRPr="007904BA">
        <w:t>Eric Qualkenbush</w:t>
      </w:r>
      <w:r w:rsidRPr="007904BA">
        <w:rPr>
          <w:vertAlign w:val="superscript"/>
        </w:rPr>
        <w:tab/>
      </w:r>
      <w:r w:rsidRPr="007904BA">
        <w:t>(qualkenbush.eric@mayo.edu)</w:t>
      </w:r>
    </w:p>
    <w:p w14:paraId="03B1E471" w14:textId="77777777" w:rsidR="00585927" w:rsidRPr="007904BA" w:rsidRDefault="00585927" w:rsidP="00585927">
      <w:r w:rsidRPr="007904BA">
        <w:t>Ray W. Pak</w:t>
      </w:r>
      <w:r w:rsidRPr="007904BA">
        <w:tab/>
      </w:r>
      <w:r w:rsidRPr="007904BA">
        <w:tab/>
        <w:t>(pak.raymond@mayo.edu)</w:t>
      </w:r>
    </w:p>
    <w:p w14:paraId="5A957853" w14:textId="77777777" w:rsidR="00585927" w:rsidRPr="007904BA" w:rsidRDefault="00585927" w:rsidP="00585927">
      <w:r w:rsidRPr="007904BA">
        <w:t>Jeremy Mercuri</w:t>
      </w:r>
      <w:r w:rsidRPr="007904BA">
        <w:tab/>
        <w:t>(jmercuri@samaritanbiologics.com)</w:t>
      </w:r>
    </w:p>
    <w:p w14:paraId="594A7CF6" w14:textId="77777777" w:rsidR="00DD4297" w:rsidRPr="007904BA" w:rsidRDefault="00DD4297" w:rsidP="00DD4297">
      <w:r w:rsidRPr="007904BA">
        <w:t xml:space="preserve">Ram Pathak </w:t>
      </w:r>
      <w:r w:rsidRPr="007904BA">
        <w:tab/>
      </w:r>
      <w:r w:rsidRPr="007904BA">
        <w:tab/>
        <w:t xml:space="preserve">(pathak.ram@mayo.edu) </w:t>
      </w:r>
    </w:p>
    <w:p w14:paraId="3335E79D" w14:textId="77777777" w:rsidR="00585927" w:rsidRPr="007904BA" w:rsidRDefault="00585927" w:rsidP="00585927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C2F59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11900">
        <w:rPr>
          <w:rFonts w:cstheme="minorHAnsi"/>
          <w:bCs/>
          <w:sz w:val="22"/>
          <w:szCs w:val="22"/>
        </w:rPr>
        <w:t>0</w:t>
      </w:r>
      <w:r w:rsidR="00A37892">
        <w:rPr>
          <w:rFonts w:cstheme="minorHAnsi"/>
          <w:bCs/>
          <w:sz w:val="22"/>
          <w:szCs w:val="22"/>
        </w:rPr>
        <w:t>4</w:t>
      </w:r>
    </w:p>
    <w:p w14:paraId="5AAC9C6C" w14:textId="4D4F3C2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11900">
        <w:rPr>
          <w:rFonts w:cstheme="minorHAnsi"/>
          <w:bCs/>
          <w:sz w:val="22"/>
          <w:szCs w:val="22"/>
        </w:rPr>
        <w:t>12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39F44A74" w:rsidR="00A13CC3" w:rsidRDefault="00FF25E5" w:rsidP="00DD4297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DD4297">
        <w:rPr>
          <w:rFonts w:eastAsia="Times New Roman" w:cstheme="minorHAnsi"/>
        </w:rPr>
        <w:t>Mayo Clinic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FE05F83" w:rsidR="00CE10F2" w:rsidRDefault="0041238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Allograft Preparation and Application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FA0038E" w14:textId="5E7F7925" w:rsidR="00585927" w:rsidRPr="00B16839" w:rsidRDefault="00A22EE5" w:rsidP="00585927">
      <w:pPr>
        <w:pStyle w:val="Narration"/>
        <w:numPr>
          <w:ilvl w:val="1"/>
          <w:numId w:val="3"/>
        </w:numPr>
      </w:pPr>
      <w:r>
        <w:t>To begin, s</w:t>
      </w:r>
      <w:r w:rsidR="00585927" w:rsidRPr="00B16839">
        <w:t xml:space="preserve">tore the perinatal tissue allografts at room temperature until the time of implantation </w:t>
      </w:r>
      <w:r w:rsidR="00585927" w:rsidRPr="00B16839">
        <w:rPr>
          <w:b/>
          <w:bCs/>
        </w:rPr>
        <w:t>[1]</w:t>
      </w:r>
      <w:r w:rsidR="00585927" w:rsidRPr="00B16839">
        <w:t xml:space="preserve">. Using aseptic technique, inspect the outer peel pouch and open it to present the inner foil pouch to the operative field </w:t>
      </w:r>
      <w:r w:rsidR="00585927" w:rsidRPr="00B16839">
        <w:rPr>
          <w:b/>
          <w:bCs/>
        </w:rPr>
        <w:t>[2</w:t>
      </w:r>
      <w:r>
        <w:rPr>
          <w:b/>
          <w:bCs/>
        </w:rPr>
        <w:t>-TXT</w:t>
      </w:r>
      <w:r w:rsidR="00585927" w:rsidRPr="00B16839">
        <w:rPr>
          <w:b/>
          <w:bCs/>
        </w:rPr>
        <w:t>]</w:t>
      </w:r>
      <w:r w:rsidR="00585927" w:rsidRPr="00B16839">
        <w:t>.</w:t>
      </w:r>
      <w:r>
        <w:t xml:space="preserve"> </w:t>
      </w:r>
      <w:r w:rsidR="00585927" w:rsidRPr="00B16839">
        <w:t>Submerge the allograft completely in 100 milliliters of room</w:t>
      </w:r>
      <w:r w:rsidR="00DD4297">
        <w:t>-</w:t>
      </w:r>
      <w:r w:rsidR="00585927" w:rsidRPr="00B16839">
        <w:t xml:space="preserve">temperature sterile normal saline for 10 seconds to pre-hydrate the tissue </w:t>
      </w:r>
      <w:r w:rsidR="00585927" w:rsidRPr="00B16839">
        <w:rPr>
          <w:b/>
          <w:bCs/>
        </w:rPr>
        <w:t>[</w:t>
      </w:r>
      <w:r>
        <w:rPr>
          <w:b/>
          <w:bCs/>
        </w:rPr>
        <w:t>3</w:t>
      </w:r>
      <w:r w:rsidR="00585927" w:rsidRPr="00B16839">
        <w:rPr>
          <w:b/>
          <w:bCs/>
        </w:rPr>
        <w:t>]</w:t>
      </w:r>
      <w:r w:rsidR="00585927" w:rsidRPr="00B16839">
        <w:t xml:space="preserve">. </w:t>
      </w:r>
    </w:p>
    <w:p w14:paraId="78B53460" w14:textId="77777777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WIDE: Talent placing sealed perinatal tissue allografts on a table at room temperature.</w:t>
      </w:r>
    </w:p>
    <w:p w14:paraId="5AA74640" w14:textId="66FF5062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Talent using sterile gloves to inspect and open the outer peel pouch, exposing the sealed inner foil pouch to the operative field.</w:t>
      </w:r>
      <w:r w:rsidR="00A22EE5">
        <w:rPr>
          <w:lang w:val="en-IN"/>
        </w:rPr>
        <w:t xml:space="preserve"> </w:t>
      </w:r>
      <w:r w:rsidR="00A22EE5" w:rsidRPr="00A22EE5">
        <w:rPr>
          <w:b/>
          <w:bCs/>
          <w:lang w:val="en-IN"/>
        </w:rPr>
        <w:t xml:space="preserve">TXT: </w:t>
      </w:r>
      <w:r w:rsidR="00A22EE5" w:rsidRPr="00A22EE5">
        <w:rPr>
          <w:b/>
          <w:bCs/>
        </w:rPr>
        <w:t>Open the inner pouch only when the allograft is ready for placement</w:t>
      </w:r>
    </w:p>
    <w:p w14:paraId="318A92C8" w14:textId="4695157C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Talent fully submerging the allograft in a beaker containing 100 milliliters of sterile normal saline for 10 seconds.</w:t>
      </w:r>
      <w:r w:rsidR="00A22EE5">
        <w:rPr>
          <w:lang w:val="en-IN"/>
        </w:rPr>
        <w:br/>
      </w:r>
    </w:p>
    <w:p w14:paraId="741520F7" w14:textId="349E3CDF" w:rsidR="00585927" w:rsidRPr="00B16839" w:rsidRDefault="00585927" w:rsidP="00585927">
      <w:pPr>
        <w:pStyle w:val="Narration"/>
        <w:numPr>
          <w:ilvl w:val="1"/>
          <w:numId w:val="3"/>
        </w:numPr>
      </w:pPr>
      <w:r w:rsidRPr="00B16839">
        <w:t>Perform a transperitoneal nerve-sparing robot-assisted radical prostatectomy using a DaVinci</w:t>
      </w:r>
      <w:r w:rsidR="00A22EE5">
        <w:t xml:space="preserve"> </w:t>
      </w:r>
      <w:r w:rsidR="00A22EE5" w:rsidRPr="00A22EE5">
        <w:rPr>
          <w:i/>
          <w:iCs/>
          <w:color w:val="EE0000"/>
        </w:rPr>
        <w:t>(Da-Vinci)</w:t>
      </w:r>
      <w:r w:rsidRPr="00A22EE5">
        <w:rPr>
          <w:color w:val="EE0000"/>
        </w:rPr>
        <w:t xml:space="preserve"> </w:t>
      </w:r>
      <w:r w:rsidRPr="00B16839">
        <w:t xml:space="preserve">Xi surgical robot </w:t>
      </w:r>
      <w:r w:rsidRPr="00B16839">
        <w:rPr>
          <w:b/>
          <w:bCs/>
        </w:rPr>
        <w:t>[1]</w:t>
      </w:r>
      <w:r w:rsidRPr="00B16839">
        <w:t xml:space="preserve">. Maintain a pneumoperitoneum pressure of 15 millimeters of mercury throughout the procedure </w:t>
      </w:r>
      <w:r w:rsidRPr="00B16839">
        <w:rPr>
          <w:b/>
          <w:bCs/>
        </w:rPr>
        <w:t>[2]</w:t>
      </w:r>
      <w:r w:rsidRPr="00B16839">
        <w:t xml:space="preserve">. Use the robotic camera at 10 times magnification for intraoperative visualization </w:t>
      </w:r>
      <w:r w:rsidRPr="00B16839">
        <w:rPr>
          <w:b/>
          <w:bCs/>
        </w:rPr>
        <w:t>[3</w:t>
      </w:r>
      <w:r w:rsidR="00F11900">
        <w:rPr>
          <w:b/>
          <w:bCs/>
        </w:rPr>
        <w:t>-TXT</w:t>
      </w:r>
      <w:r w:rsidRPr="00B16839">
        <w:rPr>
          <w:b/>
          <w:bCs/>
        </w:rPr>
        <w:t>]</w:t>
      </w:r>
      <w:r w:rsidRPr="00B16839">
        <w:t>.</w:t>
      </w:r>
      <w:r w:rsidR="00A22EE5">
        <w:t xml:space="preserve"> </w:t>
      </w:r>
      <w:r w:rsidRPr="00B16839">
        <w:t xml:space="preserve">When feasible, apply an anterior approach with the hood technique </w:t>
      </w:r>
      <w:r w:rsidRPr="00B16839">
        <w:rPr>
          <w:b/>
          <w:bCs/>
        </w:rPr>
        <w:t>[</w:t>
      </w:r>
      <w:r w:rsidR="00672753">
        <w:rPr>
          <w:b/>
          <w:bCs/>
        </w:rPr>
        <w:t>4</w:t>
      </w:r>
      <w:r w:rsidR="00F11900">
        <w:rPr>
          <w:b/>
          <w:bCs/>
        </w:rPr>
        <w:t>-TXT</w:t>
      </w:r>
      <w:r w:rsidRPr="00B16839">
        <w:rPr>
          <w:b/>
          <w:bCs/>
        </w:rPr>
        <w:t>]</w:t>
      </w:r>
      <w:r w:rsidRPr="00B16839">
        <w:t>.</w:t>
      </w:r>
    </w:p>
    <w:p w14:paraId="699E928C" w14:textId="7AB96E8E" w:rsidR="00585927" w:rsidRDefault="00A22EE5" w:rsidP="0058592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Shot of the t</w:t>
      </w:r>
      <w:r w:rsidR="00585927" w:rsidRPr="00B16839">
        <w:rPr>
          <w:lang w:val="en-IN"/>
        </w:rPr>
        <w:t xml:space="preserve">alent </w:t>
      </w:r>
      <w:r>
        <w:rPr>
          <w:lang w:val="en-IN"/>
        </w:rPr>
        <w:t>with</w:t>
      </w:r>
      <w:r w:rsidR="00585927" w:rsidRPr="00B16839">
        <w:rPr>
          <w:lang w:val="en-IN"/>
        </w:rPr>
        <w:t xml:space="preserve"> DaVinci Xi robotic surgical system.</w:t>
      </w:r>
    </w:p>
    <w:p w14:paraId="0368F794" w14:textId="77777777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Close-up of monitor display showing pneumoperitoneum pressure set at 15 millimeters of mercury.</w:t>
      </w:r>
    </w:p>
    <w:p w14:paraId="1973E21F" w14:textId="7BCFA188" w:rsidR="00585927" w:rsidRPr="00364631" w:rsidRDefault="00585927" w:rsidP="00364631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Display showing live surgical feed at 10 times magnification using the robotic camera.</w:t>
      </w:r>
      <w:r w:rsidR="00A22EE5">
        <w:rPr>
          <w:lang w:val="en-IN"/>
        </w:rPr>
        <w:t xml:space="preserve"> </w:t>
      </w:r>
      <w:r w:rsidR="00A22EE5" w:rsidRPr="00A22EE5">
        <w:rPr>
          <w:b/>
          <w:bCs/>
          <w:lang w:val="en-IN"/>
        </w:rPr>
        <w:t xml:space="preserve">TXT: </w:t>
      </w:r>
      <w:r w:rsidR="00A22EE5" w:rsidRPr="00A22EE5">
        <w:rPr>
          <w:b/>
          <w:bCs/>
        </w:rPr>
        <w:t>Do not use the available digital zoom option</w:t>
      </w:r>
      <w:r w:rsidR="00A22EE5" w:rsidRPr="00B16839">
        <w:t xml:space="preserve"> </w:t>
      </w:r>
    </w:p>
    <w:p w14:paraId="0DB6707E" w14:textId="6BEC05E3" w:rsidR="00585927" w:rsidRPr="002461B3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Talent performing an anterior approach using the hood technique during dissection.</w:t>
      </w:r>
      <w:r w:rsidR="00360E46">
        <w:rPr>
          <w:lang w:val="en-IN"/>
        </w:rPr>
        <w:t xml:space="preserve"> </w:t>
      </w:r>
      <w:r w:rsidR="00360E46" w:rsidRPr="00360E46">
        <w:rPr>
          <w:b/>
          <w:bCs/>
          <w:lang w:val="en-IN"/>
        </w:rPr>
        <w:t xml:space="preserve">TXT: </w:t>
      </w:r>
      <w:r w:rsidR="00360E46" w:rsidRPr="00360E46">
        <w:rPr>
          <w:b/>
          <w:bCs/>
        </w:rPr>
        <w:t>Use nerve-sparing technique; Minimize monopolar cautery</w:t>
      </w:r>
    </w:p>
    <w:p w14:paraId="2FCEAE75" w14:textId="77777777" w:rsidR="002461B3" w:rsidRDefault="002461B3" w:rsidP="002461B3">
      <w:pPr>
        <w:pStyle w:val="ShotDescription"/>
        <w:ind w:firstLine="0"/>
        <w:rPr>
          <w:lang w:val="en-IN"/>
        </w:rPr>
      </w:pPr>
    </w:p>
    <w:p w14:paraId="1BE25ADF" w14:textId="5FD32735" w:rsidR="00364631" w:rsidRDefault="00585927" w:rsidP="00585927">
      <w:pPr>
        <w:pStyle w:val="Narration"/>
        <w:numPr>
          <w:ilvl w:val="1"/>
          <w:numId w:val="3"/>
        </w:numPr>
      </w:pPr>
      <w:r w:rsidRPr="00B16839">
        <w:t xml:space="preserve">After dissecting the prostatic apex, orient a pre-hydrated perinatal tissue allograft measuring 3 centimeters by 6 centimeters longitudinally </w:t>
      </w:r>
      <w:r w:rsidRPr="00B16839">
        <w:rPr>
          <w:b/>
          <w:bCs/>
        </w:rPr>
        <w:t>[1]</w:t>
      </w:r>
      <w:r w:rsidRPr="00B16839">
        <w:t>. Using an atraumatic laparoscopic grasper, introduce the allograft through the 8</w:t>
      </w:r>
      <w:r w:rsidR="002461B3">
        <w:t>-</w:t>
      </w:r>
      <w:r w:rsidRPr="00B16839">
        <w:t xml:space="preserve">millimeter assistant port </w:t>
      </w:r>
      <w:r w:rsidRPr="00B16839">
        <w:rPr>
          <w:b/>
          <w:bCs/>
        </w:rPr>
        <w:t>[2]</w:t>
      </w:r>
      <w:r w:rsidRPr="00B16839">
        <w:t xml:space="preserve">. </w:t>
      </w:r>
    </w:p>
    <w:p w14:paraId="19EE3578" w14:textId="77777777" w:rsidR="00364631" w:rsidRDefault="00364631" w:rsidP="00364631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Talent orienting a rectangular pre-hydrated graft longitudinally on a sterile field.</w:t>
      </w:r>
    </w:p>
    <w:p w14:paraId="6285F52A" w14:textId="77777777" w:rsidR="00364631" w:rsidRDefault="00364631" w:rsidP="00364631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Talent using an atraumatic laparoscopic grasper to insert the graft through the 8 millimeter assistant port.</w:t>
      </w:r>
    </w:p>
    <w:p w14:paraId="0C2DE104" w14:textId="77777777" w:rsidR="00364631" w:rsidRDefault="00364631" w:rsidP="00364631">
      <w:pPr>
        <w:pStyle w:val="Narration"/>
        <w:ind w:firstLine="0"/>
      </w:pPr>
    </w:p>
    <w:p w14:paraId="2C8CC38D" w14:textId="0F9648B7" w:rsidR="00585927" w:rsidRPr="00B16839" w:rsidRDefault="00585927" w:rsidP="00585927">
      <w:pPr>
        <w:pStyle w:val="Narration"/>
        <w:numPr>
          <w:ilvl w:val="1"/>
          <w:numId w:val="3"/>
        </w:numPr>
      </w:pPr>
      <w:r w:rsidRPr="00B16839">
        <w:t xml:space="preserve">Position the graft laterally and place it over the preserved neurovascular bundle, using direct visual cues to guide placement </w:t>
      </w:r>
      <w:r w:rsidRPr="00B16839">
        <w:rPr>
          <w:b/>
          <w:bCs/>
        </w:rPr>
        <w:t>[</w:t>
      </w:r>
      <w:r w:rsidR="00364631">
        <w:rPr>
          <w:b/>
          <w:bCs/>
        </w:rPr>
        <w:t>1</w:t>
      </w:r>
      <w:r w:rsidRPr="00B16839">
        <w:rPr>
          <w:b/>
          <w:bCs/>
        </w:rPr>
        <w:t>]</w:t>
      </w:r>
      <w:r w:rsidRPr="00B16839">
        <w:t xml:space="preserve">. Ensure the graft envelops at least 90 percent of the visible bundle circumference without evidence of displacement to confirm successful coverage </w:t>
      </w:r>
      <w:r w:rsidRPr="00B16839">
        <w:rPr>
          <w:b/>
          <w:bCs/>
        </w:rPr>
        <w:t>[</w:t>
      </w:r>
      <w:r w:rsidR="00364631">
        <w:rPr>
          <w:b/>
          <w:bCs/>
        </w:rPr>
        <w:t>2</w:t>
      </w:r>
      <w:r w:rsidR="00DD4297">
        <w:rPr>
          <w:b/>
          <w:bCs/>
        </w:rPr>
        <w:t>-TXT</w:t>
      </w:r>
      <w:r w:rsidRPr="00B16839">
        <w:rPr>
          <w:b/>
          <w:bCs/>
        </w:rPr>
        <w:t>]</w:t>
      </w:r>
      <w:r w:rsidRPr="00B16839">
        <w:t>. Perform the urethrovesical anastomosis using a double-armed 3-0</w:t>
      </w:r>
      <w:r w:rsidR="00DD4297">
        <w:t xml:space="preserve"> </w:t>
      </w:r>
      <w:r w:rsidR="00DD4297" w:rsidRPr="00DD4297">
        <w:rPr>
          <w:i/>
          <w:iCs/>
          <w:color w:val="EE0000"/>
        </w:rPr>
        <w:t>(Three-Oh)</w:t>
      </w:r>
      <w:r w:rsidRPr="00DD4297">
        <w:rPr>
          <w:color w:val="EE0000"/>
        </w:rPr>
        <w:t xml:space="preserve"> </w:t>
      </w:r>
      <w:r w:rsidRPr="00B16839">
        <w:t xml:space="preserve">V-Lok suture and include a posterior Rocco stitch </w:t>
      </w:r>
      <w:r w:rsidRPr="00B16839">
        <w:rPr>
          <w:b/>
          <w:bCs/>
        </w:rPr>
        <w:t>[</w:t>
      </w:r>
      <w:r w:rsidR="00364631">
        <w:rPr>
          <w:b/>
          <w:bCs/>
        </w:rPr>
        <w:t>3</w:t>
      </w:r>
      <w:r w:rsidRPr="00B16839">
        <w:rPr>
          <w:b/>
          <w:bCs/>
        </w:rPr>
        <w:t>]</w:t>
      </w:r>
      <w:r w:rsidRPr="00B16839">
        <w:t>.</w:t>
      </w:r>
    </w:p>
    <w:p w14:paraId="090122CA" w14:textId="370D95D9" w:rsidR="00585927" w:rsidRDefault="00364631" w:rsidP="0058592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</w:t>
      </w:r>
      <w:r w:rsidR="00585927" w:rsidRPr="00B16839">
        <w:rPr>
          <w:lang w:val="en-IN"/>
        </w:rPr>
        <w:t>how</w:t>
      </w:r>
      <w:r>
        <w:rPr>
          <w:lang w:val="en-IN"/>
        </w:rPr>
        <w:t xml:space="preserve"> </w:t>
      </w:r>
      <w:r w:rsidR="00585927" w:rsidRPr="00B16839">
        <w:rPr>
          <w:lang w:val="en-IN"/>
        </w:rPr>
        <w:t>the graft being positioned over the lateral aspect of the neurovascular bundle.</w:t>
      </w:r>
      <w:r>
        <w:rPr>
          <w:lang w:val="en-IN"/>
        </w:rPr>
        <w:t xml:space="preserve"> </w:t>
      </w:r>
    </w:p>
    <w:p w14:paraId="0BA04813" w14:textId="39A7D828" w:rsidR="00585927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Close-up of the graft fully enveloping at least 90 percent of the neurovascular bundle circumference without displacement.</w:t>
      </w:r>
      <w:r w:rsidR="00364631">
        <w:rPr>
          <w:lang w:val="en-IN"/>
        </w:rPr>
        <w:t xml:space="preserve"> </w:t>
      </w:r>
      <w:r w:rsidR="00364631" w:rsidRPr="00364631">
        <w:rPr>
          <w:b/>
          <w:bCs/>
          <w:lang w:val="en-IN"/>
        </w:rPr>
        <w:t xml:space="preserve">TXT: </w:t>
      </w:r>
      <w:r w:rsidR="00364631" w:rsidRPr="00364631">
        <w:rPr>
          <w:b/>
          <w:bCs/>
        </w:rPr>
        <w:t>Complete graft placement within 5 min to avoid prolonging operative time</w:t>
      </w:r>
      <w:r w:rsidR="00364631" w:rsidRPr="00B16839">
        <w:t xml:space="preserve"> </w:t>
      </w:r>
    </w:p>
    <w:p w14:paraId="6A6A775A" w14:textId="771C5B28" w:rsidR="00585927" w:rsidRPr="00B16839" w:rsidRDefault="00585927" w:rsidP="00585927">
      <w:pPr>
        <w:pStyle w:val="ShotDescription"/>
        <w:numPr>
          <w:ilvl w:val="2"/>
          <w:numId w:val="3"/>
        </w:numPr>
        <w:rPr>
          <w:lang w:val="en-IN"/>
        </w:rPr>
      </w:pPr>
      <w:r w:rsidRPr="00B16839">
        <w:rPr>
          <w:lang w:val="en-IN"/>
        </w:rPr>
        <w:t>Robotic instruments performing urethrovesical anastomosis with a double-armed 3-0 V-Lok and placement of a posterior Rocco stitch.</w:t>
      </w:r>
    </w:p>
    <w:p w14:paraId="11719CB4" w14:textId="77777777" w:rsidR="00585927" w:rsidRPr="004F225E" w:rsidRDefault="00585927" w:rsidP="00585927">
      <w:pPr>
        <w:rPr>
          <w:lang w:val="en-IN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36023F08" w:rsidR="00412386" w:rsidRPr="000F326F" w:rsidRDefault="00412386" w:rsidP="0041238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9C4F" w14:textId="10C5EEC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88C05A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D4297">
        <w:rPr>
          <w:rFonts w:eastAsia="Times New Roman" w:cstheme="minorHAnsi"/>
          <w:bCs/>
        </w:rPr>
        <w:t>56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7773087" w14:textId="0A9D555D" w:rsidR="00A12D6E" w:rsidRDefault="00A12D6E" w:rsidP="00A12D6E">
      <w:pPr>
        <w:pStyle w:val="Narration"/>
        <w:numPr>
          <w:ilvl w:val="1"/>
          <w:numId w:val="3"/>
        </w:numPr>
      </w:pPr>
      <w:r w:rsidRPr="00853BE8">
        <w:t xml:space="preserve">At 6 weeks, 3 months, 6 months, and 9 months postoperatively, the proportion of patients able to achieve erections was 57.1% </w:t>
      </w:r>
      <w:r w:rsidRPr="00A12D6E">
        <w:rPr>
          <w:b/>
          <w:bCs/>
        </w:rPr>
        <w:t>[1],</w:t>
      </w:r>
      <w:r w:rsidRPr="00853BE8">
        <w:t xml:space="preserve"> 78.6% </w:t>
      </w:r>
      <w:r w:rsidRPr="00A12D6E">
        <w:rPr>
          <w:b/>
          <w:bCs/>
        </w:rPr>
        <w:t>[2]</w:t>
      </w:r>
      <w:r w:rsidRPr="00853BE8">
        <w:t xml:space="preserve">, 85.7% </w:t>
      </w:r>
      <w:r w:rsidRPr="00A12D6E">
        <w:rPr>
          <w:b/>
          <w:bCs/>
        </w:rPr>
        <w:t>[3],</w:t>
      </w:r>
      <w:r w:rsidRPr="00853BE8">
        <w:t xml:space="preserve"> and 91.7% [4], respectively</w:t>
      </w:r>
      <w:r>
        <w:t xml:space="preserve"> </w:t>
      </w:r>
      <w:r w:rsidRPr="00A12D6E">
        <w:rPr>
          <w:b/>
          <w:bCs/>
        </w:rPr>
        <w:t>[4].</w:t>
      </w:r>
    </w:p>
    <w:p w14:paraId="228D7633" w14:textId="45CBA900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4</w:t>
      </w:r>
      <w:r w:rsidR="0043292B">
        <w:rPr>
          <w:lang w:val="en-IN"/>
        </w:rPr>
        <w:t xml:space="preserve"> and Table 3</w:t>
      </w:r>
      <w:r w:rsidRPr="00853BE8">
        <w:rPr>
          <w:lang w:val="en-IN"/>
        </w:rPr>
        <w:t xml:space="preserve">. </w:t>
      </w:r>
      <w:r w:rsidRPr="00A12D6E">
        <w:rPr>
          <w:i/>
          <w:iCs/>
          <w:color w:val="0070C0"/>
          <w:lang w:val="en-IN"/>
        </w:rPr>
        <w:t>Video editor: Highlight the bar</w:t>
      </w:r>
      <w:r w:rsidR="0043292B">
        <w:rPr>
          <w:i/>
          <w:iCs/>
          <w:color w:val="0070C0"/>
          <w:lang w:val="en-IN"/>
        </w:rPr>
        <w:t xml:space="preserve"> and column</w:t>
      </w:r>
      <w:r w:rsidRPr="00A12D6E">
        <w:rPr>
          <w:i/>
          <w:iCs/>
          <w:color w:val="0070C0"/>
          <w:lang w:val="en-IN"/>
        </w:rPr>
        <w:t xml:space="preserve"> labeled “6-Weeks” showing 57.1%.</w:t>
      </w:r>
    </w:p>
    <w:p w14:paraId="27FC3D20" w14:textId="21CB1834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4</w:t>
      </w:r>
      <w:r w:rsidR="0043292B">
        <w:rPr>
          <w:lang w:val="en-IN"/>
        </w:rPr>
        <w:t xml:space="preserve"> </w:t>
      </w:r>
      <w:r w:rsidR="0043292B">
        <w:rPr>
          <w:lang w:val="en-IN"/>
        </w:rPr>
        <w:t>and Table 3</w:t>
      </w:r>
      <w:r w:rsidRPr="00853BE8">
        <w:rPr>
          <w:lang w:val="en-IN"/>
        </w:rPr>
        <w:t xml:space="preserve">. </w:t>
      </w:r>
      <w:r w:rsidRPr="00A12D6E">
        <w:rPr>
          <w:i/>
          <w:iCs/>
          <w:color w:val="0070C0"/>
          <w:lang w:val="en-IN"/>
        </w:rPr>
        <w:t>Video editor: Highlight the bar</w:t>
      </w:r>
      <w:r w:rsidR="0043292B">
        <w:rPr>
          <w:i/>
          <w:iCs/>
          <w:color w:val="0070C0"/>
          <w:lang w:val="en-IN"/>
        </w:rPr>
        <w:t xml:space="preserve"> </w:t>
      </w:r>
      <w:r w:rsidR="0043292B">
        <w:rPr>
          <w:i/>
          <w:iCs/>
          <w:color w:val="0070C0"/>
          <w:lang w:val="en-IN"/>
        </w:rPr>
        <w:t>and column</w:t>
      </w:r>
      <w:r w:rsidR="0043292B" w:rsidRPr="00A12D6E">
        <w:rPr>
          <w:i/>
          <w:iCs/>
          <w:color w:val="0070C0"/>
          <w:lang w:val="en-IN"/>
        </w:rPr>
        <w:t xml:space="preserve"> </w:t>
      </w:r>
      <w:r w:rsidR="0043292B">
        <w:rPr>
          <w:i/>
          <w:iCs/>
          <w:color w:val="0070C0"/>
          <w:lang w:val="en-IN"/>
        </w:rPr>
        <w:t xml:space="preserve">labeled </w:t>
      </w:r>
      <w:r w:rsidRPr="00A12D6E">
        <w:rPr>
          <w:i/>
          <w:iCs/>
          <w:color w:val="0070C0"/>
          <w:lang w:val="en-IN"/>
        </w:rPr>
        <w:t>“3-Months” showing 78.6%.</w:t>
      </w:r>
    </w:p>
    <w:p w14:paraId="12C1A9C1" w14:textId="1D5247F2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4</w:t>
      </w:r>
      <w:r w:rsidR="0043292B">
        <w:rPr>
          <w:lang w:val="en-IN"/>
        </w:rPr>
        <w:t xml:space="preserve"> </w:t>
      </w:r>
      <w:r w:rsidR="0043292B">
        <w:rPr>
          <w:lang w:val="en-IN"/>
        </w:rPr>
        <w:t>and Table 3</w:t>
      </w:r>
      <w:r w:rsidRPr="00853BE8">
        <w:rPr>
          <w:lang w:val="en-IN"/>
        </w:rPr>
        <w:t xml:space="preserve">. </w:t>
      </w:r>
      <w:r w:rsidRPr="00A12D6E">
        <w:rPr>
          <w:i/>
          <w:iCs/>
          <w:color w:val="0070C0"/>
          <w:lang w:val="en-IN"/>
        </w:rPr>
        <w:t>Video editor: Highlight the bar</w:t>
      </w:r>
      <w:r w:rsidR="0043292B">
        <w:rPr>
          <w:i/>
          <w:iCs/>
          <w:color w:val="0070C0"/>
          <w:lang w:val="en-IN"/>
        </w:rPr>
        <w:t xml:space="preserve"> </w:t>
      </w:r>
      <w:r w:rsidR="0043292B">
        <w:rPr>
          <w:i/>
          <w:iCs/>
          <w:color w:val="0070C0"/>
          <w:lang w:val="en-IN"/>
        </w:rPr>
        <w:t>and column</w:t>
      </w:r>
      <w:r w:rsidR="0043292B" w:rsidRPr="00A12D6E">
        <w:rPr>
          <w:i/>
          <w:iCs/>
          <w:color w:val="0070C0"/>
          <w:lang w:val="en-IN"/>
        </w:rPr>
        <w:t xml:space="preserve"> </w:t>
      </w:r>
      <w:r w:rsidRPr="00A12D6E">
        <w:rPr>
          <w:i/>
          <w:iCs/>
          <w:color w:val="0070C0"/>
          <w:lang w:val="en-IN"/>
        </w:rPr>
        <w:t>labeled “6-Months” showing 85.7%.</w:t>
      </w:r>
    </w:p>
    <w:p w14:paraId="2A99FC46" w14:textId="34891A00" w:rsidR="00A12D6E" w:rsidRPr="00853BE8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4</w:t>
      </w:r>
      <w:r w:rsidR="0043292B">
        <w:rPr>
          <w:lang w:val="en-IN"/>
        </w:rPr>
        <w:t xml:space="preserve"> </w:t>
      </w:r>
      <w:r w:rsidR="0043292B">
        <w:rPr>
          <w:lang w:val="en-IN"/>
        </w:rPr>
        <w:t>and Table 3</w:t>
      </w:r>
      <w:r w:rsidRPr="00853BE8">
        <w:rPr>
          <w:lang w:val="en-IN"/>
        </w:rPr>
        <w:t xml:space="preserve">. </w:t>
      </w:r>
      <w:r w:rsidRPr="00A12D6E">
        <w:rPr>
          <w:i/>
          <w:iCs/>
          <w:color w:val="0070C0"/>
          <w:lang w:val="en-IN"/>
        </w:rPr>
        <w:t>Video editor: Highlight the bar</w:t>
      </w:r>
      <w:r w:rsidR="0043292B">
        <w:rPr>
          <w:i/>
          <w:iCs/>
          <w:color w:val="0070C0"/>
          <w:lang w:val="en-IN"/>
        </w:rPr>
        <w:t xml:space="preserve"> </w:t>
      </w:r>
      <w:r w:rsidR="0043292B">
        <w:rPr>
          <w:i/>
          <w:iCs/>
          <w:color w:val="0070C0"/>
          <w:lang w:val="en-IN"/>
        </w:rPr>
        <w:t>and column</w:t>
      </w:r>
      <w:r w:rsidR="0043292B" w:rsidRPr="00A12D6E">
        <w:rPr>
          <w:i/>
          <w:iCs/>
          <w:color w:val="0070C0"/>
          <w:lang w:val="en-IN"/>
        </w:rPr>
        <w:t xml:space="preserve"> </w:t>
      </w:r>
      <w:r w:rsidRPr="00A12D6E">
        <w:rPr>
          <w:i/>
          <w:iCs/>
          <w:color w:val="0070C0"/>
          <w:lang w:val="en-IN"/>
        </w:rPr>
        <w:t>labeled “9-Months” showing 91.7%.</w:t>
      </w:r>
    </w:p>
    <w:p w14:paraId="706FD4E1" w14:textId="57F88092" w:rsidR="00A12D6E" w:rsidRDefault="00A12D6E" w:rsidP="00A12D6E">
      <w:pPr>
        <w:pStyle w:val="Narration"/>
        <w:numPr>
          <w:ilvl w:val="1"/>
          <w:numId w:val="3"/>
        </w:numPr>
      </w:pPr>
      <w:r w:rsidRPr="00853BE8">
        <w:t xml:space="preserve">At 6 weeks, 3 months, 6 months, and 9 months postoperatively, the proportion of patients who achieved or maintained continence was 60.0% </w:t>
      </w:r>
      <w:r w:rsidRPr="00412386">
        <w:rPr>
          <w:b/>
          <w:bCs/>
        </w:rPr>
        <w:t>[1],</w:t>
      </w:r>
      <w:r w:rsidRPr="00853BE8">
        <w:t xml:space="preserve"> 57.1% </w:t>
      </w:r>
      <w:r w:rsidRPr="00412386">
        <w:rPr>
          <w:b/>
          <w:bCs/>
        </w:rPr>
        <w:t>[2],</w:t>
      </w:r>
      <w:r w:rsidRPr="00853BE8">
        <w:t xml:space="preserve"> 71.4% </w:t>
      </w:r>
      <w:r w:rsidRPr="00412386">
        <w:rPr>
          <w:b/>
          <w:bCs/>
        </w:rPr>
        <w:t>[3],</w:t>
      </w:r>
      <w:r w:rsidRPr="00853BE8">
        <w:t xml:space="preserve"> and 75.0%, respectively</w:t>
      </w:r>
      <w:r w:rsidR="00412386">
        <w:t xml:space="preserve"> </w:t>
      </w:r>
      <w:r w:rsidR="00412386" w:rsidRPr="00412386">
        <w:rPr>
          <w:b/>
          <w:bCs/>
        </w:rPr>
        <w:t>[4]</w:t>
      </w:r>
      <w:r w:rsidRPr="00412386">
        <w:rPr>
          <w:b/>
          <w:bCs/>
        </w:rPr>
        <w:t>.</w:t>
      </w:r>
    </w:p>
    <w:p w14:paraId="0D46B892" w14:textId="5C55D88C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5</w:t>
      </w:r>
      <w:r w:rsidR="0043292B">
        <w:rPr>
          <w:lang w:val="en-IN"/>
        </w:rPr>
        <w:t xml:space="preserve"> </w:t>
      </w:r>
      <w:r w:rsidR="0043292B">
        <w:rPr>
          <w:lang w:val="en-IN"/>
        </w:rPr>
        <w:t xml:space="preserve">and Table </w:t>
      </w:r>
      <w:r w:rsidR="0043292B">
        <w:rPr>
          <w:lang w:val="en-IN"/>
        </w:rPr>
        <w:t>4</w:t>
      </w:r>
      <w:r w:rsidRPr="00853BE8">
        <w:rPr>
          <w:lang w:val="en-IN"/>
        </w:rPr>
        <w:t xml:space="preserve">. </w:t>
      </w:r>
      <w:r w:rsidRPr="00412386">
        <w:rPr>
          <w:i/>
          <w:iCs/>
          <w:color w:val="0070C0"/>
          <w:lang w:val="en-IN"/>
        </w:rPr>
        <w:t>Video editor: Highlight the bar</w:t>
      </w:r>
      <w:r w:rsidR="005C4E6B">
        <w:rPr>
          <w:i/>
          <w:iCs/>
          <w:color w:val="0070C0"/>
          <w:lang w:val="en-IN"/>
        </w:rPr>
        <w:t xml:space="preserve"> </w:t>
      </w:r>
      <w:r w:rsidR="005C4E6B">
        <w:rPr>
          <w:i/>
          <w:iCs/>
          <w:color w:val="0070C0"/>
          <w:lang w:val="en-IN"/>
        </w:rPr>
        <w:t>and column</w:t>
      </w:r>
      <w:r w:rsidR="005C4E6B" w:rsidRPr="00A12D6E">
        <w:rPr>
          <w:i/>
          <w:iCs/>
          <w:color w:val="0070C0"/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 xml:space="preserve"> labeled “6-Weeks” showing 60.0%.</w:t>
      </w:r>
    </w:p>
    <w:p w14:paraId="6D238431" w14:textId="64616D37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5</w:t>
      </w:r>
      <w:r w:rsidR="0043292B">
        <w:rPr>
          <w:lang w:val="en-IN"/>
        </w:rPr>
        <w:t xml:space="preserve"> </w:t>
      </w:r>
      <w:r w:rsidR="0043292B">
        <w:rPr>
          <w:lang w:val="en-IN"/>
        </w:rPr>
        <w:t>and Table 4</w:t>
      </w:r>
      <w:r w:rsidR="0043292B" w:rsidRPr="00853BE8">
        <w:rPr>
          <w:lang w:val="en-IN"/>
        </w:rPr>
        <w:t>.</w:t>
      </w:r>
      <w:r w:rsidR="0043292B">
        <w:rPr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 xml:space="preserve">Video editor: Highlight the bar </w:t>
      </w:r>
      <w:r w:rsidR="005C4E6B">
        <w:rPr>
          <w:i/>
          <w:iCs/>
          <w:color w:val="0070C0"/>
          <w:lang w:val="en-IN"/>
        </w:rPr>
        <w:t>and column</w:t>
      </w:r>
      <w:r w:rsidR="005C4E6B" w:rsidRPr="00A12D6E">
        <w:rPr>
          <w:i/>
          <w:iCs/>
          <w:color w:val="0070C0"/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>labeled “3-Months” showing 57.1%.</w:t>
      </w:r>
    </w:p>
    <w:p w14:paraId="06932CC3" w14:textId="27C670F7" w:rsidR="00A12D6E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5</w:t>
      </w:r>
      <w:r w:rsidR="0043292B">
        <w:rPr>
          <w:lang w:val="en-IN"/>
        </w:rPr>
        <w:t xml:space="preserve"> </w:t>
      </w:r>
      <w:r w:rsidR="0043292B">
        <w:rPr>
          <w:lang w:val="en-IN"/>
        </w:rPr>
        <w:t>and Table 4</w:t>
      </w:r>
      <w:r w:rsidR="0043292B" w:rsidRPr="00853BE8">
        <w:rPr>
          <w:lang w:val="en-IN"/>
        </w:rPr>
        <w:t xml:space="preserve">. </w:t>
      </w:r>
      <w:r w:rsidRPr="00853BE8">
        <w:rPr>
          <w:lang w:val="en-IN"/>
        </w:rPr>
        <w:t xml:space="preserve">. </w:t>
      </w:r>
      <w:r w:rsidRPr="00412386">
        <w:rPr>
          <w:i/>
          <w:iCs/>
          <w:color w:val="0070C0"/>
          <w:lang w:val="en-IN"/>
        </w:rPr>
        <w:t>Video editor: Highlight the bar</w:t>
      </w:r>
      <w:r w:rsidR="005C4E6B">
        <w:rPr>
          <w:i/>
          <w:iCs/>
          <w:color w:val="0070C0"/>
          <w:lang w:val="en-IN"/>
        </w:rPr>
        <w:t xml:space="preserve"> </w:t>
      </w:r>
      <w:r w:rsidR="005C4E6B">
        <w:rPr>
          <w:i/>
          <w:iCs/>
          <w:color w:val="0070C0"/>
          <w:lang w:val="en-IN"/>
        </w:rPr>
        <w:t>and column</w:t>
      </w:r>
      <w:r w:rsidR="005C4E6B" w:rsidRPr="00A12D6E">
        <w:rPr>
          <w:i/>
          <w:iCs/>
          <w:color w:val="0070C0"/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 xml:space="preserve"> labeled “6-Months” showing 71.4%.</w:t>
      </w:r>
    </w:p>
    <w:p w14:paraId="5728EA1D" w14:textId="2E2D0FFB" w:rsidR="00A12D6E" w:rsidRPr="00853BE8" w:rsidRDefault="00A12D6E" w:rsidP="00A12D6E">
      <w:pPr>
        <w:pStyle w:val="ShotDescription"/>
        <w:numPr>
          <w:ilvl w:val="2"/>
          <w:numId w:val="3"/>
        </w:numPr>
        <w:rPr>
          <w:lang w:val="en-IN"/>
        </w:rPr>
      </w:pPr>
      <w:r w:rsidRPr="00853BE8">
        <w:rPr>
          <w:lang w:val="en-IN"/>
        </w:rPr>
        <w:t>LAB MEDIA: Figure 5</w:t>
      </w:r>
      <w:r w:rsidR="0043292B">
        <w:rPr>
          <w:lang w:val="en-IN"/>
        </w:rPr>
        <w:t xml:space="preserve"> </w:t>
      </w:r>
      <w:r w:rsidR="0043292B">
        <w:rPr>
          <w:lang w:val="en-IN"/>
        </w:rPr>
        <w:t>and Table 4</w:t>
      </w:r>
      <w:r w:rsidR="0043292B" w:rsidRPr="00853BE8">
        <w:rPr>
          <w:lang w:val="en-IN"/>
        </w:rPr>
        <w:t xml:space="preserve">. </w:t>
      </w:r>
      <w:r w:rsidRPr="00853BE8">
        <w:rPr>
          <w:lang w:val="en-IN"/>
        </w:rPr>
        <w:t>. V</w:t>
      </w:r>
      <w:r w:rsidRPr="00412386">
        <w:rPr>
          <w:i/>
          <w:iCs/>
          <w:color w:val="0070C0"/>
          <w:lang w:val="en-IN"/>
        </w:rPr>
        <w:t>ideo editor: Highlight the bar</w:t>
      </w:r>
      <w:r w:rsidR="005C4E6B">
        <w:rPr>
          <w:i/>
          <w:iCs/>
          <w:color w:val="0070C0"/>
          <w:lang w:val="en-IN"/>
        </w:rPr>
        <w:t xml:space="preserve"> </w:t>
      </w:r>
      <w:r w:rsidR="005C4E6B">
        <w:rPr>
          <w:i/>
          <w:iCs/>
          <w:color w:val="0070C0"/>
          <w:lang w:val="en-IN"/>
        </w:rPr>
        <w:t>and column</w:t>
      </w:r>
      <w:r w:rsidR="005C4E6B" w:rsidRPr="00A12D6E">
        <w:rPr>
          <w:i/>
          <w:iCs/>
          <w:color w:val="0070C0"/>
          <w:lang w:val="en-IN"/>
        </w:rPr>
        <w:t xml:space="preserve"> </w:t>
      </w:r>
      <w:r w:rsidRPr="00412386">
        <w:rPr>
          <w:i/>
          <w:iCs/>
          <w:color w:val="0070C0"/>
          <w:lang w:val="en-IN"/>
        </w:rPr>
        <w:t xml:space="preserve"> labeled “9-Months” showing 75.0%.</w:t>
      </w:r>
    </w:p>
    <w:p w14:paraId="57AA39FE" w14:textId="77777777" w:rsidR="00A12D6E" w:rsidRPr="004F225E" w:rsidRDefault="00A12D6E" w:rsidP="00A12D6E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8A0D" w14:textId="77777777" w:rsidR="007C2D68" w:rsidRDefault="007C2D68">
      <w:r>
        <w:separator/>
      </w:r>
    </w:p>
    <w:p w14:paraId="4335DE3A" w14:textId="77777777" w:rsidR="007C2D68" w:rsidRDefault="007C2D68"/>
  </w:endnote>
  <w:endnote w:type="continuationSeparator" w:id="0">
    <w:p w14:paraId="51C6FFC5" w14:textId="77777777" w:rsidR="007C2D68" w:rsidRDefault="007C2D68">
      <w:r>
        <w:continuationSeparator/>
      </w:r>
    </w:p>
    <w:p w14:paraId="5A4F1835" w14:textId="77777777" w:rsidR="007C2D68" w:rsidRDefault="007C2D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B8B49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D429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13C1" w14:textId="77777777" w:rsidR="007C2D68" w:rsidRDefault="007C2D68">
      <w:r>
        <w:separator/>
      </w:r>
    </w:p>
    <w:p w14:paraId="4C328730" w14:textId="77777777" w:rsidR="007C2D68" w:rsidRDefault="007C2D68"/>
  </w:footnote>
  <w:footnote w:type="continuationSeparator" w:id="0">
    <w:p w14:paraId="46BA038F" w14:textId="77777777" w:rsidR="007C2D68" w:rsidRDefault="007C2D68">
      <w:r>
        <w:continuationSeparator/>
      </w:r>
    </w:p>
    <w:p w14:paraId="6927562B" w14:textId="77777777" w:rsidR="007C2D68" w:rsidRDefault="007C2D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4BAD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61B3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E46"/>
    <w:rsid w:val="00363153"/>
    <w:rsid w:val="00364249"/>
    <w:rsid w:val="00364631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2386"/>
    <w:rsid w:val="00414B4F"/>
    <w:rsid w:val="00420A1E"/>
    <w:rsid w:val="00421271"/>
    <w:rsid w:val="004232DB"/>
    <w:rsid w:val="00426350"/>
    <w:rsid w:val="0043292B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ADA"/>
    <w:rsid w:val="00556A37"/>
    <w:rsid w:val="00557116"/>
    <w:rsid w:val="0055763A"/>
    <w:rsid w:val="005611F3"/>
    <w:rsid w:val="0056220F"/>
    <w:rsid w:val="00565757"/>
    <w:rsid w:val="0058214E"/>
    <w:rsid w:val="005829FA"/>
    <w:rsid w:val="00585927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E6B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2753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4001"/>
    <w:rsid w:val="007B72C5"/>
    <w:rsid w:val="007C2D68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D6E"/>
    <w:rsid w:val="00A13CC3"/>
    <w:rsid w:val="00A164F5"/>
    <w:rsid w:val="00A20DA8"/>
    <w:rsid w:val="00A218EC"/>
    <w:rsid w:val="00A22EE5"/>
    <w:rsid w:val="00A310D7"/>
    <w:rsid w:val="00A3138F"/>
    <w:rsid w:val="00A319BE"/>
    <w:rsid w:val="00A31F9A"/>
    <w:rsid w:val="00A37892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4297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1900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8592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8592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8592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8592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8592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8592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02400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53ADA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4001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15532"/>
    <w:rsid w:val="00A3565A"/>
    <w:rsid w:val="00A439E7"/>
    <w:rsid w:val="00A464FD"/>
    <w:rsid w:val="00A4768E"/>
    <w:rsid w:val="00A5699C"/>
    <w:rsid w:val="00A62F99"/>
    <w:rsid w:val="00A74D32"/>
    <w:rsid w:val="00A77500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1916</Words>
  <Characters>10596</Characters>
  <Application>Microsoft Office Word</Application>
  <DocSecurity>0</DocSecurity>
  <Lines>252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12373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6</cp:revision>
  <dcterms:created xsi:type="dcterms:W3CDTF">2025-09-23T10:15:00Z</dcterms:created>
  <dcterms:modified xsi:type="dcterms:W3CDTF">2025-09-23T10:24:00Z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