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3CD748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B21E12">
        <w:rPr>
          <w:rFonts w:eastAsia="Times New Roman" w:cstheme="minorHAnsi"/>
          <w:b/>
        </w:rPr>
        <w:t>68910</w:t>
      </w:r>
    </w:p>
    <w:p w14:paraId="2F6924E5" w14:textId="005F3F80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Scriptwriter Name:</w:t>
      </w:r>
      <w:r w:rsidR="00B21E12">
        <w:rPr>
          <w:rFonts w:eastAsia="Times New Roman" w:cstheme="minorHAnsi"/>
          <w:b/>
        </w:rPr>
        <w:t xml:space="preserve"> Pallavi Sharma</w:t>
      </w:r>
      <w:r w:rsidRPr="00B07A3B">
        <w:rPr>
          <w:rFonts w:eastAsia="Times New Roman" w:cstheme="minorHAnsi"/>
          <w:b/>
        </w:rPr>
        <w:t xml:space="preserve"> </w:t>
      </w:r>
    </w:p>
    <w:p w14:paraId="6FB9233B" w14:textId="3CFC5895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8" w:history="1">
        <w:r w:rsidR="00B21E12" w:rsidRPr="009548D2">
          <w:rPr>
            <w:rStyle w:val="Hyperlink"/>
            <w:rFonts w:eastAsia="Times New Roman" w:cstheme="minorHAnsi"/>
            <w:b/>
          </w:rPr>
          <w:t>https://review.jove.com/account/file-uploader?src=21017598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1D48A127" w14:textId="77777777" w:rsidR="00B21E12" w:rsidRPr="00B829D0" w:rsidRDefault="004E0C5A" w:rsidP="00B21E12">
      <w:pPr>
        <w:rPr>
          <w:rFonts w:asciiTheme="majorHAnsi" w:hAnsiTheme="majorHAnsi" w:cstheme="majorHAnsi"/>
          <w:bCs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B21E12" w:rsidRPr="00B21E12">
        <w:rPr>
          <w:rFonts w:asciiTheme="majorHAnsi" w:hAnsiTheme="majorHAnsi" w:cstheme="majorHAnsi"/>
          <w:b/>
          <w:sz w:val="32"/>
          <w:szCs w:val="32"/>
        </w:rPr>
        <w:t xml:space="preserve">Developmental Toxicity </w:t>
      </w:r>
      <w:r w:rsidR="00B21E12" w:rsidRPr="00B21E12">
        <w:rPr>
          <w:rFonts w:asciiTheme="majorHAnsi" w:hAnsiTheme="majorHAnsi" w:cstheme="majorHAnsi"/>
          <w:b/>
          <w:sz w:val="32"/>
          <w:szCs w:val="32"/>
          <w:lang w:eastAsia="ja-JP"/>
        </w:rPr>
        <w:t xml:space="preserve">Assay </w:t>
      </w:r>
      <w:r w:rsidR="00B21E12" w:rsidRPr="00B21E12">
        <w:rPr>
          <w:rFonts w:asciiTheme="majorHAnsi" w:hAnsiTheme="majorHAnsi" w:cstheme="majorHAnsi"/>
          <w:b/>
          <w:sz w:val="32"/>
          <w:szCs w:val="32"/>
        </w:rPr>
        <w:t xml:space="preserve">Based on Real-Time Monitoring of </w:t>
      </w:r>
      <w:r w:rsidR="00B21E12" w:rsidRPr="00B21E12">
        <w:rPr>
          <w:rFonts w:asciiTheme="majorHAnsi" w:eastAsia="MS Mincho" w:hAnsiTheme="majorHAnsi" w:cstheme="majorHAnsi"/>
          <w:b/>
          <w:sz w:val="32"/>
          <w:szCs w:val="32"/>
          <w:lang w:eastAsia="ja-JP"/>
        </w:rPr>
        <w:t xml:space="preserve">Fibroblast Growth Factor </w:t>
      </w:r>
      <w:r w:rsidR="00B21E12" w:rsidRPr="00B21E12">
        <w:rPr>
          <w:rFonts w:asciiTheme="majorHAnsi" w:hAnsiTheme="majorHAnsi" w:cstheme="majorHAnsi"/>
          <w:b/>
          <w:sz w:val="32"/>
          <w:szCs w:val="32"/>
        </w:rPr>
        <w:t xml:space="preserve">Signal Disruption in Human </w:t>
      </w:r>
      <w:r w:rsidR="00B21E12" w:rsidRPr="00B21E12">
        <w:rPr>
          <w:rFonts w:asciiTheme="majorHAnsi" w:hAnsiTheme="majorHAnsi" w:cstheme="majorHAnsi"/>
          <w:b/>
          <w:sz w:val="32"/>
          <w:szCs w:val="32"/>
          <w:lang w:eastAsia="ja-JP"/>
        </w:rPr>
        <w:t>Induced Pluripotent Stem</w:t>
      </w:r>
      <w:r w:rsidR="00B21E12" w:rsidRPr="00B21E12">
        <w:rPr>
          <w:rFonts w:asciiTheme="majorHAnsi" w:hAnsiTheme="majorHAnsi" w:cstheme="majorHAnsi"/>
          <w:b/>
          <w:sz w:val="32"/>
          <w:szCs w:val="32"/>
        </w:rPr>
        <w:t xml:space="preserve"> Cells</w:t>
      </w:r>
    </w:p>
    <w:p w14:paraId="30BC7CCC" w14:textId="065B0EC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981CD16" w14:textId="77777777" w:rsidR="00B21E12" w:rsidRPr="00B21E12" w:rsidRDefault="00B21E12" w:rsidP="00B21E12">
      <w:pPr>
        <w:rPr>
          <w:rFonts w:asciiTheme="majorHAnsi" w:hAnsiTheme="majorHAnsi" w:cstheme="majorHAnsi"/>
          <w:b/>
          <w:bCs/>
          <w:sz w:val="28"/>
          <w:szCs w:val="28"/>
          <w:lang w:eastAsia="ja-JP"/>
        </w:rPr>
      </w:pPr>
      <w:r w:rsidRPr="00B21E12">
        <w:rPr>
          <w:rFonts w:asciiTheme="majorHAnsi" w:hAnsiTheme="majorHAnsi" w:cstheme="majorHAnsi"/>
          <w:sz w:val="28"/>
          <w:szCs w:val="28"/>
          <w:lang w:eastAsia="ja-JP"/>
        </w:rPr>
        <w:t>Koki Murayama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1,2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, Kashu Mizota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1,2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, Rieko Matsuura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2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, Yusuke Okubo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2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*, Yoshihiro Nakajima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3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, Atsushi Suzuki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1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 xml:space="preserve">, </w:t>
      </w:r>
      <w:proofErr w:type="spellStart"/>
      <w:r w:rsidRPr="00B21E12">
        <w:rPr>
          <w:rFonts w:asciiTheme="majorHAnsi" w:hAnsiTheme="majorHAnsi" w:cstheme="majorHAnsi"/>
          <w:sz w:val="28"/>
          <w:szCs w:val="28"/>
          <w:lang w:eastAsia="ja-JP"/>
        </w:rPr>
        <w:t>Junji</w:t>
      </w:r>
      <w:proofErr w:type="spellEnd"/>
      <w:r w:rsidRPr="00B21E12">
        <w:rPr>
          <w:rFonts w:asciiTheme="majorHAnsi" w:hAnsiTheme="majorHAnsi" w:cstheme="majorHAnsi"/>
          <w:sz w:val="28"/>
          <w:szCs w:val="28"/>
          <w:lang w:eastAsia="ja-JP"/>
        </w:rPr>
        <w:t xml:space="preserve"> Fukuda</w:t>
      </w: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1,4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**</w:t>
      </w:r>
    </w:p>
    <w:p w14:paraId="53A577A5" w14:textId="77777777" w:rsidR="00B21E12" w:rsidRPr="00B21E12" w:rsidRDefault="00B21E12" w:rsidP="00B21E12">
      <w:pPr>
        <w:rPr>
          <w:rFonts w:asciiTheme="majorHAnsi" w:hAnsiTheme="majorHAnsi" w:cstheme="majorHAnsi"/>
          <w:sz w:val="28"/>
          <w:szCs w:val="28"/>
          <w:lang w:eastAsia="ja-JP"/>
        </w:rPr>
      </w:pPr>
    </w:p>
    <w:p w14:paraId="0DEBC6B1" w14:textId="506BB81B" w:rsidR="00B21E12" w:rsidRPr="00B21E12" w:rsidRDefault="00B21E12" w:rsidP="00B21E12">
      <w:pPr>
        <w:rPr>
          <w:rFonts w:asciiTheme="majorHAnsi" w:hAnsiTheme="majorHAnsi" w:cstheme="majorHAnsi"/>
          <w:sz w:val="28"/>
          <w:szCs w:val="28"/>
          <w:lang w:eastAsia="ja-JP"/>
        </w:rPr>
      </w:pP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1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Faculty of Engineering, Yokohama National University</w:t>
      </w:r>
    </w:p>
    <w:p w14:paraId="4B16F0A3" w14:textId="77777777" w:rsidR="00B21E12" w:rsidRDefault="00B21E12" w:rsidP="00B21E12">
      <w:pPr>
        <w:rPr>
          <w:rFonts w:asciiTheme="majorHAnsi" w:hAnsiTheme="majorHAnsi" w:cstheme="majorHAnsi"/>
          <w:sz w:val="28"/>
          <w:szCs w:val="28"/>
          <w:lang w:eastAsia="ja-JP"/>
        </w:rPr>
      </w:pP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2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Division of Cellular &amp; Molecular Toxicology, Center for Biological Safety &amp; Research, National Institute of Health Sciences</w:t>
      </w:r>
    </w:p>
    <w:p w14:paraId="0526E3B8" w14:textId="299C06B8" w:rsidR="00B21E12" w:rsidRPr="00B21E12" w:rsidRDefault="00B21E12" w:rsidP="00B21E12">
      <w:pPr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</w:pP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3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Health and Medical Research Institute, National Institute of Advanced Industrial Science and Technology (AIST)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 </w:t>
      </w:r>
    </w:p>
    <w:p w14:paraId="3FFAAF9C" w14:textId="61BA809B" w:rsidR="00B21E12" w:rsidRPr="00B21E12" w:rsidRDefault="00B21E12" w:rsidP="00B21E12">
      <w:pPr>
        <w:rPr>
          <w:rFonts w:asciiTheme="majorHAnsi" w:hAnsiTheme="majorHAnsi" w:cstheme="majorHAnsi"/>
          <w:sz w:val="28"/>
          <w:szCs w:val="28"/>
          <w:lang w:eastAsia="ja-JP"/>
        </w:rPr>
      </w:pPr>
      <w:r w:rsidRPr="00B21E12">
        <w:rPr>
          <w:rFonts w:asciiTheme="majorHAnsi" w:hAnsiTheme="majorHAnsi" w:cstheme="majorHAnsi"/>
          <w:sz w:val="28"/>
          <w:szCs w:val="28"/>
          <w:vertAlign w:val="superscript"/>
          <w:lang w:eastAsia="ja-JP"/>
        </w:rPr>
        <w:t>4</w:t>
      </w:r>
      <w:r w:rsidRPr="00B21E12">
        <w:rPr>
          <w:rFonts w:asciiTheme="majorHAnsi" w:hAnsiTheme="majorHAnsi" w:cstheme="majorHAnsi"/>
          <w:sz w:val="28"/>
          <w:szCs w:val="28"/>
          <w:lang w:eastAsia="ja-JP"/>
        </w:rPr>
        <w:t>Kanagawa Institute of Industrial Science and Technology (KISTEC)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165A4A4E" w14:textId="77777777" w:rsidR="00B21E12" w:rsidRPr="00B829D0" w:rsidRDefault="00B21E12" w:rsidP="00B21E1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Yusuke Okubo</w:t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>okubo@nihs.go.jp</w:t>
      </w:r>
    </w:p>
    <w:p w14:paraId="20E15B2B" w14:textId="77777777" w:rsidR="00B21E12" w:rsidRPr="00B829D0" w:rsidRDefault="00B21E12" w:rsidP="00B21E12">
      <w:pPr>
        <w:rPr>
          <w:rFonts w:asciiTheme="majorHAnsi" w:hAnsiTheme="majorHAnsi" w:cstheme="majorHAnsi"/>
          <w:b/>
          <w:bCs/>
          <w:lang w:eastAsia="ja-JP"/>
        </w:rPr>
      </w:pPr>
      <w:proofErr w:type="spellStart"/>
      <w:r w:rsidRPr="00B829D0">
        <w:rPr>
          <w:rFonts w:asciiTheme="majorHAnsi" w:hAnsiTheme="majorHAnsi" w:cstheme="majorHAnsi"/>
          <w:lang w:eastAsia="ja-JP"/>
        </w:rPr>
        <w:t>Junji</w:t>
      </w:r>
      <w:proofErr w:type="spellEnd"/>
      <w:r w:rsidRPr="00B829D0">
        <w:rPr>
          <w:rFonts w:asciiTheme="majorHAnsi" w:hAnsiTheme="majorHAnsi" w:cstheme="majorHAnsi"/>
          <w:lang w:eastAsia="ja-JP"/>
        </w:rPr>
        <w:t xml:space="preserve"> Fukuda</w:t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>fukuda@ynu.ac.jp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36A70BD0" w14:textId="77777777" w:rsidR="00B21E12" w:rsidRPr="00B829D0" w:rsidRDefault="00B21E12" w:rsidP="00B21E1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Koki Murayama</w:t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>murayama-koki-xg@ynu.jp</w:t>
      </w:r>
    </w:p>
    <w:p w14:paraId="417D05C0" w14:textId="77777777" w:rsidR="00B21E12" w:rsidRPr="00B829D0" w:rsidRDefault="00B21E12" w:rsidP="00B21E1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Kashu Mizota</w:t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  <w:t>mizota-kashu-bn@ynu.ac.jp</w:t>
      </w:r>
    </w:p>
    <w:p w14:paraId="745272C2" w14:textId="77777777" w:rsidR="00B21E12" w:rsidRPr="00B829D0" w:rsidRDefault="00B21E12" w:rsidP="00B21E1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Rieko Matsuura</w:t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  <w:t>rieko.matsuura@nihs.go.jp</w:t>
      </w:r>
    </w:p>
    <w:p w14:paraId="1A097EC8" w14:textId="77777777" w:rsidR="00B21E12" w:rsidRPr="00B829D0" w:rsidRDefault="00B21E12" w:rsidP="00B21E1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Yoshihiro Nakajima</w:t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  <w:t>y-nakajima@aist.go.jp</w:t>
      </w:r>
    </w:p>
    <w:p w14:paraId="79516D55" w14:textId="77777777" w:rsidR="00B21E12" w:rsidRPr="00B829D0" w:rsidRDefault="00B21E12" w:rsidP="00B21E1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Atsushi Suzuki</w:t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ab/>
        <w:t>suzuki-atsushi-gz@ynu.ac.jp</w:t>
      </w:r>
    </w:p>
    <w:p w14:paraId="39D1AA8D" w14:textId="77777777" w:rsidR="009548D2" w:rsidRPr="00B829D0" w:rsidRDefault="009548D2" w:rsidP="009548D2">
      <w:pPr>
        <w:rPr>
          <w:rFonts w:asciiTheme="majorHAnsi" w:hAnsiTheme="majorHAnsi" w:cstheme="majorHAnsi"/>
          <w:lang w:eastAsia="ja-JP"/>
        </w:rPr>
      </w:pPr>
      <w:r w:rsidRPr="00B829D0">
        <w:rPr>
          <w:rFonts w:asciiTheme="majorHAnsi" w:hAnsiTheme="majorHAnsi" w:cstheme="majorHAnsi"/>
          <w:lang w:eastAsia="ja-JP"/>
        </w:rPr>
        <w:t>Yusuke Okubo</w:t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>okubo@nihs.go.jp</w:t>
      </w:r>
    </w:p>
    <w:p w14:paraId="3B88B2A6" w14:textId="77777777" w:rsidR="009548D2" w:rsidRPr="00B829D0" w:rsidRDefault="009548D2" w:rsidP="009548D2">
      <w:pPr>
        <w:rPr>
          <w:rFonts w:asciiTheme="majorHAnsi" w:hAnsiTheme="majorHAnsi" w:cstheme="majorHAnsi"/>
          <w:b/>
          <w:bCs/>
          <w:lang w:eastAsia="ja-JP"/>
        </w:rPr>
      </w:pPr>
      <w:proofErr w:type="spellStart"/>
      <w:r w:rsidRPr="00B829D0">
        <w:rPr>
          <w:rFonts w:asciiTheme="majorHAnsi" w:hAnsiTheme="majorHAnsi" w:cstheme="majorHAnsi"/>
          <w:lang w:eastAsia="ja-JP"/>
        </w:rPr>
        <w:t>Junji</w:t>
      </w:r>
      <w:proofErr w:type="spellEnd"/>
      <w:r w:rsidRPr="00B829D0">
        <w:rPr>
          <w:rFonts w:asciiTheme="majorHAnsi" w:hAnsiTheme="majorHAnsi" w:cstheme="majorHAnsi"/>
          <w:lang w:eastAsia="ja-JP"/>
        </w:rPr>
        <w:t xml:space="preserve"> Fukuda</w:t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vertAlign w:val="superscript"/>
          <w:lang w:eastAsia="ja-JP"/>
        </w:rPr>
        <w:tab/>
      </w:r>
      <w:r w:rsidRPr="00B829D0">
        <w:rPr>
          <w:rFonts w:asciiTheme="majorHAnsi" w:hAnsiTheme="majorHAnsi" w:cstheme="majorHAnsi"/>
          <w:lang w:eastAsia="ja-JP"/>
        </w:rPr>
        <w:t>fukuda@ynu.ac.jp</w:t>
      </w:r>
    </w:p>
    <w:p w14:paraId="43DC5C4D" w14:textId="77777777" w:rsidR="00B21E12" w:rsidRPr="00B829D0" w:rsidRDefault="00B21E12" w:rsidP="00B21E12">
      <w:pPr>
        <w:rPr>
          <w:rFonts w:asciiTheme="majorHAnsi" w:hAnsiTheme="majorHAnsi" w:cstheme="majorHAnsi"/>
          <w:b/>
          <w:bCs/>
          <w:lang w:eastAsia="ja-JP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1667ADCD" w14:textId="4F82BCF9" w:rsidR="005F1ADF" w:rsidRPr="00FD00B1" w:rsidRDefault="00C70C90" w:rsidP="00D642CD">
      <w:pPr>
        <w:rPr>
          <w:rFonts w:cstheme="minorHAnsi"/>
          <w:b/>
          <w:bCs/>
          <w:sz w:val="32"/>
          <w:szCs w:val="32"/>
        </w:rPr>
      </w:pPr>
      <w:r w:rsidRPr="00B07A3B">
        <w:rPr>
          <w:rFonts w:cstheme="minorHAnsi"/>
          <w:b/>
          <w:sz w:val="22"/>
          <w:szCs w:val="22"/>
        </w:rPr>
        <w:br w:type="page"/>
      </w:r>
      <w:r w:rsidR="005F1ADF" w:rsidRPr="00FD00B1">
        <w:rPr>
          <w:rFonts w:cstheme="minorHAnsi"/>
          <w:b/>
          <w:sz w:val="32"/>
          <w:szCs w:val="32"/>
        </w:rPr>
        <w:lastRenderedPageBreak/>
        <w:t>Author Questionnaire</w:t>
      </w:r>
    </w:p>
    <w:p w14:paraId="22834088" w14:textId="1D49AC2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6967C8">
        <w:rPr>
          <w:rFonts w:cstheme="minorHAnsi" w:hint="eastAsia"/>
          <w:b/>
          <w:bCs/>
          <w:lang w:eastAsia="ja-JP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8851147" w14:textId="77777777" w:rsidR="00530B24" w:rsidRPr="00B07A3B" w:rsidRDefault="00530B24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4B20EAF0" w14:textId="20C82DE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967C8">
        <w:rPr>
          <w:rFonts w:cstheme="minorHAnsi" w:hint="eastAsia"/>
          <w:b/>
          <w:bCs/>
          <w:lang w:eastAsia="ja-JP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304A852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6967C8">
        <w:rPr>
          <w:rFonts w:cstheme="minorHAnsi" w:hint="eastAsia"/>
          <w:b/>
          <w:bCs/>
          <w:lang w:eastAsia="ja-JP"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9996DDF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250BD0">
        <w:rPr>
          <w:rFonts w:cstheme="minorHAnsi"/>
          <w:bCs/>
          <w:sz w:val="22"/>
          <w:szCs w:val="22"/>
        </w:rPr>
        <w:t>16</w:t>
      </w:r>
      <w:proofErr w:type="gramEnd"/>
    </w:p>
    <w:p w14:paraId="5AAC9C6C" w14:textId="5CF834E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250BD0">
        <w:rPr>
          <w:rFonts w:cstheme="minorHAnsi"/>
          <w:bCs/>
          <w:sz w:val="22"/>
          <w:szCs w:val="22"/>
        </w:rPr>
        <w:t>27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51BB1B8B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 xml:space="preserve">What is the scope of your research? What questions are you trying to </w:t>
      </w:r>
      <w:commentRangeStart w:id="1"/>
      <w:r w:rsidR="00D75084" w:rsidRPr="009470DC">
        <w:rPr>
          <w:rFonts w:cstheme="minorHAnsi"/>
          <w:color w:val="auto"/>
          <w:shd w:val="clear" w:color="auto" w:fill="FFFFFF"/>
        </w:rPr>
        <w:t>answer</w:t>
      </w:r>
      <w:commentRangeEnd w:id="1"/>
      <w:r w:rsidR="00874E3E">
        <w:rPr>
          <w:rStyle w:val="CommentReference"/>
          <w:lang w:val="x-none" w:eastAsia="x-none"/>
        </w:rPr>
        <w:commentReference w:id="1"/>
      </w:r>
      <w:r w:rsidR="00D75084" w:rsidRPr="009470DC">
        <w:rPr>
          <w:rFonts w:cstheme="minorHAnsi"/>
          <w:color w:val="auto"/>
          <w:shd w:val="clear" w:color="auto" w:fill="FFFFFF"/>
        </w:rPr>
        <w:t>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08DB76C5" w:rsidR="007D61A8" w:rsidRPr="00874E3E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rFonts w:eastAsiaTheme="minorEastAsia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57866">
        <w:rPr>
          <w:rFonts w:cstheme="minorHAnsi"/>
        </w:rPr>
        <w:t>T</w:t>
      </w:r>
      <w:r w:rsidR="00157866" w:rsidRPr="00157866">
        <w:rPr>
          <w:rFonts w:cstheme="minorHAnsi"/>
        </w:rPr>
        <w:t>his study explores an alternative to animal testing that employs cultured cells to assess chemical toxicity. The central question is whether disruptions in signaling pathways of human induced pluripotent stem (</w:t>
      </w:r>
      <w:proofErr w:type="spellStart"/>
      <w:r w:rsidR="00157866" w:rsidRPr="00157866">
        <w:rPr>
          <w:rFonts w:cstheme="minorHAnsi"/>
        </w:rPr>
        <w:t>iPS</w:t>
      </w:r>
      <w:proofErr w:type="spellEnd"/>
      <w:r w:rsidR="00157866" w:rsidRPr="00157866">
        <w:rPr>
          <w:rFonts w:cstheme="minorHAnsi"/>
        </w:rPr>
        <w:t>) cells can serve as reliable indicators of developmental toxicity.</w:t>
      </w:r>
      <w:r w:rsidR="00157866">
        <w:rPr>
          <w:rFonts w:cstheme="minorHAnsi"/>
        </w:rPr>
        <w:t xml:space="preserve"> </w:t>
      </w:r>
    </w:p>
    <w:p w14:paraId="6427832E" w14:textId="553E5739" w:rsidR="00874E3E" w:rsidRPr="00F6520B" w:rsidRDefault="00874E3E" w:rsidP="00874E3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  <w:r w:rsidR="00D642CD">
        <w:rPr>
          <w:rFonts w:cs="Calibri"/>
          <w:bCs/>
        </w:rPr>
        <w:t xml:space="preserve"> </w:t>
      </w:r>
      <w:r w:rsidR="00D642CD" w:rsidRPr="00D642CD">
        <w:rPr>
          <w:rFonts w:cs="Calibri"/>
          <w:bCs/>
          <w:i/>
          <w:iCs/>
          <w:color w:val="0070C0"/>
        </w:rPr>
        <w:t>Suggested B-roll: figure 1</w:t>
      </w:r>
    </w:p>
    <w:p w14:paraId="5ECBC6E0" w14:textId="77777777" w:rsidR="00874E3E" w:rsidRPr="00B07A3B" w:rsidRDefault="00874E3E" w:rsidP="00874E3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1C5FF794" w:rsidR="007D61A8" w:rsidRPr="00874E3E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rFonts w:eastAsiaTheme="minorEastAsia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6967C8" w:rsidRPr="006967C8">
        <w:rPr>
          <w:rFonts w:cstheme="minorHAnsi"/>
          <w:lang w:eastAsia="ja-JP"/>
        </w:rPr>
        <w:t xml:space="preserve">Most recently, two approaches using human pluripotent </w:t>
      </w:r>
      <w:r w:rsidR="006967C8" w:rsidRPr="006967C8">
        <w:rPr>
          <w:rFonts w:cstheme="minorHAnsi" w:hint="eastAsia"/>
          <w:lang w:eastAsia="ja-JP"/>
        </w:rPr>
        <w:t xml:space="preserve">stem </w:t>
      </w:r>
      <w:r w:rsidR="006967C8" w:rsidRPr="006967C8">
        <w:rPr>
          <w:rFonts w:cstheme="minorHAnsi"/>
          <w:lang w:eastAsia="ja-JP"/>
        </w:rPr>
        <w:t xml:space="preserve">cells have </w:t>
      </w:r>
      <w:r w:rsidR="00D642CD">
        <w:rPr>
          <w:rFonts w:cstheme="minorHAnsi"/>
          <w:lang w:eastAsia="ja-JP"/>
        </w:rPr>
        <w:t xml:space="preserve">been </w:t>
      </w:r>
      <w:r w:rsidR="006967C8" w:rsidRPr="006967C8">
        <w:rPr>
          <w:rFonts w:cstheme="minorHAnsi" w:hint="eastAsia"/>
          <w:lang w:eastAsia="ja-JP"/>
        </w:rPr>
        <w:t>reported</w:t>
      </w:r>
      <w:r w:rsidR="006967C8" w:rsidRPr="006967C8">
        <w:rPr>
          <w:rFonts w:cstheme="minorHAnsi"/>
          <w:lang w:eastAsia="ja-JP"/>
        </w:rPr>
        <w:t xml:space="preserve"> for </w:t>
      </w:r>
      <w:r w:rsidR="006967C8" w:rsidRPr="006967C8">
        <w:rPr>
          <w:rFonts w:cstheme="minorHAnsi" w:hint="eastAsia"/>
          <w:lang w:eastAsia="ja-JP"/>
        </w:rPr>
        <w:t xml:space="preserve">an in vitro </w:t>
      </w:r>
      <w:r w:rsidR="006967C8" w:rsidRPr="006967C8">
        <w:rPr>
          <w:rFonts w:cstheme="minorHAnsi"/>
          <w:lang w:eastAsia="ja-JP"/>
        </w:rPr>
        <w:t xml:space="preserve">developmental toxicity </w:t>
      </w:r>
      <w:r w:rsidR="006967C8" w:rsidRPr="006967C8">
        <w:rPr>
          <w:rFonts w:cstheme="minorHAnsi" w:hint="eastAsia"/>
          <w:lang w:eastAsia="ja-JP"/>
        </w:rPr>
        <w:t xml:space="preserve">assay; one is based on </w:t>
      </w:r>
      <w:r w:rsidR="006967C8" w:rsidRPr="006967C8">
        <w:rPr>
          <w:rFonts w:cstheme="minorHAnsi"/>
          <w:lang w:eastAsia="ja-JP"/>
        </w:rPr>
        <w:t>changes in ornithine and cystine</w:t>
      </w:r>
      <w:r w:rsidR="006967C8" w:rsidRPr="006967C8">
        <w:rPr>
          <w:rFonts w:cstheme="minorHAnsi" w:hint="eastAsia"/>
          <w:lang w:eastAsia="ja-JP"/>
        </w:rPr>
        <w:t xml:space="preserve"> and the other is based on differentiation into </w:t>
      </w:r>
      <w:r w:rsidR="006967C8" w:rsidRPr="006967C8">
        <w:rPr>
          <w:rFonts w:cstheme="minorHAnsi"/>
          <w:lang w:eastAsia="ja-JP"/>
        </w:rPr>
        <w:t>tissue-specific cel</w:t>
      </w:r>
      <w:r w:rsidR="006967C8">
        <w:rPr>
          <w:rFonts w:cstheme="minorHAnsi" w:hint="eastAsia"/>
          <w:lang w:eastAsia="ja-JP"/>
        </w:rPr>
        <w:t>ls</w:t>
      </w:r>
      <w:r w:rsidR="00874E3E">
        <w:rPr>
          <w:rFonts w:cstheme="minorHAnsi"/>
          <w:lang w:eastAsia="ja-JP"/>
        </w:rPr>
        <w:t>.</w:t>
      </w:r>
    </w:p>
    <w:p w14:paraId="3364F1AE" w14:textId="77777777" w:rsidR="00874E3E" w:rsidRPr="00F6520B" w:rsidRDefault="00874E3E" w:rsidP="00874E3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1D177075" w14:textId="77777777" w:rsidR="00874E3E" w:rsidRPr="00D75084" w:rsidRDefault="00874E3E" w:rsidP="00874E3E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91B5961" w:rsidR="00333FA4" w:rsidRPr="00874E3E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rFonts w:eastAsiaTheme="minorEastAsia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6967C8" w:rsidRPr="00C043C1">
        <w:t xml:space="preserve">We found that regardless of their mechanism, </w:t>
      </w:r>
      <w:r w:rsidR="006967C8">
        <w:rPr>
          <w:rFonts w:hint="eastAsia"/>
          <w:lang w:eastAsia="ja-JP"/>
        </w:rPr>
        <w:t xml:space="preserve">developmental toxicants </w:t>
      </w:r>
      <w:r w:rsidR="006967C8" w:rsidRPr="00C043C1">
        <w:t>disrupt signaling pathways, and their temporal sum serves as an indicator.</w:t>
      </w:r>
    </w:p>
    <w:p w14:paraId="4DF8F898" w14:textId="77777777" w:rsidR="00874E3E" w:rsidRPr="00F6520B" w:rsidRDefault="00874E3E" w:rsidP="00874E3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6C6DDE60" w14:textId="77777777" w:rsidR="00874E3E" w:rsidRPr="00B07A3B" w:rsidRDefault="00874E3E" w:rsidP="00874E3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DFCF391" w:rsidR="00D75084" w:rsidRPr="00874E3E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rFonts w:eastAsiaTheme="minorEastAsia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B62E5">
        <w:t>This iPSC-based assay enables comprehensive evaluation of developmental toxicants, with high accuracy and throughput, and without the use of animals.</w:t>
      </w:r>
    </w:p>
    <w:p w14:paraId="63DC06D4" w14:textId="05A57248" w:rsidR="00874E3E" w:rsidRPr="00F6520B" w:rsidRDefault="00874E3E" w:rsidP="00874E3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lastRenderedPageBreak/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  <w:r w:rsidR="00D642CD">
        <w:rPr>
          <w:rFonts w:cs="Calibri"/>
          <w:bCs/>
        </w:rPr>
        <w:t xml:space="preserve"> </w:t>
      </w:r>
      <w:r w:rsidR="00D642CD" w:rsidRPr="00D642CD">
        <w:rPr>
          <w:rFonts w:cs="Calibri"/>
          <w:bCs/>
          <w:i/>
          <w:iCs/>
          <w:color w:val="0070C0"/>
        </w:rPr>
        <w:t>Suggested B roll: 3.4</w:t>
      </w:r>
    </w:p>
    <w:p w14:paraId="4FFACECA" w14:textId="77777777" w:rsidR="00874E3E" w:rsidRPr="00D75084" w:rsidRDefault="00874E3E" w:rsidP="00874E3E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commentRangeStart w:id="2"/>
      <w:r w:rsidRPr="00806BC9">
        <w:rPr>
          <w:rFonts w:cstheme="minorHAnsi"/>
          <w:color w:val="000000"/>
          <w:shd w:val="clear" w:color="auto" w:fill="FFFFFF"/>
        </w:rPr>
        <w:t>How do you think publishing with JoVE will enhance the visibility and impact of your research?</w:t>
      </w:r>
    </w:p>
    <w:p w14:paraId="504DFC2B" w14:textId="3B81002D" w:rsidR="00FF25E5" w:rsidRPr="00157866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27460408"/>
          <w:placeholder>
            <w:docPart w:val="03FB08F915BF433A8C4EE8448B185C62"/>
          </w:placeholder>
          <w:temporary/>
          <w:showingPlcHdr/>
          <w:text/>
        </w:sdtPr>
        <w:sdtEndPr>
          <w:rPr>
            <w:rStyle w:val="DefaultParagraphFont"/>
            <w:rFonts w:eastAsiaTheme="minorEastAsia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</w:p>
    <w:p w14:paraId="1F6A5092" w14:textId="77777777" w:rsidR="00157866" w:rsidRPr="00F6520B" w:rsidRDefault="00157866" w:rsidP="001578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5DE7C480" w14:textId="77777777" w:rsidR="00157866" w:rsidRPr="00157866" w:rsidRDefault="00157866" w:rsidP="0015786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38AC42F" w14:textId="77777777" w:rsidR="00157866" w:rsidRPr="00D75084" w:rsidRDefault="00157866" w:rsidP="0015786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JoVE?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6059B881" w:rsidR="00FF25E5" w:rsidRPr="00157866" w:rsidRDefault="00000000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1522235041"/>
          <w:placeholder>
            <w:docPart w:val="C3C3BAC10F5C4E67824D0F9D0592E775"/>
          </w:placeholder>
          <w:temporary/>
          <w:showingPlcHdr/>
          <w:text/>
        </w:sdtPr>
        <w:sdtEndPr>
          <w:rPr>
            <w:rStyle w:val="DefaultParagraphFont"/>
            <w:rFonts w:eastAsiaTheme="minorEastAsia"/>
            <w:b w:val="0"/>
            <w:u w:val="none"/>
          </w:rPr>
        </w:sdtEndPr>
        <w:sdtContent>
          <w:r w:rsidR="00FF25E5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FF25E5" w:rsidRPr="00B07A3B">
        <w:rPr>
          <w:rFonts w:eastAsia="Times New Roman" w:cstheme="minorHAnsi"/>
          <w:b/>
          <w:bCs/>
          <w:u w:val="single"/>
        </w:rPr>
        <w:t>:</w:t>
      </w:r>
      <w:r w:rsidR="00FF25E5" w:rsidRPr="00B07A3B">
        <w:rPr>
          <w:rFonts w:eastAsia="Times New Roman" w:cstheme="minorHAnsi"/>
        </w:rPr>
        <w:t xml:space="preserve"> </w:t>
      </w:r>
      <w:commentRangeEnd w:id="2"/>
      <w:r w:rsidR="00B115A2">
        <w:rPr>
          <w:rStyle w:val="CommentReference"/>
          <w:lang w:val="x-none" w:eastAsia="x-none"/>
        </w:rPr>
        <w:commentReference w:id="2"/>
      </w:r>
    </w:p>
    <w:p w14:paraId="3C95F80C" w14:textId="77777777" w:rsidR="00157866" w:rsidRPr="00F6520B" w:rsidRDefault="00157866" w:rsidP="0015786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6520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INTERVIEW: </w:t>
      </w:r>
      <w:r w:rsidRPr="00F6520B">
        <w:rPr>
          <w:rFonts w:cs="Calibri"/>
          <w:bCs/>
        </w:rPr>
        <w:t>Named talent says the statement above in an interview-style shot, looking slightly off-camera.</w:t>
      </w:r>
    </w:p>
    <w:p w14:paraId="74F6D6A9" w14:textId="77777777" w:rsidR="00157866" w:rsidRPr="00B07A3B" w:rsidRDefault="00157866" w:rsidP="00157866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2A69A68F" w:rsidR="00CE10F2" w:rsidRDefault="00206E40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Cytotoxicity Assay</w:t>
      </w:r>
      <w:r w:rsidR="001A3D76">
        <w:rPr>
          <w:rFonts w:cstheme="minorHAnsi"/>
          <w:b/>
          <w:bCs/>
        </w:rPr>
        <w:t xml:space="preserve"> </w:t>
      </w:r>
      <w:r w:rsidR="001A3D76">
        <w:rPr>
          <w:rFonts w:asciiTheme="majorHAnsi" w:hAnsiTheme="majorHAnsi" w:cstheme="majorHAnsi"/>
          <w:b/>
          <w:lang w:eastAsia="ja-JP"/>
        </w:rPr>
        <w:t>U</w:t>
      </w:r>
      <w:r w:rsidR="001A3D76" w:rsidRPr="001A3D76">
        <w:rPr>
          <w:rFonts w:asciiTheme="majorHAnsi" w:hAnsiTheme="majorHAnsi" w:cstheme="majorHAnsi"/>
          <w:b/>
          <w:lang w:eastAsia="ja-JP"/>
        </w:rPr>
        <w:t xml:space="preserve">sing </w:t>
      </w:r>
      <w:r w:rsidR="001A3D76">
        <w:rPr>
          <w:rFonts w:asciiTheme="majorHAnsi" w:hAnsiTheme="majorHAnsi" w:cstheme="majorHAnsi"/>
          <w:b/>
          <w:lang w:eastAsia="ja-JP"/>
        </w:rPr>
        <w:t>H</w:t>
      </w:r>
      <w:r w:rsidR="001A3D76" w:rsidRPr="001A3D76">
        <w:rPr>
          <w:rFonts w:asciiTheme="majorHAnsi" w:hAnsiTheme="majorHAnsi" w:cstheme="majorHAnsi"/>
          <w:b/>
          <w:lang w:eastAsia="ja-JP"/>
        </w:rPr>
        <w:t xml:space="preserve">uman </w:t>
      </w:r>
      <w:r w:rsidR="001A3D76">
        <w:rPr>
          <w:rFonts w:asciiTheme="majorHAnsi" w:hAnsiTheme="majorHAnsi" w:cstheme="majorHAnsi"/>
          <w:b/>
          <w:lang w:eastAsia="ja-JP"/>
        </w:rPr>
        <w:t>I</w:t>
      </w:r>
      <w:r w:rsidR="001A3D76" w:rsidRPr="001A3D76">
        <w:rPr>
          <w:rFonts w:asciiTheme="majorHAnsi" w:hAnsiTheme="majorHAnsi" w:cstheme="majorHAnsi"/>
          <w:b/>
          <w:lang w:eastAsia="ja-JP"/>
        </w:rPr>
        <w:t xml:space="preserve">nduced </w:t>
      </w:r>
      <w:r w:rsidR="001A3D76">
        <w:rPr>
          <w:rFonts w:asciiTheme="majorHAnsi" w:hAnsiTheme="majorHAnsi" w:cstheme="majorHAnsi"/>
          <w:b/>
          <w:lang w:eastAsia="ja-JP"/>
        </w:rPr>
        <w:t>P</w:t>
      </w:r>
      <w:r w:rsidR="001A3D76" w:rsidRPr="001A3D76">
        <w:rPr>
          <w:rFonts w:asciiTheme="majorHAnsi" w:hAnsiTheme="majorHAnsi" w:cstheme="majorHAnsi"/>
          <w:b/>
          <w:lang w:eastAsia="ja-JP"/>
        </w:rPr>
        <w:t xml:space="preserve">luripotent </w:t>
      </w:r>
      <w:r w:rsidR="001A3D76">
        <w:rPr>
          <w:rFonts w:asciiTheme="majorHAnsi" w:hAnsiTheme="majorHAnsi" w:cstheme="majorHAnsi"/>
          <w:b/>
          <w:lang w:eastAsia="ja-JP"/>
        </w:rPr>
        <w:t>S</w:t>
      </w:r>
      <w:r w:rsidR="001A3D76" w:rsidRPr="001A3D76">
        <w:rPr>
          <w:rFonts w:asciiTheme="majorHAnsi" w:hAnsiTheme="majorHAnsi" w:cstheme="majorHAnsi"/>
          <w:b/>
          <w:lang w:eastAsia="ja-JP"/>
        </w:rPr>
        <w:t xml:space="preserve">tem </w:t>
      </w:r>
      <w:r w:rsidR="001A3D76">
        <w:rPr>
          <w:rFonts w:asciiTheme="majorHAnsi" w:hAnsiTheme="majorHAnsi" w:cstheme="majorHAnsi"/>
          <w:b/>
          <w:lang w:eastAsia="ja-JP"/>
        </w:rPr>
        <w:t>C</w:t>
      </w:r>
      <w:r w:rsidR="001A3D76" w:rsidRPr="001A3D76">
        <w:rPr>
          <w:rFonts w:asciiTheme="majorHAnsi" w:hAnsiTheme="majorHAnsi" w:cstheme="majorHAnsi"/>
          <w:b/>
          <w:lang w:eastAsia="ja-JP"/>
        </w:rPr>
        <w:t>ells</w:t>
      </w:r>
      <w:r w:rsidR="001A3D76" w:rsidRPr="00B8208C">
        <w:rPr>
          <w:rFonts w:asciiTheme="majorHAnsi" w:hAnsiTheme="majorHAnsi" w:cstheme="majorHAnsi"/>
          <w:bCs/>
          <w:lang w:eastAsia="ja-JP"/>
        </w:rPr>
        <w:t xml:space="preserve"> </w:t>
      </w:r>
    </w:p>
    <w:p w14:paraId="6FE16670" w14:textId="7DC6F725" w:rsidR="00985FE6" w:rsidRPr="001A3D76" w:rsidRDefault="00D7547B" w:rsidP="001A3D76">
      <w:pPr>
        <w:pStyle w:val="ListParagraph"/>
        <w:spacing w:before="120"/>
        <w:ind w:left="360"/>
        <w:contextualSpacing w:val="0"/>
        <w:rPr>
          <w:rFonts w:cstheme="minorHAnsi"/>
        </w:rPr>
      </w:pPr>
      <w:commentRangeStart w:id="3"/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  <w:commentRangeEnd w:id="3"/>
      <w:r w:rsidR="001A3D76">
        <w:rPr>
          <w:rStyle w:val="CommentReference"/>
          <w:lang w:val="x-none" w:eastAsia="x-none"/>
        </w:rPr>
        <w:commentReference w:id="3"/>
      </w:r>
    </w:p>
    <w:p w14:paraId="3B7D9578" w14:textId="040CDCEC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To begin, seed cells into an </w:t>
      </w:r>
      <w:r w:rsidR="00A15C1F">
        <w:t>ECM</w:t>
      </w:r>
      <w:r w:rsidR="00206E40">
        <w:t xml:space="preserve"> </w:t>
      </w:r>
      <w:r w:rsidR="00206E40" w:rsidRPr="00206E40">
        <w:rPr>
          <w:i/>
          <w:iCs/>
          <w:color w:val="EE0000"/>
        </w:rPr>
        <w:t>(E-C-M)</w:t>
      </w:r>
      <w:r w:rsidR="00A15C1F">
        <w:t>-coated</w:t>
      </w:r>
      <w:r w:rsidRPr="00297EFC">
        <w:t xml:space="preserve"> 96-well plate containing 200 microliters of fresh maintenance medium supplemented with 10 micromolar </w:t>
      </w:r>
      <w:r w:rsidR="00A15C1F">
        <w:t xml:space="preserve">ROCK inhibitor </w:t>
      </w:r>
      <w:r w:rsidRPr="00297EFC">
        <w:rPr>
          <w:b/>
          <w:bCs/>
        </w:rPr>
        <w:t>[1</w:t>
      </w:r>
      <w:r w:rsidR="00A15C1F">
        <w:rPr>
          <w:b/>
          <w:bCs/>
        </w:rPr>
        <w:t>-TXT</w:t>
      </w:r>
      <w:r w:rsidRPr="00297EFC">
        <w:rPr>
          <w:b/>
          <w:bCs/>
        </w:rPr>
        <w:t>]</w:t>
      </w:r>
      <w:r w:rsidRPr="00297EFC">
        <w:t xml:space="preserve">. Seal the plate with a gas-permeable film </w:t>
      </w:r>
      <w:r w:rsidRPr="00297EFC">
        <w:rPr>
          <w:b/>
          <w:bCs/>
        </w:rPr>
        <w:t>[2]</w:t>
      </w:r>
      <w:r w:rsidRPr="00297EFC">
        <w:t>.</w:t>
      </w:r>
    </w:p>
    <w:p w14:paraId="5BDBFAB4" w14:textId="7B945619" w:rsidR="006F3A11" w:rsidRPr="00A15C1F" w:rsidRDefault="006F3A11" w:rsidP="006F3A11">
      <w:pPr>
        <w:pStyle w:val="ShotDescription"/>
        <w:numPr>
          <w:ilvl w:val="2"/>
          <w:numId w:val="3"/>
        </w:numPr>
        <w:rPr>
          <w:b/>
          <w:bCs/>
          <w:lang w:val="en-IN"/>
        </w:rPr>
      </w:pPr>
      <w:r w:rsidRPr="00297EFC">
        <w:rPr>
          <w:lang w:val="en-IN"/>
        </w:rPr>
        <w:t>WIDE: Talent pipetting cell suspension into each well of an extracellular matrix-coated 96-well plate.</w:t>
      </w:r>
      <w:r w:rsidR="00A15C1F">
        <w:rPr>
          <w:lang w:val="en-IN"/>
        </w:rPr>
        <w:t xml:space="preserve"> </w:t>
      </w:r>
      <w:r w:rsidR="00A15C1F" w:rsidRPr="00A15C1F">
        <w:rPr>
          <w:b/>
          <w:bCs/>
          <w:lang w:val="en-IN"/>
        </w:rPr>
        <w:t xml:space="preserve">TXT: Seed </w:t>
      </w:r>
      <w:r w:rsidR="00A15C1F" w:rsidRPr="00A15C1F">
        <w:rPr>
          <w:rFonts w:asciiTheme="majorHAnsi" w:hAnsiTheme="majorHAnsi" w:cstheme="majorHAnsi"/>
          <w:b/>
          <w:bCs/>
        </w:rPr>
        <w:t xml:space="preserve">2.0 × 10⁴ cells/well </w:t>
      </w:r>
    </w:p>
    <w:p w14:paraId="212DAAA0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sealing the plate with a transparent, gas-permeable film.</w:t>
      </w:r>
    </w:p>
    <w:p w14:paraId="5F19E1BA" w14:textId="77777777" w:rsidR="00A15C1F" w:rsidRPr="00297EFC" w:rsidRDefault="00A15C1F" w:rsidP="00A15C1F">
      <w:pPr>
        <w:pStyle w:val="ShotDescription"/>
        <w:ind w:firstLine="0"/>
        <w:rPr>
          <w:lang w:val="en-IN"/>
        </w:rPr>
      </w:pPr>
    </w:p>
    <w:p w14:paraId="6FF790CB" w14:textId="33B17C88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After 24 hours, replace the medium in each well with 200 microliters of fresh maintenance medium </w:t>
      </w:r>
      <w:r w:rsidRPr="00297EFC">
        <w:rPr>
          <w:b/>
          <w:bCs/>
        </w:rPr>
        <w:t>[1]</w:t>
      </w:r>
      <w:r w:rsidR="00206E40">
        <w:t xml:space="preserve"> and r</w:t>
      </w:r>
      <w:r w:rsidRPr="00297EFC">
        <w:t xml:space="preserve">eseal the plate </w:t>
      </w:r>
      <w:r w:rsidRPr="00297EFC">
        <w:rPr>
          <w:b/>
          <w:bCs/>
        </w:rPr>
        <w:t>[2</w:t>
      </w:r>
      <w:r w:rsidR="00206E40">
        <w:rPr>
          <w:b/>
          <w:bCs/>
        </w:rPr>
        <w:t>-TXT</w:t>
      </w:r>
      <w:r w:rsidRPr="00297EFC">
        <w:rPr>
          <w:b/>
          <w:bCs/>
        </w:rPr>
        <w:t>]</w:t>
      </w:r>
      <w:r w:rsidRPr="00297EFC">
        <w:t>.</w:t>
      </w:r>
    </w:p>
    <w:p w14:paraId="077A9F54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aspirating old medium and pipetting 200 microliters of fresh maintenance medium into each well.</w:t>
      </w:r>
    </w:p>
    <w:p w14:paraId="063F1C6E" w14:textId="7659BF79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resealing the plate with a gas-permeable film.</w:t>
      </w:r>
      <w:r w:rsidR="00A15C1F">
        <w:rPr>
          <w:lang w:val="en-IN"/>
        </w:rPr>
        <w:t xml:space="preserve"> </w:t>
      </w:r>
      <w:r w:rsidR="00A15C1F" w:rsidRPr="00A15C1F">
        <w:rPr>
          <w:b/>
          <w:bCs/>
          <w:lang w:val="en-IN"/>
        </w:rPr>
        <w:t>TXT: After 72 h and 96 h</w:t>
      </w:r>
      <w:r w:rsidR="00A15C1F">
        <w:rPr>
          <w:b/>
          <w:bCs/>
          <w:lang w:val="en-IN"/>
        </w:rPr>
        <w:t>,</w:t>
      </w:r>
      <w:r w:rsidR="00A15C1F" w:rsidRPr="00A15C1F">
        <w:rPr>
          <w:b/>
          <w:bCs/>
          <w:lang w:val="en-IN"/>
        </w:rPr>
        <w:t xml:space="preserve"> replace the medium with </w:t>
      </w:r>
      <w:r w:rsidR="00A15C1F">
        <w:rPr>
          <w:b/>
          <w:bCs/>
          <w:lang w:val="en-IN"/>
        </w:rPr>
        <w:t>serum-free</w:t>
      </w:r>
      <w:r w:rsidR="00A15C1F" w:rsidRPr="00A15C1F">
        <w:rPr>
          <w:b/>
          <w:bCs/>
          <w:lang w:val="en-IN"/>
        </w:rPr>
        <w:t xml:space="preserve"> medium</w:t>
      </w:r>
      <w:r w:rsidR="00A15C1F">
        <w:rPr>
          <w:lang w:val="en-IN"/>
        </w:rPr>
        <w:br/>
      </w:r>
    </w:p>
    <w:p w14:paraId="35352CBD" w14:textId="4F23FD56" w:rsidR="006F3A11" w:rsidRPr="00297EFC" w:rsidRDefault="00206E40" w:rsidP="006F3A11">
      <w:pPr>
        <w:pStyle w:val="Narration"/>
        <w:numPr>
          <w:ilvl w:val="1"/>
          <w:numId w:val="3"/>
        </w:numPr>
      </w:pPr>
      <w:r>
        <w:t>Next, d</w:t>
      </w:r>
      <w:r w:rsidR="006F3A11" w:rsidRPr="00297EFC">
        <w:t xml:space="preserve">issolve the test chemical in serum-free medium to its maximum solubility </w:t>
      </w:r>
      <w:r w:rsidR="006F3A11" w:rsidRPr="00297EFC">
        <w:rPr>
          <w:b/>
          <w:bCs/>
        </w:rPr>
        <w:t>[1]</w:t>
      </w:r>
      <w:r w:rsidR="006F3A11" w:rsidRPr="00297EFC">
        <w:t>.</w:t>
      </w:r>
    </w:p>
    <w:p w14:paraId="5402304A" w14:textId="35F639F3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adding test chemical to a tube of serum-free mediu</w:t>
      </w:r>
      <w:r w:rsidR="004F2257">
        <w:rPr>
          <w:lang w:val="en-IN"/>
        </w:rPr>
        <w:t>m.</w:t>
      </w:r>
      <w:r w:rsidR="00A15C1F">
        <w:rPr>
          <w:lang w:val="en-IN"/>
        </w:rPr>
        <w:br/>
      </w:r>
    </w:p>
    <w:p w14:paraId="73037AB8" w14:textId="77777777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Prepare a five-point, five-fold serial dilution of the test chemical in serum-free medium using the previously prepared solution </w:t>
      </w:r>
      <w:r w:rsidRPr="00297EFC">
        <w:rPr>
          <w:b/>
          <w:bCs/>
        </w:rPr>
        <w:t>[1]</w:t>
      </w:r>
      <w:r w:rsidRPr="00297EFC">
        <w:t>.</w:t>
      </w:r>
    </w:p>
    <w:p w14:paraId="6787DE00" w14:textId="1C867E9C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</w:t>
      </w:r>
      <w:r w:rsidR="00206E40">
        <w:rPr>
          <w:lang w:val="en-IN"/>
        </w:rPr>
        <w:t xml:space="preserve">ing test chemical in </w:t>
      </w:r>
      <w:proofErr w:type="spellStart"/>
      <w:r w:rsidRPr="00297EFC">
        <w:rPr>
          <w:lang w:val="en-IN"/>
        </w:rPr>
        <w:t>labeled</w:t>
      </w:r>
      <w:proofErr w:type="spellEnd"/>
      <w:r w:rsidRPr="00297EFC">
        <w:rPr>
          <w:lang w:val="en-IN"/>
        </w:rPr>
        <w:t xml:space="preserve"> tubes.</w:t>
      </w:r>
      <w:r w:rsidR="00A15C1F">
        <w:rPr>
          <w:lang w:val="en-IN"/>
        </w:rPr>
        <w:br/>
      </w:r>
    </w:p>
    <w:p w14:paraId="625C9B43" w14:textId="78AF4BBA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Add 11 microliters per well of the </w:t>
      </w:r>
      <w:r w:rsidR="004F2257">
        <w:t xml:space="preserve">prepared </w:t>
      </w:r>
      <w:r w:rsidRPr="00297EFC">
        <w:t xml:space="preserve">chemical solutions </w:t>
      </w:r>
      <w:r w:rsidRPr="00297EFC">
        <w:rPr>
          <w:b/>
          <w:bCs/>
        </w:rPr>
        <w:t>[1]</w:t>
      </w:r>
      <w:r w:rsidRPr="00297EFC">
        <w:t xml:space="preserve">. For the vehicle control, add 11 microliters per well of serum-free medium containing the same concentration of </w:t>
      </w:r>
      <w:r w:rsidR="00A15C1F">
        <w:t>D</w:t>
      </w:r>
      <w:r w:rsidRPr="00297EFC">
        <w:t>MSO</w:t>
      </w:r>
      <w:r w:rsidR="00206E40">
        <w:t xml:space="preserve"> </w:t>
      </w:r>
      <w:r w:rsidR="00206E40" w:rsidRPr="00206E40">
        <w:rPr>
          <w:i/>
          <w:iCs/>
          <w:color w:val="EE0000"/>
        </w:rPr>
        <w:t>(D-M-S-O)</w:t>
      </w:r>
      <w:r w:rsidR="00206E40">
        <w:rPr>
          <w:i/>
          <w:iCs/>
          <w:color w:val="EE0000"/>
        </w:rPr>
        <w:t xml:space="preserve"> </w:t>
      </w:r>
      <w:r w:rsidRPr="00297EFC">
        <w:rPr>
          <w:b/>
          <w:bCs/>
        </w:rPr>
        <w:t>[2]</w:t>
      </w:r>
      <w:r w:rsidRPr="00297EFC">
        <w:t xml:space="preserve">. After 48 hours of treatment, incubate the plates at 25 degrees Celsius for 30 minutes </w:t>
      </w:r>
      <w:r w:rsidRPr="00297EFC">
        <w:rPr>
          <w:b/>
          <w:bCs/>
        </w:rPr>
        <w:t>[3]</w:t>
      </w:r>
      <w:r w:rsidRPr="00297EFC">
        <w:t>.</w:t>
      </w:r>
    </w:p>
    <w:p w14:paraId="15BD3D72" w14:textId="60C200A0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 microliters of the test chemical solution into the wells of the 96-well plate.</w:t>
      </w:r>
      <w:r w:rsidR="0084674A">
        <w:rPr>
          <w:lang w:val="en-IN"/>
        </w:rPr>
        <w:t xml:space="preserve"> </w:t>
      </w:r>
      <w:r w:rsidR="0084674A" w:rsidRPr="0084674A">
        <w:rPr>
          <w:highlight w:val="yellow"/>
          <w:lang w:val="en-IN"/>
        </w:rPr>
        <w:t>Authors: Please keep the labelled vial of chemical solution in the frame</w:t>
      </w:r>
    </w:p>
    <w:p w14:paraId="17EB0BAB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 microliters of vehicle control into designated control wells.</w:t>
      </w:r>
    </w:p>
    <w:p w14:paraId="2F2B5D03" w14:textId="71685399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lastRenderedPageBreak/>
        <w:t>Talent placing the plate into an incubator set at 25 degrees Celsius.</w:t>
      </w:r>
      <w:r w:rsidR="00A15C1F">
        <w:rPr>
          <w:lang w:val="en-IN"/>
        </w:rPr>
        <w:br/>
      </w:r>
    </w:p>
    <w:p w14:paraId="2D9C1747" w14:textId="2EBF4D5A" w:rsidR="006F3A11" w:rsidRPr="00297EFC" w:rsidRDefault="00206E40" w:rsidP="006F3A11">
      <w:pPr>
        <w:pStyle w:val="Narration"/>
        <w:numPr>
          <w:ilvl w:val="1"/>
          <w:numId w:val="3"/>
        </w:numPr>
      </w:pPr>
      <w:r>
        <w:t>Then, a</w:t>
      </w:r>
      <w:r w:rsidR="006F3A11" w:rsidRPr="00297EFC">
        <w:t xml:space="preserve">dd 111 microliters per well of pre-equilibrated ATP-based luminescent cell viability assay reagent at 25 degrees Celsius </w:t>
      </w:r>
      <w:r w:rsidR="006F3A11" w:rsidRPr="00297EFC">
        <w:rPr>
          <w:b/>
          <w:bCs/>
        </w:rPr>
        <w:t>[1]</w:t>
      </w:r>
      <w:r w:rsidR="006F3A11" w:rsidRPr="00297EFC">
        <w:t xml:space="preserve">. For the blank well, add 111 microliters of serum-free medium and 111 microliters of the reagent </w:t>
      </w:r>
      <w:r w:rsidR="006F3A11" w:rsidRPr="00297EFC">
        <w:rPr>
          <w:b/>
          <w:bCs/>
        </w:rPr>
        <w:t>[2]</w:t>
      </w:r>
      <w:r w:rsidR="006F3A11" w:rsidRPr="00297EFC">
        <w:t>.</w:t>
      </w:r>
    </w:p>
    <w:p w14:paraId="5835DACE" w14:textId="456AF1AD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111 microliters of cell viability reagent into each well of the plate.</w:t>
      </w:r>
      <w:r w:rsidR="0084674A">
        <w:rPr>
          <w:lang w:val="en-IN"/>
        </w:rPr>
        <w:t xml:space="preserve"> </w:t>
      </w:r>
      <w:r w:rsidR="0084674A" w:rsidRPr="0084674A">
        <w:rPr>
          <w:highlight w:val="yellow"/>
          <w:lang w:val="en-IN"/>
        </w:rPr>
        <w:t>Authors: Please keep the labelled vial of chemical solution in the frame</w:t>
      </w:r>
    </w:p>
    <w:p w14:paraId="2517ECC6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111 microliters of serum-free medium and 111 microliters of reagent into the blank well.</w:t>
      </w:r>
    </w:p>
    <w:p w14:paraId="49EFFACF" w14:textId="77777777" w:rsidR="00206E40" w:rsidRPr="00297EFC" w:rsidRDefault="00206E40" w:rsidP="00206E40">
      <w:pPr>
        <w:pStyle w:val="ShotDescription"/>
        <w:ind w:firstLine="0"/>
        <w:rPr>
          <w:lang w:val="en-IN"/>
        </w:rPr>
      </w:pPr>
    </w:p>
    <w:p w14:paraId="21E33CE7" w14:textId="41EAB61C" w:rsidR="006F3A11" w:rsidRPr="00297EFC" w:rsidRDefault="00206E40" w:rsidP="006F3A11">
      <w:pPr>
        <w:pStyle w:val="Narration"/>
        <w:numPr>
          <w:ilvl w:val="1"/>
          <w:numId w:val="3"/>
        </w:numPr>
      </w:pPr>
      <w:r>
        <w:t>U</w:t>
      </w:r>
      <w:r w:rsidRPr="00297EFC">
        <w:t>sing a microplate shaker</w:t>
      </w:r>
      <w:r>
        <w:t>, s</w:t>
      </w:r>
      <w:r w:rsidR="006F3A11" w:rsidRPr="00297EFC">
        <w:t xml:space="preserve">hake the plate at 300 revolutions per minute for 2 minutes </w:t>
      </w:r>
      <w:r w:rsidR="006F3A11" w:rsidRPr="00297EFC">
        <w:rPr>
          <w:b/>
          <w:bCs/>
        </w:rPr>
        <w:t>[1]</w:t>
      </w:r>
      <w:r w:rsidR="006F3A11" w:rsidRPr="00297EFC">
        <w:t>.</w:t>
      </w:r>
    </w:p>
    <w:p w14:paraId="25A41CA5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placing the plate on a microplate shaker and starting the 2-minute shake cycle.</w:t>
      </w:r>
    </w:p>
    <w:p w14:paraId="3A01D63B" w14:textId="77777777" w:rsidR="00206E40" w:rsidRPr="00297EFC" w:rsidRDefault="00206E40" w:rsidP="00206E40">
      <w:pPr>
        <w:pStyle w:val="ShotDescription"/>
        <w:ind w:firstLine="0"/>
        <w:rPr>
          <w:lang w:val="en-IN"/>
        </w:rPr>
      </w:pPr>
    </w:p>
    <w:p w14:paraId="23EBBEA9" w14:textId="4843ADE9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Transfer 200 microliters of the mixture from each well to a black plate for luminescence measurement </w:t>
      </w:r>
      <w:r w:rsidRPr="00297EFC">
        <w:rPr>
          <w:b/>
          <w:bCs/>
        </w:rPr>
        <w:t>[1]</w:t>
      </w:r>
      <w:r w:rsidR="00206E40">
        <w:t xml:space="preserve"> and i</w:t>
      </w:r>
      <w:r w:rsidRPr="00297EFC">
        <w:t xml:space="preserve">ncubate the black plate at 25 degrees Celsius for 10 minutes </w:t>
      </w:r>
      <w:r w:rsidRPr="00297EFC">
        <w:rPr>
          <w:b/>
          <w:bCs/>
        </w:rPr>
        <w:t>[2]</w:t>
      </w:r>
      <w:r w:rsidRPr="00297EFC">
        <w:t>.</w:t>
      </w:r>
    </w:p>
    <w:p w14:paraId="25FE0F45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transferring 200 microliters of mixture from each well to a black 96-well plate.</w:t>
      </w:r>
    </w:p>
    <w:p w14:paraId="1E9C948C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placing the black plate into an incubator set at 25 degrees Celsius.</w:t>
      </w:r>
    </w:p>
    <w:p w14:paraId="39E18B49" w14:textId="77777777" w:rsidR="00206E40" w:rsidRPr="00297EFC" w:rsidRDefault="00206E40" w:rsidP="00206E40">
      <w:pPr>
        <w:pStyle w:val="ShotDescription"/>
        <w:ind w:firstLine="0"/>
        <w:rPr>
          <w:lang w:val="en-IN"/>
        </w:rPr>
      </w:pPr>
    </w:p>
    <w:p w14:paraId="77FB8776" w14:textId="488DBDE4" w:rsidR="006F3A11" w:rsidRPr="00297EFC" w:rsidRDefault="00206E40" w:rsidP="006F3A11">
      <w:pPr>
        <w:pStyle w:val="Narration"/>
        <w:numPr>
          <w:ilvl w:val="1"/>
          <w:numId w:val="3"/>
        </w:numPr>
      </w:pPr>
      <w:r>
        <w:t>Then, m</w:t>
      </w:r>
      <w:r w:rsidR="006F3A11" w:rsidRPr="00297EFC">
        <w:t xml:space="preserve">easure the luminescence intensity </w:t>
      </w:r>
      <w:r w:rsidR="006F3A11" w:rsidRPr="00297EFC">
        <w:rPr>
          <w:b/>
          <w:bCs/>
        </w:rPr>
        <w:t>[1]</w:t>
      </w:r>
      <w:r w:rsidR="006F3A11" w:rsidRPr="00297EFC">
        <w:t>.</w:t>
      </w:r>
    </w:p>
    <w:p w14:paraId="0788BA73" w14:textId="00BAACB3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Show the luminometer software interface as the</w:t>
      </w:r>
      <w:r w:rsidR="00206E40">
        <w:rPr>
          <w:lang w:val="en-IN"/>
        </w:rPr>
        <w:t xml:space="preserve"> </w:t>
      </w:r>
      <w:r w:rsidRPr="00297EFC">
        <w:rPr>
          <w:lang w:val="en-IN"/>
        </w:rPr>
        <w:t>luminescence readings are acquired.</w:t>
      </w:r>
      <w:r w:rsidR="004F2257">
        <w:rPr>
          <w:lang w:val="en-IN"/>
        </w:rPr>
        <w:br/>
      </w:r>
    </w:p>
    <w:p w14:paraId="23657591" w14:textId="4F78C841" w:rsidR="006F3A11" w:rsidRPr="00297EFC" w:rsidRDefault="004F2257" w:rsidP="00206E40">
      <w:pPr>
        <w:pStyle w:val="Narration"/>
        <w:numPr>
          <w:ilvl w:val="1"/>
          <w:numId w:val="3"/>
        </w:numPr>
      </w:pPr>
      <w:r>
        <w:t xml:space="preserve">For </w:t>
      </w:r>
      <w:r w:rsidR="00206E40">
        <w:t xml:space="preserve">the </w:t>
      </w:r>
      <w:r>
        <w:t>determination test, after incubati</w:t>
      </w:r>
      <w:r w:rsidR="00206E40">
        <w:t>ng</w:t>
      </w:r>
      <w:r>
        <w:t xml:space="preserve"> the cells fo</w:t>
      </w:r>
      <w:r w:rsidR="00206E40">
        <w:t>r</w:t>
      </w:r>
      <w:r>
        <w:t xml:space="preserve"> </w:t>
      </w:r>
      <w:r w:rsidR="006F3A11" w:rsidRPr="00297EFC">
        <w:t xml:space="preserve">96 hours, replace the medium in each well with 100 microliters of serum-free medium </w:t>
      </w:r>
      <w:r w:rsidR="006F3A11" w:rsidRPr="00297EFC">
        <w:rPr>
          <w:b/>
          <w:bCs/>
        </w:rPr>
        <w:t>[1]</w:t>
      </w:r>
      <w:r w:rsidR="006F3A11" w:rsidRPr="00297EFC">
        <w:t>.</w:t>
      </w:r>
      <w:r w:rsidR="00206E40">
        <w:t xml:space="preserve"> </w:t>
      </w:r>
      <w:r w:rsidR="00206E40" w:rsidRPr="00297EFC">
        <w:t xml:space="preserve">Dissolve the test chemical in serum-free medium based on the results obtained from the preliminary test </w:t>
      </w:r>
      <w:r w:rsidR="00206E40" w:rsidRPr="00297EFC">
        <w:rPr>
          <w:b/>
          <w:bCs/>
        </w:rPr>
        <w:t>[</w:t>
      </w:r>
      <w:r w:rsidR="00206E40">
        <w:rPr>
          <w:b/>
          <w:bCs/>
        </w:rPr>
        <w:t>2</w:t>
      </w:r>
      <w:r w:rsidR="00206E40" w:rsidRPr="00297EFC">
        <w:rPr>
          <w:b/>
          <w:bCs/>
        </w:rPr>
        <w:t>]</w:t>
      </w:r>
      <w:r w:rsidR="00206E40" w:rsidRPr="00297EFC">
        <w:t>.</w:t>
      </w:r>
    </w:p>
    <w:p w14:paraId="065C0077" w14:textId="77777777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aspirating medium from the wells and pipetting 100 microliters of fresh serum-free medium.</w:t>
      </w:r>
    </w:p>
    <w:p w14:paraId="6635AA3C" w14:textId="3E66E69D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dissolving the test chemical in serum-free medium</w:t>
      </w:r>
      <w:r w:rsidR="00206E40">
        <w:rPr>
          <w:lang w:val="en-IN"/>
        </w:rPr>
        <w:t>.</w:t>
      </w:r>
      <w:r w:rsidR="00206E40">
        <w:rPr>
          <w:lang w:val="en-IN"/>
        </w:rPr>
        <w:br/>
      </w:r>
    </w:p>
    <w:p w14:paraId="33D0BE34" w14:textId="77777777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Prepare a nine-point, two-fold serial dilution of the test chemical in serum-free medium using the previously prepared solution </w:t>
      </w:r>
      <w:r w:rsidRPr="00297EFC">
        <w:rPr>
          <w:b/>
          <w:bCs/>
        </w:rPr>
        <w:t>[1]</w:t>
      </w:r>
      <w:r w:rsidRPr="00297EFC">
        <w:t>.</w:t>
      </w:r>
    </w:p>
    <w:p w14:paraId="6A1D94C6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 xml:space="preserve">Talent performing a nine-point, two-fold serial dilution using pipettes and a set </w:t>
      </w:r>
      <w:r w:rsidRPr="00297EFC">
        <w:rPr>
          <w:lang w:val="en-IN"/>
        </w:rPr>
        <w:lastRenderedPageBreak/>
        <w:t xml:space="preserve">of </w:t>
      </w:r>
      <w:proofErr w:type="spellStart"/>
      <w:r w:rsidRPr="00297EFC">
        <w:rPr>
          <w:lang w:val="en-IN"/>
        </w:rPr>
        <w:t>labeled</w:t>
      </w:r>
      <w:proofErr w:type="spellEnd"/>
      <w:r w:rsidRPr="00297EFC">
        <w:rPr>
          <w:lang w:val="en-IN"/>
        </w:rPr>
        <w:t xml:space="preserve"> tubes.</w:t>
      </w:r>
    </w:p>
    <w:p w14:paraId="62E40A6A" w14:textId="77777777" w:rsidR="00B115A2" w:rsidRPr="00297EFC" w:rsidRDefault="00B115A2" w:rsidP="00B115A2">
      <w:pPr>
        <w:pStyle w:val="ShotDescription"/>
        <w:ind w:firstLine="0"/>
        <w:rPr>
          <w:lang w:val="en-IN"/>
        </w:rPr>
      </w:pPr>
    </w:p>
    <w:p w14:paraId="0BE15F80" w14:textId="490C1462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Add 11 microliters per well of the </w:t>
      </w:r>
      <w:r w:rsidR="005D7E55">
        <w:t xml:space="preserve">prepared </w:t>
      </w:r>
      <w:r w:rsidRPr="00297EFC">
        <w:t xml:space="preserve">chemical solutions </w:t>
      </w:r>
      <w:r w:rsidRPr="00297EFC">
        <w:rPr>
          <w:b/>
          <w:bCs/>
        </w:rPr>
        <w:t>[1]</w:t>
      </w:r>
      <w:r w:rsidRPr="00297EFC">
        <w:t>. For the vehicle control, add 11 microliters per well of serum-free medium containing the same concentration of DMSO</w:t>
      </w:r>
      <w:r w:rsidR="00A15C1F">
        <w:t xml:space="preserve"> </w:t>
      </w:r>
      <w:r w:rsidRPr="00297EFC">
        <w:rPr>
          <w:b/>
          <w:bCs/>
        </w:rPr>
        <w:t>[2</w:t>
      </w:r>
      <w:r w:rsidR="005D7E55">
        <w:rPr>
          <w:b/>
          <w:bCs/>
        </w:rPr>
        <w:t>-TXT</w:t>
      </w:r>
      <w:r w:rsidRPr="00297EFC">
        <w:rPr>
          <w:b/>
          <w:bCs/>
        </w:rPr>
        <w:t>]</w:t>
      </w:r>
      <w:r w:rsidRPr="00297EFC">
        <w:t>.</w:t>
      </w:r>
    </w:p>
    <w:p w14:paraId="601976BB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 microliters of diluted chemical solutions into the wells.</w:t>
      </w:r>
    </w:p>
    <w:p w14:paraId="4BECDDD7" w14:textId="6AF7FCCA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 microliters of vehicle control solution into control wells.</w:t>
      </w:r>
      <w:r w:rsidR="004F2257">
        <w:rPr>
          <w:lang w:val="en-IN"/>
        </w:rPr>
        <w:t xml:space="preserve"> </w:t>
      </w:r>
      <w:r w:rsidR="004F2257" w:rsidRPr="004F2257">
        <w:rPr>
          <w:b/>
          <w:bCs/>
          <w:lang w:val="en-IN"/>
        </w:rPr>
        <w:t xml:space="preserve">TXT: Incubate for 48 h and proceed similarly </w:t>
      </w:r>
      <w:r w:rsidR="00B74953">
        <w:rPr>
          <w:b/>
          <w:bCs/>
          <w:lang w:val="en-IN"/>
        </w:rPr>
        <w:t>to</w:t>
      </w:r>
      <w:r w:rsidR="004F2257" w:rsidRPr="004F2257">
        <w:rPr>
          <w:b/>
          <w:bCs/>
          <w:lang w:val="en-IN"/>
        </w:rPr>
        <w:t xml:space="preserve"> </w:t>
      </w:r>
      <w:r w:rsidR="004F2257">
        <w:rPr>
          <w:b/>
          <w:bCs/>
          <w:lang w:val="en-IN"/>
        </w:rPr>
        <w:t xml:space="preserve">the </w:t>
      </w:r>
      <w:r w:rsidR="004F2257" w:rsidRPr="004F2257">
        <w:rPr>
          <w:b/>
          <w:bCs/>
          <w:lang w:val="en-IN"/>
        </w:rPr>
        <w:t>preliminary test</w:t>
      </w:r>
      <w:r w:rsidR="00A15C1F">
        <w:rPr>
          <w:lang w:val="en-IN"/>
        </w:rPr>
        <w:br/>
      </w:r>
    </w:p>
    <w:p w14:paraId="27658B5C" w14:textId="4E822BEA" w:rsidR="009373F8" w:rsidRPr="00297EFC" w:rsidRDefault="009373F8" w:rsidP="009373F8">
      <w:pPr>
        <w:pStyle w:val="ShotDescription"/>
        <w:numPr>
          <w:ilvl w:val="0"/>
          <w:numId w:val="3"/>
        </w:numPr>
        <w:rPr>
          <w:lang w:val="en-IN"/>
        </w:rPr>
      </w:pPr>
      <w:r w:rsidRPr="00B829D0">
        <w:rPr>
          <w:rFonts w:asciiTheme="majorHAnsi" w:hAnsiTheme="majorHAnsi" w:cstheme="majorHAnsi"/>
          <w:b/>
          <w:lang w:eastAsia="ja-JP"/>
        </w:rPr>
        <w:t>Real-</w:t>
      </w:r>
      <w:r w:rsidR="00FA5EE4">
        <w:rPr>
          <w:rFonts w:asciiTheme="majorHAnsi" w:hAnsiTheme="majorHAnsi" w:cstheme="majorHAnsi"/>
          <w:b/>
          <w:lang w:eastAsia="ja-JP"/>
        </w:rPr>
        <w:t>T</w:t>
      </w:r>
      <w:r w:rsidRPr="00B829D0">
        <w:rPr>
          <w:rFonts w:asciiTheme="majorHAnsi" w:hAnsiTheme="majorHAnsi" w:cstheme="majorHAnsi"/>
          <w:b/>
          <w:lang w:eastAsia="ja-JP"/>
        </w:rPr>
        <w:t xml:space="preserve">ime </w:t>
      </w:r>
      <w:r w:rsidR="00FA5EE4">
        <w:rPr>
          <w:rFonts w:asciiTheme="majorHAnsi" w:hAnsiTheme="majorHAnsi" w:cstheme="majorHAnsi"/>
          <w:b/>
          <w:lang w:eastAsia="ja-JP"/>
        </w:rPr>
        <w:t>R</w:t>
      </w:r>
      <w:r w:rsidRPr="00B829D0">
        <w:rPr>
          <w:rFonts w:asciiTheme="majorHAnsi" w:hAnsiTheme="majorHAnsi" w:cstheme="majorHAnsi"/>
          <w:b/>
          <w:lang w:eastAsia="ja-JP"/>
        </w:rPr>
        <w:t xml:space="preserve">eporter </w:t>
      </w:r>
      <w:r w:rsidR="00FA5EE4">
        <w:rPr>
          <w:rFonts w:asciiTheme="majorHAnsi" w:hAnsiTheme="majorHAnsi" w:cstheme="majorHAnsi"/>
          <w:b/>
          <w:lang w:eastAsia="ja-JP"/>
        </w:rPr>
        <w:t>A</w:t>
      </w:r>
      <w:r w:rsidRPr="00B829D0">
        <w:rPr>
          <w:rFonts w:asciiTheme="majorHAnsi" w:hAnsiTheme="majorHAnsi" w:cstheme="majorHAnsi"/>
          <w:b/>
          <w:lang w:eastAsia="ja-JP"/>
        </w:rPr>
        <w:t xml:space="preserve">ssay </w:t>
      </w:r>
    </w:p>
    <w:p w14:paraId="7D1EBD5F" w14:textId="0E768330" w:rsidR="006F3A11" w:rsidRPr="00297EFC" w:rsidRDefault="009373F8" w:rsidP="00FA5EE4">
      <w:pPr>
        <w:pStyle w:val="Narration"/>
        <w:numPr>
          <w:ilvl w:val="1"/>
          <w:numId w:val="3"/>
        </w:numPr>
      </w:pPr>
      <w:r>
        <w:t>After incubating the cells</w:t>
      </w:r>
      <w:r w:rsidR="006F3A11" w:rsidRPr="00297EFC">
        <w:t xml:space="preserve"> </w:t>
      </w:r>
      <w:r>
        <w:t>for 96</w:t>
      </w:r>
      <w:r w:rsidR="006F3A11" w:rsidRPr="00297EFC">
        <w:t xml:space="preserve"> hours, replace the medium in each well with 100 microliters of serum-free medium containing 1 percent luminescent substrate </w:t>
      </w:r>
      <w:r w:rsidR="006F3A11" w:rsidRPr="00297EFC">
        <w:rPr>
          <w:b/>
          <w:bCs/>
        </w:rPr>
        <w:t>[1]</w:t>
      </w:r>
      <w:r w:rsidR="006F3A11" w:rsidRPr="00297EFC">
        <w:t>.</w:t>
      </w:r>
      <w:r w:rsidR="00FA5EE4">
        <w:t xml:space="preserve"> </w:t>
      </w:r>
      <w:r w:rsidR="00FA5EE4" w:rsidRPr="00297EFC">
        <w:t xml:space="preserve">Dissolve the test chemical in serum-free medium at the concentration determined from the previous section </w:t>
      </w:r>
      <w:r w:rsidR="00FA5EE4" w:rsidRPr="00297EFC">
        <w:rPr>
          <w:b/>
          <w:bCs/>
        </w:rPr>
        <w:t>[</w:t>
      </w:r>
      <w:r w:rsidR="00FA5EE4">
        <w:rPr>
          <w:b/>
          <w:bCs/>
        </w:rPr>
        <w:t>2</w:t>
      </w:r>
      <w:r w:rsidR="00FA5EE4" w:rsidRPr="00297EFC">
        <w:rPr>
          <w:b/>
          <w:bCs/>
        </w:rPr>
        <w:t>]</w:t>
      </w:r>
      <w:r w:rsidR="00FA5EE4" w:rsidRPr="00297EFC">
        <w:t>.</w:t>
      </w:r>
    </w:p>
    <w:p w14:paraId="1F53F2D4" w14:textId="77777777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aspirating old medium and pipetting 100 microliters of serum-free medium with luminescent substrate into each well.</w:t>
      </w:r>
    </w:p>
    <w:p w14:paraId="37FD272A" w14:textId="739372EB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preparing the test chemical solution in serum-free medium based on recorded concentration data.</w:t>
      </w:r>
      <w:r w:rsidR="00FA5EE4">
        <w:rPr>
          <w:lang w:val="en-IN"/>
        </w:rPr>
        <w:br/>
      </w:r>
    </w:p>
    <w:p w14:paraId="05D45798" w14:textId="77777777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Prepare an eight-point, two-fold serial dilution of the test chemical in serum-free medium using the previously prepared solution </w:t>
      </w:r>
      <w:r w:rsidRPr="00297EFC">
        <w:rPr>
          <w:b/>
          <w:bCs/>
        </w:rPr>
        <w:t>[1]</w:t>
      </w:r>
      <w:r w:rsidRPr="00297EFC">
        <w:t>.</w:t>
      </w:r>
    </w:p>
    <w:p w14:paraId="3E3113D2" w14:textId="77777777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 xml:space="preserve">Talent performing eight-point, two-fold serial dilution using pipettes and </w:t>
      </w:r>
      <w:proofErr w:type="spellStart"/>
      <w:r w:rsidRPr="00297EFC">
        <w:rPr>
          <w:lang w:val="en-IN"/>
        </w:rPr>
        <w:t>labeled</w:t>
      </w:r>
      <w:proofErr w:type="spellEnd"/>
      <w:r w:rsidRPr="00297EFC">
        <w:rPr>
          <w:lang w:val="en-IN"/>
        </w:rPr>
        <w:t xml:space="preserve"> tubes.</w:t>
      </w:r>
    </w:p>
    <w:p w14:paraId="7BD24291" w14:textId="62D0F82A" w:rsidR="006F3A11" w:rsidRPr="00297EFC" w:rsidRDefault="006F3A11" w:rsidP="006F3A11">
      <w:pPr>
        <w:pStyle w:val="Narration"/>
        <w:numPr>
          <w:ilvl w:val="1"/>
          <w:numId w:val="3"/>
        </w:numPr>
      </w:pPr>
      <w:r w:rsidRPr="00297EFC">
        <w:t xml:space="preserve">Two hours after the medium exchange, add 11 microliters per well of the serially diluted chemical solutions </w:t>
      </w:r>
      <w:r w:rsidRPr="00297EFC">
        <w:rPr>
          <w:b/>
          <w:bCs/>
        </w:rPr>
        <w:t>[1]</w:t>
      </w:r>
      <w:r w:rsidRPr="00297EFC">
        <w:t xml:space="preserve">. For the vehicle control, add 11 microliters per well of serum-free medium containing the same concentration of DMSO </w:t>
      </w:r>
      <w:r w:rsidRPr="00297EFC">
        <w:rPr>
          <w:b/>
          <w:bCs/>
        </w:rPr>
        <w:t>[2]</w:t>
      </w:r>
      <w:r w:rsidRPr="00297EFC">
        <w:t>.</w:t>
      </w:r>
    </w:p>
    <w:p w14:paraId="4C50A85D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 microliters of diluted test chemical into experimental wells.</w:t>
      </w:r>
    </w:p>
    <w:p w14:paraId="4D57E302" w14:textId="77777777" w:rsidR="006F3A11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Talent pipetting 11 microliters of vehicle control solution into control wells.</w:t>
      </w:r>
    </w:p>
    <w:p w14:paraId="2EBECD78" w14:textId="77777777" w:rsidR="004F2257" w:rsidRPr="00297EFC" w:rsidRDefault="004F2257" w:rsidP="004F2257">
      <w:pPr>
        <w:pStyle w:val="ShotDescription"/>
        <w:ind w:firstLine="0"/>
        <w:rPr>
          <w:lang w:val="en-IN"/>
        </w:rPr>
      </w:pPr>
    </w:p>
    <w:p w14:paraId="3FAC9ACB" w14:textId="4B8BE4D3" w:rsidR="006F3A11" w:rsidRPr="00297EFC" w:rsidRDefault="006F3A11" w:rsidP="00FA5EE4">
      <w:pPr>
        <w:pStyle w:val="Narration"/>
        <w:numPr>
          <w:ilvl w:val="1"/>
          <w:numId w:val="3"/>
        </w:numPr>
      </w:pPr>
      <w:r w:rsidRPr="00297EFC">
        <w:t xml:space="preserve">One hour after starting chemical exposure, add 12 microliters per well of serum-free medium containing basic fibroblast growth factor </w:t>
      </w:r>
      <w:r w:rsidRPr="00297EFC">
        <w:rPr>
          <w:b/>
          <w:bCs/>
        </w:rPr>
        <w:t>[1</w:t>
      </w:r>
      <w:r w:rsidR="00FA5EE4">
        <w:rPr>
          <w:b/>
          <w:bCs/>
        </w:rPr>
        <w:t>-TXT</w:t>
      </w:r>
      <w:r w:rsidRPr="00297EFC">
        <w:rPr>
          <w:b/>
          <w:bCs/>
        </w:rPr>
        <w:t>]</w:t>
      </w:r>
      <w:r w:rsidRPr="00297EFC">
        <w:t>.</w:t>
      </w:r>
      <w:r w:rsidR="00FA5EE4">
        <w:t xml:space="preserve"> </w:t>
      </w:r>
      <w:r w:rsidR="00FA5EE4" w:rsidRPr="00297EFC">
        <w:t xml:space="preserve">Measure luminescence continuously for 48 hours using a real-time luminescence measurement system under 5 percent carbon dioxide at 37 degrees Celsius </w:t>
      </w:r>
      <w:r w:rsidR="00FA5EE4" w:rsidRPr="00297EFC">
        <w:rPr>
          <w:b/>
          <w:bCs/>
        </w:rPr>
        <w:t>[</w:t>
      </w:r>
      <w:r w:rsidR="00FA5EE4">
        <w:rPr>
          <w:b/>
          <w:bCs/>
        </w:rPr>
        <w:t>2</w:t>
      </w:r>
      <w:r w:rsidR="00FA5EE4" w:rsidRPr="00297EFC">
        <w:rPr>
          <w:b/>
          <w:bCs/>
        </w:rPr>
        <w:t>]</w:t>
      </w:r>
      <w:r w:rsidR="00FA5EE4" w:rsidRPr="00297EFC">
        <w:t>.</w:t>
      </w:r>
    </w:p>
    <w:p w14:paraId="5BBB3A22" w14:textId="152358B8" w:rsidR="006F3A11" w:rsidRPr="00FA5EE4" w:rsidRDefault="006F3A11" w:rsidP="00FA5EE4">
      <w:pPr>
        <w:pStyle w:val="ShotDescription"/>
        <w:numPr>
          <w:ilvl w:val="2"/>
          <w:numId w:val="3"/>
        </w:numPr>
        <w:rPr>
          <w:bCs/>
        </w:rPr>
      </w:pPr>
      <w:r w:rsidRPr="00297EFC">
        <w:rPr>
          <w:lang w:val="en-IN"/>
        </w:rPr>
        <w:t xml:space="preserve">Talent pipetting 12 microliters of serum-free medium with </w:t>
      </w:r>
      <w:proofErr w:type="spellStart"/>
      <w:r w:rsidRPr="00297EFC">
        <w:rPr>
          <w:lang w:val="en-IN"/>
        </w:rPr>
        <w:t>bFGF</w:t>
      </w:r>
      <w:proofErr w:type="spellEnd"/>
      <w:r w:rsidRPr="00297EFC">
        <w:rPr>
          <w:lang w:val="en-IN"/>
        </w:rPr>
        <w:t xml:space="preserve"> into each well.</w:t>
      </w:r>
      <w:r w:rsidR="00FA5EE4">
        <w:rPr>
          <w:lang w:val="en-IN"/>
        </w:rPr>
        <w:t xml:space="preserve"> </w:t>
      </w:r>
      <w:r w:rsidR="00FA5EE4" w:rsidRPr="00FA5EE4">
        <w:rPr>
          <w:b/>
          <w:bCs/>
          <w:lang w:val="en-IN"/>
        </w:rPr>
        <w:t xml:space="preserve">TXT: </w:t>
      </w:r>
      <w:r w:rsidR="00FA5EE4" w:rsidRPr="00FA5EE4">
        <w:rPr>
          <w:b/>
          <w:bCs/>
        </w:rPr>
        <w:t>Final concentration: 2 ng/mL</w:t>
      </w:r>
    </w:p>
    <w:p w14:paraId="2020FFEF" w14:textId="0C0F6718" w:rsidR="006F3A11" w:rsidRPr="00297EFC" w:rsidRDefault="006F3A11" w:rsidP="006F3A11">
      <w:pPr>
        <w:pStyle w:val="ShotDescription"/>
        <w:numPr>
          <w:ilvl w:val="2"/>
          <w:numId w:val="3"/>
        </w:numPr>
        <w:rPr>
          <w:lang w:val="en-IN"/>
        </w:rPr>
      </w:pPr>
      <w:r w:rsidRPr="00297EFC">
        <w:rPr>
          <w:lang w:val="en-IN"/>
        </w:rPr>
        <w:t>Show real-time luminescence measurement</w:t>
      </w:r>
      <w:r w:rsidR="004F2257">
        <w:rPr>
          <w:lang w:val="en-IN"/>
        </w:rPr>
        <w:t xml:space="preserve"> screen </w:t>
      </w:r>
      <w:r w:rsidRPr="00297EFC">
        <w:rPr>
          <w:lang w:val="en-IN"/>
        </w:rPr>
        <w:t xml:space="preserve">displaying luminescence </w:t>
      </w:r>
      <w:r w:rsidRPr="00297EFC">
        <w:rPr>
          <w:lang w:val="en-IN"/>
        </w:rPr>
        <w:lastRenderedPageBreak/>
        <w:t>from the loaded plate.</w:t>
      </w:r>
    </w:p>
    <w:p w14:paraId="2D07286D" w14:textId="77777777" w:rsidR="006F3A11" w:rsidRPr="004F225E" w:rsidRDefault="006F3A11" w:rsidP="006F3A11">
      <w:pPr>
        <w:rPr>
          <w:lang w:val="en-IN"/>
        </w:rPr>
      </w:pPr>
    </w:p>
    <w:p w14:paraId="09689C4F" w14:textId="1ECA6A09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56452D7" w14:textId="313FC568" w:rsidR="004F2257" w:rsidRDefault="004F2257" w:rsidP="004F2257">
      <w:pPr>
        <w:pStyle w:val="Narration"/>
        <w:numPr>
          <w:ilvl w:val="1"/>
          <w:numId w:val="3"/>
        </w:numPr>
      </w:pPr>
      <w:r w:rsidRPr="004A7E8B">
        <w:t xml:space="preserve">Phase contrast imaging confirmed a confluent cell layer covering nearly the entire surface of the wells both before </w:t>
      </w:r>
      <w:r w:rsidRPr="005D7E55">
        <w:rPr>
          <w:b/>
          <w:bCs/>
        </w:rPr>
        <w:t>[1]</w:t>
      </w:r>
      <w:r w:rsidRPr="004A7E8B">
        <w:t xml:space="preserve"> and after chemical exposure</w:t>
      </w:r>
      <w:r w:rsidR="005D7E55">
        <w:t xml:space="preserve"> </w:t>
      </w:r>
      <w:r w:rsidR="005D7E55" w:rsidRPr="005D7E55">
        <w:rPr>
          <w:b/>
          <w:bCs/>
        </w:rPr>
        <w:t>[2]</w:t>
      </w:r>
      <w:r w:rsidRPr="005D7E55">
        <w:rPr>
          <w:b/>
          <w:bCs/>
        </w:rPr>
        <w:t>.</w:t>
      </w:r>
    </w:p>
    <w:p w14:paraId="14CADA99" w14:textId="001FC9B4" w:rsidR="004F2257" w:rsidRPr="005D7E55" w:rsidRDefault="004F2257" w:rsidP="004F2257">
      <w:pPr>
        <w:pStyle w:val="ShotDescription"/>
        <w:numPr>
          <w:ilvl w:val="2"/>
          <w:numId w:val="3"/>
        </w:numPr>
        <w:rPr>
          <w:lang w:val="en-IN"/>
        </w:rPr>
      </w:pPr>
      <w:r w:rsidRPr="005D7E55">
        <w:rPr>
          <w:lang w:val="en-IN"/>
        </w:rPr>
        <w:t xml:space="preserve">LAB MEDIA: Figure 2A. </w:t>
      </w:r>
      <w:r w:rsidRPr="005D7E55">
        <w:rPr>
          <w:i/>
          <w:iCs/>
          <w:color w:val="0070C0"/>
          <w:lang w:val="en-IN"/>
        </w:rPr>
        <w:t xml:space="preserve">Video editor: Show the “Before exposure” panel </w:t>
      </w:r>
    </w:p>
    <w:p w14:paraId="4530E6EA" w14:textId="428B9FEB" w:rsidR="004F2257" w:rsidRPr="00250BD0" w:rsidRDefault="004F2257" w:rsidP="004F2257">
      <w:pPr>
        <w:pStyle w:val="ShotDescription"/>
        <w:numPr>
          <w:ilvl w:val="2"/>
          <w:numId w:val="3"/>
        </w:numPr>
        <w:rPr>
          <w:lang w:val="en-IN"/>
        </w:rPr>
      </w:pPr>
      <w:r w:rsidRPr="005D7E55">
        <w:rPr>
          <w:lang w:val="en-IN"/>
        </w:rPr>
        <w:t>LAB MEDIA: Figure 2A</w:t>
      </w:r>
      <w:r w:rsidRPr="004A7E8B">
        <w:rPr>
          <w:b/>
          <w:bCs/>
          <w:lang w:val="en-IN"/>
        </w:rPr>
        <w:t>.</w:t>
      </w:r>
      <w:r w:rsidRPr="004A7E8B">
        <w:rPr>
          <w:lang w:val="en-IN"/>
        </w:rPr>
        <w:t xml:space="preserve"> </w:t>
      </w:r>
      <w:r w:rsidRPr="005D7E55">
        <w:rPr>
          <w:i/>
          <w:iCs/>
          <w:color w:val="0070C0"/>
          <w:lang w:val="en-IN"/>
        </w:rPr>
        <w:t>Video editor: Show the “After exposure” panel</w:t>
      </w:r>
    </w:p>
    <w:p w14:paraId="57B92144" w14:textId="77777777" w:rsidR="00250BD0" w:rsidRPr="004A7E8B" w:rsidRDefault="00250BD0" w:rsidP="00250BD0">
      <w:pPr>
        <w:pStyle w:val="ShotDescription"/>
        <w:ind w:firstLine="0"/>
        <w:rPr>
          <w:lang w:val="en-IN"/>
        </w:rPr>
      </w:pPr>
    </w:p>
    <w:p w14:paraId="001775DB" w14:textId="191EDB1D" w:rsidR="004F2257" w:rsidRDefault="004F2257" w:rsidP="004F2257">
      <w:pPr>
        <w:pStyle w:val="Narration"/>
        <w:numPr>
          <w:ilvl w:val="1"/>
          <w:numId w:val="3"/>
        </w:numPr>
      </w:pPr>
      <w:r w:rsidRPr="004A7E8B">
        <w:t>Live</w:t>
      </w:r>
      <w:r w:rsidR="005D7E55">
        <w:t xml:space="preserve"> and </w:t>
      </w:r>
      <w:r w:rsidRPr="004A7E8B">
        <w:t xml:space="preserve">dead staining showed that while the number of propidium iodide-stained dead cells increased after chemical exposure </w:t>
      </w:r>
      <w:r w:rsidRPr="005D7E55">
        <w:rPr>
          <w:b/>
          <w:bCs/>
        </w:rPr>
        <w:t>[1],</w:t>
      </w:r>
      <w:r w:rsidRPr="004A7E8B">
        <w:t xml:space="preserve"> </w:t>
      </w:r>
      <w:proofErr w:type="gramStart"/>
      <w:r w:rsidRPr="004A7E8B">
        <w:t>the majority of</w:t>
      </w:r>
      <w:proofErr w:type="gramEnd"/>
      <w:r w:rsidRPr="004A7E8B">
        <w:t xml:space="preserve"> cells remained viable and were stained with </w:t>
      </w:r>
      <w:proofErr w:type="spellStart"/>
      <w:r w:rsidRPr="004A7E8B">
        <w:t>calcein</w:t>
      </w:r>
      <w:proofErr w:type="spellEnd"/>
      <w:r w:rsidRPr="004A7E8B">
        <w:t xml:space="preserve">-AM </w:t>
      </w:r>
      <w:r w:rsidRPr="005D7E55">
        <w:rPr>
          <w:b/>
          <w:bCs/>
        </w:rPr>
        <w:t>[2].</w:t>
      </w:r>
    </w:p>
    <w:p w14:paraId="1F10F3AE" w14:textId="12FEB035" w:rsidR="004F2257" w:rsidRPr="005D7E55" w:rsidRDefault="004F2257" w:rsidP="004F225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D7E55">
        <w:rPr>
          <w:lang w:val="en-IN"/>
        </w:rPr>
        <w:t xml:space="preserve">LAB MEDIA: Figure 2B. </w:t>
      </w:r>
      <w:r w:rsidRPr="005D7E55">
        <w:rPr>
          <w:i/>
          <w:iCs/>
          <w:color w:val="0070C0"/>
          <w:lang w:val="en-IN"/>
        </w:rPr>
        <w:t>Video editor: Highlight the “After exposure” panel.</w:t>
      </w:r>
    </w:p>
    <w:p w14:paraId="686118A0" w14:textId="44A85E2A" w:rsidR="004F2257" w:rsidRPr="00250BD0" w:rsidRDefault="004F2257" w:rsidP="004F2257">
      <w:pPr>
        <w:pStyle w:val="ShotDescription"/>
        <w:numPr>
          <w:ilvl w:val="2"/>
          <w:numId w:val="3"/>
        </w:numPr>
        <w:rPr>
          <w:lang w:val="en-IN"/>
        </w:rPr>
      </w:pPr>
      <w:r w:rsidRPr="005D7E55">
        <w:rPr>
          <w:lang w:val="en-IN"/>
        </w:rPr>
        <w:t>LAB MEDIA: Figure 2B</w:t>
      </w:r>
      <w:r w:rsidRPr="004A7E8B">
        <w:rPr>
          <w:b/>
          <w:bCs/>
          <w:lang w:val="en-IN"/>
        </w:rPr>
        <w:t>.</w:t>
      </w:r>
      <w:r w:rsidRPr="004A7E8B">
        <w:rPr>
          <w:lang w:val="en-IN"/>
        </w:rPr>
        <w:t xml:space="preserve"> </w:t>
      </w:r>
      <w:r w:rsidRPr="005D7E55">
        <w:rPr>
          <w:i/>
          <w:iCs/>
          <w:color w:val="0070C0"/>
          <w:lang w:val="en-IN"/>
        </w:rPr>
        <w:t>Video editor: Emphasize the dominant green fluorescence in the “After exposure” panel</w:t>
      </w:r>
    </w:p>
    <w:p w14:paraId="0D0CF624" w14:textId="77777777" w:rsidR="00250BD0" w:rsidRPr="004A7E8B" w:rsidRDefault="00250BD0" w:rsidP="00250BD0">
      <w:pPr>
        <w:pStyle w:val="ShotDescription"/>
        <w:ind w:firstLine="0"/>
        <w:rPr>
          <w:lang w:val="en-IN"/>
        </w:rPr>
      </w:pPr>
    </w:p>
    <w:p w14:paraId="6FFAA55D" w14:textId="77777777" w:rsidR="004F2257" w:rsidRDefault="004F2257" w:rsidP="004F2257">
      <w:pPr>
        <w:pStyle w:val="Narration"/>
        <w:numPr>
          <w:ilvl w:val="1"/>
          <w:numId w:val="3"/>
        </w:numPr>
      </w:pPr>
      <w:r w:rsidRPr="004A7E8B">
        <w:t xml:space="preserve">In the absence of test chemicals, luminescence intensity showed two distinct peaks across all six replicate wells, demonstrating high reproducibility and temporal resolution </w:t>
      </w:r>
      <w:r w:rsidRPr="005D7E55">
        <w:rPr>
          <w:b/>
          <w:bCs/>
        </w:rPr>
        <w:t>[1].</w:t>
      </w:r>
    </w:p>
    <w:p w14:paraId="7DA6C88F" w14:textId="43A9E674" w:rsidR="004F2257" w:rsidRPr="004A7E8B" w:rsidRDefault="004F2257" w:rsidP="004F2257">
      <w:pPr>
        <w:pStyle w:val="ShotDescription"/>
        <w:numPr>
          <w:ilvl w:val="2"/>
          <w:numId w:val="3"/>
        </w:numPr>
        <w:rPr>
          <w:lang w:val="en-IN"/>
        </w:rPr>
      </w:pPr>
      <w:r w:rsidRPr="005D7E55">
        <w:rPr>
          <w:lang w:val="en-IN"/>
        </w:rPr>
        <w:t>LAB MEDIA: Figure 3A.</w:t>
      </w:r>
      <w:r w:rsidRPr="004A7E8B">
        <w:rPr>
          <w:lang w:val="en-IN"/>
        </w:rPr>
        <w:t xml:space="preserve"> </w:t>
      </w:r>
      <w:r w:rsidR="00E46DBA">
        <w:rPr>
          <w:lang w:val="en-IN"/>
        </w:rPr>
        <w:br/>
      </w:r>
    </w:p>
    <w:p w14:paraId="026905D2" w14:textId="5301F53F" w:rsidR="004F2257" w:rsidRDefault="004F2257" w:rsidP="004F2257">
      <w:pPr>
        <w:pStyle w:val="Narration"/>
        <w:numPr>
          <w:ilvl w:val="1"/>
          <w:numId w:val="3"/>
        </w:numPr>
      </w:pPr>
      <w:r w:rsidRPr="004A7E8B">
        <w:t xml:space="preserve">Automated real-time monitoring revealed that valproic acid disrupted fibroblast growth factor </w:t>
      </w:r>
      <w:proofErr w:type="spellStart"/>
      <w:r w:rsidRPr="004A7E8B">
        <w:t>signaling</w:t>
      </w:r>
      <w:proofErr w:type="spellEnd"/>
      <w:r w:rsidRPr="004A7E8B">
        <w:t xml:space="preserve"> in a concentration-dependent manner </w:t>
      </w:r>
      <w:r w:rsidRPr="005D7E55">
        <w:rPr>
          <w:b/>
          <w:bCs/>
        </w:rPr>
        <w:t>[1],</w:t>
      </w:r>
      <w:r w:rsidRPr="004A7E8B">
        <w:t xml:space="preserve"> with stronger suppression at higher concentrations </w:t>
      </w:r>
      <w:r w:rsidRPr="005D7E55">
        <w:rPr>
          <w:b/>
          <w:bCs/>
        </w:rPr>
        <w:t>[2].</w:t>
      </w:r>
    </w:p>
    <w:p w14:paraId="1211041C" w14:textId="77777777" w:rsidR="004F2257" w:rsidRPr="005D7E55" w:rsidRDefault="004F2257" w:rsidP="004F2257">
      <w:pPr>
        <w:pStyle w:val="ShotDescription"/>
        <w:numPr>
          <w:ilvl w:val="2"/>
          <w:numId w:val="3"/>
        </w:numPr>
        <w:rPr>
          <w:i/>
          <w:iCs/>
          <w:color w:val="0070C0"/>
          <w:lang w:val="en-IN"/>
        </w:rPr>
      </w:pPr>
      <w:r w:rsidRPr="005D7E55">
        <w:rPr>
          <w:lang w:val="en-IN"/>
        </w:rPr>
        <w:t>LAB MEDIA: Figure 3B (</w:t>
      </w:r>
      <w:proofErr w:type="spellStart"/>
      <w:r w:rsidRPr="005D7E55">
        <w:rPr>
          <w:lang w:val="en-IN"/>
        </w:rPr>
        <w:t>center</w:t>
      </w:r>
      <w:proofErr w:type="spellEnd"/>
      <w:r w:rsidRPr="005D7E55">
        <w:rPr>
          <w:lang w:val="en-IN"/>
        </w:rPr>
        <w:t xml:space="preserve"> panel, “Automatic”).</w:t>
      </w:r>
      <w:r w:rsidRPr="004A7E8B">
        <w:rPr>
          <w:lang w:val="en-IN"/>
        </w:rPr>
        <w:t xml:space="preserve"> </w:t>
      </w:r>
      <w:r w:rsidRPr="005D7E55">
        <w:rPr>
          <w:i/>
          <w:iCs/>
          <w:color w:val="0070C0"/>
          <w:lang w:val="en-IN"/>
        </w:rPr>
        <w:t>Video editor: Highlight the gradual suppression of luminescence curves from low (blue) to high (red) concentrations.</w:t>
      </w:r>
    </w:p>
    <w:p w14:paraId="31D77034" w14:textId="0F91D119" w:rsidR="004F2257" w:rsidRDefault="004F2257" w:rsidP="004F2257">
      <w:pPr>
        <w:pStyle w:val="ShotDescription"/>
        <w:numPr>
          <w:ilvl w:val="2"/>
          <w:numId w:val="3"/>
        </w:numPr>
        <w:rPr>
          <w:lang w:val="en-IN"/>
        </w:rPr>
      </w:pPr>
      <w:r w:rsidRPr="005D7E55">
        <w:rPr>
          <w:lang w:val="en-IN"/>
        </w:rPr>
        <w:t>LAB MEDIA: Figure 3B (</w:t>
      </w:r>
      <w:proofErr w:type="spellStart"/>
      <w:r w:rsidRPr="005D7E55">
        <w:rPr>
          <w:lang w:val="en-IN"/>
        </w:rPr>
        <w:t>center</w:t>
      </w:r>
      <w:proofErr w:type="spellEnd"/>
      <w:r w:rsidRPr="005D7E55">
        <w:rPr>
          <w:lang w:val="en-IN"/>
        </w:rPr>
        <w:t xml:space="preserve"> panel, “Automatic”).</w:t>
      </w:r>
      <w:r w:rsidRPr="004A7E8B">
        <w:rPr>
          <w:lang w:val="en-IN"/>
        </w:rPr>
        <w:t xml:space="preserve"> </w:t>
      </w:r>
      <w:r w:rsidRPr="005D7E55">
        <w:rPr>
          <w:i/>
          <w:iCs/>
          <w:color w:val="0070C0"/>
          <w:lang w:val="en-IN"/>
        </w:rPr>
        <w:t>Video editor: Emphasize the red curve which shows the most pronounced signal change</w:t>
      </w:r>
      <w:r w:rsidRPr="004A7E8B">
        <w:rPr>
          <w:lang w:val="en-IN"/>
        </w:rPr>
        <w:t>.</w:t>
      </w:r>
    </w:p>
    <w:p w14:paraId="2F3DAB03" w14:textId="77777777" w:rsidR="001A3D76" w:rsidRPr="004A7E8B" w:rsidRDefault="001A3D76" w:rsidP="001A3D76">
      <w:pPr>
        <w:pStyle w:val="ShotDescription"/>
        <w:ind w:firstLine="0"/>
        <w:rPr>
          <w:lang w:val="en-IN"/>
        </w:rPr>
      </w:pPr>
    </w:p>
    <w:p w14:paraId="30F8570E" w14:textId="21B604A3" w:rsidR="004F2257" w:rsidRPr="005D7E55" w:rsidRDefault="004F2257" w:rsidP="004F2257">
      <w:pPr>
        <w:pStyle w:val="Narration"/>
        <w:numPr>
          <w:ilvl w:val="1"/>
          <w:numId w:val="3"/>
        </w:numPr>
        <w:rPr>
          <w:b/>
          <w:bCs/>
        </w:rPr>
      </w:pPr>
      <w:r w:rsidRPr="004A7E8B">
        <w:t xml:space="preserve">Manual luminescence measurements captured a general suppression pattern by valproic acid but lacked the temporal resolution seen in automated detection </w:t>
      </w:r>
      <w:r w:rsidRPr="005D7E55">
        <w:rPr>
          <w:b/>
          <w:bCs/>
        </w:rPr>
        <w:t>[</w:t>
      </w:r>
      <w:r w:rsidR="005D7E55">
        <w:rPr>
          <w:b/>
          <w:bCs/>
        </w:rPr>
        <w:t>1</w:t>
      </w:r>
      <w:r w:rsidRPr="005D7E55">
        <w:rPr>
          <w:b/>
          <w:bCs/>
        </w:rPr>
        <w:t>].</w:t>
      </w:r>
    </w:p>
    <w:p w14:paraId="42307799" w14:textId="77777777" w:rsidR="004F2257" w:rsidRDefault="004F2257" w:rsidP="004F2257">
      <w:pPr>
        <w:pStyle w:val="ShotDescription"/>
        <w:numPr>
          <w:ilvl w:val="2"/>
          <w:numId w:val="3"/>
        </w:numPr>
        <w:rPr>
          <w:lang w:val="en-IN"/>
        </w:rPr>
      </w:pPr>
      <w:r w:rsidRPr="005D7E55">
        <w:rPr>
          <w:lang w:val="en-IN"/>
        </w:rPr>
        <w:t>LAB MEDIA: Figure 3B (right panel, “Manual”).</w:t>
      </w:r>
      <w:r w:rsidRPr="004A7E8B">
        <w:rPr>
          <w:lang w:val="en-IN"/>
        </w:rPr>
        <w:t xml:space="preserve"> </w:t>
      </w:r>
      <w:r w:rsidRPr="005D7E55">
        <w:rPr>
          <w:i/>
          <w:iCs/>
          <w:color w:val="0070C0"/>
          <w:lang w:val="en-IN"/>
        </w:rPr>
        <w:t>Video editor: Highlight the rising red and orange curves (higher VPA doses).</w: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3"/>
      <w:footerReference w:type="even" r:id="rId14"/>
      <w:footerReference w:type="defaul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Pallavi  Sharma" w:date="2025-09-16T09:00:00Z" w:initials="PS">
    <w:p w14:paraId="726345A6" w14:textId="77777777" w:rsidR="00874E3E" w:rsidRDefault="00874E3E" w:rsidP="00874E3E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add the name of the person delivering the statements</w:t>
      </w:r>
    </w:p>
  </w:comment>
  <w:comment w:id="2" w:author="Pallavi  Sharma" w:date="2025-09-04T11:52:00Z" w:initials="PS">
    <w:p w14:paraId="173063E2" w14:textId="77777777" w:rsidR="001A3D76" w:rsidRDefault="00B115A2" w:rsidP="001A3D76">
      <w:pPr>
        <w:pStyle w:val="CommentText"/>
      </w:pPr>
      <w:r>
        <w:rPr>
          <w:rStyle w:val="CommentReference"/>
        </w:rPr>
        <w:annotationRef/>
      </w:r>
      <w:r w:rsidR="001A3D76">
        <w:rPr>
          <w:color w:val="000000"/>
          <w:lang w:val="en-IN"/>
        </w:rPr>
        <w:t>Authors: You had filled in the testimonies statements suggesting that you are interested in filming. However, you must deliver them live. Also, please add the name of the person delivering them.</w:t>
      </w:r>
    </w:p>
  </w:comment>
  <w:comment w:id="3" w:author="Pallavi  Sharma" w:date="2025-09-16T10:49:00Z" w:initials="PS">
    <w:p w14:paraId="1C9D0837" w14:textId="77777777" w:rsidR="001A3D76" w:rsidRDefault="001A3D76" w:rsidP="001A3D76">
      <w:pPr>
        <w:pStyle w:val="CommentText"/>
      </w:pPr>
      <w:r>
        <w:rPr>
          <w:rStyle w:val="CommentReference"/>
        </w:rPr>
        <w:annotationRef/>
      </w:r>
      <w:r>
        <w:rPr>
          <w:lang w:val="en-IN"/>
        </w:rPr>
        <w:t>Authors: Please add the name of the person delivering the statement.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6345A6" w15:done="0"/>
  <w15:commentEx w15:paraId="173063E2" w15:done="0"/>
  <w15:commentEx w15:paraId="1C9D083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FD28C9" w16cex:dateUtc="2025-09-16T03:30:00Z"/>
  <w16cex:commentExtensible w16cex:durableId="3D6C08A3" w16cex:dateUtc="2025-09-04T06:22:00Z"/>
  <w16cex:commentExtensible w16cex:durableId="3E4B93B8" w16cex:dateUtc="2025-09-16T05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6345A6" w16cid:durableId="3AFD28C9"/>
  <w16cid:commentId w16cid:paraId="173063E2" w16cid:durableId="3D6C08A3"/>
  <w16cid:commentId w16cid:paraId="1C9D0837" w16cid:durableId="3E4B93B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FF317" w14:textId="77777777" w:rsidR="007D5198" w:rsidRDefault="007D5198">
      <w:r>
        <w:separator/>
      </w:r>
    </w:p>
    <w:p w14:paraId="714D97FD" w14:textId="77777777" w:rsidR="007D5198" w:rsidRDefault="007D5198"/>
  </w:endnote>
  <w:endnote w:type="continuationSeparator" w:id="0">
    <w:p w14:paraId="6F518248" w14:textId="77777777" w:rsidR="007D5198" w:rsidRDefault="007D5198">
      <w:r>
        <w:continuationSeparator/>
      </w:r>
    </w:p>
    <w:p w14:paraId="24FFF84C" w14:textId="77777777" w:rsidR="007D5198" w:rsidRDefault="007D5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7C798AD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874E3E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D642CD">
      <w:rPr>
        <w:rFonts w:cstheme="minorHAnsi"/>
      </w:rPr>
      <w:t xml:space="preserve">      September 16, </w:t>
    </w:r>
    <w:proofErr w:type="gramStart"/>
    <w:r w:rsidR="00D642CD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6BF8C" w14:textId="77777777" w:rsidR="007D5198" w:rsidRDefault="007D5198">
      <w:r>
        <w:separator/>
      </w:r>
    </w:p>
    <w:p w14:paraId="117F4EA1" w14:textId="77777777" w:rsidR="007D5198" w:rsidRDefault="007D5198"/>
  </w:footnote>
  <w:footnote w:type="continuationSeparator" w:id="0">
    <w:p w14:paraId="5C8E01F5" w14:textId="77777777" w:rsidR="007D5198" w:rsidRDefault="007D5198">
      <w:r>
        <w:continuationSeparator/>
      </w:r>
    </w:p>
    <w:p w14:paraId="4EEE0824" w14:textId="77777777" w:rsidR="007D5198" w:rsidRDefault="007D51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779EE51" w:rsidR="00336C61" w:rsidRPr="00D642CD" w:rsidRDefault="00336C61" w:rsidP="00D642C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00B050"/>
        <w:sz w:val="28"/>
        <w:szCs w:val="28"/>
        <w:u w:val="single"/>
      </w:rPr>
    </w:pPr>
    <w:r w:rsidRPr="00D642CD">
      <w:rPr>
        <w:rFonts w:cstheme="minorHAnsi"/>
        <w:b/>
        <w:noProof/>
        <w:color w:val="00B05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42CD" w:rsidRPr="00D642CD">
      <w:rPr>
        <w:rFonts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8CC4716"/>
    <w:multiLevelType w:val="multilevel"/>
    <w:tmpl w:val="DBBC546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ACB672C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3"/>
  </w:num>
  <w:num w:numId="6" w16cid:durableId="1459685572">
    <w:abstractNumId w:val="29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77024263">
    <w:abstractNumId w:val="17"/>
  </w:num>
  <w:num w:numId="44" w16cid:durableId="1022630256">
    <w:abstractNumId w:val="3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llavi  Sharma">
    <w15:presenceInfo w15:providerId="AD" w15:userId="S::pallavi.sharma@jove.com::3b1cbdb9-bf02-4177-99bf-e6f1f02d514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2997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6B05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326F"/>
    <w:rsid w:val="000F4D70"/>
    <w:rsid w:val="001016BD"/>
    <w:rsid w:val="001026D1"/>
    <w:rsid w:val="001052C8"/>
    <w:rsid w:val="00106F46"/>
    <w:rsid w:val="001115D1"/>
    <w:rsid w:val="00113F3E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57866"/>
    <w:rsid w:val="00162D51"/>
    <w:rsid w:val="0016471F"/>
    <w:rsid w:val="00176D6F"/>
    <w:rsid w:val="00177B33"/>
    <w:rsid w:val="001819E3"/>
    <w:rsid w:val="00184EF9"/>
    <w:rsid w:val="00191A77"/>
    <w:rsid w:val="00194DBB"/>
    <w:rsid w:val="001A3D76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06E40"/>
    <w:rsid w:val="00214268"/>
    <w:rsid w:val="002422D6"/>
    <w:rsid w:val="00244CDB"/>
    <w:rsid w:val="00247BFF"/>
    <w:rsid w:val="00250BD0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7584"/>
    <w:rsid w:val="002C14B0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846C4"/>
    <w:rsid w:val="00491B01"/>
    <w:rsid w:val="00493A57"/>
    <w:rsid w:val="004947B8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2257"/>
    <w:rsid w:val="004F664D"/>
    <w:rsid w:val="0051075A"/>
    <w:rsid w:val="00511F52"/>
    <w:rsid w:val="00513853"/>
    <w:rsid w:val="0052184A"/>
    <w:rsid w:val="00524258"/>
    <w:rsid w:val="00530B24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3DA2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D7E55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0C74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967C8"/>
    <w:rsid w:val="006A0250"/>
    <w:rsid w:val="006A0AFD"/>
    <w:rsid w:val="006A14A2"/>
    <w:rsid w:val="006A1B4F"/>
    <w:rsid w:val="006A21CB"/>
    <w:rsid w:val="006A6324"/>
    <w:rsid w:val="006B026D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6F3A11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5198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4674A"/>
    <w:rsid w:val="00851B3E"/>
    <w:rsid w:val="00851C4B"/>
    <w:rsid w:val="00854994"/>
    <w:rsid w:val="00860BC3"/>
    <w:rsid w:val="008672DA"/>
    <w:rsid w:val="00871F2E"/>
    <w:rsid w:val="00873D1A"/>
    <w:rsid w:val="00874E3E"/>
    <w:rsid w:val="00875BE8"/>
    <w:rsid w:val="00877B88"/>
    <w:rsid w:val="0088113B"/>
    <w:rsid w:val="008836B3"/>
    <w:rsid w:val="008A0177"/>
    <w:rsid w:val="008A413E"/>
    <w:rsid w:val="008A7A3E"/>
    <w:rsid w:val="008B6C5B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3F8"/>
    <w:rsid w:val="00941F06"/>
    <w:rsid w:val="009431F3"/>
    <w:rsid w:val="00947092"/>
    <w:rsid w:val="009470DC"/>
    <w:rsid w:val="00951A8E"/>
    <w:rsid w:val="009538A4"/>
    <w:rsid w:val="00954870"/>
    <w:rsid w:val="009548D2"/>
    <w:rsid w:val="00954BDD"/>
    <w:rsid w:val="00957DA8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52AC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5C1F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15A2"/>
    <w:rsid w:val="00B13941"/>
    <w:rsid w:val="00B21E12"/>
    <w:rsid w:val="00B33E59"/>
    <w:rsid w:val="00B340A8"/>
    <w:rsid w:val="00B3428E"/>
    <w:rsid w:val="00B36993"/>
    <w:rsid w:val="00B40E12"/>
    <w:rsid w:val="00B435B8"/>
    <w:rsid w:val="00B4499C"/>
    <w:rsid w:val="00B5116D"/>
    <w:rsid w:val="00B60E0A"/>
    <w:rsid w:val="00B6201D"/>
    <w:rsid w:val="00B653B7"/>
    <w:rsid w:val="00B66A14"/>
    <w:rsid w:val="00B7250F"/>
    <w:rsid w:val="00B74953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2D51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12"/>
    <w:rsid w:val="00D466AF"/>
    <w:rsid w:val="00D473BF"/>
    <w:rsid w:val="00D47642"/>
    <w:rsid w:val="00D5169F"/>
    <w:rsid w:val="00D53725"/>
    <w:rsid w:val="00D6314B"/>
    <w:rsid w:val="00D642CD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62E5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6DBA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5EE4"/>
    <w:rsid w:val="00FA7A79"/>
    <w:rsid w:val="00FA7D51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6F3A11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6F3A11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6F3A11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6F3A11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6F3A11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6F3A11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017598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C863C5" w:rsidP="00C863C5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C863C5" w:rsidP="00C863C5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C863C5" w:rsidP="00C863C5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C863C5" w:rsidP="00C863C5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C863C5" w:rsidP="00C863C5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  <w:bookmarkStart w:id="0" w:name="_Hlk132129840"/>
        <w:bookmarkEnd w:id="0"/>
      </w:docPartBody>
    </w:docPart>
    <w:docPart>
      <w:docPartPr>
        <w:name w:val="03FB08F915BF433A8C4EE8448B185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84D5A-775B-444F-BDE4-ADCFDEA1BF91}"/>
      </w:docPartPr>
      <w:docPartBody>
        <w:p w:rsidR="00D12DDA" w:rsidRDefault="00C863C5" w:rsidP="00C863C5">
          <w:pPr>
            <w:pStyle w:val="03FB08F915BF433A8C4EE8448B185C6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3C3BAC10F5C4E67824D0F9D0592E7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5322D-FC94-4F90-90DB-16BE5BC1CFDF}"/>
      </w:docPartPr>
      <w:docPartBody>
        <w:p w:rsidR="00D12DDA" w:rsidRDefault="00C863C5" w:rsidP="00C863C5">
          <w:pPr>
            <w:pStyle w:val="C3C3BAC10F5C4E67824D0F9D0592E77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9790C"/>
    <w:rsid w:val="000C2304"/>
    <w:rsid w:val="0010269D"/>
    <w:rsid w:val="00113F3E"/>
    <w:rsid w:val="00142D32"/>
    <w:rsid w:val="00186680"/>
    <w:rsid w:val="001B439B"/>
    <w:rsid w:val="001F6C86"/>
    <w:rsid w:val="002452FD"/>
    <w:rsid w:val="002470A6"/>
    <w:rsid w:val="00251E04"/>
    <w:rsid w:val="00257C3C"/>
    <w:rsid w:val="0027616B"/>
    <w:rsid w:val="00287B01"/>
    <w:rsid w:val="002955F3"/>
    <w:rsid w:val="002F6418"/>
    <w:rsid w:val="002F76E2"/>
    <w:rsid w:val="00344E88"/>
    <w:rsid w:val="00356726"/>
    <w:rsid w:val="003C05C1"/>
    <w:rsid w:val="003C2AEF"/>
    <w:rsid w:val="003C4629"/>
    <w:rsid w:val="003D5DD0"/>
    <w:rsid w:val="003E657A"/>
    <w:rsid w:val="003F25B4"/>
    <w:rsid w:val="004232DB"/>
    <w:rsid w:val="0045037E"/>
    <w:rsid w:val="004A526F"/>
    <w:rsid w:val="004C6401"/>
    <w:rsid w:val="0051075A"/>
    <w:rsid w:val="00510F54"/>
    <w:rsid w:val="0054238C"/>
    <w:rsid w:val="00542F31"/>
    <w:rsid w:val="005611F3"/>
    <w:rsid w:val="00565A22"/>
    <w:rsid w:val="005950B3"/>
    <w:rsid w:val="005B24C0"/>
    <w:rsid w:val="00627CAF"/>
    <w:rsid w:val="00650C74"/>
    <w:rsid w:val="00691751"/>
    <w:rsid w:val="006A568E"/>
    <w:rsid w:val="006A7088"/>
    <w:rsid w:val="006B026D"/>
    <w:rsid w:val="006B2B83"/>
    <w:rsid w:val="00706CE8"/>
    <w:rsid w:val="00716A63"/>
    <w:rsid w:val="00741C3F"/>
    <w:rsid w:val="00753425"/>
    <w:rsid w:val="007571D3"/>
    <w:rsid w:val="007575BF"/>
    <w:rsid w:val="0077793F"/>
    <w:rsid w:val="00792E1F"/>
    <w:rsid w:val="007B72C5"/>
    <w:rsid w:val="007F1F0B"/>
    <w:rsid w:val="00801C92"/>
    <w:rsid w:val="00886687"/>
    <w:rsid w:val="008A06BD"/>
    <w:rsid w:val="008B6C5B"/>
    <w:rsid w:val="008E296E"/>
    <w:rsid w:val="008F498E"/>
    <w:rsid w:val="009333F9"/>
    <w:rsid w:val="00937B16"/>
    <w:rsid w:val="009E354D"/>
    <w:rsid w:val="009F56B4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0E86"/>
    <w:rsid w:val="00BE41A6"/>
    <w:rsid w:val="00BE7565"/>
    <w:rsid w:val="00C26F24"/>
    <w:rsid w:val="00C30852"/>
    <w:rsid w:val="00C52B21"/>
    <w:rsid w:val="00C52D51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46612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4535C"/>
    <w:rsid w:val="00F7561F"/>
    <w:rsid w:val="00F93B93"/>
    <w:rsid w:val="00FD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C863C5"/>
    <w:rPr>
      <w:color w:val="808080"/>
    </w:rPr>
  </w:style>
  <w:style w:type="paragraph" w:customStyle="1" w:styleId="BA64A02CAC3F764D974B102CCBE080CD1">
    <w:name w:val="BA64A02CAC3F764D974B102CCBE080CD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1">
    <w:name w:val="CC26871413AF9243AF4034C5BA7F3A38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1">
    <w:name w:val="FA4302C47376B64EB37F5EF54228B8FA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1">
    <w:name w:val="237DE9C4808C493F8DB9A918A729B5C4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FB08F915BF433A8C4EE8448B185C621">
    <w:name w:val="03FB08F915BF433A8C4EE8448B185C62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3C3BAC10F5C4E67824D0F9D0592E7751">
    <w:name w:val="C3C3BAC10F5C4E67824D0F9D0592E7751"/>
    <w:rsid w:val="00C863C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C863C5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B9BF7-782D-45A7-B463-7F7F38313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1693</Words>
  <Characters>10040</Characters>
  <Application>Microsoft Office Word</Application>
  <DocSecurity>0</DocSecurity>
  <Lines>251</Lines>
  <Paragraphs>127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11606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Pallavi  Sharma</cp:lastModifiedBy>
  <cp:revision>2</cp:revision>
  <dcterms:created xsi:type="dcterms:W3CDTF">2025-09-16T05:43:00Z</dcterms:created>
  <dcterms:modified xsi:type="dcterms:W3CDTF">2025-09-16T05:43:00Z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