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3CD748D"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B21E12">
        <w:rPr>
          <w:rFonts w:eastAsia="Times New Roman" w:cstheme="minorHAnsi"/>
          <w:b/>
        </w:rPr>
        <w:t>68910</w:t>
      </w:r>
    </w:p>
    <w:p w14:paraId="2F6924E5" w14:textId="005F3F80" w:rsidR="004E0C5A" w:rsidRDefault="004E0C5A" w:rsidP="004E0C5A">
      <w:pPr>
        <w:outlineLvl w:val="0"/>
        <w:rPr>
          <w:rFonts w:eastAsia="Times New Roman" w:cstheme="minorHAnsi"/>
          <w:b/>
        </w:rPr>
      </w:pPr>
      <w:r w:rsidRPr="00B07A3B">
        <w:rPr>
          <w:rFonts w:eastAsia="Times New Roman" w:cstheme="minorHAnsi"/>
          <w:b/>
        </w:rPr>
        <w:t>Scriptwriter Name:</w:t>
      </w:r>
      <w:r w:rsidR="00B21E12">
        <w:rPr>
          <w:rFonts w:eastAsia="Times New Roman" w:cstheme="minorHAnsi"/>
          <w:b/>
        </w:rPr>
        <w:t xml:space="preserve"> Pallavi Sharma</w:t>
      </w:r>
      <w:r w:rsidRPr="00B07A3B">
        <w:rPr>
          <w:rFonts w:eastAsia="Times New Roman" w:cstheme="minorHAnsi"/>
          <w:b/>
        </w:rPr>
        <w:t xml:space="preserve"> </w:t>
      </w:r>
    </w:p>
    <w:p w14:paraId="6FB9233B" w14:textId="3CFC5895"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B21E12" w:rsidRPr="009548D2">
          <w:rPr>
            <w:rStyle w:val="Hyperlink"/>
            <w:rFonts w:eastAsia="Times New Roman" w:cstheme="minorHAnsi"/>
            <w:b/>
          </w:rPr>
          <w:t>https://review.jove.com/account/file-u</w:t>
        </w:r>
        <w:r w:rsidR="00B21E12" w:rsidRPr="009548D2">
          <w:rPr>
            <w:rStyle w:val="Hyperlink"/>
            <w:rFonts w:eastAsia="Times New Roman" w:cstheme="minorHAnsi"/>
            <w:b/>
          </w:rPr>
          <w:t>p</w:t>
        </w:r>
        <w:r w:rsidR="00B21E12" w:rsidRPr="009548D2">
          <w:rPr>
            <w:rStyle w:val="Hyperlink"/>
            <w:rFonts w:eastAsia="Times New Roman" w:cstheme="minorHAnsi"/>
            <w:b/>
          </w:rPr>
          <w:t>loader?src=21017598</w:t>
        </w:r>
      </w:hyperlink>
    </w:p>
    <w:p w14:paraId="2C89778F" w14:textId="77777777" w:rsidR="004E0C5A" w:rsidRPr="00B07A3B" w:rsidRDefault="004E0C5A" w:rsidP="004E0C5A">
      <w:pPr>
        <w:outlineLvl w:val="0"/>
        <w:rPr>
          <w:rFonts w:eastAsia="Times New Roman" w:cstheme="minorHAnsi"/>
          <w:b/>
        </w:rPr>
      </w:pPr>
    </w:p>
    <w:p w14:paraId="1D48A127" w14:textId="77777777" w:rsidR="00B21E12" w:rsidRPr="00B829D0" w:rsidRDefault="004E0C5A" w:rsidP="00B21E12">
      <w:pPr>
        <w:rPr>
          <w:rFonts w:asciiTheme="majorHAnsi" w:hAnsiTheme="majorHAnsi" w:cstheme="majorHAnsi"/>
          <w:bCs/>
        </w:rPr>
      </w:pPr>
      <w:r w:rsidRPr="00B07A3B">
        <w:rPr>
          <w:rFonts w:eastAsia="Times New Roman" w:cstheme="minorHAnsi"/>
          <w:b/>
          <w:sz w:val="32"/>
          <w:szCs w:val="32"/>
        </w:rPr>
        <w:t>Title:</w:t>
      </w:r>
      <w:r w:rsidRPr="00B07A3B">
        <w:rPr>
          <w:rFonts w:eastAsia="Times New Roman" w:cstheme="minorHAnsi"/>
          <w:b/>
        </w:rPr>
        <w:t xml:space="preserve"> </w:t>
      </w:r>
      <w:r w:rsidR="00B21E12" w:rsidRPr="00B21E12">
        <w:rPr>
          <w:rFonts w:asciiTheme="majorHAnsi" w:hAnsiTheme="majorHAnsi" w:cstheme="majorHAnsi"/>
          <w:b/>
          <w:sz w:val="32"/>
          <w:szCs w:val="32"/>
        </w:rPr>
        <w:t xml:space="preserve">Developmental Toxicity </w:t>
      </w:r>
      <w:r w:rsidR="00B21E12" w:rsidRPr="00B21E12">
        <w:rPr>
          <w:rFonts w:asciiTheme="majorHAnsi" w:hAnsiTheme="majorHAnsi" w:cstheme="majorHAnsi"/>
          <w:b/>
          <w:sz w:val="32"/>
          <w:szCs w:val="32"/>
          <w:lang w:eastAsia="ja-JP"/>
        </w:rPr>
        <w:t xml:space="preserve">Assay </w:t>
      </w:r>
      <w:r w:rsidR="00B21E12" w:rsidRPr="00B21E12">
        <w:rPr>
          <w:rFonts w:asciiTheme="majorHAnsi" w:hAnsiTheme="majorHAnsi" w:cstheme="majorHAnsi"/>
          <w:b/>
          <w:sz w:val="32"/>
          <w:szCs w:val="32"/>
        </w:rPr>
        <w:t xml:space="preserve">Based on Real-Time Monitoring of </w:t>
      </w:r>
      <w:r w:rsidR="00B21E12" w:rsidRPr="00B21E12">
        <w:rPr>
          <w:rFonts w:asciiTheme="majorHAnsi" w:eastAsia="MS Mincho" w:hAnsiTheme="majorHAnsi" w:cstheme="majorHAnsi"/>
          <w:b/>
          <w:sz w:val="32"/>
          <w:szCs w:val="32"/>
          <w:lang w:eastAsia="ja-JP"/>
        </w:rPr>
        <w:t xml:space="preserve">Fibroblast Growth Factor </w:t>
      </w:r>
      <w:r w:rsidR="00B21E12" w:rsidRPr="00B21E12">
        <w:rPr>
          <w:rFonts w:asciiTheme="majorHAnsi" w:hAnsiTheme="majorHAnsi" w:cstheme="majorHAnsi"/>
          <w:b/>
          <w:sz w:val="32"/>
          <w:szCs w:val="32"/>
        </w:rPr>
        <w:t xml:space="preserve">Signal Disruption in Human </w:t>
      </w:r>
      <w:r w:rsidR="00B21E12" w:rsidRPr="00B21E12">
        <w:rPr>
          <w:rFonts w:asciiTheme="majorHAnsi" w:hAnsiTheme="majorHAnsi" w:cstheme="majorHAnsi"/>
          <w:b/>
          <w:sz w:val="32"/>
          <w:szCs w:val="32"/>
          <w:lang w:eastAsia="ja-JP"/>
        </w:rPr>
        <w:t>Induced Pluripotent Stem</w:t>
      </w:r>
      <w:r w:rsidR="00B21E12" w:rsidRPr="00B21E12">
        <w:rPr>
          <w:rFonts w:asciiTheme="majorHAnsi" w:hAnsiTheme="majorHAnsi" w:cstheme="majorHAnsi"/>
          <w:b/>
          <w:sz w:val="32"/>
          <w:szCs w:val="32"/>
        </w:rPr>
        <w:t xml:space="preserve"> Cells</w:t>
      </w:r>
    </w:p>
    <w:p w14:paraId="30BC7CCC" w14:textId="065B0ECB" w:rsidR="004E0C5A" w:rsidRPr="00B07A3B" w:rsidRDefault="004E0C5A" w:rsidP="004E0C5A">
      <w:pPr>
        <w:outlineLvl w:val="0"/>
        <w:rPr>
          <w:rFonts w:eastAsia="Times New Roman" w:cstheme="minorHAnsi"/>
          <w:b/>
        </w:rPr>
      </w:pP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981CD16" w14:textId="4A836471" w:rsidR="00B21E12" w:rsidRPr="00B21E12" w:rsidRDefault="00B21E12" w:rsidP="00B21E12">
      <w:pPr>
        <w:rPr>
          <w:rFonts w:asciiTheme="majorHAnsi" w:hAnsiTheme="majorHAnsi" w:cstheme="majorHAnsi"/>
          <w:b/>
          <w:bCs/>
          <w:sz w:val="28"/>
          <w:szCs w:val="28"/>
          <w:lang w:eastAsia="ja-JP"/>
        </w:rPr>
      </w:pPr>
      <w:r w:rsidRPr="00B21E12">
        <w:rPr>
          <w:rFonts w:asciiTheme="majorHAnsi" w:hAnsiTheme="majorHAnsi" w:cstheme="majorHAnsi"/>
          <w:sz w:val="28"/>
          <w:szCs w:val="28"/>
          <w:lang w:eastAsia="ja-JP"/>
        </w:rPr>
        <w:t>Koki Murayama</w:t>
      </w:r>
      <w:r w:rsidRPr="00B21E12">
        <w:rPr>
          <w:rFonts w:asciiTheme="majorHAnsi" w:hAnsiTheme="majorHAnsi" w:cstheme="majorHAnsi"/>
          <w:sz w:val="28"/>
          <w:szCs w:val="28"/>
          <w:vertAlign w:val="superscript"/>
          <w:lang w:eastAsia="ja-JP"/>
        </w:rPr>
        <w:t>1,2</w:t>
      </w:r>
      <w:r w:rsidRPr="00B21E12">
        <w:rPr>
          <w:rFonts w:asciiTheme="majorHAnsi" w:hAnsiTheme="majorHAnsi" w:cstheme="majorHAnsi"/>
          <w:sz w:val="28"/>
          <w:szCs w:val="28"/>
          <w:lang w:eastAsia="ja-JP"/>
        </w:rPr>
        <w:t>, Kashu Mizota</w:t>
      </w:r>
      <w:r w:rsidRPr="00B21E12">
        <w:rPr>
          <w:rFonts w:asciiTheme="majorHAnsi" w:hAnsiTheme="majorHAnsi" w:cstheme="majorHAnsi"/>
          <w:sz w:val="28"/>
          <w:szCs w:val="28"/>
          <w:vertAlign w:val="superscript"/>
          <w:lang w:eastAsia="ja-JP"/>
        </w:rPr>
        <w:t>1,2</w:t>
      </w:r>
      <w:r w:rsidRPr="00B21E12">
        <w:rPr>
          <w:rFonts w:asciiTheme="majorHAnsi" w:hAnsiTheme="majorHAnsi" w:cstheme="majorHAnsi"/>
          <w:sz w:val="28"/>
          <w:szCs w:val="28"/>
          <w:lang w:eastAsia="ja-JP"/>
        </w:rPr>
        <w:t>, Rieko Matsuura</w:t>
      </w:r>
      <w:r w:rsidRPr="00B21E12">
        <w:rPr>
          <w:rFonts w:asciiTheme="majorHAnsi" w:hAnsiTheme="majorHAnsi" w:cstheme="majorHAnsi"/>
          <w:sz w:val="28"/>
          <w:szCs w:val="28"/>
          <w:vertAlign w:val="superscript"/>
          <w:lang w:eastAsia="ja-JP"/>
        </w:rPr>
        <w:t>2</w:t>
      </w:r>
      <w:r w:rsidRPr="00B21E12">
        <w:rPr>
          <w:rFonts w:asciiTheme="majorHAnsi" w:hAnsiTheme="majorHAnsi" w:cstheme="majorHAnsi"/>
          <w:sz w:val="28"/>
          <w:szCs w:val="28"/>
          <w:lang w:eastAsia="ja-JP"/>
        </w:rPr>
        <w:t>, Yusuke Okubo</w:t>
      </w:r>
      <w:r w:rsidRPr="00B21E12">
        <w:rPr>
          <w:rFonts w:asciiTheme="majorHAnsi" w:hAnsiTheme="majorHAnsi" w:cstheme="majorHAnsi"/>
          <w:sz w:val="28"/>
          <w:szCs w:val="28"/>
          <w:vertAlign w:val="superscript"/>
          <w:lang w:eastAsia="ja-JP"/>
        </w:rPr>
        <w:t>2</w:t>
      </w:r>
      <w:r w:rsidRPr="00B21E12">
        <w:rPr>
          <w:rFonts w:asciiTheme="majorHAnsi" w:hAnsiTheme="majorHAnsi" w:cstheme="majorHAnsi"/>
          <w:sz w:val="28"/>
          <w:szCs w:val="28"/>
          <w:lang w:eastAsia="ja-JP"/>
        </w:rPr>
        <w:t>, Yoshihiro Nakajima</w:t>
      </w:r>
      <w:r w:rsidRPr="00B21E12">
        <w:rPr>
          <w:rFonts w:asciiTheme="majorHAnsi" w:hAnsiTheme="majorHAnsi" w:cstheme="majorHAnsi"/>
          <w:sz w:val="28"/>
          <w:szCs w:val="28"/>
          <w:vertAlign w:val="superscript"/>
          <w:lang w:eastAsia="ja-JP"/>
        </w:rPr>
        <w:t>3</w:t>
      </w:r>
      <w:r w:rsidRPr="00B21E12">
        <w:rPr>
          <w:rFonts w:asciiTheme="majorHAnsi" w:hAnsiTheme="majorHAnsi" w:cstheme="majorHAnsi"/>
          <w:sz w:val="28"/>
          <w:szCs w:val="28"/>
          <w:lang w:eastAsia="ja-JP"/>
        </w:rPr>
        <w:t>, Atsushi Suzuki</w:t>
      </w:r>
      <w:r w:rsidRPr="00B21E12">
        <w:rPr>
          <w:rFonts w:asciiTheme="majorHAnsi" w:hAnsiTheme="majorHAnsi" w:cstheme="majorHAnsi"/>
          <w:sz w:val="28"/>
          <w:szCs w:val="28"/>
          <w:vertAlign w:val="superscript"/>
          <w:lang w:eastAsia="ja-JP"/>
        </w:rPr>
        <w:t>1</w:t>
      </w:r>
      <w:r w:rsidRPr="00B21E12">
        <w:rPr>
          <w:rFonts w:asciiTheme="majorHAnsi" w:hAnsiTheme="majorHAnsi" w:cstheme="majorHAnsi"/>
          <w:sz w:val="28"/>
          <w:szCs w:val="28"/>
          <w:lang w:eastAsia="ja-JP"/>
        </w:rPr>
        <w:t xml:space="preserve">, </w:t>
      </w:r>
      <w:proofErr w:type="spellStart"/>
      <w:r w:rsidRPr="00B21E12">
        <w:rPr>
          <w:rFonts w:asciiTheme="majorHAnsi" w:hAnsiTheme="majorHAnsi" w:cstheme="majorHAnsi"/>
          <w:sz w:val="28"/>
          <w:szCs w:val="28"/>
          <w:lang w:eastAsia="ja-JP"/>
        </w:rPr>
        <w:t>Junji</w:t>
      </w:r>
      <w:proofErr w:type="spellEnd"/>
      <w:r w:rsidRPr="00B21E12">
        <w:rPr>
          <w:rFonts w:asciiTheme="majorHAnsi" w:hAnsiTheme="majorHAnsi" w:cstheme="majorHAnsi"/>
          <w:sz w:val="28"/>
          <w:szCs w:val="28"/>
          <w:lang w:eastAsia="ja-JP"/>
        </w:rPr>
        <w:t xml:space="preserve"> Fukuda</w:t>
      </w:r>
      <w:r w:rsidRPr="00B21E12">
        <w:rPr>
          <w:rFonts w:asciiTheme="majorHAnsi" w:hAnsiTheme="majorHAnsi" w:cstheme="majorHAnsi"/>
          <w:sz w:val="28"/>
          <w:szCs w:val="28"/>
          <w:vertAlign w:val="superscript"/>
          <w:lang w:eastAsia="ja-JP"/>
        </w:rPr>
        <w:t>1,4</w:t>
      </w:r>
    </w:p>
    <w:p w14:paraId="53A577A5" w14:textId="77777777" w:rsidR="00B21E12" w:rsidRPr="00B21E12" w:rsidRDefault="00B21E12" w:rsidP="00B21E12">
      <w:pPr>
        <w:rPr>
          <w:rFonts w:asciiTheme="majorHAnsi" w:hAnsiTheme="majorHAnsi" w:cstheme="majorHAnsi"/>
          <w:sz w:val="28"/>
          <w:szCs w:val="28"/>
          <w:lang w:eastAsia="ja-JP"/>
        </w:rPr>
      </w:pPr>
    </w:p>
    <w:p w14:paraId="0DEBC6B1" w14:textId="506BB81B" w:rsidR="00B21E12" w:rsidRPr="00B21E12" w:rsidRDefault="00B21E12" w:rsidP="00B21E12">
      <w:pPr>
        <w:rPr>
          <w:rFonts w:asciiTheme="majorHAnsi" w:hAnsiTheme="majorHAnsi" w:cstheme="majorHAnsi"/>
          <w:sz w:val="28"/>
          <w:szCs w:val="28"/>
          <w:lang w:eastAsia="ja-JP"/>
        </w:rPr>
      </w:pPr>
      <w:r w:rsidRPr="00B21E12">
        <w:rPr>
          <w:rFonts w:asciiTheme="majorHAnsi" w:hAnsiTheme="majorHAnsi" w:cstheme="majorHAnsi"/>
          <w:sz w:val="28"/>
          <w:szCs w:val="28"/>
          <w:vertAlign w:val="superscript"/>
          <w:lang w:eastAsia="ja-JP"/>
        </w:rPr>
        <w:t>1</w:t>
      </w:r>
      <w:r w:rsidRPr="00B21E12">
        <w:rPr>
          <w:rFonts w:asciiTheme="majorHAnsi" w:hAnsiTheme="majorHAnsi" w:cstheme="majorHAnsi"/>
          <w:sz w:val="28"/>
          <w:szCs w:val="28"/>
          <w:lang w:eastAsia="ja-JP"/>
        </w:rPr>
        <w:t>Faculty of Engineering, Yokohama National University</w:t>
      </w:r>
    </w:p>
    <w:p w14:paraId="4B16F0A3" w14:textId="77777777" w:rsidR="00B21E12" w:rsidRDefault="00B21E12" w:rsidP="00B21E12">
      <w:pPr>
        <w:rPr>
          <w:rFonts w:asciiTheme="majorHAnsi" w:hAnsiTheme="majorHAnsi" w:cstheme="majorHAnsi"/>
          <w:sz w:val="28"/>
          <w:szCs w:val="28"/>
          <w:lang w:eastAsia="ja-JP"/>
        </w:rPr>
      </w:pPr>
      <w:r w:rsidRPr="00B21E12">
        <w:rPr>
          <w:rFonts w:asciiTheme="majorHAnsi" w:hAnsiTheme="majorHAnsi" w:cstheme="majorHAnsi"/>
          <w:sz w:val="28"/>
          <w:szCs w:val="28"/>
          <w:vertAlign w:val="superscript"/>
          <w:lang w:eastAsia="ja-JP"/>
        </w:rPr>
        <w:t>2</w:t>
      </w:r>
      <w:r w:rsidRPr="00B21E12">
        <w:rPr>
          <w:rFonts w:asciiTheme="majorHAnsi" w:hAnsiTheme="majorHAnsi" w:cstheme="majorHAnsi"/>
          <w:sz w:val="28"/>
          <w:szCs w:val="28"/>
          <w:lang w:eastAsia="ja-JP"/>
        </w:rPr>
        <w:t>Division of Cellular &amp; Molecular Toxicology, Center for Biological Safety &amp; Research, National Institute of Health Sciences</w:t>
      </w:r>
    </w:p>
    <w:p w14:paraId="0526E3B8" w14:textId="299C06B8" w:rsidR="00B21E12" w:rsidRPr="00B21E12" w:rsidRDefault="00B21E12" w:rsidP="00B21E12">
      <w:pPr>
        <w:rPr>
          <w:rFonts w:asciiTheme="majorHAnsi" w:hAnsiTheme="majorHAnsi" w:cstheme="majorHAnsi"/>
          <w:sz w:val="28"/>
          <w:szCs w:val="28"/>
          <w:vertAlign w:val="superscript"/>
          <w:lang w:eastAsia="ja-JP"/>
        </w:rPr>
      </w:pPr>
      <w:r w:rsidRPr="00B21E12">
        <w:rPr>
          <w:rFonts w:asciiTheme="majorHAnsi" w:hAnsiTheme="majorHAnsi" w:cstheme="majorHAnsi"/>
          <w:sz w:val="28"/>
          <w:szCs w:val="28"/>
          <w:vertAlign w:val="superscript"/>
          <w:lang w:eastAsia="ja-JP"/>
        </w:rPr>
        <w:t>3</w:t>
      </w:r>
      <w:r w:rsidRPr="00B21E12">
        <w:rPr>
          <w:rFonts w:asciiTheme="majorHAnsi" w:hAnsiTheme="majorHAnsi" w:cstheme="majorHAnsi"/>
          <w:sz w:val="28"/>
          <w:szCs w:val="28"/>
          <w:lang w:eastAsia="ja-JP"/>
        </w:rPr>
        <w:t>Health and Medical Research Institute, National Institute of Advanced Industrial Science and Technology (AIST)</w:t>
      </w:r>
      <w:r w:rsidRPr="00B21E12">
        <w:rPr>
          <w:rFonts w:asciiTheme="majorHAnsi" w:hAnsiTheme="majorHAnsi" w:cstheme="majorHAnsi"/>
          <w:sz w:val="28"/>
          <w:szCs w:val="28"/>
          <w:lang w:eastAsia="ja-JP"/>
        </w:rPr>
        <w:t> </w:t>
      </w:r>
    </w:p>
    <w:p w14:paraId="3FFAAF9C" w14:textId="61BA809B" w:rsidR="00B21E12" w:rsidRPr="00B21E12" w:rsidRDefault="00B21E12" w:rsidP="00B21E12">
      <w:pPr>
        <w:rPr>
          <w:rFonts w:asciiTheme="majorHAnsi" w:hAnsiTheme="majorHAnsi" w:cstheme="majorHAnsi"/>
          <w:sz w:val="28"/>
          <w:szCs w:val="28"/>
          <w:lang w:eastAsia="ja-JP"/>
        </w:rPr>
      </w:pPr>
      <w:r w:rsidRPr="00B21E12">
        <w:rPr>
          <w:rFonts w:asciiTheme="majorHAnsi" w:hAnsiTheme="majorHAnsi" w:cstheme="majorHAnsi"/>
          <w:sz w:val="28"/>
          <w:szCs w:val="28"/>
          <w:vertAlign w:val="superscript"/>
          <w:lang w:eastAsia="ja-JP"/>
        </w:rPr>
        <w:t>4</w:t>
      </w:r>
      <w:r w:rsidRPr="00B21E12">
        <w:rPr>
          <w:rFonts w:asciiTheme="majorHAnsi" w:hAnsiTheme="majorHAnsi" w:cstheme="majorHAnsi"/>
          <w:sz w:val="28"/>
          <w:szCs w:val="28"/>
          <w:lang w:eastAsia="ja-JP"/>
        </w:rPr>
        <w:t>Kanagawa Institute of Industrial Science and Technology (KISTEC)</w:t>
      </w:r>
    </w:p>
    <w:p w14:paraId="33CD999C" w14:textId="718ACB3D" w:rsidR="00D6314B" w:rsidRDefault="00D6314B" w:rsidP="00EC3C46">
      <w:pPr>
        <w:outlineLvl w:val="0"/>
        <w:rPr>
          <w:rFonts w:eastAsia="Times New Roman" w:cstheme="minorHAnsi"/>
          <w:b/>
          <w:sz w:val="28"/>
          <w:szCs w:val="28"/>
        </w:rPr>
      </w:pPr>
    </w:p>
    <w:p w14:paraId="74A3CDA1" w14:textId="77777777" w:rsidR="00D6314B" w:rsidRPr="00B07A3B" w:rsidRDefault="00D6314B" w:rsidP="00EC3C46">
      <w:pPr>
        <w:outlineLvl w:val="0"/>
        <w:rPr>
          <w:rFonts w:eastAsia="Times New Roman" w:cstheme="minorHAnsi"/>
          <w:b/>
          <w:sz w:val="28"/>
          <w:szCs w:val="28"/>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165A4A4E" w14:textId="77777777" w:rsidR="00B21E12" w:rsidRPr="00B829D0" w:rsidRDefault="00B21E12" w:rsidP="00B21E12">
      <w:pPr>
        <w:rPr>
          <w:rFonts w:asciiTheme="majorHAnsi" w:hAnsiTheme="majorHAnsi" w:cstheme="majorHAnsi"/>
          <w:lang w:eastAsia="ja-JP"/>
        </w:rPr>
      </w:pPr>
      <w:r w:rsidRPr="00B829D0">
        <w:rPr>
          <w:rFonts w:asciiTheme="majorHAnsi" w:hAnsiTheme="majorHAnsi" w:cstheme="majorHAnsi"/>
          <w:lang w:eastAsia="ja-JP"/>
        </w:rPr>
        <w:t>Yusuke Okubo</w:t>
      </w:r>
      <w:r w:rsidRPr="00B829D0">
        <w:rPr>
          <w:rFonts w:asciiTheme="majorHAnsi" w:hAnsiTheme="majorHAnsi" w:cstheme="majorHAnsi"/>
          <w:vertAlign w:val="superscript"/>
          <w:lang w:eastAsia="ja-JP"/>
        </w:rPr>
        <w:tab/>
      </w:r>
      <w:r w:rsidRPr="00B829D0">
        <w:rPr>
          <w:rFonts w:asciiTheme="majorHAnsi" w:hAnsiTheme="majorHAnsi" w:cstheme="majorHAnsi"/>
          <w:vertAlign w:val="superscript"/>
          <w:lang w:eastAsia="ja-JP"/>
        </w:rPr>
        <w:tab/>
      </w:r>
      <w:r w:rsidRPr="00B829D0">
        <w:rPr>
          <w:rFonts w:asciiTheme="majorHAnsi" w:hAnsiTheme="majorHAnsi" w:cstheme="majorHAnsi"/>
          <w:vertAlign w:val="superscript"/>
          <w:lang w:eastAsia="ja-JP"/>
        </w:rPr>
        <w:tab/>
      </w:r>
      <w:r w:rsidRPr="00B829D0">
        <w:rPr>
          <w:rFonts w:asciiTheme="majorHAnsi" w:hAnsiTheme="majorHAnsi" w:cstheme="majorHAnsi"/>
          <w:vertAlign w:val="superscript"/>
          <w:lang w:eastAsia="ja-JP"/>
        </w:rPr>
        <w:tab/>
      </w:r>
      <w:r w:rsidRPr="00B829D0">
        <w:rPr>
          <w:rFonts w:asciiTheme="majorHAnsi" w:hAnsiTheme="majorHAnsi" w:cstheme="majorHAnsi"/>
          <w:lang w:eastAsia="ja-JP"/>
        </w:rPr>
        <w:t>okubo@nihs.go.jp</w:t>
      </w:r>
    </w:p>
    <w:p w14:paraId="20E15B2B" w14:textId="77777777" w:rsidR="00B21E12" w:rsidRPr="00B829D0" w:rsidRDefault="00B21E12" w:rsidP="00B21E12">
      <w:pPr>
        <w:rPr>
          <w:rFonts w:asciiTheme="majorHAnsi" w:hAnsiTheme="majorHAnsi" w:cstheme="majorHAnsi"/>
          <w:b/>
          <w:bCs/>
          <w:lang w:eastAsia="ja-JP"/>
        </w:rPr>
      </w:pPr>
      <w:proofErr w:type="spellStart"/>
      <w:r w:rsidRPr="00B829D0">
        <w:rPr>
          <w:rFonts w:asciiTheme="majorHAnsi" w:hAnsiTheme="majorHAnsi" w:cstheme="majorHAnsi"/>
          <w:lang w:eastAsia="ja-JP"/>
        </w:rPr>
        <w:t>Junji</w:t>
      </w:r>
      <w:proofErr w:type="spellEnd"/>
      <w:r w:rsidRPr="00B829D0">
        <w:rPr>
          <w:rFonts w:asciiTheme="majorHAnsi" w:hAnsiTheme="majorHAnsi" w:cstheme="majorHAnsi"/>
          <w:lang w:eastAsia="ja-JP"/>
        </w:rPr>
        <w:t xml:space="preserve"> Fukuda</w:t>
      </w:r>
      <w:r w:rsidRPr="00B829D0">
        <w:rPr>
          <w:rFonts w:asciiTheme="majorHAnsi" w:hAnsiTheme="majorHAnsi" w:cstheme="majorHAnsi"/>
          <w:vertAlign w:val="superscript"/>
          <w:lang w:eastAsia="ja-JP"/>
        </w:rPr>
        <w:tab/>
      </w:r>
      <w:r w:rsidRPr="00B829D0">
        <w:rPr>
          <w:rFonts w:asciiTheme="majorHAnsi" w:hAnsiTheme="majorHAnsi" w:cstheme="majorHAnsi"/>
          <w:vertAlign w:val="superscript"/>
          <w:lang w:eastAsia="ja-JP"/>
        </w:rPr>
        <w:tab/>
      </w:r>
      <w:r w:rsidRPr="00B829D0">
        <w:rPr>
          <w:rFonts w:asciiTheme="majorHAnsi" w:hAnsiTheme="majorHAnsi" w:cstheme="majorHAnsi"/>
          <w:vertAlign w:val="superscript"/>
          <w:lang w:eastAsia="ja-JP"/>
        </w:rPr>
        <w:tab/>
      </w:r>
      <w:r w:rsidRPr="00B829D0">
        <w:rPr>
          <w:rFonts w:asciiTheme="majorHAnsi" w:hAnsiTheme="majorHAnsi" w:cstheme="majorHAnsi"/>
          <w:vertAlign w:val="superscript"/>
          <w:lang w:eastAsia="ja-JP"/>
        </w:rPr>
        <w:tab/>
      </w:r>
      <w:r w:rsidRPr="00B829D0">
        <w:rPr>
          <w:rFonts w:asciiTheme="majorHAnsi" w:hAnsiTheme="majorHAnsi" w:cstheme="majorHAnsi"/>
          <w:lang w:eastAsia="ja-JP"/>
        </w:rPr>
        <w:t>fukuda@ynu.ac.jp</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36A70BD0" w14:textId="77777777" w:rsidR="00B21E12" w:rsidRPr="00B829D0" w:rsidRDefault="00B21E12" w:rsidP="00B21E12">
      <w:pPr>
        <w:rPr>
          <w:rFonts w:asciiTheme="majorHAnsi" w:hAnsiTheme="majorHAnsi" w:cstheme="majorHAnsi"/>
          <w:lang w:eastAsia="ja-JP"/>
        </w:rPr>
      </w:pPr>
      <w:r w:rsidRPr="00B829D0">
        <w:rPr>
          <w:rFonts w:asciiTheme="majorHAnsi" w:hAnsiTheme="majorHAnsi" w:cstheme="majorHAnsi"/>
          <w:lang w:eastAsia="ja-JP"/>
        </w:rPr>
        <w:t>Koki Murayama</w:t>
      </w:r>
      <w:r w:rsidRPr="00B829D0">
        <w:rPr>
          <w:rFonts w:asciiTheme="majorHAnsi" w:hAnsiTheme="majorHAnsi" w:cstheme="majorHAnsi"/>
          <w:vertAlign w:val="superscript"/>
          <w:lang w:eastAsia="ja-JP"/>
        </w:rPr>
        <w:tab/>
      </w:r>
      <w:r w:rsidRPr="00B829D0">
        <w:rPr>
          <w:rFonts w:asciiTheme="majorHAnsi" w:hAnsiTheme="majorHAnsi" w:cstheme="majorHAnsi"/>
          <w:vertAlign w:val="superscript"/>
          <w:lang w:eastAsia="ja-JP"/>
        </w:rPr>
        <w:tab/>
      </w:r>
      <w:r w:rsidRPr="00B829D0">
        <w:rPr>
          <w:rFonts w:asciiTheme="majorHAnsi" w:hAnsiTheme="majorHAnsi" w:cstheme="majorHAnsi"/>
          <w:vertAlign w:val="superscript"/>
          <w:lang w:eastAsia="ja-JP"/>
        </w:rPr>
        <w:tab/>
      </w:r>
      <w:r w:rsidRPr="00B829D0">
        <w:rPr>
          <w:rFonts w:asciiTheme="majorHAnsi" w:hAnsiTheme="majorHAnsi" w:cstheme="majorHAnsi"/>
          <w:lang w:eastAsia="ja-JP"/>
        </w:rPr>
        <w:t>murayama-koki-xg@ynu.jp</w:t>
      </w:r>
    </w:p>
    <w:p w14:paraId="417D05C0" w14:textId="77777777" w:rsidR="00B21E12" w:rsidRPr="00B829D0" w:rsidRDefault="00B21E12" w:rsidP="00B21E12">
      <w:pPr>
        <w:rPr>
          <w:rFonts w:asciiTheme="majorHAnsi" w:hAnsiTheme="majorHAnsi" w:cstheme="majorHAnsi"/>
          <w:lang w:eastAsia="ja-JP"/>
        </w:rPr>
      </w:pPr>
      <w:r w:rsidRPr="00B829D0">
        <w:rPr>
          <w:rFonts w:asciiTheme="majorHAnsi" w:hAnsiTheme="majorHAnsi" w:cstheme="majorHAnsi"/>
          <w:lang w:eastAsia="ja-JP"/>
        </w:rPr>
        <w:t>Kashu Mizota</w:t>
      </w:r>
      <w:r w:rsidRPr="00B829D0">
        <w:rPr>
          <w:rFonts w:asciiTheme="majorHAnsi" w:hAnsiTheme="majorHAnsi" w:cstheme="majorHAnsi"/>
          <w:lang w:eastAsia="ja-JP"/>
        </w:rPr>
        <w:tab/>
      </w:r>
      <w:r w:rsidRPr="00B829D0">
        <w:rPr>
          <w:rFonts w:asciiTheme="majorHAnsi" w:hAnsiTheme="majorHAnsi" w:cstheme="majorHAnsi"/>
          <w:lang w:eastAsia="ja-JP"/>
        </w:rPr>
        <w:tab/>
      </w:r>
      <w:r w:rsidRPr="00B829D0">
        <w:rPr>
          <w:rFonts w:asciiTheme="majorHAnsi" w:hAnsiTheme="majorHAnsi" w:cstheme="majorHAnsi"/>
          <w:lang w:eastAsia="ja-JP"/>
        </w:rPr>
        <w:tab/>
      </w:r>
      <w:r w:rsidRPr="00B829D0">
        <w:rPr>
          <w:rFonts w:asciiTheme="majorHAnsi" w:hAnsiTheme="majorHAnsi" w:cstheme="majorHAnsi"/>
          <w:lang w:eastAsia="ja-JP"/>
        </w:rPr>
        <w:tab/>
        <w:t>mizota-kashu-bn@ynu.ac.jp</w:t>
      </w:r>
    </w:p>
    <w:p w14:paraId="745272C2" w14:textId="77777777" w:rsidR="00B21E12" w:rsidRPr="00B829D0" w:rsidRDefault="00B21E12" w:rsidP="00B21E12">
      <w:pPr>
        <w:rPr>
          <w:rFonts w:asciiTheme="majorHAnsi" w:hAnsiTheme="majorHAnsi" w:cstheme="majorHAnsi"/>
          <w:lang w:eastAsia="ja-JP"/>
        </w:rPr>
      </w:pPr>
      <w:r w:rsidRPr="00B829D0">
        <w:rPr>
          <w:rFonts w:asciiTheme="majorHAnsi" w:hAnsiTheme="majorHAnsi" w:cstheme="majorHAnsi"/>
          <w:lang w:eastAsia="ja-JP"/>
        </w:rPr>
        <w:t>Rieko Matsuura</w:t>
      </w:r>
      <w:r w:rsidRPr="00B829D0">
        <w:rPr>
          <w:rFonts w:asciiTheme="majorHAnsi" w:hAnsiTheme="majorHAnsi" w:cstheme="majorHAnsi"/>
          <w:lang w:eastAsia="ja-JP"/>
        </w:rPr>
        <w:tab/>
      </w:r>
      <w:r w:rsidRPr="00B829D0">
        <w:rPr>
          <w:rFonts w:asciiTheme="majorHAnsi" w:hAnsiTheme="majorHAnsi" w:cstheme="majorHAnsi"/>
          <w:lang w:eastAsia="ja-JP"/>
        </w:rPr>
        <w:tab/>
      </w:r>
      <w:r w:rsidRPr="00B829D0">
        <w:rPr>
          <w:rFonts w:asciiTheme="majorHAnsi" w:hAnsiTheme="majorHAnsi" w:cstheme="majorHAnsi"/>
          <w:lang w:eastAsia="ja-JP"/>
        </w:rPr>
        <w:tab/>
        <w:t>rieko.matsuura@nihs.go.jp</w:t>
      </w:r>
    </w:p>
    <w:p w14:paraId="1A097EC8" w14:textId="77777777" w:rsidR="00B21E12" w:rsidRPr="00B829D0" w:rsidRDefault="00B21E12" w:rsidP="00B21E12">
      <w:pPr>
        <w:rPr>
          <w:rFonts w:asciiTheme="majorHAnsi" w:hAnsiTheme="majorHAnsi" w:cstheme="majorHAnsi"/>
          <w:lang w:eastAsia="ja-JP"/>
        </w:rPr>
      </w:pPr>
      <w:r w:rsidRPr="00B829D0">
        <w:rPr>
          <w:rFonts w:asciiTheme="majorHAnsi" w:hAnsiTheme="majorHAnsi" w:cstheme="majorHAnsi"/>
          <w:lang w:eastAsia="ja-JP"/>
        </w:rPr>
        <w:t>Yoshihiro Nakajima</w:t>
      </w:r>
      <w:r w:rsidRPr="00B829D0">
        <w:rPr>
          <w:rFonts w:asciiTheme="majorHAnsi" w:hAnsiTheme="majorHAnsi" w:cstheme="majorHAnsi"/>
          <w:lang w:eastAsia="ja-JP"/>
        </w:rPr>
        <w:tab/>
      </w:r>
      <w:r w:rsidRPr="00B829D0">
        <w:rPr>
          <w:rFonts w:asciiTheme="majorHAnsi" w:hAnsiTheme="majorHAnsi" w:cstheme="majorHAnsi"/>
          <w:lang w:eastAsia="ja-JP"/>
        </w:rPr>
        <w:tab/>
      </w:r>
      <w:r w:rsidRPr="00B829D0">
        <w:rPr>
          <w:rFonts w:asciiTheme="majorHAnsi" w:hAnsiTheme="majorHAnsi" w:cstheme="majorHAnsi"/>
          <w:lang w:eastAsia="ja-JP"/>
        </w:rPr>
        <w:tab/>
        <w:t>y-nakajima@aist.go.jp</w:t>
      </w:r>
    </w:p>
    <w:p w14:paraId="79516D55" w14:textId="77777777" w:rsidR="00B21E12" w:rsidRPr="00B829D0" w:rsidRDefault="00B21E12" w:rsidP="00B21E12">
      <w:pPr>
        <w:rPr>
          <w:rFonts w:asciiTheme="majorHAnsi" w:hAnsiTheme="majorHAnsi" w:cstheme="majorHAnsi"/>
          <w:lang w:eastAsia="ja-JP"/>
        </w:rPr>
      </w:pPr>
      <w:r w:rsidRPr="00B829D0">
        <w:rPr>
          <w:rFonts w:asciiTheme="majorHAnsi" w:hAnsiTheme="majorHAnsi" w:cstheme="majorHAnsi"/>
          <w:lang w:eastAsia="ja-JP"/>
        </w:rPr>
        <w:t>Atsushi Suzuki</w:t>
      </w:r>
      <w:r w:rsidRPr="00B829D0">
        <w:rPr>
          <w:rFonts w:asciiTheme="majorHAnsi" w:hAnsiTheme="majorHAnsi" w:cstheme="majorHAnsi"/>
          <w:lang w:eastAsia="ja-JP"/>
        </w:rPr>
        <w:tab/>
      </w:r>
      <w:r w:rsidRPr="00B829D0">
        <w:rPr>
          <w:rFonts w:asciiTheme="majorHAnsi" w:hAnsiTheme="majorHAnsi" w:cstheme="majorHAnsi"/>
          <w:lang w:eastAsia="ja-JP"/>
        </w:rPr>
        <w:tab/>
      </w:r>
      <w:r w:rsidRPr="00B829D0">
        <w:rPr>
          <w:rFonts w:asciiTheme="majorHAnsi" w:hAnsiTheme="majorHAnsi" w:cstheme="majorHAnsi"/>
          <w:lang w:eastAsia="ja-JP"/>
        </w:rPr>
        <w:tab/>
      </w:r>
      <w:r w:rsidRPr="00B829D0">
        <w:rPr>
          <w:rFonts w:asciiTheme="majorHAnsi" w:hAnsiTheme="majorHAnsi" w:cstheme="majorHAnsi"/>
          <w:lang w:eastAsia="ja-JP"/>
        </w:rPr>
        <w:tab/>
        <w:t>suzuki-atsushi-gz@ynu.ac.jp</w:t>
      </w:r>
    </w:p>
    <w:p w14:paraId="39D1AA8D" w14:textId="77777777" w:rsidR="009548D2" w:rsidRPr="00B829D0" w:rsidRDefault="009548D2" w:rsidP="009548D2">
      <w:pPr>
        <w:rPr>
          <w:rFonts w:asciiTheme="majorHAnsi" w:hAnsiTheme="majorHAnsi" w:cstheme="majorHAnsi"/>
          <w:lang w:eastAsia="ja-JP"/>
        </w:rPr>
      </w:pPr>
      <w:r w:rsidRPr="00B829D0">
        <w:rPr>
          <w:rFonts w:asciiTheme="majorHAnsi" w:hAnsiTheme="majorHAnsi" w:cstheme="majorHAnsi"/>
          <w:lang w:eastAsia="ja-JP"/>
        </w:rPr>
        <w:t>Yusuke Okubo</w:t>
      </w:r>
      <w:r w:rsidRPr="00B829D0">
        <w:rPr>
          <w:rFonts w:asciiTheme="majorHAnsi" w:hAnsiTheme="majorHAnsi" w:cstheme="majorHAnsi"/>
          <w:vertAlign w:val="superscript"/>
          <w:lang w:eastAsia="ja-JP"/>
        </w:rPr>
        <w:tab/>
      </w:r>
      <w:r w:rsidRPr="00B829D0">
        <w:rPr>
          <w:rFonts w:asciiTheme="majorHAnsi" w:hAnsiTheme="majorHAnsi" w:cstheme="majorHAnsi"/>
          <w:vertAlign w:val="superscript"/>
          <w:lang w:eastAsia="ja-JP"/>
        </w:rPr>
        <w:tab/>
      </w:r>
      <w:r w:rsidRPr="00B829D0">
        <w:rPr>
          <w:rFonts w:asciiTheme="majorHAnsi" w:hAnsiTheme="majorHAnsi" w:cstheme="majorHAnsi"/>
          <w:vertAlign w:val="superscript"/>
          <w:lang w:eastAsia="ja-JP"/>
        </w:rPr>
        <w:tab/>
      </w:r>
      <w:r w:rsidRPr="00B829D0">
        <w:rPr>
          <w:rFonts w:asciiTheme="majorHAnsi" w:hAnsiTheme="majorHAnsi" w:cstheme="majorHAnsi"/>
          <w:vertAlign w:val="superscript"/>
          <w:lang w:eastAsia="ja-JP"/>
        </w:rPr>
        <w:tab/>
      </w:r>
      <w:r w:rsidRPr="00B829D0">
        <w:rPr>
          <w:rFonts w:asciiTheme="majorHAnsi" w:hAnsiTheme="majorHAnsi" w:cstheme="majorHAnsi"/>
          <w:lang w:eastAsia="ja-JP"/>
        </w:rPr>
        <w:t>okubo@nihs.go.jp</w:t>
      </w:r>
    </w:p>
    <w:p w14:paraId="3B88B2A6" w14:textId="77777777" w:rsidR="009548D2" w:rsidRPr="00B829D0" w:rsidRDefault="009548D2" w:rsidP="009548D2">
      <w:pPr>
        <w:rPr>
          <w:rFonts w:asciiTheme="majorHAnsi" w:hAnsiTheme="majorHAnsi" w:cstheme="majorHAnsi"/>
          <w:b/>
          <w:bCs/>
          <w:lang w:eastAsia="ja-JP"/>
        </w:rPr>
      </w:pPr>
      <w:proofErr w:type="spellStart"/>
      <w:r w:rsidRPr="00B829D0">
        <w:rPr>
          <w:rFonts w:asciiTheme="majorHAnsi" w:hAnsiTheme="majorHAnsi" w:cstheme="majorHAnsi"/>
          <w:lang w:eastAsia="ja-JP"/>
        </w:rPr>
        <w:t>Junji</w:t>
      </w:r>
      <w:proofErr w:type="spellEnd"/>
      <w:r w:rsidRPr="00B829D0">
        <w:rPr>
          <w:rFonts w:asciiTheme="majorHAnsi" w:hAnsiTheme="majorHAnsi" w:cstheme="majorHAnsi"/>
          <w:lang w:eastAsia="ja-JP"/>
        </w:rPr>
        <w:t xml:space="preserve"> Fukuda</w:t>
      </w:r>
      <w:r w:rsidRPr="00B829D0">
        <w:rPr>
          <w:rFonts w:asciiTheme="majorHAnsi" w:hAnsiTheme="majorHAnsi" w:cstheme="majorHAnsi"/>
          <w:vertAlign w:val="superscript"/>
          <w:lang w:eastAsia="ja-JP"/>
        </w:rPr>
        <w:tab/>
      </w:r>
      <w:r w:rsidRPr="00B829D0">
        <w:rPr>
          <w:rFonts w:asciiTheme="majorHAnsi" w:hAnsiTheme="majorHAnsi" w:cstheme="majorHAnsi"/>
          <w:vertAlign w:val="superscript"/>
          <w:lang w:eastAsia="ja-JP"/>
        </w:rPr>
        <w:tab/>
      </w:r>
      <w:r w:rsidRPr="00B829D0">
        <w:rPr>
          <w:rFonts w:asciiTheme="majorHAnsi" w:hAnsiTheme="majorHAnsi" w:cstheme="majorHAnsi"/>
          <w:vertAlign w:val="superscript"/>
          <w:lang w:eastAsia="ja-JP"/>
        </w:rPr>
        <w:tab/>
      </w:r>
      <w:r w:rsidRPr="00B829D0">
        <w:rPr>
          <w:rFonts w:asciiTheme="majorHAnsi" w:hAnsiTheme="majorHAnsi" w:cstheme="majorHAnsi"/>
          <w:vertAlign w:val="superscript"/>
          <w:lang w:eastAsia="ja-JP"/>
        </w:rPr>
        <w:tab/>
      </w:r>
      <w:r w:rsidRPr="00B829D0">
        <w:rPr>
          <w:rFonts w:asciiTheme="majorHAnsi" w:hAnsiTheme="majorHAnsi" w:cstheme="majorHAnsi"/>
          <w:lang w:eastAsia="ja-JP"/>
        </w:rPr>
        <w:t>fukuda@ynu.ac.jp</w:t>
      </w:r>
    </w:p>
    <w:p w14:paraId="43DC5C4D" w14:textId="77777777" w:rsidR="00B21E12" w:rsidRPr="00B829D0" w:rsidRDefault="00B21E12" w:rsidP="00B21E12">
      <w:pPr>
        <w:rPr>
          <w:rFonts w:asciiTheme="majorHAnsi" w:hAnsiTheme="majorHAnsi" w:cstheme="majorHAnsi"/>
          <w:b/>
          <w:bCs/>
          <w:lang w:eastAsia="ja-JP"/>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1667ADCD" w14:textId="4F82BCF9" w:rsidR="005F1ADF" w:rsidRPr="00FD00B1" w:rsidRDefault="00C70C90" w:rsidP="00D642CD">
      <w:pPr>
        <w:rPr>
          <w:rFonts w:cstheme="minorHAnsi"/>
          <w:b/>
          <w:bCs/>
          <w:sz w:val="32"/>
          <w:szCs w:val="32"/>
        </w:rPr>
      </w:pPr>
      <w:r w:rsidRPr="00B07A3B">
        <w:rPr>
          <w:rFonts w:cstheme="minorHAnsi"/>
          <w:b/>
          <w:sz w:val="22"/>
          <w:szCs w:val="22"/>
        </w:rPr>
        <w:br w:type="page"/>
      </w:r>
      <w:r w:rsidR="005F1ADF" w:rsidRPr="00FD00B1">
        <w:rPr>
          <w:rFonts w:cstheme="minorHAnsi"/>
          <w:b/>
          <w:sz w:val="32"/>
          <w:szCs w:val="32"/>
        </w:rPr>
        <w:lastRenderedPageBreak/>
        <w:t>Author Questionnaire</w:t>
      </w:r>
    </w:p>
    <w:p w14:paraId="22834088" w14:textId="1D49AC2C" w:rsidR="005F1ADF" w:rsidRDefault="005F1ADF" w:rsidP="005F1ADF">
      <w:pPr>
        <w:spacing w:before="120"/>
        <w:ind w:left="216" w:hanging="216"/>
        <w:rPr>
          <w:rFonts w:eastAsia="Times New Roman" w:cstheme="minorHAnsi"/>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6967C8">
        <w:rPr>
          <w:rFonts w:cstheme="minorHAnsi" w:hint="eastAsia"/>
          <w:b/>
          <w:bCs/>
          <w:lang w:eastAsia="ja-JP"/>
        </w:rPr>
        <w:t>No</w:t>
      </w:r>
      <w:r w:rsidRPr="00B07A3B">
        <w:rPr>
          <w:rFonts w:eastAsia="Times New Roman" w:cstheme="minorHAnsi"/>
        </w:rPr>
        <w:t xml:space="preserve">  </w:t>
      </w:r>
    </w:p>
    <w:p w14:paraId="48851147" w14:textId="77777777" w:rsidR="00530B24" w:rsidRPr="00B07A3B" w:rsidRDefault="00530B24" w:rsidP="005F1ADF">
      <w:pPr>
        <w:spacing w:before="120"/>
        <w:ind w:left="216" w:hanging="216"/>
        <w:rPr>
          <w:rFonts w:eastAsia="Times New Roman" w:cstheme="minorHAnsi"/>
          <w:b/>
        </w:rPr>
      </w:pPr>
    </w:p>
    <w:p w14:paraId="4B20EAF0" w14:textId="20C82DE0"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6967C8">
        <w:rPr>
          <w:rFonts w:cstheme="minorHAnsi" w:hint="eastAsia"/>
          <w:b/>
          <w:bCs/>
          <w:lang w:eastAsia="ja-JP"/>
        </w:rPr>
        <w:t>No</w:t>
      </w:r>
    </w:p>
    <w:p w14:paraId="1C68C2BA" w14:textId="77777777" w:rsidR="005F1ADF" w:rsidRPr="00B07A3B" w:rsidRDefault="005F1ADF" w:rsidP="005F1ADF">
      <w:pPr>
        <w:spacing w:before="120"/>
        <w:rPr>
          <w:rFonts w:eastAsia="Times New Roman" w:cstheme="minorHAnsi"/>
          <w:b/>
        </w:rPr>
      </w:pPr>
    </w:p>
    <w:p w14:paraId="7A03162F" w14:textId="304A8523"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6967C8">
        <w:rPr>
          <w:rFonts w:cstheme="minorHAnsi" w:hint="eastAsia"/>
          <w:b/>
          <w:bCs/>
          <w:lang w:eastAsia="ja-JP"/>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79996DDF"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250BD0">
        <w:rPr>
          <w:rFonts w:cstheme="minorHAnsi"/>
          <w:bCs/>
          <w:sz w:val="22"/>
          <w:szCs w:val="22"/>
        </w:rPr>
        <w:t>16</w:t>
      </w:r>
      <w:proofErr w:type="gramEnd"/>
    </w:p>
    <w:p w14:paraId="5AAC9C6C" w14:textId="5CF834E7"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250BD0">
        <w:rPr>
          <w:rFonts w:cstheme="minorHAnsi"/>
          <w:bCs/>
          <w:sz w:val="22"/>
          <w:szCs w:val="22"/>
        </w:rPr>
        <w:t>27</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51BB1B8B" w:rsidR="00D7547B" w:rsidRPr="00AF3977" w:rsidRDefault="00D7547B" w:rsidP="007D61A8">
      <w:pPr>
        <w:rPr>
          <w:rFonts w:eastAsia="Times New Roman" w:cstheme="minorHAnsi"/>
          <w:b/>
        </w:rPr>
      </w:pPr>
    </w:p>
    <w:p w14:paraId="16F3E485" w14:textId="21333F13" w:rsidR="007D61A8" w:rsidRPr="009470DC" w:rsidRDefault="007D61A8" w:rsidP="007D61A8">
      <w:pPr>
        <w:rPr>
          <w:rFonts w:cstheme="minorHAnsi"/>
          <w:b/>
          <w:bCs/>
          <w:color w:val="auto"/>
          <w:shd w:val="clear" w:color="auto" w:fill="FFFFFF"/>
        </w:rPr>
      </w:pPr>
      <w:r w:rsidRPr="009470DC">
        <w:rPr>
          <w:rFonts w:eastAsia="Times New Roman" w:cstheme="minorHAnsi"/>
          <w:color w:val="auto"/>
          <w:sz w:val="28"/>
          <w:szCs w:val="28"/>
        </w:rPr>
        <w:t xml:space="preserve"> </w:t>
      </w:r>
    </w:p>
    <w:p w14:paraId="25928288" w14:textId="0FC2D7DD" w:rsidR="007D61A8" w:rsidRPr="00874E3E" w:rsidRDefault="00256A79" w:rsidP="00B807E5">
      <w:pPr>
        <w:pStyle w:val="ListParagraph"/>
        <w:numPr>
          <w:ilvl w:val="1"/>
          <w:numId w:val="3"/>
        </w:numPr>
        <w:spacing w:before="120"/>
        <w:contextualSpacing w:val="0"/>
        <w:rPr>
          <w:rFonts w:eastAsia="Times New Roman" w:cstheme="minorHAnsi"/>
        </w:rPr>
      </w:pPr>
      <w:r>
        <w:rPr>
          <w:rStyle w:val="AuthorName"/>
          <w:rFonts w:asciiTheme="minorHAnsi" w:eastAsiaTheme="minorEastAsia" w:hAnsiTheme="minorHAnsi" w:cstheme="minorHAnsi" w:hint="eastAsia"/>
          <w:lang w:eastAsia="ja-JP"/>
        </w:rPr>
        <w:t>Koki Murayama</w:t>
      </w:r>
      <w:r w:rsidR="00927B12">
        <w:rPr>
          <w:rStyle w:val="AuthorName"/>
          <w:rFonts w:asciiTheme="minorHAnsi" w:eastAsia="Times" w:hAnsiTheme="minorHAnsi" w:cstheme="minorHAnsi"/>
        </w:rPr>
        <w:t>:</w:t>
      </w:r>
      <w:r w:rsidR="005A33C6" w:rsidRPr="005A33C6">
        <w:rPr>
          <w:rFonts w:cstheme="minorHAnsi"/>
        </w:rPr>
        <w:t xml:space="preserve"> </w:t>
      </w:r>
      <w:r w:rsidR="00157866">
        <w:rPr>
          <w:rFonts w:cstheme="minorHAnsi"/>
        </w:rPr>
        <w:t>T</w:t>
      </w:r>
      <w:r w:rsidR="00157866" w:rsidRPr="00157866">
        <w:rPr>
          <w:rFonts w:cstheme="minorHAnsi"/>
        </w:rPr>
        <w:t>his study explores an alternative to animal testing that employs cultured cells to assess chemical toxicity. The central question is whether disruptions in signaling pathways of human induced pluripotent stem (</w:t>
      </w:r>
      <w:proofErr w:type="spellStart"/>
      <w:r w:rsidR="00157866" w:rsidRPr="00157866">
        <w:rPr>
          <w:rFonts w:cstheme="minorHAnsi"/>
        </w:rPr>
        <w:t>iPS</w:t>
      </w:r>
      <w:proofErr w:type="spellEnd"/>
      <w:r w:rsidR="00157866" w:rsidRPr="00157866">
        <w:rPr>
          <w:rFonts w:cstheme="minorHAnsi"/>
        </w:rPr>
        <w:t>) cells can serve as reliable indicators of developmental toxicity.</w:t>
      </w:r>
      <w:r w:rsidR="00157866">
        <w:rPr>
          <w:rFonts w:cstheme="minorHAnsi"/>
        </w:rPr>
        <w:t xml:space="preserve"> </w:t>
      </w:r>
    </w:p>
    <w:p w14:paraId="6427832E" w14:textId="553E5739" w:rsidR="00874E3E" w:rsidRPr="00F6520B" w:rsidRDefault="00874E3E" w:rsidP="00874E3E">
      <w:pPr>
        <w:pStyle w:val="ListParagraph"/>
        <w:numPr>
          <w:ilvl w:val="2"/>
          <w:numId w:val="3"/>
        </w:numPr>
        <w:spacing w:before="120"/>
        <w:contextualSpacing w:val="0"/>
        <w:rPr>
          <w:rFonts w:eastAsia="Times New Roman" w:cstheme="minorHAnsi"/>
        </w:rPr>
      </w:pPr>
      <w:r w:rsidRPr="00F6520B">
        <w:rPr>
          <w:rStyle w:val="AuthorName"/>
          <w:rFonts w:asciiTheme="minorHAnsi" w:eastAsia="Times" w:hAnsiTheme="minorHAnsi" w:cstheme="minorHAnsi"/>
          <w:b w:val="0"/>
          <w:bCs/>
          <w:u w:val="none"/>
        </w:rPr>
        <w:t xml:space="preserve">INTERVIEW: </w:t>
      </w:r>
      <w:r w:rsidRPr="00F6520B">
        <w:rPr>
          <w:rFonts w:cs="Calibri"/>
          <w:bCs/>
        </w:rPr>
        <w:t>Named talent says the statement above in an interview-style shot, looking slightly off-camera.</w:t>
      </w:r>
      <w:r w:rsidR="00D642CD">
        <w:rPr>
          <w:rFonts w:cs="Calibri"/>
          <w:bCs/>
        </w:rPr>
        <w:t xml:space="preserve"> </w:t>
      </w:r>
      <w:r w:rsidR="00D642CD" w:rsidRPr="00D642CD">
        <w:rPr>
          <w:rFonts w:cs="Calibri"/>
          <w:bCs/>
          <w:i/>
          <w:iCs/>
          <w:color w:val="0070C0"/>
        </w:rPr>
        <w:t>Suggested B-roll: figure 1</w:t>
      </w:r>
    </w:p>
    <w:p w14:paraId="5ECBC6E0" w14:textId="77777777" w:rsidR="00874E3E" w:rsidRPr="00B07A3B" w:rsidRDefault="00874E3E" w:rsidP="00874E3E">
      <w:pPr>
        <w:pStyle w:val="ListParagraph"/>
        <w:spacing w:before="120"/>
        <w:ind w:left="907"/>
        <w:contextualSpacing w:val="0"/>
        <w:rPr>
          <w:rFonts w:eastAsia="Times New Roman" w:cstheme="minorHAnsi"/>
        </w:rPr>
      </w:pPr>
    </w:p>
    <w:p w14:paraId="00A66870" w14:textId="77777777" w:rsidR="007D61A8" w:rsidRPr="00A70AD6" w:rsidRDefault="007D61A8" w:rsidP="007D61A8">
      <w:pPr>
        <w:rPr>
          <w:rFonts w:eastAsia="Times New Roman" w:cstheme="minorHAnsi"/>
          <w:b/>
          <w:bCs/>
          <w:strike/>
        </w:rPr>
      </w:pPr>
    </w:p>
    <w:p w14:paraId="0B0139AD" w14:textId="59E7D118" w:rsidR="007D61A8" w:rsidRPr="00A70AD6" w:rsidRDefault="00D75084" w:rsidP="007D61A8">
      <w:pPr>
        <w:rPr>
          <w:rFonts w:eastAsia="Times New Roman" w:cstheme="minorHAnsi"/>
          <w:strike/>
        </w:rPr>
      </w:pPr>
      <w:r w:rsidRPr="00A70AD6">
        <w:rPr>
          <w:rFonts w:cstheme="minorHAnsi"/>
          <w:strike/>
          <w:color w:val="000000"/>
          <w:shd w:val="clear" w:color="auto" w:fill="FFFFFF"/>
        </w:rPr>
        <w:t>What are the most recent developments in your field of research?</w:t>
      </w:r>
    </w:p>
    <w:p w14:paraId="490E6309" w14:textId="1C5FF794" w:rsidR="007D61A8" w:rsidRPr="00A70AD6" w:rsidRDefault="00000000" w:rsidP="00D75084">
      <w:pPr>
        <w:pStyle w:val="ListParagraph"/>
        <w:numPr>
          <w:ilvl w:val="1"/>
          <w:numId w:val="3"/>
        </w:numPr>
        <w:spacing w:before="120" w:after="240"/>
        <w:contextualSpacing w:val="0"/>
        <w:rPr>
          <w:rFonts w:eastAsia="Times New Roman" w:cstheme="minorHAnsi"/>
          <w:strike/>
        </w:rPr>
      </w:pPr>
      <w:sdt>
        <w:sdtPr>
          <w:rPr>
            <w:rStyle w:val="AuthorName"/>
            <w:rFonts w:asciiTheme="minorHAnsi" w:eastAsia="Times" w:hAnsiTheme="minorHAnsi" w:cstheme="minorHAnsi"/>
            <w:strike/>
          </w:rPr>
          <w:id w:val="1275596961"/>
          <w:placeholder>
            <w:docPart w:val="CC26871413AF9243AF4034C5BA7F3A38"/>
          </w:placeholder>
          <w:temporary/>
          <w:showingPlcHdr/>
          <w:text/>
        </w:sdtPr>
        <w:sdtEndPr>
          <w:rPr>
            <w:rStyle w:val="DefaultParagraphFont"/>
            <w:rFonts w:eastAsiaTheme="minorEastAsia"/>
            <w:b w:val="0"/>
            <w:u w:val="none"/>
          </w:rPr>
        </w:sdtEndPr>
        <w:sdtContent>
          <w:r w:rsidR="007D61A8" w:rsidRPr="00A70AD6">
            <w:rPr>
              <w:rFonts w:eastAsia="Times New Roman" w:cstheme="minorHAnsi"/>
              <w:strike/>
              <w:color w:val="808080"/>
              <w:shd w:val="clear" w:color="auto" w:fill="FFFF00"/>
            </w:rPr>
            <w:t>Enter author name</w:t>
          </w:r>
        </w:sdtContent>
      </w:sdt>
      <w:r w:rsidR="007D61A8" w:rsidRPr="00A70AD6">
        <w:rPr>
          <w:rFonts w:eastAsia="Times New Roman" w:cstheme="minorHAnsi"/>
          <w:b/>
          <w:bCs/>
          <w:strike/>
          <w:u w:val="single"/>
        </w:rPr>
        <w:t>:</w:t>
      </w:r>
      <w:r w:rsidR="007D61A8" w:rsidRPr="00A70AD6">
        <w:rPr>
          <w:rFonts w:eastAsia="Times New Roman" w:cstheme="minorHAnsi"/>
          <w:strike/>
        </w:rPr>
        <w:t xml:space="preserve"> </w:t>
      </w:r>
      <w:r w:rsidR="006967C8" w:rsidRPr="00A70AD6">
        <w:rPr>
          <w:rFonts w:cstheme="minorHAnsi"/>
          <w:strike/>
          <w:lang w:eastAsia="ja-JP"/>
        </w:rPr>
        <w:t xml:space="preserve">Most recently, two approaches using human pluripotent stem cells have </w:t>
      </w:r>
      <w:r w:rsidR="00D642CD" w:rsidRPr="00A70AD6">
        <w:rPr>
          <w:rFonts w:cstheme="minorHAnsi"/>
          <w:strike/>
          <w:lang w:eastAsia="ja-JP"/>
        </w:rPr>
        <w:t xml:space="preserve">been </w:t>
      </w:r>
      <w:r w:rsidR="006967C8" w:rsidRPr="00A70AD6">
        <w:rPr>
          <w:rFonts w:cstheme="minorHAnsi"/>
          <w:strike/>
          <w:lang w:eastAsia="ja-JP"/>
        </w:rPr>
        <w:t>reported for an in vitro developmental toxicity assay; one is based on changes in ornithine and cystine and the other is based on differentiation into tissue-specific cells</w:t>
      </w:r>
      <w:r w:rsidR="00874E3E" w:rsidRPr="00A70AD6">
        <w:rPr>
          <w:rFonts w:cstheme="minorHAnsi"/>
          <w:strike/>
          <w:lang w:eastAsia="ja-JP"/>
        </w:rPr>
        <w:t>.</w:t>
      </w:r>
    </w:p>
    <w:p w14:paraId="3364F1AE" w14:textId="77777777" w:rsidR="00874E3E" w:rsidRPr="00A70AD6" w:rsidRDefault="00874E3E" w:rsidP="00874E3E">
      <w:pPr>
        <w:pStyle w:val="ListParagraph"/>
        <w:numPr>
          <w:ilvl w:val="2"/>
          <w:numId w:val="3"/>
        </w:numPr>
        <w:spacing w:before="120"/>
        <w:contextualSpacing w:val="0"/>
        <w:rPr>
          <w:rFonts w:eastAsia="Times New Roman" w:cstheme="minorHAnsi"/>
          <w:strike/>
        </w:rPr>
      </w:pPr>
      <w:r w:rsidRPr="00A70AD6">
        <w:rPr>
          <w:rStyle w:val="AuthorName"/>
          <w:rFonts w:asciiTheme="minorHAnsi" w:eastAsia="Times" w:hAnsiTheme="minorHAnsi" w:cstheme="minorHAnsi"/>
          <w:b w:val="0"/>
          <w:bCs/>
          <w:strike/>
          <w:u w:val="none"/>
        </w:rPr>
        <w:t xml:space="preserve">INTERVIEW: </w:t>
      </w:r>
      <w:r w:rsidRPr="00A70AD6">
        <w:rPr>
          <w:rFonts w:cs="Calibri"/>
          <w:bCs/>
          <w:strike/>
        </w:rPr>
        <w:t>Named talent says the statement above in an interview-style shot, looking slightly off-camera.</w:t>
      </w:r>
    </w:p>
    <w:p w14:paraId="1D177075" w14:textId="77777777" w:rsidR="00874E3E" w:rsidRPr="00D75084" w:rsidRDefault="00874E3E" w:rsidP="00874E3E">
      <w:pPr>
        <w:pStyle w:val="ListParagraph"/>
        <w:spacing w:before="120" w:after="240"/>
        <w:ind w:left="907"/>
        <w:contextualSpacing w:val="0"/>
        <w:rPr>
          <w:rFonts w:eastAsia="Times New Roman" w:cstheme="minorHAnsi"/>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2415FD1D" w:rsidR="00333FA4" w:rsidRPr="00874E3E" w:rsidRDefault="00256A79" w:rsidP="00333FA4">
      <w:pPr>
        <w:pStyle w:val="ListParagraph"/>
        <w:numPr>
          <w:ilvl w:val="1"/>
          <w:numId w:val="3"/>
        </w:numPr>
        <w:spacing w:before="120"/>
        <w:contextualSpacing w:val="0"/>
        <w:rPr>
          <w:rFonts w:eastAsia="Times New Roman" w:cstheme="minorHAnsi"/>
        </w:rPr>
      </w:pPr>
      <w:r>
        <w:rPr>
          <w:rStyle w:val="AuthorName"/>
          <w:rFonts w:asciiTheme="minorHAnsi" w:eastAsiaTheme="minorEastAsia" w:hAnsiTheme="minorHAnsi" w:cstheme="minorHAnsi" w:hint="eastAsia"/>
          <w:lang w:eastAsia="ja-JP"/>
        </w:rPr>
        <w:t>Koki Murayama</w:t>
      </w:r>
      <w:r w:rsidR="00333FA4" w:rsidRPr="00B07A3B">
        <w:rPr>
          <w:rFonts w:eastAsia="Times New Roman" w:cstheme="minorHAnsi"/>
          <w:b/>
          <w:bCs/>
          <w:u w:val="single"/>
        </w:rPr>
        <w:t>:</w:t>
      </w:r>
      <w:r w:rsidR="00333FA4" w:rsidRPr="00B07A3B">
        <w:rPr>
          <w:rFonts w:eastAsia="Times New Roman" w:cstheme="minorHAnsi"/>
        </w:rPr>
        <w:t xml:space="preserve"> </w:t>
      </w:r>
      <w:r w:rsidR="006967C8" w:rsidRPr="00C043C1">
        <w:t xml:space="preserve">We found that regardless of their mechanism, </w:t>
      </w:r>
      <w:r w:rsidR="006967C8">
        <w:rPr>
          <w:rFonts w:hint="eastAsia"/>
          <w:lang w:eastAsia="ja-JP"/>
        </w:rPr>
        <w:t xml:space="preserve">developmental toxicants </w:t>
      </w:r>
      <w:r w:rsidR="006967C8" w:rsidRPr="00C043C1">
        <w:t>disrupt signaling pathways, and their temporal sum serves as an indicator.</w:t>
      </w:r>
    </w:p>
    <w:p w14:paraId="4DF8F898" w14:textId="77777777" w:rsidR="00874E3E" w:rsidRPr="00F6520B" w:rsidRDefault="00874E3E" w:rsidP="00874E3E">
      <w:pPr>
        <w:pStyle w:val="ListParagraph"/>
        <w:numPr>
          <w:ilvl w:val="2"/>
          <w:numId w:val="3"/>
        </w:numPr>
        <w:spacing w:before="120"/>
        <w:contextualSpacing w:val="0"/>
        <w:rPr>
          <w:rFonts w:eastAsia="Times New Roman" w:cstheme="minorHAnsi"/>
        </w:rPr>
      </w:pPr>
      <w:r w:rsidRPr="00F6520B">
        <w:rPr>
          <w:rStyle w:val="AuthorName"/>
          <w:rFonts w:asciiTheme="minorHAnsi" w:eastAsia="Times" w:hAnsiTheme="minorHAnsi" w:cstheme="minorHAnsi"/>
          <w:b w:val="0"/>
          <w:bCs/>
          <w:u w:val="none"/>
        </w:rPr>
        <w:t xml:space="preserve">INTERVIEW: </w:t>
      </w:r>
      <w:r w:rsidRPr="00F6520B">
        <w:rPr>
          <w:rFonts w:cs="Calibri"/>
          <w:bCs/>
        </w:rPr>
        <w:t>Named talent says the statement above in an interview-style shot, looking slightly off-camera.</w:t>
      </w:r>
    </w:p>
    <w:p w14:paraId="6C6DDE60" w14:textId="77777777" w:rsidR="00874E3E" w:rsidRPr="00B07A3B" w:rsidRDefault="00874E3E" w:rsidP="00874E3E">
      <w:pPr>
        <w:pStyle w:val="ListParagraph"/>
        <w:spacing w:before="120"/>
        <w:ind w:left="907"/>
        <w:contextualSpacing w:val="0"/>
        <w:rPr>
          <w:rFonts w:eastAsia="Times New Roman" w:cstheme="minorHAnsi"/>
        </w:rPr>
      </w:pPr>
    </w:p>
    <w:p w14:paraId="524AC04E" w14:textId="77777777" w:rsidR="007D61A8" w:rsidRPr="00B07A3B" w:rsidRDefault="007D61A8" w:rsidP="007D61A8">
      <w:pPr>
        <w:rPr>
          <w:rFonts w:eastAsia="Times New Roman" w:cstheme="minorHAnsi"/>
          <w:b/>
          <w:bCs/>
        </w:rPr>
      </w:pP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8B8BD3D" w:rsidR="00D75084" w:rsidRPr="00874E3E" w:rsidRDefault="00256A79" w:rsidP="00333FA4">
      <w:pPr>
        <w:pStyle w:val="ListParagraph"/>
        <w:numPr>
          <w:ilvl w:val="1"/>
          <w:numId w:val="3"/>
        </w:numPr>
        <w:spacing w:before="120"/>
        <w:contextualSpacing w:val="0"/>
        <w:rPr>
          <w:rFonts w:eastAsia="Times New Roman" w:cstheme="minorHAnsi"/>
        </w:rPr>
      </w:pPr>
      <w:r>
        <w:rPr>
          <w:rStyle w:val="AuthorName"/>
          <w:rFonts w:asciiTheme="minorHAnsi" w:eastAsiaTheme="minorEastAsia" w:hAnsiTheme="minorHAnsi" w:cstheme="minorHAnsi" w:hint="eastAsia"/>
          <w:lang w:eastAsia="ja-JP"/>
        </w:rPr>
        <w:t>Koki Murayama</w:t>
      </w:r>
      <w:r w:rsidR="00D75084" w:rsidRPr="00B07A3B">
        <w:rPr>
          <w:rFonts w:eastAsia="Times New Roman" w:cstheme="minorHAnsi"/>
          <w:b/>
          <w:bCs/>
          <w:u w:val="single"/>
        </w:rPr>
        <w:t>:</w:t>
      </w:r>
      <w:r w:rsidR="00D75084" w:rsidRPr="00B07A3B">
        <w:rPr>
          <w:rFonts w:eastAsia="Times New Roman" w:cstheme="minorHAnsi"/>
        </w:rPr>
        <w:t xml:space="preserve"> </w:t>
      </w:r>
      <w:r w:rsidR="00DB62E5">
        <w:t>This iPSC-based assay enables comprehensive evaluation of developmental toxicants, with high accuracy and throughput, and without the use of animals.</w:t>
      </w:r>
    </w:p>
    <w:p w14:paraId="63DC06D4" w14:textId="05A57248" w:rsidR="00874E3E" w:rsidRPr="00F6520B" w:rsidRDefault="00874E3E" w:rsidP="00874E3E">
      <w:pPr>
        <w:pStyle w:val="ListParagraph"/>
        <w:numPr>
          <w:ilvl w:val="2"/>
          <w:numId w:val="3"/>
        </w:numPr>
        <w:spacing w:before="120"/>
        <w:contextualSpacing w:val="0"/>
        <w:rPr>
          <w:rFonts w:eastAsia="Times New Roman" w:cstheme="minorHAnsi"/>
        </w:rPr>
      </w:pPr>
      <w:r w:rsidRPr="00F6520B">
        <w:rPr>
          <w:rStyle w:val="AuthorName"/>
          <w:rFonts w:asciiTheme="minorHAnsi" w:eastAsia="Times" w:hAnsiTheme="minorHAnsi" w:cstheme="minorHAnsi"/>
          <w:b w:val="0"/>
          <w:bCs/>
          <w:u w:val="none"/>
        </w:rPr>
        <w:lastRenderedPageBreak/>
        <w:t xml:space="preserve">INTERVIEW: </w:t>
      </w:r>
      <w:r w:rsidRPr="00F6520B">
        <w:rPr>
          <w:rFonts w:cs="Calibri"/>
          <w:bCs/>
        </w:rPr>
        <w:t>Named talent says the statement above in an interview-style shot, looking slightly off-camera.</w:t>
      </w:r>
      <w:r w:rsidR="00D642CD">
        <w:rPr>
          <w:rFonts w:cs="Calibri"/>
          <w:bCs/>
        </w:rPr>
        <w:t xml:space="preserve"> </w:t>
      </w:r>
      <w:r w:rsidR="00D642CD" w:rsidRPr="00D642CD">
        <w:rPr>
          <w:rFonts w:cs="Calibri"/>
          <w:bCs/>
          <w:i/>
          <w:iCs/>
          <w:color w:val="0070C0"/>
        </w:rPr>
        <w:t>Suggested B roll: 3.4</w:t>
      </w:r>
    </w:p>
    <w:p w14:paraId="4FFACECA" w14:textId="77777777" w:rsidR="00874E3E" w:rsidRPr="00D75084" w:rsidRDefault="00874E3E" w:rsidP="00874E3E">
      <w:pPr>
        <w:pStyle w:val="ListParagraph"/>
        <w:spacing w:before="120"/>
        <w:ind w:left="907"/>
        <w:contextualSpacing w:val="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Pr="00A70AD6" w:rsidRDefault="00A13CC3" w:rsidP="00FF25E5">
      <w:pPr>
        <w:contextualSpacing/>
        <w:outlineLvl w:val="0"/>
        <w:rPr>
          <w:rFonts w:eastAsia="Times New Roman" w:cstheme="minorHAnsi"/>
          <w:b/>
          <w:strike/>
        </w:rPr>
      </w:pPr>
      <w:r>
        <w:rPr>
          <w:rFonts w:cstheme="minorHAnsi"/>
          <w:b/>
          <w:i/>
          <w:color w:val="0000FF"/>
        </w:rPr>
        <w:br w:type="page"/>
      </w:r>
      <w:r w:rsidR="00FF25E5" w:rsidRPr="00A70AD6">
        <w:rPr>
          <w:rFonts w:eastAsia="Times New Roman" w:cstheme="minorHAnsi"/>
          <w:b/>
          <w:strike/>
        </w:rPr>
        <w:lastRenderedPageBreak/>
        <w:t xml:space="preserve">Testimonial Questions (OPTIONAL): </w:t>
      </w:r>
    </w:p>
    <w:p w14:paraId="4075400C" w14:textId="77777777" w:rsidR="00FF25E5" w:rsidRPr="00A70AD6" w:rsidRDefault="00FF25E5" w:rsidP="00FF25E5">
      <w:pPr>
        <w:contextualSpacing/>
        <w:outlineLvl w:val="0"/>
        <w:rPr>
          <w:rFonts w:eastAsia="Times New Roman" w:cstheme="minorHAnsi"/>
          <w:b/>
          <w:strike/>
        </w:rPr>
      </w:pPr>
    </w:p>
    <w:p w14:paraId="3A119A01" w14:textId="5F05B8DF" w:rsidR="00FF25E5" w:rsidRPr="00A70AD6" w:rsidRDefault="00806BC9" w:rsidP="00FF25E5">
      <w:pPr>
        <w:spacing w:before="120"/>
        <w:rPr>
          <w:rFonts w:eastAsia="Times New Roman" w:cstheme="minorHAnsi"/>
          <w:strike/>
        </w:rPr>
      </w:pPr>
      <w:r w:rsidRPr="00A70AD6">
        <w:rPr>
          <w:rFonts w:cstheme="minorHAnsi"/>
          <w:strike/>
          <w:color w:val="000000"/>
          <w:shd w:val="clear" w:color="auto" w:fill="FFFFFF"/>
        </w:rPr>
        <w:t>How do you think publishing with JoVE will enhance the visibility and impact of your research?</w:t>
      </w:r>
    </w:p>
    <w:p w14:paraId="504DFC2B" w14:textId="3B81002D" w:rsidR="00FF25E5" w:rsidRPr="00A70AD6" w:rsidRDefault="00000000" w:rsidP="00FF25E5">
      <w:pPr>
        <w:pStyle w:val="ListParagraph"/>
        <w:numPr>
          <w:ilvl w:val="1"/>
          <w:numId w:val="3"/>
        </w:numPr>
        <w:spacing w:before="120"/>
        <w:contextualSpacing w:val="0"/>
        <w:rPr>
          <w:rFonts w:eastAsia="Times New Roman" w:cstheme="minorHAnsi"/>
          <w:strike/>
        </w:rPr>
      </w:pPr>
      <w:sdt>
        <w:sdtPr>
          <w:rPr>
            <w:rStyle w:val="AuthorName"/>
            <w:rFonts w:asciiTheme="minorHAnsi" w:eastAsia="Times" w:hAnsiTheme="minorHAnsi" w:cstheme="minorHAnsi"/>
            <w:strike/>
          </w:rPr>
          <w:id w:val="27460408"/>
          <w:placeholder>
            <w:docPart w:val="03FB08F915BF433A8C4EE8448B185C62"/>
          </w:placeholder>
          <w:temporary/>
          <w:showingPlcHdr/>
          <w:text/>
        </w:sdtPr>
        <w:sdtEndPr>
          <w:rPr>
            <w:rStyle w:val="DefaultParagraphFont"/>
            <w:rFonts w:eastAsiaTheme="minorEastAsia"/>
            <w:b w:val="0"/>
            <w:u w:val="none"/>
          </w:rPr>
        </w:sdtEndPr>
        <w:sdtContent>
          <w:r w:rsidR="00FF25E5" w:rsidRPr="00A70AD6">
            <w:rPr>
              <w:rFonts w:eastAsia="Times New Roman" w:cstheme="minorHAnsi"/>
              <w:strike/>
              <w:color w:val="808080"/>
              <w:shd w:val="clear" w:color="auto" w:fill="FFFF00"/>
            </w:rPr>
            <w:t>Enter author name</w:t>
          </w:r>
        </w:sdtContent>
      </w:sdt>
      <w:r w:rsidR="00FF25E5" w:rsidRPr="00A70AD6">
        <w:rPr>
          <w:rFonts w:eastAsia="Times New Roman" w:cstheme="minorHAnsi"/>
          <w:b/>
          <w:bCs/>
          <w:strike/>
          <w:u w:val="single"/>
        </w:rPr>
        <w:t>:</w:t>
      </w:r>
      <w:r w:rsidR="00FF25E5" w:rsidRPr="00A70AD6">
        <w:rPr>
          <w:rFonts w:eastAsia="Times New Roman" w:cstheme="minorHAnsi"/>
          <w:strike/>
        </w:rPr>
        <w:t xml:space="preserve"> </w:t>
      </w:r>
    </w:p>
    <w:p w14:paraId="1F6A5092" w14:textId="77777777" w:rsidR="00157866" w:rsidRPr="00A70AD6" w:rsidRDefault="00157866" w:rsidP="00157866">
      <w:pPr>
        <w:pStyle w:val="ListParagraph"/>
        <w:numPr>
          <w:ilvl w:val="2"/>
          <w:numId w:val="3"/>
        </w:numPr>
        <w:spacing w:before="120"/>
        <w:contextualSpacing w:val="0"/>
        <w:rPr>
          <w:rFonts w:eastAsia="Times New Roman" w:cstheme="minorHAnsi"/>
          <w:strike/>
        </w:rPr>
      </w:pPr>
      <w:r w:rsidRPr="00A70AD6">
        <w:rPr>
          <w:rStyle w:val="AuthorName"/>
          <w:rFonts w:asciiTheme="minorHAnsi" w:eastAsia="Times" w:hAnsiTheme="minorHAnsi" w:cstheme="minorHAnsi"/>
          <w:b w:val="0"/>
          <w:bCs/>
          <w:strike/>
          <w:u w:val="none"/>
        </w:rPr>
        <w:t xml:space="preserve">INTERVIEW: </w:t>
      </w:r>
      <w:r w:rsidRPr="00A70AD6">
        <w:rPr>
          <w:rFonts w:cs="Calibri"/>
          <w:bCs/>
          <w:strike/>
        </w:rPr>
        <w:t>Named talent says the statement above in an interview-style shot, looking slightly off-camera.</w:t>
      </w:r>
    </w:p>
    <w:p w14:paraId="5DE7C480" w14:textId="77777777" w:rsidR="00157866" w:rsidRPr="00A70AD6" w:rsidRDefault="00157866" w:rsidP="00157866">
      <w:pPr>
        <w:pStyle w:val="ListParagraph"/>
        <w:spacing w:before="120"/>
        <w:ind w:left="907"/>
        <w:contextualSpacing w:val="0"/>
        <w:rPr>
          <w:rFonts w:eastAsia="Times New Roman" w:cstheme="minorHAnsi"/>
          <w:strike/>
        </w:rPr>
      </w:pPr>
    </w:p>
    <w:p w14:paraId="438AC42F" w14:textId="77777777" w:rsidR="00157866" w:rsidRPr="00A70AD6" w:rsidRDefault="00157866" w:rsidP="00157866">
      <w:pPr>
        <w:pStyle w:val="ListParagraph"/>
        <w:spacing w:before="120"/>
        <w:ind w:left="907"/>
        <w:contextualSpacing w:val="0"/>
        <w:rPr>
          <w:rFonts w:eastAsia="Times New Roman" w:cstheme="minorHAnsi"/>
          <w:strike/>
        </w:rPr>
      </w:pPr>
    </w:p>
    <w:p w14:paraId="5ACFD55C" w14:textId="15B637A6" w:rsidR="00FF25E5" w:rsidRPr="00A70AD6" w:rsidRDefault="00464DE1" w:rsidP="00FF25E5">
      <w:pPr>
        <w:spacing w:before="120"/>
        <w:rPr>
          <w:rFonts w:eastAsia="Times New Roman" w:cstheme="minorHAnsi"/>
          <w:strike/>
        </w:rPr>
      </w:pPr>
      <w:r w:rsidRPr="00A70AD6">
        <w:rPr>
          <w:rFonts w:cstheme="minorHAnsi"/>
          <w:strike/>
          <w:color w:val="000000"/>
          <w:shd w:val="clear" w:color="auto" w:fill="FFFFFF"/>
        </w:rPr>
        <w:t>Can you share a specific success story or benefit you’ve experienced—or expect to experience—after using or publishing with JoVE? (This could include increased collaborations, citations, funding opportunities, streamlined lab procedures, reduced training time, cost savings in the lab, or improved lab productivity.)</w:t>
      </w:r>
    </w:p>
    <w:p w14:paraId="72391F28" w14:textId="6059B881" w:rsidR="00FF25E5" w:rsidRPr="00A70AD6" w:rsidRDefault="00000000" w:rsidP="00FF25E5">
      <w:pPr>
        <w:pStyle w:val="ListParagraph"/>
        <w:numPr>
          <w:ilvl w:val="1"/>
          <w:numId w:val="3"/>
        </w:numPr>
        <w:spacing w:before="120"/>
        <w:contextualSpacing w:val="0"/>
        <w:rPr>
          <w:rFonts w:eastAsia="Times New Roman" w:cstheme="minorHAnsi"/>
          <w:strike/>
        </w:rPr>
      </w:pPr>
      <w:sdt>
        <w:sdtPr>
          <w:rPr>
            <w:rStyle w:val="AuthorName"/>
            <w:rFonts w:asciiTheme="minorHAnsi" w:eastAsia="Times" w:hAnsiTheme="minorHAnsi" w:cstheme="minorHAnsi"/>
            <w:strike/>
          </w:rPr>
          <w:id w:val="-1522235041"/>
          <w:placeholder>
            <w:docPart w:val="C3C3BAC10F5C4E67824D0F9D0592E775"/>
          </w:placeholder>
          <w:temporary/>
          <w:showingPlcHdr/>
          <w:text/>
        </w:sdtPr>
        <w:sdtEndPr>
          <w:rPr>
            <w:rStyle w:val="DefaultParagraphFont"/>
            <w:rFonts w:eastAsiaTheme="minorEastAsia"/>
            <w:b w:val="0"/>
            <w:u w:val="none"/>
          </w:rPr>
        </w:sdtEndPr>
        <w:sdtContent>
          <w:r w:rsidR="00FF25E5" w:rsidRPr="00A70AD6">
            <w:rPr>
              <w:rFonts w:eastAsia="Times New Roman" w:cstheme="minorHAnsi"/>
              <w:strike/>
              <w:color w:val="808080"/>
              <w:shd w:val="clear" w:color="auto" w:fill="FFFF00"/>
            </w:rPr>
            <w:t>Enter author name</w:t>
          </w:r>
        </w:sdtContent>
      </w:sdt>
      <w:r w:rsidR="00FF25E5" w:rsidRPr="00A70AD6">
        <w:rPr>
          <w:rFonts w:eastAsia="Times New Roman" w:cstheme="minorHAnsi"/>
          <w:b/>
          <w:bCs/>
          <w:strike/>
          <w:u w:val="single"/>
        </w:rPr>
        <w:t>:</w:t>
      </w:r>
      <w:r w:rsidR="00FF25E5" w:rsidRPr="00A70AD6">
        <w:rPr>
          <w:rFonts w:eastAsia="Times New Roman" w:cstheme="minorHAnsi"/>
          <w:strike/>
        </w:rPr>
        <w:t xml:space="preserve"> </w:t>
      </w:r>
    </w:p>
    <w:p w14:paraId="3C95F80C" w14:textId="77777777" w:rsidR="00157866" w:rsidRPr="00A70AD6" w:rsidRDefault="00157866" w:rsidP="00157866">
      <w:pPr>
        <w:pStyle w:val="ListParagraph"/>
        <w:numPr>
          <w:ilvl w:val="2"/>
          <w:numId w:val="3"/>
        </w:numPr>
        <w:spacing w:before="120"/>
        <w:contextualSpacing w:val="0"/>
        <w:rPr>
          <w:rFonts w:eastAsia="Times New Roman" w:cstheme="minorHAnsi"/>
          <w:strike/>
        </w:rPr>
      </w:pPr>
      <w:r w:rsidRPr="00A70AD6">
        <w:rPr>
          <w:rStyle w:val="AuthorName"/>
          <w:rFonts w:asciiTheme="minorHAnsi" w:eastAsia="Times" w:hAnsiTheme="minorHAnsi" w:cstheme="minorHAnsi"/>
          <w:b w:val="0"/>
          <w:bCs/>
          <w:strike/>
          <w:u w:val="none"/>
        </w:rPr>
        <w:t xml:space="preserve">INTERVIEW: </w:t>
      </w:r>
      <w:r w:rsidRPr="00A70AD6">
        <w:rPr>
          <w:rFonts w:cs="Calibri"/>
          <w:bCs/>
          <w:strike/>
        </w:rPr>
        <w:t>Named talent says the statement above in an interview-style shot, looking slightly off-camera.</w:t>
      </w:r>
    </w:p>
    <w:p w14:paraId="74F6D6A9" w14:textId="77777777" w:rsidR="00157866" w:rsidRPr="00B07A3B" w:rsidRDefault="00157866" w:rsidP="00157866">
      <w:pPr>
        <w:pStyle w:val="ListParagraph"/>
        <w:spacing w:before="120"/>
        <w:ind w:left="907"/>
        <w:contextualSpacing w:val="0"/>
        <w:rPr>
          <w:rFonts w:eastAsia="Times New Roman" w:cstheme="minorHAnsi"/>
        </w:rPr>
      </w:pPr>
    </w:p>
    <w:p w14:paraId="146D4196" w14:textId="77777777" w:rsidR="00FF25E5" w:rsidRPr="00C058AE" w:rsidRDefault="00FF25E5" w:rsidP="00FF25E5">
      <w:pPr>
        <w:spacing w:before="120"/>
        <w:rPr>
          <w:rFonts w:cstheme="minorHAnsi"/>
        </w:rPr>
      </w:pPr>
      <w:r w:rsidRPr="00000E22">
        <w:rPr>
          <w:rFonts w:cstheme="minorHAnsi"/>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2A69A68F" w:rsidR="00CE10F2" w:rsidRDefault="00206E40" w:rsidP="00A13CC3">
      <w:pPr>
        <w:pStyle w:val="ListParagraph"/>
        <w:numPr>
          <w:ilvl w:val="0"/>
          <w:numId w:val="3"/>
        </w:numPr>
        <w:spacing w:before="120"/>
        <w:contextualSpacing w:val="0"/>
        <w:rPr>
          <w:rFonts w:cstheme="minorHAnsi"/>
          <w:b/>
          <w:bCs/>
        </w:rPr>
      </w:pPr>
      <w:r>
        <w:rPr>
          <w:rFonts w:cstheme="minorHAnsi"/>
          <w:b/>
          <w:bCs/>
        </w:rPr>
        <w:t>Cytotoxicity Assay</w:t>
      </w:r>
      <w:r w:rsidR="001A3D76">
        <w:rPr>
          <w:rFonts w:cstheme="minorHAnsi"/>
          <w:b/>
          <w:bCs/>
        </w:rPr>
        <w:t xml:space="preserve"> </w:t>
      </w:r>
      <w:r w:rsidR="001A3D76">
        <w:rPr>
          <w:rFonts w:asciiTheme="majorHAnsi" w:hAnsiTheme="majorHAnsi" w:cstheme="majorHAnsi"/>
          <w:b/>
          <w:lang w:eastAsia="ja-JP"/>
        </w:rPr>
        <w:t>U</w:t>
      </w:r>
      <w:r w:rsidR="001A3D76" w:rsidRPr="001A3D76">
        <w:rPr>
          <w:rFonts w:asciiTheme="majorHAnsi" w:hAnsiTheme="majorHAnsi" w:cstheme="majorHAnsi"/>
          <w:b/>
          <w:lang w:eastAsia="ja-JP"/>
        </w:rPr>
        <w:t xml:space="preserve">sing </w:t>
      </w:r>
      <w:r w:rsidR="001A3D76">
        <w:rPr>
          <w:rFonts w:asciiTheme="majorHAnsi" w:hAnsiTheme="majorHAnsi" w:cstheme="majorHAnsi"/>
          <w:b/>
          <w:lang w:eastAsia="ja-JP"/>
        </w:rPr>
        <w:t>H</w:t>
      </w:r>
      <w:r w:rsidR="001A3D76" w:rsidRPr="001A3D76">
        <w:rPr>
          <w:rFonts w:asciiTheme="majorHAnsi" w:hAnsiTheme="majorHAnsi" w:cstheme="majorHAnsi"/>
          <w:b/>
          <w:lang w:eastAsia="ja-JP"/>
        </w:rPr>
        <w:t xml:space="preserve">uman </w:t>
      </w:r>
      <w:r w:rsidR="001A3D76">
        <w:rPr>
          <w:rFonts w:asciiTheme="majorHAnsi" w:hAnsiTheme="majorHAnsi" w:cstheme="majorHAnsi"/>
          <w:b/>
          <w:lang w:eastAsia="ja-JP"/>
        </w:rPr>
        <w:t>I</w:t>
      </w:r>
      <w:r w:rsidR="001A3D76" w:rsidRPr="001A3D76">
        <w:rPr>
          <w:rFonts w:asciiTheme="majorHAnsi" w:hAnsiTheme="majorHAnsi" w:cstheme="majorHAnsi"/>
          <w:b/>
          <w:lang w:eastAsia="ja-JP"/>
        </w:rPr>
        <w:t xml:space="preserve">nduced </w:t>
      </w:r>
      <w:r w:rsidR="001A3D76">
        <w:rPr>
          <w:rFonts w:asciiTheme="majorHAnsi" w:hAnsiTheme="majorHAnsi" w:cstheme="majorHAnsi"/>
          <w:b/>
          <w:lang w:eastAsia="ja-JP"/>
        </w:rPr>
        <w:t>P</w:t>
      </w:r>
      <w:r w:rsidR="001A3D76" w:rsidRPr="001A3D76">
        <w:rPr>
          <w:rFonts w:asciiTheme="majorHAnsi" w:hAnsiTheme="majorHAnsi" w:cstheme="majorHAnsi"/>
          <w:b/>
          <w:lang w:eastAsia="ja-JP"/>
        </w:rPr>
        <w:t xml:space="preserve">luripotent </w:t>
      </w:r>
      <w:r w:rsidR="001A3D76">
        <w:rPr>
          <w:rFonts w:asciiTheme="majorHAnsi" w:hAnsiTheme="majorHAnsi" w:cstheme="majorHAnsi"/>
          <w:b/>
          <w:lang w:eastAsia="ja-JP"/>
        </w:rPr>
        <w:t>S</w:t>
      </w:r>
      <w:r w:rsidR="001A3D76" w:rsidRPr="001A3D76">
        <w:rPr>
          <w:rFonts w:asciiTheme="majorHAnsi" w:hAnsiTheme="majorHAnsi" w:cstheme="majorHAnsi"/>
          <w:b/>
          <w:lang w:eastAsia="ja-JP"/>
        </w:rPr>
        <w:t xml:space="preserve">tem </w:t>
      </w:r>
      <w:r w:rsidR="001A3D76">
        <w:rPr>
          <w:rFonts w:asciiTheme="majorHAnsi" w:hAnsiTheme="majorHAnsi" w:cstheme="majorHAnsi"/>
          <w:b/>
          <w:lang w:eastAsia="ja-JP"/>
        </w:rPr>
        <w:t>C</w:t>
      </w:r>
      <w:r w:rsidR="001A3D76" w:rsidRPr="001A3D76">
        <w:rPr>
          <w:rFonts w:asciiTheme="majorHAnsi" w:hAnsiTheme="majorHAnsi" w:cstheme="majorHAnsi"/>
          <w:b/>
          <w:lang w:eastAsia="ja-JP"/>
        </w:rPr>
        <w:t>ells</w:t>
      </w:r>
      <w:r w:rsidR="001A3D76" w:rsidRPr="00B8208C">
        <w:rPr>
          <w:rFonts w:asciiTheme="majorHAnsi" w:hAnsiTheme="majorHAnsi" w:cstheme="majorHAnsi"/>
          <w:bCs/>
          <w:lang w:eastAsia="ja-JP"/>
        </w:rPr>
        <w:t xml:space="preserve"> </w:t>
      </w:r>
    </w:p>
    <w:p w14:paraId="6FE16670" w14:textId="3130FD2E" w:rsidR="00985FE6" w:rsidRPr="001A3D76" w:rsidRDefault="00D7547B" w:rsidP="001A3D76">
      <w:pPr>
        <w:pStyle w:val="ListParagraph"/>
        <w:spacing w:before="120"/>
        <w:ind w:left="360"/>
        <w:contextualSpacing w:val="0"/>
        <w:rPr>
          <w:rFonts w:cstheme="minorHAnsi"/>
        </w:rPr>
      </w:pPr>
      <w:r>
        <w:rPr>
          <w:rFonts w:cstheme="minorHAnsi"/>
          <w:b/>
          <w:bCs/>
        </w:rPr>
        <w:t>Demonstrator</w:t>
      </w:r>
      <w:r w:rsidR="00A70AD6">
        <w:rPr>
          <w:rFonts w:cstheme="minorHAnsi"/>
          <w:b/>
          <w:bCs/>
        </w:rPr>
        <w:t>s</w:t>
      </w:r>
      <w:r>
        <w:rPr>
          <w:rFonts w:cstheme="minorHAnsi"/>
          <w:b/>
          <w:bCs/>
        </w:rPr>
        <w:t xml:space="preserve">: </w:t>
      </w:r>
      <w:r w:rsidR="00256A79">
        <w:rPr>
          <w:rFonts w:cstheme="minorHAnsi" w:hint="eastAsia"/>
          <w:lang w:eastAsia="ja-JP"/>
        </w:rPr>
        <w:t>Koki Muaryama, Rieko Matsuura</w:t>
      </w:r>
      <w:r w:rsidR="00FF25E5">
        <w:rPr>
          <w:rFonts w:cstheme="minorHAnsi"/>
        </w:rPr>
        <w:t xml:space="preserve"> </w:t>
      </w:r>
    </w:p>
    <w:p w14:paraId="3B7D9578" w14:textId="040CDCEC" w:rsidR="006F3A11" w:rsidRPr="00297EFC" w:rsidRDefault="006F3A11" w:rsidP="006F3A11">
      <w:pPr>
        <w:pStyle w:val="Narration"/>
        <w:numPr>
          <w:ilvl w:val="1"/>
          <w:numId w:val="3"/>
        </w:numPr>
      </w:pPr>
      <w:r w:rsidRPr="00297EFC">
        <w:t xml:space="preserve">To begin, seed cells into an </w:t>
      </w:r>
      <w:r w:rsidR="00A15C1F">
        <w:t>ECM</w:t>
      </w:r>
      <w:r w:rsidR="00206E40">
        <w:t xml:space="preserve"> </w:t>
      </w:r>
      <w:r w:rsidR="00206E40" w:rsidRPr="00206E40">
        <w:rPr>
          <w:i/>
          <w:iCs/>
          <w:color w:val="EE0000"/>
        </w:rPr>
        <w:t>(E-C-M)</w:t>
      </w:r>
      <w:r w:rsidR="00A15C1F">
        <w:t>-coated</w:t>
      </w:r>
      <w:r w:rsidRPr="00297EFC">
        <w:t xml:space="preserve"> 96-well plate containing 200 microliters of fresh maintenance medium supplemented with 10 micromolar </w:t>
      </w:r>
      <w:r w:rsidR="00A15C1F">
        <w:t xml:space="preserve">ROCK inhibitor </w:t>
      </w:r>
      <w:r w:rsidRPr="00297EFC">
        <w:rPr>
          <w:b/>
          <w:bCs/>
        </w:rPr>
        <w:t>[1</w:t>
      </w:r>
      <w:r w:rsidR="00A15C1F">
        <w:rPr>
          <w:b/>
          <w:bCs/>
        </w:rPr>
        <w:t>-TXT</w:t>
      </w:r>
      <w:r w:rsidRPr="00297EFC">
        <w:rPr>
          <w:b/>
          <w:bCs/>
        </w:rPr>
        <w:t>]</w:t>
      </w:r>
      <w:r w:rsidRPr="00297EFC">
        <w:t xml:space="preserve">. Seal the plate with a gas-permeable film </w:t>
      </w:r>
      <w:r w:rsidRPr="00297EFC">
        <w:rPr>
          <w:b/>
          <w:bCs/>
        </w:rPr>
        <w:t>[2]</w:t>
      </w:r>
      <w:r w:rsidRPr="00297EFC">
        <w:t>.</w:t>
      </w:r>
    </w:p>
    <w:p w14:paraId="5BDBFAB4" w14:textId="7B945619" w:rsidR="006F3A11" w:rsidRPr="00A15C1F" w:rsidRDefault="006F3A11" w:rsidP="006F3A11">
      <w:pPr>
        <w:pStyle w:val="ShotDescription"/>
        <w:numPr>
          <w:ilvl w:val="2"/>
          <w:numId w:val="3"/>
        </w:numPr>
        <w:rPr>
          <w:b/>
          <w:bCs/>
          <w:lang w:val="en-IN"/>
        </w:rPr>
      </w:pPr>
      <w:r w:rsidRPr="00297EFC">
        <w:rPr>
          <w:lang w:val="en-IN"/>
        </w:rPr>
        <w:t>WIDE: Talent pipetting cell suspension into each well of an extracellular matrix-coated 96-well plate.</w:t>
      </w:r>
      <w:r w:rsidR="00A15C1F">
        <w:rPr>
          <w:lang w:val="en-IN"/>
        </w:rPr>
        <w:t xml:space="preserve"> </w:t>
      </w:r>
      <w:r w:rsidR="00A15C1F" w:rsidRPr="00A15C1F">
        <w:rPr>
          <w:b/>
          <w:bCs/>
          <w:lang w:val="en-IN"/>
        </w:rPr>
        <w:t xml:space="preserve">TXT: Seed </w:t>
      </w:r>
      <w:r w:rsidR="00A15C1F" w:rsidRPr="00A15C1F">
        <w:rPr>
          <w:rFonts w:asciiTheme="majorHAnsi" w:hAnsiTheme="majorHAnsi" w:cstheme="majorHAnsi"/>
          <w:b/>
          <w:bCs/>
        </w:rPr>
        <w:t xml:space="preserve">2.0 × 10⁴ cells/well </w:t>
      </w:r>
    </w:p>
    <w:p w14:paraId="212DAAA0" w14:textId="77777777" w:rsidR="006F3A11" w:rsidRDefault="006F3A11" w:rsidP="006F3A11">
      <w:pPr>
        <w:pStyle w:val="ShotDescription"/>
        <w:numPr>
          <w:ilvl w:val="2"/>
          <w:numId w:val="3"/>
        </w:numPr>
        <w:rPr>
          <w:lang w:val="en-IN"/>
        </w:rPr>
      </w:pPr>
      <w:r w:rsidRPr="00297EFC">
        <w:rPr>
          <w:lang w:val="en-IN"/>
        </w:rPr>
        <w:t>Talent sealing the plate with a transparent, gas-permeable film.</w:t>
      </w:r>
    </w:p>
    <w:p w14:paraId="5F19E1BA" w14:textId="77777777" w:rsidR="00A15C1F" w:rsidRPr="00297EFC" w:rsidRDefault="00A15C1F" w:rsidP="00A15C1F">
      <w:pPr>
        <w:pStyle w:val="ShotDescription"/>
        <w:ind w:firstLine="0"/>
        <w:rPr>
          <w:lang w:val="en-IN"/>
        </w:rPr>
      </w:pPr>
    </w:p>
    <w:p w14:paraId="6FF790CB" w14:textId="33B17C88" w:rsidR="006F3A11" w:rsidRPr="00297EFC" w:rsidRDefault="006F3A11" w:rsidP="006F3A11">
      <w:pPr>
        <w:pStyle w:val="Narration"/>
        <w:numPr>
          <w:ilvl w:val="1"/>
          <w:numId w:val="3"/>
        </w:numPr>
      </w:pPr>
      <w:r w:rsidRPr="00297EFC">
        <w:t xml:space="preserve">After 24 hours, replace the medium in each well with 200 microliters of fresh maintenance medium </w:t>
      </w:r>
      <w:r w:rsidRPr="00297EFC">
        <w:rPr>
          <w:b/>
          <w:bCs/>
        </w:rPr>
        <w:t>[1]</w:t>
      </w:r>
      <w:r w:rsidR="00206E40">
        <w:t xml:space="preserve"> and r</w:t>
      </w:r>
      <w:r w:rsidRPr="00297EFC">
        <w:t xml:space="preserve">eseal the plate </w:t>
      </w:r>
      <w:r w:rsidRPr="00297EFC">
        <w:rPr>
          <w:b/>
          <w:bCs/>
        </w:rPr>
        <w:t>[2</w:t>
      </w:r>
      <w:r w:rsidR="00206E40">
        <w:rPr>
          <w:b/>
          <w:bCs/>
        </w:rPr>
        <w:t>-TXT</w:t>
      </w:r>
      <w:r w:rsidRPr="00297EFC">
        <w:rPr>
          <w:b/>
          <w:bCs/>
        </w:rPr>
        <w:t>]</w:t>
      </w:r>
      <w:r w:rsidRPr="00297EFC">
        <w:t>.</w:t>
      </w:r>
    </w:p>
    <w:p w14:paraId="077A9F54" w14:textId="77777777" w:rsidR="006F3A11" w:rsidRDefault="006F3A11" w:rsidP="006F3A11">
      <w:pPr>
        <w:pStyle w:val="ShotDescription"/>
        <w:numPr>
          <w:ilvl w:val="2"/>
          <w:numId w:val="3"/>
        </w:numPr>
        <w:rPr>
          <w:lang w:val="en-IN"/>
        </w:rPr>
      </w:pPr>
      <w:r w:rsidRPr="00297EFC">
        <w:rPr>
          <w:lang w:val="en-IN"/>
        </w:rPr>
        <w:t>Talent aspirating old medium and pipetting 200 microliters of fresh maintenance medium into each well.</w:t>
      </w:r>
    </w:p>
    <w:p w14:paraId="063F1C6E" w14:textId="4EFAB10E" w:rsidR="006F3A11" w:rsidRPr="00297EFC" w:rsidRDefault="006F3A11" w:rsidP="006F3A11">
      <w:pPr>
        <w:pStyle w:val="ShotDescription"/>
        <w:numPr>
          <w:ilvl w:val="2"/>
          <w:numId w:val="3"/>
        </w:numPr>
        <w:rPr>
          <w:lang w:val="en-IN"/>
        </w:rPr>
      </w:pPr>
      <w:r w:rsidRPr="00297EFC">
        <w:rPr>
          <w:lang w:val="en-IN"/>
        </w:rPr>
        <w:t>Talent resealing the plate with a gas-permeable film.</w:t>
      </w:r>
      <w:r w:rsidR="00A15C1F">
        <w:rPr>
          <w:lang w:val="en-IN"/>
        </w:rPr>
        <w:t xml:space="preserve"> </w:t>
      </w:r>
      <w:r w:rsidR="00A15C1F" w:rsidRPr="00A15C1F">
        <w:rPr>
          <w:b/>
          <w:bCs/>
          <w:lang w:val="en-IN"/>
        </w:rPr>
        <w:t>TXT: After 72 h and 96 h</w:t>
      </w:r>
      <w:r w:rsidR="00A15C1F">
        <w:rPr>
          <w:b/>
          <w:bCs/>
          <w:lang w:val="en-IN"/>
        </w:rPr>
        <w:t>,</w:t>
      </w:r>
      <w:r w:rsidR="00A15C1F" w:rsidRPr="00A15C1F">
        <w:rPr>
          <w:b/>
          <w:bCs/>
          <w:lang w:val="en-IN"/>
        </w:rPr>
        <w:t xml:space="preserve"> replace the medium with </w:t>
      </w:r>
      <w:r w:rsidR="00623595">
        <w:rPr>
          <w:b/>
          <w:bCs/>
          <w:lang w:val="en-IN"/>
        </w:rPr>
        <w:t>assay medium</w:t>
      </w:r>
      <w:r w:rsidR="00A15C1F">
        <w:rPr>
          <w:lang w:val="en-IN"/>
        </w:rPr>
        <w:br/>
      </w:r>
    </w:p>
    <w:p w14:paraId="35352CBD" w14:textId="4CF03F26" w:rsidR="006F3A11" w:rsidRPr="00297EFC" w:rsidRDefault="00206E40" w:rsidP="006F3A11">
      <w:pPr>
        <w:pStyle w:val="Narration"/>
        <w:numPr>
          <w:ilvl w:val="1"/>
          <w:numId w:val="3"/>
        </w:numPr>
      </w:pPr>
      <w:r>
        <w:t>Next, d</w:t>
      </w:r>
      <w:r w:rsidR="006F3A11" w:rsidRPr="00297EFC">
        <w:t xml:space="preserve">issolve the test chemical in </w:t>
      </w:r>
      <w:r w:rsidR="00A67434">
        <w:t>assay medium</w:t>
      </w:r>
      <w:r w:rsidR="006F3A11" w:rsidRPr="00297EFC">
        <w:t xml:space="preserve"> to its maximum solubility </w:t>
      </w:r>
      <w:r w:rsidR="006F3A11" w:rsidRPr="00297EFC">
        <w:rPr>
          <w:b/>
          <w:bCs/>
        </w:rPr>
        <w:t>[1]</w:t>
      </w:r>
      <w:r w:rsidR="006F3A11" w:rsidRPr="00297EFC">
        <w:t>.</w:t>
      </w:r>
    </w:p>
    <w:p w14:paraId="5402304A" w14:textId="4EFDADE8" w:rsidR="006F3A11" w:rsidRPr="00297EFC" w:rsidRDefault="006F3A11" w:rsidP="006F3A11">
      <w:pPr>
        <w:pStyle w:val="ShotDescription"/>
        <w:numPr>
          <w:ilvl w:val="2"/>
          <w:numId w:val="3"/>
        </w:numPr>
        <w:rPr>
          <w:lang w:val="en-IN"/>
        </w:rPr>
      </w:pPr>
      <w:r w:rsidRPr="00297EFC">
        <w:rPr>
          <w:lang w:val="en-IN"/>
        </w:rPr>
        <w:t xml:space="preserve">Talent adding test chemical to a tube of </w:t>
      </w:r>
      <w:r w:rsidR="00623595">
        <w:rPr>
          <w:lang w:val="en-IN"/>
        </w:rPr>
        <w:t>assay medium</w:t>
      </w:r>
      <w:r w:rsidR="004F2257">
        <w:rPr>
          <w:lang w:val="en-IN"/>
        </w:rPr>
        <w:t>.</w:t>
      </w:r>
      <w:r w:rsidR="00A15C1F">
        <w:rPr>
          <w:lang w:val="en-IN"/>
        </w:rPr>
        <w:br/>
      </w:r>
    </w:p>
    <w:p w14:paraId="73037AB8" w14:textId="6D840B43" w:rsidR="006F3A11" w:rsidRPr="00297EFC" w:rsidRDefault="006F3A11" w:rsidP="006F3A11">
      <w:pPr>
        <w:pStyle w:val="Narration"/>
        <w:numPr>
          <w:ilvl w:val="1"/>
          <w:numId w:val="3"/>
        </w:numPr>
      </w:pPr>
      <w:r w:rsidRPr="00297EFC">
        <w:t xml:space="preserve">Prepare a five-point, five-fold serial dilution of the test chemical in </w:t>
      </w:r>
      <w:r w:rsidR="00623595">
        <w:t>assay medium</w:t>
      </w:r>
      <w:r w:rsidRPr="00297EFC">
        <w:t xml:space="preserve"> using the previously prepared solution </w:t>
      </w:r>
      <w:r w:rsidRPr="00297EFC">
        <w:rPr>
          <w:b/>
          <w:bCs/>
        </w:rPr>
        <w:t>[1]</w:t>
      </w:r>
      <w:r w:rsidRPr="00297EFC">
        <w:t>.</w:t>
      </w:r>
    </w:p>
    <w:p w14:paraId="6CECEEA9" w14:textId="5ADEC768" w:rsidR="00A70AD6" w:rsidRPr="00A70AD6" w:rsidRDefault="006F3A11" w:rsidP="00A70AD6">
      <w:pPr>
        <w:pStyle w:val="ShotDescription"/>
        <w:numPr>
          <w:ilvl w:val="2"/>
          <w:numId w:val="3"/>
        </w:numPr>
        <w:rPr>
          <w:highlight w:val="green"/>
          <w:lang w:val="en-IN"/>
        </w:rPr>
      </w:pPr>
      <w:r w:rsidRPr="00297EFC">
        <w:rPr>
          <w:lang w:val="en-IN"/>
        </w:rPr>
        <w:t>Talent pipett</w:t>
      </w:r>
      <w:r w:rsidR="00206E40">
        <w:rPr>
          <w:lang w:val="en-IN"/>
        </w:rPr>
        <w:t xml:space="preserve">ing test chemical in </w:t>
      </w:r>
      <w:r w:rsidRPr="00297EFC">
        <w:rPr>
          <w:lang w:val="en-IN"/>
        </w:rPr>
        <w:t>labeled tubes</w:t>
      </w:r>
      <w:r w:rsidRPr="00A70AD6">
        <w:rPr>
          <w:b/>
          <w:bCs/>
          <w:lang w:val="en-IN"/>
        </w:rPr>
        <w:t>.</w:t>
      </w:r>
      <w:r w:rsidR="00A70AD6" w:rsidRPr="00A70AD6">
        <w:rPr>
          <w:b/>
          <w:bCs/>
          <w:lang w:val="en-IN"/>
        </w:rPr>
        <w:t xml:space="preserve"> </w:t>
      </w:r>
      <w:r w:rsidR="00A70AD6" w:rsidRPr="00A70AD6">
        <w:rPr>
          <w:b/>
          <w:bCs/>
          <w:highlight w:val="green"/>
          <w:lang w:val="en-IN"/>
        </w:rPr>
        <w:t>Videographer’s NOTE</w:t>
      </w:r>
      <w:r w:rsidR="00A70AD6" w:rsidRPr="00A70AD6">
        <w:rPr>
          <w:highlight w:val="green"/>
          <w:lang w:val="en-IN"/>
        </w:rPr>
        <w:t xml:space="preserve">: </w:t>
      </w:r>
      <w:r w:rsidR="00A70AD6" w:rsidRPr="00A70AD6">
        <w:rPr>
          <w:highlight w:val="green"/>
          <w:lang w:val="en-IN"/>
        </w:rPr>
        <w:t>We divided this shot into 2 shots:</w:t>
      </w:r>
    </w:p>
    <w:p w14:paraId="2AF6B193" w14:textId="6BE682ED" w:rsidR="00A70AD6" w:rsidRPr="00A70AD6" w:rsidRDefault="00A70AD6" w:rsidP="00A70AD6">
      <w:pPr>
        <w:pStyle w:val="ShotDescription"/>
        <w:ind w:firstLine="0"/>
        <w:rPr>
          <w:highlight w:val="green"/>
          <w:lang w:val="en-IN"/>
        </w:rPr>
      </w:pPr>
      <w:r w:rsidRPr="00A70AD6">
        <w:rPr>
          <w:highlight w:val="green"/>
          <w:lang w:val="en-IN"/>
        </w:rPr>
        <w:t>2.4.1 - Adding 1% DMSO</w:t>
      </w:r>
    </w:p>
    <w:p w14:paraId="6787DE00" w14:textId="0539A042" w:rsidR="006F3A11" w:rsidRPr="00297EFC" w:rsidRDefault="00A70AD6" w:rsidP="00A70AD6">
      <w:pPr>
        <w:pStyle w:val="ShotDescription"/>
        <w:ind w:firstLine="0"/>
        <w:rPr>
          <w:lang w:val="en-IN"/>
        </w:rPr>
      </w:pPr>
      <w:r w:rsidRPr="00A70AD6">
        <w:rPr>
          <w:highlight w:val="green"/>
          <w:lang w:val="en-IN"/>
        </w:rPr>
        <w:t>2.4.1b -Adding other solutions</w:t>
      </w:r>
      <w:r w:rsidR="00A15C1F">
        <w:rPr>
          <w:lang w:val="en-IN"/>
        </w:rPr>
        <w:br/>
      </w:r>
    </w:p>
    <w:p w14:paraId="625C9B43" w14:textId="09FBFFF0" w:rsidR="006F3A11" w:rsidRPr="00297EFC" w:rsidRDefault="006F3A11" w:rsidP="006F3A11">
      <w:pPr>
        <w:pStyle w:val="Narration"/>
        <w:numPr>
          <w:ilvl w:val="1"/>
          <w:numId w:val="3"/>
        </w:numPr>
      </w:pPr>
      <w:r w:rsidRPr="00297EFC">
        <w:t xml:space="preserve">Add 11 microliters per well of the </w:t>
      </w:r>
      <w:r w:rsidR="004F2257">
        <w:t xml:space="preserve">prepared </w:t>
      </w:r>
      <w:r w:rsidRPr="00297EFC">
        <w:t xml:space="preserve">chemical solutions </w:t>
      </w:r>
      <w:r w:rsidRPr="00297EFC">
        <w:rPr>
          <w:b/>
          <w:bCs/>
        </w:rPr>
        <w:t>[1]</w:t>
      </w:r>
      <w:r w:rsidRPr="00297EFC">
        <w:t xml:space="preserve">. For the vehicle control, add 11 microliters per well of </w:t>
      </w:r>
      <w:r w:rsidR="00623595">
        <w:t>assay medium</w:t>
      </w:r>
      <w:r w:rsidRPr="00297EFC">
        <w:t xml:space="preserve"> containing the same concentration of </w:t>
      </w:r>
      <w:r w:rsidR="00A15C1F">
        <w:t>D</w:t>
      </w:r>
      <w:r w:rsidRPr="00297EFC">
        <w:t>MSO</w:t>
      </w:r>
      <w:r w:rsidR="00206E40">
        <w:t xml:space="preserve"> </w:t>
      </w:r>
      <w:r w:rsidR="00206E40" w:rsidRPr="00206E40">
        <w:rPr>
          <w:i/>
          <w:iCs/>
          <w:color w:val="EE0000"/>
        </w:rPr>
        <w:t>(D-M-S-O)</w:t>
      </w:r>
      <w:r w:rsidR="00206E40">
        <w:rPr>
          <w:i/>
          <w:iCs/>
          <w:color w:val="EE0000"/>
        </w:rPr>
        <w:t xml:space="preserve"> </w:t>
      </w:r>
      <w:r w:rsidRPr="00297EFC">
        <w:rPr>
          <w:b/>
          <w:bCs/>
        </w:rPr>
        <w:t>[2]</w:t>
      </w:r>
      <w:r w:rsidRPr="00297EFC">
        <w:t xml:space="preserve">. After 48 hours of treatment, incubate the plates at </w:t>
      </w:r>
      <w:r w:rsidR="00A70AD6">
        <w:t>room temperature</w:t>
      </w:r>
      <w:r w:rsidRPr="00297EFC">
        <w:t xml:space="preserve"> for 30 minutes </w:t>
      </w:r>
      <w:r w:rsidRPr="00297EFC">
        <w:rPr>
          <w:b/>
          <w:bCs/>
        </w:rPr>
        <w:t>[3]</w:t>
      </w:r>
      <w:r w:rsidRPr="00297EFC">
        <w:t>.</w:t>
      </w:r>
    </w:p>
    <w:p w14:paraId="15BD3D72" w14:textId="7CCA81F5" w:rsidR="006F3A11" w:rsidRDefault="006F3A11" w:rsidP="006F3A11">
      <w:pPr>
        <w:pStyle w:val="ShotDescription"/>
        <w:numPr>
          <w:ilvl w:val="2"/>
          <w:numId w:val="3"/>
        </w:numPr>
        <w:rPr>
          <w:lang w:val="en-IN"/>
        </w:rPr>
      </w:pPr>
      <w:r w:rsidRPr="00297EFC">
        <w:rPr>
          <w:lang w:val="en-IN"/>
        </w:rPr>
        <w:t xml:space="preserve">Talent pipetting 11 microliters of the test chemical solution into the wells of the </w:t>
      </w:r>
      <w:r w:rsidRPr="00297EFC">
        <w:rPr>
          <w:lang w:val="en-IN"/>
        </w:rPr>
        <w:lastRenderedPageBreak/>
        <w:t>96-well plate.</w:t>
      </w:r>
      <w:r w:rsidR="0084674A">
        <w:rPr>
          <w:lang w:val="en-IN"/>
        </w:rPr>
        <w:t xml:space="preserve"> </w:t>
      </w:r>
      <w:r w:rsidR="0084674A" w:rsidRPr="0084674A">
        <w:rPr>
          <w:highlight w:val="yellow"/>
          <w:lang w:val="en-IN"/>
        </w:rPr>
        <w:t>Authors: Please keep the labelled vial of chemical solution in the frame</w:t>
      </w:r>
      <w:r w:rsidR="00A70AD6">
        <w:rPr>
          <w:lang w:val="en-IN"/>
        </w:rPr>
        <w:t xml:space="preserve"> </w:t>
      </w:r>
      <w:r w:rsidR="00A70AD6" w:rsidRPr="00A70AD6">
        <w:rPr>
          <w:b/>
          <w:bCs/>
          <w:highlight w:val="green"/>
          <w:lang w:val="en-IN"/>
        </w:rPr>
        <w:t xml:space="preserve">Videographer’s </w:t>
      </w:r>
      <w:r w:rsidR="00A70AD6" w:rsidRPr="00A70AD6">
        <w:rPr>
          <w:b/>
          <w:bCs/>
          <w:highlight w:val="green"/>
          <w:lang w:val="en-IN"/>
        </w:rPr>
        <w:t>NOTE</w:t>
      </w:r>
      <w:r w:rsidR="00A70AD6" w:rsidRPr="00A70AD6">
        <w:rPr>
          <w:highlight w:val="green"/>
          <w:lang w:val="en-IN"/>
        </w:rPr>
        <w:t xml:space="preserve">: </w:t>
      </w:r>
      <w:r w:rsidR="00A70AD6" w:rsidRPr="00A70AD6">
        <w:rPr>
          <w:highlight w:val="green"/>
          <w:lang w:val="en-IN"/>
        </w:rPr>
        <w:t xml:space="preserve">The content of </w:t>
      </w:r>
      <w:r w:rsidR="00A70AD6" w:rsidRPr="00A70AD6">
        <w:rPr>
          <w:highlight w:val="green"/>
          <w:lang w:val="en-IN"/>
        </w:rPr>
        <w:t>2.5.1 AND 2.5.2</w:t>
      </w:r>
      <w:r w:rsidR="00A70AD6" w:rsidRPr="00A70AD6">
        <w:rPr>
          <w:highlight w:val="green"/>
          <w:lang w:val="en-IN"/>
        </w:rPr>
        <w:t xml:space="preserve"> shots is covered in 1 shot. The 2.5.2 content is found in shot 2.5.1, Take 2 @ 2:04:09 (filename: A003_09291209_C026.mov)</w:t>
      </w:r>
    </w:p>
    <w:p w14:paraId="17EB0BAB" w14:textId="77777777" w:rsidR="006F3A11" w:rsidRDefault="006F3A11" w:rsidP="006F3A11">
      <w:pPr>
        <w:pStyle w:val="ShotDescription"/>
        <w:numPr>
          <w:ilvl w:val="2"/>
          <w:numId w:val="3"/>
        </w:numPr>
        <w:rPr>
          <w:lang w:val="en-IN"/>
        </w:rPr>
      </w:pPr>
      <w:r w:rsidRPr="00297EFC">
        <w:rPr>
          <w:lang w:val="en-IN"/>
        </w:rPr>
        <w:t>Talent pipetting 11 microliters of vehicle control into designated control wells.</w:t>
      </w:r>
    </w:p>
    <w:p w14:paraId="1637769C" w14:textId="69ECDDF2" w:rsidR="00A70AD6" w:rsidRPr="00A70AD6" w:rsidRDefault="006F3A11" w:rsidP="00A70AD6">
      <w:pPr>
        <w:pStyle w:val="ShotDescription"/>
        <w:numPr>
          <w:ilvl w:val="2"/>
          <w:numId w:val="3"/>
        </w:numPr>
        <w:rPr>
          <w:lang w:val="en-IN"/>
        </w:rPr>
      </w:pPr>
      <w:r w:rsidRPr="00297EFC">
        <w:rPr>
          <w:lang w:val="en-IN"/>
        </w:rPr>
        <w:t>Talent placing the plate into an incubator set at 25 degrees Celsius.</w:t>
      </w:r>
      <w:r w:rsidR="00A70AD6">
        <w:rPr>
          <w:lang w:val="en-IN"/>
        </w:rPr>
        <w:t xml:space="preserve"> </w:t>
      </w:r>
      <w:r w:rsidR="00A70AD6" w:rsidRPr="00A70AD6">
        <w:rPr>
          <w:b/>
          <w:bCs/>
          <w:highlight w:val="green"/>
          <w:lang w:val="en-IN"/>
        </w:rPr>
        <w:t>Videographer’s NOTE</w:t>
      </w:r>
      <w:r w:rsidR="00A70AD6" w:rsidRPr="00A70AD6">
        <w:rPr>
          <w:highlight w:val="green"/>
          <w:lang w:val="en-IN"/>
        </w:rPr>
        <w:t xml:space="preserve">: </w:t>
      </w:r>
      <w:r w:rsidR="00A70AD6" w:rsidRPr="00A70AD6">
        <w:rPr>
          <w:highlight w:val="green"/>
          <w:lang w:val="en-IN"/>
        </w:rPr>
        <w:t>Miss</w:t>
      </w:r>
      <w:r w:rsidR="00A70AD6" w:rsidRPr="00A70AD6">
        <w:rPr>
          <w:highlight w:val="green"/>
          <w:lang w:val="en-IN"/>
        </w:rPr>
        <w:t>-slated as 2.5.5</w:t>
      </w:r>
      <w:r w:rsidR="00A70AD6" w:rsidRPr="00A70AD6">
        <w:rPr>
          <w:highlight w:val="green"/>
          <w:lang w:val="en-IN"/>
        </w:rPr>
        <w:t xml:space="preserve">. </w:t>
      </w:r>
      <w:r w:rsidR="00A70AD6" w:rsidRPr="00A70AD6">
        <w:rPr>
          <w:highlight w:val="green"/>
          <w:lang w:val="en-IN"/>
        </w:rPr>
        <w:t>Take 1 (shot 2.5.3)</w:t>
      </w:r>
      <w:r w:rsidR="00A70AD6" w:rsidRPr="00A70AD6">
        <w:rPr>
          <w:highlight w:val="green"/>
          <w:lang w:val="en-IN"/>
        </w:rPr>
        <w:t xml:space="preserve">. </w:t>
      </w:r>
      <w:r w:rsidR="00A70AD6" w:rsidRPr="00A70AD6">
        <w:rPr>
          <w:highlight w:val="green"/>
          <w:lang w:val="en-IN"/>
        </w:rPr>
        <w:t>Th</w:t>
      </w:r>
      <w:r w:rsidR="00A70AD6" w:rsidRPr="00A70AD6">
        <w:rPr>
          <w:highlight w:val="green"/>
          <w:lang w:val="en-IN"/>
        </w:rPr>
        <w:t>i</w:t>
      </w:r>
      <w:r w:rsidR="00A70AD6" w:rsidRPr="00A70AD6">
        <w:rPr>
          <w:highlight w:val="green"/>
          <w:lang w:val="en-IN"/>
        </w:rPr>
        <w:t>s shot is missing a slate (filename: A003_09291220_C027.mov), but take 2 is the better take</w:t>
      </w:r>
    </w:p>
    <w:p w14:paraId="2F2B5D03" w14:textId="2A9DE37A" w:rsidR="006F3A11" w:rsidRPr="00297EFC" w:rsidRDefault="00A15C1F" w:rsidP="00A70AD6">
      <w:pPr>
        <w:pStyle w:val="ShotDescription"/>
        <w:ind w:left="907" w:firstLine="0"/>
        <w:rPr>
          <w:lang w:val="en-IN"/>
        </w:rPr>
      </w:pPr>
      <w:r>
        <w:rPr>
          <w:lang w:val="en-IN"/>
        </w:rPr>
        <w:br/>
      </w:r>
    </w:p>
    <w:p w14:paraId="2D9C1747" w14:textId="5A3F2CA2" w:rsidR="006F3A11" w:rsidRPr="00297EFC" w:rsidRDefault="00206E40" w:rsidP="006F3A11">
      <w:pPr>
        <w:pStyle w:val="Narration"/>
        <w:numPr>
          <w:ilvl w:val="1"/>
          <w:numId w:val="3"/>
        </w:numPr>
      </w:pPr>
      <w:r>
        <w:t>Then, a</w:t>
      </w:r>
      <w:r w:rsidR="006F3A11" w:rsidRPr="00297EFC">
        <w:t xml:space="preserve">dd 111 microliters per well of pre-equilibrated ATP-based luminescent cell viability assay reagent at 25 degrees Celsius </w:t>
      </w:r>
      <w:r w:rsidR="006F3A11" w:rsidRPr="00297EFC">
        <w:rPr>
          <w:b/>
          <w:bCs/>
        </w:rPr>
        <w:t>[1]</w:t>
      </w:r>
      <w:r w:rsidR="006F3A11" w:rsidRPr="00297EFC">
        <w:t xml:space="preserve">. For the blank well, add 111 microliters of </w:t>
      </w:r>
      <w:r w:rsidR="00623595">
        <w:t>assay medium</w:t>
      </w:r>
      <w:r w:rsidR="006F3A11" w:rsidRPr="00297EFC">
        <w:t xml:space="preserve"> and 111 microliters of the reagent </w:t>
      </w:r>
      <w:r w:rsidR="006F3A11" w:rsidRPr="00297EFC">
        <w:rPr>
          <w:b/>
          <w:bCs/>
        </w:rPr>
        <w:t>[2]</w:t>
      </w:r>
      <w:r w:rsidR="006F3A11" w:rsidRPr="00297EFC">
        <w:t>.</w:t>
      </w:r>
    </w:p>
    <w:p w14:paraId="5835DACE" w14:textId="456AF1AD" w:rsidR="006F3A11" w:rsidRDefault="006F3A11" w:rsidP="006F3A11">
      <w:pPr>
        <w:pStyle w:val="ShotDescription"/>
        <w:numPr>
          <w:ilvl w:val="2"/>
          <w:numId w:val="3"/>
        </w:numPr>
        <w:rPr>
          <w:lang w:val="en-IN"/>
        </w:rPr>
      </w:pPr>
      <w:r w:rsidRPr="00297EFC">
        <w:rPr>
          <w:lang w:val="en-IN"/>
        </w:rPr>
        <w:t>Talent pipetting 111 microliters of cell viability reagent into each well of the plate.</w:t>
      </w:r>
      <w:r w:rsidR="0084674A">
        <w:rPr>
          <w:lang w:val="en-IN"/>
        </w:rPr>
        <w:t xml:space="preserve"> </w:t>
      </w:r>
      <w:r w:rsidR="0084674A" w:rsidRPr="0084674A">
        <w:rPr>
          <w:highlight w:val="yellow"/>
          <w:lang w:val="en-IN"/>
        </w:rPr>
        <w:t>Authors: Please keep the labelled vial of chemical solution in the frame</w:t>
      </w:r>
    </w:p>
    <w:p w14:paraId="2517ECC6" w14:textId="4EC1353B" w:rsidR="006F3A11" w:rsidRDefault="006F3A11" w:rsidP="006F3A11">
      <w:pPr>
        <w:pStyle w:val="ShotDescription"/>
        <w:numPr>
          <w:ilvl w:val="2"/>
          <w:numId w:val="3"/>
        </w:numPr>
        <w:rPr>
          <w:lang w:val="en-IN"/>
        </w:rPr>
      </w:pPr>
      <w:r w:rsidRPr="00297EFC">
        <w:rPr>
          <w:lang w:val="en-IN"/>
        </w:rPr>
        <w:t xml:space="preserve">Talent pipetting 111 microliters of </w:t>
      </w:r>
      <w:r w:rsidR="00623595">
        <w:rPr>
          <w:lang w:val="en-IN"/>
        </w:rPr>
        <w:t>assay medium</w:t>
      </w:r>
      <w:r w:rsidRPr="00297EFC">
        <w:rPr>
          <w:lang w:val="en-IN"/>
        </w:rPr>
        <w:t xml:space="preserve"> and 111 microliters of reagent into the blank well.</w:t>
      </w:r>
    </w:p>
    <w:p w14:paraId="49EFFACF" w14:textId="77777777" w:rsidR="00206E40" w:rsidRPr="00297EFC" w:rsidRDefault="00206E40" w:rsidP="00206E40">
      <w:pPr>
        <w:pStyle w:val="ShotDescription"/>
        <w:ind w:firstLine="0"/>
        <w:rPr>
          <w:lang w:val="en-IN"/>
        </w:rPr>
      </w:pPr>
    </w:p>
    <w:p w14:paraId="21E33CE7" w14:textId="41EAB61C" w:rsidR="006F3A11" w:rsidRPr="00297EFC" w:rsidRDefault="00206E40" w:rsidP="006F3A11">
      <w:pPr>
        <w:pStyle w:val="Narration"/>
        <w:numPr>
          <w:ilvl w:val="1"/>
          <w:numId w:val="3"/>
        </w:numPr>
      </w:pPr>
      <w:r>
        <w:t>U</w:t>
      </w:r>
      <w:r w:rsidRPr="00297EFC">
        <w:t>sing a microplate shaker</w:t>
      </w:r>
      <w:r>
        <w:t>, s</w:t>
      </w:r>
      <w:r w:rsidR="006F3A11" w:rsidRPr="00297EFC">
        <w:t xml:space="preserve">hake the plate at 300 revolutions per minute for 2 minutes </w:t>
      </w:r>
      <w:r w:rsidR="006F3A11" w:rsidRPr="00297EFC">
        <w:rPr>
          <w:b/>
          <w:bCs/>
        </w:rPr>
        <w:t>[1]</w:t>
      </w:r>
      <w:r w:rsidR="006F3A11" w:rsidRPr="00297EFC">
        <w:t>.</w:t>
      </w:r>
    </w:p>
    <w:p w14:paraId="25A41CA5" w14:textId="77777777" w:rsidR="006F3A11" w:rsidRDefault="006F3A11" w:rsidP="006F3A11">
      <w:pPr>
        <w:pStyle w:val="ShotDescription"/>
        <w:numPr>
          <w:ilvl w:val="2"/>
          <w:numId w:val="3"/>
        </w:numPr>
        <w:rPr>
          <w:lang w:val="en-IN"/>
        </w:rPr>
      </w:pPr>
      <w:r w:rsidRPr="00297EFC">
        <w:rPr>
          <w:lang w:val="en-IN"/>
        </w:rPr>
        <w:t>Talent placing the plate on a microplate shaker and starting the 2-minute shake cycle.</w:t>
      </w:r>
    </w:p>
    <w:p w14:paraId="3A01D63B" w14:textId="77777777" w:rsidR="00206E40" w:rsidRPr="00297EFC" w:rsidRDefault="00206E40" w:rsidP="00206E40">
      <w:pPr>
        <w:pStyle w:val="ShotDescription"/>
        <w:ind w:firstLine="0"/>
        <w:rPr>
          <w:lang w:val="en-IN"/>
        </w:rPr>
      </w:pPr>
    </w:p>
    <w:p w14:paraId="23EBBEA9" w14:textId="4843ADE9" w:rsidR="006F3A11" w:rsidRPr="00297EFC" w:rsidRDefault="006F3A11" w:rsidP="006F3A11">
      <w:pPr>
        <w:pStyle w:val="Narration"/>
        <w:numPr>
          <w:ilvl w:val="1"/>
          <w:numId w:val="3"/>
        </w:numPr>
      </w:pPr>
      <w:r w:rsidRPr="00297EFC">
        <w:t xml:space="preserve">Transfer 200 microliters of the mixture from each well to a black plate for luminescence measurement </w:t>
      </w:r>
      <w:r w:rsidRPr="00297EFC">
        <w:rPr>
          <w:b/>
          <w:bCs/>
        </w:rPr>
        <w:t>[1]</w:t>
      </w:r>
      <w:r w:rsidR="00206E40">
        <w:t xml:space="preserve"> and i</w:t>
      </w:r>
      <w:r w:rsidRPr="00297EFC">
        <w:t xml:space="preserve">ncubate the black plate at 25 degrees Celsius for 10 minutes </w:t>
      </w:r>
      <w:r w:rsidRPr="00297EFC">
        <w:rPr>
          <w:b/>
          <w:bCs/>
        </w:rPr>
        <w:t>[2]</w:t>
      </w:r>
      <w:r w:rsidRPr="00297EFC">
        <w:t>.</w:t>
      </w:r>
    </w:p>
    <w:p w14:paraId="25FE0F45" w14:textId="77777777" w:rsidR="006F3A11" w:rsidRDefault="006F3A11" w:rsidP="006F3A11">
      <w:pPr>
        <w:pStyle w:val="ShotDescription"/>
        <w:numPr>
          <w:ilvl w:val="2"/>
          <w:numId w:val="3"/>
        </w:numPr>
        <w:rPr>
          <w:lang w:val="en-IN"/>
        </w:rPr>
      </w:pPr>
      <w:r w:rsidRPr="00297EFC">
        <w:rPr>
          <w:lang w:val="en-IN"/>
        </w:rPr>
        <w:t>Talent transferring 200 microliters of mixture from each well to a black 96-well plate.</w:t>
      </w:r>
    </w:p>
    <w:p w14:paraId="1E9C948C" w14:textId="7F344E88" w:rsidR="006F3A11" w:rsidRDefault="006F3A11" w:rsidP="006F3A11">
      <w:pPr>
        <w:pStyle w:val="ShotDescription"/>
        <w:numPr>
          <w:ilvl w:val="2"/>
          <w:numId w:val="3"/>
        </w:numPr>
        <w:rPr>
          <w:lang w:val="en-IN"/>
        </w:rPr>
      </w:pPr>
      <w:r w:rsidRPr="00297EFC">
        <w:rPr>
          <w:lang w:val="en-IN"/>
        </w:rPr>
        <w:t xml:space="preserve">Talent placing the black plate </w:t>
      </w:r>
      <w:r w:rsidR="00A70AD6">
        <w:rPr>
          <w:lang w:val="en-IN"/>
        </w:rPr>
        <w:t>at room temperature (on bench)</w:t>
      </w:r>
      <w:r w:rsidRPr="00297EFC">
        <w:rPr>
          <w:lang w:val="en-IN"/>
        </w:rPr>
        <w:t>.</w:t>
      </w:r>
    </w:p>
    <w:p w14:paraId="39E18B49" w14:textId="77777777" w:rsidR="00206E40" w:rsidRPr="00297EFC" w:rsidRDefault="00206E40" w:rsidP="00206E40">
      <w:pPr>
        <w:pStyle w:val="ShotDescription"/>
        <w:ind w:firstLine="0"/>
        <w:rPr>
          <w:lang w:val="en-IN"/>
        </w:rPr>
      </w:pPr>
    </w:p>
    <w:p w14:paraId="77FB8776" w14:textId="488DBDE4" w:rsidR="006F3A11" w:rsidRPr="00297EFC" w:rsidRDefault="00206E40" w:rsidP="006F3A11">
      <w:pPr>
        <w:pStyle w:val="Narration"/>
        <w:numPr>
          <w:ilvl w:val="1"/>
          <w:numId w:val="3"/>
        </w:numPr>
      </w:pPr>
      <w:r>
        <w:t>Then, m</w:t>
      </w:r>
      <w:r w:rsidR="006F3A11" w:rsidRPr="00297EFC">
        <w:t xml:space="preserve">easure the luminescence intensity </w:t>
      </w:r>
      <w:r w:rsidR="006F3A11" w:rsidRPr="00297EFC">
        <w:rPr>
          <w:b/>
          <w:bCs/>
        </w:rPr>
        <w:t>[1]</w:t>
      </w:r>
      <w:r w:rsidR="006F3A11" w:rsidRPr="00297EFC">
        <w:t>.</w:t>
      </w:r>
    </w:p>
    <w:p w14:paraId="0788BA73" w14:textId="00BAACB3" w:rsidR="006F3A11" w:rsidRPr="00297EFC" w:rsidRDefault="006F3A11" w:rsidP="006F3A11">
      <w:pPr>
        <w:pStyle w:val="ShotDescription"/>
        <w:numPr>
          <w:ilvl w:val="2"/>
          <w:numId w:val="3"/>
        </w:numPr>
        <w:rPr>
          <w:lang w:val="en-IN"/>
        </w:rPr>
      </w:pPr>
      <w:r w:rsidRPr="00297EFC">
        <w:rPr>
          <w:lang w:val="en-IN"/>
        </w:rPr>
        <w:t>Show the luminometer software interface as the</w:t>
      </w:r>
      <w:r w:rsidR="00206E40">
        <w:rPr>
          <w:lang w:val="en-IN"/>
        </w:rPr>
        <w:t xml:space="preserve"> </w:t>
      </w:r>
      <w:r w:rsidRPr="00297EFC">
        <w:rPr>
          <w:lang w:val="en-IN"/>
        </w:rPr>
        <w:t>luminescence readings are acquired.</w:t>
      </w:r>
      <w:r w:rsidR="004F2257">
        <w:rPr>
          <w:lang w:val="en-IN"/>
        </w:rPr>
        <w:br/>
      </w:r>
    </w:p>
    <w:p w14:paraId="23657591" w14:textId="29804C34" w:rsidR="006F3A11" w:rsidRPr="00297EFC" w:rsidRDefault="004F2257" w:rsidP="00206E40">
      <w:pPr>
        <w:pStyle w:val="Narration"/>
        <w:numPr>
          <w:ilvl w:val="1"/>
          <w:numId w:val="3"/>
        </w:numPr>
      </w:pPr>
      <w:r>
        <w:t xml:space="preserve">For </w:t>
      </w:r>
      <w:r w:rsidR="00206E40">
        <w:t xml:space="preserve">the </w:t>
      </w:r>
      <w:r>
        <w:t>determination test, after incubati</w:t>
      </w:r>
      <w:r w:rsidR="00206E40">
        <w:t>ng</w:t>
      </w:r>
      <w:r>
        <w:t xml:space="preserve"> the cells fo</w:t>
      </w:r>
      <w:r w:rsidR="00206E40">
        <w:t>r</w:t>
      </w:r>
      <w:r>
        <w:t xml:space="preserve"> </w:t>
      </w:r>
      <w:r w:rsidR="006F3A11" w:rsidRPr="00297EFC">
        <w:t xml:space="preserve">96 hours, replace the medium in each well with 100 microliters of </w:t>
      </w:r>
      <w:r w:rsidR="00623595">
        <w:t>assay medium</w:t>
      </w:r>
      <w:r w:rsidR="006F3A11" w:rsidRPr="00297EFC">
        <w:t xml:space="preserve"> </w:t>
      </w:r>
      <w:r w:rsidR="006F3A11" w:rsidRPr="00297EFC">
        <w:rPr>
          <w:b/>
          <w:bCs/>
        </w:rPr>
        <w:t>[1]</w:t>
      </w:r>
      <w:r w:rsidR="006F3A11" w:rsidRPr="00297EFC">
        <w:t>.</w:t>
      </w:r>
      <w:r w:rsidR="00206E40">
        <w:t xml:space="preserve"> </w:t>
      </w:r>
      <w:r w:rsidR="00206E40" w:rsidRPr="00297EFC">
        <w:t xml:space="preserve">Dissolve the test chemical in </w:t>
      </w:r>
      <w:r w:rsidR="00623595">
        <w:t xml:space="preserve">assay </w:t>
      </w:r>
      <w:r w:rsidR="00623595">
        <w:lastRenderedPageBreak/>
        <w:t>medium</w:t>
      </w:r>
      <w:r w:rsidR="00206E40" w:rsidRPr="00297EFC">
        <w:t xml:space="preserve"> based on the results obtained from the preliminary test </w:t>
      </w:r>
      <w:r w:rsidR="00206E40" w:rsidRPr="00297EFC">
        <w:rPr>
          <w:b/>
          <w:bCs/>
        </w:rPr>
        <w:t>[</w:t>
      </w:r>
      <w:r w:rsidR="00206E40">
        <w:rPr>
          <w:b/>
          <w:bCs/>
        </w:rPr>
        <w:t>2</w:t>
      </w:r>
      <w:r w:rsidR="00206E40" w:rsidRPr="00297EFC">
        <w:rPr>
          <w:b/>
          <w:bCs/>
        </w:rPr>
        <w:t>]</w:t>
      </w:r>
      <w:r w:rsidR="00206E40" w:rsidRPr="00297EFC">
        <w:t>.</w:t>
      </w:r>
    </w:p>
    <w:p w14:paraId="065C0077" w14:textId="0268282A" w:rsidR="006F3A11" w:rsidRPr="00297EFC" w:rsidRDefault="006F3A11" w:rsidP="006F3A11">
      <w:pPr>
        <w:pStyle w:val="ShotDescription"/>
        <w:numPr>
          <w:ilvl w:val="2"/>
          <w:numId w:val="3"/>
        </w:numPr>
        <w:rPr>
          <w:lang w:val="en-IN"/>
        </w:rPr>
      </w:pPr>
      <w:r w:rsidRPr="00297EFC">
        <w:rPr>
          <w:lang w:val="en-IN"/>
        </w:rPr>
        <w:t xml:space="preserve">Talent aspirating medium from the wells and pipetting 100 microliters of fresh </w:t>
      </w:r>
      <w:r w:rsidR="00623595">
        <w:rPr>
          <w:lang w:val="en-IN"/>
        </w:rPr>
        <w:t>assay medium</w:t>
      </w:r>
      <w:r w:rsidRPr="00297EFC">
        <w:rPr>
          <w:lang w:val="en-IN"/>
        </w:rPr>
        <w:t>.</w:t>
      </w:r>
    </w:p>
    <w:p w14:paraId="6635AA3C" w14:textId="62917D4D" w:rsidR="006F3A11" w:rsidRPr="00297EFC" w:rsidRDefault="006F3A11" w:rsidP="006F3A11">
      <w:pPr>
        <w:pStyle w:val="ShotDescription"/>
        <w:numPr>
          <w:ilvl w:val="2"/>
          <w:numId w:val="3"/>
        </w:numPr>
        <w:rPr>
          <w:lang w:val="en-IN"/>
        </w:rPr>
      </w:pPr>
      <w:r w:rsidRPr="00297EFC">
        <w:rPr>
          <w:lang w:val="en-IN"/>
        </w:rPr>
        <w:t xml:space="preserve">Talent dissolving the test chemical in </w:t>
      </w:r>
      <w:r w:rsidR="00623595">
        <w:rPr>
          <w:lang w:val="en-IN"/>
        </w:rPr>
        <w:t>assay medium</w:t>
      </w:r>
      <w:r w:rsidR="00206E40">
        <w:rPr>
          <w:lang w:val="en-IN"/>
        </w:rPr>
        <w:t>.</w:t>
      </w:r>
      <w:r w:rsidR="00206E40">
        <w:rPr>
          <w:lang w:val="en-IN"/>
        </w:rPr>
        <w:br/>
      </w:r>
    </w:p>
    <w:p w14:paraId="33D0BE34" w14:textId="22271A45" w:rsidR="006F3A11" w:rsidRPr="00297EFC" w:rsidRDefault="006F3A11" w:rsidP="006F3A11">
      <w:pPr>
        <w:pStyle w:val="Narration"/>
        <w:numPr>
          <w:ilvl w:val="1"/>
          <w:numId w:val="3"/>
        </w:numPr>
      </w:pPr>
      <w:r w:rsidRPr="00297EFC">
        <w:t xml:space="preserve">Prepare a nine-point, two-fold serial dilution of the test chemical in </w:t>
      </w:r>
      <w:r w:rsidR="00623595">
        <w:t>assay medium</w:t>
      </w:r>
      <w:r w:rsidRPr="00297EFC">
        <w:t xml:space="preserve"> using the previously prepared solution </w:t>
      </w:r>
      <w:r w:rsidRPr="00297EFC">
        <w:rPr>
          <w:b/>
          <w:bCs/>
        </w:rPr>
        <w:t>[1]</w:t>
      </w:r>
      <w:r w:rsidRPr="00297EFC">
        <w:t>.</w:t>
      </w:r>
    </w:p>
    <w:p w14:paraId="6A1D94C6" w14:textId="77777777" w:rsidR="006F3A11" w:rsidRDefault="006F3A11" w:rsidP="006F3A11">
      <w:pPr>
        <w:pStyle w:val="ShotDescription"/>
        <w:numPr>
          <w:ilvl w:val="2"/>
          <w:numId w:val="3"/>
        </w:numPr>
        <w:rPr>
          <w:lang w:val="en-IN"/>
        </w:rPr>
      </w:pPr>
      <w:r w:rsidRPr="00297EFC">
        <w:rPr>
          <w:lang w:val="en-IN"/>
        </w:rPr>
        <w:t>Talent performing a nine-point, two-fold serial dilution using pipettes and a set of labeled tubes.</w:t>
      </w:r>
    </w:p>
    <w:p w14:paraId="62E40A6A" w14:textId="77777777" w:rsidR="00B115A2" w:rsidRPr="00297EFC" w:rsidRDefault="00B115A2" w:rsidP="00B115A2">
      <w:pPr>
        <w:pStyle w:val="ShotDescription"/>
        <w:ind w:firstLine="0"/>
        <w:rPr>
          <w:lang w:val="en-IN"/>
        </w:rPr>
      </w:pPr>
    </w:p>
    <w:p w14:paraId="0BE15F80" w14:textId="77C1510A" w:rsidR="006F3A11" w:rsidRPr="00297EFC" w:rsidRDefault="006F3A11" w:rsidP="006F3A11">
      <w:pPr>
        <w:pStyle w:val="Narration"/>
        <w:numPr>
          <w:ilvl w:val="1"/>
          <w:numId w:val="3"/>
        </w:numPr>
      </w:pPr>
      <w:r w:rsidRPr="00297EFC">
        <w:t xml:space="preserve">Add 11 microliters per well of the </w:t>
      </w:r>
      <w:r w:rsidR="005D7E55">
        <w:t xml:space="preserve">prepared </w:t>
      </w:r>
      <w:r w:rsidRPr="00297EFC">
        <w:t xml:space="preserve">chemical solutions </w:t>
      </w:r>
      <w:r w:rsidRPr="00297EFC">
        <w:rPr>
          <w:b/>
          <w:bCs/>
        </w:rPr>
        <w:t>[1]</w:t>
      </w:r>
      <w:r w:rsidRPr="00297EFC">
        <w:t xml:space="preserve">. For the vehicle control, add 11 microliters per well of </w:t>
      </w:r>
      <w:r w:rsidR="00623595">
        <w:t>assay medium</w:t>
      </w:r>
      <w:r w:rsidRPr="00297EFC">
        <w:t xml:space="preserve"> containing the same concentration of DMSO</w:t>
      </w:r>
      <w:r w:rsidR="00A15C1F">
        <w:t xml:space="preserve"> </w:t>
      </w:r>
      <w:r w:rsidRPr="00297EFC">
        <w:rPr>
          <w:b/>
          <w:bCs/>
        </w:rPr>
        <w:t>[2</w:t>
      </w:r>
      <w:r w:rsidR="005D7E55">
        <w:rPr>
          <w:b/>
          <w:bCs/>
        </w:rPr>
        <w:t>-TXT</w:t>
      </w:r>
      <w:r w:rsidRPr="00297EFC">
        <w:rPr>
          <w:b/>
          <w:bCs/>
        </w:rPr>
        <w:t>]</w:t>
      </w:r>
      <w:r w:rsidRPr="00297EFC">
        <w:t>.</w:t>
      </w:r>
    </w:p>
    <w:p w14:paraId="601976BB" w14:textId="5B7BE936" w:rsidR="006F3A11" w:rsidRPr="0020065B" w:rsidRDefault="006F3A11" w:rsidP="0020065B">
      <w:pPr>
        <w:pStyle w:val="ShotDescription"/>
        <w:numPr>
          <w:ilvl w:val="2"/>
          <w:numId w:val="3"/>
        </w:numPr>
        <w:rPr>
          <w:lang w:val="en-IN"/>
        </w:rPr>
      </w:pPr>
      <w:r w:rsidRPr="00297EFC">
        <w:rPr>
          <w:lang w:val="en-IN"/>
        </w:rPr>
        <w:t>Talent pipetting 11 microliters of diluted chemical solutions into the wells.</w:t>
      </w:r>
      <w:r w:rsidR="0020065B">
        <w:rPr>
          <w:lang w:val="en-IN"/>
        </w:rPr>
        <w:t xml:space="preserve"> </w:t>
      </w:r>
      <w:r w:rsidR="0020065B" w:rsidRPr="00A70AD6">
        <w:rPr>
          <w:b/>
          <w:bCs/>
          <w:highlight w:val="green"/>
          <w:lang w:val="en-IN"/>
        </w:rPr>
        <w:t>Videographer’s NOTE</w:t>
      </w:r>
      <w:r w:rsidR="0020065B" w:rsidRPr="00A70AD6">
        <w:rPr>
          <w:highlight w:val="green"/>
          <w:lang w:val="en-IN"/>
        </w:rPr>
        <w:t xml:space="preserve">: </w:t>
      </w:r>
      <w:r w:rsidR="0020065B" w:rsidRPr="0020065B">
        <w:rPr>
          <w:highlight w:val="green"/>
          <w:lang w:val="en-IN"/>
        </w:rPr>
        <w:t>2.12.1 - 2.12.2 - Shots combined</w:t>
      </w:r>
      <w:r w:rsidR="0020065B" w:rsidRPr="0020065B">
        <w:rPr>
          <w:highlight w:val="green"/>
          <w:lang w:val="en-IN"/>
        </w:rPr>
        <w:t xml:space="preserve">. </w:t>
      </w:r>
      <w:r w:rsidR="0020065B" w:rsidRPr="0020065B">
        <w:rPr>
          <w:highlight w:val="green"/>
          <w:lang w:val="en-IN"/>
        </w:rPr>
        <w:t>The content of these 2 shots is covered in 1 shot</w:t>
      </w:r>
    </w:p>
    <w:p w14:paraId="4BECDDD7" w14:textId="6AF7FCCA" w:rsidR="006F3A11" w:rsidRPr="00297EFC" w:rsidRDefault="006F3A11" w:rsidP="006F3A11">
      <w:pPr>
        <w:pStyle w:val="ShotDescription"/>
        <w:numPr>
          <w:ilvl w:val="2"/>
          <w:numId w:val="3"/>
        </w:numPr>
        <w:rPr>
          <w:lang w:val="en-IN"/>
        </w:rPr>
      </w:pPr>
      <w:r w:rsidRPr="00297EFC">
        <w:rPr>
          <w:lang w:val="en-IN"/>
        </w:rPr>
        <w:t>Talent pipetting 11 microliters of vehicle control solution into control wells.</w:t>
      </w:r>
      <w:r w:rsidR="004F2257">
        <w:rPr>
          <w:lang w:val="en-IN"/>
        </w:rPr>
        <w:t xml:space="preserve"> </w:t>
      </w:r>
      <w:r w:rsidR="004F2257" w:rsidRPr="004F2257">
        <w:rPr>
          <w:b/>
          <w:bCs/>
          <w:lang w:val="en-IN"/>
        </w:rPr>
        <w:t xml:space="preserve">TXT: Incubate for 48 h and proceed similarly </w:t>
      </w:r>
      <w:r w:rsidR="00B74953">
        <w:rPr>
          <w:b/>
          <w:bCs/>
          <w:lang w:val="en-IN"/>
        </w:rPr>
        <w:t>to</w:t>
      </w:r>
      <w:r w:rsidR="004F2257" w:rsidRPr="004F2257">
        <w:rPr>
          <w:b/>
          <w:bCs/>
          <w:lang w:val="en-IN"/>
        </w:rPr>
        <w:t xml:space="preserve"> </w:t>
      </w:r>
      <w:r w:rsidR="004F2257">
        <w:rPr>
          <w:b/>
          <w:bCs/>
          <w:lang w:val="en-IN"/>
        </w:rPr>
        <w:t xml:space="preserve">the </w:t>
      </w:r>
      <w:r w:rsidR="004F2257" w:rsidRPr="004F2257">
        <w:rPr>
          <w:b/>
          <w:bCs/>
          <w:lang w:val="en-IN"/>
        </w:rPr>
        <w:t>preliminary test</w:t>
      </w:r>
      <w:r w:rsidR="00A15C1F">
        <w:rPr>
          <w:lang w:val="en-IN"/>
        </w:rPr>
        <w:br/>
      </w:r>
    </w:p>
    <w:p w14:paraId="27658B5C" w14:textId="4E822BEA" w:rsidR="009373F8" w:rsidRPr="00297EFC" w:rsidRDefault="009373F8" w:rsidP="009373F8">
      <w:pPr>
        <w:pStyle w:val="ShotDescription"/>
        <w:numPr>
          <w:ilvl w:val="0"/>
          <w:numId w:val="3"/>
        </w:numPr>
        <w:rPr>
          <w:lang w:val="en-IN"/>
        </w:rPr>
      </w:pPr>
      <w:r w:rsidRPr="00B829D0">
        <w:rPr>
          <w:rFonts w:asciiTheme="majorHAnsi" w:hAnsiTheme="majorHAnsi" w:cstheme="majorHAnsi"/>
          <w:b/>
          <w:lang w:eastAsia="ja-JP"/>
        </w:rPr>
        <w:t>Real-</w:t>
      </w:r>
      <w:r w:rsidR="00FA5EE4">
        <w:rPr>
          <w:rFonts w:asciiTheme="majorHAnsi" w:hAnsiTheme="majorHAnsi" w:cstheme="majorHAnsi"/>
          <w:b/>
          <w:lang w:eastAsia="ja-JP"/>
        </w:rPr>
        <w:t>T</w:t>
      </w:r>
      <w:r w:rsidRPr="00B829D0">
        <w:rPr>
          <w:rFonts w:asciiTheme="majorHAnsi" w:hAnsiTheme="majorHAnsi" w:cstheme="majorHAnsi"/>
          <w:b/>
          <w:lang w:eastAsia="ja-JP"/>
        </w:rPr>
        <w:t xml:space="preserve">ime </w:t>
      </w:r>
      <w:r w:rsidR="00FA5EE4">
        <w:rPr>
          <w:rFonts w:asciiTheme="majorHAnsi" w:hAnsiTheme="majorHAnsi" w:cstheme="majorHAnsi"/>
          <w:b/>
          <w:lang w:eastAsia="ja-JP"/>
        </w:rPr>
        <w:t>R</w:t>
      </w:r>
      <w:r w:rsidRPr="00B829D0">
        <w:rPr>
          <w:rFonts w:asciiTheme="majorHAnsi" w:hAnsiTheme="majorHAnsi" w:cstheme="majorHAnsi"/>
          <w:b/>
          <w:lang w:eastAsia="ja-JP"/>
        </w:rPr>
        <w:t xml:space="preserve">eporter </w:t>
      </w:r>
      <w:r w:rsidR="00FA5EE4">
        <w:rPr>
          <w:rFonts w:asciiTheme="majorHAnsi" w:hAnsiTheme="majorHAnsi" w:cstheme="majorHAnsi"/>
          <w:b/>
          <w:lang w:eastAsia="ja-JP"/>
        </w:rPr>
        <w:t>A</w:t>
      </w:r>
      <w:r w:rsidRPr="00B829D0">
        <w:rPr>
          <w:rFonts w:asciiTheme="majorHAnsi" w:hAnsiTheme="majorHAnsi" w:cstheme="majorHAnsi"/>
          <w:b/>
          <w:lang w:eastAsia="ja-JP"/>
        </w:rPr>
        <w:t xml:space="preserve">ssay </w:t>
      </w:r>
    </w:p>
    <w:p w14:paraId="7D1EBD5F" w14:textId="186503F7" w:rsidR="006F3A11" w:rsidRPr="00297EFC" w:rsidRDefault="009373F8" w:rsidP="00FA5EE4">
      <w:pPr>
        <w:pStyle w:val="Narration"/>
        <w:numPr>
          <w:ilvl w:val="1"/>
          <w:numId w:val="3"/>
        </w:numPr>
      </w:pPr>
      <w:r>
        <w:t>After incubating the cells</w:t>
      </w:r>
      <w:r w:rsidR="006F3A11" w:rsidRPr="00297EFC">
        <w:t xml:space="preserve"> </w:t>
      </w:r>
      <w:r>
        <w:t>for 96</w:t>
      </w:r>
      <w:r w:rsidR="006F3A11" w:rsidRPr="00297EFC">
        <w:t xml:space="preserve"> hours, replace the medium in each well with 100 microliters of </w:t>
      </w:r>
      <w:r w:rsidR="00623595">
        <w:t>assay medium</w:t>
      </w:r>
      <w:r w:rsidR="006F3A11" w:rsidRPr="00297EFC">
        <w:t xml:space="preserve"> containing 1 percent luminescent substrate </w:t>
      </w:r>
      <w:r w:rsidR="006F3A11" w:rsidRPr="00297EFC">
        <w:rPr>
          <w:b/>
          <w:bCs/>
        </w:rPr>
        <w:t>[1]</w:t>
      </w:r>
      <w:r w:rsidR="006F3A11" w:rsidRPr="00297EFC">
        <w:t>.</w:t>
      </w:r>
      <w:r w:rsidR="00FA5EE4">
        <w:t xml:space="preserve"> </w:t>
      </w:r>
      <w:r w:rsidR="00FA5EE4" w:rsidRPr="00297EFC">
        <w:t xml:space="preserve">Dissolve the test chemical in </w:t>
      </w:r>
      <w:r w:rsidR="00623595">
        <w:t>assay medium</w:t>
      </w:r>
      <w:r w:rsidR="00FA5EE4" w:rsidRPr="00297EFC">
        <w:t xml:space="preserve"> at the concentration determined from the previous section </w:t>
      </w:r>
      <w:r w:rsidR="00FA5EE4" w:rsidRPr="00297EFC">
        <w:rPr>
          <w:b/>
          <w:bCs/>
        </w:rPr>
        <w:t>[</w:t>
      </w:r>
      <w:r w:rsidR="00FA5EE4">
        <w:rPr>
          <w:b/>
          <w:bCs/>
        </w:rPr>
        <w:t>2</w:t>
      </w:r>
      <w:r w:rsidR="00FA5EE4" w:rsidRPr="00297EFC">
        <w:rPr>
          <w:b/>
          <w:bCs/>
        </w:rPr>
        <w:t>]</w:t>
      </w:r>
      <w:r w:rsidR="00FA5EE4" w:rsidRPr="00297EFC">
        <w:t>.</w:t>
      </w:r>
    </w:p>
    <w:p w14:paraId="1F53F2D4" w14:textId="5963A46B" w:rsidR="006F3A11" w:rsidRPr="00297EFC" w:rsidRDefault="006F3A11" w:rsidP="006F3A11">
      <w:pPr>
        <w:pStyle w:val="ShotDescription"/>
        <w:numPr>
          <w:ilvl w:val="2"/>
          <w:numId w:val="3"/>
        </w:numPr>
        <w:rPr>
          <w:lang w:val="en-IN"/>
        </w:rPr>
      </w:pPr>
      <w:r w:rsidRPr="00297EFC">
        <w:rPr>
          <w:lang w:val="en-IN"/>
        </w:rPr>
        <w:t xml:space="preserve">Talent aspirating old medium and pipetting 100 microliters of </w:t>
      </w:r>
      <w:r w:rsidR="00623595">
        <w:rPr>
          <w:lang w:val="en-IN"/>
        </w:rPr>
        <w:t>assay medium</w:t>
      </w:r>
      <w:r w:rsidRPr="00297EFC">
        <w:rPr>
          <w:lang w:val="en-IN"/>
        </w:rPr>
        <w:t xml:space="preserve"> with luminescent substrate into each well.</w:t>
      </w:r>
    </w:p>
    <w:p w14:paraId="37FD272A" w14:textId="5BA9DCF5" w:rsidR="006F3A11" w:rsidRPr="00297EFC" w:rsidRDefault="006F3A11" w:rsidP="006F3A11">
      <w:pPr>
        <w:pStyle w:val="ShotDescription"/>
        <w:numPr>
          <w:ilvl w:val="2"/>
          <w:numId w:val="3"/>
        </w:numPr>
        <w:rPr>
          <w:lang w:val="en-IN"/>
        </w:rPr>
      </w:pPr>
      <w:r w:rsidRPr="00297EFC">
        <w:rPr>
          <w:lang w:val="en-IN"/>
        </w:rPr>
        <w:t xml:space="preserve">Talent preparing the test chemical solution in </w:t>
      </w:r>
      <w:r w:rsidR="00623595">
        <w:rPr>
          <w:lang w:val="en-IN"/>
        </w:rPr>
        <w:t>assay medium</w:t>
      </w:r>
      <w:r w:rsidRPr="00297EFC">
        <w:rPr>
          <w:lang w:val="en-IN"/>
        </w:rPr>
        <w:t xml:space="preserve"> based on recorded concentration data.</w:t>
      </w:r>
      <w:r w:rsidR="00FA5EE4">
        <w:rPr>
          <w:lang w:val="en-IN"/>
        </w:rPr>
        <w:br/>
      </w:r>
    </w:p>
    <w:p w14:paraId="05D45798" w14:textId="5D6EE416" w:rsidR="006F3A11" w:rsidRPr="00297EFC" w:rsidRDefault="006F3A11" w:rsidP="006F3A11">
      <w:pPr>
        <w:pStyle w:val="Narration"/>
        <w:numPr>
          <w:ilvl w:val="1"/>
          <w:numId w:val="3"/>
        </w:numPr>
      </w:pPr>
      <w:r w:rsidRPr="00297EFC">
        <w:t xml:space="preserve">Prepare an eight-point, two-fold serial dilution of the test chemical in </w:t>
      </w:r>
      <w:r w:rsidR="00623595">
        <w:t>assay medium</w:t>
      </w:r>
      <w:r w:rsidRPr="00297EFC">
        <w:t xml:space="preserve"> using the previously prepared solution </w:t>
      </w:r>
      <w:r w:rsidRPr="00297EFC">
        <w:rPr>
          <w:b/>
          <w:bCs/>
        </w:rPr>
        <w:t>[1]</w:t>
      </w:r>
      <w:r w:rsidRPr="00297EFC">
        <w:t>.</w:t>
      </w:r>
    </w:p>
    <w:p w14:paraId="3E3113D2" w14:textId="77777777" w:rsidR="006F3A11" w:rsidRPr="00297EFC" w:rsidRDefault="006F3A11" w:rsidP="006F3A11">
      <w:pPr>
        <w:pStyle w:val="ShotDescription"/>
        <w:numPr>
          <w:ilvl w:val="2"/>
          <w:numId w:val="3"/>
        </w:numPr>
        <w:rPr>
          <w:lang w:val="en-IN"/>
        </w:rPr>
      </w:pPr>
      <w:r w:rsidRPr="00297EFC">
        <w:rPr>
          <w:lang w:val="en-IN"/>
        </w:rPr>
        <w:t>Talent performing eight-point, two-fold serial dilution using pipettes and labeled tubes.</w:t>
      </w:r>
    </w:p>
    <w:p w14:paraId="7BD24291" w14:textId="2BF8B189" w:rsidR="006F3A11" w:rsidRPr="00297EFC" w:rsidRDefault="006F3A11" w:rsidP="006F3A11">
      <w:pPr>
        <w:pStyle w:val="Narration"/>
        <w:numPr>
          <w:ilvl w:val="1"/>
          <w:numId w:val="3"/>
        </w:numPr>
      </w:pPr>
      <w:r w:rsidRPr="00297EFC">
        <w:t xml:space="preserve">Two hours after the medium exchange, add 11 microliters per well of the serially diluted chemical solutions </w:t>
      </w:r>
      <w:r w:rsidRPr="00297EFC">
        <w:rPr>
          <w:b/>
          <w:bCs/>
        </w:rPr>
        <w:t>[1]</w:t>
      </w:r>
      <w:r w:rsidRPr="00297EFC">
        <w:t xml:space="preserve">. For the vehicle control, add 11 microliters per well of </w:t>
      </w:r>
      <w:r w:rsidR="00623595">
        <w:t>assay medium</w:t>
      </w:r>
      <w:r w:rsidRPr="00297EFC">
        <w:t xml:space="preserve"> containing the same concentration of DMSO </w:t>
      </w:r>
      <w:r w:rsidRPr="00297EFC">
        <w:rPr>
          <w:b/>
          <w:bCs/>
        </w:rPr>
        <w:t>[2]</w:t>
      </w:r>
      <w:r w:rsidRPr="00297EFC">
        <w:t>.</w:t>
      </w:r>
    </w:p>
    <w:p w14:paraId="4C50A85D" w14:textId="3E517E1E" w:rsidR="006F3A11" w:rsidRPr="0020065B" w:rsidRDefault="006F3A11" w:rsidP="0020065B">
      <w:pPr>
        <w:pStyle w:val="ShotDescription"/>
        <w:numPr>
          <w:ilvl w:val="2"/>
          <w:numId w:val="3"/>
        </w:numPr>
        <w:rPr>
          <w:lang w:val="en-IN"/>
        </w:rPr>
      </w:pPr>
      <w:r w:rsidRPr="00297EFC">
        <w:rPr>
          <w:lang w:val="en-IN"/>
        </w:rPr>
        <w:lastRenderedPageBreak/>
        <w:t>Talent pipetting 11 microliters of diluted test chemical into experimental wells.</w:t>
      </w:r>
      <w:r w:rsidR="0020065B">
        <w:rPr>
          <w:lang w:val="en-IN"/>
        </w:rPr>
        <w:t xml:space="preserve"> </w:t>
      </w:r>
      <w:r w:rsidR="0020065B" w:rsidRPr="00A70AD6">
        <w:rPr>
          <w:b/>
          <w:bCs/>
          <w:highlight w:val="green"/>
          <w:lang w:val="en-IN"/>
        </w:rPr>
        <w:t>Videographer’s NOTE</w:t>
      </w:r>
      <w:r w:rsidR="0020065B" w:rsidRPr="00A70AD6">
        <w:rPr>
          <w:highlight w:val="green"/>
          <w:lang w:val="en-IN"/>
        </w:rPr>
        <w:t xml:space="preserve">: </w:t>
      </w:r>
      <w:r w:rsidR="0020065B" w:rsidRPr="0020065B">
        <w:rPr>
          <w:highlight w:val="green"/>
          <w:lang w:val="en-IN"/>
        </w:rPr>
        <w:t>3.3.1 - 3.3.2 - Shots combined</w:t>
      </w:r>
      <w:r w:rsidR="0020065B" w:rsidRPr="0020065B">
        <w:rPr>
          <w:highlight w:val="green"/>
          <w:lang w:val="en-IN"/>
        </w:rPr>
        <w:t xml:space="preserve">. </w:t>
      </w:r>
      <w:r w:rsidR="0020065B" w:rsidRPr="0020065B">
        <w:rPr>
          <w:highlight w:val="green"/>
          <w:lang w:val="en-IN"/>
        </w:rPr>
        <w:t>The content of these 2 shots is covered in 1 shot</w:t>
      </w:r>
    </w:p>
    <w:p w14:paraId="4D57E302" w14:textId="77777777" w:rsidR="006F3A11" w:rsidRDefault="006F3A11" w:rsidP="006F3A11">
      <w:pPr>
        <w:pStyle w:val="ShotDescription"/>
        <w:numPr>
          <w:ilvl w:val="2"/>
          <w:numId w:val="3"/>
        </w:numPr>
        <w:rPr>
          <w:lang w:val="en-IN"/>
        </w:rPr>
      </w:pPr>
      <w:r w:rsidRPr="00297EFC">
        <w:rPr>
          <w:lang w:val="en-IN"/>
        </w:rPr>
        <w:t>Talent pipetting 11 microliters of vehicle control solution into control wells.</w:t>
      </w:r>
    </w:p>
    <w:p w14:paraId="2EBECD78" w14:textId="77777777" w:rsidR="004F2257" w:rsidRPr="00297EFC" w:rsidRDefault="004F2257" w:rsidP="004F2257">
      <w:pPr>
        <w:pStyle w:val="ShotDescription"/>
        <w:ind w:firstLine="0"/>
        <w:rPr>
          <w:lang w:val="en-IN"/>
        </w:rPr>
      </w:pPr>
    </w:p>
    <w:p w14:paraId="3FAC9ACB" w14:textId="1810DC94" w:rsidR="006F3A11" w:rsidRPr="00297EFC" w:rsidRDefault="006F3A11" w:rsidP="00FA5EE4">
      <w:pPr>
        <w:pStyle w:val="Narration"/>
        <w:numPr>
          <w:ilvl w:val="1"/>
          <w:numId w:val="3"/>
        </w:numPr>
      </w:pPr>
      <w:r w:rsidRPr="00297EFC">
        <w:t xml:space="preserve">One hour after starting chemical exposure, add 12 microliters per well of </w:t>
      </w:r>
      <w:r w:rsidR="00623595">
        <w:t>assay medium</w:t>
      </w:r>
      <w:r w:rsidRPr="00297EFC">
        <w:t xml:space="preserve"> containing basic fibroblast growth factor </w:t>
      </w:r>
      <w:r w:rsidRPr="00297EFC">
        <w:rPr>
          <w:b/>
          <w:bCs/>
        </w:rPr>
        <w:t>[1</w:t>
      </w:r>
      <w:r w:rsidR="00FA5EE4">
        <w:rPr>
          <w:b/>
          <w:bCs/>
        </w:rPr>
        <w:t>-TXT</w:t>
      </w:r>
      <w:r w:rsidRPr="00297EFC">
        <w:rPr>
          <w:b/>
          <w:bCs/>
        </w:rPr>
        <w:t>]</w:t>
      </w:r>
      <w:r w:rsidRPr="00297EFC">
        <w:t>.</w:t>
      </w:r>
      <w:r w:rsidR="00FA5EE4">
        <w:t xml:space="preserve"> </w:t>
      </w:r>
      <w:r w:rsidR="00FA5EE4" w:rsidRPr="00297EFC">
        <w:t xml:space="preserve">Measure luminescence continuously for 48 hours using a real-time luminescence measurement system under 5 percent carbon dioxide at 37 degrees Celsius </w:t>
      </w:r>
      <w:r w:rsidR="00FA5EE4" w:rsidRPr="00297EFC">
        <w:rPr>
          <w:b/>
          <w:bCs/>
        </w:rPr>
        <w:t>[</w:t>
      </w:r>
      <w:r w:rsidR="00FA5EE4">
        <w:rPr>
          <w:b/>
          <w:bCs/>
        </w:rPr>
        <w:t>2</w:t>
      </w:r>
      <w:r w:rsidR="00FA5EE4" w:rsidRPr="00297EFC">
        <w:rPr>
          <w:b/>
          <w:bCs/>
        </w:rPr>
        <w:t>]</w:t>
      </w:r>
      <w:r w:rsidR="00FA5EE4" w:rsidRPr="00297EFC">
        <w:t>.</w:t>
      </w:r>
    </w:p>
    <w:p w14:paraId="5BBB3A22" w14:textId="1FFE9321" w:rsidR="006F3A11" w:rsidRPr="00FA5EE4" w:rsidRDefault="006F3A11" w:rsidP="00FA5EE4">
      <w:pPr>
        <w:pStyle w:val="ShotDescription"/>
        <w:numPr>
          <w:ilvl w:val="2"/>
          <w:numId w:val="3"/>
        </w:numPr>
        <w:rPr>
          <w:bCs/>
        </w:rPr>
      </w:pPr>
      <w:r w:rsidRPr="00297EFC">
        <w:rPr>
          <w:lang w:val="en-IN"/>
        </w:rPr>
        <w:t xml:space="preserve">Talent pipetting 12 microliters of </w:t>
      </w:r>
      <w:r w:rsidR="00623595">
        <w:rPr>
          <w:lang w:val="en-IN"/>
        </w:rPr>
        <w:t>assay medium</w:t>
      </w:r>
      <w:r w:rsidRPr="00297EFC">
        <w:rPr>
          <w:lang w:val="en-IN"/>
        </w:rPr>
        <w:t xml:space="preserve"> with </w:t>
      </w:r>
      <w:proofErr w:type="spellStart"/>
      <w:r w:rsidRPr="00297EFC">
        <w:rPr>
          <w:lang w:val="en-IN"/>
        </w:rPr>
        <w:t>bFGF</w:t>
      </w:r>
      <w:proofErr w:type="spellEnd"/>
      <w:r w:rsidRPr="00297EFC">
        <w:rPr>
          <w:lang w:val="en-IN"/>
        </w:rPr>
        <w:t xml:space="preserve"> into each well.</w:t>
      </w:r>
      <w:r w:rsidR="00FA5EE4">
        <w:rPr>
          <w:lang w:val="en-IN"/>
        </w:rPr>
        <w:t xml:space="preserve"> </w:t>
      </w:r>
      <w:r w:rsidR="00FA5EE4" w:rsidRPr="00FA5EE4">
        <w:rPr>
          <w:b/>
          <w:bCs/>
          <w:lang w:val="en-IN"/>
        </w:rPr>
        <w:t xml:space="preserve">TXT: </w:t>
      </w:r>
      <w:r w:rsidR="00FA5EE4" w:rsidRPr="00FA5EE4">
        <w:rPr>
          <w:b/>
          <w:bCs/>
        </w:rPr>
        <w:t>Final concentration: 2 ng/mL</w:t>
      </w:r>
    </w:p>
    <w:p w14:paraId="2020FFEF" w14:textId="296E8F31" w:rsidR="006F3A11" w:rsidRPr="00297EFC" w:rsidRDefault="0020065B" w:rsidP="006F3A11">
      <w:pPr>
        <w:pStyle w:val="ShotDescription"/>
        <w:numPr>
          <w:ilvl w:val="2"/>
          <w:numId w:val="3"/>
        </w:numPr>
        <w:rPr>
          <w:lang w:val="en-IN"/>
        </w:rPr>
      </w:pPr>
      <w:r>
        <w:rPr>
          <w:lang w:val="en-IN"/>
        </w:rPr>
        <w:t xml:space="preserve">LAB MEDIA: </w:t>
      </w:r>
      <w:r w:rsidRPr="0020065B">
        <w:rPr>
          <w:lang w:val="en-IN"/>
        </w:rPr>
        <w:t>Screen-shot2.png</w:t>
      </w:r>
      <w:r w:rsidR="006F3A11" w:rsidRPr="00297EFC">
        <w:rPr>
          <w:lang w:val="en-IN"/>
        </w:rPr>
        <w:t>.</w:t>
      </w:r>
    </w:p>
    <w:p w14:paraId="2D07286D" w14:textId="77777777" w:rsidR="006F3A11" w:rsidRPr="004F225E" w:rsidRDefault="006F3A11" w:rsidP="006F3A11">
      <w:pPr>
        <w:rPr>
          <w:lang w:val="en-IN"/>
        </w:rPr>
      </w:pPr>
    </w:p>
    <w:p w14:paraId="09689C4F" w14:textId="1ECA6A09"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256452D7" w14:textId="313FC568" w:rsidR="004F2257" w:rsidRDefault="004F2257" w:rsidP="004F2257">
      <w:pPr>
        <w:pStyle w:val="Narration"/>
        <w:numPr>
          <w:ilvl w:val="1"/>
          <w:numId w:val="3"/>
        </w:numPr>
      </w:pPr>
      <w:r w:rsidRPr="004A7E8B">
        <w:t xml:space="preserve">Phase contrast imaging confirmed a confluent cell layer covering nearly the entire surface of the wells both before </w:t>
      </w:r>
      <w:r w:rsidRPr="005D7E55">
        <w:rPr>
          <w:b/>
          <w:bCs/>
        </w:rPr>
        <w:t>[1]</w:t>
      </w:r>
      <w:r w:rsidRPr="004A7E8B">
        <w:t xml:space="preserve"> and after chemical exposure</w:t>
      </w:r>
      <w:r w:rsidR="005D7E55">
        <w:t xml:space="preserve"> </w:t>
      </w:r>
      <w:r w:rsidR="005D7E55" w:rsidRPr="005D7E55">
        <w:rPr>
          <w:b/>
          <w:bCs/>
        </w:rPr>
        <w:t>[2]</w:t>
      </w:r>
      <w:r w:rsidRPr="005D7E55">
        <w:rPr>
          <w:b/>
          <w:bCs/>
        </w:rPr>
        <w:t>.</w:t>
      </w:r>
    </w:p>
    <w:p w14:paraId="14CADA99" w14:textId="001FC9B4" w:rsidR="004F2257" w:rsidRPr="005D7E55" w:rsidRDefault="004F2257" w:rsidP="004F2257">
      <w:pPr>
        <w:pStyle w:val="ShotDescription"/>
        <w:numPr>
          <w:ilvl w:val="2"/>
          <w:numId w:val="3"/>
        </w:numPr>
        <w:rPr>
          <w:lang w:val="en-IN"/>
        </w:rPr>
      </w:pPr>
      <w:r w:rsidRPr="005D7E55">
        <w:rPr>
          <w:lang w:val="en-IN"/>
        </w:rPr>
        <w:t xml:space="preserve">LAB MEDIA: Figure 2A. </w:t>
      </w:r>
      <w:r w:rsidRPr="005D7E55">
        <w:rPr>
          <w:i/>
          <w:iCs/>
          <w:color w:val="0070C0"/>
          <w:lang w:val="en-IN"/>
        </w:rPr>
        <w:t xml:space="preserve">Video editor: Show the “Before exposure” panel </w:t>
      </w:r>
    </w:p>
    <w:p w14:paraId="4530E6EA" w14:textId="428B9FEB" w:rsidR="004F2257" w:rsidRPr="00250BD0" w:rsidRDefault="004F2257" w:rsidP="004F2257">
      <w:pPr>
        <w:pStyle w:val="ShotDescription"/>
        <w:numPr>
          <w:ilvl w:val="2"/>
          <w:numId w:val="3"/>
        </w:numPr>
        <w:rPr>
          <w:lang w:val="en-IN"/>
        </w:rPr>
      </w:pPr>
      <w:r w:rsidRPr="005D7E55">
        <w:rPr>
          <w:lang w:val="en-IN"/>
        </w:rPr>
        <w:t>LAB MEDIA: Figure 2A</w:t>
      </w:r>
      <w:r w:rsidRPr="004A7E8B">
        <w:rPr>
          <w:b/>
          <w:bCs/>
          <w:lang w:val="en-IN"/>
        </w:rPr>
        <w:t>.</w:t>
      </w:r>
      <w:r w:rsidRPr="004A7E8B">
        <w:rPr>
          <w:lang w:val="en-IN"/>
        </w:rPr>
        <w:t xml:space="preserve"> </w:t>
      </w:r>
      <w:r w:rsidRPr="005D7E55">
        <w:rPr>
          <w:i/>
          <w:iCs/>
          <w:color w:val="0070C0"/>
          <w:lang w:val="en-IN"/>
        </w:rPr>
        <w:t>Video editor: Show the “After exposure” panel</w:t>
      </w:r>
    </w:p>
    <w:p w14:paraId="57B92144" w14:textId="77777777" w:rsidR="00250BD0" w:rsidRPr="004A7E8B" w:rsidRDefault="00250BD0" w:rsidP="00250BD0">
      <w:pPr>
        <w:pStyle w:val="ShotDescription"/>
        <w:ind w:firstLine="0"/>
        <w:rPr>
          <w:lang w:val="en-IN"/>
        </w:rPr>
      </w:pPr>
    </w:p>
    <w:p w14:paraId="001775DB" w14:textId="191EDB1D" w:rsidR="004F2257" w:rsidRDefault="004F2257" w:rsidP="004F2257">
      <w:pPr>
        <w:pStyle w:val="Narration"/>
        <w:numPr>
          <w:ilvl w:val="1"/>
          <w:numId w:val="3"/>
        </w:numPr>
      </w:pPr>
      <w:r w:rsidRPr="004A7E8B">
        <w:t>Live</w:t>
      </w:r>
      <w:r w:rsidR="005D7E55">
        <w:t xml:space="preserve"> and </w:t>
      </w:r>
      <w:r w:rsidRPr="004A7E8B">
        <w:t xml:space="preserve">dead staining showed that while the number of propidium iodide-stained dead cells increased after chemical exposure </w:t>
      </w:r>
      <w:r w:rsidRPr="005D7E55">
        <w:rPr>
          <w:b/>
          <w:bCs/>
        </w:rPr>
        <w:t>[1],</w:t>
      </w:r>
      <w:r w:rsidRPr="004A7E8B">
        <w:t xml:space="preserve"> </w:t>
      </w:r>
      <w:proofErr w:type="gramStart"/>
      <w:r w:rsidRPr="004A7E8B">
        <w:t>the majority of</w:t>
      </w:r>
      <w:proofErr w:type="gramEnd"/>
      <w:r w:rsidRPr="004A7E8B">
        <w:t xml:space="preserve"> cells remained viable and were stained with </w:t>
      </w:r>
      <w:proofErr w:type="spellStart"/>
      <w:r w:rsidRPr="004A7E8B">
        <w:t>calcein</w:t>
      </w:r>
      <w:proofErr w:type="spellEnd"/>
      <w:r w:rsidRPr="004A7E8B">
        <w:t xml:space="preserve">-AM </w:t>
      </w:r>
      <w:r w:rsidRPr="005D7E55">
        <w:rPr>
          <w:b/>
          <w:bCs/>
        </w:rPr>
        <w:t>[2].</w:t>
      </w:r>
    </w:p>
    <w:p w14:paraId="1F10F3AE" w14:textId="12FEB035" w:rsidR="004F2257" w:rsidRPr="005D7E55" w:rsidRDefault="004F2257" w:rsidP="004F2257">
      <w:pPr>
        <w:pStyle w:val="ShotDescription"/>
        <w:numPr>
          <w:ilvl w:val="2"/>
          <w:numId w:val="3"/>
        </w:numPr>
        <w:rPr>
          <w:i/>
          <w:iCs/>
          <w:color w:val="0070C0"/>
          <w:lang w:val="en-IN"/>
        </w:rPr>
      </w:pPr>
      <w:r w:rsidRPr="005D7E55">
        <w:rPr>
          <w:lang w:val="en-IN"/>
        </w:rPr>
        <w:t xml:space="preserve">LAB MEDIA: Figure 2B. </w:t>
      </w:r>
      <w:r w:rsidRPr="005D7E55">
        <w:rPr>
          <w:i/>
          <w:iCs/>
          <w:color w:val="0070C0"/>
          <w:lang w:val="en-IN"/>
        </w:rPr>
        <w:t>Video editor: Highlight the “After exposure” panel.</w:t>
      </w:r>
    </w:p>
    <w:p w14:paraId="686118A0" w14:textId="44A85E2A" w:rsidR="004F2257" w:rsidRPr="00250BD0" w:rsidRDefault="004F2257" w:rsidP="004F2257">
      <w:pPr>
        <w:pStyle w:val="ShotDescription"/>
        <w:numPr>
          <w:ilvl w:val="2"/>
          <w:numId w:val="3"/>
        </w:numPr>
        <w:rPr>
          <w:lang w:val="en-IN"/>
        </w:rPr>
      </w:pPr>
      <w:r w:rsidRPr="005D7E55">
        <w:rPr>
          <w:lang w:val="en-IN"/>
        </w:rPr>
        <w:t>LAB MEDIA: Figure 2B</w:t>
      </w:r>
      <w:r w:rsidRPr="004A7E8B">
        <w:rPr>
          <w:b/>
          <w:bCs/>
          <w:lang w:val="en-IN"/>
        </w:rPr>
        <w:t>.</w:t>
      </w:r>
      <w:r w:rsidRPr="004A7E8B">
        <w:rPr>
          <w:lang w:val="en-IN"/>
        </w:rPr>
        <w:t xml:space="preserve"> </w:t>
      </w:r>
      <w:r w:rsidRPr="005D7E55">
        <w:rPr>
          <w:i/>
          <w:iCs/>
          <w:color w:val="0070C0"/>
          <w:lang w:val="en-IN"/>
        </w:rPr>
        <w:t>Video editor: Emphasize the dominant green fluorescence in the “After exposure” panel</w:t>
      </w:r>
    </w:p>
    <w:p w14:paraId="0D0CF624" w14:textId="77777777" w:rsidR="00250BD0" w:rsidRPr="004A7E8B" w:rsidRDefault="00250BD0" w:rsidP="00250BD0">
      <w:pPr>
        <w:pStyle w:val="ShotDescription"/>
        <w:ind w:firstLine="0"/>
        <w:rPr>
          <w:lang w:val="en-IN"/>
        </w:rPr>
      </w:pPr>
    </w:p>
    <w:p w14:paraId="6FFAA55D" w14:textId="77777777" w:rsidR="004F2257" w:rsidRDefault="004F2257" w:rsidP="004F2257">
      <w:pPr>
        <w:pStyle w:val="Narration"/>
        <w:numPr>
          <w:ilvl w:val="1"/>
          <w:numId w:val="3"/>
        </w:numPr>
      </w:pPr>
      <w:r w:rsidRPr="004A7E8B">
        <w:t xml:space="preserve">In the absence of test chemicals, luminescence intensity showed two distinct peaks across all six replicate wells, demonstrating high reproducibility and temporal resolution </w:t>
      </w:r>
      <w:r w:rsidRPr="005D7E55">
        <w:rPr>
          <w:b/>
          <w:bCs/>
        </w:rPr>
        <w:t>[1].</w:t>
      </w:r>
    </w:p>
    <w:p w14:paraId="7DA6C88F" w14:textId="43A9E674" w:rsidR="004F2257" w:rsidRPr="004A7E8B" w:rsidRDefault="004F2257" w:rsidP="004F2257">
      <w:pPr>
        <w:pStyle w:val="ShotDescription"/>
        <w:numPr>
          <w:ilvl w:val="2"/>
          <w:numId w:val="3"/>
        </w:numPr>
        <w:rPr>
          <w:lang w:val="en-IN"/>
        </w:rPr>
      </w:pPr>
      <w:r w:rsidRPr="005D7E55">
        <w:rPr>
          <w:lang w:val="en-IN"/>
        </w:rPr>
        <w:t>LAB MEDIA: Figure 3A.</w:t>
      </w:r>
      <w:r w:rsidRPr="004A7E8B">
        <w:rPr>
          <w:lang w:val="en-IN"/>
        </w:rPr>
        <w:t xml:space="preserve"> </w:t>
      </w:r>
      <w:r w:rsidR="00E46DBA">
        <w:rPr>
          <w:lang w:val="en-IN"/>
        </w:rPr>
        <w:br/>
      </w:r>
    </w:p>
    <w:p w14:paraId="026905D2" w14:textId="5301F53F" w:rsidR="004F2257" w:rsidRDefault="004F2257" w:rsidP="004F2257">
      <w:pPr>
        <w:pStyle w:val="Narration"/>
        <w:numPr>
          <w:ilvl w:val="1"/>
          <w:numId w:val="3"/>
        </w:numPr>
      </w:pPr>
      <w:r w:rsidRPr="004A7E8B">
        <w:t xml:space="preserve">Automated real-time monitoring revealed that valproic acid disrupted fibroblast growth factor </w:t>
      </w:r>
      <w:proofErr w:type="spellStart"/>
      <w:r w:rsidRPr="004A7E8B">
        <w:t>signaling</w:t>
      </w:r>
      <w:proofErr w:type="spellEnd"/>
      <w:r w:rsidRPr="004A7E8B">
        <w:t xml:space="preserve"> in a concentration-dependent manner </w:t>
      </w:r>
      <w:r w:rsidRPr="005D7E55">
        <w:rPr>
          <w:b/>
          <w:bCs/>
        </w:rPr>
        <w:t>[1],</w:t>
      </w:r>
      <w:r w:rsidRPr="004A7E8B">
        <w:t xml:space="preserve"> with stronger suppression at higher concentrations </w:t>
      </w:r>
      <w:r w:rsidRPr="005D7E55">
        <w:rPr>
          <w:b/>
          <w:bCs/>
        </w:rPr>
        <w:t>[2].</w:t>
      </w:r>
    </w:p>
    <w:p w14:paraId="1211041C" w14:textId="77777777" w:rsidR="004F2257" w:rsidRPr="005D7E55" w:rsidRDefault="004F2257" w:rsidP="004F2257">
      <w:pPr>
        <w:pStyle w:val="ShotDescription"/>
        <w:numPr>
          <w:ilvl w:val="2"/>
          <w:numId w:val="3"/>
        </w:numPr>
        <w:rPr>
          <w:i/>
          <w:iCs/>
          <w:color w:val="0070C0"/>
          <w:lang w:val="en-IN"/>
        </w:rPr>
      </w:pPr>
      <w:r w:rsidRPr="005D7E55">
        <w:rPr>
          <w:lang w:val="en-IN"/>
        </w:rPr>
        <w:t>LAB MEDIA: Figure 3B (</w:t>
      </w:r>
      <w:proofErr w:type="spellStart"/>
      <w:r w:rsidRPr="005D7E55">
        <w:rPr>
          <w:lang w:val="en-IN"/>
        </w:rPr>
        <w:t>center</w:t>
      </w:r>
      <w:proofErr w:type="spellEnd"/>
      <w:r w:rsidRPr="005D7E55">
        <w:rPr>
          <w:lang w:val="en-IN"/>
        </w:rPr>
        <w:t xml:space="preserve"> panel, “Automatic”).</w:t>
      </w:r>
      <w:r w:rsidRPr="004A7E8B">
        <w:rPr>
          <w:lang w:val="en-IN"/>
        </w:rPr>
        <w:t xml:space="preserve"> </w:t>
      </w:r>
      <w:r w:rsidRPr="005D7E55">
        <w:rPr>
          <w:i/>
          <w:iCs/>
          <w:color w:val="0070C0"/>
          <w:lang w:val="en-IN"/>
        </w:rPr>
        <w:t>Video editor: Highlight the gradual suppression of luminescence curves from low (blue) to high (red) concentrations.</w:t>
      </w:r>
    </w:p>
    <w:p w14:paraId="31D77034" w14:textId="0F91D119" w:rsidR="004F2257" w:rsidRDefault="004F2257" w:rsidP="004F2257">
      <w:pPr>
        <w:pStyle w:val="ShotDescription"/>
        <w:numPr>
          <w:ilvl w:val="2"/>
          <w:numId w:val="3"/>
        </w:numPr>
        <w:rPr>
          <w:lang w:val="en-IN"/>
        </w:rPr>
      </w:pPr>
      <w:r w:rsidRPr="005D7E55">
        <w:rPr>
          <w:lang w:val="en-IN"/>
        </w:rPr>
        <w:t>LAB MEDIA: Figure 3B (</w:t>
      </w:r>
      <w:proofErr w:type="spellStart"/>
      <w:r w:rsidRPr="005D7E55">
        <w:rPr>
          <w:lang w:val="en-IN"/>
        </w:rPr>
        <w:t>center</w:t>
      </w:r>
      <w:proofErr w:type="spellEnd"/>
      <w:r w:rsidRPr="005D7E55">
        <w:rPr>
          <w:lang w:val="en-IN"/>
        </w:rPr>
        <w:t xml:space="preserve"> panel, “Automatic”).</w:t>
      </w:r>
      <w:r w:rsidRPr="004A7E8B">
        <w:rPr>
          <w:lang w:val="en-IN"/>
        </w:rPr>
        <w:t xml:space="preserve"> </w:t>
      </w:r>
      <w:r w:rsidRPr="005D7E55">
        <w:rPr>
          <w:i/>
          <w:iCs/>
          <w:color w:val="0070C0"/>
          <w:lang w:val="en-IN"/>
        </w:rPr>
        <w:t>Video editor: Emphasize the red curve which shows the most pronounced signal change</w:t>
      </w:r>
      <w:r w:rsidRPr="004A7E8B">
        <w:rPr>
          <w:lang w:val="en-IN"/>
        </w:rPr>
        <w:t>.</w:t>
      </w:r>
    </w:p>
    <w:p w14:paraId="2F3DAB03" w14:textId="77777777" w:rsidR="001A3D76" w:rsidRPr="004A7E8B" w:rsidRDefault="001A3D76" w:rsidP="001A3D76">
      <w:pPr>
        <w:pStyle w:val="ShotDescription"/>
        <w:ind w:firstLine="0"/>
        <w:rPr>
          <w:lang w:val="en-IN"/>
        </w:rPr>
      </w:pPr>
    </w:p>
    <w:p w14:paraId="30F8570E" w14:textId="21B604A3" w:rsidR="004F2257" w:rsidRPr="005D7E55" w:rsidRDefault="004F2257" w:rsidP="004F2257">
      <w:pPr>
        <w:pStyle w:val="Narration"/>
        <w:numPr>
          <w:ilvl w:val="1"/>
          <w:numId w:val="3"/>
        </w:numPr>
        <w:rPr>
          <w:b/>
          <w:bCs/>
        </w:rPr>
      </w:pPr>
      <w:r w:rsidRPr="004A7E8B">
        <w:t xml:space="preserve">Manual luminescence measurements captured a general suppression pattern by valproic acid but lacked the temporal resolution seen in automated detection </w:t>
      </w:r>
      <w:r w:rsidRPr="005D7E55">
        <w:rPr>
          <w:b/>
          <w:bCs/>
        </w:rPr>
        <w:t>[</w:t>
      </w:r>
      <w:r w:rsidR="005D7E55">
        <w:rPr>
          <w:b/>
          <w:bCs/>
        </w:rPr>
        <w:t>1</w:t>
      </w:r>
      <w:r w:rsidRPr="005D7E55">
        <w:rPr>
          <w:b/>
          <w:bCs/>
        </w:rPr>
        <w:t>].</w:t>
      </w:r>
    </w:p>
    <w:p w14:paraId="42307799" w14:textId="77777777" w:rsidR="004F2257" w:rsidRDefault="004F2257" w:rsidP="004F2257">
      <w:pPr>
        <w:pStyle w:val="ShotDescription"/>
        <w:numPr>
          <w:ilvl w:val="2"/>
          <w:numId w:val="3"/>
        </w:numPr>
        <w:rPr>
          <w:lang w:val="en-IN"/>
        </w:rPr>
      </w:pPr>
      <w:r w:rsidRPr="005D7E55">
        <w:rPr>
          <w:lang w:val="en-IN"/>
        </w:rPr>
        <w:t>LAB MEDIA: Figure 3B (right panel, “Manual”).</w:t>
      </w:r>
      <w:r w:rsidRPr="004A7E8B">
        <w:rPr>
          <w:lang w:val="en-IN"/>
        </w:rPr>
        <w:t xml:space="preserve"> </w:t>
      </w:r>
      <w:r w:rsidRPr="005D7E55">
        <w:rPr>
          <w:i/>
          <w:iCs/>
          <w:color w:val="0070C0"/>
          <w:lang w:val="en-IN"/>
        </w:rPr>
        <w:t>Video editor: Highlight the rising red and orange curves (higher VPA doses).</w:t>
      </w:r>
    </w:p>
    <w:p w14:paraId="29270262" w14:textId="77777777" w:rsidR="0020065B" w:rsidRDefault="0020065B" w:rsidP="0020065B">
      <w:pPr>
        <w:pStyle w:val="NormalWeb"/>
        <w:numPr>
          <w:ilvl w:val="0"/>
          <w:numId w:val="3"/>
        </w:numPr>
      </w:pPr>
      <w:proofErr w:type="gramStart"/>
      <w:r>
        <w:rPr>
          <w:rFonts w:hAnsi="Symbol"/>
        </w:rPr>
        <w:lastRenderedPageBreak/>
        <w:t></w:t>
      </w:r>
      <w:r>
        <w:t xml:space="preserve">  </w:t>
      </w:r>
      <w:r>
        <w:rPr>
          <w:rStyle w:val="Strong"/>
        </w:rPr>
        <w:t>extracellular</w:t>
      </w:r>
      <w:proofErr w:type="gramEnd"/>
      <w:r>
        <w:br/>
        <w:t>Pronunciation link:</w:t>
      </w:r>
      <w:r>
        <w:br/>
        <w:t>https://www.merriam</w:t>
      </w:r>
      <w:r>
        <w:noBreakHyphen/>
        <w:t>webster.com/dictionary/extracellular</w:t>
      </w:r>
      <w:r>
        <w:br/>
        <w:t>IPA: /ˌ</w:t>
      </w:r>
      <w:proofErr w:type="spellStart"/>
      <w:r>
        <w:t>ɛk·strəˈsɛl·jə·lər</w:t>
      </w:r>
      <w:proofErr w:type="spellEnd"/>
      <w:r>
        <w:t>/</w:t>
      </w:r>
      <w:r>
        <w:br/>
        <w:t xml:space="preserve">Phonetic spelling: </w:t>
      </w:r>
      <w:r>
        <w:rPr>
          <w:rStyle w:val="Strong"/>
        </w:rPr>
        <w:t>ek</w:t>
      </w:r>
      <w:r>
        <w:rPr>
          <w:rStyle w:val="Strong"/>
        </w:rPr>
        <w:noBreakHyphen/>
      </w:r>
      <w:proofErr w:type="spellStart"/>
      <w:r>
        <w:rPr>
          <w:rStyle w:val="Strong"/>
        </w:rPr>
        <w:t>struh</w:t>
      </w:r>
      <w:proofErr w:type="spellEnd"/>
      <w:r>
        <w:rPr>
          <w:rStyle w:val="Strong"/>
        </w:rPr>
        <w:noBreakHyphen/>
        <w:t>SELL</w:t>
      </w:r>
      <w:r>
        <w:rPr>
          <w:rStyle w:val="Strong"/>
        </w:rPr>
        <w:noBreakHyphen/>
        <w:t>yuh</w:t>
      </w:r>
      <w:r>
        <w:rPr>
          <w:rStyle w:val="Strong"/>
        </w:rPr>
        <w:noBreakHyphen/>
        <w:t>lur</w:t>
      </w:r>
    </w:p>
    <w:p w14:paraId="58932A57" w14:textId="77777777" w:rsidR="0020065B" w:rsidRDefault="0020065B" w:rsidP="0020065B">
      <w:pPr>
        <w:pStyle w:val="NormalWeb"/>
        <w:numPr>
          <w:ilvl w:val="0"/>
          <w:numId w:val="3"/>
        </w:numPr>
      </w:pPr>
      <w:proofErr w:type="gramStart"/>
      <w:r>
        <w:rPr>
          <w:rFonts w:hAnsi="Symbol"/>
        </w:rPr>
        <w:t></w:t>
      </w:r>
      <w:r>
        <w:t xml:space="preserve">  </w:t>
      </w:r>
      <w:r>
        <w:rPr>
          <w:rStyle w:val="Strong"/>
        </w:rPr>
        <w:t>maintenance</w:t>
      </w:r>
      <w:proofErr w:type="gramEnd"/>
      <w:r>
        <w:br/>
        <w:t>Pronunciation link:</w:t>
      </w:r>
      <w:r>
        <w:br/>
        <w:t>https://www.merriam</w:t>
      </w:r>
      <w:r>
        <w:noBreakHyphen/>
        <w:t>webster.com/dictionary/maintenance</w:t>
      </w:r>
      <w:r>
        <w:br/>
        <w:t>IPA: /ˈ</w:t>
      </w:r>
      <w:proofErr w:type="spellStart"/>
      <w:r>
        <w:t>meɪn·tə·nəns</w:t>
      </w:r>
      <w:proofErr w:type="spellEnd"/>
      <w:r>
        <w:t>/</w:t>
      </w:r>
      <w:r>
        <w:br/>
        <w:t xml:space="preserve">Phonetic spelling: </w:t>
      </w:r>
      <w:r>
        <w:rPr>
          <w:rStyle w:val="Strong"/>
        </w:rPr>
        <w:t>MAYN</w:t>
      </w:r>
      <w:r>
        <w:rPr>
          <w:rStyle w:val="Strong"/>
        </w:rPr>
        <w:noBreakHyphen/>
      </w:r>
      <w:proofErr w:type="spellStart"/>
      <w:r>
        <w:rPr>
          <w:rStyle w:val="Strong"/>
        </w:rPr>
        <w:t>tuh</w:t>
      </w:r>
      <w:proofErr w:type="spellEnd"/>
      <w:r>
        <w:rPr>
          <w:rStyle w:val="Strong"/>
        </w:rPr>
        <w:noBreakHyphen/>
      </w:r>
      <w:proofErr w:type="spellStart"/>
      <w:r>
        <w:rPr>
          <w:rStyle w:val="Strong"/>
        </w:rPr>
        <w:t>nuhns</w:t>
      </w:r>
      <w:proofErr w:type="spellEnd"/>
    </w:p>
    <w:p w14:paraId="20CC230D" w14:textId="77777777" w:rsidR="0020065B" w:rsidRDefault="0020065B" w:rsidP="0020065B">
      <w:pPr>
        <w:pStyle w:val="NormalWeb"/>
        <w:numPr>
          <w:ilvl w:val="0"/>
          <w:numId w:val="3"/>
        </w:numPr>
      </w:pPr>
      <w:proofErr w:type="gramStart"/>
      <w:r>
        <w:rPr>
          <w:rFonts w:hAnsi="Symbol"/>
        </w:rPr>
        <w:t></w:t>
      </w:r>
      <w:r>
        <w:t xml:space="preserve">  </w:t>
      </w:r>
      <w:r>
        <w:rPr>
          <w:rStyle w:val="Strong"/>
        </w:rPr>
        <w:t>supplemented</w:t>
      </w:r>
      <w:proofErr w:type="gramEnd"/>
      <w:r>
        <w:br/>
        <w:t>Pronunciation link:</w:t>
      </w:r>
      <w:r>
        <w:br/>
        <w:t>https://www.merriam</w:t>
      </w:r>
      <w:r>
        <w:noBreakHyphen/>
        <w:t>webster.com/dictionary/supplemented</w:t>
      </w:r>
      <w:r>
        <w:br/>
        <w:t>IPA: /ˈ</w:t>
      </w:r>
      <w:proofErr w:type="spellStart"/>
      <w:r>
        <w:t>sʌp·lə·mən·tɪd</w:t>
      </w:r>
      <w:proofErr w:type="spellEnd"/>
      <w:r>
        <w:t>/</w:t>
      </w:r>
      <w:r>
        <w:br/>
        <w:t xml:space="preserve">Phonetic spelling: </w:t>
      </w:r>
      <w:r>
        <w:rPr>
          <w:rStyle w:val="Strong"/>
        </w:rPr>
        <w:t>SUP</w:t>
      </w:r>
      <w:r>
        <w:rPr>
          <w:rStyle w:val="Strong"/>
        </w:rPr>
        <w:noBreakHyphen/>
      </w:r>
      <w:proofErr w:type="spellStart"/>
      <w:r>
        <w:rPr>
          <w:rStyle w:val="Strong"/>
        </w:rPr>
        <w:t>luh</w:t>
      </w:r>
      <w:proofErr w:type="spellEnd"/>
      <w:r>
        <w:rPr>
          <w:rStyle w:val="Strong"/>
        </w:rPr>
        <w:noBreakHyphen/>
        <w:t>men</w:t>
      </w:r>
      <w:r>
        <w:rPr>
          <w:rStyle w:val="Strong"/>
        </w:rPr>
        <w:noBreakHyphen/>
      </w:r>
      <w:proofErr w:type="spellStart"/>
      <w:r>
        <w:rPr>
          <w:rStyle w:val="Strong"/>
        </w:rPr>
        <w:t>tid</w:t>
      </w:r>
      <w:proofErr w:type="spellEnd"/>
    </w:p>
    <w:p w14:paraId="52695C39" w14:textId="77777777" w:rsidR="0020065B" w:rsidRDefault="0020065B" w:rsidP="0020065B">
      <w:pPr>
        <w:pStyle w:val="NormalWeb"/>
        <w:numPr>
          <w:ilvl w:val="0"/>
          <w:numId w:val="3"/>
        </w:numPr>
      </w:pPr>
      <w:proofErr w:type="gramStart"/>
      <w:r>
        <w:rPr>
          <w:rFonts w:hAnsi="Symbol"/>
        </w:rPr>
        <w:t></w:t>
      </w:r>
      <w:r>
        <w:t xml:space="preserve">  </w:t>
      </w:r>
      <w:r>
        <w:rPr>
          <w:rStyle w:val="Strong"/>
        </w:rPr>
        <w:t>serial</w:t>
      </w:r>
      <w:proofErr w:type="gramEnd"/>
      <w:r>
        <w:br/>
        <w:t>Pronunciation link:</w:t>
      </w:r>
      <w:r>
        <w:br/>
        <w:t>https://www.merriam</w:t>
      </w:r>
      <w:r>
        <w:noBreakHyphen/>
        <w:t>webster.com/dictionary/serial</w:t>
      </w:r>
      <w:r>
        <w:br/>
        <w:t>IPA: /ˈ</w:t>
      </w:r>
      <w:proofErr w:type="spellStart"/>
      <w:r>
        <w:t>sɪ·ri·əl</w:t>
      </w:r>
      <w:proofErr w:type="spellEnd"/>
      <w:r>
        <w:t>/</w:t>
      </w:r>
      <w:r>
        <w:br/>
        <w:t xml:space="preserve">Phonetic spelling: </w:t>
      </w:r>
      <w:r>
        <w:rPr>
          <w:rStyle w:val="Strong"/>
        </w:rPr>
        <w:t>SEER</w:t>
      </w:r>
      <w:r>
        <w:rPr>
          <w:rStyle w:val="Strong"/>
        </w:rPr>
        <w:noBreakHyphen/>
        <w:t>ee</w:t>
      </w:r>
      <w:r>
        <w:rPr>
          <w:rStyle w:val="Strong"/>
        </w:rPr>
        <w:noBreakHyphen/>
      </w:r>
      <w:proofErr w:type="spellStart"/>
      <w:r>
        <w:rPr>
          <w:rStyle w:val="Strong"/>
        </w:rPr>
        <w:t>uhl</w:t>
      </w:r>
      <w:proofErr w:type="spellEnd"/>
    </w:p>
    <w:p w14:paraId="2F03E0E2" w14:textId="77777777" w:rsidR="0020065B" w:rsidRDefault="0020065B" w:rsidP="0020065B">
      <w:pPr>
        <w:pStyle w:val="NormalWeb"/>
        <w:numPr>
          <w:ilvl w:val="0"/>
          <w:numId w:val="3"/>
        </w:numPr>
      </w:pPr>
      <w:proofErr w:type="gramStart"/>
      <w:r>
        <w:rPr>
          <w:rFonts w:hAnsi="Symbol"/>
        </w:rPr>
        <w:t></w:t>
      </w:r>
      <w:r>
        <w:t xml:space="preserve">  </w:t>
      </w:r>
      <w:r>
        <w:rPr>
          <w:rStyle w:val="Strong"/>
        </w:rPr>
        <w:t>luminescent</w:t>
      </w:r>
      <w:proofErr w:type="gramEnd"/>
      <w:r>
        <w:br/>
        <w:t>Pronunciation link:</w:t>
      </w:r>
      <w:r>
        <w:br/>
        <w:t>https://www.merriam</w:t>
      </w:r>
      <w:r>
        <w:noBreakHyphen/>
        <w:t>webster.com/dictionary/luminescent</w:t>
      </w:r>
      <w:r>
        <w:br/>
        <w:t>IPA: /ˌ</w:t>
      </w:r>
      <w:proofErr w:type="spellStart"/>
      <w:r>
        <w:t>lu·məˈnɛs·ənt</w:t>
      </w:r>
      <w:proofErr w:type="spellEnd"/>
      <w:r>
        <w:t>/</w:t>
      </w:r>
      <w:r>
        <w:br/>
        <w:t xml:space="preserve">Phonetic spelling: </w:t>
      </w:r>
      <w:r>
        <w:rPr>
          <w:rStyle w:val="Strong"/>
        </w:rPr>
        <w:t>loo</w:t>
      </w:r>
      <w:r>
        <w:rPr>
          <w:rStyle w:val="Strong"/>
        </w:rPr>
        <w:noBreakHyphen/>
      </w:r>
      <w:proofErr w:type="spellStart"/>
      <w:r>
        <w:rPr>
          <w:rStyle w:val="Strong"/>
        </w:rPr>
        <w:t>muh</w:t>
      </w:r>
      <w:proofErr w:type="spellEnd"/>
      <w:r>
        <w:rPr>
          <w:rStyle w:val="Strong"/>
        </w:rPr>
        <w:noBreakHyphen/>
        <w:t>NESS</w:t>
      </w:r>
      <w:r>
        <w:rPr>
          <w:rStyle w:val="Strong"/>
        </w:rPr>
        <w:noBreakHyphen/>
      </w:r>
      <w:proofErr w:type="spellStart"/>
      <w:r>
        <w:rPr>
          <w:rStyle w:val="Strong"/>
        </w:rPr>
        <w:t>uhnt</w:t>
      </w:r>
      <w:proofErr w:type="spellEnd"/>
    </w:p>
    <w:p w14:paraId="42D70057" w14:textId="77777777" w:rsidR="0020065B" w:rsidRDefault="0020065B" w:rsidP="0020065B">
      <w:pPr>
        <w:pStyle w:val="NormalWeb"/>
        <w:numPr>
          <w:ilvl w:val="0"/>
          <w:numId w:val="3"/>
        </w:numPr>
      </w:pPr>
      <w:proofErr w:type="gramStart"/>
      <w:r>
        <w:rPr>
          <w:rFonts w:hAnsi="Symbol"/>
        </w:rPr>
        <w:t></w:t>
      </w:r>
      <w:r>
        <w:t xml:space="preserve">  </w:t>
      </w:r>
      <w:r>
        <w:rPr>
          <w:rStyle w:val="Strong"/>
        </w:rPr>
        <w:t>viability</w:t>
      </w:r>
      <w:proofErr w:type="gramEnd"/>
      <w:r>
        <w:br/>
        <w:t>Pronunciation link:</w:t>
      </w:r>
      <w:r>
        <w:br/>
        <w:t>https://www.merriam</w:t>
      </w:r>
      <w:r>
        <w:noBreakHyphen/>
        <w:t>webster.com/dictionary/viability</w:t>
      </w:r>
      <w:r>
        <w:br/>
        <w:t>IPA: /ˌ</w:t>
      </w:r>
      <w:proofErr w:type="spellStart"/>
      <w:r>
        <w:t>vaɪ·əˈbɪl·ə·ti</w:t>
      </w:r>
      <w:proofErr w:type="spellEnd"/>
      <w:r>
        <w:t>/</w:t>
      </w:r>
      <w:r>
        <w:br/>
        <w:t xml:space="preserve">Phonetic spelling: </w:t>
      </w:r>
      <w:proofErr w:type="spellStart"/>
      <w:r>
        <w:rPr>
          <w:rStyle w:val="Strong"/>
        </w:rPr>
        <w:t>vy</w:t>
      </w:r>
      <w:proofErr w:type="spellEnd"/>
      <w:r>
        <w:rPr>
          <w:rStyle w:val="Strong"/>
        </w:rPr>
        <w:noBreakHyphen/>
        <w:t>uh</w:t>
      </w:r>
      <w:r>
        <w:rPr>
          <w:rStyle w:val="Strong"/>
        </w:rPr>
        <w:noBreakHyphen/>
        <w:t>BIL</w:t>
      </w:r>
      <w:r>
        <w:rPr>
          <w:rStyle w:val="Strong"/>
        </w:rPr>
        <w:noBreakHyphen/>
        <w:t>uh</w:t>
      </w:r>
      <w:r>
        <w:rPr>
          <w:rStyle w:val="Strong"/>
        </w:rPr>
        <w:noBreakHyphen/>
        <w:t>tee</w:t>
      </w:r>
    </w:p>
    <w:p w14:paraId="4D34D2F6" w14:textId="77777777" w:rsidR="0020065B" w:rsidRDefault="0020065B" w:rsidP="0020065B">
      <w:pPr>
        <w:pStyle w:val="NormalWeb"/>
        <w:numPr>
          <w:ilvl w:val="0"/>
          <w:numId w:val="3"/>
        </w:numPr>
      </w:pPr>
      <w:proofErr w:type="gramStart"/>
      <w:r>
        <w:rPr>
          <w:rFonts w:hAnsi="Symbol"/>
        </w:rPr>
        <w:t></w:t>
      </w:r>
      <w:r>
        <w:t xml:space="preserve">  </w:t>
      </w:r>
      <w:r>
        <w:rPr>
          <w:rStyle w:val="Strong"/>
        </w:rPr>
        <w:t>temporal</w:t>
      </w:r>
      <w:proofErr w:type="gramEnd"/>
      <w:r>
        <w:br/>
        <w:t>Pronunciation link:</w:t>
      </w:r>
      <w:r>
        <w:br/>
        <w:t>https://www.merriam</w:t>
      </w:r>
      <w:r>
        <w:noBreakHyphen/>
        <w:t>webster.com/dictionary/temporal</w:t>
      </w:r>
      <w:r>
        <w:br/>
        <w:t>IPA: /ˈ</w:t>
      </w:r>
      <w:proofErr w:type="spellStart"/>
      <w:r>
        <w:t>tɛm·pə·rəl</w:t>
      </w:r>
      <w:proofErr w:type="spellEnd"/>
      <w:r>
        <w:t>/</w:t>
      </w:r>
      <w:r>
        <w:br/>
        <w:t xml:space="preserve">Phonetic spelling: </w:t>
      </w:r>
      <w:r>
        <w:rPr>
          <w:rStyle w:val="Strong"/>
        </w:rPr>
        <w:t>TEM</w:t>
      </w:r>
      <w:r>
        <w:rPr>
          <w:rStyle w:val="Strong"/>
        </w:rPr>
        <w:noBreakHyphen/>
        <w:t>puh</w:t>
      </w:r>
      <w:r>
        <w:rPr>
          <w:rStyle w:val="Strong"/>
        </w:rPr>
        <w:noBreakHyphen/>
      </w:r>
      <w:proofErr w:type="spellStart"/>
      <w:r>
        <w:rPr>
          <w:rStyle w:val="Strong"/>
        </w:rPr>
        <w:t>rul</w:t>
      </w:r>
      <w:proofErr w:type="spellEnd"/>
    </w:p>
    <w:p w14:paraId="7E8DFA89" w14:textId="77777777" w:rsidR="0020065B" w:rsidRDefault="0020065B" w:rsidP="0020065B">
      <w:pPr>
        <w:pStyle w:val="NormalWeb"/>
        <w:numPr>
          <w:ilvl w:val="0"/>
          <w:numId w:val="3"/>
        </w:numPr>
      </w:pPr>
      <w:proofErr w:type="gramStart"/>
      <w:r>
        <w:rPr>
          <w:rFonts w:hAnsi="Symbol"/>
        </w:rPr>
        <w:t></w:t>
      </w:r>
      <w:r>
        <w:t xml:space="preserve">  </w:t>
      </w:r>
      <w:r>
        <w:rPr>
          <w:rStyle w:val="Strong"/>
        </w:rPr>
        <w:t>confluent</w:t>
      </w:r>
      <w:proofErr w:type="gramEnd"/>
      <w:r>
        <w:br/>
        <w:t>Pronunciation link:</w:t>
      </w:r>
      <w:r>
        <w:br/>
        <w:t>https://www.merriam</w:t>
      </w:r>
      <w:r>
        <w:noBreakHyphen/>
        <w:t>webster.com/dictionary/confluent</w:t>
      </w:r>
      <w:r>
        <w:br/>
        <w:t>IPA: /ˈ</w:t>
      </w:r>
      <w:proofErr w:type="spellStart"/>
      <w:r>
        <w:t>kɒn·flu·ənt</w:t>
      </w:r>
      <w:proofErr w:type="spellEnd"/>
      <w:r>
        <w:t>/</w:t>
      </w:r>
      <w:r>
        <w:br/>
        <w:t xml:space="preserve">Phonetic spelling: </w:t>
      </w:r>
      <w:r>
        <w:rPr>
          <w:rStyle w:val="Strong"/>
        </w:rPr>
        <w:t>KON</w:t>
      </w:r>
      <w:r>
        <w:rPr>
          <w:rStyle w:val="Strong"/>
        </w:rPr>
        <w:noBreakHyphen/>
      </w:r>
      <w:proofErr w:type="spellStart"/>
      <w:r>
        <w:rPr>
          <w:rStyle w:val="Strong"/>
        </w:rPr>
        <w:t>floo</w:t>
      </w:r>
      <w:proofErr w:type="spellEnd"/>
      <w:r>
        <w:rPr>
          <w:rStyle w:val="Strong"/>
        </w:rPr>
        <w:noBreakHyphen/>
      </w:r>
      <w:proofErr w:type="spellStart"/>
      <w:r>
        <w:rPr>
          <w:rStyle w:val="Strong"/>
        </w:rPr>
        <w:t>uhnt</w:t>
      </w:r>
      <w:proofErr w:type="spellEnd"/>
    </w:p>
    <w:p w14:paraId="27D14B70" w14:textId="77777777" w:rsidR="0020065B" w:rsidRDefault="0020065B" w:rsidP="0020065B">
      <w:pPr>
        <w:pStyle w:val="NormalWeb"/>
        <w:numPr>
          <w:ilvl w:val="0"/>
          <w:numId w:val="3"/>
        </w:numPr>
      </w:pPr>
      <w:proofErr w:type="gramStart"/>
      <w:r>
        <w:rPr>
          <w:rFonts w:hAnsi="Symbol"/>
        </w:rPr>
        <w:t></w:t>
      </w:r>
      <w:r>
        <w:t xml:space="preserve">  </w:t>
      </w:r>
      <w:r>
        <w:rPr>
          <w:rStyle w:val="Strong"/>
        </w:rPr>
        <w:t>fluorescence</w:t>
      </w:r>
      <w:proofErr w:type="gramEnd"/>
      <w:r>
        <w:br/>
        <w:t>Pronunciation link:</w:t>
      </w:r>
      <w:r>
        <w:br/>
        <w:t>https://www.merriam</w:t>
      </w:r>
      <w:r>
        <w:noBreakHyphen/>
        <w:t>webster.com/dictionary/fluorescence</w:t>
      </w:r>
      <w:r>
        <w:br/>
        <w:t>IPA: /</w:t>
      </w:r>
      <w:proofErr w:type="spellStart"/>
      <w:r>
        <w:t>flʊəˈrɛs·əns</w:t>
      </w:r>
      <w:proofErr w:type="spellEnd"/>
      <w:r>
        <w:t>/</w:t>
      </w:r>
      <w:r>
        <w:br/>
        <w:t xml:space="preserve">Phonetic spelling: </w:t>
      </w:r>
      <w:r>
        <w:rPr>
          <w:rStyle w:val="Strong"/>
        </w:rPr>
        <w:t>flu</w:t>
      </w:r>
      <w:r>
        <w:rPr>
          <w:rStyle w:val="Strong"/>
        </w:rPr>
        <w:noBreakHyphen/>
        <w:t>oh</w:t>
      </w:r>
      <w:r>
        <w:rPr>
          <w:rStyle w:val="Strong"/>
        </w:rPr>
        <w:noBreakHyphen/>
        <w:t>RESS</w:t>
      </w:r>
      <w:r>
        <w:rPr>
          <w:rStyle w:val="Strong"/>
        </w:rPr>
        <w:noBreakHyphen/>
      </w:r>
      <w:proofErr w:type="spellStart"/>
      <w:r>
        <w:rPr>
          <w:rStyle w:val="Strong"/>
        </w:rPr>
        <w:t>uhns</w:t>
      </w:r>
      <w:proofErr w:type="spellEnd"/>
    </w:p>
    <w:p w14:paraId="2347D04C" w14:textId="77777777" w:rsidR="0020065B" w:rsidRDefault="0020065B" w:rsidP="0020065B">
      <w:pPr>
        <w:pStyle w:val="NormalWeb"/>
        <w:numPr>
          <w:ilvl w:val="0"/>
          <w:numId w:val="3"/>
        </w:numPr>
      </w:pPr>
      <w:proofErr w:type="gramStart"/>
      <w:r>
        <w:rPr>
          <w:rFonts w:hAnsi="Symbol"/>
        </w:rPr>
        <w:lastRenderedPageBreak/>
        <w:t></w:t>
      </w:r>
      <w:r>
        <w:t xml:space="preserve">  </w:t>
      </w:r>
      <w:r>
        <w:rPr>
          <w:rStyle w:val="Strong"/>
        </w:rPr>
        <w:t>automated</w:t>
      </w:r>
      <w:proofErr w:type="gramEnd"/>
      <w:r>
        <w:br/>
        <w:t>Pronunciation link:</w:t>
      </w:r>
      <w:r>
        <w:br/>
        <w:t>https://www.merriam</w:t>
      </w:r>
      <w:r>
        <w:noBreakHyphen/>
        <w:t>webster.com/dictionary/automated</w:t>
      </w:r>
      <w:r>
        <w:br/>
        <w:t>IPA: /ˈ</w:t>
      </w:r>
      <w:proofErr w:type="spellStart"/>
      <w:r>
        <w:t>ɔ·tə·meɪ·tɪd</w:t>
      </w:r>
      <w:proofErr w:type="spellEnd"/>
      <w:r>
        <w:t>/</w:t>
      </w:r>
      <w:r>
        <w:br/>
        <w:t xml:space="preserve">Phonetic spelling: </w:t>
      </w:r>
      <w:r>
        <w:rPr>
          <w:rStyle w:val="Strong"/>
        </w:rPr>
        <w:t>AW</w:t>
      </w:r>
      <w:r>
        <w:rPr>
          <w:rStyle w:val="Strong"/>
        </w:rPr>
        <w:noBreakHyphen/>
      </w:r>
      <w:proofErr w:type="spellStart"/>
      <w:r>
        <w:rPr>
          <w:rStyle w:val="Strong"/>
        </w:rPr>
        <w:t>tuh</w:t>
      </w:r>
      <w:proofErr w:type="spellEnd"/>
      <w:r>
        <w:rPr>
          <w:rStyle w:val="Strong"/>
        </w:rPr>
        <w:noBreakHyphen/>
        <w:t>may</w:t>
      </w:r>
      <w:r>
        <w:rPr>
          <w:rStyle w:val="Strong"/>
        </w:rPr>
        <w:noBreakHyphen/>
      </w:r>
      <w:proofErr w:type="spellStart"/>
      <w:r>
        <w:rPr>
          <w:rStyle w:val="Strong"/>
        </w:rPr>
        <w:t>tid</w:t>
      </w:r>
      <w:proofErr w:type="spellEnd"/>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A4EE6" w14:textId="77777777" w:rsidR="000559F1" w:rsidRDefault="000559F1">
      <w:r>
        <w:separator/>
      </w:r>
    </w:p>
    <w:p w14:paraId="10C1C1C6" w14:textId="77777777" w:rsidR="000559F1" w:rsidRDefault="000559F1"/>
  </w:endnote>
  <w:endnote w:type="continuationSeparator" w:id="0">
    <w:p w14:paraId="74A6058E" w14:textId="77777777" w:rsidR="000559F1" w:rsidRDefault="000559F1">
      <w:r>
        <w:continuationSeparator/>
      </w:r>
    </w:p>
    <w:p w14:paraId="203019FD" w14:textId="77777777" w:rsidR="000559F1" w:rsidRDefault="000559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altName w:val="Meiryo"/>
    <w:charset w:val="80"/>
    <w:family w:val="swiss"/>
    <w:pitch w:val="variable"/>
    <w:sig w:usb0="E00002FF" w:usb1="6AC7FFFF" w:usb2="08000012" w:usb3="00000000" w:csb0="000200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80E0B56"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A67434">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D642CD">
      <w:rPr>
        <w:rFonts w:cstheme="minorHAnsi"/>
      </w:rPr>
      <w:t xml:space="preserve">      September 16, </w:t>
    </w:r>
    <w:proofErr w:type="gramStart"/>
    <w:r w:rsidR="00D642CD">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8CEAD" w14:textId="77777777" w:rsidR="000559F1" w:rsidRDefault="000559F1">
      <w:r>
        <w:separator/>
      </w:r>
    </w:p>
    <w:p w14:paraId="558DA886" w14:textId="77777777" w:rsidR="000559F1" w:rsidRDefault="000559F1"/>
  </w:footnote>
  <w:footnote w:type="continuationSeparator" w:id="0">
    <w:p w14:paraId="7577DDC8" w14:textId="77777777" w:rsidR="000559F1" w:rsidRDefault="000559F1">
      <w:r>
        <w:continuationSeparator/>
      </w:r>
    </w:p>
    <w:p w14:paraId="12844B14" w14:textId="77777777" w:rsidR="000559F1" w:rsidRDefault="000559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1779EE51" w:rsidR="00336C61" w:rsidRPr="00D642CD" w:rsidRDefault="00336C61" w:rsidP="00D642CD">
    <w:pPr>
      <w:pStyle w:val="Header"/>
      <w:tabs>
        <w:tab w:val="clear" w:pos="4320"/>
        <w:tab w:val="clear" w:pos="8640"/>
        <w:tab w:val="center" w:pos="4680"/>
      </w:tabs>
      <w:spacing w:before="240"/>
      <w:rPr>
        <w:rFonts w:cstheme="minorHAnsi"/>
        <w:b/>
        <w:color w:val="00B050"/>
        <w:sz w:val="28"/>
        <w:szCs w:val="28"/>
        <w:u w:val="single"/>
      </w:rPr>
    </w:pPr>
    <w:r w:rsidRPr="00D642CD">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642CD" w:rsidRPr="00D642CD">
      <w:rPr>
        <w:rFonts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8CC4716"/>
    <w:multiLevelType w:val="multilevel"/>
    <w:tmpl w:val="DBBC546E"/>
    <w:lvl w:ilvl="0">
      <w:start w:val="3"/>
      <w:numFmt w:val="decimal"/>
      <w:lvlText w:val="%1."/>
      <w:lvlJc w:val="left"/>
      <w:pPr>
        <w:ind w:left="1080" w:hanging="360"/>
      </w:pPr>
      <w:rPr>
        <w:rFonts w:hint="default"/>
      </w:rPr>
    </w:lvl>
    <w:lvl w:ilvl="1">
      <w:start w:val="1"/>
      <w:numFmt w:val="decimal"/>
      <w:isLgl/>
      <w:lvlText w:val="%1.%2."/>
      <w:lvlJc w:val="left"/>
      <w:pPr>
        <w:ind w:left="1100" w:hanging="3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ACB672C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6"/>
  </w:num>
  <w:num w:numId="5" w16cid:durableId="209999702">
    <w:abstractNumId w:val="13"/>
  </w:num>
  <w:num w:numId="6" w16cid:durableId="1459685572">
    <w:abstractNumId w:val="29"/>
  </w:num>
  <w:num w:numId="7" w16cid:durableId="228031132">
    <w:abstractNumId w:val="37"/>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8"/>
  </w:num>
  <w:num w:numId="43" w16cid:durableId="77024263">
    <w:abstractNumId w:val="17"/>
  </w:num>
  <w:num w:numId="44" w16cid:durableId="1022630256">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2997"/>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6B05"/>
    <w:rsid w:val="00037828"/>
    <w:rsid w:val="0004142D"/>
    <w:rsid w:val="00043807"/>
    <w:rsid w:val="00045112"/>
    <w:rsid w:val="00055137"/>
    <w:rsid w:val="000559F1"/>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0F4D70"/>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57866"/>
    <w:rsid w:val="00162D51"/>
    <w:rsid w:val="0016471F"/>
    <w:rsid w:val="00176D6F"/>
    <w:rsid w:val="00177B33"/>
    <w:rsid w:val="001819E3"/>
    <w:rsid w:val="00184EF9"/>
    <w:rsid w:val="00191A77"/>
    <w:rsid w:val="00194DBB"/>
    <w:rsid w:val="001A3D76"/>
    <w:rsid w:val="001B3024"/>
    <w:rsid w:val="001B5C46"/>
    <w:rsid w:val="001C3C85"/>
    <w:rsid w:val="001C5DB5"/>
    <w:rsid w:val="001C7BBC"/>
    <w:rsid w:val="001D621E"/>
    <w:rsid w:val="001D66A5"/>
    <w:rsid w:val="001E2225"/>
    <w:rsid w:val="001E230F"/>
    <w:rsid w:val="001E52A3"/>
    <w:rsid w:val="001F0890"/>
    <w:rsid w:val="001F615E"/>
    <w:rsid w:val="0020065B"/>
    <w:rsid w:val="00206E40"/>
    <w:rsid w:val="00214268"/>
    <w:rsid w:val="002422D6"/>
    <w:rsid w:val="00244CDB"/>
    <w:rsid w:val="00247BFF"/>
    <w:rsid w:val="00250BD0"/>
    <w:rsid w:val="0025310D"/>
    <w:rsid w:val="002544F1"/>
    <w:rsid w:val="002553AE"/>
    <w:rsid w:val="00256A79"/>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14B0"/>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846C4"/>
    <w:rsid w:val="00491B01"/>
    <w:rsid w:val="00493A57"/>
    <w:rsid w:val="004947B8"/>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E5395"/>
    <w:rsid w:val="004F2257"/>
    <w:rsid w:val="004F664D"/>
    <w:rsid w:val="0051075A"/>
    <w:rsid w:val="00511F52"/>
    <w:rsid w:val="00513853"/>
    <w:rsid w:val="0052184A"/>
    <w:rsid w:val="00524258"/>
    <w:rsid w:val="00530B24"/>
    <w:rsid w:val="00530DD9"/>
    <w:rsid w:val="005320E4"/>
    <w:rsid w:val="00534B83"/>
    <w:rsid w:val="005363E2"/>
    <w:rsid w:val="00536D89"/>
    <w:rsid w:val="00544E06"/>
    <w:rsid w:val="005463CB"/>
    <w:rsid w:val="00547699"/>
    <w:rsid w:val="00557116"/>
    <w:rsid w:val="0055763A"/>
    <w:rsid w:val="005611F3"/>
    <w:rsid w:val="00565757"/>
    <w:rsid w:val="00573DA2"/>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D7E55"/>
    <w:rsid w:val="005E27DD"/>
    <w:rsid w:val="005E2B7E"/>
    <w:rsid w:val="005F0509"/>
    <w:rsid w:val="005F18A3"/>
    <w:rsid w:val="005F1ADF"/>
    <w:rsid w:val="00604177"/>
    <w:rsid w:val="006137EC"/>
    <w:rsid w:val="00622BE8"/>
    <w:rsid w:val="00623595"/>
    <w:rsid w:val="00626AF2"/>
    <w:rsid w:val="006346FE"/>
    <w:rsid w:val="00637544"/>
    <w:rsid w:val="006402D4"/>
    <w:rsid w:val="006446A3"/>
    <w:rsid w:val="00645A61"/>
    <w:rsid w:val="00645B93"/>
    <w:rsid w:val="00646050"/>
    <w:rsid w:val="00650C74"/>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967C8"/>
    <w:rsid w:val="006A0250"/>
    <w:rsid w:val="006A0AFD"/>
    <w:rsid w:val="006A14A2"/>
    <w:rsid w:val="006A1B4F"/>
    <w:rsid w:val="006A21CB"/>
    <w:rsid w:val="006A6324"/>
    <w:rsid w:val="006B026D"/>
    <w:rsid w:val="006B2573"/>
    <w:rsid w:val="006C08AE"/>
    <w:rsid w:val="006C0E87"/>
    <w:rsid w:val="006C1A3B"/>
    <w:rsid w:val="006C4093"/>
    <w:rsid w:val="006D1F9B"/>
    <w:rsid w:val="006D3AC7"/>
    <w:rsid w:val="006D7676"/>
    <w:rsid w:val="006E16D4"/>
    <w:rsid w:val="006F06AF"/>
    <w:rsid w:val="006F2681"/>
    <w:rsid w:val="006F3A1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5198"/>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4674A"/>
    <w:rsid w:val="00851B3E"/>
    <w:rsid w:val="00851C4B"/>
    <w:rsid w:val="00854994"/>
    <w:rsid w:val="00860BC3"/>
    <w:rsid w:val="008672DA"/>
    <w:rsid w:val="00871F2E"/>
    <w:rsid w:val="00873D1A"/>
    <w:rsid w:val="00874E3E"/>
    <w:rsid w:val="00875BE8"/>
    <w:rsid w:val="00877B88"/>
    <w:rsid w:val="0088113B"/>
    <w:rsid w:val="008836B3"/>
    <w:rsid w:val="008A0177"/>
    <w:rsid w:val="008A413E"/>
    <w:rsid w:val="008A7A3E"/>
    <w:rsid w:val="008B6C5B"/>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373F8"/>
    <w:rsid w:val="00941F06"/>
    <w:rsid w:val="009431F3"/>
    <w:rsid w:val="00947092"/>
    <w:rsid w:val="009470DC"/>
    <w:rsid w:val="00951A8E"/>
    <w:rsid w:val="009538A4"/>
    <w:rsid w:val="00954870"/>
    <w:rsid w:val="009548D2"/>
    <w:rsid w:val="00954BDD"/>
    <w:rsid w:val="00957DA8"/>
    <w:rsid w:val="00962168"/>
    <w:rsid w:val="009625B1"/>
    <w:rsid w:val="00966F67"/>
    <w:rsid w:val="009809C5"/>
    <w:rsid w:val="00985868"/>
    <w:rsid w:val="00985F44"/>
    <w:rsid w:val="00985FE6"/>
    <w:rsid w:val="00987081"/>
    <w:rsid w:val="00992857"/>
    <w:rsid w:val="009952AC"/>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36E4"/>
    <w:rsid w:val="009F51F2"/>
    <w:rsid w:val="00A07468"/>
    <w:rsid w:val="00A13CC3"/>
    <w:rsid w:val="00A15C1F"/>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67434"/>
    <w:rsid w:val="00A70AD6"/>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7A3B"/>
    <w:rsid w:val="00B115A2"/>
    <w:rsid w:val="00B13941"/>
    <w:rsid w:val="00B21E12"/>
    <w:rsid w:val="00B33E59"/>
    <w:rsid w:val="00B340A8"/>
    <w:rsid w:val="00B3428E"/>
    <w:rsid w:val="00B36993"/>
    <w:rsid w:val="00B40E12"/>
    <w:rsid w:val="00B435B8"/>
    <w:rsid w:val="00B4499C"/>
    <w:rsid w:val="00B5116D"/>
    <w:rsid w:val="00B60E0A"/>
    <w:rsid w:val="00B6201D"/>
    <w:rsid w:val="00B653B7"/>
    <w:rsid w:val="00B66A14"/>
    <w:rsid w:val="00B7250F"/>
    <w:rsid w:val="00B74953"/>
    <w:rsid w:val="00B807E5"/>
    <w:rsid w:val="00B847A0"/>
    <w:rsid w:val="00B87BC5"/>
    <w:rsid w:val="00B87D12"/>
    <w:rsid w:val="00BA0371"/>
    <w:rsid w:val="00BA2EF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2D51"/>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12"/>
    <w:rsid w:val="00D466AF"/>
    <w:rsid w:val="00D473BF"/>
    <w:rsid w:val="00D47642"/>
    <w:rsid w:val="00D5169F"/>
    <w:rsid w:val="00D53725"/>
    <w:rsid w:val="00D6314B"/>
    <w:rsid w:val="00D642CD"/>
    <w:rsid w:val="00D654B4"/>
    <w:rsid w:val="00D662C7"/>
    <w:rsid w:val="00D712A3"/>
    <w:rsid w:val="00D75084"/>
    <w:rsid w:val="00D75193"/>
    <w:rsid w:val="00D7547B"/>
    <w:rsid w:val="00D80DEB"/>
    <w:rsid w:val="00D87F73"/>
    <w:rsid w:val="00D95C4C"/>
    <w:rsid w:val="00DA117F"/>
    <w:rsid w:val="00DA17FB"/>
    <w:rsid w:val="00DB16A4"/>
    <w:rsid w:val="00DB3580"/>
    <w:rsid w:val="00DB62E5"/>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46DBA"/>
    <w:rsid w:val="00E55496"/>
    <w:rsid w:val="00E62657"/>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5EE4"/>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6F3A11"/>
    <w:rPr>
      <w:rFonts w:cs="Calibri"/>
      <w:color w:val="7030A0"/>
      <w:lang w:val="en-GB"/>
    </w:rPr>
  </w:style>
  <w:style w:type="character" w:customStyle="1" w:styleId="NarrationChar">
    <w:name w:val="Narration Char"/>
    <w:basedOn w:val="DefaultParagraphFont"/>
    <w:link w:val="Narration"/>
    <w:rsid w:val="006F3A11"/>
    <w:rPr>
      <w:rFonts w:ascii="Calibri" w:hAnsi="Calibri" w:cs="Calibri"/>
      <w:color w:val="7030A0"/>
      <w:lang w:val="en-GB"/>
    </w:rPr>
  </w:style>
  <w:style w:type="paragraph" w:customStyle="1" w:styleId="ShotDescription">
    <w:name w:val="Shot Description"/>
    <w:basedOn w:val="TemplateShot"/>
    <w:link w:val="ShotDescriptionChar"/>
    <w:qFormat/>
    <w:rsid w:val="006F3A11"/>
    <w:rPr>
      <w:rFonts w:cs="Calibri"/>
    </w:rPr>
  </w:style>
  <w:style w:type="character" w:customStyle="1" w:styleId="ShotDescriptionChar">
    <w:name w:val="Shot Description Char"/>
    <w:basedOn w:val="DefaultParagraphFont"/>
    <w:link w:val="ShotDescription"/>
    <w:rsid w:val="006F3A11"/>
    <w:rPr>
      <w:rFonts w:ascii="Calibri" w:hAnsi="Calibri" w:cs="Calibri"/>
    </w:rPr>
  </w:style>
  <w:style w:type="paragraph" w:customStyle="1" w:styleId="TemplateNarration">
    <w:name w:val="Template Narration"/>
    <w:basedOn w:val="ListParagraph"/>
    <w:rsid w:val="006F3A11"/>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6F3A11"/>
    <w:pPr>
      <w:widowControl w:val="0"/>
      <w:spacing w:before="120"/>
      <w:ind w:left="1627" w:hanging="720"/>
      <w:contextualSpacing w:val="0"/>
      <w:jc w:val="both"/>
    </w:pPr>
    <w:rPr>
      <w:rFonts w:ascii="Calibri" w:hAnsi="Calibri"/>
    </w:rPr>
  </w:style>
  <w:style w:type="paragraph" w:styleId="NormalWeb">
    <w:name w:val="Normal (Web)"/>
    <w:basedOn w:val="Normal"/>
    <w:uiPriority w:val="99"/>
    <w:semiHidden/>
    <w:unhideWhenUsed/>
    <w:rsid w:val="0020065B"/>
    <w:pPr>
      <w:spacing w:before="100" w:beforeAutospacing="1" w:after="100" w:afterAutospacing="1"/>
    </w:pPr>
    <w:rPr>
      <w:rFonts w:ascii="Times New Roman" w:eastAsia="Times New Roman" w:hAnsi="Times New Roman" w:cs="Times New Roman"/>
      <w:color w:val="auto"/>
      <w:lang w:val="en-IN" w:eastAsia="en-IN"/>
    </w:rPr>
  </w:style>
  <w:style w:type="character" w:styleId="Strong">
    <w:name w:val="Strong"/>
    <w:basedOn w:val="DefaultParagraphFont"/>
    <w:uiPriority w:val="22"/>
    <w:qFormat/>
    <w:rsid w:val="002006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1017598"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863C5" w:rsidP="00C863C5">
          <w:pPr>
            <w:pStyle w:val="CC26871413AF9243AF4034C5BA7F3A381"/>
          </w:pPr>
          <w:r w:rsidRPr="00B07A3B">
            <w:rPr>
              <w:rFonts w:eastAsia="Times New Roman" w:cstheme="minorHAnsi"/>
              <w:color w:val="808080"/>
              <w:shd w:val="clear" w:color="auto" w:fill="FFFF00"/>
            </w:rPr>
            <w:t>Enter author name</w:t>
          </w:r>
        </w:p>
        <w:bookmarkStart w:id="0" w:name="_Hlk132129840"/>
        <w:bookmarkEnd w:id="0"/>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863C5" w:rsidP="00C863C5">
          <w:pPr>
            <w:pStyle w:val="03FB08F915BF433A8C4EE8448B185C621"/>
          </w:pPr>
          <w:r w:rsidRPr="00B07A3B">
            <w:rPr>
              <w:rFonts w:eastAsia="Times New Roman" w:cstheme="minorHAnsi"/>
              <w:color w:val="808080"/>
              <w:shd w:val="clear" w:color="auto" w:fill="FFFF00"/>
            </w:rPr>
            <w:t>Enter author name</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863C5" w:rsidP="00C863C5">
          <w:pPr>
            <w:pStyle w:val="C3C3BAC10F5C4E67824D0F9D0592E7751"/>
          </w:pPr>
          <w:r w:rsidRPr="00B07A3B">
            <w:rPr>
              <w:rFonts w:eastAsia="Times New Roman" w:cstheme="minorHAnsi"/>
              <w:color w:val="808080"/>
              <w:shd w:val="clear" w:color="auto" w:fill="FFFF00"/>
            </w:rPr>
            <w:t>Enter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altName w:val="Meiryo"/>
    <w:charset w:val="80"/>
    <w:family w:val="swiss"/>
    <w:pitch w:val="variable"/>
    <w:sig w:usb0="E00002FF" w:usb1="6AC7FFFF" w:usb2="08000012" w:usb3="00000000" w:csb0="000200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9790C"/>
    <w:rsid w:val="000C2304"/>
    <w:rsid w:val="0010269D"/>
    <w:rsid w:val="00113F3E"/>
    <w:rsid w:val="00142D32"/>
    <w:rsid w:val="00186680"/>
    <w:rsid w:val="001B439B"/>
    <w:rsid w:val="001F6C86"/>
    <w:rsid w:val="002452FD"/>
    <w:rsid w:val="002470A6"/>
    <w:rsid w:val="00251E04"/>
    <w:rsid w:val="00257C3C"/>
    <w:rsid w:val="0027616B"/>
    <w:rsid w:val="00287B01"/>
    <w:rsid w:val="002955F3"/>
    <w:rsid w:val="002F6418"/>
    <w:rsid w:val="002F76E2"/>
    <w:rsid w:val="003108F7"/>
    <w:rsid w:val="00344E88"/>
    <w:rsid w:val="00356726"/>
    <w:rsid w:val="003C05C1"/>
    <w:rsid w:val="003C2AEF"/>
    <w:rsid w:val="003C4629"/>
    <w:rsid w:val="003D5DD0"/>
    <w:rsid w:val="003E657A"/>
    <w:rsid w:val="003F25B4"/>
    <w:rsid w:val="004232DB"/>
    <w:rsid w:val="0045037E"/>
    <w:rsid w:val="004A526F"/>
    <w:rsid w:val="004C6401"/>
    <w:rsid w:val="004E5395"/>
    <w:rsid w:val="0051075A"/>
    <w:rsid w:val="00510F54"/>
    <w:rsid w:val="0054238C"/>
    <w:rsid w:val="00542F31"/>
    <w:rsid w:val="005611F3"/>
    <w:rsid w:val="00565A22"/>
    <w:rsid w:val="005950B3"/>
    <w:rsid w:val="005B24C0"/>
    <w:rsid w:val="00627CAF"/>
    <w:rsid w:val="00650C74"/>
    <w:rsid w:val="00691751"/>
    <w:rsid w:val="006A568E"/>
    <w:rsid w:val="006A7088"/>
    <w:rsid w:val="006B026D"/>
    <w:rsid w:val="006B2B83"/>
    <w:rsid w:val="00706CE8"/>
    <w:rsid w:val="00716A63"/>
    <w:rsid w:val="00741C3F"/>
    <w:rsid w:val="00753425"/>
    <w:rsid w:val="007571D3"/>
    <w:rsid w:val="007575BF"/>
    <w:rsid w:val="0077793F"/>
    <w:rsid w:val="00792E1F"/>
    <w:rsid w:val="007B72C5"/>
    <w:rsid w:val="007F1F0B"/>
    <w:rsid w:val="00801C92"/>
    <w:rsid w:val="00886687"/>
    <w:rsid w:val="008A06BD"/>
    <w:rsid w:val="008B6C5B"/>
    <w:rsid w:val="008E296E"/>
    <w:rsid w:val="008F498E"/>
    <w:rsid w:val="009333F9"/>
    <w:rsid w:val="00937B16"/>
    <w:rsid w:val="009E354D"/>
    <w:rsid w:val="009F56B4"/>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1E5"/>
    <w:rsid w:val="00BC07A2"/>
    <w:rsid w:val="00BC5F88"/>
    <w:rsid w:val="00BD547D"/>
    <w:rsid w:val="00BE0E86"/>
    <w:rsid w:val="00BE41A6"/>
    <w:rsid w:val="00BE7565"/>
    <w:rsid w:val="00C26F24"/>
    <w:rsid w:val="00C30852"/>
    <w:rsid w:val="00C52B21"/>
    <w:rsid w:val="00C52D51"/>
    <w:rsid w:val="00C863C5"/>
    <w:rsid w:val="00CB5D71"/>
    <w:rsid w:val="00CB754D"/>
    <w:rsid w:val="00CE0665"/>
    <w:rsid w:val="00CE402E"/>
    <w:rsid w:val="00CF6F92"/>
    <w:rsid w:val="00D10D3E"/>
    <w:rsid w:val="00D12DDA"/>
    <w:rsid w:val="00D25AF9"/>
    <w:rsid w:val="00D42EDE"/>
    <w:rsid w:val="00D46612"/>
    <w:rsid w:val="00D75ED4"/>
    <w:rsid w:val="00DA10A3"/>
    <w:rsid w:val="00DA55E8"/>
    <w:rsid w:val="00DF6EE3"/>
    <w:rsid w:val="00DF7A5A"/>
    <w:rsid w:val="00E2725C"/>
    <w:rsid w:val="00E36A89"/>
    <w:rsid w:val="00E62657"/>
    <w:rsid w:val="00E63917"/>
    <w:rsid w:val="00E670C3"/>
    <w:rsid w:val="00E74A32"/>
    <w:rsid w:val="00E838FB"/>
    <w:rsid w:val="00EC183C"/>
    <w:rsid w:val="00EC38EE"/>
    <w:rsid w:val="00EC5ADC"/>
    <w:rsid w:val="00EF5E67"/>
    <w:rsid w:val="00EF7781"/>
    <w:rsid w:val="00F05EC7"/>
    <w:rsid w:val="00F11BF9"/>
    <w:rsid w:val="00F4535C"/>
    <w:rsid w:val="00F7561F"/>
    <w:rsid w:val="00F93B93"/>
    <w:rsid w:val="00FA7979"/>
    <w:rsid w:val="00FD1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863C5"/>
    <w:rPr>
      <w:color w:val="808080"/>
    </w:rPr>
  </w:style>
  <w:style w:type="paragraph" w:customStyle="1" w:styleId="CC26871413AF9243AF4034C5BA7F3A381">
    <w:name w:val="CC26871413AF9243AF4034C5BA7F3A381"/>
    <w:rsid w:val="00C863C5"/>
    <w:pPr>
      <w:ind w:left="720"/>
      <w:contextualSpacing/>
    </w:pPr>
    <w:rPr>
      <w:rFonts w:eastAsia="Times" w:cs="Calibri (Body)"/>
      <w:color w:val="000000" w:themeColor="text1"/>
    </w:rPr>
  </w:style>
  <w:style w:type="paragraph" w:customStyle="1" w:styleId="03FB08F915BF433A8C4EE8448B185C621">
    <w:name w:val="03FB08F915BF433A8C4EE8448B185C621"/>
    <w:rsid w:val="00C863C5"/>
    <w:pPr>
      <w:ind w:left="720"/>
      <w:contextualSpacing/>
    </w:pPr>
    <w:rPr>
      <w:rFonts w:eastAsia="Times" w:cs="Calibri (Body)"/>
      <w:color w:val="000000" w:themeColor="text1"/>
    </w:rPr>
  </w:style>
  <w:style w:type="paragraph" w:customStyle="1" w:styleId="C3C3BAC10F5C4E67824D0F9D0592E7751">
    <w:name w:val="C3C3BAC10F5C4E67824D0F9D0592E7751"/>
    <w:rsid w:val="00C863C5"/>
    <w:pPr>
      <w:ind w:left="720"/>
      <w:contextualSpacing/>
    </w:pPr>
    <w:rPr>
      <w:rFonts w:eastAsia="Times" w:cs="Calibri (Body)"/>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B9BF7-782D-45A7-B463-7F7F38313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1901</Words>
  <Characters>11875</Characters>
  <Application>Microsoft Office Word</Application>
  <DocSecurity>0</DocSecurity>
  <Lines>312</Lines>
  <Paragraphs>123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Name:                                                                                                                 Title of</vt:lpstr>
      <vt:lpstr>Name:                                                                                                                 Title of</vt:lpstr>
    </vt:vector>
  </TitlesOfParts>
  <Company>UC Irvine</Company>
  <LinksUpToDate>false</LinksUpToDate>
  <CharactersWithSpaces>13732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3</cp:revision>
  <cp:lastPrinted>2025-10-08T17:54:00Z</cp:lastPrinted>
  <dcterms:created xsi:type="dcterms:W3CDTF">2025-10-08T17:54:00Z</dcterms:created>
  <dcterms:modified xsi:type="dcterms:W3CDTF">2025-10-08T17:59:00Z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